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53FDC" w:rsidRPr="00AC7E31" w:rsidRDefault="00553FDC" w:rsidP="00AC7E31">
      <w:pPr>
        <w:spacing w:before="240" w:after="240" w:line="240" w:lineRule="auto"/>
        <w:jc w:val="center"/>
        <w:rPr>
          <w:rFonts w:asciiTheme="majorBidi" w:eastAsia="Times New Roman" w:hAnsiTheme="majorBidi" w:cstheme="majorBidi"/>
          <w:b/>
          <w:sz w:val="24"/>
          <w:szCs w:val="24"/>
        </w:rPr>
      </w:pPr>
    </w:p>
    <w:p w14:paraId="00000002" w14:textId="77777777" w:rsidR="00553FDC" w:rsidRPr="00AC7E31" w:rsidRDefault="00553FDC" w:rsidP="00AC7E31">
      <w:pPr>
        <w:spacing w:before="240" w:after="240" w:line="240" w:lineRule="auto"/>
        <w:jc w:val="center"/>
        <w:rPr>
          <w:rFonts w:asciiTheme="majorBidi" w:eastAsia="Times New Roman" w:hAnsiTheme="majorBidi" w:cstheme="majorBidi"/>
          <w:b/>
          <w:sz w:val="24"/>
          <w:szCs w:val="24"/>
        </w:rPr>
      </w:pPr>
    </w:p>
    <w:p w14:paraId="00000003" w14:textId="77777777" w:rsidR="00553FDC" w:rsidRPr="00AC7E31" w:rsidRDefault="00553FDC" w:rsidP="00AC7E31">
      <w:pPr>
        <w:spacing w:before="240" w:after="240" w:line="240" w:lineRule="auto"/>
        <w:jc w:val="center"/>
        <w:rPr>
          <w:rFonts w:asciiTheme="majorBidi" w:eastAsia="Times New Roman" w:hAnsiTheme="majorBidi" w:cstheme="majorBidi"/>
          <w:b/>
          <w:sz w:val="24"/>
          <w:szCs w:val="24"/>
        </w:rPr>
      </w:pPr>
    </w:p>
    <w:p w14:paraId="00000004" w14:textId="77777777" w:rsidR="00553FDC" w:rsidRPr="00AC7E31" w:rsidRDefault="00553FDC" w:rsidP="00AC7E31">
      <w:pPr>
        <w:spacing w:before="240" w:after="240" w:line="240" w:lineRule="auto"/>
        <w:jc w:val="center"/>
        <w:rPr>
          <w:rFonts w:asciiTheme="majorBidi" w:eastAsia="Times New Roman" w:hAnsiTheme="majorBidi" w:cstheme="majorBidi"/>
          <w:b/>
          <w:sz w:val="24"/>
          <w:szCs w:val="24"/>
        </w:rPr>
      </w:pPr>
    </w:p>
    <w:p w14:paraId="00000005" w14:textId="77777777" w:rsidR="00553FDC" w:rsidRPr="00AC7E31" w:rsidRDefault="003E471C" w:rsidP="00AC7E31">
      <w:pPr>
        <w:spacing w:before="240" w:after="240" w:line="240" w:lineRule="auto"/>
        <w:jc w:val="center"/>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Joint Parallel Report to the Committee on the Rights of the Child for its Fifth and Sixth Review of Israel </w:t>
      </w:r>
    </w:p>
    <w:p w14:paraId="00000006" w14:textId="77777777" w:rsidR="00553FDC" w:rsidRPr="00AC7E31" w:rsidRDefault="003E471C" w:rsidP="00AC7E31">
      <w:p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 </w:t>
      </w:r>
    </w:p>
    <w:p w14:paraId="00000007" w14:textId="77777777" w:rsidR="00553FDC" w:rsidRPr="00AC7E31" w:rsidRDefault="003E471C" w:rsidP="00AC7E31">
      <w:p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 </w:t>
      </w:r>
    </w:p>
    <w:p w14:paraId="00000008" w14:textId="77777777" w:rsidR="00553FDC" w:rsidRPr="00AC7E31" w:rsidRDefault="003E471C" w:rsidP="00AC7E31">
      <w:pPr>
        <w:spacing w:before="240" w:after="240" w:line="240" w:lineRule="auto"/>
        <w:jc w:val="center"/>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General Submission </w:t>
      </w:r>
    </w:p>
    <w:p w14:paraId="00000009" w14:textId="77777777" w:rsidR="00553FDC" w:rsidRPr="00AC7E31" w:rsidRDefault="00553FDC" w:rsidP="00AC7E31">
      <w:pPr>
        <w:spacing w:before="240" w:after="240" w:line="240" w:lineRule="auto"/>
        <w:jc w:val="both"/>
        <w:rPr>
          <w:rFonts w:asciiTheme="majorBidi" w:eastAsia="Times New Roman" w:hAnsiTheme="majorBidi" w:cstheme="majorBidi"/>
          <w:sz w:val="24"/>
          <w:szCs w:val="24"/>
        </w:rPr>
      </w:pPr>
    </w:p>
    <w:p w14:paraId="0000000A" w14:textId="77777777" w:rsidR="00553FDC" w:rsidRPr="00AC7E31" w:rsidRDefault="003E471C" w:rsidP="00AC7E31">
      <w:pPr>
        <w:spacing w:before="240" w:after="240" w:line="240" w:lineRule="auto"/>
        <w:jc w:val="center"/>
        <w:rPr>
          <w:rFonts w:asciiTheme="majorBidi" w:eastAsia="Times New Roman" w:hAnsiTheme="majorBidi" w:cstheme="majorBidi"/>
          <w:b/>
          <w:sz w:val="24"/>
          <w:szCs w:val="24"/>
        </w:rPr>
      </w:pPr>
      <w:r w:rsidRPr="00AC7E31">
        <w:rPr>
          <w:rFonts w:asciiTheme="majorBidi" w:eastAsia="Times New Roman" w:hAnsiTheme="majorBidi" w:cstheme="majorBidi"/>
          <w:sz w:val="24"/>
          <w:szCs w:val="24"/>
        </w:rPr>
        <w:t xml:space="preserve"> </w:t>
      </w:r>
      <w:r w:rsidRPr="00AC7E31">
        <w:rPr>
          <w:rFonts w:asciiTheme="majorBidi" w:eastAsia="Times New Roman" w:hAnsiTheme="majorBidi" w:cstheme="majorBidi"/>
          <w:b/>
          <w:sz w:val="24"/>
          <w:szCs w:val="24"/>
        </w:rPr>
        <w:t xml:space="preserve">Submitted by: </w:t>
      </w:r>
    </w:p>
    <w:p w14:paraId="0000000B" w14:textId="77777777" w:rsidR="00553FDC" w:rsidRPr="00AC7E31" w:rsidRDefault="003E471C" w:rsidP="00AC7E31">
      <w:pPr>
        <w:spacing w:before="240" w:after="240" w:line="240" w:lineRule="auto"/>
        <w:jc w:val="center"/>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Al-Haq, Law in the Service of Man </w:t>
      </w:r>
    </w:p>
    <w:p w14:paraId="0000000C" w14:textId="77777777" w:rsidR="00553FDC" w:rsidRPr="00AC7E31" w:rsidRDefault="003E471C" w:rsidP="00AC7E31">
      <w:pPr>
        <w:spacing w:before="240" w:after="240" w:line="240" w:lineRule="auto"/>
        <w:jc w:val="center"/>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 The Palestinian </w:t>
      </w:r>
      <w:proofErr w:type="spellStart"/>
      <w:r w:rsidRPr="00AC7E31">
        <w:rPr>
          <w:rFonts w:asciiTheme="majorBidi" w:eastAsia="Times New Roman" w:hAnsiTheme="majorBidi" w:cstheme="majorBidi"/>
          <w:sz w:val="24"/>
          <w:szCs w:val="24"/>
        </w:rPr>
        <w:t>Center</w:t>
      </w:r>
      <w:proofErr w:type="spellEnd"/>
      <w:r w:rsidRPr="00AC7E31">
        <w:rPr>
          <w:rFonts w:asciiTheme="majorBidi" w:eastAsia="Times New Roman" w:hAnsiTheme="majorBidi" w:cstheme="majorBidi"/>
          <w:sz w:val="24"/>
          <w:szCs w:val="24"/>
        </w:rPr>
        <w:t xml:space="preserve"> for Human Rights (PCHR)</w:t>
      </w:r>
    </w:p>
    <w:p w14:paraId="0000000D" w14:textId="77777777" w:rsidR="00553FDC" w:rsidRPr="00AC7E31" w:rsidRDefault="003E471C" w:rsidP="00AC7E31">
      <w:pPr>
        <w:spacing w:before="240" w:after="240" w:line="240" w:lineRule="auto"/>
        <w:jc w:val="center"/>
        <w:rPr>
          <w:rFonts w:asciiTheme="majorBidi" w:eastAsia="Times New Roman" w:hAnsiTheme="majorBidi" w:cstheme="majorBidi"/>
          <w:sz w:val="24"/>
          <w:szCs w:val="24"/>
        </w:rPr>
      </w:pPr>
      <w:proofErr w:type="spellStart"/>
      <w:r w:rsidRPr="00AC7E31">
        <w:rPr>
          <w:rFonts w:asciiTheme="majorBidi" w:eastAsia="Times New Roman" w:hAnsiTheme="majorBidi" w:cstheme="majorBidi"/>
          <w:sz w:val="24"/>
          <w:szCs w:val="24"/>
        </w:rPr>
        <w:t>Addameer</w:t>
      </w:r>
      <w:proofErr w:type="spellEnd"/>
      <w:r w:rsidRPr="00AC7E31">
        <w:rPr>
          <w:rFonts w:asciiTheme="majorBidi" w:eastAsia="Times New Roman" w:hAnsiTheme="majorBidi" w:cstheme="majorBidi"/>
          <w:sz w:val="24"/>
          <w:szCs w:val="24"/>
        </w:rPr>
        <w:t xml:space="preserve"> Prisoner Support and Human Rights Association</w:t>
      </w:r>
    </w:p>
    <w:p w14:paraId="0000000E" w14:textId="77777777" w:rsidR="00553FDC" w:rsidRPr="00AC7E31" w:rsidRDefault="003E471C" w:rsidP="00AC7E31">
      <w:pPr>
        <w:spacing w:before="240" w:after="240" w:line="240" w:lineRule="auto"/>
        <w:jc w:val="center"/>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The Community Action </w:t>
      </w:r>
      <w:proofErr w:type="spellStart"/>
      <w:r w:rsidRPr="00AC7E31">
        <w:rPr>
          <w:rFonts w:asciiTheme="majorBidi" w:eastAsia="Times New Roman" w:hAnsiTheme="majorBidi" w:cstheme="majorBidi"/>
          <w:sz w:val="24"/>
          <w:szCs w:val="24"/>
        </w:rPr>
        <w:t>Center</w:t>
      </w:r>
      <w:proofErr w:type="spellEnd"/>
      <w:r w:rsidRPr="00AC7E31">
        <w:rPr>
          <w:rFonts w:asciiTheme="majorBidi" w:eastAsia="Times New Roman" w:hAnsiTheme="majorBidi" w:cstheme="majorBidi"/>
          <w:sz w:val="24"/>
          <w:szCs w:val="24"/>
        </w:rPr>
        <w:t xml:space="preserve"> at </w:t>
      </w:r>
      <w:proofErr w:type="spellStart"/>
      <w:r w:rsidRPr="00AC7E31">
        <w:rPr>
          <w:rFonts w:asciiTheme="majorBidi" w:eastAsia="Times New Roman" w:hAnsiTheme="majorBidi" w:cstheme="majorBidi"/>
          <w:sz w:val="24"/>
          <w:szCs w:val="24"/>
        </w:rPr>
        <w:t>AlQuds</w:t>
      </w:r>
      <w:proofErr w:type="spellEnd"/>
      <w:r w:rsidRPr="00AC7E31">
        <w:rPr>
          <w:rFonts w:asciiTheme="majorBidi" w:eastAsia="Times New Roman" w:hAnsiTheme="majorBidi" w:cstheme="majorBidi"/>
          <w:sz w:val="24"/>
          <w:szCs w:val="24"/>
        </w:rPr>
        <w:t xml:space="preserve"> University (CAC)</w:t>
      </w:r>
    </w:p>
    <w:p w14:paraId="0000000F" w14:textId="77777777" w:rsidR="00553FDC" w:rsidRPr="00AC7E31" w:rsidRDefault="003E471C" w:rsidP="00AC7E31">
      <w:pPr>
        <w:spacing w:before="240" w:after="240" w:line="240" w:lineRule="auto"/>
        <w:jc w:val="center"/>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The Civic Coalition for Palestinian Rights in Jerusalem</w:t>
      </w:r>
    </w:p>
    <w:p w14:paraId="00000010" w14:textId="77777777" w:rsidR="00553FDC" w:rsidRPr="00AC7E31" w:rsidRDefault="003E471C" w:rsidP="00AC7E31">
      <w:pPr>
        <w:spacing w:before="240" w:after="240" w:line="240" w:lineRule="auto"/>
        <w:jc w:val="center"/>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The Palestinian Initiative for the Promotion of Global Dialogue and Democracy-MIFTAH</w:t>
      </w:r>
    </w:p>
    <w:p w14:paraId="00000011" w14:textId="77777777" w:rsidR="00553FDC" w:rsidRPr="00AC7E31" w:rsidRDefault="00553FDC" w:rsidP="00AC7E31">
      <w:pPr>
        <w:spacing w:before="240" w:after="240" w:line="240" w:lineRule="auto"/>
        <w:jc w:val="center"/>
        <w:rPr>
          <w:rFonts w:asciiTheme="majorBidi" w:eastAsia="Times New Roman" w:hAnsiTheme="majorBidi" w:cstheme="majorBidi"/>
          <w:sz w:val="24"/>
          <w:szCs w:val="24"/>
        </w:rPr>
      </w:pPr>
    </w:p>
    <w:p w14:paraId="00000012" w14:textId="77777777" w:rsidR="00553FDC" w:rsidRPr="00AC7E31" w:rsidRDefault="003E471C" w:rsidP="00AC7E31">
      <w:p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 </w:t>
      </w:r>
    </w:p>
    <w:p w14:paraId="00000013" w14:textId="77777777" w:rsidR="00553FDC" w:rsidRPr="00AC7E31" w:rsidRDefault="003E471C" w:rsidP="00AC7E31">
      <w:p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 </w:t>
      </w:r>
    </w:p>
    <w:p w14:paraId="00000014" w14:textId="77777777" w:rsidR="00553FDC" w:rsidRPr="00AC7E31" w:rsidRDefault="00553FDC" w:rsidP="00AC7E31">
      <w:pPr>
        <w:spacing w:before="240" w:after="240" w:line="240" w:lineRule="auto"/>
        <w:rPr>
          <w:rFonts w:asciiTheme="majorBidi" w:eastAsia="Times New Roman" w:hAnsiTheme="majorBidi" w:cstheme="majorBidi"/>
          <w:sz w:val="24"/>
          <w:szCs w:val="24"/>
          <w:highlight w:val="green"/>
        </w:rPr>
      </w:pPr>
    </w:p>
    <w:p w14:paraId="00000015" w14:textId="77777777" w:rsidR="00553FDC" w:rsidRPr="00AC7E31" w:rsidRDefault="00553FDC" w:rsidP="00AC7E31">
      <w:pPr>
        <w:spacing w:before="240" w:after="240" w:line="240" w:lineRule="auto"/>
        <w:rPr>
          <w:rFonts w:asciiTheme="majorBidi" w:eastAsia="Times New Roman" w:hAnsiTheme="majorBidi" w:cstheme="majorBidi"/>
          <w:sz w:val="24"/>
          <w:szCs w:val="24"/>
          <w:highlight w:val="green"/>
        </w:rPr>
      </w:pPr>
    </w:p>
    <w:p w14:paraId="00000016" w14:textId="77777777" w:rsidR="00553FDC" w:rsidRPr="00AC7E31" w:rsidRDefault="00553FDC" w:rsidP="00AC7E31">
      <w:pPr>
        <w:spacing w:before="240" w:after="240" w:line="240" w:lineRule="auto"/>
        <w:rPr>
          <w:rFonts w:asciiTheme="majorBidi" w:eastAsia="Times New Roman" w:hAnsiTheme="majorBidi" w:cstheme="majorBidi"/>
          <w:sz w:val="24"/>
          <w:szCs w:val="24"/>
          <w:highlight w:val="green"/>
        </w:rPr>
      </w:pPr>
    </w:p>
    <w:p w14:paraId="00000017" w14:textId="77777777" w:rsidR="00553FDC" w:rsidRPr="00AC7E31" w:rsidRDefault="00553FDC" w:rsidP="00AC7E31">
      <w:pPr>
        <w:spacing w:before="240" w:after="240" w:line="240" w:lineRule="auto"/>
        <w:rPr>
          <w:rFonts w:asciiTheme="majorBidi" w:eastAsia="Times New Roman" w:hAnsiTheme="majorBidi" w:cstheme="majorBidi"/>
          <w:sz w:val="24"/>
          <w:szCs w:val="24"/>
          <w:highlight w:val="green"/>
        </w:rPr>
      </w:pPr>
    </w:p>
    <w:p w14:paraId="0000001A" w14:textId="77777777" w:rsidR="00553FDC" w:rsidRPr="00AC7E31" w:rsidRDefault="00553FDC" w:rsidP="00AC7E31">
      <w:pPr>
        <w:spacing w:before="240" w:after="240" w:line="240" w:lineRule="auto"/>
        <w:rPr>
          <w:rFonts w:asciiTheme="majorBidi" w:eastAsia="Times New Roman" w:hAnsiTheme="majorBidi" w:cstheme="majorBidi"/>
          <w:sz w:val="24"/>
          <w:szCs w:val="24"/>
          <w:highlight w:val="green"/>
        </w:rPr>
      </w:pPr>
    </w:p>
    <w:p w14:paraId="0000001B" w14:textId="77777777" w:rsidR="00553FDC" w:rsidRPr="00AC7E31" w:rsidRDefault="00553FDC" w:rsidP="00AC7E31">
      <w:pPr>
        <w:spacing w:before="240" w:after="240" w:line="240" w:lineRule="auto"/>
        <w:ind w:left="720"/>
        <w:jc w:val="both"/>
        <w:rPr>
          <w:rFonts w:asciiTheme="majorBidi" w:eastAsia="Times New Roman" w:hAnsiTheme="majorBidi" w:cstheme="majorBidi"/>
          <w:sz w:val="24"/>
          <w:szCs w:val="24"/>
        </w:rPr>
      </w:pPr>
    </w:p>
    <w:p w14:paraId="0000001C" w14:textId="77777777" w:rsidR="00553FDC" w:rsidRPr="00AC7E31" w:rsidRDefault="003E471C" w:rsidP="00AC7E31">
      <w:pPr>
        <w:spacing w:before="240" w:after="240" w:line="240" w:lineRule="auto"/>
        <w:ind w:left="720"/>
        <w:jc w:val="center"/>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15 August </w:t>
      </w:r>
    </w:p>
    <w:p w14:paraId="0000001D" w14:textId="77777777" w:rsidR="00553FDC" w:rsidRPr="00AC7E31" w:rsidRDefault="003E471C" w:rsidP="00AC7E31">
      <w:pPr>
        <w:numPr>
          <w:ilvl w:val="0"/>
          <w:numId w:val="3"/>
        </w:numPr>
        <w:spacing w:before="240" w:after="240" w:line="240" w:lineRule="auto"/>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lastRenderedPageBreak/>
        <w:t>Introduction</w:t>
      </w:r>
    </w:p>
    <w:p w14:paraId="0000001E" w14:textId="77777777" w:rsidR="00553FDC" w:rsidRPr="00AC7E31" w:rsidRDefault="003E471C" w:rsidP="00AC7E31">
      <w:pPr>
        <w:numPr>
          <w:ilvl w:val="0"/>
          <w:numId w:val="1"/>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Al-Haq, the Palestinian </w:t>
      </w:r>
      <w:proofErr w:type="spellStart"/>
      <w:r w:rsidRPr="00AC7E31">
        <w:rPr>
          <w:rFonts w:asciiTheme="majorBidi" w:eastAsia="Times New Roman" w:hAnsiTheme="majorBidi" w:cstheme="majorBidi"/>
          <w:sz w:val="24"/>
          <w:szCs w:val="24"/>
        </w:rPr>
        <w:t>Center</w:t>
      </w:r>
      <w:proofErr w:type="spellEnd"/>
      <w:r w:rsidRPr="00AC7E31">
        <w:rPr>
          <w:rFonts w:asciiTheme="majorBidi" w:eastAsia="Times New Roman" w:hAnsiTheme="majorBidi" w:cstheme="majorBidi"/>
          <w:sz w:val="24"/>
          <w:szCs w:val="24"/>
        </w:rPr>
        <w:t xml:space="preserve"> for Human Rights, </w:t>
      </w:r>
      <w:proofErr w:type="spellStart"/>
      <w:r w:rsidRPr="00AC7E31">
        <w:rPr>
          <w:rFonts w:asciiTheme="majorBidi" w:eastAsia="Times New Roman" w:hAnsiTheme="majorBidi" w:cstheme="majorBidi"/>
          <w:sz w:val="24"/>
          <w:szCs w:val="24"/>
        </w:rPr>
        <w:t>Addameer</w:t>
      </w:r>
      <w:proofErr w:type="spellEnd"/>
      <w:r w:rsidRPr="00AC7E31">
        <w:rPr>
          <w:rFonts w:asciiTheme="majorBidi" w:eastAsia="Times New Roman" w:hAnsiTheme="majorBidi" w:cstheme="majorBidi"/>
          <w:sz w:val="24"/>
          <w:szCs w:val="24"/>
        </w:rPr>
        <w:t xml:space="preserve"> Prisoner Support and Human Rights Association, Civic Coalition for Palestinian Rights in Jerusalem, the Community Action </w:t>
      </w:r>
      <w:proofErr w:type="spellStart"/>
      <w:r w:rsidRPr="00AC7E31">
        <w:rPr>
          <w:rFonts w:asciiTheme="majorBidi" w:eastAsia="Times New Roman" w:hAnsiTheme="majorBidi" w:cstheme="majorBidi"/>
          <w:sz w:val="24"/>
          <w:szCs w:val="24"/>
        </w:rPr>
        <w:t>Center</w:t>
      </w:r>
      <w:proofErr w:type="spellEnd"/>
      <w:r w:rsidRPr="00AC7E31">
        <w:rPr>
          <w:rFonts w:asciiTheme="majorBidi" w:eastAsia="Times New Roman" w:hAnsiTheme="majorBidi" w:cstheme="majorBidi"/>
          <w:sz w:val="24"/>
          <w:szCs w:val="24"/>
        </w:rPr>
        <w:t xml:space="preserve"> at </w:t>
      </w:r>
      <w:proofErr w:type="spellStart"/>
      <w:r w:rsidRPr="00AC7E31">
        <w:rPr>
          <w:rFonts w:asciiTheme="majorBidi" w:eastAsia="Times New Roman" w:hAnsiTheme="majorBidi" w:cstheme="majorBidi"/>
          <w:sz w:val="24"/>
          <w:szCs w:val="24"/>
        </w:rPr>
        <w:t>AlQuds</w:t>
      </w:r>
      <w:proofErr w:type="spellEnd"/>
      <w:r w:rsidRPr="00AC7E31">
        <w:rPr>
          <w:rFonts w:asciiTheme="majorBidi" w:eastAsia="Times New Roman" w:hAnsiTheme="majorBidi" w:cstheme="majorBidi"/>
          <w:sz w:val="24"/>
          <w:szCs w:val="24"/>
        </w:rPr>
        <w:t xml:space="preserve"> University, and the Palestinian Initiative for the Promotion of Global Dialogue and Democracy-MIFTAH, (hereinafter ‘our organisations’) submit this joint parallel report to the United Nations (hereinafter ‘UN’) Committee on the Rights of the Child (hereinafter ‘the Committee’) for consideration in its concluding observations on the combined fifth and sixth periodic reports submitted by Israel,</w:t>
      </w:r>
      <w:r w:rsidRPr="00AC7E31">
        <w:rPr>
          <w:rFonts w:asciiTheme="majorBidi" w:eastAsia="Times New Roman" w:hAnsiTheme="majorBidi" w:cstheme="majorBidi"/>
          <w:sz w:val="24"/>
          <w:szCs w:val="24"/>
          <w:vertAlign w:val="superscript"/>
        </w:rPr>
        <w:footnoteReference w:id="1"/>
      </w:r>
      <w:r w:rsidRPr="00AC7E31">
        <w:rPr>
          <w:rFonts w:asciiTheme="majorBidi" w:eastAsia="Times New Roman" w:hAnsiTheme="majorBidi" w:cstheme="majorBidi"/>
          <w:sz w:val="24"/>
          <w:szCs w:val="24"/>
        </w:rPr>
        <w:t xml:space="preserve"> as well as the list of issues,</w:t>
      </w:r>
      <w:r w:rsidRPr="00AC7E31">
        <w:rPr>
          <w:rFonts w:asciiTheme="majorBidi" w:eastAsia="Times New Roman" w:hAnsiTheme="majorBidi" w:cstheme="majorBidi"/>
          <w:sz w:val="24"/>
          <w:szCs w:val="24"/>
          <w:vertAlign w:val="superscript"/>
        </w:rPr>
        <w:footnoteReference w:id="2"/>
      </w:r>
      <w:r w:rsidRPr="00AC7E31">
        <w:rPr>
          <w:rFonts w:asciiTheme="majorBidi" w:eastAsia="Times New Roman" w:hAnsiTheme="majorBidi" w:cstheme="majorBidi"/>
          <w:sz w:val="24"/>
          <w:szCs w:val="24"/>
        </w:rPr>
        <w:t xml:space="preserve"> and Israel’s replies to the list of issues,</w:t>
      </w:r>
      <w:r w:rsidRPr="00AC7E31">
        <w:rPr>
          <w:rFonts w:asciiTheme="majorBidi" w:eastAsia="Times New Roman" w:hAnsiTheme="majorBidi" w:cstheme="majorBidi"/>
          <w:sz w:val="24"/>
          <w:szCs w:val="24"/>
          <w:vertAlign w:val="superscript"/>
        </w:rPr>
        <w:footnoteReference w:id="3"/>
      </w:r>
      <w:r w:rsidRPr="00AC7E31">
        <w:rPr>
          <w:rFonts w:asciiTheme="majorBidi" w:eastAsia="Times New Roman" w:hAnsiTheme="majorBidi" w:cstheme="majorBidi"/>
          <w:sz w:val="24"/>
          <w:szCs w:val="24"/>
        </w:rPr>
        <w:t xml:space="preserve"> regarding its compliance with the Convention on the Rights of the Child (hereinafter ‘CRC’ or ‘the Convention’).</w:t>
      </w:r>
      <w:r w:rsidRPr="00AC7E31">
        <w:rPr>
          <w:rFonts w:asciiTheme="majorBidi" w:eastAsia="Times New Roman" w:hAnsiTheme="majorBidi" w:cstheme="majorBidi"/>
          <w:sz w:val="24"/>
          <w:szCs w:val="24"/>
          <w:vertAlign w:val="superscript"/>
        </w:rPr>
        <w:footnoteReference w:id="4"/>
      </w:r>
    </w:p>
    <w:p w14:paraId="0000001F" w14:textId="77777777" w:rsidR="00553FDC" w:rsidRPr="00AC7E31" w:rsidRDefault="003E471C" w:rsidP="00AC7E31">
      <w:pPr>
        <w:numPr>
          <w:ilvl w:val="0"/>
          <w:numId w:val="1"/>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In this joint thematic parallel report to the Committee ahead of its 97th session, to be read in conjunction with our other joint submission,</w:t>
      </w:r>
      <w:r w:rsidRPr="00AC7E31">
        <w:rPr>
          <w:rFonts w:asciiTheme="majorBidi" w:eastAsia="Times New Roman" w:hAnsiTheme="majorBidi" w:cstheme="majorBidi"/>
          <w:b/>
          <w:sz w:val="24"/>
          <w:szCs w:val="24"/>
        </w:rPr>
        <w:t xml:space="preserve"> </w:t>
      </w:r>
      <w:r w:rsidRPr="00AC7E31">
        <w:rPr>
          <w:rFonts w:asciiTheme="majorBidi" w:eastAsia="Times New Roman" w:hAnsiTheme="majorBidi" w:cstheme="majorBidi"/>
          <w:sz w:val="24"/>
          <w:szCs w:val="24"/>
        </w:rPr>
        <w:t xml:space="preserve">our organisations examine Israel’s violation of its obligation to respect, protect, and fulfil the rights of Palestinian children in the occupied Palestinian territory. This submission is prepared amid an ongoing genocide against Palestinians in Gaza, whereby Israel is deliberately committing genocidal acts to bring about the physical destruction, in whole or in part, of the Palestinian people. </w:t>
      </w:r>
      <w:r w:rsidRPr="00AC7E31">
        <w:rPr>
          <w:rFonts w:asciiTheme="majorBidi" w:eastAsia="Times New Roman" w:hAnsiTheme="majorBidi" w:cstheme="majorBidi"/>
          <w:b/>
          <w:sz w:val="24"/>
          <w:szCs w:val="24"/>
        </w:rPr>
        <w:t>As such, we urge the Committee to recognise the ongoing genocide and to call on Israel to immediately and unconditionally comply with the three provisional measures orders of the International Court of Justice.</w:t>
      </w:r>
      <w:r w:rsidRPr="00AC7E31">
        <w:rPr>
          <w:rFonts w:asciiTheme="majorBidi" w:eastAsia="Times New Roman" w:hAnsiTheme="majorBidi" w:cstheme="majorBidi"/>
          <w:b/>
          <w:sz w:val="24"/>
          <w:szCs w:val="24"/>
          <w:vertAlign w:val="superscript"/>
        </w:rPr>
        <w:footnoteReference w:id="5"/>
      </w:r>
      <w:r w:rsidRPr="00AC7E31">
        <w:rPr>
          <w:rFonts w:asciiTheme="majorBidi" w:eastAsia="Times New Roman" w:hAnsiTheme="majorBidi" w:cstheme="majorBidi"/>
          <w:sz w:val="24"/>
          <w:szCs w:val="24"/>
        </w:rPr>
        <w:t xml:space="preserve"> </w:t>
      </w:r>
    </w:p>
    <w:p w14:paraId="00000020" w14:textId="77777777" w:rsidR="00553FDC" w:rsidRPr="00AC7E31" w:rsidRDefault="003E471C" w:rsidP="00AC7E31">
      <w:pPr>
        <w:numPr>
          <w:ilvl w:val="0"/>
          <w:numId w:val="1"/>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Our organisations reiterate that Palestinian children rights must be understood within the broader context of Israel’s Zionist settler-colonial apartheid regime imposed over the Palestinian people as a whole, on both sides of the Green Line, and as refugees and exiles denied their right of return since the start of the ongoing </w:t>
      </w:r>
      <w:r w:rsidRPr="00AC7E31">
        <w:rPr>
          <w:rFonts w:asciiTheme="majorBidi" w:eastAsia="Times New Roman" w:hAnsiTheme="majorBidi" w:cstheme="majorBidi"/>
          <w:i/>
          <w:sz w:val="24"/>
          <w:szCs w:val="24"/>
        </w:rPr>
        <w:t>Nakba</w:t>
      </w:r>
      <w:r w:rsidRPr="00AC7E31">
        <w:rPr>
          <w:rFonts w:asciiTheme="majorBidi" w:eastAsia="Times New Roman" w:hAnsiTheme="majorBidi" w:cstheme="majorBidi"/>
          <w:sz w:val="24"/>
          <w:szCs w:val="24"/>
        </w:rPr>
        <w:t xml:space="preserve"> in 1948, which denies them the ability to exercise their individual and collective rights, including to self-determination and return.</w:t>
      </w:r>
      <w:r w:rsidRPr="00AC7E31">
        <w:rPr>
          <w:rFonts w:asciiTheme="majorBidi" w:eastAsia="Times New Roman" w:hAnsiTheme="majorBidi" w:cstheme="majorBidi"/>
          <w:sz w:val="24"/>
          <w:szCs w:val="24"/>
          <w:vertAlign w:val="superscript"/>
        </w:rPr>
        <w:footnoteReference w:id="6"/>
      </w:r>
      <w:r w:rsidRPr="00AC7E31">
        <w:rPr>
          <w:rFonts w:asciiTheme="majorBidi" w:eastAsia="Times New Roman" w:hAnsiTheme="majorBidi" w:cstheme="majorBidi"/>
          <w:sz w:val="24"/>
          <w:szCs w:val="24"/>
        </w:rPr>
        <w:t xml:space="preserve"> </w:t>
      </w:r>
      <w:r w:rsidRPr="00AC7E31">
        <w:rPr>
          <w:rFonts w:asciiTheme="majorBidi" w:eastAsia="Times New Roman" w:hAnsiTheme="majorBidi" w:cstheme="majorBidi"/>
          <w:b/>
          <w:sz w:val="24"/>
          <w:szCs w:val="24"/>
        </w:rPr>
        <w:t xml:space="preserve">As such, we urge the Committee to call on Israel to end its settler-colonial apartheid regime imposed over the Palestinian people, including by repealing discriminatory laws and policies dominating the Palestinian people, ensuring the exercise of the right to self-determination of the Palestinian people, the return of Palestinian refugees and the restitution of their lands, as well as ending the unlawful occupation of the West Bank, including </w:t>
      </w:r>
      <w:r w:rsidRPr="00AC7E31">
        <w:rPr>
          <w:rFonts w:asciiTheme="majorBidi" w:eastAsia="Times New Roman" w:hAnsiTheme="majorBidi" w:cstheme="majorBidi"/>
          <w:b/>
          <w:sz w:val="24"/>
          <w:szCs w:val="24"/>
        </w:rPr>
        <w:lastRenderedPageBreak/>
        <w:t>eastern Jerusalem, and the Gaza Strip, as recently found by the International Court of Justice.</w:t>
      </w:r>
      <w:r w:rsidRPr="00AC7E31">
        <w:rPr>
          <w:rFonts w:asciiTheme="majorBidi" w:eastAsia="Times New Roman" w:hAnsiTheme="majorBidi" w:cstheme="majorBidi"/>
          <w:b/>
          <w:sz w:val="24"/>
          <w:szCs w:val="24"/>
          <w:vertAlign w:val="superscript"/>
        </w:rPr>
        <w:footnoteReference w:id="7"/>
      </w:r>
    </w:p>
    <w:p w14:paraId="00000021" w14:textId="77777777" w:rsidR="00553FDC" w:rsidRPr="00AC7E31" w:rsidRDefault="003E471C" w:rsidP="00AC7E31">
      <w:pPr>
        <w:numPr>
          <w:ilvl w:val="0"/>
          <w:numId w:val="3"/>
        </w:numPr>
        <w:spacing w:before="240" w:after="240" w:line="240" w:lineRule="auto"/>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The Human Rights Situation of Palestinian Children in Gaza, Amid an Ongoing Genocide </w:t>
      </w:r>
    </w:p>
    <w:p w14:paraId="78863BB5"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Since the start of Israel’s ongoing genocide against Palestinians in Gaza, and as of 15 August 2024, over 40,000 Palestinians, of whom the majority are children and women, have been killed, and at least 92,401 others have been injured, according to the Palestinian Ministry of Health.</w:t>
      </w:r>
      <w:r w:rsidRPr="00AC7E31">
        <w:rPr>
          <w:rFonts w:asciiTheme="majorBidi" w:hAnsiTheme="majorBidi" w:cstheme="majorBidi"/>
          <w:sz w:val="24"/>
          <w:szCs w:val="24"/>
          <w:vertAlign w:val="superscript"/>
        </w:rPr>
        <w:footnoteReference w:id="8"/>
      </w:r>
      <w:r w:rsidRPr="00AC7E31">
        <w:rPr>
          <w:rFonts w:asciiTheme="majorBidi" w:eastAsia="Times New Roman" w:hAnsiTheme="majorBidi" w:cstheme="majorBidi"/>
          <w:sz w:val="24"/>
          <w:szCs w:val="24"/>
        </w:rPr>
        <w:t xml:space="preserve"> During the ongoing genocide, two in every 100 Palestinians in Gaza have been killed, as another four out of every 100 have been left grappling with injuries, often life-altering. In addition, it is reported that over 10,000 Palestinians have been reported missing and are presumed to be trapped or dead under the rubble, enduring this nightmarish predicament for days, if not weeks and months.</w:t>
      </w:r>
      <w:r w:rsidRPr="00AC7E31">
        <w:rPr>
          <w:rFonts w:asciiTheme="majorBidi" w:hAnsiTheme="majorBidi" w:cstheme="majorBidi"/>
          <w:sz w:val="24"/>
          <w:szCs w:val="24"/>
          <w:vertAlign w:val="superscript"/>
        </w:rPr>
        <w:footnoteReference w:id="9"/>
      </w:r>
      <w:r w:rsidRPr="00AC7E31">
        <w:rPr>
          <w:rFonts w:asciiTheme="majorBidi" w:eastAsia="Times New Roman" w:hAnsiTheme="majorBidi" w:cstheme="majorBidi"/>
          <w:sz w:val="24"/>
          <w:szCs w:val="24"/>
        </w:rPr>
        <w:t xml:space="preserve"> Currently, thousands of Palestinians, whether deceased or clinging to life, remain entombed, with hundreds of bodies subjected to decay, robbed of the basic right to a dignified burial. Notably, the Israeli Occupying Forces (IOF) and Israeli aircraft bomb Palestinian homes without regard for the lives of their residents or surroundings. Children are often killed and injured due to bombings or gunfire.</w:t>
      </w:r>
    </w:p>
    <w:p w14:paraId="00000023" w14:textId="1A52E0C9"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one documented instance, two sisters, </w:t>
      </w:r>
      <w:r w:rsidRPr="00AC7E31">
        <w:rPr>
          <w:rFonts w:asciiTheme="majorBidi" w:eastAsia="Times New Roman" w:hAnsiTheme="majorBidi" w:cstheme="majorBidi"/>
          <w:b/>
          <w:sz w:val="24"/>
          <w:szCs w:val="24"/>
        </w:rPr>
        <w:t>S.A.</w:t>
      </w:r>
      <w:r w:rsidRPr="00AC7E31">
        <w:rPr>
          <w:rFonts w:asciiTheme="majorBidi" w:eastAsia="Times New Roman" w:hAnsiTheme="majorBidi" w:cstheme="majorBidi"/>
          <w:sz w:val="24"/>
          <w:szCs w:val="24"/>
        </w:rPr>
        <w:t xml:space="preserve">, 15, and </w:t>
      </w:r>
      <w:r w:rsidRPr="00AC7E31">
        <w:rPr>
          <w:rFonts w:asciiTheme="majorBidi" w:eastAsia="Times New Roman" w:hAnsiTheme="majorBidi" w:cstheme="majorBidi"/>
          <w:b/>
          <w:sz w:val="24"/>
          <w:szCs w:val="24"/>
        </w:rPr>
        <w:t>W.A.</w:t>
      </w:r>
      <w:r w:rsidRPr="00AC7E31">
        <w:rPr>
          <w:rFonts w:asciiTheme="majorBidi" w:eastAsia="Times New Roman" w:hAnsiTheme="majorBidi" w:cstheme="majorBidi"/>
          <w:sz w:val="24"/>
          <w:szCs w:val="24"/>
        </w:rPr>
        <w:t xml:space="preserve">, 13, were killed along with their father, S.A., whereas their mother, S.A., was injured along with their younger sister, </w:t>
      </w:r>
      <w:r w:rsidRPr="00AC7E31">
        <w:rPr>
          <w:rFonts w:asciiTheme="majorBidi" w:eastAsia="Times New Roman" w:hAnsiTheme="majorBidi" w:cstheme="majorBidi"/>
          <w:b/>
          <w:sz w:val="24"/>
          <w:szCs w:val="24"/>
        </w:rPr>
        <w:t>D.A.</w:t>
      </w:r>
      <w:r w:rsidRPr="00AC7E31">
        <w:rPr>
          <w:rFonts w:asciiTheme="majorBidi" w:eastAsia="Times New Roman" w:hAnsiTheme="majorBidi" w:cstheme="majorBidi"/>
          <w:sz w:val="24"/>
          <w:szCs w:val="24"/>
        </w:rPr>
        <w:t>, 6, after Israeli warplanes bombed their house in Gaza city on 20 May 2024. In her testimony to PCHR, the mother, S.A., recalled:</w:t>
      </w:r>
    </w:p>
    <w:p w14:paraId="00000024" w14:textId="050B055F"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On Monday, 20 May 2024, while I was sleeping, I woke up to the sound of screams as a result of the [IOF] targeting the three upper floors, third, fourth and fifth, of our family’s house with a missile, which caused the targeted floors to be completely emptied, and caused complete destruction of the floors so that they could not be suitable for living. Suddenly, I heard my daughters screaming and I was under the rubble with a belt of concrete on my chest, and my daughters, S.A. and W.A., were under the rubble, and we were all sleeping in our room together. As for D.A. and her father, they had fallen from the third floor due to the intensity of the explosion into the corridor of the neighbours’ house. I was calling the girls and asking them not to be afraid and not to move from their place because I was afraid that if they moved, they would fall into the street like what happened with their father and their sister. Half an hour after the bombing, the ambulance arrived at the house, and they took the serious injuries from the building, as there were around 30 people or more in the building. There were five serious injuries, and six people were killed. Afterwards, another ambulance arrived and took those who sustained less serious injuries, which were 18. They recovered the bodies of my daughters, S.A. and W.A., from under the rubble, and it turned out that they had died. They were then able to pull up my daughter and my husband from the neighbours’ house corridor. When we arrived at the hospital, my daughter </w:t>
      </w:r>
      <w:r w:rsidRPr="00AC7E31">
        <w:rPr>
          <w:rFonts w:asciiTheme="majorBidi" w:eastAsia="Times New Roman" w:hAnsiTheme="majorBidi" w:cstheme="majorBidi"/>
          <w:sz w:val="24"/>
          <w:szCs w:val="24"/>
        </w:rPr>
        <w:lastRenderedPageBreak/>
        <w:t>D.A. was bleeding and they decided to amputate her left leg, but after the medical staff confirmed that the blood was reaching the foot, they decided to place platinum implants. My daughter continued to bleed for a long time, and I also suffered an injury to my head and chest, and had around 10 stitches in her head. After undergoing surgery, she suffered from another bleeding, and had to undergo a second operation. My husband suffered from bruises according to the doctors, but he succumbed to his wounds 10 days later and died.</w:t>
      </w:r>
    </w:p>
    <w:p w14:paraId="00000025" w14:textId="1967684C"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another instance, on 25 March 2024, the IOF aircraft bombed a house in the </w:t>
      </w:r>
      <w:proofErr w:type="spellStart"/>
      <w:r w:rsidRPr="00AC7E31">
        <w:rPr>
          <w:rFonts w:asciiTheme="majorBidi" w:eastAsia="Times New Roman" w:hAnsiTheme="majorBidi" w:cstheme="majorBidi"/>
          <w:sz w:val="24"/>
          <w:szCs w:val="24"/>
        </w:rPr>
        <w:t>Zawaida</w:t>
      </w:r>
      <w:proofErr w:type="spellEnd"/>
      <w:r w:rsidRPr="00AC7E31">
        <w:rPr>
          <w:rFonts w:asciiTheme="majorBidi" w:eastAsia="Times New Roman" w:hAnsiTheme="majorBidi" w:cstheme="majorBidi"/>
          <w:sz w:val="24"/>
          <w:szCs w:val="24"/>
        </w:rPr>
        <w:t xml:space="preserve"> area where I.A. was staying along with her children; </w:t>
      </w:r>
      <w:r w:rsidRPr="00AC7E31">
        <w:rPr>
          <w:rFonts w:asciiTheme="majorBidi" w:eastAsia="Times New Roman" w:hAnsiTheme="majorBidi" w:cstheme="majorBidi"/>
          <w:b/>
          <w:sz w:val="24"/>
          <w:szCs w:val="24"/>
        </w:rPr>
        <w:t>J.A.</w:t>
      </w:r>
      <w:r w:rsidRPr="00AC7E31">
        <w:rPr>
          <w:rFonts w:asciiTheme="majorBidi" w:eastAsia="Times New Roman" w:hAnsiTheme="majorBidi" w:cstheme="majorBidi"/>
          <w:sz w:val="24"/>
          <w:szCs w:val="24"/>
        </w:rPr>
        <w:t xml:space="preserve">, 10, </w:t>
      </w:r>
      <w:r w:rsidRPr="00AC7E31">
        <w:rPr>
          <w:rFonts w:asciiTheme="majorBidi" w:eastAsia="Times New Roman" w:hAnsiTheme="majorBidi" w:cstheme="majorBidi"/>
          <w:b/>
          <w:sz w:val="24"/>
          <w:szCs w:val="24"/>
        </w:rPr>
        <w:t>D.A.</w:t>
      </w:r>
      <w:r w:rsidRPr="00AC7E31">
        <w:rPr>
          <w:rFonts w:asciiTheme="majorBidi" w:eastAsia="Times New Roman" w:hAnsiTheme="majorBidi" w:cstheme="majorBidi"/>
          <w:sz w:val="24"/>
          <w:szCs w:val="24"/>
        </w:rPr>
        <w:t xml:space="preserve">, 8, </w:t>
      </w:r>
      <w:r w:rsidRPr="00AC7E31">
        <w:rPr>
          <w:rFonts w:asciiTheme="majorBidi" w:eastAsia="Times New Roman" w:hAnsiTheme="majorBidi" w:cstheme="majorBidi"/>
          <w:b/>
          <w:sz w:val="24"/>
          <w:szCs w:val="24"/>
        </w:rPr>
        <w:t>F.A.</w:t>
      </w:r>
      <w:r w:rsidRPr="00AC7E31">
        <w:rPr>
          <w:rFonts w:asciiTheme="majorBidi" w:eastAsia="Times New Roman" w:hAnsiTheme="majorBidi" w:cstheme="majorBidi"/>
          <w:sz w:val="24"/>
          <w:szCs w:val="24"/>
        </w:rPr>
        <w:t xml:space="preserve">, 5, and </w:t>
      </w:r>
      <w:r w:rsidRPr="00AC7E31">
        <w:rPr>
          <w:rFonts w:asciiTheme="majorBidi" w:eastAsia="Times New Roman" w:hAnsiTheme="majorBidi" w:cstheme="majorBidi"/>
          <w:b/>
          <w:sz w:val="24"/>
          <w:szCs w:val="24"/>
        </w:rPr>
        <w:t>S.A.</w:t>
      </w:r>
      <w:r w:rsidRPr="00AC7E31">
        <w:rPr>
          <w:rFonts w:asciiTheme="majorBidi" w:eastAsia="Times New Roman" w:hAnsiTheme="majorBidi" w:cstheme="majorBidi"/>
          <w:sz w:val="24"/>
          <w:szCs w:val="24"/>
        </w:rPr>
        <w:t>, 2, as well as their grandmother F.A. Recalling the attack, I.A. told PCHR, “When the Maghrib prayer time arrived, the house was bombed over our heads without any warning. I heard my daughters screaming, but all I could see was black dust; I couldn’t see anything and debris filled every corner. I turned on the flashlight on my phone to check on my children. I held my son S.A. tightly in my arms, terrified, and began searching for my daughters. I found F.A., who is 5 years old, under the debris. Then I searched for D.A. and found her wounded on the heel of her foot and was later given nine stitches. I continued calling for my daughter J.A. and searching for her, but there was no response. I went to the balcony of the house to look for her and found a body in pieces lying on the ground, I did not recognise her as her head was separated from her body, I knew her from her pants, her hands are amputated, her feet are amputated, her body is swollen, I searched for her head but I only found a few bones, I lost my daughter forever.”</w:t>
      </w:r>
    </w:p>
    <w:p w14:paraId="00000026" w14:textId="0415A967"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another documented attack, </w:t>
      </w:r>
      <w:r w:rsidRPr="00AC7E31">
        <w:rPr>
          <w:rFonts w:asciiTheme="majorBidi" w:eastAsia="Times New Roman" w:hAnsiTheme="majorBidi" w:cstheme="majorBidi"/>
          <w:b/>
          <w:sz w:val="24"/>
          <w:szCs w:val="24"/>
        </w:rPr>
        <w:t>M.A.</w:t>
      </w:r>
      <w:r w:rsidRPr="00AC7E31">
        <w:rPr>
          <w:rFonts w:asciiTheme="majorBidi" w:eastAsia="Times New Roman" w:hAnsiTheme="majorBidi" w:cstheme="majorBidi"/>
          <w:sz w:val="24"/>
          <w:szCs w:val="24"/>
        </w:rPr>
        <w:t xml:space="preserve">, 15, a resident of Khan Younis, was injured after an Israeli aircraft bombed his brother’s house in the western areas of Khan Younis on 30 November 2023. In his testimony to PCHR, he recounted: </w:t>
      </w:r>
    </w:p>
    <w:p w14:paraId="00000027"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 had a fracture in my left leg and injuries all over my body and face after an Israeli aircraft bombed my brother A.A.’s house in the western areas of Khan Younis, where I was helping my brother S.A., 32, to move some bedding and covers as he had been displaced with his family to our house in Khan Younis. We were moving our belongings from the two-storey house and heading outside, and I was riding my bicycle about 100 metres away. Then, I was surprised by the intense bombing of the house. I fell to the ground, with rubble, stones and reinforced concrete falling on me. I was in a semi-conscious state, with my face filled with injuries, blood, dirt, and dust, and I nearly suffocated from the smell of gunpowder. I was taken to the hospital, where I faced a new struggle with severe pain, a high number of injured people, and the war-time treatment policy prioritising critical cases, forcing me to wait for four days. After a quick examination, doctors decided that my condition was stable and no surgery was needed. My pain increased, my leg swelled, and I nearly died from the intense pain, unable to sleep.</w:t>
      </w:r>
    </w:p>
    <w:p w14:paraId="00000028" w14:textId="3BDB236F"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The next day, we returned to the hospital and requested another X-ray, which revealed a fracture that needed a platinum implant. I was discharged from the hospital due to overcrowding, and I faced difficulties travelling to the hospital for surgical changes and follow-up treatment, sometimes using a donkey cart and then walking the rest of the road or occasionally using crutches, which </w:t>
      </w:r>
      <w:r w:rsidRPr="00AC7E31">
        <w:rPr>
          <w:rFonts w:asciiTheme="majorBidi" w:eastAsia="Times New Roman" w:hAnsiTheme="majorBidi" w:cstheme="majorBidi"/>
          <w:sz w:val="24"/>
          <w:szCs w:val="24"/>
        </w:rPr>
        <w:lastRenderedPageBreak/>
        <w:t>was physically demanding. Sometimes, I found a car to transport me but that rarely happened.</w:t>
      </w:r>
    </w:p>
    <w:p w14:paraId="00000029" w14:textId="6F8F70AC"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another instance, </w:t>
      </w:r>
      <w:r w:rsidRPr="00AC7E31">
        <w:rPr>
          <w:rFonts w:asciiTheme="majorBidi" w:eastAsia="Times New Roman" w:hAnsiTheme="majorBidi" w:cstheme="majorBidi"/>
          <w:b/>
          <w:sz w:val="24"/>
          <w:szCs w:val="24"/>
        </w:rPr>
        <w:t>R.A.</w:t>
      </w:r>
      <w:r w:rsidRPr="00AC7E31">
        <w:rPr>
          <w:rFonts w:asciiTheme="majorBidi" w:eastAsia="Times New Roman" w:hAnsiTheme="majorBidi" w:cstheme="majorBidi"/>
          <w:sz w:val="24"/>
          <w:szCs w:val="24"/>
        </w:rPr>
        <w:t>, 16, a resident of Beit Hanoun in northern Gaza, was injured by Israeli gunfire while fleeing south with her family on 12 November 2023. Her injuries are compounded by suffering from hunger, displacement, and a loss of education. A top student who had achieved a 99.6% average in the 10th grade the previous year, she, too, has been severely impacted by the ongoing genocide. She told PCHR:</w:t>
      </w:r>
    </w:p>
    <w:p w14:paraId="0000002A"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 participated in many scientific competitions and won first place. I also received an IELTS English scholarship and was supposed to travel to the United States, but the war disrupted my plans.</w:t>
      </w:r>
    </w:p>
    <w:p w14:paraId="0000002B"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On 12 November 2023, at around 10:00 AM, we left the north in my father’s car until we reached street 10 near the Kuwaiti intersection, where we learned that car entry was prohibited. My father decided to leave it with a friend in the </w:t>
      </w:r>
      <w:proofErr w:type="spellStart"/>
      <w:r w:rsidRPr="00AC7E31">
        <w:rPr>
          <w:rFonts w:asciiTheme="majorBidi" w:eastAsia="Times New Roman" w:hAnsiTheme="majorBidi" w:cstheme="majorBidi"/>
          <w:sz w:val="24"/>
          <w:szCs w:val="24"/>
        </w:rPr>
        <w:t>Zaitoun</w:t>
      </w:r>
      <w:proofErr w:type="spellEnd"/>
      <w:r w:rsidRPr="00AC7E31">
        <w:rPr>
          <w:rFonts w:asciiTheme="majorBidi" w:eastAsia="Times New Roman" w:hAnsiTheme="majorBidi" w:cstheme="majorBidi"/>
          <w:sz w:val="24"/>
          <w:szCs w:val="24"/>
        </w:rPr>
        <w:t xml:space="preserve"> neighbourhood, and we continued on foot. The IOF had a checkpoint on Salah al-Din Street, with sand barriers. There was a huge number of soldiers, tanks and jeeps all along the street. There was a passage called “Al-</w:t>
      </w:r>
      <w:proofErr w:type="spellStart"/>
      <w:r w:rsidRPr="00AC7E31">
        <w:rPr>
          <w:rFonts w:asciiTheme="majorBidi" w:eastAsia="Times New Roman" w:hAnsiTheme="majorBidi" w:cstheme="majorBidi"/>
          <w:sz w:val="24"/>
          <w:szCs w:val="24"/>
        </w:rPr>
        <w:t>Halaba</w:t>
      </w:r>
      <w:proofErr w:type="spellEnd"/>
      <w:r w:rsidRPr="00AC7E31">
        <w:rPr>
          <w:rFonts w:asciiTheme="majorBidi" w:eastAsia="Times New Roman" w:hAnsiTheme="majorBidi" w:cstheme="majorBidi"/>
          <w:sz w:val="24"/>
          <w:szCs w:val="24"/>
        </w:rPr>
        <w:t>,” where everyone was asked to show their ID. My father passed first, followed by my mother, and then, me. After walking a few steps beyond Al-</w:t>
      </w:r>
      <w:proofErr w:type="spellStart"/>
      <w:r w:rsidRPr="00AC7E31">
        <w:rPr>
          <w:rFonts w:asciiTheme="majorBidi" w:eastAsia="Times New Roman" w:hAnsiTheme="majorBidi" w:cstheme="majorBidi"/>
          <w:sz w:val="24"/>
          <w:szCs w:val="24"/>
        </w:rPr>
        <w:t>Halaba</w:t>
      </w:r>
      <w:proofErr w:type="spellEnd"/>
      <w:r w:rsidRPr="00AC7E31">
        <w:rPr>
          <w:rFonts w:asciiTheme="majorBidi" w:eastAsia="Times New Roman" w:hAnsiTheme="majorBidi" w:cstheme="majorBidi"/>
          <w:sz w:val="24"/>
          <w:szCs w:val="24"/>
        </w:rPr>
        <w:t xml:space="preserve">, the IOF fired randomly and heavily. We stopped, fearing the intense shooting and looked around, and all the passers-by felt fear and confusion. </w:t>
      </w:r>
    </w:p>
    <w:p w14:paraId="0000002C"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 continued walking but felt dizzy and saw my foot bleeding.</w:t>
      </w:r>
      <w:r w:rsidRPr="00AC7E31">
        <w:rPr>
          <w:rFonts w:asciiTheme="majorBidi" w:eastAsia="Times New Roman" w:hAnsiTheme="majorBidi" w:cstheme="majorBidi"/>
          <w:b/>
          <w:sz w:val="24"/>
          <w:szCs w:val="24"/>
        </w:rPr>
        <w:t xml:space="preserve"> </w:t>
      </w:r>
      <w:r w:rsidRPr="00AC7E31">
        <w:rPr>
          <w:rFonts w:asciiTheme="majorBidi" w:eastAsia="Times New Roman" w:hAnsiTheme="majorBidi" w:cstheme="majorBidi"/>
          <w:sz w:val="24"/>
          <w:szCs w:val="24"/>
        </w:rPr>
        <w:t xml:space="preserve">I then collapsed and lost consciousness. I woke up to find myself lying on the ground surrounded by soldiers, with two Palestinians trying to help me and bandage my foot. My father was nearby. They then handed me over to my father, and I could not walk, so he carried me. </w:t>
      </w:r>
    </w:p>
    <w:p w14:paraId="0000002D"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After a short distance, a donkey cart transported me and my family to Al-Aqsa Martyrs Hospital. There was no available space due to the large number of martyrs and wounded, so I was placed in the hospital corridor.</w:t>
      </w:r>
    </w:p>
    <w:p w14:paraId="0000002E" w14:textId="0A6D95F3"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After examination, we learned that I had two bullet wounds: one in my right foot, causing a deep wound, and another in my left foot, with remaining shrapnel. I needed surgery but was delayed due to more critical cases.</w:t>
      </w:r>
    </w:p>
    <w:p w14:paraId="0000002F" w14:textId="319D3878"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Moreover, Israel employs starvation as a method of warfare,</w:t>
      </w:r>
      <w:r w:rsidRPr="00AC7E31">
        <w:rPr>
          <w:rFonts w:asciiTheme="majorBidi" w:hAnsiTheme="majorBidi" w:cstheme="majorBidi"/>
          <w:sz w:val="24"/>
          <w:szCs w:val="24"/>
          <w:vertAlign w:val="superscript"/>
        </w:rPr>
        <w:footnoteReference w:id="10"/>
      </w:r>
      <w:r w:rsidRPr="00AC7E31">
        <w:rPr>
          <w:rFonts w:asciiTheme="majorBidi" w:eastAsia="Times New Roman" w:hAnsiTheme="majorBidi" w:cstheme="majorBidi"/>
          <w:sz w:val="24"/>
          <w:szCs w:val="24"/>
        </w:rPr>
        <w:t xml:space="preserve"> subjecting 2.3 million Gaza residents to formidable daily obstacles in obtaining essential food and water.</w:t>
      </w:r>
      <w:r w:rsidRPr="00AC7E31">
        <w:rPr>
          <w:rFonts w:asciiTheme="majorBidi" w:hAnsiTheme="majorBidi" w:cstheme="majorBidi"/>
          <w:sz w:val="24"/>
          <w:szCs w:val="24"/>
          <w:vertAlign w:val="superscript"/>
        </w:rPr>
        <w:footnoteReference w:id="11"/>
      </w:r>
      <w:r w:rsidRPr="00AC7E31">
        <w:rPr>
          <w:rFonts w:asciiTheme="majorBidi" w:eastAsia="Times New Roman" w:hAnsiTheme="majorBidi" w:cstheme="majorBidi"/>
          <w:sz w:val="24"/>
          <w:szCs w:val="24"/>
        </w:rPr>
        <w:t xml:space="preserve"> Similar to the broader population of displaced individuals in Gaza, children and women grapple with acute hunger caused by an extreme shortage of food resources. This hardship is especially severe for children and newborns as well as pregnant and lactating mothers, the majority of whom, at best, manage to consume just one meal per </w:t>
      </w:r>
      <w:r w:rsidRPr="00AC7E31">
        <w:rPr>
          <w:rFonts w:asciiTheme="majorBidi" w:eastAsia="Times New Roman" w:hAnsiTheme="majorBidi" w:cstheme="majorBidi"/>
          <w:sz w:val="24"/>
          <w:szCs w:val="24"/>
        </w:rPr>
        <w:lastRenderedPageBreak/>
        <w:t>day.</w:t>
      </w:r>
      <w:r w:rsidRPr="00AC7E31">
        <w:rPr>
          <w:rFonts w:asciiTheme="majorBidi" w:hAnsiTheme="majorBidi" w:cstheme="majorBidi"/>
          <w:sz w:val="24"/>
          <w:szCs w:val="24"/>
          <w:vertAlign w:val="superscript"/>
        </w:rPr>
        <w:footnoteReference w:id="12"/>
      </w:r>
      <w:r w:rsidRPr="00AC7E31">
        <w:rPr>
          <w:rFonts w:asciiTheme="majorBidi" w:eastAsia="Times New Roman" w:hAnsiTheme="majorBidi" w:cstheme="majorBidi"/>
          <w:sz w:val="24"/>
          <w:szCs w:val="24"/>
        </w:rPr>
        <w:t xml:space="preserve"> Critically, since 7 October 2023, miscarriages have gone up by 300%.</w:t>
      </w:r>
      <w:r w:rsidRPr="00AC7E31">
        <w:rPr>
          <w:rFonts w:asciiTheme="majorBidi" w:hAnsiTheme="majorBidi" w:cstheme="majorBidi"/>
          <w:sz w:val="24"/>
          <w:szCs w:val="24"/>
          <w:vertAlign w:val="superscript"/>
        </w:rPr>
        <w:footnoteReference w:id="13"/>
      </w:r>
      <w:r w:rsidRPr="00AC7E31">
        <w:rPr>
          <w:rFonts w:asciiTheme="majorBidi" w:eastAsia="Times New Roman" w:hAnsiTheme="majorBidi" w:cstheme="majorBidi"/>
          <w:sz w:val="24"/>
          <w:szCs w:val="24"/>
        </w:rPr>
        <w:t xml:space="preserve"> Moreover, challenges faced by children and pregnant women in Gaza are exacerbated by the healthcare system’s collapse, leading to a severe dearth of medical attention and formidable obstacles in reaching hospitals. </w:t>
      </w:r>
    </w:p>
    <w:p w14:paraId="00000030" w14:textId="79D57AEE"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New-borns are also deprived of crucial vaccinations due to their unavailability in Gaza. Additionally, pregnant and lactating mothers confront a critical shortage of the nutritious and healthy diet necessary for their well-being. Disturbingly, an estimated 155,000 women in Gaza are either pregnant or lactating, with 135,000 babies under the age of two, magnifying the urgency of addressing these pressing healthcare challenges.</w:t>
      </w:r>
      <w:r w:rsidRPr="00AC7E31">
        <w:rPr>
          <w:rFonts w:asciiTheme="majorBidi" w:hAnsiTheme="majorBidi" w:cstheme="majorBidi"/>
          <w:sz w:val="24"/>
          <w:szCs w:val="24"/>
          <w:vertAlign w:val="superscript"/>
        </w:rPr>
        <w:footnoteReference w:id="14"/>
      </w:r>
    </w:p>
    <w:p w14:paraId="00000031" w14:textId="69C09B80"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According to the World Health Organization, as of 3 May 2024, “only 33% of Gaza’s 36 hospitals and 30% of primary health care centres are functional in some capacity amid repeated attacks”.</w:t>
      </w:r>
      <w:r w:rsidRPr="00AC7E31">
        <w:rPr>
          <w:rFonts w:asciiTheme="majorBidi" w:hAnsiTheme="majorBidi" w:cstheme="majorBidi"/>
          <w:sz w:val="24"/>
          <w:szCs w:val="24"/>
          <w:vertAlign w:val="superscript"/>
        </w:rPr>
        <w:footnoteReference w:id="15"/>
      </w:r>
      <w:r w:rsidRPr="00AC7E31">
        <w:rPr>
          <w:rFonts w:asciiTheme="majorBidi" w:eastAsia="Times New Roman" w:hAnsiTheme="majorBidi" w:cstheme="majorBidi"/>
          <w:sz w:val="24"/>
          <w:szCs w:val="24"/>
        </w:rPr>
        <w:t xml:space="preserve"> These facilities lack the essential specialised medical personnel required to handle the extensive array of injuries. Additionally, there is an acute shortage of medicines, medical supplies, fuel, clean water, and even basic sustenance for both patients and staff, intensifying the already dire healthcare crisis.</w:t>
      </w:r>
    </w:p>
    <w:p w14:paraId="00000032" w14:textId="280CCD19"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On 2 August 2024, </w:t>
      </w:r>
      <w:proofErr w:type="spellStart"/>
      <w:r w:rsidRPr="00AC7E31">
        <w:rPr>
          <w:rFonts w:asciiTheme="majorBidi" w:eastAsia="Times New Roman" w:hAnsiTheme="majorBidi" w:cstheme="majorBidi"/>
          <w:sz w:val="24"/>
          <w:szCs w:val="24"/>
        </w:rPr>
        <w:t>Dr.</w:t>
      </w:r>
      <w:proofErr w:type="spellEnd"/>
      <w:r w:rsidRPr="00AC7E31">
        <w:rPr>
          <w:rFonts w:asciiTheme="majorBidi" w:eastAsia="Times New Roman" w:hAnsiTheme="majorBidi" w:cstheme="majorBidi"/>
          <w:sz w:val="24"/>
          <w:szCs w:val="24"/>
        </w:rPr>
        <w:t xml:space="preserve"> </w:t>
      </w:r>
      <w:proofErr w:type="spellStart"/>
      <w:r w:rsidRPr="00AC7E31">
        <w:rPr>
          <w:rFonts w:asciiTheme="majorBidi" w:eastAsia="Times New Roman" w:hAnsiTheme="majorBidi" w:cstheme="majorBidi"/>
          <w:sz w:val="24"/>
          <w:szCs w:val="24"/>
        </w:rPr>
        <w:t>Saja</w:t>
      </w:r>
      <w:proofErr w:type="spellEnd"/>
      <w:r w:rsidRPr="00AC7E31">
        <w:rPr>
          <w:rFonts w:asciiTheme="majorBidi" w:eastAsia="Times New Roman" w:hAnsiTheme="majorBidi" w:cstheme="majorBidi"/>
          <w:sz w:val="24"/>
          <w:szCs w:val="24"/>
        </w:rPr>
        <w:t xml:space="preserve"> Abu </w:t>
      </w:r>
      <w:proofErr w:type="spellStart"/>
      <w:r w:rsidRPr="00AC7E31">
        <w:rPr>
          <w:rFonts w:asciiTheme="majorBidi" w:eastAsia="Times New Roman" w:hAnsiTheme="majorBidi" w:cstheme="majorBidi"/>
          <w:sz w:val="24"/>
          <w:szCs w:val="24"/>
        </w:rPr>
        <w:t>Sa’da</w:t>
      </w:r>
      <w:proofErr w:type="spellEnd"/>
      <w:r w:rsidRPr="00AC7E31">
        <w:rPr>
          <w:rFonts w:asciiTheme="majorBidi" w:eastAsia="Times New Roman" w:hAnsiTheme="majorBidi" w:cstheme="majorBidi"/>
          <w:sz w:val="24"/>
          <w:szCs w:val="24"/>
        </w:rPr>
        <w:t xml:space="preserve">, who was works as a paediatrician at Kamal Adwan Hospital, told PCHR’s field researcher: </w:t>
      </w:r>
    </w:p>
    <w:p w14:paraId="00000033"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 have been on duty since the start of the Israeli aggression on Gaza. We are experiencing a major humanitarian disaster in northern Gaza due to the ongoing Israeli siege. We have observed the spread of fatal skin diseases among children, as well as infectious diseases such as hepatitis, intestinal worms, and skin rashes, which is a bacterial skin infection. These conditions are widespread among children, especially those aged six months to five years, which is a particularly vulnerable group due to their very weak immune systems. The immune weakness is a result of severe malnutrition caused by the lack of food, vegetables, meat, fruits, and nutritional supplements for children. Thus, children are at high risk of severe dehydration and potential death. </w:t>
      </w:r>
    </w:p>
    <w:p w14:paraId="00000034"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color w:val="222222"/>
          <w:sz w:val="24"/>
          <w:szCs w:val="24"/>
          <w:highlight w:val="white"/>
        </w:rPr>
      </w:pPr>
      <w:r w:rsidRPr="00AC7E31">
        <w:rPr>
          <w:rFonts w:asciiTheme="majorBidi" w:eastAsia="Times New Roman" w:hAnsiTheme="majorBidi" w:cstheme="majorBidi"/>
          <w:color w:val="222222"/>
          <w:sz w:val="24"/>
          <w:szCs w:val="24"/>
          <w:highlight w:val="white"/>
        </w:rPr>
        <w:t>Additionally, there is a significant shortage of medicines and routine vaccinations for children. Kamal Adwan Hospital is currently the only children’s hospital in northern Gaza and is not operating at full capacity due to a lack of necessary medical equipment and a shortage of specialised doctors. This situation is directly caused by the ongoing Israeli blockade of northern Gaza.</w:t>
      </w:r>
    </w:p>
    <w:p w14:paraId="00000035"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color w:val="222222"/>
          <w:sz w:val="24"/>
          <w:szCs w:val="24"/>
          <w:highlight w:val="white"/>
        </w:rPr>
      </w:pPr>
      <w:r w:rsidRPr="00AC7E31">
        <w:rPr>
          <w:rFonts w:asciiTheme="majorBidi" w:eastAsia="Times New Roman" w:hAnsiTheme="majorBidi" w:cstheme="majorBidi"/>
          <w:sz w:val="24"/>
          <w:szCs w:val="24"/>
        </w:rPr>
        <w:lastRenderedPageBreak/>
        <w:t>As healthcare staff, we severely suffer due to the continuous Israeli war and blockade on northern Gaza. We face shortages of food and essential supplies for our hospital staff, as well as a lack of medicines and vaccinations for children. The spread of infectious diseases, the absence of vaccines and treatments to deal with epidemics, and the pollution of drinking water and sewage in the streets and within shelter centres all contribute to the crisis.</w:t>
      </w:r>
    </w:p>
    <w:p w14:paraId="00000036"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color w:val="222222"/>
          <w:sz w:val="24"/>
          <w:szCs w:val="24"/>
          <w:highlight w:val="white"/>
        </w:rPr>
      </w:pPr>
      <w:r w:rsidRPr="00AC7E31">
        <w:rPr>
          <w:rFonts w:asciiTheme="majorBidi" w:eastAsia="Times New Roman" w:hAnsiTheme="majorBidi" w:cstheme="majorBidi"/>
          <w:color w:val="222222"/>
          <w:sz w:val="24"/>
          <w:szCs w:val="24"/>
          <w:highlight w:val="white"/>
        </w:rPr>
        <w:t xml:space="preserve">On a personal level, I have been displaced multiple times during the war to shelter centres and have witnessed the unsanitary and dangerous conditions for the displaced, as well as the severe spread of diseases. On 10 December 2023, while displaced with my family and father at the UN clinic in Jabalia Refugee Camp, we were subjected to intense Israeli bombardment directly targeting the displaced. My father, Salah Mohamed Mustafa Abu </w:t>
      </w:r>
      <w:proofErr w:type="spellStart"/>
      <w:r w:rsidRPr="00AC7E31">
        <w:rPr>
          <w:rFonts w:asciiTheme="majorBidi" w:eastAsia="Times New Roman" w:hAnsiTheme="majorBidi" w:cstheme="majorBidi"/>
          <w:color w:val="222222"/>
          <w:sz w:val="24"/>
          <w:szCs w:val="24"/>
          <w:highlight w:val="white"/>
        </w:rPr>
        <w:t>Sa’da</w:t>
      </w:r>
      <w:proofErr w:type="spellEnd"/>
      <w:r w:rsidRPr="00AC7E31">
        <w:rPr>
          <w:rFonts w:asciiTheme="majorBidi" w:eastAsia="Times New Roman" w:hAnsiTheme="majorBidi" w:cstheme="majorBidi"/>
          <w:color w:val="222222"/>
          <w:sz w:val="24"/>
          <w:szCs w:val="24"/>
          <w:highlight w:val="white"/>
        </w:rPr>
        <w:t>, 58, was injured in the head from the bombing. At that time, no hospitals were working due to direct attacks by the IOF, and they were all out of service. My father suffered from internal bleeding in the head and a skull fracture and passed away ten days later due to the deterioration of his condition and our inability to provide necessary medical treatment.</w:t>
      </w:r>
    </w:p>
    <w:p w14:paraId="00000037"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b/>
          <w:sz w:val="24"/>
          <w:szCs w:val="24"/>
          <w:u w:val="single"/>
        </w:rPr>
      </w:pPr>
      <w:r w:rsidRPr="00AC7E31">
        <w:rPr>
          <w:rFonts w:asciiTheme="majorBidi" w:eastAsia="Times New Roman" w:hAnsiTheme="majorBidi" w:cstheme="majorBidi"/>
          <w:color w:val="222222"/>
          <w:sz w:val="24"/>
          <w:szCs w:val="24"/>
          <w:highlight w:val="white"/>
        </w:rPr>
        <w:t>As healthcare professionals and hospitals, we are facing a complete lack of resources, equipment, and specialised doctors. We are currently dealing with a severe humanitarian disaster with the spread of fatal diseases among children, and we lack the medical resources to address this grave crisis.</w:t>
      </w:r>
    </w:p>
    <w:p w14:paraId="00000038" w14:textId="724F14ED"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Moreover, during the ongoing genocide on the Gaza Strip, the IOF have repeatedly killed entire families, including parents and children, and in some cases, all family members were killed, and a single child remained alive, suffering the bitterness of oppression alone. According to UNICEF, at least 17,000 children are unaccompanied or separated from their parents, leaving them in a state of severe vulnerability.</w:t>
      </w:r>
      <w:r w:rsidRPr="00AC7E31">
        <w:rPr>
          <w:rFonts w:asciiTheme="majorBidi" w:hAnsiTheme="majorBidi" w:cstheme="majorBidi"/>
          <w:sz w:val="24"/>
          <w:szCs w:val="24"/>
          <w:vertAlign w:val="superscript"/>
        </w:rPr>
        <w:footnoteReference w:id="16"/>
      </w:r>
      <w:r w:rsidRPr="00AC7E31">
        <w:rPr>
          <w:rFonts w:asciiTheme="majorBidi" w:eastAsia="Times New Roman" w:hAnsiTheme="majorBidi" w:cstheme="majorBidi"/>
          <w:sz w:val="24"/>
          <w:szCs w:val="24"/>
        </w:rPr>
        <w:t xml:space="preserve"> These children find themselves without protection or support from their families, exposing them to various risks, including violence and deprivation of basic needs. In these harsh conditions, they face significant challenges and live in an environment that exacerbates feelings of fear and psychological distress.</w:t>
      </w:r>
    </w:p>
    <w:p w14:paraId="00000039" w14:textId="6DCCFE14"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For example, 17-year-old </w:t>
      </w:r>
      <w:r w:rsidRPr="00AC7E31">
        <w:rPr>
          <w:rFonts w:asciiTheme="majorBidi" w:eastAsia="Times New Roman" w:hAnsiTheme="majorBidi" w:cstheme="majorBidi"/>
          <w:b/>
          <w:sz w:val="24"/>
          <w:szCs w:val="24"/>
        </w:rPr>
        <w:t>A.A.</w:t>
      </w:r>
      <w:r w:rsidRPr="00AC7E31">
        <w:rPr>
          <w:rFonts w:asciiTheme="majorBidi" w:eastAsia="Times New Roman" w:hAnsiTheme="majorBidi" w:cstheme="majorBidi"/>
          <w:sz w:val="24"/>
          <w:szCs w:val="24"/>
        </w:rPr>
        <w:t xml:space="preserve"> is the sole survivor of his family, which consists of his parents and four siblings. A.A. survived the attack but sustained serious injuries. To this date, he was unable to travel abroad to complete his treatment due to the Israeli restrictions and ongoing genocide. He has difficulties walking normally due to his injuries. In his testimony to PCHR, he said:</w:t>
      </w:r>
    </w:p>
    <w:p w14:paraId="0000003A"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When I woke up and found myself in Nasser Hospital in Khan Younis, it was Tuesday afternoon, 24 October 2023, and it was then that I learned that our house was directly bombed by the [IOF], moments after I fell asleep at dawn. I realised that I am not able to move due to my bad health condition and that my face as well as my two hands were burned. I also realised that the doctors placed platinum implants with an external device in both of my legs. I also received the news that the bombing completely destroyed our house and led </w:t>
      </w:r>
      <w:r w:rsidRPr="00AC7E31">
        <w:rPr>
          <w:rFonts w:asciiTheme="majorBidi" w:eastAsia="Times New Roman" w:hAnsiTheme="majorBidi" w:cstheme="majorBidi"/>
          <w:sz w:val="24"/>
          <w:szCs w:val="24"/>
        </w:rPr>
        <w:lastRenderedPageBreak/>
        <w:t xml:space="preserve">to the killing of my family members: my father, [name omitted], my mother, and all of my siblings. The doctors informed me that I was supposed to be transferred abroad for treatment because the fractures in my legs needed advanced treatment, and so </w:t>
      </w:r>
      <w:proofErr w:type="gramStart"/>
      <w:r w:rsidRPr="00AC7E31">
        <w:rPr>
          <w:rFonts w:asciiTheme="majorBidi" w:eastAsia="Times New Roman" w:hAnsiTheme="majorBidi" w:cstheme="majorBidi"/>
          <w:sz w:val="24"/>
          <w:szCs w:val="24"/>
        </w:rPr>
        <w:t>far</w:t>
      </w:r>
      <w:proofErr w:type="gramEnd"/>
      <w:r w:rsidRPr="00AC7E31">
        <w:rPr>
          <w:rFonts w:asciiTheme="majorBidi" w:eastAsia="Times New Roman" w:hAnsiTheme="majorBidi" w:cstheme="majorBidi"/>
          <w:sz w:val="24"/>
          <w:szCs w:val="24"/>
        </w:rPr>
        <w:t xml:space="preserve"> there is nothing new in that regard. I was discharged from the hospital a few days after I was injured due to the large number of injured people coming to the hospital, and I was informed that when my name appears on the list for those allowed to travel, I would be informed. However, this has not happened yet.</w:t>
      </w:r>
    </w:p>
    <w:p w14:paraId="0000003B" w14:textId="79B642DA"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 was a high school student who had just started studying [as the academic year started one month before the start of the ongoing genocide], and had hoped to excel in my studies. However, everything was destroyed—my books and notebooks were torn apart and scattered after the house was bombed. I can no longer think or concentrate after my injury and the loss of my entire family, as I was the sole survivor. To this day, I suffer from the injury and repeated displacement, living with my grandfather’s family in the Mawasi area under difficult conditions. The war has destroyed all our dreams and hopes.</w:t>
      </w:r>
    </w:p>
    <w:p w14:paraId="0000003C" w14:textId="2785A963"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Similarly, 12-year-old </w:t>
      </w:r>
      <w:r w:rsidRPr="00AC7E31">
        <w:rPr>
          <w:rFonts w:asciiTheme="majorBidi" w:eastAsia="Times New Roman" w:hAnsiTheme="majorBidi" w:cstheme="majorBidi"/>
          <w:b/>
          <w:sz w:val="24"/>
          <w:szCs w:val="24"/>
        </w:rPr>
        <w:t>S.A.</w:t>
      </w:r>
      <w:r w:rsidRPr="00AC7E31">
        <w:rPr>
          <w:rFonts w:asciiTheme="majorBidi" w:eastAsia="Times New Roman" w:hAnsiTheme="majorBidi" w:cstheme="majorBidi"/>
          <w:sz w:val="24"/>
          <w:szCs w:val="24"/>
        </w:rPr>
        <w:t>, told PCHR</w:t>
      </w:r>
      <w:r w:rsidR="00AC7E31" w:rsidRPr="00AC7E31">
        <w:rPr>
          <w:rFonts w:asciiTheme="majorBidi" w:eastAsia="Times New Roman" w:hAnsiTheme="majorBidi" w:cstheme="majorBidi"/>
          <w:sz w:val="24"/>
          <w:szCs w:val="24"/>
        </w:rPr>
        <w:t>:</w:t>
      </w:r>
      <w:r w:rsidRPr="00AC7E31">
        <w:rPr>
          <w:rFonts w:asciiTheme="majorBidi" w:eastAsia="Times New Roman" w:hAnsiTheme="majorBidi" w:cstheme="majorBidi"/>
          <w:sz w:val="24"/>
          <w:szCs w:val="24"/>
        </w:rPr>
        <w:t xml:space="preserve"> </w:t>
      </w:r>
    </w:p>
    <w:p w14:paraId="0000003D"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 was born seven years after my parents’ marriage through vitro fertilisation, and seven years later, they were blessed with my sister Sarah through the same procedure.</w:t>
      </w:r>
    </w:p>
    <w:p w14:paraId="0000003E"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On 20 December 2023, at around 7 PM, I was playing with two cousins on the second floor of our building in Khan Younis - Al-Fukhari area, across from the European Hospital. Suddenly, and without any warning, the place was filled with dust, darkness, and the suffocating smell of gunpowder. At first, I thought the electricity had gone out. As I started walking, I quickly realised that the walls around me were no longer there. I then realised that what had happened was an airstrike. I couldn’t see anything due to the dust, only the lights from mobile phones around me. Two people carried me to the hospital, and I felt that I had lost my family, but I told myself that it couldn’t be true. No one told me the truth until the next day when I learned that I had lost my mother, father, and sister, along with 26 other family members who had fled to our building. I broke down in tears and couldn’t believe it.</w:t>
      </w:r>
    </w:p>
    <w:p w14:paraId="0000003F"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Two days after the incident, I learned that my mother was still alive but in intensive care and due to severe burns on her face, they could not identify her. I visited her several times, but she could only utter a few words. On 29 December 2023, my mother passed away, joining the rest of my family. I couldn’t cry due to the shock.</w:t>
      </w:r>
    </w:p>
    <w:p w14:paraId="00000040" w14:textId="5878453F"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My uncle in Turkey tried to get me out of Gaza to Egypt to ensure my safety and then transfer me to Turkey. Today, I am in Egypt without a legal guardian, and it is difficult to travel without official documents and a guardian. I am in shock and cannot express my grief. I need someone to take care of me as my parents did.</w:t>
      </w:r>
    </w:p>
    <w:p w14:paraId="00000041" w14:textId="4009B687"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lastRenderedPageBreak/>
        <w:t xml:space="preserve">In light of the above, we urge the Committee to call upon Israel to cease the ongoing genocide against Palestinians in Gaza and to immediately open all crossings with Gaza, including Rafah crossing, and allow patients, including children, to receive treatment abroad and allow the entry of humanitarian aid and medical supplies into Gaza. Moreover, we urge the Committee to call on Israel to stop the </w:t>
      </w:r>
      <w:r w:rsidR="00AC7E31" w:rsidRPr="00AC7E31">
        <w:rPr>
          <w:rFonts w:asciiTheme="majorBidi" w:eastAsia="Times New Roman" w:hAnsiTheme="majorBidi" w:cstheme="majorBidi"/>
          <w:b/>
          <w:sz w:val="24"/>
          <w:szCs w:val="24"/>
        </w:rPr>
        <w:t>weaponization</w:t>
      </w:r>
      <w:r w:rsidRPr="00AC7E31">
        <w:rPr>
          <w:rFonts w:asciiTheme="majorBidi" w:eastAsia="Times New Roman" w:hAnsiTheme="majorBidi" w:cstheme="majorBidi"/>
          <w:b/>
          <w:sz w:val="24"/>
          <w:szCs w:val="24"/>
        </w:rPr>
        <w:t xml:space="preserve"> of starvation as a tool for genocide and forcible displacement in the Gaza Strip. </w:t>
      </w:r>
    </w:p>
    <w:p w14:paraId="00000042" w14:textId="77777777" w:rsidR="00553FDC" w:rsidRPr="00AC7E31" w:rsidRDefault="003E471C" w:rsidP="00AC7E31">
      <w:pPr>
        <w:numPr>
          <w:ilvl w:val="0"/>
          <w:numId w:val="3"/>
        </w:numPr>
        <w:spacing w:before="240" w:after="240" w:line="240" w:lineRule="auto"/>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The Human Rights Situation of Palestinian Children in the West Bank, including Eastern Jerusalem </w:t>
      </w:r>
    </w:p>
    <w:p w14:paraId="00000043" w14:textId="1DD4B1DB"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In our joint report to the Committee for Israel’s List of Issues,</w:t>
      </w:r>
      <w:r w:rsidRPr="00AC7E31">
        <w:rPr>
          <w:rFonts w:asciiTheme="majorBidi" w:hAnsiTheme="majorBidi" w:cstheme="majorBidi"/>
          <w:sz w:val="24"/>
          <w:szCs w:val="24"/>
          <w:vertAlign w:val="superscript"/>
        </w:rPr>
        <w:footnoteReference w:id="17"/>
      </w:r>
      <w:r w:rsidRPr="00AC7E31">
        <w:rPr>
          <w:rFonts w:asciiTheme="majorBidi" w:eastAsia="Times New Roman" w:hAnsiTheme="majorBidi" w:cstheme="majorBidi"/>
          <w:sz w:val="24"/>
          <w:szCs w:val="24"/>
        </w:rPr>
        <w:t xml:space="preserve"> we highlighted Israel’s systematic resort to its excessive use of force, including lethal force and its shoot-to-kill policy against Palestinians, including against Palestinian children. Al-Haq’s documentation of the number of Palestinians killed in the West Bank, including eastern Jerusalem, by the IOF and Israeli settlers between 1 August 2022 and 10 August 2024 amounts to 861 Palestinians, including 197 children. Since the start of Israel’s genocide in Gaza, Israel has simultaneously escalated its oppression of Palestinians elsewhere in historic Palestine, including its employment of systematic use of excessive force, including lethal force in the occupied West Bank, including the eastern part of Jerusalem. This has, as of 10 August 2024, culminated in the killing of 605 Palestinians, including 143 children, by the IOF and Israeli settlers, according to Al-Haq’s documentation. </w:t>
      </w:r>
    </w:p>
    <w:p w14:paraId="00000044" w14:textId="04AF538A"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According to Al-Haq’s documentation, out of the 197 Palestinian children killed, the majority, 86 percent, were killed by live ammunition, whereas 13 percent were killed by drones or missiles, and the remaining one percent were killed by other means, including stabbing and being run over. Of those killed by live ammunition, at least 79 percent were shot in the upper part of their bodies, and at least 9 percent sustained injuries across their entire bodies, reflecting Israel’s shoot-to-kill policy. For the remaining 12 percent who were killed by live ammunition, the specific locations of their injuries could not be verified by Al-Haq. </w:t>
      </w:r>
    </w:p>
    <w:p w14:paraId="00000045" w14:textId="5D343A7A"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Moreover, the IOF systematically fails to provide medical attention to injured Palestinians and routinely hinders and obstructs the access of Palestinian ambulances. Al-Haq documented that in approximately a quarter of the 197 killings of Palestinian children, the access and work of Palestinian ambulances and paramedics was obstructed by the IOF.</w:t>
      </w:r>
    </w:p>
    <w:p w14:paraId="00000046" w14:textId="6C9ACBE6"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As such, we urge the Committee to call on Israel to cease its systematic shoot-to-kill policy against Palestinians, including children, and its obstruction and hindrance of the work and access of ambulances and medical assistance, and to bring its rules of engagement for the use of live fire in line with international law. </w:t>
      </w:r>
      <w:r w:rsidRPr="00AC7E31">
        <w:rPr>
          <w:rFonts w:asciiTheme="majorBidi" w:eastAsia="Times New Roman" w:hAnsiTheme="majorBidi" w:cstheme="majorBidi"/>
          <w:sz w:val="24"/>
          <w:szCs w:val="24"/>
        </w:rPr>
        <w:t xml:space="preserve">We stress that the increased excessive use of force policy against Palestinians has been able to continue on the expense of the lives and rights of Palestinian given Israel’s institutionalised impunity, which systematically shields Israeli perpetrators from accountability. </w:t>
      </w:r>
      <w:r w:rsidRPr="00AC7E31">
        <w:rPr>
          <w:rFonts w:asciiTheme="majorBidi" w:eastAsia="Times New Roman" w:hAnsiTheme="majorBidi" w:cstheme="majorBidi"/>
          <w:b/>
          <w:sz w:val="24"/>
          <w:szCs w:val="24"/>
        </w:rPr>
        <w:t xml:space="preserve">As such, we urge you to recognise Israeli judicial mechanisms as </w:t>
      </w:r>
      <w:r w:rsidRPr="00AC7E31">
        <w:rPr>
          <w:rFonts w:asciiTheme="majorBidi" w:eastAsia="Times New Roman" w:hAnsiTheme="majorBidi" w:cstheme="majorBidi"/>
          <w:b/>
          <w:sz w:val="24"/>
          <w:szCs w:val="24"/>
        </w:rPr>
        <w:lastRenderedPageBreak/>
        <w:t xml:space="preserve">unwilling to genuinely prosecute international crimes committed against Palestinians and to call for international accountability for Palestinians, including at the International Criminal Court. </w:t>
      </w:r>
    </w:p>
    <w:p w14:paraId="00000047" w14:textId="59E4487A"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Crucially, beyond the immediate aftermath of extrajudicial killings, Israel’s policies extend to the desecration of Palestinian bodies. Over the years, Al-Haq has documented the mutilation of Palestinians by the IOF, including by slamming, picking up, and dragging Palestinians by bulldozers,</w:t>
      </w:r>
      <w:r w:rsidRPr="00AC7E31">
        <w:rPr>
          <w:rFonts w:asciiTheme="majorBidi" w:hAnsiTheme="majorBidi" w:cstheme="majorBidi"/>
          <w:sz w:val="24"/>
          <w:szCs w:val="24"/>
          <w:vertAlign w:val="superscript"/>
        </w:rPr>
        <w:footnoteReference w:id="18"/>
      </w:r>
      <w:r w:rsidRPr="00AC7E31">
        <w:rPr>
          <w:rFonts w:asciiTheme="majorBidi" w:eastAsia="Times New Roman" w:hAnsiTheme="majorBidi" w:cstheme="majorBidi"/>
          <w:sz w:val="24"/>
          <w:szCs w:val="24"/>
        </w:rPr>
        <w:t xml:space="preserve"> and running over Palestinians.</w:t>
      </w:r>
      <w:r w:rsidRPr="00AC7E31">
        <w:rPr>
          <w:rFonts w:asciiTheme="majorBidi" w:hAnsiTheme="majorBidi" w:cstheme="majorBidi"/>
          <w:sz w:val="24"/>
          <w:szCs w:val="24"/>
          <w:vertAlign w:val="superscript"/>
        </w:rPr>
        <w:footnoteReference w:id="19"/>
      </w:r>
      <w:r w:rsidRPr="00AC7E31">
        <w:rPr>
          <w:rFonts w:asciiTheme="majorBidi" w:eastAsia="Times New Roman" w:hAnsiTheme="majorBidi" w:cstheme="majorBidi"/>
          <w:sz w:val="24"/>
          <w:szCs w:val="24"/>
        </w:rPr>
        <w:t xml:space="preserve"> For example, during a vicious military raid on Jenin city, including Jenin Refugee Camp, on 26 January 2023, in around three hours, the IOF killed 10 Palestinians, including two children and one woman. In one of these killings, whereby the IOF shot a 16-year-old Palestinian child, </w:t>
      </w:r>
      <w:r w:rsidRPr="00AC7E31">
        <w:rPr>
          <w:rFonts w:asciiTheme="majorBidi" w:eastAsia="Times New Roman" w:hAnsiTheme="majorBidi" w:cstheme="majorBidi"/>
          <w:b/>
          <w:sz w:val="24"/>
          <w:szCs w:val="24"/>
        </w:rPr>
        <w:t>W.A.</w:t>
      </w:r>
      <w:r w:rsidRPr="00AC7E31">
        <w:rPr>
          <w:rFonts w:asciiTheme="majorBidi" w:eastAsia="Times New Roman" w:hAnsiTheme="majorBidi" w:cstheme="majorBidi"/>
          <w:sz w:val="24"/>
          <w:szCs w:val="24"/>
        </w:rPr>
        <w:t>, a military vehicle then ran over his deceased body, severing his right ear and maiming his face.</w:t>
      </w:r>
      <w:r w:rsidRPr="00AC7E31">
        <w:rPr>
          <w:rFonts w:asciiTheme="majorBidi" w:hAnsiTheme="majorBidi" w:cstheme="majorBidi"/>
          <w:sz w:val="24"/>
          <w:szCs w:val="24"/>
          <w:vertAlign w:val="superscript"/>
        </w:rPr>
        <w:footnoteReference w:id="20"/>
      </w:r>
      <w:r w:rsidRPr="00AC7E31">
        <w:rPr>
          <w:rFonts w:asciiTheme="majorBidi" w:eastAsia="Times New Roman" w:hAnsiTheme="majorBidi" w:cstheme="majorBidi"/>
          <w:sz w:val="24"/>
          <w:szCs w:val="24"/>
        </w:rPr>
        <w:t xml:space="preserve"> </w:t>
      </w:r>
    </w:p>
    <w:p w14:paraId="00000048" w14:textId="0E7B28F5"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Moreover, Palestinians continue to face oppression even after they are killed. During the reporting period, around 13 percent of Palestinian children’s bodies were withheld by the Israeli authorities after their killing. Currently, the Israeli occupying authorities are withholding the bodies of 245 Palestinian residents of the West Bank, including 32 children; indefinitely deprived of dignified burial.</w:t>
      </w:r>
      <w:r w:rsidRPr="00AC7E31">
        <w:rPr>
          <w:rFonts w:asciiTheme="majorBidi" w:hAnsiTheme="majorBidi" w:cstheme="majorBidi"/>
          <w:sz w:val="24"/>
          <w:szCs w:val="24"/>
          <w:vertAlign w:val="superscript"/>
        </w:rPr>
        <w:footnoteReference w:id="21"/>
      </w:r>
      <w:r w:rsidRPr="00AC7E31">
        <w:rPr>
          <w:rFonts w:asciiTheme="majorBidi" w:eastAsia="Times New Roman" w:hAnsiTheme="majorBidi" w:cstheme="majorBidi"/>
          <w:sz w:val="24"/>
          <w:szCs w:val="24"/>
        </w:rPr>
        <w:t xml:space="preserve"> In doing so, not only does Israel punish their families, in what amounts to prohibited collective punishment,</w:t>
      </w:r>
      <w:r w:rsidRPr="00AC7E31">
        <w:rPr>
          <w:rFonts w:asciiTheme="majorBidi" w:hAnsiTheme="majorBidi" w:cstheme="majorBidi"/>
          <w:sz w:val="24"/>
          <w:szCs w:val="24"/>
          <w:vertAlign w:val="superscript"/>
        </w:rPr>
        <w:footnoteReference w:id="22"/>
      </w:r>
      <w:r w:rsidRPr="00AC7E31">
        <w:rPr>
          <w:rFonts w:asciiTheme="majorBidi" w:eastAsia="Times New Roman" w:hAnsiTheme="majorBidi" w:cstheme="majorBidi"/>
          <w:sz w:val="24"/>
          <w:szCs w:val="24"/>
        </w:rPr>
        <w:t xml:space="preserve"> but further punishes the dead “by deeming their bodies disposable, </w:t>
      </w:r>
      <w:proofErr w:type="spellStart"/>
      <w:r w:rsidRPr="00AC7E31">
        <w:rPr>
          <w:rFonts w:asciiTheme="majorBidi" w:eastAsia="Times New Roman" w:hAnsiTheme="majorBidi" w:cstheme="majorBidi"/>
          <w:sz w:val="24"/>
          <w:szCs w:val="24"/>
        </w:rPr>
        <w:t>ungrievable</w:t>
      </w:r>
      <w:proofErr w:type="spellEnd"/>
      <w:r w:rsidRPr="00AC7E31">
        <w:rPr>
          <w:rFonts w:asciiTheme="majorBidi" w:eastAsia="Times New Roman" w:hAnsiTheme="majorBidi" w:cstheme="majorBidi"/>
          <w:sz w:val="24"/>
          <w:szCs w:val="24"/>
        </w:rPr>
        <w:t>, [</w:t>
      </w:r>
      <w:proofErr w:type="spellStart"/>
      <w:r w:rsidRPr="00AC7E31">
        <w:rPr>
          <w:rFonts w:asciiTheme="majorBidi" w:eastAsia="Times New Roman" w:hAnsiTheme="majorBidi" w:cstheme="majorBidi"/>
          <w:sz w:val="24"/>
          <w:szCs w:val="24"/>
        </w:rPr>
        <w:t>unmournable</w:t>
      </w:r>
      <w:proofErr w:type="spellEnd"/>
      <w:r w:rsidRPr="00AC7E31">
        <w:rPr>
          <w:rFonts w:asciiTheme="majorBidi" w:eastAsia="Times New Roman" w:hAnsiTheme="majorBidi" w:cstheme="majorBidi"/>
          <w:sz w:val="24"/>
          <w:szCs w:val="24"/>
        </w:rPr>
        <w:t>] and unworthy of a dignified treatment, [which constitutes] a form of cruel dehumanization and othering that targets the erasure and expropriation of their memory and the disciplining of their community”.</w:t>
      </w:r>
      <w:r w:rsidRPr="00AC7E31">
        <w:rPr>
          <w:rFonts w:asciiTheme="majorBidi" w:hAnsiTheme="majorBidi" w:cstheme="majorBidi"/>
          <w:sz w:val="24"/>
          <w:szCs w:val="24"/>
          <w:vertAlign w:val="superscript"/>
        </w:rPr>
        <w:footnoteReference w:id="23"/>
      </w:r>
      <w:r w:rsidRPr="00AC7E31">
        <w:rPr>
          <w:rFonts w:asciiTheme="majorBidi" w:eastAsia="Times New Roman" w:hAnsiTheme="majorBidi" w:cstheme="majorBidi"/>
          <w:sz w:val="24"/>
          <w:szCs w:val="24"/>
        </w:rPr>
        <w:t xml:space="preserve"> Furthermore, upon releasing the bodies of Palestinians, Israel enforces restrictive measures that impede the proper burial process upon their return. These limitations extend to dictating the size, location, timing, and attendance of the burial ceremony, further exacerbating the already profound injustices imposed on the bereaved Palestinian families.</w:t>
      </w:r>
      <w:r w:rsidRPr="00AC7E31">
        <w:rPr>
          <w:rFonts w:asciiTheme="majorBidi" w:hAnsiTheme="majorBidi" w:cstheme="majorBidi"/>
          <w:sz w:val="24"/>
          <w:szCs w:val="24"/>
          <w:vertAlign w:val="superscript"/>
        </w:rPr>
        <w:footnoteReference w:id="24"/>
      </w:r>
    </w:p>
    <w:p w14:paraId="00000049" w14:textId="6C5866E5"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As such, we call on the Committee to address Israel’s policies and practices of the mutilation and the withholding the bodies of killed Palestinians, including children, and call for the immediate repatriation of the bodies of killed Palestinians as well as an end to ongoing Israeli restrictions on Palestinian funerals and rituals of mourning, as violations of fundamental rights under international law.</w:t>
      </w:r>
    </w:p>
    <w:p w14:paraId="0000004A" w14:textId="6AEDDE31"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Notably, many Palestinians were killed during increased large-scale, aggressive and lengthy IOF military attacks and raids across Palestinian cities, towns, villages, and </w:t>
      </w:r>
      <w:r w:rsidRPr="00AC7E31">
        <w:rPr>
          <w:rFonts w:asciiTheme="majorBidi" w:eastAsia="Times New Roman" w:hAnsiTheme="majorBidi" w:cstheme="majorBidi"/>
          <w:sz w:val="24"/>
          <w:szCs w:val="24"/>
        </w:rPr>
        <w:lastRenderedPageBreak/>
        <w:t xml:space="preserve">refugee camps. Particularly focused in crowded refugee camps in the northern part of the West Bank, these raids and attacks are characterised by the overwhelming deployment of military force, including snipers; an array of vehicles, notably D9 bulldozers; and recourse to airstrikes. This disturbing escalation of military attacks resulted in the killing and injuring of Palestinians, the destruction of Palestinian homes, properties, and infrastructure, and obstruction of all aspects of life, including healthcare. During these raids, the IOF routinely stopped and blocked ambulances and positioned themselves around the hospitals. This tactic involves stopping ambulances, checking the identities of transported injured, killed, or sick Palestinians, and impeding the work and access of ambulance teams. </w:t>
      </w:r>
    </w:p>
    <w:p w14:paraId="0000004B" w14:textId="63840739"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Moreover, Al-Haq’s documentation of these military attacks and raids has alarmingly revealed the use of Palestinians as human shields by the IOF, including of children and paramedics.</w:t>
      </w:r>
      <w:r w:rsidRPr="00AC7E31">
        <w:rPr>
          <w:rFonts w:asciiTheme="majorBidi" w:hAnsiTheme="majorBidi" w:cstheme="majorBidi"/>
          <w:sz w:val="24"/>
          <w:szCs w:val="24"/>
          <w:vertAlign w:val="superscript"/>
        </w:rPr>
        <w:footnoteReference w:id="25"/>
      </w:r>
      <w:r w:rsidRPr="00AC7E31">
        <w:rPr>
          <w:rFonts w:asciiTheme="majorBidi" w:eastAsia="Times New Roman" w:hAnsiTheme="majorBidi" w:cstheme="majorBidi"/>
          <w:sz w:val="24"/>
          <w:szCs w:val="24"/>
        </w:rPr>
        <w:t xml:space="preserve"> For example, the IOF used three Palestinian children, </w:t>
      </w:r>
      <w:r w:rsidRPr="00AC7E31">
        <w:rPr>
          <w:rFonts w:asciiTheme="majorBidi" w:eastAsia="Times New Roman" w:hAnsiTheme="majorBidi" w:cstheme="majorBidi"/>
          <w:b/>
          <w:sz w:val="24"/>
          <w:szCs w:val="24"/>
        </w:rPr>
        <w:t>K.A.</w:t>
      </w:r>
      <w:r w:rsidRPr="00AC7E31">
        <w:rPr>
          <w:rFonts w:asciiTheme="majorBidi" w:eastAsia="Times New Roman" w:hAnsiTheme="majorBidi" w:cstheme="majorBidi"/>
          <w:sz w:val="24"/>
          <w:szCs w:val="24"/>
        </w:rPr>
        <w:t xml:space="preserve">, 11, </w:t>
      </w:r>
      <w:r w:rsidRPr="00AC7E31">
        <w:rPr>
          <w:rFonts w:asciiTheme="majorBidi" w:eastAsia="Times New Roman" w:hAnsiTheme="majorBidi" w:cstheme="majorBidi"/>
          <w:b/>
          <w:sz w:val="24"/>
          <w:szCs w:val="24"/>
        </w:rPr>
        <w:t>M.S.</w:t>
      </w:r>
      <w:r w:rsidRPr="00AC7E31">
        <w:rPr>
          <w:rFonts w:asciiTheme="majorBidi" w:eastAsia="Times New Roman" w:hAnsiTheme="majorBidi" w:cstheme="majorBidi"/>
          <w:sz w:val="24"/>
          <w:szCs w:val="24"/>
        </w:rPr>
        <w:t xml:space="preserve">, 12, and </w:t>
      </w:r>
      <w:r w:rsidRPr="00AC7E31">
        <w:rPr>
          <w:rFonts w:asciiTheme="majorBidi" w:eastAsia="Times New Roman" w:hAnsiTheme="majorBidi" w:cstheme="majorBidi"/>
          <w:b/>
          <w:sz w:val="24"/>
          <w:szCs w:val="24"/>
        </w:rPr>
        <w:t>I.A.</w:t>
      </w:r>
      <w:r w:rsidRPr="00AC7E31">
        <w:rPr>
          <w:rFonts w:asciiTheme="majorBidi" w:eastAsia="Times New Roman" w:hAnsiTheme="majorBidi" w:cstheme="majorBidi"/>
          <w:sz w:val="24"/>
          <w:szCs w:val="24"/>
        </w:rPr>
        <w:t>, 15, as human shields during a 20-hour-long military attack on Tulkarem Refugee Camp, on 6 May 2024. In each of the three occurrences, armed Israeli occupying soldiers physically assaulted and forced the boys to lead the way as they conducted searches of Palestinian residences.</w:t>
      </w:r>
    </w:p>
    <w:p w14:paraId="2EC370A5"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Recalling the horrifying experience, 11-year-old </w:t>
      </w:r>
      <w:r w:rsidRPr="00AC7E31">
        <w:rPr>
          <w:rFonts w:asciiTheme="majorBidi" w:eastAsia="Times New Roman" w:hAnsiTheme="majorBidi" w:cstheme="majorBidi"/>
          <w:b/>
          <w:sz w:val="24"/>
          <w:szCs w:val="24"/>
        </w:rPr>
        <w:t>K.A.</w:t>
      </w:r>
      <w:r w:rsidRPr="00AC7E31">
        <w:rPr>
          <w:rFonts w:asciiTheme="majorBidi" w:eastAsia="Times New Roman" w:hAnsiTheme="majorBidi" w:cstheme="majorBidi"/>
          <w:sz w:val="24"/>
          <w:szCs w:val="24"/>
        </w:rPr>
        <w:t xml:space="preserve"> told Al-Haq: “One soldier told me that they would take me outside the building and to neighbouring houses so that I would knock on doors and ask residents to leave… Despite my mother’s protests and her cries to the soldiers, telling them that I was just a child, they insisted on her silence. She was sobbing, but the soldiers ignored her pleas. I cannot describe the fear I felt. I am only an 11-year-old fifth grader, but that did not matter to them. Surrounded by roughly 20 armed soldiers, I had no choice but to follow their demands.”</w:t>
      </w:r>
      <w:r w:rsidRPr="00AC7E31">
        <w:rPr>
          <w:rFonts w:asciiTheme="majorBidi" w:hAnsiTheme="majorBidi" w:cstheme="majorBidi"/>
          <w:sz w:val="24"/>
          <w:szCs w:val="24"/>
          <w:vertAlign w:val="superscript"/>
        </w:rPr>
        <w:footnoteReference w:id="26"/>
      </w:r>
    </w:p>
    <w:p w14:paraId="44A69CF3"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Similarly, 15-year-old </w:t>
      </w:r>
      <w:r w:rsidRPr="00AC7E31">
        <w:rPr>
          <w:rFonts w:asciiTheme="majorBidi" w:eastAsia="Times New Roman" w:hAnsiTheme="majorBidi" w:cstheme="majorBidi"/>
          <w:b/>
          <w:sz w:val="24"/>
          <w:szCs w:val="24"/>
        </w:rPr>
        <w:t>I.A.</w:t>
      </w:r>
      <w:r w:rsidRPr="00AC7E31">
        <w:rPr>
          <w:rFonts w:asciiTheme="majorBidi" w:eastAsia="Times New Roman" w:hAnsiTheme="majorBidi" w:cstheme="majorBidi"/>
          <w:sz w:val="24"/>
          <w:szCs w:val="24"/>
        </w:rPr>
        <w:t>, who was subjected to a field interrogation and threatened with death if he were to lie, recalled to Al-Haq: “[Israeli] soldiers [raided our home and] walked towards us, pointing their guns at us. I saw about 20-25 soldiers, all dressed in military uniforms and carrying guns. Some of them had masks on their faces, which made them look scary and frightening… I was handcuffed in plastic zip ties and was ordered to go out with many soldiers to get residents out of some nearby houses in the area where I lived… They made me walk in front of the soldiers through the alleys of Al-</w:t>
      </w:r>
      <w:proofErr w:type="spellStart"/>
      <w:r w:rsidRPr="00AC7E31">
        <w:rPr>
          <w:rFonts w:asciiTheme="majorBidi" w:eastAsia="Times New Roman" w:hAnsiTheme="majorBidi" w:cstheme="majorBidi"/>
          <w:sz w:val="24"/>
          <w:szCs w:val="24"/>
        </w:rPr>
        <w:t>Sawalme</w:t>
      </w:r>
      <w:proofErr w:type="spellEnd"/>
      <w:r w:rsidRPr="00AC7E31">
        <w:rPr>
          <w:rFonts w:asciiTheme="majorBidi" w:eastAsia="Times New Roman" w:hAnsiTheme="majorBidi" w:cstheme="majorBidi"/>
          <w:sz w:val="24"/>
          <w:szCs w:val="24"/>
        </w:rPr>
        <w:t xml:space="preserve"> neighbourhood, enter the houses chosen by the soldiers and request the residents to leave so the soldiers could enter…This was repeated in three houses… They used me as a human shield for 1.5–2 hours.”</w:t>
      </w:r>
      <w:r w:rsidRPr="00AC7E31">
        <w:rPr>
          <w:rFonts w:asciiTheme="majorBidi" w:hAnsiTheme="majorBidi" w:cstheme="majorBidi"/>
          <w:sz w:val="24"/>
          <w:szCs w:val="24"/>
          <w:vertAlign w:val="superscript"/>
        </w:rPr>
        <w:footnoteReference w:id="27"/>
      </w:r>
    </w:p>
    <w:p w14:paraId="6DE02DBA"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Subjected to the same practice, 12-year-old </w:t>
      </w:r>
      <w:r w:rsidRPr="00AC7E31">
        <w:rPr>
          <w:rFonts w:asciiTheme="majorBidi" w:eastAsia="Times New Roman" w:hAnsiTheme="majorBidi" w:cstheme="majorBidi"/>
          <w:b/>
          <w:sz w:val="24"/>
          <w:szCs w:val="24"/>
        </w:rPr>
        <w:t>M.S.</w:t>
      </w:r>
      <w:r w:rsidRPr="00AC7E31">
        <w:rPr>
          <w:rFonts w:asciiTheme="majorBidi" w:eastAsia="Times New Roman" w:hAnsiTheme="majorBidi" w:cstheme="majorBidi"/>
          <w:sz w:val="24"/>
          <w:szCs w:val="24"/>
        </w:rPr>
        <w:t xml:space="preserve"> further found himself in dangerously close quarters when an occupying soldier fired his weapon. He told Al-Haq: “While I was at the entrance of the apartment, shouting to see if anyone was inside, one of the soldiers fired multiple shots from behind me, the barrel of his gun resting on my right </w:t>
      </w:r>
      <w:r w:rsidRPr="00AC7E31">
        <w:rPr>
          <w:rFonts w:asciiTheme="majorBidi" w:eastAsia="Times New Roman" w:hAnsiTheme="majorBidi" w:cstheme="majorBidi"/>
          <w:sz w:val="24"/>
          <w:szCs w:val="24"/>
        </w:rPr>
        <w:lastRenderedPageBreak/>
        <w:t>shoulder. He fired at least two shots like that, and it really scared me, especially since the shots were coming from above my right shoulder, really close to my right ear.”</w:t>
      </w:r>
      <w:r w:rsidRPr="00AC7E31">
        <w:rPr>
          <w:rFonts w:asciiTheme="majorBidi" w:hAnsiTheme="majorBidi" w:cstheme="majorBidi"/>
          <w:sz w:val="24"/>
          <w:szCs w:val="24"/>
          <w:vertAlign w:val="superscript"/>
        </w:rPr>
        <w:footnoteReference w:id="28"/>
      </w:r>
    </w:p>
    <w:p w14:paraId="72A4009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These military attacks, according to Al-Haq’s documentation, also included the brutalisation of Palestinians through strip-searches, beatings and military dogs. During the same military attack, another child, a 13-year-old boy, </w:t>
      </w:r>
      <w:r w:rsidRPr="00AC7E31">
        <w:rPr>
          <w:rFonts w:asciiTheme="majorBidi" w:eastAsia="Times New Roman" w:hAnsiTheme="majorBidi" w:cstheme="majorBidi"/>
          <w:b/>
          <w:sz w:val="24"/>
          <w:szCs w:val="24"/>
        </w:rPr>
        <w:t>I.M.</w:t>
      </w:r>
      <w:r w:rsidRPr="00AC7E31">
        <w:rPr>
          <w:rFonts w:asciiTheme="majorBidi" w:eastAsia="Times New Roman" w:hAnsiTheme="majorBidi" w:cstheme="majorBidi"/>
          <w:sz w:val="24"/>
          <w:szCs w:val="24"/>
        </w:rPr>
        <w:t>, was beaten when he refused to strip naked. I.M.,</w:t>
      </w:r>
      <w:r w:rsidRPr="00AC7E31">
        <w:rPr>
          <w:rFonts w:asciiTheme="majorBidi" w:eastAsia="Times New Roman" w:hAnsiTheme="majorBidi" w:cstheme="majorBidi"/>
          <w:b/>
          <w:sz w:val="24"/>
          <w:szCs w:val="24"/>
        </w:rPr>
        <w:t xml:space="preserve"> </w:t>
      </w:r>
      <w:r w:rsidRPr="00AC7E31">
        <w:rPr>
          <w:rFonts w:asciiTheme="majorBidi" w:eastAsia="Times New Roman" w:hAnsiTheme="majorBidi" w:cstheme="majorBidi"/>
          <w:sz w:val="24"/>
          <w:szCs w:val="24"/>
        </w:rPr>
        <w:t>informed Al-Haq: “The soldiers detained us with their guns pointed at us. I was surprised when one soldier, speaking Arabic, asked me to remove all my clothes. I took off my upper garments and pants, leaving only my underwear, all while the soldiers watched and kept their weapons aimed at us. Once I finished undressing, the same soldier demanded that I remove my underwear as well. I refused, and at that moment, I was subjected to beating by some soldiers with their hands and feet all over my body. I endured the blows for about a minute, as I screamed and cried. My father was beside me, but he couldn’t do anything because the soldiers had their guns pointed at him. If he had made any move to stop them from hitting me, he would have been shot, maybe killed.”</w:t>
      </w:r>
      <w:r w:rsidRPr="00AC7E31">
        <w:rPr>
          <w:rFonts w:asciiTheme="majorBidi" w:hAnsiTheme="majorBidi" w:cstheme="majorBidi"/>
          <w:sz w:val="24"/>
          <w:szCs w:val="24"/>
          <w:vertAlign w:val="superscript"/>
        </w:rPr>
        <w:footnoteReference w:id="29"/>
      </w:r>
    </w:p>
    <w:p w14:paraId="4BA8FD96"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Moreover, during the aforementioned military attack on Tulkarem Refugee Camp, 14-year-old girl, </w:t>
      </w:r>
      <w:r w:rsidRPr="00AC7E31">
        <w:rPr>
          <w:rFonts w:asciiTheme="majorBidi" w:eastAsia="Times New Roman" w:hAnsiTheme="majorBidi" w:cstheme="majorBidi"/>
          <w:b/>
          <w:sz w:val="24"/>
          <w:szCs w:val="24"/>
        </w:rPr>
        <w:t>J.K.</w:t>
      </w:r>
      <w:r w:rsidRPr="00AC7E31">
        <w:rPr>
          <w:rFonts w:asciiTheme="majorBidi" w:eastAsia="Times New Roman" w:hAnsiTheme="majorBidi" w:cstheme="majorBidi"/>
          <w:sz w:val="24"/>
          <w:szCs w:val="24"/>
        </w:rPr>
        <w:t xml:space="preserve">, was attacked by an unmuzzled military dog, with Israeli occupying soldiers failing to prevent or stop the dog, or provide her with medical assistance afterwards. After noticing that her cat went missing from her home, </w:t>
      </w:r>
      <w:proofErr w:type="spellStart"/>
      <w:r w:rsidRPr="00AC7E31">
        <w:rPr>
          <w:rFonts w:asciiTheme="majorBidi" w:eastAsia="Times New Roman" w:hAnsiTheme="majorBidi" w:cstheme="majorBidi"/>
          <w:sz w:val="24"/>
          <w:szCs w:val="24"/>
        </w:rPr>
        <w:t>Joud</w:t>
      </w:r>
      <w:proofErr w:type="spellEnd"/>
      <w:r w:rsidRPr="00AC7E31">
        <w:rPr>
          <w:rFonts w:asciiTheme="majorBidi" w:eastAsia="Times New Roman" w:hAnsiTheme="majorBidi" w:cstheme="majorBidi"/>
          <w:sz w:val="24"/>
          <w:szCs w:val="24"/>
        </w:rPr>
        <w:t xml:space="preserve"> left looking for it, when she was suddenly surprised by a medium-sized dog running towards her from the direction of Israeli soldiers. J.K.</w:t>
      </w:r>
      <w:r w:rsidRPr="00AC7E31">
        <w:rPr>
          <w:rFonts w:asciiTheme="majorBidi" w:eastAsia="Times New Roman" w:hAnsiTheme="majorBidi" w:cstheme="majorBidi"/>
          <w:b/>
          <w:sz w:val="24"/>
          <w:szCs w:val="24"/>
        </w:rPr>
        <w:t xml:space="preserve"> </w:t>
      </w:r>
      <w:r w:rsidRPr="00AC7E31">
        <w:rPr>
          <w:rFonts w:asciiTheme="majorBidi" w:eastAsia="Times New Roman" w:hAnsiTheme="majorBidi" w:cstheme="majorBidi"/>
          <w:sz w:val="24"/>
          <w:szCs w:val="24"/>
        </w:rPr>
        <w:t>told Al-Haq: “In just moments, the dog reached me and began attacking me. I screamed in terror as I felt the dog biting my left hand. I continued screaming, and at that moment, my mother rushed to my aid, doing her best to keep the dog away from me amidst both of our cries. This terrifying ordeal lasted, in my estimation, for a minute or slightly less. Then, the dog retreated and ran back towards the Israeli soldiers. The dog, of medium size, had no equipment attached to it, nor was there a muzzle on its mouth. During its attack, the dog managed to knock me to the ground with its strength and aggression. Throughout the dog’s attack, the Israeli soldiers did not approach us, but they watched as their dog attacked me. After the dog finished its attack and returned to the soldiers, the soldiers did not come to check on me or offer any assistance. They simply remained in the area as if nothing had happened.”</w:t>
      </w:r>
      <w:r w:rsidRPr="00AC7E31">
        <w:rPr>
          <w:rFonts w:asciiTheme="majorBidi" w:hAnsiTheme="majorBidi" w:cstheme="majorBidi"/>
          <w:sz w:val="24"/>
          <w:szCs w:val="24"/>
          <w:vertAlign w:val="superscript"/>
        </w:rPr>
        <w:footnoteReference w:id="30"/>
      </w:r>
    </w:p>
    <w:p w14:paraId="49480A87"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b/>
          <w:sz w:val="24"/>
          <w:szCs w:val="24"/>
        </w:rPr>
        <w:t xml:space="preserve">In light of the above, we urge the Committee to call on Israel to cease its military attacks and raids onto Palestinian cities, villages and refugee camps, and its terrorising of Palestinian children, including through using them as human shields, enforced strip searches and attacks by military dogs. Moreover, we urge the Committee to recognise that Israel’s systematic and institutionalised excessive use of force, withholding of bodies, and colonial violence and oppression of Palestinians, including children, contribute to the maintenance of Israel’s Zionist settler-colonialism and apartheid regime. </w:t>
      </w:r>
    </w:p>
    <w:p w14:paraId="746E7D0B"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lastRenderedPageBreak/>
        <w:t>Israel’s policy of demolishing Palestinian structures is widespread and systematic across the occupied West Bank, including eastern Jerusalem. According to Al-Haq’s documentation, between 1 October 2022 and 4 August 2024, the Israeli occupying authorities and Israeli settlers demolished and damaged at least 980 homes in the West Bank, including eastern Jerusalem, which led to displacement of 3,360 Palestinians, 44 percent of whom are children. House demolitions have had a serious impact on Palestinian children, including on their mental health and sense of safety.</w:t>
      </w:r>
      <w:r w:rsidRPr="00AC7E31">
        <w:rPr>
          <w:rFonts w:asciiTheme="majorBidi" w:hAnsiTheme="majorBidi" w:cstheme="majorBidi"/>
          <w:sz w:val="24"/>
          <w:szCs w:val="24"/>
          <w:vertAlign w:val="superscript"/>
        </w:rPr>
        <w:footnoteReference w:id="31"/>
      </w:r>
    </w:p>
    <w:p w14:paraId="00000053" w14:textId="6DF53E93"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b/>
          <w:sz w:val="24"/>
          <w:szCs w:val="24"/>
        </w:rPr>
        <w:t xml:space="preserve">As such, we urge the Committee to call on Israel to cease its discriminatory planning and zoning regime, colonial settlement enterprise, and its collective punishment policy of punitive house demolitions. </w:t>
      </w:r>
    </w:p>
    <w:p w14:paraId="00000054" w14:textId="0A63A416" w:rsidR="00553FDC" w:rsidRPr="00AC7E31" w:rsidRDefault="003E471C" w:rsidP="00AC7E31">
      <w:pPr>
        <w:numPr>
          <w:ilvl w:val="0"/>
          <w:numId w:val="3"/>
        </w:numPr>
        <w:spacing w:before="240" w:after="240" w:line="240" w:lineRule="auto"/>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The Human Rights Situation and Torture of Palestinian Children Detained, Imprisoned and </w:t>
      </w:r>
      <w:r w:rsidR="00AC7968" w:rsidRPr="00AC7E31">
        <w:rPr>
          <w:rFonts w:asciiTheme="majorBidi" w:eastAsia="Times New Roman" w:hAnsiTheme="majorBidi" w:cstheme="majorBidi"/>
          <w:b/>
          <w:sz w:val="24"/>
          <w:szCs w:val="24"/>
        </w:rPr>
        <w:t>Forcibly</w:t>
      </w:r>
      <w:r w:rsidRPr="00AC7E31">
        <w:rPr>
          <w:rFonts w:asciiTheme="majorBidi" w:eastAsia="Times New Roman" w:hAnsiTheme="majorBidi" w:cstheme="majorBidi"/>
          <w:b/>
          <w:sz w:val="24"/>
          <w:szCs w:val="24"/>
        </w:rPr>
        <w:t xml:space="preserve"> Disappeared </w:t>
      </w:r>
    </w:p>
    <w:p w14:paraId="3A21ABF3"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For decades, the issue of child detention has been one of the most prominent policies pursued by Israel, which has worked to establish systematic tools, legislation, and military orders to intensify targeting them through its policy of child detention. </w:t>
      </w:r>
    </w:p>
    <w:p w14:paraId="2DA6A9F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Since 7 October 2023, at least 700 Palestinian children residents of the West Bank have been arbitrarily arrested as well as thousands of Palestinians, including children, during the IOF’s ground invasion of different areas of the Gaza Strip, as documented by </w:t>
      </w:r>
      <w:proofErr w:type="spellStart"/>
      <w:r w:rsidRPr="00AC7E31">
        <w:rPr>
          <w:rFonts w:asciiTheme="majorBidi" w:eastAsia="Times New Roman" w:hAnsiTheme="majorBidi" w:cstheme="majorBidi"/>
          <w:sz w:val="24"/>
          <w:szCs w:val="24"/>
        </w:rPr>
        <w:t>Addameer</w:t>
      </w:r>
      <w:proofErr w:type="spellEnd"/>
      <w:r w:rsidRPr="00AC7E31">
        <w:rPr>
          <w:rFonts w:asciiTheme="majorBidi" w:eastAsia="Times New Roman" w:hAnsiTheme="majorBidi" w:cstheme="majorBidi"/>
          <w:sz w:val="24"/>
          <w:szCs w:val="24"/>
        </w:rPr>
        <w:t>, PCHR, and other prisoner support organisations. As of 1 August 2024, at least 250 Palestinian children residents of the West Bank are detained in Israel’s prisons, mainly Ofer and Megiddo. This number significantly exceeds the count of child prisoners before 7 October 2023, highlighting Israel’s reliance on punitive and oppressive measures against Palestinians, including children. For example, following the 2015 uprising, there was a notable increase in the detention of children, highlighting Israel’s ongoing pattern of targeting children as a means of reprisals and collective punishment.</w:t>
      </w:r>
    </w:p>
    <w:p w14:paraId="00000057" w14:textId="5E48E5D9"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Crucially, the number of Palestinians detained from the Gaza Strip, including those of children, remains unknown, which may amount to enforced disappearance. So far, PCHR has received complaints concerning over 300 Palestinians whose fate and whereabouts remain unknown to this date. Seven cases of children were documented and they are:</w:t>
      </w:r>
    </w:p>
    <w:p w14:paraId="00000058" w14:textId="77777777" w:rsidR="00553FDC" w:rsidRPr="00AC7E31" w:rsidRDefault="003E471C" w:rsidP="00AC7E31">
      <w:pPr>
        <w:numPr>
          <w:ilvl w:val="0"/>
          <w:numId w:val="2"/>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M.R., 17, was arrested on 3 March 2024 in Hamad city in Khan Younis by the IOF. Since then, nothing is known about his fate.</w:t>
      </w:r>
    </w:p>
    <w:p w14:paraId="00000059" w14:textId="77777777" w:rsidR="00553FDC" w:rsidRPr="00AC7E31" w:rsidRDefault="003E471C" w:rsidP="00AC7E31">
      <w:pPr>
        <w:numPr>
          <w:ilvl w:val="0"/>
          <w:numId w:val="2"/>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A.A., 16, was last seen on 14 March 2024 near Al-Kuwait Roundabout in Gaza city. Since then, nothing is known about his fate.</w:t>
      </w:r>
    </w:p>
    <w:p w14:paraId="0000005A" w14:textId="77777777" w:rsidR="00553FDC" w:rsidRPr="00AC7E31" w:rsidRDefault="003E471C" w:rsidP="00AC7E31">
      <w:pPr>
        <w:numPr>
          <w:ilvl w:val="0"/>
          <w:numId w:val="2"/>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S.B., 14, was last seen on 25 April 2024 near the fence east of Deir-Balah. Since then, nothing is known about his fate.</w:t>
      </w:r>
    </w:p>
    <w:p w14:paraId="0000005B" w14:textId="77777777" w:rsidR="00553FDC" w:rsidRPr="00AC7E31" w:rsidRDefault="003E471C" w:rsidP="00AC7E31">
      <w:pPr>
        <w:numPr>
          <w:ilvl w:val="0"/>
          <w:numId w:val="2"/>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A.N., 17, was last seen on 7 October 2023 near the fence north of Gaza city. Since then, nothing is known about his fate.</w:t>
      </w:r>
    </w:p>
    <w:p w14:paraId="0000005C" w14:textId="77777777" w:rsidR="00553FDC" w:rsidRPr="00AC7E31" w:rsidRDefault="003E471C" w:rsidP="00AC7E31">
      <w:pPr>
        <w:numPr>
          <w:ilvl w:val="0"/>
          <w:numId w:val="2"/>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lastRenderedPageBreak/>
        <w:t>Z.N., 17, was last seen on 10 April 2024 while passing through the so-called “humanitarian corridor” established by the IOF in the Netzarim area, south of Gaza city. Since then, nothing is known about his fate.</w:t>
      </w:r>
    </w:p>
    <w:p w14:paraId="0000005D" w14:textId="77777777" w:rsidR="00553FDC" w:rsidRPr="00AC7E31" w:rsidRDefault="003E471C" w:rsidP="00AC7E31">
      <w:pPr>
        <w:numPr>
          <w:ilvl w:val="0"/>
          <w:numId w:val="2"/>
        </w:numPr>
        <w:spacing w:before="240" w:after="240" w:line="240" w:lineRule="auto"/>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A.M., 16, was last seen on 29 October 2023 while passing through the so-called “humanitarian corridor” established by the IOF in the Netzarim area, south of Gaza city. Since then, nothing is known about his fate.</w:t>
      </w:r>
    </w:p>
    <w:p w14:paraId="08133213"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Moreover, Israel employs arbitrary administrative detention, without charge or trial, as a method of suppression and control, and as a punitive measure. Children are not exempt from this policy of arbitrary administrative detention. Currently, over 3,432 administrative detainees are held in Israeli prisons, including 39 children. Most of these detainees, including the children, were arrested and subjected to administrative detention orders issued after 7 October 2023, without formal charges being presented. In addition, following the prisoner exchange deal in November 2023, four children were rearrested after their release by a few months to which three received new orders of administrative detention.  </w:t>
      </w:r>
    </w:p>
    <w:p w14:paraId="5C01B083"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These child detainees face the same violations and repression as all prisoners and detainees. Amid the ongoing genocide in Gaza, lawyers and human rights groups have recorded numerous abuses against detained Palestinian children, including starvation policies, torture, and violent assaults within prisons, increased violent arrest campaigns, medical neglect, prolonged stress positions as punishment, and excessive strip searches.</w:t>
      </w:r>
    </w:p>
    <w:p w14:paraId="00000060" w14:textId="713D3798"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one documented instance, </w:t>
      </w:r>
      <w:r w:rsidRPr="00AC7E31">
        <w:rPr>
          <w:rFonts w:asciiTheme="majorBidi" w:eastAsia="Times New Roman" w:hAnsiTheme="majorBidi" w:cstheme="majorBidi"/>
          <w:b/>
          <w:sz w:val="24"/>
          <w:szCs w:val="24"/>
        </w:rPr>
        <w:t>A.H.</w:t>
      </w:r>
      <w:r w:rsidRPr="00AC7E31">
        <w:rPr>
          <w:rFonts w:asciiTheme="majorBidi" w:eastAsia="Times New Roman" w:hAnsiTheme="majorBidi" w:cstheme="majorBidi"/>
          <w:sz w:val="24"/>
          <w:szCs w:val="24"/>
        </w:rPr>
        <w:t xml:space="preserve">, 17, resident of the West Bank, </w:t>
      </w:r>
      <w:r w:rsidR="00AC7968">
        <w:rPr>
          <w:rFonts w:asciiTheme="majorBidi" w:eastAsia="Times New Roman" w:hAnsiTheme="majorBidi" w:cstheme="majorBidi"/>
          <w:sz w:val="24"/>
          <w:szCs w:val="24"/>
        </w:rPr>
        <w:t xml:space="preserve">told </w:t>
      </w:r>
      <w:proofErr w:type="spellStart"/>
      <w:r w:rsidRPr="00AC7E31">
        <w:rPr>
          <w:rFonts w:asciiTheme="majorBidi" w:eastAsia="Times New Roman" w:hAnsiTheme="majorBidi" w:cstheme="majorBidi"/>
          <w:sz w:val="24"/>
          <w:szCs w:val="24"/>
        </w:rPr>
        <w:t>Addameer</w:t>
      </w:r>
      <w:proofErr w:type="spellEnd"/>
      <w:r w:rsidRPr="00AC7E31">
        <w:rPr>
          <w:rFonts w:asciiTheme="majorBidi" w:eastAsia="Times New Roman" w:hAnsiTheme="majorBidi" w:cstheme="majorBidi"/>
          <w:sz w:val="24"/>
          <w:szCs w:val="24"/>
        </w:rPr>
        <w:t>:</w:t>
      </w:r>
    </w:p>
    <w:p w14:paraId="00000061" w14:textId="77777777" w:rsidR="00553FDC" w:rsidRPr="00AC7968"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968">
        <w:rPr>
          <w:rFonts w:asciiTheme="majorBidi" w:eastAsia="Times New Roman" w:hAnsiTheme="majorBidi" w:cstheme="majorBidi"/>
          <w:sz w:val="24"/>
          <w:szCs w:val="24"/>
        </w:rPr>
        <w:t xml:space="preserve">I was arrested on 23 March 2024 at around 3:30 PM from the town square of Beit </w:t>
      </w:r>
      <w:proofErr w:type="spellStart"/>
      <w:r w:rsidRPr="00AC7968">
        <w:rPr>
          <w:rFonts w:asciiTheme="majorBidi" w:eastAsia="Times New Roman" w:hAnsiTheme="majorBidi" w:cstheme="majorBidi"/>
          <w:sz w:val="24"/>
          <w:szCs w:val="24"/>
        </w:rPr>
        <w:t>Imerin</w:t>
      </w:r>
      <w:proofErr w:type="spellEnd"/>
      <w:r w:rsidRPr="00AC7968">
        <w:rPr>
          <w:rFonts w:asciiTheme="majorBidi" w:eastAsia="Times New Roman" w:hAnsiTheme="majorBidi" w:cstheme="majorBidi"/>
          <w:sz w:val="24"/>
          <w:szCs w:val="24"/>
        </w:rPr>
        <w:t>, Nablus. [The IOF] immediately took me to a military jeep with about six soldiers inside, two of whom were masked. They slapped and kicked me, and one of them hit me on my back with the butt of his rifle. The beating continued throughout the journey, which took about fifteen minutes. They threw us (the other detained Palestinians in the military jeep) to the ground outside the camp, and we remained there from around 3:30 PM until 2 AM, bound and blindfolded, without food or water. The soldiers periodically came over and slapped me. At dawn, they took me to a police station between Qalqilya and Salfit. At the police station, an officer interrogated me on the charge of throwing stones. The interrogation lasted about twenty minutes while I was still bound.</w:t>
      </w:r>
    </w:p>
    <w:p w14:paraId="00000062" w14:textId="77777777" w:rsidR="00553FDC" w:rsidRPr="00AC7968"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968">
        <w:rPr>
          <w:rFonts w:asciiTheme="majorBidi" w:eastAsia="Times New Roman" w:hAnsiTheme="majorBidi" w:cstheme="majorBidi"/>
          <w:sz w:val="24"/>
          <w:szCs w:val="24"/>
        </w:rPr>
        <w:t xml:space="preserve">I remained in the police station for almost a full day. The next morning, I was taken to the </w:t>
      </w:r>
      <w:proofErr w:type="spellStart"/>
      <w:r w:rsidRPr="00AC7968">
        <w:rPr>
          <w:rFonts w:asciiTheme="majorBidi" w:eastAsia="Times New Roman" w:hAnsiTheme="majorBidi" w:cstheme="majorBidi"/>
          <w:sz w:val="24"/>
          <w:szCs w:val="24"/>
        </w:rPr>
        <w:t>Huwwara</w:t>
      </w:r>
      <w:proofErr w:type="spellEnd"/>
      <w:r w:rsidRPr="00AC7968">
        <w:rPr>
          <w:rFonts w:asciiTheme="majorBidi" w:eastAsia="Times New Roman" w:hAnsiTheme="majorBidi" w:cstheme="majorBidi"/>
          <w:sz w:val="24"/>
          <w:szCs w:val="24"/>
        </w:rPr>
        <w:t xml:space="preserve"> camp, where I stayed for about half a day inside a caravan, still bound and blindfolded—they did not remove the restraints or the blindfold for three days. After that, I was transferred to Megiddo prison. In Megiddo, they took me to a small room where there were about four guards, and an officer dressed like the guards. They slapped my face and kicked me about four times, while I was still bound and blindfolded. During this, the captain removed the blindfold and untied the plastic restraints by melting them with a lighter, which caused burns on my hands. To this day, I still have marks from the restraints. After that, they completely stripped me of my clothes, searched me, and asked me to squat and stand while coughing, while I was naked.</w:t>
      </w:r>
    </w:p>
    <w:p w14:paraId="00000063" w14:textId="77777777" w:rsidR="00553FDC" w:rsidRPr="00AC7968"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968">
        <w:rPr>
          <w:rFonts w:asciiTheme="majorBidi" w:eastAsia="Times New Roman" w:hAnsiTheme="majorBidi" w:cstheme="majorBidi"/>
          <w:sz w:val="24"/>
          <w:szCs w:val="24"/>
        </w:rPr>
        <w:lastRenderedPageBreak/>
        <w:t>After that, they placed me in Section 3, which is designated for minors. The conditions in Megiddo’s minors’ section were very bad. The light remained on all night from 6 PM until 6 AM, and this continued throughout my time in Megiddo. We couldn’t sleep because of the light. In addition to the lighting, they would turn on the loudspeakers at high volume late at night, around 12 or 1 AM. The soldiers would start talking over the loudspeakers, mocking us and calling out numbers.</w:t>
      </w:r>
    </w:p>
    <w:p w14:paraId="00000064" w14:textId="77777777" w:rsidR="00553FDC" w:rsidRPr="00AC7968"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968">
        <w:rPr>
          <w:rFonts w:asciiTheme="majorBidi" w:eastAsia="Times New Roman" w:hAnsiTheme="majorBidi" w:cstheme="majorBidi"/>
          <w:sz w:val="24"/>
          <w:szCs w:val="24"/>
        </w:rPr>
        <w:t>Almost daily, the guards would enter the rooms at dawn, around 4 or 5 AM, and mock us. They would call out numbers and ask us to put our hands on our faces and sing. The officer in charge of the count would say words in Hebrew, and we had to repeat them after him. They would stay for about 10 minutes each time and then leave.</w:t>
      </w:r>
    </w:p>
    <w:p w14:paraId="00000065" w14:textId="77777777" w:rsidR="00553FDC" w:rsidRPr="00AC7968"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968">
        <w:rPr>
          <w:rFonts w:asciiTheme="majorBidi" w:eastAsia="Times New Roman" w:hAnsiTheme="majorBidi" w:cstheme="majorBidi"/>
          <w:sz w:val="24"/>
          <w:szCs w:val="24"/>
        </w:rPr>
        <w:t>About a week after my arrest, the guards came and sprayed pepper spray from the vents into the rooms and then closed them without any reason.</w:t>
      </w:r>
    </w:p>
    <w:p w14:paraId="00000066" w14:textId="77777777" w:rsidR="00553FDC" w:rsidRPr="00AC7968"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968">
        <w:rPr>
          <w:rFonts w:asciiTheme="majorBidi" w:eastAsia="Times New Roman" w:hAnsiTheme="majorBidi" w:cstheme="majorBidi"/>
          <w:sz w:val="24"/>
          <w:szCs w:val="24"/>
        </w:rPr>
        <w:t>Almost daily, the guards would enter Rooms 1 and 2, which had the minors from Gaza. Whenever they entered during the count, we would hear their screams and the sounds of beatings. We never met them because they were prohibited from going out for yard time with us. As far as I remember, the oldest was 17 years old and the youngest was 14 years old.</w:t>
      </w:r>
    </w:p>
    <w:p w14:paraId="65E9F8D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Moreover, child detainees are also suffering from scabies and other rapidly spreading diseases due to the unhygienic and unsanitary conditions in the cells and prisons. They are permitted to shower only 1-2 times a week and were only recently provided with new clothing and undergarments.</w:t>
      </w:r>
    </w:p>
    <w:p w14:paraId="5A0B4F15"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The child detainees are no longer supervised by an adult detainee. They are interrogated and questioned without the presence of a lawyer or family member—a practice that has been in place since before 7 October 2023. Furthermore, they are barred from receiving any family visits, and none of the children have had any contact with their families since their detention.</w:t>
      </w:r>
    </w:p>
    <w:p w14:paraId="6F6F1F78"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Moreover, many children are injured during violent arrests by the IOF and are subsequently detained and transferred to prisons or detention centres without receiving any medical attention. These children often endure days with untreated injuries, which could eventually lead to their killing. In one instance, 16-year-old </w:t>
      </w:r>
      <w:r w:rsidRPr="00AC7E31">
        <w:rPr>
          <w:rFonts w:asciiTheme="majorBidi" w:eastAsia="Times New Roman" w:hAnsiTheme="majorBidi" w:cstheme="majorBidi"/>
          <w:b/>
          <w:sz w:val="24"/>
          <w:szCs w:val="24"/>
        </w:rPr>
        <w:t>M.S.</w:t>
      </w:r>
      <w:r w:rsidRPr="00AC7E31">
        <w:rPr>
          <w:rFonts w:asciiTheme="majorBidi" w:eastAsia="Times New Roman" w:hAnsiTheme="majorBidi" w:cstheme="majorBidi"/>
          <w:sz w:val="24"/>
          <w:szCs w:val="24"/>
        </w:rPr>
        <w:t xml:space="preserve"> was shot by the IOF during his arrest and detained before being transferred to a hospital, where he succumbed to his injuries. Additionally, child detainees from Gaza are held with shrapnel still lodged in their limbs.</w:t>
      </w:r>
    </w:p>
    <w:p w14:paraId="23DA3984"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a testimony collected by a lawyer, </w:t>
      </w:r>
      <w:r w:rsidRPr="00AC7E31">
        <w:rPr>
          <w:rFonts w:asciiTheme="majorBidi" w:eastAsia="Times New Roman" w:hAnsiTheme="majorBidi" w:cstheme="majorBidi"/>
          <w:b/>
          <w:sz w:val="24"/>
          <w:szCs w:val="24"/>
        </w:rPr>
        <w:t>I.H.</w:t>
      </w:r>
      <w:r w:rsidRPr="00AC7E31">
        <w:rPr>
          <w:rFonts w:asciiTheme="majorBidi" w:eastAsia="Times New Roman" w:hAnsiTheme="majorBidi" w:cstheme="majorBidi"/>
          <w:sz w:val="24"/>
          <w:szCs w:val="24"/>
        </w:rPr>
        <w:t>, 16, from Gaza,</w:t>
      </w:r>
      <w:r w:rsidRPr="00AC7E31">
        <w:rPr>
          <w:rFonts w:asciiTheme="majorBidi" w:eastAsia="Times New Roman" w:hAnsiTheme="majorBidi" w:cstheme="majorBidi"/>
          <w:b/>
          <w:sz w:val="24"/>
          <w:szCs w:val="24"/>
        </w:rPr>
        <w:t xml:space="preserve"> </w:t>
      </w:r>
      <w:r w:rsidRPr="00AC7E31">
        <w:rPr>
          <w:rFonts w:asciiTheme="majorBidi" w:eastAsia="Times New Roman" w:hAnsiTheme="majorBidi" w:cstheme="majorBidi"/>
          <w:sz w:val="24"/>
          <w:szCs w:val="24"/>
        </w:rPr>
        <w:t xml:space="preserve">recalled, “When I was arrested, I was forced to strip down to my underwear, and stay in only my boxer shorts. They handcuffed my hands behind my back, blindfolded me, and the soldier asked for my ID number. After confirming my identity, the soldier beat me until I lost consciousness. They then moved me to one of the houses and interrogated me. I responded that I was still a student and had no connection with Hamas. After that, I was beaten and forced to kneel all night. In the morning, the soldiers took me to a truck and made me sit on the floor of the truck, where I was not allowed to speak to anyone. [I.H. estimates that he remained in the truck for about three hours.] Then, they moved me to </w:t>
      </w:r>
      <w:r w:rsidRPr="00AC7E31">
        <w:rPr>
          <w:rFonts w:asciiTheme="majorBidi" w:eastAsia="Times New Roman" w:hAnsiTheme="majorBidi" w:cstheme="majorBidi"/>
          <w:sz w:val="24"/>
          <w:szCs w:val="24"/>
        </w:rPr>
        <w:lastRenderedPageBreak/>
        <w:t>a demolished house, where I was beaten again and placed in a cold refrigerator. I was whipped on my back with a wire. Afterward, they took me out to a place that resembled a yard, where they assaulted and insulted me. I felt as if someone passed a knife over my thigh, and I felt blood running down my leg. A needle was inserted into my hand, causing me excruciating pain.” I.H. estimates that the beating continued for more than an hour. After that, the soldiers dragged him to a truck and put him in what he thinks is a cargo vehicle to a detention facility.</w:t>
      </w:r>
    </w:p>
    <w:p w14:paraId="2D756A4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another testimony collected by a lawyer, </w:t>
      </w:r>
      <w:r w:rsidRPr="00AC7E31">
        <w:rPr>
          <w:rFonts w:asciiTheme="majorBidi" w:eastAsia="Times New Roman" w:hAnsiTheme="majorBidi" w:cstheme="majorBidi"/>
          <w:b/>
          <w:sz w:val="24"/>
          <w:szCs w:val="24"/>
        </w:rPr>
        <w:t>R.A.</w:t>
      </w:r>
      <w:r w:rsidRPr="00AC7E31">
        <w:rPr>
          <w:rFonts w:asciiTheme="majorBidi" w:eastAsia="Times New Roman" w:hAnsiTheme="majorBidi" w:cstheme="majorBidi"/>
          <w:sz w:val="24"/>
          <w:szCs w:val="24"/>
        </w:rPr>
        <w:t xml:space="preserve">, 17, from Gaza, states, “I was arrested on 17 March 2024, on the first day of the raid on Al-Shifa Hospital, [as I was being treated,] having been injured by shrapnel from an F-16 missile that targeted a shelter school for displaced people. I was detained for 18 days in a place similar to barracks without any charges and then released. I was injured by shrapnel all over my body, with the most severe damage to my right hand. My condition was difficult, and I stayed in Al-Shifa Hospital for treatment. At around 2 AM, I woke up to the sound of missile strikes targeting a place near Al-Shifa Hospital, followed by heavy gunfire. We didn’t know what was happening around us. After about half an hour, the army announced over a megaphone, ‘Al-Shifa is surrounded’. I remained in my place until the evening, and throughout that time, there were sounds of clashes and explosions around the hospital, but they did not enter the buildings. Just before </w:t>
      </w:r>
      <w:r w:rsidRPr="00AC7E31">
        <w:rPr>
          <w:rFonts w:asciiTheme="majorBidi" w:eastAsia="Times New Roman" w:hAnsiTheme="majorBidi" w:cstheme="majorBidi"/>
          <w:i/>
          <w:sz w:val="24"/>
          <w:szCs w:val="24"/>
        </w:rPr>
        <w:t>iftar</w:t>
      </w:r>
      <w:r w:rsidRPr="00AC7E31">
        <w:rPr>
          <w:rFonts w:asciiTheme="majorBidi" w:eastAsia="Times New Roman" w:hAnsiTheme="majorBidi" w:cstheme="majorBidi"/>
          <w:sz w:val="24"/>
          <w:szCs w:val="24"/>
        </w:rPr>
        <w:t>, around evening time during Ramadan, the army announced through the megaphone, ‘Men aged 15 and above, all come down to the yard’. They also contacted the doctors inside the building and ordered them to bring down the men in groups. They blindfolded me and presented me to a person who asked me medical questions while I was still restrained. He briefly removed the blindfold and asked me medical questions. I told him I had shrapnel in my legs and head, and my right hand was injured at the joint and still being treated. He replied, ‘This is not a hospital; we can't do anything for you’.”</w:t>
      </w:r>
    </w:p>
    <w:p w14:paraId="40EA9C51"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PCHR has also so far collected testimonies from 72 released prisoners, from Gaza, detained after 7 October 2023. Individuals interviewed by PCHR testified about their arrests, which occurred in various settings, including homes, schools, hospitals, and checkpoints, as individuals attempted to flee bombardments or seek shelter.</w:t>
      </w:r>
    </w:p>
    <w:p w14:paraId="042703FC"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One of the children arrested by the IOF, </w:t>
      </w:r>
      <w:r w:rsidRPr="00AC7E31">
        <w:rPr>
          <w:rFonts w:asciiTheme="majorBidi" w:eastAsia="Times New Roman" w:hAnsiTheme="majorBidi" w:cstheme="majorBidi"/>
          <w:b/>
          <w:sz w:val="24"/>
          <w:szCs w:val="24"/>
        </w:rPr>
        <w:t>F.H.</w:t>
      </w:r>
      <w:r w:rsidRPr="00AC7E31">
        <w:rPr>
          <w:rFonts w:asciiTheme="majorBidi" w:eastAsia="Times New Roman" w:hAnsiTheme="majorBidi" w:cstheme="majorBidi"/>
          <w:sz w:val="24"/>
          <w:szCs w:val="24"/>
        </w:rPr>
        <w:t xml:space="preserve">, 16, from Jabalya, gave his testimony to PCHR. He was staying with his family in Jabalya north of the Gaza Strip when the IOF’s tanks and bulldozers invaded the area. They escaped to his grandfather’s house, which was around 200 metres away, under intense bombardment, where they remained for two days without food or water. As a result of hunger, they decided to leave the house raising the white flag and found two Israeli soldiers pointing their weapons at them, ordering them to put their hands on their heads and kneel. The soldiers separated women from men, ordering men to raise their hands and kneel while women were told to walk away and leave the area. </w:t>
      </w:r>
    </w:p>
    <w:p w14:paraId="270200D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According to </w:t>
      </w:r>
      <w:r w:rsidRPr="00AC7E31">
        <w:rPr>
          <w:rFonts w:asciiTheme="majorBidi" w:eastAsia="Times New Roman" w:hAnsiTheme="majorBidi" w:cstheme="majorBidi"/>
          <w:b/>
          <w:sz w:val="24"/>
          <w:szCs w:val="24"/>
        </w:rPr>
        <w:t>F.H.</w:t>
      </w:r>
      <w:r w:rsidRPr="00AC7E31">
        <w:rPr>
          <w:rFonts w:asciiTheme="majorBidi" w:eastAsia="Times New Roman" w:hAnsiTheme="majorBidi" w:cstheme="majorBidi"/>
          <w:sz w:val="24"/>
          <w:szCs w:val="24"/>
        </w:rPr>
        <w:t xml:space="preserve">, Israeli soldiers called on the women to come and take their children with them, and when his mother tried to take him, the soldier ordered her to leave. In his testimony to PCHR, he said, “[My mother] told him that I was 15 years old and still young, so he called another soldier who came with a device and asked for my name and ID number, but I told him I did not have an ID card. The soldier then stepped toward my father and took his ID and gave it back to him. He checked on a device and then told my mom that they would take me.  My mom begged them to release me and cried </w:t>
      </w:r>
      <w:r w:rsidRPr="00AC7E31">
        <w:rPr>
          <w:rFonts w:asciiTheme="majorBidi" w:eastAsia="Times New Roman" w:hAnsiTheme="majorBidi" w:cstheme="majorBidi"/>
          <w:sz w:val="24"/>
          <w:szCs w:val="24"/>
        </w:rPr>
        <w:lastRenderedPageBreak/>
        <w:t>a lot to convince them I was a child but the soldier forcefully pushed her and she fell on the ground.  He ordered her to leave and she left in tears.”</w:t>
      </w:r>
    </w:p>
    <w:p w14:paraId="357FE097"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b/>
          <w:sz w:val="24"/>
          <w:szCs w:val="24"/>
        </w:rPr>
        <w:t xml:space="preserve">F.H. </w:t>
      </w:r>
      <w:r w:rsidRPr="00AC7E31">
        <w:rPr>
          <w:rFonts w:asciiTheme="majorBidi" w:eastAsia="Times New Roman" w:hAnsiTheme="majorBidi" w:cstheme="majorBidi"/>
          <w:sz w:val="24"/>
          <w:szCs w:val="24"/>
        </w:rPr>
        <w:t>remained in detention for 23 days where he was subjected to constant physical and psychological ill-treatment and torture, including blindfolding, beatings, insults, humiliation, sexual assault and deprivation of food and water. He recounts that on the 10</w:t>
      </w:r>
      <w:r w:rsidRPr="00AC7E31">
        <w:rPr>
          <w:rFonts w:asciiTheme="majorBidi" w:eastAsia="Times New Roman" w:hAnsiTheme="majorBidi" w:cstheme="majorBidi"/>
          <w:sz w:val="24"/>
          <w:szCs w:val="24"/>
          <w:vertAlign w:val="superscript"/>
        </w:rPr>
        <w:t>th</w:t>
      </w:r>
      <w:r w:rsidRPr="00AC7E31">
        <w:rPr>
          <w:rFonts w:asciiTheme="majorBidi" w:eastAsia="Times New Roman" w:hAnsiTheme="majorBidi" w:cstheme="majorBidi"/>
          <w:sz w:val="24"/>
          <w:szCs w:val="24"/>
        </w:rPr>
        <w:t xml:space="preserve"> day of his detention, at around 5:00 PM, several Israeli soldiers came with large dogs, ordering them to sleep on their stomach and to put their hands on their head warning them that whoever moves, “they would fuck him”. He said that while the dogs were barking and smelling them, the soldiers were insulting them and saying: “[You] are sons of bitches”. Recounting one of the days he spent in detention he said, “I was placed in a room with a tiled floor and spent two days there without food or drink. On the third day, we were taken by bus to an unknown location. They removed my handcuffs but kept a blindfold on me, ordered me to undress except for my underwear, gave me a grey jumpsuit, then shackled my hands and feet with iron chains and made me sit on a gravel floor for an hour and a half. I felt pain from the tight shackles on my wrists, so I called out to a soldier and told him the shackles hurt. He kicked me with his </w:t>
      </w:r>
      <w:proofErr w:type="spellStart"/>
      <w:r w:rsidRPr="00AC7E31">
        <w:rPr>
          <w:rFonts w:asciiTheme="majorBidi" w:eastAsia="Times New Roman" w:hAnsiTheme="majorBidi" w:cstheme="majorBidi"/>
          <w:sz w:val="24"/>
          <w:szCs w:val="24"/>
        </w:rPr>
        <w:t>Bostar</w:t>
      </w:r>
      <w:proofErr w:type="spellEnd"/>
      <w:r w:rsidRPr="00AC7E31">
        <w:rPr>
          <w:rFonts w:asciiTheme="majorBidi" w:eastAsia="Times New Roman" w:hAnsiTheme="majorBidi" w:cstheme="majorBidi"/>
          <w:sz w:val="24"/>
          <w:szCs w:val="24"/>
        </w:rPr>
        <w:t xml:space="preserve"> [military boots], struck the back of my head with the butt of his rifle, and then kicked various parts of my body. Throughout the detention, standing was forbidden; I had to sit on my knees on the ground, shackled with iron chains, and blindfolded from 5 AM to 11 PM.”</w:t>
      </w:r>
    </w:p>
    <w:p w14:paraId="00000070" w14:textId="053DF8D6"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Similarly</w:t>
      </w:r>
      <w:r w:rsidRPr="00AC7E31">
        <w:rPr>
          <w:rFonts w:asciiTheme="majorBidi" w:eastAsia="Times New Roman" w:hAnsiTheme="majorBidi" w:cstheme="majorBidi"/>
          <w:b/>
          <w:sz w:val="24"/>
          <w:szCs w:val="24"/>
        </w:rPr>
        <w:t xml:space="preserve">, </w:t>
      </w:r>
      <w:r w:rsidRPr="00AC7E31">
        <w:rPr>
          <w:rFonts w:asciiTheme="majorBidi" w:eastAsia="Times New Roman" w:hAnsiTheme="majorBidi" w:cstheme="majorBidi"/>
          <w:sz w:val="24"/>
          <w:szCs w:val="24"/>
        </w:rPr>
        <w:t xml:space="preserve">in December 2023, during the Israeli military invasion of the Zeitoun neighbourhood in Gaza City, five children from the area were arrested. The children included </w:t>
      </w:r>
      <w:r w:rsidRPr="00AC7E31">
        <w:rPr>
          <w:rFonts w:asciiTheme="majorBidi" w:eastAsia="Times New Roman" w:hAnsiTheme="majorBidi" w:cstheme="majorBidi"/>
          <w:b/>
          <w:sz w:val="24"/>
          <w:szCs w:val="24"/>
        </w:rPr>
        <w:t>R.Y.</w:t>
      </w:r>
      <w:r w:rsidRPr="00AC7E31">
        <w:rPr>
          <w:rFonts w:asciiTheme="majorBidi" w:eastAsia="Times New Roman" w:hAnsiTheme="majorBidi" w:cstheme="majorBidi"/>
          <w:sz w:val="24"/>
          <w:szCs w:val="24"/>
        </w:rPr>
        <w:t xml:space="preserve">, 15; </w:t>
      </w:r>
      <w:r w:rsidRPr="00AC7E31">
        <w:rPr>
          <w:rFonts w:asciiTheme="majorBidi" w:eastAsia="Times New Roman" w:hAnsiTheme="majorBidi" w:cstheme="majorBidi"/>
          <w:b/>
          <w:sz w:val="24"/>
          <w:szCs w:val="24"/>
        </w:rPr>
        <w:t>M.Y.</w:t>
      </w:r>
      <w:r w:rsidRPr="00AC7E31">
        <w:rPr>
          <w:rFonts w:asciiTheme="majorBidi" w:eastAsia="Times New Roman" w:hAnsiTheme="majorBidi" w:cstheme="majorBidi"/>
          <w:sz w:val="24"/>
          <w:szCs w:val="24"/>
        </w:rPr>
        <w:t xml:space="preserve">, 13; and </w:t>
      </w:r>
      <w:r w:rsidRPr="00AC7E31">
        <w:rPr>
          <w:rFonts w:asciiTheme="majorBidi" w:eastAsia="Times New Roman" w:hAnsiTheme="majorBidi" w:cstheme="majorBidi"/>
          <w:b/>
          <w:sz w:val="24"/>
          <w:szCs w:val="24"/>
        </w:rPr>
        <w:t>A.Y.</w:t>
      </w:r>
      <w:r w:rsidRPr="00AC7E31">
        <w:rPr>
          <w:rFonts w:asciiTheme="majorBidi" w:eastAsia="Times New Roman" w:hAnsiTheme="majorBidi" w:cstheme="majorBidi"/>
          <w:sz w:val="24"/>
          <w:szCs w:val="24"/>
        </w:rPr>
        <w:t xml:space="preserve">, 12. Their cousins were </w:t>
      </w:r>
      <w:r w:rsidRPr="00AC7E31">
        <w:rPr>
          <w:rFonts w:asciiTheme="majorBidi" w:eastAsia="Times New Roman" w:hAnsiTheme="majorBidi" w:cstheme="majorBidi"/>
          <w:b/>
          <w:sz w:val="24"/>
          <w:szCs w:val="24"/>
        </w:rPr>
        <w:t>M.Y.</w:t>
      </w:r>
      <w:r w:rsidRPr="00AC7E31">
        <w:rPr>
          <w:rFonts w:asciiTheme="majorBidi" w:eastAsia="Times New Roman" w:hAnsiTheme="majorBidi" w:cstheme="majorBidi"/>
          <w:sz w:val="24"/>
          <w:szCs w:val="24"/>
        </w:rPr>
        <w:t>, 10, who is visually impaired and suffers from developmental issues such as short stature, and his brother</w:t>
      </w:r>
      <w:r w:rsidRPr="00AC7E31">
        <w:rPr>
          <w:rFonts w:asciiTheme="majorBidi" w:eastAsia="Times New Roman" w:hAnsiTheme="majorBidi" w:cstheme="majorBidi"/>
          <w:b/>
          <w:sz w:val="24"/>
          <w:szCs w:val="24"/>
        </w:rPr>
        <w:t xml:space="preserve"> M.Y.</w:t>
      </w:r>
      <w:r w:rsidRPr="00AC7E31">
        <w:rPr>
          <w:rFonts w:asciiTheme="majorBidi" w:eastAsia="Times New Roman" w:hAnsiTheme="majorBidi" w:cstheme="majorBidi"/>
          <w:sz w:val="24"/>
          <w:szCs w:val="24"/>
        </w:rPr>
        <w:t>, 15. They were arrested by the IOF along with their parents and several relatives on the evening of Wednesday, 20 December 2023, while they were staying in a house they had evacuated to in Wadi Al-</w:t>
      </w:r>
      <w:proofErr w:type="spellStart"/>
      <w:r w:rsidRPr="00AC7E31">
        <w:rPr>
          <w:rFonts w:asciiTheme="majorBidi" w:eastAsia="Times New Roman" w:hAnsiTheme="majorBidi" w:cstheme="majorBidi"/>
          <w:sz w:val="24"/>
          <w:szCs w:val="24"/>
        </w:rPr>
        <w:t>A’rays</w:t>
      </w:r>
      <w:proofErr w:type="spellEnd"/>
      <w:r w:rsidRPr="00AC7E31">
        <w:rPr>
          <w:rFonts w:asciiTheme="majorBidi" w:eastAsia="Times New Roman" w:hAnsiTheme="majorBidi" w:cstheme="majorBidi"/>
          <w:sz w:val="24"/>
          <w:szCs w:val="24"/>
        </w:rPr>
        <w:t xml:space="preserve">, Zeitoun. They were detained for three days and they were tortured and abused until released on 24 December 2023. </w:t>
      </w:r>
      <w:r w:rsidRPr="00AC7E31">
        <w:rPr>
          <w:rFonts w:asciiTheme="majorBidi" w:eastAsia="Times New Roman" w:hAnsiTheme="majorBidi" w:cstheme="majorBidi"/>
          <w:b/>
          <w:sz w:val="24"/>
          <w:szCs w:val="24"/>
        </w:rPr>
        <w:t xml:space="preserve">R.Y. </w:t>
      </w:r>
      <w:r w:rsidRPr="00AC7E31">
        <w:rPr>
          <w:rFonts w:asciiTheme="majorBidi" w:eastAsia="Times New Roman" w:hAnsiTheme="majorBidi" w:cstheme="majorBidi"/>
          <w:sz w:val="24"/>
          <w:szCs w:val="24"/>
        </w:rPr>
        <w:t>told PCHR:</w:t>
      </w:r>
    </w:p>
    <w:p w14:paraId="00000071"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The IOF tied my hands behind my back, blindfolded me, put me, my brothers and my cousins in a light green truck, then took us to the Sea Road in the Nabulsi area for interrogation, and I felt a deep fear of the unknown, especially when I saw the soldiers and weapons. They took me down and asked me to walk a long distance on foot. I don’t know which way I walked because I was blindfolded and handcuffed. After we reached a certain point where there was a checkpoint, the army called out to me, my brothers and my cousins one by one for interrogation. The army first asked us to go to a residential building in the area and interrogated me there. </w:t>
      </w:r>
    </w:p>
    <w:p w14:paraId="00000072" w14:textId="28B74BB8"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They asked me about people in my neighbourhood if any of them belongs to Hamas, when I told them I didn’t know, they beat me with their hands while holding iron bars, and when I cried or screamed, they beat even more, dozens times, on my chest and head with the butts of their rifles, and I watched them extinguish their cigarette butts on the back and neck of my [10-year-old] cousin</w:t>
      </w:r>
      <w:r w:rsidR="003407A5">
        <w:rPr>
          <w:rFonts w:asciiTheme="majorBidi" w:eastAsia="Times New Roman" w:hAnsiTheme="majorBidi" w:cstheme="majorBidi"/>
          <w:sz w:val="24"/>
          <w:szCs w:val="24"/>
        </w:rPr>
        <w:t xml:space="preserve"> with disability</w:t>
      </w:r>
      <w:r w:rsidRPr="00AC7E31">
        <w:rPr>
          <w:rFonts w:asciiTheme="majorBidi" w:eastAsia="Times New Roman" w:hAnsiTheme="majorBidi" w:cstheme="majorBidi"/>
          <w:sz w:val="24"/>
          <w:szCs w:val="24"/>
        </w:rPr>
        <w:t>, M.Y.</w:t>
      </w:r>
    </w:p>
    <w:p w14:paraId="00000073" w14:textId="2A58AC0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When they finished interrogating me, they ordered me, my brothers and my cousins to take off our clothes and put on ‘pampers’ while they used immoral </w:t>
      </w:r>
      <w:r w:rsidRPr="00AC7E31">
        <w:rPr>
          <w:rFonts w:asciiTheme="majorBidi" w:eastAsia="Times New Roman" w:hAnsiTheme="majorBidi" w:cstheme="majorBidi"/>
          <w:sz w:val="24"/>
          <w:szCs w:val="24"/>
        </w:rPr>
        <w:lastRenderedPageBreak/>
        <w:t>and insulting words to all of us, such as, ‘We want to rape your mothers and sisters, you are filthy\impure children, terrorists, saboteurs,</w:t>
      </w:r>
      <w:r w:rsidR="003407A5">
        <w:rPr>
          <w:rFonts w:asciiTheme="majorBidi" w:eastAsia="Times New Roman" w:hAnsiTheme="majorBidi" w:cstheme="majorBidi"/>
          <w:sz w:val="24"/>
          <w:szCs w:val="24"/>
        </w:rPr>
        <w:t>’</w:t>
      </w:r>
      <w:r w:rsidRPr="00AC7E31">
        <w:rPr>
          <w:rFonts w:asciiTheme="majorBidi" w:eastAsia="Times New Roman" w:hAnsiTheme="majorBidi" w:cstheme="majorBidi"/>
          <w:sz w:val="24"/>
          <w:szCs w:val="24"/>
        </w:rPr>
        <w:t xml:space="preserve"> and especially pointing to my [10-year-old] cousin</w:t>
      </w:r>
      <w:r w:rsidR="003407A5">
        <w:rPr>
          <w:rFonts w:asciiTheme="majorBidi" w:eastAsia="Times New Roman" w:hAnsiTheme="majorBidi" w:cstheme="majorBidi"/>
          <w:sz w:val="24"/>
          <w:szCs w:val="24"/>
        </w:rPr>
        <w:t xml:space="preserve"> with disability,</w:t>
      </w:r>
      <w:r w:rsidRPr="00AC7E31">
        <w:rPr>
          <w:rFonts w:asciiTheme="majorBidi" w:eastAsia="Times New Roman" w:hAnsiTheme="majorBidi" w:cstheme="majorBidi"/>
          <w:sz w:val="24"/>
          <w:szCs w:val="24"/>
        </w:rPr>
        <w:t xml:space="preserve"> M.Y., and saying, </w:t>
      </w:r>
      <w:r w:rsidR="003407A5">
        <w:rPr>
          <w:rFonts w:asciiTheme="majorBidi" w:eastAsia="Times New Roman" w:hAnsiTheme="majorBidi" w:cstheme="majorBidi"/>
          <w:sz w:val="24"/>
          <w:szCs w:val="24"/>
        </w:rPr>
        <w:t>‘</w:t>
      </w:r>
      <w:r w:rsidRPr="00AC7E31">
        <w:rPr>
          <w:rFonts w:asciiTheme="majorBidi" w:eastAsia="Times New Roman" w:hAnsiTheme="majorBidi" w:cstheme="majorBidi"/>
          <w:sz w:val="24"/>
          <w:szCs w:val="24"/>
        </w:rPr>
        <w:t>You are a</w:t>
      </w:r>
      <w:r w:rsidR="00AC7E31">
        <w:rPr>
          <w:rFonts w:asciiTheme="majorBidi" w:eastAsia="Times New Roman" w:hAnsiTheme="majorBidi" w:cstheme="majorBidi"/>
          <w:sz w:val="24"/>
          <w:szCs w:val="24"/>
        </w:rPr>
        <w:t xml:space="preserve"> </w:t>
      </w:r>
      <w:proofErr w:type="spellStart"/>
      <w:r w:rsidR="00AC7E31" w:rsidRPr="00AC7E31">
        <w:rPr>
          <w:rFonts w:asciiTheme="majorBidi" w:eastAsia="Times New Roman" w:hAnsiTheme="majorBidi" w:cstheme="majorBidi"/>
          <w:i/>
          <w:iCs/>
          <w:sz w:val="24"/>
          <w:szCs w:val="24"/>
        </w:rPr>
        <w:t>nukhba</w:t>
      </w:r>
      <w:proofErr w:type="spellEnd"/>
      <w:r w:rsidRPr="00AC7E31">
        <w:rPr>
          <w:rFonts w:asciiTheme="majorBidi" w:eastAsia="Times New Roman" w:hAnsiTheme="majorBidi" w:cstheme="majorBidi"/>
          <w:sz w:val="24"/>
          <w:szCs w:val="24"/>
        </w:rPr>
        <w:t xml:space="preserve"> child affiliated with Hamas</w:t>
      </w:r>
      <w:r w:rsidR="003407A5">
        <w:rPr>
          <w:rFonts w:asciiTheme="majorBidi" w:eastAsia="Times New Roman" w:hAnsiTheme="majorBidi" w:cstheme="majorBidi"/>
          <w:sz w:val="24"/>
          <w:szCs w:val="24"/>
        </w:rPr>
        <w:t>’.”</w:t>
      </w:r>
    </w:p>
    <w:p w14:paraId="00000074"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When I asked for water to drink, one of the soldiers would throw the water on the ground and say, ‘Lick the water like a dog.’ My brothers would ask to go to the toilet over and over again and they would say, ‘Pee on yourselves’. In fact, out of fear and not going to the toilet for hours, they would urinate on themselves. </w:t>
      </w:r>
    </w:p>
    <w:p w14:paraId="00000075"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We were all crying and telling them that we wanted to go to our parents, and they threw bottles of alcohol over our heads and said, ‘You will get drunk and work for us’.</w:t>
      </w:r>
    </w:p>
    <w:p w14:paraId="00000076" w14:textId="2E52D105"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Then they put all of us, me, my brothers and my cousins, in the freezing cold in the rain for five hours and then put us in a hole, shivering with cold and fear, handcuffed, blindfolded, hearing my brothers and cousins crying, especially my </w:t>
      </w:r>
      <w:r w:rsidR="003407A5">
        <w:rPr>
          <w:rFonts w:asciiTheme="majorBidi" w:eastAsia="Times New Roman" w:hAnsiTheme="majorBidi" w:cstheme="majorBidi"/>
          <w:sz w:val="24"/>
          <w:szCs w:val="24"/>
        </w:rPr>
        <w:t xml:space="preserve">ten-year-old </w:t>
      </w:r>
      <w:r w:rsidRPr="00AC7E31">
        <w:rPr>
          <w:rFonts w:asciiTheme="majorBidi" w:eastAsia="Times New Roman" w:hAnsiTheme="majorBidi" w:cstheme="majorBidi"/>
          <w:sz w:val="24"/>
          <w:szCs w:val="24"/>
        </w:rPr>
        <w:t>cousin, M.Y.</w:t>
      </w:r>
      <w:r w:rsidR="003407A5">
        <w:rPr>
          <w:rFonts w:asciiTheme="majorBidi" w:eastAsia="Times New Roman" w:hAnsiTheme="majorBidi" w:cstheme="majorBidi"/>
          <w:sz w:val="24"/>
          <w:szCs w:val="24"/>
        </w:rPr>
        <w:t>,</w:t>
      </w:r>
      <w:r w:rsidRPr="00AC7E31">
        <w:rPr>
          <w:rFonts w:asciiTheme="majorBidi" w:eastAsia="Times New Roman" w:hAnsiTheme="majorBidi" w:cstheme="majorBidi"/>
          <w:sz w:val="24"/>
          <w:szCs w:val="24"/>
        </w:rPr>
        <w:t xml:space="preserve"> I felt completely helpless. They were deliberately trying to intimidate us even more, as Israeli army tanks were driving in circles around the hole, causing dust and sand to fall on our heads. </w:t>
      </w:r>
    </w:p>
    <w:p w14:paraId="00000077" w14:textId="77777777" w:rsidR="00553FDC" w:rsidRPr="00AC7E31" w:rsidRDefault="003E471C" w:rsidP="00AC7E31">
      <w:pPr>
        <w:spacing w:before="240" w:after="240" w:line="240" w:lineRule="auto"/>
        <w:ind w:left="1134" w:right="526"/>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After four hours, the army asked us to get out of the hole, and I was helping my brothers and cousins climb out of the hole. After we got out of the hole, the Israeli army asked us to take off our pampers, leaving us naked without a boxer and barefoot, and then ordered us to head south on foot. I felt humiliated, ashamed and very embarrassed. I lost my sense of security, especially in light of my father’s absence and the fact that my mother stayed in Gaza and didn’t move to the south.</w:t>
      </w:r>
    </w:p>
    <w:p w14:paraId="0752656C" w14:textId="40D95711"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In light of the above, we urge the Committee to recognise that Israel has institutionalised the use of arbitrary detention, arrest, enforced disappearance, ill-treatment and torture, including sexual torture, of Palestinian residents of Gaza, including children, and, that these policies and practices amount to the genocidal act of “causing serious bodily or mental harm to members of the group”. Moreover, we urge the Committee to call on Israel to promptly release all Palestinian children currently held in its detention facilities and prisons, and to end its widespread and systematic use of arbitrary detention, including administrative detention, and the commission of torture and other ill-treatment, including sexual violence against Palestinian child detainees and prisoners. We further urge the Committee to call on Israel to grant access to legal representation and the ICRC to all Palestinians detainees and those forcibly disappeared, including children, in order to assess the conditions of detention, to investigate and disclose the conditions and whereabouts of the detained individuals to alleviate the distress of their families. </w:t>
      </w:r>
    </w:p>
    <w:p w14:paraId="00000079" w14:textId="77777777" w:rsidR="00553FDC" w:rsidRPr="00AC7E31" w:rsidRDefault="003E471C" w:rsidP="00AC7E31">
      <w:pPr>
        <w:numPr>
          <w:ilvl w:val="0"/>
          <w:numId w:val="3"/>
        </w:numPr>
        <w:spacing w:before="240" w:after="240" w:line="240" w:lineRule="auto"/>
        <w:jc w:val="both"/>
        <w:rPr>
          <w:rFonts w:asciiTheme="majorBidi" w:eastAsia="Times New Roman" w:hAnsiTheme="majorBidi" w:cstheme="majorBidi"/>
          <w:b/>
          <w:sz w:val="24"/>
          <w:szCs w:val="24"/>
        </w:rPr>
      </w:pPr>
      <w:r w:rsidRPr="00AC7E31">
        <w:rPr>
          <w:rFonts w:asciiTheme="majorBidi" w:eastAsia="Times New Roman" w:hAnsiTheme="majorBidi" w:cstheme="majorBidi"/>
          <w:b/>
          <w:sz w:val="24"/>
          <w:szCs w:val="24"/>
        </w:rPr>
        <w:t xml:space="preserve">Family Reunification </w:t>
      </w:r>
    </w:p>
    <w:p w14:paraId="2C684CA7" w14:textId="38516A26"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Palestinian Jerusalemites are especially vulnerable and affected by discriminatory Israeli nationality, citizenship and immigration laws. Following the unlawful occupation and annexation of their city, Israel granted Palestinian Jerusalemites an </w:t>
      </w:r>
      <w:r w:rsidRPr="00AC7E31">
        <w:rPr>
          <w:rFonts w:asciiTheme="majorBidi" w:eastAsia="Times New Roman" w:hAnsiTheme="majorBidi" w:cstheme="majorBidi"/>
          <w:sz w:val="24"/>
          <w:szCs w:val="24"/>
        </w:rPr>
        <w:lastRenderedPageBreak/>
        <w:t>inferior and precarious civil status, “a permanent residency,” which effectively defines them as foreigners in their home town and country.</w:t>
      </w:r>
      <w:r w:rsidRPr="00AC7E31">
        <w:rPr>
          <w:rFonts w:asciiTheme="majorBidi" w:hAnsiTheme="majorBidi" w:cstheme="majorBidi"/>
          <w:sz w:val="24"/>
          <w:szCs w:val="24"/>
          <w:vertAlign w:val="superscript"/>
        </w:rPr>
        <w:footnoteReference w:id="32"/>
      </w:r>
      <w:r w:rsidRPr="00AC7E31">
        <w:rPr>
          <w:rFonts w:asciiTheme="majorBidi" w:eastAsia="Times New Roman" w:hAnsiTheme="majorBidi" w:cstheme="majorBidi"/>
          <w:sz w:val="24"/>
          <w:szCs w:val="24"/>
        </w:rPr>
        <w:t xml:space="preserve"> As opposed to citizenship, permanent residency is an inferior and precarious civil status that can be easily revoked based on many grounds, as holders of permanent residency do not enjoy an unconditional right to stay in Jerusalem, and decisions regarding retaining or revoking their civil status are at the discretion of the Minister of Interior. This distinction between the civil status of illegal Israeli settlers and Palestinians in Jerusalem is a cornerstone of Israel’s apartheid regime, and is designed to serve the paramount objective of maintaining a solid Jewish-Israeli majority, including within Jerusalem’s overall population.</w:t>
      </w:r>
      <w:r w:rsidRPr="00AC7E31">
        <w:rPr>
          <w:rFonts w:asciiTheme="majorBidi" w:hAnsiTheme="majorBidi" w:cstheme="majorBidi"/>
          <w:sz w:val="24"/>
          <w:szCs w:val="24"/>
          <w:vertAlign w:val="superscript"/>
        </w:rPr>
        <w:footnoteReference w:id="33"/>
      </w:r>
    </w:p>
    <w:p w14:paraId="19C7F476"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The precariousness of Palestinian residency rights in Jerusalem is rooted in the Entry into Israel Law of 1952,</w:t>
      </w:r>
      <w:r w:rsidRPr="00AC7E31">
        <w:rPr>
          <w:rFonts w:asciiTheme="majorBidi" w:hAnsiTheme="majorBidi" w:cstheme="majorBidi"/>
          <w:sz w:val="24"/>
          <w:szCs w:val="24"/>
          <w:vertAlign w:val="superscript"/>
        </w:rPr>
        <w:footnoteReference w:id="34"/>
      </w:r>
      <w:r w:rsidRPr="00AC7E31">
        <w:rPr>
          <w:rFonts w:asciiTheme="majorBidi" w:eastAsia="Times New Roman" w:hAnsiTheme="majorBidi" w:cstheme="majorBidi"/>
          <w:sz w:val="24"/>
          <w:szCs w:val="24"/>
        </w:rPr>
        <w:t xml:space="preserve"> which grants the Israeli Minister of Interior the authority to revoke residency permits. Since 1967, over 14,800 Palestinians have had their residency revoked, often on grounds such as prolonged absence from the city or failure to prove that their “centre of life” is in Jerusalem.</w:t>
      </w:r>
      <w:r w:rsidRPr="00AC7E31">
        <w:rPr>
          <w:rFonts w:asciiTheme="majorBidi" w:hAnsiTheme="majorBidi" w:cstheme="majorBidi"/>
          <w:sz w:val="24"/>
          <w:szCs w:val="24"/>
          <w:vertAlign w:val="superscript"/>
        </w:rPr>
        <w:footnoteReference w:id="35"/>
      </w:r>
      <w:r w:rsidRPr="00AC7E31">
        <w:rPr>
          <w:rFonts w:asciiTheme="majorBidi" w:eastAsia="Times New Roman" w:hAnsiTheme="majorBidi" w:cstheme="majorBidi"/>
          <w:sz w:val="24"/>
          <w:szCs w:val="24"/>
        </w:rPr>
        <w:t xml:space="preserve"> This practice not only undermines the viability of Palestinians to remain in Jerusalem, but also contributes to a climate of fear and insecurity among Palestinian Jerusalemites.</w:t>
      </w:r>
    </w:p>
    <w:p w14:paraId="1CD63D1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In 2003, Israel enacted the Citizenship and Entry into Israel Law (Temporary Order).</w:t>
      </w:r>
      <w:r w:rsidRPr="00AC7E31">
        <w:rPr>
          <w:rFonts w:asciiTheme="majorBidi" w:hAnsiTheme="majorBidi" w:cstheme="majorBidi"/>
          <w:sz w:val="24"/>
          <w:szCs w:val="24"/>
          <w:vertAlign w:val="superscript"/>
        </w:rPr>
        <w:footnoteReference w:id="36"/>
      </w:r>
      <w:r w:rsidRPr="00AC7E31">
        <w:rPr>
          <w:rFonts w:asciiTheme="majorBidi" w:eastAsia="Times New Roman" w:hAnsiTheme="majorBidi" w:cstheme="majorBidi"/>
          <w:sz w:val="24"/>
          <w:szCs w:val="24"/>
        </w:rPr>
        <w:t xml:space="preserve"> The temporary order bans family reunification for Palestinians when one spouse is a resident of the West Bank – excluding Jerusalem – or the Gaza Strip, and the other spouse is a resident of occupied Jerusalem and holders of Israeli citizenships. </w:t>
      </w:r>
    </w:p>
    <w:p w14:paraId="104F106C"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Although the aforementioned Law was introduced as a temporary order, it has been repeatedly extended and remains in force today.</w:t>
      </w:r>
      <w:r w:rsidRPr="00AC7E31">
        <w:rPr>
          <w:rFonts w:asciiTheme="majorBidi" w:hAnsiTheme="majorBidi" w:cstheme="majorBidi"/>
          <w:sz w:val="24"/>
          <w:szCs w:val="24"/>
          <w:vertAlign w:val="superscript"/>
        </w:rPr>
        <w:footnoteReference w:id="37"/>
      </w:r>
      <w:r w:rsidRPr="00AC7E31">
        <w:rPr>
          <w:rFonts w:asciiTheme="majorBidi" w:eastAsia="Times New Roman" w:hAnsiTheme="majorBidi" w:cstheme="majorBidi"/>
          <w:sz w:val="24"/>
          <w:szCs w:val="24"/>
        </w:rPr>
        <w:t xml:space="preserve"> The Law is a clear example of institutional discrimination, targeting Palestinians based on their identity and further entrenching Israel’s domination.</w:t>
      </w:r>
    </w:p>
    <w:p w14:paraId="38104A28"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Despite the general ban on family reunification, the temporary order outlines exceptions.</w:t>
      </w:r>
      <w:r w:rsidRPr="00AC7E31">
        <w:rPr>
          <w:rFonts w:asciiTheme="majorBidi" w:hAnsiTheme="majorBidi" w:cstheme="majorBidi"/>
          <w:sz w:val="24"/>
          <w:szCs w:val="24"/>
          <w:vertAlign w:val="superscript"/>
        </w:rPr>
        <w:footnoteReference w:id="38"/>
      </w:r>
      <w:r w:rsidRPr="00AC7E31">
        <w:rPr>
          <w:rFonts w:asciiTheme="majorBidi" w:eastAsia="Times New Roman" w:hAnsiTheme="majorBidi" w:cstheme="majorBidi"/>
          <w:sz w:val="24"/>
          <w:szCs w:val="24"/>
        </w:rPr>
        <w:t xml:space="preserve"> These exceptions are narrow and mainly dependent on the discretion of the Israeli Minister of Interior. The process for obtaining an Israeli-permit for the spouse from the West Bank to move and reside with their spouse in Jerusalem is complicated and can take years. Even those who manage to obtain temporary permits for family reunification face severe restrictions on their rights and freedoms, including, </w:t>
      </w:r>
      <w:r w:rsidRPr="00AC7E31">
        <w:rPr>
          <w:rFonts w:asciiTheme="majorBidi" w:eastAsia="Times New Roman" w:hAnsiTheme="majorBidi" w:cstheme="majorBidi"/>
          <w:i/>
          <w:sz w:val="24"/>
          <w:szCs w:val="24"/>
        </w:rPr>
        <w:t>inter alia</w:t>
      </w:r>
      <w:r w:rsidRPr="00AC7E31">
        <w:rPr>
          <w:rFonts w:asciiTheme="majorBidi" w:eastAsia="Times New Roman" w:hAnsiTheme="majorBidi" w:cstheme="majorBidi"/>
          <w:sz w:val="24"/>
          <w:szCs w:val="24"/>
        </w:rPr>
        <w:t xml:space="preserve">, limitations on their freedom of movement, access to healthcare, the ability to open a </w:t>
      </w:r>
      <w:r w:rsidRPr="00AC7E31">
        <w:rPr>
          <w:rFonts w:asciiTheme="majorBidi" w:eastAsia="Times New Roman" w:hAnsiTheme="majorBidi" w:cstheme="majorBidi"/>
          <w:sz w:val="24"/>
          <w:szCs w:val="24"/>
        </w:rPr>
        <w:lastRenderedPageBreak/>
        <w:t xml:space="preserve">bank account, and the right to work. Critically, the registration of children of such couples is another intricate problem, often resulting in creating a situation where the Palestinian children are deprived of their right to live in Jerusalem legally, and are forced to live elsewhere in the occupied Palestinian territory. </w:t>
      </w:r>
    </w:p>
    <w:p w14:paraId="3D369862"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Child registration in Jerusalem is fraught with challenges, particularly for families affected by the ban on family reunification. Under Israeli law, a lengthy and intricate legal process for child registration exists when the parents fall within the exceptions of the general ban on family reunification.</w:t>
      </w:r>
      <w:r w:rsidRPr="00AC7E31">
        <w:rPr>
          <w:rFonts w:asciiTheme="majorBidi" w:hAnsiTheme="majorBidi" w:cstheme="majorBidi"/>
          <w:sz w:val="24"/>
          <w:szCs w:val="24"/>
          <w:vertAlign w:val="superscript"/>
        </w:rPr>
        <w:footnoteReference w:id="39"/>
      </w:r>
      <w:r w:rsidRPr="00AC7E31">
        <w:rPr>
          <w:rFonts w:asciiTheme="majorBidi" w:eastAsia="Times New Roman" w:hAnsiTheme="majorBidi" w:cstheme="majorBidi"/>
          <w:sz w:val="24"/>
          <w:szCs w:val="24"/>
        </w:rPr>
        <w:t xml:space="preserve"> Under the procedure, the parent who holds permanent residency in Jerusalem is the only one permitted to register the child.</w:t>
      </w:r>
      <w:r w:rsidRPr="00AC7E31">
        <w:rPr>
          <w:rFonts w:asciiTheme="majorBidi" w:hAnsiTheme="majorBidi" w:cstheme="majorBidi"/>
          <w:sz w:val="24"/>
          <w:szCs w:val="24"/>
          <w:vertAlign w:val="superscript"/>
        </w:rPr>
        <w:footnoteReference w:id="40"/>
      </w:r>
      <w:r w:rsidRPr="00AC7E31">
        <w:rPr>
          <w:rFonts w:asciiTheme="majorBidi" w:eastAsia="Times New Roman" w:hAnsiTheme="majorBidi" w:cstheme="majorBidi"/>
          <w:sz w:val="24"/>
          <w:szCs w:val="24"/>
        </w:rPr>
        <w:t xml:space="preserve"> This requirement poses significant challenges for families where one parent is a resident of other parts of the West Bank. The registration process is complex, requiring expensive legal counselling and extensive documentation to prove that the child’s “centre of life” is in Jerusalem. For many Palestinian families, meeting these requirements is nearly impossible, particularly if the parent with permanent residency status is not present or unable to be present to complete the registration process. In cases of death or divorce, the child registration process becomes even more complicated, presenting significant legal and bureaucratic challenges, often resulting in disenfranchising the Palestinian child from having a civil status to be able to remain living in Jerusalem legally.</w:t>
      </w:r>
    </w:p>
    <w:p w14:paraId="29BB522B"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Children under 14 years old who apply for registration may be considered for permanent residency after a process that can take four to six years, contingent on proving the child’s “centre of life” has been in Jerusalem for the </w:t>
      </w:r>
      <w:r w:rsidRPr="00AC7E31">
        <w:rPr>
          <w:rFonts w:asciiTheme="majorBidi" w:eastAsia="Times New Roman" w:hAnsiTheme="majorBidi" w:cstheme="majorBidi"/>
          <w:sz w:val="24"/>
          <w:szCs w:val="24"/>
          <w:highlight w:val="white"/>
        </w:rPr>
        <w:t xml:space="preserve">two </w:t>
      </w:r>
      <w:r w:rsidRPr="00AC7E31">
        <w:rPr>
          <w:rFonts w:asciiTheme="majorBidi" w:eastAsia="Times New Roman" w:hAnsiTheme="majorBidi" w:cstheme="majorBidi"/>
          <w:sz w:val="24"/>
          <w:szCs w:val="24"/>
        </w:rPr>
        <w:t>years prior to the application. Children between 14 and 18 are only eligible for a stay permit that must be constantly renewed, while those over 18 are disqualified from obtaining any civil status whatsoever based on their parent’s residency, rendering them effectively stateless regardless of their place of residence.</w:t>
      </w:r>
      <w:r w:rsidRPr="00AC7E31">
        <w:rPr>
          <w:rFonts w:asciiTheme="majorBidi" w:hAnsiTheme="majorBidi" w:cstheme="majorBidi"/>
          <w:sz w:val="24"/>
          <w:szCs w:val="24"/>
          <w:vertAlign w:val="superscript"/>
        </w:rPr>
        <w:footnoteReference w:id="41"/>
      </w:r>
    </w:p>
    <w:p w14:paraId="053B23DA"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If the parent holding permanent residency dies before registering the child, the process becomes particularly convoluted. The other parent, even if holding a stay permit or temporary residency, cannot register the child without approval from a rarely convened ‘humanitarian committee’.</w:t>
      </w:r>
      <w:r w:rsidRPr="00AC7E31">
        <w:rPr>
          <w:rFonts w:asciiTheme="majorBidi" w:hAnsiTheme="majorBidi" w:cstheme="majorBidi"/>
          <w:sz w:val="24"/>
          <w:szCs w:val="24"/>
          <w:vertAlign w:val="superscript"/>
        </w:rPr>
        <w:footnoteReference w:id="42"/>
      </w:r>
      <w:r w:rsidRPr="00AC7E31">
        <w:rPr>
          <w:rFonts w:asciiTheme="majorBidi" w:eastAsia="Times New Roman" w:hAnsiTheme="majorBidi" w:cstheme="majorBidi"/>
          <w:sz w:val="24"/>
          <w:szCs w:val="24"/>
        </w:rPr>
        <w:t xml:space="preserve"> Consequently, children who were not registered before the death of the parent who holds permanent residency are likely to lose their potential </w:t>
      </w:r>
      <w:r w:rsidRPr="00AC7E31">
        <w:rPr>
          <w:rFonts w:asciiTheme="majorBidi" w:eastAsia="Times New Roman" w:hAnsiTheme="majorBidi" w:cstheme="majorBidi"/>
          <w:sz w:val="24"/>
          <w:szCs w:val="24"/>
        </w:rPr>
        <w:lastRenderedPageBreak/>
        <w:t>permanent residency status in Jerusalem, leading to a life of uncertainty and restricted rights.</w:t>
      </w:r>
    </w:p>
    <w:p w14:paraId="525F9F49"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In divorce cases, child registration becomes contingent on the custodial arrangement reached between the parents. For a child to be registered with the Israeli Population Registrar, the parent holding permanent residency must have exclusive custody.</w:t>
      </w:r>
      <w:r w:rsidRPr="00AC7E31">
        <w:rPr>
          <w:rFonts w:asciiTheme="majorBidi" w:hAnsiTheme="majorBidi" w:cstheme="majorBidi"/>
          <w:sz w:val="24"/>
          <w:szCs w:val="24"/>
          <w:vertAlign w:val="superscript"/>
        </w:rPr>
        <w:footnoteReference w:id="43"/>
      </w:r>
      <w:r w:rsidRPr="00AC7E31">
        <w:rPr>
          <w:rFonts w:asciiTheme="majorBidi" w:eastAsia="Times New Roman" w:hAnsiTheme="majorBidi" w:cstheme="majorBidi"/>
          <w:sz w:val="24"/>
          <w:szCs w:val="24"/>
          <w:vertAlign w:val="superscript"/>
        </w:rPr>
        <w:t xml:space="preserve"> </w:t>
      </w:r>
      <w:r w:rsidRPr="00AC7E31">
        <w:rPr>
          <w:rFonts w:asciiTheme="majorBidi" w:eastAsia="Times New Roman" w:hAnsiTheme="majorBidi" w:cstheme="majorBidi"/>
          <w:sz w:val="24"/>
          <w:szCs w:val="24"/>
        </w:rPr>
        <w:t>If the mother resides intermittently in the West Bank with her child, registration in Jerusalem becomes impossible. If the child resides with the father in Jerusalem, the mother must surrender all custodial rights for the child to be registered and consequently be able to reside legally in Jerusalem. Thus, children face the difficult choice between residing with both parents or separation from the West Bank parent to secure their registration and civil status in Jerusalem.</w:t>
      </w:r>
    </w:p>
    <w:p w14:paraId="3C9D96F1" w14:textId="77777777" w:rsidR="00AC7E31"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sz w:val="24"/>
          <w:szCs w:val="24"/>
        </w:rPr>
        <w:t xml:space="preserve">In conclusion, the bureaucratic hurdles and legal fetters imposed on Palestinian children positions them in perpetual uncertainty. Based on the discriminatory process of child registration, many Palestinian children are rendered stateless </w:t>
      </w:r>
      <w:r w:rsidR="00AC7E31" w:rsidRPr="00AC7E31">
        <w:rPr>
          <w:rFonts w:asciiTheme="majorBidi" w:eastAsia="Times New Roman" w:hAnsiTheme="majorBidi" w:cstheme="majorBidi"/>
          <w:sz w:val="24"/>
          <w:szCs w:val="24"/>
        </w:rPr>
        <w:t xml:space="preserve">and, in many instances, </w:t>
      </w:r>
      <w:r w:rsidRPr="00AC7E31">
        <w:rPr>
          <w:rFonts w:asciiTheme="majorBidi" w:eastAsia="Times New Roman" w:hAnsiTheme="majorBidi" w:cstheme="majorBidi"/>
          <w:sz w:val="24"/>
          <w:szCs w:val="24"/>
        </w:rPr>
        <w:t>status-less. As such, their accessibility to education, healthcare and other social services becomes impossible.</w:t>
      </w:r>
    </w:p>
    <w:p w14:paraId="00000084" w14:textId="335AC753" w:rsidR="00553FDC" w:rsidRPr="00AC7E31" w:rsidRDefault="003E471C" w:rsidP="00AC7E31">
      <w:pPr>
        <w:pStyle w:val="ListParagraph"/>
        <w:numPr>
          <w:ilvl w:val="0"/>
          <w:numId w:val="1"/>
        </w:numPr>
        <w:spacing w:before="240" w:after="240" w:line="240" w:lineRule="auto"/>
        <w:contextualSpacing w:val="0"/>
        <w:jc w:val="both"/>
        <w:rPr>
          <w:rFonts w:asciiTheme="majorBidi" w:eastAsia="Times New Roman" w:hAnsiTheme="majorBidi" w:cstheme="majorBidi"/>
          <w:sz w:val="24"/>
          <w:szCs w:val="24"/>
        </w:rPr>
      </w:pPr>
      <w:r w:rsidRPr="00AC7E31">
        <w:rPr>
          <w:rFonts w:asciiTheme="majorBidi" w:eastAsia="Times New Roman" w:hAnsiTheme="majorBidi" w:cstheme="majorBidi"/>
          <w:b/>
          <w:sz w:val="24"/>
          <w:szCs w:val="24"/>
        </w:rPr>
        <w:t xml:space="preserve">In light of the above, we urge the Committee to call on Israel to cease its discriminatory and systematic violation of the right to family to Palestinian children, and end its demographic engineering policy, as well as its fragmentation of the Palestinian people.  </w:t>
      </w:r>
    </w:p>
    <w:sectPr w:rsidR="00553FDC" w:rsidRPr="00AC7E31">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2B209" w14:textId="77777777" w:rsidR="00547BEF" w:rsidRDefault="00547BEF">
      <w:pPr>
        <w:spacing w:line="240" w:lineRule="auto"/>
      </w:pPr>
      <w:r>
        <w:separator/>
      </w:r>
    </w:p>
  </w:endnote>
  <w:endnote w:type="continuationSeparator" w:id="0">
    <w:p w14:paraId="3CBD047F" w14:textId="77777777" w:rsidR="00547BEF" w:rsidRDefault="00547B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6" w14:textId="77777777" w:rsidR="00553FDC" w:rsidRDefault="00553F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A8D19" w14:textId="77777777" w:rsidR="00547BEF" w:rsidRDefault="00547BEF">
      <w:pPr>
        <w:spacing w:line="240" w:lineRule="auto"/>
      </w:pPr>
      <w:r>
        <w:separator/>
      </w:r>
    </w:p>
  </w:footnote>
  <w:footnote w:type="continuationSeparator" w:id="0">
    <w:p w14:paraId="6167759B" w14:textId="77777777" w:rsidR="00547BEF" w:rsidRDefault="00547BEF">
      <w:pPr>
        <w:spacing w:line="240" w:lineRule="auto"/>
      </w:pPr>
      <w:r>
        <w:continuationSeparator/>
      </w:r>
    </w:p>
  </w:footnote>
  <w:footnote w:id="1">
    <w:p w14:paraId="00000087"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State of Israel, “Third Periodic Report submitted by Israel under Article 44 of the Convention”, 8 March 2019, UN Doc CRC/C/ISR/5-6 (hereinafter ‘State report’).</w:t>
      </w:r>
    </w:p>
  </w:footnote>
  <w:footnote w:id="2">
    <w:p w14:paraId="00000088"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Committee on the Rights of the Child, “List of issues in relation to the combined fifth and sixth periodic reports of Israel”, 9 March 2023, UN Doc CRC/C/ISR/Q/5-6; and Committee on the Rights of the Child, “List of issues in relation to the combined fifth and sixth periodic reports of Israel”, 8 March 2024, UN Doc CRC/C/ISR/Q/5-6/Add.1. </w:t>
      </w:r>
    </w:p>
  </w:footnote>
  <w:footnote w:id="3">
    <w:p w14:paraId="00000089"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State of Israel, “Replies of Israel to the list of issues in relation to its combined fifth and sixth periodic reports”, 19 October 2023, UN Doc CRC/C/ISR/RQ/5-6. </w:t>
      </w:r>
    </w:p>
  </w:footnote>
  <w:footnote w:id="4">
    <w:p w14:paraId="0000008A"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Convention on the Rights of the Child (adopted 20 November 1989, entry into force 2 September 1990). </w:t>
      </w:r>
    </w:p>
  </w:footnote>
  <w:footnote w:id="5">
    <w:p w14:paraId="0000008B"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International Court of Justice, “Application of the Convention on the Prevention and Punishment of the Crime of Genocide in the Gaza Strip (South Africa v. Israel) - Provisional measures”, available at: </w:t>
      </w:r>
      <w:hyperlink r:id="rId1">
        <w:r w:rsidRPr="00AC7E31">
          <w:rPr>
            <w:rFonts w:asciiTheme="majorBidi" w:eastAsia="Calibri" w:hAnsiTheme="majorBidi" w:cstheme="majorBidi"/>
            <w:color w:val="0563C1"/>
            <w:sz w:val="20"/>
            <w:szCs w:val="20"/>
            <w:u w:val="single"/>
          </w:rPr>
          <w:t>https://www.icj-cij.org/case/192/provisional-measures</w:t>
        </w:r>
      </w:hyperlink>
      <w:r w:rsidRPr="00AC7E31">
        <w:rPr>
          <w:rFonts w:asciiTheme="majorBidi" w:eastAsia="Calibri" w:hAnsiTheme="majorBidi" w:cstheme="majorBidi"/>
          <w:sz w:val="20"/>
          <w:szCs w:val="20"/>
        </w:rPr>
        <w:t xml:space="preserve">. </w:t>
      </w:r>
    </w:p>
  </w:footnote>
  <w:footnote w:id="6">
    <w:p w14:paraId="0000008C"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Rania </w:t>
      </w:r>
      <w:r w:rsidRPr="00AC7E31">
        <w:rPr>
          <w:rFonts w:asciiTheme="majorBidi" w:eastAsia="Calibri" w:hAnsiTheme="majorBidi" w:cstheme="majorBidi"/>
          <w:sz w:val="20"/>
          <w:szCs w:val="20"/>
        </w:rPr>
        <w:t xml:space="preserve">Muhareb et. al, </w:t>
      </w:r>
      <w:r w:rsidRPr="00AC7E31">
        <w:rPr>
          <w:rFonts w:asciiTheme="majorBidi" w:eastAsia="Calibri" w:hAnsiTheme="majorBidi" w:cstheme="majorBidi"/>
          <w:i/>
          <w:sz w:val="20"/>
          <w:szCs w:val="20"/>
        </w:rPr>
        <w:t xml:space="preserve">Israeli Apartheid: Tool of Zionist Settler Colonialism </w:t>
      </w:r>
      <w:r w:rsidRPr="00AC7E31">
        <w:rPr>
          <w:rFonts w:asciiTheme="majorBidi" w:eastAsia="Calibri" w:hAnsiTheme="majorBidi" w:cstheme="majorBidi"/>
          <w:sz w:val="20"/>
          <w:szCs w:val="20"/>
        </w:rPr>
        <w:t xml:space="preserve">(Al-Haq, 2022); and Al-Haq, Al-Haq, “Joint Parallel Report to the Committee on the Rights of the Child for its List of Issues on Israel’s Third Periodic Report”, 15 November 2022, available at: </w:t>
      </w:r>
      <w:hyperlink r:id="rId2">
        <w:r w:rsidRPr="00AC7E31">
          <w:rPr>
            <w:rFonts w:asciiTheme="majorBidi" w:eastAsia="Calibri" w:hAnsiTheme="majorBidi" w:cstheme="majorBidi"/>
            <w:color w:val="0563C1"/>
            <w:sz w:val="20"/>
            <w:szCs w:val="20"/>
            <w:u w:val="single"/>
          </w:rPr>
          <w:t>https://www.alhaq.org/advocacy/20895.html</w:t>
        </w:r>
      </w:hyperlink>
      <w:r w:rsidRPr="00AC7E31">
        <w:rPr>
          <w:rFonts w:asciiTheme="majorBidi" w:eastAsia="Calibri" w:hAnsiTheme="majorBidi" w:cstheme="majorBidi"/>
          <w:sz w:val="20"/>
          <w:szCs w:val="20"/>
        </w:rPr>
        <w:t xml:space="preserve">. </w:t>
      </w:r>
    </w:p>
  </w:footnote>
  <w:footnote w:id="7">
    <w:p w14:paraId="0000008D" w14:textId="77777777" w:rsidR="00553FDC" w:rsidRPr="00AC7E31" w:rsidRDefault="003E471C">
      <w:pPr>
        <w:spacing w:line="240" w:lineRule="auto"/>
        <w:rPr>
          <w:rFonts w:asciiTheme="majorBidi" w:eastAsia="Calibr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Calibri" w:hAnsiTheme="majorBidi" w:cstheme="majorBidi"/>
          <w:sz w:val="20"/>
          <w:szCs w:val="20"/>
        </w:rPr>
        <w:t xml:space="preserve"> Al-Haq, “End Israel’s Illegal Occupation, Settlers Out, Palestinian Return, and Restitution of Property, Rules the International Court of Justice in Historic Decision”, 20 July 2024, available at: </w:t>
      </w:r>
      <w:hyperlink r:id="rId3">
        <w:r w:rsidRPr="00AC7E31">
          <w:rPr>
            <w:rFonts w:asciiTheme="majorBidi" w:eastAsia="Calibri" w:hAnsiTheme="majorBidi" w:cstheme="majorBidi"/>
            <w:color w:val="0563C1"/>
            <w:sz w:val="20"/>
            <w:szCs w:val="20"/>
            <w:u w:val="single"/>
          </w:rPr>
          <w:t>https://www.alhaq.org/advocacy/23632.html</w:t>
        </w:r>
      </w:hyperlink>
      <w:r w:rsidRPr="00AC7E31">
        <w:rPr>
          <w:rFonts w:asciiTheme="majorBidi" w:eastAsia="Calibri" w:hAnsiTheme="majorBidi" w:cstheme="majorBidi"/>
          <w:sz w:val="20"/>
          <w:szCs w:val="20"/>
        </w:rPr>
        <w:t xml:space="preserve">. </w:t>
      </w:r>
    </w:p>
  </w:footnote>
  <w:footnote w:id="8">
    <w:p w14:paraId="000000AC"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Palestinian Ministry of Health in Gaza, 15 August 2024, available at: </w:t>
      </w:r>
      <w:hyperlink r:id="rId4">
        <w:r w:rsidRPr="00AC7E31">
          <w:rPr>
            <w:rFonts w:asciiTheme="majorBidi" w:hAnsiTheme="majorBidi" w:cstheme="majorBidi"/>
            <w:color w:val="1155CC"/>
            <w:sz w:val="20"/>
            <w:szCs w:val="20"/>
            <w:u w:val="single"/>
          </w:rPr>
          <w:t>https://t.me/MOHMediaGaza/5692</w:t>
        </w:r>
      </w:hyperlink>
      <w:r w:rsidRPr="00AC7E31">
        <w:rPr>
          <w:rFonts w:asciiTheme="majorBidi" w:hAnsiTheme="majorBidi" w:cstheme="majorBidi"/>
          <w:sz w:val="20"/>
          <w:szCs w:val="20"/>
        </w:rPr>
        <w:t xml:space="preserve">. </w:t>
      </w:r>
    </w:p>
  </w:footnote>
  <w:footnote w:id="9">
    <w:p w14:paraId="000000AD"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UN, “10,000 people feared buried under the rubble in Gaza”, 3 May 2024, available at: </w:t>
      </w:r>
      <w:hyperlink r:id="rId5">
        <w:r w:rsidRPr="00AC7E31">
          <w:rPr>
            <w:rFonts w:asciiTheme="majorBidi" w:hAnsiTheme="majorBidi" w:cstheme="majorBidi"/>
            <w:color w:val="1155CC"/>
            <w:sz w:val="20"/>
            <w:szCs w:val="20"/>
            <w:u w:val="single"/>
          </w:rPr>
          <w:t>https://palestine.un.org/en/267691-10000-people-feared-buried-under-rubble-gaza</w:t>
        </w:r>
      </w:hyperlink>
      <w:r w:rsidRPr="00AC7E31">
        <w:rPr>
          <w:rFonts w:asciiTheme="majorBidi" w:hAnsiTheme="majorBidi" w:cstheme="majorBidi"/>
          <w:sz w:val="20"/>
          <w:szCs w:val="20"/>
        </w:rPr>
        <w:t xml:space="preserve">. </w:t>
      </w:r>
    </w:p>
  </w:footnote>
  <w:footnote w:id="10">
    <w:p w14:paraId="000000AE"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“Urgent: Israel Announces Total Warfare on Gaza’s Civilian Population, Employing Starvation as a Weapon”, 9 October 2023, available at: </w:t>
      </w:r>
      <w:hyperlink r:id="rId6">
        <w:r w:rsidRPr="00AC7E31">
          <w:rPr>
            <w:rFonts w:asciiTheme="majorBidi" w:hAnsiTheme="majorBidi" w:cstheme="majorBidi"/>
            <w:color w:val="1155CC"/>
            <w:sz w:val="20"/>
            <w:szCs w:val="20"/>
            <w:u w:val="single"/>
          </w:rPr>
          <w:t>https://www.alhaq.org/advocacy/21830.html</w:t>
        </w:r>
      </w:hyperlink>
      <w:r w:rsidRPr="00AC7E31">
        <w:rPr>
          <w:rFonts w:asciiTheme="majorBidi" w:hAnsiTheme="majorBidi" w:cstheme="majorBidi"/>
          <w:sz w:val="20"/>
          <w:szCs w:val="20"/>
        </w:rPr>
        <w:t xml:space="preserve">. </w:t>
      </w:r>
    </w:p>
  </w:footnote>
  <w:footnote w:id="11">
    <w:p w14:paraId="000000AF"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 xml:space="preserve">Al-Haq, “Widespread hunger in the Gaza Strip, and families are becoming increasingly desperate in their search for food”, 15 December 2023, available at: </w:t>
      </w:r>
      <w:r w:rsidRPr="00AC7E31">
        <w:rPr>
          <w:rFonts w:asciiTheme="majorBidi" w:eastAsia="Times New Roman" w:hAnsiTheme="majorBidi" w:cstheme="majorBidi"/>
          <w:color w:val="1155CC"/>
          <w:sz w:val="20"/>
          <w:szCs w:val="20"/>
          <w:u w:val="single"/>
        </w:rPr>
        <w:t>https://www.alhaq.org/advocacy/22370.html</w:t>
      </w:r>
      <w:r w:rsidRPr="00AC7E31">
        <w:rPr>
          <w:rFonts w:asciiTheme="majorBidi" w:eastAsia="Times New Roman" w:hAnsiTheme="majorBidi" w:cstheme="majorBidi"/>
          <w:sz w:val="20"/>
          <w:szCs w:val="20"/>
        </w:rPr>
        <w:t>.</w:t>
      </w:r>
    </w:p>
  </w:footnote>
  <w:footnote w:id="12">
    <w:p w14:paraId="000000B0"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 xml:space="preserve">Al-Haq, “The Plight of Palestinian Women Amid Ongoing Gaza Genocide”, 29 December 2023, available at: </w:t>
      </w:r>
      <w:r w:rsidRPr="00AC7E31">
        <w:rPr>
          <w:rFonts w:asciiTheme="majorBidi" w:eastAsia="Times New Roman" w:hAnsiTheme="majorBidi" w:cstheme="majorBidi"/>
          <w:color w:val="1155CC"/>
          <w:sz w:val="20"/>
          <w:szCs w:val="20"/>
          <w:u w:val="single"/>
        </w:rPr>
        <w:t>https://www.alhaq.org/advocacy/22435.html</w:t>
      </w:r>
      <w:r w:rsidRPr="00AC7E31">
        <w:rPr>
          <w:rFonts w:asciiTheme="majorBidi" w:eastAsia="Times New Roman" w:hAnsiTheme="majorBidi" w:cstheme="majorBidi"/>
          <w:sz w:val="20"/>
          <w:szCs w:val="20"/>
        </w:rPr>
        <w:t xml:space="preserve">. </w:t>
      </w:r>
    </w:p>
  </w:footnote>
  <w:footnote w:id="13">
    <w:p w14:paraId="000000B1"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Truthout, “Miscarriages in Gaza Have Skyrocketed by 300 Percent under Israel’s Siege”, 18 January 2024, available at:</w:t>
      </w:r>
      <w:hyperlink r:id="rId7">
        <w:r w:rsidRPr="00AC7E31">
          <w:rPr>
            <w:rFonts w:asciiTheme="majorBidi" w:eastAsia="Times New Roman" w:hAnsiTheme="majorBidi" w:cstheme="majorBidi"/>
            <w:sz w:val="20"/>
            <w:szCs w:val="20"/>
          </w:rPr>
          <w:t xml:space="preserve"> </w:t>
        </w:r>
      </w:hyperlink>
      <w:hyperlink r:id="rId8">
        <w:r w:rsidRPr="00AC7E31">
          <w:rPr>
            <w:rFonts w:asciiTheme="majorBidi" w:eastAsia="Times New Roman" w:hAnsiTheme="majorBidi" w:cstheme="majorBidi"/>
            <w:color w:val="1155CC"/>
            <w:sz w:val="20"/>
            <w:szCs w:val="20"/>
            <w:u w:val="single"/>
          </w:rPr>
          <w:t>https://truthout.org/articles/miscarriages-in-gaza-have-skyrocketed-by-300-percent-under-israels-siege/</w:t>
        </w:r>
      </w:hyperlink>
      <w:r w:rsidRPr="00AC7E31">
        <w:rPr>
          <w:rFonts w:asciiTheme="majorBidi" w:eastAsia="Times New Roman" w:hAnsiTheme="majorBidi" w:cstheme="majorBidi"/>
          <w:sz w:val="20"/>
          <w:szCs w:val="20"/>
        </w:rPr>
        <w:t xml:space="preserve">. </w:t>
      </w:r>
    </w:p>
  </w:footnote>
  <w:footnote w:id="14">
    <w:p w14:paraId="000000B2"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 xml:space="preserve">Al-Haq, “The Plight of Palestinian Women Amid Ongoing Gaza Genocide”, 29 December 2023, available at: </w:t>
      </w:r>
      <w:r w:rsidRPr="00AC7E31">
        <w:rPr>
          <w:rFonts w:asciiTheme="majorBidi" w:eastAsia="Times New Roman" w:hAnsiTheme="majorBidi" w:cstheme="majorBidi"/>
          <w:color w:val="1155CC"/>
          <w:sz w:val="20"/>
          <w:szCs w:val="20"/>
          <w:u w:val="single"/>
        </w:rPr>
        <w:t>https://www.alhaq.org/advocacy/22435.html</w:t>
      </w:r>
      <w:r w:rsidRPr="00AC7E31">
        <w:rPr>
          <w:rFonts w:asciiTheme="majorBidi" w:eastAsia="Times New Roman" w:hAnsiTheme="majorBidi" w:cstheme="majorBidi"/>
          <w:sz w:val="20"/>
          <w:szCs w:val="20"/>
        </w:rPr>
        <w:t xml:space="preserve">. </w:t>
      </w:r>
    </w:p>
  </w:footnote>
  <w:footnote w:id="15">
    <w:p w14:paraId="000000B3"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WHO, “Rafah incursion would substantially increase mortality and morbidity and further weaken an already broken health system”, 3 May 2024, available at: </w:t>
      </w:r>
      <w:hyperlink r:id="rId9">
        <w:r w:rsidRPr="00AC7E31">
          <w:rPr>
            <w:rFonts w:asciiTheme="majorBidi" w:hAnsiTheme="majorBidi" w:cstheme="majorBidi"/>
            <w:color w:val="1155CC"/>
            <w:sz w:val="20"/>
            <w:szCs w:val="20"/>
            <w:u w:val="single"/>
          </w:rPr>
          <w:t>https://www.who.int/news/item/03-05-2024-rafah-incursion-would-substantially-increase-mortality-and-morbidity-and-further-weaken-an-already-broken-health-system</w:t>
        </w:r>
      </w:hyperlink>
      <w:r w:rsidRPr="00AC7E31">
        <w:rPr>
          <w:rFonts w:asciiTheme="majorBidi" w:hAnsiTheme="majorBidi" w:cstheme="majorBidi"/>
          <w:sz w:val="20"/>
          <w:szCs w:val="20"/>
        </w:rPr>
        <w:t xml:space="preserve">. </w:t>
      </w:r>
    </w:p>
  </w:footnote>
  <w:footnote w:id="16">
    <w:p w14:paraId="000000B4"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UNICEF, “Stories of loss and grief: At least 17,000 children are estimated to be unaccompanied or separated from their parents in the Gaza Strip”, 2 February 2024, available at: </w:t>
      </w:r>
      <w:hyperlink r:id="rId10">
        <w:r w:rsidRPr="00AC7E31">
          <w:rPr>
            <w:rFonts w:asciiTheme="majorBidi" w:hAnsiTheme="majorBidi" w:cstheme="majorBidi"/>
            <w:color w:val="1155CC"/>
            <w:sz w:val="20"/>
            <w:szCs w:val="20"/>
            <w:u w:val="single"/>
          </w:rPr>
          <w:t>https://www.unicef.org/press-releases/stories-loss-and-grief-least-17000-children-are-estimated-be-unaccompanied-or</w:t>
        </w:r>
      </w:hyperlink>
      <w:r w:rsidRPr="00AC7E31">
        <w:rPr>
          <w:rFonts w:asciiTheme="majorBidi" w:hAnsiTheme="majorBidi" w:cstheme="majorBidi"/>
          <w:sz w:val="20"/>
          <w:szCs w:val="20"/>
        </w:rPr>
        <w:t xml:space="preserve">. </w:t>
      </w:r>
    </w:p>
  </w:footnote>
  <w:footnote w:id="17">
    <w:p w14:paraId="0000008E"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“Joint Parallel Report to the Committee on the Rights of the Child for its List of Issues</w:t>
      </w:r>
    </w:p>
    <w:p w14:paraId="0000008F"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rPr>
        <w:t xml:space="preserve">on Israel’s Third Periodic Report”, 15 November 2022, available at: </w:t>
      </w:r>
      <w:hyperlink r:id="rId11">
        <w:r w:rsidRPr="00AC7E31">
          <w:rPr>
            <w:rFonts w:asciiTheme="majorBidi" w:hAnsiTheme="majorBidi" w:cstheme="majorBidi"/>
            <w:color w:val="1155CC"/>
            <w:sz w:val="20"/>
            <w:szCs w:val="20"/>
            <w:u w:val="single"/>
          </w:rPr>
          <w:t>https://www.alhaq.org/advocacy/20895.html</w:t>
        </w:r>
      </w:hyperlink>
      <w:r w:rsidRPr="00AC7E31">
        <w:rPr>
          <w:rFonts w:asciiTheme="majorBidi" w:hAnsiTheme="majorBidi" w:cstheme="majorBidi"/>
          <w:sz w:val="20"/>
          <w:szCs w:val="20"/>
        </w:rPr>
        <w:t xml:space="preserve">. </w:t>
      </w:r>
    </w:p>
  </w:footnote>
  <w:footnote w:id="18">
    <w:p w14:paraId="000000A7"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Al-Haq, “Rights Groups submit to UN Special Procedures on the Abuse of Muhammad Al-</w:t>
      </w:r>
      <w:r w:rsidRPr="00AC7E31">
        <w:rPr>
          <w:rFonts w:asciiTheme="majorBidi" w:eastAsia="Times New Roman" w:hAnsiTheme="majorBidi" w:cstheme="majorBidi"/>
          <w:sz w:val="20"/>
          <w:szCs w:val="20"/>
        </w:rPr>
        <w:t xml:space="preserve">Na’em by an Israeli Bulldozer and the Injury of Palestinians in Gaza”, 3 March 2020, available at: </w:t>
      </w:r>
      <w:hyperlink r:id="rId12">
        <w:r w:rsidRPr="00AC7E31">
          <w:rPr>
            <w:rFonts w:asciiTheme="majorBidi" w:eastAsia="Times New Roman" w:hAnsiTheme="majorBidi" w:cstheme="majorBidi"/>
            <w:color w:val="1155CC"/>
            <w:sz w:val="20"/>
            <w:szCs w:val="20"/>
            <w:u w:val="single"/>
          </w:rPr>
          <w:t>https://www.alhaq.org/advocacy/16549.html</w:t>
        </w:r>
      </w:hyperlink>
      <w:r w:rsidRPr="00AC7E31">
        <w:rPr>
          <w:rFonts w:asciiTheme="majorBidi" w:eastAsia="Times New Roman" w:hAnsiTheme="majorBidi" w:cstheme="majorBidi"/>
          <w:sz w:val="20"/>
          <w:szCs w:val="20"/>
        </w:rPr>
        <w:t xml:space="preserve">. </w:t>
      </w:r>
    </w:p>
  </w:footnote>
  <w:footnote w:id="19">
    <w:p w14:paraId="000000A8"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Al-Haq, “Action Alert: International Community Must Intervene to Prevent the Normalisation of Israel’s Daily Killing of Palestinians”, 27 January 2023, available at: </w:t>
      </w:r>
      <w:hyperlink r:id="rId13">
        <w:r w:rsidRPr="00AC7E31">
          <w:rPr>
            <w:rFonts w:asciiTheme="majorBidi" w:eastAsia="Times New Roman" w:hAnsiTheme="majorBidi" w:cstheme="majorBidi"/>
            <w:color w:val="1155CC"/>
            <w:sz w:val="20"/>
            <w:szCs w:val="20"/>
            <w:u w:val="single"/>
          </w:rPr>
          <w:t>https://www.alhaq.org/advocacy/21158.html</w:t>
        </w:r>
      </w:hyperlink>
      <w:r w:rsidRPr="00AC7E31">
        <w:rPr>
          <w:rFonts w:asciiTheme="majorBidi" w:eastAsia="Times New Roman" w:hAnsiTheme="majorBidi" w:cstheme="majorBidi"/>
          <w:sz w:val="20"/>
          <w:szCs w:val="20"/>
        </w:rPr>
        <w:t xml:space="preserve">. </w:t>
      </w:r>
    </w:p>
  </w:footnote>
  <w:footnote w:id="20">
    <w:p w14:paraId="000000A9"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According to the documentation of Al-Haq. </w:t>
      </w:r>
    </w:p>
  </w:footnote>
  <w:footnote w:id="21">
    <w:p w14:paraId="000000A3"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According to the documentation of Jerusalem Legal Aid and Human Rights </w:t>
      </w:r>
      <w:r w:rsidRPr="00AC7E31">
        <w:rPr>
          <w:rFonts w:asciiTheme="majorBidi" w:hAnsiTheme="majorBidi" w:cstheme="majorBidi"/>
          <w:sz w:val="20"/>
          <w:szCs w:val="20"/>
        </w:rPr>
        <w:t>Center.</w:t>
      </w:r>
    </w:p>
  </w:footnote>
  <w:footnote w:id="22">
    <w:p w14:paraId="000000A4"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Fourth Geneva Convention, Article 33.</w:t>
      </w:r>
    </w:p>
  </w:footnote>
  <w:footnote w:id="23">
    <w:p w14:paraId="000000A5"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“Joint submission to EMRIP and UN experts on the Israeli policy of withholding the</w:t>
      </w:r>
    </w:p>
    <w:p w14:paraId="000000A6"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rPr>
        <w:t xml:space="preserve">mortal remains of indigenous Palestinians”, 22 June 2020, available at: </w:t>
      </w:r>
      <w:hyperlink r:id="rId14">
        <w:r w:rsidRPr="00AC7E31">
          <w:rPr>
            <w:rFonts w:asciiTheme="majorBidi" w:hAnsiTheme="majorBidi" w:cstheme="majorBidi"/>
            <w:color w:val="1155CC"/>
            <w:sz w:val="20"/>
            <w:szCs w:val="20"/>
            <w:u w:val="single"/>
          </w:rPr>
          <w:t>https://www.alhaq.org/advocacy/17033.html</w:t>
        </w:r>
      </w:hyperlink>
      <w:r w:rsidRPr="00AC7E31">
        <w:rPr>
          <w:rFonts w:asciiTheme="majorBidi" w:hAnsiTheme="majorBidi" w:cstheme="majorBidi"/>
          <w:sz w:val="20"/>
          <w:szCs w:val="20"/>
        </w:rPr>
        <w:t xml:space="preserve">. </w:t>
      </w:r>
    </w:p>
  </w:footnote>
  <w:footnote w:id="24">
    <w:p w14:paraId="000000AA"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“Joint Submission to the Special Rapporteur on Extrajudicial, Summary or Arbitrary</w:t>
      </w:r>
    </w:p>
    <w:p w14:paraId="000000AB"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rPr>
        <w:t xml:space="preserve">Executions on Israel’s Continued Oppression of Palestinians Beyond Their Killing”, 6 February 2024, available at: </w:t>
      </w:r>
      <w:hyperlink r:id="rId15">
        <w:r w:rsidRPr="00AC7E31">
          <w:rPr>
            <w:rFonts w:asciiTheme="majorBidi" w:hAnsiTheme="majorBidi" w:cstheme="majorBidi"/>
            <w:color w:val="1155CC"/>
            <w:sz w:val="20"/>
            <w:szCs w:val="20"/>
            <w:u w:val="single"/>
          </w:rPr>
          <w:t>https://www.alhaq.org/advocacy/22679.html</w:t>
        </w:r>
      </w:hyperlink>
      <w:r w:rsidRPr="00AC7E31">
        <w:rPr>
          <w:rFonts w:asciiTheme="majorBidi" w:hAnsiTheme="majorBidi" w:cstheme="majorBidi"/>
          <w:sz w:val="20"/>
          <w:szCs w:val="20"/>
        </w:rPr>
        <w:t xml:space="preserve">. </w:t>
      </w:r>
    </w:p>
  </w:footnote>
  <w:footnote w:id="25">
    <w:p w14:paraId="00000090"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“Joint Written Submission: Israel’s Escalating Military Attacks in the West Bank”, 29 January 2024, available at: </w:t>
      </w:r>
      <w:hyperlink r:id="rId16">
        <w:r w:rsidRPr="00AC7E31">
          <w:rPr>
            <w:rFonts w:asciiTheme="majorBidi" w:hAnsiTheme="majorBidi" w:cstheme="majorBidi"/>
            <w:color w:val="1155CC"/>
            <w:sz w:val="20"/>
            <w:szCs w:val="20"/>
            <w:u w:val="single"/>
          </w:rPr>
          <w:t>https://www.alhaq.org/advocacy/22717.html</w:t>
        </w:r>
      </w:hyperlink>
      <w:r w:rsidRPr="00AC7E31">
        <w:rPr>
          <w:rFonts w:asciiTheme="majorBidi" w:hAnsiTheme="majorBidi" w:cstheme="majorBidi"/>
          <w:sz w:val="20"/>
          <w:szCs w:val="20"/>
        </w:rPr>
        <w:t xml:space="preserve">. </w:t>
      </w:r>
    </w:p>
  </w:footnote>
  <w:footnote w:id="26">
    <w:p w14:paraId="0000009E"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Affidavit 2024-05-026-TK-F-A1-IL-CLD, taken from K.A.,11, a resident of </w:t>
      </w:r>
      <w:r w:rsidRPr="00AC7E31">
        <w:rPr>
          <w:rFonts w:asciiTheme="majorBidi" w:hAnsiTheme="majorBidi" w:cstheme="majorBidi"/>
          <w:sz w:val="20"/>
          <w:szCs w:val="20"/>
        </w:rPr>
        <w:t xml:space="preserve">Tulkarem Refugee Camp, on 9 May 2024. </w:t>
      </w:r>
    </w:p>
  </w:footnote>
  <w:footnote w:id="27">
    <w:p w14:paraId="0000009F"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Affidavit 2024-05-026-TK-F-T1-IL-CLD, taken from I.A.,15, a resident of </w:t>
      </w:r>
      <w:r w:rsidRPr="00AC7E31">
        <w:rPr>
          <w:rFonts w:asciiTheme="majorBidi" w:hAnsiTheme="majorBidi" w:cstheme="majorBidi"/>
          <w:sz w:val="20"/>
          <w:szCs w:val="20"/>
        </w:rPr>
        <w:t>Tulkarem Refugee Camp, on 7 May 2024.</w:t>
      </w:r>
    </w:p>
  </w:footnote>
  <w:footnote w:id="28">
    <w:p w14:paraId="000000A2"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Affidavit 2024-05-026-TK-F-A2-IL-CLD, taken from M.S., 12, a resident of </w:t>
      </w:r>
      <w:r w:rsidRPr="00AC7E31">
        <w:rPr>
          <w:rFonts w:asciiTheme="majorBidi" w:hAnsiTheme="majorBidi" w:cstheme="majorBidi"/>
          <w:sz w:val="20"/>
          <w:szCs w:val="20"/>
        </w:rPr>
        <w:t>Tulkarem Refugee Camp, on 9 May 2024.</w:t>
      </w:r>
    </w:p>
  </w:footnote>
  <w:footnote w:id="29">
    <w:p w14:paraId="000000A0"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Affidavit 2024-05-026-TK-F-T2-IL-CLD, taken from I.M., 13, a resident of </w:t>
      </w:r>
      <w:r w:rsidRPr="00AC7E31">
        <w:rPr>
          <w:rFonts w:asciiTheme="majorBidi" w:hAnsiTheme="majorBidi" w:cstheme="majorBidi"/>
          <w:sz w:val="20"/>
          <w:szCs w:val="20"/>
        </w:rPr>
        <w:t>Tulkarem Refugee Camp, on 7 May 2024.</w:t>
      </w:r>
    </w:p>
  </w:footnote>
  <w:footnote w:id="30">
    <w:p w14:paraId="000000A1"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Al-Haq Affidavit 2024-05-026-TK-F-T3-IL-CLD, taken from J.K., 14, a resident of </w:t>
      </w:r>
      <w:r w:rsidRPr="00AC7E31">
        <w:rPr>
          <w:rFonts w:asciiTheme="majorBidi" w:hAnsiTheme="majorBidi" w:cstheme="majorBidi"/>
          <w:sz w:val="20"/>
          <w:szCs w:val="20"/>
        </w:rPr>
        <w:t>Tulkarem city, on 7 May 2024.</w:t>
      </w:r>
    </w:p>
  </w:footnote>
  <w:footnote w:id="31">
    <w:p w14:paraId="000000B5"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Save the Children, “Hope Under the Rubbles- The Impact of Israel’s home demolitions policy on Palestinian children and their families”, 2021, p.3.</w:t>
      </w:r>
    </w:p>
  </w:footnote>
  <w:footnote w:id="32">
    <w:p w14:paraId="00000085"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Art. 2 of the Entry to Israel Law, affirmed by the Israeli High Court in case 282/88 </w:t>
      </w:r>
      <w:r w:rsidRPr="00AC7E31">
        <w:rPr>
          <w:rFonts w:asciiTheme="majorBidi" w:hAnsiTheme="majorBidi" w:cstheme="majorBidi"/>
          <w:i/>
          <w:sz w:val="20"/>
          <w:szCs w:val="20"/>
        </w:rPr>
        <w:t>Mubarak Awad vs. Prime Minister and others</w:t>
      </w:r>
      <w:r w:rsidRPr="00AC7E31">
        <w:rPr>
          <w:rFonts w:asciiTheme="majorBidi" w:hAnsiTheme="majorBidi" w:cstheme="majorBidi"/>
          <w:sz w:val="20"/>
          <w:szCs w:val="20"/>
        </w:rPr>
        <w:t xml:space="preserve">, and in case 7023/94 </w:t>
      </w:r>
      <w:r w:rsidRPr="00AC7E31">
        <w:rPr>
          <w:rFonts w:asciiTheme="majorBidi" w:hAnsiTheme="majorBidi" w:cstheme="majorBidi"/>
          <w:i/>
          <w:sz w:val="20"/>
          <w:szCs w:val="20"/>
        </w:rPr>
        <w:t>Fathiya Shikaki vs. Interior Minister</w:t>
      </w:r>
      <w:r w:rsidRPr="00AC7E31">
        <w:rPr>
          <w:rFonts w:asciiTheme="majorBidi" w:hAnsiTheme="majorBidi" w:cstheme="majorBidi"/>
          <w:sz w:val="20"/>
          <w:szCs w:val="20"/>
        </w:rPr>
        <w:t>.</w:t>
      </w:r>
    </w:p>
  </w:footnote>
  <w:footnote w:id="33">
    <w:p w14:paraId="00000091"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Jerusalem Municipality, 'Report No. 4, The Proposed Plan and the Main Planning Policies' (Jerusalem Municipality), available at: </w:t>
      </w:r>
      <w:hyperlink r:id="rId17">
        <w:r w:rsidRPr="00AC7E31">
          <w:rPr>
            <w:rFonts w:asciiTheme="majorBidi" w:eastAsia="Times New Roman" w:hAnsiTheme="majorBidi" w:cstheme="majorBidi"/>
            <w:color w:val="1155CC"/>
            <w:sz w:val="20"/>
            <w:szCs w:val="20"/>
            <w:u w:val="single"/>
          </w:rPr>
          <w:t>https://www.alhaq.org/cached_uploads/download/alhaq_files/en/wp-content/uploads/2018/03/LocalOutlinePlanJerusalem2000.pdf</w:t>
        </w:r>
      </w:hyperlink>
      <w:r w:rsidRPr="00AC7E31">
        <w:rPr>
          <w:rFonts w:asciiTheme="majorBidi" w:eastAsia="Times New Roman" w:hAnsiTheme="majorBidi" w:cstheme="majorBidi"/>
          <w:sz w:val="20"/>
          <w:szCs w:val="20"/>
        </w:rPr>
        <w:t xml:space="preserve"> , p. 32. </w:t>
      </w:r>
    </w:p>
  </w:footnote>
  <w:footnote w:id="34">
    <w:p w14:paraId="00000092"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 xml:space="preserve">Adalah, ‘The Nationality and Entry into Israel Law’ (Adalah) The Nationality and Entry into Israel Law - Adalah, available at: </w:t>
      </w:r>
      <w:hyperlink r:id="rId18">
        <w:r w:rsidRPr="00AC7E31">
          <w:rPr>
            <w:rFonts w:asciiTheme="majorBidi" w:eastAsia="Times New Roman" w:hAnsiTheme="majorBidi" w:cstheme="majorBidi"/>
            <w:color w:val="1155CC"/>
            <w:sz w:val="20"/>
            <w:szCs w:val="20"/>
            <w:u w:val="single"/>
          </w:rPr>
          <w:t>https://www.adalah.org/en/content/view/7371</w:t>
        </w:r>
      </w:hyperlink>
      <w:r w:rsidRPr="00AC7E31">
        <w:rPr>
          <w:rFonts w:asciiTheme="majorBidi" w:eastAsia="Times New Roman" w:hAnsiTheme="majorBidi" w:cstheme="majorBidi"/>
          <w:sz w:val="20"/>
          <w:szCs w:val="20"/>
        </w:rPr>
        <w:t xml:space="preserve">. </w:t>
      </w:r>
    </w:p>
  </w:footnote>
  <w:footnote w:id="35">
    <w:p w14:paraId="00000093"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w:t>
      </w:r>
      <w:r w:rsidRPr="00AC7E31">
        <w:rPr>
          <w:rFonts w:asciiTheme="majorBidi" w:eastAsia="Times New Roman" w:hAnsiTheme="majorBidi" w:cstheme="majorBidi"/>
          <w:sz w:val="20"/>
          <w:szCs w:val="20"/>
        </w:rPr>
        <w:t xml:space="preserve">HaMoked, ‘Revocation of Permanent Residency in 2022’ (HaMoked, 2023), available at: </w:t>
      </w:r>
      <w:hyperlink r:id="rId19">
        <w:r w:rsidRPr="00AC7E31">
          <w:rPr>
            <w:rFonts w:asciiTheme="majorBidi" w:eastAsia="Times New Roman" w:hAnsiTheme="majorBidi" w:cstheme="majorBidi"/>
            <w:color w:val="0563C1"/>
            <w:sz w:val="20"/>
            <w:szCs w:val="20"/>
            <w:u w:val="single"/>
          </w:rPr>
          <w:t>https://hamoked.org/document.php?dID=Updates2344</w:t>
        </w:r>
      </w:hyperlink>
      <w:r w:rsidRPr="00AC7E31">
        <w:rPr>
          <w:rFonts w:asciiTheme="majorBidi" w:eastAsia="Times New Roman" w:hAnsiTheme="majorBidi" w:cstheme="majorBidi"/>
          <w:sz w:val="20"/>
          <w:szCs w:val="20"/>
        </w:rPr>
        <w:t xml:space="preserve">. </w:t>
      </w:r>
    </w:p>
  </w:footnote>
  <w:footnote w:id="36">
    <w:p w14:paraId="00000094" w14:textId="77777777" w:rsidR="00553FDC" w:rsidRPr="00AC7E31" w:rsidRDefault="003E471C">
      <w:pPr>
        <w:spacing w:line="240" w:lineRule="auto"/>
        <w:rPr>
          <w:rFonts w:asciiTheme="majorBidi"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 xml:space="preserve">Adalah, ‘The Nationality and Entry into Israel Law’ (Adalah) The Nationality and Entry into Israel Law - Adalah, available at: </w:t>
      </w:r>
      <w:hyperlink r:id="rId20">
        <w:r w:rsidRPr="00AC7E31">
          <w:rPr>
            <w:rFonts w:asciiTheme="majorBidi" w:eastAsia="Times New Roman" w:hAnsiTheme="majorBidi" w:cstheme="majorBidi"/>
            <w:color w:val="1155CC"/>
            <w:sz w:val="20"/>
            <w:szCs w:val="20"/>
            <w:u w:val="single"/>
          </w:rPr>
          <w:t>https://www.adalah.org/en/content/view/7371</w:t>
        </w:r>
      </w:hyperlink>
      <w:r w:rsidRPr="00AC7E31">
        <w:rPr>
          <w:rFonts w:asciiTheme="majorBidi" w:eastAsia="Times New Roman" w:hAnsiTheme="majorBidi" w:cstheme="majorBidi"/>
          <w:sz w:val="20"/>
          <w:szCs w:val="20"/>
        </w:rPr>
        <w:t>.</w:t>
      </w:r>
    </w:p>
  </w:footnote>
  <w:footnote w:id="37">
    <w:p w14:paraId="00000095"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w:t>
      </w:r>
      <w:r w:rsidRPr="00AC7E31">
        <w:rPr>
          <w:rFonts w:asciiTheme="majorBidi" w:eastAsia="Times New Roman" w:hAnsiTheme="majorBidi" w:cstheme="majorBidi"/>
          <w:sz w:val="20"/>
          <w:szCs w:val="20"/>
        </w:rPr>
        <w:t xml:space="preserve">Adalah, "Ban on Family Unification" - Citizenship and Entry into Israel Law (Temporary Order) (Adalah, 2003), available at:  </w:t>
      </w:r>
      <w:hyperlink r:id="rId21">
        <w:r w:rsidRPr="00AC7E31">
          <w:rPr>
            <w:rFonts w:asciiTheme="majorBidi" w:eastAsia="Times New Roman" w:hAnsiTheme="majorBidi" w:cstheme="majorBidi"/>
            <w:color w:val="1155CC"/>
            <w:sz w:val="20"/>
            <w:szCs w:val="20"/>
            <w:u w:val="single"/>
          </w:rPr>
          <w:t>https://www.adalah.org/en/law/view/511</w:t>
        </w:r>
      </w:hyperlink>
      <w:r w:rsidRPr="00AC7E31">
        <w:rPr>
          <w:rFonts w:asciiTheme="majorBidi" w:eastAsia="Times New Roman" w:hAnsiTheme="majorBidi" w:cstheme="majorBidi"/>
          <w:sz w:val="20"/>
          <w:szCs w:val="20"/>
        </w:rPr>
        <w:t xml:space="preserve">. </w:t>
      </w:r>
    </w:p>
  </w:footnote>
  <w:footnote w:id="38">
    <w:p w14:paraId="00000096"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Community Action </w:t>
      </w:r>
      <w:r w:rsidRPr="00AC7E31">
        <w:rPr>
          <w:rFonts w:asciiTheme="majorBidi" w:eastAsia="Times New Roman" w:hAnsiTheme="majorBidi" w:cstheme="majorBidi"/>
          <w:sz w:val="20"/>
          <w:szCs w:val="20"/>
        </w:rPr>
        <w:t xml:space="preserve">Center, Al Haq, and Al Mezan Center for Human Rights, 'Joint Parallel Report to the Committee on the Rights of the Child for its List of Issues on Israel’s Third Periodic Report', 2022, available at: </w:t>
      </w:r>
      <w:hyperlink r:id="rId22">
        <w:r w:rsidRPr="00AC7E31">
          <w:rPr>
            <w:rFonts w:asciiTheme="majorBidi" w:eastAsia="Times New Roman" w:hAnsiTheme="majorBidi" w:cstheme="majorBidi"/>
            <w:color w:val="1155CC"/>
            <w:sz w:val="20"/>
            <w:szCs w:val="20"/>
            <w:u w:val="single"/>
          </w:rPr>
          <w:t>https://www.alhaq.org/cached_uploads/download/2022/11/21/221115-joint-submission-to-the-crc-1669034220.pdf</w:t>
        </w:r>
      </w:hyperlink>
      <w:r w:rsidRPr="00AC7E31">
        <w:rPr>
          <w:rFonts w:asciiTheme="majorBidi" w:eastAsia="Times New Roman" w:hAnsiTheme="majorBidi" w:cstheme="majorBidi"/>
          <w:sz w:val="20"/>
          <w:szCs w:val="20"/>
        </w:rPr>
        <w:t>, p. 17</w:t>
      </w:r>
    </w:p>
  </w:footnote>
  <w:footnote w:id="39">
    <w:p w14:paraId="00000097"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1974– </w:t>
      </w:r>
      <w:r w:rsidRPr="00AC7E31">
        <w:rPr>
          <w:rFonts w:asciiTheme="majorBidi" w:eastAsia="Times New Roman" w:hAnsiTheme="majorBidi" w:cstheme="majorBidi"/>
          <w:sz w:val="20"/>
          <w:szCs w:val="20"/>
          <w:rtl/>
        </w:rPr>
        <w:t>נוהל הטיפול בהגשת בקשות לקטין לפי תקנה 12 לתקנות הכניסה לישראל התשל"ד</w:t>
      </w:r>
      <w:r w:rsidRPr="00AC7E31">
        <w:rPr>
          <w:rFonts w:asciiTheme="majorBidi" w:eastAsia="Times New Roman" w:hAnsiTheme="majorBidi" w:cstheme="majorBidi"/>
          <w:sz w:val="20"/>
          <w:szCs w:val="20"/>
        </w:rPr>
        <w:t xml:space="preserve"> English Translation: The procedure for handling applications for minors according to Rule 12 of the Regulations for Entry into Israel 1974, (available in Hebrew) </w:t>
      </w:r>
      <w:hyperlink r:id="rId23">
        <w:r w:rsidRPr="00AC7E31">
          <w:rPr>
            <w:rFonts w:asciiTheme="majorBidi" w:eastAsia="Times New Roman" w:hAnsiTheme="majorBidi" w:cstheme="majorBidi"/>
            <w:color w:val="0563C1"/>
            <w:sz w:val="20"/>
            <w:szCs w:val="20"/>
            <w:u w:val="single"/>
          </w:rPr>
          <w:t>https://www.gov.il/BlobFolder/policy/procedure_for_handling_an_application_for_residency_minor_2015/he/5.2.0.29.pdf</w:t>
        </w:r>
      </w:hyperlink>
      <w:r w:rsidRPr="00AC7E31">
        <w:rPr>
          <w:rFonts w:asciiTheme="majorBidi" w:eastAsia="Times New Roman" w:hAnsiTheme="majorBidi" w:cstheme="majorBidi"/>
          <w:sz w:val="20"/>
          <w:szCs w:val="20"/>
        </w:rPr>
        <w:t>.</w:t>
      </w:r>
    </w:p>
  </w:footnote>
  <w:footnote w:id="40">
    <w:p w14:paraId="00000098"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hAnsiTheme="majorBidi" w:cstheme="majorBidi"/>
          <w:sz w:val="20"/>
          <w:szCs w:val="20"/>
        </w:rPr>
        <w:t xml:space="preserve"> </w:t>
      </w:r>
      <w:r w:rsidRPr="00AC7E31">
        <w:rPr>
          <w:rFonts w:asciiTheme="majorBidi" w:eastAsia="Times New Roman" w:hAnsiTheme="majorBidi" w:cstheme="majorBidi"/>
          <w:sz w:val="20"/>
          <w:szCs w:val="20"/>
        </w:rPr>
        <w:t xml:space="preserve">4 – </w:t>
      </w:r>
      <w:r w:rsidRPr="00AC7E31">
        <w:rPr>
          <w:rFonts w:asciiTheme="majorBidi" w:eastAsia="Times New Roman" w:hAnsiTheme="majorBidi" w:cstheme="majorBidi"/>
          <w:sz w:val="20"/>
          <w:szCs w:val="20"/>
          <w:rtl/>
        </w:rPr>
        <w:t>נוהל הטיפול בהגשת בקשות לקטין לפי תקנה 12 לתקנות הכניסה לישראל התשל"ד</w:t>
      </w:r>
      <w:r w:rsidRPr="00AC7E31">
        <w:rPr>
          <w:rFonts w:asciiTheme="majorBidi" w:eastAsia="Times New Roman" w:hAnsiTheme="majorBidi" w:cstheme="majorBidi"/>
          <w:sz w:val="20"/>
          <w:szCs w:val="20"/>
        </w:rPr>
        <w:t xml:space="preserve"> </w:t>
      </w:r>
    </w:p>
    <w:p w14:paraId="00000099"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eastAsia="Times New Roman" w:hAnsiTheme="majorBidi" w:cstheme="majorBidi"/>
          <w:sz w:val="20"/>
          <w:szCs w:val="20"/>
        </w:rPr>
        <w:t xml:space="preserve">English Translation: The procedure for handling applications for minors according to Rule 12 of the Regulations for </w:t>
      </w:r>
    </w:p>
    <w:p w14:paraId="0000009A" w14:textId="77777777" w:rsidR="00553FDC" w:rsidRPr="00AC7E31" w:rsidRDefault="003E471C">
      <w:pPr>
        <w:spacing w:line="240" w:lineRule="auto"/>
        <w:rPr>
          <w:rFonts w:asciiTheme="majorBidi" w:hAnsiTheme="majorBidi" w:cstheme="majorBidi"/>
          <w:sz w:val="20"/>
          <w:szCs w:val="20"/>
        </w:rPr>
      </w:pPr>
      <w:r w:rsidRPr="00AC7E31">
        <w:rPr>
          <w:rFonts w:asciiTheme="majorBidi" w:eastAsia="Times New Roman" w:hAnsiTheme="majorBidi" w:cstheme="majorBidi"/>
          <w:sz w:val="20"/>
          <w:szCs w:val="20"/>
        </w:rPr>
        <w:t xml:space="preserve">Entry into Israel 1974, (available in Hebrew) </w:t>
      </w:r>
      <w:hyperlink r:id="rId24">
        <w:r w:rsidRPr="00AC7E31">
          <w:rPr>
            <w:rFonts w:asciiTheme="majorBidi" w:eastAsia="Times New Roman" w:hAnsiTheme="majorBidi" w:cstheme="majorBidi"/>
            <w:color w:val="1155CC"/>
            <w:sz w:val="20"/>
            <w:szCs w:val="20"/>
            <w:u w:val="single"/>
          </w:rPr>
          <w:t>www.gov.il/BlobFolder/policy/procedure_for_handling_an_application_for_residency_minor_2015/he/5.2.0.29.pdf</w:t>
        </w:r>
      </w:hyperlink>
      <w:r w:rsidRPr="00AC7E31">
        <w:rPr>
          <w:rFonts w:asciiTheme="majorBidi" w:hAnsiTheme="majorBidi" w:cstheme="majorBidi"/>
          <w:sz w:val="20"/>
          <w:szCs w:val="20"/>
        </w:rPr>
        <w:t xml:space="preserve">. </w:t>
      </w:r>
    </w:p>
  </w:footnote>
  <w:footnote w:id="41">
    <w:p w14:paraId="0000009B"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1974– </w:t>
      </w:r>
      <w:r w:rsidRPr="00AC7E31">
        <w:rPr>
          <w:rFonts w:asciiTheme="majorBidi" w:eastAsia="Times New Roman" w:hAnsiTheme="majorBidi" w:cstheme="majorBidi"/>
          <w:sz w:val="20"/>
          <w:szCs w:val="20"/>
          <w:rtl/>
        </w:rPr>
        <w:t>נוהל הטיפול בהגשת בקשות לקטין לפי תקנה 12 לתקנות הכניסה לישראל התשל"ד</w:t>
      </w:r>
      <w:r w:rsidRPr="00AC7E31">
        <w:rPr>
          <w:rFonts w:asciiTheme="majorBidi" w:eastAsia="Times New Roman" w:hAnsiTheme="majorBidi" w:cstheme="majorBidi"/>
          <w:sz w:val="20"/>
          <w:szCs w:val="20"/>
        </w:rPr>
        <w:t xml:space="preserve"> English Translation: The procedure for handling applications for minors according to Rule 12 of the Regulations for Entry into Israel 1974, (available in Hebrew) </w:t>
      </w:r>
      <w:hyperlink r:id="rId25">
        <w:r w:rsidRPr="00AC7E31">
          <w:rPr>
            <w:rFonts w:asciiTheme="majorBidi" w:eastAsia="Times New Roman" w:hAnsiTheme="majorBidi" w:cstheme="majorBidi"/>
            <w:color w:val="0000FF"/>
            <w:sz w:val="20"/>
            <w:szCs w:val="20"/>
            <w:u w:val="single"/>
          </w:rPr>
          <w:t>https://www.gov.il/BlobFolder/policy/procedure_for_handling_an_application_for_residency_minor_2015/he/5.2.0.29.pdf</w:t>
        </w:r>
      </w:hyperlink>
      <w:r w:rsidRPr="00AC7E31">
        <w:rPr>
          <w:rFonts w:asciiTheme="majorBidi" w:eastAsia="Times New Roman" w:hAnsiTheme="majorBidi" w:cstheme="majorBidi"/>
          <w:sz w:val="20"/>
          <w:szCs w:val="20"/>
        </w:rPr>
        <w:t>.</w:t>
      </w:r>
    </w:p>
  </w:footnote>
  <w:footnote w:id="42">
    <w:p w14:paraId="0000009C"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2 </w:t>
      </w:r>
      <w:r w:rsidRPr="00AC7E31">
        <w:rPr>
          <w:rFonts w:asciiTheme="majorBidi" w:eastAsia="Times New Roman" w:hAnsiTheme="majorBidi" w:cstheme="majorBidi"/>
          <w:sz w:val="20"/>
          <w:szCs w:val="20"/>
          <w:rtl/>
        </w:rPr>
        <w:t>ם ההשגה ועדו עבור זרים – לַעֲתֹור</w:t>
      </w:r>
      <w:r w:rsidRPr="00AC7E31">
        <w:rPr>
          <w:rFonts w:asciiTheme="majorBidi" w:eastAsia="Times New Roman" w:hAnsiTheme="majorBidi" w:cstheme="majorBidi"/>
          <w:sz w:val="20"/>
          <w:szCs w:val="20"/>
        </w:rPr>
        <w:t xml:space="preserve"> English Translation: The access committee for foreigners - petition 843/12, (available in Hebrew)</w:t>
      </w:r>
      <w:hyperlink r:id="rId26">
        <w:r w:rsidRPr="00AC7E31">
          <w:rPr>
            <w:rFonts w:asciiTheme="majorBidi" w:eastAsia="Times New Roman" w:hAnsiTheme="majorBidi" w:cstheme="majorBidi"/>
            <w:sz w:val="20"/>
            <w:szCs w:val="20"/>
          </w:rPr>
          <w:t xml:space="preserve"> </w:t>
        </w:r>
      </w:hyperlink>
      <w:hyperlink r:id="rId27">
        <w:r w:rsidRPr="00AC7E31">
          <w:rPr>
            <w:rFonts w:asciiTheme="majorBidi" w:eastAsia="Times New Roman" w:hAnsiTheme="majorBidi" w:cstheme="majorBidi"/>
            <w:color w:val="0563C1"/>
            <w:sz w:val="20"/>
            <w:szCs w:val="20"/>
            <w:u w:val="single"/>
          </w:rPr>
          <w:t>https://hamoked.org.il/files/2013/1158222.pdf</w:t>
        </w:r>
      </w:hyperlink>
      <w:r w:rsidRPr="00AC7E31">
        <w:rPr>
          <w:rFonts w:asciiTheme="majorBidi" w:eastAsia="Times New Roman" w:hAnsiTheme="majorBidi" w:cstheme="majorBidi"/>
          <w:sz w:val="20"/>
          <w:szCs w:val="20"/>
        </w:rPr>
        <w:t>.</w:t>
      </w:r>
    </w:p>
  </w:footnote>
  <w:footnote w:id="43">
    <w:p w14:paraId="0000009D" w14:textId="77777777" w:rsidR="00553FDC" w:rsidRPr="00AC7E31" w:rsidRDefault="003E471C">
      <w:pPr>
        <w:spacing w:line="240" w:lineRule="auto"/>
        <w:rPr>
          <w:rFonts w:asciiTheme="majorBidi" w:eastAsia="Times New Roman" w:hAnsiTheme="majorBidi" w:cstheme="majorBidi"/>
          <w:sz w:val="20"/>
          <w:szCs w:val="20"/>
        </w:rPr>
      </w:pPr>
      <w:r w:rsidRPr="00AC7E31">
        <w:rPr>
          <w:rFonts w:asciiTheme="majorBidi" w:hAnsiTheme="majorBidi" w:cstheme="majorBidi"/>
          <w:sz w:val="20"/>
          <w:szCs w:val="20"/>
          <w:vertAlign w:val="superscript"/>
        </w:rPr>
        <w:footnoteRef/>
      </w:r>
      <w:r w:rsidRPr="00AC7E31">
        <w:rPr>
          <w:rFonts w:asciiTheme="majorBidi" w:eastAsia="Times New Roman" w:hAnsiTheme="majorBidi" w:cstheme="majorBidi"/>
          <w:sz w:val="20"/>
          <w:szCs w:val="20"/>
        </w:rPr>
        <w:t xml:space="preserve"> The Citizenship and Entry into Israel Law (Temporary Order), 5782-2022, Article 6, (English Translation available)</w:t>
      </w:r>
      <w:hyperlink r:id="rId28">
        <w:r w:rsidRPr="00AC7E31">
          <w:rPr>
            <w:rFonts w:asciiTheme="majorBidi" w:eastAsia="Times New Roman" w:hAnsiTheme="majorBidi" w:cstheme="majorBidi"/>
            <w:sz w:val="20"/>
            <w:szCs w:val="20"/>
          </w:rPr>
          <w:t xml:space="preserve"> </w:t>
        </w:r>
      </w:hyperlink>
      <w:hyperlink r:id="rId29">
        <w:r w:rsidRPr="00AC7E31">
          <w:rPr>
            <w:rFonts w:asciiTheme="majorBidi" w:eastAsia="Times New Roman" w:hAnsiTheme="majorBidi" w:cstheme="majorBidi"/>
            <w:color w:val="0563C1"/>
            <w:sz w:val="20"/>
            <w:szCs w:val="20"/>
            <w:u w:val="single"/>
          </w:rPr>
          <w:t>https://www.adalah.org/uploads/uploads/The_Citizenship_and_Entry_into_Israel_Law_Eng_150322.pdf</w:t>
        </w:r>
      </w:hyperlink>
      <w:r w:rsidRPr="00AC7E31">
        <w:rPr>
          <w:rFonts w:asciiTheme="majorBidi" w:eastAsia="Times New Roman" w:hAnsiTheme="majorBidi" w:cstheme="majorBid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1592"/>
    <w:multiLevelType w:val="multilevel"/>
    <w:tmpl w:val="7B3C25A0"/>
    <w:lvl w:ilvl="0">
      <w:start w:val="1"/>
      <w:numFmt w:val="bullet"/>
      <w:lvlText w:val="-"/>
      <w:lvlJc w:val="left"/>
      <w:pPr>
        <w:ind w:left="1495" w:hanging="360"/>
      </w:pPr>
      <w:rPr>
        <w:u w:val="none"/>
      </w:rPr>
    </w:lvl>
    <w:lvl w:ilvl="1">
      <w:start w:val="1"/>
      <w:numFmt w:val="bullet"/>
      <w:lvlText w:val="-"/>
      <w:lvlJc w:val="left"/>
      <w:pPr>
        <w:ind w:left="2215" w:hanging="360"/>
      </w:pPr>
      <w:rPr>
        <w:u w:val="none"/>
      </w:rPr>
    </w:lvl>
    <w:lvl w:ilvl="2">
      <w:start w:val="1"/>
      <w:numFmt w:val="bullet"/>
      <w:lvlText w:val="-"/>
      <w:lvlJc w:val="left"/>
      <w:pPr>
        <w:ind w:left="2935" w:hanging="360"/>
      </w:pPr>
      <w:rPr>
        <w:u w:val="none"/>
      </w:rPr>
    </w:lvl>
    <w:lvl w:ilvl="3">
      <w:start w:val="1"/>
      <w:numFmt w:val="bullet"/>
      <w:lvlText w:val="-"/>
      <w:lvlJc w:val="left"/>
      <w:pPr>
        <w:ind w:left="3655" w:hanging="360"/>
      </w:pPr>
      <w:rPr>
        <w:u w:val="none"/>
      </w:rPr>
    </w:lvl>
    <w:lvl w:ilvl="4">
      <w:start w:val="1"/>
      <w:numFmt w:val="bullet"/>
      <w:lvlText w:val="-"/>
      <w:lvlJc w:val="left"/>
      <w:pPr>
        <w:ind w:left="4375" w:hanging="360"/>
      </w:pPr>
      <w:rPr>
        <w:u w:val="none"/>
      </w:rPr>
    </w:lvl>
    <w:lvl w:ilvl="5">
      <w:start w:val="1"/>
      <w:numFmt w:val="bullet"/>
      <w:lvlText w:val="-"/>
      <w:lvlJc w:val="left"/>
      <w:pPr>
        <w:ind w:left="5095" w:hanging="360"/>
      </w:pPr>
      <w:rPr>
        <w:u w:val="none"/>
      </w:rPr>
    </w:lvl>
    <w:lvl w:ilvl="6">
      <w:start w:val="1"/>
      <w:numFmt w:val="bullet"/>
      <w:lvlText w:val="-"/>
      <w:lvlJc w:val="left"/>
      <w:pPr>
        <w:ind w:left="5815" w:hanging="360"/>
      </w:pPr>
      <w:rPr>
        <w:u w:val="none"/>
      </w:rPr>
    </w:lvl>
    <w:lvl w:ilvl="7">
      <w:start w:val="1"/>
      <w:numFmt w:val="bullet"/>
      <w:lvlText w:val="-"/>
      <w:lvlJc w:val="left"/>
      <w:pPr>
        <w:ind w:left="6535" w:hanging="360"/>
      </w:pPr>
      <w:rPr>
        <w:u w:val="none"/>
      </w:rPr>
    </w:lvl>
    <w:lvl w:ilvl="8">
      <w:start w:val="1"/>
      <w:numFmt w:val="bullet"/>
      <w:lvlText w:val="-"/>
      <w:lvlJc w:val="left"/>
      <w:pPr>
        <w:ind w:left="7255" w:hanging="360"/>
      </w:pPr>
      <w:rPr>
        <w:u w:val="none"/>
      </w:rPr>
    </w:lvl>
  </w:abstractNum>
  <w:abstractNum w:abstractNumId="1" w15:restartNumberingAfterBreak="0">
    <w:nsid w:val="1C7A30A6"/>
    <w:multiLevelType w:val="multilevel"/>
    <w:tmpl w:val="FEC471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D551FB7"/>
    <w:multiLevelType w:val="multilevel"/>
    <w:tmpl w:val="CDDACAA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15844796">
    <w:abstractNumId w:val="1"/>
  </w:num>
  <w:num w:numId="2" w16cid:durableId="1314674805">
    <w:abstractNumId w:val="0"/>
  </w:num>
  <w:num w:numId="3" w16cid:durableId="314531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DC"/>
    <w:rsid w:val="00111279"/>
    <w:rsid w:val="003407A5"/>
    <w:rsid w:val="003E471C"/>
    <w:rsid w:val="00547BEF"/>
    <w:rsid w:val="00553FDC"/>
    <w:rsid w:val="00AC7968"/>
    <w:rsid w:val="00AC7E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38A14"/>
  <w15:docId w15:val="{DC29106B-B66A-44F0-AF30-0E6A9132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C7E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E31"/>
    <w:rPr>
      <w:rFonts w:ascii="Segoe UI" w:hAnsi="Segoe UI" w:cs="Segoe UI"/>
      <w:sz w:val="18"/>
      <w:szCs w:val="18"/>
    </w:rPr>
  </w:style>
  <w:style w:type="paragraph" w:styleId="ListParagraph">
    <w:name w:val="List Paragraph"/>
    <w:basedOn w:val="Normal"/>
    <w:uiPriority w:val="34"/>
    <w:qFormat/>
    <w:rsid w:val="00AC7E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ruthout.org/articles/miscarriages-in-gaza-have-skyrocketed-by-300-percent-under-israels-siege/" TargetMode="External"/><Relationship Id="rId13" Type="http://schemas.openxmlformats.org/officeDocument/2006/relationships/hyperlink" Target="https://www.alhaq.org/advocacy/21158.html" TargetMode="External"/><Relationship Id="rId18" Type="http://schemas.openxmlformats.org/officeDocument/2006/relationships/hyperlink" Target="https://www.adalah.org/en/content/view/7371" TargetMode="External"/><Relationship Id="rId26" Type="http://schemas.openxmlformats.org/officeDocument/2006/relationships/hyperlink" Target="https://hamoked.org.il/files/2013/1158222.pdf" TargetMode="External"/><Relationship Id="rId3" Type="http://schemas.openxmlformats.org/officeDocument/2006/relationships/hyperlink" Target="https://www.alhaq.org/advocacy/23632.html" TargetMode="External"/><Relationship Id="rId21" Type="http://schemas.openxmlformats.org/officeDocument/2006/relationships/hyperlink" Target="https://www.adalah.org/en/law/view/511" TargetMode="External"/><Relationship Id="rId7" Type="http://schemas.openxmlformats.org/officeDocument/2006/relationships/hyperlink" Target="https://truthout.org/articles/miscarriages-in-gaza-have-skyrocketed-by-300-percent-under-israels-siege/" TargetMode="External"/><Relationship Id="rId12" Type="http://schemas.openxmlformats.org/officeDocument/2006/relationships/hyperlink" Target="https://www.alhaq.org/advocacy/16549.html" TargetMode="External"/><Relationship Id="rId17" Type="http://schemas.openxmlformats.org/officeDocument/2006/relationships/hyperlink" Target="https://www.alhaq.org/cached_uploads/download/alhaq_files/en/wp-content/uploads/2018/03/LocalOutlinePlanJerusalem2000.pdf" TargetMode="External"/><Relationship Id="rId25" Type="http://schemas.openxmlformats.org/officeDocument/2006/relationships/hyperlink" Target="https://www.gov.il/BlobFolder/policy/procedure_for_handling_an_application_for_residency_minor_2015/he/5.2.0.29.pdf" TargetMode="External"/><Relationship Id="rId2" Type="http://schemas.openxmlformats.org/officeDocument/2006/relationships/hyperlink" Target="https://www.alhaq.org/advocacy/20895.html" TargetMode="External"/><Relationship Id="rId16" Type="http://schemas.openxmlformats.org/officeDocument/2006/relationships/hyperlink" Target="https://www.alhaq.org/advocacy/22717.html" TargetMode="External"/><Relationship Id="rId20" Type="http://schemas.openxmlformats.org/officeDocument/2006/relationships/hyperlink" Target="https://www.adalah.org/en/content/view/7371" TargetMode="External"/><Relationship Id="rId29" Type="http://schemas.openxmlformats.org/officeDocument/2006/relationships/hyperlink" Target="https://www.adalah.org/uploads/uploads/The_Citizenship_and_Entry_into_Israel_Law_Eng_150322.pdf" TargetMode="External"/><Relationship Id="rId1" Type="http://schemas.openxmlformats.org/officeDocument/2006/relationships/hyperlink" Target="https://www.icj-cij.org/case/192/provisional-measures" TargetMode="External"/><Relationship Id="rId6" Type="http://schemas.openxmlformats.org/officeDocument/2006/relationships/hyperlink" Target="https://www.alhaq.org/advocacy/21830.html" TargetMode="External"/><Relationship Id="rId11" Type="http://schemas.openxmlformats.org/officeDocument/2006/relationships/hyperlink" Target="https://www.alhaq.org/advocacy/20895.html" TargetMode="External"/><Relationship Id="rId24" Type="http://schemas.openxmlformats.org/officeDocument/2006/relationships/hyperlink" Target="https://www.gov.il/BlobFolder/policy/procedure_for_handling_an_application_for_residency_minor_2015/he/5.2.0.29.pdf" TargetMode="External"/><Relationship Id="rId5" Type="http://schemas.openxmlformats.org/officeDocument/2006/relationships/hyperlink" Target="https://palestine.un.org/en/267691-10000-people-feared-buried-under-rubble-gaza" TargetMode="External"/><Relationship Id="rId15" Type="http://schemas.openxmlformats.org/officeDocument/2006/relationships/hyperlink" Target="https://www.alhaq.org/advocacy/22679.html" TargetMode="External"/><Relationship Id="rId23" Type="http://schemas.openxmlformats.org/officeDocument/2006/relationships/hyperlink" Target="https://www.gov.il/BlobFolder/policy/procedure_for_handling_an_application_for_residency_minor_2015/he/5.2.0.29.pdf" TargetMode="External"/><Relationship Id="rId28" Type="http://schemas.openxmlformats.org/officeDocument/2006/relationships/hyperlink" Target="https://www.adalah.org/uploads/uploads/The_Citizenship_and_Entry_into_Israel_Law_Eng_150322.pdf" TargetMode="External"/><Relationship Id="rId10" Type="http://schemas.openxmlformats.org/officeDocument/2006/relationships/hyperlink" Target="https://www.unicef.org/press-releases/stories-loss-and-grief-least-17000-children-are-estimated-be-unaccompanied-or" TargetMode="External"/><Relationship Id="rId19" Type="http://schemas.openxmlformats.org/officeDocument/2006/relationships/hyperlink" Target="https://hamoked.org/document.php?dID=Updates2344" TargetMode="External"/><Relationship Id="rId4" Type="http://schemas.openxmlformats.org/officeDocument/2006/relationships/hyperlink" Target="https://t.me/MOHMediaGaza/5692" TargetMode="External"/><Relationship Id="rId9" Type="http://schemas.openxmlformats.org/officeDocument/2006/relationships/hyperlink" Target="https://www.who.int/news/item/03-05-2024-rafah-incursion-would-substantially-increase-mortality-and-morbidity-and-further-weaken-an-already-broken-health-system" TargetMode="External"/><Relationship Id="rId14" Type="http://schemas.openxmlformats.org/officeDocument/2006/relationships/hyperlink" Target="https://www.alhaq.org/advocacy/17033.html" TargetMode="External"/><Relationship Id="rId22" Type="http://schemas.openxmlformats.org/officeDocument/2006/relationships/hyperlink" Target="https://www.alhaq.org/cached_uploads/download/2022/11/21/221115-joint-submission-to-the-crc-1669034220.pdf" TargetMode="External"/><Relationship Id="rId27" Type="http://schemas.openxmlformats.org/officeDocument/2006/relationships/hyperlink" Target="https://hamoked.org.il/files/2013/11582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8902</Words>
  <Characters>50746</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2024-08-19T17:12:00Z</dcterms:created>
  <dcterms:modified xsi:type="dcterms:W3CDTF">2024-08-19T17:12:00Z</dcterms:modified>
</cp:coreProperties>
</file>