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68BDD" w14:textId="77777777" w:rsidR="00F30025" w:rsidRDefault="00F30025" w:rsidP="00F30025">
      <w:pPr>
        <w:spacing w:line="240" w:lineRule="auto"/>
        <w:jc w:val="both"/>
        <w:rPr>
          <w:rFonts w:ascii="Times New Roman" w:eastAsia="Times New Roman" w:hAnsi="Times New Roman" w:cs="Times New Roman"/>
          <w:b/>
          <w:bCs/>
          <w:sz w:val="44"/>
          <w:szCs w:val="44"/>
        </w:rPr>
      </w:pPr>
      <w:r>
        <w:rPr>
          <w:noProof/>
        </w:rPr>
        <w:drawing>
          <wp:anchor distT="0" distB="0" distL="114300" distR="114300" simplePos="0" relativeHeight="251659264" behindDoc="0" locked="0" layoutInCell="1" hidden="0" allowOverlap="1" wp14:anchorId="33911F6F" wp14:editId="616FC1DC">
            <wp:simplePos x="0" y="0"/>
            <wp:positionH relativeFrom="column">
              <wp:posOffset>542925</wp:posOffset>
            </wp:positionH>
            <wp:positionV relativeFrom="paragraph">
              <wp:posOffset>0</wp:posOffset>
            </wp:positionV>
            <wp:extent cx="1433195" cy="936625"/>
            <wp:effectExtent l="0" t="0" r="0" b="0"/>
            <wp:wrapNone/>
            <wp:docPr id="2" name="image2.pn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close up of a sign&#10;&#10;Description automatically generated"/>
                    <pic:cNvPicPr preferRelativeResize="0"/>
                  </pic:nvPicPr>
                  <pic:blipFill>
                    <a:blip r:embed="rId6"/>
                    <a:srcRect/>
                    <a:stretch>
                      <a:fillRect/>
                    </a:stretch>
                  </pic:blipFill>
                  <pic:spPr>
                    <a:xfrm>
                      <a:off x="0" y="0"/>
                      <a:ext cx="1433195" cy="936625"/>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176CFB47" wp14:editId="4AF08AEA">
            <wp:simplePos x="0" y="0"/>
            <wp:positionH relativeFrom="column">
              <wp:posOffset>3105150</wp:posOffset>
            </wp:positionH>
            <wp:positionV relativeFrom="paragraph">
              <wp:posOffset>0</wp:posOffset>
            </wp:positionV>
            <wp:extent cx="1852894" cy="990600"/>
            <wp:effectExtent l="0" t="0" r="0" b="0"/>
            <wp:wrapSquare wrapText="bothSides" distT="0" distB="0" distL="114300" distR="114300"/>
            <wp:docPr id="1" name="image1.png" descr="Imagen que contiene señal, dibuj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magen que contiene señal, dibujo&#10;&#10;Descripción generada automáticamente"/>
                    <pic:cNvPicPr preferRelativeResize="0"/>
                  </pic:nvPicPr>
                  <pic:blipFill>
                    <a:blip r:embed="rId7"/>
                    <a:srcRect t="22478" b="19481"/>
                    <a:stretch>
                      <a:fillRect/>
                    </a:stretch>
                  </pic:blipFill>
                  <pic:spPr>
                    <a:xfrm>
                      <a:off x="0" y="0"/>
                      <a:ext cx="1852894" cy="990600"/>
                    </a:xfrm>
                    <a:prstGeom prst="rect">
                      <a:avLst/>
                    </a:prstGeom>
                    <a:ln/>
                  </pic:spPr>
                </pic:pic>
              </a:graphicData>
            </a:graphic>
          </wp:anchor>
        </w:drawing>
      </w:r>
    </w:p>
    <w:p w14:paraId="2480649E" w14:textId="77777777" w:rsidR="00F30025" w:rsidRDefault="00F30025" w:rsidP="00F30025">
      <w:pPr>
        <w:spacing w:line="240" w:lineRule="auto"/>
        <w:jc w:val="both"/>
        <w:rPr>
          <w:rFonts w:ascii="Times New Roman" w:eastAsia="Times New Roman" w:hAnsi="Times New Roman" w:cs="Times New Roman"/>
          <w:b/>
          <w:bCs/>
          <w:sz w:val="44"/>
          <w:szCs w:val="44"/>
        </w:rPr>
      </w:pPr>
    </w:p>
    <w:p w14:paraId="6CA0D83D" w14:textId="77777777" w:rsidR="00F30025" w:rsidRDefault="00F30025" w:rsidP="00F30025">
      <w:pPr>
        <w:spacing w:line="240" w:lineRule="auto"/>
        <w:jc w:val="both"/>
        <w:rPr>
          <w:rFonts w:ascii="Times New Roman" w:eastAsia="Times New Roman" w:hAnsi="Times New Roman" w:cs="Times New Roman"/>
          <w:b/>
          <w:bCs/>
          <w:sz w:val="44"/>
          <w:szCs w:val="44"/>
        </w:rPr>
      </w:pPr>
    </w:p>
    <w:p w14:paraId="2BF96380" w14:textId="77777777" w:rsidR="00F30025" w:rsidRPr="00F30025" w:rsidRDefault="00F30025" w:rsidP="00F30025">
      <w:pPr>
        <w:spacing w:line="240" w:lineRule="auto"/>
        <w:ind w:right="430"/>
        <w:jc w:val="center"/>
        <w:rPr>
          <w:rFonts w:ascii="Calibri" w:eastAsia="Calibri" w:hAnsi="Calibri" w:cs="Calibri"/>
          <w:b/>
          <w:bCs/>
          <w:sz w:val="38"/>
          <w:szCs w:val="38"/>
          <w:lang w:val="es-CR"/>
        </w:rPr>
      </w:pPr>
      <w:r w:rsidRPr="00F30025">
        <w:rPr>
          <w:rFonts w:ascii="Calibri" w:eastAsia="Calibri" w:hAnsi="Calibri" w:cs="Calibri"/>
          <w:b/>
          <w:bCs/>
          <w:sz w:val="38"/>
          <w:szCs w:val="38"/>
          <w:lang w:val="es-CR"/>
        </w:rPr>
        <w:t>Consideraciones al Comité en relación con la política de drogas y su incidencia sobre los Derechos Económicos, Sociales y Culturales de las personas que usan drogas en Uruguay.</w:t>
      </w:r>
    </w:p>
    <w:p w14:paraId="34A24E84" w14:textId="77777777" w:rsidR="00F30025" w:rsidRPr="00F30025" w:rsidRDefault="00F30025" w:rsidP="00F30025">
      <w:pPr>
        <w:spacing w:line="240" w:lineRule="auto"/>
        <w:ind w:right="430"/>
        <w:jc w:val="center"/>
        <w:rPr>
          <w:rFonts w:ascii="Calibri" w:eastAsia="Calibri" w:hAnsi="Calibri" w:cs="Calibri"/>
          <w:b/>
          <w:bCs/>
          <w:sz w:val="34"/>
          <w:szCs w:val="34"/>
          <w:lang w:val="es-CR"/>
        </w:rPr>
      </w:pPr>
      <w:r w:rsidRPr="00F30025">
        <w:rPr>
          <w:rFonts w:ascii="Calibri" w:eastAsia="Calibri" w:hAnsi="Calibri" w:cs="Calibri"/>
          <w:b/>
          <w:bCs/>
          <w:sz w:val="34"/>
          <w:szCs w:val="34"/>
          <w:lang w:val="es-CR"/>
        </w:rPr>
        <w:t>Revisión periódica del sexto informe del Uruguay.  de abril de 2025 (Cuarta Revisión Periódica del Estado Uruguayo)</w:t>
      </w:r>
    </w:p>
    <w:p w14:paraId="51AAF9F7" w14:textId="77777777" w:rsidR="00F30025" w:rsidRPr="00F30025" w:rsidRDefault="00F30025" w:rsidP="00F30025">
      <w:pPr>
        <w:spacing w:line="240" w:lineRule="auto"/>
        <w:ind w:right="430"/>
        <w:jc w:val="both"/>
        <w:rPr>
          <w:rFonts w:ascii="Times New Roman" w:eastAsia="Times New Roman" w:hAnsi="Times New Roman" w:cs="Times New Roman"/>
          <w:sz w:val="28"/>
          <w:szCs w:val="28"/>
          <w:lang w:val="es-CR"/>
        </w:rPr>
      </w:pPr>
    </w:p>
    <w:p w14:paraId="0370F918" w14:textId="77777777" w:rsidR="00F30025" w:rsidRPr="00630AAD" w:rsidRDefault="00F30025" w:rsidP="00F30025">
      <w:pPr>
        <w:spacing w:after="120"/>
        <w:ind w:right="430"/>
        <w:jc w:val="both"/>
        <w:rPr>
          <w:rFonts w:ascii="Calibri" w:eastAsia="Calibri" w:hAnsi="Calibri" w:cs="Calibri"/>
          <w:b/>
          <w:bCs/>
          <w:sz w:val="26"/>
          <w:szCs w:val="26"/>
          <w:lang w:val="es-CR"/>
        </w:rPr>
      </w:pPr>
      <w:r w:rsidRPr="00630AAD">
        <w:rPr>
          <w:rFonts w:ascii="Calibri" w:eastAsia="Calibri" w:hAnsi="Calibri" w:cs="Calibri"/>
          <w:b/>
          <w:bCs/>
          <w:sz w:val="26"/>
          <w:szCs w:val="26"/>
          <w:lang w:val="es-CR"/>
        </w:rPr>
        <w:t>Organizaciones que presentan el informe</w:t>
      </w:r>
    </w:p>
    <w:p w14:paraId="2010C073" w14:textId="77777777" w:rsidR="00F30025" w:rsidRPr="00630AAD" w:rsidRDefault="00F30025" w:rsidP="00F30025">
      <w:pPr>
        <w:spacing w:line="240" w:lineRule="auto"/>
        <w:ind w:right="430"/>
        <w:jc w:val="both"/>
        <w:rPr>
          <w:rFonts w:ascii="Calibri" w:eastAsia="Calibri" w:hAnsi="Calibri" w:cs="Calibri"/>
          <w:b/>
          <w:bCs/>
          <w:sz w:val="26"/>
          <w:szCs w:val="26"/>
          <w:lang w:val="es-CR"/>
        </w:rPr>
      </w:pPr>
    </w:p>
    <w:tbl>
      <w:tblPr>
        <w:tblpPr w:leftFromText="180" w:rightFromText="180" w:topFromText="180" w:bottomFromText="180" w:vertAnchor="text"/>
        <w:tblW w:w="9540" w:type="dxa"/>
        <w:tblLayout w:type="fixed"/>
        <w:tblLook w:val="0400" w:firstRow="0" w:lastRow="0" w:firstColumn="0" w:lastColumn="0" w:noHBand="0" w:noVBand="1"/>
      </w:tblPr>
      <w:tblGrid>
        <w:gridCol w:w="2760"/>
        <w:gridCol w:w="6780"/>
      </w:tblGrid>
      <w:tr w:rsidR="00F30025" w:rsidRPr="00C205F0" w14:paraId="2FAE4C5C" w14:textId="77777777" w:rsidTr="003D2B33">
        <w:trPr>
          <w:trHeight w:val="3403"/>
        </w:trPr>
        <w:tc>
          <w:tcPr>
            <w:tcW w:w="2760" w:type="dxa"/>
          </w:tcPr>
          <w:p w14:paraId="3DB3AE21" w14:textId="3F8DAC0E" w:rsidR="00F30025" w:rsidRPr="00F30025" w:rsidRDefault="00F30025" w:rsidP="00306360">
            <w:pPr>
              <w:spacing w:line="240" w:lineRule="auto"/>
              <w:ind w:right="430"/>
              <w:rPr>
                <w:rFonts w:ascii="Calibri" w:eastAsia="Calibri" w:hAnsi="Calibri" w:cs="Calibri"/>
                <w:b/>
                <w:bCs/>
                <w:sz w:val="26"/>
                <w:szCs w:val="26"/>
                <w:lang w:val="es-CR"/>
              </w:rPr>
            </w:pPr>
            <w:r w:rsidRPr="00F30025">
              <w:rPr>
                <w:rFonts w:ascii="Calibri" w:eastAsia="Calibri" w:hAnsi="Calibri" w:cs="Calibri"/>
                <w:b/>
                <w:bCs/>
                <w:sz w:val="26"/>
                <w:szCs w:val="26"/>
                <w:lang w:val="es-CR"/>
              </w:rPr>
              <w:t>Red Latinoamericana y del Caribe de Personas que Usan Drogas</w:t>
            </w:r>
            <w:r w:rsidR="00630AAD">
              <w:rPr>
                <w:rFonts w:ascii="Calibri" w:eastAsia="Calibri" w:hAnsi="Calibri" w:cs="Calibri"/>
                <w:b/>
                <w:bCs/>
                <w:sz w:val="26"/>
                <w:szCs w:val="26"/>
                <w:lang w:val="es-CR"/>
              </w:rPr>
              <w:t xml:space="preserve"> (LANPUD)</w:t>
            </w:r>
          </w:p>
          <w:p w14:paraId="312C043A" w14:textId="77777777" w:rsidR="00F30025" w:rsidRPr="00F30025" w:rsidRDefault="00F30025" w:rsidP="00306360">
            <w:pPr>
              <w:spacing w:line="240" w:lineRule="auto"/>
              <w:ind w:right="430"/>
              <w:rPr>
                <w:rFonts w:ascii="Calibri" w:eastAsia="Calibri" w:hAnsi="Calibri" w:cs="Calibri"/>
                <w:b/>
                <w:bCs/>
                <w:sz w:val="26"/>
                <w:szCs w:val="26"/>
                <w:lang w:val="es-CR"/>
              </w:rPr>
            </w:pPr>
          </w:p>
        </w:tc>
        <w:tc>
          <w:tcPr>
            <w:tcW w:w="6780" w:type="dxa"/>
          </w:tcPr>
          <w:p w14:paraId="00AAEF8E" w14:textId="77777777" w:rsidR="00F30025" w:rsidRPr="00F30025" w:rsidRDefault="00F30025" w:rsidP="00306360">
            <w:pPr>
              <w:spacing w:line="240" w:lineRule="auto"/>
              <w:ind w:right="-3"/>
              <w:jc w:val="both"/>
              <w:rPr>
                <w:rFonts w:ascii="Calibri" w:eastAsia="Calibri" w:hAnsi="Calibri" w:cs="Calibri"/>
                <w:sz w:val="26"/>
                <w:szCs w:val="26"/>
                <w:lang w:val="es-CR"/>
              </w:rPr>
            </w:pPr>
            <w:r w:rsidRPr="00F30025">
              <w:rPr>
                <w:rFonts w:ascii="Calibri" w:eastAsia="Calibri" w:hAnsi="Calibri" w:cs="Calibri"/>
                <w:sz w:val="26"/>
                <w:szCs w:val="26"/>
                <w:lang w:val="es-CR"/>
              </w:rPr>
              <w:t>LANPUD es una organización regional integrada por personas que usan drogas, que actúa como plataforma de apoyo e incidencia para promover políticas públicas basadas en derechos humanos, la eliminación del estigma y la reducción de la criminalización.</w:t>
            </w:r>
          </w:p>
          <w:p w14:paraId="38B4BCD4" w14:textId="77777777" w:rsidR="00F30025" w:rsidRPr="00F30025" w:rsidRDefault="00F30025" w:rsidP="00306360">
            <w:pPr>
              <w:spacing w:line="240" w:lineRule="auto"/>
              <w:ind w:right="-3"/>
              <w:jc w:val="both"/>
              <w:rPr>
                <w:rFonts w:ascii="Calibri" w:eastAsia="Calibri" w:hAnsi="Calibri" w:cs="Calibri"/>
                <w:sz w:val="26"/>
                <w:szCs w:val="26"/>
                <w:lang w:val="es-CR"/>
              </w:rPr>
            </w:pPr>
            <w:r w:rsidRPr="00F30025">
              <w:rPr>
                <w:rFonts w:ascii="Calibri" w:eastAsia="Calibri" w:hAnsi="Calibri" w:cs="Calibri"/>
                <w:sz w:val="26"/>
                <w:szCs w:val="26"/>
                <w:lang w:val="es-CR"/>
              </w:rPr>
              <w:t xml:space="preserve">Uruguay: Laura Blanco </w:t>
            </w:r>
            <w:hyperlink r:id="rId8">
              <w:r w:rsidRPr="00F30025">
                <w:rPr>
                  <w:rFonts w:ascii="Calibri" w:eastAsia="Calibri" w:hAnsi="Calibri" w:cs="Calibri"/>
                  <w:color w:val="1155CC"/>
                  <w:sz w:val="26"/>
                  <w:szCs w:val="26"/>
                  <w:u w:val="single"/>
                  <w:lang w:val="es-CR"/>
                </w:rPr>
                <w:t>laura.blancodeleon@gmail.com</w:t>
              </w:r>
            </w:hyperlink>
          </w:p>
          <w:p w14:paraId="08BCEB3C" w14:textId="77777777" w:rsidR="00F30025" w:rsidRPr="00F30025" w:rsidRDefault="00F30025" w:rsidP="00306360">
            <w:pPr>
              <w:spacing w:line="240" w:lineRule="auto"/>
              <w:ind w:right="-3"/>
              <w:jc w:val="both"/>
              <w:rPr>
                <w:rFonts w:ascii="Calibri" w:eastAsia="Calibri" w:hAnsi="Calibri" w:cs="Calibri"/>
                <w:sz w:val="26"/>
                <w:szCs w:val="26"/>
                <w:lang w:val="es-CR"/>
              </w:rPr>
            </w:pPr>
            <w:r w:rsidRPr="00F30025">
              <w:rPr>
                <w:rFonts w:ascii="Calibri" w:eastAsia="Calibri" w:hAnsi="Calibri" w:cs="Calibri"/>
                <w:sz w:val="26"/>
                <w:szCs w:val="26"/>
                <w:lang w:val="es-CR"/>
              </w:rPr>
              <w:t xml:space="preserve">Secretariado: Ernesto Cortés </w:t>
            </w:r>
            <w:hyperlink r:id="rId9">
              <w:r w:rsidRPr="00F30025">
                <w:rPr>
                  <w:rFonts w:ascii="Calibri" w:eastAsia="Calibri" w:hAnsi="Calibri" w:cs="Calibri"/>
                  <w:color w:val="1155CC"/>
                  <w:sz w:val="26"/>
                  <w:szCs w:val="26"/>
                  <w:u w:val="single"/>
                  <w:lang w:val="es-CR"/>
                </w:rPr>
                <w:t>inforedlanpud@gmail.com</w:t>
              </w:r>
            </w:hyperlink>
            <w:r w:rsidRPr="00F30025">
              <w:rPr>
                <w:rFonts w:ascii="Calibri" w:eastAsia="Calibri" w:hAnsi="Calibri" w:cs="Calibri"/>
                <w:sz w:val="26"/>
                <w:szCs w:val="26"/>
                <w:lang w:val="es-CR"/>
              </w:rPr>
              <w:t xml:space="preserve"> </w:t>
            </w:r>
          </w:p>
          <w:p w14:paraId="686CC429" w14:textId="77777777" w:rsidR="00F30025" w:rsidRPr="00F30025" w:rsidRDefault="00F30025" w:rsidP="00306360">
            <w:pPr>
              <w:spacing w:line="240" w:lineRule="auto"/>
              <w:ind w:right="-3"/>
              <w:jc w:val="both"/>
              <w:rPr>
                <w:rFonts w:ascii="Calibri" w:eastAsia="Calibri" w:hAnsi="Calibri" w:cs="Calibri"/>
                <w:sz w:val="26"/>
                <w:szCs w:val="26"/>
                <w:lang w:val="es-CR"/>
              </w:rPr>
            </w:pPr>
          </w:p>
        </w:tc>
      </w:tr>
      <w:tr w:rsidR="00F30025" w:rsidRPr="00C205F0" w14:paraId="040449D5" w14:textId="77777777" w:rsidTr="00630AAD">
        <w:trPr>
          <w:trHeight w:val="979"/>
        </w:trPr>
        <w:tc>
          <w:tcPr>
            <w:tcW w:w="2760" w:type="dxa"/>
          </w:tcPr>
          <w:p w14:paraId="54551661" w14:textId="77777777" w:rsidR="00F30025" w:rsidRPr="00F30025" w:rsidRDefault="00F30025" w:rsidP="00306360">
            <w:pPr>
              <w:spacing w:line="240" w:lineRule="auto"/>
              <w:ind w:right="430"/>
              <w:rPr>
                <w:rFonts w:ascii="Calibri" w:eastAsia="Calibri" w:hAnsi="Calibri" w:cs="Calibri"/>
                <w:b/>
                <w:bCs/>
                <w:sz w:val="26"/>
                <w:szCs w:val="26"/>
                <w:lang w:val="es-CR"/>
              </w:rPr>
            </w:pPr>
            <w:r w:rsidRPr="00F30025">
              <w:rPr>
                <w:rFonts w:ascii="Calibri" w:eastAsia="Calibri" w:hAnsi="Calibri" w:cs="Calibri"/>
                <w:b/>
                <w:bCs/>
                <w:sz w:val="26"/>
                <w:szCs w:val="26"/>
                <w:lang w:val="es-CR"/>
              </w:rPr>
              <w:t>Consorcio Internacional de Políticas de Drogas (IDPC)</w:t>
            </w:r>
          </w:p>
          <w:p w14:paraId="0D2E770A" w14:textId="77777777" w:rsidR="00F30025" w:rsidRDefault="00F30025" w:rsidP="00306360">
            <w:pPr>
              <w:spacing w:line="240" w:lineRule="auto"/>
              <w:ind w:right="430"/>
              <w:rPr>
                <w:rFonts w:ascii="Calibri" w:eastAsia="Calibri" w:hAnsi="Calibri" w:cs="Calibri"/>
                <w:sz w:val="26"/>
                <w:szCs w:val="26"/>
                <w:lang w:val="es-CR"/>
              </w:rPr>
            </w:pPr>
          </w:p>
          <w:p w14:paraId="5F485F0D" w14:textId="52E9DBE4" w:rsidR="00630AAD" w:rsidRPr="00F30025" w:rsidRDefault="00630AAD" w:rsidP="00306360">
            <w:pPr>
              <w:spacing w:line="240" w:lineRule="auto"/>
              <w:ind w:right="430"/>
              <w:rPr>
                <w:rFonts w:ascii="Calibri" w:eastAsia="Calibri" w:hAnsi="Calibri" w:cs="Calibri"/>
                <w:sz w:val="26"/>
                <w:szCs w:val="26"/>
                <w:lang w:val="es-CR"/>
              </w:rPr>
            </w:pPr>
          </w:p>
        </w:tc>
        <w:tc>
          <w:tcPr>
            <w:tcW w:w="6780" w:type="dxa"/>
          </w:tcPr>
          <w:p w14:paraId="7673716D" w14:textId="77777777" w:rsidR="00F30025" w:rsidRPr="00F30025" w:rsidRDefault="00F30025" w:rsidP="00306360">
            <w:pPr>
              <w:spacing w:line="240" w:lineRule="auto"/>
              <w:ind w:right="-145"/>
              <w:jc w:val="both"/>
              <w:rPr>
                <w:rFonts w:ascii="Calibri" w:eastAsia="Calibri" w:hAnsi="Calibri" w:cs="Calibri"/>
                <w:sz w:val="26"/>
                <w:szCs w:val="26"/>
                <w:lang w:val="es-CR"/>
              </w:rPr>
            </w:pPr>
            <w:r w:rsidRPr="00F30025">
              <w:rPr>
                <w:rFonts w:ascii="Calibri" w:eastAsia="Calibri" w:hAnsi="Calibri" w:cs="Calibri"/>
                <w:sz w:val="26"/>
                <w:szCs w:val="26"/>
                <w:lang w:val="es-CR"/>
              </w:rPr>
              <w:t>Red mundial que promueve políticas de drogas orientadas a la justicia social, los derechos humanos y la salud pública.</w:t>
            </w:r>
          </w:p>
          <w:p w14:paraId="45D35E87" w14:textId="77777777" w:rsidR="00F30025" w:rsidRPr="00F30025" w:rsidRDefault="00F30025" w:rsidP="00306360">
            <w:pPr>
              <w:spacing w:line="240" w:lineRule="auto"/>
              <w:ind w:right="985"/>
              <w:jc w:val="both"/>
              <w:rPr>
                <w:rFonts w:ascii="Calibri" w:eastAsia="Calibri" w:hAnsi="Calibri" w:cs="Calibri"/>
                <w:sz w:val="26"/>
                <w:szCs w:val="26"/>
                <w:lang w:val="es-CR"/>
              </w:rPr>
            </w:pPr>
          </w:p>
          <w:p w14:paraId="58DE4BAA" w14:textId="77777777" w:rsidR="00F30025" w:rsidRPr="00F30025" w:rsidRDefault="00F30025" w:rsidP="00306360">
            <w:pPr>
              <w:spacing w:line="240" w:lineRule="auto"/>
              <w:ind w:right="-145"/>
              <w:jc w:val="both"/>
              <w:rPr>
                <w:rFonts w:ascii="Calibri" w:eastAsia="Calibri" w:hAnsi="Calibri" w:cs="Calibri"/>
                <w:sz w:val="26"/>
                <w:szCs w:val="26"/>
                <w:lang w:val="es-CR"/>
              </w:rPr>
            </w:pPr>
            <w:r w:rsidRPr="00F30025">
              <w:rPr>
                <w:rFonts w:ascii="Calibri" w:eastAsia="Calibri" w:hAnsi="Calibri" w:cs="Calibri"/>
                <w:sz w:val="26"/>
                <w:szCs w:val="26"/>
                <w:lang w:val="es-CR"/>
              </w:rPr>
              <w:t xml:space="preserve">Contacto: Marie Nougier </w:t>
            </w:r>
            <w:hyperlink r:id="rId10">
              <w:r w:rsidRPr="00F30025">
                <w:rPr>
                  <w:rFonts w:ascii="Calibri" w:eastAsia="Calibri" w:hAnsi="Calibri" w:cs="Calibri"/>
                  <w:color w:val="0563C1"/>
                  <w:sz w:val="26"/>
                  <w:szCs w:val="26"/>
                  <w:u w:val="single"/>
                  <w:lang w:val="es-CR"/>
                </w:rPr>
                <w:t>mnougier@idpc.net</w:t>
              </w:r>
            </w:hyperlink>
          </w:p>
          <w:p w14:paraId="6309A4CD" w14:textId="77777777" w:rsidR="00F30025" w:rsidRPr="00F30025" w:rsidRDefault="00F30025" w:rsidP="00306360">
            <w:pPr>
              <w:spacing w:line="240" w:lineRule="auto"/>
              <w:ind w:right="430"/>
              <w:jc w:val="both"/>
              <w:rPr>
                <w:rFonts w:ascii="Calibri" w:eastAsia="Calibri" w:hAnsi="Calibri" w:cs="Calibri"/>
                <w:sz w:val="26"/>
                <w:szCs w:val="26"/>
                <w:lang w:val="es-CR"/>
              </w:rPr>
            </w:pPr>
          </w:p>
        </w:tc>
      </w:tr>
    </w:tbl>
    <w:p w14:paraId="6897790E" w14:textId="61EB1BF8" w:rsidR="00BA1872" w:rsidRDefault="00BA1872" w:rsidP="00BA1872">
      <w:pPr>
        <w:pStyle w:val="Ttulo1"/>
      </w:pPr>
      <w:bookmarkStart w:id="0" w:name="_Toc218883252"/>
      <w:r>
        <w:lastRenderedPageBreak/>
        <w:t>Índice</w:t>
      </w:r>
      <w:bookmarkEnd w:id="0"/>
    </w:p>
    <w:p w14:paraId="004C7FEB" w14:textId="0D3A72BA" w:rsidR="00BA1872" w:rsidRDefault="00BA1872">
      <w:pPr>
        <w:pStyle w:val="TDC1"/>
        <w:tabs>
          <w:tab w:val="right" w:leader="dot" w:pos="9350"/>
        </w:tabs>
        <w:rPr>
          <w:noProof/>
        </w:rPr>
      </w:pPr>
      <w:r>
        <w:fldChar w:fldCharType="begin"/>
      </w:r>
      <w:r>
        <w:instrText xml:space="preserve"> TOC \o "1-2" \h \z \u </w:instrText>
      </w:r>
      <w:r>
        <w:fldChar w:fldCharType="separate"/>
      </w:r>
      <w:hyperlink w:anchor="_Toc218883253" w:history="1">
        <w:r w:rsidRPr="00E1728F">
          <w:rPr>
            <w:rStyle w:val="Hipervnculo"/>
            <w:noProof/>
          </w:rPr>
          <w:t>1. Resumen ejecutivo</w:t>
        </w:r>
        <w:r>
          <w:rPr>
            <w:noProof/>
            <w:webHidden/>
          </w:rPr>
          <w:tab/>
        </w:r>
        <w:r>
          <w:rPr>
            <w:noProof/>
            <w:webHidden/>
          </w:rPr>
          <w:fldChar w:fldCharType="begin"/>
        </w:r>
        <w:r>
          <w:rPr>
            <w:noProof/>
            <w:webHidden/>
          </w:rPr>
          <w:instrText xml:space="preserve"> PAGEREF _Toc218883253 \h </w:instrText>
        </w:r>
        <w:r>
          <w:rPr>
            <w:noProof/>
            <w:webHidden/>
          </w:rPr>
        </w:r>
        <w:r>
          <w:rPr>
            <w:noProof/>
            <w:webHidden/>
          </w:rPr>
          <w:fldChar w:fldCharType="separate"/>
        </w:r>
        <w:r>
          <w:rPr>
            <w:noProof/>
            <w:webHidden/>
          </w:rPr>
          <w:t>2</w:t>
        </w:r>
        <w:r>
          <w:rPr>
            <w:noProof/>
            <w:webHidden/>
          </w:rPr>
          <w:fldChar w:fldCharType="end"/>
        </w:r>
      </w:hyperlink>
    </w:p>
    <w:p w14:paraId="11D409BB" w14:textId="2437E63B" w:rsidR="00BA1872" w:rsidRDefault="00BA1872">
      <w:pPr>
        <w:pStyle w:val="TDC1"/>
        <w:tabs>
          <w:tab w:val="right" w:leader="dot" w:pos="9350"/>
        </w:tabs>
        <w:rPr>
          <w:noProof/>
        </w:rPr>
      </w:pPr>
      <w:hyperlink w:anchor="_Toc218883254" w:history="1">
        <w:r w:rsidRPr="00E1728F">
          <w:rPr>
            <w:rStyle w:val="Hipervnculo"/>
            <w:noProof/>
          </w:rPr>
          <w:t>2. Introducción y marco de derechos humanos</w:t>
        </w:r>
        <w:r>
          <w:rPr>
            <w:noProof/>
            <w:webHidden/>
          </w:rPr>
          <w:tab/>
        </w:r>
        <w:r>
          <w:rPr>
            <w:noProof/>
            <w:webHidden/>
          </w:rPr>
          <w:fldChar w:fldCharType="begin"/>
        </w:r>
        <w:r>
          <w:rPr>
            <w:noProof/>
            <w:webHidden/>
          </w:rPr>
          <w:instrText xml:space="preserve"> PAGEREF _Toc218883254 \h </w:instrText>
        </w:r>
        <w:r>
          <w:rPr>
            <w:noProof/>
            <w:webHidden/>
          </w:rPr>
        </w:r>
        <w:r>
          <w:rPr>
            <w:noProof/>
            <w:webHidden/>
          </w:rPr>
          <w:fldChar w:fldCharType="separate"/>
        </w:r>
        <w:r>
          <w:rPr>
            <w:noProof/>
            <w:webHidden/>
          </w:rPr>
          <w:t>3</w:t>
        </w:r>
        <w:r>
          <w:rPr>
            <w:noProof/>
            <w:webHidden/>
          </w:rPr>
          <w:fldChar w:fldCharType="end"/>
        </w:r>
      </w:hyperlink>
    </w:p>
    <w:p w14:paraId="0E85F69F" w14:textId="76E7E982" w:rsidR="00BA1872" w:rsidRDefault="00BA1872">
      <w:pPr>
        <w:pStyle w:val="TDC1"/>
        <w:tabs>
          <w:tab w:val="right" w:leader="dot" w:pos="9350"/>
        </w:tabs>
        <w:rPr>
          <w:noProof/>
        </w:rPr>
      </w:pPr>
      <w:hyperlink w:anchor="_Toc218883255" w:history="1">
        <w:r w:rsidRPr="00E1728F">
          <w:rPr>
            <w:rStyle w:val="Hipervnculo"/>
            <w:noProof/>
          </w:rPr>
          <w:t>3. Uso de drogas en Uruguay: contexto y respuestas estatales</w:t>
        </w:r>
        <w:r>
          <w:rPr>
            <w:noProof/>
            <w:webHidden/>
          </w:rPr>
          <w:tab/>
        </w:r>
        <w:r>
          <w:rPr>
            <w:noProof/>
            <w:webHidden/>
          </w:rPr>
          <w:fldChar w:fldCharType="begin"/>
        </w:r>
        <w:r>
          <w:rPr>
            <w:noProof/>
            <w:webHidden/>
          </w:rPr>
          <w:instrText xml:space="preserve"> PAGEREF _Toc218883255 \h </w:instrText>
        </w:r>
        <w:r>
          <w:rPr>
            <w:noProof/>
            <w:webHidden/>
          </w:rPr>
        </w:r>
        <w:r>
          <w:rPr>
            <w:noProof/>
            <w:webHidden/>
          </w:rPr>
          <w:fldChar w:fldCharType="separate"/>
        </w:r>
        <w:r>
          <w:rPr>
            <w:noProof/>
            <w:webHidden/>
          </w:rPr>
          <w:t>4</w:t>
        </w:r>
        <w:r>
          <w:rPr>
            <w:noProof/>
            <w:webHidden/>
          </w:rPr>
          <w:fldChar w:fldCharType="end"/>
        </w:r>
      </w:hyperlink>
    </w:p>
    <w:p w14:paraId="4452EFA2" w14:textId="2F027345" w:rsidR="00BA1872" w:rsidRDefault="00BA1872">
      <w:pPr>
        <w:pStyle w:val="TDC2"/>
        <w:tabs>
          <w:tab w:val="right" w:leader="dot" w:pos="9350"/>
        </w:tabs>
        <w:rPr>
          <w:noProof/>
        </w:rPr>
      </w:pPr>
      <w:hyperlink w:anchor="_Toc218883256" w:history="1">
        <w:r w:rsidRPr="00E1728F">
          <w:rPr>
            <w:rStyle w:val="Hipervnculo"/>
            <w:noProof/>
          </w:rPr>
          <w:t>3.1 Niveles de consumo de drogas</w:t>
        </w:r>
        <w:r>
          <w:rPr>
            <w:noProof/>
            <w:webHidden/>
          </w:rPr>
          <w:tab/>
        </w:r>
        <w:r>
          <w:rPr>
            <w:noProof/>
            <w:webHidden/>
          </w:rPr>
          <w:fldChar w:fldCharType="begin"/>
        </w:r>
        <w:r>
          <w:rPr>
            <w:noProof/>
            <w:webHidden/>
          </w:rPr>
          <w:instrText xml:space="preserve"> PAGEREF _Toc218883256 \h </w:instrText>
        </w:r>
        <w:r>
          <w:rPr>
            <w:noProof/>
            <w:webHidden/>
          </w:rPr>
        </w:r>
        <w:r>
          <w:rPr>
            <w:noProof/>
            <w:webHidden/>
          </w:rPr>
          <w:fldChar w:fldCharType="separate"/>
        </w:r>
        <w:r>
          <w:rPr>
            <w:noProof/>
            <w:webHidden/>
          </w:rPr>
          <w:t>4</w:t>
        </w:r>
        <w:r>
          <w:rPr>
            <w:noProof/>
            <w:webHidden/>
          </w:rPr>
          <w:fldChar w:fldCharType="end"/>
        </w:r>
      </w:hyperlink>
    </w:p>
    <w:p w14:paraId="3CBFFCE3" w14:textId="643CA2BE" w:rsidR="00BA1872" w:rsidRDefault="00BA1872">
      <w:pPr>
        <w:pStyle w:val="TDC2"/>
        <w:tabs>
          <w:tab w:val="right" w:leader="dot" w:pos="9350"/>
        </w:tabs>
        <w:rPr>
          <w:noProof/>
        </w:rPr>
      </w:pPr>
      <w:hyperlink w:anchor="_Toc218883257" w:history="1">
        <w:r w:rsidRPr="00E1728F">
          <w:rPr>
            <w:rStyle w:val="Hipervnculo"/>
            <w:noProof/>
          </w:rPr>
          <w:t>3.2 Atención al consumo de drogas</w:t>
        </w:r>
        <w:r>
          <w:rPr>
            <w:noProof/>
            <w:webHidden/>
          </w:rPr>
          <w:tab/>
        </w:r>
        <w:r>
          <w:rPr>
            <w:noProof/>
            <w:webHidden/>
          </w:rPr>
          <w:fldChar w:fldCharType="begin"/>
        </w:r>
        <w:r>
          <w:rPr>
            <w:noProof/>
            <w:webHidden/>
          </w:rPr>
          <w:instrText xml:space="preserve"> PAGEREF _Toc218883257 \h </w:instrText>
        </w:r>
        <w:r>
          <w:rPr>
            <w:noProof/>
            <w:webHidden/>
          </w:rPr>
        </w:r>
        <w:r>
          <w:rPr>
            <w:noProof/>
            <w:webHidden/>
          </w:rPr>
          <w:fldChar w:fldCharType="separate"/>
        </w:r>
        <w:r>
          <w:rPr>
            <w:noProof/>
            <w:webHidden/>
          </w:rPr>
          <w:t>5</w:t>
        </w:r>
        <w:r>
          <w:rPr>
            <w:noProof/>
            <w:webHidden/>
          </w:rPr>
          <w:fldChar w:fldCharType="end"/>
        </w:r>
      </w:hyperlink>
    </w:p>
    <w:p w14:paraId="2C55771E" w14:textId="728EB510" w:rsidR="00BA1872" w:rsidRDefault="00BA1872">
      <w:pPr>
        <w:pStyle w:val="TDC2"/>
        <w:tabs>
          <w:tab w:val="right" w:leader="dot" w:pos="9350"/>
        </w:tabs>
        <w:rPr>
          <w:noProof/>
        </w:rPr>
      </w:pPr>
      <w:hyperlink w:anchor="_Toc218883258" w:history="1">
        <w:r w:rsidRPr="00E1728F">
          <w:rPr>
            <w:rStyle w:val="Hipervnculo"/>
            <w:noProof/>
          </w:rPr>
          <w:t>3.3 Cannabis medicinal y terapéutico</w:t>
        </w:r>
        <w:r>
          <w:rPr>
            <w:noProof/>
            <w:webHidden/>
          </w:rPr>
          <w:tab/>
        </w:r>
        <w:r>
          <w:rPr>
            <w:noProof/>
            <w:webHidden/>
          </w:rPr>
          <w:fldChar w:fldCharType="begin"/>
        </w:r>
        <w:r>
          <w:rPr>
            <w:noProof/>
            <w:webHidden/>
          </w:rPr>
          <w:instrText xml:space="preserve"> PAGEREF _Toc218883258 \h </w:instrText>
        </w:r>
        <w:r>
          <w:rPr>
            <w:noProof/>
            <w:webHidden/>
          </w:rPr>
        </w:r>
        <w:r>
          <w:rPr>
            <w:noProof/>
            <w:webHidden/>
          </w:rPr>
          <w:fldChar w:fldCharType="separate"/>
        </w:r>
        <w:r>
          <w:rPr>
            <w:noProof/>
            <w:webHidden/>
          </w:rPr>
          <w:t>6</w:t>
        </w:r>
        <w:r>
          <w:rPr>
            <w:noProof/>
            <w:webHidden/>
          </w:rPr>
          <w:fldChar w:fldCharType="end"/>
        </w:r>
      </w:hyperlink>
    </w:p>
    <w:p w14:paraId="65C78DE4" w14:textId="115137F6" w:rsidR="00BA1872" w:rsidRDefault="00BA1872">
      <w:pPr>
        <w:pStyle w:val="TDC1"/>
        <w:tabs>
          <w:tab w:val="right" w:leader="dot" w:pos="9350"/>
        </w:tabs>
        <w:rPr>
          <w:noProof/>
        </w:rPr>
      </w:pPr>
      <w:hyperlink w:anchor="_Toc218883259" w:history="1">
        <w:r w:rsidRPr="00E1728F">
          <w:rPr>
            <w:rStyle w:val="Hipervnculo"/>
            <w:noProof/>
          </w:rPr>
          <w:t>4. Estigma, criminalización y su impacto en el derecho a la salud</w:t>
        </w:r>
        <w:r>
          <w:rPr>
            <w:noProof/>
            <w:webHidden/>
          </w:rPr>
          <w:tab/>
        </w:r>
        <w:r>
          <w:rPr>
            <w:noProof/>
            <w:webHidden/>
          </w:rPr>
          <w:fldChar w:fldCharType="begin"/>
        </w:r>
        <w:r>
          <w:rPr>
            <w:noProof/>
            <w:webHidden/>
          </w:rPr>
          <w:instrText xml:space="preserve"> PAGEREF _Toc218883259 \h </w:instrText>
        </w:r>
        <w:r>
          <w:rPr>
            <w:noProof/>
            <w:webHidden/>
          </w:rPr>
        </w:r>
        <w:r>
          <w:rPr>
            <w:noProof/>
            <w:webHidden/>
          </w:rPr>
          <w:fldChar w:fldCharType="separate"/>
        </w:r>
        <w:r>
          <w:rPr>
            <w:noProof/>
            <w:webHidden/>
          </w:rPr>
          <w:t>6</w:t>
        </w:r>
        <w:r>
          <w:rPr>
            <w:noProof/>
            <w:webHidden/>
          </w:rPr>
          <w:fldChar w:fldCharType="end"/>
        </w:r>
      </w:hyperlink>
    </w:p>
    <w:p w14:paraId="339B556C" w14:textId="6D7ADFD2" w:rsidR="00BA1872" w:rsidRDefault="00BA1872">
      <w:pPr>
        <w:pStyle w:val="TDC2"/>
        <w:tabs>
          <w:tab w:val="right" w:leader="dot" w:pos="9350"/>
        </w:tabs>
        <w:rPr>
          <w:noProof/>
        </w:rPr>
      </w:pPr>
      <w:hyperlink w:anchor="_Toc218883260" w:history="1">
        <w:r w:rsidRPr="00E1728F">
          <w:rPr>
            <w:rStyle w:val="Hipervnculo"/>
            <w:noProof/>
          </w:rPr>
          <w:t>4.1 Estigma estructural e institucional</w:t>
        </w:r>
        <w:r>
          <w:rPr>
            <w:noProof/>
            <w:webHidden/>
          </w:rPr>
          <w:tab/>
        </w:r>
        <w:r>
          <w:rPr>
            <w:noProof/>
            <w:webHidden/>
          </w:rPr>
          <w:fldChar w:fldCharType="begin"/>
        </w:r>
        <w:r>
          <w:rPr>
            <w:noProof/>
            <w:webHidden/>
          </w:rPr>
          <w:instrText xml:space="preserve"> PAGEREF _Toc218883260 \h </w:instrText>
        </w:r>
        <w:r>
          <w:rPr>
            <w:noProof/>
            <w:webHidden/>
          </w:rPr>
        </w:r>
        <w:r>
          <w:rPr>
            <w:noProof/>
            <w:webHidden/>
          </w:rPr>
          <w:fldChar w:fldCharType="separate"/>
        </w:r>
        <w:r>
          <w:rPr>
            <w:noProof/>
            <w:webHidden/>
          </w:rPr>
          <w:t>7</w:t>
        </w:r>
        <w:r>
          <w:rPr>
            <w:noProof/>
            <w:webHidden/>
          </w:rPr>
          <w:fldChar w:fldCharType="end"/>
        </w:r>
      </w:hyperlink>
    </w:p>
    <w:p w14:paraId="6928D1CB" w14:textId="20532C9C" w:rsidR="00BA1872" w:rsidRDefault="00BA1872">
      <w:pPr>
        <w:pStyle w:val="TDC2"/>
        <w:tabs>
          <w:tab w:val="right" w:leader="dot" w:pos="9350"/>
        </w:tabs>
        <w:rPr>
          <w:noProof/>
        </w:rPr>
      </w:pPr>
      <w:hyperlink w:anchor="_Toc218883261" w:history="1">
        <w:r w:rsidRPr="00E1728F">
          <w:rPr>
            <w:rStyle w:val="Hipervnculo"/>
            <w:noProof/>
          </w:rPr>
          <w:t>4.2 Criminalización indirecta y política penal</w:t>
        </w:r>
        <w:r>
          <w:rPr>
            <w:noProof/>
            <w:webHidden/>
          </w:rPr>
          <w:tab/>
        </w:r>
        <w:r>
          <w:rPr>
            <w:noProof/>
            <w:webHidden/>
          </w:rPr>
          <w:fldChar w:fldCharType="begin"/>
        </w:r>
        <w:r>
          <w:rPr>
            <w:noProof/>
            <w:webHidden/>
          </w:rPr>
          <w:instrText xml:space="preserve"> PAGEREF _Toc218883261 \h </w:instrText>
        </w:r>
        <w:r>
          <w:rPr>
            <w:noProof/>
            <w:webHidden/>
          </w:rPr>
        </w:r>
        <w:r>
          <w:rPr>
            <w:noProof/>
            <w:webHidden/>
          </w:rPr>
          <w:fldChar w:fldCharType="separate"/>
        </w:r>
        <w:r>
          <w:rPr>
            <w:noProof/>
            <w:webHidden/>
          </w:rPr>
          <w:t>8</w:t>
        </w:r>
        <w:r>
          <w:rPr>
            <w:noProof/>
            <w:webHidden/>
          </w:rPr>
          <w:fldChar w:fldCharType="end"/>
        </w:r>
      </w:hyperlink>
    </w:p>
    <w:p w14:paraId="5E055679" w14:textId="72170F22" w:rsidR="00BA1872" w:rsidRDefault="00BA1872">
      <w:pPr>
        <w:pStyle w:val="TDC2"/>
        <w:tabs>
          <w:tab w:val="right" w:leader="dot" w:pos="9350"/>
        </w:tabs>
        <w:rPr>
          <w:noProof/>
        </w:rPr>
      </w:pPr>
      <w:hyperlink w:anchor="_Toc218883262" w:history="1">
        <w:r w:rsidRPr="00E1728F">
          <w:rPr>
            <w:rStyle w:val="Hipervnculo"/>
            <w:noProof/>
          </w:rPr>
          <w:t>4.3 Personas privadas de libertad</w:t>
        </w:r>
        <w:r>
          <w:rPr>
            <w:noProof/>
            <w:webHidden/>
          </w:rPr>
          <w:tab/>
        </w:r>
        <w:r>
          <w:rPr>
            <w:noProof/>
            <w:webHidden/>
          </w:rPr>
          <w:fldChar w:fldCharType="begin"/>
        </w:r>
        <w:r>
          <w:rPr>
            <w:noProof/>
            <w:webHidden/>
          </w:rPr>
          <w:instrText xml:space="preserve"> PAGEREF _Toc218883262 \h </w:instrText>
        </w:r>
        <w:r>
          <w:rPr>
            <w:noProof/>
            <w:webHidden/>
          </w:rPr>
        </w:r>
        <w:r>
          <w:rPr>
            <w:noProof/>
            <w:webHidden/>
          </w:rPr>
          <w:fldChar w:fldCharType="separate"/>
        </w:r>
        <w:r>
          <w:rPr>
            <w:noProof/>
            <w:webHidden/>
          </w:rPr>
          <w:t>8</w:t>
        </w:r>
        <w:r>
          <w:rPr>
            <w:noProof/>
            <w:webHidden/>
          </w:rPr>
          <w:fldChar w:fldCharType="end"/>
        </w:r>
      </w:hyperlink>
    </w:p>
    <w:p w14:paraId="0DD35838" w14:textId="6A504578" w:rsidR="00BA1872" w:rsidRDefault="00BA1872">
      <w:pPr>
        <w:pStyle w:val="TDC2"/>
        <w:tabs>
          <w:tab w:val="right" w:leader="dot" w:pos="9350"/>
        </w:tabs>
        <w:rPr>
          <w:noProof/>
        </w:rPr>
      </w:pPr>
      <w:hyperlink w:anchor="_Toc218883263" w:history="1">
        <w:r w:rsidRPr="00E1728F">
          <w:rPr>
            <w:rStyle w:val="Hipervnculo"/>
            <w:noProof/>
          </w:rPr>
          <w:t>4.4 Impactos diferenciados en poblaciones en situación de vulnerabilidad</w:t>
        </w:r>
        <w:r>
          <w:rPr>
            <w:noProof/>
            <w:webHidden/>
          </w:rPr>
          <w:tab/>
        </w:r>
        <w:r>
          <w:rPr>
            <w:noProof/>
            <w:webHidden/>
          </w:rPr>
          <w:fldChar w:fldCharType="begin"/>
        </w:r>
        <w:r>
          <w:rPr>
            <w:noProof/>
            <w:webHidden/>
          </w:rPr>
          <w:instrText xml:space="preserve"> PAGEREF _Toc218883263 \h </w:instrText>
        </w:r>
        <w:r>
          <w:rPr>
            <w:noProof/>
            <w:webHidden/>
          </w:rPr>
        </w:r>
        <w:r>
          <w:rPr>
            <w:noProof/>
            <w:webHidden/>
          </w:rPr>
          <w:fldChar w:fldCharType="separate"/>
        </w:r>
        <w:r>
          <w:rPr>
            <w:noProof/>
            <w:webHidden/>
          </w:rPr>
          <w:t>9</w:t>
        </w:r>
        <w:r>
          <w:rPr>
            <w:noProof/>
            <w:webHidden/>
          </w:rPr>
          <w:fldChar w:fldCharType="end"/>
        </w:r>
      </w:hyperlink>
    </w:p>
    <w:p w14:paraId="7FEC2445" w14:textId="4110F48C" w:rsidR="00BA1872" w:rsidRDefault="00BA1872">
      <w:pPr>
        <w:pStyle w:val="TDC1"/>
        <w:tabs>
          <w:tab w:val="right" w:leader="dot" w:pos="9350"/>
        </w:tabs>
        <w:rPr>
          <w:noProof/>
        </w:rPr>
      </w:pPr>
      <w:hyperlink w:anchor="_Toc218883264" w:history="1">
        <w:r w:rsidRPr="00E1728F">
          <w:rPr>
            <w:rStyle w:val="Hipervnculo"/>
            <w:noProof/>
          </w:rPr>
          <w:t>5. Conclusiones</w:t>
        </w:r>
        <w:r>
          <w:rPr>
            <w:noProof/>
            <w:webHidden/>
          </w:rPr>
          <w:tab/>
        </w:r>
        <w:r>
          <w:rPr>
            <w:noProof/>
            <w:webHidden/>
          </w:rPr>
          <w:fldChar w:fldCharType="begin"/>
        </w:r>
        <w:r>
          <w:rPr>
            <w:noProof/>
            <w:webHidden/>
          </w:rPr>
          <w:instrText xml:space="preserve"> PAGEREF _Toc218883264 \h </w:instrText>
        </w:r>
        <w:r>
          <w:rPr>
            <w:noProof/>
            <w:webHidden/>
          </w:rPr>
        </w:r>
        <w:r>
          <w:rPr>
            <w:noProof/>
            <w:webHidden/>
          </w:rPr>
          <w:fldChar w:fldCharType="separate"/>
        </w:r>
        <w:r>
          <w:rPr>
            <w:noProof/>
            <w:webHidden/>
          </w:rPr>
          <w:t>10</w:t>
        </w:r>
        <w:r>
          <w:rPr>
            <w:noProof/>
            <w:webHidden/>
          </w:rPr>
          <w:fldChar w:fldCharType="end"/>
        </w:r>
      </w:hyperlink>
    </w:p>
    <w:p w14:paraId="213879A8" w14:textId="214F08DC" w:rsidR="00BA1872" w:rsidRDefault="00BA1872">
      <w:pPr>
        <w:pStyle w:val="TDC1"/>
        <w:tabs>
          <w:tab w:val="right" w:leader="dot" w:pos="9350"/>
        </w:tabs>
        <w:rPr>
          <w:noProof/>
        </w:rPr>
      </w:pPr>
      <w:hyperlink w:anchor="_Toc218883265" w:history="1">
        <w:r w:rsidRPr="00E1728F">
          <w:rPr>
            <w:rStyle w:val="Hipervnculo"/>
            <w:noProof/>
          </w:rPr>
          <w:t>6. Recomendaciones al Comité</w:t>
        </w:r>
        <w:r>
          <w:rPr>
            <w:noProof/>
            <w:webHidden/>
          </w:rPr>
          <w:tab/>
        </w:r>
        <w:r>
          <w:rPr>
            <w:noProof/>
            <w:webHidden/>
          </w:rPr>
          <w:fldChar w:fldCharType="begin"/>
        </w:r>
        <w:r>
          <w:rPr>
            <w:noProof/>
            <w:webHidden/>
          </w:rPr>
          <w:instrText xml:space="preserve"> PAGEREF _Toc218883265 \h </w:instrText>
        </w:r>
        <w:r>
          <w:rPr>
            <w:noProof/>
            <w:webHidden/>
          </w:rPr>
        </w:r>
        <w:r>
          <w:rPr>
            <w:noProof/>
            <w:webHidden/>
          </w:rPr>
          <w:fldChar w:fldCharType="separate"/>
        </w:r>
        <w:r>
          <w:rPr>
            <w:noProof/>
            <w:webHidden/>
          </w:rPr>
          <w:t>11</w:t>
        </w:r>
        <w:r>
          <w:rPr>
            <w:noProof/>
            <w:webHidden/>
          </w:rPr>
          <w:fldChar w:fldCharType="end"/>
        </w:r>
      </w:hyperlink>
    </w:p>
    <w:p w14:paraId="0E9FEEFC" w14:textId="3A88FC09" w:rsidR="00BA1872" w:rsidRDefault="00BA1872">
      <w:pPr>
        <w:pStyle w:val="TDC1"/>
        <w:tabs>
          <w:tab w:val="right" w:leader="dot" w:pos="9350"/>
        </w:tabs>
        <w:rPr>
          <w:noProof/>
        </w:rPr>
      </w:pPr>
      <w:hyperlink w:anchor="_Toc218883266" w:history="1">
        <w:r w:rsidRPr="00E1728F">
          <w:rPr>
            <w:rStyle w:val="Hipervnculo"/>
            <w:noProof/>
          </w:rPr>
          <w:t>7. Bibliografía</w:t>
        </w:r>
        <w:r>
          <w:rPr>
            <w:noProof/>
            <w:webHidden/>
          </w:rPr>
          <w:tab/>
        </w:r>
        <w:r>
          <w:rPr>
            <w:noProof/>
            <w:webHidden/>
          </w:rPr>
          <w:fldChar w:fldCharType="begin"/>
        </w:r>
        <w:r>
          <w:rPr>
            <w:noProof/>
            <w:webHidden/>
          </w:rPr>
          <w:instrText xml:space="preserve"> PAGEREF _Toc218883266 \h </w:instrText>
        </w:r>
        <w:r>
          <w:rPr>
            <w:noProof/>
            <w:webHidden/>
          </w:rPr>
        </w:r>
        <w:r>
          <w:rPr>
            <w:noProof/>
            <w:webHidden/>
          </w:rPr>
          <w:fldChar w:fldCharType="separate"/>
        </w:r>
        <w:r>
          <w:rPr>
            <w:noProof/>
            <w:webHidden/>
          </w:rPr>
          <w:t>12</w:t>
        </w:r>
        <w:r>
          <w:rPr>
            <w:noProof/>
            <w:webHidden/>
          </w:rPr>
          <w:fldChar w:fldCharType="end"/>
        </w:r>
      </w:hyperlink>
    </w:p>
    <w:p w14:paraId="52F4A771" w14:textId="28A001EE" w:rsidR="00BA1872" w:rsidRDefault="00BA1872" w:rsidP="00BA1872">
      <w:r>
        <w:fldChar w:fldCharType="end"/>
      </w:r>
    </w:p>
    <w:p w14:paraId="62DCB823" w14:textId="7BB46787" w:rsidR="002179F7" w:rsidRPr="002179F7" w:rsidRDefault="002179F7" w:rsidP="008553F0">
      <w:pPr>
        <w:pStyle w:val="Ttulo1"/>
      </w:pPr>
      <w:bookmarkStart w:id="1" w:name="_Toc218883253"/>
      <w:r w:rsidRPr="002179F7">
        <w:t>1. Resumen ejecutivo</w:t>
      </w:r>
      <w:bookmarkEnd w:id="1"/>
    </w:p>
    <w:p w14:paraId="4891133F" w14:textId="77777777" w:rsidR="002179F7" w:rsidRPr="002179F7" w:rsidRDefault="002179F7" w:rsidP="002419FD">
      <w:pPr>
        <w:jc w:val="both"/>
        <w:rPr>
          <w:lang w:val="es-CR"/>
        </w:rPr>
      </w:pPr>
      <w:r w:rsidRPr="002179F7">
        <w:rPr>
          <w:lang w:val="es-CR"/>
        </w:rPr>
        <w:t>El presente informe alternativo examina el impacto de las políticas de drogas en el disfrute del derecho a la salud física y mental de las personas que usan drogas en Uruguay, conforme al Artículo 12 del Pacto Internacional de Derechos Económicos, Sociales y Culturales (PIDESC), en el marco de la revisión periódica del sexto informe del Estado uruguayo ante el Comité de Derechos Económicos, Sociales y Culturales (CDESC).</w:t>
      </w:r>
    </w:p>
    <w:p w14:paraId="2E4E4696" w14:textId="77777777" w:rsidR="008553F0" w:rsidRDefault="002179F7" w:rsidP="002419FD">
      <w:pPr>
        <w:jc w:val="both"/>
        <w:rPr>
          <w:lang w:val="es-CR"/>
        </w:rPr>
      </w:pPr>
      <w:r w:rsidRPr="002179F7">
        <w:rPr>
          <w:lang w:val="es-CR"/>
        </w:rPr>
        <w:t xml:space="preserve">Si bien Uruguay presenta avances normativos relevantes, en particular en </w:t>
      </w:r>
      <w:r w:rsidR="00522F0E">
        <w:rPr>
          <w:lang w:val="es-CR"/>
        </w:rPr>
        <w:t xml:space="preserve">la despenalización de la posesión de drogas para consumo personal y </w:t>
      </w:r>
      <w:r w:rsidRPr="002179F7">
        <w:rPr>
          <w:lang w:val="es-CR"/>
        </w:rPr>
        <w:t>la regulación del cannabis</w:t>
      </w:r>
      <w:r w:rsidR="00522F0E">
        <w:rPr>
          <w:lang w:val="es-CR"/>
        </w:rPr>
        <w:t xml:space="preserve"> para uso adulto</w:t>
      </w:r>
      <w:r w:rsidRPr="002179F7">
        <w:rPr>
          <w:lang w:val="es-CR"/>
        </w:rPr>
        <w:t xml:space="preserve">, </w:t>
      </w:r>
      <w:proofErr w:type="spellStart"/>
      <w:r w:rsidR="00522F0E">
        <w:rPr>
          <w:lang w:val="es-CR"/>
        </w:rPr>
        <w:t>aun</w:t>
      </w:r>
      <w:proofErr w:type="spellEnd"/>
      <w:r w:rsidR="00522F0E">
        <w:rPr>
          <w:lang w:val="es-CR"/>
        </w:rPr>
        <w:t xml:space="preserve"> existen </w:t>
      </w:r>
      <w:r w:rsidRPr="002179F7">
        <w:rPr>
          <w:lang w:val="es-CR"/>
        </w:rPr>
        <w:t xml:space="preserve">barreras estructurales que afectan de manera directa el acceso efectivo a servicios de prevención, tratamiento y reducción de daños. </w:t>
      </w:r>
    </w:p>
    <w:p w14:paraId="009C2D62" w14:textId="63AAE634" w:rsidR="002179F7" w:rsidRPr="002179F7" w:rsidRDefault="002179F7" w:rsidP="002419FD">
      <w:pPr>
        <w:jc w:val="both"/>
        <w:rPr>
          <w:lang w:val="es-CR"/>
        </w:rPr>
      </w:pPr>
      <w:r w:rsidRPr="002179F7">
        <w:rPr>
          <w:lang w:val="es-CR"/>
        </w:rPr>
        <w:t xml:space="preserve">El estigma institucional, la criminalización </w:t>
      </w:r>
      <w:r w:rsidR="00522F0E">
        <w:rPr>
          <w:lang w:val="es-CR"/>
        </w:rPr>
        <w:t xml:space="preserve">focalizada en ciertas poblaciones vulnerables </w:t>
      </w:r>
      <w:r w:rsidRPr="002179F7">
        <w:rPr>
          <w:lang w:val="es-CR"/>
        </w:rPr>
        <w:t>y las brechas entre el marco normativo y su implementación práctica limitan el disfrute del derecho a la salud, con impactos desproporcionados en mujeres, personas LGBTIQ+, personas en situación de pobreza, personas privadas de libertad y personas en situación de calle.</w:t>
      </w:r>
    </w:p>
    <w:p w14:paraId="0285C5BF" w14:textId="77777777" w:rsidR="002179F7" w:rsidRDefault="002179F7" w:rsidP="002419FD">
      <w:pPr>
        <w:jc w:val="both"/>
        <w:rPr>
          <w:lang w:val="es-CR"/>
        </w:rPr>
      </w:pPr>
      <w:r w:rsidRPr="002179F7">
        <w:rPr>
          <w:lang w:val="es-CR"/>
        </w:rPr>
        <w:lastRenderedPageBreak/>
        <w:t>El informe concluye que el Estado uruguayo enfrenta desafíos sustantivos para cumplir plenamente con sus obligaciones de respetar, proteger y cumplir el derecho a la salud de las personas que usan drogas, y formula recomendaciones concretas para consideración del Comité.</w:t>
      </w:r>
    </w:p>
    <w:p w14:paraId="64E12246" w14:textId="77777777" w:rsidR="00E158F3" w:rsidRPr="002179F7" w:rsidRDefault="00E158F3" w:rsidP="002179F7">
      <w:pPr>
        <w:rPr>
          <w:lang w:val="es-CR"/>
        </w:rPr>
      </w:pPr>
    </w:p>
    <w:p w14:paraId="551763F8" w14:textId="77777777" w:rsidR="002179F7" w:rsidRPr="002179F7" w:rsidRDefault="002179F7" w:rsidP="008553F0">
      <w:pPr>
        <w:pStyle w:val="Ttulo1"/>
      </w:pPr>
      <w:bookmarkStart w:id="2" w:name="_Toc218883254"/>
      <w:r w:rsidRPr="002179F7">
        <w:t>2. Introducción y marco de derechos humanos</w:t>
      </w:r>
      <w:bookmarkEnd w:id="2"/>
    </w:p>
    <w:p w14:paraId="7D631754" w14:textId="45E6D376" w:rsidR="002179F7" w:rsidRPr="002179F7" w:rsidRDefault="002179F7" w:rsidP="002419FD">
      <w:pPr>
        <w:jc w:val="both"/>
        <w:rPr>
          <w:lang w:val="es-CR"/>
        </w:rPr>
      </w:pPr>
      <w:r w:rsidRPr="002179F7">
        <w:rPr>
          <w:lang w:val="es-CR"/>
        </w:rPr>
        <w:t xml:space="preserve">La Red Latinoamericana y del Caribe de Personas que Usan Drogas (LANPUD) y el </w:t>
      </w:r>
      <w:r w:rsidR="00E158F3">
        <w:rPr>
          <w:lang w:val="es-CR"/>
        </w:rPr>
        <w:t>Consorcio Internacional de Políticas de Drogas</w:t>
      </w:r>
      <w:r w:rsidRPr="002179F7">
        <w:rPr>
          <w:lang w:val="es-CR"/>
        </w:rPr>
        <w:t xml:space="preserve"> (IDPC) presentan este informe alternativo al Comité de Derechos Económicos, Sociales y Culturales (CDESC) en el marco de la revisión periódica del sexto informe del Estado uruguayo, correspondiente a la Sesión 79 del Comité.</w:t>
      </w:r>
    </w:p>
    <w:p w14:paraId="5D82E37B" w14:textId="77777777" w:rsidR="002179F7" w:rsidRPr="002179F7" w:rsidRDefault="002179F7" w:rsidP="002419FD">
      <w:pPr>
        <w:jc w:val="both"/>
        <w:rPr>
          <w:lang w:val="es-CR"/>
        </w:rPr>
      </w:pPr>
      <w:r w:rsidRPr="002179F7">
        <w:rPr>
          <w:lang w:val="es-CR"/>
        </w:rPr>
        <w:t>El objetivo principal de esta comunicación es aportar información independiente, basada en evidencia empírica y en la experiencia directa de las personas afectadas, sobre el impacto de las políticas de drogas en el disfrute de los derechos económicos, sociales y culturales, con énfasis particular en el derecho a la salud física y mental reconocido en el Artículo 12 del PIDESC.</w:t>
      </w:r>
    </w:p>
    <w:p w14:paraId="015DCA2B" w14:textId="77777777" w:rsidR="002179F7" w:rsidRPr="002179F7" w:rsidRDefault="002179F7" w:rsidP="002419FD">
      <w:pPr>
        <w:jc w:val="both"/>
        <w:rPr>
          <w:lang w:val="es-CR"/>
        </w:rPr>
      </w:pPr>
      <w:r w:rsidRPr="002179F7">
        <w:rPr>
          <w:lang w:val="es-CR"/>
        </w:rPr>
        <w:t>El informe se sustenta en una metodología mixta que incluye: (i) revisión documental de legislación, políticas públicas y planes estatales relevantes; (</w:t>
      </w:r>
      <w:proofErr w:type="spellStart"/>
      <w:r w:rsidRPr="002179F7">
        <w:rPr>
          <w:lang w:val="es-CR"/>
        </w:rPr>
        <w:t>ii</w:t>
      </w:r>
      <w:proofErr w:type="spellEnd"/>
      <w:r w:rsidRPr="002179F7">
        <w:rPr>
          <w:lang w:val="es-CR"/>
        </w:rPr>
        <w:t>) análisis de datos oficiales provenientes de encuestas nacionales y registros administrativos; (</w:t>
      </w:r>
      <w:proofErr w:type="spellStart"/>
      <w:r w:rsidRPr="002179F7">
        <w:rPr>
          <w:lang w:val="es-CR"/>
        </w:rPr>
        <w:t>iii</w:t>
      </w:r>
      <w:proofErr w:type="spellEnd"/>
      <w:r w:rsidRPr="002179F7">
        <w:rPr>
          <w:lang w:val="es-CR"/>
        </w:rPr>
        <w:t>) entrevistas con autoridades, operadores jurídicos y profesionales del sistema de salud; y (</w:t>
      </w:r>
      <w:proofErr w:type="spellStart"/>
      <w:r w:rsidRPr="002179F7">
        <w:rPr>
          <w:lang w:val="es-CR"/>
        </w:rPr>
        <w:t>iv</w:t>
      </w:r>
      <w:proofErr w:type="spellEnd"/>
      <w:r w:rsidRPr="002179F7">
        <w:rPr>
          <w:lang w:val="es-CR"/>
        </w:rPr>
        <w:t>) consultas participativas con personas que usan drogas, realizadas principalmente en Montevideo, tal como se detalla en el documento original.</w:t>
      </w:r>
    </w:p>
    <w:p w14:paraId="062176FE" w14:textId="77777777" w:rsidR="002179F7" w:rsidRPr="002179F7" w:rsidRDefault="002179F7" w:rsidP="002419FD">
      <w:pPr>
        <w:jc w:val="both"/>
        <w:rPr>
          <w:lang w:val="es-CR"/>
        </w:rPr>
      </w:pPr>
      <w:r w:rsidRPr="002179F7">
        <w:rPr>
          <w:lang w:val="es-CR"/>
        </w:rPr>
        <w:t xml:space="preserve">De conformidad con la Observación General </w:t>
      </w:r>
      <w:proofErr w:type="spellStart"/>
      <w:r w:rsidRPr="002179F7">
        <w:rPr>
          <w:lang w:val="es-CR"/>
        </w:rPr>
        <w:t>Nº</w:t>
      </w:r>
      <w:proofErr w:type="spellEnd"/>
      <w:r w:rsidRPr="002179F7">
        <w:rPr>
          <w:lang w:val="es-CR"/>
        </w:rPr>
        <w:t xml:space="preserve"> 14 del CDESC, el derecho a la salud no debe entenderse de manera restrictiva como el derecho a estar sano, sino como el derecho al disfrute del más alto nivel posible de salud física y mental. Este derecho incluye la disponibilidad, accesibilidad, aceptabilidad y calidad de los servicios de salud, así como los determinantes sociales subyacentes, tales como vivienda, alimentación, condiciones laborales y ausencia de discriminación.</w:t>
      </w:r>
    </w:p>
    <w:p w14:paraId="4CDE978F" w14:textId="77777777" w:rsidR="002179F7" w:rsidRDefault="002179F7" w:rsidP="002419FD">
      <w:pPr>
        <w:jc w:val="both"/>
        <w:rPr>
          <w:lang w:val="es-CR"/>
        </w:rPr>
      </w:pPr>
      <w:r w:rsidRPr="002179F7">
        <w:rPr>
          <w:lang w:val="es-CR"/>
        </w:rPr>
        <w:t>El CDESC ha señalado de manera reiterada que los Estados deben adoptar medidas apropiadas para garantizar la provisión adecuada de servicios de prevención, tratamiento y reducción de daños para las personas que consumen drogas, y que la criminalización y el estigma pueden constituir obstáculos estructurales para el disfrute del derecho a la salud. Este informe evalúa el cumplimiento de Uruguay de dichas obligaciones internacionales, poniendo especial atención a las brechas existentes entre el marco normativo y la realidad vivida por las personas que usan drogas.</w:t>
      </w:r>
    </w:p>
    <w:p w14:paraId="51BFB386" w14:textId="77777777" w:rsidR="00E158F3" w:rsidRPr="002179F7" w:rsidRDefault="00E158F3" w:rsidP="002179F7">
      <w:pPr>
        <w:rPr>
          <w:lang w:val="es-CR"/>
        </w:rPr>
      </w:pPr>
    </w:p>
    <w:p w14:paraId="689D19AC" w14:textId="77777777" w:rsidR="002179F7" w:rsidRPr="002179F7" w:rsidRDefault="002179F7" w:rsidP="008553F0">
      <w:pPr>
        <w:pStyle w:val="Ttulo1"/>
      </w:pPr>
      <w:bookmarkStart w:id="3" w:name="_Toc218883255"/>
      <w:r w:rsidRPr="002179F7">
        <w:lastRenderedPageBreak/>
        <w:t>3. Uso de drogas en Uruguay: contexto y respuestas estatales</w:t>
      </w:r>
      <w:bookmarkEnd w:id="3"/>
    </w:p>
    <w:p w14:paraId="6DEEC654" w14:textId="56BBCACC" w:rsidR="002179F7" w:rsidRPr="002179F7" w:rsidRDefault="002179F7" w:rsidP="00AC3413">
      <w:pPr>
        <w:pStyle w:val="Ttulo2"/>
      </w:pPr>
      <w:bookmarkStart w:id="4" w:name="_Toc218883256"/>
      <w:r w:rsidRPr="002179F7">
        <w:t xml:space="preserve">3.1 </w:t>
      </w:r>
      <w:r w:rsidR="000546EC">
        <w:t xml:space="preserve">Niveles </w:t>
      </w:r>
      <w:r w:rsidRPr="002179F7">
        <w:t>de consumo</w:t>
      </w:r>
      <w:r w:rsidR="000546EC">
        <w:t xml:space="preserve"> de drogas</w:t>
      </w:r>
      <w:bookmarkEnd w:id="4"/>
    </w:p>
    <w:p w14:paraId="7C3B8577" w14:textId="62AFB961" w:rsidR="002179F7" w:rsidRPr="002179F7" w:rsidRDefault="002179F7" w:rsidP="002419FD">
      <w:pPr>
        <w:jc w:val="both"/>
        <w:rPr>
          <w:lang w:val="es-CR"/>
        </w:rPr>
      </w:pPr>
      <w:r w:rsidRPr="002179F7">
        <w:rPr>
          <w:lang w:val="es-CR"/>
        </w:rPr>
        <w:t>De acuerdo con la VIII Encuesta Nacional sobre Consumo de Drogas en Población General (</w:t>
      </w:r>
      <w:r w:rsidR="00627170">
        <w:rPr>
          <w:lang w:val="es-CR"/>
        </w:rPr>
        <w:t>Junta Nacional de Drogas (</w:t>
      </w:r>
      <w:r w:rsidR="00D102B7">
        <w:rPr>
          <w:lang w:val="es-CR"/>
        </w:rPr>
        <w:t xml:space="preserve">JND </w:t>
      </w:r>
      <w:r w:rsidR="00627170">
        <w:rPr>
          <w:lang w:val="es-CR"/>
        </w:rPr>
        <w:t>202</w:t>
      </w:r>
      <w:r w:rsidR="00D102B7">
        <w:rPr>
          <w:lang w:val="es-CR"/>
        </w:rPr>
        <w:t>5</w:t>
      </w:r>
      <w:r w:rsidR="003059B8">
        <w:rPr>
          <w:lang w:val="es-CR"/>
        </w:rPr>
        <w:t>a</w:t>
      </w:r>
      <w:r w:rsidRPr="002179F7">
        <w:rPr>
          <w:lang w:val="es-CR"/>
        </w:rPr>
        <w:t xml:space="preserve">), el alcohol continúa siendo la sustancia más consumida, con una prevalencia </w:t>
      </w:r>
      <w:r w:rsidR="00E114B6">
        <w:rPr>
          <w:lang w:val="es-CR"/>
        </w:rPr>
        <w:t xml:space="preserve">de consumo </w:t>
      </w:r>
      <w:r w:rsidR="007844A6">
        <w:rPr>
          <w:lang w:val="es-CR"/>
        </w:rPr>
        <w:t xml:space="preserve">en los últimos 12 meses </w:t>
      </w:r>
      <w:r w:rsidR="00E114B6">
        <w:rPr>
          <w:lang w:val="es-CR"/>
        </w:rPr>
        <w:t xml:space="preserve">de </w:t>
      </w:r>
      <w:r w:rsidRPr="002179F7">
        <w:rPr>
          <w:lang w:val="es-CR"/>
        </w:rPr>
        <w:t>71,4%, seguido por el tabaco (27,8%)</w:t>
      </w:r>
      <w:r w:rsidR="00E114B6">
        <w:rPr>
          <w:lang w:val="es-CR"/>
        </w:rPr>
        <w:t>,</w:t>
      </w:r>
      <w:r w:rsidRPr="002179F7">
        <w:rPr>
          <w:lang w:val="es-CR"/>
        </w:rPr>
        <w:t xml:space="preserve"> </w:t>
      </w:r>
      <w:r w:rsidR="00E114B6">
        <w:rPr>
          <w:lang w:val="es-CR"/>
        </w:rPr>
        <w:t xml:space="preserve">el cannabis </w:t>
      </w:r>
      <w:r w:rsidRPr="002179F7">
        <w:rPr>
          <w:lang w:val="es-CR"/>
        </w:rPr>
        <w:t>(12,3%)</w:t>
      </w:r>
      <w:r w:rsidR="00E114B6">
        <w:rPr>
          <w:lang w:val="es-CR"/>
        </w:rPr>
        <w:t xml:space="preserve">, </w:t>
      </w:r>
      <w:r w:rsidR="00E114B6" w:rsidRPr="002179F7">
        <w:rPr>
          <w:lang w:val="es-CR"/>
        </w:rPr>
        <w:t>tranquilizantes (10,5%), antidepresivos (7,3%), hipnóticos (6%)</w:t>
      </w:r>
      <w:r w:rsidR="00E114B6">
        <w:rPr>
          <w:lang w:val="es-CR"/>
        </w:rPr>
        <w:t xml:space="preserve"> y</w:t>
      </w:r>
      <w:r w:rsidR="00E114B6" w:rsidRPr="002179F7">
        <w:rPr>
          <w:lang w:val="es-CR"/>
        </w:rPr>
        <w:t xml:space="preserve"> opioides</w:t>
      </w:r>
      <w:r w:rsidR="0009355D">
        <w:rPr>
          <w:lang w:val="es-CR"/>
        </w:rPr>
        <w:t xml:space="preserve"> </w:t>
      </w:r>
      <w:r w:rsidR="00E114B6" w:rsidRPr="002179F7">
        <w:rPr>
          <w:lang w:val="es-CR"/>
        </w:rPr>
        <w:t>(5,5%)</w:t>
      </w:r>
      <w:r w:rsidR="009F420E">
        <w:rPr>
          <w:lang w:val="es-CR"/>
        </w:rPr>
        <w:t>.</w:t>
      </w:r>
      <w:r w:rsidRPr="002179F7">
        <w:rPr>
          <w:lang w:val="es-CR"/>
        </w:rPr>
        <w:t xml:space="preserve"> </w:t>
      </w:r>
      <w:r w:rsidR="009F420E">
        <w:rPr>
          <w:lang w:val="es-CR"/>
        </w:rPr>
        <w:t>T</w:t>
      </w:r>
      <w:r w:rsidRPr="002179F7">
        <w:rPr>
          <w:lang w:val="es-CR"/>
        </w:rPr>
        <w:t xml:space="preserve">odas </w:t>
      </w:r>
      <w:r w:rsidR="009F420E">
        <w:rPr>
          <w:lang w:val="es-CR"/>
        </w:rPr>
        <w:t xml:space="preserve">estas </w:t>
      </w:r>
      <w:r w:rsidR="00627170">
        <w:rPr>
          <w:lang w:val="es-CR"/>
        </w:rPr>
        <w:t xml:space="preserve">sustancias </w:t>
      </w:r>
      <w:r w:rsidR="009F420E">
        <w:rPr>
          <w:lang w:val="es-CR"/>
        </w:rPr>
        <w:t xml:space="preserve">están </w:t>
      </w:r>
      <w:r w:rsidRPr="002179F7">
        <w:rPr>
          <w:lang w:val="es-CR"/>
        </w:rPr>
        <w:t>reguladas</w:t>
      </w:r>
      <w:r w:rsidR="00627170">
        <w:rPr>
          <w:lang w:val="es-CR"/>
        </w:rPr>
        <w:t xml:space="preserve"> legalmente bajo distintas normativas y políticas</w:t>
      </w:r>
      <w:r w:rsidR="0009355D">
        <w:rPr>
          <w:lang w:val="es-CR"/>
        </w:rPr>
        <w:t>,</w:t>
      </w:r>
      <w:r w:rsidR="009F420E">
        <w:rPr>
          <w:lang w:val="es-CR"/>
        </w:rPr>
        <w:t xml:space="preserve"> para el uso exclusivo de personas mayores de edad o con fines medicinales</w:t>
      </w:r>
      <w:r w:rsidR="00627170">
        <w:rPr>
          <w:lang w:val="es-CR"/>
        </w:rPr>
        <w:t>.</w:t>
      </w:r>
    </w:p>
    <w:p w14:paraId="127C174D" w14:textId="207FD233" w:rsidR="002179F7" w:rsidRPr="002179F7" w:rsidRDefault="002179F7" w:rsidP="002419FD">
      <w:pPr>
        <w:jc w:val="both"/>
        <w:rPr>
          <w:lang w:val="es-CR"/>
        </w:rPr>
      </w:pPr>
      <w:r w:rsidRPr="002179F7">
        <w:rPr>
          <w:lang w:val="es-CR"/>
        </w:rPr>
        <w:t xml:space="preserve">Otras sustancias </w:t>
      </w:r>
      <w:r w:rsidR="00E114B6">
        <w:rPr>
          <w:lang w:val="es-CR"/>
        </w:rPr>
        <w:t xml:space="preserve">consideradas ilegales </w:t>
      </w:r>
      <w:r w:rsidRPr="002179F7">
        <w:rPr>
          <w:lang w:val="es-CR"/>
        </w:rPr>
        <w:t xml:space="preserve">presentan </w:t>
      </w:r>
      <w:r w:rsidR="007844A6">
        <w:rPr>
          <w:lang w:val="es-CR"/>
        </w:rPr>
        <w:t xml:space="preserve">consumos </w:t>
      </w:r>
      <w:r w:rsidRPr="002179F7">
        <w:rPr>
          <w:lang w:val="es-CR"/>
        </w:rPr>
        <w:t>significativamente meno</w:t>
      </w:r>
      <w:r w:rsidR="007844A6">
        <w:rPr>
          <w:lang w:val="es-CR"/>
        </w:rPr>
        <w:t xml:space="preserve">res, como la </w:t>
      </w:r>
      <w:r w:rsidRPr="002179F7">
        <w:rPr>
          <w:lang w:val="es-CR"/>
        </w:rPr>
        <w:t>cocaína (1,6%), éxtasis (1%), alucinógenos (0,9%), estimulantes (0,6%), metanfetaminas (0,4%), pasta base (0,3%) y anfetaminas (0,2%). Estos datos, incluidos en el documento original, evidencian que la narrativa pública que asocia el consumo de drogas con una amenaza generalizada a la seguridad no se corresponde con la magnitud real de los consumos de sustancias ilícitas</w:t>
      </w:r>
      <w:r w:rsidR="006B16B2">
        <w:rPr>
          <w:lang w:val="es-CR"/>
        </w:rPr>
        <w:t xml:space="preserve"> (JND 2025</w:t>
      </w:r>
      <w:r w:rsidR="003059B8">
        <w:rPr>
          <w:lang w:val="es-CR"/>
        </w:rPr>
        <w:t>a</w:t>
      </w:r>
      <w:r w:rsidR="006B16B2">
        <w:rPr>
          <w:lang w:val="es-CR"/>
        </w:rPr>
        <w:t>)</w:t>
      </w:r>
      <w:r w:rsidRPr="002179F7">
        <w:rPr>
          <w:lang w:val="es-CR"/>
        </w:rPr>
        <w:t>.</w:t>
      </w:r>
    </w:p>
    <w:p w14:paraId="1C1FAA0B" w14:textId="77777777" w:rsidR="00B8661F" w:rsidRPr="00B8661F" w:rsidRDefault="00B8661F" w:rsidP="002419FD">
      <w:pPr>
        <w:jc w:val="both"/>
        <w:rPr>
          <w:lang w:val="es-CR"/>
        </w:rPr>
      </w:pPr>
      <w:r w:rsidRPr="00B8661F">
        <w:rPr>
          <w:lang w:val="es-CR"/>
        </w:rPr>
        <w:t xml:space="preserve">Los datos </w:t>
      </w:r>
      <w:r w:rsidRPr="007D0C93">
        <w:rPr>
          <w:lang w:val="es-CR"/>
        </w:rPr>
        <w:t>disponibles evidencian patrones de consumo diferenciados según variables sociodemográficas, lo que resulta clave para el diseño de políticas de salud pública eficaces. En Uruguay, los varones presentan prevalencias significativamente más altas de consumo de alcohol y cannabis en comparación con las mujeres, mientras</w:t>
      </w:r>
      <w:r w:rsidRPr="00B8661F">
        <w:rPr>
          <w:lang w:val="es-CR"/>
        </w:rPr>
        <w:t xml:space="preserve"> que las personas residentes en Montevideo registran niveles de consumo superiores al promedio nacional. Asimismo, el consumo de cannabis muestra una mayor concentración en grupos etarios jóvenes y adultos jóvenes, con una edad promedio de inicio cercana a los 20 años.</w:t>
      </w:r>
    </w:p>
    <w:p w14:paraId="5C83B2FF" w14:textId="71388629" w:rsidR="003059B8" w:rsidRPr="002179F7" w:rsidRDefault="003059B8" w:rsidP="003059B8">
      <w:pPr>
        <w:jc w:val="both"/>
        <w:rPr>
          <w:lang w:val="es-CR"/>
        </w:rPr>
      </w:pPr>
      <w:r w:rsidRPr="002179F7">
        <w:rPr>
          <w:lang w:val="es-CR"/>
        </w:rPr>
        <w:t xml:space="preserve">Asimismo, la Encuesta Nacional de Juventud señala que el alcohol y las bebidas energizantes son las sustancias más consumidas por personas jóvenes, lo que plantea desafíos específicos en materia de prevención y regulación. Sin embargo, estos consumos </w:t>
      </w:r>
      <w:r>
        <w:rPr>
          <w:lang w:val="es-CR"/>
        </w:rPr>
        <w:t xml:space="preserve">están normalizados culturalmente y </w:t>
      </w:r>
      <w:r w:rsidRPr="002179F7">
        <w:rPr>
          <w:lang w:val="es-CR"/>
        </w:rPr>
        <w:t>reciben una atención significativamente menor que otros consumos asociados a mayor estigmatización</w:t>
      </w:r>
      <w:r>
        <w:rPr>
          <w:lang w:val="es-CR"/>
        </w:rPr>
        <w:t xml:space="preserve"> (JND 2025b)</w:t>
      </w:r>
      <w:r w:rsidRPr="002179F7">
        <w:rPr>
          <w:lang w:val="es-CR"/>
        </w:rPr>
        <w:t>.</w:t>
      </w:r>
    </w:p>
    <w:p w14:paraId="0D64C8B2" w14:textId="77777777" w:rsidR="00592CF8" w:rsidRDefault="00592CF8" w:rsidP="002419FD">
      <w:pPr>
        <w:jc w:val="both"/>
        <w:rPr>
          <w:lang w:val="es-CR"/>
        </w:rPr>
      </w:pPr>
      <w:r w:rsidRPr="00592CF8">
        <w:rPr>
          <w:lang w:val="es-CR"/>
        </w:rPr>
        <w:t>Al mismo tiempo, una parte significativa de las personas que usan ciertas sustancias —como éxtasis u otras drogas sintéticas— declara adoptar prácticas de cuidado antes o durante el consumo, lo que sugiere la existencia de estrategias informales de reducción de daños. Estos hallazgos refuerzan la importancia de políticas públicas que reconozcan y fortalezcan dichas prácticas, en lugar de invisibilizarlas o criminalizarlas, garantizando servicios de información, prevención y reducción de daños basados en evidencia.</w:t>
      </w:r>
    </w:p>
    <w:p w14:paraId="43C0B5D3" w14:textId="0A67A9B0" w:rsidR="003059B8" w:rsidRPr="003059B8" w:rsidRDefault="003059B8" w:rsidP="002419FD">
      <w:pPr>
        <w:jc w:val="both"/>
        <w:rPr>
          <w:lang w:val="es-CR"/>
        </w:rPr>
      </w:pPr>
      <w:r w:rsidRPr="003059B8">
        <w:rPr>
          <w:highlight w:val="white"/>
          <w:lang w:val="es-CR"/>
        </w:rPr>
        <w:t xml:space="preserve">El consumo de cannabis de origen ilegal extranjero (“prensado”) se redujo de manera significativa en Uruguay, pasando de representar el 58% del mercado en 2014 a apenas el 6% en 2024, según </w:t>
      </w:r>
      <w:r w:rsidRPr="003059B8">
        <w:rPr>
          <w:highlight w:val="white"/>
          <w:lang w:val="es-CR"/>
        </w:rPr>
        <w:lastRenderedPageBreak/>
        <w:t>datos oficiales. Esta disminución está estrechamente vinculada a la implementación del modelo de regulación del cannabis, que amplió los canales legales de acceso y redujo la dependencia de mercados ilícitos. La caída del cannabis prensado, asociado a mayores riesgos sanitarios por la ausencia de controles de calidad, evidencia el impacto positivo de la regulación en la protección del derecho a la salud y en la reducción de daños (JND, 2025</w:t>
      </w:r>
      <w:r>
        <w:rPr>
          <w:highlight w:val="white"/>
          <w:lang w:val="es-CR"/>
        </w:rPr>
        <w:t>a</w:t>
      </w:r>
      <w:r w:rsidRPr="003059B8">
        <w:rPr>
          <w:highlight w:val="white"/>
          <w:lang w:val="es-CR"/>
        </w:rPr>
        <w:t>).</w:t>
      </w:r>
    </w:p>
    <w:p w14:paraId="662CD4B3" w14:textId="555CFB67" w:rsidR="002179F7" w:rsidRPr="002179F7" w:rsidRDefault="002179F7" w:rsidP="00AC3413">
      <w:pPr>
        <w:pStyle w:val="Ttulo2"/>
      </w:pPr>
      <w:bookmarkStart w:id="5" w:name="_Toc218883257"/>
      <w:r w:rsidRPr="002179F7">
        <w:t>3.2 Atención a</w:t>
      </w:r>
      <w:r w:rsidR="00F1576D">
        <w:t>l</w:t>
      </w:r>
      <w:r w:rsidRPr="002179F7">
        <w:t xml:space="preserve"> consumo</w:t>
      </w:r>
      <w:r w:rsidR="00F1576D">
        <w:t xml:space="preserve"> </w:t>
      </w:r>
      <w:r w:rsidR="000546EC">
        <w:t>de drogas</w:t>
      </w:r>
      <w:bookmarkEnd w:id="5"/>
    </w:p>
    <w:p w14:paraId="60E8B7FC" w14:textId="45B143F4" w:rsidR="002179F7" w:rsidRPr="002179F7" w:rsidRDefault="002179F7" w:rsidP="000618BC">
      <w:pPr>
        <w:jc w:val="both"/>
        <w:rPr>
          <w:lang w:val="es-CR"/>
        </w:rPr>
      </w:pPr>
      <w:r w:rsidRPr="002179F7">
        <w:rPr>
          <w:lang w:val="es-CR"/>
        </w:rPr>
        <w:t>La Red Nacional de Atención y Tratamiento en Drogas (RENADRO), dependiente de la Junta Nacional de Drogas, constituye el principal dispositivo estatal para la atención de consumos problemáticos en Uruguay. La red incluye servicios comunitarios, ambulatorios, residenciales y móviles, y se presenta como un componente central de la respuesta sanitaria del Estado</w:t>
      </w:r>
      <w:r w:rsidR="002C6DD7">
        <w:rPr>
          <w:lang w:val="es-CR"/>
        </w:rPr>
        <w:t xml:space="preserve"> (JND 2026)</w:t>
      </w:r>
      <w:r w:rsidRPr="002179F7">
        <w:rPr>
          <w:lang w:val="es-CR"/>
        </w:rPr>
        <w:t>.</w:t>
      </w:r>
    </w:p>
    <w:p w14:paraId="735289F0" w14:textId="795850E1" w:rsidR="00174F0D" w:rsidRDefault="00577C08" w:rsidP="00174F0D">
      <w:pPr>
        <w:jc w:val="both"/>
        <w:rPr>
          <w:lang w:val="es-CR"/>
        </w:rPr>
      </w:pPr>
      <w:r>
        <w:rPr>
          <w:lang w:val="es-CR"/>
        </w:rPr>
        <w:t>A pesar de que el país cuenta</w:t>
      </w:r>
      <w:r w:rsidR="00A9099B">
        <w:rPr>
          <w:lang w:val="es-CR"/>
        </w:rPr>
        <w:t xml:space="preserve"> </w:t>
      </w:r>
      <w:r w:rsidR="00815464">
        <w:rPr>
          <w:lang w:val="es-CR"/>
        </w:rPr>
        <w:t>el S</w:t>
      </w:r>
      <w:r w:rsidR="00A9099B" w:rsidRPr="00A9099B">
        <w:rPr>
          <w:lang w:val="es-CR"/>
        </w:rPr>
        <w:t xml:space="preserve">istema </w:t>
      </w:r>
      <w:r w:rsidR="00815464">
        <w:rPr>
          <w:lang w:val="es-CR"/>
        </w:rPr>
        <w:t xml:space="preserve">Nacional Integrado de Salud (SNIS) </w:t>
      </w:r>
      <w:r>
        <w:rPr>
          <w:lang w:val="es-CR"/>
        </w:rPr>
        <w:t xml:space="preserve">con </w:t>
      </w:r>
      <w:r w:rsidR="00815464">
        <w:rPr>
          <w:lang w:val="es-CR"/>
        </w:rPr>
        <w:t xml:space="preserve">una </w:t>
      </w:r>
      <w:r>
        <w:rPr>
          <w:lang w:val="es-CR"/>
        </w:rPr>
        <w:t xml:space="preserve">amplia </w:t>
      </w:r>
      <w:r w:rsidR="00A9099B">
        <w:rPr>
          <w:lang w:val="es-CR"/>
        </w:rPr>
        <w:t xml:space="preserve">cobertura a nivel nacional, los servicios de atención al consumo de drogas presentan </w:t>
      </w:r>
      <w:r w:rsidR="002179F7" w:rsidRPr="002179F7">
        <w:rPr>
          <w:lang w:val="es-CR"/>
        </w:rPr>
        <w:t xml:space="preserve">limitaciones estructurales persistentes. </w:t>
      </w:r>
      <w:r w:rsidR="00174F0D" w:rsidRPr="00815464">
        <w:rPr>
          <w:lang w:val="es-CR"/>
        </w:rPr>
        <w:t xml:space="preserve">destacan que la coordinación interinstitucional aún presenta </w:t>
      </w:r>
      <w:r w:rsidR="00174F0D" w:rsidRPr="00174F0D">
        <w:rPr>
          <w:lang w:val="es-CR"/>
        </w:rPr>
        <w:t>debilidades, dificultando la complementariedad entre los diferentes ministerios y servicios sociales implicados, como salud, desarrollo social y justicia, lo cual es fundamental para asegurar intervenciones integrales y continuas. Además, la financiación de los dispositivos es insuficiente respecto a las necesidades poblacionales reales, lo que reduce la disponibilidad de atención continua, programas de seguimiento y estrategias de acompañamiento a largo plazo para las personas con consumos problemáticos</w:t>
      </w:r>
      <w:r w:rsidR="00174F0D">
        <w:rPr>
          <w:lang w:val="es-CR"/>
        </w:rPr>
        <w:t xml:space="preserve"> (JND 2023)</w:t>
      </w:r>
      <w:r w:rsidR="00111704">
        <w:rPr>
          <w:lang w:val="es-CR"/>
        </w:rPr>
        <w:t>.</w:t>
      </w:r>
    </w:p>
    <w:p w14:paraId="09DA4FE3" w14:textId="49EBC316" w:rsidR="00A509CA" w:rsidRPr="00ED79FF" w:rsidRDefault="00A509CA" w:rsidP="000618BC">
      <w:pPr>
        <w:jc w:val="both"/>
        <w:rPr>
          <w:lang w:val="es-CR"/>
        </w:rPr>
      </w:pPr>
      <w:r w:rsidRPr="00A509CA">
        <w:rPr>
          <w:lang w:val="es-CR"/>
        </w:rPr>
        <w:t>El país ha incorporado explícitamente la gestión de riesgos y la reducción de daños como parte de su enfoque integral de políticas de drogas. La Estrategia Nacional de Drogas 2021–2025 establece la integración de la perspectiva de reducción de daños y gestión de riesgos en el diseño y evaluación de acciones públicas relacionadas con consumos problemáticos, salud y derechos humanos</w:t>
      </w:r>
      <w:r w:rsidR="00C65258">
        <w:rPr>
          <w:lang w:val="es-CR"/>
        </w:rPr>
        <w:t xml:space="preserve"> (JND 2021)</w:t>
      </w:r>
      <w:r w:rsidRPr="00A509CA">
        <w:rPr>
          <w:lang w:val="es-CR"/>
        </w:rPr>
        <w:t>.</w:t>
      </w:r>
      <w:r>
        <w:rPr>
          <w:lang w:val="es-CR"/>
        </w:rPr>
        <w:t xml:space="preserve"> </w:t>
      </w:r>
      <w:r w:rsidR="00ED79FF" w:rsidRPr="00ED79FF">
        <w:rPr>
          <w:lang w:val="es-CR"/>
        </w:rPr>
        <w:t>Sin embargo, pese al tiempo transcurrido desde su adopción, la implementación efectiva del enfoque de reducción de daños sigue siendo limitada y desigual, con importantes déficits en la disponibilidad, cobertura y sostenibilidad de los servicios e intervenciones concretamente desplegados.</w:t>
      </w:r>
    </w:p>
    <w:p w14:paraId="5AE71A08" w14:textId="7552F051" w:rsidR="002179F7" w:rsidRPr="002179F7" w:rsidRDefault="009B6938" w:rsidP="000618BC">
      <w:pPr>
        <w:jc w:val="both"/>
        <w:rPr>
          <w:lang w:val="es-CR"/>
        </w:rPr>
      </w:pPr>
      <w:r w:rsidRPr="00111704">
        <w:rPr>
          <w:lang w:val="es-CR"/>
        </w:rPr>
        <w:t xml:space="preserve">También existen amplias brechas territoriales, particularmente en los departamentos del interior del país, donde la oferta de servicios especializados es más escasa y los recursos humanos capacitados son insuficientes. </w:t>
      </w:r>
      <w:r w:rsidR="00696FAF" w:rsidRPr="002179F7">
        <w:rPr>
          <w:lang w:val="es-CR"/>
        </w:rPr>
        <w:t xml:space="preserve">En </w:t>
      </w:r>
      <w:r w:rsidR="00696FAF">
        <w:rPr>
          <w:lang w:val="es-CR"/>
        </w:rPr>
        <w:t>algunos lugares</w:t>
      </w:r>
      <w:r w:rsidR="00696FAF" w:rsidRPr="002179F7">
        <w:rPr>
          <w:lang w:val="es-CR"/>
        </w:rPr>
        <w:t xml:space="preserve">, </w:t>
      </w:r>
      <w:r w:rsidR="00696FAF">
        <w:rPr>
          <w:lang w:val="es-CR"/>
        </w:rPr>
        <w:t xml:space="preserve">las personas </w:t>
      </w:r>
      <w:r w:rsidR="00696FAF" w:rsidRPr="002179F7">
        <w:rPr>
          <w:lang w:val="es-CR"/>
        </w:rPr>
        <w:t>deben desplazarse largas distancias para acceder a atención, enfrentar listas de espera prolongadas o recurrir a dispositivos que no se ajustan a sus necesidades y contextos</w:t>
      </w:r>
      <w:r w:rsidR="00696FAF">
        <w:rPr>
          <w:lang w:val="es-CR"/>
        </w:rPr>
        <w:t xml:space="preserve"> (JND 2023)</w:t>
      </w:r>
      <w:r w:rsidR="00696FAF" w:rsidRPr="002179F7">
        <w:rPr>
          <w:lang w:val="es-CR"/>
        </w:rPr>
        <w:t>.</w:t>
      </w:r>
      <w:r w:rsidR="00696FAF">
        <w:rPr>
          <w:lang w:val="es-CR"/>
        </w:rPr>
        <w:t xml:space="preserve"> </w:t>
      </w:r>
      <w:r w:rsidR="000E38A7" w:rsidRPr="00111704">
        <w:rPr>
          <w:lang w:val="es-CR"/>
        </w:rPr>
        <w:t xml:space="preserve">Esto </w:t>
      </w:r>
      <w:r w:rsidRPr="00111704">
        <w:rPr>
          <w:lang w:val="es-CR"/>
        </w:rPr>
        <w:t xml:space="preserve">genera desigualdades en el acceso a tratamientos adecuados y </w:t>
      </w:r>
      <w:r w:rsidR="000E38A7" w:rsidRPr="00111704">
        <w:rPr>
          <w:lang w:val="es-CR"/>
        </w:rPr>
        <w:t xml:space="preserve">oportunos, </w:t>
      </w:r>
      <w:r w:rsidRPr="00111704">
        <w:rPr>
          <w:lang w:val="es-CR"/>
        </w:rPr>
        <w:t>contrasta</w:t>
      </w:r>
      <w:r w:rsidR="000E38A7" w:rsidRPr="00111704">
        <w:rPr>
          <w:lang w:val="es-CR"/>
        </w:rPr>
        <w:t>ndo</w:t>
      </w:r>
      <w:r w:rsidRPr="00111704">
        <w:rPr>
          <w:lang w:val="es-CR"/>
        </w:rPr>
        <w:t xml:space="preserve"> con los principios de equidad y accesibilidad que sustentan el derecho a la salud</w:t>
      </w:r>
      <w:r w:rsidR="00111704">
        <w:rPr>
          <w:lang w:val="es-CR"/>
        </w:rPr>
        <w:t xml:space="preserve"> </w:t>
      </w:r>
    </w:p>
    <w:p w14:paraId="6D31E332" w14:textId="60E3C50B" w:rsidR="002179F7" w:rsidRDefault="002179F7" w:rsidP="000618BC">
      <w:pPr>
        <w:jc w:val="both"/>
        <w:rPr>
          <w:lang w:val="es-CR"/>
        </w:rPr>
      </w:pPr>
      <w:r w:rsidRPr="002179F7">
        <w:rPr>
          <w:lang w:val="es-CR"/>
        </w:rPr>
        <w:lastRenderedPageBreak/>
        <w:t>Adicionalmente, el predominio de enfoques abstencionistas</w:t>
      </w:r>
      <w:r w:rsidR="000E38A7">
        <w:rPr>
          <w:lang w:val="es-CR"/>
        </w:rPr>
        <w:t>,</w:t>
      </w:r>
      <w:r w:rsidRPr="002179F7">
        <w:rPr>
          <w:lang w:val="es-CR"/>
        </w:rPr>
        <w:t xml:space="preserve"> altamente medicalizados </w:t>
      </w:r>
      <w:r w:rsidR="000E38A7">
        <w:rPr>
          <w:lang w:val="es-CR"/>
        </w:rPr>
        <w:t xml:space="preserve">y la poca disponibilidad de servicios de reducción de daños </w:t>
      </w:r>
      <w:r w:rsidR="001B7A01">
        <w:rPr>
          <w:lang w:val="es-CR"/>
        </w:rPr>
        <w:t xml:space="preserve">limita la aceptabilidad de los servicios entre las personas que usan </w:t>
      </w:r>
      <w:r w:rsidR="006058B8">
        <w:rPr>
          <w:lang w:val="es-CR"/>
        </w:rPr>
        <w:t>drogas</w:t>
      </w:r>
      <w:r w:rsidR="001B7A01">
        <w:rPr>
          <w:lang w:val="es-CR"/>
        </w:rPr>
        <w:t xml:space="preserve">, que </w:t>
      </w:r>
      <w:r w:rsidRPr="002179F7">
        <w:rPr>
          <w:lang w:val="es-CR"/>
        </w:rPr>
        <w:t xml:space="preserve">no </w:t>
      </w:r>
      <w:r w:rsidR="006058B8">
        <w:rPr>
          <w:lang w:val="es-CR"/>
        </w:rPr>
        <w:t xml:space="preserve">logran identificarse </w:t>
      </w:r>
      <w:r w:rsidRPr="002179F7">
        <w:rPr>
          <w:lang w:val="es-CR"/>
        </w:rPr>
        <w:t>con est</w:t>
      </w:r>
      <w:r w:rsidR="001B7A01">
        <w:rPr>
          <w:lang w:val="es-CR"/>
        </w:rPr>
        <w:t xml:space="preserve">e tipos de </w:t>
      </w:r>
      <w:r w:rsidRPr="002179F7">
        <w:rPr>
          <w:lang w:val="es-CR"/>
        </w:rPr>
        <w:t xml:space="preserve"> modelos </w:t>
      </w:r>
      <w:r w:rsidR="006058B8">
        <w:rPr>
          <w:lang w:val="es-CR"/>
        </w:rPr>
        <w:t xml:space="preserve">de atención </w:t>
      </w:r>
      <w:r w:rsidRPr="002179F7">
        <w:rPr>
          <w:lang w:val="es-CR"/>
        </w:rPr>
        <w:t>y</w:t>
      </w:r>
      <w:r w:rsidR="001B7A01">
        <w:rPr>
          <w:lang w:val="es-CR"/>
        </w:rPr>
        <w:t xml:space="preserve"> </w:t>
      </w:r>
      <w:r w:rsidRPr="002179F7">
        <w:rPr>
          <w:lang w:val="es-CR"/>
        </w:rPr>
        <w:t>evitan vincularse con el sistema de salud</w:t>
      </w:r>
      <w:r w:rsidR="00E27884">
        <w:rPr>
          <w:lang w:val="es-CR"/>
        </w:rPr>
        <w:t xml:space="preserve"> o</w:t>
      </w:r>
      <w:r w:rsidR="00E27884" w:rsidRPr="002179F7">
        <w:rPr>
          <w:lang w:val="es-CR"/>
        </w:rPr>
        <w:t xml:space="preserve"> interrumpen </w:t>
      </w:r>
      <w:r w:rsidR="00E27884">
        <w:rPr>
          <w:lang w:val="es-CR"/>
        </w:rPr>
        <w:t xml:space="preserve">su proceso de </w:t>
      </w:r>
      <w:r w:rsidR="00E27884" w:rsidRPr="002179F7">
        <w:rPr>
          <w:lang w:val="es-CR"/>
        </w:rPr>
        <w:t>tratamient</w:t>
      </w:r>
      <w:r w:rsidR="00E27884">
        <w:rPr>
          <w:lang w:val="es-CR"/>
        </w:rPr>
        <w:t>o</w:t>
      </w:r>
      <w:r w:rsidRPr="002179F7">
        <w:rPr>
          <w:lang w:val="es-CR"/>
        </w:rPr>
        <w:t>.</w:t>
      </w:r>
      <w:r w:rsidR="003516C5">
        <w:rPr>
          <w:lang w:val="es-CR"/>
        </w:rPr>
        <w:t xml:space="preserve"> </w:t>
      </w:r>
    </w:p>
    <w:p w14:paraId="2DE5F212" w14:textId="77777777" w:rsidR="002179F7" w:rsidRPr="002179F7" w:rsidRDefault="002179F7" w:rsidP="00AC3413">
      <w:pPr>
        <w:pStyle w:val="Ttulo2"/>
      </w:pPr>
      <w:bookmarkStart w:id="6" w:name="_Toc218883258"/>
      <w:r w:rsidRPr="002179F7">
        <w:t>3.3 Cannabis medicinal y terapéutico</w:t>
      </w:r>
      <w:bookmarkEnd w:id="6"/>
    </w:p>
    <w:p w14:paraId="69846E95" w14:textId="20BF9219" w:rsidR="002179F7" w:rsidRPr="002179F7" w:rsidRDefault="002179F7" w:rsidP="00E77981">
      <w:pPr>
        <w:jc w:val="both"/>
        <w:rPr>
          <w:lang w:val="es-CR"/>
        </w:rPr>
      </w:pPr>
      <w:r w:rsidRPr="002179F7">
        <w:rPr>
          <w:lang w:val="es-CR"/>
        </w:rPr>
        <w:t xml:space="preserve">La regulación del cannabis en Uruguay, establecida por la Ley </w:t>
      </w:r>
      <w:proofErr w:type="spellStart"/>
      <w:r w:rsidRPr="002179F7">
        <w:rPr>
          <w:lang w:val="es-CR"/>
        </w:rPr>
        <w:t>Nº</w:t>
      </w:r>
      <w:proofErr w:type="spellEnd"/>
      <w:r w:rsidRPr="002179F7">
        <w:rPr>
          <w:lang w:val="es-CR"/>
        </w:rPr>
        <w:t xml:space="preserve"> 19.172</w:t>
      </w:r>
      <w:r w:rsidR="001539B7">
        <w:rPr>
          <w:lang w:val="es-CR"/>
        </w:rPr>
        <w:t xml:space="preserve"> de 2013</w:t>
      </w:r>
      <w:r w:rsidRPr="002179F7">
        <w:rPr>
          <w:lang w:val="es-CR"/>
        </w:rPr>
        <w:t xml:space="preserve">, ha sido complementada por la Ley </w:t>
      </w:r>
      <w:proofErr w:type="spellStart"/>
      <w:r w:rsidRPr="002179F7">
        <w:rPr>
          <w:lang w:val="es-CR"/>
        </w:rPr>
        <w:t>Nº</w:t>
      </w:r>
      <w:proofErr w:type="spellEnd"/>
      <w:r w:rsidRPr="002179F7">
        <w:rPr>
          <w:lang w:val="es-CR"/>
        </w:rPr>
        <w:t xml:space="preserve"> 19.847</w:t>
      </w:r>
      <w:r w:rsidR="001539B7">
        <w:rPr>
          <w:lang w:val="es-CR"/>
        </w:rPr>
        <w:t xml:space="preserve"> de 2014</w:t>
      </w:r>
      <w:r w:rsidRPr="002179F7">
        <w:rPr>
          <w:lang w:val="es-CR"/>
        </w:rPr>
        <w:t xml:space="preserve">, que declara de interés público las acciones tendientes a promover el acceso a productos medicinales a base de cannabis. </w:t>
      </w:r>
      <w:r w:rsidR="00453AFE">
        <w:rPr>
          <w:highlight w:val="white"/>
          <w:lang w:val="es-CR"/>
        </w:rPr>
        <w:t xml:space="preserve">El </w:t>
      </w:r>
      <w:r w:rsidR="00453AFE" w:rsidRPr="00453AFE">
        <w:rPr>
          <w:highlight w:val="white"/>
          <w:lang w:val="es-CR"/>
        </w:rPr>
        <w:t xml:space="preserve">acceso a </w:t>
      </w:r>
      <w:r w:rsidR="00453AFE">
        <w:rPr>
          <w:highlight w:val="white"/>
          <w:lang w:val="es-CR"/>
        </w:rPr>
        <w:t xml:space="preserve">esta </w:t>
      </w:r>
      <w:r w:rsidR="00453AFE" w:rsidRPr="00453AFE">
        <w:rPr>
          <w:highlight w:val="white"/>
          <w:lang w:val="es-CR"/>
        </w:rPr>
        <w:t xml:space="preserve">sustancia </w:t>
      </w:r>
      <w:r w:rsidR="00453AFE">
        <w:rPr>
          <w:highlight w:val="white"/>
          <w:lang w:val="es-CR"/>
        </w:rPr>
        <w:t xml:space="preserve">se da </w:t>
      </w:r>
      <w:r w:rsidR="00453AFE" w:rsidRPr="00453AFE">
        <w:rPr>
          <w:highlight w:val="white"/>
          <w:lang w:val="es-CR"/>
        </w:rPr>
        <w:t xml:space="preserve">por 3 vías sujetas a registro: cultivo doméstico de hasta 6 plantas en floración (11.036 personas registradas), membresía en un club cannábico con límite de 480 gramos de dispensación anual (16.693 registrados), dispensación en farmacias hasta 10 gramos semanales (80.804 </w:t>
      </w:r>
      <w:r w:rsidR="00453AFE">
        <w:rPr>
          <w:highlight w:val="white"/>
          <w:lang w:val="es-CR"/>
        </w:rPr>
        <w:t>personas registrados</w:t>
      </w:r>
      <w:r w:rsidR="00453AFE" w:rsidRPr="00453AFE">
        <w:rPr>
          <w:highlight w:val="white"/>
          <w:lang w:val="es-CR"/>
        </w:rPr>
        <w:t xml:space="preserve">) </w:t>
      </w:r>
      <w:r w:rsidR="00453AFE" w:rsidRPr="009E4BD7">
        <w:rPr>
          <w:highlight w:val="yellow"/>
          <w:lang w:val="es-CR"/>
        </w:rPr>
        <w:t>(IRCCA 2025).</w:t>
      </w:r>
      <w:r w:rsidR="00453AFE">
        <w:rPr>
          <w:lang w:val="es-CR"/>
        </w:rPr>
        <w:t xml:space="preserve"> </w:t>
      </w:r>
    </w:p>
    <w:p w14:paraId="1893465D" w14:textId="49589C99" w:rsidR="002179F7" w:rsidRPr="002179F7" w:rsidRDefault="009E4BD7" w:rsidP="00E77981">
      <w:pPr>
        <w:jc w:val="both"/>
        <w:rPr>
          <w:lang w:val="es-CR"/>
        </w:rPr>
      </w:pPr>
      <w:r>
        <w:rPr>
          <w:lang w:val="es-CR"/>
        </w:rPr>
        <w:t>Aun así, e</w:t>
      </w:r>
      <w:r w:rsidR="002179F7" w:rsidRPr="002179F7">
        <w:rPr>
          <w:lang w:val="es-CR"/>
        </w:rPr>
        <w:t>l acceso efectivo al cannabis medicinal continúa siendo limitado para la mayoría de los pacientes. Los medicamentos legalmente disponibles son costosos y, en muchos casos, de origen extranjero, lo que restringe su accesibilidad económica. Asimismo, la farmacovigilancia activa prevista por la ley no se encuentra en funcionamiento, lo que genera riesgos para la seguridad de los pacientes y limita la evaluación de los tratamientos.</w:t>
      </w:r>
    </w:p>
    <w:p w14:paraId="64FF1767" w14:textId="77777777" w:rsidR="002179F7" w:rsidRPr="002179F7" w:rsidRDefault="002179F7" w:rsidP="00E77981">
      <w:pPr>
        <w:jc w:val="both"/>
        <w:rPr>
          <w:lang w:val="es-CR"/>
        </w:rPr>
      </w:pPr>
      <w:r w:rsidRPr="002179F7">
        <w:rPr>
          <w:lang w:val="es-CR"/>
        </w:rPr>
        <w:t>El Comité Técnico Asesor del Programa de Cannabis Medicinal del Ministerio de Salud Pública, decretado en 2019, fue convocado por primera vez recién en abril de 2025, lo que refleja la baja prioridad asignada a esta política. Paralelamente, las asociaciones civiles que acompañan a pacientes carecen de un marco regulatorio claro y de supervisión adecuada, pese a cumplir un rol fundamental en el acceso a tratamientos.</w:t>
      </w:r>
    </w:p>
    <w:p w14:paraId="2931BE69" w14:textId="42995CDF" w:rsidR="002179F7" w:rsidRDefault="002179F7" w:rsidP="00E77981">
      <w:pPr>
        <w:jc w:val="both"/>
        <w:rPr>
          <w:lang w:val="es-CR"/>
        </w:rPr>
      </w:pPr>
      <w:r w:rsidRPr="002179F7">
        <w:rPr>
          <w:lang w:val="es-CR"/>
        </w:rPr>
        <w:t>De acuerdo con declaraciones recogidas en el informe original, la Cámara de Empresas de Cannabis Medicinal y la Asociación Uruguaya de Productores de Cannabis han señalado ante instancias parlamentarias que la producción nacional se encuentra prácticamente paralizada debido a la ausencia de políticas estatales que faciliten la inserción en el mercado. Como consecuencia, se prioriza la exportación de materia prima y se limita el acceso interno a medicamentos, afectando directamente el derecho a la salud</w:t>
      </w:r>
      <w:r w:rsidR="001539B7">
        <w:rPr>
          <w:lang w:val="es-CR"/>
        </w:rPr>
        <w:t xml:space="preserve"> (Cámara de Representantes del Parlamento 2023)</w:t>
      </w:r>
      <w:r w:rsidRPr="002179F7">
        <w:rPr>
          <w:lang w:val="es-CR"/>
        </w:rPr>
        <w:t>.</w:t>
      </w:r>
    </w:p>
    <w:p w14:paraId="2FB54046" w14:textId="77777777" w:rsidR="00E158F3" w:rsidRPr="002179F7" w:rsidRDefault="00E158F3" w:rsidP="002179F7">
      <w:pPr>
        <w:rPr>
          <w:lang w:val="es-CR"/>
        </w:rPr>
      </w:pPr>
    </w:p>
    <w:p w14:paraId="014F9A8A" w14:textId="77777777" w:rsidR="002179F7" w:rsidRPr="002179F7" w:rsidRDefault="002179F7" w:rsidP="008553F0">
      <w:pPr>
        <w:pStyle w:val="Ttulo1"/>
      </w:pPr>
      <w:bookmarkStart w:id="7" w:name="_Toc218883259"/>
      <w:r w:rsidRPr="002179F7">
        <w:t>4. Estigma, criminalización y su impacto en el derecho a la salud</w:t>
      </w:r>
      <w:bookmarkEnd w:id="7"/>
    </w:p>
    <w:p w14:paraId="2323FCBA" w14:textId="288B5EE2" w:rsidR="009538F7" w:rsidRPr="00217CC2" w:rsidRDefault="009538F7" w:rsidP="005C32EB">
      <w:pPr>
        <w:jc w:val="both"/>
        <w:rPr>
          <w:lang w:val="es-CR"/>
        </w:rPr>
      </w:pPr>
      <w:r w:rsidRPr="009538F7">
        <w:rPr>
          <w:lang w:val="es-CR"/>
        </w:rPr>
        <w:t xml:space="preserve">Las personas que usan drogas en Uruguay continúan enfrentando </w:t>
      </w:r>
      <w:r w:rsidR="00EE61DB">
        <w:rPr>
          <w:lang w:val="es-CR"/>
        </w:rPr>
        <w:t xml:space="preserve">estigma institucional y otras </w:t>
      </w:r>
      <w:r w:rsidRPr="009538F7">
        <w:rPr>
          <w:lang w:val="es-CR"/>
        </w:rPr>
        <w:t xml:space="preserve">formas de criminalización indirecta, aun cuando </w:t>
      </w:r>
      <w:r w:rsidR="00EE61DB">
        <w:rPr>
          <w:lang w:val="es-CR"/>
        </w:rPr>
        <w:t>el consumo y la posesión para consumo personal no es considerada un delito</w:t>
      </w:r>
      <w:r w:rsidRPr="009538F7">
        <w:rPr>
          <w:lang w:val="es-CR"/>
        </w:rPr>
        <w:t xml:space="preserve">. </w:t>
      </w:r>
      <w:r w:rsidRPr="00217CC2">
        <w:rPr>
          <w:lang w:val="es-CR"/>
        </w:rPr>
        <w:t xml:space="preserve">En muchos casos, la intervención </w:t>
      </w:r>
      <w:r w:rsidR="00217CC2" w:rsidRPr="00217CC2">
        <w:rPr>
          <w:lang w:val="es-CR"/>
        </w:rPr>
        <w:t>de</w:t>
      </w:r>
      <w:r w:rsidR="00217CC2">
        <w:rPr>
          <w:lang w:val="es-CR"/>
        </w:rPr>
        <w:t xml:space="preserve"> la policía u otras instituciones </w:t>
      </w:r>
      <w:r w:rsidRPr="00217CC2">
        <w:rPr>
          <w:lang w:val="es-CR"/>
        </w:rPr>
        <w:lastRenderedPageBreak/>
        <w:t>se basa en prejuicios o criterios morales más que en normas legales, lo que se traduce en controles arbitrarios, requisas sin justificación y traslados a dependencias policiales.</w:t>
      </w:r>
      <w:r w:rsidR="0020741B">
        <w:rPr>
          <w:lang w:val="es-CR"/>
        </w:rPr>
        <w:t xml:space="preserve"> </w:t>
      </w:r>
    </w:p>
    <w:p w14:paraId="52A4EBAF" w14:textId="1CC36FAE" w:rsidR="009538F7" w:rsidRDefault="009538F7" w:rsidP="005C32EB">
      <w:pPr>
        <w:jc w:val="both"/>
        <w:rPr>
          <w:lang w:val="es-CR"/>
        </w:rPr>
      </w:pPr>
      <w:r w:rsidRPr="0061760D">
        <w:rPr>
          <w:lang w:val="es-CR"/>
        </w:rPr>
        <w:t xml:space="preserve">El estigma asociado al consumo de drogas refuerza estas dinámicas y tiene un impacto directo en el acceso a derechos básicos, en particular al derecho a la salud. </w:t>
      </w:r>
      <w:r w:rsidRPr="0020741B">
        <w:rPr>
          <w:lang w:val="es-CR"/>
        </w:rPr>
        <w:t>Muchas personas evitan acudir a servicios de salud por miedo a ser maltratadas, juzgadas o denunciadas, especialmente cuando se trata de atención en salud mental o consumos problemáticos</w:t>
      </w:r>
      <w:r w:rsidR="0020741B">
        <w:rPr>
          <w:lang w:val="es-CR"/>
        </w:rPr>
        <w:t>.</w:t>
      </w:r>
      <w:r w:rsidRPr="0020741B">
        <w:rPr>
          <w:lang w:val="es-CR"/>
        </w:rPr>
        <w:t xml:space="preserve"> Este entorno de discriminación y desconfianza dificulta la prevención, el tratamiento y la reducción de daños, y contribuye a que las personas que usan drogas queden al margen de las políticas públicas.</w:t>
      </w:r>
    </w:p>
    <w:p w14:paraId="635CFA6B" w14:textId="48507605" w:rsidR="00F43C4D" w:rsidRPr="0020741B" w:rsidRDefault="00D34BF7" w:rsidP="005C32EB">
      <w:pPr>
        <w:jc w:val="both"/>
        <w:rPr>
          <w:lang w:val="es-CR"/>
        </w:rPr>
      </w:pPr>
      <w:r w:rsidRPr="00217CC2">
        <w:rPr>
          <w:lang w:val="es-CR"/>
        </w:rPr>
        <w:t xml:space="preserve">Estas </w:t>
      </w:r>
      <w:r>
        <w:rPr>
          <w:lang w:val="es-CR"/>
        </w:rPr>
        <w:t xml:space="preserve">normas y </w:t>
      </w:r>
      <w:r w:rsidRPr="00217CC2">
        <w:rPr>
          <w:lang w:val="es-CR"/>
        </w:rPr>
        <w:t xml:space="preserve">prácticas </w:t>
      </w:r>
      <w:r>
        <w:rPr>
          <w:lang w:val="es-CR"/>
        </w:rPr>
        <w:t xml:space="preserve">de criminalización y estigmatización </w:t>
      </w:r>
      <w:r w:rsidRPr="00217CC2">
        <w:rPr>
          <w:lang w:val="es-CR"/>
        </w:rPr>
        <w:t>se observan con mayor frecuencia fuera de Montevideo y afectan de manera</w:t>
      </w:r>
      <w:r>
        <w:rPr>
          <w:lang w:val="es-CR"/>
        </w:rPr>
        <w:t xml:space="preserve"> </w:t>
      </w:r>
      <w:r w:rsidRPr="00217CC2">
        <w:rPr>
          <w:lang w:val="es-CR"/>
        </w:rPr>
        <w:t>desproporcionada a personas en situación de pobreza, jóvenes y otros grupos socialmente excluidos.</w:t>
      </w:r>
    </w:p>
    <w:p w14:paraId="65E857CD" w14:textId="0E2C4021" w:rsidR="002179F7" w:rsidRPr="00AC3413" w:rsidRDefault="002179F7" w:rsidP="00AC3413">
      <w:pPr>
        <w:pStyle w:val="Ttulo2"/>
      </w:pPr>
      <w:bookmarkStart w:id="8" w:name="_Toc218883260"/>
      <w:r w:rsidRPr="00AC3413">
        <w:t>4.1 Estigma estructural e institucional</w:t>
      </w:r>
      <w:bookmarkEnd w:id="8"/>
    </w:p>
    <w:p w14:paraId="1D7D521B" w14:textId="51260887" w:rsidR="002179F7" w:rsidRPr="002179F7" w:rsidRDefault="002179F7" w:rsidP="005C32EB">
      <w:pPr>
        <w:jc w:val="both"/>
        <w:rPr>
          <w:lang w:val="es-CR"/>
        </w:rPr>
      </w:pPr>
      <w:r w:rsidRPr="002179F7">
        <w:rPr>
          <w:lang w:val="es-CR"/>
        </w:rPr>
        <w:t xml:space="preserve">El estigma hacia las personas que usan drogas en Uruguay </w:t>
      </w:r>
      <w:r w:rsidR="00B72233">
        <w:rPr>
          <w:lang w:val="es-CR"/>
        </w:rPr>
        <w:t xml:space="preserve">se manifiesta en </w:t>
      </w:r>
      <w:r w:rsidRPr="002179F7">
        <w:rPr>
          <w:lang w:val="es-CR"/>
        </w:rPr>
        <w:t>múltiples ámbitos de la vida social e institucional</w:t>
      </w:r>
      <w:r w:rsidR="00913B11">
        <w:rPr>
          <w:lang w:val="es-CR"/>
        </w:rPr>
        <w:t xml:space="preserve"> del país. Esto incluye </w:t>
      </w:r>
      <w:r w:rsidRPr="002179F7">
        <w:rPr>
          <w:lang w:val="es-CR"/>
        </w:rPr>
        <w:t>el sistema de salud, el sistema educativo, el mercado laboral, los servicios de protección social y el sistema de justicia penal. Este estigma no se limita a actitudes individuales, sino que se expresa en normas, prácticas administrativas, discursos públicos y decisiones políticas que reproducen la exclusión y la discriminación.</w:t>
      </w:r>
    </w:p>
    <w:p w14:paraId="6BC393B2" w14:textId="5741DD2B" w:rsidR="002179F7" w:rsidRDefault="004E4C96" w:rsidP="005C32EB">
      <w:pPr>
        <w:jc w:val="both"/>
        <w:rPr>
          <w:lang w:val="es-CR"/>
        </w:rPr>
      </w:pPr>
      <w:r>
        <w:rPr>
          <w:lang w:val="es-CR"/>
        </w:rPr>
        <w:t>L</w:t>
      </w:r>
      <w:r w:rsidR="002179F7" w:rsidRPr="002179F7">
        <w:rPr>
          <w:lang w:val="es-CR"/>
        </w:rPr>
        <w:t xml:space="preserve">as personas que usan drogas reportan experiencias de </w:t>
      </w:r>
      <w:r>
        <w:rPr>
          <w:lang w:val="es-CR"/>
        </w:rPr>
        <w:t xml:space="preserve">malos </w:t>
      </w:r>
      <w:r w:rsidR="002179F7" w:rsidRPr="002179F7">
        <w:rPr>
          <w:lang w:val="es-CR"/>
        </w:rPr>
        <w:t>trato</w:t>
      </w:r>
      <w:r>
        <w:rPr>
          <w:lang w:val="es-CR"/>
        </w:rPr>
        <w:t>s</w:t>
      </w:r>
      <w:r w:rsidR="002179F7" w:rsidRPr="002179F7">
        <w:rPr>
          <w:lang w:val="es-CR"/>
        </w:rPr>
        <w:t xml:space="preserve">, juicios morales y </w:t>
      </w:r>
      <w:r>
        <w:rPr>
          <w:lang w:val="es-CR"/>
        </w:rPr>
        <w:t xml:space="preserve">modelos de </w:t>
      </w:r>
      <w:r w:rsidR="002179F7" w:rsidRPr="002179F7">
        <w:rPr>
          <w:lang w:val="es-CR"/>
        </w:rPr>
        <w:t xml:space="preserve">atención </w:t>
      </w:r>
      <w:r>
        <w:rPr>
          <w:lang w:val="es-CR"/>
        </w:rPr>
        <w:t xml:space="preserve">centrados en </w:t>
      </w:r>
      <w:r w:rsidR="002179F7" w:rsidRPr="002179F7">
        <w:rPr>
          <w:lang w:val="es-CR"/>
        </w:rPr>
        <w:t>la abstinencia</w:t>
      </w:r>
      <w:r>
        <w:rPr>
          <w:lang w:val="es-CR"/>
        </w:rPr>
        <w:t>, que no incluyen el enfoque de reducción de daños</w:t>
      </w:r>
      <w:r w:rsidR="002179F7" w:rsidRPr="002179F7">
        <w:rPr>
          <w:lang w:val="es-CR"/>
        </w:rPr>
        <w:t>. En el ámbito sanitario, el estigma se manifiesta en la negación o postergación de atención, en la falta de confidencialidad y en la patologización del consumo, incluso cuando este no constituye el motivo principal de consulta</w:t>
      </w:r>
      <w:r w:rsidR="00132B14">
        <w:rPr>
          <w:lang w:val="es-CR"/>
        </w:rPr>
        <w:t xml:space="preserve"> </w:t>
      </w:r>
      <w:r w:rsidR="004A3810">
        <w:rPr>
          <w:lang w:val="es-CR"/>
        </w:rPr>
        <w:t>(</w:t>
      </w:r>
      <w:proofErr w:type="spellStart"/>
      <w:r w:rsidR="004A3810">
        <w:rPr>
          <w:lang w:val="es-CR"/>
        </w:rPr>
        <w:t>Bardazano</w:t>
      </w:r>
      <w:proofErr w:type="spellEnd"/>
      <w:r w:rsidR="004A3810">
        <w:rPr>
          <w:lang w:val="es-CR"/>
        </w:rPr>
        <w:t xml:space="preserve"> 2014)</w:t>
      </w:r>
      <w:r w:rsidR="00792830">
        <w:rPr>
          <w:lang w:val="es-CR"/>
        </w:rPr>
        <w:t>.</w:t>
      </w:r>
      <w:r w:rsidR="004A3810">
        <w:rPr>
          <w:lang w:val="es-CR"/>
        </w:rPr>
        <w:t xml:space="preserve"> </w:t>
      </w:r>
    </w:p>
    <w:p w14:paraId="0CD27E95" w14:textId="09745458" w:rsidR="00C82AF1" w:rsidRDefault="00C82AF1" w:rsidP="00C82AF1">
      <w:pPr>
        <w:jc w:val="both"/>
        <w:rPr>
          <w:lang w:val="es-CR"/>
        </w:rPr>
      </w:pPr>
      <w:r>
        <w:rPr>
          <w:lang w:val="es-CR"/>
        </w:rPr>
        <w:t xml:space="preserve">Un elemento importante es que poca </w:t>
      </w:r>
      <w:r w:rsidRPr="002179F7">
        <w:rPr>
          <w:lang w:val="es-CR"/>
        </w:rPr>
        <w:t xml:space="preserve">participación de las personas que usan drogas y de organizaciones </w:t>
      </w:r>
      <w:r>
        <w:rPr>
          <w:lang w:val="es-CR"/>
        </w:rPr>
        <w:t xml:space="preserve">de sociedad civil </w:t>
      </w:r>
      <w:r w:rsidRPr="002179F7">
        <w:rPr>
          <w:lang w:val="es-CR"/>
        </w:rPr>
        <w:t xml:space="preserve">en el diseño, implementación y evaluación de políticas públicas </w:t>
      </w:r>
      <w:r>
        <w:rPr>
          <w:lang w:val="es-CR"/>
        </w:rPr>
        <w:t>que les beneficia directamente</w:t>
      </w:r>
      <w:r w:rsidRPr="002179F7">
        <w:rPr>
          <w:lang w:val="es-CR"/>
        </w:rPr>
        <w:t>. Esta exclusión contraviene el principio de participación consagrado en el PIDESC y reduce la efectividad de las intervenciones, al no incorporar el conocimiento y la experiencia de quienes se ven directamente afectados.</w:t>
      </w:r>
    </w:p>
    <w:p w14:paraId="49061537" w14:textId="3B6B0AF2" w:rsidR="002179F7" w:rsidRPr="002179F7" w:rsidRDefault="002179F7" w:rsidP="005C32EB">
      <w:pPr>
        <w:jc w:val="both"/>
        <w:rPr>
          <w:lang w:val="es-CR"/>
        </w:rPr>
      </w:pPr>
      <w:r w:rsidRPr="002179F7">
        <w:rPr>
          <w:lang w:val="es-CR"/>
        </w:rPr>
        <w:t xml:space="preserve">Estas prácticas afectan de manera directa la aceptabilidad de los servicios de salud y generan desconfianza hacia el sistema sanitario, lo que lleva a muchas personas a retrasar o evitar la búsqueda de atención médica. </w:t>
      </w:r>
      <w:r w:rsidR="00837FA7">
        <w:rPr>
          <w:lang w:val="es-CR"/>
        </w:rPr>
        <w:t xml:space="preserve">Esta </w:t>
      </w:r>
      <w:r w:rsidRPr="002179F7">
        <w:rPr>
          <w:lang w:val="es-CR"/>
        </w:rPr>
        <w:t xml:space="preserve">situación constituye una barrera estructural al acceso equitativo a servicios de salud de calidad y una forma de discriminación indirecta basada en la condición </w:t>
      </w:r>
      <w:r w:rsidR="007A6429">
        <w:rPr>
          <w:lang w:val="es-CR"/>
        </w:rPr>
        <w:t xml:space="preserve">social y económica </w:t>
      </w:r>
      <w:r w:rsidRPr="002179F7">
        <w:rPr>
          <w:lang w:val="es-CR"/>
        </w:rPr>
        <w:t xml:space="preserve">de </w:t>
      </w:r>
      <w:r w:rsidR="007A6429">
        <w:rPr>
          <w:lang w:val="es-CR"/>
        </w:rPr>
        <w:t xml:space="preserve">las </w:t>
      </w:r>
      <w:r w:rsidRPr="002179F7">
        <w:rPr>
          <w:lang w:val="es-CR"/>
        </w:rPr>
        <w:t>persona</w:t>
      </w:r>
      <w:r w:rsidR="007A6429">
        <w:rPr>
          <w:lang w:val="es-CR"/>
        </w:rPr>
        <w:t>s</w:t>
      </w:r>
      <w:r w:rsidRPr="002179F7">
        <w:rPr>
          <w:lang w:val="es-CR"/>
        </w:rPr>
        <w:t xml:space="preserve"> usuaria</w:t>
      </w:r>
      <w:r w:rsidR="007A6429">
        <w:rPr>
          <w:lang w:val="es-CR"/>
        </w:rPr>
        <w:t>s</w:t>
      </w:r>
      <w:r w:rsidRPr="002179F7">
        <w:rPr>
          <w:lang w:val="es-CR"/>
        </w:rPr>
        <w:t xml:space="preserve"> de drogas.</w:t>
      </w:r>
    </w:p>
    <w:p w14:paraId="11DD5E16" w14:textId="77777777" w:rsidR="002179F7" w:rsidRPr="002179F7" w:rsidRDefault="002179F7" w:rsidP="00AC3413">
      <w:pPr>
        <w:pStyle w:val="Ttulo2"/>
      </w:pPr>
      <w:bookmarkStart w:id="9" w:name="_Toc218883261"/>
      <w:r w:rsidRPr="002179F7">
        <w:t>4.2 Criminalización indirecta y política penal</w:t>
      </w:r>
      <w:bookmarkEnd w:id="9"/>
    </w:p>
    <w:p w14:paraId="030491FF" w14:textId="6232B886" w:rsidR="003300C4" w:rsidRDefault="003300C4" w:rsidP="008F762F">
      <w:pPr>
        <w:jc w:val="both"/>
        <w:rPr>
          <w:lang w:val="es-CR"/>
        </w:rPr>
      </w:pPr>
      <w:r w:rsidRPr="002179F7">
        <w:rPr>
          <w:lang w:val="es-CR"/>
        </w:rPr>
        <w:lastRenderedPageBreak/>
        <w:t xml:space="preserve">Aunque el consumo </w:t>
      </w:r>
      <w:r w:rsidR="00542F96">
        <w:rPr>
          <w:lang w:val="es-CR"/>
        </w:rPr>
        <w:t xml:space="preserve">y posesión </w:t>
      </w:r>
      <w:r w:rsidRPr="002179F7">
        <w:rPr>
          <w:lang w:val="es-CR"/>
        </w:rPr>
        <w:t xml:space="preserve">de drogas </w:t>
      </w:r>
      <w:r w:rsidR="00542F96">
        <w:rPr>
          <w:lang w:val="es-CR"/>
        </w:rPr>
        <w:t xml:space="preserve">para consumo personal </w:t>
      </w:r>
      <w:r w:rsidRPr="002179F7">
        <w:rPr>
          <w:lang w:val="es-CR"/>
        </w:rPr>
        <w:t xml:space="preserve">no </w:t>
      </w:r>
      <w:r w:rsidR="00542F96">
        <w:rPr>
          <w:lang w:val="es-CR"/>
        </w:rPr>
        <w:t xml:space="preserve">es considerado como un </w:t>
      </w:r>
      <w:r w:rsidRPr="002179F7">
        <w:rPr>
          <w:lang w:val="es-CR"/>
        </w:rPr>
        <w:t>delito, el marco legal vigente y la práctica institucional generan mecanismos de criminalización indirecta que afectan de manera desproporcionada a las personas que usan drogas</w:t>
      </w:r>
      <w:r>
        <w:rPr>
          <w:lang w:val="es-CR"/>
        </w:rPr>
        <w:t>, especialmente aquellas que usan drogas ilegales o que viven en mayores condición de vulnerabilidad</w:t>
      </w:r>
      <w:r w:rsidR="00BC5D37">
        <w:rPr>
          <w:lang w:val="es-CR"/>
        </w:rPr>
        <w:t>.</w:t>
      </w:r>
    </w:p>
    <w:p w14:paraId="2D0D0E61" w14:textId="1AB3B608" w:rsidR="00BC5D37" w:rsidRDefault="00BC5D37" w:rsidP="008F762F">
      <w:pPr>
        <w:jc w:val="both"/>
        <w:rPr>
          <w:lang w:val="es-CR"/>
        </w:rPr>
      </w:pPr>
      <w:r w:rsidRPr="006561B1">
        <w:rPr>
          <w:lang w:val="es-CR"/>
        </w:rPr>
        <w:t xml:space="preserve">El enfoque adoptado por el Estado uruguayo en materia de seguridad pública continúa privilegiando respuestas de carácter punitivo frente a los fenómenos asociados a </w:t>
      </w:r>
      <w:r>
        <w:rPr>
          <w:lang w:val="es-CR"/>
        </w:rPr>
        <w:t xml:space="preserve">las </w:t>
      </w:r>
      <w:r w:rsidRPr="006561B1">
        <w:rPr>
          <w:lang w:val="es-CR"/>
        </w:rPr>
        <w:t xml:space="preserve">drogas, priorizando la persecución penal, el control policial y el encarcelamiento por sobre intervenciones de salud pública. </w:t>
      </w:r>
      <w:r>
        <w:rPr>
          <w:lang w:val="es-CR"/>
        </w:rPr>
        <w:t xml:space="preserve">Este enfoque punitivo se observa claramente en el Plan Nacional de Seguridad </w:t>
      </w:r>
      <w:r w:rsidR="00A03B57">
        <w:rPr>
          <w:lang w:val="es-CR"/>
        </w:rPr>
        <w:t xml:space="preserve">Publica </w:t>
      </w:r>
      <w:r>
        <w:rPr>
          <w:lang w:val="es-CR"/>
        </w:rPr>
        <w:t>20</w:t>
      </w:r>
      <w:r w:rsidR="00A03B57">
        <w:rPr>
          <w:lang w:val="es-CR"/>
        </w:rPr>
        <w:t>25</w:t>
      </w:r>
      <w:r w:rsidRPr="006561B1">
        <w:rPr>
          <w:lang w:val="es-CR"/>
        </w:rPr>
        <w:t>,</w:t>
      </w:r>
      <w:r w:rsidR="001374D5">
        <w:rPr>
          <w:lang w:val="es-CR"/>
        </w:rPr>
        <w:t xml:space="preserve"> en donde </w:t>
      </w:r>
      <w:r w:rsidR="001374D5" w:rsidRPr="001374D5">
        <w:rPr>
          <w:lang w:val="es-CR"/>
        </w:rPr>
        <w:t>el enfoque de derechos humanos y de salud pública aparece de forma marginal o instrumenta</w:t>
      </w:r>
      <w:r w:rsidR="001374D5">
        <w:rPr>
          <w:lang w:val="es-CR"/>
        </w:rPr>
        <w:t xml:space="preserve">l, </w:t>
      </w:r>
      <w:r w:rsidR="00746579" w:rsidRPr="00746579">
        <w:rPr>
          <w:lang w:val="es-CR"/>
        </w:rPr>
        <w:t>ref</w:t>
      </w:r>
      <w:r w:rsidR="00746579">
        <w:rPr>
          <w:lang w:val="es-CR"/>
        </w:rPr>
        <w:t>o</w:t>
      </w:r>
      <w:r w:rsidR="00746579" w:rsidRPr="00746579">
        <w:rPr>
          <w:lang w:val="es-CR"/>
        </w:rPr>
        <w:t>rza</w:t>
      </w:r>
      <w:r w:rsidR="00746579">
        <w:rPr>
          <w:lang w:val="es-CR"/>
        </w:rPr>
        <w:t>ndo</w:t>
      </w:r>
      <w:r w:rsidR="00746579" w:rsidRPr="00746579">
        <w:rPr>
          <w:lang w:val="es-CR"/>
        </w:rPr>
        <w:t xml:space="preserve"> </w:t>
      </w:r>
      <w:r w:rsidR="00746579">
        <w:rPr>
          <w:lang w:val="es-CR"/>
        </w:rPr>
        <w:t xml:space="preserve">los mecanismos </w:t>
      </w:r>
      <w:r w:rsidR="00746579" w:rsidRPr="00746579">
        <w:rPr>
          <w:lang w:val="es-CR"/>
        </w:rPr>
        <w:t>de criminalización selectiva y profundiza</w:t>
      </w:r>
      <w:r w:rsidR="00746579">
        <w:rPr>
          <w:lang w:val="es-CR"/>
        </w:rPr>
        <w:t>ndo</w:t>
      </w:r>
      <w:r w:rsidR="00746579" w:rsidRPr="00746579">
        <w:rPr>
          <w:lang w:val="es-CR"/>
        </w:rPr>
        <w:t xml:space="preserve"> las barreras de acceso a servicios de atención</w:t>
      </w:r>
      <w:r w:rsidR="00746579">
        <w:rPr>
          <w:lang w:val="es-CR"/>
        </w:rPr>
        <w:t xml:space="preserve"> para las personas que usan drogas</w:t>
      </w:r>
      <w:r w:rsidR="001374D5" w:rsidRPr="001374D5">
        <w:rPr>
          <w:lang w:val="es-CR"/>
        </w:rPr>
        <w:t>.</w:t>
      </w:r>
      <w:r w:rsidRPr="006561B1">
        <w:rPr>
          <w:lang w:val="es-CR"/>
        </w:rPr>
        <w:t xml:space="preserve"> </w:t>
      </w:r>
      <w:r w:rsidR="00A03B57">
        <w:rPr>
          <w:lang w:val="es-CR"/>
        </w:rPr>
        <w:t xml:space="preserve"> </w:t>
      </w:r>
      <w:r w:rsidRPr="006561B1">
        <w:rPr>
          <w:lang w:val="es-CR"/>
        </w:rPr>
        <w:t>La aplicación de estas políticas no es homogénea en el territorio nacional y tiende a concentrarse en determinados perfiles poblacionales, como jóvenes, personas en situación de pobreza y habitantes de barrios periféricos</w:t>
      </w:r>
      <w:r w:rsidR="00800BBC">
        <w:rPr>
          <w:lang w:val="es-CR"/>
        </w:rPr>
        <w:t xml:space="preserve"> (Gobierno de Uruguay 2025)</w:t>
      </w:r>
      <w:r w:rsidRPr="006561B1">
        <w:rPr>
          <w:lang w:val="es-CR"/>
        </w:rPr>
        <w:t xml:space="preserve">. </w:t>
      </w:r>
    </w:p>
    <w:p w14:paraId="210BB8D5" w14:textId="448105C9" w:rsidR="003300C4" w:rsidRDefault="006250F2" w:rsidP="008F762F">
      <w:pPr>
        <w:jc w:val="both"/>
        <w:rPr>
          <w:lang w:val="es-CR"/>
        </w:rPr>
      </w:pPr>
      <w:r>
        <w:rPr>
          <w:lang w:val="es-CR"/>
        </w:rPr>
        <w:t>Por ejemplo, l</w:t>
      </w:r>
      <w:r w:rsidRPr="008C4DAA">
        <w:rPr>
          <w:lang w:val="es-CR"/>
        </w:rPr>
        <w:t xml:space="preserve">a ley no define con claridad qué se considera una cantidad razonable para consumo personal, lo que deja un amplio margen de interpretación a la policía, fiscales y jueces. </w:t>
      </w:r>
      <w:r w:rsidRPr="009538F7">
        <w:rPr>
          <w:lang w:val="es-CR"/>
        </w:rPr>
        <w:t>Esta falta de precisión genera inseguridad jurídica y permite que situaciones vinculadas al uso personal sean tratadas como delitos, especialmente cuando se trata de sustancias distintas del cannabis</w:t>
      </w:r>
      <w:r w:rsidR="003300C4">
        <w:rPr>
          <w:lang w:val="es-CR"/>
        </w:rPr>
        <w:t xml:space="preserve"> (</w:t>
      </w:r>
      <w:proofErr w:type="spellStart"/>
      <w:r w:rsidR="003300C4">
        <w:rPr>
          <w:lang w:val="es-CR"/>
        </w:rPr>
        <w:t>Bardazano</w:t>
      </w:r>
      <w:proofErr w:type="spellEnd"/>
      <w:r w:rsidR="003300C4">
        <w:rPr>
          <w:lang w:val="es-CR"/>
        </w:rPr>
        <w:t xml:space="preserve"> 2014)</w:t>
      </w:r>
      <w:r w:rsidR="003300C4" w:rsidRPr="002179F7">
        <w:rPr>
          <w:lang w:val="es-CR"/>
        </w:rPr>
        <w:t>.</w:t>
      </w:r>
    </w:p>
    <w:p w14:paraId="5204B596" w14:textId="5EEFC79D" w:rsidR="00EF59DF" w:rsidRPr="002179F7" w:rsidRDefault="005C32EB" w:rsidP="008F762F">
      <w:pPr>
        <w:jc w:val="both"/>
        <w:rPr>
          <w:lang w:val="es-CR"/>
        </w:rPr>
      </w:pPr>
      <w:r>
        <w:rPr>
          <w:lang w:val="es-CR"/>
        </w:rPr>
        <w:t xml:space="preserve">Otro elemento </w:t>
      </w:r>
      <w:r w:rsidR="00390A8F">
        <w:rPr>
          <w:lang w:val="es-CR"/>
        </w:rPr>
        <w:t xml:space="preserve">de esta ambivalencia legal </w:t>
      </w:r>
      <w:r>
        <w:rPr>
          <w:lang w:val="es-CR"/>
        </w:rPr>
        <w:t xml:space="preserve">es </w:t>
      </w:r>
      <w:r w:rsidR="004E66B5" w:rsidRPr="004E66B5">
        <w:rPr>
          <w:lang w:val="es-CR"/>
        </w:rPr>
        <w:t xml:space="preserve">la Ley de Urgente Consideración </w:t>
      </w:r>
      <w:r w:rsidR="00542F96">
        <w:rPr>
          <w:lang w:val="es-CR"/>
        </w:rPr>
        <w:t>de</w:t>
      </w:r>
      <w:r w:rsidR="004E66B5">
        <w:rPr>
          <w:lang w:val="es-CR"/>
        </w:rPr>
        <w:t xml:space="preserve"> 202</w:t>
      </w:r>
      <w:r w:rsidR="00C86171">
        <w:rPr>
          <w:lang w:val="es-CR"/>
        </w:rPr>
        <w:t>0</w:t>
      </w:r>
      <w:r>
        <w:rPr>
          <w:lang w:val="es-CR"/>
        </w:rPr>
        <w:t xml:space="preserve">, </w:t>
      </w:r>
      <w:r w:rsidR="00390A8F">
        <w:rPr>
          <w:lang w:val="es-CR"/>
        </w:rPr>
        <w:t xml:space="preserve">que introdujo </w:t>
      </w:r>
      <w:r>
        <w:rPr>
          <w:lang w:val="es-CR"/>
        </w:rPr>
        <w:t>modificaciones a las políticas de drogas en el país</w:t>
      </w:r>
      <w:r w:rsidR="00390A8F">
        <w:rPr>
          <w:lang w:val="es-CR"/>
        </w:rPr>
        <w:t xml:space="preserve"> con el </w:t>
      </w:r>
      <w:r w:rsidR="00EF59DF" w:rsidRPr="00EF59DF">
        <w:rPr>
          <w:lang w:val="es-CR"/>
        </w:rPr>
        <w:t>aumentos de penas</w:t>
      </w:r>
      <w:r w:rsidR="00390A8F">
        <w:rPr>
          <w:lang w:val="es-CR"/>
        </w:rPr>
        <w:t xml:space="preserve"> por delitos de narcotráfico</w:t>
      </w:r>
      <w:r w:rsidR="00EF59DF" w:rsidRPr="00EF59DF">
        <w:rPr>
          <w:lang w:val="es-CR"/>
        </w:rPr>
        <w:t xml:space="preserve">, </w:t>
      </w:r>
      <w:r w:rsidRPr="002179F7">
        <w:rPr>
          <w:lang w:val="es-CR"/>
        </w:rPr>
        <w:t>ampliación del uso de la prisión preventiva</w:t>
      </w:r>
      <w:r>
        <w:rPr>
          <w:lang w:val="es-CR"/>
        </w:rPr>
        <w:t>,</w:t>
      </w:r>
      <w:r w:rsidRPr="002179F7">
        <w:rPr>
          <w:lang w:val="es-CR"/>
        </w:rPr>
        <w:t xml:space="preserve"> </w:t>
      </w:r>
      <w:r>
        <w:rPr>
          <w:lang w:val="es-CR"/>
        </w:rPr>
        <w:t xml:space="preserve">restricciones para el </w:t>
      </w:r>
      <w:r w:rsidR="00EF59DF" w:rsidRPr="00EF59DF">
        <w:rPr>
          <w:lang w:val="es-CR"/>
        </w:rPr>
        <w:t xml:space="preserve">acceso a medidas sustitutivas </w:t>
      </w:r>
      <w:r>
        <w:rPr>
          <w:lang w:val="es-CR"/>
        </w:rPr>
        <w:t xml:space="preserve">al encarcelamiento </w:t>
      </w:r>
      <w:r w:rsidR="00EF59DF" w:rsidRPr="00EF59DF">
        <w:rPr>
          <w:lang w:val="es-CR"/>
        </w:rPr>
        <w:t>y restricciones a derechos penitenciarios</w:t>
      </w:r>
      <w:r>
        <w:rPr>
          <w:lang w:val="es-CR"/>
        </w:rPr>
        <w:t xml:space="preserve"> (</w:t>
      </w:r>
      <w:r w:rsidR="008952AC">
        <w:rPr>
          <w:lang w:val="es-CR"/>
        </w:rPr>
        <w:t>Plataforma</w:t>
      </w:r>
      <w:r>
        <w:rPr>
          <w:lang w:val="es-CR"/>
        </w:rPr>
        <w:t xml:space="preserve"> de Clubes 2021)</w:t>
      </w:r>
      <w:r w:rsidRPr="00EF59DF">
        <w:rPr>
          <w:lang w:val="es-CR"/>
        </w:rPr>
        <w:t>.</w:t>
      </w:r>
      <w:r>
        <w:rPr>
          <w:lang w:val="es-CR"/>
        </w:rPr>
        <w:t xml:space="preserve"> Estos cambios legales han </w:t>
      </w:r>
      <w:r w:rsidR="00EF59DF" w:rsidRPr="00EF59DF">
        <w:rPr>
          <w:lang w:val="es-CR"/>
        </w:rPr>
        <w:t>impacta</w:t>
      </w:r>
      <w:r>
        <w:rPr>
          <w:lang w:val="es-CR"/>
        </w:rPr>
        <w:t>do</w:t>
      </w:r>
      <w:r w:rsidR="00EF59DF" w:rsidRPr="00EF59DF">
        <w:rPr>
          <w:lang w:val="es-CR"/>
        </w:rPr>
        <w:t xml:space="preserve"> principalmente a personas de bajos recursos con vínculos periféricos al mercado </w:t>
      </w:r>
      <w:r>
        <w:rPr>
          <w:lang w:val="es-CR"/>
        </w:rPr>
        <w:t xml:space="preserve">ilícito </w:t>
      </w:r>
      <w:r w:rsidR="00EF59DF" w:rsidRPr="00EF59DF">
        <w:rPr>
          <w:lang w:val="es-CR"/>
        </w:rPr>
        <w:t>de drogas</w:t>
      </w:r>
      <w:r w:rsidR="00B515C5">
        <w:rPr>
          <w:lang w:val="es-CR"/>
        </w:rPr>
        <w:t>.</w:t>
      </w:r>
    </w:p>
    <w:p w14:paraId="6B48ED5C" w14:textId="761C73AA" w:rsidR="002179F7" w:rsidRPr="002179F7" w:rsidRDefault="002179F7" w:rsidP="008F762F">
      <w:pPr>
        <w:jc w:val="both"/>
        <w:rPr>
          <w:lang w:val="es-CR"/>
        </w:rPr>
      </w:pPr>
      <w:r w:rsidRPr="002179F7">
        <w:rPr>
          <w:lang w:val="es-CR"/>
        </w:rPr>
        <w:t xml:space="preserve">La criminalización indirecta tiene efectos disuasorios </w:t>
      </w:r>
      <w:r w:rsidR="003F4EBE">
        <w:rPr>
          <w:lang w:val="es-CR"/>
        </w:rPr>
        <w:t xml:space="preserve">para </w:t>
      </w:r>
      <w:r w:rsidRPr="002179F7">
        <w:rPr>
          <w:lang w:val="es-CR"/>
        </w:rPr>
        <w:t xml:space="preserve">el acceso a servicios </w:t>
      </w:r>
      <w:r w:rsidR="003F4EBE">
        <w:rPr>
          <w:lang w:val="es-CR"/>
        </w:rPr>
        <w:t xml:space="preserve">sociales y </w:t>
      </w:r>
      <w:r w:rsidRPr="002179F7">
        <w:rPr>
          <w:lang w:val="es-CR"/>
        </w:rPr>
        <w:t xml:space="preserve">de salud. El temor a la </w:t>
      </w:r>
      <w:r w:rsidR="003F4EBE">
        <w:rPr>
          <w:lang w:val="es-CR"/>
        </w:rPr>
        <w:t>criminalización</w:t>
      </w:r>
      <w:r w:rsidRPr="002179F7">
        <w:rPr>
          <w:lang w:val="es-CR"/>
        </w:rPr>
        <w:t>, la intervención policial</w:t>
      </w:r>
      <w:r w:rsidR="003F4EBE">
        <w:rPr>
          <w:lang w:val="es-CR"/>
        </w:rPr>
        <w:t>,</w:t>
      </w:r>
      <w:r w:rsidRPr="002179F7">
        <w:rPr>
          <w:lang w:val="es-CR"/>
        </w:rPr>
        <w:t xml:space="preserve"> consecuencias legales </w:t>
      </w:r>
      <w:r w:rsidR="003F4EBE">
        <w:rPr>
          <w:lang w:val="es-CR"/>
        </w:rPr>
        <w:t xml:space="preserve">asociadas al consumo, </w:t>
      </w:r>
      <w:r w:rsidRPr="002179F7">
        <w:rPr>
          <w:lang w:val="es-CR"/>
        </w:rPr>
        <w:t>desalienta a las personas que usan drogas a buscar atención</w:t>
      </w:r>
      <w:r w:rsidR="003F4EBE">
        <w:rPr>
          <w:lang w:val="es-CR"/>
        </w:rPr>
        <w:t xml:space="preserve"> o incorporarse a </w:t>
      </w:r>
      <w:r w:rsidRPr="002179F7">
        <w:rPr>
          <w:lang w:val="es-CR"/>
        </w:rPr>
        <w:t>programas de tratamiento</w:t>
      </w:r>
      <w:r w:rsidR="008F762F">
        <w:rPr>
          <w:lang w:val="es-CR"/>
        </w:rPr>
        <w:t>,</w:t>
      </w:r>
      <w:r w:rsidRPr="002179F7">
        <w:rPr>
          <w:lang w:val="es-CR"/>
        </w:rPr>
        <w:t xml:space="preserve"> </w:t>
      </w:r>
      <w:r w:rsidR="003F4EBE">
        <w:rPr>
          <w:lang w:val="es-CR"/>
        </w:rPr>
        <w:t>donde la abstinencia es la única meta posible del proceso de rehabilitación</w:t>
      </w:r>
      <w:r w:rsidRPr="002179F7">
        <w:rPr>
          <w:lang w:val="es-CR"/>
        </w:rPr>
        <w:t xml:space="preserve">. </w:t>
      </w:r>
    </w:p>
    <w:p w14:paraId="67C6DE5A" w14:textId="578E9125" w:rsidR="002179F7" w:rsidRPr="002179F7" w:rsidRDefault="002179F7" w:rsidP="00AC3413">
      <w:pPr>
        <w:pStyle w:val="Ttulo2"/>
      </w:pPr>
      <w:bookmarkStart w:id="10" w:name="_Toc218883262"/>
      <w:r w:rsidRPr="002179F7">
        <w:t>4.3 Personas privadas de libertad</w:t>
      </w:r>
      <w:bookmarkEnd w:id="10"/>
      <w:r w:rsidRPr="002179F7">
        <w:t xml:space="preserve"> </w:t>
      </w:r>
    </w:p>
    <w:p w14:paraId="534D0D51" w14:textId="049B81E2" w:rsidR="002179F7" w:rsidRPr="002179F7" w:rsidRDefault="002179F7" w:rsidP="002567C3">
      <w:pPr>
        <w:jc w:val="both"/>
        <w:rPr>
          <w:lang w:val="es-CR"/>
        </w:rPr>
      </w:pPr>
      <w:r w:rsidRPr="002179F7">
        <w:rPr>
          <w:lang w:val="es-CR"/>
        </w:rPr>
        <w:t xml:space="preserve">Uruguay presenta una de las tasas de encarcelamiento más altas de América Latina, con un crecimiento sostenido </w:t>
      </w:r>
      <w:r w:rsidR="00540D59">
        <w:rPr>
          <w:lang w:val="es-CR"/>
        </w:rPr>
        <w:t xml:space="preserve">en </w:t>
      </w:r>
      <w:r w:rsidRPr="002179F7">
        <w:rPr>
          <w:lang w:val="es-CR"/>
        </w:rPr>
        <w:t xml:space="preserve">la </w:t>
      </w:r>
      <w:r w:rsidR="00540D59">
        <w:rPr>
          <w:lang w:val="es-CR"/>
        </w:rPr>
        <w:t xml:space="preserve">cantidad de </w:t>
      </w:r>
      <w:r w:rsidRPr="002179F7">
        <w:rPr>
          <w:lang w:val="es-CR"/>
        </w:rPr>
        <w:t xml:space="preserve">población penitenciaria en las últimas </w:t>
      </w:r>
      <w:r w:rsidR="00540D59">
        <w:rPr>
          <w:lang w:val="es-CR"/>
        </w:rPr>
        <w:t xml:space="preserve">dos </w:t>
      </w:r>
      <w:r w:rsidRPr="002179F7">
        <w:rPr>
          <w:lang w:val="es-CR"/>
        </w:rPr>
        <w:t>décadas</w:t>
      </w:r>
      <w:r w:rsidR="001E43F7">
        <w:rPr>
          <w:lang w:val="es-CR"/>
        </w:rPr>
        <w:t xml:space="preserve"> (WPB 2025)</w:t>
      </w:r>
      <w:r w:rsidRPr="002179F7">
        <w:rPr>
          <w:lang w:val="es-CR"/>
        </w:rPr>
        <w:t xml:space="preserve">. Este fenómeno ha generado </w:t>
      </w:r>
      <w:r w:rsidR="00540D59">
        <w:rPr>
          <w:lang w:val="es-CR"/>
        </w:rPr>
        <w:t>una sobrepoblación</w:t>
      </w:r>
      <w:r w:rsidR="003576E5">
        <w:rPr>
          <w:lang w:val="es-CR"/>
        </w:rPr>
        <w:t xml:space="preserve"> de</w:t>
      </w:r>
      <w:r w:rsidR="00850E01">
        <w:rPr>
          <w:lang w:val="es-CR"/>
        </w:rPr>
        <w:t>l</w:t>
      </w:r>
      <w:r w:rsidR="003576E5">
        <w:rPr>
          <w:lang w:val="es-CR"/>
        </w:rPr>
        <w:t xml:space="preserve"> 130%</w:t>
      </w:r>
      <w:r w:rsidR="00850E01">
        <w:rPr>
          <w:lang w:val="es-CR"/>
        </w:rPr>
        <w:t xml:space="preserve">, afectando directamente el acceso a servicios de </w:t>
      </w:r>
      <w:r w:rsidRPr="002179F7">
        <w:rPr>
          <w:lang w:val="es-CR"/>
        </w:rPr>
        <w:t>salud</w:t>
      </w:r>
      <w:r w:rsidR="00850E01">
        <w:rPr>
          <w:lang w:val="es-CR"/>
        </w:rPr>
        <w:t xml:space="preserve">, infraestructura y </w:t>
      </w:r>
      <w:r w:rsidRPr="002179F7">
        <w:rPr>
          <w:lang w:val="es-CR"/>
        </w:rPr>
        <w:t>recursos humanos</w:t>
      </w:r>
      <w:r w:rsidR="00850E01">
        <w:rPr>
          <w:lang w:val="es-CR"/>
        </w:rPr>
        <w:t xml:space="preserve"> necesarios</w:t>
      </w:r>
      <w:r w:rsidRPr="002179F7">
        <w:rPr>
          <w:lang w:val="es-CR"/>
        </w:rPr>
        <w:t>.</w:t>
      </w:r>
    </w:p>
    <w:p w14:paraId="5CC0712A" w14:textId="4EE9D23D" w:rsidR="004334D7" w:rsidRDefault="004334D7" w:rsidP="002567C3">
      <w:pPr>
        <w:jc w:val="both"/>
        <w:rPr>
          <w:lang w:val="es-CR"/>
        </w:rPr>
      </w:pPr>
      <w:r w:rsidRPr="004334D7">
        <w:rPr>
          <w:lang w:val="es-CR"/>
        </w:rPr>
        <w:lastRenderedPageBreak/>
        <w:t xml:space="preserve">Los delitos vinculados a drogas tienen un peso relevante dentro del sistema penal uruguayo. Según la </w:t>
      </w:r>
      <w:r w:rsidR="008038C9" w:rsidRPr="004334D7">
        <w:rPr>
          <w:lang w:val="es-CR"/>
        </w:rPr>
        <w:t>fiscalía general</w:t>
      </w:r>
      <w:r w:rsidRPr="004334D7">
        <w:rPr>
          <w:lang w:val="es-CR"/>
        </w:rPr>
        <w:t xml:space="preserve"> de la Nación, entre 2020 y 2024 fueron sentenciadas 85.876 personas, de las cuales 7.012 lo fueron por delitos relacionados con estupefacientes, con una incidencia proporcionalmente mayor en mujeres que en la población general</w:t>
      </w:r>
      <w:r w:rsidR="008038C9">
        <w:rPr>
          <w:lang w:val="es-CR"/>
        </w:rPr>
        <w:t xml:space="preserve"> (Gobierno de Uruguay s.f.)</w:t>
      </w:r>
      <w:r w:rsidRPr="004334D7">
        <w:rPr>
          <w:lang w:val="es-CR"/>
        </w:rPr>
        <w:t>. Esta situación se inscribe en un fenómeno regional ampliamente documentado, en el que muchas mujeres involucradas en el microtráfico lo hacen en contextos de pobreza, coerción o dependencia económica</w:t>
      </w:r>
      <w:r w:rsidR="00081E92">
        <w:rPr>
          <w:lang w:val="es-CR"/>
        </w:rPr>
        <w:t xml:space="preserve"> (WOLA 2023)</w:t>
      </w:r>
      <w:r w:rsidRPr="004334D7">
        <w:rPr>
          <w:lang w:val="es-CR"/>
        </w:rPr>
        <w:t xml:space="preserve">. </w:t>
      </w:r>
    </w:p>
    <w:p w14:paraId="33039EDB" w14:textId="30F5115D" w:rsidR="004334D7" w:rsidRPr="004334D7" w:rsidRDefault="001C3E65" w:rsidP="002567C3">
      <w:pPr>
        <w:jc w:val="both"/>
        <w:rPr>
          <w:lang w:val="es-CR"/>
        </w:rPr>
      </w:pPr>
      <w:r w:rsidRPr="002179F7">
        <w:rPr>
          <w:lang w:val="es-CR"/>
        </w:rPr>
        <w:t>Las estadísticas penitenciarias muestran que una proporción significativa de las personas privadas de libertad cumple condenas por delitos no violentos vinculados a drogas, en muchos casos asociados a economías de subsistencia, consumo problemático y contextos de exclusión social</w:t>
      </w:r>
      <w:r w:rsidR="00BC5D37">
        <w:rPr>
          <w:lang w:val="es-CR"/>
        </w:rPr>
        <w:t>.</w:t>
      </w:r>
      <w:r>
        <w:rPr>
          <w:lang w:val="es-CR"/>
        </w:rPr>
        <w:t xml:space="preserve"> </w:t>
      </w:r>
      <w:r w:rsidR="00BC5D37">
        <w:rPr>
          <w:lang w:val="es-CR"/>
        </w:rPr>
        <w:t>E</w:t>
      </w:r>
      <w:r w:rsidR="004334D7" w:rsidRPr="004334D7">
        <w:rPr>
          <w:lang w:val="es-CR"/>
        </w:rPr>
        <w:t xml:space="preserve">studios recientes </w:t>
      </w:r>
      <w:r w:rsidR="00BC5D37">
        <w:rPr>
          <w:lang w:val="es-CR"/>
        </w:rPr>
        <w:t xml:space="preserve">también </w:t>
      </w:r>
      <w:r w:rsidR="004334D7" w:rsidRPr="004334D7">
        <w:rPr>
          <w:lang w:val="es-CR"/>
        </w:rPr>
        <w:t>muestran que el 57 % de las mujeres privadas de libertad que consumieron pasta base lo hicieron antes de cometer el delito, lo que evidencia el impacto directo del consumo problemático en la conducta delictiva, mientras que solo el 29 % señala que el delito precedió al consumo</w:t>
      </w:r>
      <w:r w:rsidR="002567C3">
        <w:rPr>
          <w:lang w:val="es-CR"/>
        </w:rPr>
        <w:t xml:space="preserve"> (CERES 2024)</w:t>
      </w:r>
      <w:r w:rsidR="004334D7" w:rsidRPr="004334D7">
        <w:rPr>
          <w:lang w:val="es-CR"/>
        </w:rPr>
        <w:t>.</w:t>
      </w:r>
    </w:p>
    <w:p w14:paraId="4E04C879" w14:textId="311BC414" w:rsidR="002179F7" w:rsidRPr="002179F7" w:rsidRDefault="00642AC7" w:rsidP="002567C3">
      <w:pPr>
        <w:jc w:val="both"/>
        <w:rPr>
          <w:lang w:val="es-CR"/>
        </w:rPr>
      </w:pPr>
      <w:r>
        <w:rPr>
          <w:lang w:val="es-CR"/>
        </w:rPr>
        <w:t>E</w:t>
      </w:r>
      <w:r w:rsidRPr="00642AC7">
        <w:rPr>
          <w:lang w:val="es-CR"/>
        </w:rPr>
        <w:t>l crecimiento sostenido de la población privada de libertad, en gran medida asociado a delitos vinculados a drogas, ha generado una sobrecarga estructural del sistema penitenciario uruguayo, con impactos negativos directos sobre las condiciones de detención y el acceso efectivo a servicios de salud física y mental</w:t>
      </w:r>
      <w:r>
        <w:rPr>
          <w:lang w:val="es-CR"/>
        </w:rPr>
        <w:t xml:space="preserve"> (Gobierno de Uruguay 2025)</w:t>
      </w:r>
      <w:r w:rsidRPr="00642AC7">
        <w:rPr>
          <w:lang w:val="es-CR"/>
        </w:rPr>
        <w:t xml:space="preserve">. </w:t>
      </w:r>
      <w:r w:rsidR="002179F7" w:rsidRPr="002179F7">
        <w:rPr>
          <w:lang w:val="es-CR"/>
        </w:rPr>
        <w:t xml:space="preserve">Las condiciones de detención en numerosos establecimientos penitenciarios afectan gravemente el derecho a la salud física y mental de las personas privadas de libertad. El hacinamiento, la falta de acceso regular a servicios médicos, la escasez de profesionales especializados en salud mental y </w:t>
      </w:r>
      <w:r w:rsidR="000B67B1">
        <w:rPr>
          <w:lang w:val="es-CR"/>
        </w:rPr>
        <w:t>consumo de drogas</w:t>
      </w:r>
      <w:r w:rsidR="003B02FD">
        <w:rPr>
          <w:lang w:val="es-CR"/>
        </w:rPr>
        <w:t xml:space="preserve"> (Amnistía Internacional 2025)</w:t>
      </w:r>
      <w:r w:rsidR="000B67B1">
        <w:rPr>
          <w:lang w:val="es-CR"/>
        </w:rPr>
        <w:t>.</w:t>
      </w:r>
    </w:p>
    <w:p w14:paraId="288BA0F3" w14:textId="3F0A6790" w:rsidR="002179F7" w:rsidRPr="002179F7" w:rsidRDefault="00256C74" w:rsidP="002567C3">
      <w:pPr>
        <w:jc w:val="both"/>
        <w:rPr>
          <w:lang w:val="es-CR"/>
        </w:rPr>
      </w:pPr>
      <w:r w:rsidRPr="00642AC7">
        <w:rPr>
          <w:lang w:val="es-CR"/>
        </w:rPr>
        <w:t>En este contexto, las personas que usan drogas privadas de libertad enfrentan múltiples obstáculos para recibir atención adecuada, incluyendo la interrupción de tratamientos, la ausencia de servicios de reducción de daños y la limitada atención en salud mental</w:t>
      </w:r>
      <w:r w:rsidR="00411B61">
        <w:rPr>
          <w:lang w:val="es-CR"/>
        </w:rPr>
        <w:t xml:space="preserve"> (Gobierno de Uruguay 2024)</w:t>
      </w:r>
      <w:r w:rsidRPr="00642AC7">
        <w:rPr>
          <w:lang w:val="es-CR"/>
        </w:rPr>
        <w:t>.</w:t>
      </w:r>
      <w:r>
        <w:rPr>
          <w:lang w:val="es-CR"/>
        </w:rPr>
        <w:t xml:space="preserve"> </w:t>
      </w:r>
      <w:r w:rsidR="002179F7" w:rsidRPr="002179F7">
        <w:rPr>
          <w:lang w:val="es-CR"/>
        </w:rPr>
        <w:t xml:space="preserve">Desde una perspectiva de derechos humanos, el Estado tiene una obligación de garantizar la salud de las personas privadas de libertad, </w:t>
      </w:r>
      <w:r w:rsidR="00B41011">
        <w:rPr>
          <w:lang w:val="es-CR"/>
        </w:rPr>
        <w:t xml:space="preserve">que </w:t>
      </w:r>
      <w:r w:rsidR="002179F7" w:rsidRPr="002179F7">
        <w:rPr>
          <w:lang w:val="es-CR"/>
        </w:rPr>
        <w:t>dependen casi exclusivamente de los servicios estatales para satisfacer sus necesidades básicas.</w:t>
      </w:r>
    </w:p>
    <w:p w14:paraId="0FAA5FB3" w14:textId="77777777" w:rsidR="002179F7" w:rsidRPr="002179F7" w:rsidRDefault="002179F7" w:rsidP="00AC3413">
      <w:pPr>
        <w:pStyle w:val="Ttulo2"/>
      </w:pPr>
      <w:bookmarkStart w:id="11" w:name="_Toc218883263"/>
      <w:r w:rsidRPr="002179F7">
        <w:t>4.4 Impactos diferenciados en poblaciones en situación de vulnerabilidad</w:t>
      </w:r>
      <w:bookmarkEnd w:id="11"/>
    </w:p>
    <w:p w14:paraId="16260C34" w14:textId="62D85741" w:rsidR="002179F7" w:rsidRPr="002179F7" w:rsidRDefault="002179F7" w:rsidP="00800BBC">
      <w:pPr>
        <w:jc w:val="both"/>
        <w:rPr>
          <w:lang w:val="es-CR"/>
        </w:rPr>
      </w:pPr>
      <w:r w:rsidRPr="002179F7">
        <w:rPr>
          <w:lang w:val="es-CR"/>
        </w:rPr>
        <w:t>Las mujeres que usan drogas enfrentan formas específicas de estigmatización y criminalización que se entrecruzan con desigualdades de género estructurales. En Uruguay, las mujeres privadas de libertad por delitos vinculados a drogas suelen provenir de contextos de pobreza, asumir roles de cuidado no remunerados y haber experimentado violencia de género. La falta de servicios de salud con enfoque de género agrava estas desigualdades y limita el acceso a atención adecuada</w:t>
      </w:r>
      <w:r w:rsidR="00A94025">
        <w:rPr>
          <w:lang w:val="es-CR"/>
        </w:rPr>
        <w:t xml:space="preserve"> (Nómade 2023)</w:t>
      </w:r>
      <w:r w:rsidRPr="002179F7">
        <w:rPr>
          <w:lang w:val="es-CR"/>
        </w:rPr>
        <w:t>.</w:t>
      </w:r>
    </w:p>
    <w:p w14:paraId="4CAEE6E1" w14:textId="77777777" w:rsidR="002179F7" w:rsidRPr="002179F7" w:rsidRDefault="002179F7" w:rsidP="00800BBC">
      <w:pPr>
        <w:jc w:val="both"/>
        <w:rPr>
          <w:lang w:val="es-CR"/>
        </w:rPr>
      </w:pPr>
      <w:r w:rsidRPr="002179F7">
        <w:rPr>
          <w:lang w:val="es-CR"/>
        </w:rPr>
        <w:lastRenderedPageBreak/>
        <w:t>Las personas LGBTIQ+ usuarias de drogas enfrentan discriminación múltiple y la ausencia de servicios culturalmente adecuados. La falta de formación del personal de salud y de protocolos inclusivos genera barreras adicionales para el acceso a atención integral, particularmente en salud mental.</w:t>
      </w:r>
    </w:p>
    <w:p w14:paraId="6CDC2438" w14:textId="038D413B" w:rsidR="002179F7" w:rsidRDefault="002179F7" w:rsidP="00800BBC">
      <w:pPr>
        <w:jc w:val="both"/>
        <w:rPr>
          <w:lang w:val="es-CR"/>
        </w:rPr>
      </w:pPr>
      <w:r w:rsidRPr="002179F7">
        <w:rPr>
          <w:lang w:val="es-CR"/>
        </w:rPr>
        <w:t xml:space="preserve">Las personas en situación de calle, que presentan tasas elevadas de consumo problemático, enfrentan una exclusión casi total del sistema de salud formal. La </w:t>
      </w:r>
      <w:r w:rsidR="00D17368">
        <w:rPr>
          <w:lang w:val="es-CR"/>
        </w:rPr>
        <w:t xml:space="preserve">poca disponibilidad </w:t>
      </w:r>
      <w:r w:rsidRPr="002179F7">
        <w:rPr>
          <w:lang w:val="es-CR"/>
        </w:rPr>
        <w:t xml:space="preserve">de </w:t>
      </w:r>
      <w:r w:rsidR="00D17368">
        <w:rPr>
          <w:lang w:val="es-CR"/>
        </w:rPr>
        <w:t xml:space="preserve">dispositivos de </w:t>
      </w:r>
      <w:r w:rsidRPr="002179F7">
        <w:rPr>
          <w:lang w:val="es-CR"/>
        </w:rPr>
        <w:t xml:space="preserve">baja exigencia, </w:t>
      </w:r>
      <w:r w:rsidR="00FC3FFF">
        <w:rPr>
          <w:lang w:val="es-CR"/>
        </w:rPr>
        <w:t xml:space="preserve">ausencia de </w:t>
      </w:r>
      <w:r w:rsidRPr="002179F7">
        <w:rPr>
          <w:lang w:val="es-CR"/>
        </w:rPr>
        <w:t xml:space="preserve">políticas integrales de vivienda y estrategias </w:t>
      </w:r>
      <w:r w:rsidR="00FC3FFF">
        <w:rPr>
          <w:lang w:val="es-CR"/>
        </w:rPr>
        <w:t xml:space="preserve">a nivel comunitario (CERES 2024), </w:t>
      </w:r>
      <w:r w:rsidRPr="002179F7">
        <w:rPr>
          <w:lang w:val="es-CR"/>
        </w:rPr>
        <w:t>profundiza</w:t>
      </w:r>
      <w:r w:rsidR="00FC3FFF">
        <w:rPr>
          <w:lang w:val="es-CR"/>
        </w:rPr>
        <w:t>n</w:t>
      </w:r>
      <w:r w:rsidRPr="002179F7">
        <w:rPr>
          <w:lang w:val="es-CR"/>
        </w:rPr>
        <w:t xml:space="preserve"> la vulneración del derecho a la salud y perpetúa ciclos de exclusión</w:t>
      </w:r>
      <w:r w:rsidR="00D17368">
        <w:rPr>
          <w:lang w:val="es-CR"/>
        </w:rPr>
        <w:t xml:space="preserve"> </w:t>
      </w:r>
      <w:r w:rsidR="00FC3FFF">
        <w:rPr>
          <w:lang w:val="es-CR"/>
        </w:rPr>
        <w:t>hacia las personas que usan drogas, especialmente entre mujeres, jóvenes, personas privadas de libertad o en situación de calle</w:t>
      </w:r>
      <w:r w:rsidRPr="002179F7">
        <w:rPr>
          <w:lang w:val="es-CR"/>
        </w:rPr>
        <w:t>.</w:t>
      </w:r>
    </w:p>
    <w:p w14:paraId="2439486E" w14:textId="77777777" w:rsidR="00E158F3" w:rsidRPr="002179F7" w:rsidRDefault="00E158F3" w:rsidP="002179F7">
      <w:pPr>
        <w:rPr>
          <w:lang w:val="es-CR"/>
        </w:rPr>
      </w:pPr>
    </w:p>
    <w:p w14:paraId="7954D6B4" w14:textId="5EDE4804" w:rsidR="002179F7" w:rsidRPr="002179F7" w:rsidRDefault="00F16C05" w:rsidP="00EF5CC2">
      <w:pPr>
        <w:pStyle w:val="Ttulo1"/>
      </w:pPr>
      <w:bookmarkStart w:id="12" w:name="_Toc218883264"/>
      <w:r>
        <w:t>5</w:t>
      </w:r>
      <w:r w:rsidR="002179F7" w:rsidRPr="002179F7">
        <w:t>. Conclusiones</w:t>
      </w:r>
      <w:bookmarkEnd w:id="12"/>
    </w:p>
    <w:p w14:paraId="5A93FB5A" w14:textId="40D10209" w:rsidR="00EE47A5" w:rsidRDefault="00EE47A5" w:rsidP="00D406A7">
      <w:pPr>
        <w:jc w:val="both"/>
        <w:rPr>
          <w:lang w:val="es-CR"/>
        </w:rPr>
      </w:pPr>
      <w:r w:rsidRPr="002179F7">
        <w:rPr>
          <w:lang w:val="es-CR"/>
        </w:rPr>
        <w:t xml:space="preserve">Uruguay cuenta con un marco normativo que incorpora elementos progresivos en materia de salud, derechos humanos y políticas de drogas, incluyendo la regulación del cannabis, la legislación en salud mental y el reconocimiento formal de la reducción de daños como enfoque relevante. </w:t>
      </w:r>
      <w:r w:rsidR="00BD4BE7" w:rsidRPr="002179F7">
        <w:rPr>
          <w:lang w:val="es-CR"/>
        </w:rPr>
        <w:t>No obstante, persisten obstáculos estructurales que impiden el disfrute pleno y efectivo del derecho a la salud física y mental de las personas que usan drogas.</w:t>
      </w:r>
    </w:p>
    <w:p w14:paraId="755EC960" w14:textId="77777777" w:rsidR="002179F7" w:rsidRPr="002179F7" w:rsidRDefault="002179F7" w:rsidP="00D406A7">
      <w:pPr>
        <w:jc w:val="both"/>
        <w:rPr>
          <w:lang w:val="es-CR"/>
        </w:rPr>
      </w:pPr>
      <w:r w:rsidRPr="002179F7">
        <w:rPr>
          <w:lang w:val="es-CR"/>
        </w:rPr>
        <w:t>El estigma estructural e institucional continúa operando como un determinante social negativo de la salud, afectando de manera directa la aceptabilidad y accesibilidad de los servicios sanitarios. Las prácticas discriminatorias, los enfoques moralizantes y la persistencia de modelos abstencionistas excluyentes generan desconfianza hacia el sistema de salud y contribuyen a la desvinculación de las personas usuarias.</w:t>
      </w:r>
    </w:p>
    <w:p w14:paraId="6528EBC5" w14:textId="77777777" w:rsidR="00B7070A" w:rsidRDefault="002179F7" w:rsidP="00B7070A">
      <w:pPr>
        <w:jc w:val="both"/>
        <w:rPr>
          <w:lang w:val="es-CR"/>
        </w:rPr>
      </w:pPr>
      <w:r w:rsidRPr="002179F7">
        <w:rPr>
          <w:lang w:val="es-CR"/>
        </w:rPr>
        <w:t>La criminalización indirecta y el predominio de respuestas punitivas refuerzan procesos de exclusión social, incrementan la población penitenciaria y desalientan la búsqueda de atención sanitaria. Estas dinámicas son incompatibles con las obligaciones internacionales asumidas por el Estado uruguayo en virtud del PIDESC, en particular con el deber de respetar y proteger el derecho a la salud sin discriminación.</w:t>
      </w:r>
      <w:r w:rsidR="00B7070A">
        <w:rPr>
          <w:lang w:val="es-CR"/>
        </w:rPr>
        <w:t xml:space="preserve"> </w:t>
      </w:r>
    </w:p>
    <w:p w14:paraId="6367A741" w14:textId="3484C93D" w:rsidR="00B7070A" w:rsidRDefault="00B7070A" w:rsidP="00B7070A">
      <w:pPr>
        <w:jc w:val="both"/>
        <w:rPr>
          <w:lang w:val="es-CR"/>
        </w:rPr>
      </w:pPr>
      <w:r w:rsidRPr="002179F7">
        <w:rPr>
          <w:highlight w:val="yellow"/>
          <w:lang w:val="es-CR"/>
        </w:rPr>
        <w:t xml:space="preserve">No obstante, la política criminal y la intervención policial continúan focalizándose de manera desproporcionada en </w:t>
      </w:r>
      <w:r w:rsidRPr="007F34AD">
        <w:rPr>
          <w:highlight w:val="yellow"/>
          <w:lang w:val="es-CR"/>
        </w:rPr>
        <w:t>las</w:t>
      </w:r>
      <w:r w:rsidRPr="002179F7">
        <w:rPr>
          <w:highlight w:val="yellow"/>
          <w:lang w:val="es-CR"/>
        </w:rPr>
        <w:t xml:space="preserve"> sustancias </w:t>
      </w:r>
      <w:r w:rsidRPr="007F34AD">
        <w:rPr>
          <w:highlight w:val="yellow"/>
          <w:lang w:val="es-CR"/>
        </w:rPr>
        <w:t xml:space="preserve">ilícitas </w:t>
      </w:r>
      <w:r w:rsidRPr="002179F7">
        <w:rPr>
          <w:highlight w:val="yellow"/>
          <w:lang w:val="es-CR"/>
        </w:rPr>
        <w:t>y en poblaciones socialmente marginadas. Esta desalineación entre evidencia y política pública tiene consecuencias directas sobre el derecho a la salud, ya que refuerza el estigma, desalienta la búsqueda de atención y prioriza respuestas punitivas por sobre intervenciones sanitarias.</w:t>
      </w:r>
    </w:p>
    <w:p w14:paraId="50606B00" w14:textId="1A8841A2" w:rsidR="002179F7" w:rsidRPr="002179F7" w:rsidRDefault="002179F7" w:rsidP="00D406A7">
      <w:pPr>
        <w:jc w:val="both"/>
        <w:rPr>
          <w:lang w:val="es-CR"/>
        </w:rPr>
      </w:pPr>
    </w:p>
    <w:p w14:paraId="1DF5B40C" w14:textId="77777777" w:rsidR="002179F7" w:rsidRPr="002179F7" w:rsidRDefault="002179F7" w:rsidP="00D406A7">
      <w:pPr>
        <w:jc w:val="both"/>
        <w:rPr>
          <w:lang w:val="es-CR"/>
        </w:rPr>
      </w:pPr>
      <w:r w:rsidRPr="002179F7">
        <w:rPr>
          <w:lang w:val="es-CR"/>
        </w:rPr>
        <w:lastRenderedPageBreak/>
        <w:t>Las deficiencias en la provisión de servicios de prevención, tratamiento voluntario y reducción de daños, así como las brechas territoriales existentes, comprometen la disponibilidad, accesibilidad y calidad de la atención. Estas carencias afectan de manera desproporcionada a poblaciones en situación de mayor vulnerabilidad, profundizando desigualdades preexistentes y generando impactos negativos a largo plazo.</w:t>
      </w:r>
    </w:p>
    <w:p w14:paraId="7608EA0D" w14:textId="6859DD15" w:rsidR="002179F7" w:rsidRDefault="002179F7" w:rsidP="00D406A7">
      <w:pPr>
        <w:jc w:val="both"/>
        <w:rPr>
          <w:lang w:val="es-CR"/>
        </w:rPr>
      </w:pPr>
      <w:r w:rsidRPr="002179F7">
        <w:rPr>
          <w:lang w:val="es-CR"/>
        </w:rPr>
        <w:t xml:space="preserve">Desde la perspectiva del Artículo 12 del PIDESC, el Estado uruguayo tiene la obligación de adoptar medidas deliberadas, concretas y orientadas al uso del máximo de los recursos disponibles para garantizar el derecho a la salud. Ello requiere una revisión crítica del enfoque punitivo de la política de drogas, el fortalecimiento de los sistemas de salud y </w:t>
      </w:r>
      <w:r w:rsidR="00C205F0">
        <w:rPr>
          <w:lang w:val="es-CR"/>
        </w:rPr>
        <w:t>reducción de daños</w:t>
      </w:r>
      <w:r w:rsidRPr="002179F7">
        <w:rPr>
          <w:lang w:val="es-CR"/>
        </w:rPr>
        <w:t>, y la adopción de enfoques basados en evidencia científica, derechos humanos y participación social.</w:t>
      </w:r>
    </w:p>
    <w:p w14:paraId="6667D9A8" w14:textId="77777777" w:rsidR="00EF5CC2" w:rsidRPr="002179F7" w:rsidRDefault="00EF5CC2" w:rsidP="00D406A7">
      <w:pPr>
        <w:jc w:val="both"/>
        <w:rPr>
          <w:lang w:val="es-CR"/>
        </w:rPr>
      </w:pPr>
    </w:p>
    <w:p w14:paraId="7E82C2E5" w14:textId="42A0A588" w:rsidR="002179F7" w:rsidRPr="002179F7" w:rsidRDefault="00F16C05" w:rsidP="00EF5CC2">
      <w:pPr>
        <w:pStyle w:val="Ttulo1"/>
      </w:pPr>
      <w:bookmarkStart w:id="13" w:name="_Toc218883265"/>
      <w:r>
        <w:t>6</w:t>
      </w:r>
      <w:r w:rsidR="002179F7" w:rsidRPr="002179F7">
        <w:t>. Recomendaciones al Comité</w:t>
      </w:r>
      <w:bookmarkEnd w:id="13"/>
    </w:p>
    <w:p w14:paraId="797BBF7A" w14:textId="35B62552" w:rsidR="002179F7" w:rsidRPr="00C205F0" w:rsidRDefault="002179F7" w:rsidP="00C751B6">
      <w:pPr>
        <w:rPr>
          <w:lang w:val="es-CR"/>
        </w:rPr>
      </w:pPr>
      <w:r w:rsidRPr="002179F7">
        <w:rPr>
          <w:lang w:val="es-CR"/>
        </w:rPr>
        <w:t>Se recomienda que el Comité de Derechos Económicos, Sociales y Culturales inste al Estado uruguayo a adoptar las siguientes medidas</w:t>
      </w:r>
      <w:r w:rsidR="00AF0A0C">
        <w:rPr>
          <w:lang w:val="es-CR"/>
        </w:rPr>
        <w:t>:</w:t>
      </w:r>
      <w:r w:rsidR="00AF0A0C" w:rsidRPr="00C205F0">
        <w:rPr>
          <w:lang w:val="es-CR"/>
        </w:rPr>
        <w:t xml:space="preserve"> </w:t>
      </w:r>
    </w:p>
    <w:p w14:paraId="7237CD9C" w14:textId="4035C78B" w:rsidR="00F87753" w:rsidRPr="00C205F0" w:rsidRDefault="002179F7" w:rsidP="00CD34BF">
      <w:pPr>
        <w:pStyle w:val="Ttulo2"/>
        <w:numPr>
          <w:ilvl w:val="1"/>
          <w:numId w:val="20"/>
        </w:numPr>
        <w:spacing w:before="0"/>
      </w:pPr>
      <w:r w:rsidRPr="00C205F0">
        <w:t>Política de drogas y marco normativo</w:t>
      </w:r>
    </w:p>
    <w:p w14:paraId="19FB9464" w14:textId="77777777" w:rsidR="00CD34BF" w:rsidRPr="00CD34BF" w:rsidRDefault="002179F7" w:rsidP="00CD34BF">
      <w:pPr>
        <w:pStyle w:val="Prrafodelista"/>
        <w:numPr>
          <w:ilvl w:val="0"/>
          <w:numId w:val="19"/>
        </w:numPr>
        <w:spacing w:before="120"/>
        <w:ind w:left="714" w:hanging="357"/>
        <w:rPr>
          <w:b/>
          <w:bCs/>
          <w:lang w:val="es-CR"/>
        </w:rPr>
      </w:pPr>
      <w:r w:rsidRPr="001D4B51">
        <w:rPr>
          <w:lang w:val="es-CR"/>
        </w:rPr>
        <w:t>Adoptar una política de drogas estatal integral, basada en derechos humanos, con enfoque de salud pública y reducción de daños, que cuente con objetivos claros, indicadores verificables, plazos definidos y asignación presupuestaria suficiente.</w:t>
      </w:r>
    </w:p>
    <w:p w14:paraId="67C99B79" w14:textId="14519CDD" w:rsidR="001D4B51" w:rsidRPr="00CD34BF" w:rsidRDefault="002179F7" w:rsidP="00CD34BF">
      <w:pPr>
        <w:pStyle w:val="Prrafodelista"/>
        <w:numPr>
          <w:ilvl w:val="0"/>
          <w:numId w:val="19"/>
        </w:numPr>
        <w:spacing w:before="120"/>
        <w:ind w:left="714" w:hanging="357"/>
        <w:rPr>
          <w:b/>
          <w:bCs/>
          <w:lang w:val="es-CR"/>
        </w:rPr>
      </w:pPr>
      <w:r w:rsidRPr="00CD34BF">
        <w:rPr>
          <w:lang w:val="es-CR"/>
        </w:rPr>
        <w:t>Revisar la legislación penal en materia de drogas para garantizar la proporcionalidad de las penas, reducir el uso de la prisión preventiva y ampliar la aplicación de alternativas a la privación de libertad para delitos no violentos.</w:t>
      </w:r>
    </w:p>
    <w:p w14:paraId="28A15E1D" w14:textId="4AE489B8" w:rsidR="001D4B51" w:rsidRPr="001D4B51" w:rsidRDefault="001D4B51" w:rsidP="001D4B51">
      <w:pPr>
        <w:pStyle w:val="Prrafodelista"/>
        <w:numPr>
          <w:ilvl w:val="0"/>
          <w:numId w:val="19"/>
        </w:numPr>
        <w:spacing w:before="120"/>
        <w:ind w:left="714" w:hanging="357"/>
        <w:rPr>
          <w:lang w:val="es-CR"/>
        </w:rPr>
      </w:pPr>
      <w:r w:rsidRPr="001D4B51">
        <w:rPr>
          <w:lang w:val="es-CR"/>
        </w:rPr>
        <w:t>Fortalecer los sistemas de recopilación de datos, monitoreo, transparencia y rendición de cuentas en materia de políticas de drogas y derecho a la salud, desagregando la información por género, edad, territorio y situación socioeconómica</w:t>
      </w:r>
      <w:r w:rsidR="00CD34BF">
        <w:rPr>
          <w:lang w:val="es-CR"/>
        </w:rPr>
        <w:t xml:space="preserve"> de las personas que usan drogas</w:t>
      </w:r>
      <w:r w:rsidRPr="001D4B51">
        <w:rPr>
          <w:lang w:val="es-CR"/>
        </w:rPr>
        <w:t>.</w:t>
      </w:r>
    </w:p>
    <w:p w14:paraId="04BBA561" w14:textId="1FEB91B9" w:rsidR="002179F7" w:rsidRPr="002179F7" w:rsidRDefault="00E94F52" w:rsidP="00C751B6">
      <w:pPr>
        <w:pStyle w:val="Ttulo2"/>
        <w:spacing w:before="0"/>
      </w:pPr>
      <w:r>
        <w:t>6.2</w:t>
      </w:r>
      <w:r w:rsidR="002179F7" w:rsidRPr="002179F7">
        <w:t xml:space="preserve"> Derecho a la salud</w:t>
      </w:r>
    </w:p>
    <w:p w14:paraId="2DC42F97" w14:textId="66432733" w:rsidR="002179F7" w:rsidRPr="002179F7" w:rsidRDefault="002179F7" w:rsidP="00C751B6">
      <w:pPr>
        <w:numPr>
          <w:ilvl w:val="0"/>
          <w:numId w:val="18"/>
        </w:numPr>
        <w:rPr>
          <w:lang w:val="es-CR"/>
        </w:rPr>
      </w:pPr>
      <w:r w:rsidRPr="002179F7">
        <w:rPr>
          <w:lang w:val="es-CR"/>
        </w:rPr>
        <w:t>Garantizar la provisión adecuada, accesible y de calidad de servicios de prevención, tratamiento y reducción de daños en todo el territorio nacional, con especial atención a las zonas rurales y al interior del país.</w:t>
      </w:r>
    </w:p>
    <w:p w14:paraId="5A6273EB" w14:textId="77777777" w:rsidR="002179F7" w:rsidRPr="002179F7" w:rsidRDefault="002179F7" w:rsidP="00C751B6">
      <w:pPr>
        <w:numPr>
          <w:ilvl w:val="0"/>
          <w:numId w:val="18"/>
        </w:numPr>
        <w:rPr>
          <w:lang w:val="es-CR"/>
        </w:rPr>
      </w:pPr>
      <w:r w:rsidRPr="002179F7">
        <w:rPr>
          <w:lang w:val="es-CR"/>
        </w:rPr>
        <w:t>Fortalecer la integración efectiva de los servicios de salud mental y de atención a consumos problemáticos dentro del Sistema Nacional Integrado de Salud, asegurando continuidad de cuidados, atención comunitaria y enfoques no discriminatorios.</w:t>
      </w:r>
    </w:p>
    <w:p w14:paraId="0E05E3D4" w14:textId="77777777" w:rsidR="002179F7" w:rsidRPr="002179F7" w:rsidRDefault="002179F7" w:rsidP="00C751B6">
      <w:pPr>
        <w:numPr>
          <w:ilvl w:val="0"/>
          <w:numId w:val="18"/>
        </w:numPr>
        <w:rPr>
          <w:lang w:val="es-CR"/>
        </w:rPr>
      </w:pPr>
      <w:r w:rsidRPr="002179F7">
        <w:rPr>
          <w:lang w:val="es-CR"/>
        </w:rPr>
        <w:lastRenderedPageBreak/>
        <w:t>Asegurar la implementación plena y efectiva de las políticas vinculadas al cannabis medicinal, garantizando acceso equitativo, asequible y seguro a tratamientos, así como mecanismos robustos de farmacovigilancia.</w:t>
      </w:r>
    </w:p>
    <w:p w14:paraId="1301ED3F" w14:textId="52C636EC" w:rsidR="002179F7" w:rsidRPr="002179F7" w:rsidRDefault="00E94F52" w:rsidP="00C751B6">
      <w:pPr>
        <w:pStyle w:val="Ttulo2"/>
        <w:spacing w:before="0"/>
      </w:pPr>
      <w:r>
        <w:t xml:space="preserve">6.3 </w:t>
      </w:r>
      <w:r w:rsidR="002179F7" w:rsidRPr="002179F7">
        <w:t>Estigma y discriminación</w:t>
      </w:r>
    </w:p>
    <w:p w14:paraId="328B176E" w14:textId="4FB2E99B" w:rsidR="00596589" w:rsidRDefault="00596589" w:rsidP="00C751B6">
      <w:pPr>
        <w:numPr>
          <w:ilvl w:val="0"/>
          <w:numId w:val="11"/>
        </w:numPr>
        <w:rPr>
          <w:lang w:val="es-CR"/>
        </w:rPr>
      </w:pPr>
      <w:r>
        <w:rPr>
          <w:lang w:val="es-CR"/>
        </w:rPr>
        <w:t>C</w:t>
      </w:r>
      <w:r w:rsidRPr="00596589">
        <w:rPr>
          <w:lang w:val="es-CR"/>
        </w:rPr>
        <w:t>rear y fortalecer espacios institucionales de participación política que garanticen la participación significativa de las personas que usan drogas y de las organizaciones de la sociedad civil que las representan en el diseño, implementación y evaluación de políticas de drogas, salud y derechos humanos.</w:t>
      </w:r>
    </w:p>
    <w:p w14:paraId="4BF74A53" w14:textId="00DCD2AE" w:rsidR="002179F7" w:rsidRPr="002179F7" w:rsidRDefault="002179F7" w:rsidP="00C751B6">
      <w:pPr>
        <w:numPr>
          <w:ilvl w:val="0"/>
          <w:numId w:val="11"/>
        </w:numPr>
        <w:rPr>
          <w:lang w:val="es-CR"/>
        </w:rPr>
      </w:pPr>
      <w:r w:rsidRPr="002179F7">
        <w:rPr>
          <w:lang w:val="es-CR"/>
        </w:rPr>
        <w:t>Adoptar medidas legislativas, administrativas y educativas para prevenir y erradicar el estigma y la discriminación hacia las personas que usan drogas en los servicios de salud, el sistema de justicia y otros ámbitos institucionales, incluyendo programas de formación obligatoria para funcionarios públicos.</w:t>
      </w:r>
    </w:p>
    <w:p w14:paraId="68EB3415" w14:textId="1802EAC5" w:rsidR="002179F7" w:rsidRPr="002179F7" w:rsidRDefault="00577264" w:rsidP="00C751B6">
      <w:pPr>
        <w:pStyle w:val="Ttulo2"/>
        <w:spacing w:before="0"/>
      </w:pPr>
      <w:r>
        <w:t xml:space="preserve">6.4 </w:t>
      </w:r>
      <w:r w:rsidR="002179F7" w:rsidRPr="002179F7">
        <w:t>Poblaciones en situación de vulnerabilidad</w:t>
      </w:r>
    </w:p>
    <w:p w14:paraId="2239F2FB" w14:textId="77777777" w:rsidR="002179F7" w:rsidRPr="002179F7" w:rsidRDefault="002179F7" w:rsidP="00A216AD">
      <w:pPr>
        <w:numPr>
          <w:ilvl w:val="0"/>
          <w:numId w:val="12"/>
        </w:numPr>
        <w:rPr>
          <w:lang w:val="es-CR"/>
        </w:rPr>
      </w:pPr>
      <w:r w:rsidRPr="002179F7">
        <w:rPr>
          <w:lang w:val="es-CR"/>
        </w:rPr>
        <w:t>Desarrollar e implementar políticas y servicios específicos para mujeres, personas LGBTIQ+ y personas en situación de calle que usan drogas, incorporando enfoques de género, interseccionales y culturalmente pertinentes.</w:t>
      </w:r>
    </w:p>
    <w:p w14:paraId="5A240740" w14:textId="69BBE242" w:rsidR="00BC710C" w:rsidRDefault="002179F7" w:rsidP="00192A7E">
      <w:pPr>
        <w:numPr>
          <w:ilvl w:val="0"/>
          <w:numId w:val="12"/>
        </w:numPr>
        <w:rPr>
          <w:lang w:val="es-CR"/>
        </w:rPr>
      </w:pPr>
      <w:r w:rsidRPr="002179F7">
        <w:rPr>
          <w:lang w:val="es-CR"/>
        </w:rPr>
        <w:t>Garantizar el derecho a la salud de las personas privadas de libertad, asegurando el acceso a servicios adecuados de atención a consumos problemáticos, programas de reducción de daños y continuidad de cuidados tras la liberación.</w:t>
      </w:r>
    </w:p>
    <w:p w14:paraId="2E1CD918" w14:textId="77777777" w:rsidR="00D96DC8" w:rsidRPr="00D96DC8" w:rsidRDefault="00D96DC8" w:rsidP="00D96DC8">
      <w:pPr>
        <w:ind w:left="720"/>
        <w:rPr>
          <w:lang w:val="es-CR"/>
        </w:rPr>
      </w:pPr>
    </w:p>
    <w:p w14:paraId="2CD4B4B5" w14:textId="6ABD7478" w:rsidR="00F87753" w:rsidRDefault="00F16C05" w:rsidP="005E239E">
      <w:pPr>
        <w:pStyle w:val="Ttulo1"/>
      </w:pPr>
      <w:bookmarkStart w:id="14" w:name="_Toc218883266"/>
      <w:r>
        <w:t>7</w:t>
      </w:r>
      <w:r w:rsidR="005E239E">
        <w:t xml:space="preserve">. </w:t>
      </w:r>
      <w:r w:rsidR="00F87753">
        <w:t>Bibliog</w:t>
      </w:r>
      <w:r w:rsidR="005E239E">
        <w:t>rafía</w:t>
      </w:r>
      <w:bookmarkEnd w:id="14"/>
    </w:p>
    <w:p w14:paraId="48A23870" w14:textId="2092BC0C" w:rsidR="003B02FD" w:rsidRDefault="003B02FD" w:rsidP="002C6DD7">
      <w:pPr>
        <w:spacing w:before="120" w:line="240" w:lineRule="auto"/>
        <w:rPr>
          <w:lang w:val="es-CR"/>
        </w:rPr>
      </w:pPr>
      <w:bookmarkStart w:id="15" w:name="_Hlk219242492"/>
      <w:r w:rsidRPr="003B02FD">
        <w:rPr>
          <w:lang w:val="es-CR"/>
        </w:rPr>
        <w:t>Amnistía Internacional. (</w:t>
      </w:r>
      <w:r>
        <w:rPr>
          <w:lang w:val="es-CR"/>
        </w:rPr>
        <w:t>2025</w:t>
      </w:r>
      <w:r w:rsidRPr="003B02FD">
        <w:rPr>
          <w:lang w:val="es-CR"/>
        </w:rPr>
        <w:t xml:space="preserve">.). </w:t>
      </w:r>
      <w:r w:rsidRPr="003B02FD">
        <w:rPr>
          <w:i/>
          <w:iCs/>
          <w:lang w:val="es-CR"/>
        </w:rPr>
        <w:t>Uruguay: Informe sobre derechos humanos</w:t>
      </w:r>
      <w:r w:rsidRPr="003B02FD">
        <w:rPr>
          <w:lang w:val="es-CR"/>
        </w:rPr>
        <w:t xml:space="preserve">. Recuperado el </w:t>
      </w:r>
      <w:r w:rsidR="00C205F0">
        <w:rPr>
          <w:lang w:val="es-CR"/>
        </w:rPr>
        <w:t xml:space="preserve">12 de diciembre </w:t>
      </w:r>
      <w:r w:rsidRPr="003B02FD">
        <w:rPr>
          <w:lang w:val="es-CR"/>
        </w:rPr>
        <w:t>de</w:t>
      </w:r>
      <w:r w:rsidR="00C205F0">
        <w:rPr>
          <w:lang w:val="es-CR"/>
        </w:rPr>
        <w:t xml:space="preserve"> 2025</w:t>
      </w:r>
      <w:r w:rsidRPr="003B02FD">
        <w:rPr>
          <w:lang w:val="es-CR"/>
        </w:rPr>
        <w:t xml:space="preserve"> </w:t>
      </w:r>
      <w:hyperlink r:id="rId11" w:tgtFrame="_new" w:history="1">
        <w:r w:rsidRPr="003B02FD">
          <w:rPr>
            <w:rStyle w:val="Hipervnculo"/>
            <w:lang w:val="es-CR"/>
          </w:rPr>
          <w:t>https://www.amnesty.org/es/location/americas/south-america/uruguay/report-uruguay/</w:t>
        </w:r>
      </w:hyperlink>
    </w:p>
    <w:bookmarkEnd w:id="15"/>
    <w:p w14:paraId="1900868A" w14:textId="5D63618D" w:rsidR="00BC6D88" w:rsidRDefault="00BC6D88" w:rsidP="002C6DD7">
      <w:pPr>
        <w:spacing w:before="120" w:line="240" w:lineRule="auto"/>
        <w:rPr>
          <w:lang w:val="es-CR"/>
        </w:rPr>
      </w:pPr>
      <w:proofErr w:type="spellStart"/>
      <w:r>
        <w:rPr>
          <w:lang w:val="es-CR"/>
        </w:rPr>
        <w:t>Bardazano</w:t>
      </w:r>
      <w:proofErr w:type="spellEnd"/>
      <w:r w:rsidRPr="00BC6D88">
        <w:rPr>
          <w:lang w:val="es-CR"/>
        </w:rPr>
        <w:t xml:space="preserve">, </w:t>
      </w:r>
      <w:r w:rsidR="001E6770">
        <w:rPr>
          <w:lang w:val="es-CR"/>
        </w:rPr>
        <w:t>G</w:t>
      </w:r>
      <w:r w:rsidRPr="00BC6D88">
        <w:rPr>
          <w:lang w:val="es-CR"/>
        </w:rPr>
        <w:t>.</w:t>
      </w:r>
      <w:r>
        <w:rPr>
          <w:lang w:val="es-CR"/>
        </w:rPr>
        <w:t xml:space="preserve"> y</w:t>
      </w:r>
      <w:r w:rsidRPr="00BC6D88">
        <w:rPr>
          <w:lang w:val="es-CR"/>
        </w:rPr>
        <w:t xml:space="preserve"> </w:t>
      </w:r>
      <w:proofErr w:type="spellStart"/>
      <w:r w:rsidRPr="00BC6D88">
        <w:rPr>
          <w:lang w:val="es-CR"/>
        </w:rPr>
        <w:t>Salamano</w:t>
      </w:r>
      <w:proofErr w:type="spellEnd"/>
      <w:r w:rsidRPr="00BC6D88">
        <w:rPr>
          <w:lang w:val="es-CR"/>
        </w:rPr>
        <w:t xml:space="preserve">, I. (2016). </w:t>
      </w:r>
      <w:r w:rsidRPr="00C54A52">
        <w:rPr>
          <w:i/>
          <w:iCs/>
          <w:lang w:val="es-CR"/>
        </w:rPr>
        <w:t>Por el lado más fino: privación de libertad y legislación sobre drogas en Uruguay</w:t>
      </w:r>
      <w:r w:rsidRPr="00BC6D88">
        <w:rPr>
          <w:lang w:val="es-CR"/>
        </w:rPr>
        <w:t>.</w:t>
      </w:r>
      <w:r w:rsidR="001E6770">
        <w:rPr>
          <w:lang w:val="es-CR"/>
        </w:rPr>
        <w:t xml:space="preserve"> </w:t>
      </w:r>
      <w:r w:rsidR="00C54A52">
        <w:rPr>
          <w:lang w:val="es-CR"/>
        </w:rPr>
        <w:t xml:space="preserve">Colectivo de Estudios de Drogas y Derecho (CEDD) </w:t>
      </w:r>
      <w:hyperlink r:id="rId12" w:history="1">
        <w:r w:rsidR="00C54A52" w:rsidRPr="002B22DE">
          <w:rPr>
            <w:rStyle w:val="Hipervnculo"/>
            <w:lang w:val="es-CR"/>
          </w:rPr>
          <w:t>https://www.dejusticia.org/wp-content/uploads/2023/10/Por-el-lado-mas-fino-Privacion-de-libertad-y-legislacion-sobre-drogas-en-Uruguay.pdf</w:t>
        </w:r>
      </w:hyperlink>
      <w:r w:rsidR="00C54A52">
        <w:rPr>
          <w:lang w:val="es-CR"/>
        </w:rPr>
        <w:t xml:space="preserve"> </w:t>
      </w:r>
    </w:p>
    <w:p w14:paraId="30C75713" w14:textId="4622680A" w:rsidR="00F33836" w:rsidRPr="00885D5A" w:rsidRDefault="00885D5A" w:rsidP="002C6DD7">
      <w:pPr>
        <w:spacing w:before="120" w:line="240" w:lineRule="auto"/>
        <w:rPr>
          <w:lang w:val="es-CR"/>
        </w:rPr>
      </w:pPr>
      <w:proofErr w:type="spellStart"/>
      <w:r>
        <w:rPr>
          <w:lang w:val="es-CR"/>
        </w:rPr>
        <w:t>Bardazano</w:t>
      </w:r>
      <w:proofErr w:type="spellEnd"/>
      <w:r>
        <w:rPr>
          <w:lang w:val="es-CR"/>
        </w:rPr>
        <w:t xml:space="preserve">, G. (2014). </w:t>
      </w:r>
      <w:r w:rsidRPr="00885D5A">
        <w:rPr>
          <w:i/>
          <w:iCs/>
          <w:lang w:val="es-CR"/>
        </w:rPr>
        <w:t>Respuestas estatales a los usuarios de sustancias psicoactivas en Uruguay: entre la alternativa y la profundización de la guerra contra las drogas</w:t>
      </w:r>
      <w:r>
        <w:rPr>
          <w:i/>
          <w:iCs/>
          <w:lang w:val="es-CR"/>
        </w:rPr>
        <w:t>.</w:t>
      </w:r>
      <w:r w:rsidRPr="00885D5A">
        <w:rPr>
          <w:lang w:val="es-CR"/>
        </w:rPr>
        <w:t xml:space="preserve"> </w:t>
      </w:r>
      <w:r>
        <w:rPr>
          <w:lang w:val="es-CR"/>
        </w:rPr>
        <w:t xml:space="preserve">Colectivo de Estudios de Drogas y Derecho (CEDD) </w:t>
      </w:r>
      <w:hyperlink r:id="rId13" w:history="1">
        <w:r w:rsidR="00132B14" w:rsidRPr="002B22DE">
          <w:rPr>
            <w:rStyle w:val="Hipervnculo"/>
            <w:lang w:val="es-CR"/>
          </w:rPr>
          <w:t>https://studylib.es/doc/5497852/respuestas-estatales-a-los-usuarios-de-sustancias</w:t>
        </w:r>
      </w:hyperlink>
      <w:r w:rsidR="00132B14">
        <w:rPr>
          <w:lang w:val="es-CR"/>
        </w:rPr>
        <w:t xml:space="preserve"> </w:t>
      </w:r>
    </w:p>
    <w:p w14:paraId="02ED4FE7" w14:textId="49FA0E39" w:rsidR="001539B7" w:rsidRDefault="001539B7" w:rsidP="002C6DD7">
      <w:pPr>
        <w:spacing w:before="120" w:line="240" w:lineRule="auto"/>
        <w:rPr>
          <w:lang w:val="es-CR"/>
        </w:rPr>
      </w:pPr>
      <w:r w:rsidRPr="001539B7">
        <w:rPr>
          <w:lang w:val="es-CR"/>
        </w:rPr>
        <w:lastRenderedPageBreak/>
        <w:t xml:space="preserve">Cámara de Representantes del Uruguay (2023). </w:t>
      </w:r>
      <w:r w:rsidRPr="001539B7">
        <w:rPr>
          <w:i/>
          <w:iCs/>
          <w:lang w:val="es-CR"/>
        </w:rPr>
        <w:t>Cámara de Empresas Cannabis Medicinal (CECAM) y Asociación Uruguaya de Productores de Cannabis: Versión taquigráfica de la reunión realizada el 1.º de junio de 2023</w:t>
      </w:r>
      <w:r w:rsidRPr="001539B7">
        <w:rPr>
          <w:lang w:val="es-CR"/>
        </w:rPr>
        <w:t xml:space="preserve"> (Departamento Procesadora de Documentos, </w:t>
      </w:r>
      <w:proofErr w:type="spellStart"/>
      <w:r w:rsidRPr="001539B7">
        <w:rPr>
          <w:lang w:val="es-CR"/>
        </w:rPr>
        <w:t>Nº</w:t>
      </w:r>
      <w:proofErr w:type="spellEnd"/>
      <w:r w:rsidRPr="001539B7">
        <w:rPr>
          <w:lang w:val="es-CR"/>
        </w:rPr>
        <w:t xml:space="preserve"> 1376 de 2023, XLIX Legislatura, Comisión Especial con fines legislativos de transparencia, lucha contra el lavado de activos y el crimen organizado). </w:t>
      </w:r>
      <w:hyperlink r:id="rId14" w:tgtFrame="_new" w:history="1">
        <w:r w:rsidRPr="008C0465">
          <w:rPr>
            <w:rStyle w:val="Hipervnculo"/>
            <w:lang w:val="es-CR"/>
          </w:rPr>
          <w:t>http://www.diputados.gub.uy/wp-content/uploads/2023/07/1376.pdf</w:t>
        </w:r>
      </w:hyperlink>
    </w:p>
    <w:p w14:paraId="0EAA2C7B" w14:textId="1679A0E9" w:rsidR="005C4B3D" w:rsidRDefault="005C4B3D" w:rsidP="002C6DD7">
      <w:pPr>
        <w:spacing w:before="120" w:line="240" w:lineRule="auto"/>
        <w:rPr>
          <w:lang w:val="es-CR"/>
        </w:rPr>
      </w:pPr>
      <w:r w:rsidRPr="005C4B3D">
        <w:rPr>
          <w:lang w:val="es-CR"/>
        </w:rPr>
        <w:t>Centro de Estudios Sociales (</w:t>
      </w:r>
      <w:r>
        <w:rPr>
          <w:lang w:val="es-CR"/>
        </w:rPr>
        <w:t>202</w:t>
      </w:r>
      <w:r w:rsidR="00A34976">
        <w:rPr>
          <w:lang w:val="es-CR"/>
        </w:rPr>
        <w:t>4</w:t>
      </w:r>
      <w:r w:rsidRPr="005C4B3D">
        <w:rPr>
          <w:lang w:val="es-CR"/>
        </w:rPr>
        <w:t xml:space="preserve">). </w:t>
      </w:r>
      <w:r w:rsidRPr="005C4B3D">
        <w:rPr>
          <w:i/>
          <w:iCs/>
          <w:lang w:val="es-CR"/>
        </w:rPr>
        <w:t>El consumo problemático de drogas en Uruguay: alcohol, cannabis y cocaína</w:t>
      </w:r>
      <w:r w:rsidRPr="005C4B3D">
        <w:rPr>
          <w:lang w:val="es-CR"/>
        </w:rPr>
        <w:t xml:space="preserve">. </w:t>
      </w:r>
      <w:r w:rsidR="001171DA">
        <w:rPr>
          <w:lang w:val="es-CR"/>
        </w:rPr>
        <w:t xml:space="preserve">Consultado el 5 de enero 2026 </w:t>
      </w:r>
      <w:hyperlink r:id="rId15" w:tgtFrame="_new" w:history="1">
        <w:r w:rsidRPr="005C4B3D">
          <w:rPr>
            <w:rStyle w:val="Hipervnculo"/>
            <w:lang w:val="es-CR"/>
          </w:rPr>
          <w:t>https://ceres.uy/index.php/estudios/ficha_estudio/145</w:t>
        </w:r>
      </w:hyperlink>
    </w:p>
    <w:p w14:paraId="03C19FC4" w14:textId="080EA418" w:rsidR="00021484" w:rsidRDefault="00021484" w:rsidP="002C6DD7">
      <w:pPr>
        <w:spacing w:before="120" w:line="240" w:lineRule="auto"/>
        <w:rPr>
          <w:lang w:val="es-CR"/>
        </w:rPr>
      </w:pPr>
      <w:r w:rsidRPr="00021484">
        <w:rPr>
          <w:lang w:val="es-CR"/>
        </w:rPr>
        <w:t xml:space="preserve">Gobierno de Uruguay (s. f.). </w:t>
      </w:r>
      <w:r w:rsidRPr="00021484">
        <w:rPr>
          <w:i/>
          <w:iCs/>
          <w:lang w:val="es-CR"/>
        </w:rPr>
        <w:t>Visualizador de datos — Fiscalía: Datos</w:t>
      </w:r>
      <w:r w:rsidR="00633734">
        <w:rPr>
          <w:i/>
          <w:iCs/>
          <w:lang w:val="es-CR"/>
        </w:rPr>
        <w:t xml:space="preserve"> </w:t>
      </w:r>
      <w:r w:rsidR="00633734" w:rsidRPr="00021484">
        <w:rPr>
          <w:i/>
          <w:iCs/>
          <w:lang w:val="es-CR"/>
        </w:rPr>
        <w:t>Fiscalía</w:t>
      </w:r>
      <w:r w:rsidRPr="00021484">
        <w:rPr>
          <w:lang w:val="es-CR"/>
        </w:rPr>
        <w:t xml:space="preserve">. </w:t>
      </w:r>
      <w:r>
        <w:rPr>
          <w:lang w:val="es-CR"/>
        </w:rPr>
        <w:t xml:space="preserve">Consultado el 15 de </w:t>
      </w:r>
      <w:r w:rsidR="00400BE1">
        <w:rPr>
          <w:lang w:val="es-CR"/>
        </w:rPr>
        <w:t>septiembre de</w:t>
      </w:r>
      <w:r>
        <w:rPr>
          <w:lang w:val="es-CR"/>
        </w:rPr>
        <w:t xml:space="preserve"> 2025</w:t>
      </w:r>
      <w:r w:rsidR="00400BE1">
        <w:rPr>
          <w:lang w:val="es-CR"/>
        </w:rPr>
        <w:t>.</w:t>
      </w:r>
      <w:r>
        <w:rPr>
          <w:lang w:val="es-CR"/>
        </w:rPr>
        <w:t xml:space="preserve"> </w:t>
      </w:r>
      <w:hyperlink r:id="rId16" w:tgtFrame="_new" w:history="1">
        <w:r w:rsidRPr="00021484">
          <w:rPr>
            <w:rStyle w:val="Hipervnculo"/>
            <w:lang w:val="es-CR"/>
          </w:rPr>
          <w:t>https://visualizador.gobiernoabierto.gub.uy/visualizador/api/repos/%3Apublic%3Aorganismos%3Afiscalia%3ADatos_fiscalia.wcdf/generatedContent</w:t>
        </w:r>
      </w:hyperlink>
    </w:p>
    <w:p w14:paraId="31A2123D" w14:textId="50EBFB25" w:rsidR="00395D6A" w:rsidRDefault="00395D6A" w:rsidP="002C6DD7">
      <w:pPr>
        <w:spacing w:before="120" w:line="240" w:lineRule="auto"/>
        <w:rPr>
          <w:lang w:val="es-CR"/>
        </w:rPr>
      </w:pPr>
      <w:r w:rsidRPr="00395D6A">
        <w:rPr>
          <w:lang w:val="es-CR"/>
        </w:rPr>
        <w:t xml:space="preserve">Gobierno de Uruguay (2025). </w:t>
      </w:r>
      <w:r w:rsidR="00955158" w:rsidRPr="00955158">
        <w:rPr>
          <w:i/>
          <w:iCs/>
          <w:lang w:val="es-CR"/>
        </w:rPr>
        <w:t>Complemento del Diagnóstico general de la criminalidad y la violencia en Uruguay: Facilitadores, respuesta penal y percepción ciudadana</w:t>
      </w:r>
      <w:r w:rsidR="00955158">
        <w:rPr>
          <w:i/>
          <w:iCs/>
          <w:lang w:val="es-CR"/>
        </w:rPr>
        <w:t xml:space="preserve"> </w:t>
      </w:r>
      <w:r w:rsidRPr="00395D6A">
        <w:rPr>
          <w:i/>
          <w:iCs/>
          <w:lang w:val="es-CR"/>
        </w:rPr>
        <w:t>– Plan Nacional de Seguridad Pública (PNSP 2025)</w:t>
      </w:r>
      <w:r w:rsidRPr="00395D6A">
        <w:rPr>
          <w:lang w:val="es-CR"/>
        </w:rPr>
        <w:t>.</w:t>
      </w:r>
      <w:r>
        <w:rPr>
          <w:lang w:val="es-CR"/>
        </w:rPr>
        <w:t xml:space="preserve"> </w:t>
      </w:r>
      <w:r w:rsidR="0059402F" w:rsidRPr="00C205F0">
        <w:rPr>
          <w:lang w:val="es-CR"/>
        </w:rPr>
        <w:t>Montevideo, Uruguay</w:t>
      </w:r>
      <w:r w:rsidRPr="00C205F0">
        <w:rPr>
          <w:lang w:val="es-CR"/>
        </w:rPr>
        <w:t xml:space="preserve"> </w:t>
      </w:r>
      <w:hyperlink r:id="rId17" w:tgtFrame="_new" w:history="1">
        <w:r w:rsidRPr="00C205F0">
          <w:rPr>
            <w:rStyle w:val="Hipervnculo"/>
            <w:lang w:val="es-CR"/>
          </w:rPr>
          <w:t>https://www.gub.uy/sites/gubuy/files/2025-10/2_Complemento%20Diagnostico%20%28PNSP%202025%29.pdf</w:t>
        </w:r>
      </w:hyperlink>
    </w:p>
    <w:p w14:paraId="79980800" w14:textId="77104E89" w:rsidR="00680CEA" w:rsidRPr="00930935" w:rsidRDefault="00680CEA" w:rsidP="002C6DD7">
      <w:pPr>
        <w:spacing w:before="120" w:line="240" w:lineRule="auto"/>
        <w:rPr>
          <w:lang w:val="es-CR"/>
        </w:rPr>
      </w:pPr>
      <w:r>
        <w:rPr>
          <w:lang w:val="es-CR"/>
        </w:rPr>
        <w:t xml:space="preserve">Gobierno de Uruguay (2024). </w:t>
      </w:r>
      <w:r w:rsidRPr="00680CEA">
        <w:rPr>
          <w:i/>
          <w:iCs/>
          <w:lang w:val="es-CR"/>
        </w:rPr>
        <w:t>Plan nacional para el abordaje del uso problemático de drogas en personas adultas sujetas a sanciones penales en Uruguay</w:t>
      </w:r>
      <w:r>
        <w:rPr>
          <w:i/>
          <w:iCs/>
          <w:lang w:val="es-CR"/>
        </w:rPr>
        <w:t>.</w:t>
      </w:r>
      <w:r w:rsidR="00930935">
        <w:rPr>
          <w:i/>
          <w:iCs/>
          <w:lang w:val="es-CR"/>
        </w:rPr>
        <w:t xml:space="preserve"> </w:t>
      </w:r>
      <w:r w:rsidR="00930935">
        <w:rPr>
          <w:lang w:val="es-CR"/>
        </w:rPr>
        <w:t xml:space="preserve">Montevideo, Uruguay. </w:t>
      </w:r>
      <w:hyperlink r:id="rId18" w:history="1">
        <w:r w:rsidR="00930935" w:rsidRPr="002B22DE">
          <w:rPr>
            <w:rStyle w:val="Hipervnculo"/>
            <w:lang w:val="es-CR"/>
          </w:rPr>
          <w:t>https://www.gub.uy/junta-nacional-drogas/sites/junta-nacional-drogas/files/documentos/publicaciones/Plan%20nacional%20para%20el%20abordaje%20del%20UPD%20en%20personas%20sujetas%20a%20sanciones%20penales%20%282%29.pdf</w:t>
        </w:r>
      </w:hyperlink>
      <w:r w:rsidR="00930935">
        <w:rPr>
          <w:lang w:val="es-CR"/>
        </w:rPr>
        <w:t xml:space="preserve"> </w:t>
      </w:r>
    </w:p>
    <w:p w14:paraId="4C600451" w14:textId="6D753DE4" w:rsidR="009F21CC" w:rsidRDefault="009F21CC" w:rsidP="00C65258">
      <w:pPr>
        <w:spacing w:before="120" w:line="240" w:lineRule="auto"/>
        <w:rPr>
          <w:lang w:val="es-CR"/>
        </w:rPr>
      </w:pPr>
      <w:r w:rsidRPr="009F21CC">
        <w:rPr>
          <w:lang w:val="es-CR"/>
        </w:rPr>
        <w:t xml:space="preserve">Instituto de Regulación y Control del Cannabis (IRCCA). (s. f.). </w:t>
      </w:r>
      <w:r w:rsidRPr="009F21CC">
        <w:rPr>
          <w:i/>
          <w:iCs/>
          <w:lang w:val="es-CR"/>
        </w:rPr>
        <w:t>IRCCA</w:t>
      </w:r>
      <w:r w:rsidRPr="009F21CC">
        <w:rPr>
          <w:lang w:val="es-CR"/>
        </w:rPr>
        <w:t xml:space="preserve">. Recuperado el </w:t>
      </w:r>
      <w:r>
        <w:rPr>
          <w:lang w:val="es-CR"/>
        </w:rPr>
        <w:t>5</w:t>
      </w:r>
      <w:r w:rsidRPr="009F21CC">
        <w:rPr>
          <w:lang w:val="es-CR"/>
        </w:rPr>
        <w:t xml:space="preserve"> de </w:t>
      </w:r>
      <w:r>
        <w:rPr>
          <w:lang w:val="es-CR"/>
        </w:rPr>
        <w:t xml:space="preserve">noviembre </w:t>
      </w:r>
      <w:r w:rsidRPr="009F21CC">
        <w:rPr>
          <w:lang w:val="es-CR"/>
        </w:rPr>
        <w:t>de 202</w:t>
      </w:r>
      <w:r>
        <w:rPr>
          <w:lang w:val="es-CR"/>
        </w:rPr>
        <w:t xml:space="preserve">5. </w:t>
      </w:r>
      <w:r w:rsidRPr="009F21CC">
        <w:rPr>
          <w:lang w:val="es-CR"/>
        </w:rPr>
        <w:t xml:space="preserve"> </w:t>
      </w:r>
      <w:hyperlink r:id="rId19" w:tgtFrame="_new" w:history="1">
        <w:r w:rsidRPr="009F21CC">
          <w:rPr>
            <w:rStyle w:val="Hipervnculo"/>
            <w:lang w:val="es-CR"/>
          </w:rPr>
          <w:t>https://ircca.gub.uy/</w:t>
        </w:r>
      </w:hyperlink>
    </w:p>
    <w:p w14:paraId="425CDEDB" w14:textId="0173A3D0" w:rsidR="00C65258" w:rsidRPr="00C205F0" w:rsidRDefault="00C65258" w:rsidP="00C65258">
      <w:pPr>
        <w:spacing w:before="120" w:line="240" w:lineRule="auto"/>
        <w:rPr>
          <w:lang w:val="es-CR"/>
        </w:rPr>
      </w:pPr>
      <w:r w:rsidRPr="00C65258">
        <w:rPr>
          <w:lang w:val="es-CR"/>
        </w:rPr>
        <w:t>Junta Nacional de Drogas (</w:t>
      </w:r>
      <w:r>
        <w:rPr>
          <w:lang w:val="es-CR"/>
        </w:rPr>
        <w:t>2021</w:t>
      </w:r>
      <w:r w:rsidRPr="00C65258">
        <w:rPr>
          <w:lang w:val="es-CR"/>
        </w:rPr>
        <w:t xml:space="preserve">). </w:t>
      </w:r>
      <w:r w:rsidRPr="00C65258">
        <w:rPr>
          <w:i/>
          <w:iCs/>
          <w:lang w:val="es-CR"/>
        </w:rPr>
        <w:t>Estrategia nacional de drogas</w:t>
      </w:r>
      <w:r>
        <w:rPr>
          <w:i/>
          <w:iCs/>
          <w:lang w:val="es-CR"/>
        </w:rPr>
        <w:t xml:space="preserve"> 2021-2025</w:t>
      </w:r>
      <w:r w:rsidRPr="00C65258">
        <w:rPr>
          <w:lang w:val="es-CR"/>
        </w:rPr>
        <w:t xml:space="preserve"> (versión completa).</w:t>
      </w:r>
      <w:r>
        <w:rPr>
          <w:lang w:val="es-CR"/>
        </w:rPr>
        <w:t xml:space="preserve"> </w:t>
      </w:r>
      <w:r w:rsidRPr="007A5713">
        <w:rPr>
          <w:lang w:val="es-CR"/>
        </w:rPr>
        <w:t>Presidencia de la República Oriental del Uruguay</w:t>
      </w:r>
      <w:r>
        <w:rPr>
          <w:lang w:val="es-CR"/>
        </w:rPr>
        <w:t xml:space="preserve">. </w:t>
      </w:r>
      <w:r w:rsidRPr="00C205F0">
        <w:rPr>
          <w:lang w:val="es-CR"/>
        </w:rPr>
        <w:t xml:space="preserve">Montevideo </w:t>
      </w:r>
      <w:hyperlink r:id="rId20" w:tgtFrame="_new" w:history="1">
        <w:r w:rsidRPr="00C205F0">
          <w:rPr>
            <w:rStyle w:val="Hipervnculo"/>
            <w:lang w:val="es-CR"/>
          </w:rPr>
          <w:t>https://www.gub.uy/junta-nacional-drogas/sites/junta-nacional-drogas/files/documentos/noticias/Libro_Estrategia%20nacional%20-%20completo%20v7%20con%20tapas.pdf</w:t>
        </w:r>
      </w:hyperlink>
    </w:p>
    <w:p w14:paraId="06FC9F91" w14:textId="12007465" w:rsidR="007A5713" w:rsidRPr="00C205F0" w:rsidRDefault="007A5713" w:rsidP="002C6DD7">
      <w:pPr>
        <w:spacing w:before="120" w:line="240" w:lineRule="auto"/>
        <w:rPr>
          <w:lang w:val="es-CR"/>
        </w:rPr>
      </w:pPr>
      <w:r w:rsidRPr="007A5713">
        <w:rPr>
          <w:lang w:val="es-CR"/>
        </w:rPr>
        <w:t>Junta Nacional de Drogas (202</w:t>
      </w:r>
      <w:r w:rsidR="0096487A">
        <w:rPr>
          <w:lang w:val="es-CR"/>
        </w:rPr>
        <w:t>3</w:t>
      </w:r>
      <w:r w:rsidRPr="007A5713">
        <w:rPr>
          <w:lang w:val="es-CR"/>
        </w:rPr>
        <w:t xml:space="preserve">). </w:t>
      </w:r>
      <w:r w:rsidRPr="007A5713">
        <w:rPr>
          <w:i/>
          <w:iCs/>
          <w:lang w:val="es-CR"/>
        </w:rPr>
        <w:t>Situación y características de la oferta de atención y tratamiento para personas con uso problemático de drogas – Uruguay 2022</w:t>
      </w:r>
      <w:r w:rsidRPr="007A5713">
        <w:rPr>
          <w:lang w:val="es-CR"/>
        </w:rPr>
        <w:t xml:space="preserve"> (versión final). Presidencia de la República Oriental del Uruguay.</w:t>
      </w:r>
      <w:r w:rsidR="00C65258">
        <w:rPr>
          <w:lang w:val="es-CR"/>
        </w:rPr>
        <w:t xml:space="preserve"> </w:t>
      </w:r>
      <w:r w:rsidR="00C65258" w:rsidRPr="00C205F0">
        <w:rPr>
          <w:lang w:val="es-CR"/>
        </w:rPr>
        <w:t>Montevideo</w:t>
      </w:r>
      <w:r w:rsidRPr="00C205F0">
        <w:rPr>
          <w:lang w:val="es-CR"/>
        </w:rPr>
        <w:t xml:space="preserve"> </w:t>
      </w:r>
      <w:hyperlink r:id="rId21" w:tgtFrame="_new" w:history="1">
        <w:r w:rsidRPr="00C205F0">
          <w:rPr>
            <w:rStyle w:val="Hipervnculo"/>
            <w:lang w:val="es-CR"/>
          </w:rPr>
          <w:t>https://www.gub.uy/junta-nacional-drogas/sites/junta-nacional-drogas/files/documentos/publicaciones/Situaci%C3%B3n%20y%20caracter%C3%ADsiticas%20oferta%20de%20atenci%C3%B3n%20y%20tratamiento_Uruguay%202022_versi%C3%B3n_final.pdf</w:t>
        </w:r>
      </w:hyperlink>
    </w:p>
    <w:p w14:paraId="09EF5070" w14:textId="7C0CCC24" w:rsidR="00545213" w:rsidRPr="00433644" w:rsidRDefault="00433644" w:rsidP="002C6DD7">
      <w:pPr>
        <w:spacing w:before="120" w:line="240" w:lineRule="auto"/>
      </w:pPr>
      <w:r w:rsidRPr="00433644">
        <w:rPr>
          <w:lang w:val="es-CR"/>
        </w:rPr>
        <w:t xml:space="preserve">Junta Nacional de Drogas (2025). </w:t>
      </w:r>
      <w:r w:rsidRPr="00433644">
        <w:rPr>
          <w:i/>
          <w:iCs/>
          <w:lang w:val="es-CR"/>
        </w:rPr>
        <w:t>VIII Encuesta Nacional sobre Consumo de Drogas en Población General (Uruguay 2024)</w:t>
      </w:r>
      <w:r w:rsidRPr="00433644">
        <w:rPr>
          <w:lang w:val="es-CR"/>
        </w:rPr>
        <w:t xml:space="preserve">. Observatorio Uruguayo de Drogas. Presidencia de la República Oriental </w:t>
      </w:r>
      <w:r w:rsidRPr="00433644">
        <w:rPr>
          <w:lang w:val="es-CR"/>
        </w:rPr>
        <w:lastRenderedPageBreak/>
        <w:t xml:space="preserve">del Uruguay. </w:t>
      </w:r>
      <w:r w:rsidR="00C65258" w:rsidRPr="00C65258">
        <w:t>Mo</w:t>
      </w:r>
      <w:r w:rsidR="00C65258">
        <w:t>n</w:t>
      </w:r>
      <w:r w:rsidR="00C65258" w:rsidRPr="00C65258">
        <w:t>te</w:t>
      </w:r>
      <w:r w:rsidR="00C65258">
        <w:t>video.</w:t>
      </w:r>
      <w:r w:rsidR="00C65258" w:rsidRPr="00433644">
        <w:t xml:space="preserve"> </w:t>
      </w:r>
      <w:hyperlink r:id="rId22" w:tgtFrame="_new" w:history="1">
        <w:r w:rsidRPr="00433644">
          <w:rPr>
            <w:rStyle w:val="Hipervnculo"/>
          </w:rPr>
          <w:t>https://www.gub.uy/junta-nacional-drogas/sites/junta-nacional-drogas/files/documentos/publicaciones/JND%20-%20VIII%20-%20ENCUESTA-Digital.pdf</w:t>
        </w:r>
      </w:hyperlink>
    </w:p>
    <w:p w14:paraId="18206D57" w14:textId="22FD6F37" w:rsidR="00774285" w:rsidRPr="00C205F0" w:rsidRDefault="00A001F5" w:rsidP="002C6DD7">
      <w:pPr>
        <w:spacing w:before="120" w:line="240" w:lineRule="auto"/>
        <w:rPr>
          <w:lang w:val="es-CR"/>
        </w:rPr>
      </w:pPr>
      <w:r w:rsidRPr="00A001F5">
        <w:rPr>
          <w:lang w:val="es-CR"/>
        </w:rPr>
        <w:t xml:space="preserve">Junta Nacional de Drogas </w:t>
      </w:r>
      <w:r>
        <w:rPr>
          <w:lang w:val="es-CR"/>
        </w:rPr>
        <w:t>(</w:t>
      </w:r>
      <w:r w:rsidRPr="00A001F5">
        <w:rPr>
          <w:lang w:val="es-CR"/>
        </w:rPr>
        <w:t>2025</w:t>
      </w:r>
      <w:r>
        <w:rPr>
          <w:lang w:val="es-CR"/>
        </w:rPr>
        <w:t>)</w:t>
      </w:r>
      <w:r w:rsidRPr="00A001F5">
        <w:rPr>
          <w:lang w:val="es-CR"/>
        </w:rPr>
        <w:t xml:space="preserve">. </w:t>
      </w:r>
      <w:r w:rsidRPr="00A001F5">
        <w:rPr>
          <w:i/>
          <w:iCs/>
          <w:lang w:val="es-CR"/>
        </w:rPr>
        <w:t>X Encuesta Nacional sobre Consumo de Drogas en Población General (Informe Final)</w:t>
      </w:r>
      <w:r w:rsidRPr="00A001F5">
        <w:rPr>
          <w:lang w:val="es-CR"/>
        </w:rPr>
        <w:t xml:space="preserve">. Presidencia de la República Oriental del Uruguay. </w:t>
      </w:r>
      <w:r w:rsidR="00C65258" w:rsidRPr="00C205F0">
        <w:rPr>
          <w:lang w:val="es-CR"/>
        </w:rPr>
        <w:t xml:space="preserve">Montevideo </w:t>
      </w:r>
      <w:hyperlink r:id="rId23" w:tgtFrame="_new" w:history="1">
        <w:r w:rsidRPr="00C205F0">
          <w:rPr>
            <w:rStyle w:val="Hipervnculo"/>
            <w:lang w:val="es-CR"/>
          </w:rPr>
          <w:t>https://www.gub.uy/junta-nacional-drogas/sites/junta-nacional-drogas/files/documentos/publicaciones/JND_X.Encuesta.Drogas_2025_Final.pdf</w:t>
        </w:r>
      </w:hyperlink>
    </w:p>
    <w:p w14:paraId="6D42A253" w14:textId="5539FC67" w:rsidR="00A001F5" w:rsidRDefault="002C6DD7" w:rsidP="002C6DD7">
      <w:pPr>
        <w:spacing w:before="120" w:line="240" w:lineRule="auto"/>
        <w:rPr>
          <w:lang w:val="es-CR"/>
        </w:rPr>
      </w:pPr>
      <w:r w:rsidRPr="002C6DD7">
        <w:rPr>
          <w:lang w:val="es-CR"/>
        </w:rPr>
        <w:t>Junta Nacional de Droga</w:t>
      </w:r>
      <w:r>
        <w:rPr>
          <w:lang w:val="es-CR"/>
        </w:rPr>
        <w:t>s (2026)</w:t>
      </w:r>
      <w:r w:rsidRPr="002C6DD7">
        <w:rPr>
          <w:lang w:val="es-CR"/>
        </w:rPr>
        <w:t>. “</w:t>
      </w:r>
      <w:r w:rsidRPr="00C205F0">
        <w:rPr>
          <w:i/>
          <w:iCs/>
          <w:lang w:val="es-CR"/>
        </w:rPr>
        <w:t>Centros de atención.”,</w:t>
      </w:r>
      <w:r w:rsidRPr="002C6DD7">
        <w:rPr>
          <w:lang w:val="es-CR"/>
        </w:rPr>
        <w:t xml:space="preserve"> </w:t>
      </w:r>
      <w:hyperlink r:id="rId24" w:tgtFrame="_new" w:history="1">
        <w:r w:rsidRPr="002C6DD7">
          <w:rPr>
            <w:rStyle w:val="Hipervnculo"/>
            <w:lang w:val="es-CR"/>
          </w:rPr>
          <w:t>https://www.gub.uy/junta-nacional-drogas/tramites-y-servicios/servicios/centros-atencion</w:t>
        </w:r>
      </w:hyperlink>
      <w:r w:rsidRPr="002C6DD7">
        <w:rPr>
          <w:lang w:val="es-CR"/>
        </w:rPr>
        <w:t xml:space="preserve">. Consultado el </w:t>
      </w:r>
      <w:r>
        <w:rPr>
          <w:lang w:val="es-CR"/>
        </w:rPr>
        <w:t>2 de enero 2026</w:t>
      </w:r>
    </w:p>
    <w:p w14:paraId="287E34DC" w14:textId="77777777" w:rsidR="00F9631E" w:rsidRPr="00F9631E" w:rsidRDefault="00F9631E" w:rsidP="00F9631E">
      <w:pPr>
        <w:spacing w:before="120" w:line="240" w:lineRule="auto"/>
        <w:rPr>
          <w:lang w:val="es-CR"/>
        </w:rPr>
      </w:pPr>
      <w:r>
        <w:rPr>
          <w:lang w:val="es-CR"/>
        </w:rPr>
        <w:t xml:space="preserve">Nómade (2023) </w:t>
      </w:r>
      <w:r w:rsidRPr="005037B3">
        <w:rPr>
          <w:i/>
          <w:iCs/>
          <w:lang w:val="es-CR"/>
        </w:rPr>
        <w:t>Diagnóstico sobre la situación actual, las principales problemáticas y necesidades de las mujeres privadas de libertad en Uruguay</w:t>
      </w:r>
      <w:r>
        <w:rPr>
          <w:i/>
          <w:iCs/>
          <w:lang w:val="es-CR"/>
        </w:rPr>
        <w:t xml:space="preserve">. </w:t>
      </w:r>
      <w:r>
        <w:rPr>
          <w:lang w:val="es-CR"/>
        </w:rPr>
        <w:t xml:space="preserve">Universidad CLAEH. </w:t>
      </w:r>
      <w:r w:rsidRPr="00F9631E">
        <w:rPr>
          <w:lang w:val="es-CR"/>
        </w:rPr>
        <w:t xml:space="preserve">Montevideo, Uruguay </w:t>
      </w:r>
      <w:hyperlink r:id="rId25" w:history="1">
        <w:r w:rsidRPr="00F9631E">
          <w:rPr>
            <w:rStyle w:val="Hipervnculo"/>
            <w:i/>
            <w:iCs/>
            <w:lang w:val="es-CR"/>
          </w:rPr>
          <w:t>https://universidad.claeh.edu.uy/wp-content/uploads/2023/04/Diagnostico-MPL_v4-1.pdf</w:t>
        </w:r>
      </w:hyperlink>
      <w:r w:rsidRPr="00F9631E">
        <w:rPr>
          <w:i/>
          <w:iCs/>
          <w:lang w:val="es-CR"/>
        </w:rPr>
        <w:t xml:space="preserve"> </w:t>
      </w:r>
    </w:p>
    <w:p w14:paraId="6BE61BA5" w14:textId="082641B8" w:rsidR="003B2C3B" w:rsidRDefault="00623E43" w:rsidP="002C6DD7">
      <w:pPr>
        <w:spacing w:before="120" w:line="240" w:lineRule="auto"/>
        <w:rPr>
          <w:lang w:val="es-CR"/>
        </w:rPr>
      </w:pPr>
      <w:r w:rsidRPr="00623E43">
        <w:rPr>
          <w:lang w:val="es-CR"/>
        </w:rPr>
        <w:t xml:space="preserve">Plataforma de Clubes. (2021). </w:t>
      </w:r>
      <w:r w:rsidRPr="00623E43">
        <w:rPr>
          <w:i/>
          <w:iCs/>
          <w:lang w:val="es-CR"/>
        </w:rPr>
        <w:t xml:space="preserve">Modificaciones e incorporaciones en la </w:t>
      </w:r>
      <w:r w:rsidR="003B2C3B" w:rsidRPr="003B2C3B">
        <w:rPr>
          <w:lang w:val="es-CR"/>
        </w:rPr>
        <w:t xml:space="preserve">Ley de Urgente Consideración </w:t>
      </w:r>
      <w:proofErr w:type="spellStart"/>
      <w:r w:rsidR="003B2C3B" w:rsidRPr="003B2C3B">
        <w:rPr>
          <w:lang w:val="es-CR"/>
        </w:rPr>
        <w:t>N°</w:t>
      </w:r>
      <w:proofErr w:type="spellEnd"/>
      <w:r w:rsidR="003B2C3B" w:rsidRPr="003B2C3B">
        <w:rPr>
          <w:lang w:val="es-CR"/>
        </w:rPr>
        <w:t xml:space="preserve"> 19889</w:t>
      </w:r>
      <w:r>
        <w:rPr>
          <w:lang w:val="es-CR"/>
        </w:rPr>
        <w:t xml:space="preserve">. Consultado el 11 de </w:t>
      </w:r>
      <w:r w:rsidR="0034302F">
        <w:rPr>
          <w:lang w:val="es-CR"/>
        </w:rPr>
        <w:t>noviembre</w:t>
      </w:r>
      <w:r>
        <w:rPr>
          <w:lang w:val="es-CR"/>
        </w:rPr>
        <w:t xml:space="preserve"> 2025</w:t>
      </w:r>
      <w:r w:rsidR="00815B6C">
        <w:rPr>
          <w:lang w:val="es-CR"/>
        </w:rPr>
        <w:t xml:space="preserve"> </w:t>
      </w:r>
      <w:hyperlink r:id="rId26" w:history="1">
        <w:r w:rsidR="001625DB" w:rsidRPr="002B22DE">
          <w:rPr>
            <w:rStyle w:val="Hipervnculo"/>
            <w:lang w:val="es-CR"/>
          </w:rPr>
          <w:t>https://plataformadeclubes.blogspot.com/2021/01/modificaciones-e-incorporaciones-en-la.html</w:t>
        </w:r>
      </w:hyperlink>
      <w:r w:rsidR="001625DB">
        <w:rPr>
          <w:lang w:val="es-CR"/>
        </w:rPr>
        <w:t xml:space="preserve"> </w:t>
      </w:r>
    </w:p>
    <w:p w14:paraId="77868EE1" w14:textId="53137CE7" w:rsidR="00081E92" w:rsidRPr="00081E92" w:rsidRDefault="00081E92" w:rsidP="002C6DD7">
      <w:pPr>
        <w:spacing w:before="120" w:line="240" w:lineRule="auto"/>
      </w:pPr>
      <w:r w:rsidRPr="00081E92">
        <w:t xml:space="preserve">Washington Office </w:t>
      </w:r>
      <w:proofErr w:type="gramStart"/>
      <w:r w:rsidRPr="00081E92">
        <w:t>on</w:t>
      </w:r>
      <w:proofErr w:type="gramEnd"/>
      <w:r w:rsidRPr="00081E92">
        <w:t xml:space="preserve"> Latin America (2023). </w:t>
      </w:r>
      <w:r w:rsidRPr="00081E92">
        <w:rPr>
          <w:i/>
          <w:iCs/>
          <w:lang w:val="es-CR"/>
        </w:rPr>
        <w:t>Liberarlas es justicia: Hacia la eliminación de las barreras que enfrentan las mujeres encarceladas por delitos de drogas en América Latina y el Caribe</w:t>
      </w:r>
      <w:r w:rsidRPr="00081E92">
        <w:rPr>
          <w:lang w:val="es-CR"/>
        </w:rPr>
        <w:t xml:space="preserve">. </w:t>
      </w:r>
      <w:r w:rsidRPr="00081E92">
        <w:t xml:space="preserve">Washington </w:t>
      </w:r>
      <w:r>
        <w:t xml:space="preserve">D.C. </w:t>
      </w:r>
      <w:hyperlink r:id="rId27" w:history="1">
        <w:r w:rsidR="002567C3" w:rsidRPr="002B22DE">
          <w:rPr>
            <w:rStyle w:val="Hipervnculo"/>
          </w:rPr>
          <w:t>https://www.wola.org/wp-content/uploads/2023/11/Briefing-Paper-Liberarlas-es-justicia_Final_Web.pdf</w:t>
        </w:r>
      </w:hyperlink>
    </w:p>
    <w:p w14:paraId="0DAD77CF" w14:textId="0990022B" w:rsidR="00021484" w:rsidRDefault="001E43F7" w:rsidP="002C6DD7">
      <w:pPr>
        <w:spacing w:before="120" w:line="240" w:lineRule="auto"/>
        <w:rPr>
          <w:lang w:val="es-CR"/>
        </w:rPr>
      </w:pPr>
      <w:r w:rsidRPr="00C205F0">
        <w:rPr>
          <w:lang w:val="es-CR"/>
        </w:rPr>
        <w:t xml:space="preserve">World </w:t>
      </w:r>
      <w:proofErr w:type="spellStart"/>
      <w:r w:rsidRPr="00C205F0">
        <w:rPr>
          <w:lang w:val="es-CR"/>
        </w:rPr>
        <w:t>Prison</w:t>
      </w:r>
      <w:proofErr w:type="spellEnd"/>
      <w:r w:rsidRPr="00C205F0">
        <w:rPr>
          <w:lang w:val="es-CR"/>
        </w:rPr>
        <w:t xml:space="preserve"> Brief. (2025). </w:t>
      </w:r>
      <w:r w:rsidRPr="001E43F7">
        <w:rPr>
          <w:i/>
          <w:iCs/>
          <w:lang w:val="es-CR"/>
        </w:rPr>
        <w:t>Uruguay</w:t>
      </w:r>
      <w:r w:rsidRPr="001E43F7">
        <w:rPr>
          <w:lang w:val="es-CR"/>
        </w:rPr>
        <w:t xml:space="preserve">. Recuperado el </w:t>
      </w:r>
      <w:r>
        <w:rPr>
          <w:lang w:val="es-CR"/>
        </w:rPr>
        <w:t xml:space="preserve">6 de diciembre de 2025 </w:t>
      </w:r>
      <w:hyperlink r:id="rId28" w:tgtFrame="_new" w:history="1">
        <w:r w:rsidRPr="001E43F7">
          <w:rPr>
            <w:rStyle w:val="Hipervnculo"/>
            <w:lang w:val="es-CR"/>
          </w:rPr>
          <w:t>https://www.prisonstudies.org/country/uruguay</w:t>
        </w:r>
      </w:hyperlink>
    </w:p>
    <w:sectPr w:rsidR="000214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D7887"/>
    <w:multiLevelType w:val="multilevel"/>
    <w:tmpl w:val="3642E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E9649B"/>
    <w:multiLevelType w:val="multilevel"/>
    <w:tmpl w:val="A6348F7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824340"/>
    <w:multiLevelType w:val="multilevel"/>
    <w:tmpl w:val="469E7E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6B793E"/>
    <w:multiLevelType w:val="multilevel"/>
    <w:tmpl w:val="D318C24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A541B8"/>
    <w:multiLevelType w:val="multilevel"/>
    <w:tmpl w:val="D318C24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3B7789"/>
    <w:multiLevelType w:val="multilevel"/>
    <w:tmpl w:val="3C501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AE2269"/>
    <w:multiLevelType w:val="multilevel"/>
    <w:tmpl w:val="D318C24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AC6811"/>
    <w:multiLevelType w:val="hybridMultilevel"/>
    <w:tmpl w:val="4C8E6F3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 w15:restartNumberingAfterBreak="0">
    <w:nsid w:val="3DB75EEA"/>
    <w:multiLevelType w:val="multilevel"/>
    <w:tmpl w:val="F8E2A7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441E90"/>
    <w:multiLevelType w:val="multilevel"/>
    <w:tmpl w:val="D318C24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6A3172E"/>
    <w:multiLevelType w:val="multilevel"/>
    <w:tmpl w:val="E2685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130068"/>
    <w:multiLevelType w:val="multilevel"/>
    <w:tmpl w:val="A2066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9345629"/>
    <w:multiLevelType w:val="hybridMultilevel"/>
    <w:tmpl w:val="3EEE9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3A52E1"/>
    <w:multiLevelType w:val="multilevel"/>
    <w:tmpl w:val="966EA60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F542BF5"/>
    <w:multiLevelType w:val="multilevel"/>
    <w:tmpl w:val="3E662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3B40F98"/>
    <w:multiLevelType w:val="multilevel"/>
    <w:tmpl w:val="F7CAA8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8B2102"/>
    <w:multiLevelType w:val="multilevel"/>
    <w:tmpl w:val="FABEE58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62964E5"/>
    <w:multiLevelType w:val="multilevel"/>
    <w:tmpl w:val="F2EE1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35098A"/>
    <w:multiLevelType w:val="multilevel"/>
    <w:tmpl w:val="65AA7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FC04302"/>
    <w:multiLevelType w:val="multilevel"/>
    <w:tmpl w:val="ECE0DBF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73036664">
    <w:abstractNumId w:val="0"/>
  </w:num>
  <w:num w:numId="2" w16cid:durableId="648829031">
    <w:abstractNumId w:val="10"/>
  </w:num>
  <w:num w:numId="3" w16cid:durableId="64181563">
    <w:abstractNumId w:val="8"/>
  </w:num>
  <w:num w:numId="4" w16cid:durableId="1277325035">
    <w:abstractNumId w:val="15"/>
  </w:num>
  <w:num w:numId="5" w16cid:durableId="852453656">
    <w:abstractNumId w:val="17"/>
  </w:num>
  <w:num w:numId="6" w16cid:durableId="701708813">
    <w:abstractNumId w:val="5"/>
  </w:num>
  <w:num w:numId="7" w16cid:durableId="1454518853">
    <w:abstractNumId w:val="11"/>
  </w:num>
  <w:num w:numId="8" w16cid:durableId="1931574255">
    <w:abstractNumId w:val="18"/>
  </w:num>
  <w:num w:numId="9" w16cid:durableId="143930948">
    <w:abstractNumId w:val="14"/>
  </w:num>
  <w:num w:numId="10" w16cid:durableId="1973093287">
    <w:abstractNumId w:val="2"/>
  </w:num>
  <w:num w:numId="11" w16cid:durableId="1480150208">
    <w:abstractNumId w:val="9"/>
  </w:num>
  <w:num w:numId="12" w16cid:durableId="223293185">
    <w:abstractNumId w:val="3"/>
  </w:num>
  <w:num w:numId="13" w16cid:durableId="1352292144">
    <w:abstractNumId w:val="16"/>
  </w:num>
  <w:num w:numId="14" w16cid:durableId="743143427">
    <w:abstractNumId w:val="1"/>
  </w:num>
  <w:num w:numId="15" w16cid:durableId="2045210482">
    <w:abstractNumId w:val="13"/>
  </w:num>
  <w:num w:numId="16" w16cid:durableId="1279144213">
    <w:abstractNumId w:val="7"/>
  </w:num>
  <w:num w:numId="17" w16cid:durableId="1783300494">
    <w:abstractNumId w:val="12"/>
  </w:num>
  <w:num w:numId="18" w16cid:durableId="1480263969">
    <w:abstractNumId w:val="6"/>
  </w:num>
  <w:num w:numId="19" w16cid:durableId="1580141755">
    <w:abstractNumId w:val="4"/>
  </w:num>
  <w:num w:numId="20" w16cid:durableId="16299719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027"/>
    <w:rsid w:val="00021484"/>
    <w:rsid w:val="00034985"/>
    <w:rsid w:val="000546EC"/>
    <w:rsid w:val="000618BC"/>
    <w:rsid w:val="00081E92"/>
    <w:rsid w:val="0009355D"/>
    <w:rsid w:val="000B2A91"/>
    <w:rsid w:val="000B67B1"/>
    <w:rsid w:val="000C15FF"/>
    <w:rsid w:val="000E38A7"/>
    <w:rsid w:val="00111704"/>
    <w:rsid w:val="001171DA"/>
    <w:rsid w:val="00122D01"/>
    <w:rsid w:val="00132B14"/>
    <w:rsid w:val="001374D5"/>
    <w:rsid w:val="001539B7"/>
    <w:rsid w:val="0015719D"/>
    <w:rsid w:val="00161843"/>
    <w:rsid w:val="001625DB"/>
    <w:rsid w:val="00174F0D"/>
    <w:rsid w:val="00192A7E"/>
    <w:rsid w:val="001B7A01"/>
    <w:rsid w:val="001C3E65"/>
    <w:rsid w:val="001D4B51"/>
    <w:rsid w:val="001E43F7"/>
    <w:rsid w:val="001E6770"/>
    <w:rsid w:val="0020741B"/>
    <w:rsid w:val="002179F7"/>
    <w:rsid w:val="00217CC2"/>
    <w:rsid w:val="002419FD"/>
    <w:rsid w:val="002437DE"/>
    <w:rsid w:val="002567C3"/>
    <w:rsid w:val="00256C74"/>
    <w:rsid w:val="00266A17"/>
    <w:rsid w:val="002C0BF6"/>
    <w:rsid w:val="002C6DD7"/>
    <w:rsid w:val="003059B8"/>
    <w:rsid w:val="003113B1"/>
    <w:rsid w:val="003300C4"/>
    <w:rsid w:val="0034302F"/>
    <w:rsid w:val="003516C5"/>
    <w:rsid w:val="003576E5"/>
    <w:rsid w:val="00390A8F"/>
    <w:rsid w:val="00395D6A"/>
    <w:rsid w:val="003B02FD"/>
    <w:rsid w:val="003B2C3B"/>
    <w:rsid w:val="003D2B33"/>
    <w:rsid w:val="003E0D91"/>
    <w:rsid w:val="003F4EBE"/>
    <w:rsid w:val="00400BE1"/>
    <w:rsid w:val="00411B61"/>
    <w:rsid w:val="004334D7"/>
    <w:rsid w:val="00433644"/>
    <w:rsid w:val="00453AFE"/>
    <w:rsid w:val="004637B8"/>
    <w:rsid w:val="004A3810"/>
    <w:rsid w:val="004E4C96"/>
    <w:rsid w:val="004E66B5"/>
    <w:rsid w:val="005037B3"/>
    <w:rsid w:val="00515538"/>
    <w:rsid w:val="00522F0E"/>
    <w:rsid w:val="00540D59"/>
    <w:rsid w:val="00542F96"/>
    <w:rsid w:val="00545213"/>
    <w:rsid w:val="00577264"/>
    <w:rsid w:val="00577C08"/>
    <w:rsid w:val="00592CF8"/>
    <w:rsid w:val="0059402F"/>
    <w:rsid w:val="00596589"/>
    <w:rsid w:val="005C32EB"/>
    <w:rsid w:val="005C4B3D"/>
    <w:rsid w:val="005E239E"/>
    <w:rsid w:val="00603033"/>
    <w:rsid w:val="006058B8"/>
    <w:rsid w:val="0061760D"/>
    <w:rsid w:val="00623E43"/>
    <w:rsid w:val="006250F2"/>
    <w:rsid w:val="00627170"/>
    <w:rsid w:val="00630AAD"/>
    <w:rsid w:val="0063214D"/>
    <w:rsid w:val="00633734"/>
    <w:rsid w:val="00642AC7"/>
    <w:rsid w:val="006561B1"/>
    <w:rsid w:val="00680CEA"/>
    <w:rsid w:val="00696FAF"/>
    <w:rsid w:val="006B16B2"/>
    <w:rsid w:val="006B64EF"/>
    <w:rsid w:val="00723098"/>
    <w:rsid w:val="00746579"/>
    <w:rsid w:val="00774285"/>
    <w:rsid w:val="007844A6"/>
    <w:rsid w:val="00792830"/>
    <w:rsid w:val="007A5713"/>
    <w:rsid w:val="007A6429"/>
    <w:rsid w:val="007B5F6E"/>
    <w:rsid w:val="007D0C93"/>
    <w:rsid w:val="007F34AD"/>
    <w:rsid w:val="00800BBC"/>
    <w:rsid w:val="008038C9"/>
    <w:rsid w:val="00815464"/>
    <w:rsid w:val="00815B6C"/>
    <w:rsid w:val="00832056"/>
    <w:rsid w:val="00837FA7"/>
    <w:rsid w:val="00845C3A"/>
    <w:rsid w:val="00846F14"/>
    <w:rsid w:val="00850E01"/>
    <w:rsid w:val="008553F0"/>
    <w:rsid w:val="008630CD"/>
    <w:rsid w:val="00872C83"/>
    <w:rsid w:val="00885D5A"/>
    <w:rsid w:val="008952AC"/>
    <w:rsid w:val="008B44A2"/>
    <w:rsid w:val="008C0465"/>
    <w:rsid w:val="008C4DAA"/>
    <w:rsid w:val="008F762F"/>
    <w:rsid w:val="00913B11"/>
    <w:rsid w:val="00930935"/>
    <w:rsid w:val="009538F7"/>
    <w:rsid w:val="00955158"/>
    <w:rsid w:val="0096487A"/>
    <w:rsid w:val="009A170B"/>
    <w:rsid w:val="009B6938"/>
    <w:rsid w:val="009E4BD7"/>
    <w:rsid w:val="009F21CC"/>
    <w:rsid w:val="009F420E"/>
    <w:rsid w:val="00A001F5"/>
    <w:rsid w:val="00A03B57"/>
    <w:rsid w:val="00A10284"/>
    <w:rsid w:val="00A216AD"/>
    <w:rsid w:val="00A27001"/>
    <w:rsid w:val="00A30D55"/>
    <w:rsid w:val="00A34976"/>
    <w:rsid w:val="00A509CA"/>
    <w:rsid w:val="00A81196"/>
    <w:rsid w:val="00A9099B"/>
    <w:rsid w:val="00A94025"/>
    <w:rsid w:val="00AB16FE"/>
    <w:rsid w:val="00AB18D9"/>
    <w:rsid w:val="00AC3413"/>
    <w:rsid w:val="00AF0A0C"/>
    <w:rsid w:val="00B41011"/>
    <w:rsid w:val="00B515C5"/>
    <w:rsid w:val="00B7070A"/>
    <w:rsid w:val="00B72233"/>
    <w:rsid w:val="00B8661F"/>
    <w:rsid w:val="00BA1872"/>
    <w:rsid w:val="00BC5D37"/>
    <w:rsid w:val="00BC6D88"/>
    <w:rsid w:val="00BC710C"/>
    <w:rsid w:val="00BD4BE7"/>
    <w:rsid w:val="00BE1D23"/>
    <w:rsid w:val="00C205F0"/>
    <w:rsid w:val="00C32027"/>
    <w:rsid w:val="00C508DE"/>
    <w:rsid w:val="00C54A52"/>
    <w:rsid w:val="00C65258"/>
    <w:rsid w:val="00C70037"/>
    <w:rsid w:val="00C751B6"/>
    <w:rsid w:val="00C82AF1"/>
    <w:rsid w:val="00C85920"/>
    <w:rsid w:val="00C86171"/>
    <w:rsid w:val="00CD34BF"/>
    <w:rsid w:val="00D102B7"/>
    <w:rsid w:val="00D17368"/>
    <w:rsid w:val="00D34BF7"/>
    <w:rsid w:val="00D406A7"/>
    <w:rsid w:val="00D96DC8"/>
    <w:rsid w:val="00DE599C"/>
    <w:rsid w:val="00E114B6"/>
    <w:rsid w:val="00E158F3"/>
    <w:rsid w:val="00E27884"/>
    <w:rsid w:val="00E53364"/>
    <w:rsid w:val="00E77981"/>
    <w:rsid w:val="00E94F52"/>
    <w:rsid w:val="00EC1F3A"/>
    <w:rsid w:val="00ED79FF"/>
    <w:rsid w:val="00EE47A5"/>
    <w:rsid w:val="00EE61DB"/>
    <w:rsid w:val="00EF59DF"/>
    <w:rsid w:val="00EF5CC2"/>
    <w:rsid w:val="00F15022"/>
    <w:rsid w:val="00F1576D"/>
    <w:rsid w:val="00F16C05"/>
    <w:rsid w:val="00F30025"/>
    <w:rsid w:val="00F33836"/>
    <w:rsid w:val="00F43C4D"/>
    <w:rsid w:val="00F87753"/>
    <w:rsid w:val="00F9631E"/>
    <w:rsid w:val="00FB4896"/>
    <w:rsid w:val="00FC3F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90579"/>
  <w15:chartTrackingRefBased/>
  <w15:docId w15:val="{CCC7FEED-B36A-48D0-975F-BB8006C8B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553F0"/>
    <w:pPr>
      <w:outlineLvl w:val="0"/>
    </w:pPr>
    <w:rPr>
      <w:b/>
      <w:bCs/>
      <w:sz w:val="28"/>
      <w:szCs w:val="28"/>
      <w:lang w:val="es-CR"/>
    </w:rPr>
  </w:style>
  <w:style w:type="paragraph" w:styleId="Ttulo2">
    <w:name w:val="heading 2"/>
    <w:basedOn w:val="Normal"/>
    <w:next w:val="Normal"/>
    <w:link w:val="Ttulo2Car"/>
    <w:uiPriority w:val="9"/>
    <w:unhideWhenUsed/>
    <w:qFormat/>
    <w:rsid w:val="00AC3413"/>
    <w:pPr>
      <w:spacing w:before="120"/>
      <w:jc w:val="both"/>
      <w:outlineLvl w:val="1"/>
    </w:pPr>
    <w:rPr>
      <w:b/>
      <w:bCs/>
      <w:lang w:val="es-CR"/>
    </w:rPr>
  </w:style>
  <w:style w:type="paragraph" w:styleId="Ttulo3">
    <w:name w:val="heading 3"/>
    <w:basedOn w:val="Normal"/>
    <w:next w:val="Normal"/>
    <w:link w:val="Ttulo3Car"/>
    <w:uiPriority w:val="9"/>
    <w:semiHidden/>
    <w:unhideWhenUsed/>
    <w:qFormat/>
    <w:rsid w:val="00C3202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C3202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3202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3202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3202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3202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3202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553F0"/>
    <w:rPr>
      <w:b/>
      <w:bCs/>
      <w:sz w:val="28"/>
      <w:szCs w:val="28"/>
      <w:lang w:val="es-CR"/>
    </w:rPr>
  </w:style>
  <w:style w:type="character" w:customStyle="1" w:styleId="Ttulo2Car">
    <w:name w:val="Título 2 Car"/>
    <w:basedOn w:val="Fuentedeprrafopredeter"/>
    <w:link w:val="Ttulo2"/>
    <w:uiPriority w:val="9"/>
    <w:rsid w:val="00AC3413"/>
    <w:rPr>
      <w:b/>
      <w:bCs/>
      <w:lang w:val="es-CR"/>
    </w:rPr>
  </w:style>
  <w:style w:type="character" w:customStyle="1" w:styleId="Ttulo3Car">
    <w:name w:val="Título 3 Car"/>
    <w:basedOn w:val="Fuentedeprrafopredeter"/>
    <w:link w:val="Ttulo3"/>
    <w:uiPriority w:val="9"/>
    <w:semiHidden/>
    <w:rsid w:val="00C3202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3202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3202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3202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3202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3202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32027"/>
    <w:rPr>
      <w:rFonts w:eastAsiaTheme="majorEastAsia" w:cstheme="majorBidi"/>
      <w:color w:val="272727" w:themeColor="text1" w:themeTint="D8"/>
    </w:rPr>
  </w:style>
  <w:style w:type="paragraph" w:styleId="Ttulo">
    <w:name w:val="Title"/>
    <w:basedOn w:val="Normal"/>
    <w:next w:val="Normal"/>
    <w:link w:val="TtuloCar"/>
    <w:uiPriority w:val="10"/>
    <w:qFormat/>
    <w:rsid w:val="00C320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3202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3202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3202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32027"/>
    <w:pPr>
      <w:spacing w:before="160"/>
      <w:jc w:val="center"/>
    </w:pPr>
    <w:rPr>
      <w:i/>
      <w:iCs/>
      <w:color w:val="404040" w:themeColor="text1" w:themeTint="BF"/>
    </w:rPr>
  </w:style>
  <w:style w:type="character" w:customStyle="1" w:styleId="CitaCar">
    <w:name w:val="Cita Car"/>
    <w:basedOn w:val="Fuentedeprrafopredeter"/>
    <w:link w:val="Cita"/>
    <w:uiPriority w:val="29"/>
    <w:rsid w:val="00C32027"/>
    <w:rPr>
      <w:i/>
      <w:iCs/>
      <w:color w:val="404040" w:themeColor="text1" w:themeTint="BF"/>
    </w:rPr>
  </w:style>
  <w:style w:type="paragraph" w:styleId="Prrafodelista">
    <w:name w:val="List Paragraph"/>
    <w:basedOn w:val="Normal"/>
    <w:uiPriority w:val="34"/>
    <w:qFormat/>
    <w:rsid w:val="00C32027"/>
    <w:pPr>
      <w:ind w:left="720"/>
      <w:contextualSpacing/>
    </w:pPr>
  </w:style>
  <w:style w:type="character" w:styleId="nfasisintenso">
    <w:name w:val="Intense Emphasis"/>
    <w:basedOn w:val="Fuentedeprrafopredeter"/>
    <w:uiPriority w:val="21"/>
    <w:qFormat/>
    <w:rsid w:val="00C32027"/>
    <w:rPr>
      <w:i/>
      <w:iCs/>
      <w:color w:val="2F5496" w:themeColor="accent1" w:themeShade="BF"/>
    </w:rPr>
  </w:style>
  <w:style w:type="paragraph" w:styleId="Citadestacada">
    <w:name w:val="Intense Quote"/>
    <w:basedOn w:val="Normal"/>
    <w:next w:val="Normal"/>
    <w:link w:val="CitadestacadaCar"/>
    <w:uiPriority w:val="30"/>
    <w:qFormat/>
    <w:rsid w:val="00C3202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32027"/>
    <w:rPr>
      <w:i/>
      <w:iCs/>
      <w:color w:val="2F5496" w:themeColor="accent1" w:themeShade="BF"/>
    </w:rPr>
  </w:style>
  <w:style w:type="character" w:styleId="Referenciaintensa">
    <w:name w:val="Intense Reference"/>
    <w:basedOn w:val="Fuentedeprrafopredeter"/>
    <w:uiPriority w:val="32"/>
    <w:qFormat/>
    <w:rsid w:val="00C32027"/>
    <w:rPr>
      <w:b/>
      <w:bCs/>
      <w:smallCaps/>
      <w:color w:val="2F5496" w:themeColor="accent1" w:themeShade="BF"/>
      <w:spacing w:val="5"/>
    </w:rPr>
  </w:style>
  <w:style w:type="character" w:styleId="Hipervnculo">
    <w:name w:val="Hyperlink"/>
    <w:basedOn w:val="Fuentedeprrafopredeter"/>
    <w:uiPriority w:val="99"/>
    <w:unhideWhenUsed/>
    <w:rsid w:val="00DE599C"/>
    <w:rPr>
      <w:color w:val="0563C1" w:themeColor="hyperlink"/>
      <w:u w:val="single"/>
    </w:rPr>
  </w:style>
  <w:style w:type="character" w:styleId="Mencinsinresolver">
    <w:name w:val="Unresolved Mention"/>
    <w:basedOn w:val="Fuentedeprrafopredeter"/>
    <w:uiPriority w:val="99"/>
    <w:semiHidden/>
    <w:unhideWhenUsed/>
    <w:rsid w:val="00DE599C"/>
    <w:rPr>
      <w:color w:val="605E5C"/>
      <w:shd w:val="clear" w:color="auto" w:fill="E1DFDD"/>
    </w:rPr>
  </w:style>
  <w:style w:type="character" w:styleId="Hipervnculovisitado">
    <w:name w:val="FollowedHyperlink"/>
    <w:basedOn w:val="Fuentedeprrafopredeter"/>
    <w:uiPriority w:val="99"/>
    <w:semiHidden/>
    <w:unhideWhenUsed/>
    <w:rsid w:val="009F420E"/>
    <w:rPr>
      <w:color w:val="954F72" w:themeColor="followedHyperlink"/>
      <w:u w:val="single"/>
    </w:rPr>
  </w:style>
  <w:style w:type="paragraph" w:styleId="TDC1">
    <w:name w:val="toc 1"/>
    <w:basedOn w:val="Normal"/>
    <w:next w:val="Normal"/>
    <w:autoRedefine/>
    <w:uiPriority w:val="39"/>
    <w:unhideWhenUsed/>
    <w:rsid w:val="00BA1872"/>
    <w:pPr>
      <w:spacing w:after="100"/>
    </w:pPr>
  </w:style>
  <w:style w:type="paragraph" w:styleId="TDC2">
    <w:name w:val="toc 2"/>
    <w:basedOn w:val="Normal"/>
    <w:next w:val="Normal"/>
    <w:autoRedefine/>
    <w:uiPriority w:val="39"/>
    <w:unhideWhenUsed/>
    <w:rsid w:val="00BA187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ura.blancodeleon@gmail.com" TargetMode="External"/><Relationship Id="rId13" Type="http://schemas.openxmlformats.org/officeDocument/2006/relationships/hyperlink" Target="https://studylib.es/doc/5497852/respuestas-estatales-a-los-usuarios-de-sustancias" TargetMode="External"/><Relationship Id="rId18" Type="http://schemas.openxmlformats.org/officeDocument/2006/relationships/hyperlink" Target="https://www.gub.uy/junta-nacional-drogas/sites/junta-nacional-drogas/files/documentos/publicaciones/Plan%20nacional%20para%20el%20abordaje%20del%20UPD%20en%20personas%20sujetas%20a%20sanciones%20penales%20%282%29.pdf" TargetMode="External"/><Relationship Id="rId26" Type="http://schemas.openxmlformats.org/officeDocument/2006/relationships/hyperlink" Target="https://plataformadeclubes.blogspot.com/2021/01/modificaciones-e-incorporaciones-en-la.html" TargetMode="External"/><Relationship Id="rId3" Type="http://schemas.openxmlformats.org/officeDocument/2006/relationships/styles" Target="styles.xml"/><Relationship Id="rId21" Type="http://schemas.openxmlformats.org/officeDocument/2006/relationships/hyperlink" Target="https://www.gub.uy/junta-nacional-drogas/sites/junta-nacional-drogas/files/documentos/publicaciones/Situaci%C3%B3n%20y%20caracter%C3%ADsiticas%20oferta%20de%20atenci%C3%B3n%20y%20tratamiento_Uruguay%202022_versi%C3%B3n_final.pdf?utm_source=chatgpt.com" TargetMode="External"/><Relationship Id="rId7" Type="http://schemas.openxmlformats.org/officeDocument/2006/relationships/image" Target="media/image2.png"/><Relationship Id="rId12" Type="http://schemas.openxmlformats.org/officeDocument/2006/relationships/hyperlink" Target="https://www.dejusticia.org/wp-content/uploads/2023/10/Por-el-lado-mas-fino-Privacion-de-libertad-y-legislacion-sobre-drogas-en-Uruguay.pdf" TargetMode="External"/><Relationship Id="rId17" Type="http://schemas.openxmlformats.org/officeDocument/2006/relationships/hyperlink" Target="https://www.gub.uy/sites/gubuy/files/2025-10/2_Complemento%20Diagnostico%20%28PNSP%202025%29.pdf?utm_source=chatgpt.com" TargetMode="External"/><Relationship Id="rId25" Type="http://schemas.openxmlformats.org/officeDocument/2006/relationships/hyperlink" Target="https://universidad.claeh.edu.uy/wp-content/uploads/2023/04/Diagnostico-MPL_v4-1.pdf" TargetMode="External"/><Relationship Id="rId2" Type="http://schemas.openxmlformats.org/officeDocument/2006/relationships/numbering" Target="numbering.xml"/><Relationship Id="rId16" Type="http://schemas.openxmlformats.org/officeDocument/2006/relationships/hyperlink" Target="https://visualizador.gobiernoabierto.gub.uy/visualizador/api/repos/%3Apublic%3Aorganismos%3Afiscalia%3ADatos_fiscalia.wcdf/generatedContent" TargetMode="External"/><Relationship Id="rId20" Type="http://schemas.openxmlformats.org/officeDocument/2006/relationships/hyperlink" Target="https://www.gub.uy/junta-nacional-drogas/sites/junta-nacional-drogas/files/documentos/noticias/Libro_Estrategia%20nacional%20-%20completo%20v7%20con%20tapas.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amnesty.org/es/location/americas/south-america/uruguay/report-uruguay/" TargetMode="External"/><Relationship Id="rId24" Type="http://schemas.openxmlformats.org/officeDocument/2006/relationships/hyperlink" Target="https://www.gub.uy/junta-nacional-drogas/tramites-y-servicios/servicios/centros-atencion" TargetMode="External"/><Relationship Id="rId5" Type="http://schemas.openxmlformats.org/officeDocument/2006/relationships/webSettings" Target="webSettings.xml"/><Relationship Id="rId15" Type="http://schemas.openxmlformats.org/officeDocument/2006/relationships/hyperlink" Target="https://ceres.uy/index.php/estudios/ficha_estudio/145" TargetMode="External"/><Relationship Id="rId23" Type="http://schemas.openxmlformats.org/officeDocument/2006/relationships/hyperlink" Target="https://www.gub.uy/junta-nacional-drogas/sites/junta-nacional-drogas/files/documentos/publicaciones/JND_X.Encuesta.Drogas_2025_Final.pdf?utm_source=chatgpt.com" TargetMode="External"/><Relationship Id="rId28" Type="http://schemas.openxmlformats.org/officeDocument/2006/relationships/hyperlink" Target="https://www.prisonstudies.org/country/uruguay?utm_source=chatgpt.com" TargetMode="External"/><Relationship Id="rId10" Type="http://schemas.openxmlformats.org/officeDocument/2006/relationships/hyperlink" Target="mailto:acotsfernandez@idpc.net" TargetMode="External"/><Relationship Id="rId19" Type="http://schemas.openxmlformats.org/officeDocument/2006/relationships/hyperlink" Target="https://ircca.gub.uy/?utm_source=chatgpt.com" TargetMode="External"/><Relationship Id="rId4" Type="http://schemas.openxmlformats.org/officeDocument/2006/relationships/settings" Target="settings.xml"/><Relationship Id="rId9" Type="http://schemas.openxmlformats.org/officeDocument/2006/relationships/hyperlink" Target="mailto:inforedlanpud@gmail.com" TargetMode="External"/><Relationship Id="rId14" Type="http://schemas.openxmlformats.org/officeDocument/2006/relationships/hyperlink" Target="http://www.diputados.gub.uy/wp-content/uploads/2023/07/1376.pdf" TargetMode="External"/><Relationship Id="rId22" Type="http://schemas.openxmlformats.org/officeDocument/2006/relationships/hyperlink" Target="https://www.gub.uy/junta-nacional-drogas/sites/junta-nacional-drogas/files/documentos/publicaciones/JND%20-%20VIII%20-%20ENCUESTA-Digital.pdf?utm_source=chatgpt.com" TargetMode="External"/><Relationship Id="rId27" Type="http://schemas.openxmlformats.org/officeDocument/2006/relationships/hyperlink" Target="https://www.wola.org/wp-content/uploads/2023/11/Briefing-Paper-Liberarlas-es-justicia_Final_Web.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BBAFFB-91BF-4261-8979-31E83A939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5603</Words>
  <Characters>31938</Characters>
  <Application>Microsoft Office Word</Application>
  <DocSecurity>0</DocSecurity>
  <Lines>266</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Ernesto Cortes</dc:creator>
  <cp:keywords/>
  <dc:description/>
  <cp:lastModifiedBy>Ernesto Cortes</cp:lastModifiedBy>
  <cp:revision>3</cp:revision>
  <dcterms:created xsi:type="dcterms:W3CDTF">2026-01-10T04:14:00Z</dcterms:created>
  <dcterms:modified xsi:type="dcterms:W3CDTF">2026-01-14T06:52:00Z</dcterms:modified>
</cp:coreProperties>
</file>