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519A" w:rsidRDefault="002A519A" w:rsidP="002A519A">
      <w:pPr>
        <w:jc w:val="both"/>
        <w:rPr>
          <w:rFonts w:ascii="Times New Roman" w:hAnsi="Times New Roman" w:cs="Times New Roman"/>
          <w:b/>
        </w:rPr>
      </w:pPr>
      <w:bookmarkStart w:id="0" w:name="_GoBack"/>
      <w:bookmarkEnd w:id="0"/>
      <w:r w:rsidRPr="00E51E20">
        <w:rPr>
          <w:noProof/>
          <w:lang w:val="en-US"/>
        </w:rPr>
        <w:drawing>
          <wp:anchor distT="0" distB="0" distL="114300" distR="114300" simplePos="0" relativeHeight="251659264" behindDoc="1" locked="0" layoutInCell="1" allowOverlap="1" wp14:anchorId="58EE8814" wp14:editId="51E75542">
            <wp:simplePos x="0" y="0"/>
            <wp:positionH relativeFrom="margin">
              <wp:posOffset>4114946</wp:posOffset>
            </wp:positionH>
            <wp:positionV relativeFrom="paragraph">
              <wp:posOffset>-312859</wp:posOffset>
            </wp:positionV>
            <wp:extent cx="1954867" cy="780889"/>
            <wp:effectExtent l="0" t="0" r="7620" b="635"/>
            <wp:wrapNone/>
            <wp:docPr id="34" name="Picture 34" descr="C:\Users\Charrington\AppData\Local\Microsoft\Windows\Temporary Internet Files\Content.Outlook\EYT99SLX\ISI Logo-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arrington\AppData\Local\Microsoft\Windows\Temporary Internet Files\Content.Outlook\EYT99SLX\ISI Logo-3.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54867" cy="78088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A519A" w:rsidRDefault="002A519A" w:rsidP="002A519A">
      <w:pPr>
        <w:jc w:val="both"/>
        <w:rPr>
          <w:rFonts w:ascii="Times New Roman" w:hAnsi="Times New Roman" w:cs="Times New Roman"/>
          <w:b/>
        </w:rPr>
      </w:pPr>
    </w:p>
    <w:p w:rsidR="002A519A" w:rsidRDefault="002A519A" w:rsidP="002A519A">
      <w:pPr>
        <w:spacing w:after="0" w:line="240" w:lineRule="auto"/>
        <w:jc w:val="center"/>
        <w:rPr>
          <w:b/>
          <w:sz w:val="36"/>
          <w:szCs w:val="36"/>
        </w:rPr>
      </w:pPr>
    </w:p>
    <w:p w:rsidR="002A519A" w:rsidRPr="00187803" w:rsidRDefault="002A519A" w:rsidP="002A519A">
      <w:pPr>
        <w:spacing w:after="0" w:line="240" w:lineRule="auto"/>
        <w:jc w:val="center"/>
        <w:rPr>
          <w:b/>
          <w:sz w:val="36"/>
          <w:szCs w:val="36"/>
        </w:rPr>
      </w:pPr>
      <w:r w:rsidRPr="00187803">
        <w:rPr>
          <w:b/>
          <w:sz w:val="36"/>
          <w:szCs w:val="36"/>
        </w:rPr>
        <w:t>THE COMMITTEE ON THE RIGHTS OF THE CHILD</w:t>
      </w:r>
    </w:p>
    <w:p w:rsidR="002A519A" w:rsidRPr="00187803" w:rsidRDefault="002A519A" w:rsidP="002A519A">
      <w:pPr>
        <w:spacing w:after="0" w:line="240" w:lineRule="auto"/>
        <w:jc w:val="center"/>
        <w:rPr>
          <w:b/>
          <w:sz w:val="28"/>
          <w:szCs w:val="28"/>
        </w:rPr>
      </w:pPr>
      <w:r w:rsidRPr="00187803">
        <w:rPr>
          <w:b/>
          <w:sz w:val="28"/>
          <w:szCs w:val="28"/>
        </w:rPr>
        <w:t>7</w:t>
      </w:r>
      <w:r>
        <w:rPr>
          <w:b/>
          <w:sz w:val="28"/>
          <w:szCs w:val="28"/>
        </w:rPr>
        <w:t>1</w:t>
      </w:r>
      <w:r w:rsidRPr="00321E29">
        <w:rPr>
          <w:b/>
          <w:sz w:val="28"/>
          <w:szCs w:val="28"/>
          <w:vertAlign w:val="superscript"/>
        </w:rPr>
        <w:t>st</w:t>
      </w:r>
      <w:r>
        <w:rPr>
          <w:b/>
          <w:sz w:val="28"/>
          <w:szCs w:val="28"/>
        </w:rPr>
        <w:t xml:space="preserve"> </w:t>
      </w:r>
      <w:r w:rsidRPr="00187803">
        <w:rPr>
          <w:b/>
          <w:sz w:val="28"/>
          <w:szCs w:val="28"/>
        </w:rPr>
        <w:t>Session (</w:t>
      </w:r>
      <w:r>
        <w:rPr>
          <w:b/>
          <w:sz w:val="28"/>
          <w:szCs w:val="28"/>
        </w:rPr>
        <w:t>11 – 29 January</w:t>
      </w:r>
      <w:r w:rsidRPr="00187803">
        <w:rPr>
          <w:b/>
          <w:sz w:val="28"/>
          <w:szCs w:val="28"/>
        </w:rPr>
        <w:t xml:space="preserve"> 2016)</w:t>
      </w:r>
    </w:p>
    <w:p w:rsidR="002A519A" w:rsidRPr="00E51E20" w:rsidRDefault="002A519A" w:rsidP="002A519A">
      <w:pPr>
        <w:spacing w:after="0" w:line="240" w:lineRule="auto"/>
        <w:jc w:val="center"/>
        <w:rPr>
          <w:b/>
        </w:rPr>
      </w:pPr>
    </w:p>
    <w:p w:rsidR="002A519A" w:rsidRPr="00E51E20" w:rsidRDefault="002A519A" w:rsidP="002A519A">
      <w:pPr>
        <w:spacing w:after="0" w:line="240" w:lineRule="auto"/>
        <w:jc w:val="center"/>
        <w:rPr>
          <w:b/>
        </w:rPr>
      </w:pPr>
    </w:p>
    <w:p w:rsidR="002A519A" w:rsidRPr="00187803" w:rsidRDefault="002A519A" w:rsidP="002A519A">
      <w:pPr>
        <w:spacing w:after="0" w:line="240" w:lineRule="auto"/>
        <w:jc w:val="center"/>
        <w:rPr>
          <w:b/>
          <w:sz w:val="28"/>
          <w:szCs w:val="28"/>
        </w:rPr>
      </w:pPr>
      <w:r>
        <w:rPr>
          <w:b/>
          <w:sz w:val="28"/>
          <w:szCs w:val="28"/>
        </w:rPr>
        <w:t>IRAN</w:t>
      </w:r>
    </w:p>
    <w:p w:rsidR="002A519A" w:rsidRDefault="002A519A" w:rsidP="002A519A">
      <w:pPr>
        <w:spacing w:after="0" w:line="240" w:lineRule="auto"/>
        <w:jc w:val="center"/>
        <w:rPr>
          <w:b/>
          <w:sz w:val="28"/>
          <w:szCs w:val="28"/>
        </w:rPr>
      </w:pPr>
    </w:p>
    <w:p w:rsidR="002A519A" w:rsidRDefault="002A519A" w:rsidP="002A519A">
      <w:pPr>
        <w:spacing w:after="0" w:line="240" w:lineRule="auto"/>
        <w:jc w:val="center"/>
        <w:rPr>
          <w:b/>
          <w:sz w:val="28"/>
          <w:szCs w:val="28"/>
        </w:rPr>
      </w:pPr>
      <w:r>
        <w:rPr>
          <w:b/>
          <w:sz w:val="28"/>
          <w:szCs w:val="28"/>
        </w:rPr>
        <w:t xml:space="preserve">Additional Information for the consideration of the Committee in relation to </w:t>
      </w:r>
      <w:r w:rsidRPr="00187803">
        <w:rPr>
          <w:b/>
          <w:sz w:val="28"/>
          <w:szCs w:val="28"/>
        </w:rPr>
        <w:t>the right of every child to acquire a nationality under Article 7 CRC</w:t>
      </w:r>
    </w:p>
    <w:p w:rsidR="002A519A" w:rsidRDefault="002A519A" w:rsidP="002A519A">
      <w:pPr>
        <w:spacing w:after="0" w:line="240" w:lineRule="auto"/>
        <w:jc w:val="center"/>
        <w:rPr>
          <w:b/>
          <w:sz w:val="28"/>
          <w:szCs w:val="28"/>
        </w:rPr>
      </w:pPr>
    </w:p>
    <w:p w:rsidR="002A519A" w:rsidRPr="004E15D0" w:rsidRDefault="00090FF6" w:rsidP="004E15D0">
      <w:pPr>
        <w:pStyle w:val="ListParagraph"/>
        <w:numPr>
          <w:ilvl w:val="0"/>
          <w:numId w:val="4"/>
        </w:numPr>
        <w:spacing w:after="0" w:line="240" w:lineRule="auto"/>
        <w:jc w:val="center"/>
      </w:pPr>
      <w:r w:rsidRPr="004E15D0">
        <w:t>D</w:t>
      </w:r>
      <w:r w:rsidR="002A519A" w:rsidRPr="004E15D0">
        <w:t>ecember 2015</w:t>
      </w:r>
    </w:p>
    <w:p w:rsidR="002A519A" w:rsidRPr="004E15D0" w:rsidRDefault="002A519A" w:rsidP="004E15D0">
      <w:pPr>
        <w:spacing w:after="0" w:line="240" w:lineRule="auto"/>
        <w:jc w:val="both"/>
        <w:rPr>
          <w:rFonts w:cs="Times New Roman"/>
          <w:b/>
        </w:rPr>
      </w:pPr>
    </w:p>
    <w:p w:rsidR="002A519A" w:rsidRPr="004E15D0" w:rsidRDefault="002A519A" w:rsidP="004E15D0">
      <w:pPr>
        <w:pStyle w:val="ListParagraph"/>
        <w:numPr>
          <w:ilvl w:val="0"/>
          <w:numId w:val="3"/>
        </w:numPr>
        <w:spacing w:after="0" w:line="240" w:lineRule="auto"/>
        <w:jc w:val="both"/>
      </w:pPr>
      <w:r w:rsidRPr="004E15D0">
        <w:t>The Institute on Statelessness and Inclusion (the Institute)</w:t>
      </w:r>
      <w:r w:rsidRPr="004E15D0">
        <w:rPr>
          <w:rStyle w:val="FootnoteReference"/>
        </w:rPr>
        <w:footnoteReference w:id="1"/>
      </w:r>
      <w:r w:rsidRPr="004E15D0">
        <w:t xml:space="preserve"> welcomes the opportunity to submit additional information for the consideration of the Committee on the Rights of the Child regarding Iran’s compliance towards every child’s right to acquire a nationality under Article 7 CRC. </w:t>
      </w:r>
      <w:r w:rsidRPr="004E15D0">
        <w:rPr>
          <w:rFonts w:cs="Times New Roman"/>
        </w:rPr>
        <w:t xml:space="preserve">The Institute’s submission frames some comments on Iran’s written replies to the List of Issues. </w:t>
      </w:r>
    </w:p>
    <w:p w:rsidR="002A519A" w:rsidRPr="004E15D0" w:rsidRDefault="002A519A" w:rsidP="004E15D0">
      <w:pPr>
        <w:pStyle w:val="ListParagraph"/>
        <w:spacing w:after="0" w:line="240" w:lineRule="auto"/>
        <w:jc w:val="both"/>
      </w:pPr>
    </w:p>
    <w:p w:rsidR="002A519A" w:rsidRPr="004E15D0" w:rsidRDefault="002A519A" w:rsidP="004E15D0">
      <w:pPr>
        <w:pStyle w:val="ListParagraph"/>
        <w:numPr>
          <w:ilvl w:val="0"/>
          <w:numId w:val="3"/>
        </w:numPr>
        <w:spacing w:after="0" w:line="240" w:lineRule="auto"/>
        <w:jc w:val="both"/>
        <w:rPr>
          <w:rFonts w:cs="Times New Roman"/>
          <w:i/>
        </w:rPr>
      </w:pPr>
      <w:r w:rsidRPr="004E15D0">
        <w:rPr>
          <w:rFonts w:cs="Times New Roman"/>
        </w:rPr>
        <w:t xml:space="preserve">The List of Issues contained two questions relevant to the focus of this submission. </w:t>
      </w:r>
      <w:r w:rsidRPr="004E15D0">
        <w:rPr>
          <w:rFonts w:cs="Times New Roman"/>
          <w:b/>
        </w:rPr>
        <w:t>In question 8 of Part 1 of the List of Issues</w:t>
      </w:r>
      <w:r w:rsidRPr="004E15D0">
        <w:rPr>
          <w:rFonts w:cs="Times New Roman"/>
        </w:rPr>
        <w:t xml:space="preserve">, </w:t>
      </w:r>
      <w:r w:rsidR="002C6339" w:rsidRPr="004E15D0">
        <w:rPr>
          <w:rFonts w:cs="Times New Roman"/>
        </w:rPr>
        <w:t xml:space="preserve">the Committee asked Iran </w:t>
      </w:r>
      <w:r w:rsidRPr="004E15D0">
        <w:rPr>
          <w:rFonts w:cs="Times New Roman"/>
        </w:rPr>
        <w:t>to</w:t>
      </w:r>
      <w:r w:rsidR="002C6339" w:rsidRPr="004E15D0">
        <w:rPr>
          <w:rFonts w:cs="Times New Roman"/>
        </w:rPr>
        <w:t>:</w:t>
      </w:r>
      <w:r w:rsidRPr="004E15D0">
        <w:rPr>
          <w:rFonts w:cs="Times New Roman"/>
        </w:rPr>
        <w:t xml:space="preserve"> </w:t>
      </w:r>
      <w:r w:rsidRPr="004E15D0">
        <w:rPr>
          <w:rFonts w:cs="Times New Roman"/>
          <w:i/>
        </w:rPr>
        <w:t>“</w:t>
      </w:r>
      <w:r w:rsidR="002C6339" w:rsidRPr="004E15D0">
        <w:rPr>
          <w:rFonts w:cs="Times New Roman"/>
          <w:i/>
        </w:rPr>
        <w:t>Please indicate the measures taken to eliminate persistent discrimination in law and practice against girls, children with disabilities, children born out of wedlock, unregistered children, refugee and migrant children as well as lesbian, gay, bisexual, transgender and intersex children”</w:t>
      </w:r>
    </w:p>
    <w:p w:rsidR="002A519A" w:rsidRPr="004E15D0" w:rsidRDefault="002A519A" w:rsidP="004E15D0">
      <w:pPr>
        <w:pStyle w:val="ListParagraph"/>
        <w:spacing w:after="0" w:line="240" w:lineRule="auto"/>
        <w:rPr>
          <w:rFonts w:cs="Times New Roman"/>
        </w:rPr>
      </w:pPr>
    </w:p>
    <w:p w:rsidR="00090FF6" w:rsidRPr="004E15D0" w:rsidRDefault="002A519A" w:rsidP="004E15D0">
      <w:pPr>
        <w:pStyle w:val="ListParagraph"/>
        <w:numPr>
          <w:ilvl w:val="0"/>
          <w:numId w:val="3"/>
        </w:numPr>
        <w:spacing w:after="0" w:line="240" w:lineRule="auto"/>
        <w:jc w:val="both"/>
        <w:rPr>
          <w:rFonts w:cs="Times New Roman"/>
          <w:i/>
        </w:rPr>
      </w:pPr>
      <w:r w:rsidRPr="004E15D0">
        <w:rPr>
          <w:rFonts w:cs="Times New Roman"/>
        </w:rPr>
        <w:t>In its written reply, Iran stated that</w:t>
      </w:r>
      <w:r w:rsidR="002C6339" w:rsidRPr="004E15D0">
        <w:rPr>
          <w:rFonts w:cs="Times New Roman"/>
        </w:rPr>
        <w:t>:</w:t>
      </w:r>
      <w:r w:rsidRPr="004E15D0">
        <w:rPr>
          <w:rFonts w:cs="Times New Roman"/>
        </w:rPr>
        <w:t xml:space="preserve"> </w:t>
      </w:r>
      <w:r w:rsidR="002C6339" w:rsidRPr="004E15D0">
        <w:rPr>
          <w:rFonts w:eastAsia="Calibri"/>
          <w:i/>
          <w:lang w:val="en-US"/>
        </w:rPr>
        <w:t xml:space="preserve">“In 2006, </w:t>
      </w:r>
      <w:r w:rsidRPr="004E15D0">
        <w:rPr>
          <w:rFonts w:eastAsia="Calibri"/>
          <w:i/>
          <w:lang w:val="en-US"/>
        </w:rPr>
        <w:t>‘</w:t>
      </w:r>
      <w:r w:rsidR="002C6339" w:rsidRPr="004E15D0">
        <w:rPr>
          <w:rFonts w:eastAsia="Calibri"/>
          <w:i/>
          <w:lang w:val="en-US"/>
        </w:rPr>
        <w:t>The Law on Determining the Status of Children Born in Marriages between Iranian Women and Foreign Men</w:t>
      </w:r>
      <w:r w:rsidRPr="004E15D0">
        <w:rPr>
          <w:rFonts w:eastAsia="Calibri"/>
          <w:i/>
          <w:lang w:val="en-US"/>
        </w:rPr>
        <w:t>’</w:t>
      </w:r>
      <w:r w:rsidR="002C6339" w:rsidRPr="004E15D0">
        <w:rPr>
          <w:rFonts w:eastAsia="Calibri"/>
          <w:i/>
          <w:lang w:val="en-US"/>
        </w:rPr>
        <w:t xml:space="preserve"> was passed. According to this law, children born from the above-mentioned parents in Iran or those born in Iran at most one year after the adoption of this law, </w:t>
      </w:r>
      <w:r w:rsidR="002C6339" w:rsidRPr="004E15D0">
        <w:rPr>
          <w:rFonts w:eastAsia="Calibri"/>
          <w:b/>
          <w:i/>
          <w:lang w:val="en-US"/>
        </w:rPr>
        <w:t>can plea for Iranian citizenship after they come of 18 years of age</w:t>
      </w:r>
      <w:r w:rsidR="002C6339" w:rsidRPr="004E15D0">
        <w:rPr>
          <w:rFonts w:eastAsia="Calibri"/>
          <w:i/>
          <w:lang w:val="en-US"/>
        </w:rPr>
        <w:t>. Based on this single Article, children subject to this Article are granted residence even prior to acquisition of Iranian citizenship.” (para. 50</w:t>
      </w:r>
      <w:r w:rsidRPr="004E15D0">
        <w:rPr>
          <w:rFonts w:eastAsia="Calibri"/>
          <w:i/>
          <w:lang w:val="en-US"/>
        </w:rPr>
        <w:t>, emphasis added</w:t>
      </w:r>
      <w:r w:rsidR="002C6339" w:rsidRPr="004E15D0">
        <w:rPr>
          <w:rFonts w:eastAsia="Calibri"/>
          <w:i/>
          <w:lang w:val="en-US"/>
        </w:rPr>
        <w:t>)</w:t>
      </w:r>
    </w:p>
    <w:p w:rsidR="00090FF6" w:rsidRPr="004E15D0" w:rsidRDefault="00090FF6" w:rsidP="004E15D0">
      <w:pPr>
        <w:pStyle w:val="ListParagraph"/>
        <w:spacing w:after="0" w:line="240" w:lineRule="auto"/>
        <w:rPr>
          <w:rFonts w:eastAsia="Calibri"/>
          <w:lang w:val="en-US"/>
        </w:rPr>
      </w:pPr>
    </w:p>
    <w:p w:rsidR="002C6339" w:rsidRPr="004E15D0" w:rsidRDefault="002A519A" w:rsidP="004E15D0">
      <w:pPr>
        <w:pStyle w:val="ListParagraph"/>
        <w:numPr>
          <w:ilvl w:val="0"/>
          <w:numId w:val="3"/>
        </w:numPr>
        <w:spacing w:after="0" w:line="240" w:lineRule="auto"/>
        <w:jc w:val="both"/>
        <w:rPr>
          <w:rFonts w:cs="Times New Roman"/>
          <w:i/>
        </w:rPr>
      </w:pPr>
      <w:r w:rsidRPr="004E15D0">
        <w:rPr>
          <w:rFonts w:eastAsia="Calibri"/>
          <w:lang w:val="en-US"/>
        </w:rPr>
        <w:t xml:space="preserve">Furthermore, under the heading </w:t>
      </w:r>
      <w:r w:rsidR="002C6339" w:rsidRPr="004E15D0">
        <w:rPr>
          <w:rFonts w:eastAsia="Calibri"/>
          <w:lang w:val="en-US"/>
        </w:rPr>
        <w:t>‘practical measures’</w:t>
      </w:r>
      <w:r w:rsidR="00090FF6" w:rsidRPr="004E15D0">
        <w:rPr>
          <w:rFonts w:eastAsia="Calibri"/>
          <w:lang w:val="en-US"/>
        </w:rPr>
        <w:t xml:space="preserve"> Iran stated that it was</w:t>
      </w:r>
      <w:r w:rsidR="002C6339" w:rsidRPr="004E15D0">
        <w:rPr>
          <w:rFonts w:eastAsia="Calibri"/>
          <w:lang w:val="en-US"/>
        </w:rPr>
        <w:t>:</w:t>
      </w:r>
      <w:r w:rsidR="00090FF6" w:rsidRPr="004E15D0">
        <w:rPr>
          <w:rFonts w:eastAsia="Calibri"/>
          <w:lang w:val="en-US"/>
        </w:rPr>
        <w:t xml:space="preserve"> </w:t>
      </w:r>
      <w:r w:rsidR="002C6339" w:rsidRPr="004E15D0">
        <w:rPr>
          <w:rFonts w:eastAsia="Calibri"/>
          <w:i/>
          <w:lang w:val="en-US"/>
        </w:rPr>
        <w:t>“</w:t>
      </w:r>
      <w:r w:rsidR="00090FF6" w:rsidRPr="004E15D0">
        <w:rPr>
          <w:rFonts w:eastAsia="Calibri"/>
          <w:i/>
          <w:lang w:val="en-US"/>
        </w:rPr>
        <w:t>Devising a research plan on ‘</w:t>
      </w:r>
      <w:r w:rsidR="002C6339" w:rsidRPr="004E15D0">
        <w:rPr>
          <w:rFonts w:eastAsia="Calibri"/>
          <w:i/>
          <w:lang w:val="en-US"/>
        </w:rPr>
        <w:t>Determining the Citizenship of Children Born in Marriages betwee</w:t>
      </w:r>
      <w:r w:rsidR="00090FF6" w:rsidRPr="004E15D0">
        <w:rPr>
          <w:rFonts w:eastAsia="Calibri"/>
          <w:i/>
          <w:lang w:val="en-US"/>
        </w:rPr>
        <w:t>n Iranian Women and Foreign Men’</w:t>
      </w:r>
      <w:r w:rsidR="002C6339" w:rsidRPr="004E15D0">
        <w:rPr>
          <w:rFonts w:eastAsia="Calibri"/>
          <w:i/>
          <w:lang w:val="en-US"/>
        </w:rPr>
        <w:t xml:space="preserve"> by the office of vice president for family and women affairs in order to acquire the advisory opinion of private international law experts and specialists and determine the best legal initiative to support these children.” (para. 57)</w:t>
      </w:r>
    </w:p>
    <w:p w:rsidR="008A46A7" w:rsidRPr="004E15D0" w:rsidRDefault="008A46A7" w:rsidP="004E15D0">
      <w:pPr>
        <w:pStyle w:val="ListParagraph"/>
        <w:spacing w:after="0" w:line="240" w:lineRule="auto"/>
        <w:rPr>
          <w:rFonts w:cs="Times New Roman"/>
          <w:i/>
        </w:rPr>
      </w:pPr>
    </w:p>
    <w:p w:rsidR="008A46A7" w:rsidRPr="004E15D0" w:rsidRDefault="008A46A7" w:rsidP="004E15D0">
      <w:pPr>
        <w:pStyle w:val="ListParagraph"/>
        <w:numPr>
          <w:ilvl w:val="0"/>
          <w:numId w:val="3"/>
        </w:numPr>
        <w:spacing w:after="0" w:line="240" w:lineRule="auto"/>
        <w:jc w:val="both"/>
        <w:rPr>
          <w:rFonts w:cs="Times New Roman"/>
          <w:i/>
        </w:rPr>
      </w:pPr>
      <w:r w:rsidRPr="004E15D0">
        <w:rPr>
          <w:rFonts w:cs="Times New Roman"/>
        </w:rPr>
        <w:t>The Institute would like to draw the Committee’s attention to the following concerns relating to these written answers by the state of Iran:</w:t>
      </w:r>
    </w:p>
    <w:p w:rsidR="008A46A7" w:rsidRPr="004E15D0" w:rsidRDefault="008A46A7" w:rsidP="004E15D0">
      <w:pPr>
        <w:pStyle w:val="ListParagraph"/>
        <w:spacing w:after="0" w:line="240" w:lineRule="auto"/>
        <w:rPr>
          <w:rFonts w:cs="Times New Roman"/>
          <w:i/>
        </w:rPr>
      </w:pPr>
    </w:p>
    <w:p w:rsidR="008A46A7" w:rsidRPr="004E15D0" w:rsidRDefault="008A46A7" w:rsidP="004E15D0">
      <w:pPr>
        <w:pStyle w:val="ListParagraph"/>
        <w:numPr>
          <w:ilvl w:val="1"/>
          <w:numId w:val="3"/>
        </w:numPr>
        <w:spacing w:after="0" w:line="240" w:lineRule="auto"/>
        <w:jc w:val="both"/>
        <w:rPr>
          <w:rFonts w:cs="Times New Roman"/>
          <w:i/>
        </w:rPr>
      </w:pPr>
      <w:r w:rsidRPr="004E15D0">
        <w:rPr>
          <w:rFonts w:cs="Times New Roman"/>
        </w:rPr>
        <w:t xml:space="preserve">Iran is one of 27 countries that </w:t>
      </w:r>
      <w:proofErr w:type="gramStart"/>
      <w:r w:rsidRPr="004E15D0">
        <w:rPr>
          <w:rFonts w:cs="Times New Roman"/>
        </w:rPr>
        <w:t>continues</w:t>
      </w:r>
      <w:proofErr w:type="gramEnd"/>
      <w:r w:rsidRPr="004E15D0">
        <w:rPr>
          <w:rFonts w:cs="Times New Roman"/>
        </w:rPr>
        <w:t xml:space="preserve"> to discriminate against women in their ability to confer nationality to their children, in violation of CEDAW Article 9(2) and CRC Articles 7 and 2. The Committee has made </w:t>
      </w:r>
      <w:r w:rsidR="001D79D2" w:rsidRPr="004E15D0">
        <w:rPr>
          <w:rFonts w:cs="Times New Roman"/>
        </w:rPr>
        <w:t xml:space="preserve">over 35 recommendations to states </w:t>
      </w:r>
      <w:r w:rsidR="001D79D2" w:rsidRPr="004E15D0">
        <w:rPr>
          <w:rFonts w:cs="Times New Roman"/>
        </w:rPr>
        <w:lastRenderedPageBreak/>
        <w:t>to end gender discrimination in their nationality laws, including in relation to children born out of wedlock and children born to foreign fathers and citizen mothers.</w:t>
      </w:r>
      <w:r w:rsidR="001D79D2" w:rsidRPr="004E15D0">
        <w:rPr>
          <w:rStyle w:val="FootnoteReference"/>
          <w:rFonts w:cs="Times New Roman"/>
        </w:rPr>
        <w:footnoteReference w:id="2"/>
      </w:r>
      <w:r w:rsidR="001D79D2" w:rsidRPr="004E15D0">
        <w:rPr>
          <w:rFonts w:cs="Times New Roman"/>
        </w:rPr>
        <w:t xml:space="preserve"> Iran’s written answer does not demonstrate that progress has </w:t>
      </w:r>
      <w:r w:rsidR="0031233A">
        <w:rPr>
          <w:rFonts w:cs="Times New Roman"/>
        </w:rPr>
        <w:t xml:space="preserve">been </w:t>
      </w:r>
      <w:r w:rsidR="001D79D2" w:rsidRPr="004E15D0">
        <w:rPr>
          <w:rFonts w:cs="Times New Roman"/>
        </w:rPr>
        <w:t>made in addressing gender discrimination in its law.</w:t>
      </w:r>
    </w:p>
    <w:p w:rsidR="001D79D2" w:rsidRPr="004E15D0" w:rsidRDefault="001D79D2" w:rsidP="004E15D0">
      <w:pPr>
        <w:pStyle w:val="ListParagraph"/>
        <w:spacing w:after="0" w:line="240" w:lineRule="auto"/>
        <w:ind w:left="1440"/>
        <w:jc w:val="both"/>
        <w:rPr>
          <w:rFonts w:cs="Times New Roman"/>
          <w:i/>
        </w:rPr>
      </w:pPr>
    </w:p>
    <w:p w:rsidR="001D79D2" w:rsidRPr="004E15D0" w:rsidRDefault="001D79D2" w:rsidP="004E15D0">
      <w:pPr>
        <w:pStyle w:val="ListParagraph"/>
        <w:numPr>
          <w:ilvl w:val="1"/>
          <w:numId w:val="3"/>
        </w:numPr>
        <w:spacing w:after="0" w:line="240" w:lineRule="auto"/>
        <w:jc w:val="both"/>
        <w:rPr>
          <w:rFonts w:cs="Times New Roman"/>
          <w:i/>
        </w:rPr>
      </w:pPr>
      <w:r w:rsidRPr="004E15D0">
        <w:rPr>
          <w:rFonts w:cs="Times New Roman"/>
        </w:rPr>
        <w:t>According to the amended law, children have no access to Iranian nationality, as naturalisation may only be applied for after the age of 18. Consequently, the amendment does not address childhood statelessness, does not bring Iranian law into compliance with CRC Article 7 and is contrary to the principle of the best interests of the child.</w:t>
      </w:r>
    </w:p>
    <w:p w:rsidR="001D79D2" w:rsidRPr="004E15D0" w:rsidRDefault="001D79D2" w:rsidP="004E15D0">
      <w:pPr>
        <w:pStyle w:val="ListParagraph"/>
        <w:spacing w:after="0" w:line="240" w:lineRule="auto"/>
        <w:rPr>
          <w:rFonts w:cs="Times New Roman"/>
          <w:i/>
        </w:rPr>
      </w:pPr>
    </w:p>
    <w:p w:rsidR="004B16AC" w:rsidRPr="004E15D0" w:rsidRDefault="004B16AC" w:rsidP="004E15D0">
      <w:pPr>
        <w:pStyle w:val="ListParagraph"/>
        <w:numPr>
          <w:ilvl w:val="1"/>
          <w:numId w:val="3"/>
        </w:numPr>
        <w:spacing w:after="0" w:line="240" w:lineRule="auto"/>
        <w:jc w:val="both"/>
        <w:rPr>
          <w:rFonts w:cs="Times New Roman"/>
          <w:i/>
        </w:rPr>
      </w:pPr>
      <w:r w:rsidRPr="004E15D0">
        <w:rPr>
          <w:rFonts w:cs="Times New Roman"/>
        </w:rPr>
        <w:t xml:space="preserve">Iran’s written answers have not elaborated on the process through which the children of Iranian women and foreign fathers are naturalised. </w:t>
      </w:r>
      <w:r w:rsidR="00E92AC1" w:rsidRPr="004E15D0">
        <w:rPr>
          <w:rFonts w:cs="Times New Roman"/>
        </w:rPr>
        <w:t xml:space="preserve">Closer analysis of these requirements show that even persons who have reached the age of 18 and who would otherwise be stateless, are not fully protected by this provision. </w:t>
      </w:r>
      <w:r w:rsidRPr="004E15D0">
        <w:rPr>
          <w:rFonts w:cs="Times New Roman"/>
        </w:rPr>
        <w:t xml:space="preserve">The full text of the single article is as follows: </w:t>
      </w:r>
    </w:p>
    <w:p w:rsidR="004B16AC" w:rsidRPr="004E15D0" w:rsidRDefault="004B16AC" w:rsidP="004E15D0">
      <w:pPr>
        <w:pStyle w:val="ListParagraph"/>
        <w:spacing w:after="0" w:line="240" w:lineRule="auto"/>
        <w:rPr>
          <w:rFonts w:cs="Times New Roman"/>
        </w:rPr>
      </w:pPr>
    </w:p>
    <w:p w:rsidR="001D79D2" w:rsidRPr="004E15D0" w:rsidRDefault="004B16AC" w:rsidP="004E15D0">
      <w:pPr>
        <w:pStyle w:val="ListParagraph"/>
        <w:spacing w:after="0" w:line="240" w:lineRule="auto"/>
        <w:ind w:left="1440"/>
        <w:jc w:val="both"/>
      </w:pPr>
      <w:r w:rsidRPr="004E15D0">
        <w:rPr>
          <w:rFonts w:cs="Times New Roman"/>
        </w:rPr>
        <w:t>“</w:t>
      </w:r>
      <w:r w:rsidRPr="004E15D0">
        <w:rPr>
          <w:i/>
        </w:rPr>
        <w:t>Children who are the result of marriage between foreign men and Iranian women, who have been born in Iran, or are born in Iran within one year from the date of the ratification of this law, will be able to apply for Iranian citizenship when they reach the full age of 18. These persons will be accepted as Iranian citizens if they lack criminal records or security violation backgrounds and renounce their non-Iranian citizenship. The Interior Ministry obtains evidence of the birth of the child in Iran as well as the issuing of marriage permit as stipulated in Article 1060 of the Civil Law, and the Law Enforcement Forces after being informed by the Interior Ministry issue the residence permit of the foreign father stipulated in this article. Children concerned with this article are permitted to reside in Iran prior to obtaining citizenship.</w:t>
      </w:r>
      <w:r w:rsidRPr="004E15D0">
        <w:t>”</w:t>
      </w:r>
      <w:r w:rsidRPr="004E15D0">
        <w:rPr>
          <w:rStyle w:val="FootnoteReference"/>
        </w:rPr>
        <w:footnoteReference w:id="3"/>
      </w:r>
    </w:p>
    <w:p w:rsidR="004B16AC" w:rsidRPr="004E15D0" w:rsidRDefault="004B16AC" w:rsidP="004E15D0">
      <w:pPr>
        <w:pStyle w:val="ListParagraph"/>
        <w:spacing w:after="0" w:line="240" w:lineRule="auto"/>
        <w:ind w:left="1440"/>
        <w:jc w:val="both"/>
      </w:pPr>
    </w:p>
    <w:p w:rsidR="004B16AC" w:rsidRPr="004E15D0" w:rsidRDefault="004B16AC" w:rsidP="004E15D0">
      <w:pPr>
        <w:pStyle w:val="ListParagraph"/>
        <w:spacing w:after="0" w:line="240" w:lineRule="auto"/>
        <w:ind w:left="1440"/>
        <w:jc w:val="both"/>
        <w:rPr>
          <w:rFonts w:cs="Times New Roman"/>
        </w:rPr>
      </w:pPr>
      <w:r w:rsidRPr="004E15D0">
        <w:t xml:space="preserve">As noted by Dr Jason Tucker, </w:t>
      </w:r>
      <w:r w:rsidR="00E92AC1" w:rsidRPr="004E15D0">
        <w:rPr>
          <w:i/>
        </w:rPr>
        <w:t>“</w:t>
      </w:r>
      <w:r w:rsidRPr="004E15D0">
        <w:rPr>
          <w:i/>
        </w:rPr>
        <w:t xml:space="preserve">The amendments potential to reduce statelessness is limited by criteria that are difficult (if not practically impossible) for those with stateless children, or those rendered stateless by gender discrimination, to meet. This includes the requirement of proof that the child was born in Iran, a marriage certificate between the parents, proving the foreign father’s legal residence in the country and proving they have renounced their non-Iranian nationality - which the stateless do not have. </w:t>
      </w:r>
      <w:r w:rsidR="00E92AC1" w:rsidRPr="004E15D0">
        <w:rPr>
          <w:i/>
        </w:rPr>
        <w:t>…</w:t>
      </w:r>
      <w:r w:rsidRPr="004E15D0">
        <w:rPr>
          <w:i/>
          <w:sz w:val="14"/>
          <w:szCs w:val="14"/>
        </w:rPr>
        <w:t xml:space="preserve"> </w:t>
      </w:r>
      <w:r w:rsidRPr="004E15D0">
        <w:rPr>
          <w:i/>
        </w:rPr>
        <w:t>The criteria set out in the legislation to acquire Iranian nationality, most notably the need to provide the father’s documents and proof of marriage, means that children born out of wedlock cannot benefit from this amendment.</w:t>
      </w:r>
      <w:r w:rsidR="00E92AC1" w:rsidRPr="004E15D0">
        <w:rPr>
          <w:i/>
        </w:rPr>
        <w:t>”</w:t>
      </w:r>
      <w:r w:rsidR="00E24714" w:rsidRPr="004E15D0">
        <w:rPr>
          <w:rStyle w:val="FootnoteReference"/>
          <w:i/>
        </w:rPr>
        <w:footnoteReference w:id="4"/>
      </w:r>
    </w:p>
    <w:p w:rsidR="004B16AC" w:rsidRPr="004E15D0" w:rsidRDefault="004B16AC" w:rsidP="004E15D0">
      <w:pPr>
        <w:pStyle w:val="ListParagraph"/>
        <w:spacing w:after="0" w:line="240" w:lineRule="auto"/>
        <w:rPr>
          <w:rFonts w:cs="Times New Roman"/>
          <w:i/>
        </w:rPr>
      </w:pPr>
    </w:p>
    <w:p w:rsidR="00E92AC1" w:rsidRPr="004E15D0" w:rsidRDefault="00E92AC1" w:rsidP="004E15D0">
      <w:pPr>
        <w:pStyle w:val="ListParagraph"/>
        <w:numPr>
          <w:ilvl w:val="0"/>
          <w:numId w:val="3"/>
        </w:numPr>
        <w:spacing w:after="0" w:line="240" w:lineRule="auto"/>
        <w:jc w:val="both"/>
        <w:rPr>
          <w:rFonts w:cs="Times New Roman"/>
          <w:i/>
        </w:rPr>
      </w:pPr>
      <w:r w:rsidRPr="004E15D0">
        <w:rPr>
          <w:rFonts w:cs="Times New Roman"/>
          <w:b/>
        </w:rPr>
        <w:t>In Question 2(i) of Part III of the List of Issues</w:t>
      </w:r>
      <w:r w:rsidRPr="004E15D0">
        <w:rPr>
          <w:rFonts w:cs="Times New Roman"/>
        </w:rPr>
        <w:t xml:space="preserve">, the Committee has asked Iran to: </w:t>
      </w:r>
      <w:r w:rsidRPr="004E15D0">
        <w:rPr>
          <w:rFonts w:cs="Times New Roman"/>
          <w:i/>
        </w:rPr>
        <w:t>“Please provide, if available, updated statistical data (disaggregated by age, sex, ethnic origin, national origin, geographic location and socioeconomic status) for the past three years on: […]</w:t>
      </w:r>
    </w:p>
    <w:p w:rsidR="00E92AC1" w:rsidRPr="004E15D0" w:rsidRDefault="00E92AC1" w:rsidP="004E15D0">
      <w:pPr>
        <w:pStyle w:val="ListParagraph"/>
        <w:spacing w:after="0" w:line="240" w:lineRule="auto"/>
        <w:jc w:val="both"/>
        <w:rPr>
          <w:rFonts w:cs="Times New Roman"/>
          <w:i/>
        </w:rPr>
      </w:pPr>
    </w:p>
    <w:p w:rsidR="00E92AC1" w:rsidRPr="004E15D0" w:rsidRDefault="00E92AC1" w:rsidP="004E15D0">
      <w:pPr>
        <w:pStyle w:val="ListParagraph"/>
        <w:numPr>
          <w:ilvl w:val="0"/>
          <w:numId w:val="1"/>
        </w:numPr>
        <w:spacing w:after="0" w:line="240" w:lineRule="auto"/>
        <w:ind w:left="1418" w:hanging="709"/>
        <w:jc w:val="both"/>
        <w:rPr>
          <w:rFonts w:cs="Times New Roman"/>
          <w:b/>
          <w:i/>
        </w:rPr>
      </w:pPr>
      <w:r w:rsidRPr="004E15D0">
        <w:rPr>
          <w:rFonts w:cs="Times New Roman"/>
          <w:i/>
        </w:rPr>
        <w:t>Stateless children or children born to Iranian mothers and foreign fathers;”</w:t>
      </w:r>
    </w:p>
    <w:p w:rsidR="004E15D0" w:rsidRPr="004E15D0" w:rsidRDefault="004E15D0" w:rsidP="004E15D0">
      <w:pPr>
        <w:pStyle w:val="ListParagraph"/>
        <w:spacing w:after="0" w:line="240" w:lineRule="auto"/>
        <w:ind w:left="1418"/>
        <w:jc w:val="both"/>
        <w:rPr>
          <w:rFonts w:cs="Times New Roman"/>
          <w:b/>
          <w:i/>
        </w:rPr>
      </w:pPr>
    </w:p>
    <w:p w:rsidR="00E92AC1" w:rsidRPr="004E15D0" w:rsidRDefault="00E92AC1" w:rsidP="004E15D0">
      <w:pPr>
        <w:spacing w:after="0" w:line="240" w:lineRule="auto"/>
        <w:ind w:left="709"/>
        <w:jc w:val="both"/>
        <w:rPr>
          <w:rFonts w:cs="Times New Roman"/>
        </w:rPr>
      </w:pPr>
      <w:r w:rsidRPr="004E15D0">
        <w:rPr>
          <w:rFonts w:cs="Times New Roman"/>
        </w:rPr>
        <w:t>In its written answers, Iran did not provide any such data or explain why such data is unavailable.</w:t>
      </w:r>
    </w:p>
    <w:p w:rsidR="00E92AC1" w:rsidRPr="004E15D0" w:rsidRDefault="00E92AC1" w:rsidP="004E15D0">
      <w:pPr>
        <w:pStyle w:val="ListParagraph"/>
        <w:spacing w:after="0" w:line="240" w:lineRule="auto"/>
        <w:ind w:left="1418"/>
        <w:jc w:val="both"/>
        <w:rPr>
          <w:rFonts w:cs="Times New Roman"/>
          <w:b/>
          <w:i/>
        </w:rPr>
      </w:pPr>
    </w:p>
    <w:p w:rsidR="00E24714" w:rsidRPr="004E15D0" w:rsidRDefault="00E24714" w:rsidP="004E15D0">
      <w:pPr>
        <w:pStyle w:val="ListParagraph"/>
        <w:numPr>
          <w:ilvl w:val="0"/>
          <w:numId w:val="3"/>
        </w:numPr>
        <w:spacing w:after="0" w:line="240" w:lineRule="auto"/>
        <w:jc w:val="both"/>
        <w:rPr>
          <w:rFonts w:cs="Times New Roman"/>
        </w:rPr>
      </w:pPr>
      <w:r w:rsidRPr="004E15D0">
        <w:rPr>
          <w:rFonts w:cs="Times New Roman"/>
        </w:rPr>
        <w:t>In light of the above comments, the Institute on Statelessness and Inclusion would like to take this opportunity to request the Committee to seek further information and clarification from Iran on the following:</w:t>
      </w:r>
    </w:p>
    <w:p w:rsidR="00E24714" w:rsidRPr="004E15D0" w:rsidRDefault="00E24714" w:rsidP="004E15D0">
      <w:pPr>
        <w:pStyle w:val="ListParagraph"/>
        <w:spacing w:after="0" w:line="240" w:lineRule="auto"/>
        <w:jc w:val="both"/>
        <w:rPr>
          <w:rFonts w:cs="Times New Roman"/>
        </w:rPr>
      </w:pPr>
    </w:p>
    <w:p w:rsidR="004B16AC" w:rsidRPr="004E15D0" w:rsidRDefault="00E24714" w:rsidP="004E15D0">
      <w:pPr>
        <w:pStyle w:val="ListParagraph"/>
        <w:numPr>
          <w:ilvl w:val="1"/>
          <w:numId w:val="3"/>
        </w:numPr>
        <w:spacing w:after="0" w:line="240" w:lineRule="auto"/>
        <w:jc w:val="both"/>
        <w:rPr>
          <w:rFonts w:cs="Times New Roman"/>
          <w:b/>
          <w:i/>
        </w:rPr>
      </w:pPr>
      <w:r w:rsidRPr="004E15D0">
        <w:rPr>
          <w:rFonts w:cs="Times New Roman"/>
          <w:b/>
        </w:rPr>
        <w:t xml:space="preserve">What steps is Iran taking to bring its nationality law into compliance with its obligations under Articles 7, 2 and 3 CRC? In particular, what concrete steps has Iran taken to end gender discrimination in its nationality law and to ensure that all children born in </w:t>
      </w:r>
      <w:proofErr w:type="gramStart"/>
      <w:r w:rsidRPr="004E15D0">
        <w:rPr>
          <w:rFonts w:cs="Times New Roman"/>
          <w:b/>
        </w:rPr>
        <w:t>Iran</w:t>
      </w:r>
      <w:proofErr w:type="gramEnd"/>
      <w:r w:rsidRPr="004E15D0">
        <w:rPr>
          <w:rFonts w:cs="Times New Roman"/>
          <w:b/>
        </w:rPr>
        <w:t xml:space="preserve"> who would otherwise be stateless, acquire Iranian nationality without undue delay?</w:t>
      </w:r>
    </w:p>
    <w:p w:rsidR="0062686B" w:rsidRPr="004E15D0" w:rsidRDefault="0062686B" w:rsidP="004E15D0">
      <w:pPr>
        <w:pStyle w:val="ListParagraph"/>
        <w:spacing w:after="0" w:line="240" w:lineRule="auto"/>
        <w:ind w:left="1440"/>
        <w:jc w:val="both"/>
        <w:rPr>
          <w:rFonts w:cs="Times New Roman"/>
          <w:b/>
          <w:i/>
        </w:rPr>
      </w:pPr>
    </w:p>
    <w:p w:rsidR="0062686B" w:rsidRPr="004E15D0" w:rsidRDefault="0062686B" w:rsidP="004E15D0">
      <w:pPr>
        <w:pStyle w:val="ListParagraph"/>
        <w:numPr>
          <w:ilvl w:val="1"/>
          <w:numId w:val="3"/>
        </w:numPr>
        <w:spacing w:after="0" w:line="240" w:lineRule="auto"/>
        <w:jc w:val="both"/>
        <w:rPr>
          <w:rFonts w:cs="Times New Roman"/>
          <w:b/>
          <w:i/>
        </w:rPr>
      </w:pPr>
      <w:r w:rsidRPr="004E15D0">
        <w:rPr>
          <w:rFonts w:cs="Times New Roman"/>
          <w:b/>
        </w:rPr>
        <w:t>What prospects are there for further law reform within Iran and for implementing the existing law without discrimination and to the fullest extent possible, in compliance with the principle of the best interests of the child?</w:t>
      </w:r>
    </w:p>
    <w:p w:rsidR="0062686B" w:rsidRPr="004E15D0" w:rsidRDefault="0062686B" w:rsidP="004E15D0">
      <w:pPr>
        <w:pStyle w:val="ListParagraph"/>
        <w:spacing w:after="0" w:line="240" w:lineRule="auto"/>
        <w:rPr>
          <w:rFonts w:cs="Times New Roman"/>
          <w:b/>
          <w:i/>
        </w:rPr>
      </w:pPr>
    </w:p>
    <w:p w:rsidR="0062686B" w:rsidRPr="004E15D0" w:rsidRDefault="0062686B" w:rsidP="004E15D0">
      <w:pPr>
        <w:pStyle w:val="ListParagraph"/>
        <w:numPr>
          <w:ilvl w:val="1"/>
          <w:numId w:val="3"/>
        </w:numPr>
        <w:spacing w:after="0" w:line="240" w:lineRule="auto"/>
        <w:jc w:val="both"/>
        <w:rPr>
          <w:rFonts w:cs="Times New Roman"/>
          <w:b/>
          <w:i/>
        </w:rPr>
      </w:pPr>
      <w:r w:rsidRPr="004E15D0">
        <w:rPr>
          <w:rFonts w:cs="Times New Roman"/>
          <w:b/>
        </w:rPr>
        <w:t xml:space="preserve">Is there any data on stateless children or children born to Iranian mothers and foreign fathers that </w:t>
      </w:r>
      <w:r w:rsidR="004E15D0" w:rsidRPr="004E15D0">
        <w:rPr>
          <w:rFonts w:cs="Times New Roman"/>
          <w:b/>
        </w:rPr>
        <w:t>Iran can share with the Committee? If not, why is this the case, and what steps can be taken to rectify this situation?</w:t>
      </w:r>
    </w:p>
    <w:sectPr w:rsidR="0062686B" w:rsidRPr="004E15D0" w:rsidSect="002C6339">
      <w:pgSz w:w="11906" w:h="16838"/>
      <w:pgMar w:top="1417" w:right="1417" w:bottom="993"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2042" w:rsidRDefault="00FA2042" w:rsidP="002A519A">
      <w:pPr>
        <w:spacing w:after="0" w:line="240" w:lineRule="auto"/>
      </w:pPr>
      <w:r>
        <w:separator/>
      </w:r>
    </w:p>
  </w:endnote>
  <w:endnote w:type="continuationSeparator" w:id="0">
    <w:p w:rsidR="00FA2042" w:rsidRDefault="00FA2042" w:rsidP="002A51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2042" w:rsidRDefault="00FA2042" w:rsidP="002A519A">
      <w:pPr>
        <w:spacing w:after="0" w:line="240" w:lineRule="auto"/>
      </w:pPr>
      <w:r>
        <w:separator/>
      </w:r>
    </w:p>
  </w:footnote>
  <w:footnote w:type="continuationSeparator" w:id="0">
    <w:p w:rsidR="00FA2042" w:rsidRDefault="00FA2042" w:rsidP="002A519A">
      <w:pPr>
        <w:spacing w:after="0" w:line="240" w:lineRule="auto"/>
      </w:pPr>
      <w:r>
        <w:continuationSeparator/>
      </w:r>
    </w:p>
  </w:footnote>
  <w:footnote w:id="1">
    <w:p w:rsidR="002A519A" w:rsidRPr="004E15D0" w:rsidRDefault="002A519A" w:rsidP="004E15D0">
      <w:pPr>
        <w:pStyle w:val="FootnoteText"/>
        <w:spacing w:after="120"/>
        <w:rPr>
          <w:sz w:val="18"/>
          <w:szCs w:val="18"/>
        </w:rPr>
      </w:pPr>
      <w:r w:rsidRPr="004E15D0">
        <w:rPr>
          <w:rStyle w:val="FootnoteReference"/>
          <w:sz w:val="18"/>
          <w:szCs w:val="18"/>
        </w:rPr>
        <w:footnoteRef/>
      </w:r>
      <w:r w:rsidRPr="004E15D0">
        <w:rPr>
          <w:sz w:val="18"/>
          <w:szCs w:val="18"/>
        </w:rPr>
        <w:t xml:space="preserve"> The Institute on Statelessness and Inclusion is an independent non-profit organisation committed to addressing statelessness and disenfranchisement in the world through the promotion of human rights, participation and inclusion. (</w:t>
      </w:r>
      <w:hyperlink r:id="rId1" w:history="1">
        <w:r w:rsidRPr="004E15D0">
          <w:rPr>
            <w:rStyle w:val="Hyperlink"/>
            <w:sz w:val="18"/>
            <w:szCs w:val="18"/>
          </w:rPr>
          <w:t>www.institutesi.org</w:t>
        </w:r>
      </w:hyperlink>
      <w:r w:rsidRPr="004E15D0">
        <w:rPr>
          <w:sz w:val="18"/>
          <w:szCs w:val="18"/>
        </w:rPr>
        <w:t xml:space="preserve">) </w:t>
      </w:r>
    </w:p>
  </w:footnote>
  <w:footnote w:id="2">
    <w:p w:rsidR="001D79D2" w:rsidRPr="004E15D0" w:rsidRDefault="001D79D2" w:rsidP="004E15D0">
      <w:pPr>
        <w:pStyle w:val="FootnoteText"/>
        <w:spacing w:after="120"/>
        <w:rPr>
          <w:sz w:val="18"/>
          <w:szCs w:val="18"/>
        </w:rPr>
      </w:pPr>
      <w:r w:rsidRPr="004E15D0">
        <w:rPr>
          <w:rStyle w:val="FootnoteReference"/>
          <w:sz w:val="18"/>
          <w:szCs w:val="18"/>
        </w:rPr>
        <w:footnoteRef/>
      </w:r>
      <w:r w:rsidRPr="004E15D0">
        <w:rPr>
          <w:sz w:val="18"/>
          <w:szCs w:val="18"/>
        </w:rPr>
        <w:t xml:space="preserve"> For an analysis of the Committee’s recommendations, see Institute on Statelessness and Inclusion, </w:t>
      </w:r>
      <w:r w:rsidRPr="004E15D0">
        <w:rPr>
          <w:i/>
          <w:sz w:val="18"/>
          <w:szCs w:val="18"/>
        </w:rPr>
        <w:t xml:space="preserve">Realising the Right of Every Child to Acquire a Nationality: An analysis of the work of the Committee on the Rights of the Child, </w:t>
      </w:r>
      <w:r w:rsidRPr="004E15D0">
        <w:rPr>
          <w:sz w:val="18"/>
          <w:szCs w:val="18"/>
        </w:rPr>
        <w:t xml:space="preserve">2015, available at: </w:t>
      </w:r>
      <w:hyperlink r:id="rId2" w:history="1">
        <w:r w:rsidRPr="004E15D0">
          <w:rPr>
            <w:rStyle w:val="Hyperlink"/>
            <w:sz w:val="18"/>
            <w:szCs w:val="18"/>
          </w:rPr>
          <w:t>http://www.institutesi.org/CRC_nationality_paper.pdf</w:t>
        </w:r>
      </w:hyperlink>
      <w:r w:rsidRPr="004E15D0">
        <w:rPr>
          <w:sz w:val="18"/>
          <w:szCs w:val="18"/>
        </w:rPr>
        <w:t xml:space="preserve"> </w:t>
      </w:r>
    </w:p>
  </w:footnote>
  <w:footnote w:id="3">
    <w:p w:rsidR="004B16AC" w:rsidRPr="004E15D0" w:rsidRDefault="004B16AC" w:rsidP="004E15D0">
      <w:pPr>
        <w:pStyle w:val="FootnoteText"/>
        <w:spacing w:after="120"/>
        <w:rPr>
          <w:sz w:val="18"/>
          <w:szCs w:val="18"/>
        </w:rPr>
      </w:pPr>
      <w:r w:rsidRPr="004E15D0">
        <w:rPr>
          <w:rStyle w:val="FootnoteReference"/>
          <w:sz w:val="18"/>
          <w:szCs w:val="18"/>
        </w:rPr>
        <w:footnoteRef/>
      </w:r>
      <w:r w:rsidRPr="004E15D0">
        <w:rPr>
          <w:sz w:val="18"/>
          <w:szCs w:val="18"/>
        </w:rPr>
        <w:t xml:space="preserve"> </w:t>
      </w:r>
      <w:r w:rsidRPr="004E15D0">
        <w:rPr>
          <w:rFonts w:eastAsia="Calibri"/>
          <w:i/>
          <w:sz w:val="18"/>
          <w:szCs w:val="18"/>
          <w:lang w:val="en-US"/>
        </w:rPr>
        <w:t xml:space="preserve">Law on Determining the Status of Children Born in Marriages between Iranian Women and Foreign Men, </w:t>
      </w:r>
      <w:r w:rsidRPr="004E15D0">
        <w:rPr>
          <w:rFonts w:eastAsia="Calibri"/>
          <w:sz w:val="18"/>
          <w:szCs w:val="18"/>
          <w:lang w:val="en-US"/>
        </w:rPr>
        <w:t xml:space="preserve">2006, as quoted in Jason Tucker, </w:t>
      </w:r>
      <w:r w:rsidRPr="004E15D0">
        <w:rPr>
          <w:rFonts w:eastAsia="Calibri"/>
          <w:i/>
          <w:sz w:val="18"/>
          <w:szCs w:val="18"/>
          <w:lang w:val="en-US"/>
        </w:rPr>
        <w:t xml:space="preserve">Exploring statelessness in Iran: Gaps in the nationality law, populations of concern and areas for future research, </w:t>
      </w:r>
      <w:r w:rsidRPr="004E15D0">
        <w:rPr>
          <w:rFonts w:eastAsia="Calibri"/>
          <w:sz w:val="18"/>
          <w:szCs w:val="18"/>
          <w:lang w:val="en-US"/>
        </w:rPr>
        <w:t>Tilburg University, 2014.</w:t>
      </w:r>
    </w:p>
  </w:footnote>
  <w:footnote w:id="4">
    <w:p w:rsidR="00E24714" w:rsidRPr="004E15D0" w:rsidRDefault="00E24714" w:rsidP="004E15D0">
      <w:pPr>
        <w:pStyle w:val="FootnoteText"/>
        <w:spacing w:after="120"/>
        <w:rPr>
          <w:sz w:val="18"/>
          <w:szCs w:val="18"/>
        </w:rPr>
      </w:pPr>
      <w:r w:rsidRPr="004E15D0">
        <w:rPr>
          <w:rStyle w:val="FootnoteReference"/>
          <w:sz w:val="18"/>
          <w:szCs w:val="18"/>
        </w:rPr>
        <w:footnoteRef/>
      </w:r>
      <w:r w:rsidRPr="004E15D0">
        <w:rPr>
          <w:sz w:val="18"/>
          <w:szCs w:val="18"/>
        </w:rPr>
        <w:t xml:space="preserve"> </w:t>
      </w:r>
      <w:r w:rsidRPr="004E15D0">
        <w:rPr>
          <w:rFonts w:eastAsia="Calibri"/>
          <w:sz w:val="18"/>
          <w:szCs w:val="18"/>
          <w:lang w:val="en-US"/>
        </w:rPr>
        <w:t xml:space="preserve">Jason Tucker, </w:t>
      </w:r>
      <w:r w:rsidRPr="004E15D0">
        <w:rPr>
          <w:rFonts w:eastAsia="Calibri"/>
          <w:i/>
          <w:sz w:val="18"/>
          <w:szCs w:val="18"/>
          <w:lang w:val="en-US"/>
        </w:rPr>
        <w:t xml:space="preserve">Exploring statelessness in Iran: Gaps in the nationality law, populations of concern and areas for future research, </w:t>
      </w:r>
      <w:r w:rsidRPr="004E15D0">
        <w:rPr>
          <w:rFonts w:eastAsia="Calibri"/>
          <w:sz w:val="18"/>
          <w:szCs w:val="18"/>
          <w:lang w:val="en-US"/>
        </w:rPr>
        <w:t>Tilburg University,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E5564B"/>
    <w:multiLevelType w:val="hybridMultilevel"/>
    <w:tmpl w:val="51BAB1B0"/>
    <w:lvl w:ilvl="0" w:tplc="C9FC636A">
      <w:start w:val="1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6EBB4B70"/>
    <w:multiLevelType w:val="hybridMultilevel"/>
    <w:tmpl w:val="DF9C14F2"/>
    <w:lvl w:ilvl="0" w:tplc="B17C583E">
      <w:start w:val="8"/>
      <w:numFmt w:val="bullet"/>
      <w:lvlText w:val=""/>
      <w:lvlJc w:val="left"/>
      <w:pPr>
        <w:ind w:left="720" w:hanging="360"/>
      </w:pPr>
      <w:rPr>
        <w:rFonts w:ascii="Wingdings" w:eastAsiaTheme="minorHAnsi" w:hAnsi="Wingdings"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nsid w:val="73CA4C37"/>
    <w:multiLevelType w:val="hybridMultilevel"/>
    <w:tmpl w:val="EA569A86"/>
    <w:lvl w:ilvl="0" w:tplc="F6E68940">
      <w:start w:val="1"/>
      <w:numFmt w:val="lowerRoman"/>
      <w:lvlText w:val="(%1)"/>
      <w:lvlJc w:val="left"/>
      <w:pPr>
        <w:ind w:left="1080" w:hanging="720"/>
      </w:pPr>
      <w:rPr>
        <w:rFonts w:hint="default"/>
        <w:b w:val="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nsid w:val="74CA2F9C"/>
    <w:multiLevelType w:val="hybridMultilevel"/>
    <w:tmpl w:val="007A9FB2"/>
    <w:lvl w:ilvl="0" w:tplc="006A4D20">
      <w:start w:val="1"/>
      <w:numFmt w:val="decimal"/>
      <w:lvlText w:val="%1."/>
      <w:lvlJc w:val="left"/>
      <w:pPr>
        <w:ind w:left="720" w:hanging="360"/>
      </w:pPr>
      <w:rPr>
        <w:i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6339"/>
    <w:rsid w:val="00090FF6"/>
    <w:rsid w:val="001C5E5B"/>
    <w:rsid w:val="001D79D2"/>
    <w:rsid w:val="002A519A"/>
    <w:rsid w:val="002C6339"/>
    <w:rsid w:val="0031233A"/>
    <w:rsid w:val="004B16AC"/>
    <w:rsid w:val="004E15D0"/>
    <w:rsid w:val="00605157"/>
    <w:rsid w:val="0062686B"/>
    <w:rsid w:val="006E0DB2"/>
    <w:rsid w:val="0087556D"/>
    <w:rsid w:val="008A46A7"/>
    <w:rsid w:val="00A6337E"/>
    <w:rsid w:val="00C6290E"/>
    <w:rsid w:val="00E24714"/>
    <w:rsid w:val="00E92AC1"/>
    <w:rsid w:val="00E93891"/>
    <w:rsid w:val="00FA204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6339"/>
    <w:pPr>
      <w:ind w:left="720"/>
      <w:contextualSpacing/>
    </w:pPr>
  </w:style>
  <w:style w:type="character" w:styleId="CommentReference">
    <w:name w:val="annotation reference"/>
    <w:basedOn w:val="DefaultParagraphFont"/>
    <w:uiPriority w:val="99"/>
    <w:semiHidden/>
    <w:unhideWhenUsed/>
    <w:rsid w:val="002C6339"/>
    <w:rPr>
      <w:sz w:val="16"/>
      <w:szCs w:val="16"/>
    </w:rPr>
  </w:style>
  <w:style w:type="paragraph" w:styleId="CommentText">
    <w:name w:val="annotation text"/>
    <w:basedOn w:val="Normal"/>
    <w:link w:val="CommentTextChar"/>
    <w:uiPriority w:val="99"/>
    <w:semiHidden/>
    <w:unhideWhenUsed/>
    <w:rsid w:val="002C6339"/>
    <w:pPr>
      <w:spacing w:line="240" w:lineRule="auto"/>
    </w:pPr>
    <w:rPr>
      <w:sz w:val="20"/>
      <w:szCs w:val="20"/>
    </w:rPr>
  </w:style>
  <w:style w:type="character" w:customStyle="1" w:styleId="CommentTextChar">
    <w:name w:val="Comment Text Char"/>
    <w:basedOn w:val="DefaultParagraphFont"/>
    <w:link w:val="CommentText"/>
    <w:uiPriority w:val="99"/>
    <w:semiHidden/>
    <w:rsid w:val="002C6339"/>
    <w:rPr>
      <w:sz w:val="20"/>
      <w:szCs w:val="20"/>
      <w:lang w:val="en-GB"/>
    </w:rPr>
  </w:style>
  <w:style w:type="paragraph" w:styleId="BalloonText">
    <w:name w:val="Balloon Text"/>
    <w:basedOn w:val="Normal"/>
    <w:link w:val="BalloonTextChar"/>
    <w:uiPriority w:val="99"/>
    <w:semiHidden/>
    <w:unhideWhenUsed/>
    <w:rsid w:val="002C63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6339"/>
    <w:rPr>
      <w:rFonts w:ascii="Tahoma" w:hAnsi="Tahoma" w:cs="Tahoma"/>
      <w:sz w:val="16"/>
      <w:szCs w:val="16"/>
      <w:lang w:val="en-GB"/>
    </w:rPr>
  </w:style>
  <w:style w:type="character" w:styleId="Hyperlink">
    <w:name w:val="Hyperlink"/>
    <w:basedOn w:val="DefaultParagraphFont"/>
    <w:uiPriority w:val="99"/>
    <w:unhideWhenUsed/>
    <w:rsid w:val="002C6339"/>
    <w:rPr>
      <w:color w:val="0000FF" w:themeColor="hyperlink"/>
      <w:u w:val="single"/>
    </w:rPr>
  </w:style>
  <w:style w:type="paragraph" w:customStyle="1" w:styleId="SingleTxtG">
    <w:name w:val="_ Single Txt_G"/>
    <w:basedOn w:val="Normal"/>
    <w:rsid w:val="002C6339"/>
    <w:pPr>
      <w:suppressAutoHyphens/>
      <w:spacing w:after="120" w:line="240" w:lineRule="atLeast"/>
      <w:ind w:left="1134" w:right="1134"/>
      <w:jc w:val="both"/>
    </w:pPr>
    <w:rPr>
      <w:rFonts w:ascii="Times New Roman" w:eastAsia="Times New Roman" w:hAnsi="Times New Roman" w:cs="Times New Roman"/>
      <w:sz w:val="20"/>
      <w:szCs w:val="20"/>
    </w:rPr>
  </w:style>
  <w:style w:type="paragraph" w:styleId="FootnoteText">
    <w:name w:val="footnote text"/>
    <w:basedOn w:val="Normal"/>
    <w:link w:val="FootnoteTextChar"/>
    <w:uiPriority w:val="99"/>
    <w:unhideWhenUsed/>
    <w:rsid w:val="002A519A"/>
    <w:pPr>
      <w:spacing w:after="0" w:line="240" w:lineRule="auto"/>
    </w:pPr>
    <w:rPr>
      <w:sz w:val="20"/>
      <w:szCs w:val="20"/>
    </w:rPr>
  </w:style>
  <w:style w:type="character" w:customStyle="1" w:styleId="FootnoteTextChar">
    <w:name w:val="Footnote Text Char"/>
    <w:basedOn w:val="DefaultParagraphFont"/>
    <w:link w:val="FootnoteText"/>
    <w:uiPriority w:val="99"/>
    <w:rsid w:val="002A519A"/>
    <w:rPr>
      <w:sz w:val="20"/>
      <w:szCs w:val="20"/>
      <w:lang w:val="en-GB"/>
    </w:rPr>
  </w:style>
  <w:style w:type="character" w:styleId="FootnoteReference">
    <w:name w:val="footnote reference"/>
    <w:basedOn w:val="DefaultParagraphFont"/>
    <w:uiPriority w:val="99"/>
    <w:unhideWhenUsed/>
    <w:rsid w:val="002A519A"/>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6339"/>
    <w:pPr>
      <w:ind w:left="720"/>
      <w:contextualSpacing/>
    </w:pPr>
  </w:style>
  <w:style w:type="character" w:styleId="CommentReference">
    <w:name w:val="annotation reference"/>
    <w:basedOn w:val="DefaultParagraphFont"/>
    <w:uiPriority w:val="99"/>
    <w:semiHidden/>
    <w:unhideWhenUsed/>
    <w:rsid w:val="002C6339"/>
    <w:rPr>
      <w:sz w:val="16"/>
      <w:szCs w:val="16"/>
    </w:rPr>
  </w:style>
  <w:style w:type="paragraph" w:styleId="CommentText">
    <w:name w:val="annotation text"/>
    <w:basedOn w:val="Normal"/>
    <w:link w:val="CommentTextChar"/>
    <w:uiPriority w:val="99"/>
    <w:semiHidden/>
    <w:unhideWhenUsed/>
    <w:rsid w:val="002C6339"/>
    <w:pPr>
      <w:spacing w:line="240" w:lineRule="auto"/>
    </w:pPr>
    <w:rPr>
      <w:sz w:val="20"/>
      <w:szCs w:val="20"/>
    </w:rPr>
  </w:style>
  <w:style w:type="character" w:customStyle="1" w:styleId="CommentTextChar">
    <w:name w:val="Comment Text Char"/>
    <w:basedOn w:val="DefaultParagraphFont"/>
    <w:link w:val="CommentText"/>
    <w:uiPriority w:val="99"/>
    <w:semiHidden/>
    <w:rsid w:val="002C6339"/>
    <w:rPr>
      <w:sz w:val="20"/>
      <w:szCs w:val="20"/>
      <w:lang w:val="en-GB"/>
    </w:rPr>
  </w:style>
  <w:style w:type="paragraph" w:styleId="BalloonText">
    <w:name w:val="Balloon Text"/>
    <w:basedOn w:val="Normal"/>
    <w:link w:val="BalloonTextChar"/>
    <w:uiPriority w:val="99"/>
    <w:semiHidden/>
    <w:unhideWhenUsed/>
    <w:rsid w:val="002C63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6339"/>
    <w:rPr>
      <w:rFonts w:ascii="Tahoma" w:hAnsi="Tahoma" w:cs="Tahoma"/>
      <w:sz w:val="16"/>
      <w:szCs w:val="16"/>
      <w:lang w:val="en-GB"/>
    </w:rPr>
  </w:style>
  <w:style w:type="character" w:styleId="Hyperlink">
    <w:name w:val="Hyperlink"/>
    <w:basedOn w:val="DefaultParagraphFont"/>
    <w:uiPriority w:val="99"/>
    <w:unhideWhenUsed/>
    <w:rsid w:val="002C6339"/>
    <w:rPr>
      <w:color w:val="0000FF" w:themeColor="hyperlink"/>
      <w:u w:val="single"/>
    </w:rPr>
  </w:style>
  <w:style w:type="paragraph" w:customStyle="1" w:styleId="SingleTxtG">
    <w:name w:val="_ Single Txt_G"/>
    <w:basedOn w:val="Normal"/>
    <w:rsid w:val="002C6339"/>
    <w:pPr>
      <w:suppressAutoHyphens/>
      <w:spacing w:after="120" w:line="240" w:lineRule="atLeast"/>
      <w:ind w:left="1134" w:right="1134"/>
      <w:jc w:val="both"/>
    </w:pPr>
    <w:rPr>
      <w:rFonts w:ascii="Times New Roman" w:eastAsia="Times New Roman" w:hAnsi="Times New Roman" w:cs="Times New Roman"/>
      <w:sz w:val="20"/>
      <w:szCs w:val="20"/>
    </w:rPr>
  </w:style>
  <w:style w:type="paragraph" w:styleId="FootnoteText">
    <w:name w:val="footnote text"/>
    <w:basedOn w:val="Normal"/>
    <w:link w:val="FootnoteTextChar"/>
    <w:uiPriority w:val="99"/>
    <w:unhideWhenUsed/>
    <w:rsid w:val="002A519A"/>
    <w:pPr>
      <w:spacing w:after="0" w:line="240" w:lineRule="auto"/>
    </w:pPr>
    <w:rPr>
      <w:sz w:val="20"/>
      <w:szCs w:val="20"/>
    </w:rPr>
  </w:style>
  <w:style w:type="character" w:customStyle="1" w:styleId="FootnoteTextChar">
    <w:name w:val="Footnote Text Char"/>
    <w:basedOn w:val="DefaultParagraphFont"/>
    <w:link w:val="FootnoteText"/>
    <w:uiPriority w:val="99"/>
    <w:rsid w:val="002A519A"/>
    <w:rPr>
      <w:sz w:val="20"/>
      <w:szCs w:val="20"/>
      <w:lang w:val="en-GB"/>
    </w:rPr>
  </w:style>
  <w:style w:type="character" w:styleId="FootnoteReference">
    <w:name w:val="footnote reference"/>
    <w:basedOn w:val="DefaultParagraphFont"/>
    <w:uiPriority w:val="99"/>
    <w:unhideWhenUsed/>
    <w:rsid w:val="002A519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2" Type="http://schemas.openxmlformats.org/officeDocument/2006/relationships/hyperlink" Target="http://www.institutesi.org/CRC_nationality_paper.pdf" TargetMode="External"/><Relationship Id="rId1" Type="http://schemas.openxmlformats.org/officeDocument/2006/relationships/hyperlink" Target="http://www.institutesi.org"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B6AA15-502C-40AD-858F-A92082FF163E}"/>
</file>

<file path=customXml/itemProps2.xml><?xml version="1.0" encoding="utf-8"?>
<ds:datastoreItem xmlns:ds="http://schemas.openxmlformats.org/officeDocument/2006/customXml" ds:itemID="{1942A928-6AF8-498A-9064-A703BF4FC3F9}"/>
</file>

<file path=customXml/itemProps3.xml><?xml version="1.0" encoding="utf-8"?>
<ds:datastoreItem xmlns:ds="http://schemas.openxmlformats.org/officeDocument/2006/customXml" ds:itemID="{BBEA1CA9-E7AE-47BA-B223-37AB48EF6022}"/>
</file>

<file path=customXml/itemProps4.xml><?xml version="1.0" encoding="utf-8"?>
<ds:datastoreItem xmlns:ds="http://schemas.openxmlformats.org/officeDocument/2006/customXml" ds:itemID="{1F5DF314-EAC4-480A-B18B-0D91B46CA1EF}"/>
</file>

<file path=docProps/app.xml><?xml version="1.0" encoding="utf-8"?>
<Properties xmlns="http://schemas.openxmlformats.org/officeDocument/2006/extended-properties" xmlns:vt="http://schemas.openxmlformats.org/officeDocument/2006/docPropsVTypes">
  <Template>Normal</Template>
  <TotalTime>1</TotalTime>
  <Pages>3</Pages>
  <Words>977</Words>
  <Characters>5573</Characters>
  <Application>Microsoft Office Word</Application>
  <DocSecurity>4</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6537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van Waas</dc:creator>
  <cp:lastModifiedBy>CRC Intern</cp:lastModifiedBy>
  <cp:revision>2</cp:revision>
  <dcterms:created xsi:type="dcterms:W3CDTF">2015-12-17T16:42:00Z</dcterms:created>
  <dcterms:modified xsi:type="dcterms:W3CDTF">2015-12-17T16:42:00Z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