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042" w:rsidRDefault="00BA3042" w:rsidP="00BA3042">
      <w:pPr>
        <w:pStyle w:val="H1G"/>
        <w:jc w:val="right"/>
        <w:rPr>
          <w:w w:val="103"/>
        </w:rPr>
      </w:pPr>
      <w:r>
        <w:rPr>
          <w:w w:val="103"/>
        </w:rPr>
        <w:t>[INFORMAL DOCUMENT]</w:t>
      </w:r>
    </w:p>
    <w:p w:rsidR="00BA3042" w:rsidRPr="00BA3042" w:rsidRDefault="00BA3042" w:rsidP="00BA3042">
      <w:pPr>
        <w:pStyle w:val="H1G"/>
        <w:rPr>
          <w:bCs/>
          <w:spacing w:val="-2"/>
          <w:w w:val="103"/>
          <w:kern w:val="14"/>
          <w:szCs w:val="24"/>
          <w:lang w:val="en-US"/>
        </w:rPr>
      </w:pPr>
      <w:r>
        <w:rPr>
          <w:w w:val="103"/>
          <w:lang w:val="en-US"/>
        </w:rPr>
        <w:tab/>
      </w:r>
      <w:r>
        <w:rPr>
          <w:w w:val="103"/>
          <w:lang w:val="en-US"/>
        </w:rPr>
        <w:tab/>
        <w:t>Committee on the Elimination of Discrimination</w:t>
      </w:r>
      <w:r>
        <w:rPr>
          <w:w w:val="103"/>
          <w:lang w:val="en-US"/>
        </w:rPr>
        <w:br/>
        <w:t>against Women</w:t>
      </w:r>
      <w:r>
        <w:rPr>
          <w:w w:val="103"/>
          <w:lang w:val="en-US"/>
        </w:rPr>
        <w:br/>
      </w:r>
      <w:r w:rsidRPr="00BA3042">
        <w:rPr>
          <w:bCs/>
          <w:spacing w:val="-2"/>
          <w:w w:val="103"/>
          <w:kern w:val="14"/>
          <w:sz w:val="20"/>
          <w:lang w:val="en-US"/>
        </w:rPr>
        <w:t>S</w:t>
      </w:r>
      <w:r w:rsidR="00D22BC1">
        <w:rPr>
          <w:bCs/>
          <w:spacing w:val="-2"/>
          <w:w w:val="103"/>
          <w:kern w:val="14"/>
          <w:sz w:val="20"/>
          <w:lang w:val="en-US"/>
        </w:rPr>
        <w:t>event</w:t>
      </w:r>
      <w:r w:rsidR="006C6647">
        <w:rPr>
          <w:bCs/>
          <w:spacing w:val="-2"/>
          <w:w w:val="103"/>
          <w:kern w:val="14"/>
          <w:sz w:val="20"/>
          <w:lang w:val="en-US"/>
        </w:rPr>
        <w:t>y-</w:t>
      </w:r>
      <w:r w:rsidR="00495F6A">
        <w:rPr>
          <w:bCs/>
          <w:spacing w:val="-2"/>
          <w:w w:val="103"/>
          <w:kern w:val="14"/>
          <w:sz w:val="20"/>
          <w:lang w:val="en-US"/>
        </w:rPr>
        <w:t xml:space="preserve">second </w:t>
      </w:r>
      <w:proofErr w:type="gramStart"/>
      <w:r w:rsidRPr="00BA3042">
        <w:rPr>
          <w:bCs/>
          <w:spacing w:val="-2"/>
          <w:w w:val="103"/>
          <w:kern w:val="14"/>
          <w:sz w:val="20"/>
          <w:lang w:val="en-US"/>
        </w:rPr>
        <w:t>session</w:t>
      </w:r>
      <w:proofErr w:type="gramEnd"/>
      <w:r w:rsidRPr="00BA3042">
        <w:rPr>
          <w:bCs/>
          <w:spacing w:val="-2"/>
          <w:w w:val="103"/>
          <w:kern w:val="14"/>
          <w:sz w:val="20"/>
          <w:lang w:val="en-US"/>
        </w:rPr>
        <w:br/>
      </w:r>
      <w:r w:rsidRPr="00BA3042">
        <w:rPr>
          <w:w w:val="103"/>
          <w:sz w:val="20"/>
          <w:lang w:val="en-US"/>
        </w:rPr>
        <w:t>(</w:t>
      </w:r>
      <w:r w:rsidR="00495F6A">
        <w:rPr>
          <w:w w:val="103"/>
          <w:sz w:val="20"/>
          <w:lang w:val="en-US"/>
        </w:rPr>
        <w:t>18 February</w:t>
      </w:r>
      <w:r w:rsidRPr="00BA3042">
        <w:rPr>
          <w:w w:val="103"/>
          <w:sz w:val="20"/>
          <w:lang w:val="en-US"/>
        </w:rPr>
        <w:t xml:space="preserve"> – </w:t>
      </w:r>
      <w:r w:rsidR="00495F6A">
        <w:rPr>
          <w:w w:val="103"/>
          <w:sz w:val="20"/>
          <w:lang w:val="en-US"/>
        </w:rPr>
        <w:t>8 March</w:t>
      </w:r>
      <w:r w:rsidRPr="00BA3042">
        <w:rPr>
          <w:w w:val="103"/>
          <w:sz w:val="20"/>
          <w:lang w:val="en-US"/>
        </w:rPr>
        <w:t xml:space="preserve"> 201</w:t>
      </w:r>
      <w:r w:rsidR="00495F6A">
        <w:rPr>
          <w:w w:val="103"/>
          <w:sz w:val="20"/>
          <w:lang w:val="en-US"/>
        </w:rPr>
        <w:t>9</w:t>
      </w:r>
      <w:r w:rsidRPr="00BA3042">
        <w:rPr>
          <w:w w:val="103"/>
          <w:sz w:val="20"/>
          <w:lang w:val="en-US"/>
        </w:rPr>
        <w:t>)</w:t>
      </w:r>
    </w:p>
    <w:p w:rsidR="00763518" w:rsidRPr="00763518" w:rsidRDefault="00BA3042" w:rsidP="00763518">
      <w:pPr>
        <w:pStyle w:val="H1G"/>
        <w:rPr>
          <w:w w:val="103"/>
          <w:lang w:val="en-US"/>
        </w:rPr>
      </w:pPr>
      <w:r>
        <w:rPr>
          <w:w w:val="103"/>
          <w:lang w:val="en-US"/>
        </w:rPr>
        <w:tab/>
      </w:r>
      <w:r>
        <w:rPr>
          <w:w w:val="103"/>
          <w:lang w:val="en-US"/>
        </w:rPr>
        <w:tab/>
        <w:t>Annex I</w:t>
      </w:r>
    </w:p>
    <w:p w:rsidR="00763518" w:rsidRDefault="00763518" w:rsidP="00763518">
      <w:pPr>
        <w:pStyle w:val="SingleTxtG"/>
        <w:rPr>
          <w:sz w:val="22"/>
          <w:szCs w:val="22"/>
        </w:rPr>
      </w:pPr>
      <w:r>
        <w:rPr>
          <w:sz w:val="22"/>
          <w:szCs w:val="22"/>
          <w:bdr w:val="none" w:sz="0" w:space="0" w:color="auto" w:frame="1"/>
          <w:lang w:eastAsia="zh-CN"/>
        </w:rPr>
        <w:t>1.</w:t>
      </w:r>
      <w:r>
        <w:rPr>
          <w:sz w:val="22"/>
          <w:szCs w:val="22"/>
          <w:bdr w:val="none" w:sz="0" w:space="0" w:color="auto" w:frame="1"/>
          <w:lang w:eastAsia="zh-CN"/>
        </w:rPr>
        <w:tab/>
      </w:r>
      <w:r>
        <w:rPr>
          <w:sz w:val="22"/>
          <w:szCs w:val="22"/>
        </w:rPr>
        <w:t xml:space="preserve">The Working Group on Communications under the Optional Protocol to the Convention on the Elimination of All Forms of Discrimination against Women held its forty-third session from 12 to 15 February 2019 in Geneva. Its five members attended the session: Ms. Gladys Acosta Vargas, Ms. Nicole </w:t>
      </w:r>
      <w:proofErr w:type="spellStart"/>
      <w:r>
        <w:rPr>
          <w:sz w:val="22"/>
          <w:szCs w:val="22"/>
        </w:rPr>
        <w:t>Ameline</w:t>
      </w:r>
      <w:proofErr w:type="spellEnd"/>
      <w:r>
        <w:rPr>
          <w:sz w:val="22"/>
          <w:szCs w:val="22"/>
        </w:rPr>
        <w:t xml:space="preserve"> (ad-hoc member for the 43</w:t>
      </w:r>
      <w:r>
        <w:rPr>
          <w:sz w:val="22"/>
          <w:szCs w:val="22"/>
          <w:vertAlign w:val="superscript"/>
        </w:rPr>
        <w:t>rd</w:t>
      </w:r>
      <w:r>
        <w:rPr>
          <w:sz w:val="22"/>
          <w:szCs w:val="22"/>
        </w:rPr>
        <w:t xml:space="preserve"> session), Ms. Nahla Haidar El </w:t>
      </w:r>
      <w:proofErr w:type="spellStart"/>
      <w:r>
        <w:rPr>
          <w:sz w:val="22"/>
          <w:szCs w:val="22"/>
        </w:rPr>
        <w:t>Addal</w:t>
      </w:r>
      <w:proofErr w:type="spellEnd"/>
      <w:r>
        <w:rPr>
          <w:sz w:val="22"/>
          <w:szCs w:val="22"/>
        </w:rPr>
        <w:t xml:space="preserve"> (ad-hoc member for the 43</w:t>
      </w:r>
      <w:r>
        <w:rPr>
          <w:sz w:val="22"/>
          <w:szCs w:val="22"/>
          <w:vertAlign w:val="superscript"/>
        </w:rPr>
        <w:t>rd</w:t>
      </w:r>
      <w:r>
        <w:rPr>
          <w:sz w:val="22"/>
          <w:szCs w:val="22"/>
        </w:rPr>
        <w:t xml:space="preserve"> session), Ms. Lia </w:t>
      </w:r>
      <w:proofErr w:type="spellStart"/>
      <w:r>
        <w:rPr>
          <w:sz w:val="22"/>
          <w:szCs w:val="22"/>
        </w:rPr>
        <w:t>Nadaraia</w:t>
      </w:r>
      <w:proofErr w:type="spellEnd"/>
      <w:r>
        <w:rPr>
          <w:sz w:val="22"/>
          <w:szCs w:val="22"/>
        </w:rPr>
        <w:t xml:space="preserve"> and Ms. </w:t>
      </w:r>
      <w:proofErr w:type="spellStart"/>
      <w:r>
        <w:rPr>
          <w:sz w:val="22"/>
          <w:szCs w:val="22"/>
        </w:rPr>
        <w:t>Aruna</w:t>
      </w:r>
      <w:proofErr w:type="spellEnd"/>
      <w:r>
        <w:rPr>
          <w:sz w:val="22"/>
          <w:szCs w:val="22"/>
        </w:rPr>
        <w:t xml:space="preserve"> Devi </w:t>
      </w:r>
      <w:proofErr w:type="spellStart"/>
      <w:r>
        <w:rPr>
          <w:sz w:val="22"/>
          <w:szCs w:val="22"/>
        </w:rPr>
        <w:t>Narain</w:t>
      </w:r>
      <w:proofErr w:type="spellEnd"/>
      <w:r>
        <w:rPr>
          <w:sz w:val="22"/>
          <w:szCs w:val="22"/>
        </w:rPr>
        <w:t>. Ms Acosta Vargas has been designated to act as Chair of the Working Group for this session.</w:t>
      </w:r>
    </w:p>
    <w:p w:rsidR="00763518" w:rsidRDefault="00763518" w:rsidP="00763518">
      <w:pPr>
        <w:pStyle w:val="SingleTxtG"/>
        <w:rPr>
          <w:sz w:val="22"/>
          <w:szCs w:val="22"/>
        </w:rPr>
      </w:pPr>
      <w:r>
        <w:rPr>
          <w:sz w:val="22"/>
          <w:szCs w:val="22"/>
        </w:rPr>
        <w:t xml:space="preserve">2. At the beginning of the session, the Working Group adopted the agenda (see Annex I). </w:t>
      </w:r>
    </w:p>
    <w:p w:rsidR="00763518" w:rsidRDefault="00763518" w:rsidP="00763518">
      <w:pPr>
        <w:pStyle w:val="SingleTxtG"/>
        <w:rPr>
          <w:sz w:val="22"/>
          <w:szCs w:val="22"/>
        </w:rPr>
      </w:pPr>
      <w:r>
        <w:rPr>
          <w:sz w:val="22"/>
          <w:szCs w:val="22"/>
        </w:rPr>
        <w:t>3. The Working Group reviewed all correspondence processed since its last session (17-19 October 2018).</w:t>
      </w:r>
    </w:p>
    <w:p w:rsidR="00763518" w:rsidRDefault="00763518" w:rsidP="00763518">
      <w:pPr>
        <w:pStyle w:val="SingleTxtG"/>
        <w:rPr>
          <w:sz w:val="22"/>
          <w:szCs w:val="22"/>
        </w:rPr>
      </w:pPr>
      <w:r>
        <w:rPr>
          <w:sz w:val="22"/>
          <w:szCs w:val="22"/>
        </w:rPr>
        <w:t xml:space="preserve">4. The Working Group examined the situation in all registered cases and decided on the actions to be taken. It also appointed case Rapporteurs in all newly registered cases.  </w:t>
      </w:r>
    </w:p>
    <w:p w:rsidR="00763518" w:rsidRDefault="00763518" w:rsidP="00763518">
      <w:pPr>
        <w:pStyle w:val="SingleTxtG"/>
        <w:rPr>
          <w:sz w:val="22"/>
          <w:szCs w:val="22"/>
        </w:rPr>
      </w:pPr>
      <w:r>
        <w:rPr>
          <w:sz w:val="22"/>
          <w:szCs w:val="22"/>
        </w:rPr>
        <w:t>5. The Working Group examined the situation in all cases where the follow-up dialogue is ongoing and decided on a number of actions to be taken. It decided that the follow-up dialogue is ongoing in 11 cases</w:t>
      </w:r>
      <w:r>
        <w:t xml:space="preserve"> </w:t>
      </w:r>
      <w:r>
        <w:rPr>
          <w:sz w:val="22"/>
          <w:szCs w:val="22"/>
        </w:rPr>
        <w:t xml:space="preserve">concerning Finland, Georgia, Mexico, Moldova, Peru, the Russian Federation, Slovakia, Spain, Tanzania and Timor-Leste respectively. It requested the Secretariat to organise meetings with the State parties’ representatives of Georgia, Finland, Mexico, Peru, Slovakia and Tanzania to discuss follow-up matters. Requests were also made for an update to be sought from the Permanent Missions of Moldova and Timor-Leste to the United Nations Offices in Geneva and New York. </w:t>
      </w:r>
    </w:p>
    <w:p w:rsidR="00763518" w:rsidRDefault="00763518" w:rsidP="00763518">
      <w:pPr>
        <w:pStyle w:val="SingleTxtG"/>
        <w:rPr>
          <w:sz w:val="22"/>
          <w:szCs w:val="22"/>
        </w:rPr>
      </w:pPr>
      <w:r>
        <w:rPr>
          <w:sz w:val="22"/>
          <w:szCs w:val="22"/>
        </w:rPr>
        <w:t xml:space="preserve">6. In this context, the Working Group notes with satisfaction the high implementation rate (so far around 75 per cent) of the Committee’s views by the States parties. </w:t>
      </w:r>
    </w:p>
    <w:p w:rsidR="00763518" w:rsidRDefault="00763518" w:rsidP="00763518">
      <w:pPr>
        <w:pStyle w:val="SingleTxtG"/>
        <w:rPr>
          <w:sz w:val="22"/>
          <w:szCs w:val="22"/>
        </w:rPr>
      </w:pPr>
      <w:r>
        <w:rPr>
          <w:sz w:val="22"/>
          <w:szCs w:val="22"/>
        </w:rPr>
        <w:t xml:space="preserve">7. The Working Group discussed and decided, by consensus, to refer four drafts for adoption to the Plenary, as follows: </w:t>
      </w:r>
      <w:r>
        <w:rPr>
          <w:bCs/>
          <w:sz w:val="22"/>
          <w:szCs w:val="22"/>
        </w:rPr>
        <w:t xml:space="preserve">Nos. 65/2014, </w:t>
      </w:r>
      <w:r>
        <w:rPr>
          <w:bCs/>
          <w:i/>
          <w:sz w:val="22"/>
          <w:szCs w:val="22"/>
        </w:rPr>
        <w:t>S.T. v Russian Federation</w:t>
      </w:r>
      <w:r>
        <w:rPr>
          <w:bCs/>
          <w:sz w:val="22"/>
          <w:szCs w:val="22"/>
        </w:rPr>
        <w:t xml:space="preserve">, (gender based violence, failure to obtain redress, views, violation); </w:t>
      </w:r>
      <w:r>
        <w:rPr>
          <w:sz w:val="22"/>
          <w:szCs w:val="22"/>
        </w:rPr>
        <w:t xml:space="preserve">87/2015, </w:t>
      </w:r>
      <w:r>
        <w:rPr>
          <w:i/>
          <w:sz w:val="22"/>
          <w:szCs w:val="22"/>
        </w:rPr>
        <w:t xml:space="preserve">Oksana </w:t>
      </w:r>
      <w:proofErr w:type="spellStart"/>
      <w:r>
        <w:rPr>
          <w:i/>
          <w:sz w:val="22"/>
          <w:szCs w:val="22"/>
        </w:rPr>
        <w:t>Melnik</w:t>
      </w:r>
      <w:proofErr w:type="spellEnd"/>
      <w:r>
        <w:rPr>
          <w:i/>
          <w:sz w:val="22"/>
          <w:szCs w:val="22"/>
        </w:rPr>
        <w:t xml:space="preserve"> v Ukraine</w:t>
      </w:r>
      <w:r>
        <w:rPr>
          <w:sz w:val="22"/>
          <w:szCs w:val="22"/>
        </w:rPr>
        <w:t xml:space="preserve"> (failure to provide the author with effective consular assistance, views, violation);  96/2015, </w:t>
      </w:r>
      <w:r>
        <w:rPr>
          <w:i/>
          <w:sz w:val="22"/>
          <w:szCs w:val="22"/>
        </w:rPr>
        <w:t xml:space="preserve">A.R.I. v Denmark </w:t>
      </w:r>
      <w:r>
        <w:rPr>
          <w:sz w:val="22"/>
          <w:szCs w:val="22"/>
        </w:rPr>
        <w:t>(non-</w:t>
      </w:r>
      <w:proofErr w:type="spellStart"/>
      <w:r>
        <w:rPr>
          <w:sz w:val="22"/>
          <w:szCs w:val="22"/>
        </w:rPr>
        <w:t>refoulement</w:t>
      </w:r>
      <w:proofErr w:type="spellEnd"/>
      <w:r>
        <w:rPr>
          <w:sz w:val="22"/>
          <w:szCs w:val="22"/>
        </w:rPr>
        <w:t xml:space="preserve">, deportation to the Russian Federation, inadmissibility) and 98/2015, </w:t>
      </w:r>
      <w:r>
        <w:rPr>
          <w:i/>
          <w:sz w:val="22"/>
          <w:szCs w:val="22"/>
        </w:rPr>
        <w:t>K.K. v Russian Federation</w:t>
      </w:r>
      <w:r>
        <w:rPr>
          <w:sz w:val="22"/>
          <w:szCs w:val="22"/>
        </w:rPr>
        <w:t xml:space="preserve"> (alleged discrimination against an LBT activist by an MP, inadmissibility). </w:t>
      </w:r>
    </w:p>
    <w:p w:rsidR="00763518" w:rsidRDefault="00763518" w:rsidP="00763518">
      <w:pPr>
        <w:pStyle w:val="SingleTxtG"/>
        <w:rPr>
          <w:bCs/>
          <w:sz w:val="22"/>
          <w:szCs w:val="22"/>
        </w:rPr>
      </w:pPr>
      <w:r>
        <w:rPr>
          <w:sz w:val="22"/>
          <w:szCs w:val="22"/>
        </w:rPr>
        <w:t xml:space="preserve">8. The Working Group also referred for adoption one decision to discontinue the examination of communication No. 97/2015, </w:t>
      </w:r>
      <w:r>
        <w:rPr>
          <w:i/>
          <w:sz w:val="22"/>
          <w:szCs w:val="22"/>
        </w:rPr>
        <w:t>R.M. et al against Switzerland</w:t>
      </w:r>
      <w:r>
        <w:rPr>
          <w:sz w:val="22"/>
          <w:szCs w:val="22"/>
        </w:rPr>
        <w:t xml:space="preserve"> (non-</w:t>
      </w:r>
      <w:proofErr w:type="spellStart"/>
      <w:r>
        <w:rPr>
          <w:sz w:val="22"/>
          <w:szCs w:val="22"/>
        </w:rPr>
        <w:t>refoulement</w:t>
      </w:r>
      <w:proofErr w:type="spellEnd"/>
      <w:r>
        <w:rPr>
          <w:sz w:val="22"/>
          <w:szCs w:val="22"/>
        </w:rPr>
        <w:t xml:space="preserve">), given that the authors’ asylum case has been reopened, the authors have been issued temporary permits to stay and thus they do not risk deportation to Afghanistan any longer. </w:t>
      </w:r>
    </w:p>
    <w:p w:rsidR="00763518" w:rsidRDefault="00763518" w:rsidP="00763518">
      <w:pPr>
        <w:pStyle w:val="SingleTxtG"/>
        <w:rPr>
          <w:sz w:val="22"/>
          <w:szCs w:val="22"/>
        </w:rPr>
      </w:pPr>
      <w:r>
        <w:rPr>
          <w:sz w:val="22"/>
          <w:szCs w:val="22"/>
        </w:rPr>
        <w:t>9. Taking into account the priority to be given to cases with interim measures in place, the chronological order of registration, regional representation, and thematic issues of importance for the Committee’s jurisprudence, the Working Group placed the following five communications on its agenda for the 44</w:t>
      </w:r>
      <w:r>
        <w:rPr>
          <w:sz w:val="22"/>
          <w:szCs w:val="22"/>
          <w:vertAlign w:val="superscript"/>
        </w:rPr>
        <w:t>th</w:t>
      </w:r>
      <w:r>
        <w:rPr>
          <w:sz w:val="22"/>
          <w:szCs w:val="22"/>
        </w:rPr>
        <w:t xml:space="preserve"> session (June 2019): communications Nos. 86/2016 </w:t>
      </w:r>
      <w:r>
        <w:rPr>
          <w:i/>
          <w:sz w:val="22"/>
          <w:szCs w:val="22"/>
        </w:rPr>
        <w:t>A.A.</w:t>
      </w:r>
      <w:r>
        <w:rPr>
          <w:sz w:val="22"/>
          <w:szCs w:val="22"/>
        </w:rPr>
        <w:t xml:space="preserve"> </w:t>
      </w:r>
      <w:r>
        <w:rPr>
          <w:i/>
          <w:sz w:val="22"/>
          <w:szCs w:val="22"/>
        </w:rPr>
        <w:t>v</w:t>
      </w:r>
      <w:r>
        <w:rPr>
          <w:sz w:val="22"/>
          <w:szCs w:val="22"/>
        </w:rPr>
        <w:t xml:space="preserve"> </w:t>
      </w:r>
      <w:r>
        <w:rPr>
          <w:i/>
          <w:sz w:val="22"/>
          <w:szCs w:val="22"/>
        </w:rPr>
        <w:t>Denmark</w:t>
      </w:r>
      <w:r>
        <w:rPr>
          <w:sz w:val="22"/>
          <w:szCs w:val="22"/>
        </w:rPr>
        <w:t xml:space="preserve"> (non-</w:t>
      </w:r>
      <w:proofErr w:type="spellStart"/>
      <w:r>
        <w:rPr>
          <w:sz w:val="22"/>
          <w:szCs w:val="22"/>
        </w:rPr>
        <w:t>refoulement</w:t>
      </w:r>
      <w:proofErr w:type="spellEnd"/>
      <w:r>
        <w:rPr>
          <w:sz w:val="22"/>
          <w:szCs w:val="22"/>
        </w:rPr>
        <w:t xml:space="preserve">, deportation to Jordan); 94/2015, </w:t>
      </w:r>
      <w:r>
        <w:rPr>
          <w:i/>
          <w:sz w:val="22"/>
          <w:szCs w:val="22"/>
        </w:rPr>
        <w:t>A.N.A v Denmark</w:t>
      </w:r>
      <w:r>
        <w:rPr>
          <w:sz w:val="22"/>
          <w:szCs w:val="22"/>
        </w:rPr>
        <w:t xml:space="preserve"> (non-</w:t>
      </w:r>
      <w:proofErr w:type="spellStart"/>
      <w:r>
        <w:rPr>
          <w:sz w:val="22"/>
          <w:szCs w:val="22"/>
        </w:rPr>
        <w:t>refoulement</w:t>
      </w:r>
      <w:proofErr w:type="spellEnd"/>
      <w:r>
        <w:rPr>
          <w:sz w:val="22"/>
          <w:szCs w:val="22"/>
        </w:rPr>
        <w:t xml:space="preserve">, deportation to Somalia); </w:t>
      </w:r>
      <w:r>
        <w:rPr>
          <w:sz w:val="22"/>
          <w:szCs w:val="22"/>
        </w:rPr>
        <w:lastRenderedPageBreak/>
        <w:t xml:space="preserve">99/2016, </w:t>
      </w:r>
      <w:r>
        <w:rPr>
          <w:i/>
          <w:sz w:val="22"/>
          <w:szCs w:val="22"/>
        </w:rPr>
        <w:t xml:space="preserve">L. and B. v Bulgaria </w:t>
      </w:r>
      <w:r>
        <w:rPr>
          <w:sz w:val="22"/>
          <w:szCs w:val="22"/>
        </w:rPr>
        <w:t xml:space="preserve">(domestic violence); 100/2016, </w:t>
      </w:r>
      <w:r>
        <w:rPr>
          <w:i/>
          <w:sz w:val="22"/>
          <w:szCs w:val="22"/>
        </w:rPr>
        <w:t>K. and Ch.</w:t>
      </w:r>
      <w:r>
        <w:rPr>
          <w:sz w:val="22"/>
          <w:szCs w:val="22"/>
        </w:rPr>
        <w:t xml:space="preserve"> </w:t>
      </w:r>
      <w:r>
        <w:rPr>
          <w:i/>
          <w:sz w:val="22"/>
          <w:szCs w:val="22"/>
        </w:rPr>
        <w:t>v</w:t>
      </w:r>
      <w:r>
        <w:rPr>
          <w:sz w:val="22"/>
          <w:szCs w:val="22"/>
        </w:rPr>
        <w:t xml:space="preserve"> </w:t>
      </w:r>
      <w:r>
        <w:rPr>
          <w:i/>
          <w:sz w:val="22"/>
          <w:szCs w:val="22"/>
        </w:rPr>
        <w:t>Russian Federation</w:t>
      </w:r>
      <w:r>
        <w:rPr>
          <w:sz w:val="22"/>
          <w:szCs w:val="22"/>
        </w:rPr>
        <w:t xml:space="preserve"> (domestic violence); 102/2016, </w:t>
      </w:r>
      <w:r>
        <w:rPr>
          <w:i/>
          <w:sz w:val="22"/>
          <w:szCs w:val="22"/>
        </w:rPr>
        <w:t>D. et al. v</w:t>
      </w:r>
      <w:r>
        <w:rPr>
          <w:sz w:val="22"/>
          <w:szCs w:val="22"/>
        </w:rPr>
        <w:t xml:space="preserve"> Czech Republic (forced sterilisation of Roma women).</w:t>
      </w:r>
    </w:p>
    <w:p w:rsidR="00763518" w:rsidRDefault="00763518" w:rsidP="00763518">
      <w:pPr>
        <w:pStyle w:val="SingleTxtG"/>
        <w:rPr>
          <w:sz w:val="22"/>
          <w:szCs w:val="22"/>
        </w:rPr>
      </w:pPr>
      <w:r>
        <w:rPr>
          <w:sz w:val="22"/>
          <w:szCs w:val="22"/>
        </w:rPr>
        <w:t xml:space="preserve">10. The Working Group also discussed the particular situation in a case whereby the author does not want to have the identities of the alleged victims to be communicated to the respective State party. In this context, the Working Group decided to have its Chair discussing informally the matter with the Chair of the Working Group on Inquiries in order to decide on specific action to be taken.  </w:t>
      </w:r>
    </w:p>
    <w:p w:rsidR="00763518" w:rsidRDefault="00763518" w:rsidP="00763518">
      <w:pPr>
        <w:pStyle w:val="SingleTxtG"/>
        <w:rPr>
          <w:sz w:val="22"/>
          <w:szCs w:val="22"/>
          <w:bdr w:val="none" w:sz="0" w:space="0" w:color="auto" w:frame="1"/>
          <w:lang w:eastAsia="zh-CN"/>
        </w:rPr>
      </w:pPr>
      <w:r>
        <w:rPr>
          <w:sz w:val="22"/>
          <w:szCs w:val="22"/>
        </w:rPr>
        <w:t xml:space="preserve">11. </w:t>
      </w:r>
      <w:r>
        <w:rPr>
          <w:sz w:val="22"/>
          <w:szCs w:val="22"/>
          <w:bdr w:val="none" w:sz="0" w:space="0" w:color="auto" w:frame="1"/>
          <w:lang w:eastAsia="zh-CN"/>
        </w:rPr>
        <w:t xml:space="preserve">The Working Group notes that to date, 140 cases have been registered, versus 36 States parties, out of which 48 are pending examination and 25 are ready for adoption.    </w:t>
      </w:r>
    </w:p>
    <w:p w:rsidR="00763518" w:rsidRDefault="00763518" w:rsidP="00763518">
      <w:pPr>
        <w:pStyle w:val="SingleTxtG"/>
        <w:rPr>
          <w:sz w:val="22"/>
          <w:szCs w:val="22"/>
          <w:bdr w:val="none" w:sz="0" w:space="0" w:color="auto" w:frame="1"/>
          <w:lang w:eastAsia="zh-CN"/>
        </w:rPr>
      </w:pPr>
      <w:r>
        <w:rPr>
          <w:sz w:val="22"/>
          <w:szCs w:val="22"/>
          <w:bdr w:val="none" w:sz="0" w:space="0" w:color="auto" w:frame="1"/>
          <w:lang w:eastAsia="zh-CN"/>
        </w:rPr>
        <w:t xml:space="preserve">12. The Working Group notes that, as a result of the efforts of its members and the Secretariat, more cases are ready for adoption and the number of cases adopted have increased in the last years. In this connection, the Working Group remains preoccupied by the fact that the backlog of cases ready for decision does not decrease. It appreciates the efforts undertaken by the Petitions and Inquiries Section of OHCHR to have five drafts prepared for the next two sessions. The Working Group is ready to examine more cases per session with a view to addressing the backlog, provided that adequate resources are allocated to the Petitions and Inquiries Section for the preparation of additional draft decisions.      </w:t>
      </w:r>
    </w:p>
    <w:p w:rsidR="00763518" w:rsidRDefault="00763518" w:rsidP="00763518">
      <w:pPr>
        <w:pStyle w:val="SingleTxtG"/>
        <w:rPr>
          <w:sz w:val="22"/>
          <w:szCs w:val="22"/>
        </w:rPr>
      </w:pPr>
      <w:r>
        <w:rPr>
          <w:sz w:val="22"/>
          <w:szCs w:val="22"/>
        </w:rPr>
        <w:t>13.</w:t>
      </w:r>
      <w:r>
        <w:rPr>
          <w:sz w:val="22"/>
          <w:szCs w:val="22"/>
        </w:rPr>
        <w:tab/>
        <w:t xml:space="preserve">The Working Group initiated discussions on the modalities for re-opening of cases where the follow up dialogue has been previously closed by the Committee. In this context it discussed the situation in particular, in case 17/2012, </w:t>
      </w:r>
      <w:r>
        <w:rPr>
          <w:i/>
          <w:sz w:val="22"/>
          <w:szCs w:val="22"/>
        </w:rPr>
        <w:t>Pimentel v Brazil,</w:t>
      </w:r>
      <w:r>
        <w:rPr>
          <w:sz w:val="22"/>
          <w:szCs w:val="22"/>
        </w:rPr>
        <w:t xml:space="preserve"> and decided that the Secretariat should contact the parties. Further reflection would be needed in order to identify clear criteria on the matter. The Working Group decided to continue its discussions on the revision of working methods and rules of procedures, in order to establish deadlines, assessment criteria and modalities for closing cases under follow up scrutiny, in its subsequent sessions. </w:t>
      </w:r>
    </w:p>
    <w:p w:rsidR="00763518" w:rsidRDefault="00763518" w:rsidP="00763518">
      <w:pPr>
        <w:pStyle w:val="SingleTxtG"/>
        <w:rPr>
          <w:sz w:val="22"/>
          <w:szCs w:val="22"/>
        </w:rPr>
      </w:pPr>
      <w:r>
        <w:rPr>
          <w:sz w:val="22"/>
          <w:szCs w:val="22"/>
        </w:rPr>
        <w:t xml:space="preserve">14. In its effort to harmonise the Committee’s working methods and case law with those of the other treaty bodies, the Working Group requests that the Secretariat prepares a new format of the follow up report, in cases where the Committee has concluded to a violation and where the follow up dialogue is ongoing, to include assessment criteria. </w:t>
      </w:r>
    </w:p>
    <w:p w:rsidR="00763518" w:rsidRDefault="00763518" w:rsidP="00763518">
      <w:pPr>
        <w:pStyle w:val="SingleTxtG"/>
        <w:rPr>
          <w:sz w:val="22"/>
          <w:szCs w:val="22"/>
        </w:rPr>
      </w:pPr>
      <w:r>
        <w:rPr>
          <w:sz w:val="22"/>
          <w:szCs w:val="22"/>
        </w:rPr>
        <w:t xml:space="preserve">15. </w:t>
      </w:r>
      <w:r>
        <w:rPr>
          <w:sz w:val="22"/>
          <w:szCs w:val="22"/>
        </w:rPr>
        <w:tab/>
        <w:t xml:space="preserve">The Working Group decided to continue its efforts to increase the visibility of individual communications, whose recommendations have been positively implemented, including by briefing States parties on its work under the Optional Protocol, when required. The Petitions and Inquiries Section will further explore ways of cooperation on the matter with the OHCHR Press Unit. A specific part of the Committee’s webpage must be dedicated to follow up and best practices regarding individual cases and recently adopted jurisprudence.  </w:t>
      </w:r>
    </w:p>
    <w:p w:rsidR="00763518" w:rsidRDefault="00763518" w:rsidP="00763518">
      <w:pPr>
        <w:pStyle w:val="SingleTxtG"/>
        <w:rPr>
          <w:sz w:val="22"/>
          <w:szCs w:val="22"/>
        </w:rPr>
      </w:pPr>
      <w:r>
        <w:rPr>
          <w:sz w:val="22"/>
          <w:szCs w:val="22"/>
        </w:rPr>
        <w:t>16.</w:t>
      </w:r>
      <w:r>
        <w:rPr>
          <w:sz w:val="22"/>
          <w:szCs w:val="22"/>
        </w:rPr>
        <w:tab/>
        <w:t xml:space="preserve">The Working Group appreciates having received the draft recommendations in individual cases as sent to translation, as well as the Note by the Secretariat, ahead of the session, considering the resource shortages of the Petitions and Inquiries Section.   </w:t>
      </w:r>
    </w:p>
    <w:p w:rsidR="00763518" w:rsidRDefault="00763518" w:rsidP="00763518">
      <w:pPr>
        <w:pStyle w:val="H23G"/>
        <w:ind w:left="0" w:firstLine="0"/>
        <w:rPr>
          <w:rFonts w:ascii="Times New Roman Bold" w:eastAsia="Times New Roman Bold" w:hAnsi="Times New Roman Bold" w:cs="Times New Roman Bold"/>
          <w:color w:val="000000"/>
          <w:spacing w:val="1"/>
          <w:kern w:val="14"/>
          <w:sz w:val="22"/>
          <w:szCs w:val="22"/>
          <w:bdr w:val="none" w:sz="0" w:space="0" w:color="auto" w:frame="1"/>
          <w:lang w:eastAsia="zh-CN"/>
        </w:rPr>
      </w:pPr>
      <w:r>
        <w:rPr>
          <w:rFonts w:eastAsia="Arial Unicode MS"/>
          <w:sz w:val="22"/>
          <w:szCs w:val="22"/>
          <w:bdr w:val="none" w:sz="0" w:space="0" w:color="auto" w:frame="1"/>
        </w:rPr>
        <w:tab/>
      </w:r>
      <w:r>
        <w:rPr>
          <w:rFonts w:eastAsia="Arial Unicode MS"/>
          <w:sz w:val="22"/>
          <w:szCs w:val="22"/>
          <w:bdr w:val="none" w:sz="0" w:space="0" w:color="auto" w:frame="1"/>
        </w:rPr>
        <w:tab/>
        <w:t>Actions taken at the present session:</w:t>
      </w:r>
    </w:p>
    <w:p w:rsidR="00763518" w:rsidRDefault="00763518" w:rsidP="00763518">
      <w:pPr>
        <w:pStyle w:val="SingleTxtG"/>
        <w:rPr>
          <w:sz w:val="22"/>
          <w:szCs w:val="22"/>
        </w:rPr>
      </w:pPr>
      <w:r>
        <w:rPr>
          <w:sz w:val="22"/>
          <w:szCs w:val="22"/>
        </w:rPr>
        <w:t>17.</w:t>
      </w:r>
      <w:r>
        <w:rPr>
          <w:sz w:val="22"/>
          <w:szCs w:val="22"/>
        </w:rPr>
        <w:tab/>
        <w:t>The Working Group decided, inter alia:</w:t>
      </w:r>
    </w:p>
    <w:p w:rsidR="00763518" w:rsidRDefault="00763518" w:rsidP="00763518">
      <w:pPr>
        <w:pStyle w:val="SingleTxtG"/>
        <w:rPr>
          <w:sz w:val="22"/>
          <w:szCs w:val="22"/>
        </w:rPr>
      </w:pPr>
      <w:r>
        <w:rPr>
          <w:sz w:val="22"/>
          <w:szCs w:val="22"/>
        </w:rPr>
        <w:lastRenderedPageBreak/>
        <w:t>(a)</w:t>
      </w:r>
      <w:r>
        <w:rPr>
          <w:sz w:val="22"/>
          <w:szCs w:val="22"/>
        </w:rPr>
        <w:tab/>
        <w:t xml:space="preserve">To refer, for adoption by the Committee, four draft recommendations in communications </w:t>
      </w:r>
      <w:r>
        <w:rPr>
          <w:bCs/>
          <w:sz w:val="22"/>
          <w:szCs w:val="22"/>
        </w:rPr>
        <w:t xml:space="preserve">Nos. 65/2014, </w:t>
      </w:r>
      <w:r>
        <w:rPr>
          <w:bCs/>
          <w:i/>
          <w:sz w:val="22"/>
          <w:szCs w:val="22"/>
        </w:rPr>
        <w:t>S.T. v Russian Federation</w:t>
      </w:r>
      <w:r>
        <w:rPr>
          <w:bCs/>
          <w:sz w:val="22"/>
          <w:szCs w:val="22"/>
        </w:rPr>
        <w:t xml:space="preserve">, (gender based violence, failure to obtain redress, views, violation); </w:t>
      </w:r>
      <w:r>
        <w:rPr>
          <w:sz w:val="22"/>
          <w:szCs w:val="22"/>
        </w:rPr>
        <w:t xml:space="preserve">87/2015, </w:t>
      </w:r>
      <w:r>
        <w:rPr>
          <w:i/>
          <w:sz w:val="22"/>
          <w:szCs w:val="22"/>
        </w:rPr>
        <w:t xml:space="preserve">Oksana </w:t>
      </w:r>
      <w:proofErr w:type="spellStart"/>
      <w:r>
        <w:rPr>
          <w:i/>
          <w:sz w:val="22"/>
          <w:szCs w:val="22"/>
        </w:rPr>
        <w:t>Melnik</w:t>
      </w:r>
      <w:proofErr w:type="spellEnd"/>
      <w:r>
        <w:rPr>
          <w:i/>
          <w:sz w:val="22"/>
          <w:szCs w:val="22"/>
        </w:rPr>
        <w:t xml:space="preserve"> v Ukraine</w:t>
      </w:r>
      <w:r>
        <w:rPr>
          <w:sz w:val="22"/>
          <w:szCs w:val="22"/>
        </w:rPr>
        <w:t xml:space="preserve"> (failure to provide the author with effective consular assistance, views, violation);  96/2015, </w:t>
      </w:r>
      <w:r>
        <w:rPr>
          <w:i/>
          <w:sz w:val="22"/>
          <w:szCs w:val="22"/>
        </w:rPr>
        <w:t xml:space="preserve">A.R.I. v Denmark </w:t>
      </w:r>
      <w:r>
        <w:rPr>
          <w:sz w:val="22"/>
          <w:szCs w:val="22"/>
        </w:rPr>
        <w:t>(non-</w:t>
      </w:r>
      <w:proofErr w:type="spellStart"/>
      <w:r>
        <w:rPr>
          <w:sz w:val="22"/>
          <w:szCs w:val="22"/>
        </w:rPr>
        <w:t>refoulement</w:t>
      </w:r>
      <w:proofErr w:type="spellEnd"/>
      <w:r>
        <w:rPr>
          <w:sz w:val="22"/>
          <w:szCs w:val="22"/>
        </w:rPr>
        <w:t xml:space="preserve">, deportation to the Russian Federation, inadmissibility ) and 98/2015, </w:t>
      </w:r>
      <w:r>
        <w:rPr>
          <w:i/>
          <w:sz w:val="22"/>
          <w:szCs w:val="22"/>
        </w:rPr>
        <w:t>K.K. v Russian Federation</w:t>
      </w:r>
      <w:r>
        <w:rPr>
          <w:sz w:val="22"/>
          <w:szCs w:val="22"/>
        </w:rPr>
        <w:t xml:space="preserve"> (assault on an LBT activist by a MP and lack of redress, inadmissibility);</w:t>
      </w:r>
    </w:p>
    <w:p w:rsidR="00763518" w:rsidRDefault="00763518" w:rsidP="00763518">
      <w:pPr>
        <w:pStyle w:val="SingleTxtG"/>
        <w:rPr>
          <w:sz w:val="22"/>
          <w:szCs w:val="22"/>
        </w:rPr>
      </w:pPr>
      <w:r>
        <w:rPr>
          <w:sz w:val="22"/>
          <w:szCs w:val="22"/>
        </w:rPr>
        <w:t>(b)</w:t>
      </w:r>
      <w:r>
        <w:rPr>
          <w:sz w:val="22"/>
          <w:szCs w:val="22"/>
        </w:rPr>
        <w:tab/>
        <w:t xml:space="preserve">To refer for adoption by the Committee of one recommendation to discontinue the examination of communication No. 97/2015, </w:t>
      </w:r>
      <w:r>
        <w:rPr>
          <w:i/>
          <w:sz w:val="22"/>
          <w:szCs w:val="22"/>
        </w:rPr>
        <w:t>R.M. et al v Switzerland</w:t>
      </w:r>
      <w:r>
        <w:rPr>
          <w:sz w:val="22"/>
          <w:szCs w:val="22"/>
        </w:rPr>
        <w:t xml:space="preserve"> (non-</w:t>
      </w:r>
      <w:proofErr w:type="spellStart"/>
      <w:r>
        <w:rPr>
          <w:sz w:val="22"/>
          <w:szCs w:val="22"/>
        </w:rPr>
        <w:t>refoulement</w:t>
      </w:r>
      <w:proofErr w:type="spellEnd"/>
      <w:r>
        <w:rPr>
          <w:sz w:val="22"/>
          <w:szCs w:val="22"/>
        </w:rPr>
        <w:t>);</w:t>
      </w:r>
    </w:p>
    <w:p w:rsidR="00763518" w:rsidRDefault="00763518" w:rsidP="00763518">
      <w:pPr>
        <w:pStyle w:val="SingleTxtG"/>
        <w:rPr>
          <w:sz w:val="22"/>
          <w:szCs w:val="22"/>
        </w:rPr>
      </w:pPr>
      <w:r>
        <w:rPr>
          <w:sz w:val="22"/>
          <w:szCs w:val="22"/>
        </w:rPr>
        <w:t>(c)</w:t>
      </w:r>
      <w:r>
        <w:rPr>
          <w:sz w:val="22"/>
          <w:szCs w:val="22"/>
        </w:rPr>
        <w:tab/>
        <w:t>To request the Secretariat to prepare five draft recommendations for its 44</w:t>
      </w:r>
      <w:r>
        <w:rPr>
          <w:sz w:val="22"/>
          <w:szCs w:val="22"/>
          <w:vertAlign w:val="superscript"/>
        </w:rPr>
        <w:t>th</w:t>
      </w:r>
      <w:r>
        <w:rPr>
          <w:sz w:val="22"/>
          <w:szCs w:val="22"/>
        </w:rPr>
        <w:t xml:space="preserve"> session concerning communications 86/2016 </w:t>
      </w:r>
      <w:r>
        <w:rPr>
          <w:i/>
          <w:sz w:val="22"/>
          <w:szCs w:val="22"/>
        </w:rPr>
        <w:t>A.A.</w:t>
      </w:r>
      <w:r>
        <w:rPr>
          <w:sz w:val="22"/>
          <w:szCs w:val="22"/>
        </w:rPr>
        <w:t xml:space="preserve"> </w:t>
      </w:r>
      <w:r>
        <w:rPr>
          <w:i/>
          <w:sz w:val="22"/>
          <w:szCs w:val="22"/>
        </w:rPr>
        <w:t>v</w:t>
      </w:r>
      <w:r>
        <w:rPr>
          <w:sz w:val="22"/>
          <w:szCs w:val="22"/>
        </w:rPr>
        <w:t xml:space="preserve"> </w:t>
      </w:r>
      <w:r>
        <w:rPr>
          <w:i/>
          <w:sz w:val="22"/>
          <w:szCs w:val="22"/>
        </w:rPr>
        <w:t>Denmark</w:t>
      </w:r>
      <w:r>
        <w:rPr>
          <w:sz w:val="22"/>
          <w:szCs w:val="22"/>
        </w:rPr>
        <w:t xml:space="preserve"> (non-</w:t>
      </w:r>
      <w:proofErr w:type="spellStart"/>
      <w:r>
        <w:rPr>
          <w:sz w:val="22"/>
          <w:szCs w:val="22"/>
        </w:rPr>
        <w:t>refoulement</w:t>
      </w:r>
      <w:proofErr w:type="spellEnd"/>
      <w:r>
        <w:rPr>
          <w:sz w:val="22"/>
          <w:szCs w:val="22"/>
        </w:rPr>
        <w:t xml:space="preserve">, deportation to the Russian Federation); 94/2015, </w:t>
      </w:r>
      <w:r>
        <w:rPr>
          <w:i/>
          <w:sz w:val="22"/>
          <w:szCs w:val="22"/>
        </w:rPr>
        <w:t>A.N.A v Denmark</w:t>
      </w:r>
      <w:r>
        <w:rPr>
          <w:sz w:val="22"/>
          <w:szCs w:val="22"/>
        </w:rPr>
        <w:t xml:space="preserve"> (non-</w:t>
      </w:r>
      <w:proofErr w:type="spellStart"/>
      <w:r>
        <w:rPr>
          <w:sz w:val="22"/>
          <w:szCs w:val="22"/>
        </w:rPr>
        <w:t>refoulement</w:t>
      </w:r>
      <w:proofErr w:type="spellEnd"/>
      <w:r>
        <w:rPr>
          <w:sz w:val="22"/>
          <w:szCs w:val="22"/>
        </w:rPr>
        <w:t xml:space="preserve">, deportation to Somalia); 99/2016, </w:t>
      </w:r>
      <w:r>
        <w:rPr>
          <w:i/>
          <w:sz w:val="22"/>
          <w:szCs w:val="22"/>
        </w:rPr>
        <w:t xml:space="preserve">L. and B. v Bulgaria </w:t>
      </w:r>
      <w:r>
        <w:rPr>
          <w:sz w:val="22"/>
          <w:szCs w:val="22"/>
        </w:rPr>
        <w:t xml:space="preserve">(domestic violence); 100/2016, </w:t>
      </w:r>
      <w:r>
        <w:rPr>
          <w:i/>
          <w:sz w:val="22"/>
          <w:szCs w:val="22"/>
        </w:rPr>
        <w:t>K. and Ch.</w:t>
      </w:r>
      <w:r>
        <w:rPr>
          <w:sz w:val="22"/>
          <w:szCs w:val="22"/>
        </w:rPr>
        <w:t xml:space="preserve"> </w:t>
      </w:r>
      <w:r>
        <w:rPr>
          <w:i/>
          <w:sz w:val="22"/>
          <w:szCs w:val="22"/>
        </w:rPr>
        <w:t>v</w:t>
      </w:r>
      <w:r>
        <w:rPr>
          <w:sz w:val="22"/>
          <w:szCs w:val="22"/>
        </w:rPr>
        <w:t xml:space="preserve"> </w:t>
      </w:r>
      <w:r>
        <w:rPr>
          <w:i/>
          <w:sz w:val="22"/>
          <w:szCs w:val="22"/>
        </w:rPr>
        <w:t>Russian Federation</w:t>
      </w:r>
      <w:r>
        <w:rPr>
          <w:sz w:val="22"/>
          <w:szCs w:val="22"/>
        </w:rPr>
        <w:t xml:space="preserve"> (domestic violence); 102/2016, </w:t>
      </w:r>
      <w:r>
        <w:rPr>
          <w:i/>
          <w:sz w:val="22"/>
          <w:szCs w:val="22"/>
        </w:rPr>
        <w:t>D. et al. v</w:t>
      </w:r>
      <w:r>
        <w:rPr>
          <w:sz w:val="22"/>
          <w:szCs w:val="22"/>
        </w:rPr>
        <w:t xml:space="preserve"> </w:t>
      </w:r>
      <w:r>
        <w:rPr>
          <w:i/>
          <w:sz w:val="22"/>
          <w:szCs w:val="22"/>
        </w:rPr>
        <w:t>Czech Republic</w:t>
      </w:r>
      <w:r>
        <w:rPr>
          <w:sz w:val="22"/>
          <w:szCs w:val="22"/>
        </w:rPr>
        <w:t xml:space="preserve"> (forced sterilisation of Roma women).</w:t>
      </w:r>
    </w:p>
    <w:p w:rsidR="00763518" w:rsidRDefault="00763518" w:rsidP="00763518">
      <w:pPr>
        <w:pStyle w:val="SingleTxtG"/>
        <w:rPr>
          <w:i/>
          <w:sz w:val="22"/>
          <w:szCs w:val="22"/>
        </w:rPr>
      </w:pPr>
      <w:r>
        <w:rPr>
          <w:sz w:val="22"/>
          <w:szCs w:val="22"/>
        </w:rPr>
        <w:t>(d)</w:t>
      </w:r>
      <w:r>
        <w:rPr>
          <w:sz w:val="22"/>
          <w:szCs w:val="22"/>
        </w:rPr>
        <w:tab/>
        <w:t>To request the Secretariat to arrange a meeting, for the present session of the Committee or for the next session, with representatives of Georgia, Finland, Mexico, Peru, Slovakia and Tanzania to discuss follow-up to the Committee’s Views adopted against these countries</w:t>
      </w:r>
      <w:r>
        <w:rPr>
          <w:i/>
          <w:sz w:val="22"/>
          <w:szCs w:val="22"/>
        </w:rPr>
        <w:t>.</w:t>
      </w:r>
    </w:p>
    <w:p w:rsidR="00763518" w:rsidRDefault="00763518" w:rsidP="00763518">
      <w:pPr>
        <w:pStyle w:val="SingleTxtG"/>
        <w:rPr>
          <w:sz w:val="22"/>
          <w:szCs w:val="22"/>
        </w:rPr>
      </w:pPr>
      <w:r>
        <w:rPr>
          <w:sz w:val="22"/>
          <w:szCs w:val="22"/>
        </w:rPr>
        <w:t>(e)</w:t>
      </w:r>
      <w:r>
        <w:rPr>
          <w:sz w:val="22"/>
          <w:szCs w:val="22"/>
        </w:rPr>
        <w:tab/>
        <w:t xml:space="preserve">To have the Working Group’s Chair meeting with the Chair of the Committee’s Working Group on Inquiries to discuss the situation in an individual case wherein anonymity of the alleged victims is required by the author.  </w:t>
      </w:r>
    </w:p>
    <w:p w:rsidR="00763518" w:rsidRDefault="00763518" w:rsidP="00763518">
      <w:pPr>
        <w:pStyle w:val="SingleTxtG"/>
        <w:rPr>
          <w:sz w:val="22"/>
          <w:szCs w:val="22"/>
        </w:rPr>
      </w:pPr>
      <w:r>
        <w:rPr>
          <w:sz w:val="22"/>
          <w:szCs w:val="22"/>
        </w:rPr>
        <w:t xml:space="preserve">(f) To ask the Secretariat to prepare, in an effort to harmonise its working methods and case law with those of other treaty bodies, a follow up report for the next session, in a new format, to include assessment criteria with a view to rendering it public, placing it on the webpage of the Committee and thus increasing the visibility of the Committee’s work on communications under the Optional Protocol; </w:t>
      </w:r>
    </w:p>
    <w:p w:rsidR="00763518" w:rsidRDefault="00763518" w:rsidP="00763518">
      <w:pPr>
        <w:pStyle w:val="SingleTxtG"/>
        <w:rPr>
          <w:sz w:val="22"/>
          <w:szCs w:val="22"/>
        </w:rPr>
      </w:pPr>
      <w:r>
        <w:rPr>
          <w:sz w:val="22"/>
          <w:szCs w:val="22"/>
        </w:rPr>
        <w:t xml:space="preserve"> (g) To request the Secretariat to continuously update the list of pending and adopted cases on the OHCHR website.</w:t>
      </w:r>
    </w:p>
    <w:p w:rsidR="00763518" w:rsidRDefault="00763518" w:rsidP="00763518">
      <w:pPr>
        <w:pStyle w:val="SingleTxtG"/>
        <w:rPr>
          <w:sz w:val="22"/>
          <w:szCs w:val="22"/>
        </w:rPr>
      </w:pPr>
      <w:r>
        <w:rPr>
          <w:sz w:val="22"/>
          <w:szCs w:val="22"/>
        </w:rPr>
        <w:t>18.</w:t>
      </w:r>
      <w:r>
        <w:rPr>
          <w:sz w:val="22"/>
          <w:szCs w:val="22"/>
        </w:rPr>
        <w:tab/>
        <w:t xml:space="preserve">The Working Group decided to hold its forty-fourth session from 26 to 28 June 2019 in Geneva. </w:t>
      </w:r>
    </w:p>
    <w:p w:rsidR="00763518" w:rsidRDefault="00763518" w:rsidP="001574BE">
      <w:pPr>
        <w:pStyle w:val="H1G"/>
        <w:jc w:val="center"/>
        <w:rPr>
          <w:rFonts w:eastAsia="Times New Roman Bold"/>
          <w:sz w:val="22"/>
          <w:szCs w:val="22"/>
          <w:bdr w:val="none" w:sz="0" w:space="0" w:color="auto" w:frame="1"/>
          <w:lang w:eastAsia="zh-CN"/>
        </w:rPr>
      </w:pPr>
      <w:bookmarkStart w:id="0" w:name="_GoBack"/>
      <w:bookmarkEnd w:id="0"/>
      <w:r>
        <w:rPr>
          <w:rFonts w:eastAsia="Times New Roman Bold"/>
          <w:sz w:val="22"/>
          <w:szCs w:val="22"/>
          <w:bdr w:val="none" w:sz="0" w:space="0" w:color="auto" w:frame="1"/>
          <w:lang w:eastAsia="zh-CN"/>
        </w:rPr>
        <w:t>Annex I.</w:t>
      </w:r>
    </w:p>
    <w:p w:rsidR="00763518" w:rsidRDefault="00763518" w:rsidP="00763518">
      <w:pPr>
        <w:pStyle w:val="H23G"/>
        <w:jc w:val="center"/>
        <w:rPr>
          <w:rFonts w:eastAsia="Times New Roman Bold" w:hAnsi="Times New Roman Bold" w:cs="Times New Roman Bold"/>
          <w:sz w:val="22"/>
          <w:szCs w:val="22"/>
          <w:bdr w:val="none" w:sz="0" w:space="0" w:color="auto" w:frame="1"/>
          <w:lang w:eastAsia="zh-CN"/>
        </w:rPr>
      </w:pPr>
      <w:r>
        <w:rPr>
          <w:rFonts w:eastAsia="Arial Unicode MS"/>
          <w:sz w:val="22"/>
          <w:szCs w:val="22"/>
          <w:bdr w:val="none" w:sz="0" w:space="0" w:color="auto" w:frame="1"/>
          <w:lang w:eastAsia="zh-CN"/>
        </w:rPr>
        <w:t>Agenda</w:t>
      </w:r>
    </w:p>
    <w:p w:rsidR="00763518" w:rsidRDefault="00763518" w:rsidP="00763518">
      <w:pPr>
        <w:pStyle w:val="H1G"/>
        <w:jc w:val="center"/>
        <w:rPr>
          <w:rFonts w:eastAsia="Cambria"/>
          <w:sz w:val="22"/>
          <w:szCs w:val="22"/>
          <w:bdr w:val="none" w:sz="0" w:space="0" w:color="auto" w:frame="1"/>
          <w:lang w:eastAsia="zh-CN"/>
        </w:rPr>
      </w:pPr>
      <w:r>
        <w:rPr>
          <w:rFonts w:eastAsia="Cambria"/>
          <w:sz w:val="22"/>
          <w:szCs w:val="22"/>
          <w:bdr w:val="none" w:sz="0" w:space="0" w:color="auto" w:frame="1"/>
          <w:lang w:eastAsia="zh-CN"/>
        </w:rPr>
        <w:tab/>
      </w:r>
      <w:r>
        <w:rPr>
          <w:rFonts w:eastAsia="Cambria"/>
          <w:sz w:val="22"/>
          <w:szCs w:val="22"/>
          <w:bdr w:val="none" w:sz="0" w:space="0" w:color="auto" w:frame="1"/>
          <w:lang w:eastAsia="zh-CN"/>
        </w:rPr>
        <w:tab/>
        <w:t>Working Group on Communications under the Optional Protocol</w:t>
      </w:r>
    </w:p>
    <w:p w:rsidR="00763518" w:rsidRDefault="00763518" w:rsidP="00763518">
      <w:pPr>
        <w:pStyle w:val="SingleTxtG"/>
        <w:jc w:val="center"/>
        <w:rPr>
          <w:rFonts w:eastAsia="Arial Unicode MS"/>
          <w:b/>
          <w:sz w:val="22"/>
          <w:szCs w:val="22"/>
          <w:bdr w:val="none" w:sz="0" w:space="0" w:color="auto" w:frame="1"/>
          <w:lang w:eastAsia="zh-CN"/>
        </w:rPr>
      </w:pPr>
      <w:r>
        <w:rPr>
          <w:rFonts w:eastAsia="Arial Unicode MS"/>
          <w:b/>
          <w:sz w:val="22"/>
          <w:szCs w:val="22"/>
          <w:bdr w:val="none" w:sz="0" w:space="0" w:color="auto" w:frame="1"/>
          <w:lang w:eastAsia="zh-CN"/>
        </w:rPr>
        <w:t>43</w:t>
      </w:r>
      <w:r>
        <w:rPr>
          <w:rFonts w:eastAsia="Arial Unicode MS"/>
          <w:b/>
          <w:sz w:val="22"/>
          <w:szCs w:val="22"/>
          <w:bdr w:val="none" w:sz="0" w:space="0" w:color="auto" w:frame="1"/>
          <w:vertAlign w:val="superscript"/>
          <w:lang w:eastAsia="zh-CN"/>
        </w:rPr>
        <w:t xml:space="preserve">rd </w:t>
      </w:r>
      <w:r>
        <w:rPr>
          <w:rFonts w:eastAsia="Arial Unicode MS"/>
          <w:b/>
          <w:sz w:val="22"/>
          <w:szCs w:val="22"/>
          <w:bdr w:val="none" w:sz="0" w:space="0" w:color="auto" w:frame="1"/>
          <w:lang w:eastAsia="zh-CN"/>
        </w:rPr>
        <w:t>session (Geneva 12-15 February 2019)</w:t>
      </w:r>
    </w:p>
    <w:p w:rsidR="00763518" w:rsidRDefault="00763518" w:rsidP="00763518">
      <w:pPr>
        <w:spacing w:line="240" w:lineRule="auto"/>
        <w:jc w:val="center"/>
        <w:rPr>
          <w:rFonts w:eastAsia="Arial Unicode MS" w:hAnsi="Arial Unicode MS" w:cs="Arial Unicode MS"/>
          <w:i/>
          <w:iCs/>
          <w:color w:val="000000"/>
          <w:spacing w:val="3"/>
          <w:kern w:val="14"/>
          <w:sz w:val="22"/>
          <w:szCs w:val="22"/>
          <w:bdr w:val="none" w:sz="0" w:space="0" w:color="auto" w:frame="1"/>
          <w:lang w:eastAsia="zh-CN"/>
        </w:rPr>
      </w:pPr>
      <w:r>
        <w:rPr>
          <w:rFonts w:eastAsia="Arial Unicode MS" w:hAnsi="Arial Unicode MS" w:cs="Arial Unicode MS"/>
          <w:i/>
          <w:iCs/>
          <w:color w:val="000000"/>
          <w:spacing w:val="3"/>
          <w:kern w:val="14"/>
          <w:sz w:val="22"/>
          <w:szCs w:val="22"/>
          <w:bdr w:val="none" w:sz="0" w:space="0" w:color="auto" w:frame="1"/>
          <w:lang w:eastAsia="zh-CN"/>
        </w:rPr>
        <w:t>Room XVI, Palais des Nations</w:t>
      </w:r>
    </w:p>
    <w:p w:rsidR="00763518" w:rsidRDefault="00763518" w:rsidP="00763518">
      <w:pPr>
        <w:spacing w:line="240" w:lineRule="auto"/>
        <w:jc w:val="center"/>
        <w:rPr>
          <w:rFonts w:eastAsia="Arial Unicode MS" w:hAnsi="Arial Unicode MS" w:cs="Arial Unicode MS"/>
          <w:i/>
          <w:iCs/>
          <w:color w:val="000000"/>
          <w:spacing w:val="3"/>
          <w:kern w:val="14"/>
          <w:sz w:val="22"/>
          <w:szCs w:val="22"/>
          <w:bdr w:val="none" w:sz="0" w:space="0" w:color="auto" w:frame="1"/>
          <w:lang w:eastAsia="zh-CN"/>
        </w:rPr>
      </w:pPr>
    </w:p>
    <w:p w:rsidR="00763518" w:rsidRDefault="00763518" w:rsidP="00763518">
      <w:pPr>
        <w:numPr>
          <w:ilvl w:val="0"/>
          <w:numId w:val="21"/>
        </w:numPr>
        <w:suppressAutoHyphens w:val="0"/>
        <w:autoSpaceDE w:val="0"/>
        <w:autoSpaceDN w:val="0"/>
        <w:adjustRightInd w:val="0"/>
        <w:jc w:val="both"/>
        <w:rPr>
          <w:rFonts w:eastAsia="SimSun"/>
          <w:b/>
          <w:bCs/>
          <w:color w:val="000000"/>
          <w:sz w:val="22"/>
          <w:szCs w:val="22"/>
          <w:lang w:val="en-US" w:eastAsia="zh-CN"/>
        </w:rPr>
      </w:pPr>
      <w:r>
        <w:rPr>
          <w:rFonts w:eastAsia="SimSun"/>
          <w:b/>
          <w:bCs/>
          <w:color w:val="000000"/>
          <w:sz w:val="22"/>
          <w:szCs w:val="22"/>
          <w:lang w:val="en-US" w:eastAsia="zh-CN"/>
        </w:rPr>
        <w:t>Adoption of the agenda and organization of work</w:t>
      </w:r>
    </w:p>
    <w:p w:rsidR="00763518" w:rsidRDefault="00763518" w:rsidP="00763518">
      <w:pPr>
        <w:autoSpaceDE w:val="0"/>
        <w:autoSpaceDN w:val="0"/>
        <w:adjustRightInd w:val="0"/>
        <w:jc w:val="both"/>
        <w:rPr>
          <w:rFonts w:eastAsia="SimSun"/>
          <w:b/>
          <w:bCs/>
          <w:color w:val="000000"/>
          <w:sz w:val="22"/>
          <w:szCs w:val="22"/>
          <w:lang w:val="en-US" w:eastAsia="zh-CN"/>
        </w:rPr>
      </w:pPr>
    </w:p>
    <w:p w:rsidR="00763518" w:rsidRDefault="00763518" w:rsidP="00763518">
      <w:pPr>
        <w:numPr>
          <w:ilvl w:val="0"/>
          <w:numId w:val="21"/>
        </w:numPr>
        <w:suppressAutoHyphens w:val="0"/>
        <w:autoSpaceDE w:val="0"/>
        <w:autoSpaceDN w:val="0"/>
        <w:adjustRightInd w:val="0"/>
        <w:jc w:val="both"/>
        <w:rPr>
          <w:rFonts w:eastAsia="SimSun"/>
          <w:b/>
          <w:bCs/>
          <w:color w:val="000000"/>
          <w:sz w:val="22"/>
          <w:szCs w:val="22"/>
          <w:lang w:val="en-US" w:eastAsia="zh-CN"/>
        </w:rPr>
      </w:pPr>
      <w:r>
        <w:rPr>
          <w:rFonts w:eastAsia="SimSun"/>
          <w:b/>
          <w:bCs/>
          <w:color w:val="000000"/>
          <w:sz w:val="22"/>
          <w:szCs w:val="22"/>
          <w:lang w:val="en-US" w:eastAsia="zh-CN"/>
        </w:rPr>
        <w:t>Review of steps and activities undertaken since the last session:</w:t>
      </w:r>
    </w:p>
    <w:p w:rsidR="00763518" w:rsidRDefault="00763518" w:rsidP="00763518">
      <w:pPr>
        <w:autoSpaceDE w:val="0"/>
        <w:autoSpaceDN w:val="0"/>
        <w:adjustRightInd w:val="0"/>
        <w:jc w:val="both"/>
        <w:rPr>
          <w:b/>
          <w:bCs/>
          <w:color w:val="000000"/>
          <w:sz w:val="22"/>
          <w:szCs w:val="22"/>
        </w:rPr>
      </w:pPr>
    </w:p>
    <w:p w:rsidR="00763518" w:rsidRDefault="00763518" w:rsidP="00763518">
      <w:pPr>
        <w:autoSpaceDE w:val="0"/>
        <w:autoSpaceDN w:val="0"/>
        <w:adjustRightInd w:val="0"/>
        <w:ind w:left="2214" w:firstLine="54"/>
        <w:jc w:val="both"/>
        <w:rPr>
          <w:color w:val="000000"/>
          <w:sz w:val="22"/>
          <w:szCs w:val="22"/>
        </w:rPr>
      </w:pPr>
      <w:r>
        <w:rPr>
          <w:color w:val="000000"/>
          <w:sz w:val="22"/>
          <w:szCs w:val="22"/>
        </w:rPr>
        <w:t>-</w:t>
      </w:r>
      <w:r>
        <w:rPr>
          <w:color w:val="000000"/>
          <w:sz w:val="22"/>
          <w:szCs w:val="22"/>
        </w:rPr>
        <w:tab/>
        <w:t>Note by the Secretariat (CEDAW</w:t>
      </w:r>
      <w:r>
        <w:rPr>
          <w:sz w:val="22"/>
          <w:szCs w:val="22"/>
        </w:rPr>
        <w:t>/C/WG/43/R.1</w:t>
      </w:r>
      <w:r>
        <w:rPr>
          <w:color w:val="000000"/>
          <w:sz w:val="22"/>
          <w:szCs w:val="22"/>
        </w:rPr>
        <w:t>)</w:t>
      </w:r>
    </w:p>
    <w:p w:rsidR="00763518" w:rsidRDefault="00763518" w:rsidP="00763518">
      <w:pPr>
        <w:autoSpaceDE w:val="0"/>
        <w:autoSpaceDN w:val="0"/>
        <w:adjustRightInd w:val="0"/>
        <w:ind w:left="2835" w:hanging="567"/>
        <w:jc w:val="both"/>
        <w:rPr>
          <w:color w:val="000000"/>
          <w:sz w:val="22"/>
          <w:szCs w:val="22"/>
        </w:rPr>
      </w:pPr>
      <w:r>
        <w:rPr>
          <w:color w:val="000000"/>
          <w:sz w:val="22"/>
          <w:szCs w:val="22"/>
        </w:rPr>
        <w:lastRenderedPageBreak/>
        <w:t>-</w:t>
      </w:r>
      <w:r>
        <w:rPr>
          <w:color w:val="000000"/>
          <w:sz w:val="22"/>
          <w:szCs w:val="22"/>
        </w:rPr>
        <w:tab/>
      </w:r>
      <w:r>
        <w:rPr>
          <w:color w:val="000000"/>
          <w:sz w:val="22"/>
          <w:szCs w:val="22"/>
        </w:rPr>
        <w:tab/>
        <w:t>For information: Report of the Working Group on Communications under the Optional Protocol, 42</w:t>
      </w:r>
      <w:r>
        <w:rPr>
          <w:color w:val="000000"/>
          <w:sz w:val="22"/>
          <w:szCs w:val="22"/>
          <w:vertAlign w:val="superscript"/>
        </w:rPr>
        <w:t>nd</w:t>
      </w:r>
      <w:r>
        <w:rPr>
          <w:color w:val="000000"/>
          <w:sz w:val="22"/>
          <w:szCs w:val="22"/>
        </w:rPr>
        <w:t xml:space="preserve"> session</w:t>
      </w:r>
    </w:p>
    <w:p w:rsidR="00763518" w:rsidRDefault="00763518" w:rsidP="00763518">
      <w:pPr>
        <w:pStyle w:val="Bullet1G"/>
        <w:numPr>
          <w:ilvl w:val="0"/>
          <w:numId w:val="0"/>
        </w:numPr>
        <w:tabs>
          <w:tab w:val="left" w:pos="720"/>
        </w:tabs>
        <w:ind w:left="1134"/>
        <w:rPr>
          <w:sz w:val="22"/>
          <w:szCs w:val="22"/>
          <w:u w:val="single"/>
        </w:rPr>
      </w:pPr>
    </w:p>
    <w:p w:rsidR="00763518" w:rsidRDefault="00763518" w:rsidP="00763518">
      <w:pPr>
        <w:pStyle w:val="ListParagraph"/>
        <w:numPr>
          <w:ilvl w:val="0"/>
          <w:numId w:val="21"/>
        </w:numPr>
        <w:autoSpaceDE w:val="0"/>
        <w:autoSpaceDN w:val="0"/>
        <w:adjustRightInd w:val="0"/>
        <w:jc w:val="both"/>
        <w:rPr>
          <w:b/>
          <w:bCs/>
          <w:sz w:val="22"/>
          <w:szCs w:val="22"/>
        </w:rPr>
      </w:pPr>
      <w:r>
        <w:rPr>
          <w:b/>
          <w:bCs/>
          <w:sz w:val="22"/>
          <w:szCs w:val="22"/>
        </w:rPr>
        <w:t>New communications registered and rapporteur designation</w:t>
      </w:r>
    </w:p>
    <w:p w:rsidR="00763518" w:rsidRDefault="00763518" w:rsidP="00763518">
      <w:pPr>
        <w:autoSpaceDE w:val="0"/>
        <w:autoSpaceDN w:val="0"/>
        <w:adjustRightInd w:val="0"/>
        <w:jc w:val="both"/>
        <w:rPr>
          <w:b/>
          <w:bCs/>
          <w:sz w:val="22"/>
          <w:szCs w:val="22"/>
        </w:rPr>
      </w:pPr>
    </w:p>
    <w:p w:rsidR="00763518" w:rsidRDefault="00763518" w:rsidP="00763518">
      <w:pPr>
        <w:pStyle w:val="ListParagraph"/>
        <w:numPr>
          <w:ilvl w:val="0"/>
          <w:numId w:val="21"/>
        </w:numPr>
        <w:autoSpaceDE w:val="0"/>
        <w:autoSpaceDN w:val="0"/>
        <w:adjustRightInd w:val="0"/>
        <w:jc w:val="both"/>
        <w:rPr>
          <w:b/>
          <w:bCs/>
          <w:sz w:val="22"/>
          <w:szCs w:val="22"/>
        </w:rPr>
      </w:pPr>
      <w:r>
        <w:rPr>
          <w:b/>
          <w:bCs/>
          <w:sz w:val="22"/>
          <w:szCs w:val="22"/>
        </w:rPr>
        <w:t xml:space="preserve">Update on communications </w:t>
      </w:r>
    </w:p>
    <w:p w:rsidR="00763518" w:rsidRDefault="00763518" w:rsidP="00763518">
      <w:pPr>
        <w:pStyle w:val="ListParagraph"/>
        <w:rPr>
          <w:b/>
          <w:bCs/>
          <w:sz w:val="22"/>
          <w:szCs w:val="22"/>
        </w:rPr>
      </w:pPr>
    </w:p>
    <w:p w:rsidR="00763518" w:rsidRDefault="00763518" w:rsidP="00763518">
      <w:pPr>
        <w:pStyle w:val="ListParagraph"/>
        <w:numPr>
          <w:ilvl w:val="0"/>
          <w:numId w:val="21"/>
        </w:numPr>
        <w:autoSpaceDE w:val="0"/>
        <w:autoSpaceDN w:val="0"/>
        <w:adjustRightInd w:val="0"/>
        <w:jc w:val="both"/>
        <w:rPr>
          <w:b/>
          <w:bCs/>
          <w:sz w:val="22"/>
          <w:szCs w:val="22"/>
        </w:rPr>
      </w:pPr>
      <w:r>
        <w:rPr>
          <w:b/>
          <w:bCs/>
          <w:sz w:val="22"/>
          <w:szCs w:val="22"/>
        </w:rPr>
        <w:t>Update on follow-up to Views</w:t>
      </w:r>
      <w:r>
        <w:rPr>
          <w:b/>
          <w:bCs/>
          <w:color w:val="000000"/>
          <w:sz w:val="22"/>
          <w:szCs w:val="22"/>
          <w:lang w:val="en-GB"/>
        </w:rPr>
        <w:t xml:space="preserve"> </w:t>
      </w:r>
    </w:p>
    <w:p w:rsidR="00763518" w:rsidRDefault="00763518" w:rsidP="00763518">
      <w:pPr>
        <w:autoSpaceDE w:val="0"/>
        <w:autoSpaceDN w:val="0"/>
        <w:adjustRightInd w:val="0"/>
        <w:ind w:left="600" w:hanging="600"/>
        <w:jc w:val="both"/>
        <w:rPr>
          <w:b/>
          <w:bCs/>
          <w:color w:val="000000"/>
          <w:sz w:val="22"/>
          <w:szCs w:val="22"/>
        </w:rPr>
      </w:pPr>
    </w:p>
    <w:p w:rsidR="00763518" w:rsidRDefault="00763518" w:rsidP="00763518">
      <w:pPr>
        <w:pStyle w:val="ListParagraph"/>
        <w:numPr>
          <w:ilvl w:val="0"/>
          <w:numId w:val="21"/>
        </w:numPr>
        <w:autoSpaceDE w:val="0"/>
        <w:autoSpaceDN w:val="0"/>
        <w:adjustRightInd w:val="0"/>
        <w:jc w:val="both"/>
        <w:rPr>
          <w:b/>
          <w:bCs/>
          <w:color w:val="000000"/>
          <w:sz w:val="22"/>
          <w:szCs w:val="22"/>
        </w:rPr>
      </w:pPr>
      <w:r>
        <w:rPr>
          <w:b/>
          <w:bCs/>
          <w:color w:val="000000"/>
          <w:sz w:val="22"/>
          <w:szCs w:val="22"/>
        </w:rPr>
        <w:t xml:space="preserve">Discussion on working methods and </w:t>
      </w:r>
      <w:proofErr w:type="spellStart"/>
      <w:r>
        <w:rPr>
          <w:b/>
          <w:bCs/>
          <w:color w:val="000000"/>
          <w:sz w:val="22"/>
          <w:szCs w:val="22"/>
        </w:rPr>
        <w:t>a.o.b</w:t>
      </w:r>
      <w:proofErr w:type="spellEnd"/>
      <w:r>
        <w:rPr>
          <w:b/>
          <w:bCs/>
          <w:color w:val="000000"/>
          <w:sz w:val="22"/>
          <w:szCs w:val="22"/>
        </w:rPr>
        <w:t>.</w:t>
      </w:r>
    </w:p>
    <w:p w:rsidR="00763518" w:rsidRDefault="00763518" w:rsidP="00763518">
      <w:pPr>
        <w:pStyle w:val="ListParagraph"/>
        <w:autoSpaceDE w:val="0"/>
        <w:autoSpaceDN w:val="0"/>
        <w:adjustRightInd w:val="0"/>
        <w:ind w:left="862"/>
        <w:jc w:val="both"/>
        <w:rPr>
          <w:b/>
          <w:bCs/>
          <w:color w:val="000000"/>
          <w:sz w:val="22"/>
          <w:szCs w:val="22"/>
        </w:rPr>
      </w:pPr>
    </w:p>
    <w:p w:rsidR="00763518" w:rsidRDefault="00763518" w:rsidP="00763518">
      <w:pPr>
        <w:pStyle w:val="ListParagraph"/>
        <w:numPr>
          <w:ilvl w:val="0"/>
          <w:numId w:val="21"/>
        </w:numPr>
        <w:autoSpaceDE w:val="0"/>
        <w:autoSpaceDN w:val="0"/>
        <w:adjustRightInd w:val="0"/>
        <w:jc w:val="both"/>
        <w:rPr>
          <w:b/>
          <w:bCs/>
          <w:color w:val="000000"/>
          <w:sz w:val="22"/>
          <w:szCs w:val="22"/>
        </w:rPr>
      </w:pPr>
      <w:r>
        <w:rPr>
          <w:b/>
          <w:bCs/>
          <w:color w:val="000000"/>
          <w:sz w:val="22"/>
          <w:szCs w:val="22"/>
        </w:rPr>
        <w:t>Adoption of draft recommendations (4)</w:t>
      </w:r>
    </w:p>
    <w:p w:rsidR="00763518" w:rsidRDefault="00763518" w:rsidP="00763518">
      <w:pPr>
        <w:autoSpaceDE w:val="0"/>
        <w:autoSpaceDN w:val="0"/>
        <w:adjustRightInd w:val="0"/>
        <w:jc w:val="both"/>
        <w:rPr>
          <w:b/>
          <w:bCs/>
          <w:color w:val="000000"/>
          <w:sz w:val="22"/>
          <w:szCs w:val="22"/>
        </w:rPr>
      </w:pPr>
    </w:p>
    <w:p w:rsidR="00763518" w:rsidRDefault="00763518" w:rsidP="00763518">
      <w:pPr>
        <w:pStyle w:val="ListParagraph"/>
        <w:numPr>
          <w:ilvl w:val="0"/>
          <w:numId w:val="21"/>
        </w:numPr>
        <w:autoSpaceDE w:val="0"/>
        <w:autoSpaceDN w:val="0"/>
        <w:adjustRightInd w:val="0"/>
        <w:jc w:val="both"/>
        <w:rPr>
          <w:b/>
          <w:bCs/>
          <w:color w:val="000000"/>
          <w:sz w:val="22"/>
          <w:szCs w:val="22"/>
        </w:rPr>
      </w:pPr>
      <w:r>
        <w:rPr>
          <w:b/>
          <w:bCs/>
          <w:color w:val="000000"/>
          <w:sz w:val="22"/>
          <w:szCs w:val="22"/>
          <w:lang w:val="en-GB"/>
        </w:rPr>
        <w:t>Adoption of the report concerning the Working Group’s 43</w:t>
      </w:r>
      <w:r>
        <w:rPr>
          <w:b/>
          <w:bCs/>
          <w:color w:val="000000"/>
          <w:sz w:val="22"/>
          <w:szCs w:val="22"/>
          <w:vertAlign w:val="superscript"/>
          <w:lang w:val="en-GB"/>
        </w:rPr>
        <w:t>rd</w:t>
      </w:r>
      <w:r>
        <w:rPr>
          <w:b/>
          <w:bCs/>
          <w:color w:val="000000"/>
          <w:sz w:val="22"/>
          <w:szCs w:val="22"/>
          <w:lang w:val="en-GB"/>
        </w:rPr>
        <w:t xml:space="preserve"> session.</w:t>
      </w:r>
    </w:p>
    <w:p w:rsidR="00763518" w:rsidRDefault="00763518" w:rsidP="00763518">
      <w:pPr>
        <w:autoSpaceDE w:val="0"/>
        <w:autoSpaceDN w:val="0"/>
        <w:adjustRightInd w:val="0"/>
        <w:jc w:val="both"/>
        <w:rPr>
          <w:b/>
          <w:bCs/>
          <w:color w:val="000000"/>
          <w:sz w:val="22"/>
          <w:szCs w:val="22"/>
        </w:rPr>
      </w:pPr>
    </w:p>
    <w:p w:rsidR="00BA3042" w:rsidRPr="00BA3042" w:rsidRDefault="00BA3042" w:rsidP="00763518">
      <w:pPr>
        <w:pStyle w:val="H1G"/>
        <w:jc w:val="center"/>
        <w:rPr>
          <w:u w:val="single"/>
        </w:rPr>
      </w:pPr>
    </w:p>
    <w:sectPr w:rsidR="00BA3042" w:rsidRPr="00BA3042" w:rsidSect="003B30AB">
      <w:footerReference w:type="even" r:id="rId11"/>
      <w:footerReference w:type="default" r:id="rId12"/>
      <w:endnotePr>
        <w:numFmt w:val="decimal"/>
      </w:endnotePr>
      <w:pgSz w:w="11907" w:h="16840" w:code="9"/>
      <w:pgMar w:top="1701" w:right="1134" w:bottom="0"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12CE" w:rsidRDefault="009012CE"/>
  </w:endnote>
  <w:endnote w:type="continuationSeparator" w:id="0">
    <w:p w:rsidR="009012CE" w:rsidRDefault="009012CE"/>
  </w:endnote>
  <w:endnote w:type="continuationNotice" w:id="1">
    <w:p w:rsidR="009012CE" w:rsidRDefault="009012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8FB" w:rsidRPr="001E78FB" w:rsidRDefault="001E78FB" w:rsidP="001E78FB">
    <w:pPr>
      <w:pStyle w:val="Footer"/>
      <w:tabs>
        <w:tab w:val="right" w:pos="9638"/>
      </w:tabs>
    </w:pPr>
    <w:r w:rsidRPr="001E78FB">
      <w:rPr>
        <w:b/>
        <w:sz w:val="18"/>
      </w:rPr>
      <w:fldChar w:fldCharType="begin"/>
    </w:r>
    <w:r w:rsidRPr="001E78FB">
      <w:rPr>
        <w:b/>
        <w:sz w:val="18"/>
      </w:rPr>
      <w:instrText xml:space="preserve"> PAGE  \* MERGEFORMAT </w:instrText>
    </w:r>
    <w:r w:rsidRPr="001E78FB">
      <w:rPr>
        <w:b/>
        <w:sz w:val="18"/>
      </w:rPr>
      <w:fldChar w:fldCharType="separate"/>
    </w:r>
    <w:r w:rsidR="001574BE">
      <w:rPr>
        <w:b/>
        <w:noProof/>
        <w:sz w:val="18"/>
      </w:rPr>
      <w:t>4</w:t>
    </w:r>
    <w:r w:rsidRPr="001E78F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78FB" w:rsidRPr="001E78FB" w:rsidRDefault="001E78FB" w:rsidP="001E78FB">
    <w:pPr>
      <w:pStyle w:val="Footer"/>
      <w:tabs>
        <w:tab w:val="right" w:pos="9638"/>
      </w:tabs>
      <w:rPr>
        <w:b/>
        <w:sz w:val="18"/>
      </w:rPr>
    </w:pPr>
    <w:r>
      <w:tab/>
    </w:r>
    <w:r w:rsidRPr="001E78FB">
      <w:rPr>
        <w:b/>
        <w:sz w:val="18"/>
      </w:rPr>
      <w:fldChar w:fldCharType="begin"/>
    </w:r>
    <w:r w:rsidRPr="001E78FB">
      <w:rPr>
        <w:b/>
        <w:sz w:val="18"/>
      </w:rPr>
      <w:instrText xml:space="preserve"> PAGE  \* MERGEFORMAT </w:instrText>
    </w:r>
    <w:r w:rsidRPr="001E78FB">
      <w:rPr>
        <w:b/>
        <w:sz w:val="18"/>
      </w:rPr>
      <w:fldChar w:fldCharType="separate"/>
    </w:r>
    <w:r w:rsidR="001574BE">
      <w:rPr>
        <w:b/>
        <w:noProof/>
        <w:sz w:val="18"/>
      </w:rPr>
      <w:t>3</w:t>
    </w:r>
    <w:r w:rsidRPr="001E78FB">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12CE" w:rsidRPr="000B175B" w:rsidRDefault="009012CE" w:rsidP="000B175B">
      <w:pPr>
        <w:tabs>
          <w:tab w:val="right" w:pos="2155"/>
        </w:tabs>
        <w:spacing w:after="80"/>
        <w:ind w:left="680"/>
        <w:rPr>
          <w:u w:val="single"/>
        </w:rPr>
      </w:pPr>
      <w:r>
        <w:rPr>
          <w:u w:val="single"/>
        </w:rPr>
        <w:tab/>
      </w:r>
    </w:p>
  </w:footnote>
  <w:footnote w:type="continuationSeparator" w:id="0">
    <w:p w:rsidR="009012CE" w:rsidRPr="00FC68B7" w:rsidRDefault="009012CE" w:rsidP="00FC68B7">
      <w:pPr>
        <w:tabs>
          <w:tab w:val="left" w:pos="2155"/>
        </w:tabs>
        <w:spacing w:after="80"/>
        <w:ind w:left="680"/>
        <w:rPr>
          <w:u w:val="single"/>
        </w:rPr>
      </w:pPr>
      <w:r>
        <w:rPr>
          <w:u w:val="single"/>
        </w:rPr>
        <w:tab/>
      </w:r>
    </w:p>
  </w:footnote>
  <w:footnote w:type="continuationNotice" w:id="1">
    <w:p w:rsidR="009012CE" w:rsidRDefault="009012C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8165543"/>
    <w:multiLevelType w:val="hybridMultilevel"/>
    <w:tmpl w:val="48660558"/>
    <w:lvl w:ilvl="0" w:tplc="3F2CCA7A">
      <w:start w:val="1"/>
      <w:numFmt w:val="lowerLetter"/>
      <w:lvlText w:val="(%1)"/>
      <w:lvlJc w:val="left"/>
      <w:pPr>
        <w:ind w:left="720" w:hanging="360"/>
      </w:pPr>
      <w:rPr>
        <w:rFonts w:ascii="Times New Roman" w:eastAsia="SimSu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0B50C2"/>
    <w:multiLevelType w:val="hybridMultilevel"/>
    <w:tmpl w:val="CB481A22"/>
    <w:lvl w:ilvl="0" w:tplc="48346C8C">
      <w:start w:val="1"/>
      <w:numFmt w:val="decimal"/>
      <w:lvlText w:val="%1."/>
      <w:lvlJc w:val="left"/>
      <w:pPr>
        <w:ind w:left="720" w:hanging="360"/>
      </w:pPr>
      <w:rPr>
        <w:rFonts w:eastAsia="Arial Unicode MS" w:hAnsi="Arial Unicode MS" w:cs="Arial Unicode M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402698D"/>
    <w:multiLevelType w:val="hybridMultilevel"/>
    <w:tmpl w:val="149AB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0544F3"/>
    <w:multiLevelType w:val="hybridMultilevel"/>
    <w:tmpl w:val="64EA0574"/>
    <w:lvl w:ilvl="0" w:tplc="826C0C82">
      <w:start w:val="1"/>
      <w:numFmt w:val="decimal"/>
      <w:lvlText w:val="%1."/>
      <w:lvlJc w:val="left"/>
      <w:pPr>
        <w:ind w:left="2421" w:hanging="720"/>
      </w:pPr>
      <w:rPr>
        <w:rFonts w:hint="default"/>
        <w:b w:val="0"/>
        <w:color w:val="auto"/>
      </w:rPr>
    </w:lvl>
    <w:lvl w:ilvl="1" w:tplc="08090019">
      <w:start w:val="1"/>
      <w:numFmt w:val="lowerLetter"/>
      <w:lvlText w:val="%2."/>
      <w:lvlJc w:val="left"/>
      <w:pPr>
        <w:ind w:left="2999" w:hanging="360"/>
      </w:pPr>
    </w:lvl>
    <w:lvl w:ilvl="2" w:tplc="0809001B">
      <w:start w:val="1"/>
      <w:numFmt w:val="lowerRoman"/>
      <w:lvlText w:val="%3."/>
      <w:lvlJc w:val="right"/>
      <w:pPr>
        <w:ind w:left="3719" w:hanging="180"/>
      </w:pPr>
    </w:lvl>
    <w:lvl w:ilvl="3" w:tplc="0809000F">
      <w:start w:val="1"/>
      <w:numFmt w:val="decimal"/>
      <w:lvlText w:val="%4."/>
      <w:lvlJc w:val="left"/>
      <w:pPr>
        <w:ind w:left="4439" w:hanging="360"/>
      </w:pPr>
    </w:lvl>
    <w:lvl w:ilvl="4" w:tplc="08090019">
      <w:start w:val="1"/>
      <w:numFmt w:val="lowerLetter"/>
      <w:lvlText w:val="%5."/>
      <w:lvlJc w:val="left"/>
      <w:pPr>
        <w:ind w:left="5159" w:hanging="360"/>
      </w:pPr>
    </w:lvl>
    <w:lvl w:ilvl="5" w:tplc="0809001B">
      <w:start w:val="1"/>
      <w:numFmt w:val="lowerRoman"/>
      <w:lvlText w:val="%6."/>
      <w:lvlJc w:val="right"/>
      <w:pPr>
        <w:ind w:left="5879" w:hanging="180"/>
      </w:pPr>
    </w:lvl>
    <w:lvl w:ilvl="6" w:tplc="0809000F">
      <w:start w:val="1"/>
      <w:numFmt w:val="decimal"/>
      <w:lvlText w:val="%7."/>
      <w:lvlJc w:val="left"/>
      <w:pPr>
        <w:ind w:left="6599" w:hanging="360"/>
      </w:pPr>
    </w:lvl>
    <w:lvl w:ilvl="7" w:tplc="08090019" w:tentative="1">
      <w:start w:val="1"/>
      <w:numFmt w:val="lowerLetter"/>
      <w:lvlText w:val="%8."/>
      <w:lvlJc w:val="left"/>
      <w:pPr>
        <w:ind w:left="7319" w:hanging="360"/>
      </w:pPr>
    </w:lvl>
    <w:lvl w:ilvl="8" w:tplc="0809001B" w:tentative="1">
      <w:start w:val="1"/>
      <w:numFmt w:val="lowerRoman"/>
      <w:lvlText w:val="%9."/>
      <w:lvlJc w:val="right"/>
      <w:pPr>
        <w:ind w:left="8039"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11"/>
  </w:num>
  <w:num w:numId="14">
    <w:abstractNumId w:val="10"/>
  </w:num>
  <w:num w:numId="15">
    <w:abstractNumId w:val="17"/>
  </w:num>
  <w:num w:numId="16">
    <w:abstractNumId w:val="18"/>
  </w:num>
  <w:num w:numId="17">
    <w:abstractNumId w:val="13"/>
  </w:num>
  <w:num w:numId="18">
    <w:abstractNumId w:val="14"/>
  </w:num>
  <w:num w:numId="19">
    <w:abstractNumId w:val="16"/>
  </w:num>
  <w:num w:numId="20">
    <w:abstractNumId w:val="1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de-CH" w:vendorID="64" w:dllVersion="6"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8FB"/>
    <w:rsid w:val="00014946"/>
    <w:rsid w:val="00021657"/>
    <w:rsid w:val="00032FF2"/>
    <w:rsid w:val="00045D27"/>
    <w:rsid w:val="00050F6B"/>
    <w:rsid w:val="00051026"/>
    <w:rsid w:val="00053357"/>
    <w:rsid w:val="000551DC"/>
    <w:rsid w:val="00063397"/>
    <w:rsid w:val="00071911"/>
    <w:rsid w:val="00072C8C"/>
    <w:rsid w:val="000733B5"/>
    <w:rsid w:val="00077485"/>
    <w:rsid w:val="0009308E"/>
    <w:rsid w:val="000931C0"/>
    <w:rsid w:val="00094453"/>
    <w:rsid w:val="00095E27"/>
    <w:rsid w:val="000A5D3B"/>
    <w:rsid w:val="000B144C"/>
    <w:rsid w:val="000B175B"/>
    <w:rsid w:val="000B3A0F"/>
    <w:rsid w:val="000B4EF7"/>
    <w:rsid w:val="000C1462"/>
    <w:rsid w:val="000C1D1F"/>
    <w:rsid w:val="000C2CCD"/>
    <w:rsid w:val="000C2D2E"/>
    <w:rsid w:val="000C3F5B"/>
    <w:rsid w:val="000C4C16"/>
    <w:rsid w:val="000D37FE"/>
    <w:rsid w:val="000E0415"/>
    <w:rsid w:val="000E6FB0"/>
    <w:rsid w:val="000E78EF"/>
    <w:rsid w:val="000F119E"/>
    <w:rsid w:val="000F1B05"/>
    <w:rsid w:val="001103AA"/>
    <w:rsid w:val="0011179E"/>
    <w:rsid w:val="00114ED3"/>
    <w:rsid w:val="0013039B"/>
    <w:rsid w:val="001417F9"/>
    <w:rsid w:val="001443D2"/>
    <w:rsid w:val="00154AC4"/>
    <w:rsid w:val="00155467"/>
    <w:rsid w:val="001574BE"/>
    <w:rsid w:val="00165093"/>
    <w:rsid w:val="00180D95"/>
    <w:rsid w:val="0018711F"/>
    <w:rsid w:val="001944BD"/>
    <w:rsid w:val="001B3DC1"/>
    <w:rsid w:val="001B4B04"/>
    <w:rsid w:val="001C32D7"/>
    <w:rsid w:val="001C586B"/>
    <w:rsid w:val="001C6663"/>
    <w:rsid w:val="001C7895"/>
    <w:rsid w:val="001D26DF"/>
    <w:rsid w:val="001D4D73"/>
    <w:rsid w:val="001D5BA3"/>
    <w:rsid w:val="001E141F"/>
    <w:rsid w:val="001E340F"/>
    <w:rsid w:val="001E5AA0"/>
    <w:rsid w:val="001E78FB"/>
    <w:rsid w:val="001F157B"/>
    <w:rsid w:val="001F432E"/>
    <w:rsid w:val="001F4D28"/>
    <w:rsid w:val="00202DA8"/>
    <w:rsid w:val="00202E33"/>
    <w:rsid w:val="00211E0B"/>
    <w:rsid w:val="00236551"/>
    <w:rsid w:val="00242793"/>
    <w:rsid w:val="00244E02"/>
    <w:rsid w:val="00246AD4"/>
    <w:rsid w:val="0025373A"/>
    <w:rsid w:val="00272381"/>
    <w:rsid w:val="0027282F"/>
    <w:rsid w:val="00280DC6"/>
    <w:rsid w:val="00281A34"/>
    <w:rsid w:val="002836E5"/>
    <w:rsid w:val="002901BF"/>
    <w:rsid w:val="0029198B"/>
    <w:rsid w:val="002B0464"/>
    <w:rsid w:val="002B05C2"/>
    <w:rsid w:val="002B10BD"/>
    <w:rsid w:val="002B5419"/>
    <w:rsid w:val="002B5985"/>
    <w:rsid w:val="002B6071"/>
    <w:rsid w:val="002C6D5C"/>
    <w:rsid w:val="002D317C"/>
    <w:rsid w:val="002D625A"/>
    <w:rsid w:val="002E0B11"/>
    <w:rsid w:val="002F175C"/>
    <w:rsid w:val="00316264"/>
    <w:rsid w:val="003165AC"/>
    <w:rsid w:val="003211C0"/>
    <w:rsid w:val="003229D8"/>
    <w:rsid w:val="0032339D"/>
    <w:rsid w:val="003305AB"/>
    <w:rsid w:val="003417C5"/>
    <w:rsid w:val="0034375C"/>
    <w:rsid w:val="00352709"/>
    <w:rsid w:val="003615AC"/>
    <w:rsid w:val="00365491"/>
    <w:rsid w:val="003660F0"/>
    <w:rsid w:val="00371178"/>
    <w:rsid w:val="00376F55"/>
    <w:rsid w:val="0038307F"/>
    <w:rsid w:val="003938F4"/>
    <w:rsid w:val="0039456C"/>
    <w:rsid w:val="003A4810"/>
    <w:rsid w:val="003A6810"/>
    <w:rsid w:val="003B30AB"/>
    <w:rsid w:val="003B330B"/>
    <w:rsid w:val="003B418C"/>
    <w:rsid w:val="003C2CC4"/>
    <w:rsid w:val="003D1D83"/>
    <w:rsid w:val="003D4B23"/>
    <w:rsid w:val="003E3E7D"/>
    <w:rsid w:val="00403587"/>
    <w:rsid w:val="00405DDC"/>
    <w:rsid w:val="00410C89"/>
    <w:rsid w:val="00412D80"/>
    <w:rsid w:val="00416EC5"/>
    <w:rsid w:val="004325CB"/>
    <w:rsid w:val="004352A2"/>
    <w:rsid w:val="004366AF"/>
    <w:rsid w:val="00441C47"/>
    <w:rsid w:val="00442A0E"/>
    <w:rsid w:val="00445A61"/>
    <w:rsid w:val="00447910"/>
    <w:rsid w:val="004538E3"/>
    <w:rsid w:val="0045495B"/>
    <w:rsid w:val="00482EF5"/>
    <w:rsid w:val="00483724"/>
    <w:rsid w:val="00484FAD"/>
    <w:rsid w:val="00495F6A"/>
    <w:rsid w:val="00496C1E"/>
    <w:rsid w:val="004A0404"/>
    <w:rsid w:val="004A5A86"/>
    <w:rsid w:val="004A7AAC"/>
    <w:rsid w:val="004A7E61"/>
    <w:rsid w:val="004D081B"/>
    <w:rsid w:val="004D25E4"/>
    <w:rsid w:val="004F7E4A"/>
    <w:rsid w:val="00517B36"/>
    <w:rsid w:val="00517B72"/>
    <w:rsid w:val="0052295A"/>
    <w:rsid w:val="0053762B"/>
    <w:rsid w:val="005420F2"/>
    <w:rsid w:val="00552385"/>
    <w:rsid w:val="005544B1"/>
    <w:rsid w:val="0057797D"/>
    <w:rsid w:val="00584BE8"/>
    <w:rsid w:val="00591236"/>
    <w:rsid w:val="005A1395"/>
    <w:rsid w:val="005A3B70"/>
    <w:rsid w:val="005B3DB3"/>
    <w:rsid w:val="005B5E1E"/>
    <w:rsid w:val="005C6A79"/>
    <w:rsid w:val="005C761D"/>
    <w:rsid w:val="005E0ABF"/>
    <w:rsid w:val="005E7BAA"/>
    <w:rsid w:val="006001EE"/>
    <w:rsid w:val="00602BEB"/>
    <w:rsid w:val="006037E7"/>
    <w:rsid w:val="00611FC4"/>
    <w:rsid w:val="006176FB"/>
    <w:rsid w:val="00622FB2"/>
    <w:rsid w:val="006301F8"/>
    <w:rsid w:val="00640B26"/>
    <w:rsid w:val="00642CC6"/>
    <w:rsid w:val="0064796A"/>
    <w:rsid w:val="00665E0E"/>
    <w:rsid w:val="006A50A3"/>
    <w:rsid w:val="006B190B"/>
    <w:rsid w:val="006B2E4F"/>
    <w:rsid w:val="006B4BDB"/>
    <w:rsid w:val="006C610C"/>
    <w:rsid w:val="006C6647"/>
    <w:rsid w:val="006C6ADC"/>
    <w:rsid w:val="006E0A50"/>
    <w:rsid w:val="006E16FF"/>
    <w:rsid w:val="006E564B"/>
    <w:rsid w:val="0070279D"/>
    <w:rsid w:val="0071542F"/>
    <w:rsid w:val="00721BB4"/>
    <w:rsid w:val="00721E2E"/>
    <w:rsid w:val="007250E0"/>
    <w:rsid w:val="0072632A"/>
    <w:rsid w:val="007548D1"/>
    <w:rsid w:val="00763518"/>
    <w:rsid w:val="0078055D"/>
    <w:rsid w:val="007855E0"/>
    <w:rsid w:val="00791E81"/>
    <w:rsid w:val="007B112D"/>
    <w:rsid w:val="007B2A10"/>
    <w:rsid w:val="007B2EE6"/>
    <w:rsid w:val="007B6BA5"/>
    <w:rsid w:val="007C3390"/>
    <w:rsid w:val="007C4F4B"/>
    <w:rsid w:val="007D52A9"/>
    <w:rsid w:val="007D7007"/>
    <w:rsid w:val="007E61A6"/>
    <w:rsid w:val="007E6530"/>
    <w:rsid w:val="007F6462"/>
    <w:rsid w:val="007F6611"/>
    <w:rsid w:val="00806EDF"/>
    <w:rsid w:val="0081392D"/>
    <w:rsid w:val="008242D7"/>
    <w:rsid w:val="00825AF3"/>
    <w:rsid w:val="008260FC"/>
    <w:rsid w:val="008301F3"/>
    <w:rsid w:val="00832D01"/>
    <w:rsid w:val="00833F32"/>
    <w:rsid w:val="00835861"/>
    <w:rsid w:val="008514A7"/>
    <w:rsid w:val="00851DA0"/>
    <w:rsid w:val="0086375D"/>
    <w:rsid w:val="008943C2"/>
    <w:rsid w:val="008979B1"/>
    <w:rsid w:val="00897ADE"/>
    <w:rsid w:val="008A04B0"/>
    <w:rsid w:val="008A0C10"/>
    <w:rsid w:val="008A6B25"/>
    <w:rsid w:val="008A6C4F"/>
    <w:rsid w:val="008B2335"/>
    <w:rsid w:val="008C1D26"/>
    <w:rsid w:val="008F2470"/>
    <w:rsid w:val="009012CE"/>
    <w:rsid w:val="00906ACA"/>
    <w:rsid w:val="00922016"/>
    <w:rsid w:val="009223CA"/>
    <w:rsid w:val="00932686"/>
    <w:rsid w:val="0093301F"/>
    <w:rsid w:val="009369F6"/>
    <w:rsid w:val="00940F93"/>
    <w:rsid w:val="0094696A"/>
    <w:rsid w:val="009603EF"/>
    <w:rsid w:val="009669A4"/>
    <w:rsid w:val="00972630"/>
    <w:rsid w:val="009731E4"/>
    <w:rsid w:val="009829E6"/>
    <w:rsid w:val="00995A3E"/>
    <w:rsid w:val="009973AF"/>
    <w:rsid w:val="009A5026"/>
    <w:rsid w:val="009B0FEC"/>
    <w:rsid w:val="009B293B"/>
    <w:rsid w:val="009B2CB0"/>
    <w:rsid w:val="009B4A1B"/>
    <w:rsid w:val="009C0DBA"/>
    <w:rsid w:val="009C0EE8"/>
    <w:rsid w:val="009C0FEC"/>
    <w:rsid w:val="009C14AA"/>
    <w:rsid w:val="009C5D88"/>
    <w:rsid w:val="009D2F4D"/>
    <w:rsid w:val="009E49B2"/>
    <w:rsid w:val="00A01489"/>
    <w:rsid w:val="00A13B3E"/>
    <w:rsid w:val="00A13C4E"/>
    <w:rsid w:val="00A20D21"/>
    <w:rsid w:val="00A2207D"/>
    <w:rsid w:val="00A224E5"/>
    <w:rsid w:val="00A22D86"/>
    <w:rsid w:val="00A255EB"/>
    <w:rsid w:val="00A34499"/>
    <w:rsid w:val="00A468F9"/>
    <w:rsid w:val="00A54103"/>
    <w:rsid w:val="00A61CCD"/>
    <w:rsid w:val="00A65B7D"/>
    <w:rsid w:val="00A72F22"/>
    <w:rsid w:val="00A748A6"/>
    <w:rsid w:val="00A776B4"/>
    <w:rsid w:val="00A84301"/>
    <w:rsid w:val="00A91200"/>
    <w:rsid w:val="00A94361"/>
    <w:rsid w:val="00A9713A"/>
    <w:rsid w:val="00AC1552"/>
    <w:rsid w:val="00AC24EE"/>
    <w:rsid w:val="00AD19F6"/>
    <w:rsid w:val="00AD1ABD"/>
    <w:rsid w:val="00AD4474"/>
    <w:rsid w:val="00AE0C30"/>
    <w:rsid w:val="00AE111A"/>
    <w:rsid w:val="00AE2133"/>
    <w:rsid w:val="00AE3EE2"/>
    <w:rsid w:val="00AF5188"/>
    <w:rsid w:val="00B041EA"/>
    <w:rsid w:val="00B06775"/>
    <w:rsid w:val="00B1176E"/>
    <w:rsid w:val="00B13050"/>
    <w:rsid w:val="00B30179"/>
    <w:rsid w:val="00B45200"/>
    <w:rsid w:val="00B51093"/>
    <w:rsid w:val="00B54AB8"/>
    <w:rsid w:val="00B56E9C"/>
    <w:rsid w:val="00B573FA"/>
    <w:rsid w:val="00B64B1F"/>
    <w:rsid w:val="00B6553F"/>
    <w:rsid w:val="00B67907"/>
    <w:rsid w:val="00B714D1"/>
    <w:rsid w:val="00B81E12"/>
    <w:rsid w:val="00B905FE"/>
    <w:rsid w:val="00B964FE"/>
    <w:rsid w:val="00BA3042"/>
    <w:rsid w:val="00BA7D01"/>
    <w:rsid w:val="00BA7F86"/>
    <w:rsid w:val="00BB5AE3"/>
    <w:rsid w:val="00BC0F8B"/>
    <w:rsid w:val="00BC602A"/>
    <w:rsid w:val="00BC74E9"/>
    <w:rsid w:val="00BC7B41"/>
    <w:rsid w:val="00BD52FF"/>
    <w:rsid w:val="00BD6F8C"/>
    <w:rsid w:val="00BE0986"/>
    <w:rsid w:val="00BE162D"/>
    <w:rsid w:val="00BE26C3"/>
    <w:rsid w:val="00BE595A"/>
    <w:rsid w:val="00BF3A11"/>
    <w:rsid w:val="00BF3F7B"/>
    <w:rsid w:val="00BF68A8"/>
    <w:rsid w:val="00C03628"/>
    <w:rsid w:val="00C11DCF"/>
    <w:rsid w:val="00C245A4"/>
    <w:rsid w:val="00C3206E"/>
    <w:rsid w:val="00C4364F"/>
    <w:rsid w:val="00C4433A"/>
    <w:rsid w:val="00C463DD"/>
    <w:rsid w:val="00C4724C"/>
    <w:rsid w:val="00C475AB"/>
    <w:rsid w:val="00C53A77"/>
    <w:rsid w:val="00C629A0"/>
    <w:rsid w:val="00C66805"/>
    <w:rsid w:val="00C745C3"/>
    <w:rsid w:val="00C75FB9"/>
    <w:rsid w:val="00C83FBE"/>
    <w:rsid w:val="00C92FDE"/>
    <w:rsid w:val="00C9380E"/>
    <w:rsid w:val="00CA27EB"/>
    <w:rsid w:val="00CA361F"/>
    <w:rsid w:val="00CA4016"/>
    <w:rsid w:val="00CA56F8"/>
    <w:rsid w:val="00CB44B5"/>
    <w:rsid w:val="00CB7471"/>
    <w:rsid w:val="00CC00AC"/>
    <w:rsid w:val="00CC24D2"/>
    <w:rsid w:val="00CD775F"/>
    <w:rsid w:val="00CE4A8F"/>
    <w:rsid w:val="00CF193B"/>
    <w:rsid w:val="00CF65FA"/>
    <w:rsid w:val="00D071A4"/>
    <w:rsid w:val="00D2031B"/>
    <w:rsid w:val="00D218CB"/>
    <w:rsid w:val="00D22BC1"/>
    <w:rsid w:val="00D25FE2"/>
    <w:rsid w:val="00D349CF"/>
    <w:rsid w:val="00D43252"/>
    <w:rsid w:val="00D44ECC"/>
    <w:rsid w:val="00D51E7F"/>
    <w:rsid w:val="00D565E2"/>
    <w:rsid w:val="00D61DB2"/>
    <w:rsid w:val="00D66D19"/>
    <w:rsid w:val="00D702E7"/>
    <w:rsid w:val="00D7767E"/>
    <w:rsid w:val="00D955A5"/>
    <w:rsid w:val="00D978C6"/>
    <w:rsid w:val="00DA3C1C"/>
    <w:rsid w:val="00DA4271"/>
    <w:rsid w:val="00DA5687"/>
    <w:rsid w:val="00DB00E1"/>
    <w:rsid w:val="00DB3414"/>
    <w:rsid w:val="00DB4152"/>
    <w:rsid w:val="00DC6EE6"/>
    <w:rsid w:val="00DD1A91"/>
    <w:rsid w:val="00DE0130"/>
    <w:rsid w:val="00DE1A41"/>
    <w:rsid w:val="00DF09F3"/>
    <w:rsid w:val="00DF47A1"/>
    <w:rsid w:val="00E109FB"/>
    <w:rsid w:val="00E20A6E"/>
    <w:rsid w:val="00E244CE"/>
    <w:rsid w:val="00E41D4A"/>
    <w:rsid w:val="00E42018"/>
    <w:rsid w:val="00E538DC"/>
    <w:rsid w:val="00E61D3D"/>
    <w:rsid w:val="00E63389"/>
    <w:rsid w:val="00E64549"/>
    <w:rsid w:val="00E71BA7"/>
    <w:rsid w:val="00E71BC8"/>
    <w:rsid w:val="00E7260F"/>
    <w:rsid w:val="00E83689"/>
    <w:rsid w:val="00E86899"/>
    <w:rsid w:val="00E928C4"/>
    <w:rsid w:val="00E96630"/>
    <w:rsid w:val="00EA407C"/>
    <w:rsid w:val="00EA631D"/>
    <w:rsid w:val="00EC15F1"/>
    <w:rsid w:val="00EC37E4"/>
    <w:rsid w:val="00EC6422"/>
    <w:rsid w:val="00ED32A3"/>
    <w:rsid w:val="00ED616A"/>
    <w:rsid w:val="00ED7A2A"/>
    <w:rsid w:val="00EF1D7F"/>
    <w:rsid w:val="00EF570B"/>
    <w:rsid w:val="00F07C53"/>
    <w:rsid w:val="00F32B3C"/>
    <w:rsid w:val="00F33F4D"/>
    <w:rsid w:val="00F34546"/>
    <w:rsid w:val="00F34583"/>
    <w:rsid w:val="00F504DF"/>
    <w:rsid w:val="00F6451E"/>
    <w:rsid w:val="00F719FB"/>
    <w:rsid w:val="00F84E90"/>
    <w:rsid w:val="00FA271C"/>
    <w:rsid w:val="00FA5DE4"/>
    <w:rsid w:val="00FC68B7"/>
    <w:rsid w:val="00FD3913"/>
    <w:rsid w:val="00FE0C3C"/>
    <w:rsid w:val="00FE59CC"/>
    <w:rsid w:val="00FF16D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5AD9FB0"/>
  <w15:docId w15:val="{C6A82DAF-AF46-440A-A754-284C53731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qFormat/>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qFormat/>
    <w:rsid w:val="00E61D3D"/>
    <w:rPr>
      <w:rFonts w:ascii="Times New Roman" w:hAnsi="Times New Roman"/>
      <w:sz w:val="18"/>
      <w:vertAlign w:val="superscript"/>
    </w:rPr>
  </w:style>
  <w:style w:type="paragraph" w:styleId="FootnoteText">
    <w:name w:val="footnote text"/>
    <w:aliases w:val="5_G"/>
    <w:basedOn w:val="Normal"/>
    <w:link w:val="FootnoteTextChar"/>
    <w:qFormat/>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qFormat/>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styleId="BalloonText">
    <w:name w:val="Balloon Text"/>
    <w:basedOn w:val="Normal"/>
    <w:link w:val="BalloonTextChar"/>
    <w:semiHidden/>
    <w:unhideWhenUsed/>
    <w:rsid w:val="000F1B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0F1B05"/>
    <w:rPr>
      <w:rFonts w:ascii="Segoe UI" w:hAnsi="Segoe UI" w:cs="Segoe UI"/>
      <w:sz w:val="18"/>
      <w:szCs w:val="18"/>
      <w:lang w:eastAsia="en-US"/>
    </w:rPr>
  </w:style>
  <w:style w:type="paragraph" w:styleId="CommentSubject">
    <w:name w:val="annotation subject"/>
    <w:basedOn w:val="CommentText"/>
    <w:next w:val="CommentText"/>
    <w:link w:val="CommentSubjectChar"/>
    <w:semiHidden/>
    <w:unhideWhenUsed/>
    <w:rsid w:val="00A84301"/>
    <w:pPr>
      <w:spacing w:line="240" w:lineRule="auto"/>
    </w:pPr>
    <w:rPr>
      <w:b/>
      <w:bCs/>
    </w:rPr>
  </w:style>
  <w:style w:type="character" w:customStyle="1" w:styleId="CommentTextChar">
    <w:name w:val="Comment Text Char"/>
    <w:basedOn w:val="DefaultParagraphFont"/>
    <w:link w:val="CommentText"/>
    <w:semiHidden/>
    <w:rsid w:val="00A84301"/>
    <w:rPr>
      <w:lang w:eastAsia="en-US"/>
    </w:rPr>
  </w:style>
  <w:style w:type="character" w:customStyle="1" w:styleId="CommentSubjectChar">
    <w:name w:val="Comment Subject Char"/>
    <w:basedOn w:val="CommentTextChar"/>
    <w:link w:val="CommentSubject"/>
    <w:semiHidden/>
    <w:rsid w:val="00A84301"/>
    <w:rPr>
      <w:b/>
      <w:bCs/>
      <w:lang w:eastAsia="en-US"/>
    </w:rPr>
  </w:style>
  <w:style w:type="paragraph" w:styleId="ListParagraph">
    <w:name w:val="List Paragraph"/>
    <w:basedOn w:val="Normal"/>
    <w:uiPriority w:val="34"/>
    <w:qFormat/>
    <w:rsid w:val="00E86899"/>
    <w:pPr>
      <w:suppressAutoHyphens w:val="0"/>
      <w:spacing w:line="240" w:lineRule="auto"/>
      <w:ind w:left="720"/>
    </w:pPr>
    <w:rPr>
      <w:rFonts w:eastAsia="SimSun"/>
      <w:sz w:val="24"/>
      <w:szCs w:val="24"/>
      <w:lang w:val="en-US" w:eastAsia="zh-CN"/>
    </w:rPr>
  </w:style>
  <w:style w:type="character" w:customStyle="1" w:styleId="FootnoteTextChar">
    <w:name w:val="Footnote Text Char"/>
    <w:aliases w:val="5_G Char"/>
    <w:link w:val="FootnoteText"/>
    <w:rsid w:val="00E86899"/>
    <w:rPr>
      <w:sz w:val="18"/>
      <w:lang w:eastAsia="en-US"/>
    </w:rPr>
  </w:style>
  <w:style w:type="character" w:customStyle="1" w:styleId="SingleTxtGChar">
    <w:name w:val="_ Single Txt_G Char"/>
    <w:link w:val="SingleTxtG"/>
    <w:rsid w:val="00E86899"/>
    <w:rPr>
      <w:lang w:eastAsia="en-US"/>
    </w:rPr>
  </w:style>
  <w:style w:type="character" w:customStyle="1" w:styleId="FooterChar">
    <w:name w:val="Footer Char"/>
    <w:aliases w:val="3_G Char"/>
    <w:basedOn w:val="DefaultParagraphFont"/>
    <w:link w:val="Footer"/>
    <w:rsid w:val="00BA3042"/>
    <w:rPr>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615683">
      <w:bodyDiv w:val="1"/>
      <w:marLeft w:val="0"/>
      <w:marRight w:val="0"/>
      <w:marTop w:val="0"/>
      <w:marBottom w:val="0"/>
      <w:divBdr>
        <w:top w:val="none" w:sz="0" w:space="0" w:color="auto"/>
        <w:left w:val="none" w:sz="0" w:space="0" w:color="auto"/>
        <w:bottom w:val="none" w:sz="0" w:space="0" w:color="auto"/>
        <w:right w:val="none" w:sz="0" w:space="0" w:color="auto"/>
      </w:divBdr>
    </w:div>
    <w:div w:id="1544902593">
      <w:bodyDiv w:val="1"/>
      <w:marLeft w:val="0"/>
      <w:marRight w:val="0"/>
      <w:marTop w:val="0"/>
      <w:marBottom w:val="0"/>
      <w:divBdr>
        <w:top w:val="none" w:sz="0" w:space="0" w:color="auto"/>
        <w:left w:val="none" w:sz="0" w:space="0" w:color="auto"/>
        <w:bottom w:val="none" w:sz="0" w:space="0" w:color="auto"/>
        <w:right w:val="none" w:sz="0" w:space="0" w:color="auto"/>
      </w:divBdr>
    </w:div>
    <w:div w:id="1601723232">
      <w:bodyDiv w:val="1"/>
      <w:marLeft w:val="0"/>
      <w:marRight w:val="0"/>
      <w:marTop w:val="0"/>
      <w:marBottom w:val="0"/>
      <w:divBdr>
        <w:top w:val="none" w:sz="0" w:space="0" w:color="auto"/>
        <w:left w:val="none" w:sz="0" w:space="0" w:color="auto"/>
        <w:bottom w:val="none" w:sz="0" w:space="0" w:color="auto"/>
        <w:right w:val="none" w:sz="0" w:space="0" w:color="auto"/>
      </w:divBdr>
    </w:div>
    <w:div w:id="185087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27D52D-390B-4F7C-A169-AAD8D7F6FD85}"/>
</file>

<file path=customXml/itemProps2.xml><?xml version="1.0" encoding="utf-8"?>
<ds:datastoreItem xmlns:ds="http://schemas.openxmlformats.org/officeDocument/2006/customXml" ds:itemID="{8203DFFF-81E1-4806-A3EC-9DA3293EABB5}"/>
</file>

<file path=customXml/itemProps3.xml><?xml version="1.0" encoding="utf-8"?>
<ds:datastoreItem xmlns:ds="http://schemas.openxmlformats.org/officeDocument/2006/customXml" ds:itemID="{B4385D13-CABE-480A-8342-09206167A404}"/>
</file>

<file path=customXml/itemProps4.xml><?xml version="1.0" encoding="utf-8"?>
<ds:datastoreItem xmlns:ds="http://schemas.openxmlformats.org/officeDocument/2006/customXml" ds:itemID="{560AD936-32B3-4435-A8AA-D5AF5197260C}"/>
</file>

<file path=docProps/app.xml><?xml version="1.0" encoding="utf-8"?>
<Properties xmlns="http://schemas.openxmlformats.org/officeDocument/2006/extended-properties" xmlns:vt="http://schemas.openxmlformats.org/officeDocument/2006/docPropsVTypes">
  <Template>CEDAW_E.dotm</Template>
  <TotalTime>6</TotalTime>
  <Pages>4</Pages>
  <Words>1436</Words>
  <Characters>8190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Anne Kawuki</dc:creator>
  <cp:lastModifiedBy>MWENIFUMBO Anganile</cp:lastModifiedBy>
  <cp:revision>5</cp:revision>
  <cp:lastPrinted>2018-11-12T15:58:00Z</cp:lastPrinted>
  <dcterms:created xsi:type="dcterms:W3CDTF">2019-03-08T15:18:00Z</dcterms:created>
  <dcterms:modified xsi:type="dcterms:W3CDTF">2019-03-08T15:26:00Z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