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5E83DD" w14:textId="61CB220C" w:rsidR="00793F0D" w:rsidRDefault="00793F0D" w:rsidP="00793F0D">
      <w:pPr>
        <w:jc w:val="center"/>
      </w:pPr>
      <w:r>
        <w:rPr>
          <w:noProof/>
        </w:rPr>
        <w:drawing>
          <wp:inline distT="0" distB="0" distL="0" distR="0" wp14:anchorId="48E6181A" wp14:editId="26725D37">
            <wp:extent cx="5021580" cy="998220"/>
            <wp:effectExtent l="0" t="0" r="7620" b="0"/>
            <wp:docPr id="233056203" name="Imagen 3"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056203" name="Imagen 3" descr="Imagen que contiene Logotipo&#10;&#10;Descripción generada automáticamente"/>
                    <pic:cNvPicPr/>
                  </pic:nvPicPr>
                  <pic:blipFill rotWithShape="1">
                    <a:blip r:embed="rId9" cstate="print">
                      <a:extLst>
                        <a:ext uri="{28A0092B-C50C-407E-A947-70E740481C1C}">
                          <a14:useLocalDpi xmlns:a14="http://schemas.microsoft.com/office/drawing/2010/main" val="0"/>
                        </a:ext>
                      </a:extLst>
                    </a:blip>
                    <a:srcRect l="24587" t="26494" r="23810" b="13665"/>
                    <a:stretch/>
                  </pic:blipFill>
                  <pic:spPr bwMode="auto">
                    <a:xfrm>
                      <a:off x="0" y="0"/>
                      <a:ext cx="5021580" cy="998220"/>
                    </a:xfrm>
                    <a:prstGeom prst="rect">
                      <a:avLst/>
                    </a:prstGeom>
                    <a:ln>
                      <a:noFill/>
                    </a:ln>
                    <a:extLst>
                      <a:ext uri="{53640926-AAD7-44D8-BBD7-CCE9431645EC}">
                        <a14:shadowObscured xmlns:a14="http://schemas.microsoft.com/office/drawing/2010/main"/>
                      </a:ext>
                    </a:extLst>
                  </pic:spPr>
                </pic:pic>
              </a:graphicData>
            </a:graphic>
          </wp:inline>
        </w:drawing>
      </w:r>
    </w:p>
    <w:p w14:paraId="4AD618CE" w14:textId="0FA2AAC3" w:rsidR="00793F0D" w:rsidRPr="00DD1B92" w:rsidRDefault="00793F0D" w:rsidP="00DD1B92">
      <w:pPr>
        <w:pBdr>
          <w:top w:val="single" w:sz="4" w:space="1" w:color="000000"/>
          <w:bottom w:val="single" w:sz="4" w:space="1" w:color="000000"/>
        </w:pBdr>
        <w:ind w:left="-993" w:right="-991"/>
        <w:jc w:val="center"/>
        <w:rPr>
          <w:rFonts w:ascii="DIN Black" w:eastAsia="DIN Black" w:hAnsi="DIN Black" w:cs="DIN Black"/>
          <w:sz w:val="80"/>
          <w:szCs w:val="80"/>
        </w:rPr>
      </w:pPr>
      <w:r w:rsidRPr="00DD1B92">
        <w:rPr>
          <w:rFonts w:ascii="DIN Black" w:eastAsia="DIN Black" w:hAnsi="DIN Black" w:cs="DIN Black"/>
          <w:sz w:val="80"/>
          <w:szCs w:val="80"/>
        </w:rPr>
        <w:t>LA REALIDAD DE LA CRISIS FEMINICIDA</w:t>
      </w:r>
      <w:r w:rsidR="00A37846" w:rsidRPr="00DD1B92">
        <w:rPr>
          <w:rFonts w:ascii="DIN Black" w:eastAsia="DIN Black" w:hAnsi="DIN Black" w:cs="DIN Black"/>
          <w:sz w:val="80"/>
          <w:szCs w:val="80"/>
        </w:rPr>
        <w:t xml:space="preserve"> ACTUAL</w:t>
      </w:r>
      <w:r w:rsidRPr="00DD1B92">
        <w:rPr>
          <w:rFonts w:ascii="DIN Black" w:eastAsia="DIN Black" w:hAnsi="DIN Black" w:cs="DIN Black"/>
          <w:sz w:val="80"/>
          <w:szCs w:val="80"/>
        </w:rPr>
        <w:t xml:space="preserve"> EN CUBA</w:t>
      </w:r>
    </w:p>
    <w:p w14:paraId="1282655D" w14:textId="3BC8F6DA" w:rsidR="00793F0D" w:rsidRDefault="00A37846" w:rsidP="00DD1B92">
      <w:pPr>
        <w:jc w:val="center"/>
        <w:rPr>
          <w:rFonts w:ascii="DIN Black" w:eastAsia="DIN Black" w:hAnsi="DIN Black" w:cs="DIN Black"/>
          <w:sz w:val="44"/>
          <w:szCs w:val="44"/>
        </w:rPr>
      </w:pPr>
      <w:r w:rsidRPr="000A59D8">
        <w:rPr>
          <w:smallCaps/>
          <w:noProof/>
        </w:rPr>
        <w:drawing>
          <wp:anchor distT="0" distB="0" distL="114300" distR="114300" simplePos="0" relativeHeight="251659264" behindDoc="0" locked="0" layoutInCell="1" allowOverlap="1" wp14:anchorId="4644B0F6" wp14:editId="03822F25">
            <wp:simplePos x="0" y="0"/>
            <wp:positionH relativeFrom="page">
              <wp:posOffset>16525</wp:posOffset>
            </wp:positionH>
            <wp:positionV relativeFrom="page">
              <wp:posOffset>3734718</wp:posOffset>
            </wp:positionV>
            <wp:extent cx="7552689" cy="3776345"/>
            <wp:effectExtent l="0" t="0" r="0" b="0"/>
            <wp:wrapNone/>
            <wp:docPr id="9684554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455476" name="Imagen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52689" cy="3776345"/>
                    </a:xfrm>
                    <a:prstGeom prst="rect">
                      <a:avLst/>
                    </a:prstGeom>
                  </pic:spPr>
                </pic:pic>
              </a:graphicData>
            </a:graphic>
            <wp14:sizeRelH relativeFrom="margin">
              <wp14:pctWidth>0</wp14:pctWidth>
            </wp14:sizeRelH>
            <wp14:sizeRelV relativeFrom="margin">
              <wp14:pctHeight>0</wp14:pctHeight>
            </wp14:sizeRelV>
          </wp:anchor>
        </w:drawing>
      </w:r>
      <w:r w:rsidR="00793F0D">
        <w:rPr>
          <w:rFonts w:ascii="DIN Black" w:eastAsia="DIN Black" w:hAnsi="DIN Black" w:cs="DIN Black"/>
          <w:sz w:val="44"/>
          <w:szCs w:val="44"/>
        </w:rPr>
        <w:t>Informe para el CEDAW</w:t>
      </w:r>
    </w:p>
    <w:p w14:paraId="78F1065F" w14:textId="7B9515CD" w:rsidR="00793F0D" w:rsidRDefault="00793F0D" w:rsidP="00793F0D"/>
    <w:p w14:paraId="04F20912" w14:textId="69C1683E" w:rsidR="00972990" w:rsidRDefault="00972990" w:rsidP="00793F0D"/>
    <w:p w14:paraId="03CABADE" w14:textId="77777777" w:rsidR="00972990" w:rsidRDefault="00972990" w:rsidP="00793F0D"/>
    <w:p w14:paraId="3ADEAA9B" w14:textId="77777777" w:rsidR="00972990" w:rsidRDefault="00972990" w:rsidP="00793F0D"/>
    <w:p w14:paraId="43560EAB" w14:textId="77777777" w:rsidR="00972990" w:rsidRDefault="00972990" w:rsidP="00793F0D"/>
    <w:p w14:paraId="33801183" w14:textId="77777777" w:rsidR="00DD1B92" w:rsidRDefault="00DD1B92" w:rsidP="00793F0D"/>
    <w:p w14:paraId="3C846ABB" w14:textId="77777777" w:rsidR="00A37846" w:rsidRDefault="00A37846" w:rsidP="00793F0D"/>
    <w:p w14:paraId="67454FDE" w14:textId="77777777" w:rsidR="00A37846" w:rsidRDefault="00A37846" w:rsidP="00793F0D"/>
    <w:p w14:paraId="38B25207" w14:textId="77777777" w:rsidR="00A37846" w:rsidRDefault="00A37846" w:rsidP="00793F0D"/>
    <w:p w14:paraId="578DB4A2" w14:textId="77777777" w:rsidR="00A37846" w:rsidRDefault="00A37846" w:rsidP="00793F0D"/>
    <w:p w14:paraId="2708183E" w14:textId="77777777" w:rsidR="00A37846" w:rsidRDefault="00A37846" w:rsidP="00793F0D"/>
    <w:p w14:paraId="42B32BE8" w14:textId="77777777" w:rsidR="00A37846" w:rsidRDefault="00A37846" w:rsidP="00793F0D"/>
    <w:p w14:paraId="4588B397" w14:textId="77777777" w:rsidR="00A37846" w:rsidRDefault="00A37846" w:rsidP="00793F0D"/>
    <w:p w14:paraId="4E79C620" w14:textId="77777777" w:rsidR="00A37846" w:rsidRDefault="00A37846" w:rsidP="00793F0D"/>
    <w:p w14:paraId="4FF23554" w14:textId="77777777" w:rsidR="00A37846" w:rsidRDefault="00A37846" w:rsidP="00793F0D"/>
    <w:p w14:paraId="5E979B73" w14:textId="77777777" w:rsidR="00A37846" w:rsidRDefault="00A37846" w:rsidP="00793F0D"/>
    <w:p w14:paraId="057CD54D" w14:textId="77777777" w:rsidR="00A37846" w:rsidRDefault="00A37846" w:rsidP="00793F0D"/>
    <w:p w14:paraId="6F52928B" w14:textId="77777777" w:rsidR="00A37846" w:rsidRPr="00DD1B92" w:rsidRDefault="00A37846" w:rsidP="00793F0D">
      <w:pPr>
        <w:rPr>
          <w:sz w:val="4"/>
          <w:szCs w:val="8"/>
        </w:rPr>
      </w:pPr>
    </w:p>
    <w:p w14:paraId="00000015" w14:textId="4FE86EE6" w:rsidR="00565625" w:rsidRPr="003B0540" w:rsidRDefault="00AE372E" w:rsidP="00752099">
      <w:pPr>
        <w:pStyle w:val="Ttulo1"/>
      </w:pPr>
      <w:bookmarkStart w:id="0" w:name="_heading=h.140499bqqyld" w:colFirst="0" w:colLast="0"/>
      <w:bookmarkEnd w:id="0"/>
      <w:r w:rsidRPr="003B0540">
        <w:t>Contexto de los Feminicidios en Cuba</w:t>
      </w:r>
    </w:p>
    <w:p w14:paraId="0000001B" w14:textId="0D205832" w:rsidR="00565625" w:rsidRDefault="00AE372E" w:rsidP="0071072B">
      <w:pPr>
        <w:pStyle w:val="Ttulo2"/>
      </w:pPr>
      <w:r w:rsidRPr="003B0540">
        <w:t xml:space="preserve">Descripción </w:t>
      </w:r>
      <w:r w:rsidR="00B0431C">
        <w:t xml:space="preserve">general </w:t>
      </w:r>
      <w:r w:rsidRPr="003B0540">
        <w:t>de la situación en Cuba</w:t>
      </w:r>
    </w:p>
    <w:p w14:paraId="0000001D" w14:textId="75C53C2C" w:rsidR="00565625" w:rsidRDefault="00AE372E" w:rsidP="00E70615">
      <w:r>
        <w:t xml:space="preserve">El contexto institucional cubano sobre la lucha contra la violencia de género está marcado por el ocultamiento de datos, la negación, la desinformación, el populismo punitivo, la criminalización del activismo </w:t>
      </w:r>
      <w:r w:rsidR="0072317E">
        <w:t xml:space="preserve">que se desarrolla </w:t>
      </w:r>
      <w:r>
        <w:t xml:space="preserve">con perspectiva de género y la falta de voluntad política para enfrentar esta </w:t>
      </w:r>
      <w:r w:rsidR="0072317E">
        <w:t>lacra</w:t>
      </w:r>
      <w:r>
        <w:t>.</w:t>
      </w:r>
    </w:p>
    <w:p w14:paraId="0000001F" w14:textId="56AF219F" w:rsidR="00565625" w:rsidRDefault="003B23BA" w:rsidP="00E70615">
      <w:r>
        <w:t xml:space="preserve">Así, en 2015, Mariela Castro Espín, hija de Raúl Castro y directora del Centro Nacional de Educación Sexual (CENESEX), </w:t>
      </w:r>
      <w:r w:rsidR="00C91DF8" w:rsidRPr="00C91DF8">
        <w:rPr>
          <w:b/>
          <w:bCs/>
        </w:rPr>
        <w:t>negó que en la isla se cometiesen feminicidios</w:t>
      </w:r>
      <w:r>
        <w:t xml:space="preserve"> en declaraciones al medio </w:t>
      </w:r>
      <w:r>
        <w:rPr>
          <w:i/>
        </w:rPr>
        <w:t>Tiempo Argentino</w:t>
      </w:r>
      <w:r>
        <w:t xml:space="preserve">: </w:t>
      </w:r>
      <w:r w:rsidRPr="0072317E">
        <w:rPr>
          <w:rStyle w:val="CitaCar"/>
        </w:rPr>
        <w:t>"</w:t>
      </w:r>
      <w:r w:rsidRPr="003B23BA">
        <w:rPr>
          <w:rStyle w:val="CitaCar"/>
          <w:b/>
          <w:bCs/>
        </w:rPr>
        <w:t>Nosotros no tenemos, por ejemplo, femicidios. Porque Cuba no es un país violento</w:t>
      </w:r>
      <w:r w:rsidRPr="0072317E">
        <w:rPr>
          <w:rStyle w:val="CitaCar"/>
        </w:rPr>
        <w:t>"</w:t>
      </w:r>
      <w:r>
        <w:t>, declaró.</w:t>
      </w:r>
      <w:r w:rsidR="00C91DF8">
        <w:rPr>
          <w:rStyle w:val="Refdenotaalpie"/>
        </w:rPr>
        <w:footnoteReference w:id="2"/>
      </w:r>
    </w:p>
    <w:p w14:paraId="00000021" w14:textId="62F61206" w:rsidR="00565625" w:rsidRDefault="00AE372E" w:rsidP="00E70615">
      <w:pPr>
        <w:rPr>
          <w:b/>
        </w:rPr>
      </w:pPr>
      <w:r>
        <w:t xml:space="preserve">De forma más reciente, encontramos </w:t>
      </w:r>
      <w:r w:rsidR="003B23BA">
        <w:t xml:space="preserve">nulos o </w:t>
      </w:r>
      <w:r>
        <w:t xml:space="preserve">tibios pronunciamientos por parte del actual gobernante cubano, Miguel Díaz Canel, </w:t>
      </w:r>
      <w:r w:rsidR="00B0431C">
        <w:t>desvinculados de</w:t>
      </w:r>
      <w:r>
        <w:t xml:space="preserve"> magnitud del problema. </w:t>
      </w:r>
      <w:r w:rsidR="00B0431C">
        <w:t>T</w:t>
      </w:r>
      <w:r w:rsidR="003B23BA">
        <w:t>ras haberse contabilizado más de 100 feminicidios por la</w:t>
      </w:r>
      <w:r w:rsidR="00FA3088">
        <w:t>s</w:t>
      </w:r>
      <w:r w:rsidR="003B23BA">
        <w:t xml:space="preserve"> </w:t>
      </w:r>
      <w:r w:rsidR="00FA3088" w:rsidRPr="00FA3088">
        <w:t>ONGs independientes</w:t>
      </w:r>
      <w:r w:rsidR="003B23BA">
        <w:t xml:space="preserve"> durante el tiempo que llevaba de mandato,</w:t>
      </w:r>
      <w:r w:rsidR="003B23BA" w:rsidRPr="003B23BA">
        <w:t xml:space="preserve"> </w:t>
      </w:r>
      <w:r w:rsidR="003B23BA">
        <w:t>en abril de 2023</w:t>
      </w:r>
      <w:r w:rsidR="00B0431C">
        <w:t>,</w:t>
      </w:r>
      <w:r w:rsidR="00CD46BB">
        <w:t xml:space="preserve"> l</w:t>
      </w:r>
      <w:r w:rsidR="00FA4FEA">
        <w:t xml:space="preserve">o máximo que </w:t>
      </w:r>
      <w:hyperlink r:id="rId11" w:history="1">
        <w:r w:rsidR="00FA4FEA" w:rsidRPr="00FA4FEA">
          <w:rPr>
            <w:rStyle w:val="Hipervnculo"/>
          </w:rPr>
          <w:t>dijo</w:t>
        </w:r>
      </w:hyperlink>
      <w:r w:rsidR="00FA4FEA">
        <w:t xml:space="preserve"> fue</w:t>
      </w:r>
      <w:r w:rsidR="003B23BA">
        <w:t xml:space="preserve"> </w:t>
      </w:r>
      <w:r w:rsidR="00FA4FEA">
        <w:lastRenderedPageBreak/>
        <w:t xml:space="preserve">generalizando, </w:t>
      </w:r>
      <w:r w:rsidR="003B23BA">
        <w:t xml:space="preserve">que </w:t>
      </w:r>
      <w:r>
        <w:t>“</w:t>
      </w:r>
      <w:r w:rsidR="00CD46BB">
        <w:rPr>
          <w:b/>
          <w:bCs/>
          <w:i/>
          <w:iCs/>
        </w:rPr>
        <w:t>e</w:t>
      </w:r>
      <w:r w:rsidRPr="009C5E70">
        <w:rPr>
          <w:b/>
          <w:bCs/>
          <w:i/>
          <w:iCs/>
        </w:rPr>
        <w:t>sta tiene que ser una sociedad con cero tolerancia para la violencia y en particular para la violencia contra la mujer</w:t>
      </w:r>
      <w:r>
        <w:t>”</w:t>
      </w:r>
      <w:r w:rsidR="003B23BA">
        <w:t>.</w:t>
      </w:r>
    </w:p>
    <w:p w14:paraId="00000022" w14:textId="2ADC0B6D" w:rsidR="00565625" w:rsidRDefault="00AE372E" w:rsidP="00E70615">
      <w:r>
        <w:t xml:space="preserve">Se suma a este contexto la </w:t>
      </w:r>
      <w:r w:rsidRPr="006772BF">
        <w:rPr>
          <w:b/>
          <w:bCs/>
        </w:rPr>
        <w:t xml:space="preserve">ausencia de </w:t>
      </w:r>
      <w:r w:rsidR="00CD46BB">
        <w:rPr>
          <w:b/>
          <w:bCs/>
        </w:rPr>
        <w:t xml:space="preserve">una </w:t>
      </w:r>
      <w:r w:rsidRPr="006772BF">
        <w:rPr>
          <w:b/>
          <w:bCs/>
        </w:rPr>
        <w:t>Ley</w:t>
      </w:r>
      <w:r w:rsidR="006772BF">
        <w:rPr>
          <w:b/>
          <w:bCs/>
        </w:rPr>
        <w:t xml:space="preserve"> </w:t>
      </w:r>
      <w:r w:rsidR="00CD46BB">
        <w:rPr>
          <w:b/>
          <w:bCs/>
        </w:rPr>
        <w:t>Integral</w:t>
      </w:r>
      <w:r w:rsidRPr="006772BF">
        <w:rPr>
          <w:b/>
          <w:bCs/>
        </w:rPr>
        <w:t xml:space="preserve"> contra la Violencia de Género</w:t>
      </w:r>
      <w:r>
        <w:t>, aunque ha sido demandada a la Asamblea Nacional del Poder Popular</w:t>
      </w:r>
      <w:r w:rsidR="00FA4FEA">
        <w:t xml:space="preserve"> e</w:t>
      </w:r>
      <w:r>
        <w:t xml:space="preserve">n el 2019 por un grupo de 40 mujeres feministas, y en el 2023 por Alas Tensas, YSTCC y otras organizaciones. </w:t>
      </w:r>
      <w:r w:rsidR="00FA4FEA" w:rsidRPr="00FA4FEA">
        <w:rPr>
          <w:b/>
          <w:bCs/>
        </w:rPr>
        <w:t>N</w:t>
      </w:r>
      <w:r w:rsidRPr="00FA4FEA">
        <w:rPr>
          <w:b/>
          <w:bCs/>
        </w:rPr>
        <w:t>o hay refugios de acogida para mujeres víctimas de violencia, no se realizan campañas oficiales de sensibilización</w:t>
      </w:r>
      <w:r w:rsidR="006772BF" w:rsidRPr="00FA4FEA">
        <w:rPr>
          <w:b/>
          <w:bCs/>
        </w:rPr>
        <w:t>, no hay trabajo educativo al respecto y n</w:t>
      </w:r>
      <w:r w:rsidRPr="00FA4FEA">
        <w:rPr>
          <w:b/>
          <w:bCs/>
        </w:rPr>
        <w:t xml:space="preserve">o se ha tipificado el feminicidio dentro del </w:t>
      </w:r>
      <w:r w:rsidR="00C91DF8" w:rsidRPr="00C91DF8">
        <w:rPr>
          <w:b/>
          <w:bCs/>
        </w:rPr>
        <w:t>Código Penal</w:t>
      </w:r>
      <w:r w:rsidR="00C91DF8">
        <w:rPr>
          <w:rStyle w:val="Refdenotaalpie"/>
          <w:b/>
          <w:bCs/>
        </w:rPr>
        <w:footnoteReference w:id="3"/>
      </w:r>
      <w:r w:rsidR="00D86A6E">
        <w:rPr>
          <w:b/>
          <w:bCs/>
        </w:rPr>
        <w:t>,</w:t>
      </w:r>
      <w:r w:rsidRPr="00FA4FEA">
        <w:rPr>
          <w:b/>
          <w:bCs/>
        </w:rPr>
        <w:t xml:space="preserve"> aunque la violencia de género constituye desde 2022 una circunstancia o cualificación agravante para </w:t>
      </w:r>
      <w:r w:rsidR="006772BF" w:rsidRPr="00FA4FEA">
        <w:rPr>
          <w:b/>
          <w:bCs/>
        </w:rPr>
        <w:t>algunos</w:t>
      </w:r>
      <w:r w:rsidRPr="00FA4FEA">
        <w:rPr>
          <w:b/>
          <w:bCs/>
        </w:rPr>
        <w:t xml:space="preserve"> delitos</w:t>
      </w:r>
      <w:r>
        <w:t>.</w:t>
      </w:r>
    </w:p>
    <w:p w14:paraId="00000023" w14:textId="0947E86C" w:rsidR="00565625" w:rsidRDefault="00AE372E" w:rsidP="00E70615">
      <w:r>
        <w:t>Con respecto al necesario trabajo educativo</w:t>
      </w:r>
      <w:r w:rsidR="00FA3088">
        <w:t>,</w:t>
      </w:r>
      <w:r>
        <w:t xml:space="preserve"> se </w:t>
      </w:r>
      <w:r w:rsidR="00FA3088">
        <w:t>aplazó</w:t>
      </w:r>
      <w:r>
        <w:t xml:space="preserve"> la implementación de la</w:t>
      </w:r>
      <w:r w:rsidRPr="00FA3088">
        <w:t xml:space="preserve"> </w:t>
      </w:r>
      <w:hyperlink r:id="rId12" w:history="1">
        <w:r w:rsidRPr="00FA3088">
          <w:rPr>
            <w:rStyle w:val="Hipervnculo"/>
          </w:rPr>
          <w:t>Resolución 16, del 26 de febrero de 2021</w:t>
        </w:r>
      </w:hyperlink>
      <w:r w:rsidRPr="00FA3088">
        <w:t>,</w:t>
      </w:r>
      <w:r w:rsidR="006772BF" w:rsidRPr="00FA3088">
        <w:t xml:space="preserve"> que aunque no menciona e</w:t>
      </w:r>
      <w:r w:rsidR="006772BF">
        <w:t xml:space="preserve">l feminicidio y su prevención, al menos versa </w:t>
      </w:r>
      <w:r>
        <w:t xml:space="preserve">sobre </w:t>
      </w:r>
      <w:r w:rsidR="006772BF">
        <w:t>“</w:t>
      </w:r>
      <w:r w:rsidRPr="006772BF">
        <w:rPr>
          <w:i/>
          <w:iCs/>
        </w:rPr>
        <w:t xml:space="preserve">la producción de libros de textos, planes, programas, orientaciones metodológicas y cuadernos de trabajo </w:t>
      </w:r>
      <w:r w:rsidR="00BD1854">
        <w:rPr>
          <w:i/>
          <w:iCs/>
        </w:rPr>
        <w:t>(…)</w:t>
      </w:r>
      <w:r w:rsidRPr="006772BF">
        <w:rPr>
          <w:i/>
          <w:iCs/>
        </w:rPr>
        <w:t xml:space="preserve">relacionados con: </w:t>
      </w:r>
      <w:r w:rsidR="00BD1854">
        <w:rPr>
          <w:i/>
          <w:iCs/>
        </w:rPr>
        <w:t xml:space="preserve">(...) </w:t>
      </w:r>
      <w:r w:rsidRPr="006772BF">
        <w:rPr>
          <w:i/>
          <w:iCs/>
        </w:rPr>
        <w:t>la Educación Integral en Sexualidad con enfoque de género y derechos sexuales y reproductivos y la prevención de la trata de personas</w:t>
      </w:r>
      <w:r>
        <w:t xml:space="preserve">”. </w:t>
      </w:r>
    </w:p>
    <w:p w14:paraId="00000024" w14:textId="257BAC0F" w:rsidR="00565625" w:rsidRDefault="00FA3088" w:rsidP="00E70615">
      <w:r>
        <w:t xml:space="preserve">La línea telefónica de apoyo a víctimas de violencia machista, establecida a nivel gubernamental en </w:t>
      </w:r>
      <w:r w:rsidR="00BD1854">
        <w:t>dic-</w:t>
      </w:r>
      <w:r>
        <w:t xml:space="preserve">2020, OGAT y otras </w:t>
      </w:r>
      <w:r w:rsidRPr="00FA3088">
        <w:t>ONGs independientes</w:t>
      </w:r>
      <w:r>
        <w:t xml:space="preserve"> han destacado repetidamente que atiende muy variadas problemáticas sociales, no centrada en la atención urgente de la violencia machista. </w:t>
      </w:r>
    </w:p>
    <w:p w14:paraId="00000026" w14:textId="1C7D2700" w:rsidR="00565625" w:rsidRDefault="00AE372E" w:rsidP="00E70615">
      <w:pPr>
        <w:rPr>
          <w:highlight w:val="white"/>
        </w:rPr>
      </w:pPr>
      <w:r>
        <w:rPr>
          <w:highlight w:val="white"/>
        </w:rPr>
        <w:t>Por otro lado, en tres ocasiones (</w:t>
      </w:r>
      <w:hyperlink r:id="rId13" w:history="1">
        <w:r w:rsidRPr="007379E1">
          <w:rPr>
            <w:rStyle w:val="Hipervnculo"/>
            <w:highlight w:val="white"/>
          </w:rPr>
          <w:t>febrero de 2021</w:t>
        </w:r>
      </w:hyperlink>
      <w:r w:rsidR="007379E1">
        <w:rPr>
          <w:highlight w:val="white"/>
        </w:rPr>
        <w:t>,</w:t>
      </w:r>
      <w:r>
        <w:rPr>
          <w:highlight w:val="white"/>
        </w:rPr>
        <w:t xml:space="preserve"> </w:t>
      </w:r>
      <w:hyperlink r:id="rId14" w:history="1">
        <w:r w:rsidRPr="007379E1">
          <w:rPr>
            <w:rStyle w:val="Hipervnculo"/>
            <w:highlight w:val="white"/>
          </w:rPr>
          <w:t>junio de 2022</w:t>
        </w:r>
      </w:hyperlink>
      <w:r w:rsidR="007379E1">
        <w:rPr>
          <w:highlight w:val="white"/>
        </w:rPr>
        <w:t xml:space="preserve"> y </w:t>
      </w:r>
      <w:hyperlink r:id="rId15" w:history="1">
        <w:r w:rsidR="007379E1" w:rsidRPr="007379E1">
          <w:rPr>
            <w:rStyle w:val="Hipervnculo"/>
            <w:highlight w:val="white"/>
          </w:rPr>
          <w:t>febrero de 2023</w:t>
        </w:r>
      </w:hyperlink>
      <w:r>
        <w:rPr>
          <w:highlight w:val="white"/>
        </w:rPr>
        <w:t>)</w:t>
      </w:r>
      <w:r w:rsidR="00C91DF8">
        <w:rPr>
          <w:rStyle w:val="Refdenotaalpie"/>
          <w:highlight w:val="white"/>
        </w:rPr>
        <w:footnoteReference w:id="4"/>
      </w:r>
      <w:r>
        <w:rPr>
          <w:highlight w:val="white"/>
        </w:rPr>
        <w:t xml:space="preserve"> </w:t>
      </w:r>
      <w:r w:rsidR="00FA3088">
        <w:rPr>
          <w:highlight w:val="white"/>
        </w:rPr>
        <w:t>ONGs independientes</w:t>
      </w:r>
      <w:r>
        <w:rPr>
          <w:highlight w:val="white"/>
        </w:rPr>
        <w:t xml:space="preserve"> solicitaron a las autoridades cubanas declarar el </w:t>
      </w:r>
      <w:r w:rsidR="002E732D">
        <w:rPr>
          <w:highlight w:val="white"/>
        </w:rPr>
        <w:t>“</w:t>
      </w:r>
      <w:r w:rsidRPr="00BD1854">
        <w:rPr>
          <w:b/>
          <w:bCs/>
          <w:i/>
          <w:iCs/>
          <w:highlight w:val="white"/>
        </w:rPr>
        <w:t>Estado de Emergencia por violencia de género</w:t>
      </w:r>
      <w:r w:rsidR="002E732D">
        <w:rPr>
          <w:highlight w:val="white"/>
        </w:rPr>
        <w:t>”</w:t>
      </w:r>
      <w:r>
        <w:rPr>
          <w:highlight w:val="white"/>
        </w:rPr>
        <w:t>, apoyándose en picos de violencia machista registrados por l</w:t>
      </w:r>
      <w:r w:rsidR="002E732D">
        <w:rPr>
          <w:highlight w:val="white"/>
        </w:rPr>
        <w:t>as ONGs independientes</w:t>
      </w:r>
      <w:r>
        <w:rPr>
          <w:highlight w:val="white"/>
        </w:rPr>
        <w:t xml:space="preserve">. </w:t>
      </w:r>
      <w:r w:rsidR="00BD1854">
        <w:rPr>
          <w:highlight w:val="white"/>
        </w:rPr>
        <w:t>L</w:t>
      </w:r>
      <w:r>
        <w:rPr>
          <w:highlight w:val="white"/>
        </w:rPr>
        <w:t xml:space="preserve">a solicitud fue desoída </w:t>
      </w:r>
      <w:r w:rsidR="002E732D">
        <w:rPr>
          <w:highlight w:val="white"/>
        </w:rPr>
        <w:t>por completo</w:t>
      </w:r>
      <w:r>
        <w:rPr>
          <w:highlight w:val="white"/>
        </w:rPr>
        <w:t>.</w:t>
      </w:r>
    </w:p>
    <w:p w14:paraId="00000029" w14:textId="48892690" w:rsidR="00565625" w:rsidRDefault="002E732D" w:rsidP="00E70615">
      <w:pPr>
        <w:rPr>
          <w:highlight w:val="white"/>
        </w:rPr>
      </w:pPr>
      <w:r>
        <w:rPr>
          <w:highlight w:val="white"/>
        </w:rPr>
        <w:t>La manera de nombrar</w:t>
      </w:r>
      <w:r w:rsidR="007379E1">
        <w:rPr>
          <w:highlight w:val="white"/>
        </w:rPr>
        <w:t xml:space="preserve"> esta lacra por parte</w:t>
      </w:r>
      <w:r>
        <w:rPr>
          <w:highlight w:val="white"/>
        </w:rPr>
        <w:t xml:space="preserve"> de las instituciones gubernamentales y medios de prensa oficiales es otra muestra de la falta de voluntad política de luchar contra la violencia de género. En una reciente entrevista realizada a Dania Rodríguez y </w:t>
      </w:r>
      <w:proofErr w:type="spellStart"/>
      <w:r>
        <w:rPr>
          <w:highlight w:val="white"/>
        </w:rPr>
        <w:t>Omaida</w:t>
      </w:r>
      <w:proofErr w:type="spellEnd"/>
      <w:r>
        <w:rPr>
          <w:highlight w:val="white"/>
        </w:rPr>
        <w:t xml:space="preserve"> Hernández, encargadas de Relaciones Internacionales de la FMC, se reafirma esta posición de no reconocimiento de responsabilidad institucional</w:t>
      </w:r>
      <w:r w:rsidR="00BC4D9A">
        <w:rPr>
          <w:highlight w:val="white"/>
        </w:rPr>
        <w:t xml:space="preserve"> </w:t>
      </w:r>
      <w:r>
        <w:rPr>
          <w:highlight w:val="white"/>
        </w:rPr>
        <w:t xml:space="preserve">frente a </w:t>
      </w:r>
      <w:r w:rsidR="00BC4D9A">
        <w:rPr>
          <w:highlight w:val="white"/>
        </w:rPr>
        <w:t>los feminicidios</w:t>
      </w:r>
      <w:r>
        <w:rPr>
          <w:highlight w:val="white"/>
        </w:rPr>
        <w:t>:</w:t>
      </w:r>
      <w:r w:rsidR="00BC4D9A">
        <w:rPr>
          <w:highlight w:val="white"/>
        </w:rPr>
        <w:t xml:space="preserve"> </w:t>
      </w:r>
      <w:r w:rsidRPr="00BC4D9A">
        <w:rPr>
          <w:i/>
          <w:iCs/>
          <w:highlight w:val="white"/>
        </w:rPr>
        <w:t>“</w:t>
      </w:r>
      <w:hyperlink r:id="rId16" w:history="1">
        <w:r w:rsidRPr="00BC4D9A">
          <w:rPr>
            <w:rStyle w:val="Hipervnculo"/>
            <w:i/>
            <w:iCs/>
            <w:highlight w:val="white"/>
          </w:rPr>
          <w:t>En Cuba utilizamos el término femicidio, no feminicidios (puesto que este término define que las instituciones son cómplices mediante la violencia institucional y afirmamos que las instituciones cubanas no lo son).</w:t>
        </w:r>
      </w:hyperlink>
      <w:r w:rsidR="00BC4D9A" w:rsidRPr="00BC4D9A">
        <w:rPr>
          <w:i/>
          <w:iCs/>
          <w:highlight w:val="white"/>
        </w:rPr>
        <w:t>"</w:t>
      </w:r>
    </w:p>
    <w:p w14:paraId="0000002B" w14:textId="11B80328" w:rsidR="00565625" w:rsidRPr="00D76E0C" w:rsidRDefault="002E732D" w:rsidP="00E70615">
      <w:pPr>
        <w:rPr>
          <w:highlight w:val="white"/>
        </w:rPr>
      </w:pPr>
      <w:r w:rsidRPr="002E732D">
        <w:rPr>
          <w:b/>
          <w:bCs/>
          <w:highlight w:val="white"/>
        </w:rPr>
        <w:t>L</w:t>
      </w:r>
      <w:r w:rsidRPr="00BC4D9A">
        <w:rPr>
          <w:b/>
          <w:bCs/>
          <w:highlight w:val="white"/>
        </w:rPr>
        <w:t>os términos feminicidio y femicidio son sinónimos</w:t>
      </w:r>
      <w:r>
        <w:rPr>
          <w:highlight w:val="white"/>
        </w:rPr>
        <w:t xml:space="preserve">, como indica ONU Mujeres, ya que ambos describen en los </w:t>
      </w:r>
      <w:r w:rsidRPr="00BC4D9A">
        <w:rPr>
          <w:b/>
          <w:bCs/>
          <w:highlight w:val="white"/>
        </w:rPr>
        <w:t>asesinatos de mujeres debido a su condición de géner</w:t>
      </w:r>
      <w:r w:rsidRPr="002E732D">
        <w:rPr>
          <w:b/>
          <w:bCs/>
          <w:highlight w:val="white"/>
        </w:rPr>
        <w:t>o, y siemp</w:t>
      </w:r>
      <w:r w:rsidRPr="00BC4D9A">
        <w:rPr>
          <w:b/>
          <w:bCs/>
          <w:highlight w:val="white"/>
        </w:rPr>
        <w:t>re existe una responsabilidad política y social</w:t>
      </w:r>
      <w:r>
        <w:rPr>
          <w:highlight w:val="white"/>
        </w:rPr>
        <w:t xml:space="preserve">. El gobierno cubano emplea exclusivamente el término “femicidio” por pretender implicar </w:t>
      </w:r>
      <w:r w:rsidRPr="00BC4D9A">
        <w:rPr>
          <w:b/>
          <w:bCs/>
          <w:highlight w:val="white"/>
        </w:rPr>
        <w:t>un componente de impunidad, y la irresponsabilidad del Estado y sus instituciones</w:t>
      </w:r>
      <w:r>
        <w:rPr>
          <w:highlight w:val="white"/>
        </w:rPr>
        <w:t xml:space="preserve"> ante la falta de acción gubernamental</w:t>
      </w:r>
      <w:r w:rsidR="00D86A6E">
        <w:rPr>
          <w:rStyle w:val="Refdenotaalpie"/>
          <w:highlight w:val="white"/>
        </w:rPr>
        <w:footnoteReference w:id="5"/>
      </w:r>
      <w:r>
        <w:rPr>
          <w:highlight w:val="white"/>
        </w:rPr>
        <w:t>.</w:t>
      </w:r>
    </w:p>
    <w:p w14:paraId="0000002C" w14:textId="0177C7EF" w:rsidR="00565625" w:rsidRPr="00D76E0C" w:rsidRDefault="00AE372E" w:rsidP="0071072B">
      <w:pPr>
        <w:pStyle w:val="Ttulo2"/>
      </w:pPr>
      <w:r w:rsidRPr="003B0540">
        <w:t>Estadísticas y datos</w:t>
      </w:r>
      <w:r w:rsidR="00B0431C">
        <w:t>: d</w:t>
      </w:r>
      <w:r w:rsidRPr="003B0540">
        <w:t xml:space="preserve">atos del </w:t>
      </w:r>
      <w:r w:rsidR="00626220">
        <w:t>Estado</w:t>
      </w:r>
      <w:r w:rsidRPr="003B0540">
        <w:t xml:space="preserve"> vs. </w:t>
      </w:r>
      <w:r w:rsidR="00BF4FD1">
        <w:t>D</w:t>
      </w:r>
      <w:r w:rsidRPr="003B0540">
        <w:t>atos de las ONGs</w:t>
      </w:r>
    </w:p>
    <w:p w14:paraId="0000002D" w14:textId="463138B1" w:rsidR="00565625" w:rsidRDefault="002E732D" w:rsidP="00E70615">
      <w:pPr>
        <w:rPr>
          <w:highlight w:val="white"/>
        </w:rPr>
      </w:pPr>
      <w:r>
        <w:rPr>
          <w:highlight w:val="white"/>
        </w:rPr>
        <w:t xml:space="preserve">Aunque Teresa </w:t>
      </w:r>
      <w:proofErr w:type="spellStart"/>
      <w:r>
        <w:rPr>
          <w:highlight w:val="white"/>
        </w:rPr>
        <w:t>Amarelle</w:t>
      </w:r>
      <w:proofErr w:type="spellEnd"/>
      <w:r>
        <w:rPr>
          <w:highlight w:val="white"/>
        </w:rPr>
        <w:t>, Secretaria General de la Federación de Mujeres Cubanas (FMC), anunció en conferencia de prensa en marzo de 2021 la creación de un Observatorio de Género oficial que incluiría los registros de los femicidios y otras expresiones de violencia machista, no fue hasta junio de 2023 que se creó el Observatorio de Cuba sobre Igualdad de Género</w:t>
      </w:r>
      <w:r w:rsidR="001476D2">
        <w:rPr>
          <w:highlight w:val="white"/>
        </w:rPr>
        <w:t xml:space="preserve"> (OCIG)</w:t>
      </w:r>
      <w:r>
        <w:rPr>
          <w:highlight w:val="white"/>
        </w:rPr>
        <w:t xml:space="preserve">, con numerosos problemas. </w:t>
      </w:r>
    </w:p>
    <w:p w14:paraId="00000031" w14:textId="789AA49B" w:rsidR="00565625" w:rsidRDefault="00FC1A7D" w:rsidP="00E70615">
      <w:pPr>
        <w:rPr>
          <w:highlight w:val="white"/>
        </w:rPr>
      </w:pPr>
      <w:r>
        <w:t xml:space="preserve">El </w:t>
      </w:r>
      <w:r w:rsidR="001476D2">
        <w:rPr>
          <w:highlight w:val="white"/>
        </w:rPr>
        <w:t>OCIG</w:t>
      </w:r>
      <w:r>
        <w:t xml:space="preserve"> sólo contabiliza </w:t>
      </w:r>
      <w:r w:rsidRPr="005F7BF2">
        <w:rPr>
          <w:b/>
          <w:bCs/>
        </w:rPr>
        <w:t>los casos</w:t>
      </w:r>
      <w:r w:rsidR="00BF4FD1" w:rsidRPr="005F7BF2">
        <w:rPr>
          <w:b/>
          <w:bCs/>
        </w:rPr>
        <w:t xml:space="preserve"> penalmente resueltos,</w:t>
      </w:r>
      <w:r w:rsidRPr="005F7BF2">
        <w:rPr>
          <w:b/>
          <w:bCs/>
        </w:rPr>
        <w:t xml:space="preserve"> en </w:t>
      </w:r>
      <w:r w:rsidR="00BF4FD1" w:rsidRPr="005F7BF2">
        <w:rPr>
          <w:b/>
          <w:bCs/>
        </w:rPr>
        <w:t xml:space="preserve">los </w:t>
      </w:r>
      <w:r w:rsidRPr="005F7BF2">
        <w:rPr>
          <w:b/>
          <w:bCs/>
        </w:rPr>
        <w:t xml:space="preserve">que el agresor </w:t>
      </w:r>
      <w:r w:rsidR="00BF4FD1" w:rsidRPr="005F7BF2">
        <w:rPr>
          <w:b/>
          <w:bCs/>
        </w:rPr>
        <w:t>ha sido condenado en</w:t>
      </w:r>
      <w:r w:rsidRPr="005F7BF2">
        <w:rPr>
          <w:b/>
          <w:bCs/>
        </w:rPr>
        <w:t xml:space="preserve"> sentencia firme</w:t>
      </w:r>
      <w:r w:rsidR="008F1EEF">
        <w:t xml:space="preserve">, disminuyendo </w:t>
      </w:r>
      <w:r w:rsidR="00BD1854">
        <w:t xml:space="preserve">esto </w:t>
      </w:r>
      <w:r w:rsidR="008F1EEF">
        <w:t>de manera obvia las cifras</w:t>
      </w:r>
      <w:r w:rsidR="005F7BF2">
        <w:t>.</w:t>
      </w:r>
      <w:r>
        <w:t xml:space="preserve"> Tampoco se incluyen</w:t>
      </w:r>
      <w:r w:rsidR="001476D2">
        <w:t xml:space="preserve"> en el </w:t>
      </w:r>
      <w:r w:rsidR="001476D2">
        <w:rPr>
          <w:highlight w:val="white"/>
        </w:rPr>
        <w:t>OCIG</w:t>
      </w:r>
      <w:r>
        <w:t xml:space="preserve"> </w:t>
      </w:r>
      <w:r>
        <w:rPr>
          <w:highlight w:val="white"/>
        </w:rPr>
        <w:t>los casos en los que el feminicida cometió suicidio, cifra nada despreciable. Se contabiliza</w:t>
      </w:r>
      <w:r w:rsidR="00BD1854">
        <w:rPr>
          <w:highlight w:val="white"/>
        </w:rPr>
        <w:t xml:space="preserve"> además </w:t>
      </w:r>
      <w:r>
        <w:rPr>
          <w:highlight w:val="white"/>
        </w:rPr>
        <w:t xml:space="preserve">el tipo de feminicidio de pareja y expareja. Los demás tipos de feminicidios como el sexual, social, familiar, vicario y los </w:t>
      </w:r>
      <w:proofErr w:type="spellStart"/>
      <w:r>
        <w:rPr>
          <w:highlight w:val="white"/>
        </w:rPr>
        <w:t>transfeminicidios</w:t>
      </w:r>
      <w:proofErr w:type="spellEnd"/>
      <w:r>
        <w:rPr>
          <w:highlight w:val="white"/>
        </w:rPr>
        <w:t xml:space="preserve"> no se encuentran desagregados en los pocos datos que han otorgado. </w:t>
      </w:r>
      <w:r w:rsidR="00BD1854">
        <w:rPr>
          <w:highlight w:val="white"/>
        </w:rPr>
        <w:t>En el O</w:t>
      </w:r>
      <w:r w:rsidR="00DF74DB">
        <w:rPr>
          <w:highlight w:val="white"/>
        </w:rPr>
        <w:t>CIG</w:t>
      </w:r>
      <w:r w:rsidR="00BD1854">
        <w:rPr>
          <w:highlight w:val="white"/>
        </w:rPr>
        <w:t xml:space="preserve"> nunca</w:t>
      </w:r>
      <w:r>
        <w:rPr>
          <w:highlight w:val="white"/>
        </w:rPr>
        <w:t xml:space="preserve"> utilizan el término feminicidio</w:t>
      </w:r>
      <w:r w:rsidR="00BD1854">
        <w:rPr>
          <w:highlight w:val="white"/>
        </w:rPr>
        <w:t>, ni femicidio siquiera</w:t>
      </w:r>
      <w:r>
        <w:rPr>
          <w:highlight w:val="white"/>
        </w:rPr>
        <w:t xml:space="preserve">. </w:t>
      </w:r>
    </w:p>
    <w:p w14:paraId="0FF6F770" w14:textId="19820014" w:rsidR="008F1EEF" w:rsidRDefault="00000000" w:rsidP="00E70615">
      <w:hyperlink r:id="rId17" w:history="1">
        <w:r w:rsidR="00FC1A7D">
          <w:rPr>
            <w:rStyle w:val="Hipervnculo"/>
          </w:rPr>
          <w:t>L</w:t>
        </w:r>
        <w:r w:rsidR="008F1EEF" w:rsidRPr="008F1EEF">
          <w:rPr>
            <w:rStyle w:val="Hipervnculo"/>
          </w:rPr>
          <w:t>os datos</w:t>
        </w:r>
        <w:r w:rsidR="00FC1A7D">
          <w:rPr>
            <w:rStyle w:val="Hipervnculo"/>
          </w:rPr>
          <w:t xml:space="preserve"> del OCIG</w:t>
        </w:r>
        <w:r w:rsidR="008F1EEF" w:rsidRPr="008F1EEF">
          <w:rPr>
            <w:rStyle w:val="Hipervnculo"/>
          </w:rPr>
          <w:t xml:space="preserve"> referentes al 2022</w:t>
        </w:r>
      </w:hyperlink>
      <w:r w:rsidR="008F1EEF">
        <w:t xml:space="preserve"> establece</w:t>
      </w:r>
      <w:r w:rsidR="00FC1A7D">
        <w:t>n</w:t>
      </w:r>
      <w:r w:rsidR="008F1EEF">
        <w:t xml:space="preserve"> en 18 la cifra de feminicidios en Cuba, exactamente la mitad de los verificados por OGAT y Yo sí te Creo en Cuba  (YSTCC) en ese mismo año, </w:t>
      </w:r>
      <w:r w:rsidR="00FC1A7D">
        <w:t xml:space="preserve">que es </w:t>
      </w:r>
      <w:r w:rsidR="008F1EEF">
        <w:t>una pequeña parte dad</w:t>
      </w:r>
      <w:r w:rsidR="00626220">
        <w:t>a</w:t>
      </w:r>
      <w:r w:rsidR="008F1EEF">
        <w:t xml:space="preserve"> </w:t>
      </w:r>
      <w:r w:rsidR="00FC1A7D">
        <w:t>la ocultación de</w:t>
      </w:r>
      <w:r w:rsidR="008F1EEF">
        <w:t xml:space="preserve"> cifras por parte del Estado.</w:t>
      </w:r>
    </w:p>
    <w:p w14:paraId="1817581D" w14:textId="64C059A0" w:rsidR="001476D2" w:rsidRDefault="00752099" w:rsidP="0071072B">
      <w:pPr>
        <w:pStyle w:val="Ttulo3"/>
      </w:pPr>
      <w:r>
        <w:t>Grave c</w:t>
      </w:r>
      <w:r w:rsidR="001476D2">
        <w:t xml:space="preserve">ontradicción del </w:t>
      </w:r>
      <w:r w:rsidR="001476D2">
        <w:rPr>
          <w:highlight w:val="white"/>
        </w:rPr>
        <w:t>OCIG</w:t>
      </w:r>
      <w:r w:rsidR="001476D2">
        <w:t xml:space="preserve"> </w:t>
      </w:r>
      <w:r w:rsidR="00626220">
        <w:t>vs.</w:t>
      </w:r>
      <w:r w:rsidR="001476D2">
        <w:t xml:space="preserve"> </w:t>
      </w:r>
      <w:r w:rsidR="00626220">
        <w:t>D</w:t>
      </w:r>
      <w:r w:rsidR="001476D2">
        <w:t>atos internos del sistema judicial</w:t>
      </w:r>
    </w:p>
    <w:p w14:paraId="7AE4363F" w14:textId="47FA5A3E" w:rsidR="000A4A33" w:rsidRDefault="000A4A33" w:rsidP="00E713DA">
      <w:pPr>
        <w:rPr>
          <w:highlight w:val="white"/>
          <w:lang w:eastAsia="es-ES"/>
        </w:rPr>
      </w:pPr>
      <w:r>
        <w:rPr>
          <w:highlight w:val="white"/>
          <w:lang w:eastAsia="es-ES"/>
        </w:rPr>
        <w:t>El presente apartado es un ejercicio basado en el único informe oficial del sistema penal cubano que, siendo</w:t>
      </w:r>
      <w:r w:rsidR="0088344D">
        <w:rPr>
          <w:highlight w:val="white"/>
          <w:lang w:eastAsia="es-ES"/>
        </w:rPr>
        <w:t xml:space="preserve"> de alto</w:t>
      </w:r>
      <w:r>
        <w:rPr>
          <w:highlight w:val="white"/>
          <w:lang w:eastAsia="es-ES"/>
        </w:rPr>
        <w:t xml:space="preserve"> secreto</w:t>
      </w:r>
      <w:r w:rsidR="0088344D">
        <w:rPr>
          <w:highlight w:val="white"/>
          <w:lang w:eastAsia="es-ES"/>
        </w:rPr>
        <w:t xml:space="preserve"> (el documento</w:t>
      </w:r>
      <w:r w:rsidR="00626220">
        <w:rPr>
          <w:highlight w:val="white"/>
          <w:lang w:eastAsia="es-ES"/>
        </w:rPr>
        <w:t xml:space="preserve"> así</w:t>
      </w:r>
      <w:r w:rsidR="0088344D">
        <w:rPr>
          <w:highlight w:val="white"/>
          <w:lang w:eastAsia="es-ES"/>
        </w:rPr>
        <w:t xml:space="preserve"> lo indica)</w:t>
      </w:r>
      <w:r>
        <w:rPr>
          <w:highlight w:val="white"/>
          <w:lang w:eastAsia="es-ES"/>
        </w:rPr>
        <w:t>, fue desvelado y hecho público</w:t>
      </w:r>
      <w:r w:rsidR="00626220">
        <w:rPr>
          <w:highlight w:val="white"/>
          <w:lang w:eastAsia="es-ES"/>
        </w:rPr>
        <w:t>. Arroja</w:t>
      </w:r>
      <w:r>
        <w:rPr>
          <w:highlight w:val="white"/>
          <w:lang w:eastAsia="es-ES"/>
        </w:rPr>
        <w:t xml:space="preserve"> luz sobre todos los delitos penales en Cuba. No se puede</w:t>
      </w:r>
      <w:r w:rsidR="0088344D">
        <w:rPr>
          <w:highlight w:val="white"/>
          <w:lang w:eastAsia="es-ES"/>
        </w:rPr>
        <w:t>n</w:t>
      </w:r>
      <w:r>
        <w:rPr>
          <w:highlight w:val="white"/>
          <w:lang w:eastAsia="es-ES"/>
        </w:rPr>
        <w:t xml:space="preserve"> extraer de este ejercicio</w:t>
      </w:r>
      <w:r w:rsidR="0088344D">
        <w:rPr>
          <w:highlight w:val="white"/>
          <w:lang w:eastAsia="es-ES"/>
        </w:rPr>
        <w:t xml:space="preserve"> cifras concretas de feminicidios</w:t>
      </w:r>
      <w:r w:rsidR="00626220">
        <w:rPr>
          <w:highlight w:val="white"/>
          <w:lang w:eastAsia="es-ES"/>
        </w:rPr>
        <w:t xml:space="preserve"> (</w:t>
      </w:r>
      <w:r w:rsidR="0088344D">
        <w:rPr>
          <w:highlight w:val="white"/>
          <w:lang w:eastAsia="es-ES"/>
        </w:rPr>
        <w:t>el gobierno cubano no emplea los términos adecuados, sino “violencia intrafamiliar” y “violencia pasional” extrafamiliar</w:t>
      </w:r>
      <w:r w:rsidR="00626220">
        <w:rPr>
          <w:highlight w:val="white"/>
          <w:lang w:eastAsia="es-ES"/>
        </w:rPr>
        <w:t>)</w:t>
      </w:r>
      <w:r w:rsidR="0088344D">
        <w:rPr>
          <w:highlight w:val="white"/>
          <w:lang w:eastAsia="es-ES"/>
        </w:rPr>
        <w:t xml:space="preserve">, pero sí permite conocer ciertos órdenes de magnitud y </w:t>
      </w:r>
      <w:r>
        <w:rPr>
          <w:highlight w:val="white"/>
          <w:lang w:eastAsia="es-ES"/>
        </w:rPr>
        <w:t xml:space="preserve">corrobora la diferencia notable entre las cifras estatales y la realidad </w:t>
      </w:r>
      <w:r w:rsidR="00626220">
        <w:rPr>
          <w:highlight w:val="white"/>
          <w:lang w:eastAsia="es-ES"/>
        </w:rPr>
        <w:t>en Cuba</w:t>
      </w:r>
      <w:r>
        <w:rPr>
          <w:highlight w:val="white"/>
          <w:lang w:eastAsia="es-ES"/>
        </w:rPr>
        <w:t xml:space="preserve">. </w:t>
      </w:r>
      <w:r w:rsidR="0088344D">
        <w:rPr>
          <w:highlight w:val="white"/>
          <w:lang w:eastAsia="es-ES"/>
        </w:rPr>
        <w:lastRenderedPageBreak/>
        <w:t>C</w:t>
      </w:r>
      <w:r>
        <w:rPr>
          <w:highlight w:val="white"/>
          <w:lang w:eastAsia="es-ES"/>
        </w:rPr>
        <w:t>reemos que el lector agradecerá enormemente este ejercicio, por hacerse patente y notorio</w:t>
      </w:r>
      <w:r w:rsidR="00626220">
        <w:rPr>
          <w:highlight w:val="white"/>
          <w:lang w:eastAsia="es-ES"/>
        </w:rPr>
        <w:t xml:space="preserve"> (</w:t>
      </w:r>
      <w:r>
        <w:rPr>
          <w:highlight w:val="white"/>
          <w:lang w:eastAsia="es-ES"/>
        </w:rPr>
        <w:t>desde otra perspectiva más</w:t>
      </w:r>
      <w:r w:rsidR="00626220">
        <w:rPr>
          <w:highlight w:val="white"/>
          <w:lang w:eastAsia="es-ES"/>
        </w:rPr>
        <w:t>, con</w:t>
      </w:r>
      <w:r w:rsidR="00EF450D">
        <w:rPr>
          <w:highlight w:val="white"/>
          <w:lang w:eastAsia="es-ES"/>
        </w:rPr>
        <w:t xml:space="preserve"> los</w:t>
      </w:r>
      <w:r>
        <w:rPr>
          <w:highlight w:val="white"/>
          <w:lang w:eastAsia="es-ES"/>
        </w:rPr>
        <w:t xml:space="preserve"> datos oficiales</w:t>
      </w:r>
      <w:r w:rsidR="00EF450D">
        <w:rPr>
          <w:highlight w:val="white"/>
          <w:lang w:eastAsia="es-ES"/>
        </w:rPr>
        <w:t xml:space="preserve"> internos no desvelados</w:t>
      </w:r>
      <w:r w:rsidR="0088344D">
        <w:rPr>
          <w:highlight w:val="white"/>
          <w:lang w:eastAsia="es-ES"/>
        </w:rPr>
        <w:t xml:space="preserve"> voluntariamente</w:t>
      </w:r>
      <w:r w:rsidR="00EF450D">
        <w:rPr>
          <w:highlight w:val="white"/>
          <w:lang w:eastAsia="es-ES"/>
        </w:rPr>
        <w:t xml:space="preserve"> por el gobierno</w:t>
      </w:r>
      <w:r w:rsidR="00626220">
        <w:rPr>
          <w:highlight w:val="white"/>
          <w:lang w:eastAsia="es-ES"/>
        </w:rPr>
        <w:t xml:space="preserve"> d</w:t>
      </w:r>
      <w:r w:rsidR="00EF450D">
        <w:rPr>
          <w:highlight w:val="white"/>
          <w:lang w:eastAsia="es-ES"/>
        </w:rPr>
        <w:t>el</w:t>
      </w:r>
      <w:r>
        <w:rPr>
          <w:highlight w:val="white"/>
          <w:lang w:eastAsia="es-ES"/>
        </w:rPr>
        <w:t xml:space="preserve"> sistema penal cubano</w:t>
      </w:r>
      <w:r w:rsidR="00626220">
        <w:rPr>
          <w:highlight w:val="white"/>
          <w:lang w:eastAsia="es-ES"/>
        </w:rPr>
        <w:t xml:space="preserve">) </w:t>
      </w:r>
      <w:r w:rsidR="00EF450D">
        <w:rPr>
          <w:highlight w:val="white"/>
          <w:lang w:eastAsia="es-ES"/>
        </w:rPr>
        <w:t>que las cifras</w:t>
      </w:r>
      <w:r w:rsidR="00626220">
        <w:rPr>
          <w:highlight w:val="white"/>
          <w:lang w:eastAsia="es-ES"/>
        </w:rPr>
        <w:t xml:space="preserve"> publicadas</w:t>
      </w:r>
      <w:r w:rsidR="00EF450D">
        <w:rPr>
          <w:highlight w:val="white"/>
          <w:lang w:eastAsia="es-ES"/>
        </w:rPr>
        <w:t xml:space="preserve"> por el gobierno de Cuba difieren escandalosamente de la realidad del feminicidio en Cuba.</w:t>
      </w:r>
    </w:p>
    <w:p w14:paraId="2F7C7AC7" w14:textId="357ACF3A" w:rsidR="00005AF4" w:rsidRDefault="001476D2" w:rsidP="00E713DA">
      <w:pPr>
        <w:rPr>
          <w:highlight w:val="white"/>
          <w:lang w:eastAsia="es-ES"/>
        </w:rPr>
      </w:pPr>
      <w:r>
        <w:rPr>
          <w:highlight w:val="white"/>
          <w:lang w:eastAsia="es-ES"/>
        </w:rPr>
        <w:t>El 13 de enero de 2020, gracias a una filtración de</w:t>
      </w:r>
      <w:r w:rsidR="005F51A0">
        <w:rPr>
          <w:highlight w:val="white"/>
          <w:lang w:eastAsia="es-ES"/>
        </w:rPr>
        <w:t xml:space="preserve">l </w:t>
      </w:r>
      <w:r w:rsidR="00752099" w:rsidRPr="007E444F">
        <w:rPr>
          <w:highlight w:val="white"/>
          <w:lang w:eastAsia="es-ES"/>
        </w:rPr>
        <w:t>Exp</w:t>
      </w:r>
      <w:r w:rsidR="005F51A0" w:rsidRPr="007E444F">
        <w:rPr>
          <w:highlight w:val="white"/>
          <w:lang w:eastAsia="es-ES"/>
        </w:rPr>
        <w:t>residente del Tribunal Provincial de Villa Clara</w:t>
      </w:r>
      <w:r w:rsidR="00752099" w:rsidRPr="007E444F">
        <w:rPr>
          <w:highlight w:val="white"/>
          <w:lang w:eastAsia="es-ES"/>
        </w:rPr>
        <w:t xml:space="preserve"> (2014-2018)</w:t>
      </w:r>
      <w:r w:rsidR="00B74A53">
        <w:rPr>
          <w:rStyle w:val="Refdenotaalpie"/>
          <w:highlight w:val="white"/>
          <w:lang w:eastAsia="es-ES"/>
        </w:rPr>
        <w:footnoteReference w:id="6"/>
      </w:r>
      <w:r w:rsidR="005F51A0">
        <w:rPr>
          <w:highlight w:val="white"/>
          <w:lang w:eastAsia="es-ES"/>
        </w:rPr>
        <w:t>,</w:t>
      </w:r>
      <w:r>
        <w:rPr>
          <w:highlight w:val="white"/>
          <w:lang w:eastAsia="es-ES"/>
        </w:rPr>
        <w:t xml:space="preserve"> </w:t>
      </w:r>
      <w:r w:rsidR="006976BA">
        <w:rPr>
          <w:highlight w:val="white"/>
          <w:lang w:eastAsia="es-ES"/>
        </w:rPr>
        <w:t>Prisoners Defenders</w:t>
      </w:r>
      <w:r>
        <w:rPr>
          <w:highlight w:val="white"/>
          <w:lang w:eastAsia="es-ES"/>
        </w:rPr>
        <w:t xml:space="preserve"> </w:t>
      </w:r>
      <w:r w:rsidR="00752099">
        <w:rPr>
          <w:highlight w:val="white"/>
          <w:lang w:eastAsia="es-ES"/>
        </w:rPr>
        <w:t>pudo hacer</w:t>
      </w:r>
      <w:r>
        <w:rPr>
          <w:highlight w:val="white"/>
          <w:lang w:eastAsia="es-ES"/>
        </w:rPr>
        <w:t xml:space="preserve"> público </w:t>
      </w:r>
      <w:hyperlink r:id="rId18" w:history="1">
        <w:r w:rsidRPr="007E444F">
          <w:rPr>
            <w:rStyle w:val="Hipervnculo"/>
            <w:b/>
            <w:bCs/>
            <w:highlight w:val="white"/>
            <w:lang w:eastAsia="es-ES"/>
          </w:rPr>
          <w:t>un informe interno</w:t>
        </w:r>
        <w:r w:rsidR="001F1E82" w:rsidRPr="007E444F">
          <w:rPr>
            <w:rStyle w:val="Hipervnculo"/>
            <w:b/>
            <w:bCs/>
            <w:highlight w:val="white"/>
            <w:lang w:eastAsia="es-ES"/>
          </w:rPr>
          <w:t xml:space="preserve"> </w:t>
        </w:r>
        <w:r w:rsidRPr="007E444F">
          <w:rPr>
            <w:rStyle w:val="Hipervnculo"/>
            <w:b/>
            <w:bCs/>
            <w:highlight w:val="white"/>
            <w:lang w:eastAsia="es-ES"/>
          </w:rPr>
          <w:t>del</w:t>
        </w:r>
        <w:r w:rsidR="00E713DA" w:rsidRPr="007E444F">
          <w:rPr>
            <w:rStyle w:val="Hipervnculo"/>
            <w:b/>
            <w:bCs/>
            <w:highlight w:val="white"/>
            <w:lang w:eastAsia="es-ES"/>
          </w:rPr>
          <w:t xml:space="preserve"> Tribunal Provincial de Villa Clara</w:t>
        </w:r>
        <w:r w:rsidR="001F1E82" w:rsidRPr="007E444F">
          <w:rPr>
            <w:rStyle w:val="Hipervnculo"/>
            <w:b/>
            <w:bCs/>
            <w:highlight w:val="white"/>
            <w:lang w:eastAsia="es-ES"/>
          </w:rPr>
          <w:t xml:space="preserve">, </w:t>
        </w:r>
        <w:r w:rsidR="001F1E82" w:rsidRPr="007E444F">
          <w:rPr>
            <w:rStyle w:val="Hipervnculo"/>
            <w:b/>
            <w:bCs/>
            <w:lang w:eastAsia="es-ES"/>
          </w:rPr>
          <w:t>“</w:t>
        </w:r>
        <w:r w:rsidR="001F1E82" w:rsidRPr="007E444F">
          <w:rPr>
            <w:rStyle w:val="Hipervnculo"/>
            <w:b/>
            <w:bCs/>
            <w:i/>
            <w:iCs/>
            <w:lang w:eastAsia="es-ES"/>
          </w:rPr>
          <w:t>Análisis comparativo sobre el cumplimiento de la política penal y penitenciaria</w:t>
        </w:r>
        <w:r w:rsidR="001F1E82" w:rsidRPr="007E444F">
          <w:rPr>
            <w:rStyle w:val="Hipervnculo"/>
            <w:b/>
            <w:bCs/>
            <w:lang w:eastAsia="es-ES"/>
          </w:rPr>
          <w:t>”</w:t>
        </w:r>
      </w:hyperlink>
      <w:r w:rsidR="0088344D">
        <w:rPr>
          <w:highlight w:val="white"/>
          <w:lang w:eastAsia="es-ES"/>
        </w:rPr>
        <w:t xml:space="preserve">, </w:t>
      </w:r>
      <w:r w:rsidR="006976BA">
        <w:rPr>
          <w:highlight w:val="white"/>
          <w:lang w:eastAsia="es-ES"/>
        </w:rPr>
        <w:t>que catalogado como “</w:t>
      </w:r>
      <w:r w:rsidR="006976BA" w:rsidRPr="006976BA">
        <w:rPr>
          <w:i/>
          <w:iCs/>
          <w:highlight w:val="white"/>
          <w:lang w:eastAsia="es-ES"/>
        </w:rPr>
        <w:t>secreto</w:t>
      </w:r>
      <w:r w:rsidR="006976BA">
        <w:rPr>
          <w:highlight w:val="white"/>
          <w:lang w:eastAsia="es-ES"/>
        </w:rPr>
        <w:t xml:space="preserve">” (tal y como indica en todas sus páginas) y </w:t>
      </w:r>
      <w:r w:rsidR="00E713DA">
        <w:rPr>
          <w:highlight w:val="white"/>
          <w:lang w:eastAsia="es-ES"/>
        </w:rPr>
        <w:t xml:space="preserve">elaborado para </w:t>
      </w:r>
      <w:r w:rsidR="00EE286A">
        <w:rPr>
          <w:highlight w:val="white"/>
          <w:lang w:eastAsia="es-ES"/>
        </w:rPr>
        <w:t>el Ministerio del Interior</w:t>
      </w:r>
      <w:r w:rsidR="001F1E82">
        <w:rPr>
          <w:highlight w:val="white"/>
          <w:lang w:eastAsia="es-ES"/>
        </w:rPr>
        <w:t xml:space="preserve"> y la dirección del país,</w:t>
      </w:r>
      <w:r>
        <w:rPr>
          <w:highlight w:val="white"/>
          <w:lang w:eastAsia="es-ES"/>
        </w:rPr>
        <w:t xml:space="preserve"> reveló </w:t>
      </w:r>
      <w:r w:rsidR="001D2A18">
        <w:rPr>
          <w:highlight w:val="white"/>
          <w:lang w:eastAsia="es-ES"/>
        </w:rPr>
        <w:t>las</w:t>
      </w:r>
      <w:r>
        <w:rPr>
          <w:highlight w:val="white"/>
          <w:lang w:eastAsia="es-ES"/>
        </w:rPr>
        <w:t xml:space="preserve"> cifras de </w:t>
      </w:r>
      <w:r w:rsidR="00C73933">
        <w:rPr>
          <w:highlight w:val="white"/>
          <w:lang w:eastAsia="es-ES"/>
        </w:rPr>
        <w:t>todo tipo de delitos en Cuba</w:t>
      </w:r>
      <w:r>
        <w:rPr>
          <w:highlight w:val="white"/>
          <w:lang w:eastAsia="es-ES"/>
        </w:rPr>
        <w:t>.</w:t>
      </w:r>
    </w:p>
    <w:p w14:paraId="166CBEEE" w14:textId="1CAF4B1A" w:rsidR="001476D2" w:rsidRDefault="00C73933" w:rsidP="001476D2">
      <w:pPr>
        <w:rPr>
          <w:highlight w:val="white"/>
          <w:lang w:eastAsia="es-ES"/>
        </w:rPr>
      </w:pPr>
      <w:r>
        <w:rPr>
          <w:highlight w:val="white"/>
          <w:lang w:eastAsia="es-ES"/>
        </w:rPr>
        <w:t xml:space="preserve">La credibilidad del </w:t>
      </w:r>
      <w:hyperlink r:id="rId19" w:history="1">
        <w:r w:rsidRPr="001D2A18">
          <w:rPr>
            <w:rStyle w:val="Hipervnculo"/>
            <w:highlight w:val="white"/>
            <w:lang w:eastAsia="es-ES"/>
          </w:rPr>
          <w:t>informe</w:t>
        </w:r>
      </w:hyperlink>
      <w:r w:rsidR="00B03B14">
        <w:rPr>
          <w:highlight w:val="white"/>
          <w:lang w:eastAsia="es-ES"/>
        </w:rPr>
        <w:t xml:space="preserve"> quedó</w:t>
      </w:r>
      <w:r>
        <w:rPr>
          <w:highlight w:val="white"/>
          <w:lang w:eastAsia="es-ES"/>
        </w:rPr>
        <w:t xml:space="preserve"> </w:t>
      </w:r>
      <w:r w:rsidR="00B54AFA">
        <w:rPr>
          <w:highlight w:val="white"/>
          <w:lang w:eastAsia="es-ES"/>
        </w:rPr>
        <w:t>confirmada</w:t>
      </w:r>
      <w:r>
        <w:rPr>
          <w:highlight w:val="white"/>
          <w:lang w:eastAsia="es-ES"/>
        </w:rPr>
        <w:t xml:space="preserve">. </w:t>
      </w:r>
      <w:r w:rsidR="00B03B14">
        <w:rPr>
          <w:highlight w:val="white"/>
          <w:lang w:eastAsia="es-ES"/>
        </w:rPr>
        <w:t>C</w:t>
      </w:r>
      <w:r w:rsidR="001476D2">
        <w:rPr>
          <w:highlight w:val="white"/>
          <w:lang w:eastAsia="es-ES"/>
        </w:rPr>
        <w:t>onte</w:t>
      </w:r>
      <w:r w:rsidR="005F51A0">
        <w:rPr>
          <w:highlight w:val="white"/>
          <w:lang w:eastAsia="es-ES"/>
        </w:rPr>
        <w:t>nía cifras de todo el sistema penal cubano,</w:t>
      </w:r>
      <w:r w:rsidR="00EE286A">
        <w:rPr>
          <w:highlight w:val="white"/>
          <w:lang w:eastAsia="es-ES"/>
        </w:rPr>
        <w:t xml:space="preserve"> entre ellos el número de presos</w:t>
      </w:r>
      <w:r w:rsidR="0088344D">
        <w:rPr>
          <w:highlight w:val="white"/>
          <w:lang w:eastAsia="es-ES"/>
        </w:rPr>
        <w:t xml:space="preserve"> internos</w:t>
      </w:r>
      <w:r w:rsidR="00EE286A">
        <w:rPr>
          <w:highlight w:val="white"/>
          <w:lang w:eastAsia="es-ES"/>
        </w:rPr>
        <w:t xml:space="preserve"> en las cárceles de Cuba: 90.000. Hasta </w:t>
      </w:r>
      <w:r w:rsidR="00B03B14">
        <w:rPr>
          <w:highlight w:val="white"/>
          <w:lang w:eastAsia="es-ES"/>
        </w:rPr>
        <w:t>dicho</w:t>
      </w:r>
      <w:r w:rsidR="00EE286A">
        <w:rPr>
          <w:highlight w:val="white"/>
          <w:lang w:eastAsia="es-ES"/>
        </w:rPr>
        <w:t xml:space="preserve"> momento, el </w:t>
      </w:r>
      <w:proofErr w:type="spellStart"/>
      <w:r w:rsidR="00EE286A">
        <w:rPr>
          <w:highlight w:val="white"/>
          <w:lang w:eastAsia="es-ES"/>
        </w:rPr>
        <w:t>WorldPrisonBrief</w:t>
      </w:r>
      <w:proofErr w:type="spellEnd"/>
      <w:r w:rsidR="00EE286A">
        <w:rPr>
          <w:highlight w:val="white"/>
          <w:lang w:eastAsia="es-ES"/>
        </w:rPr>
        <w:t xml:space="preserve"> del </w:t>
      </w:r>
      <w:proofErr w:type="spellStart"/>
      <w:r w:rsidR="00EE286A" w:rsidRPr="006976BA">
        <w:rPr>
          <w:b/>
          <w:bCs/>
          <w:highlight w:val="white"/>
          <w:lang w:eastAsia="es-ES"/>
        </w:rPr>
        <w:t>Institute</w:t>
      </w:r>
      <w:proofErr w:type="spellEnd"/>
      <w:r w:rsidR="00EE286A" w:rsidRPr="006976BA">
        <w:rPr>
          <w:b/>
          <w:bCs/>
          <w:highlight w:val="white"/>
          <w:lang w:eastAsia="es-ES"/>
        </w:rPr>
        <w:t xml:space="preserve"> </w:t>
      </w:r>
      <w:proofErr w:type="spellStart"/>
      <w:r w:rsidR="00EE286A" w:rsidRPr="006976BA">
        <w:rPr>
          <w:b/>
          <w:bCs/>
          <w:highlight w:val="white"/>
          <w:lang w:eastAsia="es-ES"/>
        </w:rPr>
        <w:t>for</w:t>
      </w:r>
      <w:proofErr w:type="spellEnd"/>
      <w:r w:rsidR="00EE286A" w:rsidRPr="006976BA">
        <w:rPr>
          <w:b/>
          <w:bCs/>
          <w:highlight w:val="white"/>
          <w:lang w:eastAsia="es-ES"/>
        </w:rPr>
        <w:t xml:space="preserve"> </w:t>
      </w:r>
      <w:proofErr w:type="spellStart"/>
      <w:r w:rsidR="00EE286A" w:rsidRPr="006976BA">
        <w:rPr>
          <w:b/>
          <w:bCs/>
          <w:highlight w:val="white"/>
          <w:lang w:eastAsia="es-ES"/>
        </w:rPr>
        <w:t>Crime</w:t>
      </w:r>
      <w:proofErr w:type="spellEnd"/>
      <w:r w:rsidR="00EE286A" w:rsidRPr="006976BA">
        <w:rPr>
          <w:b/>
          <w:bCs/>
          <w:highlight w:val="white"/>
          <w:lang w:eastAsia="es-ES"/>
        </w:rPr>
        <w:t xml:space="preserve"> &amp; </w:t>
      </w:r>
      <w:proofErr w:type="spellStart"/>
      <w:r w:rsidR="00EE286A" w:rsidRPr="006976BA">
        <w:rPr>
          <w:b/>
          <w:bCs/>
          <w:highlight w:val="white"/>
          <w:lang w:eastAsia="es-ES"/>
        </w:rPr>
        <w:t>Policy</w:t>
      </w:r>
      <w:proofErr w:type="spellEnd"/>
      <w:r w:rsidR="00EE286A" w:rsidRPr="006976BA">
        <w:rPr>
          <w:b/>
          <w:bCs/>
          <w:highlight w:val="white"/>
          <w:lang w:eastAsia="es-ES"/>
        </w:rPr>
        <w:t xml:space="preserve"> </w:t>
      </w:r>
      <w:proofErr w:type="spellStart"/>
      <w:r w:rsidR="00EE286A" w:rsidRPr="006976BA">
        <w:rPr>
          <w:b/>
          <w:bCs/>
          <w:highlight w:val="white"/>
          <w:lang w:eastAsia="es-ES"/>
        </w:rPr>
        <w:t>Research</w:t>
      </w:r>
      <w:proofErr w:type="spellEnd"/>
      <w:r w:rsidR="00EE286A">
        <w:rPr>
          <w:highlight w:val="white"/>
          <w:lang w:eastAsia="es-ES"/>
        </w:rPr>
        <w:t xml:space="preserve">, </w:t>
      </w:r>
      <w:r w:rsidR="00E8158D">
        <w:rPr>
          <w:highlight w:val="white"/>
          <w:lang w:eastAsia="es-ES"/>
        </w:rPr>
        <w:t>validaba</w:t>
      </w:r>
      <w:r w:rsidR="00EE286A">
        <w:rPr>
          <w:highlight w:val="white"/>
          <w:lang w:eastAsia="es-ES"/>
        </w:rPr>
        <w:t xml:space="preserve"> la cifra de 57.000 presos en Cuba</w:t>
      </w:r>
      <w:r w:rsidR="00005AF4">
        <w:rPr>
          <w:highlight w:val="white"/>
          <w:lang w:eastAsia="es-ES"/>
        </w:rPr>
        <w:t xml:space="preserve"> producto de una nota de prensa del gobierno</w:t>
      </w:r>
      <w:r w:rsidR="00B03B14">
        <w:rPr>
          <w:highlight w:val="white"/>
          <w:lang w:eastAsia="es-ES"/>
        </w:rPr>
        <w:t xml:space="preserve"> cubano</w:t>
      </w:r>
      <w:r w:rsidR="00005AF4">
        <w:rPr>
          <w:highlight w:val="white"/>
          <w:lang w:eastAsia="es-ES"/>
        </w:rPr>
        <w:t xml:space="preserve"> en 2012</w:t>
      </w:r>
      <w:r w:rsidR="00EE286A">
        <w:rPr>
          <w:highlight w:val="white"/>
          <w:lang w:eastAsia="es-ES"/>
        </w:rPr>
        <w:t xml:space="preserve">. Tras </w:t>
      </w:r>
      <w:r w:rsidR="00D23EDB">
        <w:rPr>
          <w:highlight w:val="white"/>
          <w:lang w:eastAsia="es-ES"/>
        </w:rPr>
        <w:t>la entrega y verificación</w:t>
      </w:r>
      <w:r w:rsidR="00EE286A">
        <w:rPr>
          <w:highlight w:val="white"/>
          <w:lang w:eastAsia="es-ES"/>
        </w:rPr>
        <w:t xml:space="preserve"> </w:t>
      </w:r>
      <w:r w:rsidR="00D23EDB">
        <w:rPr>
          <w:highlight w:val="white"/>
          <w:lang w:eastAsia="es-ES"/>
        </w:rPr>
        <w:t>d</w:t>
      </w:r>
      <w:r w:rsidR="00B03B14">
        <w:rPr>
          <w:highlight w:val="white"/>
          <w:lang w:eastAsia="es-ES"/>
        </w:rPr>
        <w:t>el</w:t>
      </w:r>
      <w:r w:rsidR="006976BA">
        <w:rPr>
          <w:highlight w:val="white"/>
          <w:lang w:eastAsia="es-ES"/>
        </w:rPr>
        <w:t xml:space="preserve"> </w:t>
      </w:r>
      <w:hyperlink r:id="rId20" w:history="1">
        <w:r w:rsidR="006976BA" w:rsidRPr="001D2A18">
          <w:rPr>
            <w:rStyle w:val="Hipervnculo"/>
            <w:highlight w:val="white"/>
            <w:lang w:eastAsia="es-ES"/>
          </w:rPr>
          <w:t>informe</w:t>
        </w:r>
      </w:hyperlink>
      <w:r w:rsidR="00D23EDB">
        <w:rPr>
          <w:highlight w:val="white"/>
          <w:lang w:eastAsia="es-ES"/>
        </w:rPr>
        <w:t xml:space="preserve"> al </w:t>
      </w:r>
      <w:proofErr w:type="spellStart"/>
      <w:r w:rsidR="00005AF4">
        <w:rPr>
          <w:highlight w:val="white"/>
          <w:lang w:eastAsia="es-ES"/>
        </w:rPr>
        <w:t>Institute</w:t>
      </w:r>
      <w:proofErr w:type="spellEnd"/>
      <w:r w:rsidR="00005AF4">
        <w:rPr>
          <w:highlight w:val="white"/>
          <w:lang w:eastAsia="es-ES"/>
        </w:rPr>
        <w:t xml:space="preserve"> </w:t>
      </w:r>
      <w:proofErr w:type="spellStart"/>
      <w:r w:rsidR="00005AF4">
        <w:rPr>
          <w:highlight w:val="white"/>
          <w:lang w:eastAsia="es-ES"/>
        </w:rPr>
        <w:t>for</w:t>
      </w:r>
      <w:proofErr w:type="spellEnd"/>
      <w:r w:rsidR="00005AF4">
        <w:rPr>
          <w:highlight w:val="white"/>
          <w:lang w:eastAsia="es-ES"/>
        </w:rPr>
        <w:t xml:space="preserve"> </w:t>
      </w:r>
      <w:proofErr w:type="spellStart"/>
      <w:r w:rsidR="00005AF4">
        <w:rPr>
          <w:highlight w:val="white"/>
          <w:lang w:eastAsia="es-ES"/>
        </w:rPr>
        <w:t>Crime</w:t>
      </w:r>
      <w:proofErr w:type="spellEnd"/>
      <w:r w:rsidR="00005AF4">
        <w:rPr>
          <w:highlight w:val="white"/>
          <w:lang w:eastAsia="es-ES"/>
        </w:rPr>
        <w:t xml:space="preserve"> &amp; </w:t>
      </w:r>
      <w:proofErr w:type="spellStart"/>
      <w:r w:rsidR="00005AF4">
        <w:rPr>
          <w:highlight w:val="white"/>
          <w:lang w:eastAsia="es-ES"/>
        </w:rPr>
        <w:t>Policy</w:t>
      </w:r>
      <w:proofErr w:type="spellEnd"/>
      <w:r w:rsidR="00005AF4">
        <w:rPr>
          <w:highlight w:val="white"/>
          <w:lang w:eastAsia="es-ES"/>
        </w:rPr>
        <w:t xml:space="preserve"> </w:t>
      </w:r>
      <w:proofErr w:type="spellStart"/>
      <w:r w:rsidR="00005AF4">
        <w:rPr>
          <w:highlight w:val="white"/>
          <w:lang w:eastAsia="es-ES"/>
        </w:rPr>
        <w:t>Research</w:t>
      </w:r>
      <w:proofErr w:type="spellEnd"/>
      <w:r w:rsidR="00E8158D">
        <w:rPr>
          <w:highlight w:val="white"/>
          <w:lang w:eastAsia="es-ES"/>
        </w:rPr>
        <w:t>,</w:t>
      </w:r>
      <w:r w:rsidR="00005AF4">
        <w:rPr>
          <w:highlight w:val="white"/>
          <w:lang w:eastAsia="es-ES"/>
        </w:rPr>
        <w:t xml:space="preserve"> </w:t>
      </w:r>
      <w:r w:rsidR="00D23EDB">
        <w:rPr>
          <w:highlight w:val="white"/>
          <w:lang w:eastAsia="es-ES"/>
        </w:rPr>
        <w:t xml:space="preserve">el </w:t>
      </w:r>
      <w:proofErr w:type="spellStart"/>
      <w:r w:rsidR="00EE286A">
        <w:rPr>
          <w:highlight w:val="white"/>
          <w:lang w:eastAsia="es-ES"/>
        </w:rPr>
        <w:t>World</w:t>
      </w:r>
      <w:proofErr w:type="spellEnd"/>
      <w:r w:rsidR="00E713DA">
        <w:rPr>
          <w:highlight w:val="white"/>
          <w:lang w:eastAsia="es-ES"/>
        </w:rPr>
        <w:t xml:space="preserve"> </w:t>
      </w:r>
      <w:proofErr w:type="spellStart"/>
      <w:r w:rsidR="00E713DA">
        <w:rPr>
          <w:highlight w:val="white"/>
          <w:lang w:eastAsia="es-ES"/>
        </w:rPr>
        <w:t>Prison</w:t>
      </w:r>
      <w:proofErr w:type="spellEnd"/>
      <w:r w:rsidR="00E713DA">
        <w:rPr>
          <w:highlight w:val="white"/>
          <w:lang w:eastAsia="es-ES"/>
        </w:rPr>
        <w:t xml:space="preserve"> </w:t>
      </w:r>
      <w:proofErr w:type="spellStart"/>
      <w:r w:rsidR="00E713DA">
        <w:rPr>
          <w:highlight w:val="white"/>
          <w:lang w:eastAsia="es-ES"/>
        </w:rPr>
        <w:t>Brief</w:t>
      </w:r>
      <w:proofErr w:type="spellEnd"/>
      <w:r w:rsidR="00005AF4">
        <w:rPr>
          <w:highlight w:val="white"/>
          <w:lang w:eastAsia="es-ES"/>
        </w:rPr>
        <w:t xml:space="preserve"> </w:t>
      </w:r>
      <w:r w:rsidR="00D23EDB">
        <w:rPr>
          <w:highlight w:val="white"/>
          <w:lang w:eastAsia="es-ES"/>
        </w:rPr>
        <w:t xml:space="preserve">modificó los datos </w:t>
      </w:r>
      <w:r w:rsidR="00005AF4">
        <w:rPr>
          <w:highlight w:val="white"/>
          <w:lang w:eastAsia="es-ES"/>
        </w:rPr>
        <w:t xml:space="preserve">sobre Cuba, que </w:t>
      </w:r>
      <w:hyperlink r:id="rId21" w:history="1">
        <w:r w:rsidR="00005AF4" w:rsidRPr="00D23EDB">
          <w:rPr>
            <w:rStyle w:val="Hipervnculo"/>
            <w:highlight w:val="white"/>
            <w:lang w:eastAsia="es-ES"/>
          </w:rPr>
          <w:t>ahora</w:t>
        </w:r>
        <w:r w:rsidR="00E713DA" w:rsidRPr="00D23EDB">
          <w:rPr>
            <w:rStyle w:val="Hipervnculo"/>
            <w:highlight w:val="white"/>
            <w:lang w:eastAsia="es-ES"/>
          </w:rPr>
          <w:t xml:space="preserve"> indica</w:t>
        </w:r>
        <w:r w:rsidR="00D23EDB">
          <w:rPr>
            <w:rStyle w:val="Hipervnculo"/>
            <w:highlight w:val="white"/>
            <w:lang w:eastAsia="es-ES"/>
          </w:rPr>
          <w:t>n</w:t>
        </w:r>
        <w:r w:rsidR="00E713DA" w:rsidRPr="00D23EDB">
          <w:rPr>
            <w:rStyle w:val="Hipervnculo"/>
            <w:highlight w:val="white"/>
            <w:lang w:eastAsia="es-ES"/>
          </w:rPr>
          <w:t xml:space="preserve"> </w:t>
        </w:r>
        <w:r w:rsidR="00D23EDB">
          <w:rPr>
            <w:rStyle w:val="Hipervnculo"/>
            <w:highlight w:val="white"/>
            <w:lang w:eastAsia="es-ES"/>
          </w:rPr>
          <w:t>-</w:t>
        </w:r>
        <w:r w:rsidR="00E713DA" w:rsidRPr="00D23EDB">
          <w:rPr>
            <w:rStyle w:val="Hipervnculo"/>
            <w:highlight w:val="white"/>
            <w:lang w:eastAsia="es-ES"/>
          </w:rPr>
          <w:t>textualmente</w:t>
        </w:r>
        <w:r w:rsidR="00D23EDB">
          <w:rPr>
            <w:rStyle w:val="Hipervnculo"/>
            <w:highlight w:val="white"/>
            <w:lang w:eastAsia="es-ES"/>
          </w:rPr>
          <w:t>-</w:t>
        </w:r>
        <w:r w:rsidR="00005AF4" w:rsidRPr="00D23EDB">
          <w:rPr>
            <w:rStyle w:val="Hipervnculo"/>
            <w:highlight w:val="white"/>
            <w:lang w:eastAsia="es-ES"/>
          </w:rPr>
          <w:t xml:space="preserve"> </w:t>
        </w:r>
        <w:r w:rsidRPr="00D23EDB">
          <w:rPr>
            <w:rStyle w:val="Hipervnculo"/>
            <w:highlight w:val="white"/>
            <w:lang w:eastAsia="es-ES"/>
          </w:rPr>
          <w:t>90.000 presos, referenciando el citado informe del gobierno de Cuba</w:t>
        </w:r>
      </w:hyperlink>
      <w:r w:rsidR="00E713DA" w:rsidRPr="00E713DA">
        <w:rPr>
          <w:highlight w:val="white"/>
          <w:lang w:eastAsia="es-ES"/>
        </w:rPr>
        <w:t>.</w:t>
      </w:r>
      <w:r w:rsidR="00005AF4">
        <w:rPr>
          <w:highlight w:val="white"/>
          <w:lang w:eastAsia="es-ES"/>
        </w:rPr>
        <w:t xml:space="preserve"> El </w:t>
      </w:r>
      <w:hyperlink r:id="rId22" w:history="1">
        <w:r w:rsidR="00005AF4" w:rsidRPr="001D2A18">
          <w:rPr>
            <w:rStyle w:val="Hipervnculo"/>
            <w:highlight w:val="white"/>
            <w:lang w:eastAsia="es-ES"/>
          </w:rPr>
          <w:t>informe del sistema penal cubano</w:t>
        </w:r>
      </w:hyperlink>
      <w:r w:rsidR="00005AF4">
        <w:rPr>
          <w:highlight w:val="white"/>
          <w:lang w:eastAsia="es-ES"/>
        </w:rPr>
        <w:t xml:space="preserve"> también</w:t>
      </w:r>
      <w:r w:rsidR="00005AF4">
        <w:rPr>
          <w:i/>
          <w:iCs/>
          <w:highlight w:val="white"/>
          <w:lang w:eastAsia="es-ES"/>
        </w:rPr>
        <w:t xml:space="preserve"> </w:t>
      </w:r>
      <w:r w:rsidR="005F51A0">
        <w:rPr>
          <w:highlight w:val="white"/>
          <w:lang w:eastAsia="es-ES"/>
        </w:rPr>
        <w:t>fue verificado por</w:t>
      </w:r>
      <w:r w:rsidR="00D23EDB">
        <w:rPr>
          <w:highlight w:val="white"/>
          <w:lang w:eastAsia="es-ES"/>
        </w:rPr>
        <w:t xml:space="preserve"> decenas de</w:t>
      </w:r>
      <w:r w:rsidR="005F51A0">
        <w:rPr>
          <w:highlight w:val="white"/>
          <w:lang w:eastAsia="es-ES"/>
        </w:rPr>
        <w:t xml:space="preserve"> medios de todo el mundo, entre ellos el </w:t>
      </w:r>
      <w:hyperlink r:id="rId23" w:history="1">
        <w:r w:rsidR="005F51A0" w:rsidRPr="005F51A0">
          <w:rPr>
            <w:rStyle w:val="Hipervnculo"/>
            <w:highlight w:val="white"/>
            <w:lang w:eastAsia="es-ES"/>
          </w:rPr>
          <w:t>New York Times</w:t>
        </w:r>
      </w:hyperlink>
      <w:r w:rsidR="005F51A0">
        <w:rPr>
          <w:highlight w:val="white"/>
          <w:lang w:eastAsia="es-ES"/>
        </w:rPr>
        <w:t xml:space="preserve">, </w:t>
      </w:r>
      <w:hyperlink r:id="rId24" w:history="1">
        <w:r w:rsidR="00EE286A" w:rsidRPr="00EE286A">
          <w:rPr>
            <w:rStyle w:val="Hipervnculo"/>
            <w:highlight w:val="white"/>
            <w:lang w:eastAsia="es-ES"/>
          </w:rPr>
          <w:t>Deutsche Welle</w:t>
        </w:r>
      </w:hyperlink>
      <w:r w:rsidR="00005AF4">
        <w:rPr>
          <w:highlight w:val="white"/>
          <w:lang w:eastAsia="es-ES"/>
        </w:rPr>
        <w:t xml:space="preserve">, </w:t>
      </w:r>
      <w:hyperlink r:id="rId25" w:history="1">
        <w:r w:rsidR="00005AF4" w:rsidRPr="00005AF4">
          <w:rPr>
            <w:rStyle w:val="Hipervnculo"/>
            <w:highlight w:val="white"/>
            <w:lang w:eastAsia="es-ES"/>
          </w:rPr>
          <w:t>ABC</w:t>
        </w:r>
      </w:hyperlink>
      <w:r w:rsidR="00EE286A">
        <w:rPr>
          <w:highlight w:val="white"/>
          <w:lang w:eastAsia="es-ES"/>
        </w:rPr>
        <w:t xml:space="preserve"> o </w:t>
      </w:r>
      <w:hyperlink r:id="rId26" w:history="1">
        <w:r w:rsidR="00EE286A" w:rsidRPr="00EE286A">
          <w:rPr>
            <w:rStyle w:val="Hipervnculo"/>
            <w:highlight w:val="white"/>
            <w:lang w:eastAsia="es-ES"/>
          </w:rPr>
          <w:t>El Nuevo Herald</w:t>
        </w:r>
      </w:hyperlink>
      <w:r w:rsidR="00EE286A">
        <w:rPr>
          <w:highlight w:val="white"/>
          <w:lang w:eastAsia="es-ES"/>
        </w:rPr>
        <w:t>.</w:t>
      </w:r>
    </w:p>
    <w:p w14:paraId="2E30A677" w14:textId="0BE0EC9B" w:rsidR="00005AF4" w:rsidRDefault="00005AF4" w:rsidP="001476D2">
      <w:pPr>
        <w:rPr>
          <w:highlight w:val="white"/>
          <w:lang w:eastAsia="es-ES"/>
        </w:rPr>
      </w:pPr>
      <w:r>
        <w:rPr>
          <w:highlight w:val="white"/>
          <w:lang w:eastAsia="es-ES"/>
        </w:rPr>
        <w:t>Respecto a feminicidios, este informe indicaba:</w:t>
      </w:r>
    </w:p>
    <w:p w14:paraId="3EFC2E26" w14:textId="3F09DB0C" w:rsidR="00863439" w:rsidRPr="00863439" w:rsidRDefault="009247DA" w:rsidP="00863439">
      <w:pPr>
        <w:jc w:val="center"/>
        <w:rPr>
          <w:b/>
          <w:bCs/>
          <w:i/>
          <w:iCs/>
          <w:lang w:eastAsia="es-ES"/>
        </w:rPr>
      </w:pPr>
      <w:r>
        <w:rPr>
          <w:highlight w:val="white"/>
          <w:lang w:eastAsia="es-ES"/>
        </w:rPr>
        <w:t>“</w:t>
      </w:r>
      <w:r w:rsidR="00863439" w:rsidRPr="00863439">
        <w:rPr>
          <w:b/>
          <w:bCs/>
          <w:i/>
          <w:iCs/>
          <w:lang w:eastAsia="es-ES"/>
        </w:rPr>
        <w:t>ANÁLISIS COMPARATIVO SOBRE EL CUMPLIMIENTO DE LA POLÍTICA PENAL Y PENITENCIARIA.</w:t>
      </w:r>
    </w:p>
    <w:p w14:paraId="6B833594" w14:textId="241495E1" w:rsidR="00863439" w:rsidRPr="00863439" w:rsidRDefault="00863439" w:rsidP="00863439">
      <w:pPr>
        <w:jc w:val="center"/>
        <w:rPr>
          <w:b/>
          <w:bCs/>
          <w:i/>
          <w:iCs/>
          <w:lang w:eastAsia="es-ES"/>
        </w:rPr>
      </w:pPr>
      <w:r w:rsidRPr="00863439">
        <w:rPr>
          <w:b/>
          <w:bCs/>
          <w:i/>
          <w:iCs/>
          <w:lang w:eastAsia="es-ES"/>
        </w:rPr>
        <w:t>PRIMER SEMESTRE DE 2019. Cierre de junio.</w:t>
      </w:r>
    </w:p>
    <w:p w14:paraId="68DECC83" w14:textId="23AB5D70" w:rsidR="00863439" w:rsidRDefault="00863439" w:rsidP="00863439">
      <w:pPr>
        <w:jc w:val="center"/>
        <w:rPr>
          <w:lang w:eastAsia="es-ES"/>
        </w:rPr>
      </w:pPr>
      <w:r w:rsidRPr="00863439">
        <w:rPr>
          <w:b/>
          <w:bCs/>
          <w:i/>
          <w:iCs/>
          <w:lang w:eastAsia="es-ES"/>
        </w:rPr>
        <w:t>Tribunal Provincial Popular Villa Clara.</w:t>
      </w:r>
    </w:p>
    <w:p w14:paraId="23B5E07C" w14:textId="41C57AFE" w:rsidR="001F1E82" w:rsidRPr="000941CE" w:rsidRDefault="000941CE" w:rsidP="009247DA">
      <w:pPr>
        <w:rPr>
          <w:lang w:eastAsia="es-ES"/>
        </w:rPr>
      </w:pPr>
      <w:r w:rsidRPr="000941CE">
        <w:rPr>
          <w:lang w:eastAsia="es-ES"/>
        </w:rPr>
        <w:t>[Apartado “II.-DE LA INSTANCIA PROVINCIAL”,</w:t>
      </w:r>
      <w:r w:rsidR="00CD46BB" w:rsidRPr="000941CE">
        <w:rPr>
          <w:lang w:eastAsia="es-ES"/>
        </w:rPr>
        <w:t>pág.</w:t>
      </w:r>
      <w:r w:rsidR="001F1E82" w:rsidRPr="000941CE">
        <w:rPr>
          <w:lang w:eastAsia="es-ES"/>
        </w:rPr>
        <w:t>10</w:t>
      </w:r>
      <w:r w:rsidRPr="000941CE">
        <w:rPr>
          <w:lang w:eastAsia="es-ES"/>
        </w:rPr>
        <w:t>]</w:t>
      </w:r>
    </w:p>
    <w:p w14:paraId="2B31CB23" w14:textId="37712AAA" w:rsidR="009247DA" w:rsidRDefault="009247DA" w:rsidP="009247DA">
      <w:pPr>
        <w:rPr>
          <w:lang w:eastAsia="es-ES"/>
        </w:rPr>
      </w:pPr>
      <w:r w:rsidRPr="009247DA">
        <w:rPr>
          <w:i/>
          <w:iCs/>
          <w:lang w:eastAsia="es-ES"/>
        </w:rPr>
        <w:t xml:space="preserve">Los delitos contra la vida y la integridad corporal </w:t>
      </w:r>
      <w:r w:rsidRPr="00C73933">
        <w:rPr>
          <w:b/>
          <w:bCs/>
          <w:i/>
          <w:iCs/>
          <w:lang w:eastAsia="es-ES"/>
        </w:rPr>
        <w:t xml:space="preserve">(homicidio, y asesinato), representan en conjunto </w:t>
      </w:r>
      <w:r w:rsidRPr="00113B46">
        <w:rPr>
          <w:b/>
          <w:bCs/>
          <w:i/>
          <w:iCs/>
          <w:color w:val="C00000"/>
          <w:lang w:eastAsia="es-ES"/>
        </w:rPr>
        <w:t>el 10.8%</w:t>
      </w:r>
      <w:r w:rsidRPr="009247DA">
        <w:rPr>
          <w:i/>
          <w:iCs/>
          <w:lang w:eastAsia="es-ES"/>
        </w:rPr>
        <w:t xml:space="preserve"> </w:t>
      </w:r>
      <w:r w:rsidR="00863439">
        <w:rPr>
          <w:lang w:eastAsia="es-ES"/>
        </w:rPr>
        <w:t xml:space="preserve">[en la provincia de Villa Clara]  </w:t>
      </w:r>
      <w:r>
        <w:rPr>
          <w:lang w:eastAsia="es-ES"/>
        </w:rPr>
        <w:t>(…)</w:t>
      </w:r>
      <w:r w:rsidR="00863439" w:rsidRPr="00863439">
        <w:rPr>
          <w:i/>
          <w:iCs/>
          <w:lang w:eastAsia="es-ES"/>
        </w:rPr>
        <w:t xml:space="preserve">en la estructura de la radicación </w:t>
      </w:r>
      <w:r w:rsidR="00863439">
        <w:rPr>
          <w:lang w:eastAsia="es-ES"/>
        </w:rPr>
        <w:t xml:space="preserve">[casos </w:t>
      </w:r>
      <w:r w:rsidR="005A12DD">
        <w:rPr>
          <w:lang w:eastAsia="es-ES"/>
        </w:rPr>
        <w:t>procesados</w:t>
      </w:r>
      <w:r w:rsidR="00863439">
        <w:rPr>
          <w:lang w:eastAsia="es-ES"/>
        </w:rPr>
        <w:t xml:space="preserve"> en tribunales provinciales únicamente</w:t>
      </w:r>
      <w:r w:rsidR="009D5D5B">
        <w:rPr>
          <w:rStyle w:val="Refdenotaalpie"/>
          <w:lang w:eastAsia="es-ES"/>
        </w:rPr>
        <w:footnoteReference w:id="7"/>
      </w:r>
      <w:r w:rsidR="00863439">
        <w:rPr>
          <w:lang w:eastAsia="es-ES"/>
        </w:rPr>
        <w:t>] (…)</w:t>
      </w:r>
      <w:r w:rsidR="00863439" w:rsidRPr="00863439">
        <w:rPr>
          <w:i/>
          <w:iCs/>
          <w:lang w:eastAsia="es-ES"/>
        </w:rPr>
        <w:t xml:space="preserve">ligeramente por encima de </w:t>
      </w:r>
      <w:r w:rsidR="00863439" w:rsidRPr="00863439">
        <w:rPr>
          <w:b/>
          <w:bCs/>
          <w:i/>
          <w:iCs/>
          <w:lang w:eastAsia="es-ES"/>
        </w:rPr>
        <w:t>la media nacional (</w:t>
      </w:r>
      <w:r w:rsidR="00863439" w:rsidRPr="00113B46">
        <w:rPr>
          <w:b/>
          <w:bCs/>
          <w:i/>
          <w:iCs/>
          <w:color w:val="C00000"/>
          <w:lang w:eastAsia="es-ES"/>
        </w:rPr>
        <w:t>10.2%</w:t>
      </w:r>
      <w:r w:rsidR="00863439" w:rsidRPr="00863439">
        <w:rPr>
          <w:b/>
          <w:bCs/>
          <w:i/>
          <w:iCs/>
          <w:lang w:eastAsia="es-ES"/>
        </w:rPr>
        <w:t>)</w:t>
      </w:r>
      <w:r w:rsidR="00863439" w:rsidRPr="00863439">
        <w:rPr>
          <w:i/>
          <w:iCs/>
          <w:lang w:eastAsia="es-ES"/>
        </w:rPr>
        <w:t>.</w:t>
      </w:r>
      <w:r>
        <w:rPr>
          <w:lang w:eastAsia="es-ES"/>
        </w:rPr>
        <w:t xml:space="preserve"> </w:t>
      </w:r>
      <w:r w:rsidRPr="009247DA">
        <w:rPr>
          <w:i/>
          <w:iCs/>
          <w:lang w:eastAsia="es-ES"/>
        </w:rPr>
        <w:t>Por hechos de esta naturaleza fueron juzgadas 40 personas</w:t>
      </w:r>
      <w:r>
        <w:rPr>
          <w:lang w:eastAsia="es-ES"/>
        </w:rPr>
        <w:t xml:space="preserve"> [en la provincia de Villa Clara]</w:t>
      </w:r>
      <w:r w:rsidRPr="009247DA">
        <w:rPr>
          <w:i/>
          <w:iCs/>
          <w:lang w:eastAsia="es-ES"/>
        </w:rPr>
        <w:t xml:space="preserve">, de las que resultaron sancionadas 37 lo cual representa el 92.5% (por </w:t>
      </w:r>
      <w:r w:rsidRPr="009247DA">
        <w:rPr>
          <w:b/>
          <w:bCs/>
          <w:i/>
          <w:iCs/>
          <w:lang w:eastAsia="es-ES"/>
        </w:rPr>
        <w:t>homicidio 14, asesinato 19</w:t>
      </w:r>
      <w:r w:rsidR="004C1058" w:rsidRPr="004C1058">
        <w:rPr>
          <w:lang w:eastAsia="es-ES"/>
        </w:rPr>
        <w:t xml:space="preserve"> [que suman </w:t>
      </w:r>
      <w:r w:rsidR="004C1058" w:rsidRPr="004C1058">
        <w:rPr>
          <w:b/>
          <w:bCs/>
          <w:color w:val="C00000"/>
          <w:u w:val="single"/>
          <w:lang w:eastAsia="es-ES"/>
        </w:rPr>
        <w:t>33 condenados</w:t>
      </w:r>
      <w:r w:rsidR="004C1058" w:rsidRPr="004C1058">
        <w:rPr>
          <w:lang w:eastAsia="es-ES"/>
        </w:rPr>
        <w:t>]</w:t>
      </w:r>
      <w:r w:rsidRPr="004C1058">
        <w:rPr>
          <w:lang w:eastAsia="es-ES"/>
        </w:rPr>
        <w:t xml:space="preserve"> </w:t>
      </w:r>
      <w:r w:rsidRPr="009247DA">
        <w:rPr>
          <w:i/>
          <w:iCs/>
          <w:lang w:eastAsia="es-ES"/>
        </w:rPr>
        <w:t>y lesiones 4).</w:t>
      </w:r>
      <w:r>
        <w:rPr>
          <w:lang w:eastAsia="es-ES"/>
        </w:rPr>
        <w:t xml:space="preserve"> (…)</w:t>
      </w:r>
      <w:r w:rsidRPr="00D23EDB">
        <w:rPr>
          <w:b/>
          <w:bCs/>
          <w:i/>
          <w:iCs/>
          <w:color w:val="C00000"/>
          <w:lang w:eastAsia="es-ES"/>
        </w:rPr>
        <w:t>resaltan, en la incidencia de estas conductas, manifestaciones de violencia intrafamiliar, problemas de carácter pasional, y ajustes de cuentas por riñas anteriores</w:t>
      </w:r>
      <w:r>
        <w:rPr>
          <w:lang w:eastAsia="es-ES"/>
        </w:rPr>
        <w:t>”.</w:t>
      </w:r>
      <w:r w:rsidR="00FD1872">
        <w:rPr>
          <w:rStyle w:val="Refdenotaalpie"/>
          <w:lang w:eastAsia="es-ES"/>
        </w:rPr>
        <w:footnoteReference w:id="8"/>
      </w:r>
    </w:p>
    <w:p w14:paraId="16E99E67" w14:textId="6184611E" w:rsidR="008B7AE1" w:rsidRDefault="008B7AE1" w:rsidP="00EE0C3C">
      <w:pPr>
        <w:rPr>
          <w:highlight w:val="white"/>
        </w:rPr>
      </w:pPr>
      <w:r>
        <w:rPr>
          <w:highlight w:val="white"/>
        </w:rPr>
        <w:t xml:space="preserve">Es destacable que el informe no refiere que tales cifras sean excepcionales o escandalosas, sino </w:t>
      </w:r>
      <w:r w:rsidR="00B54AFA">
        <w:rPr>
          <w:highlight w:val="white"/>
        </w:rPr>
        <w:t>similares</w:t>
      </w:r>
      <w:r>
        <w:rPr>
          <w:highlight w:val="white"/>
        </w:rPr>
        <w:t xml:space="preserve"> a otros semestres.</w:t>
      </w:r>
    </w:p>
    <w:p w14:paraId="1C6D8388" w14:textId="2F9D3F20" w:rsidR="00E62E21" w:rsidRDefault="00E62E21" w:rsidP="00E62E21">
      <w:pPr>
        <w:rPr>
          <w:lang w:eastAsia="es-ES"/>
        </w:rPr>
      </w:pPr>
      <w:r>
        <w:rPr>
          <w:lang w:eastAsia="es-ES"/>
        </w:rPr>
        <w:t>Adicionalmente, la pág</w:t>
      </w:r>
      <w:r w:rsidR="00B54AFA">
        <w:rPr>
          <w:lang w:eastAsia="es-ES"/>
        </w:rPr>
        <w:t>.</w:t>
      </w:r>
      <w:r>
        <w:rPr>
          <w:lang w:eastAsia="es-ES"/>
        </w:rPr>
        <w:t xml:space="preserve">1 del </w:t>
      </w:r>
      <w:hyperlink r:id="rId27" w:history="1">
        <w:r w:rsidRPr="007E444F">
          <w:rPr>
            <w:rStyle w:val="Hipervnculo"/>
            <w:b/>
            <w:bCs/>
            <w:lang w:eastAsia="es-ES"/>
          </w:rPr>
          <w:t>informe</w:t>
        </w:r>
      </w:hyperlink>
      <w:r>
        <w:rPr>
          <w:lang w:eastAsia="es-ES"/>
        </w:rPr>
        <w:t xml:space="preserve"> referente al total de casos procesales radicados en Villa Clara indica que esta provincia “</w:t>
      </w:r>
      <w:r w:rsidRPr="00770E90">
        <w:rPr>
          <w:b/>
          <w:bCs/>
          <w:i/>
          <w:iCs/>
          <w:lang w:eastAsia="es-ES"/>
        </w:rPr>
        <w:t xml:space="preserve">impacta en la radicación de la nación en el </w:t>
      </w:r>
      <w:r w:rsidRPr="00113B46">
        <w:rPr>
          <w:b/>
          <w:bCs/>
          <w:i/>
          <w:iCs/>
          <w:color w:val="C00000"/>
          <w:lang w:eastAsia="es-ES"/>
        </w:rPr>
        <w:t>6% del total</w:t>
      </w:r>
      <w:r>
        <w:rPr>
          <w:lang w:eastAsia="es-ES"/>
        </w:rPr>
        <w:t>”.</w:t>
      </w:r>
    </w:p>
    <w:p w14:paraId="189EAEF9" w14:textId="7EC089D6" w:rsidR="00770E90" w:rsidRDefault="00863439" w:rsidP="00EE0C3C">
      <w:pPr>
        <w:rPr>
          <w:highlight w:val="white"/>
        </w:rPr>
      </w:pPr>
      <w:r>
        <w:rPr>
          <w:highlight w:val="white"/>
        </w:rPr>
        <w:t>Con lo</w:t>
      </w:r>
      <w:r w:rsidR="00CA0358">
        <w:rPr>
          <w:highlight w:val="white"/>
        </w:rPr>
        <w:t>s</w:t>
      </w:r>
      <w:r>
        <w:rPr>
          <w:highlight w:val="white"/>
        </w:rPr>
        <w:t xml:space="preserve"> </w:t>
      </w:r>
      <w:r w:rsidR="005A12DD" w:rsidRPr="00EE0C3C">
        <w:rPr>
          <w:b/>
          <w:bCs/>
          <w:highlight w:val="white"/>
        </w:rPr>
        <w:t>33 casos</w:t>
      </w:r>
      <w:r w:rsidR="00CA0358" w:rsidRPr="00EE0C3C">
        <w:rPr>
          <w:b/>
          <w:bCs/>
          <w:highlight w:val="white"/>
        </w:rPr>
        <w:t xml:space="preserve"> </w:t>
      </w:r>
      <w:r w:rsidR="00EE0C3C" w:rsidRPr="00EE0C3C">
        <w:rPr>
          <w:b/>
          <w:bCs/>
          <w:highlight w:val="white"/>
        </w:rPr>
        <w:t>semestrales</w:t>
      </w:r>
      <w:r w:rsidR="005B1E12">
        <w:rPr>
          <w:b/>
          <w:bCs/>
          <w:highlight w:val="white"/>
        </w:rPr>
        <w:t xml:space="preserve"> en Villa Clara</w:t>
      </w:r>
      <w:r w:rsidR="00EE0C3C">
        <w:rPr>
          <w:highlight w:val="white"/>
        </w:rPr>
        <w:t xml:space="preserve"> </w:t>
      </w:r>
      <w:r w:rsidR="00CA0358">
        <w:rPr>
          <w:highlight w:val="white"/>
        </w:rPr>
        <w:t>aportados</w:t>
      </w:r>
      <w:r w:rsidR="004C1058">
        <w:rPr>
          <w:highlight w:val="white"/>
        </w:rPr>
        <w:t xml:space="preserve"> por el </w:t>
      </w:r>
      <w:hyperlink r:id="rId28" w:history="1">
        <w:r w:rsidR="004C1058" w:rsidRPr="001D2A18">
          <w:rPr>
            <w:rStyle w:val="Hipervnculo"/>
            <w:highlight w:val="white"/>
          </w:rPr>
          <w:t>informe</w:t>
        </w:r>
      </w:hyperlink>
      <w:r w:rsidR="004C1058">
        <w:rPr>
          <w:highlight w:val="white"/>
        </w:rPr>
        <w:t xml:space="preserve"> (resaltados en rojo),</w:t>
      </w:r>
      <w:r w:rsidR="00CA0358">
        <w:rPr>
          <w:highlight w:val="white"/>
        </w:rPr>
        <w:t xml:space="preserve"> teniendo en cuenta que </w:t>
      </w:r>
      <w:r w:rsidR="00F155F4">
        <w:rPr>
          <w:highlight w:val="white"/>
        </w:rPr>
        <w:t xml:space="preserve">la radicación en el </w:t>
      </w:r>
      <w:r w:rsidR="00CA0358">
        <w:rPr>
          <w:highlight w:val="white"/>
        </w:rPr>
        <w:t xml:space="preserve">Tribunal de Villa Clara </w:t>
      </w:r>
      <w:r w:rsidR="00CA0358" w:rsidRPr="00C0732F">
        <w:rPr>
          <w:b/>
          <w:bCs/>
          <w:highlight w:val="white"/>
        </w:rPr>
        <w:t xml:space="preserve">representa el </w:t>
      </w:r>
      <w:r w:rsidR="00F155F4" w:rsidRPr="00C0732F">
        <w:rPr>
          <w:b/>
          <w:bCs/>
          <w:highlight w:val="white"/>
        </w:rPr>
        <w:t>6% del total nacional</w:t>
      </w:r>
      <w:r w:rsidR="00113B46">
        <w:rPr>
          <w:highlight w:val="white"/>
        </w:rPr>
        <w:t xml:space="preserve">, </w:t>
      </w:r>
      <w:r w:rsidR="00B54AFA">
        <w:rPr>
          <w:highlight w:val="white"/>
        </w:rPr>
        <w:t>es simple deducir</w:t>
      </w:r>
      <w:r w:rsidR="00F155F4">
        <w:rPr>
          <w:highlight w:val="white"/>
        </w:rPr>
        <w:t xml:space="preserve"> la cifra nacional de homicidios y asesinatos </w:t>
      </w:r>
      <w:r w:rsidR="00DF74DB">
        <w:rPr>
          <w:highlight w:val="white"/>
        </w:rPr>
        <w:t>sentenciados</w:t>
      </w:r>
      <w:r w:rsidR="00F155F4">
        <w:rPr>
          <w:highlight w:val="white"/>
        </w:rPr>
        <w:t xml:space="preserve"> </w:t>
      </w:r>
      <w:r w:rsidR="00A91E11">
        <w:rPr>
          <w:highlight w:val="white"/>
        </w:rPr>
        <w:t>por una mera regla de 3:</w:t>
      </w:r>
    </w:p>
    <w:p w14:paraId="34F461D8" w14:textId="0BA648DD" w:rsidR="00770E90" w:rsidRDefault="00000000" w:rsidP="001F1E82">
      <w:pPr>
        <w:spacing w:after="240"/>
        <w:rPr>
          <w:highlight w:val="white"/>
        </w:rPr>
      </w:pPr>
      <m:oMathPara>
        <m:oMath>
          <m:f>
            <m:fPr>
              <m:ctrlPr>
                <w:rPr>
                  <w:rFonts w:ascii="Cambria Math" w:hAnsi="Cambria Math"/>
                  <w:i/>
                  <w:sz w:val="18"/>
                  <w:szCs w:val="22"/>
                </w:rPr>
              </m:ctrlPr>
            </m:fPr>
            <m:num>
              <m:r>
                <w:rPr>
                  <w:rFonts w:ascii="Cambria Math" w:hAnsi="Cambria Math"/>
                  <w:sz w:val="18"/>
                  <w:szCs w:val="22"/>
                </w:rPr>
                <m:t>100%×33 casos</m:t>
              </m:r>
            </m:num>
            <m:den>
              <m:r>
                <w:rPr>
                  <w:rFonts w:ascii="Cambria Math" w:hAnsi="Cambria Math"/>
                  <w:sz w:val="18"/>
                  <w:szCs w:val="22"/>
                </w:rPr>
                <m:t>6%</m:t>
              </m:r>
            </m:den>
          </m:f>
          <m:r>
            <w:rPr>
              <w:rFonts w:ascii="Cambria Math" w:hAnsi="Cambria Math"/>
              <w:sz w:val="18"/>
              <w:szCs w:val="22"/>
            </w:rPr>
            <m:t>=550 casos de asesinatos y homicidios por semestre a nivel nacional ya sentenciados</m:t>
          </m:r>
        </m:oMath>
      </m:oMathPara>
    </w:p>
    <w:p w14:paraId="12B9AE55" w14:textId="1E962DDE" w:rsidR="00A91E11" w:rsidRDefault="00B74A53" w:rsidP="001F1E82">
      <w:pPr>
        <w:spacing w:after="240"/>
        <w:rPr>
          <w:highlight w:val="white"/>
        </w:rPr>
      </w:pPr>
      <w:r>
        <w:rPr>
          <w:highlight w:val="white"/>
        </w:rPr>
        <w:t>Faltaría sólo</w:t>
      </w:r>
      <w:r w:rsidR="00A91E11">
        <w:rPr>
          <w:highlight w:val="white"/>
        </w:rPr>
        <w:t xml:space="preserve"> el factor de disminución de </w:t>
      </w:r>
      <w:r w:rsidR="00A91E11" w:rsidRPr="00B54AFA">
        <w:rPr>
          <w:b/>
          <w:bCs/>
          <w:highlight w:val="white"/>
        </w:rPr>
        <w:t>10,8%</w:t>
      </w:r>
      <w:r w:rsidR="00A91E11">
        <w:rPr>
          <w:highlight w:val="white"/>
        </w:rPr>
        <w:t xml:space="preserve"> a </w:t>
      </w:r>
      <w:r w:rsidR="00A91E11" w:rsidRPr="00B54AFA">
        <w:rPr>
          <w:b/>
          <w:bCs/>
          <w:highlight w:val="white"/>
        </w:rPr>
        <w:t>10,2%</w:t>
      </w:r>
      <w:r w:rsidR="00A91E11">
        <w:rPr>
          <w:highlight w:val="white"/>
        </w:rPr>
        <w:t xml:space="preserve"> de radicación de estos casos</w:t>
      </w:r>
      <w:r w:rsidR="00B54AFA">
        <w:rPr>
          <w:highlight w:val="white"/>
        </w:rPr>
        <w:t xml:space="preserve"> concretos</w:t>
      </w:r>
      <w:r w:rsidR="00A91E11">
        <w:rPr>
          <w:highlight w:val="white"/>
        </w:rPr>
        <w:t xml:space="preserve"> entre</w:t>
      </w:r>
      <w:r w:rsidR="005A12DD">
        <w:rPr>
          <w:highlight w:val="white"/>
        </w:rPr>
        <w:t xml:space="preserve"> </w:t>
      </w:r>
      <w:r w:rsidR="00A91E11">
        <w:rPr>
          <w:highlight w:val="white"/>
        </w:rPr>
        <w:t xml:space="preserve">la provincia de Villa Clara y </w:t>
      </w:r>
      <w:r w:rsidR="005A12DD">
        <w:rPr>
          <w:highlight w:val="white"/>
        </w:rPr>
        <w:t>la</w:t>
      </w:r>
      <w:r w:rsidR="00A91E11">
        <w:rPr>
          <w:highlight w:val="white"/>
        </w:rPr>
        <w:t xml:space="preserve"> nacional</w:t>
      </w:r>
      <w:r w:rsidR="005B1E12">
        <w:rPr>
          <w:highlight w:val="white"/>
        </w:rPr>
        <w:t>,</w:t>
      </w:r>
      <w:r w:rsidR="005A12DD">
        <w:rPr>
          <w:highlight w:val="white"/>
        </w:rPr>
        <w:t xml:space="preserve"> </w:t>
      </w:r>
      <w:r>
        <w:rPr>
          <w:highlight w:val="white"/>
        </w:rPr>
        <w:t>obteniendo</w:t>
      </w:r>
      <w:r w:rsidR="00A91E11">
        <w:rPr>
          <w:highlight w:val="white"/>
        </w:rPr>
        <w:t>:</w:t>
      </w:r>
    </w:p>
    <w:p w14:paraId="52690ACF" w14:textId="6CB06A68" w:rsidR="00A91E11" w:rsidRDefault="00A91E11" w:rsidP="001F1E82">
      <w:pPr>
        <w:spacing w:after="240"/>
        <w:rPr>
          <w:highlight w:val="white"/>
        </w:rPr>
      </w:pPr>
      <m:oMathPara>
        <m:oMath>
          <m:r>
            <w:rPr>
              <w:rFonts w:ascii="Cambria Math" w:hAnsi="Cambria Math"/>
              <w:sz w:val="18"/>
              <w:szCs w:val="22"/>
              <w:highlight w:val="white"/>
            </w:rPr>
            <m:t xml:space="preserve">550× </m:t>
          </m:r>
          <m:f>
            <m:fPr>
              <m:ctrlPr>
                <w:rPr>
                  <w:rFonts w:ascii="Cambria Math" w:hAnsi="Cambria Math"/>
                  <w:i/>
                  <w:sz w:val="18"/>
                  <w:szCs w:val="22"/>
                </w:rPr>
              </m:ctrlPr>
            </m:fPr>
            <m:num>
              <m:r>
                <w:rPr>
                  <w:rFonts w:ascii="Cambria Math" w:hAnsi="Cambria Math"/>
                  <w:sz w:val="18"/>
                  <w:szCs w:val="22"/>
                </w:rPr>
                <m:t>10,2%</m:t>
              </m:r>
            </m:num>
            <m:den>
              <m:r>
                <w:rPr>
                  <w:rFonts w:ascii="Cambria Math" w:hAnsi="Cambria Math"/>
                  <w:sz w:val="18"/>
                  <w:szCs w:val="22"/>
                </w:rPr>
                <m:t>10,8%</m:t>
              </m:r>
            </m:den>
          </m:f>
          <m:r>
            <w:rPr>
              <w:rFonts w:ascii="Cambria Math" w:hAnsi="Cambria Math"/>
              <w:sz w:val="18"/>
              <w:szCs w:val="22"/>
            </w:rPr>
            <m:t>=</m:t>
          </m:r>
          <m:r>
            <m:rPr>
              <m:sty m:val="bi"/>
            </m:rPr>
            <w:rPr>
              <w:rFonts w:ascii="Cambria Math" w:hAnsi="Cambria Math"/>
              <w:sz w:val="18"/>
              <w:szCs w:val="22"/>
            </w:rPr>
            <m:t xml:space="preserve">519 casos </m:t>
          </m:r>
          <m:r>
            <w:rPr>
              <w:rFonts w:ascii="Cambria Math" w:hAnsi="Cambria Math"/>
              <w:sz w:val="18"/>
              <w:szCs w:val="22"/>
            </w:rPr>
            <m:t xml:space="preserve">de asesinatos y homicidios ya sentenciados </m:t>
          </m:r>
          <m:r>
            <m:rPr>
              <m:sty m:val="bi"/>
            </m:rPr>
            <w:rPr>
              <w:rFonts w:ascii="Cambria Math" w:hAnsi="Cambria Math"/>
              <w:sz w:val="18"/>
              <w:szCs w:val="22"/>
            </w:rPr>
            <m:t>por semestre a nivel nacional</m:t>
          </m:r>
        </m:oMath>
      </m:oMathPara>
    </w:p>
    <w:p w14:paraId="331BD84B" w14:textId="677581B0" w:rsidR="00E161C4" w:rsidRDefault="000310A7" w:rsidP="001F1E82">
      <w:pPr>
        <w:spacing w:after="240"/>
      </w:pPr>
      <w:r>
        <w:rPr>
          <w:highlight w:val="white"/>
        </w:rPr>
        <w:t>Entre esto</w:t>
      </w:r>
      <w:r w:rsidR="00E62E21">
        <w:rPr>
          <w:highlight w:val="white"/>
        </w:rPr>
        <w:t>s</w:t>
      </w:r>
      <w:r>
        <w:rPr>
          <w:highlight w:val="white"/>
        </w:rPr>
        <w:t xml:space="preserve"> casos</w:t>
      </w:r>
      <w:r w:rsidR="00F155F4">
        <w:rPr>
          <w:highlight w:val="white"/>
        </w:rPr>
        <w:t xml:space="preserve"> destacan</w:t>
      </w:r>
      <w:r w:rsidR="004C11A3">
        <w:rPr>
          <w:highlight w:val="white"/>
        </w:rPr>
        <w:t xml:space="preserve">, </w:t>
      </w:r>
      <w:r w:rsidR="00F155F4">
        <w:rPr>
          <w:highlight w:val="white"/>
        </w:rPr>
        <w:t xml:space="preserve">como versa el </w:t>
      </w:r>
      <w:hyperlink r:id="rId29" w:history="1">
        <w:r w:rsidR="00F155F4" w:rsidRPr="001D2A18">
          <w:rPr>
            <w:rStyle w:val="Hipervnculo"/>
            <w:highlight w:val="white"/>
          </w:rPr>
          <w:t>informe</w:t>
        </w:r>
      </w:hyperlink>
      <w:r w:rsidR="004C11A3">
        <w:rPr>
          <w:highlight w:val="white"/>
        </w:rPr>
        <w:t>,</w:t>
      </w:r>
      <w:r w:rsidR="005A12DD">
        <w:rPr>
          <w:highlight w:val="white"/>
        </w:rPr>
        <w:t xml:space="preserve"> la</w:t>
      </w:r>
      <w:r w:rsidR="00F155F4">
        <w:rPr>
          <w:highlight w:val="white"/>
        </w:rPr>
        <w:t xml:space="preserve"> </w:t>
      </w:r>
      <w:r w:rsidR="004C11A3">
        <w:t>“</w:t>
      </w:r>
      <w:r w:rsidR="00F155F4" w:rsidRPr="004C11A3">
        <w:rPr>
          <w:b/>
          <w:bCs/>
          <w:i/>
          <w:iCs/>
        </w:rPr>
        <w:t>violencia intrafamiliar, problemas de carácter pasional, y ajustes de cuentas por riñas anteriores</w:t>
      </w:r>
      <w:r w:rsidR="004C11A3">
        <w:rPr>
          <w:b/>
          <w:bCs/>
        </w:rPr>
        <w:t>”</w:t>
      </w:r>
      <w:r w:rsidR="0076269B">
        <w:rPr>
          <w:b/>
          <w:bCs/>
        </w:rPr>
        <w:t xml:space="preserve">, </w:t>
      </w:r>
      <w:r w:rsidR="0038739C">
        <w:rPr>
          <w:b/>
          <w:bCs/>
        </w:rPr>
        <w:t xml:space="preserve">los </w:t>
      </w:r>
      <w:r w:rsidR="0076269B">
        <w:rPr>
          <w:b/>
          <w:bCs/>
        </w:rPr>
        <w:t>únicos menciona</w:t>
      </w:r>
      <w:r w:rsidR="005A12DD">
        <w:rPr>
          <w:b/>
          <w:bCs/>
        </w:rPr>
        <w:t>dos</w:t>
      </w:r>
      <w:r w:rsidR="005B1E12">
        <w:rPr>
          <w:b/>
          <w:bCs/>
        </w:rPr>
        <w:t xml:space="preserve"> </w:t>
      </w:r>
      <w:r w:rsidR="00B74A53">
        <w:rPr>
          <w:b/>
          <w:bCs/>
        </w:rPr>
        <w:t>cuando</w:t>
      </w:r>
      <w:r w:rsidR="0038739C">
        <w:rPr>
          <w:b/>
          <w:bCs/>
        </w:rPr>
        <w:t xml:space="preserve"> tónica </w:t>
      </w:r>
      <w:r w:rsidR="00B74A53">
        <w:rPr>
          <w:b/>
          <w:bCs/>
        </w:rPr>
        <w:t>d</w:t>
      </w:r>
      <w:r w:rsidR="0038739C">
        <w:rPr>
          <w:b/>
          <w:bCs/>
        </w:rPr>
        <w:t xml:space="preserve">el </w:t>
      </w:r>
      <w:hyperlink r:id="rId30" w:history="1">
        <w:r w:rsidR="0038739C" w:rsidRPr="001D2A18">
          <w:rPr>
            <w:rStyle w:val="Hipervnculo"/>
            <w:b/>
            <w:bCs/>
          </w:rPr>
          <w:t>informe</w:t>
        </w:r>
      </w:hyperlink>
      <w:r w:rsidR="0038739C">
        <w:rPr>
          <w:b/>
          <w:bCs/>
        </w:rPr>
        <w:t xml:space="preserve"> es mostrar las </w:t>
      </w:r>
      <w:r w:rsidR="0038739C">
        <w:rPr>
          <w:b/>
          <w:bCs/>
        </w:rPr>
        <w:lastRenderedPageBreak/>
        <w:t>tipologías del 80% de los casos en diferentes delitos</w:t>
      </w:r>
      <w:r w:rsidR="00E62E21">
        <w:rPr>
          <w:rStyle w:val="Refdenotaalpie"/>
          <w:lang w:eastAsia="es-ES"/>
        </w:rPr>
        <w:footnoteReference w:id="9"/>
      </w:r>
      <w:r w:rsidR="00D86A6E" w:rsidRPr="00D86A6E">
        <w:t>.</w:t>
      </w:r>
      <w:r w:rsidR="00F155F4">
        <w:t xml:space="preserve"> Con aplicar a estos tres delitos el </w:t>
      </w:r>
      <w:r w:rsidR="00806EC0">
        <w:t>4</w:t>
      </w:r>
      <w:r w:rsidR="005D4D9C">
        <w:t>0</w:t>
      </w:r>
      <w:r w:rsidR="00F155F4">
        <w:t>% de las causas</w:t>
      </w:r>
      <w:r w:rsidR="0076269B">
        <w:t xml:space="preserve"> (hipótesis </w:t>
      </w:r>
      <w:r w:rsidR="0009500E">
        <w:t>híper-</w:t>
      </w:r>
      <w:r w:rsidR="0076269B">
        <w:t>conservadora)</w:t>
      </w:r>
      <w:r w:rsidR="00F155F4">
        <w:t>, y aplicar</w:t>
      </w:r>
      <w:r w:rsidR="004C1058">
        <w:t>, por el orden indicado,</w:t>
      </w:r>
      <w:r w:rsidR="00F155F4">
        <w:t xml:space="preserve"> una medida de </w:t>
      </w:r>
      <w:r w:rsidR="0009500E">
        <w:t>17</w:t>
      </w:r>
      <w:r w:rsidR="001D520D">
        <w:t xml:space="preserve">%, </w:t>
      </w:r>
      <w:r w:rsidR="0009500E">
        <w:t>13</w:t>
      </w:r>
      <w:r w:rsidR="001D520D">
        <w:t xml:space="preserve">% y </w:t>
      </w:r>
      <w:r w:rsidR="0009500E">
        <w:t>10</w:t>
      </w:r>
      <w:r w:rsidR="001D520D">
        <w:t>% a cada una de las tres causas principales</w:t>
      </w:r>
      <w:r w:rsidR="0038739C">
        <w:t xml:space="preserve"> (hipótesis conservadora</w:t>
      </w:r>
      <w:r w:rsidR="004F5AB2">
        <w:t xml:space="preserve"> que además no </w:t>
      </w:r>
      <w:r w:rsidR="00B74A53">
        <w:t>altera</w:t>
      </w:r>
      <w:r w:rsidR="004F5AB2">
        <w:t xml:space="preserve"> </w:t>
      </w:r>
      <w:r w:rsidR="00B74A53">
        <w:t>la cifra</w:t>
      </w:r>
      <w:r w:rsidR="004F5AB2">
        <w:t xml:space="preserve"> final, como veremos</w:t>
      </w:r>
      <w:r w:rsidR="0038739C">
        <w:t>)</w:t>
      </w:r>
      <w:r w:rsidR="001D520D">
        <w:t xml:space="preserve">, el </w:t>
      </w:r>
      <w:r w:rsidR="0009500E">
        <w:t>29</w:t>
      </w:r>
      <w:r w:rsidR="001D520D">
        <w:t>%</w:t>
      </w:r>
      <w:r w:rsidR="005B1E12">
        <w:t xml:space="preserve"> (</w:t>
      </w:r>
      <w:r w:rsidR="0009500E">
        <w:t>17</w:t>
      </w:r>
      <w:r w:rsidR="005B1E12">
        <w:t>%+</w:t>
      </w:r>
      <w:r w:rsidR="005D4D9C">
        <w:t>1</w:t>
      </w:r>
      <w:r w:rsidR="0009500E">
        <w:t>3</w:t>
      </w:r>
      <w:r w:rsidR="005B1E12">
        <w:t>%)</w:t>
      </w:r>
      <w:r w:rsidR="001D520D">
        <w:t xml:space="preserve"> de los asesinatos/homicidios </w:t>
      </w:r>
      <w:r w:rsidR="0038739C">
        <w:t xml:space="preserve">se </w:t>
      </w:r>
      <w:r w:rsidR="005B1E12">
        <w:t xml:space="preserve">deduce </w:t>
      </w:r>
      <w:r w:rsidR="001D520D">
        <w:t>serían debid</w:t>
      </w:r>
      <w:r w:rsidR="004C1058">
        <w:t>o</w:t>
      </w:r>
      <w:r w:rsidR="001D520D">
        <w:t xml:space="preserve"> a </w:t>
      </w:r>
      <w:r w:rsidR="00B74A53">
        <w:t>“</w:t>
      </w:r>
      <w:r w:rsidR="001D520D" w:rsidRPr="001D520D">
        <w:t>violencia intrafamiliar</w:t>
      </w:r>
      <w:r w:rsidR="00B74A53">
        <w:t>”</w:t>
      </w:r>
      <w:r w:rsidR="001D520D">
        <w:t xml:space="preserve"> y </w:t>
      </w:r>
      <w:r w:rsidR="00B74A53">
        <w:t>“</w:t>
      </w:r>
      <w:r w:rsidR="001D520D" w:rsidRPr="001D520D">
        <w:t>problemas de carácter pasional</w:t>
      </w:r>
      <w:r w:rsidR="00B74A53">
        <w:t>”</w:t>
      </w:r>
      <w:r w:rsidR="001D520D">
        <w:t>.</w:t>
      </w:r>
    </w:p>
    <w:p w14:paraId="5CF6B784" w14:textId="3637111E" w:rsidR="00E161C4" w:rsidRDefault="00E161C4" w:rsidP="001F1E82">
      <w:pPr>
        <w:spacing w:after="240"/>
      </w:pPr>
      <w:r>
        <w:t>La violencia intrafamiliar</w:t>
      </w:r>
      <w:r w:rsidR="00B74A53">
        <w:t xml:space="preserve"> </w:t>
      </w:r>
      <w:r>
        <w:t>tiene diversas causas, y según la Oficina contra la Droga y el Delito de las Naciones Unidas (UNODC)</w:t>
      </w:r>
      <w:r w:rsidR="0008232E">
        <w:rPr>
          <w:rStyle w:val="Refdenotaalpie"/>
        </w:rPr>
        <w:footnoteReference w:id="10"/>
      </w:r>
      <w:r w:rsidR="00D86A6E">
        <w:t>,</w:t>
      </w:r>
      <w:r>
        <w:t xml:space="preserve"> “</w:t>
      </w:r>
      <w:r w:rsidRPr="00E161C4">
        <w:rPr>
          <w:b/>
          <w:bCs/>
          <w:i/>
          <w:iCs/>
        </w:rPr>
        <w:t>del 58 por ciento de los asesinatos perpetrados por la pareja u otros miembros de la familia, la víctima fue una mujer o niña</w:t>
      </w:r>
      <w:r>
        <w:t>”</w:t>
      </w:r>
      <w:r w:rsidRPr="00C0466E">
        <w:t>.</w:t>
      </w:r>
      <w:r>
        <w:t xml:space="preserve"> Aplicando este porcentaje, la cifra de</w:t>
      </w:r>
      <w:r w:rsidR="00B74A53">
        <w:t xml:space="preserve"> “violencia</w:t>
      </w:r>
      <w:r>
        <w:t xml:space="preserve"> intrafamiliar</w:t>
      </w:r>
      <w:r w:rsidR="00B74A53">
        <w:t>”</w:t>
      </w:r>
      <w:r>
        <w:t xml:space="preserve"> cuyas víctimas son mujeres en Cuba, podría </w:t>
      </w:r>
      <w:r w:rsidR="00B74A53">
        <w:t>reducirse</w:t>
      </w:r>
      <w:r>
        <w:t xml:space="preserve"> al 42% (100%</w:t>
      </w:r>
      <w:r w:rsidR="004F5AB2">
        <w:t xml:space="preserve"> </w:t>
      </w:r>
      <w:r>
        <w:t>-</w:t>
      </w:r>
      <w:r w:rsidR="004F5AB2">
        <w:t xml:space="preserve"> </w:t>
      </w:r>
      <w:r>
        <w:t xml:space="preserve">68%) de la </w:t>
      </w:r>
      <w:r w:rsidR="00B74A53">
        <w:t>“</w:t>
      </w:r>
      <w:r>
        <w:t>violencia intrafamiliar</w:t>
      </w:r>
      <w:r w:rsidR="00B74A53">
        <w:t>”</w:t>
      </w:r>
      <w:r>
        <w:t xml:space="preserve"> indicada </w:t>
      </w:r>
      <w:r w:rsidR="00B74A53">
        <w:t xml:space="preserve">por el </w:t>
      </w:r>
      <w:hyperlink r:id="rId31" w:history="1">
        <w:r w:rsidR="00B74A53" w:rsidRPr="001D2A18">
          <w:rPr>
            <w:rStyle w:val="Hipervnculo"/>
            <w:highlight w:val="white"/>
          </w:rPr>
          <w:t>informe</w:t>
        </w:r>
      </w:hyperlink>
      <w:r>
        <w:t>:</w:t>
      </w:r>
    </w:p>
    <w:p w14:paraId="299602A7" w14:textId="1C87961A" w:rsidR="00E161C4" w:rsidRDefault="0009500E" w:rsidP="001F1E82">
      <w:pPr>
        <w:spacing w:after="240"/>
      </w:pPr>
      <m:oMathPara>
        <m:oMath>
          <m:r>
            <w:rPr>
              <w:rFonts w:ascii="Cambria Math" w:hAnsi="Cambria Math"/>
            </w:rPr>
            <m:t>17%×42%=</m:t>
          </m:r>
          <m:r>
            <m:rPr>
              <m:sty m:val="bi"/>
            </m:rPr>
            <w:rPr>
              <w:rFonts w:ascii="Cambria Math" w:hAnsi="Cambria Math"/>
              <w:color w:val="C00000"/>
            </w:rPr>
            <m:t>7,1%</m:t>
          </m:r>
        </m:oMath>
      </m:oMathPara>
    </w:p>
    <w:p w14:paraId="19DE2965" w14:textId="55C74329" w:rsidR="008B7AE1" w:rsidRDefault="008B7AE1" w:rsidP="001F1E82">
      <w:pPr>
        <w:spacing w:after="240"/>
      </w:pPr>
      <w:r>
        <w:t xml:space="preserve">En </w:t>
      </w:r>
      <w:r w:rsidR="004F5AB2">
        <w:t>los “</w:t>
      </w:r>
      <w:r w:rsidR="004F5AB2" w:rsidRPr="004F5AB2">
        <w:rPr>
          <w:i/>
          <w:iCs/>
        </w:rPr>
        <w:t>problemas de carácter pasional</w:t>
      </w:r>
      <w:r w:rsidR="004F5AB2">
        <w:t>“ mencionados en el informe</w:t>
      </w:r>
      <w:r w:rsidR="004F5AB2">
        <w:rPr>
          <w:rStyle w:val="Refdenotaalpie"/>
          <w:lang w:eastAsia="es-ES"/>
        </w:rPr>
        <w:footnoteReference w:id="11"/>
      </w:r>
      <w:r w:rsidR="004F5AB2">
        <w:t xml:space="preserve">, </w:t>
      </w:r>
      <w:r>
        <w:t xml:space="preserve">podríamos asumir siendo extremadamente conservadores y hasta irrealistas, que el </w:t>
      </w:r>
      <w:r w:rsidR="006E5FEA">
        <w:t>9</w:t>
      </w:r>
      <w:r w:rsidR="00CA5E27">
        <w:t>0</w:t>
      </w:r>
      <w:r>
        <w:t xml:space="preserve">% de las víctimas son mujeres, es decir, que el porcentaje de violencia pasional contra las mujeres pasaría del </w:t>
      </w:r>
      <w:r w:rsidR="00806EC0">
        <w:t>1</w:t>
      </w:r>
      <w:r w:rsidR="0009500E">
        <w:t>3</w:t>
      </w:r>
      <w:r>
        <w:t xml:space="preserve">% al </w:t>
      </w:r>
      <w:r w:rsidR="00806EC0" w:rsidRPr="00E33D81">
        <w:rPr>
          <w:b/>
          <w:bCs/>
          <w:color w:val="C00000"/>
        </w:rPr>
        <w:t>1</w:t>
      </w:r>
      <w:r w:rsidR="0009500E" w:rsidRPr="00E33D81">
        <w:rPr>
          <w:b/>
          <w:bCs/>
          <w:color w:val="C00000"/>
        </w:rPr>
        <w:t>1</w:t>
      </w:r>
      <w:r w:rsidR="00806EC0" w:rsidRPr="00E33D81">
        <w:rPr>
          <w:b/>
          <w:bCs/>
          <w:color w:val="C00000"/>
        </w:rPr>
        <w:t>,</w:t>
      </w:r>
      <w:r w:rsidR="0009500E" w:rsidRPr="00E33D81">
        <w:rPr>
          <w:b/>
          <w:bCs/>
          <w:color w:val="C00000"/>
        </w:rPr>
        <w:t>7</w:t>
      </w:r>
      <w:r w:rsidRPr="00E33D81">
        <w:rPr>
          <w:b/>
          <w:bCs/>
          <w:color w:val="C00000"/>
        </w:rPr>
        <w:t>%</w:t>
      </w:r>
      <w:r w:rsidR="004F5AB2">
        <w:t xml:space="preserve"> (13%x90%)</w:t>
      </w:r>
      <w:r w:rsidR="00374983">
        <w:t>.</w:t>
      </w:r>
    </w:p>
    <w:p w14:paraId="27FF4E2B" w14:textId="585D9477" w:rsidR="00E161C4" w:rsidRDefault="00E161C4" w:rsidP="001F1E82">
      <w:pPr>
        <w:spacing w:after="240"/>
      </w:pPr>
      <w:r>
        <w:t>Esta</w:t>
      </w:r>
      <w:r w:rsidR="00374983">
        <w:t>s</w:t>
      </w:r>
      <w:r>
        <w:t xml:space="preserve"> variable</w:t>
      </w:r>
      <w:r w:rsidR="00374983">
        <w:t>s</w:t>
      </w:r>
      <w:r>
        <w:t xml:space="preserve">, </w:t>
      </w:r>
      <w:r w:rsidR="004F5AB2">
        <w:t>“</w:t>
      </w:r>
      <w:r w:rsidRPr="00374983">
        <w:rPr>
          <w:b/>
          <w:bCs/>
        </w:rPr>
        <w:t>violencia intrafamiliar</w:t>
      </w:r>
      <w:r w:rsidR="004F5AB2">
        <w:rPr>
          <w:b/>
          <w:bCs/>
        </w:rPr>
        <w:t>”</w:t>
      </w:r>
      <w:r w:rsidRPr="00374983">
        <w:rPr>
          <w:b/>
          <w:bCs/>
        </w:rPr>
        <w:t xml:space="preserve"> contra las mujeres y </w:t>
      </w:r>
      <w:r w:rsidR="004F5AB2" w:rsidRPr="004F5AB2">
        <w:rPr>
          <w:b/>
          <w:bCs/>
        </w:rPr>
        <w:t>“problemas de carácter pasional“</w:t>
      </w:r>
      <w:r w:rsidR="00E33D81">
        <w:rPr>
          <w:b/>
          <w:bCs/>
        </w:rPr>
        <w:t xml:space="preserve"> </w:t>
      </w:r>
      <w:r w:rsidR="008B7AE1" w:rsidRPr="00374983">
        <w:rPr>
          <w:b/>
          <w:bCs/>
        </w:rPr>
        <w:t>contra las mujeres</w:t>
      </w:r>
      <w:r w:rsidRPr="00374983">
        <w:rPr>
          <w:b/>
          <w:bCs/>
        </w:rPr>
        <w:t xml:space="preserve"> en Cuba</w:t>
      </w:r>
      <w:r>
        <w:t xml:space="preserve">, siguiendo el ejercicio de </w:t>
      </w:r>
      <w:r w:rsidR="008B7AE1">
        <w:t>hipótesis</w:t>
      </w:r>
      <w:r>
        <w:t xml:space="preserve"> teórico basado en las cifras oficiales del informe referente al 2019 y desvelado en 2020, sería entonces:</w:t>
      </w:r>
    </w:p>
    <w:p w14:paraId="319F11F8" w14:textId="7DF691B5" w:rsidR="00E161C4" w:rsidRDefault="0009500E" w:rsidP="001F1E82">
      <w:pPr>
        <w:spacing w:after="240"/>
      </w:pPr>
      <m:oMathPara>
        <m:oMath>
          <m:r>
            <w:rPr>
              <w:rFonts w:ascii="Cambria Math" w:hAnsi="Cambria Math"/>
            </w:rPr>
            <m:t>7,1%+11,7%=</m:t>
          </m:r>
          <m:r>
            <m:rPr>
              <m:sty m:val="bi"/>
            </m:rPr>
            <w:rPr>
              <w:rFonts w:ascii="Cambria Math" w:hAnsi="Cambria Math"/>
            </w:rPr>
            <m:t>18,8% del total de homicidios y asesinatos</m:t>
          </m:r>
        </m:oMath>
      </m:oMathPara>
    </w:p>
    <w:p w14:paraId="3B73589D" w14:textId="3B93CD80" w:rsidR="00374983" w:rsidRDefault="00374983" w:rsidP="001F1E82">
      <w:pPr>
        <w:spacing w:after="240"/>
      </w:pPr>
      <w:r>
        <w:t xml:space="preserve">Si anteriormente habíamos deducido que la cifra total de estos en Cuba, por </w:t>
      </w:r>
      <w:r w:rsidRPr="00806EC0">
        <w:rPr>
          <w:b/>
          <w:bCs/>
        </w:rPr>
        <w:t xml:space="preserve">las </w:t>
      </w:r>
      <w:r w:rsidR="00806EC0" w:rsidRPr="00806EC0">
        <w:rPr>
          <w:b/>
          <w:bCs/>
        </w:rPr>
        <w:t xml:space="preserve">claras </w:t>
      </w:r>
      <w:r w:rsidRPr="00806EC0">
        <w:rPr>
          <w:b/>
          <w:bCs/>
        </w:rPr>
        <w:t xml:space="preserve">cifras dadas por el </w:t>
      </w:r>
      <w:hyperlink r:id="rId32" w:history="1">
        <w:r w:rsidRPr="00806EC0">
          <w:rPr>
            <w:rStyle w:val="Hipervnculo"/>
            <w:b/>
            <w:bCs/>
          </w:rPr>
          <w:t>informe</w:t>
        </w:r>
        <w:r w:rsidR="00806EC0" w:rsidRPr="00806EC0">
          <w:rPr>
            <w:rStyle w:val="Hipervnculo"/>
            <w:b/>
            <w:bCs/>
          </w:rPr>
          <w:t xml:space="preserve"> estatal oficial, interno del gobierno, desvelado en 2020</w:t>
        </w:r>
      </w:hyperlink>
      <w:r>
        <w:t xml:space="preserve">, era de </w:t>
      </w:r>
      <w:r w:rsidRPr="00806EC0">
        <w:rPr>
          <w:b/>
          <w:bCs/>
        </w:rPr>
        <w:t xml:space="preserve">519 casos de asesinatos y homicidios </w:t>
      </w:r>
      <w:r w:rsidR="00E33D81" w:rsidRPr="00E33D81">
        <w:rPr>
          <w:b/>
          <w:bCs/>
        </w:rPr>
        <w:t xml:space="preserve">a nivel nacional </w:t>
      </w:r>
      <w:r w:rsidRPr="00806EC0">
        <w:rPr>
          <w:b/>
          <w:bCs/>
        </w:rPr>
        <w:t xml:space="preserve">por semestre </w:t>
      </w:r>
      <w:r w:rsidRPr="00374983">
        <w:t>ya sentenciados</w:t>
      </w:r>
      <w:r>
        <w:t xml:space="preserve">, el total de asesinatos y homicidios sentenciados por </w:t>
      </w:r>
      <w:r w:rsidR="00E33D81">
        <w:t>“</w:t>
      </w:r>
      <w:r w:rsidRPr="00E33D81">
        <w:rPr>
          <w:i/>
          <w:iCs/>
        </w:rPr>
        <w:t>violencia intrafamiliar</w:t>
      </w:r>
      <w:r w:rsidR="00E33D81">
        <w:t>”</w:t>
      </w:r>
      <w:r w:rsidRPr="00374983">
        <w:t xml:space="preserve"> contra las mujeres y </w:t>
      </w:r>
      <w:r w:rsidR="00E33D81" w:rsidRPr="00E33D81">
        <w:t>“problemas de carácter pasional“</w:t>
      </w:r>
      <w:r w:rsidRPr="00E33D81">
        <w:t xml:space="preserve"> </w:t>
      </w:r>
      <w:r w:rsidRPr="00374983">
        <w:t>contra las mujeres en Cuba</w:t>
      </w:r>
      <w:r>
        <w:t>, sería:</w:t>
      </w:r>
    </w:p>
    <w:p w14:paraId="1B6E0F3E" w14:textId="3C686D33" w:rsidR="00806EC0" w:rsidRPr="00806EC0" w:rsidRDefault="00374983" w:rsidP="00806EC0">
      <m:oMathPara>
        <m:oMath>
          <m:r>
            <w:rPr>
              <w:rFonts w:ascii="Cambria Math" w:hAnsi="Cambria Math"/>
            </w:rPr>
            <m:t>519×18,8%=</m:t>
          </m:r>
        </m:oMath>
      </m:oMathPara>
    </w:p>
    <w:p w14:paraId="3C096D41" w14:textId="1E153CAB" w:rsidR="00374983" w:rsidRDefault="0009500E" w:rsidP="001F1E82">
      <w:pPr>
        <w:spacing w:after="240"/>
      </w:pPr>
      <m:oMathPara>
        <m:oMath>
          <m:r>
            <m:rPr>
              <m:sty m:val="bi"/>
            </m:rPr>
            <w:rPr>
              <w:rFonts w:ascii="Cambria Math" w:hAnsi="Cambria Math"/>
            </w:rPr>
            <m:t>97,6 mujeres asesinadas en violencia intrafamiliar o extrafamiliar pasional AL SEMESTRE</m:t>
          </m:r>
        </m:oMath>
      </m:oMathPara>
    </w:p>
    <w:p w14:paraId="4A457360" w14:textId="49C68C14" w:rsidR="0009500E" w:rsidRDefault="00E33D81" w:rsidP="001F1E82">
      <w:pPr>
        <w:spacing w:after="240"/>
      </w:pPr>
      <w:r>
        <w:t>Las deducciones arrojan</w:t>
      </w:r>
      <w:r w:rsidR="00806EC0">
        <w:t xml:space="preserve">, por tanto, </w:t>
      </w:r>
      <w:r w:rsidR="0009500E" w:rsidRPr="0009500E">
        <w:rPr>
          <w:b/>
          <w:bCs/>
        </w:rPr>
        <w:t>195</w:t>
      </w:r>
      <w:r w:rsidR="00806EC0" w:rsidRPr="0009500E">
        <w:rPr>
          <w:b/>
          <w:bCs/>
        </w:rPr>
        <w:t xml:space="preserve"> mujeres asesinadas </w:t>
      </w:r>
      <w:r>
        <w:rPr>
          <w:b/>
          <w:bCs/>
        </w:rPr>
        <w:t>por</w:t>
      </w:r>
      <w:r w:rsidR="00806EC0" w:rsidRPr="0009500E">
        <w:rPr>
          <w:b/>
          <w:bCs/>
        </w:rPr>
        <w:t xml:space="preserve"> violencia intrafamiliar o extrafamiliar pasional </w:t>
      </w:r>
      <w:r>
        <w:rPr>
          <w:b/>
          <w:bCs/>
        </w:rPr>
        <w:t>AL AÑO</w:t>
      </w:r>
      <w:r w:rsidR="0009500E">
        <w:t>.</w:t>
      </w:r>
    </w:p>
    <w:p w14:paraId="5253ABBF" w14:textId="3296473A" w:rsidR="006D7C68" w:rsidRDefault="00E33D81" w:rsidP="001F1E82">
      <w:pPr>
        <w:spacing w:after="240"/>
      </w:pPr>
      <w:r>
        <w:t>Dado que el ejercicio se basa en datos erróneamente definidos de partida, n</w:t>
      </w:r>
      <w:r w:rsidR="00374983">
        <w:t>o podemos</w:t>
      </w:r>
      <w:r w:rsidR="00806EC0">
        <w:t xml:space="preserve"> </w:t>
      </w:r>
      <w:r w:rsidR="00374983">
        <w:t xml:space="preserve">dar el paso siguiente, es decir, </w:t>
      </w:r>
      <w:r w:rsidR="00374983" w:rsidRPr="00806EC0">
        <w:rPr>
          <w:b/>
          <w:bCs/>
        </w:rPr>
        <w:t xml:space="preserve">asimilar las cifras de homicidios y asesinatos por </w:t>
      </w:r>
      <w:r>
        <w:rPr>
          <w:b/>
          <w:bCs/>
        </w:rPr>
        <w:t>“</w:t>
      </w:r>
      <w:r w:rsidR="00374983" w:rsidRPr="00806EC0">
        <w:rPr>
          <w:b/>
          <w:bCs/>
        </w:rPr>
        <w:t>violencia intrafamiliar</w:t>
      </w:r>
      <w:r>
        <w:rPr>
          <w:b/>
          <w:bCs/>
        </w:rPr>
        <w:t>”</w:t>
      </w:r>
      <w:r w:rsidR="00374983" w:rsidRPr="00806EC0">
        <w:rPr>
          <w:b/>
          <w:bCs/>
        </w:rPr>
        <w:t xml:space="preserve"> contra las mujeres y </w:t>
      </w:r>
      <w:r w:rsidRPr="00E33D81">
        <w:rPr>
          <w:b/>
          <w:bCs/>
        </w:rPr>
        <w:t>“problemas de carácter pasional“</w:t>
      </w:r>
      <w:r>
        <w:rPr>
          <w:b/>
          <w:bCs/>
        </w:rPr>
        <w:t xml:space="preserve"> </w:t>
      </w:r>
      <w:r w:rsidR="00CA5E27" w:rsidRPr="00806EC0">
        <w:rPr>
          <w:b/>
          <w:bCs/>
        </w:rPr>
        <w:t>contra las mujeres</w:t>
      </w:r>
      <w:r w:rsidR="00374983" w:rsidRPr="00806EC0">
        <w:rPr>
          <w:b/>
          <w:bCs/>
        </w:rPr>
        <w:t xml:space="preserve"> a las cifras de feminicidios</w:t>
      </w:r>
      <w:r>
        <w:t>. E</w:t>
      </w:r>
      <w:r w:rsidR="00CA5E27">
        <w:t>l ejercicio, partiendo de datos oficiales</w:t>
      </w:r>
      <w:r>
        <w:t xml:space="preserve"> internos del gobierno</w:t>
      </w:r>
      <w:r w:rsidR="006D7C68">
        <w:t>,</w:t>
      </w:r>
      <w:r w:rsidR="00CA5E27">
        <w:t xml:space="preserve"> desvelados por primera vez en Cuba</w:t>
      </w:r>
      <w:r w:rsidR="006D7C68">
        <w:t>, sí arroja luz</w:t>
      </w:r>
      <w:r>
        <w:t xml:space="preserve"> para cualquier experto</w:t>
      </w:r>
      <w:r w:rsidR="006D7C68">
        <w:t xml:space="preserve"> sobre los órdenes de magnitud que el feminicidio podría tener en Cuba.</w:t>
      </w:r>
    </w:p>
    <w:p w14:paraId="27F4B8DD" w14:textId="3B74C869" w:rsidR="005D4D9C" w:rsidRDefault="005D4D9C" w:rsidP="001F1E82">
      <w:pPr>
        <w:spacing w:after="240"/>
      </w:pPr>
      <w:r>
        <w:t>Las ONGs independientes que verifican uno a uno los feminicidios en Cuba</w:t>
      </w:r>
      <w:r w:rsidR="0009500E">
        <w:t xml:space="preserve"> tienen impedimentos vitales para su actividad</w:t>
      </w:r>
      <w:r>
        <w:t xml:space="preserve"> debido a la persecución y </w:t>
      </w:r>
      <w:r w:rsidR="0009500E">
        <w:t xml:space="preserve">su </w:t>
      </w:r>
      <w:r>
        <w:t>criminalización</w:t>
      </w:r>
      <w:r w:rsidR="0009500E">
        <w:t>.</w:t>
      </w:r>
      <w:r w:rsidR="006E5FEA">
        <w:t xml:space="preserve"> A esto se suma e</w:t>
      </w:r>
      <w:r>
        <w:t>l ocultismo absoluto del Estado</w:t>
      </w:r>
      <w:r w:rsidR="006E5FEA">
        <w:t>. No obstante,</w:t>
      </w:r>
      <w:r>
        <w:t xml:space="preserve"> son capaces de documentar</w:t>
      </w:r>
      <w:r w:rsidR="006E5FEA">
        <w:t>, uno a uno,</w:t>
      </w:r>
      <w:r>
        <w:t xml:space="preserve"> una parte de los feminicidios en Cuba, </w:t>
      </w:r>
      <w:r w:rsidR="006E5FEA" w:rsidRPr="006E5FEA">
        <w:rPr>
          <w:b/>
          <w:bCs/>
        </w:rPr>
        <w:t>llegando</w:t>
      </w:r>
      <w:r w:rsidRPr="006E5FEA">
        <w:rPr>
          <w:b/>
          <w:bCs/>
        </w:rPr>
        <w:t xml:space="preserve"> a documentar</w:t>
      </w:r>
      <w:r w:rsidR="006E5FEA">
        <w:rPr>
          <w:b/>
          <w:bCs/>
        </w:rPr>
        <w:t xml:space="preserve"> nada menos que la terrible cifra de</w:t>
      </w:r>
      <w:r w:rsidRPr="006E5FEA">
        <w:rPr>
          <w:b/>
          <w:bCs/>
        </w:rPr>
        <w:t xml:space="preserve"> 89 feminicidios en 2023</w:t>
      </w:r>
      <w:r>
        <w:t>.</w:t>
      </w:r>
    </w:p>
    <w:p w14:paraId="200173C4" w14:textId="4E769BF7" w:rsidR="005D4D9C" w:rsidRDefault="006D7C68" w:rsidP="001F1E82">
      <w:pPr>
        <w:spacing w:after="240"/>
      </w:pPr>
      <w:r>
        <w:t>Esta</w:t>
      </w:r>
      <w:r w:rsidR="005D4D9C">
        <w:t xml:space="preserve"> otra</w:t>
      </w:r>
      <w:r>
        <w:t xml:space="preserve"> cifra, </w:t>
      </w:r>
      <w:r w:rsidRPr="006D7C68">
        <w:rPr>
          <w:b/>
          <w:bCs/>
        </w:rPr>
        <w:t>1</w:t>
      </w:r>
      <w:r w:rsidR="006E5FEA">
        <w:rPr>
          <w:b/>
          <w:bCs/>
        </w:rPr>
        <w:t>95</w:t>
      </w:r>
      <w:r w:rsidRPr="006D7C68">
        <w:rPr>
          <w:b/>
          <w:bCs/>
        </w:rPr>
        <w:t xml:space="preserve"> mujeres asesinadas por </w:t>
      </w:r>
      <w:r w:rsidR="000E3C39">
        <w:rPr>
          <w:b/>
          <w:bCs/>
        </w:rPr>
        <w:t>“</w:t>
      </w:r>
      <w:r w:rsidR="000E3C39" w:rsidRPr="00806EC0">
        <w:rPr>
          <w:b/>
          <w:bCs/>
        </w:rPr>
        <w:t>violencia intrafamiliar</w:t>
      </w:r>
      <w:r w:rsidR="000E3C39">
        <w:rPr>
          <w:b/>
          <w:bCs/>
        </w:rPr>
        <w:t>”</w:t>
      </w:r>
      <w:r w:rsidR="000E3C39" w:rsidRPr="00806EC0">
        <w:rPr>
          <w:b/>
          <w:bCs/>
        </w:rPr>
        <w:t xml:space="preserve"> y </w:t>
      </w:r>
      <w:r w:rsidR="000E3C39" w:rsidRPr="00E33D81">
        <w:rPr>
          <w:b/>
          <w:bCs/>
        </w:rPr>
        <w:t>“problemas de carácter pasional“</w:t>
      </w:r>
      <w:r>
        <w:t>, basada en datos oficiales y mediante un trabajo</w:t>
      </w:r>
      <w:r w:rsidR="000E3C39">
        <w:t xml:space="preserve"> deductivo</w:t>
      </w:r>
      <w:r>
        <w:t xml:space="preserve"> </w:t>
      </w:r>
      <w:r w:rsidR="006E5FEA">
        <w:t xml:space="preserve">que </w:t>
      </w:r>
      <w:r w:rsidR="000E3C39">
        <w:t>utiliza</w:t>
      </w:r>
      <w:r w:rsidR="006E5FEA">
        <w:t xml:space="preserve"> en</w:t>
      </w:r>
      <w:r w:rsidR="0087395F">
        <w:t xml:space="preserve"> otras fuentes oficiales internacionales e</w:t>
      </w:r>
      <w:r>
        <w:t xml:space="preserve"> hipótesis razonable</w:t>
      </w:r>
      <w:r w:rsidR="0087395F">
        <w:t>s</w:t>
      </w:r>
      <w:r>
        <w:t xml:space="preserve"> y altamente conservadora</w:t>
      </w:r>
      <w:r w:rsidR="0087395F">
        <w:t>s</w:t>
      </w:r>
      <w:r>
        <w:t>, es congruente con los datos</w:t>
      </w:r>
      <w:r w:rsidR="0087395F">
        <w:t xml:space="preserve"> parciales</w:t>
      </w:r>
      <w:r>
        <w:t xml:space="preserve"> de feminicidios que arroja el trabajo de la</w:t>
      </w:r>
      <w:r w:rsidR="0087395F">
        <w:t xml:space="preserve"> verificación, uno a uno, de los feminicidios que son capaces de </w:t>
      </w:r>
      <w:r w:rsidR="006E5FEA">
        <w:t>documentar</w:t>
      </w:r>
      <w:r w:rsidR="0087395F">
        <w:t xml:space="preserve"> las</w:t>
      </w:r>
      <w:r>
        <w:t xml:space="preserve"> ONGs independientes</w:t>
      </w:r>
      <w:r w:rsidR="0087395F">
        <w:t>.</w:t>
      </w:r>
      <w:r w:rsidR="005D4D9C">
        <w:t xml:space="preserve"> </w:t>
      </w:r>
      <w:r w:rsidR="005D4D9C" w:rsidRPr="005D4D9C">
        <w:rPr>
          <w:b/>
          <w:bCs/>
        </w:rPr>
        <w:t xml:space="preserve">Por el contrario, el OCIG estatal estableció en 18 la cifra de feminicidios en </w:t>
      </w:r>
      <w:r w:rsidR="00DF74DB">
        <w:rPr>
          <w:b/>
          <w:bCs/>
        </w:rPr>
        <w:t>C</w:t>
      </w:r>
      <w:r w:rsidR="005D4D9C" w:rsidRPr="005D4D9C">
        <w:rPr>
          <w:b/>
          <w:bCs/>
        </w:rPr>
        <w:t>uba en el año 2022</w:t>
      </w:r>
      <w:r w:rsidR="000E3C39">
        <w:t>, lo que claramente apunta a una malversación de la información por parte del Estado.</w:t>
      </w:r>
    </w:p>
    <w:p w14:paraId="4EA4530E" w14:textId="70040D3A" w:rsidR="005D4D9C" w:rsidRDefault="005D4D9C" w:rsidP="000A4A33">
      <w:r>
        <w:lastRenderedPageBreak/>
        <w:t xml:space="preserve">Todo apunta no sólo a un ocultismo de las cifras reales de feminicidios en Cuba, hecho evidente por el trabajo de las ONGs independientes, sino </w:t>
      </w:r>
      <w:r w:rsidR="000E3C39">
        <w:t xml:space="preserve">a </w:t>
      </w:r>
      <w:r>
        <w:t xml:space="preserve">que estamos ante un problema de una magnitud crítica, y </w:t>
      </w:r>
      <w:r w:rsidR="006E5FEA">
        <w:t xml:space="preserve">que </w:t>
      </w:r>
      <w:r>
        <w:t>ya vendría dándose desde hace años en Cuba</w:t>
      </w:r>
      <w:r w:rsidR="000E3C39">
        <w:t>, al menos desde 2019.</w:t>
      </w:r>
    </w:p>
    <w:p w14:paraId="4E2105F1" w14:textId="1EDF3149" w:rsidR="000A4A33" w:rsidRPr="00D86A6E" w:rsidRDefault="000A4A33" w:rsidP="000A4A33">
      <w:pPr>
        <w:pBdr>
          <w:top w:val="single" w:sz="18" w:space="5" w:color="000000"/>
          <w:left w:val="single" w:sz="18" w:space="8" w:color="000000"/>
          <w:bottom w:val="single" w:sz="18" w:space="5" w:color="000000"/>
          <w:right w:val="single" w:sz="18" w:space="8" w:color="000000"/>
        </w:pBdr>
        <w:spacing w:after="60"/>
        <w:ind w:left="142" w:right="142"/>
        <w:jc w:val="center"/>
        <w:rPr>
          <w:b/>
          <w:bCs/>
          <w:smallCaps/>
          <w:color w:val="C00000"/>
          <w:sz w:val="24"/>
          <w:szCs w:val="32"/>
        </w:rPr>
      </w:pPr>
      <w:r w:rsidRPr="00D86A6E">
        <w:rPr>
          <w:b/>
          <w:bCs/>
          <w:smallCaps/>
          <w:color w:val="C00000"/>
          <w:sz w:val="24"/>
          <w:szCs w:val="32"/>
        </w:rPr>
        <w:t>CONTRASTE:</w:t>
      </w:r>
    </w:p>
    <w:p w14:paraId="64C351DF" w14:textId="5DE7C0E0" w:rsidR="001D520D" w:rsidRPr="000A4A33" w:rsidRDefault="001F1E82" w:rsidP="000A4A33">
      <w:pPr>
        <w:pBdr>
          <w:top w:val="single" w:sz="18" w:space="5" w:color="000000"/>
          <w:left w:val="single" w:sz="18" w:space="8" w:color="000000"/>
          <w:bottom w:val="single" w:sz="18" w:space="5" w:color="000000"/>
          <w:right w:val="single" w:sz="18" w:space="8" w:color="000000"/>
        </w:pBdr>
        <w:spacing w:after="60"/>
        <w:ind w:left="142" w:right="142"/>
        <w:jc w:val="center"/>
        <w:rPr>
          <w:b/>
          <w:bCs/>
          <w:smallCaps/>
          <w:color w:val="00416B"/>
          <w:sz w:val="24"/>
          <w:szCs w:val="32"/>
          <w:highlight w:val="white"/>
        </w:rPr>
      </w:pPr>
      <w:r w:rsidRPr="00D86A6E">
        <w:rPr>
          <w:b/>
          <w:bCs/>
          <w:smallCaps/>
          <w:color w:val="C00000"/>
          <w:sz w:val="24"/>
          <w:szCs w:val="32"/>
        </w:rPr>
        <w:t>Mientras</w:t>
      </w:r>
      <w:r w:rsidR="000A4A33" w:rsidRPr="00D86A6E">
        <w:rPr>
          <w:b/>
          <w:bCs/>
          <w:smallCaps/>
          <w:color w:val="C00000"/>
          <w:sz w:val="24"/>
          <w:szCs w:val="32"/>
        </w:rPr>
        <w:t xml:space="preserve"> ONGs independientes logran verificar órdenes de magnitud de casi 100 feminicidios</w:t>
      </w:r>
      <w:r w:rsidR="00D86A6E" w:rsidRPr="00D86A6E">
        <w:rPr>
          <w:b/>
          <w:bCs/>
          <w:smallCaps/>
          <w:color w:val="C00000"/>
          <w:sz w:val="24"/>
          <w:szCs w:val="32"/>
        </w:rPr>
        <w:t>/</w:t>
      </w:r>
      <w:r w:rsidR="000A4A33" w:rsidRPr="00D86A6E">
        <w:rPr>
          <w:b/>
          <w:bCs/>
          <w:smallCaps/>
          <w:color w:val="C00000"/>
          <w:sz w:val="24"/>
          <w:szCs w:val="32"/>
        </w:rPr>
        <w:t>año y</w:t>
      </w:r>
      <w:r w:rsidR="001D520D" w:rsidRPr="00D86A6E">
        <w:rPr>
          <w:b/>
          <w:bCs/>
          <w:smallCaps/>
          <w:color w:val="C00000"/>
          <w:sz w:val="24"/>
          <w:szCs w:val="32"/>
        </w:rPr>
        <w:t xml:space="preserve"> un </w:t>
      </w:r>
      <w:hyperlink r:id="rId33" w:history="1">
        <w:r w:rsidR="001D520D" w:rsidRPr="00D86A6E">
          <w:rPr>
            <w:rStyle w:val="Hipervnculo"/>
            <w:b/>
            <w:bCs/>
            <w:smallCaps/>
            <w:color w:val="C00000"/>
            <w:sz w:val="24"/>
            <w:szCs w:val="32"/>
          </w:rPr>
          <w:t>informe</w:t>
        </w:r>
      </w:hyperlink>
      <w:r w:rsidR="001D520D" w:rsidRPr="00D86A6E">
        <w:rPr>
          <w:b/>
          <w:bCs/>
          <w:smallCaps/>
          <w:color w:val="C00000"/>
          <w:sz w:val="24"/>
          <w:szCs w:val="32"/>
        </w:rPr>
        <w:t xml:space="preserve"> </w:t>
      </w:r>
      <w:r w:rsidR="0038739C" w:rsidRPr="00D86A6E">
        <w:rPr>
          <w:b/>
          <w:bCs/>
          <w:smallCaps/>
          <w:color w:val="C00000"/>
          <w:sz w:val="24"/>
          <w:szCs w:val="32"/>
        </w:rPr>
        <w:t xml:space="preserve">verificado </w:t>
      </w:r>
      <w:r w:rsidR="001D520D" w:rsidRPr="00D86A6E">
        <w:rPr>
          <w:b/>
          <w:bCs/>
          <w:smallCaps/>
          <w:color w:val="C00000"/>
          <w:sz w:val="24"/>
          <w:szCs w:val="32"/>
        </w:rPr>
        <w:t>del sistema penal</w:t>
      </w:r>
      <w:r w:rsidR="0038739C" w:rsidRPr="00D86A6E">
        <w:rPr>
          <w:b/>
          <w:bCs/>
          <w:smallCaps/>
          <w:color w:val="C00000"/>
          <w:sz w:val="24"/>
          <w:szCs w:val="32"/>
        </w:rPr>
        <w:t xml:space="preserve"> cubano</w:t>
      </w:r>
      <w:r w:rsidR="001D520D" w:rsidRPr="00D86A6E">
        <w:rPr>
          <w:b/>
          <w:bCs/>
          <w:smallCaps/>
          <w:color w:val="C00000"/>
          <w:sz w:val="24"/>
          <w:szCs w:val="32"/>
        </w:rPr>
        <w:t xml:space="preserve"> nos llev</w:t>
      </w:r>
      <w:r w:rsidR="00EF450D" w:rsidRPr="00D86A6E">
        <w:rPr>
          <w:b/>
          <w:bCs/>
          <w:smallCaps/>
          <w:color w:val="C00000"/>
          <w:sz w:val="24"/>
          <w:szCs w:val="32"/>
        </w:rPr>
        <w:t xml:space="preserve">a al doble para </w:t>
      </w:r>
      <w:r w:rsidR="006E5FEA" w:rsidRPr="00D86A6E">
        <w:rPr>
          <w:b/>
          <w:bCs/>
          <w:smallCaps/>
          <w:color w:val="C00000"/>
          <w:sz w:val="24"/>
          <w:szCs w:val="32"/>
        </w:rPr>
        <w:t xml:space="preserve">la cifra de </w:t>
      </w:r>
      <w:r w:rsidR="006E5FEA" w:rsidRPr="00D86A6E">
        <w:rPr>
          <w:b/>
          <w:bCs/>
          <w:i/>
          <w:iCs/>
          <w:smallCaps/>
          <w:color w:val="C00000"/>
          <w:sz w:val="24"/>
          <w:szCs w:val="32"/>
          <w:u w:val="single"/>
        </w:rPr>
        <w:t>mujeres</w:t>
      </w:r>
      <w:r w:rsidR="006E5FEA" w:rsidRPr="00D86A6E">
        <w:rPr>
          <w:b/>
          <w:bCs/>
          <w:i/>
          <w:iCs/>
          <w:smallCaps/>
          <w:color w:val="C00000"/>
          <w:sz w:val="24"/>
          <w:szCs w:val="32"/>
        </w:rPr>
        <w:t xml:space="preserve"> asesinadas por </w:t>
      </w:r>
      <w:r w:rsidR="000E3C39" w:rsidRPr="00D86A6E">
        <w:rPr>
          <w:b/>
          <w:bCs/>
          <w:i/>
          <w:iCs/>
          <w:smallCaps/>
          <w:color w:val="C00000"/>
          <w:sz w:val="24"/>
          <w:szCs w:val="32"/>
        </w:rPr>
        <w:t>“violencia intrafamiliar” y “problemas de carácter pasional“</w:t>
      </w:r>
      <w:r w:rsidR="00C0732F" w:rsidRPr="00D86A6E">
        <w:rPr>
          <w:b/>
          <w:bCs/>
          <w:smallCaps/>
          <w:color w:val="C00000"/>
          <w:sz w:val="24"/>
          <w:szCs w:val="32"/>
        </w:rPr>
        <w:t xml:space="preserve"> </w:t>
      </w:r>
      <w:r w:rsidRPr="00D86A6E">
        <w:rPr>
          <w:b/>
          <w:bCs/>
          <w:smallCaps/>
          <w:color w:val="C00000"/>
          <w:sz w:val="24"/>
          <w:szCs w:val="32"/>
        </w:rPr>
        <w:t xml:space="preserve">en </w:t>
      </w:r>
      <w:r w:rsidR="00C0732F" w:rsidRPr="00D86A6E">
        <w:rPr>
          <w:b/>
          <w:bCs/>
          <w:smallCaps/>
          <w:color w:val="C00000"/>
          <w:sz w:val="24"/>
          <w:szCs w:val="32"/>
        </w:rPr>
        <w:t>2019</w:t>
      </w:r>
      <w:r w:rsidR="000A4A33" w:rsidRPr="00D86A6E">
        <w:rPr>
          <w:b/>
          <w:bCs/>
          <w:smallCaps/>
          <w:color w:val="C00000"/>
          <w:sz w:val="24"/>
          <w:szCs w:val="32"/>
        </w:rPr>
        <w:t xml:space="preserve"> (</w:t>
      </w:r>
      <w:proofErr w:type="spellStart"/>
      <w:r w:rsidRPr="00D86A6E">
        <w:rPr>
          <w:b/>
          <w:bCs/>
          <w:smallCaps/>
          <w:color w:val="C00000"/>
          <w:sz w:val="24"/>
          <w:szCs w:val="32"/>
        </w:rPr>
        <w:t>pre-covid</w:t>
      </w:r>
      <w:proofErr w:type="spellEnd"/>
      <w:r w:rsidRPr="00D86A6E">
        <w:rPr>
          <w:b/>
          <w:bCs/>
          <w:smallCaps/>
          <w:color w:val="C00000"/>
          <w:sz w:val="24"/>
          <w:szCs w:val="32"/>
        </w:rPr>
        <w:t xml:space="preserve"> y </w:t>
      </w:r>
      <w:proofErr w:type="spellStart"/>
      <w:r w:rsidRPr="00D86A6E">
        <w:rPr>
          <w:b/>
          <w:bCs/>
          <w:smallCaps/>
          <w:color w:val="C00000"/>
          <w:sz w:val="24"/>
          <w:szCs w:val="32"/>
        </w:rPr>
        <w:t>pre-crisis</w:t>
      </w:r>
      <w:proofErr w:type="spellEnd"/>
      <w:r w:rsidRPr="00D86A6E">
        <w:rPr>
          <w:b/>
          <w:bCs/>
          <w:smallCaps/>
          <w:color w:val="C00000"/>
          <w:sz w:val="24"/>
          <w:szCs w:val="32"/>
        </w:rPr>
        <w:t>)</w:t>
      </w:r>
      <w:r w:rsidR="001D520D" w:rsidRPr="00D86A6E">
        <w:rPr>
          <w:b/>
          <w:bCs/>
          <w:smallCaps/>
          <w:color w:val="C00000"/>
          <w:sz w:val="24"/>
          <w:szCs w:val="32"/>
        </w:rPr>
        <w:t xml:space="preserve">, el </w:t>
      </w:r>
      <w:r w:rsidR="001D520D" w:rsidRPr="00D86A6E">
        <w:rPr>
          <w:b/>
          <w:bCs/>
          <w:smallCaps/>
          <w:color w:val="C00000"/>
          <w:sz w:val="24"/>
          <w:szCs w:val="32"/>
          <w:highlight w:val="white"/>
        </w:rPr>
        <w:t>OCIG</w:t>
      </w:r>
      <w:r w:rsidR="001D520D" w:rsidRPr="00D86A6E">
        <w:rPr>
          <w:b/>
          <w:bCs/>
          <w:smallCaps/>
          <w:color w:val="C00000"/>
          <w:sz w:val="24"/>
          <w:szCs w:val="32"/>
        </w:rPr>
        <w:t xml:space="preserve"> estatal </w:t>
      </w:r>
      <w:r w:rsidR="00D86A6E" w:rsidRPr="00D86A6E">
        <w:rPr>
          <w:b/>
          <w:bCs/>
          <w:smallCaps/>
          <w:color w:val="C00000"/>
          <w:sz w:val="24"/>
          <w:szCs w:val="32"/>
        </w:rPr>
        <w:t>comunicó</w:t>
      </w:r>
      <w:r w:rsidR="001D520D" w:rsidRPr="00D86A6E">
        <w:rPr>
          <w:b/>
          <w:bCs/>
          <w:smallCaps/>
          <w:color w:val="C00000"/>
          <w:sz w:val="24"/>
          <w:szCs w:val="32"/>
        </w:rPr>
        <w:t xml:space="preserve"> 18 feminicidios en Cuba en el año 2022</w:t>
      </w:r>
    </w:p>
    <w:p w14:paraId="225439F0" w14:textId="7372842D" w:rsidR="00863439" w:rsidRPr="007E353D" w:rsidRDefault="007E353D" w:rsidP="0071072B">
      <w:pPr>
        <w:pStyle w:val="Ttulo3"/>
      </w:pPr>
      <w:r w:rsidRPr="007E353D">
        <w:t xml:space="preserve">Otros datos oficiales que denotan la </w:t>
      </w:r>
      <w:r>
        <w:t>“</w:t>
      </w:r>
      <w:r w:rsidRPr="007E353D">
        <w:t>crisis feminicida</w:t>
      </w:r>
      <w:r>
        <w:t>”</w:t>
      </w:r>
      <w:r w:rsidRPr="007E353D">
        <w:t xml:space="preserve"> en Cuba</w:t>
      </w:r>
    </w:p>
    <w:p w14:paraId="6451D12E" w14:textId="5D87AFC8" w:rsidR="009E3BB4" w:rsidRDefault="001476D2" w:rsidP="00E70615">
      <w:pPr>
        <w:rPr>
          <w:highlight w:val="white"/>
        </w:rPr>
      </w:pPr>
      <w:r>
        <w:rPr>
          <w:highlight w:val="white"/>
        </w:rPr>
        <w:t xml:space="preserve">La </w:t>
      </w:r>
      <w:r w:rsidR="00295F7D">
        <w:rPr>
          <w:highlight w:val="white"/>
        </w:rPr>
        <w:t xml:space="preserve">poca </w:t>
      </w:r>
      <w:r>
        <w:rPr>
          <w:highlight w:val="white"/>
        </w:rPr>
        <w:t xml:space="preserve">información que se </w:t>
      </w:r>
      <w:r w:rsidR="00295F7D">
        <w:rPr>
          <w:highlight w:val="white"/>
        </w:rPr>
        <w:t>comparte por parte del gobierno</w:t>
      </w:r>
      <w:r w:rsidR="00D86A6E">
        <w:rPr>
          <w:highlight w:val="white"/>
        </w:rPr>
        <w:t xml:space="preserve"> </w:t>
      </w:r>
      <w:r w:rsidR="00295F7D">
        <w:rPr>
          <w:highlight w:val="white"/>
        </w:rPr>
        <w:t>denota una</w:t>
      </w:r>
      <w:r>
        <w:rPr>
          <w:highlight w:val="white"/>
        </w:rPr>
        <w:t xml:space="preserve"> situación </w:t>
      </w:r>
      <w:r w:rsidR="00BD65C3">
        <w:rPr>
          <w:highlight w:val="white"/>
        </w:rPr>
        <w:t>crítica</w:t>
      </w:r>
      <w:r w:rsidR="00D86A6E">
        <w:rPr>
          <w:highlight w:val="white"/>
        </w:rPr>
        <w:t xml:space="preserve">: </w:t>
      </w:r>
      <w:r w:rsidR="009E3BB4">
        <w:rPr>
          <w:highlight w:val="white"/>
        </w:rPr>
        <w:t>las cifras oficiales se han multiplicado</w:t>
      </w:r>
      <w:r w:rsidR="00087700">
        <w:rPr>
          <w:highlight w:val="white"/>
        </w:rPr>
        <w:t xml:space="preserve"> en los últimos años</w:t>
      </w:r>
      <w:r>
        <w:rPr>
          <w:highlight w:val="white"/>
        </w:rPr>
        <w:t>.</w:t>
      </w:r>
    </w:p>
    <w:p w14:paraId="00000032" w14:textId="64A2A2FD" w:rsidR="00565625" w:rsidRDefault="00AE372E" w:rsidP="00E70615">
      <w:pPr>
        <w:rPr>
          <w:highlight w:val="white"/>
        </w:rPr>
      </w:pPr>
      <w:r>
        <w:rPr>
          <w:highlight w:val="white"/>
        </w:rPr>
        <w:t xml:space="preserve">El Estado cubano compartió durante el VII Pleno del Comité Central del Partido Comunista de Cuba en 2023, que actualmente </w:t>
      </w:r>
      <w:hyperlink r:id="rId34" w:history="1">
        <w:r w:rsidR="00822834" w:rsidRPr="00822834">
          <w:rPr>
            <w:rStyle w:val="Hipervnculo"/>
          </w:rPr>
          <w:t>“viven en situación de violencia</w:t>
        </w:r>
        <w:r w:rsidR="00822834">
          <w:rPr>
            <w:rStyle w:val="Hipervnculo"/>
          </w:rPr>
          <w:t>”</w:t>
        </w:r>
        <w:r w:rsidRPr="00822834">
          <w:rPr>
            <w:rStyle w:val="Hipervnculo"/>
            <w:highlight w:val="white"/>
          </w:rPr>
          <w:t xml:space="preserve"> </w:t>
        </w:r>
        <w:r w:rsidR="00822834">
          <w:rPr>
            <w:rStyle w:val="Hipervnculo"/>
          </w:rPr>
          <w:t>“</w:t>
        </w:r>
        <w:r w:rsidR="00822834" w:rsidRPr="00822834">
          <w:rPr>
            <w:rStyle w:val="Hipervnculo"/>
          </w:rPr>
          <w:t>9.579 familias, afectando a más de 16.000 mujeres y niñas</w:t>
        </w:r>
      </w:hyperlink>
      <w:r w:rsidR="00822834">
        <w:t>”</w:t>
      </w:r>
      <w:r>
        <w:rPr>
          <w:highlight w:val="white"/>
        </w:rPr>
        <w:t xml:space="preserve">. </w:t>
      </w:r>
      <w:r w:rsidR="00822834" w:rsidRPr="00822834">
        <w:t>En 2023</w:t>
      </w:r>
      <w:r w:rsidR="00822834">
        <w:t>,</w:t>
      </w:r>
      <w:r w:rsidR="00822834" w:rsidRPr="00822834">
        <w:t xml:space="preserve"> la justicia cubana</w:t>
      </w:r>
      <w:r w:rsidR="00BD65C3">
        <w:t xml:space="preserve">, según </w:t>
      </w:r>
      <w:r w:rsidR="00EF450D">
        <w:t>datos publicados por la agencia EFE presuntamente obtenidos de fuentes estatales</w:t>
      </w:r>
      <w:r w:rsidR="00BD65C3">
        <w:t>,</w:t>
      </w:r>
      <w:r w:rsidR="00822834" w:rsidRPr="00822834">
        <w:t xml:space="preserve"> </w:t>
      </w:r>
      <w:r w:rsidR="00EF450D">
        <w:t>habría identificado a</w:t>
      </w:r>
      <w:r w:rsidR="00822834" w:rsidRPr="00822834">
        <w:t xml:space="preserve"> </w:t>
      </w:r>
      <w:hyperlink r:id="rId35" w:history="1">
        <w:r w:rsidR="00822834" w:rsidRPr="00822834">
          <w:rPr>
            <w:rStyle w:val="Hipervnculo"/>
          </w:rPr>
          <w:t>110 mujeres víctimas de la violencia machista</w:t>
        </w:r>
        <w:r w:rsidR="00BD65C3">
          <w:rPr>
            <w:rStyle w:val="Hipervnculo"/>
          </w:rPr>
          <w:t xml:space="preserve"> </w:t>
        </w:r>
        <w:r w:rsidR="00BD65C3" w:rsidRPr="00BD65C3">
          <w:rPr>
            <w:rStyle w:val="Hipervnculo"/>
            <w:b/>
            <w:bCs/>
          </w:rPr>
          <w:t>sólo</w:t>
        </w:r>
        <w:r w:rsidR="00822834" w:rsidRPr="00BD65C3">
          <w:rPr>
            <w:rStyle w:val="Hipervnculo"/>
            <w:b/>
            <w:bCs/>
          </w:rPr>
          <w:t xml:space="preserve"> de</w:t>
        </w:r>
        <w:r w:rsidR="00822834" w:rsidRPr="00822834">
          <w:rPr>
            <w:rStyle w:val="Hipervnculo"/>
            <w:b/>
            <w:bCs/>
          </w:rPr>
          <w:t xml:space="preserve"> acuerdo a </w:t>
        </w:r>
        <w:r w:rsidR="00087700">
          <w:rPr>
            <w:rStyle w:val="Hipervnculo"/>
            <w:b/>
            <w:bCs/>
          </w:rPr>
          <w:t>“</w:t>
        </w:r>
        <w:r w:rsidR="00822834" w:rsidRPr="00D86A6E">
          <w:rPr>
            <w:rStyle w:val="Hipervnculo"/>
            <w:b/>
            <w:bCs/>
            <w:i/>
            <w:iCs/>
          </w:rPr>
          <w:t>las sentencias dictadas en ese ejercicio</w:t>
        </w:r>
      </w:hyperlink>
      <w:r w:rsidR="00087700">
        <w:t>”</w:t>
      </w:r>
      <w:r w:rsidR="009E3BB4">
        <w:rPr>
          <w:highlight w:val="white"/>
        </w:rPr>
        <w:t>.</w:t>
      </w:r>
    </w:p>
    <w:p w14:paraId="00000034" w14:textId="7C50326E" w:rsidR="00565625" w:rsidRDefault="00AE372E" w:rsidP="00E70615">
      <w:pPr>
        <w:rPr>
          <w:highlight w:val="white"/>
        </w:rPr>
      </w:pPr>
      <w:r>
        <w:rPr>
          <w:highlight w:val="white"/>
        </w:rPr>
        <w:t xml:space="preserve">El </w:t>
      </w:r>
      <w:r w:rsidR="009E3BB4">
        <w:rPr>
          <w:highlight w:val="white"/>
        </w:rPr>
        <w:t xml:space="preserve">OCIG estatal </w:t>
      </w:r>
      <w:hyperlink r:id="rId36" w:history="1">
        <w:r w:rsidRPr="00470781">
          <w:rPr>
            <w:rStyle w:val="Hipervnculo"/>
            <w:highlight w:val="white"/>
          </w:rPr>
          <w:t>compartió datos correspondientes al año 2023</w:t>
        </w:r>
      </w:hyperlink>
      <w:r w:rsidR="009E3BB4">
        <w:rPr>
          <w:highlight w:val="white"/>
        </w:rPr>
        <w:t xml:space="preserve"> </w:t>
      </w:r>
      <w:r>
        <w:rPr>
          <w:highlight w:val="white"/>
        </w:rPr>
        <w:t>de “</w:t>
      </w:r>
      <w:r w:rsidRPr="00822834">
        <w:rPr>
          <w:i/>
          <w:iCs/>
          <w:highlight w:val="white"/>
        </w:rPr>
        <w:t>Muertes de personas del sexo femenino de 15 años y más, víctimas de asesinato ocasionado por su pareja o ex-pareja íntima</w:t>
      </w:r>
      <w:r>
        <w:rPr>
          <w:highlight w:val="white"/>
        </w:rPr>
        <w:t>”. Según este análisis, 50 mujeres resultaron víctimas, cifra equivalente “</w:t>
      </w:r>
      <w:r w:rsidRPr="00371D59">
        <w:rPr>
          <w:i/>
          <w:iCs/>
          <w:highlight w:val="white"/>
        </w:rPr>
        <w:t>a una tasa de 1,14 por cada 100</w:t>
      </w:r>
      <w:r w:rsidR="00087700">
        <w:rPr>
          <w:i/>
          <w:iCs/>
          <w:highlight w:val="white"/>
        </w:rPr>
        <w:t>.</w:t>
      </w:r>
      <w:r w:rsidRPr="00371D59">
        <w:rPr>
          <w:i/>
          <w:iCs/>
          <w:highlight w:val="white"/>
        </w:rPr>
        <w:t>000 mujeres para el año 2023</w:t>
      </w:r>
      <w:r>
        <w:rPr>
          <w:highlight w:val="white"/>
        </w:rPr>
        <w:t>”. La</w:t>
      </w:r>
      <w:r w:rsidR="00C46636">
        <w:rPr>
          <w:highlight w:val="white"/>
        </w:rPr>
        <w:t>s</w:t>
      </w:r>
      <w:r>
        <w:rPr>
          <w:highlight w:val="white"/>
        </w:rPr>
        <w:t xml:space="preserve"> provincia</w:t>
      </w:r>
      <w:r w:rsidR="00C46636">
        <w:rPr>
          <w:highlight w:val="white"/>
        </w:rPr>
        <w:t>s</w:t>
      </w:r>
      <w:r>
        <w:rPr>
          <w:highlight w:val="white"/>
        </w:rPr>
        <w:t xml:space="preserve"> donde hubo mayor incidencia fueron “</w:t>
      </w:r>
      <w:r w:rsidRPr="00822834">
        <w:rPr>
          <w:i/>
          <w:iCs/>
          <w:highlight w:val="white"/>
        </w:rPr>
        <w:t>La Habana (9 casos</w:t>
      </w:r>
      <w:r w:rsidR="006F2FF2">
        <w:rPr>
          <w:i/>
          <w:iCs/>
          <w:highlight w:val="white"/>
        </w:rPr>
        <w:t>,</w:t>
      </w:r>
      <w:r w:rsidRPr="00822834">
        <w:rPr>
          <w:i/>
          <w:iCs/>
          <w:highlight w:val="white"/>
        </w:rPr>
        <w:t xml:space="preserve"> tasa de 1,06), Camagüey (8 casos</w:t>
      </w:r>
      <w:r w:rsidR="006F2FF2">
        <w:rPr>
          <w:i/>
          <w:iCs/>
          <w:highlight w:val="white"/>
        </w:rPr>
        <w:t xml:space="preserve">, </w:t>
      </w:r>
      <w:r w:rsidRPr="00822834">
        <w:rPr>
          <w:i/>
          <w:iCs/>
          <w:highlight w:val="white"/>
        </w:rPr>
        <w:t>tasa 2,70) y Matanzas (7 casos</w:t>
      </w:r>
      <w:r w:rsidR="006F2FF2">
        <w:rPr>
          <w:i/>
          <w:iCs/>
          <w:highlight w:val="white"/>
        </w:rPr>
        <w:t xml:space="preserve">, </w:t>
      </w:r>
      <w:r w:rsidRPr="00822834">
        <w:rPr>
          <w:i/>
          <w:iCs/>
          <w:highlight w:val="white"/>
        </w:rPr>
        <w:t>tasa de 2,51)</w:t>
      </w:r>
      <w:r>
        <w:rPr>
          <w:highlight w:val="white"/>
        </w:rPr>
        <w:t>”.</w:t>
      </w:r>
      <w:r w:rsidR="009E3BB4">
        <w:rPr>
          <w:highlight w:val="white"/>
        </w:rPr>
        <w:t xml:space="preserve"> Villa Clara</w:t>
      </w:r>
      <w:r w:rsidR="00087700">
        <w:rPr>
          <w:highlight w:val="white"/>
        </w:rPr>
        <w:t xml:space="preserve"> </w:t>
      </w:r>
      <w:r w:rsidR="009E3BB4">
        <w:rPr>
          <w:highlight w:val="white"/>
        </w:rPr>
        <w:t xml:space="preserve">no está entre las provincias </w:t>
      </w:r>
      <w:r w:rsidR="00087700">
        <w:rPr>
          <w:highlight w:val="white"/>
        </w:rPr>
        <w:t>con más feminicidios</w:t>
      </w:r>
      <w:r w:rsidR="009E3BB4">
        <w:rPr>
          <w:highlight w:val="white"/>
        </w:rPr>
        <w:t>, aportando credibilidad a las hipótesis del apartado anterior.</w:t>
      </w:r>
      <w:r>
        <w:rPr>
          <w:highlight w:val="white"/>
        </w:rPr>
        <w:t xml:space="preserve"> Entre los otros datos compartidos “</w:t>
      </w:r>
      <w:r w:rsidR="00087700">
        <w:rPr>
          <w:i/>
          <w:iCs/>
          <w:highlight w:val="white"/>
        </w:rPr>
        <w:t>…</w:t>
      </w:r>
      <w:r w:rsidRPr="00470781">
        <w:rPr>
          <w:i/>
          <w:iCs/>
          <w:highlight w:val="white"/>
        </w:rPr>
        <w:t>quedaron en total 34 menores sin el amparo materno. Al analizar la relación que tenían las víctimas con el agresor, el 64% fueron asesinadas a manos de sus exparejas y el 36% por su pareja actual</w:t>
      </w:r>
      <w:r>
        <w:rPr>
          <w:highlight w:val="white"/>
        </w:rPr>
        <w:t>”.</w:t>
      </w:r>
    </w:p>
    <w:p w14:paraId="00000037" w14:textId="401FF208" w:rsidR="00565625" w:rsidRDefault="00AE372E" w:rsidP="00E70615">
      <w:pPr>
        <w:rPr>
          <w:highlight w:val="white"/>
        </w:rPr>
      </w:pPr>
      <w:r>
        <w:rPr>
          <w:highlight w:val="white"/>
        </w:rPr>
        <w:t xml:space="preserve">En el indicador 24 de estos análisis oficiales, el </w:t>
      </w:r>
      <w:r w:rsidR="00E051F2">
        <w:rPr>
          <w:highlight w:val="white"/>
        </w:rPr>
        <w:t>OCIG</w:t>
      </w:r>
      <w:r>
        <w:rPr>
          <w:highlight w:val="white"/>
        </w:rPr>
        <w:t xml:space="preserve"> incluyó los asesinatos por razones de género de personas </w:t>
      </w:r>
      <w:r w:rsidR="006F2FF2">
        <w:rPr>
          <w:highlight w:val="white"/>
        </w:rPr>
        <w:t>de mujeres</w:t>
      </w:r>
      <w:r>
        <w:rPr>
          <w:highlight w:val="white"/>
        </w:rPr>
        <w:t xml:space="preserve"> mayores de 15 años, </w:t>
      </w:r>
      <w:r w:rsidRPr="00E051F2">
        <w:rPr>
          <w:b/>
          <w:bCs/>
          <w:highlight w:val="white"/>
        </w:rPr>
        <w:t xml:space="preserve">cuyos casos fueron </w:t>
      </w:r>
      <w:r w:rsidR="005F7BF2" w:rsidRPr="00E051F2">
        <w:rPr>
          <w:b/>
          <w:bCs/>
          <w:highlight w:val="white"/>
        </w:rPr>
        <w:t>sentenciados</w:t>
      </w:r>
      <w:r w:rsidRPr="00E051F2">
        <w:rPr>
          <w:b/>
          <w:bCs/>
          <w:highlight w:val="white"/>
        </w:rPr>
        <w:t xml:space="preserve"> judicialmente en 2023</w:t>
      </w:r>
      <w:r w:rsidR="006F2FF2">
        <w:rPr>
          <w:highlight w:val="white"/>
        </w:rPr>
        <w:t>:</w:t>
      </w:r>
      <w:r>
        <w:rPr>
          <w:highlight w:val="white"/>
        </w:rPr>
        <w:t xml:space="preserve"> “</w:t>
      </w:r>
      <w:r w:rsidR="00C73F40" w:rsidRPr="00C73F40">
        <w:rPr>
          <w:i/>
          <w:iCs/>
          <w:highlight w:val="white"/>
        </w:rPr>
        <w:t>u</w:t>
      </w:r>
      <w:r w:rsidRPr="00C73F40">
        <w:rPr>
          <w:i/>
          <w:iCs/>
          <w:highlight w:val="white"/>
        </w:rPr>
        <w:t>n total de 60 mujeres fueron víctimas de asesinato por razones de género a manos de sus parejas, exparejas u otras personas, equivalente a una tasa de 1,37 por cada 100 000 mujeres</w:t>
      </w:r>
      <w:r>
        <w:rPr>
          <w:highlight w:val="white"/>
        </w:rPr>
        <w:t>”. La Habana,</w:t>
      </w:r>
      <w:r w:rsidR="00E051F2">
        <w:rPr>
          <w:highlight w:val="white"/>
        </w:rPr>
        <w:t xml:space="preserve"> 12 casos,</w:t>
      </w:r>
      <w:r>
        <w:rPr>
          <w:highlight w:val="white"/>
        </w:rPr>
        <w:t xml:space="preserve"> Camagüey</w:t>
      </w:r>
      <w:r w:rsidR="00E051F2">
        <w:rPr>
          <w:highlight w:val="white"/>
        </w:rPr>
        <w:t>, 10,</w:t>
      </w:r>
      <w:r>
        <w:rPr>
          <w:highlight w:val="white"/>
        </w:rPr>
        <w:t xml:space="preserve"> y Matanzas</w:t>
      </w:r>
      <w:r w:rsidR="00E051F2">
        <w:rPr>
          <w:highlight w:val="white"/>
        </w:rPr>
        <w:t>, 8,</w:t>
      </w:r>
      <w:r>
        <w:rPr>
          <w:highlight w:val="white"/>
        </w:rPr>
        <w:t xml:space="preserve"> </w:t>
      </w:r>
      <w:r w:rsidR="00E051F2">
        <w:rPr>
          <w:highlight w:val="white"/>
        </w:rPr>
        <w:t>son</w:t>
      </w:r>
      <w:r>
        <w:rPr>
          <w:highlight w:val="white"/>
        </w:rPr>
        <w:t xml:space="preserve"> las provincias que más casos presentaron.</w:t>
      </w:r>
    </w:p>
    <w:p w14:paraId="62441581" w14:textId="092AB3A1" w:rsidR="00E051F2" w:rsidRDefault="00AE372E" w:rsidP="00A718D4">
      <w:pPr>
        <w:rPr>
          <w:highlight w:val="white"/>
        </w:rPr>
      </w:pPr>
      <w:r>
        <w:rPr>
          <w:highlight w:val="white"/>
        </w:rPr>
        <w:t>“</w:t>
      </w:r>
      <w:r w:rsidRPr="00E051F2">
        <w:rPr>
          <w:i/>
          <w:iCs/>
          <w:highlight w:val="white"/>
        </w:rPr>
        <w:t>El 71,6% del total de mujeres no tenían vínculo laboral. En el 68,3% de los casos el hecho tuvo lugar en el hogar y quedaron en total 38 menores sin el amparo materno</w:t>
      </w:r>
      <w:r w:rsidR="006F2FF2">
        <w:rPr>
          <w:i/>
          <w:iCs/>
          <w:highlight w:val="white"/>
        </w:rPr>
        <w:t xml:space="preserve"> (…)</w:t>
      </w:r>
      <w:r w:rsidRPr="00E051F2">
        <w:rPr>
          <w:i/>
          <w:iCs/>
          <w:highlight w:val="white"/>
        </w:rPr>
        <w:t>la proporción de muertes de mujeres por su pareja o expareja íntima sobre el total de mujeres asesinadas por razones de género representa el 83,3% de los casos</w:t>
      </w:r>
      <w:r>
        <w:rPr>
          <w:highlight w:val="white"/>
        </w:rPr>
        <w:t>”.</w:t>
      </w:r>
      <w:r w:rsidR="00C73F40">
        <w:rPr>
          <w:rStyle w:val="Refdenotaalpie"/>
          <w:highlight w:val="white"/>
        </w:rPr>
        <w:footnoteReference w:id="12"/>
      </w:r>
    </w:p>
    <w:p w14:paraId="00000039" w14:textId="7A49D3FE" w:rsidR="00565625" w:rsidRPr="00A718D4" w:rsidRDefault="00A718D4" w:rsidP="00A718D4">
      <w:pPr>
        <w:rPr>
          <w:rFonts w:ascii="Roboto" w:eastAsia="Roboto" w:hAnsi="Roboto" w:cs="Roboto"/>
          <w:color w:val="212529"/>
          <w:sz w:val="30"/>
          <w:szCs w:val="30"/>
          <w:highlight w:val="white"/>
        </w:rPr>
      </w:pPr>
      <w:r>
        <w:rPr>
          <w:highlight w:val="white"/>
        </w:rPr>
        <w:t>La</w:t>
      </w:r>
      <w:r w:rsidRPr="004E3BF0">
        <w:rPr>
          <w:highlight w:val="white"/>
        </w:rPr>
        <w:t xml:space="preserve"> organización gubernamental </w:t>
      </w:r>
      <w:r w:rsidR="006F2FF2">
        <w:rPr>
          <w:highlight w:val="white"/>
        </w:rPr>
        <w:t>replica</w:t>
      </w:r>
      <w:r w:rsidRPr="004E3BF0">
        <w:rPr>
          <w:highlight w:val="white"/>
        </w:rPr>
        <w:t xml:space="preserve"> la misma metodología </w:t>
      </w:r>
      <w:r w:rsidR="00402D98">
        <w:rPr>
          <w:highlight w:val="white"/>
        </w:rPr>
        <w:t>parcial</w:t>
      </w:r>
      <w:r w:rsidRPr="004E3BF0">
        <w:rPr>
          <w:highlight w:val="white"/>
        </w:rPr>
        <w:t xml:space="preserve"> al </w:t>
      </w:r>
      <w:r w:rsidRPr="00E051F2">
        <w:rPr>
          <w:b/>
          <w:bCs/>
          <w:highlight w:val="white"/>
        </w:rPr>
        <w:t>contabilizar sólo aquellos casos en los que el feminicida ha sido enjuiciado y sentenciado</w:t>
      </w:r>
      <w:r w:rsidR="00D022C0">
        <w:rPr>
          <w:b/>
          <w:bCs/>
          <w:highlight w:val="white"/>
        </w:rPr>
        <w:t>, eliminando, además de los no juzgados, los casos de los feminicidas suicidas</w:t>
      </w:r>
      <w:r w:rsidR="006F2FF2">
        <w:rPr>
          <w:highlight w:val="white"/>
        </w:rPr>
        <w:t xml:space="preserve">. </w:t>
      </w:r>
      <w:r w:rsidR="008056CA">
        <w:rPr>
          <w:highlight w:val="white"/>
        </w:rPr>
        <w:t>A</w:t>
      </w:r>
      <w:r w:rsidR="008056CA" w:rsidRPr="004E3BF0">
        <w:rPr>
          <w:highlight w:val="white"/>
        </w:rPr>
        <w:t>demás,</w:t>
      </w:r>
      <w:r w:rsidRPr="004E3BF0">
        <w:rPr>
          <w:highlight w:val="white"/>
        </w:rPr>
        <w:t xml:space="preserve"> solo tiene en cuenta un tipo </w:t>
      </w:r>
      <w:r w:rsidR="004E3BF0" w:rsidRPr="004E3BF0">
        <w:rPr>
          <w:highlight w:val="white"/>
        </w:rPr>
        <w:t xml:space="preserve">de </w:t>
      </w:r>
      <w:r w:rsidRPr="004E3BF0">
        <w:rPr>
          <w:highlight w:val="white"/>
        </w:rPr>
        <w:t>feminicidio, el de pareja o expareja, dejando sin contabilizar otros tipos como el familiar, el vicario, el sexual o el familiar, sí tenidos en cuenta en la metodología de los observatorios de</w:t>
      </w:r>
      <w:r>
        <w:rPr>
          <w:highlight w:val="white"/>
        </w:rPr>
        <w:t xml:space="preserve"> ONGs cubanas como</w:t>
      </w:r>
      <w:r w:rsidRPr="004E3BF0">
        <w:rPr>
          <w:highlight w:val="white"/>
        </w:rPr>
        <w:t xml:space="preserve"> OGAT y YSTCC</w:t>
      </w:r>
      <w:r>
        <w:rPr>
          <w:highlight w:val="white"/>
        </w:rPr>
        <w:t>.</w:t>
      </w:r>
    </w:p>
    <w:p w14:paraId="7D43F2CF" w14:textId="64E81CC0" w:rsidR="00963580" w:rsidRPr="00963580" w:rsidRDefault="00963580" w:rsidP="0071072B">
      <w:pPr>
        <w:pStyle w:val="Ttulo3"/>
      </w:pPr>
      <w:r w:rsidRPr="00963580">
        <w:t>El tratamiento de la prensa oficial</w:t>
      </w:r>
    </w:p>
    <w:p w14:paraId="0000003B" w14:textId="1A958EF7" w:rsidR="00565625" w:rsidRPr="00601096" w:rsidRDefault="00AE372E" w:rsidP="00E70615">
      <w:pPr>
        <w:rPr>
          <w:rFonts w:ascii="DIN Black" w:eastAsia="DIN Black" w:hAnsi="DIN Black" w:cs="DIN Black"/>
          <w:b/>
          <w:smallCaps/>
          <w:color w:val="00416B"/>
          <w:sz w:val="22"/>
          <w:szCs w:val="22"/>
        </w:rPr>
      </w:pPr>
      <w:r>
        <w:rPr>
          <w:highlight w:val="white"/>
        </w:rPr>
        <w:t>Desde 2019</w:t>
      </w:r>
      <w:r w:rsidR="00A718D4">
        <w:rPr>
          <w:highlight w:val="white"/>
        </w:rPr>
        <w:t xml:space="preserve"> </w:t>
      </w:r>
      <w:r>
        <w:rPr>
          <w:highlight w:val="white"/>
        </w:rPr>
        <w:t xml:space="preserve">hasta agosto de 2024, </w:t>
      </w:r>
      <w:r w:rsidR="00A718D4">
        <w:rPr>
          <w:highlight w:val="white"/>
        </w:rPr>
        <w:t>el OGAT</w:t>
      </w:r>
      <w:r w:rsidR="00963580">
        <w:rPr>
          <w:highlight w:val="white"/>
        </w:rPr>
        <w:t>, con el apoyo de YSTCC,</w:t>
      </w:r>
      <w:r w:rsidR="00A718D4">
        <w:rPr>
          <w:highlight w:val="white"/>
        </w:rPr>
        <w:t xml:space="preserve"> </w:t>
      </w:r>
      <w:r w:rsidR="00CE71CD">
        <w:rPr>
          <w:highlight w:val="white"/>
        </w:rPr>
        <w:t>verificó</w:t>
      </w:r>
      <w:r>
        <w:rPr>
          <w:highlight w:val="white"/>
        </w:rPr>
        <w:t xml:space="preserve"> en Cuba </w:t>
      </w:r>
      <w:r w:rsidRPr="00CE71CD">
        <w:rPr>
          <w:b/>
          <w:bCs/>
          <w:highlight w:val="white"/>
        </w:rPr>
        <w:t>240 feminicidios</w:t>
      </w:r>
      <w:r>
        <w:rPr>
          <w:highlight w:val="white"/>
        </w:rPr>
        <w:t>, siendo el 2023 el año que más casos fueron verificados</w:t>
      </w:r>
      <w:r w:rsidR="00CE71CD">
        <w:rPr>
          <w:highlight w:val="white"/>
        </w:rPr>
        <w:t xml:space="preserve"> (</w:t>
      </w:r>
      <w:r>
        <w:rPr>
          <w:highlight w:val="white"/>
        </w:rPr>
        <w:t>89</w:t>
      </w:r>
      <w:r w:rsidR="00CE71CD">
        <w:rPr>
          <w:highlight w:val="white"/>
        </w:rPr>
        <w:t xml:space="preserve">): </w:t>
      </w:r>
      <w:r>
        <w:rPr>
          <w:highlight w:val="white"/>
        </w:rPr>
        <w:t>14 en 2019, 33 en 2020, 36 en 2021, 36 en 2022</w:t>
      </w:r>
      <w:r w:rsidR="00CE71CD">
        <w:rPr>
          <w:highlight w:val="white"/>
        </w:rPr>
        <w:t>, 89 en 2023</w:t>
      </w:r>
      <w:r>
        <w:rPr>
          <w:highlight w:val="white"/>
        </w:rPr>
        <w:t xml:space="preserve"> y 35 en 2024. </w:t>
      </w:r>
      <w:r w:rsidR="00402D98">
        <w:rPr>
          <w:highlight w:val="white"/>
        </w:rPr>
        <w:t>Muy pocos casos</w:t>
      </w:r>
      <w:r>
        <w:rPr>
          <w:highlight w:val="white"/>
        </w:rPr>
        <w:t xml:space="preserve"> recibieron cobertura por parte de la prensa oficial</w:t>
      </w:r>
      <w:r w:rsidR="00963580">
        <w:rPr>
          <w:highlight w:val="white"/>
        </w:rPr>
        <w:t xml:space="preserve"> y, </w:t>
      </w:r>
      <w:r>
        <w:rPr>
          <w:highlight w:val="white"/>
        </w:rPr>
        <w:t>cuando lo hacían</w:t>
      </w:r>
      <w:r w:rsidR="00963580">
        <w:rPr>
          <w:highlight w:val="white"/>
        </w:rPr>
        <w:t>,</w:t>
      </w:r>
      <w:r>
        <w:rPr>
          <w:highlight w:val="white"/>
        </w:rPr>
        <w:t xml:space="preserve"> era completamente acrítica, omitía el término feminicidio/femicidio y no profundizaba en el contexto de violencia de género</w:t>
      </w:r>
      <w:r w:rsidR="00D022C0">
        <w:t xml:space="preserve"> ni sus causas estructurales.</w:t>
      </w:r>
    </w:p>
    <w:p w14:paraId="0000003C" w14:textId="35CC6DA6" w:rsidR="00565625" w:rsidRPr="003B0540" w:rsidRDefault="00AE372E" w:rsidP="00752099">
      <w:pPr>
        <w:pStyle w:val="Ttulo1"/>
      </w:pPr>
      <w:r w:rsidRPr="003B0540">
        <w:t>Legislación sobre Feminicidios en Cuba</w:t>
      </w:r>
    </w:p>
    <w:p w14:paraId="0000003D" w14:textId="2FBA610F" w:rsidR="00565625" w:rsidRDefault="00AE372E" w:rsidP="00E70615">
      <w:r>
        <w:t>El Código Penal cubano, la Ley 62</w:t>
      </w:r>
      <w:r w:rsidR="008056CA">
        <w:t>/</w:t>
      </w:r>
      <w:r w:rsidR="00CE71CD">
        <w:t>19</w:t>
      </w:r>
      <w:r>
        <w:t xml:space="preserve">87, vigente hasta diciembre de 2021, </w:t>
      </w:r>
      <w:r>
        <w:rPr>
          <w:b/>
        </w:rPr>
        <w:t>no incluía la tipificación del feminicidio</w:t>
      </w:r>
      <w:r>
        <w:t xml:space="preserve">. Este vacío legal no solo ignoraba la particularidad y gravedad de los crímenes de género, sino que también comprometía los </w:t>
      </w:r>
      <w:r w:rsidR="00CE71CD">
        <w:t>DDHH</w:t>
      </w:r>
      <w:r>
        <w:t xml:space="preserve"> de las mujeres, contraviniendo principios internacionales como los establecidos en la </w:t>
      </w:r>
      <w:hyperlink r:id="rId37" w:history="1">
        <w:r w:rsidRPr="00CE71CD">
          <w:rPr>
            <w:rStyle w:val="Hipervnculo"/>
          </w:rPr>
          <w:t>CEDAW</w:t>
        </w:r>
      </w:hyperlink>
      <w:r>
        <w:t xml:space="preserve"> y la </w:t>
      </w:r>
      <w:r w:rsidR="00402D98">
        <w:t>“</w:t>
      </w:r>
      <w:hyperlink r:id="rId38" w:history="1">
        <w:r w:rsidRPr="00402D98">
          <w:rPr>
            <w:rStyle w:val="Hipervnculo"/>
          </w:rPr>
          <w:t>Convención de Belém do Pará</w:t>
        </w:r>
      </w:hyperlink>
      <w:r w:rsidR="00402D98">
        <w:t>”</w:t>
      </w:r>
      <w:r>
        <w:t>.</w:t>
      </w:r>
    </w:p>
    <w:p w14:paraId="0000003E" w14:textId="321812A0" w:rsidR="00565625" w:rsidRDefault="00AE372E" w:rsidP="00E70615">
      <w:r>
        <w:t xml:space="preserve">En 2022, Cuba promulgó una nueva normativa penal, la </w:t>
      </w:r>
      <w:hyperlink r:id="rId39">
        <w:r w:rsidR="008056CA">
          <w:rPr>
            <w:color w:val="1155CC"/>
            <w:u w:val="single"/>
          </w:rPr>
          <w:t>Ley 151/</w:t>
        </w:r>
        <w:r w:rsidR="00CE71CD">
          <w:rPr>
            <w:color w:val="1155CC"/>
            <w:u w:val="single"/>
          </w:rPr>
          <w:t>20</w:t>
        </w:r>
        <w:r w:rsidR="008056CA">
          <w:rPr>
            <w:color w:val="1155CC"/>
            <w:u w:val="single"/>
          </w:rPr>
          <w:t>22</w:t>
        </w:r>
      </w:hyperlink>
      <w:r>
        <w:t xml:space="preserve">, el Código Penal más reciente del país. </w:t>
      </w:r>
      <w:hyperlink r:id="rId40" w:history="1">
        <w:r w:rsidR="00402D98" w:rsidRPr="00402D98">
          <w:rPr>
            <w:rStyle w:val="Hipervnculo"/>
            <w:b/>
            <w:bCs/>
          </w:rPr>
          <w:t>El Código Penal actual</w:t>
        </w:r>
      </w:hyperlink>
      <w:r w:rsidR="00402D98" w:rsidRPr="00402D98">
        <w:rPr>
          <w:b/>
          <w:bCs/>
        </w:rPr>
        <w:t xml:space="preserve"> sigue sin</w:t>
      </w:r>
      <w:r w:rsidRPr="00402D98">
        <w:rPr>
          <w:b/>
          <w:bCs/>
        </w:rPr>
        <w:t xml:space="preserve"> tipifica</w:t>
      </w:r>
      <w:r w:rsidR="00402D98" w:rsidRPr="00402D98">
        <w:rPr>
          <w:b/>
          <w:bCs/>
        </w:rPr>
        <w:t>r</w:t>
      </w:r>
      <w:r w:rsidRPr="00402D98">
        <w:rPr>
          <w:b/>
          <w:bCs/>
        </w:rPr>
        <w:t xml:space="preserve"> el feminicidio</w:t>
      </w:r>
      <w:r>
        <w:t xml:space="preserve">, perpetuando vulnerabilidades en la protección legal y en la respuesta </w:t>
      </w:r>
      <w:r>
        <w:lastRenderedPageBreak/>
        <w:t>judicial ante la violencia de género</w:t>
      </w:r>
      <w:r w:rsidR="00D527B9">
        <w:t xml:space="preserve"> y sus indicadores</w:t>
      </w:r>
      <w:r>
        <w:t xml:space="preserve">. Esta omisión continúa afectando negativamente los derechos fundamentales de las mujeres, como el derecho a la vida, a la seguridad y a vivir libres de violencia. </w:t>
      </w:r>
      <w:r w:rsidR="009B421B">
        <w:t>L</w:t>
      </w:r>
      <w:r>
        <w:t>a falta de esta tipificación subraya la necesidad urgente de reformas legales que alineen el marco jurídico con los estándares y compromisos internacionales en materia de derechos humanos y equidad de género.</w:t>
      </w:r>
    </w:p>
    <w:p w14:paraId="0000003F" w14:textId="78B6971F" w:rsidR="00565625" w:rsidRPr="00D76E0C" w:rsidRDefault="00AE372E" w:rsidP="0071072B">
      <w:pPr>
        <w:pStyle w:val="Ttulo2"/>
      </w:pPr>
      <w:r w:rsidRPr="00D76E0C">
        <w:t xml:space="preserve">La falta de tipificación del delito “Feminicidio” en la </w:t>
      </w:r>
      <w:hyperlink r:id="rId41" w:history="1">
        <w:r w:rsidR="00CE71CD" w:rsidRPr="00CE71CD">
          <w:t>Ley 151/</w:t>
        </w:r>
        <w:r w:rsidR="00CE71CD">
          <w:t>20</w:t>
        </w:r>
        <w:r w:rsidR="00CE71CD" w:rsidRPr="00CE71CD">
          <w:t>22</w:t>
        </w:r>
        <w:r w:rsidRPr="00D76E0C">
          <w:t xml:space="preserve"> - Código Penal</w:t>
        </w:r>
      </w:hyperlink>
    </w:p>
    <w:p w14:paraId="00000040" w14:textId="1A7999A7" w:rsidR="00565625" w:rsidRDefault="009B421B" w:rsidP="00E70615">
      <w:r>
        <w:t xml:space="preserve">El nuevo </w:t>
      </w:r>
      <w:hyperlink r:id="rId42" w:history="1">
        <w:r w:rsidRPr="009B421B">
          <w:rPr>
            <w:rStyle w:val="Hipervnculo"/>
          </w:rPr>
          <w:t>Código Penal de Cuba</w:t>
        </w:r>
      </w:hyperlink>
      <w:r>
        <w:t xml:space="preserve"> </w:t>
      </w:r>
      <w:r>
        <w:rPr>
          <w:b/>
        </w:rPr>
        <w:t xml:space="preserve">no incluye </w:t>
      </w:r>
      <w:r w:rsidR="0099241A">
        <w:rPr>
          <w:b/>
        </w:rPr>
        <w:t>la</w:t>
      </w:r>
      <w:r>
        <w:rPr>
          <w:b/>
        </w:rPr>
        <w:t xml:space="preserve"> tipificación penal del feminicidio</w:t>
      </w:r>
      <w:r>
        <w:t xml:space="preserve">. A continuación, se analiza </w:t>
      </w:r>
      <w:r w:rsidR="000E3C39">
        <w:t>el único</w:t>
      </w:r>
      <w:r>
        <w:t xml:space="preserve"> artículo de la </w:t>
      </w:r>
      <w:hyperlink r:id="rId43">
        <w:r>
          <w:rPr>
            <w:color w:val="1155CC"/>
            <w:u w:val="single"/>
          </w:rPr>
          <w:t>Ley 151</w:t>
        </w:r>
        <w:r w:rsidR="008056CA">
          <w:rPr>
            <w:color w:val="1155CC"/>
            <w:u w:val="single"/>
          </w:rPr>
          <w:t>/</w:t>
        </w:r>
        <w:r w:rsidR="00CE71CD">
          <w:rPr>
            <w:color w:val="1155CC"/>
            <w:u w:val="single"/>
          </w:rPr>
          <w:t>20</w:t>
        </w:r>
        <w:r>
          <w:rPr>
            <w:color w:val="1155CC"/>
            <w:u w:val="single"/>
          </w:rPr>
          <w:t>22</w:t>
        </w:r>
      </w:hyperlink>
      <w:r>
        <w:t xml:space="preserve"> </w:t>
      </w:r>
      <w:r w:rsidR="0099241A">
        <w:t>que podría ser empleado para</w:t>
      </w:r>
      <w:r>
        <w:t xml:space="preserve"> penalizar</w:t>
      </w:r>
      <w:r w:rsidR="0099241A">
        <w:t>lo</w:t>
      </w:r>
      <w:r>
        <w:t>:</w:t>
      </w:r>
    </w:p>
    <w:bookmarkStart w:id="1" w:name="_heading=h.879rk3fxlb4z" w:colFirst="0" w:colLast="0"/>
    <w:bookmarkEnd w:id="1"/>
    <w:p w14:paraId="7A41FE7F" w14:textId="193F04CC" w:rsidR="004843FF" w:rsidRDefault="00AE372E" w:rsidP="00162B20">
      <w:pPr>
        <w:pStyle w:val="Prrafodelista"/>
        <w:numPr>
          <w:ilvl w:val="0"/>
          <w:numId w:val="15"/>
        </w:numPr>
        <w:spacing w:before="240"/>
        <w:ind w:left="284" w:hanging="284"/>
      </w:pPr>
      <w:r w:rsidRPr="002A7E64">
        <w:fldChar w:fldCharType="begin"/>
      </w:r>
      <w:r>
        <w:instrText>HYPERLINK "https://www.gacetaoficial.gob.cu/sites/default/files/goc-2022-o93_0.pdf" \h</w:instrText>
      </w:r>
      <w:r w:rsidRPr="002A7E64">
        <w:fldChar w:fldCharType="separate"/>
      </w:r>
      <w:r w:rsidRPr="002A7E64">
        <w:rPr>
          <w:rFonts w:eastAsia="Barlow"/>
          <w:color w:val="1155CC"/>
          <w:u w:val="single"/>
        </w:rPr>
        <w:t>Artículo 345</w:t>
      </w:r>
      <w:r w:rsidR="00D6455E" w:rsidRPr="002A7E64">
        <w:rPr>
          <w:rFonts w:eastAsia="Barlow"/>
          <w:color w:val="1155CC"/>
          <w:u w:val="single"/>
        </w:rPr>
        <w:t>.</w:t>
      </w:r>
      <w:r w:rsidRPr="002A7E64">
        <w:rPr>
          <w:rFonts w:eastAsia="Barlow"/>
          <w:color w:val="1155CC"/>
          <w:u w:val="single"/>
        </w:rPr>
        <w:t xml:space="preserve"> Asesinato</w:t>
      </w:r>
      <w:r w:rsidRPr="002A7E64">
        <w:rPr>
          <w:rFonts w:eastAsia="Barlow"/>
          <w:color w:val="1155CC"/>
          <w:u w:val="single"/>
        </w:rPr>
        <w:fldChar w:fldCharType="end"/>
      </w:r>
      <w:r w:rsidRPr="002A7E64">
        <w:rPr>
          <w:rFonts w:eastAsia="Barlow"/>
        </w:rPr>
        <w:t>:</w:t>
      </w:r>
      <w:r w:rsidR="0023552F" w:rsidRPr="002A7E64">
        <w:rPr>
          <w:rFonts w:eastAsia="Barlow"/>
        </w:rPr>
        <w:t xml:space="preserve"> </w:t>
      </w:r>
      <w:r w:rsidR="008C1D01" w:rsidRPr="002A7E64">
        <w:rPr>
          <w:rFonts w:eastAsia="Barlow"/>
        </w:rPr>
        <w:t>e</w:t>
      </w:r>
      <w:r w:rsidRPr="002A7E64">
        <w:rPr>
          <w:rFonts w:eastAsia="Barlow"/>
        </w:rPr>
        <w:t>ste artículo</w:t>
      </w:r>
      <w:r w:rsidR="0023552F" w:rsidRPr="002A7E64">
        <w:rPr>
          <w:rFonts w:eastAsia="Barlow"/>
        </w:rPr>
        <w:t xml:space="preserve"> en su acápite 1</w:t>
      </w:r>
      <w:r w:rsidRPr="002A7E64">
        <w:rPr>
          <w:rFonts w:eastAsia="Barlow"/>
        </w:rPr>
        <w:t xml:space="preserve"> </w:t>
      </w:r>
      <w:r w:rsidR="009B421B" w:rsidRPr="002A7E64">
        <w:rPr>
          <w:rFonts w:eastAsia="Barlow"/>
        </w:rPr>
        <w:t>no tipifica el feminicidio</w:t>
      </w:r>
      <w:r w:rsidR="0023552F" w:rsidRPr="002A7E64">
        <w:rPr>
          <w:rFonts w:eastAsia="Barlow"/>
        </w:rPr>
        <w:t>,</w:t>
      </w:r>
      <w:r w:rsidR="008C1D01" w:rsidRPr="002A7E64">
        <w:rPr>
          <w:rFonts w:eastAsia="Barlow"/>
        </w:rPr>
        <w:t xml:space="preserve"> y </w:t>
      </w:r>
      <w:r w:rsidR="0099241A" w:rsidRPr="002A7E64">
        <w:rPr>
          <w:rFonts w:eastAsia="Barlow"/>
        </w:rPr>
        <w:t>sólo explicita el asesinato intrafamiliar</w:t>
      </w:r>
      <w:r w:rsidR="008C1D01" w:rsidRPr="002A7E64">
        <w:rPr>
          <w:rFonts w:eastAsia="Barlow"/>
        </w:rPr>
        <w:t xml:space="preserve"> (“ascendientes”, “descendientes”, “cónyuges” y “parejas de hecho”), excluyendo </w:t>
      </w:r>
      <w:r w:rsidR="0099241A" w:rsidRPr="002A7E64">
        <w:rPr>
          <w:rFonts w:eastAsia="Barlow"/>
        </w:rPr>
        <w:t>múltiples casuísticas</w:t>
      </w:r>
      <w:r w:rsidR="00CA2608" w:rsidRPr="002A7E64">
        <w:rPr>
          <w:rFonts w:eastAsia="Barlow"/>
        </w:rPr>
        <w:t xml:space="preserve">. </w:t>
      </w:r>
      <w:r w:rsidR="0023552F" w:rsidRPr="002A7E64">
        <w:rPr>
          <w:rFonts w:eastAsia="Barlow"/>
        </w:rPr>
        <w:t xml:space="preserve">En su acápite 2 </w:t>
      </w:r>
      <w:r w:rsidR="00D6455E" w:rsidRPr="002A7E64">
        <w:rPr>
          <w:rFonts w:eastAsia="Barlow"/>
        </w:rPr>
        <w:t>explicita</w:t>
      </w:r>
      <w:r w:rsidR="0023552F" w:rsidRPr="002A7E64">
        <w:rPr>
          <w:rFonts w:eastAsia="Barlow"/>
        </w:rPr>
        <w:t xml:space="preserve"> la “violencia de género” </w:t>
      </w:r>
      <w:r w:rsidR="00C80804" w:rsidRPr="002A7E64">
        <w:rPr>
          <w:rFonts w:eastAsia="Barlow"/>
        </w:rPr>
        <w:t>y aunque</w:t>
      </w:r>
      <w:r w:rsidR="0023552F" w:rsidRPr="002A7E64">
        <w:rPr>
          <w:rFonts w:eastAsia="Barlow"/>
        </w:rPr>
        <w:t xml:space="preserve"> no </w:t>
      </w:r>
      <w:r w:rsidR="0056779C" w:rsidRPr="002A7E64">
        <w:rPr>
          <w:rFonts w:eastAsia="Barlow"/>
        </w:rPr>
        <w:t xml:space="preserve">se distingue de la </w:t>
      </w:r>
      <w:r w:rsidR="0099241A" w:rsidRPr="002A7E64">
        <w:rPr>
          <w:rFonts w:eastAsia="Barlow"/>
        </w:rPr>
        <w:t>penalización</w:t>
      </w:r>
      <w:r w:rsidR="0056779C" w:rsidRPr="002A7E64">
        <w:rPr>
          <w:rFonts w:eastAsia="Barlow"/>
        </w:rPr>
        <w:t xml:space="preserve"> de</w:t>
      </w:r>
      <w:r w:rsidR="0099241A" w:rsidRPr="002A7E64">
        <w:rPr>
          <w:rFonts w:eastAsia="Barlow"/>
        </w:rPr>
        <w:t>l</w:t>
      </w:r>
      <w:r w:rsidR="0056779C" w:rsidRPr="002A7E64">
        <w:rPr>
          <w:rFonts w:eastAsia="Barlow"/>
        </w:rPr>
        <w:t xml:space="preserve"> asesinato</w:t>
      </w:r>
      <w:r w:rsidR="00C80804" w:rsidRPr="002A7E64">
        <w:rPr>
          <w:rFonts w:eastAsia="Barlow"/>
        </w:rPr>
        <w:t>, permit</w:t>
      </w:r>
      <w:r w:rsidR="00360772" w:rsidRPr="002A7E64">
        <w:rPr>
          <w:rFonts w:eastAsia="Barlow"/>
        </w:rPr>
        <w:t>iría</w:t>
      </w:r>
      <w:r w:rsidR="00C80804" w:rsidRPr="002A7E64">
        <w:rPr>
          <w:rFonts w:eastAsia="Barlow"/>
        </w:rPr>
        <w:t xml:space="preserve"> que el homicidio causado por la violencia de género sea agravado a asesinato sin concurrir las consideraciones del artículo 344</w:t>
      </w:r>
      <w:r w:rsidR="00360772" w:rsidRPr="002A7E64">
        <w:rPr>
          <w:rFonts w:eastAsia="Barlow"/>
        </w:rPr>
        <w:t xml:space="preserve">. Pobre y redundante, pues </w:t>
      </w:r>
      <w:r w:rsidR="00D6455E" w:rsidRPr="002A7E64">
        <w:rPr>
          <w:rFonts w:eastAsia="Barlow"/>
        </w:rPr>
        <w:t>ya el artículo 344.c) de “asesinato” define un indicador del feminicidio que ha</w:t>
      </w:r>
      <w:r w:rsidR="00360772" w:rsidRPr="002A7E64">
        <w:rPr>
          <w:rFonts w:eastAsia="Barlow"/>
        </w:rPr>
        <w:t>ría</w:t>
      </w:r>
      <w:r w:rsidR="00D6455E" w:rsidRPr="002A7E64">
        <w:rPr>
          <w:rFonts w:eastAsia="Barlow"/>
        </w:rPr>
        <w:t xml:space="preserve"> punibles todos los feminicidios por asesinato (“</w:t>
      </w:r>
      <w:r w:rsidR="00D6455E" w:rsidRPr="002A7E64">
        <w:rPr>
          <w:rFonts w:eastAsia="Barlow"/>
          <w:b/>
          <w:bCs/>
          <w:i/>
          <w:iCs/>
        </w:rPr>
        <w:t>ejecutar el hecho contra una persona que notoriamente, por sus condiciones personales</w:t>
      </w:r>
      <w:r w:rsidR="00D6455E" w:rsidRPr="002A7E64">
        <w:rPr>
          <w:rFonts w:eastAsia="Barlow"/>
          <w:i/>
          <w:iCs/>
        </w:rPr>
        <w:t xml:space="preserve"> o por las circunstancias en que se encuentra, </w:t>
      </w:r>
      <w:r w:rsidR="00D6455E" w:rsidRPr="002A7E64">
        <w:rPr>
          <w:rFonts w:eastAsia="Barlow"/>
          <w:b/>
          <w:bCs/>
          <w:i/>
          <w:iCs/>
        </w:rPr>
        <w:t>no sea capaz de defenderse adecuadamente</w:t>
      </w:r>
      <w:r w:rsidR="00D6455E" w:rsidRPr="002A7E64">
        <w:rPr>
          <w:rFonts w:eastAsia="Barlow"/>
          <w:i/>
          <w:iCs/>
        </w:rPr>
        <w:t>;</w:t>
      </w:r>
      <w:r w:rsidR="00D6455E" w:rsidRPr="002A7E64">
        <w:rPr>
          <w:rFonts w:eastAsia="Barlow"/>
        </w:rPr>
        <w:t>”).</w:t>
      </w:r>
      <w:r w:rsidR="002A7E64">
        <w:rPr>
          <w:rFonts w:eastAsia="Barlow"/>
        </w:rPr>
        <w:t xml:space="preserve"> U</w:t>
      </w:r>
      <w:r w:rsidR="000A46F4">
        <w:t>n feminicidio, por definición, ya contiene intrínsecamente la condición del artículo 344.c)</w:t>
      </w:r>
      <w:r w:rsidR="004843FF">
        <w:t xml:space="preserve">, </w:t>
      </w:r>
      <w:r w:rsidR="002A7E64">
        <w:t>y si hubiera</w:t>
      </w:r>
      <w:r w:rsidR="004843FF">
        <w:t xml:space="preserve"> excepciones el legislador </w:t>
      </w:r>
      <w:r w:rsidR="002A7E64">
        <w:t>debería</w:t>
      </w:r>
      <w:r w:rsidR="004843FF">
        <w:t xml:space="preserve"> </w:t>
      </w:r>
      <w:r w:rsidR="002A7E64">
        <w:t>explicitarlas</w:t>
      </w:r>
      <w:r w:rsidR="000A46F4">
        <w:t>.</w:t>
      </w:r>
    </w:p>
    <w:p w14:paraId="03E6CFC8" w14:textId="574670C8" w:rsidR="00D527B9" w:rsidRDefault="004843FF" w:rsidP="000644F5">
      <w:r>
        <w:t>E</w:t>
      </w:r>
      <w:r w:rsidR="00C80804">
        <w:t xml:space="preserve">l Estado debería </w:t>
      </w:r>
      <w:r w:rsidR="00DF3BC1">
        <w:t>tipificar e</w:t>
      </w:r>
      <w:r w:rsidR="00D527B9">
        <w:t>xplícitamente</w:t>
      </w:r>
      <w:r w:rsidR="00DF3BC1">
        <w:t xml:space="preserve"> los feminicidios</w:t>
      </w:r>
      <w:r w:rsidR="00D527B9">
        <w:t xml:space="preserve"> y </w:t>
      </w:r>
      <w:r w:rsidR="00D527B9" w:rsidRPr="002A7E64">
        <w:rPr>
          <w:b/>
          <w:bCs/>
        </w:rPr>
        <w:t>adentrarse en los indicadores</w:t>
      </w:r>
      <w:r w:rsidR="00D527B9">
        <w:t xml:space="preserve"> que actúan como agravantes en estos hechos específicos</w:t>
      </w:r>
      <w:r>
        <w:t xml:space="preserve">, dotando a este delito de </w:t>
      </w:r>
      <w:r w:rsidRPr="002A7E64">
        <w:rPr>
          <w:b/>
          <w:bCs/>
        </w:rPr>
        <w:t>una personalidad propia que permita crear toda una serie de medidas legislativas e institucionales en torno a ella</w:t>
      </w:r>
      <w:r>
        <w:t>.</w:t>
      </w:r>
    </w:p>
    <w:p w14:paraId="00000042" w14:textId="7089D867" w:rsidR="00565625" w:rsidRDefault="00AE372E" w:rsidP="000644F5">
      <w:r>
        <w:t xml:space="preserve">De acuerdo con la </w:t>
      </w:r>
      <w:hyperlink r:id="rId44" w:history="1">
        <w:r w:rsidR="00CA2608" w:rsidRPr="00402D98">
          <w:rPr>
            <w:rStyle w:val="Hipervnculo"/>
          </w:rPr>
          <w:t>Convención sobre la Eliminación de Todas las Formas de Discriminación contra la Mujer</w:t>
        </w:r>
      </w:hyperlink>
      <w:r w:rsidR="00CA2608">
        <w:t xml:space="preserve"> (CEDAW) y la “</w:t>
      </w:r>
      <w:hyperlink r:id="rId45" w:history="1">
        <w:r w:rsidR="00CA2608" w:rsidRPr="00402D98">
          <w:rPr>
            <w:rStyle w:val="Hipervnculo"/>
          </w:rPr>
          <w:t>Convención de Belém do Pará</w:t>
        </w:r>
      </w:hyperlink>
      <w:r w:rsidR="00CA2608">
        <w:t>”</w:t>
      </w:r>
      <w:r>
        <w:t xml:space="preserve">, los Estados están obligados a adoptar </w:t>
      </w:r>
      <w:r w:rsidRPr="00CA2608">
        <w:rPr>
          <w:b/>
          <w:bCs/>
        </w:rPr>
        <w:t>medidas específicas</w:t>
      </w:r>
      <w:r>
        <w:t xml:space="preserve"> para prevenir, sancionar y erradicar la </w:t>
      </w:r>
      <w:r w:rsidRPr="00CA2608">
        <w:rPr>
          <w:b/>
          <w:bCs/>
        </w:rPr>
        <w:t>violencia contra las mujeres</w:t>
      </w:r>
      <w:r>
        <w:t xml:space="preserve">. </w:t>
      </w:r>
      <w:r w:rsidR="00DF3BC1">
        <w:t>Incluso con la</w:t>
      </w:r>
      <w:r>
        <w:t xml:space="preserve"> tipificación del feminicidio</w:t>
      </w:r>
      <w:r w:rsidR="004843FF">
        <w:t>, al realizarse</w:t>
      </w:r>
      <w:r>
        <w:t xml:space="preserve"> en términos generales</w:t>
      </w:r>
      <w:r w:rsidR="00DF3BC1">
        <w:t>,</w:t>
      </w:r>
      <w:r>
        <w:t xml:space="preserve"> </w:t>
      </w:r>
      <w:r w:rsidR="00DF3BC1">
        <w:t xml:space="preserve">la medida </w:t>
      </w:r>
      <w:r>
        <w:t>puede no ser suficiente para cumplir con estos compromisos internacionales si no se acompaña de directrices claras y mecanismos efectivos de aplicación</w:t>
      </w:r>
      <w:r w:rsidR="00DF3BC1">
        <w:t>, ausentes en la normativa cubana</w:t>
      </w:r>
      <w:r>
        <w:t>.</w:t>
      </w:r>
    </w:p>
    <w:bookmarkStart w:id="2" w:name="_heading=h.yyw0x0lal5gm" w:colFirst="0" w:colLast="0"/>
    <w:bookmarkStart w:id="3" w:name="_heading=h.3setu0fwxdbh" w:colFirst="0" w:colLast="0"/>
    <w:bookmarkEnd w:id="2"/>
    <w:bookmarkEnd w:id="3"/>
    <w:p w14:paraId="0000004A" w14:textId="169DB9CD" w:rsidR="00565625" w:rsidRPr="002D74D9" w:rsidRDefault="00AE372E" w:rsidP="0071072B">
      <w:pPr>
        <w:pStyle w:val="Ttulo2"/>
      </w:pPr>
      <w:r w:rsidRPr="002D74D9">
        <w:fldChar w:fldCharType="begin"/>
      </w:r>
      <w:r w:rsidRPr="002D74D9">
        <w:instrText>HYPERLINK "https://www.tsp.gob.cu/gaceta-oficial-no-87-ordinaria-de-2022-ley-1562022-codigo-de-las-familias-0" \h</w:instrText>
      </w:r>
      <w:r w:rsidRPr="002D74D9">
        <w:fldChar w:fldCharType="separate"/>
      </w:r>
      <w:r w:rsidRPr="002D74D9">
        <w:t>Ley No.156 del Código de las Familias</w:t>
      </w:r>
      <w:r w:rsidRPr="002D74D9">
        <w:fldChar w:fldCharType="end"/>
      </w:r>
    </w:p>
    <w:p w14:paraId="0000004B" w14:textId="4EF7552D" w:rsidR="00565625" w:rsidRDefault="00AE372E" w:rsidP="00F85472">
      <w:r>
        <w:t xml:space="preserve">La </w:t>
      </w:r>
      <w:hyperlink r:id="rId46">
        <w:r>
          <w:rPr>
            <w:color w:val="1155CC"/>
            <w:u w:val="single"/>
          </w:rPr>
          <w:t>Ley No.156 del Código de las Familias</w:t>
        </w:r>
      </w:hyperlink>
      <w:r>
        <w:t xml:space="preserve">, </w:t>
      </w:r>
      <w:r w:rsidR="008056CA">
        <w:t>de</w:t>
      </w:r>
      <w:r>
        <w:t xml:space="preserve"> 2022, presenta varias deficiencias importantes en relación con el tratamiento del feminicidio y la violencia de género. En primer lugar, aunque aborda la violencia intrafamiliar y de género, </w:t>
      </w:r>
      <w:r>
        <w:rPr>
          <w:b/>
        </w:rPr>
        <w:t>no tipifica explícitamente el feminicidio como un delito autónomo</w:t>
      </w:r>
      <w:r>
        <w:t xml:space="preserve">. </w:t>
      </w:r>
      <w:r w:rsidR="00F85472">
        <w:t>Es destacable y sorprendente como en el artículo 13 de esta Ley (“</w:t>
      </w:r>
      <w:r w:rsidR="00F85472" w:rsidRPr="00F85472">
        <w:rPr>
          <w:b/>
          <w:bCs/>
        </w:rPr>
        <w:t>De la violencia en el ámbito familiar</w:t>
      </w:r>
      <w:r w:rsidR="00F85472">
        <w:t>”) define los actos de violencia excluyendo el feminicidio: “</w:t>
      </w:r>
      <w:r w:rsidR="00F85472" w:rsidRPr="00F85472">
        <w:rPr>
          <w:i/>
          <w:iCs/>
        </w:rPr>
        <w:t>Constituyen expresiones de violencia familiar el maltrato verbal, físico, psíquico, moral, sexual, económico o patrimonial, la negligencia, la desatención y el abandono, ya sea por acción u omisión, directa o indirecta</w:t>
      </w:r>
      <w:r w:rsidR="00F85472">
        <w:t xml:space="preserve">”. </w:t>
      </w:r>
      <w:r>
        <w:t xml:space="preserve">Esta </w:t>
      </w:r>
      <w:r w:rsidR="00F85472">
        <w:t xml:space="preserve">notoria </w:t>
      </w:r>
      <w:r>
        <w:t>omisión dificulta la visibilidad y el tratamiento adecuado de estos crímenes específicos en el marco legal cubano, ya que la falta de una definición clara y específica puede resultar en una falta de reconocimiento de la gravedad y particularidad de los feminicidios.</w:t>
      </w:r>
    </w:p>
    <w:p w14:paraId="0000004C" w14:textId="0228D75C" w:rsidR="00565625" w:rsidRDefault="00AE372E" w:rsidP="00E70615">
      <w:r>
        <w:t>Además, la ausencia de una tipificación específica del feminicidio</w:t>
      </w:r>
      <w:r w:rsidR="00F85472">
        <w:t xml:space="preserve"> en toda la legislación cubana</w:t>
      </w:r>
      <w:r>
        <w:t xml:space="preserve"> puede llevar a inconsistencias en </w:t>
      </w:r>
      <w:r w:rsidR="00F85472">
        <w:t>su</w:t>
      </w:r>
      <w:r>
        <w:t xml:space="preserve"> aplicación. Sin definiciones claras, fiscales y jueces pueden enfrentar dificultades para aplicar las disposiciones legales de manera uniforme, lo que podría resultar en disparidades en la protección de las víctimas y en las sentencias impuestas a los perpetradores. </w:t>
      </w:r>
      <w:r w:rsidR="008432D9">
        <w:t>Se</w:t>
      </w:r>
      <w:r>
        <w:t xml:space="preserve"> subraya la necesidad de una normativa más precisa y especializada para abordar los feminicidios.</w:t>
      </w:r>
    </w:p>
    <w:p w14:paraId="0A669244" w14:textId="08BAE500" w:rsidR="008432D9" w:rsidRPr="0071072B" w:rsidRDefault="00C23674" w:rsidP="0071072B">
      <w:pPr>
        <w:pStyle w:val="Ttulo2"/>
      </w:pPr>
      <w:r>
        <w:t>Influencia de la legislación en el a</w:t>
      </w:r>
      <w:r w:rsidR="008432D9" w:rsidRPr="0071072B">
        <w:t>nálisis, seguimiento, control y prevención de esta lacra</w:t>
      </w:r>
    </w:p>
    <w:p w14:paraId="0000004D" w14:textId="33BEF1C2" w:rsidR="00565625" w:rsidRDefault="00AE372E" w:rsidP="00E70615">
      <w:r>
        <w:t xml:space="preserve">Otra deficiencia significativa </w:t>
      </w:r>
      <w:r w:rsidR="00976F87">
        <w:t>en</w:t>
      </w:r>
      <w:r w:rsidR="008432D9">
        <w:t xml:space="preserve"> la legislación cubana es</w:t>
      </w:r>
      <w:r>
        <w:t xml:space="preserve"> la falta de mecanismos específicos para la recolección de datos sobre feminicidios y violencia de género. La ausencia de datos detallados y específicos dificulta el diseño y la implementación de políticas públicas efectivas, así como la evaluación del impacto de las medidas adoptadas. Sin una base de datos adecuada, es difícil realizar un seguimiento preciso de la prevalencia de estos crímenes y de la eficacia de las intervenciones.</w:t>
      </w:r>
    </w:p>
    <w:p w14:paraId="0000004E" w14:textId="75AFB76B" w:rsidR="00565625" w:rsidRDefault="00AE372E" w:rsidP="00E70615">
      <w:r>
        <w:t>La</w:t>
      </w:r>
      <w:r w:rsidR="008432D9">
        <w:t xml:space="preserve"> legislación debería contener </w:t>
      </w:r>
      <w:r>
        <w:t>disposiciones sobre la capacitación y sensibilización de las fuerzas del orden, el personal judicial y otros actores relevantes</w:t>
      </w:r>
      <w:r w:rsidR="008432D9">
        <w:t xml:space="preserve"> sobre esta lacra</w:t>
      </w:r>
      <w:r>
        <w:t>. La falta de formación adecuada puede afectar la respuesta de los profesionales a los casos de feminicidio y violencia de género, lo que subraya la importancia de programas de capacitación específicos para garantizar una respuesta efectiva y sensible.</w:t>
      </w:r>
    </w:p>
    <w:p w14:paraId="625243F2" w14:textId="77777777" w:rsidR="00D022C0" w:rsidRDefault="008432D9" w:rsidP="00E70615">
      <w:r>
        <w:t>Aunque el</w:t>
      </w:r>
      <w:r w:rsidR="0071072B">
        <w:t xml:space="preserve"> Código Penal de Cuba tiene avances en la relevancia punitiva para la violencia de género, y el</w:t>
      </w:r>
      <w:r>
        <w:t xml:space="preserve"> </w:t>
      </w:r>
      <w:hyperlink r:id="rId47">
        <w:r>
          <w:rPr>
            <w:color w:val="1155CC"/>
            <w:u w:val="single"/>
          </w:rPr>
          <w:t>Código de las Familias</w:t>
        </w:r>
      </w:hyperlink>
      <w:r>
        <w:t xml:space="preserve"> menciona la implementación de políticas públicas para prevenir y erradicar la violencia de género, la efectividad de estas medidas depende de una fuerte coordinación interinstitucional. La legislación cubana, de forma integral, debería fortalecer las directrices para la</w:t>
      </w:r>
      <w:r w:rsidR="0071072B">
        <w:t xml:space="preserve"> acción específica y la</w:t>
      </w:r>
      <w:r>
        <w:t xml:space="preserve"> colaboración entre diferentes organismos y servicios para asegurar una respuesta integrada y cohesiva a la violencia de género. La falta de </w:t>
      </w:r>
      <w:r w:rsidR="0071072B">
        <w:t xml:space="preserve">disposiciones y </w:t>
      </w:r>
      <w:r>
        <w:lastRenderedPageBreak/>
        <w:t>coordinación limita la eficacia de las políticas públicas y de los servicios de apoyo a las víctimas, subrayando la necesidad de un enfoque más colaborativo e integrado.</w:t>
      </w:r>
    </w:p>
    <w:p w14:paraId="0000004F" w14:textId="599F7258" w:rsidR="00565625" w:rsidRDefault="00D022C0" w:rsidP="00E70615">
      <w:r>
        <w:t xml:space="preserve">Resulta evidente, por tanto, que la </w:t>
      </w:r>
      <w:r w:rsidRPr="00D022C0">
        <w:t>falta de una Ley Integral también debilita la prevención</w:t>
      </w:r>
      <w:r>
        <w:t xml:space="preserve"> y</w:t>
      </w:r>
      <w:r w:rsidRPr="00D022C0">
        <w:t xml:space="preserve"> la</w:t>
      </w:r>
      <w:r>
        <w:t xml:space="preserve"> necesaria </w:t>
      </w:r>
      <w:r w:rsidRPr="00D022C0">
        <w:t xml:space="preserve">coordinación institucional </w:t>
      </w:r>
      <w:r>
        <w:t>para luchar contra esta lacra</w:t>
      </w:r>
      <w:r w:rsidRPr="00D022C0">
        <w:t>.</w:t>
      </w:r>
    </w:p>
    <w:p w14:paraId="00000050" w14:textId="77777777" w:rsidR="00565625" w:rsidRPr="002D74D9" w:rsidRDefault="00000000" w:rsidP="0071072B">
      <w:pPr>
        <w:pStyle w:val="Ttulo2"/>
      </w:pPr>
      <w:hyperlink r:id="rId48">
        <w:r w:rsidR="00AE372E" w:rsidRPr="002D74D9">
          <w:t>Plan Nacional para el Adelanto de las Mujeres (2021-2030)</w:t>
        </w:r>
      </w:hyperlink>
    </w:p>
    <w:p w14:paraId="00000051" w14:textId="3AE3E8CD" w:rsidR="00565625" w:rsidRDefault="00AE372E" w:rsidP="00E70615">
      <w:r>
        <w:t>El Plan Nacional para el Adelanto de las Mujeres (PAM) en Cuba, establecido para el período 2021-2030, ha recibido varias críticas que destacan sus limitaciones y áreas de mejora. Una de las principales críticas al PAM es la falta de tipificación específica del feminicidio en el Código Penal cubano y la falta de especificidad y concreción en las acciones propuestas. Aunque el plan pretende abordar la violencia de género, la falta de una ley integral específica contra la violencia de género ha sido un punto de crítica recurrente. Activistas y organizaciones feministas han señalado que, sin una legislación específica que aborde todos los aspectos de la violencia de género, las medidas del PAM resultan insuficientes para proteger efectivamente a las mujeres</w:t>
      </w:r>
      <w:r>
        <w:rPr>
          <w:rFonts w:ascii="Times New Roman" w:hAnsi="Times New Roman" w:cs="Times New Roman"/>
        </w:rPr>
        <w:t>​</w:t>
      </w:r>
      <w:r w:rsidR="0071072B">
        <w:t>.</w:t>
      </w:r>
      <w:r w:rsidR="0071072B">
        <w:rPr>
          <w:rStyle w:val="Refdenotaalpie"/>
        </w:rPr>
        <w:footnoteReference w:id="13"/>
      </w:r>
      <w:r>
        <w:rPr>
          <w:rFonts w:ascii="Times New Roman" w:hAnsi="Times New Roman" w:cs="Times New Roman"/>
        </w:rPr>
        <w:t>​​</w:t>
      </w:r>
    </w:p>
    <w:p w14:paraId="00000052" w14:textId="628C0E97" w:rsidR="00565625" w:rsidRDefault="00AE372E" w:rsidP="00E70615">
      <w:r>
        <w:t>Además, el PAM ha sido criticado por su dependencia de la voluntad política y su implementación desigual a lo largo del país. En algunos casos, los programas y recursos prometidos no se han materializado de manera efectiva, lo que ha llevado a una implementación desigual de las políticas de protección y apoyo a las mujeres. Por ejemplo, en algunas regiones, los programas de adiestramiento y las casitas infantiles para el cuidado de los hijos de mujeres trabajadoras no han sido desarrollados como se había planeado</w:t>
      </w:r>
      <w:r>
        <w:rPr>
          <w:rFonts w:ascii="Times New Roman" w:hAnsi="Times New Roman" w:cs="Times New Roman"/>
        </w:rPr>
        <w:t>​</w:t>
      </w:r>
      <w:r w:rsidR="0071072B">
        <w:t>.</w:t>
      </w:r>
      <w:r w:rsidR="0071072B">
        <w:rPr>
          <w:rStyle w:val="Refdenotaalpie"/>
        </w:rPr>
        <w:footnoteReference w:id="14"/>
      </w:r>
    </w:p>
    <w:p w14:paraId="00000053" w14:textId="1ADCFF2B" w:rsidR="00565625" w:rsidRDefault="00AE372E" w:rsidP="00E70615">
      <w:r>
        <w:t>Otra crítica significativa se refiere a la falta de inclusión de actores de la</w:t>
      </w:r>
      <w:r w:rsidR="00FA3088">
        <w:t>s</w:t>
      </w:r>
      <w:r>
        <w:t xml:space="preserve"> </w:t>
      </w:r>
      <w:r w:rsidR="00FA3088">
        <w:rPr>
          <w:highlight w:val="white"/>
        </w:rPr>
        <w:t>ONGs independientes</w:t>
      </w:r>
      <w:r>
        <w:t xml:space="preserve"> y organizaciones independientes en el diseño y ejecución del PAM. Aunque el programa involucra a múltiples instituciones gubernamentales y organismos internacionales, la participación de organizaciones feministas y de derechos humanos independientes ha sido limitada, lo que ha generado preocupaciones sobre la transparencia y la efectividad del plan</w:t>
      </w:r>
      <w:r w:rsidR="0071072B">
        <w:rPr>
          <w:rFonts w:ascii="Times New Roman" w:hAnsi="Times New Roman" w:cs="Times New Roman"/>
        </w:rPr>
        <w:t>.</w:t>
      </w:r>
      <w:r w:rsidR="0071072B">
        <w:rPr>
          <w:rStyle w:val="Refdenotaalpie"/>
          <w:rFonts w:cs="Times New Roman"/>
        </w:rPr>
        <w:footnoteReference w:id="15"/>
      </w:r>
    </w:p>
    <w:p w14:paraId="00000054" w14:textId="18C3AE2E" w:rsidR="00565625" w:rsidRDefault="00AE372E" w:rsidP="00E70615">
      <w:r>
        <w:t>Finalmente, la efectividad del PAM se ve comprometida por la falta de datos y estadísticas confiables sobre la violencia de género en Cuba. Sin un sistema robusto de recolección y análisis de datos, es difícil evaluar el impacto real de las políticas implementadas y ajustar las estrategias para mejorar la protección de las mujeres</w:t>
      </w:r>
      <w:r>
        <w:rPr>
          <w:rFonts w:ascii="Times New Roman" w:hAnsi="Times New Roman" w:cs="Times New Roman"/>
        </w:rPr>
        <w:t>​</w:t>
      </w:r>
      <w:r>
        <w:t>.</w:t>
      </w:r>
      <w:r w:rsidR="000C1297">
        <w:rPr>
          <w:rStyle w:val="Refdenotaalpie"/>
        </w:rPr>
        <w:footnoteReference w:id="16"/>
      </w:r>
    </w:p>
    <w:p w14:paraId="00000055" w14:textId="77777777" w:rsidR="00565625" w:rsidRDefault="00AE372E" w:rsidP="00E70615">
      <w:r>
        <w:t>En conclusión, el Plan Nacional para el Adelanto de las Mujeres representa un mínimo avance en la política de género en Cuba, enfrenta críticas significativas por su falta de concreción, implementación desigual, exclusión de actores independientes y deficiencias en la recolección de datos. Estas áreas de mejora deben ser abordadas para garantizar que el plan cumpla con su objetivo de promover la igualdad de género y proteger a las mujeres de la violencia.</w:t>
      </w:r>
    </w:p>
    <w:p w14:paraId="00000056" w14:textId="77777777" w:rsidR="00565625" w:rsidRDefault="00AE372E" w:rsidP="0071072B">
      <w:pPr>
        <w:pStyle w:val="Ttulo2"/>
      </w:pPr>
      <w:r>
        <w:t>Conclusiones: Carencias del Marco Legal</w:t>
      </w:r>
    </w:p>
    <w:p w14:paraId="00000057" w14:textId="7000BD32" w:rsidR="00565625" w:rsidRDefault="00AE372E" w:rsidP="00E70615">
      <w:r>
        <w:t>El análisis de la norma</w:t>
      </w:r>
      <w:r w:rsidR="002D74D9">
        <w:t xml:space="preserve"> legal</w:t>
      </w:r>
      <w:r>
        <w:t xml:space="preserve"> cubana revela importantes carencias</w:t>
      </w:r>
      <w:r w:rsidR="002D74D9">
        <w:t xml:space="preserve"> y omisiones</w:t>
      </w:r>
      <w:r>
        <w:t xml:space="preserve"> en la protección de las mujeres y en la sanción del feminicidio. La ausencia de una tipificación específica del feminicidio y de una legislación integral sobre violencia de género limita la capacidad del sistema legal para</w:t>
      </w:r>
      <w:r w:rsidR="000C1297">
        <w:t xml:space="preserve"> analizar,</w:t>
      </w:r>
      <w:r>
        <w:t xml:space="preserve"> enfrentar y prevenir estos crímenes de manera efectiva. Además, la protección y apoyo a las víctimas indirectas son insuficientes y requieren un enfoque más amplio y detallado.</w:t>
      </w:r>
    </w:p>
    <w:p w14:paraId="00000058" w14:textId="77777777" w:rsidR="00565625" w:rsidRPr="002D74D9" w:rsidRDefault="00AE372E" w:rsidP="0071072B">
      <w:pPr>
        <w:pStyle w:val="Ttulo2"/>
      </w:pPr>
      <w:r w:rsidRPr="002D74D9">
        <w:t>Recomendaciones</w:t>
      </w:r>
    </w:p>
    <w:p w14:paraId="00000059" w14:textId="77777777" w:rsidR="00565625" w:rsidRDefault="00AE372E" w:rsidP="00E70615">
      <w:pPr>
        <w:numPr>
          <w:ilvl w:val="0"/>
          <w:numId w:val="8"/>
        </w:numPr>
        <w:spacing w:before="120"/>
        <w:ind w:left="284" w:hanging="284"/>
      </w:pPr>
      <w:r>
        <w:rPr>
          <w:b/>
        </w:rPr>
        <w:t>Reforma del Código Penal: Incluir el feminicidio como un delito específico</w:t>
      </w:r>
      <w:r>
        <w:t xml:space="preserve"> con penas adecuadas y reconocimiento de las circunstancias particulares del crimen.</w:t>
      </w:r>
    </w:p>
    <w:p w14:paraId="0000005A" w14:textId="158001DA" w:rsidR="00565625" w:rsidRDefault="00AE372E" w:rsidP="00E70615">
      <w:pPr>
        <w:numPr>
          <w:ilvl w:val="0"/>
          <w:numId w:val="8"/>
        </w:numPr>
        <w:spacing w:before="120"/>
        <w:ind w:left="284" w:hanging="284"/>
      </w:pPr>
      <w:r>
        <w:rPr>
          <w:b/>
        </w:rPr>
        <w:t>Desarrollo de una Ley Integral sobre Violencia de Género:</w:t>
      </w:r>
      <w:r>
        <w:t xml:space="preserve"> Crear una legislación coherente y exhaustiva que aborde todas las formas de violencia de género, con mecanismos claros de implementación</w:t>
      </w:r>
      <w:r w:rsidR="000C1297">
        <w:t>, seguimiento</w:t>
      </w:r>
      <w:r>
        <w:t xml:space="preserve"> y protección.</w:t>
      </w:r>
    </w:p>
    <w:p w14:paraId="0000005B" w14:textId="7DF6F731" w:rsidR="00565625" w:rsidRDefault="000C1297" w:rsidP="00E70615">
      <w:pPr>
        <w:numPr>
          <w:ilvl w:val="0"/>
          <w:numId w:val="8"/>
        </w:numPr>
        <w:spacing w:before="120"/>
        <w:ind w:left="284" w:hanging="284"/>
      </w:pPr>
      <w:r>
        <w:rPr>
          <w:b/>
        </w:rPr>
        <w:t>Fortalecimiento de la protección a víctimas indirectas:</w:t>
      </w:r>
      <w:r>
        <w:t xml:space="preserve"> Establecer programas de apoyo psicológico, social y económico para los hijos y otros familiares de las víctimas de feminicidio.</w:t>
      </w:r>
    </w:p>
    <w:p w14:paraId="0000005C" w14:textId="76DCFA71" w:rsidR="00565625" w:rsidRDefault="00AE372E" w:rsidP="00E70615">
      <w:pPr>
        <w:numPr>
          <w:ilvl w:val="0"/>
          <w:numId w:val="8"/>
        </w:numPr>
        <w:spacing w:before="120"/>
        <w:ind w:left="284" w:hanging="284"/>
      </w:pPr>
      <w:r>
        <w:rPr>
          <w:b/>
        </w:rPr>
        <w:t xml:space="preserve">Mejora en la recolección y publicación de datos: </w:t>
      </w:r>
      <w:r>
        <w:t>Aumentar la transparencia</w:t>
      </w:r>
      <w:r w:rsidR="000C1297">
        <w:t>, definición</w:t>
      </w:r>
      <w:r>
        <w:t xml:space="preserve"> y precisión </w:t>
      </w:r>
      <w:r w:rsidR="000C1297">
        <w:t>de</w:t>
      </w:r>
      <w:r>
        <w:t xml:space="preserve"> la recolección de datos sobre feminicidios y violencia de género para informar políticas y programas efectivos.</w:t>
      </w:r>
    </w:p>
    <w:p w14:paraId="0000005E" w14:textId="52D4D1EE" w:rsidR="00565625" w:rsidRPr="003B0540" w:rsidRDefault="00AE372E" w:rsidP="00752099">
      <w:pPr>
        <w:pStyle w:val="Ttulo1"/>
      </w:pPr>
      <w:r w:rsidRPr="003B0540">
        <w:lastRenderedPageBreak/>
        <w:t>Feminicidios documentados</w:t>
      </w:r>
    </w:p>
    <w:p w14:paraId="63CD946E" w14:textId="13CF016C" w:rsidR="000C1297" w:rsidRDefault="000C1297" w:rsidP="0071072B">
      <w:pPr>
        <w:pStyle w:val="Ttulo2"/>
      </w:pPr>
      <w:bookmarkStart w:id="4" w:name="_heading=h.58wgqnh6v3rh" w:colFirst="0" w:colLast="0"/>
      <w:bookmarkEnd w:id="4"/>
      <w:r>
        <w:t xml:space="preserve">Feminicidios documentados en los últimos </w:t>
      </w:r>
      <w:r w:rsidR="006E597A">
        <w:t>3</w:t>
      </w:r>
      <w:r>
        <w:t xml:space="preserve"> años</w:t>
      </w:r>
      <w:r w:rsidR="006E597A">
        <w:t xml:space="preserve"> </w:t>
      </w:r>
      <w:proofErr w:type="spellStart"/>
      <w:r w:rsidR="006E597A">
        <w:t>años</w:t>
      </w:r>
      <w:proofErr w:type="spellEnd"/>
      <w:r w:rsidR="006E597A">
        <w:t xml:space="preserve"> y </w:t>
      </w:r>
      <w:r w:rsidR="00615ACB">
        <w:t>ocho meses</w:t>
      </w:r>
    </w:p>
    <w:p w14:paraId="75DF61C6" w14:textId="197B01FE" w:rsidR="00615ACB" w:rsidRDefault="006E597A" w:rsidP="000C1297">
      <w:pPr>
        <w:rPr>
          <w:lang w:eastAsia="es-ES"/>
        </w:rPr>
      </w:pPr>
      <w:r w:rsidRPr="006E597A">
        <w:rPr>
          <w:lang w:eastAsia="es-ES"/>
        </w:rPr>
        <w:t xml:space="preserve">El </w:t>
      </w:r>
      <w:r w:rsidRPr="00A967A2">
        <w:rPr>
          <w:b/>
          <w:bCs/>
          <w:lang w:eastAsia="es-ES"/>
        </w:rPr>
        <w:t>Observatorio de Género de Alas Tensas</w:t>
      </w:r>
      <w:r w:rsidRPr="006E597A">
        <w:rPr>
          <w:lang w:eastAsia="es-ES"/>
        </w:rPr>
        <w:t xml:space="preserve"> (OGAT) de manera conjunta con el Observatorio de Feminicidios de </w:t>
      </w:r>
      <w:r w:rsidRPr="00A967A2">
        <w:rPr>
          <w:b/>
          <w:bCs/>
          <w:lang w:eastAsia="es-ES"/>
        </w:rPr>
        <w:t>Yo Sí te Creo en Cuba</w:t>
      </w:r>
      <w:r w:rsidRPr="006E597A">
        <w:rPr>
          <w:lang w:eastAsia="es-ES"/>
        </w:rPr>
        <w:t xml:space="preserve"> (YSTCC) han </w:t>
      </w:r>
      <w:r>
        <w:rPr>
          <w:lang w:eastAsia="es-ES"/>
        </w:rPr>
        <w:t>trabajado durante años la verificación de casos de femi</w:t>
      </w:r>
      <w:r w:rsidR="00D022C0">
        <w:rPr>
          <w:lang w:eastAsia="es-ES"/>
        </w:rPr>
        <w:t>nic</w:t>
      </w:r>
      <w:r>
        <w:rPr>
          <w:lang w:eastAsia="es-ES"/>
        </w:rPr>
        <w:t xml:space="preserve">idio en Cuba, </w:t>
      </w:r>
      <w:r w:rsidRPr="006E597A">
        <w:rPr>
          <w:lang w:eastAsia="es-ES"/>
        </w:rPr>
        <w:t>de acuerdo con la metodología empleada por el Ministerio de Igualdad de España desde 2022, y gracias a una red de observadoras en distintas provincias de Cuba</w:t>
      </w:r>
      <w:r>
        <w:rPr>
          <w:lang w:eastAsia="es-ES"/>
        </w:rPr>
        <w:t xml:space="preserve">. </w:t>
      </w:r>
      <w:r w:rsidR="00615ACB">
        <w:rPr>
          <w:lang w:eastAsia="es-ES"/>
        </w:rPr>
        <w:t xml:space="preserve">Siendo conscientes de que representan una pequeña parte del total que podría subyacer en la sociedad cubana, </w:t>
      </w:r>
      <w:r w:rsidR="00A967A2">
        <w:rPr>
          <w:lang w:eastAsia="es-ES"/>
        </w:rPr>
        <w:t>el trabajo tiene</w:t>
      </w:r>
      <w:r w:rsidR="00615ACB">
        <w:rPr>
          <w:lang w:eastAsia="es-ES"/>
        </w:rPr>
        <w:t xml:space="preserve"> un valor relevante para detectar patrones, tendencias, y poder determinar que existe una crisis feminicida en Cuba en la actualidad.</w:t>
      </w:r>
    </w:p>
    <w:p w14:paraId="25D1396D" w14:textId="374A20E2" w:rsidR="00694CD0" w:rsidRDefault="001B12DA" w:rsidP="000C1297">
      <w:pPr>
        <w:rPr>
          <w:lang w:eastAsia="es-ES"/>
        </w:rPr>
      </w:pPr>
      <w:r>
        <w:rPr>
          <w:lang w:eastAsia="es-ES"/>
        </w:rPr>
        <w:t>Estudios más detallados sobre la problemática de los feminicidios</w:t>
      </w:r>
      <w:r w:rsidRPr="004B66C0">
        <w:t xml:space="preserve"> en </w:t>
      </w:r>
      <w:r>
        <w:rPr>
          <w:lang w:eastAsia="es-ES"/>
        </w:rPr>
        <w:t>Cuba, se pueden consultar en los</w:t>
      </w:r>
      <w:r w:rsidR="00DD1B92">
        <w:rPr>
          <w:lang w:eastAsia="es-ES"/>
        </w:rPr>
        <w:t xml:space="preserve"> últimos</w:t>
      </w:r>
      <w:r>
        <w:rPr>
          <w:lang w:eastAsia="es-ES"/>
        </w:rPr>
        <w:t xml:space="preserve"> informes anuales</w:t>
      </w:r>
      <w:r w:rsidR="00DD1B92">
        <w:rPr>
          <w:lang w:eastAsia="es-ES"/>
        </w:rPr>
        <w:t xml:space="preserve"> </w:t>
      </w:r>
      <w:r>
        <w:rPr>
          <w:lang w:eastAsia="es-ES"/>
        </w:rPr>
        <w:t xml:space="preserve">de OGAT: </w:t>
      </w:r>
    </w:p>
    <w:p w14:paraId="0B0F4389" w14:textId="6EEAB408" w:rsidR="001B12DA" w:rsidRDefault="001B12DA" w:rsidP="000C1297">
      <w:pPr>
        <w:pStyle w:val="Prrafodelista"/>
        <w:numPr>
          <w:ilvl w:val="0"/>
          <w:numId w:val="15"/>
        </w:numPr>
        <w:ind w:left="284" w:hanging="295"/>
      </w:pPr>
      <w:r w:rsidRPr="001B12DA">
        <w:rPr>
          <w:b/>
          <w:bCs/>
          <w:lang w:eastAsia="es-ES"/>
        </w:rPr>
        <w:t>Año 202</w:t>
      </w:r>
      <w:r>
        <w:rPr>
          <w:b/>
          <w:bCs/>
          <w:lang w:eastAsia="es-ES"/>
        </w:rPr>
        <w:t>1</w:t>
      </w:r>
      <w:r w:rsidRPr="001B12DA">
        <w:rPr>
          <w:b/>
          <w:bCs/>
          <w:lang w:eastAsia="es-ES"/>
        </w:rPr>
        <w:t xml:space="preserve">: </w:t>
      </w:r>
      <w:r>
        <w:rPr>
          <w:lang w:eastAsia="es-ES"/>
        </w:rPr>
        <w:t xml:space="preserve">Estudio detallado: </w:t>
      </w:r>
      <w:hyperlink r:id="rId49" w:history="1">
        <w:r w:rsidRPr="003F6F0C">
          <w:rPr>
            <w:rStyle w:val="Hipervnculo"/>
            <w:lang w:eastAsia="es-ES"/>
          </w:rPr>
          <w:t>https://alastensas.com/documentos/informe-de-feminicidios-en-cuba-en-2021-del-observatorio-de-genero-de-alas-tensas/</w:t>
        </w:r>
      </w:hyperlink>
      <w:r>
        <w:rPr>
          <w:lang w:eastAsia="es-ES"/>
        </w:rPr>
        <w:t xml:space="preserve"> </w:t>
      </w:r>
    </w:p>
    <w:p w14:paraId="36B6FFC8" w14:textId="39A08076" w:rsidR="006E597A" w:rsidRDefault="006E597A" w:rsidP="006E597A">
      <w:pPr>
        <w:pStyle w:val="Prrafodelista"/>
        <w:numPr>
          <w:ilvl w:val="0"/>
          <w:numId w:val="15"/>
        </w:numPr>
        <w:ind w:left="284" w:hanging="295"/>
        <w:rPr>
          <w:lang w:eastAsia="es-ES"/>
        </w:rPr>
      </w:pPr>
      <w:r w:rsidRPr="00615ACB">
        <w:rPr>
          <w:b/>
          <w:bCs/>
          <w:lang w:eastAsia="es-ES"/>
        </w:rPr>
        <w:t>Año 202</w:t>
      </w:r>
      <w:r w:rsidR="001B12DA">
        <w:rPr>
          <w:b/>
          <w:bCs/>
          <w:lang w:eastAsia="es-ES"/>
        </w:rPr>
        <w:t>2</w:t>
      </w:r>
      <w:r w:rsidRPr="00615ACB">
        <w:rPr>
          <w:b/>
          <w:bCs/>
          <w:lang w:eastAsia="es-ES"/>
        </w:rPr>
        <w:t xml:space="preserve">: </w:t>
      </w:r>
      <w:r w:rsidR="00615ACB">
        <w:rPr>
          <w:lang w:eastAsia="es-ES"/>
        </w:rPr>
        <w:t xml:space="preserve">Estudio detallado: </w:t>
      </w:r>
      <w:hyperlink r:id="rId50" w:history="1">
        <w:r w:rsidR="001B12DA" w:rsidRPr="003F6F0C">
          <w:rPr>
            <w:rStyle w:val="Hipervnculo"/>
            <w:lang w:eastAsia="es-ES"/>
          </w:rPr>
          <w:t>https://drive.google.com/file/d/1GZF1TfksM1WsxnyFidWsH8wn_eS8kRJR/view</w:t>
        </w:r>
      </w:hyperlink>
      <w:r w:rsidR="001B12DA">
        <w:rPr>
          <w:lang w:eastAsia="es-ES"/>
        </w:rPr>
        <w:t xml:space="preserve"> </w:t>
      </w:r>
    </w:p>
    <w:p w14:paraId="3C0B32E2" w14:textId="32094B51" w:rsidR="001B12DA" w:rsidRDefault="006E597A" w:rsidP="00E06458">
      <w:pPr>
        <w:pStyle w:val="Prrafodelista"/>
        <w:numPr>
          <w:ilvl w:val="0"/>
          <w:numId w:val="15"/>
        </w:numPr>
        <w:ind w:left="284" w:hanging="295"/>
      </w:pPr>
      <w:r w:rsidRPr="001B12DA">
        <w:rPr>
          <w:b/>
          <w:bCs/>
          <w:lang w:eastAsia="es-ES"/>
        </w:rPr>
        <w:t>Año 202</w:t>
      </w:r>
      <w:r w:rsidR="001B12DA">
        <w:rPr>
          <w:b/>
          <w:bCs/>
          <w:lang w:eastAsia="es-ES"/>
        </w:rPr>
        <w:t>3</w:t>
      </w:r>
      <w:r w:rsidRPr="001B12DA">
        <w:rPr>
          <w:b/>
          <w:bCs/>
          <w:lang w:eastAsia="es-ES"/>
        </w:rPr>
        <w:t xml:space="preserve">: </w:t>
      </w:r>
      <w:r w:rsidR="00615ACB">
        <w:rPr>
          <w:lang w:eastAsia="es-ES"/>
        </w:rPr>
        <w:t xml:space="preserve">Estudio detallado: </w:t>
      </w:r>
      <w:hyperlink r:id="rId51" w:history="1">
        <w:r w:rsidR="001B12DA" w:rsidRPr="003F6F0C">
          <w:rPr>
            <w:rStyle w:val="Hipervnculo"/>
            <w:lang w:eastAsia="es-ES"/>
          </w:rPr>
          <w:t>https://drive.google.com/file/d/11s9B2f4x5AfZQ8tIF_mZLTQjmBC-Lfyl/view</w:t>
        </w:r>
      </w:hyperlink>
      <w:r w:rsidR="001B12DA">
        <w:rPr>
          <w:lang w:eastAsia="es-ES"/>
        </w:rPr>
        <w:t xml:space="preserve"> </w:t>
      </w:r>
    </w:p>
    <w:p w14:paraId="2086520B" w14:textId="77777777" w:rsidR="001B12DA" w:rsidRPr="004B66C0" w:rsidRDefault="001B12DA" w:rsidP="004B66C0">
      <w:pPr>
        <w:pStyle w:val="Prrafodelista"/>
        <w:ind w:left="284"/>
        <w:rPr>
          <w:b/>
        </w:rPr>
      </w:pPr>
    </w:p>
    <w:p w14:paraId="0000005F" w14:textId="010BF4D2" w:rsidR="00565625" w:rsidRPr="002D74D9" w:rsidRDefault="00AE372E" w:rsidP="004B66C0">
      <w:pPr>
        <w:pStyle w:val="Prrafodelista"/>
        <w:ind w:left="0"/>
      </w:pPr>
      <w:r w:rsidRPr="004B66C0">
        <w:rPr>
          <w:b/>
          <w:bCs/>
        </w:rPr>
        <w:t>Análisis de algunos casos</w:t>
      </w:r>
      <w:r w:rsidR="004B66C0">
        <w:t>:</w:t>
      </w:r>
    </w:p>
    <w:p w14:paraId="00000063" w14:textId="1120EE08" w:rsidR="00565625" w:rsidRDefault="00DF74DB" w:rsidP="00E70615">
      <w:pPr>
        <w:rPr>
          <w:highlight w:val="white"/>
        </w:rPr>
      </w:pPr>
      <w:r w:rsidRPr="00DF74DB">
        <w:t xml:space="preserve">La metodología de OGAT establece, además del feminicidio de pareja y expareja, otras tipologías diversas, como el feminicidio sexual, social, familiar, vicario y el </w:t>
      </w:r>
      <w:proofErr w:type="spellStart"/>
      <w:r w:rsidRPr="00DF74DB">
        <w:t>ginecobstétrico</w:t>
      </w:r>
      <w:proofErr w:type="spellEnd"/>
      <w:r w:rsidRPr="00DF74DB">
        <w:t>.</w:t>
      </w:r>
      <w:r w:rsidR="00522B6A">
        <w:rPr>
          <w:rStyle w:val="Refdenotaalpie"/>
          <w:highlight w:val="white"/>
        </w:rPr>
        <w:footnoteReference w:id="17"/>
      </w:r>
    </w:p>
    <w:p w14:paraId="00000065" w14:textId="1CA46728" w:rsidR="00565625" w:rsidRDefault="00AE372E" w:rsidP="00E70615">
      <w:pPr>
        <w:rPr>
          <w:highlight w:val="white"/>
        </w:rPr>
      </w:pPr>
      <w:r>
        <w:rPr>
          <w:highlight w:val="white"/>
        </w:rPr>
        <w:t xml:space="preserve">En el 2022 aumentaron las alertas de desapariciones a través de las redes sociales. </w:t>
      </w:r>
      <w:r w:rsidR="001B12DA">
        <w:rPr>
          <w:highlight w:val="white"/>
        </w:rPr>
        <w:t xml:space="preserve">4 de </w:t>
      </w:r>
      <w:r>
        <w:rPr>
          <w:highlight w:val="white"/>
        </w:rPr>
        <w:t xml:space="preserve">ellas resultaron en feminicidios. </w:t>
      </w:r>
    </w:p>
    <w:p w14:paraId="00000069" w14:textId="63997354" w:rsidR="00565625" w:rsidRDefault="001B12DA" w:rsidP="00E70615">
      <w:pPr>
        <w:rPr>
          <w:highlight w:val="white"/>
        </w:rPr>
      </w:pPr>
      <w:r>
        <w:rPr>
          <w:highlight w:val="white"/>
        </w:rPr>
        <w:t xml:space="preserve">Destacamos el caso de una </w:t>
      </w:r>
      <w:r w:rsidR="00DF74DB">
        <w:rPr>
          <w:highlight w:val="white"/>
        </w:rPr>
        <w:t xml:space="preserve">de </w:t>
      </w:r>
      <w:r>
        <w:rPr>
          <w:highlight w:val="white"/>
        </w:rPr>
        <w:t xml:space="preserve">ellas, una joven de 33 años, quien </w:t>
      </w:r>
      <w:r w:rsidR="00522B6A">
        <w:rPr>
          <w:highlight w:val="white"/>
        </w:rPr>
        <w:t xml:space="preserve">fue la que más tiempo estuvo desaparecida: 10 meses. Salió de su trabajo en </w:t>
      </w:r>
      <w:proofErr w:type="spellStart"/>
      <w:r w:rsidR="00522B6A">
        <w:rPr>
          <w:highlight w:val="white"/>
        </w:rPr>
        <w:t>Ranchuelo</w:t>
      </w:r>
      <w:proofErr w:type="spellEnd"/>
      <w:r w:rsidR="00522B6A">
        <w:rPr>
          <w:highlight w:val="white"/>
        </w:rPr>
        <w:t xml:space="preserve">, </w:t>
      </w:r>
      <w:r w:rsidR="00522B6A" w:rsidRPr="00522B6A">
        <w:t>Villa Clara</w:t>
      </w:r>
      <w:r w:rsidR="00522B6A">
        <w:t>,</w:t>
      </w:r>
      <w:r w:rsidR="00522B6A">
        <w:rPr>
          <w:highlight w:val="white"/>
        </w:rPr>
        <w:t xml:space="preserve"> el 18 de marzo de 2022 a las 11:15 de la mañana en busca de su hija para llevarla a la escuela y nunca llegó a su casa, </w:t>
      </w:r>
      <w:r w:rsidR="003523A3">
        <w:rPr>
          <w:highlight w:val="white"/>
        </w:rPr>
        <w:t>como declaró su</w:t>
      </w:r>
      <w:r w:rsidR="00522B6A">
        <w:rPr>
          <w:highlight w:val="white"/>
        </w:rPr>
        <w:t xml:space="preserve"> madre.</w:t>
      </w:r>
      <w:r w:rsidR="003523A3">
        <w:rPr>
          <w:highlight w:val="white"/>
        </w:rPr>
        <w:t xml:space="preserve"> </w:t>
      </w:r>
      <w:r w:rsidR="00522B6A">
        <w:rPr>
          <w:highlight w:val="white"/>
        </w:rPr>
        <w:t xml:space="preserve">En enero de 2023, OGAT junto a </w:t>
      </w:r>
      <w:proofErr w:type="spellStart"/>
      <w:r w:rsidR="00522B6A">
        <w:rPr>
          <w:highlight w:val="white"/>
        </w:rPr>
        <w:t>YoSíTeCreo</w:t>
      </w:r>
      <w:proofErr w:type="spellEnd"/>
      <w:r w:rsidR="00522B6A">
        <w:rPr>
          <w:highlight w:val="white"/>
        </w:rPr>
        <w:t xml:space="preserve"> en Cuba, confirmó que un presunto agresor se encontraba en investigación policial por la desaparición de </w:t>
      </w:r>
      <w:r w:rsidR="00FD0245">
        <w:rPr>
          <w:highlight w:val="white"/>
        </w:rPr>
        <w:t>esta joven</w:t>
      </w:r>
      <w:r w:rsidR="00522B6A">
        <w:rPr>
          <w:highlight w:val="white"/>
        </w:rPr>
        <w:t xml:space="preserve">, </w:t>
      </w:r>
      <w:r w:rsidR="003523A3">
        <w:rPr>
          <w:highlight w:val="white"/>
        </w:rPr>
        <w:t>y que</w:t>
      </w:r>
      <w:r w:rsidR="00522B6A">
        <w:rPr>
          <w:highlight w:val="white"/>
        </w:rPr>
        <w:t xml:space="preserve"> tenía antecedentes de violencia contra mujeres.</w:t>
      </w:r>
      <w:r w:rsidR="003523A3">
        <w:rPr>
          <w:highlight w:val="white"/>
        </w:rPr>
        <w:t xml:space="preserve"> </w:t>
      </w:r>
      <w:r w:rsidR="00522B6A">
        <w:rPr>
          <w:highlight w:val="white"/>
        </w:rPr>
        <w:t>Este caso nunca recibió cobertura</w:t>
      </w:r>
      <w:r w:rsidR="003523A3">
        <w:rPr>
          <w:highlight w:val="white"/>
        </w:rPr>
        <w:t>,</w:t>
      </w:r>
      <w:r w:rsidR="00522B6A">
        <w:rPr>
          <w:highlight w:val="white"/>
        </w:rPr>
        <w:t xml:space="preserve"> ni desde la prensa oficial</w:t>
      </w:r>
      <w:r w:rsidR="003523A3">
        <w:rPr>
          <w:highlight w:val="white"/>
        </w:rPr>
        <w:t xml:space="preserve"> </w:t>
      </w:r>
      <w:r w:rsidR="00522B6A">
        <w:rPr>
          <w:highlight w:val="white"/>
        </w:rPr>
        <w:t>ni desde las instituciones públicas oficiales.</w:t>
      </w:r>
    </w:p>
    <w:p w14:paraId="0000006A" w14:textId="5B313765" w:rsidR="00565625" w:rsidRDefault="00AE372E" w:rsidP="00E70615">
      <w:pPr>
        <w:rPr>
          <w:highlight w:val="white"/>
        </w:rPr>
      </w:pPr>
      <w:r>
        <w:rPr>
          <w:highlight w:val="white"/>
        </w:rPr>
        <w:t>ONU Mujeres ha afirmado que “</w:t>
      </w:r>
      <w:hyperlink r:id="rId52" w:history="1">
        <w:r w:rsidRPr="00D46708">
          <w:rPr>
            <w:rStyle w:val="Hipervnculo"/>
            <w:i/>
            <w:iCs/>
            <w:highlight w:val="white"/>
          </w:rPr>
          <w:t>las desapariciones de mujeres a menudo están vinculadas con otras formas de violencia de género, como la violencia sexual, la trata o los feminicidios</w:t>
        </w:r>
      </w:hyperlink>
      <w:r>
        <w:rPr>
          <w:highlight w:val="white"/>
        </w:rPr>
        <w:t xml:space="preserve">”, </w:t>
      </w:r>
      <w:r w:rsidR="00D46708">
        <w:rPr>
          <w:highlight w:val="white"/>
        </w:rPr>
        <w:t xml:space="preserve">y </w:t>
      </w:r>
      <w:r>
        <w:rPr>
          <w:highlight w:val="white"/>
        </w:rPr>
        <w:t>la policía cubana</w:t>
      </w:r>
      <w:r w:rsidR="00D46708">
        <w:rPr>
          <w:highlight w:val="white"/>
        </w:rPr>
        <w:t xml:space="preserve"> </w:t>
      </w:r>
      <w:r>
        <w:rPr>
          <w:highlight w:val="white"/>
        </w:rPr>
        <w:t>no se encuentra preparada para</w:t>
      </w:r>
      <w:r w:rsidR="00D46708">
        <w:rPr>
          <w:highlight w:val="white"/>
        </w:rPr>
        <w:t xml:space="preserve"> tratar estos casos por la falta</w:t>
      </w:r>
      <w:r>
        <w:rPr>
          <w:highlight w:val="white"/>
        </w:rPr>
        <w:t xml:space="preserve"> de protocolos con perspectiva de género, </w:t>
      </w:r>
      <w:r w:rsidR="00D46708">
        <w:rPr>
          <w:highlight w:val="white"/>
        </w:rPr>
        <w:t>que deben incluir</w:t>
      </w:r>
      <w:r>
        <w:rPr>
          <w:highlight w:val="white"/>
        </w:rPr>
        <w:t xml:space="preserve"> la participación de la comunidad y los medios públicos de prensa.</w:t>
      </w:r>
    </w:p>
    <w:p w14:paraId="270CA168" w14:textId="288A12D5" w:rsidR="00FD0245" w:rsidRDefault="00AE372E" w:rsidP="00FD0245">
      <w:r>
        <w:rPr>
          <w:highlight w:val="white"/>
        </w:rPr>
        <w:t xml:space="preserve">Otro caso </w:t>
      </w:r>
      <w:r w:rsidR="00FD0245">
        <w:rPr>
          <w:highlight w:val="white"/>
        </w:rPr>
        <w:t xml:space="preserve">que evidencia la falta de preparación de la policía ante las violencias machistas, e incluso la complicidad institucional ante estas muertes, es </w:t>
      </w:r>
      <w:r w:rsidR="0063766A">
        <w:rPr>
          <w:highlight w:val="white"/>
        </w:rPr>
        <w:t xml:space="preserve">el </w:t>
      </w:r>
      <w:r w:rsidR="00FD0245">
        <w:rPr>
          <w:highlight w:val="white"/>
        </w:rPr>
        <w:t xml:space="preserve">de una joven de 17 años </w:t>
      </w:r>
      <w:r w:rsidR="00FD0245">
        <w:t xml:space="preserve">asesinada por su expareja el 4 de febrero, en Camagüey. El hecho violento tiene como agravante que su expareja la agredió </w:t>
      </w:r>
      <w:r w:rsidR="00FD0245" w:rsidRPr="00C23674">
        <w:rPr>
          <w:b/>
          <w:bCs/>
        </w:rPr>
        <w:t xml:space="preserve">en la </w:t>
      </w:r>
      <w:r w:rsidR="00C23674" w:rsidRPr="00C23674">
        <w:rPr>
          <w:b/>
          <w:bCs/>
        </w:rPr>
        <w:t>E</w:t>
      </w:r>
      <w:r w:rsidR="00FD0245" w:rsidRPr="00C23674">
        <w:rPr>
          <w:b/>
          <w:bCs/>
        </w:rPr>
        <w:t xml:space="preserve">stación de </w:t>
      </w:r>
      <w:r w:rsidR="00C23674" w:rsidRPr="00C23674">
        <w:rPr>
          <w:b/>
          <w:bCs/>
        </w:rPr>
        <w:t>P</w:t>
      </w:r>
      <w:r w:rsidR="00FD0245" w:rsidRPr="00C23674">
        <w:rPr>
          <w:b/>
          <w:bCs/>
        </w:rPr>
        <w:t>olicía de Camalote,</w:t>
      </w:r>
      <w:r w:rsidR="00C23674">
        <w:rPr>
          <w:b/>
          <w:bCs/>
        </w:rPr>
        <w:t xml:space="preserve"> municipio de</w:t>
      </w:r>
      <w:r w:rsidR="00FD0245" w:rsidRPr="00C23674">
        <w:rPr>
          <w:b/>
          <w:bCs/>
        </w:rPr>
        <w:t xml:space="preserve"> Nuevitas, </w:t>
      </w:r>
      <w:r w:rsidR="00C23674" w:rsidRPr="00C23674">
        <w:rPr>
          <w:b/>
          <w:bCs/>
        </w:rPr>
        <w:t>en Camagüey</w:t>
      </w:r>
      <w:r w:rsidR="00C23674">
        <w:t xml:space="preserve">, </w:t>
      </w:r>
      <w:r w:rsidR="00FD0245">
        <w:t>donde la joven había ido a refugiarse. La emisora local oficial Cadena Agramonte confirmó el asesinato, llamándolo «lamentable hecho», en vez de feminicidio.</w:t>
      </w:r>
      <w:r w:rsidR="00C23674">
        <w:t xml:space="preserve"> </w:t>
      </w:r>
      <w:r w:rsidR="00FD0245">
        <w:t xml:space="preserve">Varias denuncias en redes sociales alrededor del caso </w:t>
      </w:r>
      <w:r w:rsidR="00C23674">
        <w:t>documentan</w:t>
      </w:r>
      <w:r w:rsidR="00FD0245">
        <w:t xml:space="preserve"> que el agresor, de 49 años, tenía antecedentes de violencia machista</w:t>
      </w:r>
      <w:r w:rsidR="00C23674">
        <w:t xml:space="preserve"> y</w:t>
      </w:r>
      <w:r w:rsidR="00FD0245">
        <w:t xml:space="preserve"> que era amigo de los mismos policías que le permitieron entrar en la </w:t>
      </w:r>
      <w:r w:rsidR="00C23674">
        <w:t>Estación de Policía</w:t>
      </w:r>
      <w:r w:rsidR="00FD0245">
        <w:t xml:space="preserve">. </w:t>
      </w:r>
      <w:r w:rsidR="00F20C66">
        <w:t>Además,</w:t>
      </w:r>
      <w:r w:rsidR="00FD0245">
        <w:t xml:space="preserve"> se supo que era informante del Ministerio del Interior (MININT)</w:t>
      </w:r>
      <w:r w:rsidR="00C23674">
        <w:t>, es decir, trabajaba para y con las autoridades políticas del país.</w:t>
      </w:r>
    </w:p>
    <w:p w14:paraId="5ACFB2EF" w14:textId="50DCFE1D" w:rsidR="00C23674" w:rsidRPr="00FD0245" w:rsidRDefault="00C23674" w:rsidP="00FD0245">
      <w:r>
        <w:t>Este caso denota, si no una complicidad de las autoridades en el hecho, desde luego</w:t>
      </w:r>
      <w:r w:rsidR="00AD6862">
        <w:t xml:space="preserve"> la falta de preparación de éstas, como mencionábamos con todo detalle en el apartado 2.3., para prevenir y proteger contra esta lacra a las mujeres, lo que contribuye a la </w:t>
      </w:r>
      <w:r w:rsidR="00AD6862" w:rsidRPr="0003154B">
        <w:rPr>
          <w:b/>
          <w:bCs/>
        </w:rPr>
        <w:t xml:space="preserve">falta de denuncia y solicitud de auxilio </w:t>
      </w:r>
      <w:r w:rsidR="0003154B" w:rsidRPr="0003154B">
        <w:rPr>
          <w:b/>
          <w:bCs/>
        </w:rPr>
        <w:t>por parte de</w:t>
      </w:r>
      <w:r w:rsidR="00AD6862" w:rsidRPr="0003154B">
        <w:rPr>
          <w:b/>
          <w:bCs/>
        </w:rPr>
        <w:t xml:space="preserve"> las víctimas</w:t>
      </w:r>
      <w:r w:rsidR="00AD6862">
        <w:t xml:space="preserve"> de la violencia de género.</w:t>
      </w:r>
    </w:p>
    <w:p w14:paraId="38D701C3" w14:textId="6BFBC81D" w:rsidR="004B66C0" w:rsidRDefault="00AD6862" w:rsidP="004B66C0">
      <w:pPr>
        <w:rPr>
          <w:highlight w:val="white"/>
        </w:rPr>
      </w:pPr>
      <w:r>
        <w:rPr>
          <w:highlight w:val="white"/>
        </w:rPr>
        <w:t>Abundando en esto, en o</w:t>
      </w:r>
      <w:r w:rsidR="004B66C0">
        <w:rPr>
          <w:highlight w:val="white"/>
        </w:rPr>
        <w:t>tro caso de feminicidi</w:t>
      </w:r>
      <w:r>
        <w:rPr>
          <w:highlight w:val="white"/>
        </w:rPr>
        <w:t>o documentado por el OGAT en 2023</w:t>
      </w:r>
      <w:r w:rsidR="004B66C0">
        <w:rPr>
          <w:highlight w:val="white"/>
        </w:rPr>
        <w:t xml:space="preserve"> que estuvo antecedido por una desaparición</w:t>
      </w:r>
      <w:r>
        <w:rPr>
          <w:highlight w:val="white"/>
        </w:rPr>
        <w:t xml:space="preserve">, </w:t>
      </w:r>
      <w:r w:rsidR="004B66C0">
        <w:rPr>
          <w:highlight w:val="white"/>
        </w:rPr>
        <w:t xml:space="preserve">destaca que el hecho ocurrió </w:t>
      </w:r>
      <w:r>
        <w:rPr>
          <w:highlight w:val="white"/>
        </w:rPr>
        <w:t xml:space="preserve">igualmente </w:t>
      </w:r>
      <w:r w:rsidR="004B66C0">
        <w:rPr>
          <w:highlight w:val="white"/>
        </w:rPr>
        <w:t xml:space="preserve">bajo la tutela del Estado. </w:t>
      </w:r>
      <w:r>
        <w:rPr>
          <w:highlight w:val="white"/>
        </w:rPr>
        <w:t>Esta mujer</w:t>
      </w:r>
      <w:r w:rsidR="004B66C0">
        <w:rPr>
          <w:highlight w:val="white"/>
        </w:rPr>
        <w:t xml:space="preserve"> fue asesinada por su pareja en medio de una visita a una granja penitenciaria en Sola, Camagüey. Según se pudo verificar después, el agresor, que cumplía sanción en este lugar, se adentró con </w:t>
      </w:r>
      <w:r>
        <w:rPr>
          <w:highlight w:val="white"/>
        </w:rPr>
        <w:t xml:space="preserve">la víctima </w:t>
      </w:r>
      <w:r w:rsidR="004B66C0">
        <w:rPr>
          <w:highlight w:val="white"/>
        </w:rPr>
        <w:t>al monte</w:t>
      </w:r>
      <w:r>
        <w:rPr>
          <w:highlight w:val="white"/>
        </w:rPr>
        <w:t>,</w:t>
      </w:r>
      <w:r w:rsidR="004B66C0">
        <w:rPr>
          <w:highlight w:val="white"/>
        </w:rPr>
        <w:t xml:space="preserve"> y luego de cometer el crimen se suicidó. La falta de control por parte de las autoridades fue tal que los hijos de ambos, presentes en la misma visita, los reportaron como desaparecidos el día 12 de diciembre a través de las redes sociales.</w:t>
      </w:r>
      <w:r w:rsidR="00494ED4">
        <w:rPr>
          <w:highlight w:val="white"/>
        </w:rPr>
        <w:t xml:space="preserve"> </w:t>
      </w:r>
      <w:r w:rsidR="004B66C0">
        <w:rPr>
          <w:rStyle w:val="Refdenotaalpie"/>
          <w:highlight w:val="white"/>
        </w:rPr>
        <w:footnoteReference w:id="18"/>
      </w:r>
      <w:r w:rsidR="00494ED4">
        <w:rPr>
          <w:highlight w:val="white"/>
        </w:rPr>
        <w:t xml:space="preserve"> Recordamos que l</w:t>
      </w:r>
      <w:r w:rsidR="004B66C0">
        <w:rPr>
          <w:highlight w:val="white"/>
        </w:rPr>
        <w:t>as Reglas Mandela exigen que “</w:t>
      </w:r>
      <w:r w:rsidR="004B66C0" w:rsidRPr="003B0C58">
        <w:rPr>
          <w:i/>
          <w:iCs/>
          <w:highlight w:val="white"/>
        </w:rPr>
        <w:t>se vele en todo momento por la seguridad de los reclusos, el personal, los proveedores de servicios y los visitantes</w:t>
      </w:r>
      <w:r w:rsidR="004B66C0">
        <w:rPr>
          <w:highlight w:val="white"/>
        </w:rPr>
        <w:t>”.</w:t>
      </w:r>
    </w:p>
    <w:p w14:paraId="00000070" w14:textId="7EA64AF7" w:rsidR="00565625" w:rsidRDefault="00AE372E" w:rsidP="00E70615">
      <w:pPr>
        <w:rPr>
          <w:highlight w:val="white"/>
        </w:rPr>
      </w:pPr>
      <w:r>
        <w:rPr>
          <w:highlight w:val="white"/>
        </w:rPr>
        <w:t xml:space="preserve">El feminicidio de </w:t>
      </w:r>
      <w:r w:rsidR="00F20C66">
        <w:rPr>
          <w:highlight w:val="white"/>
        </w:rPr>
        <w:t xml:space="preserve">una </w:t>
      </w:r>
      <w:r>
        <w:rPr>
          <w:highlight w:val="white"/>
        </w:rPr>
        <w:t xml:space="preserve">joven de 16 años, asesinada en diciembre de 2023, en el municipio habanero de Diez de Octubre, es </w:t>
      </w:r>
      <w:r w:rsidR="00862909">
        <w:rPr>
          <w:highlight w:val="white"/>
        </w:rPr>
        <w:t>otro</w:t>
      </w:r>
      <w:r>
        <w:rPr>
          <w:highlight w:val="white"/>
        </w:rPr>
        <w:t xml:space="preserve"> caso donde </w:t>
      </w:r>
      <w:r w:rsidR="00862909">
        <w:rPr>
          <w:highlight w:val="white"/>
        </w:rPr>
        <w:t>se evidencia</w:t>
      </w:r>
      <w:r>
        <w:rPr>
          <w:highlight w:val="white"/>
        </w:rPr>
        <w:t xml:space="preserve"> la </w:t>
      </w:r>
      <w:r w:rsidR="00862909">
        <w:rPr>
          <w:highlight w:val="white"/>
        </w:rPr>
        <w:t>corresponsabilidad</w:t>
      </w:r>
      <w:r>
        <w:rPr>
          <w:highlight w:val="white"/>
        </w:rPr>
        <w:t xml:space="preserve"> de las autoridades cubanas.</w:t>
      </w:r>
      <w:r w:rsidR="00862909">
        <w:rPr>
          <w:highlight w:val="white"/>
        </w:rPr>
        <w:t xml:space="preserve"> M</w:t>
      </w:r>
      <w:r>
        <w:rPr>
          <w:highlight w:val="white"/>
        </w:rPr>
        <w:t xml:space="preserve">adre de un niño de dos años, fue brutalmente asesinada por </w:t>
      </w:r>
      <w:r w:rsidR="00862909">
        <w:rPr>
          <w:highlight w:val="white"/>
        </w:rPr>
        <w:t xml:space="preserve">Pedro Julio Serrate Corrales, </w:t>
      </w:r>
      <w:r>
        <w:rPr>
          <w:highlight w:val="white"/>
        </w:rPr>
        <w:t xml:space="preserve">su pareja y padre de su hijo, en complicidad con su </w:t>
      </w:r>
      <w:r>
        <w:rPr>
          <w:highlight w:val="white"/>
        </w:rPr>
        <w:lastRenderedPageBreak/>
        <w:t>padre, Pedro Serrate. E</w:t>
      </w:r>
      <w:r w:rsidR="00862909">
        <w:rPr>
          <w:highlight w:val="white"/>
        </w:rPr>
        <w:t>n e</w:t>
      </w:r>
      <w:r>
        <w:rPr>
          <w:highlight w:val="white"/>
        </w:rPr>
        <w:t xml:space="preserve">ste crimen destaca la negligencia policial, factor que pudo haber contribuido a </w:t>
      </w:r>
      <w:r w:rsidR="00862909">
        <w:rPr>
          <w:highlight w:val="white"/>
        </w:rPr>
        <w:t>su muerte</w:t>
      </w:r>
      <w:r>
        <w:rPr>
          <w:highlight w:val="white"/>
        </w:rPr>
        <w:t>.</w:t>
      </w:r>
      <w:r w:rsidR="00862909">
        <w:rPr>
          <w:highlight w:val="white"/>
        </w:rPr>
        <w:t xml:space="preserve"> </w:t>
      </w:r>
      <w:r w:rsidR="00F20C66">
        <w:rPr>
          <w:highlight w:val="white"/>
        </w:rPr>
        <w:t>La</w:t>
      </w:r>
      <w:r>
        <w:rPr>
          <w:highlight w:val="white"/>
        </w:rPr>
        <w:t xml:space="preserve"> madre de</w:t>
      </w:r>
      <w:r w:rsidR="00F20C66">
        <w:rPr>
          <w:highlight w:val="white"/>
        </w:rPr>
        <w:t xml:space="preserve"> la víctima</w:t>
      </w:r>
      <w:r>
        <w:rPr>
          <w:highlight w:val="white"/>
        </w:rPr>
        <w:t xml:space="preserve"> realizó 22</w:t>
      </w:r>
      <w:r w:rsidR="00862909">
        <w:rPr>
          <w:highlight w:val="white"/>
        </w:rPr>
        <w:t xml:space="preserve"> (VEINTIDOS)</w:t>
      </w:r>
      <w:r>
        <w:rPr>
          <w:highlight w:val="white"/>
        </w:rPr>
        <w:t xml:space="preserve"> llamadas desesperadas al 106</w:t>
      </w:r>
      <w:r w:rsidR="00862909">
        <w:rPr>
          <w:highlight w:val="white"/>
        </w:rPr>
        <w:t xml:space="preserve"> (</w:t>
      </w:r>
      <w:r>
        <w:rPr>
          <w:highlight w:val="white"/>
        </w:rPr>
        <w:t>número de la Policía en Cuba</w:t>
      </w:r>
      <w:r w:rsidR="00862909">
        <w:rPr>
          <w:highlight w:val="white"/>
        </w:rPr>
        <w:t>)</w:t>
      </w:r>
      <w:r>
        <w:rPr>
          <w:highlight w:val="white"/>
        </w:rPr>
        <w:t xml:space="preserve"> desde el momento en que el agresor se llevó a su hija y nieto. A pesar de los repetidos intentos por alertar a las autoridades, la patrulla </w:t>
      </w:r>
      <w:r w:rsidR="00862909">
        <w:rPr>
          <w:highlight w:val="white"/>
        </w:rPr>
        <w:t>no</w:t>
      </w:r>
      <w:r>
        <w:rPr>
          <w:highlight w:val="white"/>
        </w:rPr>
        <w:t xml:space="preserve"> llegó a tiempo para intervenir y salvar la vida de </w:t>
      </w:r>
      <w:r w:rsidR="00F20C66">
        <w:rPr>
          <w:highlight w:val="white"/>
        </w:rPr>
        <w:t>su hija.</w:t>
      </w:r>
    </w:p>
    <w:p w14:paraId="00000071" w14:textId="0F10CBDD" w:rsidR="00565625" w:rsidRDefault="00304360" w:rsidP="00E70615">
      <w:r w:rsidRPr="00304360">
        <w:t>Este caso subraya la nula orientación a la protección de mujeres y niñas dentro de los protocolos policiales</w:t>
      </w:r>
      <w:r w:rsidR="00AE372E">
        <w:rPr>
          <w:highlight w:val="white"/>
        </w:rPr>
        <w:t xml:space="preserve">. </w:t>
      </w:r>
      <w:r w:rsidR="00F915D2">
        <w:rPr>
          <w:rStyle w:val="Refdenotaalpie"/>
          <w:highlight w:val="white"/>
        </w:rPr>
        <w:footnoteReference w:id="19"/>
      </w:r>
    </w:p>
    <w:p w14:paraId="00000072" w14:textId="77777777" w:rsidR="00565625" w:rsidRPr="002D74D9" w:rsidRDefault="00AE372E" w:rsidP="0071072B">
      <w:pPr>
        <w:pStyle w:val="Ttulo2"/>
      </w:pPr>
      <w:bookmarkStart w:id="5" w:name="_heading=h.ejhsi6xexgy9" w:colFirst="0" w:colLast="0"/>
      <w:bookmarkEnd w:id="5"/>
      <w:r>
        <w:t>Análisis de Patrones y Factores Más Comunes</w:t>
      </w:r>
    </w:p>
    <w:p w14:paraId="00000073" w14:textId="57E0C04E" w:rsidR="00565625" w:rsidRDefault="00AE372E" w:rsidP="00E70615">
      <w:r>
        <w:t>El análisis de los</w:t>
      </w:r>
      <w:r w:rsidR="00F915D2">
        <w:t xml:space="preserve"> 240</w:t>
      </w:r>
      <w:r>
        <w:t xml:space="preserve"> casos </w:t>
      </w:r>
      <w:r w:rsidR="00F915D2">
        <w:t>verificados</w:t>
      </w:r>
      <w:r w:rsidR="00D022C0">
        <w:t xml:space="preserve"> desde 2019, que incluyen los</w:t>
      </w:r>
      <w:r w:rsidR="000310A7">
        <w:t xml:space="preserve"> 193 verificados entre 2021 y agosto de 2024, </w:t>
      </w:r>
      <w:r>
        <w:t>revela varios patrones y factores comunes que contribuyen a los feminicidios en Cuba:</w:t>
      </w:r>
    </w:p>
    <w:p w14:paraId="00000074" w14:textId="1EDEC135" w:rsidR="00565625" w:rsidRPr="006758DB" w:rsidRDefault="00B35497" w:rsidP="00E70615">
      <w:pPr>
        <w:numPr>
          <w:ilvl w:val="0"/>
          <w:numId w:val="6"/>
        </w:numPr>
        <w:spacing w:before="120"/>
        <w:ind w:left="284" w:hanging="284"/>
        <w:rPr>
          <w:b/>
          <w:bCs/>
        </w:rPr>
      </w:pPr>
      <w:r>
        <w:rPr>
          <w:b/>
        </w:rPr>
        <w:t>Violencia previa</w:t>
      </w:r>
      <w:r>
        <w:t>: En la mayoría de los casos, las víctimas habían experimentado violencia previa por sus agresores.</w:t>
      </w:r>
    </w:p>
    <w:p w14:paraId="00000076" w14:textId="4D16AE24" w:rsidR="00565625" w:rsidRPr="006758DB" w:rsidRDefault="00B35497" w:rsidP="00E70615">
      <w:pPr>
        <w:numPr>
          <w:ilvl w:val="0"/>
          <w:numId w:val="6"/>
        </w:numPr>
        <w:spacing w:before="120"/>
        <w:ind w:left="284" w:hanging="284"/>
        <w:rPr>
          <w:b/>
          <w:bCs/>
        </w:rPr>
      </w:pPr>
      <w:r>
        <w:rPr>
          <w:b/>
        </w:rPr>
        <w:t xml:space="preserve">Contexto de control y </w:t>
      </w:r>
      <w:r w:rsidR="00A967A2">
        <w:rPr>
          <w:b/>
        </w:rPr>
        <w:t>abuso de poder</w:t>
      </w:r>
      <w:r>
        <w:t>: Muchos agresores mostraban comportamientos controladores</w:t>
      </w:r>
      <w:r w:rsidR="00F915D2">
        <w:t xml:space="preserve"> y antecedentes penales de violencia</w:t>
      </w:r>
      <w:r>
        <w:t>.</w:t>
      </w:r>
    </w:p>
    <w:p w14:paraId="00000077" w14:textId="67250C8E" w:rsidR="00565625" w:rsidRPr="0091595A" w:rsidRDefault="00B35497" w:rsidP="00E70615">
      <w:pPr>
        <w:numPr>
          <w:ilvl w:val="0"/>
          <w:numId w:val="6"/>
        </w:numPr>
        <w:spacing w:before="120"/>
        <w:ind w:left="284" w:hanging="284"/>
        <w:rPr>
          <w:b/>
          <w:bCs/>
        </w:rPr>
      </w:pPr>
      <w:r>
        <w:rPr>
          <w:b/>
        </w:rPr>
        <w:t>Acoso y amenazas sin respuesta institucional</w:t>
      </w:r>
      <w:r>
        <w:t>: el acoso persistente y amenazas no fueron adecuadamente abordadas por las autoridades o empleadores.</w:t>
      </w:r>
    </w:p>
    <w:p w14:paraId="00000078" w14:textId="247BD474" w:rsidR="00565625" w:rsidRPr="00BF0ABB" w:rsidRDefault="00B35497" w:rsidP="00E70615">
      <w:pPr>
        <w:numPr>
          <w:ilvl w:val="0"/>
          <w:numId w:val="6"/>
        </w:numPr>
        <w:spacing w:before="120"/>
        <w:ind w:left="284" w:hanging="284"/>
        <w:rPr>
          <w:b/>
          <w:bCs/>
        </w:rPr>
      </w:pPr>
      <w:r>
        <w:rPr>
          <w:b/>
        </w:rPr>
        <w:t>Respuesta institucional inadecuada</w:t>
      </w:r>
      <w:r>
        <w:t>: la falta de intervención efectiva por parte de la policía y otras autoridades es un factor recurrente en los casos de feminicidio.</w:t>
      </w:r>
    </w:p>
    <w:p w14:paraId="00000079" w14:textId="72F03BBE" w:rsidR="00565625" w:rsidRPr="00BF0ABB" w:rsidRDefault="00B35497" w:rsidP="00E70615">
      <w:pPr>
        <w:numPr>
          <w:ilvl w:val="0"/>
          <w:numId w:val="6"/>
        </w:numPr>
        <w:spacing w:before="120"/>
        <w:ind w:left="284" w:hanging="284"/>
        <w:rPr>
          <w:b/>
          <w:bCs/>
        </w:rPr>
      </w:pPr>
      <w:r>
        <w:rPr>
          <w:b/>
        </w:rPr>
        <w:t>Intervenciones familiares insuficientes</w:t>
      </w:r>
      <w:r>
        <w:t xml:space="preserve">: </w:t>
      </w:r>
      <w:r w:rsidR="00BF0ABB">
        <w:t>en una sociedad no concienciada sobre esta lacra,</w:t>
      </w:r>
      <w:r>
        <w:t xml:space="preserve"> las intervenciones de familiares y amigos</w:t>
      </w:r>
      <w:r w:rsidR="00BF0ABB">
        <w:t xml:space="preserve"> </w:t>
      </w:r>
      <w:r>
        <w:t xml:space="preserve">fueron </w:t>
      </w:r>
      <w:r w:rsidR="00BF0ABB">
        <w:t>in</w:t>
      </w:r>
      <w:r>
        <w:t>suficientes para prevenir los feminicidios.</w:t>
      </w:r>
    </w:p>
    <w:p w14:paraId="0000007A" w14:textId="5E39C5AB" w:rsidR="00565625" w:rsidRPr="00BF0ABB" w:rsidRDefault="00B35497" w:rsidP="00E70615">
      <w:pPr>
        <w:numPr>
          <w:ilvl w:val="0"/>
          <w:numId w:val="6"/>
        </w:numPr>
        <w:spacing w:before="120"/>
        <w:ind w:left="284" w:hanging="284"/>
        <w:rPr>
          <w:b/>
          <w:bCs/>
        </w:rPr>
      </w:pPr>
      <w:r>
        <w:rPr>
          <w:b/>
        </w:rPr>
        <w:t>Situaciones de separación o divorcio</w:t>
      </w:r>
      <w:r>
        <w:t xml:space="preserve">: muchos feminicidios ocurrieron </w:t>
      </w:r>
      <w:r w:rsidR="00BF0ABB">
        <w:t>durante procesos de separación</w:t>
      </w:r>
      <w:r>
        <w:t xml:space="preserve"> o divorcio.</w:t>
      </w:r>
    </w:p>
    <w:p w14:paraId="49AC79FE" w14:textId="07103F4E" w:rsidR="002D74D9" w:rsidRPr="002D74D9" w:rsidRDefault="00AE372E" w:rsidP="0001685A">
      <w:pPr>
        <w:pStyle w:val="Ttulo1"/>
      </w:pPr>
      <w:r w:rsidRPr="003B0540">
        <w:t>Conclusiones</w:t>
      </w:r>
    </w:p>
    <w:p w14:paraId="0000007C" w14:textId="77777777" w:rsidR="00565625" w:rsidRPr="00B35497" w:rsidRDefault="00AE372E" w:rsidP="0001685A">
      <w:pPr>
        <w:pStyle w:val="Ttulo2"/>
      </w:pPr>
      <w:bookmarkStart w:id="6" w:name="_heading=h.v4fa9jd604ks" w:colFirst="0" w:colLast="0"/>
      <w:bookmarkEnd w:id="6"/>
      <w:r w:rsidRPr="00B35497">
        <w:t>Resumen de Hallazgos Clave</w:t>
      </w:r>
    </w:p>
    <w:p w14:paraId="0000007D" w14:textId="77777777" w:rsidR="00565625" w:rsidRPr="006758DB" w:rsidRDefault="00AE372E" w:rsidP="00E70615">
      <w:pPr>
        <w:numPr>
          <w:ilvl w:val="0"/>
          <w:numId w:val="7"/>
        </w:numPr>
        <w:spacing w:before="120"/>
        <w:ind w:left="426" w:hanging="426"/>
        <w:rPr>
          <w:b/>
          <w:bCs/>
        </w:rPr>
      </w:pPr>
      <w:r>
        <w:rPr>
          <w:b/>
        </w:rPr>
        <w:t>Deficiencias en el Marco Legal</w:t>
      </w:r>
      <w:r>
        <w:t>:</w:t>
      </w:r>
    </w:p>
    <w:p w14:paraId="0000007E" w14:textId="317299A0" w:rsidR="00565625" w:rsidRDefault="00AE372E" w:rsidP="00E70615">
      <w:pPr>
        <w:numPr>
          <w:ilvl w:val="1"/>
          <w:numId w:val="7"/>
        </w:numPr>
        <w:spacing w:before="120"/>
        <w:ind w:left="709" w:hanging="283"/>
      </w:pPr>
      <w:r>
        <w:t xml:space="preserve">El Código Penal cubano y otras leyes relacionadas no contienen disposiciones específicas que tipifiquen el feminicidio como un delito autónomo. La legislación actual, aunque incluye artículos sobre violencia de género, </w:t>
      </w:r>
      <w:r w:rsidR="006758DB">
        <w:t>es in</w:t>
      </w:r>
      <w:r>
        <w:t>suficiente para abordar la gravedad y especificidad de los feminicidios.</w:t>
      </w:r>
    </w:p>
    <w:p w14:paraId="0000007F" w14:textId="3BEDBC13" w:rsidR="00565625" w:rsidRDefault="00AE372E" w:rsidP="00E70615">
      <w:pPr>
        <w:numPr>
          <w:ilvl w:val="1"/>
          <w:numId w:val="7"/>
        </w:numPr>
        <w:spacing w:before="120"/>
        <w:ind w:left="709" w:hanging="283"/>
      </w:pPr>
      <w:r>
        <w:t>La Ley No.62 del Código Penal, si bien incluye el artículo 264 que trata sobre el maltrato a la mujer, no proporciona un marco adecuado para la prevención</w:t>
      </w:r>
      <w:r w:rsidR="006758DB">
        <w:t>,</w:t>
      </w:r>
      <w:r>
        <w:t xml:space="preserve"> </w:t>
      </w:r>
      <w:r w:rsidR="006758DB">
        <w:t>ni una</w:t>
      </w:r>
      <w:r>
        <w:t xml:space="preserve"> sanción específica de</w:t>
      </w:r>
      <w:r w:rsidR="006758DB">
        <w:t>l</w:t>
      </w:r>
      <w:r>
        <w:t xml:space="preserve"> feminicidio.</w:t>
      </w:r>
    </w:p>
    <w:p w14:paraId="00000080" w14:textId="77777777" w:rsidR="00565625" w:rsidRPr="00E70615" w:rsidRDefault="00AE372E" w:rsidP="00E70615">
      <w:pPr>
        <w:numPr>
          <w:ilvl w:val="0"/>
          <w:numId w:val="7"/>
        </w:numPr>
        <w:spacing w:before="120"/>
        <w:ind w:left="426" w:hanging="426"/>
        <w:rPr>
          <w:b/>
        </w:rPr>
      </w:pPr>
      <w:r>
        <w:rPr>
          <w:b/>
        </w:rPr>
        <w:t>Falta de Estadísticas Oficiales y Transparencia</w:t>
      </w:r>
      <w:r w:rsidRPr="00E70615">
        <w:rPr>
          <w:b/>
        </w:rPr>
        <w:t>:</w:t>
      </w:r>
    </w:p>
    <w:p w14:paraId="00000081" w14:textId="77777777" w:rsidR="00565625" w:rsidRDefault="00AE372E" w:rsidP="00E70615">
      <w:pPr>
        <w:numPr>
          <w:ilvl w:val="1"/>
          <w:numId w:val="7"/>
        </w:numPr>
        <w:spacing w:before="120"/>
        <w:ind w:left="709" w:hanging="283"/>
      </w:pPr>
      <w:r>
        <w:t>La ausencia de datos oficiales y la falta de transparencia gubernamental en la publicación de estadísticas sobre feminicidios dificultan la evaluación precisa del problema y la formulación de políticas efectivas.</w:t>
      </w:r>
    </w:p>
    <w:p w14:paraId="00000082" w14:textId="77777777" w:rsidR="00565625" w:rsidRDefault="00AE372E" w:rsidP="00E70615">
      <w:pPr>
        <w:numPr>
          <w:ilvl w:val="1"/>
          <w:numId w:val="7"/>
        </w:numPr>
        <w:spacing w:before="120"/>
        <w:ind w:left="709" w:hanging="283"/>
      </w:pPr>
      <w:r>
        <w:t>Las ONGs y medios independientes han sido las principales fuentes de información, recopilando datos a través de denuncias ciudadanas y reportes mediáticos.</w:t>
      </w:r>
    </w:p>
    <w:p w14:paraId="00000083" w14:textId="77777777" w:rsidR="00565625" w:rsidRPr="00E70615" w:rsidRDefault="00AE372E" w:rsidP="00E70615">
      <w:pPr>
        <w:numPr>
          <w:ilvl w:val="0"/>
          <w:numId w:val="7"/>
        </w:numPr>
        <w:spacing w:before="120"/>
        <w:ind w:left="426" w:hanging="426"/>
        <w:rPr>
          <w:b/>
        </w:rPr>
      </w:pPr>
      <w:r>
        <w:rPr>
          <w:b/>
        </w:rPr>
        <w:t>Patrones Comunes en los Feminicidios</w:t>
      </w:r>
      <w:r w:rsidRPr="00E70615">
        <w:rPr>
          <w:b/>
        </w:rPr>
        <w:t>:</w:t>
      </w:r>
    </w:p>
    <w:p w14:paraId="00000084" w14:textId="2ABA7EC2" w:rsidR="00565625" w:rsidRDefault="0063766A" w:rsidP="00E70615">
      <w:pPr>
        <w:numPr>
          <w:ilvl w:val="1"/>
          <w:numId w:val="7"/>
        </w:numPr>
        <w:spacing w:before="120"/>
        <w:ind w:left="709" w:hanging="283"/>
      </w:pPr>
      <w:r>
        <w:t xml:space="preserve">A pesar de la extrema dificultad para conocer </w:t>
      </w:r>
      <w:r w:rsidR="0003154B">
        <w:t>ciertas</w:t>
      </w:r>
      <w:r>
        <w:t xml:space="preserve"> informaciones</w:t>
      </w:r>
      <w:r w:rsidR="0003154B">
        <w:t>,</w:t>
      </w:r>
      <w:r>
        <w:t xml:space="preserve"> dada la ocultación de las autoridades</w:t>
      </w:r>
      <w:r w:rsidR="0003154B">
        <w:t xml:space="preserve"> y el escaso uso de la denuncia policial previa por parte de las víctimas (Apartado 3.1)</w:t>
      </w:r>
      <w:r>
        <w:t xml:space="preserve">, </w:t>
      </w:r>
      <w:r w:rsidR="0003154B">
        <w:t xml:space="preserve">entre los feminicidios documentados </w:t>
      </w:r>
      <w:r>
        <w:t>se han detectado</w:t>
      </w:r>
      <w:r w:rsidR="0003154B">
        <w:t xml:space="preserve"> no pocos</w:t>
      </w:r>
      <w:r>
        <w:t xml:space="preserve"> casos con</w:t>
      </w:r>
      <w:r w:rsidR="00AE372E">
        <w:t xml:space="preserve"> antecedentes de violencia doméstica</w:t>
      </w:r>
      <w:r w:rsidR="0003154B">
        <w:t xml:space="preserve"> y</w:t>
      </w:r>
      <w:r w:rsidR="00AE372E">
        <w:t xml:space="preserve"> agresores que ya habían mostrado comportamientos violentos y posesivos.</w:t>
      </w:r>
    </w:p>
    <w:p w14:paraId="00000085" w14:textId="2E5CE5BF" w:rsidR="00565625" w:rsidRDefault="00AE372E" w:rsidP="00E70615">
      <w:pPr>
        <w:numPr>
          <w:ilvl w:val="1"/>
          <w:numId w:val="7"/>
        </w:numPr>
        <w:spacing w:before="120"/>
        <w:ind w:left="709" w:hanging="283"/>
      </w:pPr>
      <w:r>
        <w:t xml:space="preserve">Los feminicidios ocurren frecuentemente en contextos de control y </w:t>
      </w:r>
      <w:r w:rsidR="00A967A2">
        <w:t>abuso de poder</w:t>
      </w:r>
      <w:r>
        <w:t>, a menudo durante o después de intentos de separación o divorcio.</w:t>
      </w:r>
    </w:p>
    <w:p w14:paraId="00000086" w14:textId="77777777" w:rsidR="00565625" w:rsidRDefault="00AE372E" w:rsidP="00E70615">
      <w:pPr>
        <w:numPr>
          <w:ilvl w:val="1"/>
          <w:numId w:val="7"/>
        </w:numPr>
        <w:spacing w:before="120"/>
        <w:ind w:left="709" w:hanging="283"/>
      </w:pPr>
      <w:r>
        <w:t>Las víctimas suelen ser atacadas en sus propios hogares, lo que resalta la necesidad de medidas de protección más efectivas.</w:t>
      </w:r>
    </w:p>
    <w:p w14:paraId="00000087" w14:textId="77777777" w:rsidR="00565625" w:rsidRPr="00E70615" w:rsidRDefault="00AE372E" w:rsidP="00E70615">
      <w:pPr>
        <w:numPr>
          <w:ilvl w:val="0"/>
          <w:numId w:val="7"/>
        </w:numPr>
        <w:spacing w:before="120"/>
        <w:ind w:left="426" w:hanging="426"/>
        <w:rPr>
          <w:b/>
        </w:rPr>
      </w:pPr>
      <w:r>
        <w:rPr>
          <w:b/>
        </w:rPr>
        <w:t>Respuesta Institucional Inadecuada</w:t>
      </w:r>
      <w:r w:rsidRPr="00E70615">
        <w:rPr>
          <w:b/>
        </w:rPr>
        <w:t>:</w:t>
      </w:r>
    </w:p>
    <w:p w14:paraId="00000089" w14:textId="77777777" w:rsidR="00565625" w:rsidRDefault="00AE372E" w:rsidP="00E70615">
      <w:pPr>
        <w:numPr>
          <w:ilvl w:val="1"/>
          <w:numId w:val="7"/>
        </w:numPr>
        <w:spacing w:before="120"/>
        <w:ind w:left="709" w:hanging="283"/>
      </w:pPr>
      <w:r>
        <w:t>Las fuerzas de seguridad y justicia carecen de capacitación adecuada para manejar casos de violencia de género y feminicidios, lo que contribuye a la impunidad.</w:t>
      </w:r>
    </w:p>
    <w:p w14:paraId="0000008A" w14:textId="4ECCFA41" w:rsidR="00565625" w:rsidRPr="00E70615" w:rsidRDefault="00AE372E" w:rsidP="00E70615">
      <w:pPr>
        <w:numPr>
          <w:ilvl w:val="0"/>
          <w:numId w:val="7"/>
        </w:numPr>
        <w:spacing w:before="120"/>
        <w:ind w:left="426" w:hanging="426"/>
        <w:rPr>
          <w:b/>
        </w:rPr>
      </w:pPr>
      <w:r>
        <w:rPr>
          <w:b/>
        </w:rPr>
        <w:t>Importancia de la</w:t>
      </w:r>
      <w:r w:rsidR="00FA3088">
        <w:rPr>
          <w:b/>
        </w:rPr>
        <w:t>s</w:t>
      </w:r>
      <w:r>
        <w:rPr>
          <w:b/>
        </w:rPr>
        <w:t xml:space="preserve"> </w:t>
      </w:r>
      <w:r w:rsidR="00FA3088" w:rsidRPr="00FA3088">
        <w:rPr>
          <w:b/>
        </w:rPr>
        <w:t>ONGs independientes</w:t>
      </w:r>
      <w:r w:rsidRPr="00E70615">
        <w:rPr>
          <w:b/>
        </w:rPr>
        <w:t>:</w:t>
      </w:r>
    </w:p>
    <w:p w14:paraId="0000008B" w14:textId="47A2D55E" w:rsidR="00565625" w:rsidRDefault="00AE372E" w:rsidP="00E70615">
      <w:pPr>
        <w:numPr>
          <w:ilvl w:val="1"/>
          <w:numId w:val="7"/>
        </w:numPr>
        <w:spacing w:before="120"/>
        <w:ind w:left="709" w:hanging="283"/>
      </w:pPr>
      <w:r>
        <w:lastRenderedPageBreak/>
        <w:t xml:space="preserve">Las ONGs, medios independientes y plataformas como el </w:t>
      </w:r>
      <w:r w:rsidRPr="00F26D84">
        <w:rPr>
          <w:b/>
          <w:bCs/>
        </w:rPr>
        <w:t xml:space="preserve">Observatorio </w:t>
      </w:r>
      <w:r w:rsidR="00F26D84" w:rsidRPr="00F26D84">
        <w:rPr>
          <w:b/>
          <w:bCs/>
        </w:rPr>
        <w:t>de Género</w:t>
      </w:r>
      <w:r w:rsidRPr="00F26D84">
        <w:rPr>
          <w:b/>
          <w:bCs/>
        </w:rPr>
        <w:t xml:space="preserve"> de Alas Tensas</w:t>
      </w:r>
      <w:r>
        <w:t xml:space="preserve"> y "</w:t>
      </w:r>
      <w:r w:rsidRPr="00F26D84">
        <w:rPr>
          <w:b/>
          <w:bCs/>
        </w:rPr>
        <w:t>Yo Sí Te Creo en Cuba</w:t>
      </w:r>
      <w:r>
        <w:t>" juegan un papel crucial en la documentación y denuncia de feminicidios, proporcionando datos y visibilidad al problema.</w:t>
      </w:r>
    </w:p>
    <w:p w14:paraId="0000008C" w14:textId="77777777" w:rsidR="00565625" w:rsidRDefault="00AE372E" w:rsidP="00E70615">
      <w:pPr>
        <w:numPr>
          <w:ilvl w:val="1"/>
          <w:numId w:val="7"/>
        </w:numPr>
        <w:spacing w:before="120"/>
        <w:ind w:left="709" w:hanging="283"/>
      </w:pPr>
      <w:r>
        <w:t>Sin el trabajo de estas organizaciones, muchos casos permanecerían invisibles y sin justicia.</w:t>
      </w:r>
    </w:p>
    <w:p w14:paraId="0000008D" w14:textId="77777777" w:rsidR="00565625" w:rsidRDefault="00AE372E" w:rsidP="0001685A">
      <w:pPr>
        <w:pStyle w:val="Ttulo2"/>
        <w:rPr>
          <w:rFonts w:eastAsia="Barlow" w:cs="Barlow"/>
          <w:color w:val="595959"/>
        </w:rPr>
      </w:pPr>
      <w:bookmarkStart w:id="7" w:name="_heading=h.ycyj0ay6lo0v" w:colFirst="0" w:colLast="0"/>
      <w:bookmarkEnd w:id="7"/>
      <w:r>
        <w:t>Retos Pendientes</w:t>
      </w:r>
    </w:p>
    <w:p w14:paraId="0000008E" w14:textId="7A1ACE1D" w:rsidR="00565625" w:rsidRPr="00E70615" w:rsidRDefault="00F26D84" w:rsidP="00A967A2">
      <w:pPr>
        <w:keepNext/>
        <w:numPr>
          <w:ilvl w:val="0"/>
          <w:numId w:val="27"/>
        </w:numPr>
        <w:spacing w:before="120"/>
        <w:ind w:left="425" w:hanging="425"/>
        <w:rPr>
          <w:b/>
        </w:rPr>
      </w:pPr>
      <w:r>
        <w:rPr>
          <w:b/>
        </w:rPr>
        <w:t>Mejorar y especificar el marco legal</w:t>
      </w:r>
      <w:r w:rsidRPr="00E70615">
        <w:rPr>
          <w:b/>
        </w:rPr>
        <w:t>:</w:t>
      </w:r>
    </w:p>
    <w:p w14:paraId="0000008F" w14:textId="174CBF8B" w:rsidR="00565625" w:rsidRDefault="000310A7" w:rsidP="00A967A2">
      <w:pPr>
        <w:keepNext/>
        <w:numPr>
          <w:ilvl w:val="1"/>
          <w:numId w:val="7"/>
        </w:numPr>
        <w:spacing w:before="120"/>
        <w:ind w:left="709" w:hanging="283"/>
      </w:pPr>
      <w:r>
        <w:t>E</w:t>
      </w:r>
      <w:r w:rsidR="00F26D84">
        <w:t>s necesario desarrollar una legislación específica que tipifique el feminicidio como un delito autónomo, con sanciones proporcionales a la gravedad del crimen.</w:t>
      </w:r>
    </w:p>
    <w:p w14:paraId="00000090" w14:textId="695839F7" w:rsidR="00565625" w:rsidRDefault="000310A7" w:rsidP="00A967A2">
      <w:pPr>
        <w:numPr>
          <w:ilvl w:val="1"/>
          <w:numId w:val="7"/>
        </w:numPr>
        <w:spacing w:before="120"/>
        <w:ind w:left="709" w:hanging="284"/>
      </w:pPr>
      <w:r>
        <w:t>F</w:t>
      </w:r>
      <w:r w:rsidR="00F26D84">
        <w:t>ortalecer y actualizar las leyes relacionadas con la violencia de género para incluir medidas preventivas y de protección más efectivas.</w:t>
      </w:r>
    </w:p>
    <w:p w14:paraId="00000091" w14:textId="5DC1E4C0" w:rsidR="00565625" w:rsidRPr="00E70615" w:rsidRDefault="00F26D84" w:rsidP="00F26D84">
      <w:pPr>
        <w:keepNext/>
        <w:numPr>
          <w:ilvl w:val="0"/>
          <w:numId w:val="27"/>
        </w:numPr>
        <w:spacing w:before="120"/>
        <w:ind w:left="425" w:hanging="425"/>
        <w:rPr>
          <w:b/>
        </w:rPr>
      </w:pPr>
      <w:r>
        <w:rPr>
          <w:b/>
        </w:rPr>
        <w:t>Establecer un sistema de datos oficial y transparente</w:t>
      </w:r>
      <w:r w:rsidRPr="00E70615">
        <w:rPr>
          <w:b/>
        </w:rPr>
        <w:t>:</w:t>
      </w:r>
    </w:p>
    <w:p w14:paraId="00000092" w14:textId="1F496FB0" w:rsidR="00565625" w:rsidRDefault="000310A7" w:rsidP="00E70615">
      <w:pPr>
        <w:numPr>
          <w:ilvl w:val="1"/>
          <w:numId w:val="7"/>
        </w:numPr>
        <w:spacing w:before="120"/>
        <w:ind w:left="709" w:hanging="283"/>
      </w:pPr>
      <w:r>
        <w:t>C</w:t>
      </w:r>
      <w:r w:rsidR="00F26D84">
        <w:t>rear y mantener una base de datos oficial sobre feminicidios y violencia de género que sea accesible públicamente</w:t>
      </w:r>
      <w:r>
        <w:t xml:space="preserve">, con rigurosidad en las variables y sin opacidad sobre los detalles de </w:t>
      </w:r>
      <w:proofErr w:type="gramStart"/>
      <w:r>
        <w:t>las mismas</w:t>
      </w:r>
      <w:proofErr w:type="gramEnd"/>
      <w:r w:rsidR="00F26D84">
        <w:t>.</w:t>
      </w:r>
    </w:p>
    <w:p w14:paraId="00000093" w14:textId="5ED57581" w:rsidR="00565625" w:rsidRDefault="000310A7" w:rsidP="00E70615">
      <w:pPr>
        <w:numPr>
          <w:ilvl w:val="1"/>
          <w:numId w:val="7"/>
        </w:numPr>
        <w:spacing w:before="120"/>
        <w:ind w:left="709" w:hanging="283"/>
      </w:pPr>
      <w:r>
        <w:t>A</w:t>
      </w:r>
      <w:r w:rsidR="00F26D84">
        <w:t>segurar la recopilación y publicación regular de estadísticas fiables desglosadas por género, edad, y otras variables bajo una metodología transparente y pública.</w:t>
      </w:r>
    </w:p>
    <w:p w14:paraId="00000094" w14:textId="4401FA8D" w:rsidR="00565625" w:rsidRPr="00E70615" w:rsidRDefault="00F26D84" w:rsidP="00F26D84">
      <w:pPr>
        <w:keepNext/>
        <w:numPr>
          <w:ilvl w:val="0"/>
          <w:numId w:val="27"/>
        </w:numPr>
        <w:spacing w:before="120"/>
        <w:ind w:left="425" w:hanging="425"/>
        <w:rPr>
          <w:b/>
        </w:rPr>
      </w:pPr>
      <w:r>
        <w:rPr>
          <w:b/>
        </w:rPr>
        <w:t>Capacitar y sensibilizar a las fuerzas de seguridad y justicia</w:t>
      </w:r>
      <w:r w:rsidRPr="00E70615">
        <w:rPr>
          <w:b/>
        </w:rPr>
        <w:t>:</w:t>
      </w:r>
    </w:p>
    <w:p w14:paraId="00000095" w14:textId="47F97C91" w:rsidR="00565625" w:rsidRDefault="000310A7" w:rsidP="00E70615">
      <w:pPr>
        <w:numPr>
          <w:ilvl w:val="1"/>
          <w:numId w:val="7"/>
        </w:numPr>
        <w:spacing w:before="120"/>
        <w:ind w:left="709" w:hanging="283"/>
      </w:pPr>
      <w:r>
        <w:t>I</w:t>
      </w:r>
      <w:r w:rsidR="00F26D84">
        <w:t>mplementar programas de capacitación para las fuerzas de seguridad y el sistema judicial sobre el manejo de casos de violencia de género y feminicidios.</w:t>
      </w:r>
    </w:p>
    <w:p w14:paraId="00000096" w14:textId="2FFBC585" w:rsidR="00565625" w:rsidRDefault="000310A7" w:rsidP="00E70615">
      <w:pPr>
        <w:numPr>
          <w:ilvl w:val="1"/>
          <w:numId w:val="7"/>
        </w:numPr>
        <w:spacing w:before="120"/>
        <w:ind w:left="709" w:hanging="283"/>
      </w:pPr>
      <w:r>
        <w:t xml:space="preserve">Establecer </w:t>
      </w:r>
      <w:r w:rsidR="00F26D84">
        <w:t>protocolos claros y efectivos para la protección de las víctimas</w:t>
      </w:r>
      <w:r w:rsidR="0003154B">
        <w:t xml:space="preserve"> de violencia de género y sus hijos</w:t>
      </w:r>
      <w:r w:rsidR="00F26D84">
        <w:t xml:space="preserve"> y la investigación de los feminicidios.</w:t>
      </w:r>
    </w:p>
    <w:p w14:paraId="00000097" w14:textId="0725F57D" w:rsidR="00565625" w:rsidRPr="00E70615" w:rsidRDefault="00F26D84" w:rsidP="00F26D84">
      <w:pPr>
        <w:keepNext/>
        <w:numPr>
          <w:ilvl w:val="0"/>
          <w:numId w:val="27"/>
        </w:numPr>
        <w:spacing w:before="120"/>
        <w:ind w:left="425" w:hanging="425"/>
        <w:rPr>
          <w:b/>
        </w:rPr>
      </w:pPr>
      <w:r>
        <w:rPr>
          <w:b/>
        </w:rPr>
        <w:t>Fortalecer el rol de las ONGs y medios independientes</w:t>
      </w:r>
      <w:r w:rsidRPr="00E70615">
        <w:rPr>
          <w:b/>
        </w:rPr>
        <w:t>:</w:t>
      </w:r>
    </w:p>
    <w:p w14:paraId="00000098" w14:textId="77777777" w:rsidR="00565625" w:rsidRDefault="00AE372E" w:rsidP="00E70615">
      <w:pPr>
        <w:numPr>
          <w:ilvl w:val="1"/>
          <w:numId w:val="7"/>
        </w:numPr>
        <w:spacing w:before="120"/>
        <w:ind w:left="709" w:hanging="283"/>
      </w:pPr>
      <w:r>
        <w:t>Proveer apoyo y protección a las ONGs y medios independientes que documentan y denuncian feminicidios.</w:t>
      </w:r>
    </w:p>
    <w:p w14:paraId="00000099" w14:textId="0F64B272" w:rsidR="00565625" w:rsidRDefault="00AE372E" w:rsidP="00E70615">
      <w:pPr>
        <w:numPr>
          <w:ilvl w:val="1"/>
          <w:numId w:val="7"/>
        </w:numPr>
        <w:spacing w:before="120"/>
        <w:ind w:left="709" w:hanging="283"/>
      </w:pPr>
      <w:r>
        <w:t>Fomentar la colaboración entre el gobierno y la</w:t>
      </w:r>
      <w:r w:rsidR="00FA3088">
        <w:t>s</w:t>
      </w:r>
      <w:r>
        <w:t xml:space="preserve"> </w:t>
      </w:r>
      <w:r w:rsidR="00FA3088" w:rsidRPr="00FA3088">
        <w:t>ONGs independientes</w:t>
      </w:r>
      <w:r w:rsidR="00F26D84">
        <w:t>, en vez de criminalizar a ésta</w:t>
      </w:r>
      <w:r w:rsidR="00DD1B92">
        <w:t>s</w:t>
      </w:r>
      <w:r w:rsidR="00F26D84">
        <w:t xml:space="preserve"> última</w:t>
      </w:r>
      <w:r w:rsidR="00DD1B92">
        <w:t>s</w:t>
      </w:r>
      <w:r w:rsidR="00F26D84">
        <w:t>,</w:t>
      </w:r>
      <w:r>
        <w:t xml:space="preserve"> para desarrollar estrategias conjuntas de prevención y respuesta.</w:t>
      </w:r>
    </w:p>
    <w:p w14:paraId="0000009A" w14:textId="7EFA7B94" w:rsidR="00565625" w:rsidRPr="00E70615" w:rsidRDefault="00F26D84" w:rsidP="00F26D84">
      <w:pPr>
        <w:keepNext/>
        <w:numPr>
          <w:ilvl w:val="0"/>
          <w:numId w:val="27"/>
        </w:numPr>
        <w:spacing w:before="120"/>
        <w:ind w:left="425" w:hanging="425"/>
        <w:rPr>
          <w:b/>
        </w:rPr>
      </w:pPr>
      <w:r>
        <w:rPr>
          <w:b/>
        </w:rPr>
        <w:t>Desarrollar medidas preventivas y de protección</w:t>
      </w:r>
      <w:r w:rsidRPr="00E70615">
        <w:rPr>
          <w:b/>
        </w:rPr>
        <w:t>:</w:t>
      </w:r>
    </w:p>
    <w:p w14:paraId="0000009B" w14:textId="3621202B" w:rsidR="00565625" w:rsidRDefault="000310A7" w:rsidP="00E70615">
      <w:pPr>
        <w:numPr>
          <w:ilvl w:val="1"/>
          <w:numId w:val="7"/>
        </w:numPr>
        <w:spacing w:before="120"/>
        <w:ind w:left="709" w:hanging="283"/>
      </w:pPr>
      <w:r>
        <w:t xml:space="preserve">Implementar </w:t>
      </w:r>
      <w:r w:rsidR="00F26D84">
        <w:t>programas educativos y campañas de sensibilización que aborden las raíces culturales y sociales de la violencia de género.</w:t>
      </w:r>
    </w:p>
    <w:p w14:paraId="0000009C" w14:textId="2426D10E" w:rsidR="00565625" w:rsidRDefault="000310A7" w:rsidP="00E70615">
      <w:pPr>
        <w:numPr>
          <w:ilvl w:val="1"/>
          <w:numId w:val="7"/>
        </w:numPr>
        <w:spacing w:before="120"/>
        <w:ind w:left="709" w:hanging="283"/>
      </w:pPr>
      <w:r>
        <w:t xml:space="preserve">Crear </w:t>
      </w:r>
      <w:r w:rsidR="00F26D84">
        <w:t>y fortalecer refugios y servicios de apoyo para mujeres en riesgo, asegurando su acceso a protección y asistencia integral.</w:t>
      </w:r>
    </w:p>
    <w:p w14:paraId="0000009D" w14:textId="7B345153" w:rsidR="00565625" w:rsidRPr="00E70615" w:rsidRDefault="00F26D84" w:rsidP="00F26D84">
      <w:pPr>
        <w:keepNext/>
        <w:numPr>
          <w:ilvl w:val="0"/>
          <w:numId w:val="27"/>
        </w:numPr>
        <w:spacing w:before="120"/>
        <w:ind w:left="425" w:hanging="425"/>
        <w:rPr>
          <w:b/>
        </w:rPr>
      </w:pPr>
      <w:r>
        <w:rPr>
          <w:b/>
        </w:rPr>
        <w:t>Atender y apoyar a las víctimas indirectas</w:t>
      </w:r>
      <w:r w:rsidRPr="00E70615">
        <w:rPr>
          <w:b/>
        </w:rPr>
        <w:t>:</w:t>
      </w:r>
    </w:p>
    <w:p w14:paraId="0000009E" w14:textId="77777777" w:rsidR="00565625" w:rsidRDefault="00AE372E" w:rsidP="00E70615">
      <w:pPr>
        <w:numPr>
          <w:ilvl w:val="1"/>
          <w:numId w:val="7"/>
        </w:numPr>
        <w:spacing w:before="120"/>
        <w:ind w:left="709" w:hanging="283"/>
      </w:pPr>
      <w:r>
        <w:t>Desarrollar normativas específicas para la protección y apoyo a las víctimas indirectas de feminicidios, como hijos, padres, y hermanos.</w:t>
      </w:r>
    </w:p>
    <w:p w14:paraId="0000009F" w14:textId="01193181" w:rsidR="00565625" w:rsidRDefault="00AE372E" w:rsidP="00E70615">
      <w:pPr>
        <w:numPr>
          <w:ilvl w:val="1"/>
          <w:numId w:val="7"/>
        </w:numPr>
        <w:spacing w:before="120"/>
        <w:ind w:left="709" w:hanging="283"/>
      </w:pPr>
      <w:r>
        <w:t>Proveer asistencia psicológica, legal</w:t>
      </w:r>
      <w:r w:rsidR="00304360">
        <w:t xml:space="preserve">, </w:t>
      </w:r>
      <w:r>
        <w:t>social</w:t>
      </w:r>
      <w:r w:rsidR="00304360">
        <w:t xml:space="preserve"> y económica</w:t>
      </w:r>
      <w:r>
        <w:t xml:space="preserve"> para las familias de las víctimas, ayudándolas a superar el trauma y reconstruir sus vidas.</w:t>
      </w:r>
    </w:p>
    <w:p w14:paraId="000000A0" w14:textId="3E0363B5" w:rsidR="00565625" w:rsidRDefault="00F26D84" w:rsidP="00DD1B92">
      <w:pPr>
        <w:spacing w:before="240"/>
      </w:pPr>
      <w:r>
        <w:t>Para enfrentar de manera efectiva la crisis de feminicidios en Cuba es esencial un enfoque multifacético que incluya mejoras legislativas, transparencia, capacitación institucional, y colaboración con la</w:t>
      </w:r>
      <w:r w:rsidR="00FA3088">
        <w:t>s</w:t>
      </w:r>
      <w:r>
        <w:t xml:space="preserve"> </w:t>
      </w:r>
      <w:r w:rsidR="00FA3088">
        <w:rPr>
          <w:highlight w:val="white"/>
        </w:rPr>
        <w:t>ONGs independientes</w:t>
      </w:r>
      <w:r>
        <w:t>. Solo mediante la implementación de estas medidas se podrá avanzar hacia una sociedad más segura y justa para todas las mujeres</w:t>
      </w:r>
      <w:r w:rsidR="00A64F6F">
        <w:t xml:space="preserve"> en Cuba</w:t>
      </w:r>
      <w:r>
        <w:t>.</w:t>
      </w:r>
    </w:p>
    <w:sectPr w:rsidR="00565625" w:rsidSect="00A37846">
      <w:headerReference w:type="even" r:id="rId53"/>
      <w:headerReference w:type="default" r:id="rId54"/>
      <w:footerReference w:type="even" r:id="rId55"/>
      <w:footerReference w:type="default" r:id="rId56"/>
      <w:headerReference w:type="first" r:id="rId57"/>
      <w:footerReference w:type="first" r:id="rId58"/>
      <w:pgSz w:w="11906" w:h="16838"/>
      <w:pgMar w:top="1276" w:right="991" w:bottom="426" w:left="993" w:header="284" w:footer="178"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48EC6C" w14:textId="77777777" w:rsidR="00C70D10" w:rsidRDefault="00C70D10">
      <w:pPr>
        <w:spacing w:after="0"/>
      </w:pPr>
      <w:r>
        <w:separator/>
      </w:r>
    </w:p>
  </w:endnote>
  <w:endnote w:type="continuationSeparator" w:id="0">
    <w:p w14:paraId="38998029" w14:textId="77777777" w:rsidR="00C70D10" w:rsidRDefault="00C70D10">
      <w:pPr>
        <w:spacing w:after="0"/>
      </w:pPr>
      <w:r>
        <w:continuationSeparator/>
      </w:r>
    </w:p>
  </w:endnote>
  <w:endnote w:type="continuationNotice" w:id="1">
    <w:p w14:paraId="05617423" w14:textId="77777777" w:rsidR="00C70D10" w:rsidRDefault="00C70D1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rlow">
    <w:panose1 w:val="00000500000000000000"/>
    <w:charset w:val="00"/>
    <w:family w:val="auto"/>
    <w:pitch w:val="variable"/>
    <w:sig w:usb0="20000007" w:usb1="00000000" w:usb2="00000000" w:usb3="00000000" w:csb0="00000193" w:csb1="00000000"/>
    <w:embedRegular r:id="rId1" w:fontKey="{A8F6163A-874B-4263-B78F-46883ED1B74E}"/>
    <w:embedBold r:id="rId2" w:fontKey="{81E6C6F6-5D0F-48D3-B557-13E2C89C59B9}"/>
    <w:embedItalic r:id="rId3" w:fontKey="{D4C46C44-596E-494D-88F2-F37BB828CE64}"/>
    <w:embedBoldItalic r:id="rId4" w:fontKey="{B64C7B0B-1B22-4827-8FAE-526A5B806C15}"/>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DIN Black">
    <w:panose1 w:val="02020500000000000000"/>
    <w:charset w:val="00"/>
    <w:family w:val="roman"/>
    <w:pitch w:val="variable"/>
    <w:sig w:usb0="00000003" w:usb1="00000000" w:usb2="00000000" w:usb3="00000000" w:csb0="00000001" w:csb1="00000000"/>
    <w:embedRegular r:id="rId5" w:subsetted="1" w:fontKey="{848A4193-45AA-4A9E-B63D-21ADABA83E30}"/>
  </w:font>
  <w:font w:name="Book Antiqua">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Barlow SemiBold">
    <w:panose1 w:val="00000700000000000000"/>
    <w:charset w:val="00"/>
    <w:family w:val="auto"/>
    <w:pitch w:val="variable"/>
    <w:sig w:usb0="20000007" w:usb1="00000000" w:usb2="00000000" w:usb3="00000000" w:csb0="00000193" w:csb1="00000000"/>
    <w:embedRegular r:id="rId6" w:fontKey="{DC19EF31-C887-427B-B4E3-958682E9203E}"/>
  </w:font>
  <w:font w:name="Cambria Math">
    <w:panose1 w:val="02040503050406030204"/>
    <w:charset w:val="00"/>
    <w:family w:val="roman"/>
    <w:pitch w:val="variable"/>
    <w:sig w:usb0="E00006FF" w:usb1="420024FF" w:usb2="02000000" w:usb3="00000000" w:csb0="0000019F" w:csb1="00000000"/>
    <w:embedItalic r:id="rId7" w:fontKey="{FC7C423F-9CDB-48B5-8F31-C17109F0E58D}"/>
    <w:embedBoldItalic r:id="rId8" w:fontKey="{B3780BEE-E757-4DBC-9959-6EE1E854A00E}"/>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8486AA" w14:textId="77777777" w:rsidR="00615E20" w:rsidRDefault="00615E2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pPr w:vertAnchor="page" w:horzAnchor="page" w:tblpY="16274"/>
      <w:tblOverlap w:val="never"/>
      <w:tblW w:w="6087" w:type="pct"/>
      <w:tblInd w:w="0" w:type="dxa"/>
      <w:tblCellMar>
        <w:left w:w="115" w:type="dxa"/>
        <w:right w:w="115" w:type="dxa"/>
      </w:tblCellMar>
      <w:tblLook w:val="04A0" w:firstRow="1" w:lastRow="0" w:firstColumn="1" w:lastColumn="0" w:noHBand="0" w:noVBand="1"/>
    </w:tblPr>
    <w:tblGrid>
      <w:gridCol w:w="2515"/>
      <w:gridCol w:w="9564"/>
    </w:tblGrid>
    <w:tr w:rsidR="00A37846" w:rsidRPr="00DB5FDC" w14:paraId="2858744B" w14:textId="77777777" w:rsidTr="00A919C0">
      <w:trPr>
        <w:trHeight w:val="567"/>
      </w:trPr>
      <w:tc>
        <w:tcPr>
          <w:tcW w:w="1041" w:type="pct"/>
          <w:tcBorders>
            <w:top w:val="nil"/>
            <w:left w:val="nil"/>
            <w:bottom w:val="nil"/>
            <w:right w:val="nil"/>
          </w:tcBorders>
          <w:shd w:val="clear" w:color="auto" w:fill="7F7F7F"/>
          <w:vAlign w:val="center"/>
        </w:tcPr>
        <w:p w14:paraId="04F069FB" w14:textId="240588DA" w:rsidR="00A37846" w:rsidRPr="00E51CD5" w:rsidRDefault="00A37846" w:rsidP="00A37846">
          <w:pPr>
            <w:spacing w:before="120"/>
            <w:ind w:left="457"/>
            <w:rPr>
              <w:rStyle w:val="nfasis"/>
              <w:rFonts w:ascii="Barlow" w:hAnsi="Barlow"/>
              <w:b/>
              <w:bCs/>
              <w:i w:val="0"/>
              <w:iCs w:val="0"/>
              <w:smallCaps/>
              <w:color w:val="FFFFFF" w:themeColor="background1"/>
              <w:sz w:val="18"/>
              <w:szCs w:val="18"/>
            </w:rPr>
          </w:pPr>
          <w:r w:rsidRPr="00E51CD5">
            <w:rPr>
              <w:rStyle w:val="nfasis"/>
              <w:rFonts w:ascii="Barlow" w:hAnsi="Barlow"/>
              <w:b/>
              <w:bCs/>
              <w:i w:val="0"/>
              <w:iCs w:val="0"/>
              <w:smallCaps/>
              <w:color w:val="FFFFFF" w:themeColor="background1"/>
              <w:sz w:val="18"/>
              <w:szCs w:val="18"/>
            </w:rPr>
            <w:t xml:space="preserve">Página </w:t>
          </w:r>
          <w:r w:rsidRPr="00E51CD5">
            <w:rPr>
              <w:rStyle w:val="nfasis"/>
              <w:b/>
              <w:bCs/>
              <w:i w:val="0"/>
              <w:iCs w:val="0"/>
              <w:smallCaps/>
              <w:color w:val="FFFFFF" w:themeColor="background1"/>
              <w:sz w:val="18"/>
              <w:szCs w:val="18"/>
            </w:rPr>
            <w:fldChar w:fldCharType="begin"/>
          </w:r>
          <w:r w:rsidRPr="00E51CD5">
            <w:rPr>
              <w:rStyle w:val="nfasis"/>
              <w:rFonts w:ascii="Barlow" w:hAnsi="Barlow"/>
              <w:b/>
              <w:bCs/>
              <w:i w:val="0"/>
              <w:iCs w:val="0"/>
              <w:smallCaps/>
              <w:color w:val="FFFFFF" w:themeColor="background1"/>
              <w:sz w:val="18"/>
              <w:szCs w:val="18"/>
            </w:rPr>
            <w:instrText xml:space="preserve"> PAGE  \* Arabic  \* MERGEFORMAT </w:instrText>
          </w:r>
          <w:r w:rsidRPr="00E51CD5">
            <w:rPr>
              <w:rStyle w:val="nfasis"/>
              <w:b/>
              <w:bCs/>
              <w:i w:val="0"/>
              <w:iCs w:val="0"/>
              <w:smallCaps/>
              <w:color w:val="FFFFFF" w:themeColor="background1"/>
              <w:sz w:val="18"/>
              <w:szCs w:val="18"/>
            </w:rPr>
            <w:fldChar w:fldCharType="separate"/>
          </w:r>
          <w:r w:rsidRPr="00E51CD5">
            <w:rPr>
              <w:rStyle w:val="nfasis"/>
              <w:rFonts w:ascii="Barlow" w:hAnsi="Barlow"/>
              <w:b/>
              <w:bCs/>
              <w:i w:val="0"/>
              <w:iCs w:val="0"/>
              <w:smallCaps/>
              <w:color w:val="FFFFFF" w:themeColor="background1"/>
              <w:sz w:val="18"/>
              <w:szCs w:val="18"/>
            </w:rPr>
            <w:t>1</w:t>
          </w:r>
          <w:r w:rsidRPr="00E51CD5">
            <w:rPr>
              <w:rStyle w:val="nfasis"/>
              <w:b/>
              <w:bCs/>
              <w:i w:val="0"/>
              <w:iCs w:val="0"/>
              <w:smallCaps/>
              <w:color w:val="FFFFFF" w:themeColor="background1"/>
              <w:sz w:val="18"/>
              <w:szCs w:val="18"/>
            </w:rPr>
            <w:fldChar w:fldCharType="end"/>
          </w:r>
        </w:p>
      </w:tc>
      <w:tc>
        <w:tcPr>
          <w:tcW w:w="3959" w:type="pct"/>
          <w:tcBorders>
            <w:top w:val="nil"/>
            <w:left w:val="nil"/>
            <w:bottom w:val="nil"/>
            <w:right w:val="nil"/>
          </w:tcBorders>
          <w:shd w:val="clear" w:color="auto" w:fill="7F7F7F"/>
          <w:vAlign w:val="center"/>
        </w:tcPr>
        <w:p w14:paraId="161E6D6C" w14:textId="22F3BD1F" w:rsidR="00A37846" w:rsidRPr="00E51CD5" w:rsidRDefault="00A37846" w:rsidP="00A37846">
          <w:pPr>
            <w:spacing w:before="120"/>
            <w:ind w:right="791"/>
            <w:jc w:val="right"/>
            <w:rPr>
              <w:rStyle w:val="nfasis"/>
              <w:rFonts w:ascii="Barlow" w:hAnsi="Barlow"/>
              <w:b/>
              <w:bCs/>
              <w:i w:val="0"/>
              <w:iCs w:val="0"/>
              <w:smallCaps/>
              <w:color w:val="FFFFFF" w:themeColor="background1"/>
              <w:sz w:val="18"/>
              <w:szCs w:val="18"/>
            </w:rPr>
          </w:pPr>
          <w:r w:rsidRPr="00E51CD5">
            <w:rPr>
              <w:rFonts w:ascii="Barlow" w:hAnsi="Barlow"/>
              <w:b/>
              <w:bCs/>
              <w:smallCaps/>
              <w:color w:val="FFFFFF" w:themeColor="background1"/>
              <w:sz w:val="18"/>
              <w:szCs w:val="18"/>
            </w:rPr>
            <w:t>Informe para la C</w:t>
          </w:r>
          <w:r w:rsidR="00615E20">
            <w:rPr>
              <w:rFonts w:ascii="Barlow" w:hAnsi="Barlow"/>
              <w:b/>
              <w:bCs/>
              <w:smallCaps/>
              <w:color w:val="FFFFFF" w:themeColor="background1"/>
              <w:sz w:val="18"/>
              <w:szCs w:val="18"/>
            </w:rPr>
            <w:t>omité</w:t>
          </w:r>
          <w:r w:rsidRPr="00E51CD5">
            <w:rPr>
              <w:rFonts w:ascii="Barlow" w:hAnsi="Barlow"/>
              <w:b/>
              <w:bCs/>
              <w:smallCaps/>
              <w:color w:val="FFFFFF" w:themeColor="background1"/>
              <w:sz w:val="18"/>
              <w:szCs w:val="18"/>
            </w:rPr>
            <w:t xml:space="preserve"> sobre la Eliminación de Todas las Formas de Discriminación Contra la Mujer (CEDAW)</w:t>
          </w:r>
        </w:p>
      </w:tc>
    </w:tr>
  </w:tbl>
  <w:p w14:paraId="000000A3" w14:textId="2ED03790" w:rsidR="00565625" w:rsidRPr="00A37846" w:rsidRDefault="00565625" w:rsidP="00A37846">
    <w:pPr>
      <w:pStyle w:val="Piedepgina"/>
      <w:rPr>
        <w:rFonts w:eastAsia="Barlow"/>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50553" w14:textId="77777777" w:rsidR="00615E20" w:rsidRDefault="00615E2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6CEE91" w14:textId="77777777" w:rsidR="00C70D10" w:rsidRDefault="00C70D10">
      <w:pPr>
        <w:spacing w:after="0"/>
      </w:pPr>
      <w:r>
        <w:separator/>
      </w:r>
    </w:p>
  </w:footnote>
  <w:footnote w:type="continuationSeparator" w:id="0">
    <w:p w14:paraId="61AB6731" w14:textId="77777777" w:rsidR="00C70D10" w:rsidRDefault="00C70D10">
      <w:pPr>
        <w:spacing w:after="0"/>
      </w:pPr>
      <w:r>
        <w:continuationSeparator/>
      </w:r>
    </w:p>
  </w:footnote>
  <w:footnote w:type="continuationNotice" w:id="1">
    <w:p w14:paraId="04771038" w14:textId="77777777" w:rsidR="00C70D10" w:rsidRDefault="00C70D10">
      <w:pPr>
        <w:spacing w:after="0"/>
      </w:pPr>
    </w:p>
  </w:footnote>
  <w:footnote w:id="2">
    <w:p w14:paraId="0E41CBAD" w14:textId="247D4F7E" w:rsidR="00C91DF8" w:rsidRDefault="00C91DF8">
      <w:pPr>
        <w:pStyle w:val="Textonotapie"/>
      </w:pPr>
      <w:r>
        <w:rPr>
          <w:rStyle w:val="Refdenotaalpie"/>
        </w:rPr>
        <w:footnoteRef/>
      </w:r>
      <w:r>
        <w:t xml:space="preserve"> Declaraciones de </w:t>
      </w:r>
      <w:r w:rsidRPr="00C91DF8">
        <w:t>Mariela Castro Espín</w:t>
      </w:r>
      <w:r>
        <w:t xml:space="preserve"> a Tiempo Argentino, 2015: </w:t>
      </w:r>
      <w:hyperlink r:id="rId1" w:history="1">
        <w:r w:rsidRPr="00537DD5">
          <w:rPr>
            <w:rStyle w:val="Hipervnculo"/>
          </w:rPr>
          <w:t>https://diariodecuba.com/cuba/1446643630_17898.html</w:t>
        </w:r>
      </w:hyperlink>
    </w:p>
  </w:footnote>
  <w:footnote w:id="3">
    <w:p w14:paraId="399DB6BD" w14:textId="6E882790" w:rsidR="00C91DF8" w:rsidRDefault="00C91DF8">
      <w:pPr>
        <w:pStyle w:val="Textonotapie"/>
      </w:pPr>
      <w:r>
        <w:rPr>
          <w:rStyle w:val="Refdenotaalpie"/>
        </w:rPr>
        <w:footnoteRef/>
      </w:r>
      <w:r>
        <w:t xml:space="preserve"> Informe de Alas Tensas sobre el nuevo Código Penal y el feminicidio: </w:t>
      </w:r>
      <w:hyperlink r:id="rId2" w:history="1">
        <w:r w:rsidRPr="00537DD5">
          <w:rPr>
            <w:rStyle w:val="Hipervnculo"/>
          </w:rPr>
          <w:t>https://alastensas.com/observatorio/el-feminicidio-no-fue-incluido-en-el-nuevo-codigo-penal-en-cuba/</w:t>
        </w:r>
      </w:hyperlink>
    </w:p>
  </w:footnote>
  <w:footnote w:id="4">
    <w:p w14:paraId="72E76E92" w14:textId="6C6A523D" w:rsidR="00C91DF8" w:rsidRDefault="00C91DF8">
      <w:pPr>
        <w:pStyle w:val="Textonotapie"/>
      </w:pPr>
      <w:r>
        <w:rPr>
          <w:rStyle w:val="Refdenotaalpie"/>
        </w:rPr>
        <w:footnoteRef/>
      </w:r>
      <w:r>
        <w:t xml:space="preserve"> Solicitudes de las ONGs independientes: </w:t>
      </w:r>
      <w:r w:rsidRPr="00C91DF8">
        <w:rPr>
          <w:highlight w:val="white"/>
        </w:rPr>
        <w:t>febrero de 2021</w:t>
      </w:r>
      <w:r>
        <w:rPr>
          <w:highlight w:val="white"/>
        </w:rPr>
        <w:t xml:space="preserve"> (</w:t>
      </w:r>
      <w:hyperlink r:id="rId3" w:history="1">
        <w:r w:rsidRPr="00537DD5">
          <w:rPr>
            <w:rStyle w:val="Hipervnculo"/>
          </w:rPr>
          <w:t>https://alastensas.com/observatorio/declaracion-conjunta-para-exigir-el-estado-de-emergencia-en-cuba-por-violencia-de-genero/</w:t>
        </w:r>
      </w:hyperlink>
      <w:r>
        <w:t>)</w:t>
      </w:r>
      <w:r>
        <w:rPr>
          <w:highlight w:val="white"/>
        </w:rPr>
        <w:t xml:space="preserve">, </w:t>
      </w:r>
      <w:r w:rsidRPr="00C91DF8">
        <w:rPr>
          <w:highlight w:val="white"/>
        </w:rPr>
        <w:t>junio de 2022</w:t>
      </w:r>
      <w:r>
        <w:rPr>
          <w:highlight w:val="white"/>
        </w:rPr>
        <w:t xml:space="preserve"> (</w:t>
      </w:r>
      <w:hyperlink r:id="rId4" w:history="1">
        <w:r w:rsidRPr="00537DD5">
          <w:rPr>
            <w:rStyle w:val="Hipervnculo"/>
          </w:rPr>
          <w:t>https://alastensas.com/documentos/segundo-llamado-por-el-estado-de-emergencia-por-violencia-de-genero/</w:t>
        </w:r>
      </w:hyperlink>
      <w:r>
        <w:t>)</w:t>
      </w:r>
      <w:r>
        <w:rPr>
          <w:highlight w:val="white"/>
        </w:rPr>
        <w:t xml:space="preserve"> y </w:t>
      </w:r>
      <w:r w:rsidRPr="00C91DF8">
        <w:rPr>
          <w:highlight w:val="white"/>
        </w:rPr>
        <w:t>febrero de 2023</w:t>
      </w:r>
      <w:r>
        <w:t xml:space="preserve"> (</w:t>
      </w:r>
      <w:hyperlink r:id="rId5" w:history="1">
        <w:r w:rsidRPr="00537DD5">
          <w:rPr>
            <w:rStyle w:val="Hipervnculo"/>
          </w:rPr>
          <w:t>https://alastensas.com/documentos/estado-de-emergencia-por-violencia-de-genero-en-cuba/</w:t>
        </w:r>
      </w:hyperlink>
      <w:r>
        <w:t>)</w:t>
      </w:r>
    </w:p>
  </w:footnote>
  <w:footnote w:id="5">
    <w:p w14:paraId="5B5DD1D9" w14:textId="77777777" w:rsidR="00D86A6E" w:rsidRDefault="00D86A6E" w:rsidP="00D86A6E">
      <w:pPr>
        <w:pStyle w:val="Textonotapie"/>
      </w:pPr>
      <w:r>
        <w:rPr>
          <w:rStyle w:val="Refdenotaalpie"/>
        </w:rPr>
        <w:footnoteRef/>
      </w:r>
      <w:r>
        <w:t xml:space="preserve"> </w:t>
      </w:r>
      <w:hyperlink r:id="rId6">
        <w:r w:rsidRPr="00BC4D9A">
          <w:rPr>
            <w:rStyle w:val="Hipervnculo"/>
            <w:lang w:val="es-ES_tradnl"/>
          </w:rPr>
          <w:t>Informe Anual de OGAT, 2024</w:t>
        </w:r>
      </w:hyperlink>
    </w:p>
  </w:footnote>
  <w:footnote w:id="6">
    <w:p w14:paraId="3024CAAE" w14:textId="77777777" w:rsidR="00B74A53" w:rsidRDefault="00B74A53" w:rsidP="00B74A53">
      <w:pPr>
        <w:pStyle w:val="Textonotapie"/>
      </w:pPr>
      <w:r>
        <w:rPr>
          <w:rStyle w:val="Refdenotaalpie"/>
        </w:rPr>
        <w:footnoteRef/>
      </w:r>
      <w:r>
        <w:t xml:space="preserve"> Conferencia de prensa donde el </w:t>
      </w:r>
      <w:r w:rsidRPr="007E444F">
        <w:t xml:space="preserve">Expresidente del Tribunal Provincial de Villa Clara </w:t>
      </w:r>
      <w:r>
        <w:t xml:space="preserve">de </w:t>
      </w:r>
      <w:r w:rsidRPr="007E444F">
        <w:t>2014</w:t>
      </w:r>
      <w:r>
        <w:t xml:space="preserve"> a </w:t>
      </w:r>
      <w:r w:rsidRPr="007E444F">
        <w:t>2018</w:t>
      </w:r>
      <w:r>
        <w:t xml:space="preserve"> presentó las cifras e informe oficial de su provincia junto a Fundación Transición Española, Civil Rights Defenders, Prisoners Defenders y varios eurodiputados: </w:t>
      </w:r>
      <w:hyperlink r:id="rId7" w:history="1">
        <w:r w:rsidRPr="00537DD5">
          <w:rPr>
            <w:rStyle w:val="Hipervnculo"/>
          </w:rPr>
          <w:t>https://youtu.be/DoV3EL4a23o?si=gGfbEBJ1I9VIS6_g</w:t>
        </w:r>
      </w:hyperlink>
    </w:p>
  </w:footnote>
  <w:footnote w:id="7">
    <w:p w14:paraId="14725EA7" w14:textId="5351061A" w:rsidR="009D5D5B" w:rsidRDefault="009D5D5B" w:rsidP="009D5D5B">
      <w:pPr>
        <w:pStyle w:val="Textonotapie"/>
        <w:jc w:val="both"/>
      </w:pPr>
      <w:r>
        <w:rPr>
          <w:rStyle w:val="Refdenotaalpie"/>
        </w:rPr>
        <w:footnoteRef/>
      </w:r>
      <w:r>
        <w:t xml:space="preserve"> </w:t>
      </w:r>
      <w:hyperlink r:id="rId8" w:history="1">
        <w:r w:rsidRPr="000941CE">
          <w:rPr>
            <w:rStyle w:val="Hipervnculo"/>
          </w:rPr>
          <w:t>Ley del Proceso Penal</w:t>
        </w:r>
      </w:hyperlink>
      <w:r w:rsidR="000941CE">
        <w:t xml:space="preserve">, </w:t>
      </w:r>
      <w:r w:rsidR="00CE71CD">
        <w:t>A</w:t>
      </w:r>
      <w:r w:rsidRPr="009D5D5B">
        <w:rPr>
          <w:i/>
          <w:iCs/>
        </w:rPr>
        <w:t>rt</w:t>
      </w:r>
      <w:r w:rsidR="00CE71CD">
        <w:rPr>
          <w:i/>
          <w:iCs/>
        </w:rPr>
        <w:t>.</w:t>
      </w:r>
      <w:r w:rsidRPr="009D5D5B">
        <w:rPr>
          <w:i/>
          <w:iCs/>
        </w:rPr>
        <w:t>103</w:t>
      </w:r>
      <w:r w:rsidR="000941CE">
        <w:rPr>
          <w:i/>
          <w:iCs/>
        </w:rPr>
        <w:t>, competencia exclusiva de los Tribunales Provinciales.</w:t>
      </w:r>
    </w:p>
  </w:footnote>
  <w:footnote w:id="8">
    <w:p w14:paraId="7BDA162A" w14:textId="4FBCC13E" w:rsidR="00FD1872" w:rsidRDefault="00FD1872">
      <w:pPr>
        <w:pStyle w:val="Textonotapie"/>
      </w:pPr>
      <w:r>
        <w:rPr>
          <w:rStyle w:val="Refdenotaalpie"/>
        </w:rPr>
        <w:footnoteRef/>
      </w:r>
      <w:r>
        <w:t xml:space="preserve"> Hemos de manifestar que el término </w:t>
      </w:r>
      <w:r w:rsidR="00E62E21">
        <w:t>“</w:t>
      </w:r>
      <w:r>
        <w:t>violencia pasional</w:t>
      </w:r>
      <w:r w:rsidR="00E62E21">
        <w:t>”</w:t>
      </w:r>
      <w:r>
        <w:t xml:space="preserve"> es un término obsoleto para el mundo entero excepto para el gobierno cubano. El término aceptado hoy en día es</w:t>
      </w:r>
      <w:r w:rsidR="00E62E21">
        <w:t>,</w:t>
      </w:r>
      <w:r>
        <w:t xml:space="preserve"> bien “violencia de género”</w:t>
      </w:r>
      <w:r w:rsidR="00E62E21">
        <w:t>,</w:t>
      </w:r>
      <w:r>
        <w:t xml:space="preserve"> o</w:t>
      </w:r>
      <w:r w:rsidR="00E62E21">
        <w:t xml:space="preserve"> bien</w:t>
      </w:r>
      <w:r>
        <w:t xml:space="preserve"> “violencia machista”, porque denotan un problema estructural</w:t>
      </w:r>
      <w:r w:rsidR="00E62E21">
        <w:t>, y no particular</w:t>
      </w:r>
      <w:r>
        <w:t xml:space="preserve">. La violencia pasional parece justificar una lacra que es estructural, un mal antropológico que los gobiernos tienen la responsabilidad de prevenir, ejercer </w:t>
      </w:r>
      <w:r w:rsidR="00E62E21">
        <w:t xml:space="preserve">medidas de </w:t>
      </w:r>
      <w:r>
        <w:t>protección frente a él, y finalmente erradicar.</w:t>
      </w:r>
    </w:p>
  </w:footnote>
  <w:footnote w:id="9">
    <w:p w14:paraId="71DB6C9B" w14:textId="77777777" w:rsidR="00E62E21" w:rsidRDefault="00E62E21" w:rsidP="00E62E21">
      <w:pPr>
        <w:pStyle w:val="Textonotapie"/>
      </w:pPr>
      <w:r>
        <w:rPr>
          <w:rStyle w:val="Refdenotaalpie"/>
        </w:rPr>
        <w:footnoteRef/>
      </w:r>
      <w:r>
        <w:t xml:space="preserve"> Hemos de manifestar que el término “violencia pasional” es un término obsoleto para el mundo entero excepto para el gobierno cubano. El término aceptado hoy en día es, bien “violencia de género”, o bien “violencia machista”, porque denotan un problema estructural, y no particular. La violencia pasional parece justificar una lacra que es estructural, un mal antropológico que los gobiernos tienen la responsabilidad de prevenir, ejercer medidas de protección frente a él, y finalmente erradicar.</w:t>
      </w:r>
    </w:p>
  </w:footnote>
  <w:footnote w:id="10">
    <w:p w14:paraId="55B4CE5B" w14:textId="346805AE" w:rsidR="0008232E" w:rsidRDefault="0008232E">
      <w:pPr>
        <w:pStyle w:val="Textonotapie"/>
      </w:pPr>
      <w:r>
        <w:rPr>
          <w:rStyle w:val="Refdenotaalpie"/>
        </w:rPr>
        <w:footnoteRef/>
      </w:r>
      <w:r>
        <w:t xml:space="preserve"> Informe “</w:t>
      </w:r>
      <w:r w:rsidRPr="0008232E">
        <w:rPr>
          <w:i/>
          <w:iCs/>
        </w:rPr>
        <w:t>Asesinatos de mujeres y niñas por parte de su pareja u otros miembros de la familia</w:t>
      </w:r>
      <w:r>
        <w:t xml:space="preserve">”, UNDOC, Naciones Unidas, 2/2022, en base a datos del 2020, pág. 3: </w:t>
      </w:r>
      <w:hyperlink r:id="rId9" w:history="1">
        <w:r w:rsidRPr="00537DD5">
          <w:rPr>
            <w:rStyle w:val="Hipervnculo"/>
          </w:rPr>
          <w:t>https://drive.google.com/file/d/1mbcsPTjjuj3p_22565nyxX8WKty1tZAX/view?usp=sharing</w:t>
        </w:r>
      </w:hyperlink>
    </w:p>
  </w:footnote>
  <w:footnote w:id="11">
    <w:p w14:paraId="7A3CE6A1" w14:textId="77777777" w:rsidR="004F5AB2" w:rsidRDefault="004F5AB2" w:rsidP="004F5AB2">
      <w:pPr>
        <w:pStyle w:val="Textonotapie"/>
      </w:pPr>
      <w:r>
        <w:rPr>
          <w:rStyle w:val="Refdenotaalpie"/>
        </w:rPr>
        <w:footnoteRef/>
      </w:r>
      <w:r>
        <w:t xml:space="preserve"> Hemos de manifestar que el término “violencia pasional” es un término obsoleto para el mundo entero excepto para el gobierno cubano. El término aceptado hoy en día es, bien “violencia de género”, o bien “violencia machista”, porque denotan un problema estructural, y no particular. La violencia pasional parece justificar una lacra que es estructural, un mal antropológico que los gobiernos tienen la responsabilidad de prevenir, ejercer medidas de protección frente a él, y finalmente erradicar.</w:t>
      </w:r>
    </w:p>
  </w:footnote>
  <w:footnote w:id="12">
    <w:p w14:paraId="5560C7A8" w14:textId="4B879551" w:rsidR="00C73F40" w:rsidRDefault="00C73F40">
      <w:pPr>
        <w:pStyle w:val="Textonotapie"/>
      </w:pPr>
      <w:r>
        <w:rPr>
          <w:rStyle w:val="Refdenotaalpie"/>
        </w:rPr>
        <w:footnoteRef/>
      </w:r>
      <w:r>
        <w:t xml:space="preserve"> </w:t>
      </w:r>
      <w:hyperlink r:id="rId10">
        <w:r>
          <w:rPr>
            <w:color w:val="1155CC"/>
            <w:highlight w:val="white"/>
            <w:u w:val="single"/>
          </w:rPr>
          <w:t>Observatorio de Cuba sobre Igualdad de Género</w:t>
        </w:r>
      </w:hyperlink>
      <w:r w:rsidR="004E3BF0" w:rsidRPr="004E3BF0">
        <w:rPr>
          <w:highlight w:val="white"/>
        </w:rPr>
        <w:t xml:space="preserve"> </w:t>
      </w:r>
      <w:r w:rsidR="004E3BF0">
        <w:t xml:space="preserve">(también guardada en </w:t>
      </w:r>
      <w:hyperlink r:id="rId11" w:history="1">
        <w:r w:rsidR="004E3BF0" w:rsidRPr="004E3BF0">
          <w:rPr>
            <w:rStyle w:val="Hipervnculo"/>
          </w:rPr>
          <w:t>Web Archive</w:t>
        </w:r>
      </w:hyperlink>
      <w:r w:rsidR="004E3BF0">
        <w:t>)</w:t>
      </w:r>
    </w:p>
  </w:footnote>
  <w:footnote w:id="13">
    <w:p w14:paraId="235FCBB2" w14:textId="4BA48A75" w:rsidR="0071072B" w:rsidRDefault="0071072B">
      <w:pPr>
        <w:pStyle w:val="Textonotapie"/>
      </w:pPr>
      <w:r>
        <w:rPr>
          <w:rStyle w:val="Refdenotaalpie"/>
        </w:rPr>
        <w:footnoteRef/>
      </w:r>
      <w:r>
        <w:t xml:space="preserve"> </w:t>
      </w:r>
      <w:hyperlink r:id="rId12">
        <w:r>
          <w:rPr>
            <w:color w:val="1155CC"/>
            <w:u w:val="single"/>
          </w:rPr>
          <w:t>Alastensas.com</w:t>
        </w:r>
      </w:hyperlink>
      <w:r>
        <w:rPr>
          <w:highlight w:val="white"/>
        </w:rPr>
        <w:t>,</w:t>
      </w:r>
      <w:r w:rsidRPr="0071072B">
        <w:t xml:space="preserve"> </w:t>
      </w:r>
      <w:hyperlink r:id="rId13">
        <w:r>
          <w:rPr>
            <w:color w:val="1155CC"/>
            <w:u w:val="single"/>
          </w:rPr>
          <w:t>UNDP</w:t>
        </w:r>
      </w:hyperlink>
    </w:p>
  </w:footnote>
  <w:footnote w:id="14">
    <w:p w14:paraId="3218B3D6" w14:textId="5EB852C2" w:rsidR="0071072B" w:rsidRDefault="0071072B">
      <w:pPr>
        <w:pStyle w:val="Textonotapie"/>
      </w:pPr>
      <w:r>
        <w:rPr>
          <w:rStyle w:val="Refdenotaalpie"/>
        </w:rPr>
        <w:footnoteRef/>
      </w:r>
      <w:r>
        <w:t xml:space="preserve"> </w:t>
      </w:r>
      <w:hyperlink r:id="rId14">
        <w:r>
          <w:rPr>
            <w:color w:val="1155CC"/>
            <w:u w:val="single"/>
          </w:rPr>
          <w:t>Alastensas.com</w:t>
        </w:r>
      </w:hyperlink>
      <w:r>
        <w:t>,</w:t>
      </w:r>
      <w:r>
        <w:rPr>
          <w:rFonts w:ascii="Times New Roman" w:hAnsi="Times New Roman" w:cs="Times New Roman"/>
        </w:rPr>
        <w:t>​​</w:t>
      </w:r>
      <w:r>
        <w:t xml:space="preserve"> </w:t>
      </w:r>
      <w:hyperlink r:id="rId15">
        <w:r>
          <w:rPr>
            <w:color w:val="1155CC"/>
            <w:u w:val="single"/>
          </w:rPr>
          <w:t>Tiempo21</w:t>
        </w:r>
      </w:hyperlink>
    </w:p>
  </w:footnote>
  <w:footnote w:id="15">
    <w:p w14:paraId="2B35CBD8" w14:textId="70105639" w:rsidR="0071072B" w:rsidRDefault="0071072B">
      <w:pPr>
        <w:pStyle w:val="Textonotapie"/>
      </w:pPr>
      <w:r>
        <w:rPr>
          <w:rStyle w:val="Refdenotaalpie"/>
        </w:rPr>
        <w:footnoteRef/>
      </w:r>
      <w:r>
        <w:t xml:space="preserve"> </w:t>
      </w:r>
      <w:hyperlink r:id="rId16">
        <w:r>
          <w:rPr>
            <w:color w:val="1155CC"/>
            <w:u w:val="single"/>
          </w:rPr>
          <w:t>Diario de Cuba</w:t>
        </w:r>
      </w:hyperlink>
    </w:p>
  </w:footnote>
  <w:footnote w:id="16">
    <w:p w14:paraId="25FDCBCA" w14:textId="253DBC0D" w:rsidR="000C1297" w:rsidRDefault="000C1297">
      <w:pPr>
        <w:pStyle w:val="Textonotapie"/>
      </w:pPr>
      <w:r>
        <w:rPr>
          <w:rStyle w:val="Refdenotaalpie"/>
        </w:rPr>
        <w:footnoteRef/>
      </w:r>
      <w:r>
        <w:t xml:space="preserve"> </w:t>
      </w:r>
      <w:hyperlink r:id="rId17">
        <w:r>
          <w:rPr>
            <w:color w:val="1155CC"/>
            <w:u w:val="single"/>
          </w:rPr>
          <w:t>Tiempo21</w:t>
        </w:r>
      </w:hyperlink>
    </w:p>
  </w:footnote>
  <w:footnote w:id="17">
    <w:p w14:paraId="61E34553" w14:textId="174F15AE" w:rsidR="00522B6A" w:rsidRDefault="00522B6A">
      <w:pPr>
        <w:pStyle w:val="Textonotapie"/>
      </w:pPr>
      <w:r>
        <w:rPr>
          <w:rStyle w:val="Refdenotaalpie"/>
        </w:rPr>
        <w:footnoteRef/>
      </w:r>
      <w:r>
        <w:t xml:space="preserve"> </w:t>
      </w:r>
      <w:hyperlink r:id="rId18">
        <w:r>
          <w:rPr>
            <w:color w:val="1155CC"/>
            <w:highlight w:val="white"/>
            <w:u w:val="single"/>
          </w:rPr>
          <w:t>Informe Anual de Feminicidios de OGAT</w:t>
        </w:r>
      </w:hyperlink>
    </w:p>
  </w:footnote>
  <w:footnote w:id="18">
    <w:p w14:paraId="48982DE4" w14:textId="0DC9496D" w:rsidR="004B66C0" w:rsidRDefault="004B66C0" w:rsidP="004B66C0">
      <w:pPr>
        <w:pStyle w:val="Textonotapie"/>
      </w:pPr>
    </w:p>
  </w:footnote>
  <w:footnote w:id="19">
    <w:p w14:paraId="2690B4A9" w14:textId="30646CBD" w:rsidR="00F915D2" w:rsidRDefault="00F915D2" w:rsidP="00494ED4">
      <w:pPr>
        <w:pStyle w:val="Textonotapie"/>
      </w:pPr>
      <w:r>
        <w:rPr>
          <w:rStyle w:val="Refdenotaalpie"/>
        </w:rPr>
        <w:footnoteRef/>
      </w:r>
      <w:r>
        <w:t xml:space="preserve"> </w:t>
      </w:r>
      <w:r w:rsidR="00494ED4">
        <w:t xml:space="preserve">Caso documentado por </w:t>
      </w:r>
      <w:r>
        <w:rPr>
          <w:highlight w:val="white"/>
        </w:rPr>
        <w:t>Alas Tensas</w:t>
      </w:r>
      <w:r w:rsidR="00494ED4">
        <w:t xml:space="preserve"> y disponible en sus informes publicados.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86B91E" w14:textId="77777777" w:rsidR="00615E20" w:rsidRDefault="00615E2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pPr w:vertAnchor="page" w:horzAnchor="page"/>
      <w:tblOverlap w:val="never"/>
      <w:tblW w:w="11920" w:type="dxa"/>
      <w:tblInd w:w="0" w:type="dxa"/>
      <w:tblCellMar>
        <w:left w:w="115" w:type="dxa"/>
        <w:right w:w="576" w:type="dxa"/>
      </w:tblCellMar>
      <w:tblLook w:val="04A0" w:firstRow="1" w:lastRow="0" w:firstColumn="1" w:lastColumn="0" w:noHBand="0" w:noVBand="1"/>
    </w:tblPr>
    <w:tblGrid>
      <w:gridCol w:w="5104"/>
      <w:gridCol w:w="6816"/>
    </w:tblGrid>
    <w:tr w:rsidR="00793F0D" w14:paraId="7C691E8A" w14:textId="77777777" w:rsidTr="00793F0D">
      <w:trPr>
        <w:trHeight w:val="568"/>
      </w:trPr>
      <w:tc>
        <w:tcPr>
          <w:tcW w:w="5104" w:type="dxa"/>
          <w:tcBorders>
            <w:top w:val="nil"/>
            <w:left w:val="nil"/>
            <w:bottom w:val="nil"/>
            <w:right w:val="nil"/>
          </w:tcBorders>
          <w:shd w:val="clear" w:color="auto" w:fill="00416B"/>
          <w:vAlign w:val="center"/>
        </w:tcPr>
        <w:p w14:paraId="0927AD48" w14:textId="54FC0106" w:rsidR="00793F0D" w:rsidRPr="005722EF" w:rsidRDefault="00E51CD5" w:rsidP="00793F0D">
          <w:pPr>
            <w:spacing w:before="120"/>
            <w:ind w:left="447" w:right="-567"/>
            <w:rPr>
              <w:rStyle w:val="nfasissutil"/>
              <w:smallCaps/>
            </w:rPr>
          </w:pPr>
          <w:r>
            <w:rPr>
              <w:rStyle w:val="nfasissutil"/>
              <w:smallCaps/>
            </w:rPr>
            <w:t>6</w:t>
          </w:r>
          <w:r w:rsidR="00793F0D">
            <w:rPr>
              <w:rStyle w:val="nfasissutil"/>
              <w:smallCaps/>
            </w:rPr>
            <w:t xml:space="preserve"> DE SEPTIEMBRE DE 2024</w:t>
          </w:r>
        </w:p>
      </w:tc>
      <w:tc>
        <w:tcPr>
          <w:tcW w:w="6816" w:type="dxa"/>
          <w:tcBorders>
            <w:top w:val="nil"/>
            <w:left w:val="nil"/>
            <w:bottom w:val="nil"/>
            <w:right w:val="nil"/>
          </w:tcBorders>
          <w:shd w:val="clear" w:color="auto" w:fill="00416B"/>
          <w:vAlign w:val="center"/>
        </w:tcPr>
        <w:p w14:paraId="522F51FC" w14:textId="445BB9E3" w:rsidR="00793F0D" w:rsidRPr="005722EF" w:rsidRDefault="00752099" w:rsidP="00793F0D">
          <w:pPr>
            <w:spacing w:before="120"/>
            <w:ind w:left="-120"/>
            <w:jc w:val="right"/>
            <w:rPr>
              <w:rStyle w:val="nfasissutil"/>
              <w:smallCaps/>
            </w:rPr>
          </w:pPr>
          <w:r>
            <w:rPr>
              <w:rStyle w:val="nfasissutil"/>
              <w:smallCaps/>
            </w:rPr>
            <w:t>La Realidad de la Crisis Feminicida Actual en Cuba</w:t>
          </w:r>
        </w:p>
      </w:tc>
    </w:tr>
  </w:tbl>
  <w:p w14:paraId="000000A1" w14:textId="50491766" w:rsidR="00565625" w:rsidRPr="00793F0D" w:rsidRDefault="00565625" w:rsidP="00793F0D">
    <w:pPr>
      <w:pStyle w:val="Encabezado"/>
      <w:rPr>
        <w:rFonts w:eastAsia="Barlow"/>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pPr w:vertAnchor="page" w:horzAnchor="page"/>
      <w:tblOverlap w:val="never"/>
      <w:tblW w:w="11920" w:type="dxa"/>
      <w:tblInd w:w="0" w:type="dxa"/>
      <w:tblCellMar>
        <w:left w:w="115" w:type="dxa"/>
        <w:right w:w="576" w:type="dxa"/>
      </w:tblCellMar>
      <w:tblLook w:val="04A0" w:firstRow="1" w:lastRow="0" w:firstColumn="1" w:lastColumn="0" w:noHBand="0" w:noVBand="1"/>
    </w:tblPr>
    <w:tblGrid>
      <w:gridCol w:w="5104"/>
      <w:gridCol w:w="6816"/>
    </w:tblGrid>
    <w:tr w:rsidR="00793F0D" w14:paraId="15C3ACCE" w14:textId="77777777" w:rsidTr="00793F0D">
      <w:trPr>
        <w:trHeight w:val="567"/>
      </w:trPr>
      <w:tc>
        <w:tcPr>
          <w:tcW w:w="5104" w:type="dxa"/>
          <w:tcBorders>
            <w:top w:val="nil"/>
            <w:left w:val="nil"/>
            <w:bottom w:val="nil"/>
            <w:right w:val="nil"/>
          </w:tcBorders>
          <w:shd w:val="clear" w:color="auto" w:fill="00416B"/>
          <w:vAlign w:val="center"/>
        </w:tcPr>
        <w:p w14:paraId="62BE3D4E" w14:textId="77777777" w:rsidR="00793F0D" w:rsidRPr="005722EF" w:rsidRDefault="00793F0D" w:rsidP="00793F0D">
          <w:pPr>
            <w:spacing w:before="120"/>
            <w:ind w:left="447" w:right="-567"/>
            <w:rPr>
              <w:rStyle w:val="nfasissutil"/>
              <w:smallCaps/>
            </w:rPr>
          </w:pPr>
          <w:r>
            <w:rPr>
              <w:rStyle w:val="nfasissutil"/>
              <w:smallCaps/>
            </w:rPr>
            <w:t>5 DE SEPTIEMBRE DE 2024</w:t>
          </w:r>
        </w:p>
      </w:tc>
      <w:tc>
        <w:tcPr>
          <w:tcW w:w="6816" w:type="dxa"/>
          <w:tcBorders>
            <w:top w:val="nil"/>
            <w:left w:val="nil"/>
            <w:bottom w:val="nil"/>
            <w:right w:val="nil"/>
          </w:tcBorders>
          <w:shd w:val="clear" w:color="auto" w:fill="00416B"/>
          <w:vAlign w:val="center"/>
        </w:tcPr>
        <w:p w14:paraId="3742B918" w14:textId="77777777" w:rsidR="00793F0D" w:rsidRPr="005722EF" w:rsidRDefault="00793F0D" w:rsidP="00793F0D">
          <w:pPr>
            <w:spacing w:before="120"/>
            <w:ind w:left="-120"/>
            <w:jc w:val="right"/>
            <w:rPr>
              <w:rStyle w:val="nfasissutil"/>
              <w:smallCaps/>
            </w:rPr>
          </w:pPr>
          <w:r w:rsidRPr="00056AC8">
            <w:rPr>
              <w:rStyle w:val="nfasissutil"/>
              <w:smallCaps/>
            </w:rPr>
            <w:t>CUBA Y EL FEMINICIDI</w:t>
          </w:r>
          <w:r>
            <w:rPr>
              <w:rStyle w:val="nfasissutil"/>
              <w:smallCaps/>
            </w:rPr>
            <w:t>O</w:t>
          </w:r>
        </w:p>
      </w:tc>
    </w:tr>
  </w:tbl>
  <w:p w14:paraId="000000A2" w14:textId="0A402AC4" w:rsidR="00565625" w:rsidRPr="00793F0D" w:rsidRDefault="00565625" w:rsidP="00793F0D">
    <w:pPr>
      <w:pStyle w:val="Encabezado"/>
      <w:rPr>
        <w:rFonts w:eastAsia="Barl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119B1"/>
    <w:multiLevelType w:val="multilevel"/>
    <w:tmpl w:val="82D6CCC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18523475"/>
    <w:multiLevelType w:val="multilevel"/>
    <w:tmpl w:val="64D241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1A4B6E49"/>
    <w:multiLevelType w:val="multilevel"/>
    <w:tmpl w:val="62C0C5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AD75096"/>
    <w:multiLevelType w:val="multilevel"/>
    <w:tmpl w:val="82D6CCC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1FC75932"/>
    <w:multiLevelType w:val="hybridMultilevel"/>
    <w:tmpl w:val="1CEA91FE"/>
    <w:lvl w:ilvl="0" w:tplc="0C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63C0ED8"/>
    <w:multiLevelType w:val="multilevel"/>
    <w:tmpl w:val="3F8C33D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pStyle w:val="Ttulo5"/>
      <w:lvlText w:val="%5."/>
      <w:lvlJc w:val="left"/>
      <w:pPr>
        <w:ind w:left="3600" w:hanging="360"/>
      </w:pPr>
    </w:lvl>
    <w:lvl w:ilvl="5">
      <w:start w:val="1"/>
      <w:numFmt w:val="lowerRoman"/>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6" w15:restartNumberingAfterBreak="0">
    <w:nsid w:val="2BB747A5"/>
    <w:multiLevelType w:val="hybridMultilevel"/>
    <w:tmpl w:val="6D062098"/>
    <w:lvl w:ilvl="0" w:tplc="0C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4936592B"/>
    <w:multiLevelType w:val="multilevel"/>
    <w:tmpl w:val="7F44ECAA"/>
    <w:lvl w:ilvl="0">
      <w:start w:val="1"/>
      <w:numFmt w:val="decimal"/>
      <w:pStyle w:val="Ttulo1Informe"/>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97A145B"/>
    <w:multiLevelType w:val="multilevel"/>
    <w:tmpl w:val="A4164AE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A0B4AFD"/>
    <w:multiLevelType w:val="multilevel"/>
    <w:tmpl w:val="00E0F0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B327720"/>
    <w:multiLevelType w:val="multilevel"/>
    <w:tmpl w:val="D3DE77F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554A4378"/>
    <w:multiLevelType w:val="multilevel"/>
    <w:tmpl w:val="7BD2847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E5B018C"/>
    <w:multiLevelType w:val="multilevel"/>
    <w:tmpl w:val="24E268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724643D3"/>
    <w:multiLevelType w:val="multilevel"/>
    <w:tmpl w:val="4508D612"/>
    <w:lvl w:ilvl="0">
      <w:start w:val="1"/>
      <w:numFmt w:val="decimal"/>
      <w:pStyle w:val="Ttulo1"/>
      <w:lvlText w:val="%1."/>
      <w:lvlJc w:val="left"/>
      <w:pPr>
        <w:ind w:left="360" w:hanging="360"/>
      </w:pPr>
    </w:lvl>
    <w:lvl w:ilvl="1">
      <w:start w:val="1"/>
      <w:numFmt w:val="decimal"/>
      <w:pStyle w:val="Ttulo2"/>
      <w:lvlText w:val="%1.%2."/>
      <w:lvlJc w:val="left"/>
      <w:pPr>
        <w:ind w:left="792" w:hanging="432"/>
      </w:pPr>
    </w:lvl>
    <w:lvl w:ilvl="2">
      <w:start w:val="1"/>
      <w:numFmt w:val="decimal"/>
      <w:pStyle w:val="Ttulo3"/>
      <w:lvlText w:val="%1.%2.%3."/>
      <w:lvlJc w:val="left"/>
      <w:pPr>
        <w:ind w:left="1224" w:hanging="504"/>
      </w:pPr>
    </w:lvl>
    <w:lvl w:ilvl="3">
      <w:start w:val="1"/>
      <w:numFmt w:val="decimal"/>
      <w:pStyle w:val="Ttulo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78793318">
    <w:abstractNumId w:val="5"/>
  </w:num>
  <w:num w:numId="2" w16cid:durableId="1690524535">
    <w:abstractNumId w:val="10"/>
  </w:num>
  <w:num w:numId="3" w16cid:durableId="809135965">
    <w:abstractNumId w:val="9"/>
  </w:num>
  <w:num w:numId="4" w16cid:durableId="40326602">
    <w:abstractNumId w:val="7"/>
  </w:num>
  <w:num w:numId="5" w16cid:durableId="1956718001">
    <w:abstractNumId w:val="1"/>
  </w:num>
  <w:num w:numId="6" w16cid:durableId="1231580891">
    <w:abstractNumId w:val="12"/>
  </w:num>
  <w:num w:numId="7" w16cid:durableId="129790914">
    <w:abstractNumId w:val="0"/>
  </w:num>
  <w:num w:numId="8" w16cid:durableId="118691155">
    <w:abstractNumId w:val="2"/>
  </w:num>
  <w:num w:numId="9" w16cid:durableId="16276022">
    <w:abstractNumId w:val="7"/>
  </w:num>
  <w:num w:numId="10" w16cid:durableId="1426221133">
    <w:abstractNumId w:val="7"/>
  </w:num>
  <w:num w:numId="11" w16cid:durableId="854462263">
    <w:abstractNumId w:val="7"/>
  </w:num>
  <w:num w:numId="12" w16cid:durableId="1431313606">
    <w:abstractNumId w:val="7"/>
  </w:num>
  <w:num w:numId="13" w16cid:durableId="1324747811">
    <w:abstractNumId w:val="7"/>
  </w:num>
  <w:num w:numId="14" w16cid:durableId="1810321553">
    <w:abstractNumId w:val="7"/>
  </w:num>
  <w:num w:numId="15" w16cid:durableId="225651397">
    <w:abstractNumId w:val="4"/>
  </w:num>
  <w:num w:numId="16" w16cid:durableId="1505900896">
    <w:abstractNumId w:val="6"/>
  </w:num>
  <w:num w:numId="17" w16cid:durableId="1773933510">
    <w:abstractNumId w:val="7"/>
  </w:num>
  <w:num w:numId="18" w16cid:durableId="2138061797">
    <w:abstractNumId w:val="7"/>
  </w:num>
  <w:num w:numId="19" w16cid:durableId="466048463">
    <w:abstractNumId w:val="7"/>
  </w:num>
  <w:num w:numId="20" w16cid:durableId="525095204">
    <w:abstractNumId w:val="7"/>
  </w:num>
  <w:num w:numId="21" w16cid:durableId="1725175734">
    <w:abstractNumId w:val="13"/>
  </w:num>
  <w:num w:numId="22" w16cid:durableId="443965930">
    <w:abstractNumId w:val="11"/>
  </w:num>
  <w:num w:numId="23" w16cid:durableId="986930619">
    <w:abstractNumId w:val="8"/>
  </w:num>
  <w:num w:numId="24" w16cid:durableId="66197823">
    <w:abstractNumId w:val="13"/>
  </w:num>
  <w:num w:numId="25" w16cid:durableId="1555235425">
    <w:abstractNumId w:val="13"/>
  </w:num>
  <w:num w:numId="26" w16cid:durableId="1130169050">
    <w:abstractNumId w:val="13"/>
  </w:num>
  <w:num w:numId="27" w16cid:durableId="1490291894">
    <w:abstractNumId w:val="3"/>
  </w:num>
  <w:num w:numId="28" w16cid:durableId="2004627516">
    <w:abstractNumId w:val="13"/>
  </w:num>
  <w:num w:numId="29" w16cid:durableId="730228486">
    <w:abstractNumId w:val="13"/>
  </w:num>
  <w:num w:numId="30" w16cid:durableId="17453977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saveSubset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625"/>
    <w:rsid w:val="00005AF4"/>
    <w:rsid w:val="00006E93"/>
    <w:rsid w:val="0001685A"/>
    <w:rsid w:val="000310A7"/>
    <w:rsid w:val="0003154B"/>
    <w:rsid w:val="00034CBD"/>
    <w:rsid w:val="0005758B"/>
    <w:rsid w:val="000644F5"/>
    <w:rsid w:val="0008232E"/>
    <w:rsid w:val="00087700"/>
    <w:rsid w:val="000941CE"/>
    <w:rsid w:val="0009500E"/>
    <w:rsid w:val="000A46F4"/>
    <w:rsid w:val="000A4A33"/>
    <w:rsid w:val="000C1297"/>
    <w:rsid w:val="000E3C39"/>
    <w:rsid w:val="000F337D"/>
    <w:rsid w:val="00113B46"/>
    <w:rsid w:val="0012365F"/>
    <w:rsid w:val="00124648"/>
    <w:rsid w:val="001476D2"/>
    <w:rsid w:val="00181C5B"/>
    <w:rsid w:val="0019030C"/>
    <w:rsid w:val="001957E0"/>
    <w:rsid w:val="001A5BBB"/>
    <w:rsid w:val="001B0C17"/>
    <w:rsid w:val="001B12DA"/>
    <w:rsid w:val="001D2A18"/>
    <w:rsid w:val="001D520D"/>
    <w:rsid w:val="001F1E82"/>
    <w:rsid w:val="0023552F"/>
    <w:rsid w:val="00295F7D"/>
    <w:rsid w:val="002A7E64"/>
    <w:rsid w:val="002D74D9"/>
    <w:rsid w:val="002E732D"/>
    <w:rsid w:val="00304360"/>
    <w:rsid w:val="00333E79"/>
    <w:rsid w:val="003523A3"/>
    <w:rsid w:val="00360772"/>
    <w:rsid w:val="00364E10"/>
    <w:rsid w:val="0036774E"/>
    <w:rsid w:val="003718B5"/>
    <w:rsid w:val="00371D59"/>
    <w:rsid w:val="00374983"/>
    <w:rsid w:val="0038739C"/>
    <w:rsid w:val="003B0540"/>
    <w:rsid w:val="003B0C58"/>
    <w:rsid w:val="003B23BA"/>
    <w:rsid w:val="00402D98"/>
    <w:rsid w:val="00415CAE"/>
    <w:rsid w:val="004276D4"/>
    <w:rsid w:val="004608FB"/>
    <w:rsid w:val="00470781"/>
    <w:rsid w:val="004843FF"/>
    <w:rsid w:val="00487C8F"/>
    <w:rsid w:val="00494ED4"/>
    <w:rsid w:val="004B66C0"/>
    <w:rsid w:val="004C1058"/>
    <w:rsid w:val="004C11A3"/>
    <w:rsid w:val="004E3BF0"/>
    <w:rsid w:val="004F5AB2"/>
    <w:rsid w:val="00517F4C"/>
    <w:rsid w:val="00522B6A"/>
    <w:rsid w:val="005603AF"/>
    <w:rsid w:val="00565625"/>
    <w:rsid w:val="0056779C"/>
    <w:rsid w:val="005A12DD"/>
    <w:rsid w:val="005A5E74"/>
    <w:rsid w:val="005B1E12"/>
    <w:rsid w:val="005D4D9C"/>
    <w:rsid w:val="005F51A0"/>
    <w:rsid w:val="005F5262"/>
    <w:rsid w:val="005F7BF2"/>
    <w:rsid w:val="00601096"/>
    <w:rsid w:val="00615ACB"/>
    <w:rsid w:val="00615E20"/>
    <w:rsid w:val="00626220"/>
    <w:rsid w:val="0063766A"/>
    <w:rsid w:val="006758DB"/>
    <w:rsid w:val="006772BF"/>
    <w:rsid w:val="00694CD0"/>
    <w:rsid w:val="006976BA"/>
    <w:rsid w:val="006D7C68"/>
    <w:rsid w:val="006E3D9E"/>
    <w:rsid w:val="006E597A"/>
    <w:rsid w:val="006E5FEA"/>
    <w:rsid w:val="006F2FF2"/>
    <w:rsid w:val="0071072B"/>
    <w:rsid w:val="0072317E"/>
    <w:rsid w:val="00735088"/>
    <w:rsid w:val="007379E1"/>
    <w:rsid w:val="00752099"/>
    <w:rsid w:val="0076269B"/>
    <w:rsid w:val="00770E90"/>
    <w:rsid w:val="00793F0D"/>
    <w:rsid w:val="007C5291"/>
    <w:rsid w:val="007E353D"/>
    <w:rsid w:val="007E444F"/>
    <w:rsid w:val="007F027C"/>
    <w:rsid w:val="007F2732"/>
    <w:rsid w:val="008056CA"/>
    <w:rsid w:val="00806EC0"/>
    <w:rsid w:val="00822834"/>
    <w:rsid w:val="008432D9"/>
    <w:rsid w:val="00853C7B"/>
    <w:rsid w:val="00862909"/>
    <w:rsid w:val="00863439"/>
    <w:rsid w:val="0087395F"/>
    <w:rsid w:val="0088344D"/>
    <w:rsid w:val="008B7AE1"/>
    <w:rsid w:val="008C1D01"/>
    <w:rsid w:val="008D281A"/>
    <w:rsid w:val="008E338C"/>
    <w:rsid w:val="008F1EEF"/>
    <w:rsid w:val="008F7F11"/>
    <w:rsid w:val="0091595A"/>
    <w:rsid w:val="009247DA"/>
    <w:rsid w:val="00963580"/>
    <w:rsid w:val="00972990"/>
    <w:rsid w:val="00976F87"/>
    <w:rsid w:val="0099241A"/>
    <w:rsid w:val="009B421B"/>
    <w:rsid w:val="009C5E70"/>
    <w:rsid w:val="009D5D5B"/>
    <w:rsid w:val="009E3BB4"/>
    <w:rsid w:val="009E608F"/>
    <w:rsid w:val="00A37846"/>
    <w:rsid w:val="00A54B02"/>
    <w:rsid w:val="00A64F6F"/>
    <w:rsid w:val="00A718D4"/>
    <w:rsid w:val="00A7321D"/>
    <w:rsid w:val="00A77710"/>
    <w:rsid w:val="00A91E11"/>
    <w:rsid w:val="00A967A2"/>
    <w:rsid w:val="00AA2CFC"/>
    <w:rsid w:val="00AB774D"/>
    <w:rsid w:val="00AD6862"/>
    <w:rsid w:val="00AE1C4A"/>
    <w:rsid w:val="00AE372E"/>
    <w:rsid w:val="00B03B14"/>
    <w:rsid w:val="00B0431C"/>
    <w:rsid w:val="00B35497"/>
    <w:rsid w:val="00B54AFA"/>
    <w:rsid w:val="00B718DB"/>
    <w:rsid w:val="00B74544"/>
    <w:rsid w:val="00B74A53"/>
    <w:rsid w:val="00B769BF"/>
    <w:rsid w:val="00BA1205"/>
    <w:rsid w:val="00BC4D9A"/>
    <w:rsid w:val="00BD1854"/>
    <w:rsid w:val="00BD65C3"/>
    <w:rsid w:val="00BF0ABB"/>
    <w:rsid w:val="00BF4FD1"/>
    <w:rsid w:val="00C0466E"/>
    <w:rsid w:val="00C0732F"/>
    <w:rsid w:val="00C1657C"/>
    <w:rsid w:val="00C23674"/>
    <w:rsid w:val="00C46636"/>
    <w:rsid w:val="00C621DD"/>
    <w:rsid w:val="00C70D10"/>
    <w:rsid w:val="00C73933"/>
    <w:rsid w:val="00C73F40"/>
    <w:rsid w:val="00C80804"/>
    <w:rsid w:val="00C91DF8"/>
    <w:rsid w:val="00CA0358"/>
    <w:rsid w:val="00CA2608"/>
    <w:rsid w:val="00CA5E27"/>
    <w:rsid w:val="00CD46BB"/>
    <w:rsid w:val="00CE71CD"/>
    <w:rsid w:val="00CF0C64"/>
    <w:rsid w:val="00D022C0"/>
    <w:rsid w:val="00D145B5"/>
    <w:rsid w:val="00D23EDB"/>
    <w:rsid w:val="00D46708"/>
    <w:rsid w:val="00D527B9"/>
    <w:rsid w:val="00D6455E"/>
    <w:rsid w:val="00D76E0C"/>
    <w:rsid w:val="00D82927"/>
    <w:rsid w:val="00D86A6E"/>
    <w:rsid w:val="00D90A81"/>
    <w:rsid w:val="00DB5FDC"/>
    <w:rsid w:val="00DD1B92"/>
    <w:rsid w:val="00DF3BC1"/>
    <w:rsid w:val="00DF74DB"/>
    <w:rsid w:val="00E051F2"/>
    <w:rsid w:val="00E161C4"/>
    <w:rsid w:val="00E23EA2"/>
    <w:rsid w:val="00E33D81"/>
    <w:rsid w:val="00E51CD5"/>
    <w:rsid w:val="00E62849"/>
    <w:rsid w:val="00E62E21"/>
    <w:rsid w:val="00E70615"/>
    <w:rsid w:val="00E713DA"/>
    <w:rsid w:val="00E8158D"/>
    <w:rsid w:val="00EE0C3C"/>
    <w:rsid w:val="00EE286A"/>
    <w:rsid w:val="00EF450D"/>
    <w:rsid w:val="00F155F4"/>
    <w:rsid w:val="00F20C66"/>
    <w:rsid w:val="00F26D84"/>
    <w:rsid w:val="00F33EFA"/>
    <w:rsid w:val="00F85472"/>
    <w:rsid w:val="00F915D2"/>
    <w:rsid w:val="00FA3088"/>
    <w:rsid w:val="00FA4FEA"/>
    <w:rsid w:val="00FA616A"/>
    <w:rsid w:val="00FC1A7D"/>
    <w:rsid w:val="00FD0245"/>
    <w:rsid w:val="00FD1872"/>
    <w:rsid w:val="00FD5090"/>
    <w:rsid w:val="00FF0659"/>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10D6A"/>
  <w15:docId w15:val="{A11CFD39-5F06-4EB3-B7C9-D0146C106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Barlow" w:eastAsia="Barlow" w:hAnsi="Barlow" w:cs="Barlow"/>
        <w:color w:val="595959"/>
        <w:lang w:val="es-ES_tradnl" w:eastAsia="es-ES_tradnl" w:bidi="ar-SA"/>
      </w:rPr>
    </w:rPrDefault>
    <w:pPrDefault>
      <w:pPr>
        <w:spacing w:after="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F0D"/>
    <w:pPr>
      <w:spacing w:after="120"/>
    </w:pPr>
    <w:rPr>
      <w:rFonts w:eastAsia="Times New Roman" w:cs="Segoe UI"/>
      <w:color w:val="595959" w:themeColor="text1" w:themeTint="A6"/>
      <w:szCs w:val="24"/>
    </w:rPr>
  </w:style>
  <w:style w:type="paragraph" w:styleId="Ttulo1">
    <w:name w:val="heading 1"/>
    <w:basedOn w:val="Ttulo1Informe"/>
    <w:next w:val="Normal"/>
    <w:link w:val="Ttulo1Car"/>
    <w:uiPriority w:val="9"/>
    <w:qFormat/>
    <w:rsid w:val="00752099"/>
    <w:pPr>
      <w:keepNext/>
      <w:widowControl/>
      <w:numPr>
        <w:numId w:val="21"/>
      </w:numPr>
      <w:ind w:left="357" w:hanging="357"/>
      <w:jc w:val="both"/>
      <w:outlineLvl w:val="0"/>
    </w:pPr>
  </w:style>
  <w:style w:type="paragraph" w:styleId="Ttulo2">
    <w:name w:val="heading 2"/>
    <w:basedOn w:val="Ttulo1"/>
    <w:next w:val="Normal"/>
    <w:link w:val="Ttulo2Car"/>
    <w:uiPriority w:val="9"/>
    <w:unhideWhenUsed/>
    <w:qFormat/>
    <w:rsid w:val="0071072B"/>
    <w:pPr>
      <w:numPr>
        <w:ilvl w:val="1"/>
      </w:numPr>
      <w:tabs>
        <w:tab w:val="clear" w:pos="280"/>
      </w:tabs>
      <w:spacing w:after="0"/>
      <w:ind w:left="425" w:hanging="425"/>
      <w:outlineLvl w:val="1"/>
    </w:pPr>
    <w:rPr>
      <w:sz w:val="22"/>
      <w:szCs w:val="22"/>
    </w:rPr>
  </w:style>
  <w:style w:type="paragraph" w:styleId="Ttulo3">
    <w:name w:val="heading 3"/>
    <w:basedOn w:val="Ttulo2"/>
    <w:next w:val="Normal"/>
    <w:link w:val="Ttulo3Car"/>
    <w:uiPriority w:val="9"/>
    <w:unhideWhenUsed/>
    <w:qFormat/>
    <w:rsid w:val="00B35497"/>
    <w:pPr>
      <w:numPr>
        <w:ilvl w:val="2"/>
      </w:numPr>
      <w:ind w:left="567" w:hanging="567"/>
      <w:outlineLvl w:val="2"/>
    </w:pPr>
  </w:style>
  <w:style w:type="paragraph" w:styleId="Ttulo4">
    <w:name w:val="heading 4"/>
    <w:basedOn w:val="Ttulo3"/>
    <w:next w:val="Normal"/>
    <w:link w:val="Ttulo4Car"/>
    <w:uiPriority w:val="9"/>
    <w:unhideWhenUsed/>
    <w:qFormat/>
    <w:rsid w:val="005943AA"/>
    <w:pPr>
      <w:numPr>
        <w:ilvl w:val="3"/>
      </w:numPr>
      <w:ind w:left="851" w:hanging="851"/>
      <w:outlineLvl w:val="3"/>
    </w:pPr>
  </w:style>
  <w:style w:type="paragraph" w:styleId="Ttulo5">
    <w:name w:val="heading 5"/>
    <w:basedOn w:val="Normal"/>
    <w:next w:val="Normal"/>
    <w:link w:val="Ttulo5Car"/>
    <w:uiPriority w:val="9"/>
    <w:semiHidden/>
    <w:unhideWhenUsed/>
    <w:qFormat/>
    <w:rsid w:val="0085377B"/>
    <w:pPr>
      <w:keepNext/>
      <w:keepLines/>
      <w:numPr>
        <w:ilvl w:val="4"/>
        <w:numId w:val="1"/>
      </w:numPr>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B23361"/>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85377B"/>
    <w:pPr>
      <w:keepNext/>
      <w:keepLines/>
      <w:numPr>
        <w:ilvl w:val="6"/>
        <w:numId w:val="1"/>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85377B"/>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85377B"/>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pPr>
    <w:rPr>
      <w:b/>
      <w:sz w:val="72"/>
      <w:szCs w:val="72"/>
    </w:rPr>
  </w:style>
  <w:style w:type="paragraph" w:styleId="Textodeglobo">
    <w:name w:val="Balloon Text"/>
    <w:basedOn w:val="Normal"/>
    <w:link w:val="TextodegloboCar"/>
    <w:uiPriority w:val="99"/>
    <w:semiHidden/>
    <w:unhideWhenUsed/>
    <w:rsid w:val="00CC757C"/>
    <w:rPr>
      <w:rFonts w:ascii="Tahoma" w:hAnsi="Tahoma" w:cs="Tahoma"/>
      <w:sz w:val="16"/>
      <w:szCs w:val="16"/>
    </w:rPr>
  </w:style>
  <w:style w:type="character" w:customStyle="1" w:styleId="TextodegloboCar">
    <w:name w:val="Texto de globo Car"/>
    <w:basedOn w:val="Fuentedeprrafopredeter"/>
    <w:link w:val="Textodeglobo"/>
    <w:uiPriority w:val="99"/>
    <w:semiHidden/>
    <w:rsid w:val="00CC757C"/>
    <w:rPr>
      <w:rFonts w:ascii="Tahoma" w:eastAsia="Times New Roman" w:hAnsi="Tahoma" w:cs="Tahoma"/>
      <w:sz w:val="16"/>
      <w:szCs w:val="16"/>
      <w:lang w:eastAsia="es-ES"/>
    </w:rPr>
  </w:style>
  <w:style w:type="character" w:customStyle="1" w:styleId="Ttulo1Car">
    <w:name w:val="Título 1 Car"/>
    <w:basedOn w:val="Fuentedeprrafopredeter"/>
    <w:link w:val="Ttulo1"/>
    <w:uiPriority w:val="9"/>
    <w:rsid w:val="00752099"/>
    <w:rPr>
      <w:rFonts w:eastAsia="Segoe UI" w:cs="Segoe UI"/>
      <w:b/>
      <w:smallCaps/>
      <w:color w:val="00416B"/>
      <w:sz w:val="28"/>
      <w:szCs w:val="28"/>
      <w:lang w:eastAsia="es-ES"/>
    </w:rPr>
  </w:style>
  <w:style w:type="paragraph" w:styleId="Textoindependiente">
    <w:name w:val="Body Text"/>
    <w:basedOn w:val="Normal"/>
    <w:link w:val="TextoindependienteCar"/>
    <w:uiPriority w:val="99"/>
    <w:rsid w:val="00CC757C"/>
    <w:rPr>
      <w:rFonts w:ascii="Tahoma" w:hAnsi="Tahoma" w:cs="Tahoma"/>
      <w:sz w:val="22"/>
      <w:szCs w:val="20"/>
    </w:rPr>
  </w:style>
  <w:style w:type="character" w:customStyle="1" w:styleId="TextoindependienteCar">
    <w:name w:val="Texto independiente Car"/>
    <w:basedOn w:val="Fuentedeprrafopredeter"/>
    <w:link w:val="Textoindependiente"/>
    <w:uiPriority w:val="99"/>
    <w:rsid w:val="00CC757C"/>
    <w:rPr>
      <w:rFonts w:ascii="Tahoma" w:eastAsia="Times New Roman" w:hAnsi="Tahoma" w:cs="Tahoma"/>
      <w:szCs w:val="20"/>
      <w:lang w:eastAsia="es-ES"/>
    </w:rPr>
  </w:style>
  <w:style w:type="paragraph" w:styleId="Encabezado">
    <w:name w:val="header"/>
    <w:basedOn w:val="Normal"/>
    <w:link w:val="EncabezadoCar"/>
    <w:uiPriority w:val="99"/>
    <w:unhideWhenUsed/>
    <w:rsid w:val="00CC757C"/>
    <w:pPr>
      <w:tabs>
        <w:tab w:val="center" w:pos="4252"/>
        <w:tab w:val="right" w:pos="8504"/>
      </w:tabs>
    </w:pPr>
  </w:style>
  <w:style w:type="character" w:customStyle="1" w:styleId="EncabezadoCar">
    <w:name w:val="Encabezado Car"/>
    <w:basedOn w:val="Fuentedeprrafopredeter"/>
    <w:link w:val="Encabezado"/>
    <w:uiPriority w:val="99"/>
    <w:rsid w:val="00CC757C"/>
    <w:rPr>
      <w:rFonts w:ascii="Century Gothic" w:eastAsia="Times New Roman" w:hAnsi="Century Gothic" w:cs="Times New Roman"/>
      <w:sz w:val="20"/>
      <w:szCs w:val="24"/>
      <w:lang w:eastAsia="es-ES"/>
    </w:rPr>
  </w:style>
  <w:style w:type="paragraph" w:styleId="Piedepgina">
    <w:name w:val="footer"/>
    <w:basedOn w:val="Textonotapie"/>
    <w:link w:val="PiedepginaCar"/>
    <w:uiPriority w:val="99"/>
    <w:unhideWhenUsed/>
    <w:rsid w:val="00C26ADB"/>
  </w:style>
  <w:style w:type="character" w:customStyle="1" w:styleId="PiedepginaCar">
    <w:name w:val="Pie de página Car"/>
    <w:basedOn w:val="Fuentedeprrafopredeter"/>
    <w:link w:val="Piedepgina"/>
    <w:uiPriority w:val="99"/>
    <w:rsid w:val="00C26ADB"/>
    <w:rPr>
      <w:rFonts w:ascii="Segoe UI" w:eastAsia="Times New Roman" w:hAnsi="Segoe UI" w:cs="Segoe UI"/>
      <w:sz w:val="18"/>
      <w:lang w:val="es-ES_tradnl"/>
    </w:rPr>
  </w:style>
  <w:style w:type="paragraph" w:styleId="NormalWeb">
    <w:name w:val="Normal (Web)"/>
    <w:basedOn w:val="Normal"/>
    <w:uiPriority w:val="99"/>
    <w:unhideWhenUsed/>
    <w:rsid w:val="009C4F23"/>
    <w:pPr>
      <w:spacing w:before="100" w:beforeAutospacing="1" w:after="100" w:afterAutospacing="1"/>
    </w:pPr>
    <w:rPr>
      <w:rFonts w:ascii="Times New Roman" w:eastAsia="Calibri" w:hAnsi="Times New Roman"/>
      <w:sz w:val="24"/>
    </w:rPr>
  </w:style>
  <w:style w:type="character" w:styleId="Hipervnculo">
    <w:name w:val="Hyperlink"/>
    <w:basedOn w:val="Fuentedeprrafopredeter"/>
    <w:uiPriority w:val="99"/>
    <w:unhideWhenUsed/>
    <w:rsid w:val="003B0540"/>
    <w:rPr>
      <w:color w:val="00416B"/>
      <w:u w:val="single"/>
    </w:rPr>
  </w:style>
  <w:style w:type="table" w:styleId="Tablaconcuadrcula">
    <w:name w:val="Table Grid"/>
    <w:basedOn w:val="Tablanormal"/>
    <w:uiPriority w:val="39"/>
    <w:rsid w:val="00043B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340221"/>
    <w:rPr>
      <w:color w:val="800080" w:themeColor="followedHyperlink"/>
      <w:u w:val="single"/>
    </w:rPr>
  </w:style>
  <w:style w:type="character" w:customStyle="1" w:styleId="Ttulo2Car">
    <w:name w:val="Título 2 Car"/>
    <w:basedOn w:val="Fuentedeprrafopredeter"/>
    <w:link w:val="Ttulo2"/>
    <w:uiPriority w:val="9"/>
    <w:rsid w:val="0071072B"/>
    <w:rPr>
      <w:rFonts w:eastAsia="Segoe UI" w:cs="Segoe UI"/>
      <w:b/>
      <w:smallCaps/>
      <w:color w:val="00416B"/>
      <w:sz w:val="22"/>
      <w:szCs w:val="22"/>
      <w:lang w:eastAsia="es-ES"/>
    </w:rPr>
  </w:style>
  <w:style w:type="character" w:styleId="nfasis">
    <w:name w:val="Emphasis"/>
    <w:basedOn w:val="Fuentedeprrafopredeter"/>
    <w:uiPriority w:val="20"/>
    <w:qFormat/>
    <w:rsid w:val="00B81370"/>
    <w:rPr>
      <w:i/>
      <w:iCs/>
    </w:rPr>
  </w:style>
  <w:style w:type="paragraph" w:styleId="Prrafodelista">
    <w:name w:val="List Paragraph"/>
    <w:basedOn w:val="Normal"/>
    <w:uiPriority w:val="34"/>
    <w:qFormat/>
    <w:rsid w:val="00F318FB"/>
    <w:pPr>
      <w:ind w:left="720"/>
      <w:contextualSpacing/>
    </w:pPr>
  </w:style>
  <w:style w:type="paragraph" w:styleId="TtuloTDC">
    <w:name w:val="TOC Heading"/>
    <w:basedOn w:val="Ttulo1"/>
    <w:next w:val="Normal"/>
    <w:uiPriority w:val="39"/>
    <w:unhideWhenUsed/>
    <w:qFormat/>
    <w:rsid w:val="0041064D"/>
    <w:pPr>
      <w:keepLines/>
      <w:spacing w:before="240"/>
      <w:outlineLvl w:val="9"/>
    </w:pPr>
    <w:rPr>
      <w:rFonts w:asciiTheme="majorHAnsi" w:eastAsiaTheme="majorEastAsia" w:hAnsiTheme="majorHAnsi" w:cstheme="majorBidi"/>
      <w:b w:val="0"/>
      <w:color w:val="365F91" w:themeColor="accent1" w:themeShade="BF"/>
      <w:lang w:eastAsia="es-ES_tradnl"/>
    </w:rPr>
  </w:style>
  <w:style w:type="paragraph" w:styleId="TDC1">
    <w:name w:val="toc 1"/>
    <w:basedOn w:val="Normal"/>
    <w:next w:val="Normal"/>
    <w:autoRedefine/>
    <w:uiPriority w:val="39"/>
    <w:unhideWhenUsed/>
    <w:rsid w:val="0041064D"/>
    <w:pPr>
      <w:spacing w:after="100"/>
    </w:pPr>
  </w:style>
  <w:style w:type="paragraph" w:styleId="TDC2">
    <w:name w:val="toc 2"/>
    <w:basedOn w:val="Normal"/>
    <w:next w:val="Normal"/>
    <w:autoRedefine/>
    <w:uiPriority w:val="39"/>
    <w:unhideWhenUsed/>
    <w:rsid w:val="0041064D"/>
    <w:pPr>
      <w:spacing w:after="100" w:line="259" w:lineRule="auto"/>
      <w:ind w:left="220"/>
    </w:pPr>
    <w:rPr>
      <w:rFonts w:asciiTheme="minorHAnsi" w:eastAsiaTheme="minorEastAsia" w:hAnsiTheme="minorHAnsi"/>
      <w:sz w:val="22"/>
      <w:szCs w:val="22"/>
    </w:rPr>
  </w:style>
  <w:style w:type="paragraph" w:styleId="TDC3">
    <w:name w:val="toc 3"/>
    <w:basedOn w:val="Normal"/>
    <w:next w:val="Normal"/>
    <w:autoRedefine/>
    <w:uiPriority w:val="39"/>
    <w:unhideWhenUsed/>
    <w:rsid w:val="0041064D"/>
    <w:pPr>
      <w:spacing w:after="100" w:line="259" w:lineRule="auto"/>
      <w:ind w:left="440"/>
    </w:pPr>
    <w:rPr>
      <w:rFonts w:asciiTheme="minorHAnsi" w:eastAsiaTheme="minorEastAsia" w:hAnsiTheme="minorHAnsi"/>
      <w:sz w:val="22"/>
      <w:szCs w:val="22"/>
    </w:rPr>
  </w:style>
  <w:style w:type="character" w:customStyle="1" w:styleId="Ttulo3Car">
    <w:name w:val="Título 3 Car"/>
    <w:basedOn w:val="Fuentedeprrafopredeter"/>
    <w:link w:val="Ttulo3"/>
    <w:uiPriority w:val="9"/>
    <w:rsid w:val="00B35497"/>
    <w:rPr>
      <w:rFonts w:eastAsia="Segoe UI" w:cs="Segoe UI"/>
      <w:b/>
      <w:smallCaps/>
      <w:color w:val="00416B"/>
      <w:sz w:val="22"/>
      <w:szCs w:val="22"/>
      <w:lang w:eastAsia="es-ES"/>
    </w:rPr>
  </w:style>
  <w:style w:type="character" w:customStyle="1" w:styleId="Ttulo4Car">
    <w:name w:val="Título 4 Car"/>
    <w:basedOn w:val="Fuentedeprrafopredeter"/>
    <w:link w:val="Ttulo4"/>
    <w:uiPriority w:val="9"/>
    <w:rsid w:val="005943AA"/>
    <w:rPr>
      <w:rFonts w:ascii="DIN Black" w:eastAsia="Times New Roman" w:hAnsi="DIN Black" w:cs="Tahoma"/>
      <w:b/>
      <w:color w:val="00416B"/>
      <w:sz w:val="22"/>
      <w:szCs w:val="22"/>
    </w:rPr>
  </w:style>
  <w:style w:type="character" w:customStyle="1" w:styleId="Ttulo5Car">
    <w:name w:val="Título 5 Car"/>
    <w:basedOn w:val="Fuentedeprrafopredeter"/>
    <w:link w:val="Ttulo5"/>
    <w:uiPriority w:val="9"/>
    <w:rsid w:val="0085377B"/>
    <w:rPr>
      <w:rFonts w:asciiTheme="majorHAnsi" w:eastAsiaTheme="majorEastAsia" w:hAnsiTheme="majorHAnsi" w:cstheme="majorBidi"/>
      <w:color w:val="365F91" w:themeColor="accent1" w:themeShade="BF"/>
      <w:szCs w:val="24"/>
      <w:lang w:val="es-ES_tradnl"/>
    </w:rPr>
  </w:style>
  <w:style w:type="character" w:customStyle="1" w:styleId="Ttulo6Car">
    <w:name w:val="Título 6 Car"/>
    <w:basedOn w:val="Fuentedeprrafopredeter"/>
    <w:link w:val="Ttulo6"/>
    <w:uiPriority w:val="9"/>
    <w:rsid w:val="00B23361"/>
    <w:rPr>
      <w:rFonts w:asciiTheme="majorHAnsi" w:eastAsiaTheme="majorEastAsia" w:hAnsiTheme="majorHAnsi" w:cstheme="majorBidi"/>
      <w:color w:val="243F60" w:themeColor="accent1" w:themeShade="7F"/>
      <w:szCs w:val="24"/>
      <w:lang w:val="es-ES_tradnl"/>
    </w:rPr>
  </w:style>
  <w:style w:type="character" w:customStyle="1" w:styleId="Ttulo7Car">
    <w:name w:val="Título 7 Car"/>
    <w:basedOn w:val="Fuentedeprrafopredeter"/>
    <w:link w:val="Ttulo7"/>
    <w:uiPriority w:val="9"/>
    <w:semiHidden/>
    <w:rsid w:val="0085377B"/>
    <w:rPr>
      <w:rFonts w:asciiTheme="majorHAnsi" w:eastAsiaTheme="majorEastAsia" w:hAnsiTheme="majorHAnsi" w:cstheme="majorBidi"/>
      <w:i/>
      <w:iCs/>
      <w:color w:val="243F60" w:themeColor="accent1" w:themeShade="7F"/>
      <w:szCs w:val="24"/>
      <w:lang w:val="es-ES_tradnl"/>
    </w:rPr>
  </w:style>
  <w:style w:type="character" w:customStyle="1" w:styleId="Ttulo8Car">
    <w:name w:val="Título 8 Car"/>
    <w:basedOn w:val="Fuentedeprrafopredeter"/>
    <w:link w:val="Ttulo8"/>
    <w:uiPriority w:val="9"/>
    <w:semiHidden/>
    <w:rsid w:val="0085377B"/>
    <w:rPr>
      <w:rFonts w:asciiTheme="majorHAnsi" w:eastAsiaTheme="majorEastAsia" w:hAnsiTheme="majorHAnsi" w:cstheme="majorBidi"/>
      <w:color w:val="272727" w:themeColor="text1" w:themeTint="D8"/>
      <w:sz w:val="21"/>
      <w:szCs w:val="21"/>
      <w:lang w:val="es-ES_tradnl"/>
    </w:rPr>
  </w:style>
  <w:style w:type="character" w:customStyle="1" w:styleId="Ttulo9Car">
    <w:name w:val="Título 9 Car"/>
    <w:basedOn w:val="Fuentedeprrafopredeter"/>
    <w:link w:val="Ttulo9"/>
    <w:uiPriority w:val="9"/>
    <w:semiHidden/>
    <w:rsid w:val="0085377B"/>
    <w:rPr>
      <w:rFonts w:asciiTheme="majorHAnsi" w:eastAsiaTheme="majorEastAsia" w:hAnsiTheme="majorHAnsi" w:cstheme="majorBidi"/>
      <w:i/>
      <w:iCs/>
      <w:color w:val="272727" w:themeColor="text1" w:themeTint="D8"/>
      <w:sz w:val="21"/>
      <w:szCs w:val="21"/>
      <w:lang w:val="es-ES_tradnl"/>
    </w:rPr>
  </w:style>
  <w:style w:type="paragraph" w:styleId="Textonotapie">
    <w:name w:val="footnote text"/>
    <w:basedOn w:val="Normal"/>
    <w:link w:val="TextonotapieCar"/>
    <w:uiPriority w:val="99"/>
    <w:unhideWhenUsed/>
    <w:rsid w:val="00B40125"/>
    <w:pPr>
      <w:jc w:val="left"/>
    </w:pPr>
    <w:rPr>
      <w:sz w:val="16"/>
      <w:szCs w:val="20"/>
      <w:lang w:val="es-ES"/>
    </w:rPr>
  </w:style>
  <w:style w:type="character" w:customStyle="1" w:styleId="TextonotapieCar">
    <w:name w:val="Texto nota pie Car"/>
    <w:basedOn w:val="Fuentedeprrafopredeter"/>
    <w:link w:val="Textonotapie"/>
    <w:uiPriority w:val="99"/>
    <w:rsid w:val="00B40125"/>
    <w:rPr>
      <w:rFonts w:ascii="Segoe UI" w:eastAsia="Times New Roman" w:hAnsi="Segoe UI" w:cs="Segoe UI"/>
      <w:sz w:val="16"/>
    </w:rPr>
  </w:style>
  <w:style w:type="character" w:styleId="Refdenotaalpie">
    <w:name w:val="footnote reference"/>
    <w:basedOn w:val="Fuentedeprrafopredeter"/>
    <w:uiPriority w:val="99"/>
    <w:unhideWhenUsed/>
    <w:rsid w:val="00E934F7"/>
    <w:rPr>
      <w:rFonts w:ascii="DIN Black" w:hAnsi="DIN Black"/>
      <w:b w:val="0"/>
      <w:vertAlign w:val="superscript"/>
    </w:rPr>
  </w:style>
  <w:style w:type="character" w:customStyle="1" w:styleId="Mencinsinresolver1">
    <w:name w:val="Mención sin resolver1"/>
    <w:basedOn w:val="Fuentedeprrafopredeter"/>
    <w:uiPriority w:val="99"/>
    <w:semiHidden/>
    <w:unhideWhenUsed/>
    <w:rsid w:val="000E432D"/>
    <w:rPr>
      <w:color w:val="605E5C"/>
      <w:shd w:val="clear" w:color="auto" w:fill="E1DFDD"/>
    </w:rPr>
  </w:style>
  <w:style w:type="character" w:styleId="Textodelmarcadordeposicin">
    <w:name w:val="Placeholder Text"/>
    <w:basedOn w:val="Fuentedeprrafopredeter"/>
    <w:uiPriority w:val="99"/>
    <w:semiHidden/>
    <w:rsid w:val="00BD66EA"/>
    <w:rPr>
      <w:color w:val="808080"/>
    </w:rPr>
  </w:style>
  <w:style w:type="character" w:customStyle="1" w:styleId="Mencinsinresolver2">
    <w:name w:val="Mención sin resolver2"/>
    <w:basedOn w:val="Fuentedeprrafopredeter"/>
    <w:uiPriority w:val="99"/>
    <w:semiHidden/>
    <w:unhideWhenUsed/>
    <w:rsid w:val="00DF0169"/>
    <w:rPr>
      <w:color w:val="605E5C"/>
      <w:shd w:val="clear" w:color="auto" w:fill="E1DFDD"/>
    </w:rPr>
  </w:style>
  <w:style w:type="character" w:styleId="Refdecomentario">
    <w:name w:val="annotation reference"/>
    <w:basedOn w:val="Fuentedeprrafopredeter"/>
    <w:uiPriority w:val="99"/>
    <w:semiHidden/>
    <w:unhideWhenUsed/>
    <w:rsid w:val="00441315"/>
    <w:rPr>
      <w:sz w:val="16"/>
      <w:szCs w:val="16"/>
    </w:rPr>
  </w:style>
  <w:style w:type="paragraph" w:styleId="Textocomentario">
    <w:name w:val="annotation text"/>
    <w:basedOn w:val="Normal"/>
    <w:link w:val="TextocomentarioCar"/>
    <w:uiPriority w:val="99"/>
    <w:unhideWhenUsed/>
    <w:rsid w:val="00441315"/>
    <w:rPr>
      <w:szCs w:val="20"/>
    </w:rPr>
  </w:style>
  <w:style w:type="character" w:customStyle="1" w:styleId="TextocomentarioCar">
    <w:name w:val="Texto comentario Car"/>
    <w:basedOn w:val="Fuentedeprrafopredeter"/>
    <w:link w:val="Textocomentario"/>
    <w:uiPriority w:val="99"/>
    <w:rsid w:val="00441315"/>
    <w:rPr>
      <w:rFonts w:ascii="Segoe UI" w:eastAsia="Times New Roman" w:hAnsi="Segoe UI" w:cs="Segoe UI"/>
      <w:lang w:val="es-ES_tradnl"/>
    </w:rPr>
  </w:style>
  <w:style w:type="paragraph" w:styleId="Asuntodelcomentario">
    <w:name w:val="annotation subject"/>
    <w:basedOn w:val="Textocomentario"/>
    <w:next w:val="Textocomentario"/>
    <w:link w:val="AsuntodelcomentarioCar"/>
    <w:uiPriority w:val="99"/>
    <w:semiHidden/>
    <w:unhideWhenUsed/>
    <w:rsid w:val="00441315"/>
    <w:rPr>
      <w:b/>
      <w:bCs/>
    </w:rPr>
  </w:style>
  <w:style w:type="character" w:customStyle="1" w:styleId="AsuntodelcomentarioCar">
    <w:name w:val="Asunto del comentario Car"/>
    <w:basedOn w:val="TextocomentarioCar"/>
    <w:link w:val="Asuntodelcomentario"/>
    <w:uiPriority w:val="99"/>
    <w:semiHidden/>
    <w:rsid w:val="00441315"/>
    <w:rPr>
      <w:rFonts w:ascii="Segoe UI" w:eastAsia="Times New Roman" w:hAnsi="Segoe UI" w:cs="Segoe UI"/>
      <w:b/>
      <w:bCs/>
      <w:lang w:val="es-ES_tradnl"/>
    </w:rPr>
  </w:style>
  <w:style w:type="paragraph" w:customStyle="1" w:styleId="SubttuloInforme">
    <w:name w:val="Subtítulo Informe"/>
    <w:basedOn w:val="Normal"/>
    <w:link w:val="SubttuloInformeCar"/>
    <w:qFormat/>
    <w:rsid w:val="005B09D7"/>
    <w:rPr>
      <w:b/>
      <w:smallCaps/>
      <w:noProof/>
    </w:rPr>
  </w:style>
  <w:style w:type="paragraph" w:customStyle="1" w:styleId="TtuloInforme">
    <w:name w:val="Título Informe"/>
    <w:basedOn w:val="Normal"/>
    <w:link w:val="TtuloInformeCar"/>
    <w:qFormat/>
    <w:rsid w:val="003515F3"/>
    <w:pPr>
      <w:jc w:val="center"/>
    </w:pPr>
    <w:rPr>
      <w:b/>
      <w:sz w:val="40"/>
      <w:szCs w:val="42"/>
    </w:rPr>
  </w:style>
  <w:style w:type="character" w:customStyle="1" w:styleId="SubttuloInformeCar">
    <w:name w:val="Subtítulo Informe Car"/>
    <w:basedOn w:val="Fuentedeprrafopredeter"/>
    <w:link w:val="SubttuloInforme"/>
    <w:rsid w:val="005B09D7"/>
    <w:rPr>
      <w:rFonts w:ascii="Segoe UI" w:eastAsia="Times New Roman" w:hAnsi="Segoe UI" w:cs="Segoe UI"/>
      <w:b/>
      <w:smallCaps/>
      <w:noProof/>
      <w:szCs w:val="24"/>
      <w:lang w:val="es-ES_tradnl" w:eastAsia="es-ES_tradnl"/>
    </w:rPr>
  </w:style>
  <w:style w:type="paragraph" w:customStyle="1" w:styleId="Ttulo1Informe">
    <w:name w:val="Título 1 Informe"/>
    <w:basedOn w:val="Normal"/>
    <w:link w:val="Ttulo1InformeCar"/>
    <w:qFormat/>
    <w:rsid w:val="00D76E0C"/>
    <w:pPr>
      <w:widowControl w:val="0"/>
      <w:numPr>
        <w:numId w:val="4"/>
      </w:numPr>
      <w:tabs>
        <w:tab w:val="left" w:pos="280"/>
      </w:tabs>
      <w:spacing w:before="180" w:line="259" w:lineRule="auto"/>
      <w:jc w:val="left"/>
      <w:outlineLvl w:val="1"/>
    </w:pPr>
    <w:rPr>
      <w:rFonts w:eastAsia="Segoe UI"/>
      <w:b/>
      <w:smallCaps/>
      <w:color w:val="00416B"/>
      <w:sz w:val="28"/>
      <w:szCs w:val="28"/>
      <w:lang w:eastAsia="es-ES"/>
    </w:rPr>
  </w:style>
  <w:style w:type="character" w:customStyle="1" w:styleId="TtuloInformeCar">
    <w:name w:val="Título Informe Car"/>
    <w:basedOn w:val="Fuentedeprrafopredeter"/>
    <w:link w:val="TtuloInforme"/>
    <w:rsid w:val="003515F3"/>
    <w:rPr>
      <w:rFonts w:ascii="Segoe UI" w:eastAsia="Times New Roman" w:hAnsi="Segoe UI" w:cs="Segoe UI"/>
      <w:b/>
      <w:sz w:val="40"/>
      <w:szCs w:val="42"/>
      <w:lang w:val="es-ES_tradnl"/>
    </w:rPr>
  </w:style>
  <w:style w:type="character" w:customStyle="1" w:styleId="Ttulo1InformeCar">
    <w:name w:val="Título 1 Informe Car"/>
    <w:basedOn w:val="Ttulo1Car"/>
    <w:link w:val="Ttulo1Informe"/>
    <w:rsid w:val="00D76E0C"/>
    <w:rPr>
      <w:rFonts w:eastAsia="Segoe UI" w:cs="Segoe UI"/>
      <w:b/>
      <w:caps/>
      <w:smallCaps w:val="0"/>
      <w:color w:val="00416B"/>
      <w:sz w:val="28"/>
      <w:szCs w:val="28"/>
      <w:lang w:eastAsia="es-ES"/>
    </w:rPr>
  </w:style>
  <w:style w:type="paragraph" w:styleId="Textonotaalfinal">
    <w:name w:val="endnote text"/>
    <w:basedOn w:val="Normal"/>
    <w:link w:val="TextonotaalfinalCar"/>
    <w:uiPriority w:val="99"/>
    <w:unhideWhenUsed/>
    <w:rsid w:val="008D45B6"/>
    <w:pPr>
      <w:jc w:val="left"/>
    </w:pPr>
    <w:rPr>
      <w:sz w:val="16"/>
      <w:szCs w:val="20"/>
    </w:rPr>
  </w:style>
  <w:style w:type="character" w:customStyle="1" w:styleId="TextonotaalfinalCar">
    <w:name w:val="Texto nota al final Car"/>
    <w:basedOn w:val="Fuentedeprrafopredeter"/>
    <w:link w:val="Textonotaalfinal"/>
    <w:uiPriority w:val="99"/>
    <w:rsid w:val="008D45B6"/>
    <w:rPr>
      <w:rFonts w:ascii="Barlow" w:eastAsia="Times New Roman" w:hAnsi="Barlow" w:cs="Segoe UI"/>
      <w:color w:val="595959" w:themeColor="text1" w:themeTint="A6"/>
      <w:sz w:val="16"/>
      <w:lang w:val="es-ES_tradnl"/>
    </w:rPr>
  </w:style>
  <w:style w:type="character" w:styleId="Refdenotaalfinal">
    <w:name w:val="endnote reference"/>
    <w:basedOn w:val="Fuentedeprrafopredeter"/>
    <w:uiPriority w:val="99"/>
    <w:semiHidden/>
    <w:unhideWhenUsed/>
    <w:rsid w:val="00101CF6"/>
    <w:rPr>
      <w:vertAlign w:val="superscript"/>
    </w:rPr>
  </w:style>
  <w:style w:type="paragraph" w:styleId="Citadestacada">
    <w:name w:val="Intense Quote"/>
    <w:basedOn w:val="Normal"/>
    <w:next w:val="Normal"/>
    <w:link w:val="CitadestacadaCar"/>
    <w:uiPriority w:val="30"/>
    <w:qFormat/>
    <w:rsid w:val="00CF43E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destacadaCar">
    <w:name w:val="Cita destacada Car"/>
    <w:basedOn w:val="Fuentedeprrafopredeter"/>
    <w:link w:val="Citadestacada"/>
    <w:uiPriority w:val="30"/>
    <w:rsid w:val="00CF43E3"/>
    <w:rPr>
      <w:rFonts w:ascii="Segoe UI" w:eastAsia="Times New Roman" w:hAnsi="Segoe UI" w:cs="Segoe UI"/>
      <w:i/>
      <w:iCs/>
      <w:color w:val="4F81BD" w:themeColor="accent1"/>
      <w:szCs w:val="24"/>
      <w:lang w:val="es-ES_tradnl"/>
    </w:rPr>
  </w:style>
  <w:style w:type="character" w:styleId="Mencinsinresolver">
    <w:name w:val="Unresolved Mention"/>
    <w:basedOn w:val="Fuentedeprrafopredeter"/>
    <w:uiPriority w:val="99"/>
    <w:semiHidden/>
    <w:unhideWhenUsed/>
    <w:rsid w:val="00CE1EB9"/>
    <w:rPr>
      <w:color w:val="605E5C"/>
      <w:shd w:val="clear" w:color="auto" w:fill="E1DFDD"/>
    </w:rPr>
  </w:style>
  <w:style w:type="paragraph" w:styleId="Revisin">
    <w:name w:val="Revision"/>
    <w:hidden/>
    <w:uiPriority w:val="99"/>
    <w:semiHidden/>
    <w:rsid w:val="007E30B3"/>
    <w:rPr>
      <w:rFonts w:asciiTheme="minorHAnsi" w:eastAsiaTheme="minorHAnsi" w:hAnsiTheme="minorHAnsi" w:cstheme="minorBidi"/>
      <w:sz w:val="22"/>
      <w:szCs w:val="22"/>
      <w:lang w:eastAsia="en-US"/>
    </w:rPr>
  </w:style>
  <w:style w:type="paragraph" w:customStyle="1" w:styleId="msonormal0">
    <w:name w:val="msonormal"/>
    <w:basedOn w:val="Normal"/>
    <w:rsid w:val="007E30B3"/>
    <w:pPr>
      <w:spacing w:before="100" w:beforeAutospacing="1" w:after="100" w:afterAutospacing="1"/>
      <w:jc w:val="left"/>
    </w:pPr>
    <w:rPr>
      <w:rFonts w:ascii="Times New Roman" w:hAnsi="Times New Roman" w:cs="Times New Roman"/>
      <w:color w:val="auto"/>
      <w:sz w:val="24"/>
    </w:rPr>
  </w:style>
  <w:style w:type="paragraph" w:customStyle="1" w:styleId="xl65">
    <w:name w:val="xl65"/>
    <w:basedOn w:val="Normal"/>
    <w:rsid w:val="007E30B3"/>
    <w:pPr>
      <w:pBdr>
        <w:top w:val="single" w:sz="4" w:space="0" w:color="95B3D7"/>
        <w:left w:val="single" w:sz="4" w:space="0" w:color="95B3D7"/>
      </w:pBdr>
      <w:shd w:val="clear" w:color="4F81BD" w:fill="4F81BD"/>
      <w:spacing w:before="100" w:beforeAutospacing="1" w:after="100" w:afterAutospacing="1"/>
      <w:jc w:val="center"/>
      <w:textAlignment w:val="center"/>
    </w:pPr>
    <w:rPr>
      <w:rFonts w:ascii="Calibri" w:hAnsi="Calibri" w:cs="Calibri"/>
      <w:b/>
      <w:bCs/>
      <w:color w:val="FFFFFF"/>
      <w:sz w:val="24"/>
    </w:rPr>
  </w:style>
  <w:style w:type="paragraph" w:customStyle="1" w:styleId="xl66">
    <w:name w:val="xl66"/>
    <w:basedOn w:val="Normal"/>
    <w:rsid w:val="007E30B3"/>
    <w:pPr>
      <w:pBdr>
        <w:top w:val="single" w:sz="4" w:space="0" w:color="95B3D7"/>
      </w:pBdr>
      <w:shd w:val="clear" w:color="4F81BD" w:fill="4F81BD"/>
      <w:spacing w:before="100" w:beforeAutospacing="1" w:after="100" w:afterAutospacing="1"/>
      <w:jc w:val="left"/>
      <w:textAlignment w:val="center"/>
    </w:pPr>
    <w:rPr>
      <w:rFonts w:ascii="Calibri" w:hAnsi="Calibri" w:cs="Calibri"/>
      <w:b/>
      <w:bCs/>
      <w:color w:val="FFFFFF"/>
      <w:szCs w:val="20"/>
    </w:rPr>
  </w:style>
  <w:style w:type="paragraph" w:customStyle="1" w:styleId="xl67">
    <w:name w:val="xl67"/>
    <w:basedOn w:val="Normal"/>
    <w:rsid w:val="007E30B3"/>
    <w:pPr>
      <w:pBdr>
        <w:top w:val="single" w:sz="4" w:space="0" w:color="95B3D7"/>
      </w:pBdr>
      <w:shd w:val="clear" w:color="4F81BD" w:fill="4F81BD"/>
      <w:spacing w:before="100" w:beforeAutospacing="1" w:after="100" w:afterAutospacing="1"/>
      <w:jc w:val="center"/>
      <w:textAlignment w:val="center"/>
    </w:pPr>
    <w:rPr>
      <w:rFonts w:ascii="Calibri" w:hAnsi="Calibri" w:cs="Calibri"/>
      <w:b/>
      <w:bCs/>
      <w:color w:val="FFFFFF"/>
      <w:szCs w:val="20"/>
    </w:rPr>
  </w:style>
  <w:style w:type="paragraph" w:customStyle="1" w:styleId="xl68">
    <w:name w:val="xl68"/>
    <w:basedOn w:val="Normal"/>
    <w:rsid w:val="007E30B3"/>
    <w:pPr>
      <w:pBdr>
        <w:top w:val="single" w:sz="4" w:space="0" w:color="95B3D7"/>
        <w:left w:val="single" w:sz="4" w:space="0" w:color="95B3D7"/>
      </w:pBdr>
      <w:shd w:val="clear" w:color="DCE6F1" w:fill="DCE6F1"/>
      <w:spacing w:before="100" w:beforeAutospacing="1" w:after="100" w:afterAutospacing="1"/>
      <w:jc w:val="center"/>
      <w:textAlignment w:val="center"/>
    </w:pPr>
    <w:rPr>
      <w:rFonts w:ascii="Calibri" w:hAnsi="Calibri" w:cs="Calibri"/>
      <w:color w:val="000000"/>
      <w:szCs w:val="20"/>
    </w:rPr>
  </w:style>
  <w:style w:type="paragraph" w:customStyle="1" w:styleId="xl69">
    <w:name w:val="xl69"/>
    <w:basedOn w:val="Normal"/>
    <w:rsid w:val="007E30B3"/>
    <w:pPr>
      <w:pBdr>
        <w:top w:val="single" w:sz="4" w:space="0" w:color="95B3D7"/>
      </w:pBdr>
      <w:shd w:val="clear" w:color="DCE6F1" w:fill="DCE6F1"/>
      <w:spacing w:before="100" w:beforeAutospacing="1" w:after="100" w:afterAutospacing="1"/>
      <w:jc w:val="left"/>
    </w:pPr>
    <w:rPr>
      <w:rFonts w:ascii="Calibri" w:hAnsi="Calibri" w:cs="Calibri"/>
      <w:color w:val="000000"/>
      <w:sz w:val="24"/>
    </w:rPr>
  </w:style>
  <w:style w:type="paragraph" w:customStyle="1" w:styleId="xl70">
    <w:name w:val="xl70"/>
    <w:basedOn w:val="Normal"/>
    <w:rsid w:val="007E30B3"/>
    <w:pPr>
      <w:pBdr>
        <w:top w:val="single" w:sz="4" w:space="0" w:color="95B3D7"/>
      </w:pBdr>
      <w:shd w:val="clear" w:color="DCE6F1" w:fill="DCE6F1"/>
      <w:spacing w:before="100" w:beforeAutospacing="1" w:after="100" w:afterAutospacing="1"/>
      <w:jc w:val="center"/>
    </w:pPr>
    <w:rPr>
      <w:rFonts w:ascii="Calibri" w:hAnsi="Calibri" w:cs="Calibri"/>
      <w:color w:val="000000"/>
      <w:sz w:val="24"/>
    </w:rPr>
  </w:style>
  <w:style w:type="paragraph" w:customStyle="1" w:styleId="xl71">
    <w:name w:val="xl71"/>
    <w:basedOn w:val="Normal"/>
    <w:rsid w:val="007E30B3"/>
    <w:pPr>
      <w:pBdr>
        <w:top w:val="single" w:sz="4" w:space="0" w:color="95B3D7"/>
        <w:left w:val="single" w:sz="4" w:space="0" w:color="95B3D7"/>
      </w:pBdr>
      <w:spacing w:before="100" w:beforeAutospacing="1" w:after="100" w:afterAutospacing="1"/>
      <w:jc w:val="center"/>
      <w:textAlignment w:val="center"/>
    </w:pPr>
    <w:rPr>
      <w:rFonts w:ascii="Calibri" w:hAnsi="Calibri" w:cs="Calibri"/>
      <w:color w:val="000000"/>
      <w:szCs w:val="20"/>
    </w:rPr>
  </w:style>
  <w:style w:type="paragraph" w:customStyle="1" w:styleId="xl72">
    <w:name w:val="xl72"/>
    <w:basedOn w:val="Normal"/>
    <w:rsid w:val="007E30B3"/>
    <w:pPr>
      <w:pBdr>
        <w:top w:val="single" w:sz="4" w:space="0" w:color="95B3D7"/>
      </w:pBdr>
      <w:spacing w:before="100" w:beforeAutospacing="1" w:after="100" w:afterAutospacing="1"/>
      <w:jc w:val="left"/>
    </w:pPr>
    <w:rPr>
      <w:rFonts w:ascii="Calibri" w:hAnsi="Calibri" w:cs="Calibri"/>
      <w:color w:val="000000"/>
      <w:sz w:val="24"/>
    </w:rPr>
  </w:style>
  <w:style w:type="paragraph" w:customStyle="1" w:styleId="xl73">
    <w:name w:val="xl73"/>
    <w:basedOn w:val="Normal"/>
    <w:rsid w:val="007E30B3"/>
    <w:pPr>
      <w:pBdr>
        <w:top w:val="single" w:sz="4" w:space="0" w:color="95B3D7"/>
      </w:pBdr>
      <w:spacing w:before="100" w:beforeAutospacing="1" w:after="100" w:afterAutospacing="1"/>
      <w:jc w:val="center"/>
    </w:pPr>
    <w:rPr>
      <w:rFonts w:ascii="Calibri" w:hAnsi="Calibri" w:cs="Calibri"/>
      <w:color w:val="000000"/>
      <w:sz w:val="24"/>
    </w:rPr>
  </w:style>
  <w:style w:type="paragraph" w:customStyle="1" w:styleId="xl74">
    <w:name w:val="xl74"/>
    <w:basedOn w:val="Normal"/>
    <w:rsid w:val="007E30B3"/>
    <w:pPr>
      <w:pBdr>
        <w:top w:val="single" w:sz="4" w:space="0" w:color="95B3D7"/>
        <w:left w:val="single" w:sz="4" w:space="0" w:color="95B3D7"/>
        <w:bottom w:val="single" w:sz="4" w:space="0" w:color="95B3D7"/>
      </w:pBdr>
      <w:shd w:val="clear" w:color="DCE6F1" w:fill="DCE6F1"/>
      <w:spacing w:before="100" w:beforeAutospacing="1" w:after="100" w:afterAutospacing="1"/>
      <w:jc w:val="center"/>
      <w:textAlignment w:val="center"/>
    </w:pPr>
    <w:rPr>
      <w:rFonts w:ascii="Calibri" w:hAnsi="Calibri" w:cs="Calibri"/>
      <w:color w:val="000000"/>
      <w:szCs w:val="20"/>
    </w:rPr>
  </w:style>
  <w:style w:type="paragraph" w:customStyle="1" w:styleId="xl75">
    <w:name w:val="xl75"/>
    <w:basedOn w:val="Normal"/>
    <w:rsid w:val="007E30B3"/>
    <w:pPr>
      <w:pBdr>
        <w:top w:val="single" w:sz="4" w:space="0" w:color="95B3D7"/>
        <w:bottom w:val="single" w:sz="4" w:space="0" w:color="95B3D7"/>
      </w:pBdr>
      <w:shd w:val="clear" w:color="DCE6F1" w:fill="DCE6F1"/>
      <w:spacing w:before="100" w:beforeAutospacing="1" w:after="100" w:afterAutospacing="1"/>
      <w:jc w:val="left"/>
    </w:pPr>
    <w:rPr>
      <w:rFonts w:ascii="Calibri" w:hAnsi="Calibri" w:cs="Calibri"/>
      <w:color w:val="000000"/>
      <w:sz w:val="24"/>
    </w:rPr>
  </w:style>
  <w:style w:type="paragraph" w:customStyle="1" w:styleId="xl76">
    <w:name w:val="xl76"/>
    <w:basedOn w:val="Normal"/>
    <w:rsid w:val="007E30B3"/>
    <w:pPr>
      <w:pBdr>
        <w:top w:val="single" w:sz="4" w:space="0" w:color="95B3D7"/>
        <w:bottom w:val="single" w:sz="4" w:space="0" w:color="95B3D7"/>
      </w:pBdr>
      <w:shd w:val="clear" w:color="DCE6F1" w:fill="DCE6F1"/>
      <w:spacing w:before="100" w:beforeAutospacing="1" w:after="100" w:afterAutospacing="1"/>
      <w:jc w:val="center"/>
    </w:pPr>
    <w:rPr>
      <w:rFonts w:ascii="Calibri" w:hAnsi="Calibri" w:cs="Calibri"/>
      <w:color w:val="000000"/>
      <w:sz w:val="24"/>
    </w:rPr>
  </w:style>
  <w:style w:type="table" w:styleId="Tablaconcuadrcula4-nfasis5">
    <w:name w:val="Grid Table 4 Accent 5"/>
    <w:basedOn w:val="Tablanormal"/>
    <w:uiPriority w:val="49"/>
    <w:rsid w:val="007E30B3"/>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xl77">
    <w:name w:val="xl77"/>
    <w:basedOn w:val="Normal"/>
    <w:rsid w:val="007E30B3"/>
    <w:pPr>
      <w:spacing w:before="100" w:beforeAutospacing="1" w:after="100" w:afterAutospacing="1"/>
      <w:jc w:val="left"/>
    </w:pPr>
    <w:rPr>
      <w:rFonts w:ascii="Book Antiqua" w:hAnsi="Book Antiqua" w:cs="Times New Roman"/>
      <w:color w:val="222222"/>
      <w:sz w:val="24"/>
    </w:rPr>
  </w:style>
  <w:style w:type="paragraph" w:customStyle="1" w:styleId="xl78">
    <w:name w:val="xl78"/>
    <w:basedOn w:val="Normal"/>
    <w:rsid w:val="007E30B3"/>
    <w:pPr>
      <w:shd w:val="clear" w:color="FFFFFF" w:fill="FFFFFF"/>
      <w:spacing w:before="100" w:beforeAutospacing="1" w:after="100" w:afterAutospacing="1"/>
      <w:jc w:val="left"/>
    </w:pPr>
    <w:rPr>
      <w:rFonts w:ascii="Book Antiqua" w:hAnsi="Book Antiqua" w:cs="Times New Roman"/>
      <w:color w:val="1F1F1F"/>
      <w:sz w:val="24"/>
    </w:rPr>
  </w:style>
  <w:style w:type="paragraph" w:customStyle="1" w:styleId="xl79">
    <w:name w:val="xl79"/>
    <w:basedOn w:val="Normal"/>
    <w:rsid w:val="007E30B3"/>
    <w:pPr>
      <w:spacing w:before="100" w:beforeAutospacing="1" w:after="100" w:afterAutospacing="1"/>
      <w:jc w:val="center"/>
      <w:textAlignment w:val="center"/>
    </w:pPr>
    <w:rPr>
      <w:rFonts w:ascii="Book Antiqua" w:hAnsi="Book Antiqua" w:cs="Times New Roman"/>
      <w:color w:val="auto"/>
      <w:sz w:val="24"/>
    </w:rPr>
  </w:style>
  <w:style w:type="paragraph" w:styleId="Descripcin">
    <w:name w:val="caption"/>
    <w:basedOn w:val="Normal"/>
    <w:next w:val="Normal"/>
    <w:uiPriority w:val="35"/>
    <w:unhideWhenUsed/>
    <w:qFormat/>
    <w:rsid w:val="00560107"/>
    <w:pPr>
      <w:spacing w:after="200"/>
    </w:pPr>
    <w:rPr>
      <w:i/>
      <w:iCs/>
      <w:color w:val="1F497D" w:themeColor="text2"/>
      <w:sz w:val="18"/>
      <w:szCs w:val="18"/>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ita">
    <w:name w:val="Quote"/>
    <w:basedOn w:val="Normal"/>
    <w:next w:val="Normal"/>
    <w:link w:val="CitaCar"/>
    <w:uiPriority w:val="29"/>
    <w:qFormat/>
    <w:rsid w:val="0072317E"/>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72317E"/>
    <w:rPr>
      <w:rFonts w:eastAsia="Times New Roman" w:cs="Segoe UI"/>
      <w:i/>
      <w:iCs/>
      <w:color w:val="404040" w:themeColor="text1" w:themeTint="BF"/>
      <w:szCs w:val="24"/>
    </w:rPr>
  </w:style>
  <w:style w:type="table" w:customStyle="1" w:styleId="TableGrid">
    <w:name w:val="TableGrid"/>
    <w:rsid w:val="00793F0D"/>
    <w:pPr>
      <w:spacing w:after="0"/>
      <w:jc w:val="left"/>
    </w:pPr>
    <w:rPr>
      <w:rFonts w:asciiTheme="minorHAnsi" w:eastAsiaTheme="minorEastAsia" w:hAnsiTheme="minorHAnsi" w:cstheme="minorBidi"/>
      <w:color w:val="auto"/>
      <w:sz w:val="22"/>
      <w:szCs w:val="22"/>
    </w:rPr>
    <w:tblPr>
      <w:tblCellMar>
        <w:top w:w="0" w:type="dxa"/>
        <w:left w:w="0" w:type="dxa"/>
        <w:bottom w:w="0" w:type="dxa"/>
        <w:right w:w="0" w:type="dxa"/>
      </w:tblCellMar>
    </w:tblPr>
  </w:style>
  <w:style w:type="character" w:styleId="nfasissutil">
    <w:name w:val="Subtle Emphasis"/>
    <w:basedOn w:val="Fuentedeprrafopredeter"/>
    <w:uiPriority w:val="19"/>
    <w:qFormat/>
    <w:rsid w:val="00793F0D"/>
    <w:rPr>
      <w:rFonts w:ascii="Barlow SemiBold" w:hAnsi="Barlow SemiBold"/>
      <w:iCs/>
      <w:color w:val="FFFFFF" w:themeColor="background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3913451">
      <w:bodyDiv w:val="1"/>
      <w:marLeft w:val="0"/>
      <w:marRight w:val="0"/>
      <w:marTop w:val="0"/>
      <w:marBottom w:val="0"/>
      <w:divBdr>
        <w:top w:val="none" w:sz="0" w:space="0" w:color="auto"/>
        <w:left w:val="none" w:sz="0" w:space="0" w:color="auto"/>
        <w:bottom w:val="none" w:sz="0" w:space="0" w:color="auto"/>
        <w:right w:val="none" w:sz="0" w:space="0" w:color="auto"/>
      </w:divBdr>
      <w:divsChild>
        <w:div w:id="382143590">
          <w:marLeft w:val="0"/>
          <w:marRight w:val="0"/>
          <w:marTop w:val="0"/>
          <w:marBottom w:val="0"/>
          <w:divBdr>
            <w:top w:val="none" w:sz="0" w:space="0" w:color="auto"/>
            <w:left w:val="none" w:sz="0" w:space="0" w:color="auto"/>
            <w:bottom w:val="none" w:sz="0" w:space="0" w:color="auto"/>
            <w:right w:val="none" w:sz="0" w:space="0" w:color="auto"/>
          </w:divBdr>
          <w:divsChild>
            <w:div w:id="326442173">
              <w:marLeft w:val="0"/>
              <w:marRight w:val="0"/>
              <w:marTop w:val="0"/>
              <w:marBottom w:val="0"/>
              <w:divBdr>
                <w:top w:val="none" w:sz="0" w:space="0" w:color="auto"/>
                <w:left w:val="none" w:sz="0" w:space="0" w:color="auto"/>
                <w:bottom w:val="none" w:sz="0" w:space="0" w:color="auto"/>
                <w:right w:val="none" w:sz="0" w:space="0" w:color="auto"/>
              </w:divBdr>
              <w:divsChild>
                <w:div w:id="87650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456571">
          <w:marLeft w:val="0"/>
          <w:marRight w:val="0"/>
          <w:marTop w:val="0"/>
          <w:marBottom w:val="0"/>
          <w:divBdr>
            <w:top w:val="none" w:sz="0" w:space="0" w:color="auto"/>
            <w:left w:val="none" w:sz="0" w:space="0" w:color="auto"/>
            <w:bottom w:val="none" w:sz="0" w:space="0" w:color="auto"/>
            <w:right w:val="none" w:sz="0" w:space="0" w:color="auto"/>
          </w:divBdr>
          <w:divsChild>
            <w:div w:id="960959488">
              <w:marLeft w:val="0"/>
              <w:marRight w:val="0"/>
              <w:marTop w:val="0"/>
              <w:marBottom w:val="0"/>
              <w:divBdr>
                <w:top w:val="none" w:sz="0" w:space="0" w:color="auto"/>
                <w:left w:val="none" w:sz="0" w:space="0" w:color="auto"/>
                <w:bottom w:val="none" w:sz="0" w:space="0" w:color="auto"/>
                <w:right w:val="none" w:sz="0" w:space="0" w:color="auto"/>
              </w:divBdr>
              <w:divsChild>
                <w:div w:id="49515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733420">
      <w:bodyDiv w:val="1"/>
      <w:marLeft w:val="0"/>
      <w:marRight w:val="0"/>
      <w:marTop w:val="0"/>
      <w:marBottom w:val="0"/>
      <w:divBdr>
        <w:top w:val="none" w:sz="0" w:space="0" w:color="auto"/>
        <w:left w:val="none" w:sz="0" w:space="0" w:color="auto"/>
        <w:bottom w:val="none" w:sz="0" w:space="0" w:color="auto"/>
        <w:right w:val="none" w:sz="0" w:space="0" w:color="auto"/>
      </w:divBdr>
      <w:divsChild>
        <w:div w:id="2107310131">
          <w:marLeft w:val="0"/>
          <w:marRight w:val="0"/>
          <w:marTop w:val="0"/>
          <w:marBottom w:val="0"/>
          <w:divBdr>
            <w:top w:val="none" w:sz="0" w:space="0" w:color="auto"/>
            <w:left w:val="none" w:sz="0" w:space="0" w:color="auto"/>
            <w:bottom w:val="none" w:sz="0" w:space="0" w:color="auto"/>
            <w:right w:val="none" w:sz="0" w:space="0" w:color="auto"/>
          </w:divBdr>
          <w:divsChild>
            <w:div w:id="1880388179">
              <w:marLeft w:val="0"/>
              <w:marRight w:val="0"/>
              <w:marTop w:val="0"/>
              <w:marBottom w:val="0"/>
              <w:divBdr>
                <w:top w:val="none" w:sz="0" w:space="0" w:color="auto"/>
                <w:left w:val="none" w:sz="0" w:space="0" w:color="auto"/>
                <w:bottom w:val="none" w:sz="0" w:space="0" w:color="auto"/>
                <w:right w:val="none" w:sz="0" w:space="0" w:color="auto"/>
              </w:divBdr>
              <w:divsChild>
                <w:div w:id="198195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818158">
          <w:marLeft w:val="0"/>
          <w:marRight w:val="0"/>
          <w:marTop w:val="0"/>
          <w:marBottom w:val="0"/>
          <w:divBdr>
            <w:top w:val="none" w:sz="0" w:space="0" w:color="auto"/>
            <w:left w:val="none" w:sz="0" w:space="0" w:color="auto"/>
            <w:bottom w:val="none" w:sz="0" w:space="0" w:color="auto"/>
            <w:right w:val="none" w:sz="0" w:space="0" w:color="auto"/>
          </w:divBdr>
          <w:divsChild>
            <w:div w:id="525944296">
              <w:marLeft w:val="0"/>
              <w:marRight w:val="0"/>
              <w:marTop w:val="0"/>
              <w:marBottom w:val="0"/>
              <w:divBdr>
                <w:top w:val="none" w:sz="0" w:space="0" w:color="auto"/>
                <w:left w:val="none" w:sz="0" w:space="0" w:color="auto"/>
                <w:bottom w:val="none" w:sz="0" w:space="0" w:color="auto"/>
                <w:right w:val="none" w:sz="0" w:space="0" w:color="auto"/>
              </w:divBdr>
              <w:divsChild>
                <w:div w:id="44566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alastensas.com/observatorio/declaracion-conjunta-para-exigir-el-estado-de-emergencia-en-cuba-por-violencia-de-genero/" TargetMode="External"/><Relationship Id="rId18" Type="http://schemas.openxmlformats.org/officeDocument/2006/relationships/hyperlink" Target="https://drive.google.com/open?id=1ujDwv5b45qyFyyommgzxdhe83TOIQT8p&amp;usp=drive_fs" TargetMode="External"/><Relationship Id="rId26" Type="http://schemas.openxmlformats.org/officeDocument/2006/relationships/hyperlink" Target="https://www.elnuevoherald.com/noticias/america-latina/cuba-es/article239237463.html" TargetMode="External"/><Relationship Id="rId39" Type="http://schemas.openxmlformats.org/officeDocument/2006/relationships/hyperlink" Target="https://www.gacetaoficial.gob.cu/sites/default/files/goc-2022-o93_0.pdf" TargetMode="External"/><Relationship Id="rId21" Type="http://schemas.openxmlformats.org/officeDocument/2006/relationships/hyperlink" Target="https://www.prisonstudies.org/country/cuba" TargetMode="External"/><Relationship Id="rId34" Type="http://schemas.openxmlformats.org/officeDocument/2006/relationships/hyperlink" Target="https://www.swissinfo.ch/spa/organizaci%C3%B3n-oficialista-cuenta-cerca-de-10.000-familias-en-situaci%C3%B3n-de-violencia-en-cuba/87441156" TargetMode="External"/><Relationship Id="rId42" Type="http://schemas.openxmlformats.org/officeDocument/2006/relationships/hyperlink" Target="https://www.gacetaoficial.gob.cu/sites/default/files/goc-2022-o93_0.pdf" TargetMode="External"/><Relationship Id="rId47" Type="http://schemas.openxmlformats.org/officeDocument/2006/relationships/hyperlink" Target="https://drive.google.com/open?id=17HHYD6xRbNi6vQN6gwBnu_gB-M2kqJPI&amp;usp=drive_fs" TargetMode="External"/><Relationship Id="rId50" Type="http://schemas.openxmlformats.org/officeDocument/2006/relationships/hyperlink" Target="https://drive.google.com/file/d/1GZF1TfksM1WsxnyFidWsH8wn_eS8kRJR/view" TargetMode="External"/><Relationship Id="rId55"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rojoynegro.info/articulo/federacion-de-mujeres-cubanas/" TargetMode="External"/><Relationship Id="rId29" Type="http://schemas.openxmlformats.org/officeDocument/2006/relationships/hyperlink" Target="https://drive.google.com/open?id=1ujDwv5b45qyFyyommgzxdhe83TOIQT8p&amp;usp=drive_fs" TargetMode="External"/><Relationship Id="rId11" Type="http://schemas.openxmlformats.org/officeDocument/2006/relationships/hyperlink" Target="https://www.swissinfo.ch/spa/el-presidente-de-cuba-declara-cero-tolerancia-contra-la-violencia-machista/48437664" TargetMode="External"/><Relationship Id="rId24" Type="http://schemas.openxmlformats.org/officeDocument/2006/relationships/hyperlink" Target="https://www.dw.com/es/c%C3%A1rceles-en-cuba-se-requiere-di%C3%A1logo/a-52017751" TargetMode="External"/><Relationship Id="rId32" Type="http://schemas.openxmlformats.org/officeDocument/2006/relationships/hyperlink" Target="https://drive.google.com/open?id=1ujDwv5b45qyFyyommgzxdhe83TOIQT8p&amp;usp=drive_fs" TargetMode="External"/><Relationship Id="rId37" Type="http://schemas.openxmlformats.org/officeDocument/2006/relationships/hyperlink" Target="https://www.ohchr.org/es/instruments-mechanisms/instruments/convention-elimination-all-forms-discrimination-against-women" TargetMode="External"/><Relationship Id="rId40" Type="http://schemas.openxmlformats.org/officeDocument/2006/relationships/hyperlink" Target="https://www.gacetaoficial.gob.cu/sites/default/files/goc-2022-o93_0.pdf" TargetMode="External"/><Relationship Id="rId45" Type="http://schemas.openxmlformats.org/officeDocument/2006/relationships/hyperlink" Target="https://www.oas.org/juridico/spanish/tratados/a-61.html" TargetMode="External"/><Relationship Id="rId53" Type="http://schemas.openxmlformats.org/officeDocument/2006/relationships/header" Target="header1.xml"/><Relationship Id="rId58" Type="http://schemas.openxmlformats.org/officeDocument/2006/relationships/footer" Target="footer3.xml"/><Relationship Id="rId5" Type="http://schemas.openxmlformats.org/officeDocument/2006/relationships/settings" Target="settings.xml"/><Relationship Id="rId61" Type="http://schemas.openxmlformats.org/officeDocument/2006/relationships/customXml" Target="../customXml/item3.xml"/><Relationship Id="rId19" Type="http://schemas.openxmlformats.org/officeDocument/2006/relationships/hyperlink" Target="https://drive.google.com/open?id=1ujDwv5b45qyFyyommgzxdhe83TOIQT8p&amp;usp=drive_fs" TargetMode="External"/><Relationship Id="rId14" Type="http://schemas.openxmlformats.org/officeDocument/2006/relationships/hyperlink" Target="https://alastensas.com/documentos/segundo-llamado-por-el-estado-de-emergencia-por-violencia-de-genero/" TargetMode="External"/><Relationship Id="rId22" Type="http://schemas.openxmlformats.org/officeDocument/2006/relationships/hyperlink" Target="https://drive.google.com/open?id=1ujDwv5b45qyFyyommgzxdhe83TOIQT8p&amp;usp=drive_fs" TargetMode="External"/><Relationship Id="rId27" Type="http://schemas.openxmlformats.org/officeDocument/2006/relationships/hyperlink" Target="https://drive.google.com/open?id=1ujDwv5b45qyFyyommgzxdhe83TOIQT8p&amp;usp=drive_fs" TargetMode="External"/><Relationship Id="rId30" Type="http://schemas.openxmlformats.org/officeDocument/2006/relationships/hyperlink" Target="https://drive.google.com/open?id=1ujDwv5b45qyFyyommgzxdhe83TOIQT8p&amp;usp=drive_fs" TargetMode="External"/><Relationship Id="rId35" Type="http://schemas.openxmlformats.org/officeDocument/2006/relationships/hyperlink" Target="https://www.swissinfo.ch/spa/organizaci%C3%B3n-oficialista-cuenta-cerca-de-10.000-familias-en-situaci%C3%B3n-de-violencia-en-cuba/87441156" TargetMode="External"/><Relationship Id="rId43" Type="http://schemas.openxmlformats.org/officeDocument/2006/relationships/hyperlink" Target="https://www.gacetaoficial.gob.cu/sites/default/files/goc-2022-o93_0.pdf" TargetMode="External"/><Relationship Id="rId48" Type="http://schemas.openxmlformats.org/officeDocument/2006/relationships/hyperlink" Target="https://www.tsp.gob.cu/documentos/decreto-presidencial-198-programa-nacional-para-el-adelanto-de-las-mujeres" TargetMode="External"/><Relationship Id="rId56"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hyperlink" Target="https://drive.google.com/file/d/11s9B2f4x5AfZQ8tIF_mZLTQjmBC-Lfyl/view" TargetMode="External"/><Relationship Id="rId3" Type="http://schemas.openxmlformats.org/officeDocument/2006/relationships/numbering" Target="numbering.xml"/><Relationship Id="rId12" Type="http://schemas.openxmlformats.org/officeDocument/2006/relationships/hyperlink" Target="https://www.mined.gob.cu/el-ministerio-de-educacion-aplaza-la-aplicacion-de-la-resolucion-16-del-26-de-febrero-de-2021/" TargetMode="External"/><Relationship Id="rId17" Type="http://schemas.openxmlformats.org/officeDocument/2006/relationships/hyperlink" Target="https://alastensas.com/observatorio/ogat-presenta-el-informe-anual-de-feminicidios-del-ano-2022/" TargetMode="External"/><Relationship Id="rId25" Type="http://schemas.openxmlformats.org/officeDocument/2006/relationships/hyperlink" Target="https://www.abc.es/internacional/abci-cuba-mayor-carcel-mundo-202001131157_noticia.html?ref=https://www.google.com/&amp;vca=swg-entitlement-login" TargetMode="External"/><Relationship Id="rId33" Type="http://schemas.openxmlformats.org/officeDocument/2006/relationships/hyperlink" Target="https://drive.google.com/open?id=1ujDwv5b45qyFyyommgzxdhe83TOIQT8p&amp;usp=drive_fs" TargetMode="External"/><Relationship Id="rId38" Type="http://schemas.openxmlformats.org/officeDocument/2006/relationships/hyperlink" Target="https://www.oas.org/juridico/spanish/tratados/a-61.html" TargetMode="External"/><Relationship Id="rId46" Type="http://schemas.openxmlformats.org/officeDocument/2006/relationships/hyperlink" Target="https://drive.google.com/open?id=17HHYD6xRbNi6vQN6gwBnu_gB-M2kqJPI&amp;usp=drive_fs" TargetMode="External"/><Relationship Id="rId59" Type="http://schemas.openxmlformats.org/officeDocument/2006/relationships/fontTable" Target="fontTable.xml"/><Relationship Id="rId20" Type="http://schemas.openxmlformats.org/officeDocument/2006/relationships/hyperlink" Target="https://drive.google.com/open?id=1ujDwv5b45qyFyyommgzxdhe83TOIQT8p&amp;usp=drive_fs" TargetMode="External"/><Relationship Id="rId41" Type="http://schemas.openxmlformats.org/officeDocument/2006/relationships/hyperlink" Target="https://www.gacetaoficial.gob.cu/sites/default/files/goc-2022-o93_0.pdf" TargetMode="External"/><Relationship Id="rId54" Type="http://schemas.openxmlformats.org/officeDocument/2006/relationships/header" Target="header2.xml"/><Relationship Id="rId62"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alastensas.com/documentos/estado-de-emergencia-por-violencia-de-genero-en-cuba/" TargetMode="External"/><Relationship Id="rId23" Type="http://schemas.openxmlformats.org/officeDocument/2006/relationships/hyperlink" Target="https://www.nytimes.com/es/2020/01/14/espanol/america-latina/presos-politicos-cuba.html" TargetMode="External"/><Relationship Id="rId28" Type="http://schemas.openxmlformats.org/officeDocument/2006/relationships/hyperlink" Target="https://drive.google.com/open?id=1ujDwv5b45qyFyyommgzxdhe83TOIQT8p&amp;usp=drive_fs" TargetMode="External"/><Relationship Id="rId36" Type="http://schemas.openxmlformats.org/officeDocument/2006/relationships/hyperlink" Target="https://www.genero.onei.gob.cu/indicadores/indicador25" TargetMode="External"/><Relationship Id="rId49" Type="http://schemas.openxmlformats.org/officeDocument/2006/relationships/hyperlink" Target="https://alastensas.com/documentos/informe-de-feminicidios-en-cuba-en-2021-del-observatorio-de-genero-de-alas-tensas/" TargetMode="External"/><Relationship Id="rId57" Type="http://schemas.openxmlformats.org/officeDocument/2006/relationships/header" Target="header3.xml"/><Relationship Id="rId10" Type="http://schemas.openxmlformats.org/officeDocument/2006/relationships/image" Target="media/image2.png"/><Relationship Id="rId31" Type="http://schemas.openxmlformats.org/officeDocument/2006/relationships/hyperlink" Target="https://drive.google.com/open?id=1ujDwv5b45qyFyyommgzxdhe83TOIQT8p&amp;usp=drive_fs" TargetMode="External"/><Relationship Id="rId44" Type="http://schemas.openxmlformats.org/officeDocument/2006/relationships/hyperlink" Target="https://www.ohchr.org/es/instruments-mechanisms/instruments/convention-elimination-all-forms-discrimination-against-women" TargetMode="External"/><Relationship Id="rId52" Type="http://schemas.openxmlformats.org/officeDocument/2006/relationships/hyperlink" Target="https://mexico.unwomen.org/es/noticias-y-eventos/articulos/2017/09/onu-mujeres-y-onu-dh-condenan-el-feminicidio-de-mara-castilla-0" TargetMode="External"/><Relationship Id="rId60"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drive.google.com/open?id=1hs3TKUb2673bLcaVtx-zQs7c5rueyUPI&amp;usp=drive_fs" TargetMode="External"/><Relationship Id="rId13" Type="http://schemas.openxmlformats.org/officeDocument/2006/relationships/hyperlink" Target="https://www.undp.org/es/cuba/noticias/programa-nacional-para-el-adelanto-de-las-mujeres-una-hoja-de-ruta-para-nuestros-proyectos-de-desarrollo" TargetMode="External"/><Relationship Id="rId18" Type="http://schemas.openxmlformats.org/officeDocument/2006/relationships/hyperlink" Target="https://alastensas.com/documentos/informe-anual-de-feminicidios-en-cuba-2023-marzo-de-2024/" TargetMode="External"/><Relationship Id="rId3" Type="http://schemas.openxmlformats.org/officeDocument/2006/relationships/hyperlink" Target="https://alastensas.com/observatorio/declaracion-conjunta-para-exigir-el-estado-de-emergencia-en-cuba-por-violencia-de-genero/" TargetMode="External"/><Relationship Id="rId7" Type="http://schemas.openxmlformats.org/officeDocument/2006/relationships/hyperlink" Target="https://youtu.be/DoV3EL4a23o?si=gGfbEBJ1I9VIS6_g" TargetMode="External"/><Relationship Id="rId12" Type="http://schemas.openxmlformats.org/officeDocument/2006/relationships/hyperlink" Target="https://alastensas.com/observatorio/programa-de-adelanto-de-las-mujeres-a-mas-de-un-ano-de-su-aprobacion/" TargetMode="External"/><Relationship Id="rId17" Type="http://schemas.openxmlformats.org/officeDocument/2006/relationships/hyperlink" Target="https://www.tiempo21.cu/2024/05/08/programa-nacional-para-el-adelanto-de-las-mujeres-en-cuba-a-tres-anos-de-implementado/" TargetMode="External"/><Relationship Id="rId2" Type="http://schemas.openxmlformats.org/officeDocument/2006/relationships/hyperlink" Target="https://alastensas.com/observatorio/el-feminicidio-no-fue-incluido-en-el-nuevo-codigo-penal-en-cuba/" TargetMode="External"/><Relationship Id="rId16" Type="http://schemas.openxmlformats.org/officeDocument/2006/relationships/hyperlink" Target="https://diariodecuba.com/derechos-humanos/1615250683_29410.html" TargetMode="External"/><Relationship Id="rId1" Type="http://schemas.openxmlformats.org/officeDocument/2006/relationships/hyperlink" Target="https://diariodecuba.com/cuba/1446643630_17898.html" TargetMode="External"/><Relationship Id="rId6" Type="http://schemas.openxmlformats.org/officeDocument/2006/relationships/hyperlink" Target="https://drive.google.com/file/d/11s9B2f4x5AfZQ8tIF_mZLTQjmBC-Lfyl/view" TargetMode="External"/><Relationship Id="rId11" Type="http://schemas.openxmlformats.org/officeDocument/2006/relationships/hyperlink" Target="https://web.archive.org/web/20240803053718/https:/www.genero.onei.gob.cu/indicadores/indicador24" TargetMode="External"/><Relationship Id="rId5" Type="http://schemas.openxmlformats.org/officeDocument/2006/relationships/hyperlink" Target="https://alastensas.com/documentos/estado-de-emergencia-por-violencia-de-genero-en-cuba/" TargetMode="External"/><Relationship Id="rId15" Type="http://schemas.openxmlformats.org/officeDocument/2006/relationships/hyperlink" Target="https://www.tiempo21.cu/2024/05/08/programa-nacional-para-el-adelanto-de-las-mujeres-en-cuba-a-tres-anos-de-implementado/" TargetMode="External"/><Relationship Id="rId10" Type="http://schemas.openxmlformats.org/officeDocument/2006/relationships/hyperlink" Target="https://www.genero.onei.gob.cu/indicadores/indicador24" TargetMode="External"/><Relationship Id="rId4" Type="http://schemas.openxmlformats.org/officeDocument/2006/relationships/hyperlink" Target="https://alastensas.com/documentos/segundo-llamado-por-el-estado-de-emergencia-por-violencia-de-genero/" TargetMode="External"/><Relationship Id="rId9" Type="http://schemas.openxmlformats.org/officeDocument/2006/relationships/hyperlink" Target="https://drive.google.com/file/d/1mbcsPTjjuj3p_22565nyxX8WKty1tZAX/view?usp=sharing" TargetMode="External"/><Relationship Id="rId14" Type="http://schemas.openxmlformats.org/officeDocument/2006/relationships/hyperlink" Target="https://alastensas.com/observatorio/programa-de-adelanto-de-las-mujeres-a-mas-de-un-ano-de-su-aprobaci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GARg4doMlAclFBZxuFRfynINFw==">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97AF02F-090B-43FD-909E-651A7CB6E9DF}">
  <ds:schemaRefs>
    <ds:schemaRef ds:uri="http://schemas.openxmlformats.org/officeDocument/2006/bibliography"/>
  </ds:schemaRefs>
</ds:datastoreItem>
</file>

<file path=customXml/itemProps3.xml><?xml version="1.0" encoding="utf-8"?>
<ds:datastoreItem xmlns:ds="http://schemas.openxmlformats.org/officeDocument/2006/customXml" ds:itemID="{40CD80E8-5985-4886-AAC0-C9C58354F05A}"/>
</file>

<file path=customXml/itemProps4.xml><?xml version="1.0" encoding="utf-8"?>
<ds:datastoreItem xmlns:ds="http://schemas.openxmlformats.org/officeDocument/2006/customXml" ds:itemID="{54333B83-B00F-49EF-9BC8-1EF472E48725}"/>
</file>

<file path=docProps/app.xml><?xml version="1.0" encoding="utf-8"?>
<Properties xmlns="http://schemas.openxmlformats.org/officeDocument/2006/extended-properties" xmlns:vt="http://schemas.openxmlformats.org/officeDocument/2006/docPropsVTypes">
  <Template>Normal.dotm</Template>
  <TotalTime>2</TotalTime>
  <Pages>10</Pages>
  <Words>6784</Words>
  <Characters>37318</Characters>
  <Application>Microsoft Office Word</Application>
  <DocSecurity>0</DocSecurity>
  <Lines>310</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Javier Larrondo Calafat</cp:lastModifiedBy>
  <cp:revision>4</cp:revision>
  <dcterms:created xsi:type="dcterms:W3CDTF">2024-09-09T16:48:00Z</dcterms:created>
  <dcterms:modified xsi:type="dcterms:W3CDTF">2024-09-09T19:27:00Z</dcterms:modified>
</cp:coreProperties>
</file>