
<file path=[Content_Types].xml><?xml version="1.0" encoding="utf-8"?>
<Types xmlns="http://schemas.openxmlformats.org/package/2006/content-types">
  <Default Extension="bin" ContentType="application/vnd.openxmlformats-officedocument.oleObject"/>
  <Default Extension="bmp" ContentType="image/bmp"/>
  <Default Extension="png" ContentType="image/png"/>
  <Default Extension="jpeg" ContentType="image/jpeg"/>
  <Default Extension="jpe" ContentType="image/jpeg"/>
  <Default Extension="emf" ContentType="image/x-emf"/>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183"/>
        <w:jc w:val="center"/>
        <w:rPr>
          <w:sz w:val="28"/>
          <w:szCs w:val="28"/>
          <w:lang w:val="en-US"/>
        </w:rPr>
      </w:pPr>
      <w:r>
        <w:rPr>
          <w:sz w:val="28"/>
          <w:szCs w:val="28"/>
          <w:lang w:val="en-US"/>
        </w:rPr>
        <w:t xml:space="preserve">Life of elderly people in in Transdniestria</w:t>
      </w:r>
      <w:r/>
    </w:p>
    <w:p>
      <w:pPr>
        <w:pStyle w:val="183"/>
        <w:jc w:val="center"/>
        <w:rPr>
          <w:sz w:val="28"/>
          <w:szCs w:val="28"/>
          <w:lang w:val="en-US"/>
        </w:rPr>
      </w:pPr>
      <w:r>
        <w:rPr>
          <w:sz w:val="28"/>
          <w:szCs w:val="28"/>
          <w:lang w:val="en-US"/>
        </w:rPr>
        <w:t xml:space="preserve">Alternative report</w:t>
      </w:r>
      <w:r>
        <w:rPr>
          <w:sz w:val="28"/>
          <w:szCs w:val="28"/>
          <w:lang w:val="en-US"/>
        </w:rPr>
        <w:t xml:space="preserve"> </w:t>
      </w:r>
      <w:r>
        <w:rPr>
          <w:sz w:val="28"/>
          <w:szCs w:val="28"/>
          <w:lang w:val="en-US"/>
        </w:rPr>
        <w:t xml:space="preserve">to the</w:t>
      </w:r>
      <w:r/>
    </w:p>
    <w:p>
      <w:pPr>
        <w:pStyle w:val="183"/>
        <w:jc w:val="center"/>
        <w:rPr>
          <w:sz w:val="28"/>
          <w:szCs w:val="28"/>
          <w:lang w:val="en-US"/>
        </w:rPr>
      </w:pPr>
      <w:r>
        <w:rPr>
          <w:color w:val="000000"/>
          <w:sz w:val="28"/>
          <w:szCs w:val="28"/>
          <w:shd w:val="clear" w:color="auto" w:fill="FFFFFF"/>
          <w:lang w:val="en-US"/>
        </w:rPr>
        <w:t xml:space="preserve">Committee on Economic, Social and Cultural Rights </w:t>
      </w:r>
      <w:r>
        <w:rPr>
          <w:color w:val="000000"/>
          <w:sz w:val="28"/>
          <w:szCs w:val="28"/>
          <w:shd w:val="clear" w:color="auto" w:fill="FFFFFF"/>
          <w:lang w:val="en-US"/>
        </w:rPr>
        <w:t xml:space="preserve">(</w:t>
      </w:r>
      <w:r>
        <w:rPr>
          <w:color w:val="000000"/>
          <w:sz w:val="28"/>
          <w:szCs w:val="28"/>
          <w:shd w:val="clear" w:color="auto" w:fill="FFFFFF"/>
          <w:lang w:val="en-US"/>
        </w:rPr>
        <w:t xml:space="preserve">CESCR</w:t>
      </w:r>
      <w:r>
        <w:rPr>
          <w:color w:val="000000"/>
          <w:sz w:val="28"/>
          <w:szCs w:val="28"/>
          <w:shd w:val="clear" w:color="auto" w:fill="FFFFFF"/>
          <w:lang w:val="en-US"/>
        </w:rPr>
        <w:t xml:space="preserve">)</w:t>
      </w:r>
      <w:r/>
    </w:p>
    <w:p>
      <w:pPr>
        <w:pStyle w:val="183"/>
        <w:jc w:val="center"/>
        <w:rPr>
          <w:sz w:val="28"/>
          <w:szCs w:val="28"/>
          <w:lang w:val="en-US"/>
        </w:rPr>
      </w:pPr>
      <w:r>
        <w:rPr>
          <w:sz w:val="28"/>
          <w:szCs w:val="28"/>
          <w:lang w:val="en-US"/>
        </w:rPr>
        <w:t xml:space="preserve">Prepared by the NGO </w:t>
      </w:r>
      <w:r>
        <w:rPr>
          <w:sz w:val="28"/>
          <w:szCs w:val="28"/>
          <w:lang w:val="en-US"/>
        </w:rPr>
        <w:t xml:space="preserve">“ </w:t>
      </w:r>
      <w:r>
        <w:rPr>
          <w:sz w:val="28"/>
          <w:szCs w:val="28"/>
          <w:lang w:val="en-US"/>
        </w:rPr>
        <w:t xml:space="preserve">ДЖиП</w:t>
      </w:r>
      <w:r>
        <w:rPr>
          <w:sz w:val="28"/>
          <w:szCs w:val="28"/>
          <w:lang w:val="en-US"/>
        </w:rPr>
        <w:t xml:space="preserve">", </w:t>
      </w:r>
      <w:r>
        <w:rPr>
          <w:sz w:val="28"/>
          <w:szCs w:val="28"/>
          <w:lang w:val="en-US"/>
        </w:rPr>
        <w:t xml:space="preserve">town of Ribnita</w:t>
      </w:r>
      <w:r>
        <w:rPr>
          <w:sz w:val="28"/>
          <w:szCs w:val="28"/>
          <w:lang w:val="en-US"/>
        </w:rPr>
        <w:t xml:space="preserve">, </w:t>
      </w:r>
      <w:r>
        <w:rPr>
          <w:sz w:val="28"/>
          <w:szCs w:val="28"/>
          <w:lang w:val="en-US"/>
        </w:rPr>
        <w:t xml:space="preserve">Transdniestria</w:t>
      </w:r>
      <w:r>
        <w:rPr>
          <w:sz w:val="28"/>
          <w:szCs w:val="28"/>
          <w:lang w:val="en-US"/>
        </w:rPr>
        <w:t xml:space="preserve">, </w:t>
      </w:r>
      <w:r>
        <w:rPr>
          <w:sz w:val="28"/>
          <w:szCs w:val="28"/>
          <w:lang w:val="en-US"/>
        </w:rPr>
        <w:t xml:space="preserve">Chairperson</w:t>
      </w:r>
      <w:r>
        <w:rPr>
          <w:sz w:val="28"/>
          <w:szCs w:val="28"/>
          <w:lang w:val="en-US"/>
        </w:rPr>
        <w:t xml:space="preserve"> Olga </w:t>
      </w:r>
      <w:r>
        <w:rPr>
          <w:sz w:val="28"/>
          <w:szCs w:val="28"/>
          <w:lang w:val="en-US"/>
        </w:rPr>
        <w:t xml:space="preserve">Crivorucico</w:t>
      </w:r>
      <w:r>
        <w:rPr>
          <w:sz w:val="28"/>
          <w:szCs w:val="28"/>
          <w:lang w:val="en-US"/>
        </w:rPr>
        <w:t xml:space="preserve"> </w:t>
      </w:r>
      <w:r/>
    </w:p>
    <w:p>
      <w:pPr>
        <w:pStyle w:val="184"/>
        <w:jc w:val="both"/>
        <w:rPr>
          <w:lang w:val="en-US"/>
        </w:rPr>
      </w:pPr>
      <w:r>
        <w:rPr>
          <w:lang w:val="en-US"/>
        </w:rPr>
        <w:t xml:space="preserve">     </w:t>
      </w:r>
      <w:r>
        <w:rPr>
          <w:lang w:val="en-US"/>
        </w:rPr>
        <w:t xml:space="preserve">Life expectancy </w:t>
      </w:r>
      <w:r>
        <w:rPr>
          <w:lang w:val="en-US"/>
        </w:rPr>
        <w:t xml:space="preserve">is expected to increase in the whole world, which fact leads to significant changes that the age structure of countries is undergoing</w:t>
      </w:r>
      <w:r>
        <w:rPr>
          <w:lang w:val="en-US"/>
        </w:rPr>
        <w:t xml:space="preserve">. </w:t>
      </w:r>
      <w:r>
        <w:rPr>
          <w:lang w:val="en-US"/>
        </w:rPr>
        <w:t xml:space="preserve"> There are more older people and it leads to financial problems with pensions, to changes in functioning </w:t>
      </w:r>
      <w:r>
        <w:rPr>
          <w:lang w:val="en-US"/>
        </w:rPr>
        <w:t xml:space="preserve">of the labor market and, what is extremely importantly, to changes in the system of values of the society</w:t>
      </w:r>
      <w:r>
        <w:rPr>
          <w:lang w:val="en-US"/>
        </w:rPr>
        <w:t xml:space="preserve">.   </w:t>
      </w:r>
      <w:r/>
    </w:p>
    <w:p>
      <w:pPr>
        <w:jc w:val="both"/>
        <w:spacing w:after="240" w:before="240"/>
        <w:rPr>
          <w:rFonts w:ascii="Times New Roman" w:hAnsi="Times New Roman" w:cs="Times New Roman" w:eastAsia="Times New Roman"/>
          <w:sz w:val="24"/>
          <w:szCs w:val="24"/>
        </w:rPr>
      </w:pPr>
      <w:r>
        <w:rPr>
          <w:rFonts w:ascii="Times New Roman" w:hAnsi="Times New Roman" w:cs="Times New Roman" w:eastAsia="Times New Roman"/>
          <w:color w:val="333333"/>
          <w:sz w:val="24"/>
          <w:szCs w:val="24"/>
        </w:rPr>
        <w:t xml:space="preserve">     </w:t>
      </w:r>
      <w:r>
        <w:rPr>
          <w:rFonts w:ascii="Times New Roman" w:hAnsi="Times New Roman" w:cs="Times New Roman" w:eastAsia="Times New Roman"/>
          <w:color w:val="333333"/>
          <w:sz w:val="24"/>
          <w:szCs w:val="24"/>
        </w:rPr>
        <w:t xml:space="preserve">The non-recognized Transdniestrian Moldovan Republic is located between the Republic of Moldova and Ukraine</w:t>
      </w:r>
      <w:r>
        <w:rPr>
          <w:rFonts w:ascii="Times New Roman" w:hAnsi="Times New Roman" w:cs="Times New Roman" w:eastAsia="Times New Roman"/>
          <w:color w:val="333333"/>
          <w:sz w:val="24"/>
          <w:szCs w:val="24"/>
        </w:rPr>
        <w:t xml:space="preserve">. </w:t>
      </w:r>
      <w:r>
        <w:rPr>
          <w:rFonts w:ascii="Times New Roman" w:hAnsi="Times New Roman" w:cs="Times New Roman" w:eastAsia="Times New Roman"/>
          <w:color w:val="333333"/>
          <w:sz w:val="24"/>
          <w:szCs w:val="24"/>
        </w:rPr>
        <w:t xml:space="preserve"> Aggravation of geopolitical conflicts, signing the EU Association Agreement and the DCFTA Agreement b</w:t>
      </w:r>
      <w:r>
        <w:rPr>
          <w:rFonts w:ascii="Times New Roman" w:hAnsi="Times New Roman" w:cs="Times New Roman" w:eastAsia="Times New Roman"/>
          <w:color w:val="333333"/>
          <w:sz w:val="24"/>
          <w:szCs w:val="24"/>
        </w:rPr>
        <w:t xml:space="preserve">y Ukraine and the Republic of Mo</w:t>
      </w:r>
      <w:r>
        <w:rPr>
          <w:rFonts w:ascii="Times New Roman" w:hAnsi="Times New Roman" w:cs="Times New Roman" w:eastAsia="Times New Roman"/>
          <w:color w:val="333333"/>
          <w:sz w:val="24"/>
          <w:szCs w:val="24"/>
        </w:rPr>
        <w:t xml:space="preserve">ldova</w:t>
      </w:r>
      <w:r>
        <w:rPr>
          <w:rFonts w:ascii="Times New Roman" w:hAnsi="Times New Roman" w:cs="Times New Roman" w:eastAsia="Times New Roman"/>
          <w:color w:val="333333"/>
          <w:sz w:val="24"/>
          <w:szCs w:val="24"/>
        </w:rPr>
        <w:t xml:space="preserve"> (20</w:t>
      </w:r>
      <w:r>
        <w:rPr>
          <w:rFonts w:ascii="Times New Roman" w:hAnsi="Times New Roman" w:cs="Times New Roman" w:eastAsia="Times New Roman"/>
          <w:color w:val="333333"/>
          <w:sz w:val="24"/>
          <w:szCs w:val="24"/>
        </w:rPr>
        <w:t xml:space="preserve">14), unstable economic internal situation, priority of external relations </w:t>
      </w:r>
      <w:r>
        <w:rPr>
          <w:rFonts w:ascii="Times New Roman" w:hAnsi="Times New Roman" w:cs="Times New Roman" w:eastAsia="Times New Roman"/>
          <w:color w:val="333333"/>
          <w:sz w:val="24"/>
          <w:szCs w:val="24"/>
        </w:rPr>
        <w:t xml:space="preserve">in ensuring functioning, all that predetermines conditions that determine changes in living standards of citizens of Transdniestria, in particular, those of senior citizens</w:t>
      </w:r>
      <w:r>
        <w:rPr>
          <w:rFonts w:ascii="Times New Roman" w:hAnsi="Times New Roman" w:cs="Times New Roman" w:eastAsia="Times New Roman"/>
          <w:color w:val="333333"/>
          <w:sz w:val="24"/>
          <w:szCs w:val="24"/>
        </w:rPr>
        <w:t xml:space="preserve">.</w:t>
      </w:r>
      <w:r/>
    </w:p>
    <w:p>
      <w:pPr>
        <w:pStyle w:val="184"/>
        <w:jc w:val="both"/>
        <w:rPr>
          <w:lang w:val="en-US"/>
        </w:rPr>
      </w:pPr>
      <w:r>
        <w:rPr>
          <w:color w:val="333333"/>
          <w:lang w:val="en-US"/>
        </w:rPr>
        <w:t xml:space="preserve">     </w:t>
      </w:r>
      <w:r>
        <w:rPr>
          <w:color w:val="333333"/>
          <w:lang w:val="en-US"/>
        </w:rPr>
        <w:t xml:space="preserve">According to Statistics Yearbook </w:t>
      </w:r>
      <w:r>
        <w:rPr>
          <w:lang w:val="en-US"/>
        </w:rPr>
        <w:t xml:space="preserve">2016, </w:t>
      </w:r>
      <w:r>
        <w:rPr>
          <w:lang w:val="en-US"/>
        </w:rPr>
        <w:t xml:space="preserve">available at: </w:t>
      </w:r>
      <w:hyperlink r:id="rId8" w:history="1">
        <w:r>
          <w:rPr>
            <w:rStyle w:val="170"/>
            <w:lang w:val="en-US"/>
          </w:rPr>
          <w:t xml:space="preserve">http://mer.gospmr.org</w:t>
        </w:r>
      </w:hyperlink>
      <w:r>
        <w:rPr>
          <w:lang w:val="en-US"/>
        </w:rPr>
        <w:t xml:space="preserve">, </w:t>
      </w:r>
      <w:r>
        <w:rPr>
          <w:lang w:val="en-US"/>
        </w:rPr>
        <w:t xml:space="preserve">the population size </w:t>
      </w:r>
      <w:r>
        <w:rPr>
          <w:lang w:val="en-US"/>
        </w:rPr>
        <w:t xml:space="preserve">in Transdniestria</w:t>
      </w:r>
      <w:r>
        <w:rPr>
          <w:lang w:val="en-US"/>
        </w:rPr>
        <w:t xml:space="preserve"> (according to </w:t>
      </w:r>
      <w:r>
        <w:rPr>
          <w:lang w:val="en-US"/>
        </w:rPr>
        <w:t xml:space="preserve">2015 </w:t>
      </w:r>
      <w:r>
        <w:rPr>
          <w:lang w:val="en-US"/>
        </w:rPr>
        <w:t xml:space="preserve">census</w:t>
      </w:r>
      <w:r>
        <w:rPr>
          <w:lang w:val="en-US"/>
        </w:rPr>
        <w:t xml:space="preserve">) </w:t>
      </w:r>
      <w:r>
        <w:rPr>
          <w:lang w:val="en-US"/>
        </w:rPr>
        <w:t xml:space="preserve">is</w:t>
      </w:r>
      <w:r>
        <w:rPr>
          <w:lang w:val="en-US"/>
        </w:rPr>
        <w:t xml:space="preserve"> 475</w:t>
      </w:r>
      <w:r>
        <w:rPr>
          <w:lang w:val="en-US"/>
        </w:rPr>
        <w:t xml:space="preserve">.</w:t>
      </w:r>
      <w:r>
        <w:rPr>
          <w:lang w:val="en-US"/>
        </w:rPr>
        <w:t xml:space="preserve">1 </w:t>
      </w:r>
      <w:r>
        <w:rPr>
          <w:lang w:val="en-US"/>
        </w:rPr>
        <w:t xml:space="preserve">thousand persons, out of them </w:t>
      </w:r>
      <w:r>
        <w:rPr>
          <w:lang w:val="en-US"/>
        </w:rPr>
        <w:t xml:space="preserve">125 </w:t>
      </w:r>
      <w:r>
        <w:rPr>
          <w:lang w:val="en-US"/>
        </w:rPr>
        <w:t xml:space="preserve">thousand pensioners</w:t>
      </w:r>
      <w:r>
        <w:rPr>
          <w:lang w:val="en-US"/>
        </w:rPr>
        <w:t xml:space="preserve">.</w:t>
      </w:r>
      <w:r/>
    </w:p>
    <w:p>
      <w:pPr>
        <w:pStyle w:val="184"/>
        <w:jc w:val="both"/>
        <w:rPr>
          <w:lang w:val="en-US"/>
        </w:rPr>
      </w:pPr>
      <w:r>
        <w:rPr>
          <w:color w:val="333333"/>
          <w:lang w:val="en-US"/>
        </w:rPr>
        <w:t xml:space="preserve">    </w:t>
      </w:r>
      <w:r>
        <w:rPr>
          <w:b/>
          <w:i/>
          <w:color w:val="333333"/>
          <w:lang w:val="en-US"/>
        </w:rPr>
        <w:t xml:space="preserve"> </w:t>
      </w:r>
      <w:r>
        <w:rPr>
          <w:b/>
          <w:i/>
          <w:color w:val="333333"/>
          <w:lang w:val="en-US"/>
        </w:rPr>
        <w:t xml:space="preserve">International Covenant on Economic, Social and Cultural Rights, Article </w:t>
      </w:r>
      <w:r>
        <w:rPr>
          <w:b/>
          <w:i/>
          <w:color w:val="333333"/>
          <w:lang w:val="en-US"/>
        </w:rPr>
        <w:t xml:space="preserve">9, </w:t>
      </w:r>
      <w:r>
        <w:rPr>
          <w:b/>
          <w:i/>
          <w:color w:val="333333"/>
          <w:lang w:val="en-US"/>
        </w:rPr>
        <w:t xml:space="preserve">recognizes the right of each person to social security, including social insurance</w:t>
      </w:r>
      <w:r>
        <w:rPr>
          <w:b/>
          <w:i/>
          <w:color w:val="333333"/>
          <w:lang w:val="en-US"/>
        </w:rPr>
        <w:t xml:space="preserve">.   </w:t>
      </w:r>
      <w:r/>
    </w:p>
    <w:p>
      <w:pPr>
        <w:jc w:val="both"/>
        <w:spacing w:after="0"/>
        <w:rPr>
          <w:rFonts w:ascii="Times New Roman" w:hAnsi="Times New Roman" w:cs="Times New Roman" w:eastAsia="Times New Roman"/>
          <w:sz w:val="24"/>
          <w:szCs w:val="24"/>
        </w:rPr>
      </w:pP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According to the current pension model stipulated in </w:t>
      </w:r>
      <w:hyperlink r:id="rId9" w:history="1">
        <w:r>
          <w:rPr>
            <w:rStyle w:val="170"/>
            <w:rFonts w:ascii="Times New Roman" w:hAnsi="Times New Roman" w:cs="Times New Roman" w:eastAsia="Times New Roman"/>
            <w:color w:val="0000EE"/>
            <w:sz w:val="24"/>
          </w:rPr>
          <w:t xml:space="preserve">Law of the Transdniestrian Moldovan Republic as of February </w:t>
        </w:r>
        <w:r>
          <w:rPr>
            <w:rStyle w:val="170"/>
            <w:rFonts w:ascii="Times New Roman" w:hAnsi="Times New Roman" w:cs="Times New Roman" w:eastAsia="Times New Roman"/>
            <w:color w:val="0000EE"/>
            <w:sz w:val="24"/>
          </w:rPr>
          <w:t xml:space="preserve">17</w:t>
        </w:r>
        <w:r>
          <w:rPr>
            <w:rStyle w:val="170"/>
            <w:rFonts w:ascii="Times New Roman" w:hAnsi="Times New Roman" w:cs="Times New Roman" w:eastAsia="Times New Roman"/>
            <w:color w:val="0000EE"/>
            <w:sz w:val="24"/>
          </w:rPr>
          <w:t xml:space="preserve">,</w:t>
        </w:r>
        <w:r>
          <w:rPr>
            <w:rStyle w:val="170"/>
            <w:rFonts w:ascii="Times New Roman" w:hAnsi="Times New Roman" w:cs="Times New Roman" w:eastAsia="Times New Roman"/>
            <w:color w:val="0000EE"/>
            <w:sz w:val="24"/>
          </w:rPr>
          <w:t xml:space="preserve"> 2005</w:t>
        </w:r>
        <w:r>
          <w:rPr>
            <w:rStyle w:val="170"/>
            <w:rFonts w:ascii="Times New Roman" w:hAnsi="Times New Roman" w:cs="Times New Roman" w:eastAsia="Times New Roman"/>
            <w:color w:val="0000EE"/>
            <w:sz w:val="24"/>
          </w:rPr>
          <w:t xml:space="preserve">,</w:t>
        </w:r>
        <w:r>
          <w:rPr>
            <w:rStyle w:val="170"/>
            <w:rFonts w:ascii="Times New Roman" w:hAnsi="Times New Roman" w:cs="Times New Roman" w:eastAsia="Times New Roman"/>
            <w:color w:val="0000EE"/>
            <w:sz w:val="24"/>
          </w:rPr>
          <w:t xml:space="preserve"> </w:t>
        </w:r>
        <w:r>
          <w:rPr>
            <w:rStyle w:val="170"/>
            <w:rFonts w:ascii="Times New Roman" w:hAnsi="Times New Roman" w:cs="Times New Roman" w:eastAsia="Times New Roman"/>
            <w:color w:val="0000EE"/>
            <w:sz w:val="24"/>
          </w:rPr>
          <w:t xml:space="preserve">No. </w:t>
        </w:r>
        <w:r>
          <w:rPr>
            <w:rStyle w:val="170"/>
            <w:rFonts w:ascii="Times New Roman" w:hAnsi="Times New Roman" w:cs="Times New Roman" w:eastAsia="Times New Roman"/>
            <w:color w:val="0000EE"/>
            <w:sz w:val="24"/>
          </w:rPr>
          <w:t xml:space="preserve">537-З-III</w:t>
        </w:r>
        <w:r>
          <w:rPr>
            <w:rStyle w:val="170"/>
            <w:rFonts w:ascii="Times New Roman" w:hAnsi="Times New Roman" w:cs="Times New Roman" w:eastAsia="Times New Roman"/>
            <w:color w:val="0000EE"/>
            <w:sz w:val="24"/>
          </w:rPr>
          <w:t xml:space="preserve"> “On the State Pension Provision for Citizens in the Transdniestrian Moldovan Republic”</w:t>
        </w:r>
        <w:r>
          <w:rPr>
            <w:rStyle w:val="170"/>
            <w:rFonts w:ascii="Times New Roman" w:hAnsi="Times New Roman" w:cs="Times New Roman" w:eastAsia="Times New Roman"/>
            <w:color w:val="0000EE"/>
            <w:sz w:val="24"/>
          </w:rPr>
          <w:t xml:space="preserve"> (</w:t>
        </w:r>
        <w:r>
          <w:rPr>
            <w:rStyle w:val="170"/>
            <w:rFonts w:ascii="Times New Roman" w:hAnsi="Times New Roman" w:cs="Times New Roman" w:eastAsia="Times New Roman"/>
            <w:color w:val="0000EE"/>
            <w:sz w:val="24"/>
          </w:rPr>
          <w:t xml:space="preserve">SAZ </w:t>
        </w:r>
        <w:r>
          <w:rPr>
            <w:rStyle w:val="170"/>
            <w:rFonts w:ascii="Times New Roman" w:hAnsi="Times New Roman" w:cs="Times New Roman" w:eastAsia="Times New Roman"/>
            <w:color w:val="0000EE"/>
            <w:sz w:val="24"/>
          </w:rPr>
          <w:t xml:space="preserve">05-08) </w:t>
        </w:r>
      </w:hyperlink>
      <w:r>
        <w:rPr>
          <w:rFonts w:ascii="Times New Roman" w:hAnsi="Times New Roman" w:cs="Times New Roman" w:eastAsia="Times New Roman"/>
          <w:color w:val="000000"/>
          <w:sz w:val="24"/>
        </w:rPr>
        <w:t xml:space="preserve">pension for each pensioner is calculated on a case-by-case basis depending on the total length of service and wage (or some other income</w:t>
      </w:r>
      <w:r>
        <w:rPr>
          <w:rFonts w:ascii="Times New Roman" w:hAnsi="Times New Roman" w:cs="Times New Roman" w:eastAsia="Times New Roman"/>
          <w:color w:val="000000"/>
          <w:sz w:val="24"/>
        </w:rPr>
        <w:t xml:space="preserve">).</w:t>
      </w:r>
      <w:r/>
    </w:p>
    <w:p>
      <w:pPr>
        <w:spacing w:after="0"/>
        <w:rPr>
          <w:rFonts w:ascii="Times New Roman" w:hAnsi="Times New Roman" w:cs="Times New Roman" w:eastAsia="Times New Roman"/>
          <w:sz w:val="24"/>
        </w:rPr>
      </w:pPr>
      <w:r>
        <w:rPr>
          <w:rFonts w:ascii="Times New Roman" w:hAnsi="Times New Roman" w:cs="Times New Roman" w:eastAsia="Times New Roman"/>
          <w:sz w:val="24"/>
        </w:rPr>
        <w:br/>
        <w:t xml:space="preserve">     </w:t>
      </w:r>
      <w:r>
        <w:rPr>
          <w:rFonts w:ascii="Times New Roman" w:hAnsi="Times New Roman" w:cs="Times New Roman" w:eastAsia="Times New Roman"/>
          <w:sz w:val="24"/>
        </w:rPr>
        <w:t xml:space="preserve">The following are entitled to get pension in the Transdniestrian Moldovan Republic</w:t>
      </w:r>
      <w:r>
        <w:rPr>
          <w:rFonts w:ascii="Times New Roman" w:hAnsi="Times New Roman" w:cs="Times New Roman" w:eastAsia="Times New Roman"/>
          <w:color w:val="000000"/>
          <w:sz w:val="24"/>
        </w:rPr>
        <w:t xml:space="preserve">:</w:t>
      </w:r>
      <w:r/>
    </w:p>
    <w:p>
      <w:pPr>
        <w:pStyle w:val="181"/>
        <w:numPr>
          <w:ilvl w:val="0"/>
          <w:numId w:val="6"/>
        </w:numPr>
        <w:spacing w:after="0"/>
        <w:rPr>
          <w:rFonts w:ascii="Times New Roman" w:hAnsi="Times New Roman" w:cs="Times New Roman" w:eastAsia="Times New Roman"/>
          <w:sz w:val="24"/>
        </w:rPr>
      </w:pPr>
      <w:r>
        <w:rPr>
          <w:rFonts w:ascii="Times New Roman" w:hAnsi="Times New Roman" w:cs="Times New Roman" w:eastAsia="Times New Roman"/>
          <w:color w:val="000000"/>
          <w:sz w:val="24"/>
        </w:rPr>
        <w:t xml:space="preserve">Citizens of the Transdniestrian Moldovan Republic</w:t>
      </w:r>
      <w:r>
        <w:rPr>
          <w:rFonts w:ascii="Times New Roman" w:hAnsi="Times New Roman" w:cs="Times New Roman" w:eastAsia="Times New Roman"/>
          <w:color w:val="000000"/>
          <w:sz w:val="24"/>
        </w:rPr>
        <w:t xml:space="preserve">;</w:t>
      </w:r>
      <w:r/>
    </w:p>
    <w:p>
      <w:pPr>
        <w:pStyle w:val="181"/>
        <w:numPr>
          <w:ilvl w:val="0"/>
          <w:numId w:val="6"/>
        </w:numPr>
        <w:spacing w:after="0"/>
        <w:rPr>
          <w:rFonts w:ascii="Times New Roman" w:hAnsi="Times New Roman" w:cs="Times New Roman" w:eastAsia="Times New Roman"/>
          <w:sz w:val="24"/>
        </w:rPr>
      </w:pPr>
      <w:r>
        <w:rPr>
          <w:rFonts w:ascii="Times New Roman" w:hAnsi="Times New Roman" w:cs="Times New Roman" w:eastAsia="Times New Roman"/>
          <w:color w:val="000000"/>
          <w:sz w:val="24"/>
        </w:rPr>
        <w:t xml:space="preserve">Foreign citizens</w:t>
      </w:r>
      <w:r>
        <w:rPr>
          <w:rFonts w:ascii="Times New Roman" w:hAnsi="Times New Roman" w:cs="Times New Roman" w:eastAsia="Times New Roman"/>
          <w:color w:val="000000"/>
          <w:sz w:val="24"/>
        </w:rPr>
        <w:t xml:space="preserve">;</w:t>
      </w:r>
      <w:r/>
    </w:p>
    <w:p>
      <w:pPr>
        <w:pStyle w:val="181"/>
        <w:numPr>
          <w:ilvl w:val="0"/>
          <w:numId w:val="6"/>
        </w:numPr>
        <w:spacing w:after="0"/>
        <w:rPr>
          <w:rFonts w:ascii="Times New Roman" w:hAnsi="Times New Roman" w:cs="Times New Roman" w:eastAsia="Times New Roman"/>
          <w:sz w:val="24"/>
        </w:rPr>
      </w:pPr>
      <w:r>
        <w:rPr>
          <w:rFonts w:ascii="Times New Roman" w:hAnsi="Times New Roman" w:cs="Times New Roman" w:eastAsia="Times New Roman"/>
          <w:color w:val="000000"/>
          <w:sz w:val="24"/>
        </w:rPr>
        <w:t xml:space="preserve">Persons without citizenship residing in the territory of the </w:t>
      </w:r>
      <w:r>
        <w:rPr>
          <w:rFonts w:ascii="Times New Roman" w:hAnsi="Times New Roman" w:cs="Times New Roman" w:eastAsia="Times New Roman"/>
          <w:color w:val="000000"/>
          <w:sz w:val="24"/>
        </w:rPr>
        <w:t xml:space="preserve">Transdniestrian Moldovan Republic</w:t>
      </w: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which fact is confirmed by the information on residence permits (permanent or provisional</w:t>
      </w:r>
      <w:r>
        <w:rPr>
          <w:rFonts w:ascii="Times New Roman" w:hAnsi="Times New Roman" w:cs="Times New Roman" w:eastAsia="Times New Roman"/>
          <w:color w:val="000000"/>
          <w:sz w:val="24"/>
        </w:rPr>
        <w:t xml:space="preserve">).</w:t>
      </w:r>
      <w:r/>
    </w:p>
    <w:p>
      <w:pPr>
        <w:spacing w:after="0"/>
        <w:rPr>
          <w:rFonts w:ascii="Times New Roman" w:hAnsi="Times New Roman" w:cs="Times New Roman" w:eastAsia="Times New Roman"/>
          <w:sz w:val="24"/>
        </w:rPr>
      </w:pPr>
      <w:r>
        <w:rPr>
          <w:rFonts w:ascii="Times New Roman" w:hAnsi="Times New Roman" w:cs="Times New Roman" w:eastAsia="Times New Roman"/>
          <w:sz w:val="24"/>
        </w:rPr>
      </w:r>
      <w:r/>
    </w:p>
    <w:p>
      <w:pPr>
        <w:jc w:val="both"/>
        <w:spacing w:after="0"/>
        <w:rPr>
          <w:rFonts w:ascii="Times New Roman" w:hAnsi="Times New Roman" w:cs="Times New Roman" w:eastAsia="Times New Roman"/>
          <w:sz w:val="24"/>
        </w:rPr>
      </w:pP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From January 1, </w:t>
      </w:r>
      <w:r>
        <w:rPr>
          <w:rFonts w:ascii="Times New Roman" w:hAnsi="Times New Roman" w:cs="Times New Roman" w:eastAsia="Times New Roman"/>
          <w:color w:val="000000"/>
          <w:sz w:val="24"/>
        </w:rPr>
        <w:t xml:space="preserve">2012</w:t>
      </w:r>
      <w:r>
        <w:rPr>
          <w:rFonts w:ascii="Times New Roman" w:hAnsi="Times New Roman" w:cs="Times New Roman" w:eastAsia="Times New Roman"/>
          <w:color w:val="000000"/>
          <w:sz w:val="24"/>
        </w:rPr>
        <w:t xml:space="preserve">,</w:t>
      </w: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for foreign citizens who reached pension age (women 0 55, and men 60) and age that allows them getting pensions on preferential terms because of some special labor conditions  for agricultural workers, for those who worked in the high north</w:t>
      </w: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for length of service, for those who moved to reside permanently in the Transdniestrian Moldovan Republic from countries where the national legislation envisions higher age threshold for pensions, pensions (according to grounds set forth above) are set according to provisions of </w:t>
      </w:r>
      <w:hyperlink r:id="rId10" w:history="1">
        <w:r>
          <w:rPr>
            <w:rStyle w:val="170"/>
            <w:rFonts w:ascii="Times New Roman" w:hAnsi="Times New Roman" w:cs="Times New Roman" w:eastAsia="Times New Roman"/>
            <w:color w:val="0000EE"/>
            <w:sz w:val="24"/>
          </w:rPr>
          <w:t xml:space="preserve">Law of the Transdniestrian Moldovan Republic as of February 17, 2005, No. </w:t>
        </w:r>
        <w:r>
          <w:rPr>
            <w:rStyle w:val="170"/>
            <w:rFonts w:ascii="Times New Roman" w:hAnsi="Times New Roman" w:cs="Times New Roman" w:eastAsia="Times New Roman"/>
            <w:color w:val="0000EE"/>
            <w:sz w:val="24"/>
          </w:rPr>
          <w:t xml:space="preserve">537-З-III </w:t>
        </w:r>
        <w:r>
          <w:rPr>
            <w:rStyle w:val="170"/>
            <w:rFonts w:ascii="Times New Roman" w:hAnsi="Times New Roman" w:cs="Times New Roman" w:eastAsia="Times New Roman"/>
            <w:color w:val="0000EE"/>
            <w:sz w:val="24"/>
          </w:rPr>
          <w:t xml:space="preserve">“On the State Pension Provision for Citizens in the Transdniestrian Moldovan Republic” (SAZ 05-08)</w:t>
        </w:r>
        <w:r>
          <w:rPr>
            <w:rStyle w:val="170"/>
            <w:rFonts w:ascii="Times New Roman" w:hAnsi="Times New Roman" w:cs="Times New Roman" w:eastAsia="Times New Roman"/>
            <w:color w:val="0000EE"/>
            <w:sz w:val="24"/>
          </w:rPr>
          <w:t xml:space="preserve"> (</w:t>
        </w:r>
        <w:r>
          <w:rPr>
            <w:rStyle w:val="170"/>
            <w:rFonts w:ascii="Times New Roman" w:hAnsi="Times New Roman" w:cs="Times New Roman" w:eastAsia="Times New Roman"/>
            <w:color w:val="0000EE"/>
            <w:sz w:val="24"/>
          </w:rPr>
          <w:t xml:space="preserve">as it reads now</w:t>
        </w:r>
        <w:r>
          <w:rPr>
            <w:rStyle w:val="170"/>
            <w:rFonts w:ascii="Times New Roman" w:hAnsi="Times New Roman" w:cs="Times New Roman" w:eastAsia="Times New Roman"/>
            <w:color w:val="0000EE"/>
            <w:sz w:val="24"/>
          </w:rPr>
          <w:t xml:space="preserve">)</w:t>
        </w:r>
      </w:hyperlink>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provided the foreign citizen resides in the territory of the Transdniestrian Moldovan Republic for at least 3 (three) years right before the pension is assigned, or if </w:t>
      </w:r>
      <w:r>
        <w:rPr>
          <w:rFonts w:ascii="Times New Roman" w:hAnsi="Times New Roman" w:cs="Times New Roman" w:eastAsia="Times New Roman"/>
          <w:color w:val="000000"/>
          <w:sz w:val="24"/>
        </w:rPr>
        <w:t xml:space="preserve">he/she carries out some labor activities in the territory </w:t>
      </w:r>
      <w:r>
        <w:rPr>
          <w:rFonts w:ascii="Times New Roman" w:hAnsi="Times New Roman" w:cs="Times New Roman" w:eastAsia="Times New Roman"/>
          <w:color w:val="000000"/>
          <w:sz w:val="24"/>
        </w:rPr>
        <w:t xml:space="preserve">of the Transdniestrian Moldovan Republic for at least 3 (three) years right before the pension is assigned</w:t>
      </w: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 </w:t>
      </w:r>
      <w:hyperlink r:id="rId11" w:history="1">
        <w:r>
          <w:rPr>
            <w:rStyle w:val="170"/>
            <w:rFonts w:ascii="Times New Roman" w:hAnsi="Times New Roman" w:cs="Times New Roman" w:eastAsia="Times New Roman"/>
            <w:color w:val="0000EE"/>
            <w:sz w:val="24"/>
          </w:rPr>
          <w:t xml:space="preserve">Order of the Ministry of Health and Social Protection of the Transdniestrian Moldovan Republic as of </w:t>
        </w:r>
        <w:r>
          <w:rPr>
            <w:rStyle w:val="170"/>
            <w:rFonts w:ascii="Times New Roman" w:hAnsi="Times New Roman" w:cs="Times New Roman" w:eastAsia="Times New Roman"/>
            <w:color w:val="0000EE"/>
            <w:sz w:val="24"/>
          </w:rPr>
          <w:t xml:space="preserve">26.06.2012</w:t>
        </w:r>
        <w:r>
          <w:rPr>
            <w:rStyle w:val="170"/>
            <w:rFonts w:ascii="Times New Roman" w:hAnsi="Times New Roman" w:cs="Times New Roman" w:eastAsia="Times New Roman"/>
            <w:color w:val="0000EE"/>
            <w:sz w:val="24"/>
          </w:rPr>
          <w:t xml:space="preserve">,</w:t>
        </w:r>
        <w:r>
          <w:rPr>
            <w:rStyle w:val="170"/>
            <w:rFonts w:ascii="Times New Roman" w:hAnsi="Times New Roman" w:cs="Times New Roman" w:eastAsia="Times New Roman"/>
            <w:color w:val="0000EE"/>
            <w:sz w:val="24"/>
          </w:rPr>
          <w:t xml:space="preserve"> </w:t>
        </w:r>
        <w:r>
          <w:rPr>
            <w:rStyle w:val="170"/>
            <w:rFonts w:ascii="Times New Roman" w:hAnsi="Times New Roman" w:cs="Times New Roman" w:eastAsia="Times New Roman"/>
            <w:color w:val="0000EE"/>
            <w:sz w:val="24"/>
          </w:rPr>
          <w:t xml:space="preserve">No. </w:t>
        </w:r>
        <w:r>
          <w:rPr>
            <w:rStyle w:val="170"/>
            <w:rFonts w:ascii="Times New Roman" w:hAnsi="Times New Roman" w:cs="Times New Roman" w:eastAsia="Times New Roman"/>
            <w:color w:val="0000EE"/>
            <w:sz w:val="24"/>
          </w:rPr>
          <w:t xml:space="preserve">314 </w:t>
        </w:r>
        <w:r>
          <w:rPr>
            <w:rStyle w:val="170"/>
            <w:rFonts w:ascii="Times New Roman" w:hAnsi="Times New Roman" w:cs="Times New Roman" w:eastAsia="Times New Roman"/>
            <w:color w:val="0000EE"/>
            <w:sz w:val="24"/>
          </w:rPr>
          <w:t xml:space="preserve">“On approval of the Instruction “On the procedure for assigning pensions to foreign citizens who moved to permanent residence to the Transdniestrian Moldovan Republic” (SAZ</w:t>
        </w:r>
        <w:r>
          <w:rPr>
            <w:rStyle w:val="170"/>
            <w:rFonts w:ascii="Times New Roman" w:hAnsi="Times New Roman" w:cs="Times New Roman" w:eastAsia="Times New Roman"/>
            <w:color w:val="0000EE"/>
            <w:sz w:val="24"/>
          </w:rPr>
          <w:t xml:space="preserve"> 12-31)</w:t>
        </w:r>
      </w:hyperlink>
      <w:r/>
      <w:r/>
    </w:p>
    <w:p>
      <w:pPr>
        <w:pStyle w:val="184"/>
        <w:jc w:val="both"/>
        <w:rPr>
          <w:lang w:val="en-US"/>
        </w:rPr>
      </w:pPr>
      <w:r>
        <w:rPr>
          <w:color w:val="333333"/>
          <w:lang w:val="en-US"/>
        </w:rPr>
        <w:t xml:space="preserve">     </w:t>
      </w:r>
      <w:r>
        <w:rPr>
          <w:lang w:val="en-US"/>
        </w:rPr>
        <w:t xml:space="preserve">In Transdniestria</w:t>
      </w:r>
      <w:r>
        <w:rPr>
          <w:lang w:val="en-US"/>
        </w:rPr>
        <w:t xml:space="preserve">, senior people literally survive with their small pensions; many of them try to earn some additional money, but not because they are strong and healthy, or because they are bored to stay home, but because of</w:t>
      </w:r>
      <w:r>
        <w:rPr>
          <w:lang w:val="en-US"/>
        </w:rPr>
        <w:t xml:space="preserve"> their small pensions</w:t>
      </w:r>
      <w:r>
        <w:rPr>
          <w:lang w:val="en-US"/>
        </w:rPr>
        <w:t xml:space="preserve">. </w:t>
      </w:r>
      <w:r>
        <w:rPr>
          <w:lang w:val="en-US"/>
        </w:rPr>
        <w:t xml:space="preserve"> Sometimes it leads to conflict of generations, since young people also need work.</w:t>
      </w:r>
      <w:r/>
    </w:p>
    <w:p>
      <w:pPr>
        <w:pStyle w:val="184"/>
        <w:jc w:val="both"/>
        <w:rPr>
          <w:lang w:val="en-US"/>
        </w:rPr>
      </w:pPr>
      <w:r>
        <w:rPr>
          <w:lang w:val="en-US"/>
        </w:rPr>
        <w:t xml:space="preserve">     </w:t>
      </w:r>
      <w:r>
        <w:rPr>
          <w:lang w:val="en-US"/>
        </w:rPr>
        <w:t xml:space="preserve">The following i</w:t>
      </w:r>
      <w:r>
        <w:rPr>
          <w:lang w:val="en-US"/>
        </w:rPr>
        <w:t xml:space="preserve">n</w:t>
      </w:r>
      <w:r>
        <w:rPr>
          <w:lang w:val="en-US"/>
        </w:rPr>
        <w:t xml:space="preserve">formation is available on</w:t>
      </w:r>
      <w:r>
        <w:rPr>
          <w:lang w:val="en-US"/>
        </w:rPr>
        <w:t xml:space="preserve"> </w:t>
      </w:r>
      <w:r>
        <w:rPr>
          <w:lang w:val="en-US"/>
        </w:rPr>
        <w:t xml:space="preserve">the website of the Unified State Social </w:t>
      </w:r>
      <w:r>
        <w:rPr>
          <w:lang w:val="en-US"/>
        </w:rPr>
        <w:t xml:space="preserve">Insurance Fund </w:t>
      </w:r>
      <w:hyperlink r:id="rId12" w:history="1">
        <w:r>
          <w:rPr>
            <w:rStyle w:val="170"/>
            <w:color w:val="0000EE"/>
            <w:lang w:val="en-US"/>
          </w:rPr>
          <w:t xml:space="preserve">USSIF</w:t>
        </w:r>
      </w:hyperlink>
      <w:r>
        <w:rPr>
          <w:lang w:val="en-US"/>
        </w:rPr>
        <w:t xml:space="preserve"> </w:t>
      </w:r>
      <w:r>
        <w:rPr>
          <w:lang w:val="en-US"/>
        </w:rPr>
        <w:t xml:space="preserve">from </w:t>
      </w:r>
      <w:r>
        <w:rPr>
          <w:b/>
          <w:lang w:val="en-US"/>
        </w:rPr>
        <w:t xml:space="preserve">January 1, 20</w:t>
      </w:r>
      <w:r>
        <w:rPr>
          <w:b/>
          <w:color w:val="000000"/>
          <w:lang w:val="en-US"/>
        </w:rPr>
        <w:t xml:space="preserve">16</w:t>
      </w:r>
      <w:r>
        <w:rPr>
          <w:b/>
          <w:color w:val="000000"/>
          <w:lang w:val="en-US"/>
        </w:rPr>
        <w:t xml:space="preserve">.</w:t>
      </w:r>
      <w:r/>
    </w:p>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color w:val="FF0000"/>
          <w:sz w:val="24"/>
          <w:szCs w:val="24"/>
        </w:rPr>
        <w:t xml:space="preserve">Minimal old age pension</w:t>
      </w:r>
      <w:r>
        <w:rPr>
          <w:rFonts w:ascii="Times New Roman" w:hAnsi="Times New Roman" w:cs="Times New Roman" w:eastAsia="Times New Roman"/>
          <w:color w:val="FF0000"/>
          <w:sz w:val="24"/>
          <w:szCs w:val="24"/>
        </w:rPr>
        <w:t xml:space="preserve">   616</w:t>
      </w:r>
      <w:r>
        <w:rPr>
          <w:rFonts w:ascii="Times New Roman" w:hAnsi="Times New Roman" w:cs="Times New Roman" w:eastAsia="Times New Roman"/>
          <w:color w:val="FF0000"/>
          <w:sz w:val="24"/>
          <w:szCs w:val="24"/>
        </w:rPr>
        <w:t xml:space="preserve">.</w:t>
      </w:r>
      <w:r>
        <w:rPr>
          <w:rFonts w:ascii="Times New Roman" w:hAnsi="Times New Roman" w:cs="Times New Roman" w:eastAsia="Times New Roman"/>
          <w:color w:val="FF0000"/>
          <w:sz w:val="24"/>
          <w:szCs w:val="24"/>
        </w:rPr>
        <w:t xml:space="preserve">00 (40$)</w:t>
      </w:r>
      <w:r/>
    </w:p>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color w:val="FF0000"/>
          <w:sz w:val="24"/>
          <w:szCs w:val="24"/>
        </w:rPr>
        <w:t xml:space="preserve">Minimal pension for calculation of premiums and increases</w:t>
      </w:r>
      <w:r>
        <w:rPr>
          <w:rFonts w:ascii="Times New Roman" w:hAnsi="Times New Roman" w:cs="Times New Roman" w:eastAsia="Times New Roman"/>
          <w:color w:val="FF0000"/>
          <w:sz w:val="24"/>
          <w:szCs w:val="24"/>
        </w:rPr>
        <w:t xml:space="preserve">   402</w:t>
      </w:r>
      <w:r>
        <w:rPr>
          <w:rFonts w:ascii="Times New Roman" w:hAnsi="Times New Roman" w:cs="Times New Roman" w:eastAsia="Times New Roman"/>
          <w:color w:val="FF0000"/>
          <w:sz w:val="24"/>
          <w:szCs w:val="24"/>
        </w:rPr>
        <w:t xml:space="preserve">.</w:t>
      </w:r>
      <w:r>
        <w:rPr>
          <w:rFonts w:ascii="Times New Roman" w:hAnsi="Times New Roman" w:cs="Times New Roman" w:eastAsia="Times New Roman"/>
          <w:color w:val="FF0000"/>
          <w:sz w:val="24"/>
          <w:szCs w:val="24"/>
        </w:rPr>
        <w:t xml:space="preserve">00</w:t>
      </w:r>
      <w:r/>
    </w:p>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color w:val="FF0000"/>
          <w:sz w:val="24"/>
          <w:szCs w:val="24"/>
        </w:rPr>
        <w:t xml:space="preserve">Average pension with premi</w:t>
      </w:r>
      <w:r>
        <w:rPr>
          <w:rFonts w:ascii="Times New Roman" w:hAnsi="Times New Roman" w:cs="Times New Roman" w:eastAsia="Times New Roman"/>
          <w:color w:val="FF0000"/>
          <w:sz w:val="24"/>
          <w:szCs w:val="24"/>
        </w:rPr>
        <w:t xml:space="preserve">u</w:t>
      </w:r>
      <w:r>
        <w:rPr>
          <w:rFonts w:ascii="Times New Roman" w:hAnsi="Times New Roman" w:cs="Times New Roman" w:eastAsia="Times New Roman"/>
          <w:color w:val="FF0000"/>
          <w:sz w:val="24"/>
          <w:szCs w:val="24"/>
        </w:rPr>
        <w:t xml:space="preserve">ms and increases </w:t>
      </w:r>
      <w:r>
        <w:rPr>
          <w:rFonts w:ascii="Times New Roman" w:hAnsi="Times New Roman" w:cs="Times New Roman" w:eastAsia="Times New Roman"/>
          <w:color w:val="FF0000"/>
          <w:sz w:val="24"/>
          <w:szCs w:val="24"/>
        </w:rPr>
        <w:t xml:space="preserve">   </w:t>
      </w:r>
      <w:r>
        <w:rPr>
          <w:rFonts w:ascii="Times New Roman" w:hAnsi="Times New Roman" w:cs="Times New Roman" w:eastAsia="Times New Roman"/>
          <w:color w:val="FF0000"/>
          <w:sz w:val="24"/>
          <w:szCs w:val="24"/>
        </w:rPr>
        <w:t xml:space="preserve">1355</w:t>
      </w:r>
      <w:r>
        <w:rPr>
          <w:rFonts w:ascii="Times New Roman" w:hAnsi="Times New Roman" w:cs="Times New Roman" w:eastAsia="Times New Roman"/>
          <w:color w:val="FF0000"/>
          <w:sz w:val="24"/>
          <w:szCs w:val="24"/>
        </w:rPr>
        <w:t xml:space="preserve">.</w:t>
      </w:r>
      <w:r>
        <w:rPr>
          <w:rFonts w:ascii="Times New Roman" w:hAnsi="Times New Roman" w:cs="Times New Roman" w:eastAsia="Times New Roman"/>
          <w:color w:val="FF0000"/>
          <w:sz w:val="24"/>
          <w:szCs w:val="24"/>
        </w:rPr>
        <w:t xml:space="preserve">09</w:t>
      </w:r>
      <w:r/>
    </w:p>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color w:val="FF0000"/>
          <w:sz w:val="24"/>
          <w:szCs w:val="24"/>
        </w:rPr>
      </w:r>
      <w:r/>
    </w:p>
    <w:p>
      <w:pPr>
        <w:jc w:val="both"/>
        <w:spacing w:lineRule="auto" w:line="24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     </w:t>
      </w:r>
      <w:r>
        <w:rPr>
          <w:rFonts w:ascii="Times New Roman" w:hAnsi="Times New Roman" w:cs="Times New Roman" w:eastAsia="Times New Roman"/>
          <w:sz w:val="24"/>
          <w:szCs w:val="24"/>
        </w:rPr>
        <w:t xml:space="preserve">For example, the Social Security Service in the town of Ribnita</w:t>
      </w:r>
      <w:r>
        <w:rPr>
          <w:rFonts w:ascii="Times New Roman" w:hAnsi="Times New Roman" w:cs="Times New Roman" w:eastAsia="Times New Roman"/>
          <w:sz w:val="24"/>
          <w:szCs w:val="24"/>
        </w:rPr>
        <w:t xml:space="preserve">, </w:t>
      </w:r>
      <w:r>
        <w:rPr>
          <w:rFonts w:ascii="Times New Roman" w:hAnsi="Times New Roman" w:cs="Times New Roman" w:eastAsia="Times New Roman"/>
          <w:sz w:val="24"/>
          <w:szCs w:val="24"/>
        </w:rPr>
        <w:t xml:space="preserve">Transdniestria</w:t>
      </w:r>
      <w:r>
        <w:rPr>
          <w:rFonts w:ascii="Times New Roman" w:hAnsi="Times New Roman" w:cs="Times New Roman" w:eastAsia="Times New Roman"/>
          <w:sz w:val="24"/>
          <w:szCs w:val="24"/>
        </w:rPr>
        <w:t xml:space="preserve">, </w:t>
      </w:r>
      <w:r>
        <w:rPr>
          <w:rFonts w:ascii="Times New Roman" w:hAnsi="Times New Roman" w:cs="Times New Roman" w:eastAsia="Times New Roman"/>
          <w:sz w:val="24"/>
          <w:szCs w:val="24"/>
        </w:rPr>
        <w:t xml:space="preserve">where </w:t>
      </w:r>
      <w:r>
        <w:rPr>
          <w:rFonts w:ascii="Times New Roman" w:hAnsi="Times New Roman" w:cs="Times New Roman" w:eastAsia="Times New Roman"/>
          <w:sz w:val="24"/>
          <w:szCs w:val="24"/>
        </w:rPr>
        <w:t xml:space="preserve">19</w:t>
      </w:r>
      <w:r>
        <w:rPr>
          <w:rFonts w:ascii="Times New Roman" w:hAnsi="Times New Roman" w:cs="Times New Roman" w:eastAsia="Times New Roman"/>
          <w:sz w:val="24"/>
          <w:szCs w:val="24"/>
        </w:rPr>
        <w:t xml:space="preserve">.</w:t>
      </w:r>
      <w:r>
        <w:rPr>
          <w:rFonts w:ascii="Times New Roman" w:hAnsi="Times New Roman" w:cs="Times New Roman" w:eastAsia="Times New Roman"/>
          <w:sz w:val="24"/>
          <w:szCs w:val="24"/>
        </w:rPr>
        <w:t xml:space="preserve">9 </w:t>
      </w:r>
      <w:r>
        <w:rPr>
          <w:rFonts w:ascii="Times New Roman" w:hAnsi="Times New Roman" w:cs="Times New Roman" w:eastAsia="Times New Roman"/>
          <w:sz w:val="24"/>
          <w:szCs w:val="24"/>
        </w:rPr>
        <w:t xml:space="preserve">thousand pensioners reside, work with citize</w:t>
      </w:r>
      <w:r>
        <w:rPr>
          <w:rFonts w:ascii="Times New Roman" w:hAnsi="Times New Roman" w:cs="Times New Roman" w:eastAsia="Times New Roman"/>
          <w:sz w:val="24"/>
          <w:szCs w:val="24"/>
        </w:rPr>
        <w:t xml:space="preserve">ns only 2 times a week </w:t>
        <w:noBreakHyphen/>
        <w:t xml:space="preserve"> on </w:t>
        <w:noBreakHyphen/>
        <w:t xml:space="preserve"> on Mondays and Thursdays</w:t>
      </w:r>
      <w:r>
        <w:rPr>
          <w:rFonts w:ascii="Times New Roman" w:hAnsi="Times New Roman" w:cs="Times New Roman" w:eastAsia="Times New Roman"/>
          <w:sz w:val="24"/>
          <w:szCs w:val="24"/>
        </w:rPr>
        <w:t xml:space="preserve">. </w:t>
      </w:r>
      <w:r>
        <w:rPr>
          <w:rFonts w:ascii="Times New Roman" w:hAnsi="Times New Roman" w:cs="Times New Roman" w:eastAsia="Times New Roman"/>
          <w:sz w:val="24"/>
          <w:szCs w:val="24"/>
        </w:rPr>
        <w:t xml:space="preserve"> That means that senior people can resolve the issues related to pens</w:t>
      </w:r>
      <w:r>
        <w:rPr>
          <w:rFonts w:ascii="Times New Roman" w:hAnsi="Times New Roman" w:cs="Times New Roman" w:eastAsia="Times New Roman"/>
          <w:sz w:val="24"/>
          <w:szCs w:val="24"/>
        </w:rPr>
        <w:t xml:space="preserve">ions, benefits, health resort treatment only on these days.  It is especially difficult for old people from remote villages</w:t>
      </w:r>
      <w:r>
        <w:rPr>
          <w:rFonts w:ascii="Times New Roman" w:hAnsi="Times New Roman" w:cs="Times New Roman" w:eastAsia="Times New Roman"/>
          <w:sz w:val="24"/>
          <w:szCs w:val="24"/>
        </w:rPr>
        <w:t xml:space="preserve">.</w:t>
      </w:r>
      <w:r/>
    </w:p>
    <w:p>
      <w:pPr>
        <w:jc w:val="both"/>
        <w:spacing w:lineRule="auto" w:line="24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      </w:t>
      </w:r>
      <w:r>
        <w:rPr>
          <w:rFonts w:ascii="Times New Roman" w:hAnsi="Times New Roman" w:cs="Times New Roman" w:eastAsia="Times New Roman"/>
          <w:sz w:val="24"/>
          <w:szCs w:val="24"/>
        </w:rPr>
        <w:t xml:space="preserve">In </w:t>
      </w:r>
      <w:r>
        <w:rPr>
          <w:rFonts w:ascii="Times New Roman" w:hAnsi="Times New Roman" w:cs="Times New Roman" w:eastAsia="Times New Roman"/>
          <w:sz w:val="24"/>
          <w:szCs w:val="24"/>
        </w:rPr>
        <w:t xml:space="preserve">2017, </w:t>
      </w:r>
      <w:r>
        <w:rPr>
          <w:rFonts w:ascii="Times New Roman" w:hAnsi="Times New Roman" w:cs="Times New Roman" w:eastAsia="Times New Roman"/>
          <w:sz w:val="24"/>
          <w:szCs w:val="24"/>
        </w:rPr>
        <w:t xml:space="preserve">and in the course of at least 3 past years, the budget of Transdniestria</w:t>
      </w:r>
      <w:r>
        <w:rPr>
          <w:rFonts w:ascii="Times New Roman" w:hAnsi="Times New Roman" w:cs="Times New Roman" w:eastAsia="Times New Roman"/>
          <w:sz w:val="24"/>
          <w:szCs w:val="24"/>
        </w:rPr>
        <w:t xml:space="preserve"> </w:t>
      </w:r>
      <w:r>
        <w:rPr>
          <w:rFonts w:ascii="Times New Roman" w:hAnsi="Times New Roman" w:cs="Times New Roman" w:eastAsia="Times New Roman"/>
          <w:sz w:val="24"/>
          <w:szCs w:val="24"/>
        </w:rPr>
        <w:t xml:space="preserve">did not envision any health resort treatment for senior citizens, including labor veterans</w:t>
      </w:r>
      <w:r>
        <w:rPr>
          <w:rFonts w:ascii="Times New Roman" w:hAnsi="Times New Roman" w:cs="Times New Roman" w:eastAsia="Times New Roman"/>
          <w:sz w:val="24"/>
          <w:szCs w:val="24"/>
        </w:rPr>
        <w:t xml:space="preserve">. </w:t>
      </w:r>
      <w:r>
        <w:rPr>
          <w:rFonts w:ascii="Times New Roman" w:hAnsi="Times New Roman" w:cs="Times New Roman" w:eastAsia="Times New Roman"/>
          <w:sz w:val="24"/>
          <w:szCs w:val="24"/>
        </w:rPr>
        <w:t xml:space="preserve"> The queue of senior people willing to improve their health exceeds </w:t>
      </w:r>
      <w:r>
        <w:rPr>
          <w:rFonts w:ascii="Times New Roman" w:hAnsi="Times New Roman" w:cs="Times New Roman" w:eastAsia="Times New Roman"/>
          <w:sz w:val="24"/>
          <w:szCs w:val="24"/>
        </w:rPr>
        <w:t xml:space="preserve">1500 </w:t>
      </w:r>
      <w:r>
        <w:rPr>
          <w:rFonts w:ascii="Times New Roman" w:hAnsi="Times New Roman" w:cs="Times New Roman" w:eastAsia="Times New Roman"/>
          <w:sz w:val="24"/>
          <w:szCs w:val="24"/>
        </w:rPr>
        <w:t xml:space="preserve">persons</w:t>
      </w:r>
      <w:r>
        <w:rPr>
          <w:rFonts w:ascii="Times New Roman" w:hAnsi="Times New Roman" w:cs="Times New Roman" w:eastAsia="Times New Roman"/>
          <w:sz w:val="24"/>
          <w:szCs w:val="24"/>
        </w:rPr>
        <w:t xml:space="preserve">.</w:t>
      </w:r>
      <w:r/>
    </w:p>
    <w:p>
      <w:pPr>
        <w:jc w:val="both"/>
        <w:spacing w:lineRule="auto" w:line="24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     </w:t>
      </w:r>
      <w:r>
        <w:rPr>
          <w:rFonts w:ascii="Times New Roman" w:hAnsi="Times New Roman" w:cs="Times New Roman" w:eastAsia="Times New Roman"/>
          <w:sz w:val="24"/>
          <w:szCs w:val="24"/>
        </w:rPr>
        <w:t xml:space="preserve">When processing pensions rather often appear situations when certificates confirming work at this or that enterprise are not recognized for the reason that there is no data on files and because of that people get much smaller pensions than are due to them based on their length of service documented in their personal labor record books</w:t>
      </w:r>
      <w:r>
        <w:rPr>
          <w:rFonts w:ascii="Times New Roman" w:hAnsi="Times New Roman" w:cs="Times New Roman" w:eastAsia="Times New Roman"/>
          <w:sz w:val="24"/>
          <w:szCs w:val="24"/>
        </w:rPr>
        <w:t xml:space="preserve">.</w:t>
      </w:r>
      <w:r/>
    </w:p>
    <w:tbl>
      <w:tblPr>
        <w:tblStyle w:val="148"/>
        <w:tblW w:w="0" w:type="auto"/>
        <w:tblInd w:w="5" w:type="dxa"/>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Layout w:type="fixed"/>
        <w:tblLook w:val="04A0" w:firstRow="1" w:lastRow="0" w:firstColumn="1" w:lastColumn="0" w:noHBand="0" w:noVBand="1"/>
      </w:tblPr>
      <w:tblGrid>
        <w:gridCol w:w="7011"/>
        <w:gridCol w:w="2339"/>
      </w:tblGrid>
      <w:tr>
        <w:trPr/>
        <w:tc>
          <w:tcPr>
            <w:gridSpan w:val="2"/>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9350" w:type="dxa"/>
            <w:textDirection w:val="lrTb"/>
            <w:noWrap w:val="false"/>
          </w:tcPr>
          <w:p>
            <w:pPr>
              <w:rPr>
                <w:rFonts w:ascii="Times New Roman" w:hAnsi="Times New Roman" w:cs="Times New Roman" w:eastAsia="Times New Roman"/>
                <w:sz w:val="24"/>
              </w:rPr>
            </w:pPr>
            <w:r>
              <w:rPr>
                <w:rFonts w:ascii="Times New Roman" w:hAnsi="Times New Roman" w:cs="Times New Roman" w:eastAsia="Times New Roman"/>
                <w:sz w:val="24"/>
              </w:rPr>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rPr>
                <w:rFonts w:ascii="Times New Roman" w:hAnsi="Times New Roman" w:cs="Times New Roman" w:eastAsia="Times New Roman"/>
                <w:b/>
                <w:sz w:val="24"/>
              </w:rPr>
            </w:pPr>
            <w:r>
              <w:rPr>
                <w:rFonts w:ascii="Times New Roman" w:hAnsi="Times New Roman" w:cs="Times New Roman" w:eastAsia="Times New Roman"/>
                <w:b/>
                <w:sz w:val="24"/>
              </w:rPr>
              <w:t xml:space="preserve">Conclusion: the right to social insurance is not fully respected</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rPr>
                <w:rFonts w:ascii="Times New Roman" w:hAnsi="Times New Roman" w:cs="Times New Roman" w:eastAsia="Times New Roman"/>
                <w:sz w:val="24"/>
              </w:rPr>
            </w:pPr>
            <w:r>
              <w:rPr>
                <w:rFonts w:ascii="Times New Roman" w:hAnsi="Times New Roman" w:cs="Times New Roman" w:eastAsia="Times New Roman"/>
                <w:sz w:val="24"/>
              </w:rPr>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r/>
            <w:r/>
          </w:p>
        </w:tc>
      </w:tr>
    </w:tbl>
    <w:p>
      <w:pPr>
        <w:pStyle w:val="139"/>
        <w:ind w:left="720"/>
        <w:spacing w:lineRule="auto" w:line="240" w:before="0"/>
        <w:shd w:val="clear" w:color="auto" w:fill="FFFFFF"/>
        <w:rPr>
          <w:rFonts w:ascii="Times New Roman" w:hAnsi="Times New Roman" w:cs="Times New Roman" w:eastAsia="Times New Roman"/>
          <w:color w:val="333333"/>
          <w:sz w:val="24"/>
          <w:szCs w:val="24"/>
        </w:rPr>
      </w:pPr>
      <w:r>
        <w:rPr>
          <w:rFonts w:ascii="Times New Roman" w:hAnsi="Times New Roman" w:cs="Times New Roman" w:eastAsia="Times New Roman"/>
          <w:b/>
          <w:i/>
          <w:color w:val="333333"/>
          <w:sz w:val="24"/>
          <w:szCs w:val="24"/>
        </w:rPr>
        <w:t xml:space="preserve">In Article 11 of the same Covenant, the right of everyone to sufficient living standard for him/her and for his/her family, which includes sufficient food, clothing, housing and </w:t>
      </w:r>
      <w:r>
        <w:rPr>
          <w:rFonts w:ascii="Times New Roman" w:hAnsi="Times New Roman" w:cs="Times New Roman" w:eastAsia="Times New Roman"/>
          <w:b/>
          <w:i/>
          <w:sz w:val="24"/>
        </w:rPr>
        <w:t xml:space="preserve">continuous improvement of living conditions</w:t>
      </w:r>
      <w:r>
        <w:rPr>
          <w:rFonts w:ascii="Times New Roman" w:hAnsi="Times New Roman" w:cs="Times New Roman" w:eastAsia="Times New Roman"/>
          <w:b/>
          <w:i/>
          <w:color w:val="333333"/>
          <w:sz w:val="24"/>
          <w:szCs w:val="24"/>
        </w:rPr>
        <w:t xml:space="preserve">.   </w:t>
      </w:r>
      <w:r/>
    </w:p>
    <w:p>
      <w:pPr>
        <w:pStyle w:val="184"/>
        <w:jc w:val="both"/>
        <w:rPr>
          <w:lang w:val="en-US"/>
        </w:rPr>
      </w:pPr>
      <w:r>
        <w:rPr>
          <w:lang w:val="en-US"/>
        </w:rPr>
        <w:t xml:space="preserve">     </w:t>
      </w:r>
      <w:r>
        <w:rPr>
          <w:lang w:val="en-US"/>
        </w:rPr>
        <w:t xml:space="preserve">On the same website of the National Social Insurance </w:t>
      </w:r>
      <w:r>
        <w:rPr>
          <w:lang w:val="en-US"/>
        </w:rPr>
        <w:t xml:space="preserve">Fund,</w:t>
      </w:r>
      <w:r>
        <w:rPr>
          <w:lang w:val="en-US"/>
        </w:rPr>
        <w:t xml:space="preserve"> the following information is available</w:t>
      </w:r>
      <w:r/>
    </w:p>
    <w:tbl>
      <w:tblPr>
        <w:tblStyle w:val="148"/>
        <w:tblW w:w="0" w:type="auto"/>
        <w:tblInd w:w="5" w:type="dxa"/>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Layout w:type="fixed"/>
        <w:tblLook w:val="04A0" w:firstRow="1" w:lastRow="0" w:firstColumn="1" w:lastColumn="0" w:noHBand="0" w:noVBand="1"/>
      </w:tblPr>
      <w:tblGrid>
        <w:gridCol w:w="7011"/>
        <w:gridCol w:w="2339"/>
      </w:tblGrid>
      <w:tr>
        <w:trPr/>
        <w:tc>
          <w:tcPr>
            <w:gridSpan w:val="2"/>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9350"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b/>
                <w:color w:val="000000"/>
                <w:sz w:val="24"/>
                <w:szCs w:val="24"/>
              </w:rPr>
              <w:t xml:space="preserve">Subsistence rate as of June</w:t>
            </w:r>
            <w:r>
              <w:rPr>
                <w:rFonts w:ascii="Times New Roman" w:hAnsi="Times New Roman" w:cs="Times New Roman" w:eastAsia="Times New Roman"/>
                <w:b/>
                <w:color w:val="000000"/>
                <w:sz w:val="24"/>
                <w:szCs w:val="24"/>
              </w:rPr>
              <w:t xml:space="preserve"> 2017</w:t>
            </w:r>
            <w:r>
              <w:rPr>
                <w:rFonts w:ascii="Times New Roman" w:hAnsi="Times New Roman" w:cs="Times New Roman" w:eastAsia="Times New Roman"/>
                <w:b/>
                <w:color w:val="000000"/>
                <w:sz w:val="24"/>
                <w:szCs w:val="24"/>
              </w:rPr>
              <w:t xml:space="preserve">, Transdniestrian rubles</w:t>
            </w:r>
            <w:r>
              <w:rPr>
                <w:rFonts w:ascii="Times New Roman" w:hAnsi="Times New Roman" w:cs="Times New Roman" w:eastAsia="Times New Roman"/>
                <w:b/>
                <w:color w:val="000000"/>
                <w:sz w:val="24"/>
                <w:szCs w:val="24"/>
              </w:rPr>
              <w:t xml:space="preserve">. </w:t>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Male </w:t>
            </w:r>
            <w:r>
              <w:rPr>
                <w:rFonts w:ascii="Times New Roman" w:hAnsi="Times New Roman" w:cs="Times New Roman" w:eastAsia="Times New Roman"/>
                <w:color w:val="000000"/>
                <w:sz w:val="24"/>
                <w:szCs w:val="24"/>
              </w:rPr>
              <w:t xml:space="preserve">16 - 59 </w:t>
            </w:r>
            <w:r>
              <w:rPr>
                <w:rFonts w:ascii="Times New Roman" w:hAnsi="Times New Roman" w:cs="Times New Roman" w:eastAsia="Times New Roman"/>
                <w:color w:val="000000"/>
                <w:sz w:val="24"/>
                <w:szCs w:val="24"/>
              </w:rPr>
              <w:t xml:space="preserve">years old</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1530</w:t>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Female </w:t>
            </w:r>
            <w:r>
              <w:rPr>
                <w:rFonts w:ascii="Times New Roman" w:hAnsi="Times New Roman" w:cs="Times New Roman" w:eastAsia="Times New Roman"/>
                <w:color w:val="000000"/>
                <w:sz w:val="24"/>
                <w:szCs w:val="24"/>
              </w:rPr>
              <w:t xml:space="preserve">16 - 54 </w:t>
            </w:r>
            <w:r>
              <w:rPr>
                <w:rFonts w:ascii="Times New Roman" w:hAnsi="Times New Roman" w:cs="Times New Roman" w:eastAsia="Times New Roman"/>
                <w:color w:val="000000"/>
                <w:sz w:val="24"/>
                <w:szCs w:val="24"/>
              </w:rPr>
              <w:t xml:space="preserve">years old</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1438</w:t>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Employable population</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1486</w:t>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jc w:val="both"/>
              <w:rPr>
                <w:rFonts w:ascii="Times New Roman" w:hAnsi="Times New Roman" w:cs="Times New Roman" w:eastAsia="Times New Roman"/>
                <w:color w:val="FF0000"/>
                <w:sz w:val="24"/>
                <w:szCs w:val="24"/>
              </w:rPr>
            </w:pPr>
            <w:r>
              <w:rPr>
                <w:rFonts w:ascii="Times New Roman" w:hAnsi="Times New Roman" w:cs="Times New Roman" w:eastAsia="Times New Roman"/>
                <w:color w:val="FF0000"/>
                <w:sz w:val="24"/>
                <w:szCs w:val="24"/>
              </w:rPr>
              <w:t xml:space="preserve">Pensioner</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jc w:val="both"/>
              <w:rPr>
                <w:rFonts w:ascii="Times New Roman" w:hAnsi="Times New Roman" w:cs="Times New Roman" w:eastAsia="Times New Roman"/>
                <w:color w:val="FF0000"/>
                <w:sz w:val="24"/>
                <w:szCs w:val="24"/>
              </w:rPr>
            </w:pPr>
            <w:r>
              <w:rPr>
                <w:rFonts w:ascii="Times New Roman" w:hAnsi="Times New Roman" w:cs="Times New Roman" w:eastAsia="Times New Roman"/>
                <w:color w:val="FF0000"/>
                <w:sz w:val="24"/>
                <w:szCs w:val="24"/>
              </w:rPr>
              <w:t xml:space="preserve">1172</w:t>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child</w:t>
            </w:r>
            <w:r>
              <w:rPr>
                <w:rFonts w:ascii="Times New Roman" w:hAnsi="Times New Roman" w:cs="Times New Roman" w:eastAsia="Times New Roman"/>
                <w:color w:val="000000"/>
                <w:sz w:val="24"/>
                <w:szCs w:val="24"/>
              </w:rPr>
              <w:t xml:space="preserve"> 0 - 6 </w:t>
            </w:r>
            <w:r>
              <w:rPr>
                <w:rFonts w:ascii="Times New Roman" w:hAnsi="Times New Roman" w:cs="Times New Roman" w:eastAsia="Times New Roman"/>
                <w:color w:val="000000"/>
                <w:sz w:val="24"/>
                <w:szCs w:val="24"/>
              </w:rPr>
              <w:t xml:space="preserve">years old</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1290</w:t>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Child </w:t>
            </w:r>
            <w:r>
              <w:rPr>
                <w:rFonts w:ascii="Times New Roman" w:hAnsi="Times New Roman" w:cs="Times New Roman" w:eastAsia="Times New Roman"/>
                <w:color w:val="000000"/>
                <w:sz w:val="24"/>
                <w:szCs w:val="24"/>
              </w:rPr>
              <w:t xml:space="preserve">7 - 15 </w:t>
            </w:r>
            <w:r>
              <w:rPr>
                <w:rFonts w:ascii="Times New Roman" w:hAnsi="Times New Roman" w:cs="Times New Roman" w:eastAsia="Times New Roman"/>
                <w:color w:val="000000"/>
                <w:sz w:val="24"/>
                <w:szCs w:val="24"/>
              </w:rPr>
              <w:t xml:space="preserve">years old</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1565</w:t>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Average per child</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1435</w:t>
            </w:r>
            <w:r/>
          </w:p>
        </w:tc>
      </w:tr>
      <w:tr>
        <w:trPr/>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7011"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Average per capita</w:t>
            </w:r>
            <w:r/>
          </w:p>
        </w:tc>
        <w:tc>
          <w:tcPr>
            <w:tcBorders>
              <w:left w:val="single" w:color="EDEDED" w:sz="4" w:space="0"/>
              <w:top w:val="single" w:color="EDEDED" w:sz="4" w:space="0"/>
              <w:right w:val="single" w:color="EDEDED" w:sz="4" w:space="0"/>
              <w:bottom w:val="single" w:color="EDEDED" w:sz="4" w:space="0"/>
            </w:tcBorders>
            <w:tcMar>
              <w:left w:w="0" w:type="dxa"/>
              <w:top w:w="0" w:type="dxa"/>
              <w:right w:w="0" w:type="dxa"/>
              <w:bottom w:w="0" w:type="dxa"/>
            </w:tcMar>
            <w:tcW w:w="2339" w:type="dxa"/>
            <w:textDirection w:val="lrTb"/>
            <w:noWrap w:val="false"/>
          </w:tcPr>
          <w:p>
            <w:pPr>
              <w:jc w:val="both"/>
              <w:rPr>
                <w:rFonts w:ascii="Times New Roman" w:hAnsi="Times New Roman" w:cs="Times New Roman" w:eastAsia="Times New Roman"/>
                <w:sz w:val="24"/>
                <w:szCs w:val="24"/>
              </w:rPr>
            </w:pPr>
            <w:r>
              <w:rPr>
                <w:rFonts w:ascii="Times New Roman" w:hAnsi="Times New Roman" w:cs="Times New Roman" w:eastAsia="Times New Roman"/>
                <w:color w:val="000000"/>
                <w:sz w:val="24"/>
                <w:szCs w:val="24"/>
              </w:rPr>
              <w:t xml:space="preserve">1390</w:t>
            </w:r>
            <w:r/>
          </w:p>
        </w:tc>
      </w:tr>
    </w:tbl>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color w:val="FF0000"/>
          <w:sz w:val="24"/>
          <w:szCs w:val="24"/>
        </w:rPr>
      </w:r>
      <w:r/>
    </w:p>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Is it possible to survive on </w:t>
      </w:r>
      <w:r>
        <w:rPr>
          <w:rFonts w:ascii="Times New Roman" w:hAnsi="Times New Roman" w:cs="Times New Roman" w:eastAsia="Times New Roman"/>
          <w:sz w:val="24"/>
        </w:rPr>
        <w:t xml:space="preserve">616 </w:t>
      </w:r>
      <w:r>
        <w:rPr>
          <w:rFonts w:ascii="Times New Roman" w:hAnsi="Times New Roman" w:cs="Times New Roman" w:eastAsia="Times New Roman"/>
          <w:sz w:val="24"/>
        </w:rPr>
        <w:t xml:space="preserve">Transdniestrian rubles</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approximately USD </w:t>
      </w:r>
      <w:r>
        <w:rPr>
          <w:rFonts w:ascii="Times New Roman" w:hAnsi="Times New Roman" w:cs="Times New Roman" w:eastAsia="Times New Roman"/>
          <w:sz w:val="24"/>
        </w:rPr>
        <w:t xml:space="preserve">40)? </w:t>
      </w:r>
      <w:r>
        <w:rPr>
          <w:rFonts w:ascii="Times New Roman" w:hAnsi="Times New Roman" w:cs="Times New Roman" w:eastAsia="Times New Roman"/>
          <w:sz w:val="24"/>
        </w:rPr>
        <w:t xml:space="preserve"> And our state permanently does not have money even for these more than moderate pensions</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 When our former president E.V. Shevchuk was at power, 30% was levied from pensioners with a reference to difficult Transdniestrian reality</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 The state is sorely lacking money for pensions; we keep hearing it on TV, from state officials</w:t>
      </w:r>
      <w:r>
        <w:rPr>
          <w:rFonts w:ascii="Times New Roman" w:hAnsi="Times New Roman" w:cs="Times New Roman" w:eastAsia="Times New Roman"/>
          <w:sz w:val="24"/>
        </w:rPr>
        <w:t xml:space="preserve">. </w:t>
      </w:r>
      <w:r/>
    </w:p>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sz w:val="24"/>
        </w:rPr>
        <w:t xml:space="preserve">I am </w:t>
      </w:r>
      <w:r>
        <w:rPr>
          <w:rFonts w:ascii="Times New Roman" w:hAnsi="Times New Roman" w:cs="Times New Roman" w:eastAsia="Times New Roman"/>
          <w:sz w:val="24"/>
        </w:rPr>
        <w:t xml:space="preserve">59 </w:t>
      </w:r>
      <w:r>
        <w:rPr>
          <w:rFonts w:ascii="Times New Roman" w:hAnsi="Times New Roman" w:cs="Times New Roman" w:eastAsia="Times New Roman"/>
          <w:sz w:val="24"/>
        </w:rPr>
        <w:t xml:space="preserve">years old, my length of service is about </w:t>
      </w:r>
      <w:r>
        <w:rPr>
          <w:rFonts w:ascii="Times New Roman" w:hAnsi="Times New Roman" w:cs="Times New Roman" w:eastAsia="Times New Roman"/>
          <w:sz w:val="24"/>
        </w:rPr>
        <w:t xml:space="preserve">40 </w:t>
      </w:r>
      <w:r>
        <w:rPr>
          <w:rFonts w:ascii="Times New Roman" w:hAnsi="Times New Roman" w:cs="Times New Roman" w:eastAsia="Times New Roman"/>
          <w:sz w:val="24"/>
        </w:rPr>
        <w:t xml:space="preserve">years</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but my pension does not allow me to buy, for example, a TV-set or a refrigerator.  And any trip is simply out of the question</w:t>
      </w:r>
      <w:r>
        <w:rPr>
          <w:rFonts w:ascii="Times New Roman" w:hAnsi="Times New Roman" w:cs="Times New Roman" w:eastAsia="Times New Roman"/>
          <w:sz w:val="24"/>
        </w:rPr>
        <w:t xml:space="preserve">. </w:t>
      </w:r>
      <w:r/>
    </w:p>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I</w:t>
      </w:r>
      <w:r>
        <w:rPr>
          <w:rFonts w:ascii="Times New Roman" w:hAnsi="Times New Roman" w:cs="Times New Roman" w:eastAsia="Times New Roman"/>
          <w:sz w:val="24"/>
        </w:rPr>
        <w:t xml:space="preserve">n Transdniestria</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pensions are not indexed, the size of pensions did not change from January </w:t>
      </w:r>
      <w:r>
        <w:rPr>
          <w:rFonts w:ascii="Times New Roman" w:hAnsi="Times New Roman" w:cs="Times New Roman" w:eastAsia="Times New Roman"/>
          <w:sz w:val="24"/>
        </w:rPr>
        <w:t xml:space="preserve">2016.</w:t>
      </w:r>
      <w:r/>
    </w:p>
    <w:p>
      <w:pPr>
        <w:jc w:val="both"/>
        <w:spacing w:lineRule="auto" w:line="240" w:after="240" w:before="240"/>
        <w:rPr>
          <w:rFonts w:ascii="Times New Roman" w:hAnsi="Times New Roman" w:cs="Times New Roman" w:eastAsia="Times New Roman"/>
          <w:sz w:val="24"/>
          <w:szCs w:val="24"/>
        </w:rPr>
      </w:pP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In fact, each of us can spend this amount just visiting a food store once</w:t>
      </w:r>
      <w:r>
        <w:rPr>
          <w:rFonts w:ascii="Times New Roman" w:hAnsi="Times New Roman" w:cs="Times New Roman" w:eastAsia="Times New Roman"/>
          <w:color w:val="000000"/>
          <w:sz w:val="24"/>
          <w:szCs w:val="24"/>
        </w:rPr>
        <w:t xml:space="preserve">. </w:t>
      </w:r>
      <w:r>
        <w:rPr>
          <w:rFonts w:ascii="Times New Roman" w:hAnsi="Times New Roman" w:cs="Times New Roman" w:eastAsia="Times New Roman"/>
          <w:color w:val="000000"/>
          <w:sz w:val="24"/>
          <w:szCs w:val="24"/>
        </w:rPr>
        <w:t xml:space="preserve"> B</w:t>
      </w:r>
      <w:r>
        <w:rPr>
          <w:rFonts w:ascii="Times New Roman" w:hAnsi="Times New Roman" w:cs="Times New Roman" w:eastAsia="Times New Roman"/>
          <w:color w:val="000000"/>
          <w:sz w:val="24"/>
          <w:szCs w:val="24"/>
        </w:rPr>
        <w:t xml:space="preserve">ut in order to survive pensioner should not just save but should stretch their miserable income calculating every kopeck</w:t>
      </w:r>
      <w:r>
        <w:rPr>
          <w:rFonts w:ascii="Times New Roman" w:hAnsi="Times New Roman" w:cs="Times New Roman" w:eastAsia="Times New Roman"/>
          <w:color w:val="000000"/>
          <w:sz w:val="24"/>
          <w:szCs w:val="24"/>
        </w:rPr>
        <w:t xml:space="preserve">. </w:t>
      </w:r>
      <w:r>
        <w:rPr>
          <w:rFonts w:ascii="Times New Roman" w:hAnsi="Times New Roman" w:cs="Times New Roman" w:eastAsia="Times New Roman"/>
          <w:color w:val="000000"/>
          <w:sz w:val="24"/>
          <w:szCs w:val="24"/>
        </w:rPr>
        <w:t xml:space="preserve"> For example, utility bills for a single senior citizen residing in a two-room apartment comprise about </w:t>
      </w:r>
      <w:r>
        <w:rPr>
          <w:rFonts w:ascii="Times New Roman" w:hAnsi="Times New Roman" w:cs="Times New Roman" w:eastAsia="Times New Roman"/>
          <w:color w:val="000000"/>
          <w:sz w:val="24"/>
          <w:szCs w:val="24"/>
        </w:rPr>
        <w:t xml:space="preserve">500 </w:t>
      </w:r>
      <w:r>
        <w:rPr>
          <w:rFonts w:ascii="Times New Roman" w:hAnsi="Times New Roman" w:cs="Times New Roman" w:eastAsia="Times New Roman"/>
          <w:color w:val="000000"/>
          <w:sz w:val="24"/>
          <w:szCs w:val="24"/>
        </w:rPr>
        <w:t xml:space="preserve">Transdniestrian rubles</w:t>
      </w:r>
      <w:r>
        <w:rPr>
          <w:rFonts w:ascii="Times New Roman" w:hAnsi="Times New Roman" w:cs="Times New Roman" w:eastAsia="Times New Roman"/>
          <w:color w:val="000000"/>
          <w:sz w:val="24"/>
          <w:szCs w:val="24"/>
        </w:rPr>
        <w:t xml:space="preserve">. </w:t>
      </w:r>
      <w:r>
        <w:rPr>
          <w:rFonts w:ascii="Times New Roman" w:hAnsi="Times New Roman" w:cs="Times New Roman" w:eastAsia="Times New Roman"/>
          <w:color w:val="000000"/>
          <w:sz w:val="24"/>
          <w:szCs w:val="24"/>
        </w:rPr>
        <w:t xml:space="preserve"> While the minimal pension is </w:t>
      </w:r>
      <w:r>
        <w:rPr>
          <w:rFonts w:ascii="Times New Roman" w:hAnsi="Times New Roman" w:cs="Times New Roman" w:eastAsia="Times New Roman"/>
          <w:sz w:val="24"/>
        </w:rPr>
        <w:t xml:space="preserve">616 </w:t>
      </w:r>
      <w:r>
        <w:rPr>
          <w:rFonts w:ascii="Times New Roman" w:hAnsi="Times New Roman" w:cs="Times New Roman" w:eastAsia="Times New Roman"/>
          <w:sz w:val="24"/>
        </w:rPr>
        <w:t xml:space="preserve">Transdniestrian rubles</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 A pensioner faces the impossibility to buy necessary medicines, to pay for medical procedures</w:t>
      </w:r>
      <w:r>
        <w:rPr>
          <w:rFonts w:ascii="Times New Roman" w:hAnsi="Times New Roman" w:cs="Times New Roman" w:eastAsia="Times New Roman"/>
          <w:sz w:val="24"/>
        </w:rPr>
        <w:t xml:space="preserve">.</w:t>
      </w:r>
      <w:r/>
    </w:p>
    <w:p>
      <w:pPr>
        <w:spacing w:after="0"/>
        <w:rPr>
          <w:rFonts w:ascii="Times New Roman" w:hAnsi="Times New Roman" w:cs="Times New Roman" w:eastAsia="Times New Roman"/>
          <w:sz w:val="24"/>
        </w:rPr>
      </w:pPr>
      <w:r>
        <w:rPr>
          <w:rFonts w:ascii="Times New Roman" w:hAnsi="Times New Roman" w:cs="Times New Roman" w:eastAsia="Times New Roman"/>
          <w:sz w:val="24"/>
        </w:rPr>
        <w:t xml:space="preserve">     According to the Report on Human Rights in the Transdniestrian Region of the Republic of Moldova by Thomas Hammarberg, Senior Expert, of February 14, </w:t>
      </w:r>
      <w:r>
        <w:rPr>
          <w:rFonts w:ascii="Times New Roman" w:hAnsi="Times New Roman" w:cs="Times New Roman" w:eastAsia="Times New Roman"/>
          <w:color w:val="000000"/>
          <w:sz w:val="24"/>
        </w:rPr>
        <w:t xml:space="preserve">2013, many senior citizens live in poverty, even though there are specialized old people’s homes in each administrative district; special attention is paid to veterans. (page 11, Elderly people).</w:t>
      </w:r>
      <w:r/>
    </w:p>
    <w:p>
      <w:pPr>
        <w:spacing w:after="0"/>
        <w:rPr>
          <w:rFonts w:ascii="Times New Roman" w:hAnsi="Times New Roman" w:cs="Times New Roman" w:eastAsia="Times New Roman"/>
          <w:sz w:val="24"/>
        </w:rPr>
      </w:pPr>
      <w:r>
        <w:rPr>
          <w:rFonts w:ascii="Times New Roman" w:hAnsi="Times New Roman" w:cs="Times New Roman" w:eastAsia="Times New Roman"/>
          <w:sz w:val="24"/>
        </w:rPr>
        <w:t xml:space="preserve">     The number of residential facilities for elderly people and disabled persons is </w:t>
      </w:r>
      <w:r>
        <w:rPr>
          <w:rFonts w:ascii="Times New Roman" w:hAnsi="Times New Roman" w:cs="Times New Roman" w:eastAsia="Times New Roman"/>
          <w:sz w:val="24"/>
        </w:rPr>
        <w:t xml:space="preserve">6</w:t>
      </w:r>
      <w:r>
        <w:rPr>
          <w:rFonts w:ascii="Times New Roman" w:hAnsi="Times New Roman" w:cs="Times New Roman" w:eastAsia="Times New Roman"/>
          <w:sz w:val="24"/>
        </w:rPr>
        <w:t xml:space="preserve">, they are designed for 878 persons, </w:t>
      </w:r>
      <w:r>
        <w:rPr>
          <w:rFonts w:ascii="Times New Roman" w:hAnsi="Times New Roman" w:cs="Times New Roman" w:eastAsia="Times New Roman"/>
          <w:sz w:val="24"/>
        </w:rPr>
        <w:t xml:space="preserve">and out</w:t>
      </w:r>
      <w:r>
        <w:rPr>
          <w:rFonts w:ascii="Times New Roman" w:hAnsi="Times New Roman" w:cs="Times New Roman" w:eastAsia="Times New Roman"/>
          <w:sz w:val="24"/>
        </w:rPr>
        <w:t xml:space="preserve"> of them there are 826 elderly and disabled adults.</w:t>
      </w:r>
      <w:r/>
    </w:p>
    <w:p>
      <w:pPr>
        <w:spacing w:after="0"/>
        <w:rPr>
          <w:rFonts w:ascii="Times New Roman" w:hAnsi="Times New Roman" w:cs="Times New Roman" w:eastAsia="Times New Roman"/>
          <w:sz w:val="24"/>
        </w:rPr>
      </w:pPr>
      <w:r>
        <w:rPr>
          <w:rFonts w:ascii="Times New Roman" w:hAnsi="Times New Roman" w:cs="Times New Roman" w:eastAsia="Times New Roman"/>
          <w:sz w:val="24"/>
        </w:rPr>
      </w:r>
      <w:r/>
    </w:p>
    <w:p>
      <w:pPr>
        <w:spacing w:after="0"/>
        <w:rPr>
          <w:rFonts w:ascii="Times New Roman" w:hAnsi="Times New Roman" w:cs="Times New Roman" w:eastAsia="Times New Roman"/>
          <w:sz w:val="24"/>
        </w:rPr>
      </w:pP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And one more aspect </w:t>
        <w:noBreakHyphen/>
        <w:t xml:space="preserve"> since many middle-aged people left for other countries as migrant workers elderly people remained to take care of grandchildren</w:t>
      </w: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Some of these elderly people face difficulties while fulfilling this task due to lack of physical and economic abilities</w:t>
      </w: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 Scanty food</w:t>
      </w:r>
      <w:r>
        <w:rPr>
          <w:rFonts w:ascii="Times New Roman" w:hAnsi="Times New Roman" w:cs="Times New Roman" w:eastAsia="Times New Roman"/>
          <w:color w:val="000000"/>
          <w:sz w:val="24"/>
          <w:szCs w:val="24"/>
        </w:rPr>
        <w:t xml:space="preserve">, utility bills, which in most cases exceed the size of pension as such, medicines and medical services </w:t>
        <w:noBreakHyphen/>
        <w:t xml:space="preserve"> on top of all that there are expenses on clothing, school supplies for grandchildren</w:t>
      </w:r>
      <w:r>
        <w:rPr>
          <w:rFonts w:ascii="Times New Roman" w:hAnsi="Times New Roman" w:cs="Times New Roman" w:eastAsia="Times New Roman"/>
          <w:color w:val="000000"/>
          <w:sz w:val="24"/>
          <w:szCs w:val="24"/>
        </w:rPr>
        <w:t xml:space="preserve">.</w:t>
      </w:r>
      <w:r/>
    </w:p>
    <w:p>
      <w:pPr>
        <w:spacing w:after="0"/>
        <w:rPr>
          <w:rFonts w:ascii="Times New Roman" w:hAnsi="Times New Roman" w:cs="Times New Roman" w:eastAsia="Times New Roman"/>
          <w:sz w:val="24"/>
        </w:rPr>
      </w:pPr>
      <w:r>
        <w:rPr>
          <w:rFonts w:ascii="Times New Roman" w:hAnsi="Times New Roman" w:cs="Times New Roman" w:eastAsia="Times New Roman"/>
          <w:sz w:val="24"/>
        </w:rPr>
      </w:r>
      <w:r/>
    </w:p>
    <w:p>
      <w:pPr>
        <w:jc w:val="both"/>
        <w:spacing w:lineRule="auto" w:line="240" w:after="0"/>
        <w:rPr>
          <w:rFonts w:ascii="Times New Roman" w:hAnsi="Times New Roman" w:cs="Times New Roman" w:eastAsia="Times New Roman"/>
          <w:color w:val="FF0000"/>
          <w:sz w:val="24"/>
          <w:szCs w:val="24"/>
        </w:rPr>
      </w:pPr>
      <w:r>
        <w:rPr>
          <w:rFonts w:ascii="Times New Roman" w:hAnsi="Times New Roman" w:cs="Times New Roman" w:eastAsia="Times New Roman"/>
          <w:b/>
          <w:sz w:val="24"/>
        </w:rPr>
        <w:t xml:space="preserve">Conclusion</w:t>
      </w:r>
      <w:r>
        <w:rPr>
          <w:rFonts w:ascii="Times New Roman" w:hAnsi="Times New Roman" w:cs="Times New Roman" w:eastAsia="Times New Roman"/>
          <w:b/>
          <w:sz w:val="24"/>
        </w:rPr>
        <w:t xml:space="preserve">: </w:t>
      </w:r>
      <w:r>
        <w:rPr>
          <w:rFonts w:ascii="Times New Roman" w:hAnsi="Times New Roman" w:cs="Times New Roman" w:eastAsia="Times New Roman"/>
          <w:b/>
          <w:sz w:val="24"/>
        </w:rPr>
        <w:t xml:space="preserve">the right of everyone to an adequate </w:t>
      </w:r>
      <w:r>
        <w:rPr>
          <w:rFonts w:ascii="Times New Roman" w:hAnsi="Times New Roman" w:cs="Times New Roman" w:eastAsia="Times New Roman"/>
          <w:b/>
          <w:sz w:val="24"/>
        </w:rPr>
        <w:t xml:space="preserve">standard of </w:t>
      </w:r>
      <w:r>
        <w:rPr>
          <w:rFonts w:ascii="Times New Roman" w:hAnsi="Times New Roman" w:cs="Times New Roman" w:eastAsia="Times New Roman"/>
          <w:b/>
          <w:sz w:val="24"/>
        </w:rPr>
        <w:t xml:space="preserve">living for him/her and his/her family</w:t>
      </w:r>
      <w:r>
        <w:rPr>
          <w:rFonts w:ascii="Times New Roman" w:hAnsi="Times New Roman" w:cs="Times New Roman" w:eastAsia="Times New Roman"/>
          <w:b/>
          <w:sz w:val="24"/>
        </w:rPr>
        <w:t xml:space="preserve">, which includes sufficient food, clothing and housing and continuous improvement of living conditions is not observed</w:t>
      </w:r>
      <w:r>
        <w:rPr>
          <w:rFonts w:ascii="Times New Roman" w:hAnsi="Times New Roman" w:cs="Times New Roman" w:eastAsia="Times New Roman"/>
          <w:b/>
          <w:color w:val="333333"/>
          <w:sz w:val="24"/>
          <w:szCs w:val="24"/>
        </w:rPr>
        <w:t xml:space="preserve">. </w:t>
      </w:r>
      <w:r>
        <w:rPr>
          <w:rFonts w:ascii="Times New Roman" w:hAnsi="Times New Roman" w:cs="Times New Roman"/>
          <w:b/>
          <w:color w:val="333333"/>
          <w:sz w:val="24"/>
          <w:szCs w:val="24"/>
        </w:rPr>
        <w:t xml:space="preserve"> </w:t>
      </w:r>
      <w:r/>
    </w:p>
    <w:p>
      <w:r/>
      <w:r/>
    </w:p>
    <w:p>
      <w:pPr>
        <w:pStyle w:val="139"/>
        <w:ind w:left="720"/>
        <w:spacing w:lineRule="auto" w:line="240" w:before="0"/>
        <w:shd w:val="clear" w:color="auto" w:fill="FFFFFF"/>
        <w:rPr>
          <w:rFonts w:ascii="Times New Roman" w:hAnsi="Times New Roman" w:cs="Times New Roman"/>
          <w:b/>
          <w:i/>
          <w:color w:val="333333"/>
          <w:sz w:val="24"/>
          <w:szCs w:val="24"/>
        </w:rPr>
      </w:pPr>
      <w:r>
        <w:rPr>
          <w:rFonts w:ascii="Times New Roman" w:hAnsi="Times New Roman" w:cs="Times New Roman"/>
          <w:b/>
          <w:i/>
          <w:color w:val="333333"/>
          <w:sz w:val="24"/>
          <w:szCs w:val="24"/>
        </w:rPr>
        <w:t xml:space="preserve">In Article 1 of the same Covenant, the right of each person to the highest achievable level of physical and mental health</w:t>
      </w:r>
      <w:r>
        <w:rPr>
          <w:rFonts w:ascii="Times New Roman" w:hAnsi="Times New Roman" w:cs="Times New Roman"/>
          <w:b/>
          <w:i/>
          <w:color w:val="333333"/>
          <w:sz w:val="24"/>
          <w:szCs w:val="24"/>
        </w:rPr>
        <w:t xml:space="preserve">.</w:t>
      </w:r>
      <w:r/>
    </w:p>
    <w:p>
      <w:r/>
      <w:r/>
    </w:p>
    <w:p>
      <w:pPr>
        <w:rPr>
          <w:rFonts w:ascii="Times New Roman" w:hAnsi="Times New Roman" w:cs="Times New Roman" w:eastAsia="Times New Roman"/>
          <w:sz w:val="24"/>
        </w:rPr>
      </w:pP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In terms of the level of healthcare and the state of health of senior citizens, </w:t>
      </w:r>
      <w:r>
        <w:rPr>
          <w:rFonts w:ascii="Times New Roman" w:hAnsi="Times New Roman" w:cs="Times New Roman" w:eastAsia="Times New Roman"/>
          <w:sz w:val="24"/>
        </w:rPr>
        <w:t xml:space="preserve">Transdniestria</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is at a low level</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There are </w:t>
      </w:r>
      <w:r>
        <w:rPr>
          <w:rFonts w:ascii="Times New Roman" w:hAnsi="Times New Roman" w:cs="Times New Roman" w:eastAsia="Times New Roman"/>
          <w:sz w:val="24"/>
        </w:rPr>
        <w:t xml:space="preserve">absolutely </w:t>
      </w:r>
      <w:r>
        <w:rPr>
          <w:rFonts w:ascii="Times New Roman" w:hAnsi="Times New Roman" w:cs="Times New Roman" w:eastAsia="Times New Roman"/>
          <w:sz w:val="24"/>
        </w:rPr>
        <w:t xml:space="preserve">no social guarantees, </w:t>
      </w:r>
      <w:r>
        <w:rPr>
          <w:rFonts w:ascii="Times New Roman" w:hAnsi="Times New Roman" w:cs="Times New Roman" w:eastAsia="Times New Roman"/>
          <w:sz w:val="24"/>
        </w:rPr>
        <w:t xml:space="preserve">no available transport infrastructure, no civil liberties</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no physical security for senior people</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 For example</w:t>
      </w:r>
      <w:r>
        <w:rPr>
          <w:rFonts w:ascii="Times New Roman" w:hAnsi="Times New Roman" w:cs="Times New Roman" w:eastAsia="Times New Roman"/>
          <w:sz w:val="24"/>
          <w:szCs w:val="24"/>
        </w:rPr>
        <w:t xml:space="preserve">, a doctor might say </w:t>
      </w:r>
      <w:r>
        <w:rPr>
          <w:rFonts w:ascii="Times New Roman" w:hAnsi="Times New Roman" w:cs="Times New Roman"/>
          <w:sz w:val="24"/>
          <w:szCs w:val="24"/>
        </w:rPr>
        <w:t xml:space="preserve">without a twinge of conscience</w:t>
      </w:r>
      <w:r>
        <w:rPr>
          <w:rFonts w:ascii="Times New Roman" w:hAnsi="Times New Roman" w:cs="Times New Roman"/>
          <w:sz w:val="24"/>
          <w:szCs w:val="24"/>
        </w:rPr>
        <w:t xml:space="preserve"> to </w:t>
      </w:r>
      <w:r>
        <w:rPr>
          <w:rFonts w:ascii="Times New Roman" w:hAnsi="Times New Roman" w:cs="Times New Roman" w:eastAsia="Times New Roman"/>
          <w:sz w:val="24"/>
          <w:szCs w:val="24"/>
        </w:rPr>
        <w:t xml:space="preserve">an elderly person who turned to an outpatient clinics “but why have you come here? Your diagnosis is old age”.</w:t>
      </w:r>
      <w:r/>
    </w:p>
    <w:p>
      <w:pPr>
        <w:spacing w:after="240" w:before="240"/>
        <w:rPr>
          <w:rFonts w:ascii="Times New Roman" w:hAnsi="Times New Roman" w:cs="Times New Roman" w:eastAsia="Times New Roman"/>
          <w:sz w:val="24"/>
        </w:rPr>
      </w:pP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According to the statistical yearbook of Transdniestria </w:t>
      </w:r>
      <w:r>
        <w:rPr>
          <w:rFonts w:ascii="Times New Roman" w:hAnsi="Times New Roman" w:cs="Times New Roman" w:eastAsia="Times New Roman"/>
          <w:sz w:val="24"/>
        </w:rPr>
        <w:t xml:space="preserve">2016, </w:t>
      </w:r>
      <w:r>
        <w:rPr>
          <w:rFonts w:ascii="Times New Roman" w:hAnsi="Times New Roman" w:cs="Times New Roman" w:eastAsia="Times New Roman"/>
          <w:sz w:val="24"/>
        </w:rPr>
        <w:t xml:space="preserve">which unfortunately does not single out </w:t>
      </w:r>
      <w:r>
        <w:rPr>
          <w:rFonts w:ascii="Times New Roman" w:hAnsi="Times New Roman" w:cs="Times New Roman" w:eastAsia="Times New Roman"/>
          <w:sz w:val="24"/>
        </w:rPr>
        <w:t xml:space="preserve">in </w:t>
      </w:r>
      <w:r>
        <w:rPr>
          <w:rFonts w:ascii="Times New Roman" w:hAnsi="Times New Roman" w:cs="Times New Roman" w:eastAsia="Times New Roman"/>
          <w:sz w:val="24"/>
        </w:rPr>
        <w:t xml:space="preserve">a separate line morbidity of </w:t>
      </w:r>
      <w:r>
        <w:rPr>
          <w:rFonts w:ascii="Times New Roman" w:hAnsi="Times New Roman" w:cs="Times New Roman" w:eastAsia="Times New Roman"/>
          <w:sz w:val="24"/>
        </w:rPr>
        <w:t xml:space="preserve">senior citizens, one can see that health of our people is not very good</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In </w:t>
      </w:r>
      <w:r>
        <w:rPr>
          <w:rFonts w:ascii="Times New Roman" w:hAnsi="Times New Roman" w:cs="Times New Roman" w:eastAsia="Times New Roman"/>
          <w:sz w:val="24"/>
        </w:rPr>
        <w:t xml:space="preserve">Ribnita,</w:t>
      </w:r>
      <w:r>
        <w:rPr>
          <w:rFonts w:ascii="Times New Roman" w:hAnsi="Times New Roman" w:cs="Times New Roman" w:eastAsia="Times New Roman"/>
          <w:sz w:val="24"/>
        </w:rPr>
        <w:t xml:space="preserve"> there is a cement plant with a sarcophagus with acid tars and a </w:t>
      </w:r>
      <w:r>
        <w:rPr>
          <w:rFonts w:ascii="Times New Roman" w:hAnsi="Times New Roman" w:cs="Times New Roman" w:eastAsia="Times New Roman"/>
          <w:sz w:val="24"/>
        </w:rPr>
        <w:t xml:space="preserve">metallurgic</w:t>
      </w:r>
      <w:r>
        <w:rPr>
          <w:rFonts w:ascii="Times New Roman" w:hAnsi="Times New Roman" w:cs="Times New Roman" w:eastAsia="Times New Roman"/>
          <w:sz w:val="24"/>
        </w:rPr>
        <w:t xml:space="preserve"> plant with a sarcophagus with radioactive scrap metal</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 And in the immediate vicinity of the town, in the village </w:t>
      </w:r>
      <w:r>
        <w:rPr>
          <w:rFonts w:ascii="Times New Roman" w:hAnsi="Times New Roman" w:cs="Times New Roman" w:eastAsia="Times New Roman"/>
          <w:sz w:val="24"/>
        </w:rPr>
        <w:t xml:space="preserve">of Colbasna, there are warehouses with old ammunition</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 All these factors definitely do not add health t our citizens</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 The number of morbid events </w:t>
      </w:r>
      <w:r>
        <w:rPr>
          <w:rFonts w:ascii="Times New Roman" w:hAnsi="Times New Roman" w:cs="Times New Roman" w:eastAsia="Times New Roman"/>
          <w:sz w:val="24"/>
        </w:rPr>
        <w:t xml:space="preserve">(</w:t>
      </w:r>
      <w:r>
        <w:rPr>
          <w:rFonts w:ascii="Times New Roman" w:hAnsi="Times New Roman" w:cs="Times New Roman" w:eastAsia="Times New Roman"/>
          <w:sz w:val="24"/>
        </w:rPr>
        <w:t xml:space="preserve">neoplasms</w:t>
      </w: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in </w:t>
      </w:r>
      <w:r>
        <w:rPr>
          <w:rFonts w:ascii="Times New Roman" w:hAnsi="Times New Roman" w:cs="Times New Roman" w:eastAsia="Times New Roman"/>
          <w:sz w:val="24"/>
        </w:rPr>
        <w:t xml:space="preserve">2015 </w:t>
      </w:r>
      <w:r>
        <w:rPr>
          <w:rFonts w:ascii="Times New Roman" w:hAnsi="Times New Roman" w:cs="Times New Roman" w:eastAsia="Times New Roman"/>
          <w:sz w:val="24"/>
        </w:rPr>
        <w:t xml:space="preserve">was about </w:t>
      </w:r>
      <w:r>
        <w:rPr>
          <w:rFonts w:ascii="Times New Roman" w:hAnsi="Times New Roman" w:cs="Times New Roman" w:eastAsia="Times New Roman"/>
          <w:sz w:val="24"/>
        </w:rPr>
        <w:t xml:space="preserve">4500 </w:t>
      </w:r>
      <w:r>
        <w:rPr>
          <w:rFonts w:ascii="Times New Roman" w:hAnsi="Times New Roman" w:cs="Times New Roman" w:eastAsia="Times New Roman"/>
          <w:sz w:val="24"/>
        </w:rPr>
        <w:t xml:space="preserve">persons</w:t>
      </w:r>
      <w:r>
        <w:rPr>
          <w:rFonts w:ascii="Times New Roman" w:hAnsi="Times New Roman" w:cs="Times New Roman" w:eastAsia="Times New Roman"/>
          <w:sz w:val="24"/>
        </w:rPr>
        <w:t xml:space="preserve">.</w:t>
      </w:r>
      <w:r/>
    </w:p>
    <w:p>
      <w:pPr>
        <w:spacing w:after="0"/>
        <w:rPr>
          <w:rFonts w:ascii="Times New Roman" w:hAnsi="Times New Roman" w:cs="Times New Roman" w:eastAsia="Times New Roman"/>
          <w:sz w:val="24"/>
        </w:rPr>
      </w:pP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From time to time, physical and emotional state of elderly people prevent them from active communicating with other people, from visiting relatives, etc</w:t>
      </w: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 Unsatisfactory state of health of the elderly generation represents a significant factor that restricts the process of communication even with the immediate circle and it negatively affects social bonds and</w:t>
      </w:r>
      <w:r>
        <w:rPr>
          <w:rFonts w:ascii="Times New Roman" w:hAnsi="Times New Roman" w:cs="Times New Roman" w:eastAsia="Times New Roman"/>
          <w:color w:val="000000"/>
          <w:sz w:val="24"/>
        </w:rPr>
        <w:t xml:space="preserve">, in extreme cases, could be a reason for desocialization</w:t>
      </w:r>
      <w:r>
        <w:rPr>
          <w:rFonts w:ascii="Times New Roman" w:hAnsi="Times New Roman" w:cs="Times New Roman" w:eastAsia="Times New Roman"/>
          <w:color w:val="000000"/>
          <w:sz w:val="24"/>
        </w:rPr>
        <w:t xml:space="preserve">.</w:t>
      </w:r>
      <w:r/>
    </w:p>
    <w:p>
      <w:pPr>
        <w:spacing w:after="0"/>
        <w:rPr>
          <w:rFonts w:ascii="Times New Roman" w:hAnsi="Times New Roman" w:cs="Times New Roman" w:eastAsia="Times New Roman"/>
          <w:sz w:val="24"/>
        </w:rPr>
      </w:pP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The presence of chronic diseases that cause the need for medical care in elderly people, existence of problems related to the ability to go through a prescribed course of treatment (examination) at medical institutions quite often fail to lead to successful recovery for various reasons </w:t>
      </w:r>
      <w:r>
        <w:rPr>
          <w:rFonts w:ascii="Times New Roman" w:hAnsi="Times New Roman" w:cs="Times New Roman" w:eastAsia="Times New Roman"/>
          <w:color w:val="000000"/>
          <w:sz w:val="24"/>
        </w:rPr>
        <w:t xml:space="preserve">(</w:t>
      </w:r>
      <w:r>
        <w:rPr>
          <w:rFonts w:ascii="Times New Roman" w:hAnsi="Times New Roman" w:cs="Times New Roman" w:eastAsia="Times New Roman"/>
          <w:color w:val="000000"/>
          <w:sz w:val="24"/>
        </w:rPr>
        <w:t xml:space="preserve">waiting in queue for a long time, payment-based treatment is offered, for which there is no money, there is no money to buy medicines, work of medical workers is not satisfactory, lack of ability to get to a medical institution without external help, the place for further treatment is not determined, lack of information on where necessary medical assistance could be received</w:t>
      </w:r>
      <w:r>
        <w:rPr>
          <w:rFonts w:ascii="Times New Roman" w:hAnsi="Times New Roman" w:cs="Times New Roman" w:eastAsia="Times New Roman"/>
          <w:color w:val="000000"/>
          <w:sz w:val="24"/>
        </w:rPr>
        <w:t xml:space="preserve">).</w:t>
      </w:r>
      <w:r/>
    </w:p>
    <w:p>
      <w:pPr>
        <w:spacing w:after="0"/>
        <w:rPr>
          <w:rFonts w:ascii="Times New Roman" w:hAnsi="Times New Roman" w:cs="Times New Roman" w:eastAsia="Times New Roman"/>
          <w:sz w:val="24"/>
        </w:rPr>
      </w:pPr>
      <w:r>
        <w:rPr>
          <w:rFonts w:ascii="Times New Roman" w:hAnsi="Times New Roman" w:cs="Times New Roman" w:eastAsia="Times New Roman"/>
          <w:sz w:val="24"/>
        </w:rPr>
      </w:r>
      <w:r/>
    </w:p>
    <w:p>
      <w:pPr>
        <w:spacing w:after="0"/>
        <w:rPr>
          <w:rFonts w:ascii="Times New Roman" w:hAnsi="Times New Roman" w:cs="Times New Roman" w:eastAsia="Times New Roman"/>
          <w:sz w:val="24"/>
        </w:rPr>
      </w:pPr>
      <w:r>
        <w:rPr>
          <w:rFonts w:ascii="Times New Roman" w:hAnsi="Times New Roman" w:cs="Times New Roman" w:eastAsia="Times New Roman"/>
          <w:sz w:val="24"/>
        </w:rPr>
        <w:t xml:space="preserve">     </w:t>
      </w:r>
      <w:r>
        <w:rPr>
          <w:rFonts w:ascii="Times New Roman" w:hAnsi="Times New Roman" w:cs="Times New Roman" w:eastAsia="Times New Roman"/>
          <w:sz w:val="24"/>
        </w:rPr>
        <w:t xml:space="preserve">Sometimes, people of the older generation refuse from going to medical institutions and treat themselves without any external assistance not expecting to get efficient free of charge treatment.</w:t>
      </w:r>
      <w:r/>
    </w:p>
    <w:p>
      <w:pPr>
        <w:spacing w:after="0"/>
        <w:rPr>
          <w:rFonts w:ascii="Times New Roman" w:hAnsi="Times New Roman" w:cs="Times New Roman" w:eastAsia="Times New Roman"/>
          <w:sz w:val="24"/>
        </w:rPr>
      </w:pPr>
      <w:r>
        <w:rPr>
          <w:rFonts w:ascii="Times New Roman" w:hAnsi="Times New Roman" w:cs="Times New Roman" w:eastAsia="Times New Roman"/>
          <w:color w:val="000000"/>
          <w:sz w:val="24"/>
        </w:rPr>
        <w:t xml:space="preserve">All that allows to make a conclusion that at present there is a number of barriers that negatively affect the state of health of elderly people.</w:t>
      </w:r>
      <w:r/>
    </w:p>
    <w:p>
      <w:r/>
      <w:r/>
    </w:p>
    <w:p>
      <w:pPr>
        <w:rPr>
          <w:rFonts w:ascii="Times New Roman" w:hAnsi="Times New Roman" w:cs="Times New Roman" w:eastAsia="Times New Roman"/>
          <w:b/>
          <w:sz w:val="24"/>
        </w:rPr>
      </w:pPr>
      <w:r>
        <w:rPr>
          <w:rFonts w:ascii="Times New Roman" w:hAnsi="Times New Roman" w:cs="Times New Roman" w:eastAsia="Times New Roman"/>
          <w:b/>
          <w:sz w:val="24"/>
        </w:rPr>
        <w:t xml:space="preserve">Conclusion</w:t>
      </w:r>
      <w:r>
        <w:rPr>
          <w:rFonts w:ascii="Times New Roman" w:hAnsi="Times New Roman" w:cs="Times New Roman" w:eastAsia="Times New Roman"/>
          <w:b/>
          <w:sz w:val="24"/>
        </w:rPr>
        <w:t xml:space="preserve">: </w:t>
      </w:r>
      <w:r>
        <w:rPr>
          <w:rFonts w:ascii="Times New Roman" w:hAnsi="Times New Roman" w:cs="Times New Roman" w:eastAsia="Times New Roman"/>
          <w:b/>
          <w:sz w:val="24"/>
        </w:rPr>
        <w:t xml:space="preserve">The right of each person to the highest achievable level of physical and </w:t>
      </w:r>
      <w:r>
        <w:rPr>
          <w:rFonts w:ascii="Times New Roman" w:hAnsi="Times New Roman" w:cs="Times New Roman" w:eastAsia="Times New Roman"/>
          <w:b/>
          <w:sz w:val="24"/>
        </w:rPr>
        <w:t xml:space="preserve">mental health</w:t>
      </w:r>
      <w:r>
        <w:rPr>
          <w:rFonts w:ascii="Times New Roman" w:hAnsi="Times New Roman" w:cs="Times New Roman" w:eastAsia="Times New Roman"/>
          <w:b/>
          <w:sz w:val="24"/>
        </w:rPr>
        <w:t xml:space="preserve"> is violated</w:t>
      </w:r>
      <w:r>
        <w:rPr>
          <w:rFonts w:ascii="Times New Roman" w:hAnsi="Times New Roman" w:cs="Times New Roman" w:eastAsia="Times New Roman"/>
          <w:b/>
          <w:color w:val="333333"/>
          <w:sz w:val="24"/>
          <w:szCs w:val="24"/>
        </w:rPr>
        <w:t xml:space="preserve">.</w:t>
      </w:r>
      <w:r/>
    </w:p>
    <w:p>
      <w:pPr>
        <w:rPr>
          <w:rFonts w:ascii="Times New Roman" w:hAnsi="Times New Roman" w:cs="Times New Roman" w:eastAsia="Times New Roman"/>
          <w:b/>
          <w:sz w:val="24"/>
        </w:rPr>
      </w:pPr>
      <w:r>
        <w:rPr>
          <w:rFonts w:ascii="Times New Roman" w:hAnsi="Times New Roman" w:cs="Times New Roman" w:eastAsia="Times New Roman"/>
          <w:b/>
          <w:sz w:val="24"/>
        </w:rPr>
      </w:r>
      <w:r/>
    </w:p>
    <w:p>
      <w:pPr>
        <w:rPr>
          <w:rFonts w:ascii="Arial" w:hAnsi="Arial" w:cs="Arial" w:eastAsia="Arial"/>
          <w:b/>
          <w:sz w:val="28"/>
        </w:rPr>
      </w:pPr>
      <w:r>
        <w:rPr>
          <w:rFonts w:ascii="Arial" w:hAnsi="Arial" w:cs="Arial" w:eastAsia="Arial"/>
          <w:sz w:val="28"/>
          <w:lang w:val="ru-RU"/>
        </w:rPr>
        <w:t xml:space="preserve">Olga Crivorucico</w:t>
      </w:r>
      <w:r>
        <w:rPr>
          <w:rFonts w:ascii="Arial" w:hAnsi="Arial" w:cs="Arial" w:eastAsia="Arial"/>
          <w:sz w:val="28"/>
        </w:rPr>
      </w:r>
    </w:p>
    <w:p>
      <w:pPr>
        <w:rPr>
          <w:rFonts w:ascii="Arial" w:hAnsi="Arial" w:cs="Arial" w:eastAsia="Arial"/>
          <w:b/>
          <w:sz w:val="28"/>
        </w:rPr>
      </w:pPr>
      <w:r>
        <w:rPr>
          <w:rFonts w:ascii="Arial" w:hAnsi="Arial" w:cs="Arial" w:eastAsia="Arial"/>
          <w:sz w:val="28"/>
        </w:rPr>
      </w:r>
      <w:r>
        <w:rPr>
          <w:rFonts w:ascii="Arial" w:hAnsi="Arial" w:cs="Arial" w:eastAsia="Arial"/>
          <w:sz w:val="28"/>
          <w:szCs w:val="28"/>
          <w:lang w:val="en-US"/>
        </w:rPr>
        <w:t xml:space="preserve">NGO </w:t>
      </w:r>
      <w:r>
        <w:rPr>
          <w:rFonts w:ascii="Arial" w:hAnsi="Arial" w:cs="Arial" w:eastAsia="Arial"/>
          <w:sz w:val="28"/>
          <w:szCs w:val="28"/>
          <w:lang w:val="en-US"/>
        </w:rPr>
        <w:t xml:space="preserve">“ </w:t>
      </w:r>
      <w:r>
        <w:rPr>
          <w:rFonts w:ascii="Arial" w:hAnsi="Arial" w:cs="Arial" w:eastAsia="Arial"/>
          <w:sz w:val="28"/>
          <w:szCs w:val="28"/>
          <w:lang w:val="en-US"/>
        </w:rPr>
        <w:t xml:space="preserve">ДЖиП</w:t>
      </w:r>
      <w:r>
        <w:rPr>
          <w:rFonts w:ascii="Arial" w:hAnsi="Arial" w:cs="Arial" w:eastAsia="Arial"/>
          <w:sz w:val="28"/>
          <w:szCs w:val="28"/>
          <w:lang w:val="en-US"/>
        </w:rPr>
        <w:t xml:space="preserve">", </w:t>
      </w:r>
      <w:r>
        <w:rPr>
          <w:rFonts w:ascii="Arial" w:hAnsi="Arial" w:cs="Arial" w:eastAsia="Arial"/>
          <w:sz w:val="28"/>
          <w:szCs w:val="28"/>
          <w:lang w:val="en-US"/>
        </w:rPr>
        <w:t xml:space="preserve">town of Ribnita</w:t>
      </w:r>
      <w:r>
        <w:rPr>
          <w:rFonts w:ascii="Arial" w:hAnsi="Arial" w:cs="Arial" w:eastAsia="Arial"/>
          <w:sz w:val="28"/>
          <w:szCs w:val="28"/>
          <w:lang w:val="en-US"/>
        </w:rPr>
        <w:t xml:space="preserve">, </w:t>
      </w:r>
      <w:r>
        <w:rPr>
          <w:rFonts w:ascii="Arial" w:hAnsi="Arial" w:cs="Arial" w:eastAsia="Arial"/>
          <w:sz w:val="28"/>
          <w:szCs w:val="28"/>
          <w:lang w:val="en-US"/>
        </w:rPr>
        <w:t xml:space="preserve">Transdniestria</w:t>
      </w:r>
      <w:r>
        <w:rPr>
          <w:rFonts w:ascii="Arial" w:hAnsi="Arial" w:cs="Arial" w:eastAsia="Arial"/>
          <w:sz w:val="28"/>
          <w:szCs w:val="28"/>
          <w:lang w:val="en-US"/>
        </w:rPr>
        <w:t xml:space="preserve">, </w:t>
      </w:r>
      <w:r>
        <w:rPr>
          <w:rFonts w:ascii="Arial" w:hAnsi="Arial" w:cs="Arial" w:eastAsia="Arial"/>
          <w:sz w:val="28"/>
          <w:szCs w:val="28"/>
          <w:lang w:val="en-US"/>
        </w:rPr>
        <w:t xml:space="preserve">Chairperson</w:t>
      </w:r>
      <w:r>
        <w:rPr>
          <w:rFonts w:ascii="Arial" w:hAnsi="Arial" w:cs="Arial" w:eastAsia="Arial"/>
          <w:sz w:val="28"/>
          <w:szCs w:val="28"/>
          <w:lang w:val="en-US"/>
        </w:rPr>
        <w:t xml:space="preserve"> </w:t>
      </w:r>
      <w:r>
        <w:rPr>
          <w:rFonts w:ascii="Arial" w:hAnsi="Arial" w:cs="Arial" w:eastAsia="Arial"/>
          <w:sz w:val="28"/>
        </w:rPr>
      </w:r>
      <w:r>
        <w:rPr>
          <w:rFonts w:ascii="Arial" w:hAnsi="Arial" w:cs="Arial" w:eastAsia="Arial"/>
          <w:sz w:val="28"/>
        </w:rPr>
      </w:r>
    </w:p>
    <w:p>
      <w:pPr>
        <w:rPr>
          <w:rFonts w:ascii="Arial" w:hAnsi="Arial" w:cs="Arial" w:eastAsia="Arial"/>
          <w:b/>
          <w:sz w:val="28"/>
        </w:rPr>
      </w:pPr>
      <w:r>
        <w:rPr>
          <w:rFonts w:ascii="Arial" w:hAnsi="Arial" w:cs="Arial" w:eastAsia="Arial"/>
          <w:sz w:val="28"/>
          <w:lang w:val="ru-RU"/>
        </w:rPr>
        <w:t xml:space="preserve">(+373)77741538</w:t>
      </w:r>
      <w:r>
        <w:rPr>
          <w:rFonts w:ascii="Arial" w:hAnsi="Arial" w:cs="Arial" w:eastAsia="Arial"/>
          <w:sz w:val="28"/>
        </w:rPr>
      </w:r>
    </w:p>
    <w:p>
      <w:pPr>
        <w:rPr>
          <w:rFonts w:ascii="Arial" w:hAnsi="Arial" w:cs="Arial" w:eastAsia="Arial"/>
          <w:b/>
          <w:sz w:val="28"/>
        </w:rPr>
      </w:pPr>
      <w:r>
        <w:rPr>
          <w:rFonts w:ascii="Arial" w:hAnsi="Arial" w:cs="Arial" w:eastAsia="Arial"/>
          <w:sz w:val="28"/>
          <w:lang w:val="ru-RU"/>
        </w:rPr>
        <w:t xml:space="preserve">(+373)69703612</w:t>
      </w:r>
      <w:r>
        <w:rPr>
          <w:rFonts w:ascii="Arial" w:hAnsi="Arial" w:cs="Arial" w:eastAsia="Arial"/>
          <w:sz w:val="28"/>
        </w:rPr>
      </w:r>
    </w:p>
    <w:p>
      <w:pPr>
        <w:rPr>
          <w:rFonts w:ascii="Arial" w:hAnsi="Arial" w:cs="Arial" w:eastAsia="Arial"/>
          <w:b/>
          <w:sz w:val="28"/>
        </w:rPr>
      </w:pPr>
      <w:r>
        <w:rPr>
          <w:rFonts w:ascii="Arial" w:hAnsi="Arial" w:cs="Arial" w:eastAsia="Arial"/>
          <w:sz w:val="28"/>
          <w:lang w:val="ru-RU"/>
        </w:rPr>
        <w:t xml:space="preserve">kriolaa@mail.ru</w:t>
      </w:r>
      <w:r>
        <w:rPr>
          <w:rFonts w:ascii="Arial" w:hAnsi="Arial" w:cs="Arial" w:eastAsia="Arial"/>
          <w:sz w:val="28"/>
        </w:rPr>
      </w:r>
    </w:p>
    <w:sectPr>
      <w:footnotePr/>
      <w:type w:val="nextPage"/>
      <w:pgSz w:w="11906" w:h="16838"/>
      <w:pgMar w:top="1134" w:right="850" w:bottom="1134" w:left="1134" w:gutter="0" w:header="709" w:footer="709"/>
      <w:cols w:num="1" w:sep="0" w:space="708"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font>
  <w:font w:name="Segoe UI">
    <w:panose1 w:val="020B0502040204020203"/>
  </w:font>
  <w:font w:name="Symbol">
    <w:panose1 w:val="05050102010706020507"/>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lineRule="auto" w:line="240" w:after="0"/>
      </w:pPr>
      <w:r>
        <w:separator/>
      </w:r>
      <w:r/>
    </w:p>
  </w:footnote>
  <w:footnote w:type="continuationSeparator" w:id="0">
    <w:p>
      <w:pPr>
        <w:spacing w:lineRule="auto" w:line="240"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lvl w:ilvl="0">
      <w:start w:val="1"/>
      <w:numFmt w:val="decimal"/>
      <w:suff w:val="tab"/>
      <w:lvlText w:val="%1."/>
      <w:lvlJc w:val="left"/>
      <w:pPr>
        <w:ind w:left="720" w:hanging="355"/>
      </w:pPr>
      <w:rPr>
        <w:rFonts w:hint="default"/>
        <w:color w:val="auto"/>
      </w:rPr>
    </w:lvl>
    <w:lvl w:ilvl="1">
      <w:start w:val="1"/>
      <w:numFmt w:val="lowerLetter"/>
      <w:suff w:val="tab"/>
      <w:lvlText w:val="%2."/>
      <w:lvlJc w:val="left"/>
      <w:pPr>
        <w:ind w:left="1440" w:hanging="355"/>
      </w:pPr>
    </w:lvl>
    <w:lvl w:ilvl="2">
      <w:start w:val="1"/>
      <w:numFmt w:val="lowerRoman"/>
      <w:suff w:val="tab"/>
      <w:lvlText w:val="%3."/>
      <w:lvlJc w:val="right"/>
      <w:pPr>
        <w:ind w:left="2160" w:hanging="175"/>
      </w:pPr>
    </w:lvl>
    <w:lvl w:ilvl="3">
      <w:start w:val="1"/>
      <w:numFmt w:val="decimal"/>
      <w:suff w:val="tab"/>
      <w:lvlText w:val="%4."/>
      <w:lvlJc w:val="left"/>
      <w:pPr>
        <w:ind w:left="2880" w:hanging="355"/>
      </w:pPr>
    </w:lvl>
    <w:lvl w:ilvl="4">
      <w:start w:val="1"/>
      <w:numFmt w:val="lowerLetter"/>
      <w:suff w:val="tab"/>
      <w:lvlText w:val="%5."/>
      <w:lvlJc w:val="left"/>
      <w:pPr>
        <w:ind w:left="3600" w:hanging="355"/>
      </w:pPr>
    </w:lvl>
    <w:lvl w:ilvl="5">
      <w:start w:val="1"/>
      <w:numFmt w:val="lowerRoman"/>
      <w:suff w:val="tab"/>
      <w:lvlText w:val="%6."/>
      <w:lvlJc w:val="right"/>
      <w:pPr>
        <w:ind w:left="4320" w:hanging="175"/>
      </w:pPr>
    </w:lvl>
    <w:lvl w:ilvl="6">
      <w:start w:val="1"/>
      <w:numFmt w:val="decimal"/>
      <w:suff w:val="tab"/>
      <w:lvlText w:val="%7."/>
      <w:lvlJc w:val="left"/>
      <w:pPr>
        <w:ind w:left="5040" w:hanging="355"/>
      </w:pPr>
    </w:lvl>
    <w:lvl w:ilvl="7">
      <w:start w:val="1"/>
      <w:numFmt w:val="lowerLetter"/>
      <w:suff w:val="tab"/>
      <w:lvlText w:val="%8."/>
      <w:lvlJc w:val="left"/>
      <w:pPr>
        <w:ind w:left="5760" w:hanging="355"/>
      </w:pPr>
    </w:lvl>
    <w:lvl w:ilvl="8">
      <w:start w:val="1"/>
      <w:numFmt w:val="lowerRoman"/>
      <w:suff w:val="tab"/>
      <w:lvlText w:val="%9."/>
      <w:lvlJc w:val="right"/>
      <w:pPr>
        <w:ind w:left="6480" w:hanging="175"/>
      </w:pPr>
    </w:lvl>
  </w:abstractNum>
  <w:abstractNum w:abstractNumId="1">
    <w:multiLevelType w:val="hybridMultilevel"/>
    <w:lvl w:ilvl="0">
      <w:start w:val="1"/>
      <w:numFmt w:val="decimal"/>
      <w:suff w:val="tab"/>
      <w:lvlText w:val="%1."/>
      <w:lvlJc w:val="left"/>
      <w:pPr>
        <w:ind w:left="720" w:hanging="355"/>
      </w:pPr>
    </w:lvl>
    <w:lvl w:ilvl="1">
      <w:start w:val="1"/>
      <w:numFmt w:val="lowerLetter"/>
      <w:suff w:val="tab"/>
      <w:lvlText w:val="%2."/>
      <w:lvlJc w:val="left"/>
      <w:pPr>
        <w:ind w:left="1440" w:hanging="355"/>
      </w:pPr>
    </w:lvl>
    <w:lvl w:ilvl="2">
      <w:start w:val="1"/>
      <w:numFmt w:val="lowerRoman"/>
      <w:suff w:val="tab"/>
      <w:lvlText w:val="%3."/>
      <w:lvlJc w:val="right"/>
      <w:pPr>
        <w:ind w:left="2160" w:hanging="175"/>
      </w:pPr>
    </w:lvl>
    <w:lvl w:ilvl="3">
      <w:start w:val="1"/>
      <w:numFmt w:val="decimal"/>
      <w:suff w:val="tab"/>
      <w:lvlText w:val="%4."/>
      <w:lvlJc w:val="left"/>
      <w:pPr>
        <w:ind w:left="2880" w:hanging="355"/>
      </w:pPr>
    </w:lvl>
    <w:lvl w:ilvl="4">
      <w:start w:val="1"/>
      <w:numFmt w:val="lowerLetter"/>
      <w:suff w:val="tab"/>
      <w:lvlText w:val="%5."/>
      <w:lvlJc w:val="left"/>
      <w:pPr>
        <w:ind w:left="3600" w:hanging="355"/>
      </w:pPr>
    </w:lvl>
    <w:lvl w:ilvl="5">
      <w:start w:val="1"/>
      <w:numFmt w:val="lowerRoman"/>
      <w:suff w:val="tab"/>
      <w:lvlText w:val="%6."/>
      <w:lvlJc w:val="right"/>
      <w:pPr>
        <w:ind w:left="4320" w:hanging="175"/>
      </w:pPr>
    </w:lvl>
    <w:lvl w:ilvl="6">
      <w:start w:val="1"/>
      <w:numFmt w:val="decimal"/>
      <w:suff w:val="tab"/>
      <w:lvlText w:val="%7."/>
      <w:lvlJc w:val="left"/>
      <w:pPr>
        <w:ind w:left="5040" w:hanging="355"/>
      </w:pPr>
    </w:lvl>
    <w:lvl w:ilvl="7">
      <w:start w:val="1"/>
      <w:numFmt w:val="lowerLetter"/>
      <w:suff w:val="tab"/>
      <w:lvlText w:val="%8."/>
      <w:lvlJc w:val="left"/>
      <w:pPr>
        <w:ind w:left="5760" w:hanging="355"/>
      </w:pPr>
    </w:lvl>
    <w:lvl w:ilvl="8">
      <w:start w:val="1"/>
      <w:numFmt w:val="lowerRoman"/>
      <w:suff w:val="tab"/>
      <w:lvlText w:val="%9."/>
      <w:lvlJc w:val="right"/>
      <w:pPr>
        <w:ind w:left="6480" w:hanging="175"/>
      </w:pPr>
    </w:lvl>
  </w:abstractNum>
  <w:abstractNum w:abstractNumId="2">
    <w:multiLevelType w:val="hybridMultilevel"/>
    <w:lvl w:ilvl="0">
      <w:start w:val="1"/>
      <w:numFmt w:val="bullet"/>
      <w:suff w:val="tab"/>
      <w:lvlText w:val="·"/>
      <w:lvlJc w:val="left"/>
      <w:pPr>
        <w:ind w:left="720" w:hanging="348"/>
      </w:pPr>
      <w:rPr>
        <w:rFonts w:ascii="Symbol" w:hAnsi="Symbol" w:cs="Symbol" w:eastAsia="Symbol"/>
        <w:color w:val="000000"/>
        <w:sz w:val="24"/>
      </w:rPr>
    </w:lvl>
    <w:lvl w:ilvl="1">
      <w:start w:val="1"/>
      <w:numFmt w:val="bullet"/>
      <w:suff w:val="tab"/>
      <w:lvlText w:val="·"/>
      <w:lvlJc w:val="left"/>
      <w:pPr>
        <w:ind w:left="1440" w:hanging="348"/>
      </w:pPr>
      <w:rPr>
        <w:rFonts w:ascii="Symbol" w:hAnsi="Symbol" w:cs="Symbol" w:eastAsia="Symbol"/>
        <w:color w:val="000000"/>
        <w:sz w:val="24"/>
      </w:rPr>
    </w:lvl>
    <w:lvl w:ilvl="2">
      <w:start w:val="1"/>
      <w:numFmt w:val="bullet"/>
      <w:suff w:val="tab"/>
      <w:lvlText w:val="·"/>
      <w:lvlJc w:val="left"/>
      <w:pPr>
        <w:ind w:left="2160" w:hanging="348"/>
      </w:pPr>
      <w:rPr>
        <w:rFonts w:ascii="Symbol" w:hAnsi="Symbol" w:cs="Symbol" w:eastAsia="Symbol"/>
        <w:color w:val="000000"/>
        <w:sz w:val="24"/>
      </w:rPr>
    </w:lvl>
    <w:lvl w:ilvl="3">
      <w:start w:val="1"/>
      <w:numFmt w:val="bullet"/>
      <w:suff w:val="tab"/>
      <w:lvlText w:val="·"/>
      <w:lvlJc w:val="left"/>
      <w:pPr>
        <w:ind w:left="2880" w:hanging="348"/>
      </w:pPr>
      <w:rPr>
        <w:rFonts w:ascii="Symbol" w:hAnsi="Symbol" w:cs="Symbol" w:eastAsia="Symbol"/>
        <w:color w:val="000000"/>
        <w:sz w:val="24"/>
      </w:rPr>
    </w:lvl>
    <w:lvl w:ilvl="4">
      <w:start w:val="1"/>
      <w:numFmt w:val="bullet"/>
      <w:suff w:val="tab"/>
      <w:lvlText w:val="·"/>
      <w:lvlJc w:val="left"/>
      <w:pPr>
        <w:ind w:left="3600" w:hanging="348"/>
      </w:pPr>
      <w:rPr>
        <w:rFonts w:ascii="Symbol" w:hAnsi="Symbol" w:cs="Symbol" w:eastAsia="Symbol"/>
        <w:color w:val="000000"/>
        <w:sz w:val="24"/>
      </w:rPr>
    </w:lvl>
    <w:lvl w:ilvl="5">
      <w:start w:val="1"/>
      <w:numFmt w:val="bullet"/>
      <w:suff w:val="tab"/>
      <w:lvlText w:val="·"/>
      <w:lvlJc w:val="left"/>
      <w:pPr>
        <w:ind w:left="4320" w:hanging="348"/>
      </w:pPr>
      <w:rPr>
        <w:rFonts w:ascii="Symbol" w:hAnsi="Symbol" w:cs="Symbol" w:eastAsia="Symbol"/>
        <w:color w:val="000000"/>
        <w:sz w:val="24"/>
      </w:rPr>
    </w:lvl>
    <w:lvl w:ilvl="6">
      <w:start w:val="1"/>
      <w:numFmt w:val="bullet"/>
      <w:suff w:val="tab"/>
      <w:lvlText w:val="·"/>
      <w:lvlJc w:val="left"/>
      <w:pPr>
        <w:ind w:left="5040" w:hanging="348"/>
      </w:pPr>
      <w:rPr>
        <w:rFonts w:ascii="Symbol" w:hAnsi="Symbol" w:cs="Symbol" w:eastAsia="Symbol"/>
        <w:color w:val="000000"/>
        <w:sz w:val="24"/>
      </w:rPr>
    </w:lvl>
    <w:lvl w:ilvl="7">
      <w:start w:val="1"/>
      <w:numFmt w:val="bullet"/>
      <w:suff w:val="tab"/>
      <w:lvlText w:val="·"/>
      <w:lvlJc w:val="left"/>
      <w:pPr>
        <w:ind w:left="5760" w:hanging="348"/>
      </w:pPr>
      <w:rPr>
        <w:rFonts w:ascii="Symbol" w:hAnsi="Symbol" w:cs="Symbol" w:eastAsia="Symbol"/>
        <w:color w:val="000000"/>
        <w:sz w:val="24"/>
      </w:rPr>
    </w:lvl>
    <w:lvl w:ilvl="8">
      <w:start w:val="1"/>
      <w:numFmt w:val="bullet"/>
      <w:suff w:val="tab"/>
      <w:lvlText w:val="·"/>
      <w:lvlJc w:val="left"/>
      <w:pPr>
        <w:ind w:left="6480" w:hanging="348"/>
      </w:pPr>
      <w:rPr>
        <w:rFonts w:ascii="Symbol" w:hAnsi="Symbol" w:cs="Symbol" w:eastAsia="Symbol"/>
        <w:color w:val="000000"/>
        <w:sz w:val="24"/>
      </w:rPr>
    </w:lvl>
  </w:abstractNum>
  <w:abstractNum w:abstractNumId="3">
    <w:multiLevelType w:val="hybridMultilevel"/>
    <w:lvl w:ilvl="0">
      <w:start w:val="1"/>
      <w:numFmt w:val="decimal"/>
      <w:suff w:val="tab"/>
      <w:lvlText w:val="%1."/>
      <w:lvlJc w:val="left"/>
      <w:pPr>
        <w:ind w:left="720" w:hanging="355"/>
      </w:pPr>
      <w:rPr>
        <w:rFonts w:hint="default"/>
      </w:rPr>
    </w:lvl>
    <w:lvl w:ilvl="1">
      <w:start w:val="1"/>
      <w:numFmt w:val="lowerLetter"/>
      <w:suff w:val="tab"/>
      <w:lvlText w:val="%2."/>
      <w:lvlJc w:val="left"/>
      <w:pPr>
        <w:ind w:left="1440" w:hanging="355"/>
      </w:pPr>
    </w:lvl>
    <w:lvl w:ilvl="2">
      <w:start w:val="1"/>
      <w:numFmt w:val="lowerRoman"/>
      <w:suff w:val="tab"/>
      <w:lvlText w:val="%3."/>
      <w:lvlJc w:val="right"/>
      <w:pPr>
        <w:ind w:left="2160" w:hanging="175"/>
      </w:pPr>
    </w:lvl>
    <w:lvl w:ilvl="3">
      <w:start w:val="1"/>
      <w:numFmt w:val="decimal"/>
      <w:suff w:val="tab"/>
      <w:lvlText w:val="%4."/>
      <w:lvlJc w:val="left"/>
      <w:pPr>
        <w:ind w:left="2880" w:hanging="355"/>
      </w:pPr>
    </w:lvl>
    <w:lvl w:ilvl="4">
      <w:start w:val="1"/>
      <w:numFmt w:val="lowerLetter"/>
      <w:suff w:val="tab"/>
      <w:lvlText w:val="%5."/>
      <w:lvlJc w:val="left"/>
      <w:pPr>
        <w:ind w:left="3600" w:hanging="355"/>
      </w:pPr>
    </w:lvl>
    <w:lvl w:ilvl="5">
      <w:start w:val="1"/>
      <w:numFmt w:val="lowerRoman"/>
      <w:suff w:val="tab"/>
      <w:lvlText w:val="%6."/>
      <w:lvlJc w:val="right"/>
      <w:pPr>
        <w:ind w:left="4320" w:hanging="175"/>
      </w:pPr>
    </w:lvl>
    <w:lvl w:ilvl="6">
      <w:start w:val="1"/>
      <w:numFmt w:val="decimal"/>
      <w:suff w:val="tab"/>
      <w:lvlText w:val="%7."/>
      <w:lvlJc w:val="left"/>
      <w:pPr>
        <w:ind w:left="5040" w:hanging="355"/>
      </w:pPr>
    </w:lvl>
    <w:lvl w:ilvl="7">
      <w:start w:val="1"/>
      <w:numFmt w:val="lowerLetter"/>
      <w:suff w:val="tab"/>
      <w:lvlText w:val="%8."/>
      <w:lvlJc w:val="left"/>
      <w:pPr>
        <w:ind w:left="5760" w:hanging="355"/>
      </w:pPr>
    </w:lvl>
    <w:lvl w:ilvl="8">
      <w:start w:val="1"/>
      <w:numFmt w:val="lowerRoman"/>
      <w:suff w:val="tab"/>
      <w:lvlText w:val="%9."/>
      <w:lvlJc w:val="right"/>
      <w:pPr>
        <w:ind w:left="6480" w:hanging="175"/>
      </w:pPr>
    </w:lvl>
  </w:abstractNum>
  <w:abstractNum w:abstractNumId="4">
    <w:multiLevelType w:val="hybridMultilevel"/>
    <w:lvl w:ilvl="0">
      <w:start w:val="1"/>
      <w:numFmt w:val="bullet"/>
      <w:suff w:val="tab"/>
      <w:lvlText w:val="·"/>
      <w:lvlJc w:val="left"/>
      <w:pPr>
        <w:ind w:left="720" w:hanging="348"/>
      </w:pPr>
      <w:rPr>
        <w:rFonts w:ascii="Symbol" w:hAnsi="Symbol" w:cs="Symbol" w:eastAsia="Symbol"/>
      </w:rPr>
    </w:lvl>
    <w:lvl w:ilvl="1">
      <w:start w:val="1"/>
      <w:numFmt w:val="bullet"/>
      <w:suff w:val="tab"/>
      <w:lvlText w:val="·"/>
      <w:lvlJc w:val="left"/>
      <w:pPr>
        <w:ind w:left="1440" w:hanging="348"/>
      </w:pPr>
      <w:rPr>
        <w:rFonts w:ascii="Symbol" w:hAnsi="Symbol" w:cs="Symbol" w:eastAsia="Symbol"/>
      </w:rPr>
    </w:lvl>
    <w:lvl w:ilvl="2">
      <w:start w:val="1"/>
      <w:numFmt w:val="bullet"/>
      <w:suff w:val="tab"/>
      <w:lvlText w:val="·"/>
      <w:lvlJc w:val="left"/>
      <w:pPr>
        <w:ind w:left="2160" w:hanging="348"/>
      </w:pPr>
      <w:rPr>
        <w:rFonts w:ascii="Symbol" w:hAnsi="Symbol" w:cs="Symbol" w:eastAsia="Symbol"/>
      </w:rPr>
    </w:lvl>
    <w:lvl w:ilvl="3">
      <w:start w:val="1"/>
      <w:numFmt w:val="bullet"/>
      <w:suff w:val="tab"/>
      <w:lvlText w:val="·"/>
      <w:lvlJc w:val="left"/>
      <w:pPr>
        <w:ind w:left="2880" w:hanging="348"/>
      </w:pPr>
      <w:rPr>
        <w:rFonts w:ascii="Symbol" w:hAnsi="Symbol" w:cs="Symbol" w:eastAsia="Symbol"/>
      </w:rPr>
    </w:lvl>
    <w:lvl w:ilvl="4">
      <w:start w:val="1"/>
      <w:numFmt w:val="bullet"/>
      <w:suff w:val="tab"/>
      <w:lvlText w:val="·"/>
      <w:lvlJc w:val="left"/>
      <w:pPr>
        <w:ind w:left="3600" w:hanging="348"/>
      </w:pPr>
      <w:rPr>
        <w:rFonts w:ascii="Symbol" w:hAnsi="Symbol" w:cs="Symbol" w:eastAsia="Symbol"/>
      </w:rPr>
    </w:lvl>
    <w:lvl w:ilvl="5">
      <w:start w:val="1"/>
      <w:numFmt w:val="bullet"/>
      <w:suff w:val="tab"/>
      <w:lvlText w:val="·"/>
      <w:lvlJc w:val="left"/>
      <w:pPr>
        <w:ind w:left="4320" w:hanging="348"/>
      </w:pPr>
      <w:rPr>
        <w:rFonts w:ascii="Symbol" w:hAnsi="Symbol" w:cs="Symbol" w:eastAsia="Symbol"/>
      </w:rPr>
    </w:lvl>
    <w:lvl w:ilvl="6">
      <w:start w:val="1"/>
      <w:numFmt w:val="bullet"/>
      <w:suff w:val="tab"/>
      <w:lvlText w:val="·"/>
      <w:lvlJc w:val="left"/>
      <w:pPr>
        <w:ind w:left="5040" w:hanging="348"/>
      </w:pPr>
      <w:rPr>
        <w:rFonts w:ascii="Symbol" w:hAnsi="Symbol" w:cs="Symbol" w:eastAsia="Symbol"/>
      </w:rPr>
    </w:lvl>
    <w:lvl w:ilvl="7">
      <w:start w:val="1"/>
      <w:numFmt w:val="bullet"/>
      <w:suff w:val="tab"/>
      <w:lvlText w:val="·"/>
      <w:lvlJc w:val="left"/>
      <w:pPr>
        <w:ind w:left="5760" w:hanging="348"/>
      </w:pPr>
      <w:rPr>
        <w:rFonts w:ascii="Symbol" w:hAnsi="Symbol" w:cs="Symbol" w:eastAsia="Symbol"/>
      </w:rPr>
    </w:lvl>
    <w:lvl w:ilvl="8">
      <w:start w:val="1"/>
      <w:numFmt w:val="bullet"/>
      <w:suff w:val="tab"/>
      <w:lvlText w:val="·"/>
      <w:lvlJc w:val="left"/>
      <w:pPr>
        <w:ind w:left="6480" w:hanging="348"/>
      </w:pPr>
      <w:rPr>
        <w:rFonts w:ascii="Symbol" w:hAnsi="Symbol" w:cs="Symbol" w:eastAsia="Symbol"/>
      </w:rPr>
    </w:lvl>
  </w:abstractNum>
  <w:abstractNum w:abstractNumId="5">
    <w:multiLevelType w:val="hybridMultilevel"/>
    <w:lvl w:ilvl="0">
      <w:start w:val="1"/>
      <w:numFmt w:val="bullet"/>
      <w:suff w:val="tab"/>
      <w:lvlText w:val="·"/>
      <w:lvlJc w:val="left"/>
      <w:pPr>
        <w:ind w:left="720" w:hanging="349"/>
      </w:pPr>
      <w:rPr>
        <w:rFonts w:ascii="Symbol" w:hAnsi="Symbol" w:cs="Symbol" w:eastAsia="Symbol"/>
      </w:rPr>
    </w:lvl>
    <w:lvl w:ilvl="1">
      <w:start w:val="1"/>
      <w:numFmt w:val="bullet"/>
      <w:suff w:val="tab"/>
      <w:lvlText w:val="·"/>
      <w:lvlJc w:val="left"/>
      <w:pPr>
        <w:ind w:left="1440" w:hanging="349"/>
      </w:pPr>
      <w:rPr>
        <w:rFonts w:ascii="Symbol" w:hAnsi="Symbol" w:cs="Symbol" w:eastAsia="Symbol"/>
      </w:rPr>
    </w:lvl>
    <w:lvl w:ilvl="2">
      <w:start w:val="1"/>
      <w:numFmt w:val="bullet"/>
      <w:suff w:val="tab"/>
      <w:lvlText w:val="·"/>
      <w:lvlJc w:val="left"/>
      <w:pPr>
        <w:ind w:left="2160" w:hanging="349"/>
      </w:pPr>
      <w:rPr>
        <w:rFonts w:ascii="Symbol" w:hAnsi="Symbol" w:cs="Symbol" w:eastAsia="Symbol"/>
      </w:rPr>
    </w:lvl>
    <w:lvl w:ilvl="3">
      <w:start w:val="1"/>
      <w:numFmt w:val="bullet"/>
      <w:suff w:val="tab"/>
      <w:lvlText w:val="·"/>
      <w:lvlJc w:val="left"/>
      <w:pPr>
        <w:ind w:left="2880" w:hanging="349"/>
      </w:pPr>
      <w:rPr>
        <w:rFonts w:ascii="Symbol" w:hAnsi="Symbol" w:cs="Symbol" w:eastAsia="Symbol"/>
      </w:rPr>
    </w:lvl>
    <w:lvl w:ilvl="4">
      <w:start w:val="1"/>
      <w:numFmt w:val="bullet"/>
      <w:suff w:val="tab"/>
      <w:lvlText w:val="·"/>
      <w:lvlJc w:val="left"/>
      <w:pPr>
        <w:ind w:left="3600" w:hanging="349"/>
      </w:pPr>
      <w:rPr>
        <w:rFonts w:ascii="Symbol" w:hAnsi="Symbol" w:cs="Symbol" w:eastAsia="Symbol"/>
      </w:rPr>
    </w:lvl>
    <w:lvl w:ilvl="5">
      <w:start w:val="1"/>
      <w:numFmt w:val="bullet"/>
      <w:suff w:val="tab"/>
      <w:lvlText w:val="·"/>
      <w:lvlJc w:val="left"/>
      <w:pPr>
        <w:ind w:left="4320" w:hanging="349"/>
      </w:pPr>
      <w:rPr>
        <w:rFonts w:ascii="Symbol" w:hAnsi="Symbol" w:cs="Symbol" w:eastAsia="Symbol"/>
      </w:rPr>
    </w:lvl>
    <w:lvl w:ilvl="6">
      <w:start w:val="1"/>
      <w:numFmt w:val="bullet"/>
      <w:suff w:val="tab"/>
      <w:lvlText w:val="·"/>
      <w:lvlJc w:val="left"/>
      <w:pPr>
        <w:ind w:left="5040" w:hanging="349"/>
      </w:pPr>
      <w:rPr>
        <w:rFonts w:ascii="Symbol" w:hAnsi="Symbol" w:cs="Symbol" w:eastAsia="Symbol"/>
      </w:rPr>
    </w:lvl>
    <w:lvl w:ilvl="7">
      <w:start w:val="1"/>
      <w:numFmt w:val="bullet"/>
      <w:suff w:val="tab"/>
      <w:lvlText w:val="·"/>
      <w:lvlJc w:val="left"/>
      <w:pPr>
        <w:ind w:left="5760" w:hanging="349"/>
      </w:pPr>
      <w:rPr>
        <w:rFonts w:ascii="Symbol" w:hAnsi="Symbol" w:cs="Symbol" w:eastAsia="Symbol"/>
      </w:rPr>
    </w:lvl>
    <w:lvl w:ilvl="8">
      <w:start w:val="1"/>
      <w:numFmt w:val="bullet"/>
      <w:suff w:val="tab"/>
      <w:lvlText w:val="·"/>
      <w:lvlJc w:val="left"/>
      <w:pPr>
        <w:ind w:left="6480" w:hanging="349"/>
      </w:pPr>
      <w:rPr>
        <w:rFonts w:ascii="Symbol" w:hAnsi="Symbol" w:cs="Symbol" w:eastAsia="Symbol"/>
      </w:rPr>
    </w:lvl>
  </w:abstractNum>
  <w:abstractNum w:abstractNumId="6">
    <w:multiLevelType w:val="hybridMultilevel"/>
    <w:lvl w:ilvl="0">
      <w:start w:val="1"/>
      <w:numFmt w:val="bullet"/>
      <w:suff w:val="tab"/>
      <w:lvlText w:val="·"/>
      <w:lvlJc w:val="left"/>
      <w:pPr>
        <w:ind w:left="720" w:hanging="348"/>
      </w:pPr>
      <w:rPr>
        <w:rFonts w:ascii="Symbol" w:hAnsi="Symbol" w:cs="Symbol" w:eastAsia="Symbol"/>
      </w:rPr>
    </w:lvl>
    <w:lvl w:ilvl="1">
      <w:start w:val="1"/>
      <w:numFmt w:val="bullet"/>
      <w:suff w:val="tab"/>
      <w:lvlText w:val="·"/>
      <w:lvlJc w:val="left"/>
      <w:pPr>
        <w:ind w:left="1440" w:hanging="348"/>
      </w:pPr>
      <w:rPr>
        <w:rFonts w:ascii="Symbol" w:hAnsi="Symbol" w:cs="Symbol" w:eastAsia="Symbol"/>
      </w:rPr>
    </w:lvl>
    <w:lvl w:ilvl="2">
      <w:start w:val="1"/>
      <w:numFmt w:val="bullet"/>
      <w:suff w:val="tab"/>
      <w:lvlText w:val="·"/>
      <w:lvlJc w:val="left"/>
      <w:pPr>
        <w:ind w:left="2160" w:hanging="348"/>
      </w:pPr>
      <w:rPr>
        <w:rFonts w:ascii="Symbol" w:hAnsi="Symbol" w:cs="Symbol" w:eastAsia="Symbol"/>
      </w:rPr>
    </w:lvl>
    <w:lvl w:ilvl="3">
      <w:start w:val="1"/>
      <w:numFmt w:val="bullet"/>
      <w:suff w:val="tab"/>
      <w:lvlText w:val="·"/>
      <w:lvlJc w:val="left"/>
      <w:pPr>
        <w:ind w:left="2880" w:hanging="348"/>
      </w:pPr>
      <w:rPr>
        <w:rFonts w:ascii="Symbol" w:hAnsi="Symbol" w:cs="Symbol" w:eastAsia="Symbol"/>
      </w:rPr>
    </w:lvl>
    <w:lvl w:ilvl="4">
      <w:start w:val="1"/>
      <w:numFmt w:val="bullet"/>
      <w:suff w:val="tab"/>
      <w:lvlText w:val="·"/>
      <w:lvlJc w:val="left"/>
      <w:pPr>
        <w:ind w:left="3600" w:hanging="348"/>
      </w:pPr>
      <w:rPr>
        <w:rFonts w:ascii="Symbol" w:hAnsi="Symbol" w:cs="Symbol" w:eastAsia="Symbol"/>
      </w:rPr>
    </w:lvl>
    <w:lvl w:ilvl="5">
      <w:start w:val="1"/>
      <w:numFmt w:val="bullet"/>
      <w:suff w:val="tab"/>
      <w:lvlText w:val="·"/>
      <w:lvlJc w:val="left"/>
      <w:pPr>
        <w:ind w:left="4320" w:hanging="348"/>
      </w:pPr>
      <w:rPr>
        <w:rFonts w:ascii="Symbol" w:hAnsi="Symbol" w:cs="Symbol" w:eastAsia="Symbol"/>
      </w:rPr>
    </w:lvl>
    <w:lvl w:ilvl="6">
      <w:start w:val="1"/>
      <w:numFmt w:val="bullet"/>
      <w:suff w:val="tab"/>
      <w:lvlText w:val="·"/>
      <w:lvlJc w:val="left"/>
      <w:pPr>
        <w:ind w:left="5040" w:hanging="348"/>
      </w:pPr>
      <w:rPr>
        <w:rFonts w:ascii="Symbol" w:hAnsi="Symbol" w:cs="Symbol" w:eastAsia="Symbol"/>
      </w:rPr>
    </w:lvl>
    <w:lvl w:ilvl="7">
      <w:start w:val="1"/>
      <w:numFmt w:val="bullet"/>
      <w:suff w:val="tab"/>
      <w:lvlText w:val="·"/>
      <w:lvlJc w:val="left"/>
      <w:pPr>
        <w:ind w:left="5760" w:hanging="348"/>
      </w:pPr>
      <w:rPr>
        <w:rFonts w:ascii="Symbol" w:hAnsi="Symbol" w:cs="Symbol" w:eastAsia="Symbol"/>
      </w:rPr>
    </w:lvl>
    <w:lvl w:ilvl="8">
      <w:start w:val="1"/>
      <w:numFmt w:val="bullet"/>
      <w:suff w:val="tab"/>
      <w:lvlText w:val="·"/>
      <w:lvlJc w:val="left"/>
      <w:pPr>
        <w:ind w:left="6480" w:hanging="348"/>
      </w:pPr>
      <w:rPr>
        <w:rFonts w:ascii="Symbol" w:hAnsi="Symbol" w:cs="Symbol" w:eastAsia="Symbol"/>
      </w:rPr>
    </w:lvl>
  </w:abstractNum>
  <w:abstractNum w:abstractNumId="7">
    <w:multiLevelType w:val="hybridMultilevel"/>
    <w:lvl w:ilvl="0">
      <w:start w:val="1"/>
      <w:numFmt w:val="decimal"/>
      <w:suff w:val="tab"/>
      <w:lvlText w:val="%1."/>
      <w:lvlJc w:val="left"/>
      <w:pPr>
        <w:ind w:left="720" w:hanging="355"/>
      </w:pPr>
      <w:rPr>
        <w:rFonts w:hint="default"/>
      </w:rPr>
    </w:lvl>
    <w:lvl w:ilvl="1">
      <w:start w:val="1"/>
      <w:numFmt w:val="lowerLetter"/>
      <w:suff w:val="tab"/>
      <w:lvlText w:val="%2."/>
      <w:lvlJc w:val="left"/>
      <w:pPr>
        <w:ind w:left="1440" w:hanging="355"/>
      </w:pPr>
    </w:lvl>
    <w:lvl w:ilvl="2">
      <w:start w:val="1"/>
      <w:numFmt w:val="lowerRoman"/>
      <w:suff w:val="tab"/>
      <w:lvlText w:val="%3."/>
      <w:lvlJc w:val="right"/>
      <w:pPr>
        <w:ind w:left="2160" w:hanging="175"/>
      </w:pPr>
    </w:lvl>
    <w:lvl w:ilvl="3">
      <w:start w:val="1"/>
      <w:numFmt w:val="decimal"/>
      <w:suff w:val="tab"/>
      <w:lvlText w:val="%4."/>
      <w:lvlJc w:val="left"/>
      <w:pPr>
        <w:ind w:left="2880" w:hanging="355"/>
      </w:pPr>
    </w:lvl>
    <w:lvl w:ilvl="4">
      <w:start w:val="1"/>
      <w:numFmt w:val="lowerLetter"/>
      <w:suff w:val="tab"/>
      <w:lvlText w:val="%5."/>
      <w:lvlJc w:val="left"/>
      <w:pPr>
        <w:ind w:left="3600" w:hanging="355"/>
      </w:pPr>
    </w:lvl>
    <w:lvl w:ilvl="5">
      <w:start w:val="1"/>
      <w:numFmt w:val="lowerRoman"/>
      <w:suff w:val="tab"/>
      <w:lvlText w:val="%6."/>
      <w:lvlJc w:val="right"/>
      <w:pPr>
        <w:ind w:left="4320" w:hanging="175"/>
      </w:pPr>
    </w:lvl>
    <w:lvl w:ilvl="6">
      <w:start w:val="1"/>
      <w:numFmt w:val="decimal"/>
      <w:suff w:val="tab"/>
      <w:lvlText w:val="%7."/>
      <w:lvlJc w:val="left"/>
      <w:pPr>
        <w:ind w:left="5040" w:hanging="355"/>
      </w:pPr>
    </w:lvl>
    <w:lvl w:ilvl="7">
      <w:start w:val="1"/>
      <w:numFmt w:val="lowerLetter"/>
      <w:suff w:val="tab"/>
      <w:lvlText w:val="%8."/>
      <w:lvlJc w:val="left"/>
      <w:pPr>
        <w:ind w:left="5760" w:hanging="355"/>
      </w:pPr>
    </w:lvl>
    <w:lvl w:ilvl="8">
      <w:start w:val="1"/>
      <w:numFmt w:val="lowerRoman"/>
      <w:suff w:val="tab"/>
      <w:lvlText w:val="%9."/>
      <w:lvlJc w:val="right"/>
      <w:pPr>
        <w:ind w:left="6480" w:hanging="175"/>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brkBin m:val="before"/>
    <m:defJc m:val="centerGroup"/>
    <m:intLim m:val="subSup"/>
    <m:lMargin m:val="0"/>
    <m:mathFont m:val="Cambria Math"/>
    <m:naryLim m:val="undOvr"/>
    <m:rMargin m:val="0"/>
    <m:smallFrac m:val="false"/>
    <m:wrapIndent m:val="1440"/>
  </m:mathPr>
  <w:trackRevisions/>
  <w:footnotePr>
    <w:footnote w:id="-1"/>
    <w:footnote w:id="0"/>
    <w:numFmt w:val="decimal"/>
    <w:numRestart w:val="continuous"/>
    <w:numStart w:val="1"/>
    <w:pos w:val="pageBottom"/>
  </w:footnotePr>
  <w:zoom w:percent="10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cs="Arial" w:eastAsia="Arial"/>
        <w:color w:val="auto"/>
        <w:spacing w:val="0"/>
        <w:position w:val="0"/>
        <w:sz w:val="22"/>
        <w:szCs w:val="22"/>
        <w:lang w:val="en-US" w:bidi="ar-SA" w:eastAsia="en-US"/>
      </w:rPr>
    </w:rPrDefault>
    <w:pPrDefault>
      <w:pPr>
        <w:ind w:left="0" w:right="0" w:hanging="0"/>
        <w:jc w:val="left"/>
        <w:spacing w:lineRule="auto" w:line="276" w:after="200" w:afterAutospacing="0" w:before="0" w:beforeAutospacing="0"/>
        <w:shd w:val="clear" w:color="auto" w:fill="auto"/>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135">
    <w:name w:val="Normal"/>
    <w:qFormat/>
  </w:style>
  <w:style w:type="paragraph" w:styleId="136">
    <w:name w:val="Heading 1"/>
    <w:basedOn w:val="135"/>
    <w:next w:val="135"/>
    <w:qFormat/>
    <w:uiPriority w:val="9"/>
    <w:rPr>
      <w:b/>
      <w:bCs/>
      <w:color w:val="000000" w:themeColor="text1"/>
      <w:sz w:val="48"/>
      <w:szCs w:val="48"/>
    </w:rPr>
    <w:pPr>
      <w:keepLines/>
      <w:keepNext/>
      <w:spacing w:after="0" w:before="480"/>
    </w:pPr>
  </w:style>
  <w:style w:type="paragraph" w:styleId="137">
    <w:name w:val="Heading 2"/>
    <w:basedOn w:val="135"/>
    <w:next w:val="135"/>
    <w:qFormat/>
    <w:uiPriority w:val="9"/>
    <w:unhideWhenUsed/>
    <w:rPr>
      <w:b/>
      <w:bCs/>
      <w:color w:val="000000" w:themeColor="text1"/>
      <w:sz w:val="40"/>
    </w:rPr>
    <w:pPr>
      <w:keepLines/>
      <w:keepNext/>
      <w:spacing w:after="0" w:before="200"/>
    </w:pPr>
  </w:style>
  <w:style w:type="paragraph" w:styleId="138">
    <w:name w:val="Heading 3"/>
    <w:basedOn w:val="135"/>
    <w:next w:val="135"/>
    <w:qFormat/>
    <w:uiPriority w:val="9"/>
    <w:unhideWhenUsed/>
    <w:rPr>
      <w:b/>
      <w:bCs/>
      <w:i/>
      <w:iCs/>
      <w:color w:val="000000" w:themeColor="text1"/>
      <w:sz w:val="36"/>
      <w:szCs w:val="36"/>
    </w:rPr>
    <w:pPr>
      <w:keepLines/>
      <w:keepNext/>
      <w:spacing w:after="0" w:before="200"/>
    </w:pPr>
  </w:style>
  <w:style w:type="paragraph" w:styleId="139">
    <w:name w:val="Heading 4"/>
    <w:basedOn w:val="135"/>
    <w:next w:val="135"/>
    <w:qFormat/>
    <w:uiPriority w:val="9"/>
    <w:unhideWhenUsed/>
    <w:rPr>
      <w:color w:val="232323"/>
      <w:sz w:val="32"/>
      <w:szCs w:val="32"/>
    </w:rPr>
    <w:pPr>
      <w:keepLines/>
      <w:keepNext/>
      <w:spacing w:after="0" w:before="200"/>
    </w:pPr>
  </w:style>
  <w:style w:type="paragraph" w:styleId="140">
    <w:name w:val="Heading 5"/>
    <w:basedOn w:val="135"/>
    <w:next w:val="135"/>
    <w:qFormat/>
    <w:uiPriority w:val="9"/>
    <w:unhideWhenUsed/>
    <w:rPr>
      <w:b/>
      <w:bCs/>
      <w:color w:val="444444"/>
      <w:sz w:val="28"/>
      <w:szCs w:val="28"/>
    </w:rPr>
    <w:pPr>
      <w:keepLines/>
      <w:keepNext/>
      <w:spacing w:after="0" w:before="200"/>
    </w:pPr>
  </w:style>
  <w:style w:type="paragraph" w:styleId="141">
    <w:name w:val="Heading 6"/>
    <w:basedOn w:val="135"/>
    <w:next w:val="135"/>
    <w:qFormat/>
    <w:uiPriority w:val="9"/>
    <w:unhideWhenUsed/>
    <w:rPr>
      <w:i/>
      <w:iCs/>
      <w:color w:val="232323"/>
      <w:sz w:val="28"/>
      <w:szCs w:val="28"/>
    </w:rPr>
    <w:pPr>
      <w:keepLines/>
      <w:keepNext/>
      <w:spacing w:after="0" w:before="200"/>
    </w:pPr>
  </w:style>
  <w:style w:type="paragraph" w:styleId="142">
    <w:name w:val="Heading 7"/>
    <w:basedOn w:val="135"/>
    <w:next w:val="135"/>
    <w:qFormat/>
    <w:uiPriority w:val="9"/>
    <w:unhideWhenUsed/>
    <w:rPr>
      <w:b/>
      <w:bCs/>
      <w:color w:val="606060"/>
      <w:sz w:val="24"/>
      <w:szCs w:val="24"/>
    </w:rPr>
    <w:pPr>
      <w:keepLines/>
      <w:keepNext/>
      <w:spacing w:after="0" w:before="200"/>
    </w:pPr>
  </w:style>
  <w:style w:type="paragraph" w:styleId="143">
    <w:name w:val="Heading 8"/>
    <w:basedOn w:val="135"/>
    <w:next w:val="135"/>
    <w:qFormat/>
    <w:uiPriority w:val="9"/>
    <w:unhideWhenUsed/>
    <w:rPr>
      <w:color w:val="444444"/>
      <w:sz w:val="24"/>
      <w:szCs w:val="24"/>
    </w:rPr>
    <w:pPr>
      <w:keepLines/>
      <w:keepNext/>
      <w:spacing w:after="0" w:before="200"/>
    </w:pPr>
  </w:style>
  <w:style w:type="paragraph" w:styleId="144">
    <w:name w:val="Heading 9"/>
    <w:basedOn w:val="135"/>
    <w:next w:val="135"/>
    <w:qFormat/>
    <w:uiPriority w:val="9"/>
    <w:unhideWhenUsed/>
    <w:rPr>
      <w:i/>
      <w:iCs/>
      <w:color w:val="444444"/>
      <w:sz w:val="23"/>
      <w:szCs w:val="23"/>
    </w:rPr>
    <w:pPr>
      <w:keepLines/>
      <w:keepNext/>
      <w:spacing w:after="0" w:before="200"/>
    </w:pPr>
  </w:style>
  <w:style w:type="character" w:default="1" w:styleId="145">
    <w:name w:val="Default Paragraph Font"/>
    <w:uiPriority w:val="1"/>
    <w:unhideWhenUsed/>
  </w:style>
  <w:style w:type="table" w:default="1" w:styleId="146">
    <w:name w:val="Normal Table"/>
    <w:uiPriority w:val="99"/>
    <w:semiHidden/>
    <w:unhideWhenUsed/>
    <w:tblPr>
      <w:tblInd w:w="0" w:type="dxa"/>
      <w:tblCellMar>
        <w:left w:w="108" w:type="dxa"/>
        <w:top w:w="0" w:type="dxa"/>
        <w:right w:w="108" w:type="dxa"/>
        <w:bottom w:w="0" w:type="dxa"/>
      </w:tblCellMar>
    </w:tblPr>
  </w:style>
  <w:style w:type="numbering" w:default="1" w:styleId="147">
    <w:name w:val="No List"/>
    <w:uiPriority w:val="99"/>
    <w:semiHidden/>
    <w:unhideWhenUsed/>
  </w:style>
  <w:style w:type="table" w:styleId="148">
    <w:name w:val="Table Grid"/>
    <w:basedOn w:val="146"/>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149">
    <w:name w:val="Lined"/>
    <w:basedOn w:val="146"/>
    <w:uiPriority w:val="99"/>
    <w:rPr>
      <w:color w:val="404040"/>
      <w:sz w:val="20"/>
      <w:szCs w:val="20"/>
      <w:lang w:val="en-GB" w:eastAsia="en-GB"/>
    </w:rPr>
    <w:pPr>
      <w:spacing w:lineRule="auto" w:line="240" w:after="0"/>
    </w:p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F2F2F2"/>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150">
    <w:name w:val="Lined - Accent 1"/>
    <w:basedOn w:val="146"/>
    <w:uiPriority w:val="99"/>
    <w:rPr>
      <w:color w:val="404040"/>
      <w:sz w:val="20"/>
      <w:szCs w:val="20"/>
      <w:lang w:val="en-GB" w:eastAsia="en-GB"/>
    </w:rPr>
    <w:pPr>
      <w:spacing w:lineRule="auto" w:line="240" w:after="0"/>
    </w:p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151">
    <w:name w:val="Lined - Accent 2"/>
    <w:basedOn w:val="146"/>
    <w:uiPriority w:val="99"/>
    <w:rPr>
      <w:color w:val="404040"/>
      <w:sz w:val="20"/>
      <w:szCs w:val="20"/>
      <w:lang w:val="en-GB" w:eastAsia="en-GB"/>
    </w:rPr>
    <w:pPr>
      <w:spacing w:lineRule="auto" w:line="240" w:after="0"/>
    </w:p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152">
    <w:name w:val="Lined - Accent 3"/>
    <w:basedOn w:val="146"/>
    <w:uiPriority w:val="99"/>
    <w:rPr>
      <w:color w:val="404040"/>
      <w:sz w:val="20"/>
      <w:szCs w:val="20"/>
      <w:lang w:val="en-GB" w:eastAsia="en-GB"/>
    </w:rPr>
    <w:pPr>
      <w:spacing w:lineRule="auto" w:line="240" w:after="0"/>
    </w:p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559"/>
      </w:tcPr>
    </w:tblStylePr>
    <w:tblStylePr w:type="firstRow">
      <w:rPr>
        <w:rFonts w:ascii="Arial" w:hAnsi="Arial"/>
        <w:color w:val="F2F2F2"/>
        <w:sz w:val="22"/>
      </w:rPr>
      <w:tcPr>
        <w:shd w:val="clear" w:color="auto" w:fill="9BB559"/>
      </w:tcPr>
    </w:tblStylePr>
    <w:tblStylePr w:type="lastCol">
      <w:rPr>
        <w:rFonts w:ascii="Arial" w:hAnsi="Arial"/>
        <w:color w:val="F2F2F2"/>
        <w:sz w:val="22"/>
      </w:rPr>
      <w:tcPr>
        <w:shd w:val="clear" w:color="auto" w:fill="9BB559"/>
      </w:tcPr>
    </w:tblStylePr>
    <w:tblStylePr w:type="lastRow">
      <w:rPr>
        <w:rFonts w:ascii="Arial" w:hAnsi="Arial"/>
        <w:color w:val="F2F2F2"/>
        <w:sz w:val="22"/>
      </w:rPr>
      <w:tcPr>
        <w:shd w:val="clear" w:color="auto" w:fill="9BB559"/>
      </w:tcPr>
    </w:tblStylePr>
  </w:style>
  <w:style w:type="table" w:styleId="153">
    <w:name w:val="Lined - Accent 4"/>
    <w:basedOn w:val="146"/>
    <w:uiPriority w:val="99"/>
    <w:rPr>
      <w:color w:val="404040"/>
      <w:sz w:val="20"/>
      <w:szCs w:val="20"/>
      <w:lang w:val="en-GB" w:eastAsia="en-GB"/>
    </w:rPr>
    <w:pPr>
      <w:spacing w:lineRule="auto" w:line="240" w:after="0"/>
    </w:p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154">
    <w:name w:val="Lined - Accent 5"/>
    <w:basedOn w:val="146"/>
    <w:uiPriority w:val="99"/>
    <w:rPr>
      <w:color w:val="404040"/>
      <w:sz w:val="20"/>
      <w:szCs w:val="20"/>
      <w:lang w:val="en-GB" w:eastAsia="en-GB"/>
    </w:rPr>
    <w:pPr>
      <w:spacing w:lineRule="auto" w:line="240" w:after="0"/>
    </w:p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155">
    <w:name w:val="Lined - Accent 6"/>
    <w:basedOn w:val="146"/>
    <w:uiPriority w:val="99"/>
    <w:rPr>
      <w:color w:val="404040"/>
      <w:sz w:val="20"/>
      <w:szCs w:val="20"/>
      <w:lang w:val="en-GB" w:eastAsia="en-GB"/>
    </w:rPr>
    <w:pPr>
      <w:spacing w:lineRule="auto" w:line="240" w:after="0"/>
    </w:p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table" w:styleId="156">
    <w:name w:val="Bordered"/>
    <w:basedOn w:val="146"/>
    <w:uiPriority w:val="99"/>
    <w:pPr>
      <w:spacing w:lineRule="auto" w:line="240" w:after="0"/>
    </w:pPr>
    <w:tblPr>
      <w:tblStyleRowBandSize w:val="1"/>
      <w:tblStyleColBandSize w:val="1"/>
      <w:tblInd w:w="0" w:type="dxa"/>
      <w:tblBorders>
        <w:left w:val="single" w:color="D9D9D9" w:sz="4" w:space="0"/>
        <w:top w:val="single" w:color="D9D9D9" w:sz="4" w:space="0"/>
        <w:right w:val="single" w:color="D9D9D9" w:sz="4" w:space="0"/>
        <w:bottom w:val="single" w:color="D9D9D9" w:sz="4" w:space="0"/>
        <w:insideV w:val="single" w:color="D9D9D9" w:sz="4" w:space="0"/>
        <w:insideH w:val="single" w:color="D9D9D9" w:sz="4" w:space="0"/>
      </w:tblBorders>
      <w:tblCellMar>
        <w:left w:w="170" w:type="dxa"/>
        <w:top w:w="96" w:type="dxa"/>
        <w:right w:w="170" w:type="dxa"/>
        <w:bottom w:w="96" w:type="dxa"/>
      </w:tblCellMar>
    </w:tblPr>
    <w:tblStylePr w:type="band1Horz">
      <w:rPr>
        <w:rFonts w:ascii="Arial" w:hAnsi="Arial"/>
        <w:color w:val="404040"/>
        <w:sz w:val="22"/>
      </w:rPr>
      <w:tcPr>
        <w:tcBorders>
          <w:left w:val="single" w:color="D9D9D9" w:sz="4" w:space="0"/>
          <w:top w:val="single" w:color="D9D9D9" w:sz="4" w:space="0"/>
          <w:right w:val="single" w:color="D9D9D9" w:sz="4" w:space="0"/>
          <w:bottom w:val="single" w:color="D9D9D9" w:sz="4" w:space="0"/>
        </w:tcBorders>
      </w:tcPr>
    </w:tblStylePr>
    <w:tblStylePr w:type="firstCol">
      <w:rPr>
        <w:rFonts w:ascii="Arial" w:hAnsi="Arial"/>
        <w:color w:val="404040"/>
        <w:sz w:val="22"/>
      </w:rPr>
      <w:tcPr>
        <w:tcBorders>
          <w:right w:val="single" w:color="7F7F7F" w:sz="12" w:space="0"/>
        </w:tcBorders>
      </w:tc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57">
    <w:name w:val="Bordered - Accent 1"/>
    <w:basedOn w:val="146"/>
    <w:uiPriority w:val="99"/>
    <w:pPr>
      <w:spacing w:lineRule="auto" w:line="240" w:after="0"/>
    </w:pPr>
    <w:tblPr>
      <w:tblStyleRowBandSize w:val="1"/>
      <w:tblStyleColBandSize w:val="1"/>
      <w:tblInd w:w="0" w:type="dxa"/>
      <w:tblBorders>
        <w:left w:val="single" w:color="B8CCE4" w:sz="4" w:space="0"/>
        <w:top w:val="single" w:color="B8CCE4" w:sz="4" w:space="0"/>
        <w:right w:val="single" w:color="B8CCE4" w:sz="4" w:space="0"/>
        <w:bottom w:val="single" w:color="B8CCE4" w:sz="4" w:space="0"/>
        <w:insideV w:val="single" w:color="B8CCE4" w:sz="4" w:space="0"/>
        <w:insideH w:val="single" w:color="B8CCE4" w:sz="4" w:space="0"/>
      </w:tblBorders>
      <w:tblCellMar>
        <w:left w:w="170" w:type="dxa"/>
        <w:top w:w="96" w:type="dxa"/>
        <w:right w:w="170" w:type="dxa"/>
        <w:bottom w:w="96" w:type="dxa"/>
      </w:tblCellMar>
    </w:tblPr>
    <w:tblStylePr w:type="band1Horz">
      <w:rPr>
        <w:rFonts w:ascii="Arial" w:hAnsi="Arial"/>
        <w:color w:val="404040"/>
        <w:sz w:val="22"/>
      </w:rPr>
      <w:tcPr>
        <w:tcBorders>
          <w:left w:val="single" w:color="B8CCE4" w:sz="4" w:space="0"/>
          <w:top w:val="single" w:color="B8CCE4" w:sz="4" w:space="0"/>
          <w:right w:val="single" w:color="B8CCE4" w:sz="4" w:space="0"/>
          <w:bottom w:val="single" w:color="B8CCE4" w:sz="4" w:space="0"/>
        </w:tcBorders>
      </w:tcPr>
    </w:tblStylePr>
    <w:tblStylePr w:type="firstCol">
      <w:rPr>
        <w:rFonts w:ascii="Arial" w:hAnsi="Arial"/>
        <w:color w:val="404040"/>
        <w:sz w:val="22"/>
      </w:rPr>
      <w:tcPr>
        <w:tcBorders>
          <w:right w:val="single" w:color="4F81BD" w:sz="12" w:space="0"/>
        </w:tcBorders>
      </w:tc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58">
    <w:name w:val="Bordered - Accent 2"/>
    <w:basedOn w:val="146"/>
    <w:uiPriority w:val="99"/>
    <w:pPr>
      <w:spacing w:lineRule="auto" w:line="240" w:after="0"/>
    </w:pPr>
    <w:tblPr>
      <w:tblStyleRowBandSize w:val="1"/>
      <w:tblStyleColBandSize w:val="1"/>
      <w:tblInd w:w="0" w:type="dxa"/>
      <w:tblBorders>
        <w:left w:val="single" w:color="E5B8B7" w:sz="4" w:space="0"/>
        <w:top w:val="single" w:color="E5B8B7" w:sz="4" w:space="0"/>
        <w:right w:val="single" w:color="E5B8B7" w:sz="4" w:space="0"/>
        <w:bottom w:val="single" w:color="E5B8B7" w:sz="4" w:space="0"/>
        <w:insideV w:val="single" w:color="E5B8B7" w:sz="4" w:space="0"/>
        <w:insideH w:val="single" w:color="E5B8B7" w:sz="4" w:space="0"/>
      </w:tblBorders>
      <w:tblCellMar>
        <w:left w:w="170" w:type="dxa"/>
        <w:top w:w="96" w:type="dxa"/>
        <w:right w:w="170" w:type="dxa"/>
        <w:bottom w:w="96" w:type="dxa"/>
      </w:tblCellMar>
    </w:tblPr>
    <w:tblStylePr w:type="band1Horz">
      <w:rPr>
        <w:rFonts w:ascii="Arial" w:hAnsi="Arial"/>
        <w:color w:val="404040"/>
        <w:sz w:val="22"/>
      </w:rPr>
      <w:tcPr>
        <w:tcBorders>
          <w:left w:val="single" w:color="E5B8B7" w:sz="4" w:space="0"/>
          <w:top w:val="single" w:color="E5B8B7" w:sz="4" w:space="0"/>
          <w:right w:val="single" w:color="E5B8B7" w:sz="4" w:space="0"/>
          <w:bottom w:val="single" w:color="E5B8B7" w:sz="4" w:space="0"/>
        </w:tcBorders>
      </w:tcPr>
    </w:tblStylePr>
    <w:tblStylePr w:type="firstCol">
      <w:rPr>
        <w:rFonts w:ascii="Arial" w:hAnsi="Arial"/>
        <w:color w:val="404040"/>
        <w:sz w:val="22"/>
      </w:rPr>
      <w:tcPr>
        <w:tcBorders>
          <w:right w:val="single" w:color="D99594" w:sz="12" w:space="0"/>
        </w:tcBorders>
      </w:tcPr>
    </w:tblStylePr>
    <w:tblStylePr w:type="firstRow">
      <w:rPr>
        <w:rFonts w:ascii="Arial" w:hAnsi="Arial"/>
        <w:color w:val="404040"/>
        <w:sz w:val="22"/>
      </w:rPr>
      <w:tcPr>
        <w:tcBorders>
          <w:bottom w:val="single" w:color="D99594" w:sz="12" w:space="0"/>
        </w:tcBorders>
      </w:tcPr>
    </w:tblStylePr>
    <w:tblStylePr w:type="lastCol">
      <w:rPr>
        <w:rFonts w:ascii="Arial" w:hAnsi="Arial"/>
        <w:color w:val="404040"/>
        <w:sz w:val="22"/>
      </w:rPr>
      <w:tcPr>
        <w:tcBorders>
          <w:left w:val="single" w:color="D99594" w:sz="12" w:space="0"/>
        </w:tcBorders>
      </w:tcPr>
    </w:tblStylePr>
    <w:tblStylePr w:type="lastRow">
      <w:rPr>
        <w:rFonts w:ascii="Arial" w:hAnsi="Arial"/>
        <w:color w:val="404040"/>
        <w:sz w:val="22"/>
      </w:rPr>
      <w:tcPr>
        <w:tcBorders>
          <w:top w:val="single" w:color="D99594" w:sz="12" w:space="0"/>
        </w:tcBorders>
      </w:tcPr>
    </w:tblStylePr>
  </w:style>
  <w:style w:type="table" w:styleId="159">
    <w:name w:val="Bordered - Accent 3"/>
    <w:basedOn w:val="146"/>
    <w:uiPriority w:val="99"/>
    <w:pPr>
      <w:spacing w:lineRule="auto" w:line="240" w:after="0"/>
    </w:pPr>
    <w:tblPr>
      <w:tblStyleRowBandSize w:val="1"/>
      <w:tblStyleColBandSize w:val="1"/>
      <w:tblInd w:w="0" w:type="dxa"/>
      <w:tblBorders>
        <w:left w:val="single" w:color="D6E3BC" w:sz="4" w:space="0"/>
        <w:top w:val="single" w:color="D6E3BC" w:sz="4" w:space="0"/>
        <w:right w:val="single" w:color="D6E3BC" w:sz="4" w:space="0"/>
        <w:bottom w:val="single" w:color="D6E3BC" w:sz="4" w:space="0"/>
        <w:insideV w:val="single" w:color="D6E3BC" w:sz="4" w:space="0"/>
        <w:insideH w:val="single" w:color="D6E3BC" w:sz="4" w:space="0"/>
      </w:tblBorders>
      <w:tblCellMar>
        <w:left w:w="170" w:type="dxa"/>
        <w:top w:w="96" w:type="dxa"/>
        <w:right w:w="170" w:type="dxa"/>
        <w:bottom w:w="96" w:type="dxa"/>
      </w:tblCellMar>
    </w:tblPr>
    <w:tblStylePr w:type="band1Horz">
      <w:rPr>
        <w:rFonts w:ascii="Arial" w:hAnsi="Arial"/>
        <w:color w:val="404040"/>
        <w:sz w:val="22"/>
      </w:rPr>
      <w:tcPr>
        <w:tcBorders>
          <w:left w:val="single" w:color="D6E3BC" w:sz="4" w:space="0"/>
          <w:top w:val="single" w:color="D6E3BC" w:sz="4" w:space="0"/>
          <w:right w:val="single" w:color="D6E3BC" w:sz="4" w:space="0"/>
          <w:bottom w:val="single" w:color="D6E3BC" w:sz="4" w:space="0"/>
        </w:tcBorders>
      </w:tcPr>
    </w:tblStylePr>
    <w:tblStylePr w:type="firstCol">
      <w:rPr>
        <w:rFonts w:ascii="Arial" w:hAnsi="Arial"/>
        <w:color w:val="404040"/>
        <w:sz w:val="22"/>
      </w:rPr>
      <w:tcPr>
        <w:tcBorders>
          <w:right w:val="single" w:color="C2D69B" w:sz="12" w:space="0"/>
        </w:tcBorders>
      </w:tcPr>
    </w:tblStylePr>
    <w:tblStylePr w:type="firstRow">
      <w:rPr>
        <w:rFonts w:ascii="Arial" w:hAnsi="Arial"/>
        <w:color w:val="404040"/>
        <w:sz w:val="22"/>
      </w:rPr>
      <w:tcPr>
        <w:tcBorders>
          <w:bottom w:val="single" w:color="C2D69B" w:sz="12" w:space="0"/>
        </w:tcBorders>
      </w:tcPr>
    </w:tblStylePr>
    <w:tblStylePr w:type="lastCol">
      <w:rPr>
        <w:rFonts w:ascii="Arial" w:hAnsi="Arial"/>
        <w:color w:val="404040"/>
        <w:sz w:val="22"/>
      </w:rPr>
      <w:tcPr>
        <w:tcBorders>
          <w:left w:val="single" w:color="C2D69B" w:sz="12" w:space="0"/>
        </w:tcBorders>
      </w:tcPr>
    </w:tblStylePr>
    <w:tblStylePr w:type="lastRow">
      <w:rPr>
        <w:rFonts w:ascii="Arial" w:hAnsi="Arial"/>
        <w:color w:val="404040"/>
        <w:sz w:val="22"/>
      </w:rPr>
      <w:tcPr>
        <w:tcBorders>
          <w:top w:val="single" w:color="C2D69B" w:sz="12" w:space="0"/>
        </w:tcBorders>
      </w:tcPr>
    </w:tblStylePr>
  </w:style>
  <w:style w:type="table" w:styleId="160">
    <w:name w:val="Bordered - Accent 4"/>
    <w:basedOn w:val="146"/>
    <w:uiPriority w:val="99"/>
    <w:pPr>
      <w:spacing w:lineRule="auto" w:line="240" w:after="0"/>
    </w:pPr>
    <w:tblPr>
      <w:tblStyleRowBandSize w:val="1"/>
      <w:tblStyleColBandSize w:val="1"/>
      <w:tblInd w:w="0" w:type="dxa"/>
      <w:tblBorders>
        <w:left w:val="single" w:color="CCC0D9" w:sz="4" w:space="0"/>
        <w:top w:val="single" w:color="CCC0D9" w:sz="4" w:space="0"/>
        <w:right w:val="single" w:color="CCC0D9" w:sz="4" w:space="0"/>
        <w:bottom w:val="single" w:color="CCC0D9" w:sz="4" w:space="0"/>
        <w:insideV w:val="single" w:color="CCC0D9" w:sz="4" w:space="0"/>
        <w:insideH w:val="single" w:color="CCC0D9" w:sz="4" w:space="0"/>
      </w:tblBorders>
      <w:tblCellMar>
        <w:left w:w="170" w:type="dxa"/>
        <w:top w:w="96" w:type="dxa"/>
        <w:right w:w="170" w:type="dxa"/>
        <w:bottom w:w="96" w:type="dxa"/>
      </w:tblCellMar>
    </w:tblPr>
    <w:tblStylePr w:type="band1Horz">
      <w:rPr>
        <w:rFonts w:ascii="Arial" w:hAnsi="Arial"/>
        <w:color w:val="404040"/>
        <w:sz w:val="22"/>
      </w:rPr>
      <w:tcPr>
        <w:tcBorders>
          <w:left w:val="single" w:color="CCC0D9" w:sz="4" w:space="0"/>
          <w:top w:val="single" w:color="CCC0D9" w:sz="4" w:space="0"/>
          <w:right w:val="single" w:color="CCC0D9" w:sz="4" w:space="0"/>
          <w:bottom w:val="single" w:color="CCC0D9" w:sz="4" w:space="0"/>
        </w:tcBorders>
      </w:tcPr>
    </w:tblStylePr>
    <w:tblStylePr w:type="firstCol">
      <w:rPr>
        <w:rFonts w:ascii="Arial" w:hAnsi="Arial"/>
        <w:color w:val="404040"/>
        <w:sz w:val="22"/>
      </w:rPr>
      <w:tcPr>
        <w:tcBorders>
          <w:right w:val="single" w:color="B2A1C7" w:sz="12" w:space="0"/>
        </w:tcBorders>
      </w:tcPr>
    </w:tblStylePr>
    <w:tblStylePr w:type="firstRow">
      <w:rPr>
        <w:rFonts w:ascii="Arial" w:hAnsi="Arial"/>
        <w:color w:val="404040"/>
        <w:sz w:val="22"/>
      </w:rPr>
      <w:tcPr>
        <w:tcBorders>
          <w:bottom w:val="single" w:color="B2A1C7" w:sz="12" w:space="0"/>
        </w:tcBorders>
      </w:tcPr>
    </w:tblStylePr>
    <w:tblStylePr w:type="lastCol">
      <w:rPr>
        <w:rFonts w:ascii="Arial" w:hAnsi="Arial"/>
        <w:color w:val="404040"/>
        <w:sz w:val="22"/>
      </w:rPr>
      <w:tcPr>
        <w:tcBorders>
          <w:left w:val="single" w:color="B2A1C7" w:sz="12" w:space="0"/>
        </w:tcBorders>
      </w:tcPr>
    </w:tblStylePr>
    <w:tblStylePr w:type="lastRow">
      <w:rPr>
        <w:rFonts w:ascii="Arial" w:hAnsi="Arial"/>
        <w:color w:val="404040"/>
        <w:sz w:val="22"/>
      </w:rPr>
      <w:tcPr>
        <w:tcBorders>
          <w:top w:val="single" w:color="B2A1C7" w:sz="12" w:space="0"/>
        </w:tcBorders>
      </w:tcPr>
    </w:tblStylePr>
  </w:style>
  <w:style w:type="table" w:styleId="161">
    <w:name w:val="Bordered - Accent 5"/>
    <w:basedOn w:val="146"/>
    <w:uiPriority w:val="99"/>
    <w:pPr>
      <w:spacing w:lineRule="auto" w:line="240" w:after="0"/>
    </w:pPr>
    <w:tblPr>
      <w:tblStyleRowBandSize w:val="1"/>
      <w:tblStyleColBandSize w:val="1"/>
      <w:tblInd w:w="0" w:type="dxa"/>
      <w:tblBorders>
        <w:left w:val="single" w:color="B6DDE8" w:sz="4" w:space="0"/>
        <w:top w:val="single" w:color="B6DDE8" w:sz="4" w:space="0"/>
        <w:right w:val="single" w:color="B6DDE8" w:sz="4" w:space="0"/>
        <w:bottom w:val="single" w:color="B6DDE8" w:sz="4" w:space="0"/>
        <w:insideV w:val="single" w:color="B6DDE8" w:sz="4" w:space="0"/>
        <w:insideH w:val="single" w:color="B6DDE8" w:sz="4" w:space="0"/>
      </w:tblBorders>
      <w:tblCellMar>
        <w:left w:w="170" w:type="dxa"/>
        <w:top w:w="96" w:type="dxa"/>
        <w:right w:w="170" w:type="dxa"/>
        <w:bottom w:w="96" w:type="dxa"/>
      </w:tblCellMar>
    </w:tblPr>
    <w:tblStylePr w:type="band1Horz">
      <w:rPr>
        <w:rFonts w:ascii="Arial" w:hAnsi="Arial"/>
        <w:color w:val="404040"/>
        <w:sz w:val="22"/>
      </w:rPr>
      <w:tcPr>
        <w:tcBorders>
          <w:left w:val="single" w:color="B6DDE8" w:sz="4" w:space="0"/>
          <w:top w:val="single" w:color="B6DDE8" w:sz="4" w:space="0"/>
          <w:right w:val="single" w:color="B6DDE8" w:sz="4" w:space="0"/>
          <w:bottom w:val="single" w:color="B6DDE8" w:sz="4" w:space="0"/>
        </w:tcBorders>
      </w:tcPr>
    </w:tblStylePr>
    <w:tblStylePr w:type="firstCol">
      <w:rPr>
        <w:rFonts w:ascii="Arial" w:hAnsi="Arial"/>
        <w:color w:val="404040"/>
        <w:sz w:val="22"/>
      </w:rPr>
      <w:tcPr>
        <w:tcBorders>
          <w:right w:val="single" w:color="92CDDC" w:sz="12" w:space="0"/>
        </w:tcBorders>
      </w:tcPr>
    </w:tblStylePr>
    <w:tblStylePr w:type="firstRow">
      <w:rPr>
        <w:rFonts w:ascii="Arial" w:hAnsi="Arial"/>
        <w:color w:val="404040"/>
        <w:sz w:val="22"/>
      </w:rPr>
      <w:tcPr>
        <w:tcBorders>
          <w:bottom w:val="single" w:color="92CDDC" w:sz="12" w:space="0"/>
        </w:tcBorders>
      </w:tcPr>
    </w:tblStylePr>
    <w:tblStylePr w:type="lastCol">
      <w:rPr>
        <w:rFonts w:ascii="Arial" w:hAnsi="Arial"/>
        <w:color w:val="404040"/>
        <w:sz w:val="22"/>
      </w:rPr>
      <w:tcPr>
        <w:tcBorders>
          <w:left w:val="single" w:color="92CDDC" w:sz="12" w:space="0"/>
        </w:tcBorders>
      </w:tcPr>
    </w:tblStylePr>
    <w:tblStylePr w:type="lastRow">
      <w:rPr>
        <w:rFonts w:ascii="Arial" w:hAnsi="Arial"/>
        <w:color w:val="404040"/>
        <w:sz w:val="22"/>
      </w:rPr>
      <w:tcPr>
        <w:tcBorders>
          <w:top w:val="single" w:color="92CDDC" w:sz="12" w:space="0"/>
        </w:tcBorders>
      </w:tcPr>
    </w:tblStylePr>
  </w:style>
  <w:style w:type="table" w:styleId="162">
    <w:name w:val="Bordered - Accent 6"/>
    <w:basedOn w:val="146"/>
    <w:uiPriority w:val="99"/>
    <w:pPr>
      <w:spacing w:lineRule="auto" w:line="240" w:after="0"/>
    </w:pPr>
    <w:tblPr>
      <w:tblStyleRowBandSize w:val="1"/>
      <w:tblStyleColBandSize w:val="1"/>
      <w:tblInd w:w="0" w:type="dxa"/>
      <w:tblBorders>
        <w:left w:val="single" w:color="FBD4B4" w:sz="4" w:space="0"/>
        <w:top w:val="single" w:color="FBD4B4" w:sz="4" w:space="0"/>
        <w:right w:val="single" w:color="FBD4B4" w:sz="4" w:space="0"/>
        <w:bottom w:val="single" w:color="FBD4B4" w:sz="4" w:space="0"/>
        <w:insideV w:val="single" w:color="FBD4B4" w:sz="4" w:space="0"/>
        <w:insideH w:val="single" w:color="FBD4B4" w:sz="4" w:space="0"/>
      </w:tblBorders>
      <w:tblCellMar>
        <w:left w:w="170" w:type="dxa"/>
        <w:top w:w="96" w:type="dxa"/>
        <w:right w:w="170" w:type="dxa"/>
        <w:bottom w:w="96" w:type="dxa"/>
      </w:tblCellMar>
    </w:tblPr>
    <w:tblStylePr w:type="band1Horz">
      <w:rPr>
        <w:rFonts w:ascii="Arial" w:hAnsi="Arial"/>
        <w:color w:val="404040"/>
        <w:sz w:val="22"/>
      </w:rPr>
      <w:tcPr>
        <w:tcBorders>
          <w:left w:val="single" w:color="FBD4B4" w:sz="4" w:space="0"/>
          <w:top w:val="single" w:color="FBD4B4" w:sz="4" w:space="0"/>
          <w:right w:val="single" w:color="FBD4B4" w:sz="4" w:space="0"/>
          <w:bottom w:val="single" w:color="FBD4B4" w:sz="4" w:space="0"/>
        </w:tcBorders>
      </w:tcPr>
    </w:tblStylePr>
    <w:tblStylePr w:type="firstCol">
      <w:rPr>
        <w:rFonts w:ascii="Arial" w:hAnsi="Arial"/>
        <w:color w:val="404040"/>
        <w:sz w:val="22"/>
      </w:rPr>
      <w:tcPr>
        <w:tcBorders>
          <w:right w:val="single" w:color="FABF8F" w:sz="12" w:space="0"/>
        </w:tcBorders>
      </w:tcPr>
    </w:tblStylePr>
    <w:tblStylePr w:type="firstRow">
      <w:rPr>
        <w:rFonts w:ascii="Arial" w:hAnsi="Arial"/>
        <w:color w:val="404040"/>
        <w:sz w:val="22"/>
      </w:rPr>
      <w:tcPr>
        <w:tcBorders>
          <w:bottom w:val="single" w:color="FABF8F" w:sz="12" w:space="0"/>
        </w:tcBorders>
      </w:tcPr>
    </w:tblStylePr>
    <w:tblStylePr w:type="lastCol">
      <w:rPr>
        <w:rFonts w:ascii="Arial" w:hAnsi="Arial"/>
        <w:color w:val="404040"/>
        <w:sz w:val="22"/>
      </w:rPr>
      <w:tcPr>
        <w:tcBorders>
          <w:left w:val="single" w:color="FABF8F" w:sz="12" w:space="0"/>
        </w:tcBorders>
      </w:tcPr>
    </w:tblStylePr>
    <w:tblStylePr w:type="lastRow">
      <w:rPr>
        <w:rFonts w:ascii="Arial" w:hAnsi="Arial"/>
        <w:color w:val="404040"/>
        <w:sz w:val="22"/>
      </w:rPr>
      <w:tcPr>
        <w:tcBorders>
          <w:top w:val="single" w:color="FABF8F" w:sz="12" w:space="0"/>
        </w:tcBorders>
      </w:tcPr>
    </w:tblStylePr>
  </w:style>
  <w:style w:type="table" w:styleId="163">
    <w:name w:val="Bordered &amp; Lined"/>
    <w:basedOn w:val="146"/>
    <w:uiPriority w:val="99"/>
    <w:rPr>
      <w:color w:val="404040"/>
      <w:sz w:val="20"/>
      <w:szCs w:val="20"/>
      <w:lang w:val="en-GB" w:eastAsia="en-GB"/>
    </w:rPr>
    <w:pPr>
      <w:spacing w:lineRule="auto" w:line="240" w:after="0"/>
    </w:pPr>
    <w:tblPr>
      <w:tblStyleRowBandSize w:val="1"/>
      <w:tblStyleColBandSize w:val="1"/>
      <w:tblInd w:w="0" w:type="dxa"/>
      <w:tblBorders>
        <w:left w:val="single" w:color="595959" w:sz="4" w:space="0"/>
        <w:top w:val="single" w:color="595959" w:sz="4" w:space="0"/>
        <w:right w:val="single" w:color="595959" w:sz="4" w:space="0"/>
        <w:bottom w:val="single" w:color="595959" w:sz="4" w:space="0"/>
        <w:insideV w:val="single" w:color="595959" w:sz="4" w:space="0"/>
        <w:insideH w:val="single" w:color="595959"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D9D9D9"/>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164">
    <w:name w:val="Bordered &amp; Lined - Accent 1"/>
    <w:basedOn w:val="146"/>
    <w:uiPriority w:val="99"/>
    <w:rPr>
      <w:color w:val="404040"/>
      <w:sz w:val="20"/>
      <w:szCs w:val="20"/>
      <w:lang w:val="en-GB" w:eastAsia="en-GB"/>
    </w:rPr>
    <w:pPr>
      <w:spacing w:lineRule="auto" w:line="240" w:after="0"/>
    </w:pPr>
    <w:tblPr>
      <w:tblStyleRowBandSize w:val="1"/>
      <w:tblStyleColBandSize w:val="1"/>
      <w:tblInd w:w="0" w:type="dxa"/>
      <w:tblBorders>
        <w:left w:val="single" w:color="1F497D" w:sz="4" w:space="0"/>
        <w:top w:val="single" w:color="1F497D" w:sz="4" w:space="0"/>
        <w:right w:val="single" w:color="1F497D" w:sz="4" w:space="0"/>
        <w:bottom w:val="single" w:color="1F497D" w:sz="4" w:space="0"/>
        <w:insideV w:val="single" w:color="1F497D" w:sz="4" w:space="0"/>
        <w:insideH w:val="single" w:color="1F497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165">
    <w:name w:val="Bordered &amp; Lined - Accent 2"/>
    <w:basedOn w:val="146"/>
    <w:uiPriority w:val="99"/>
    <w:rPr>
      <w:color w:val="404040"/>
      <w:sz w:val="20"/>
      <w:szCs w:val="20"/>
      <w:lang w:val="en-GB" w:eastAsia="en-GB"/>
    </w:rPr>
    <w:pPr>
      <w:spacing w:lineRule="auto" w:line="240" w:after="0"/>
    </w:pPr>
    <w:tblPr>
      <w:tblStyleRowBandSize w:val="1"/>
      <w:tblStyleColBandSize w:val="1"/>
      <w:tblInd w:w="0" w:type="dxa"/>
      <w:tblBorders>
        <w:left w:val="single" w:color="C0504D" w:sz="4" w:space="0"/>
        <w:top w:val="single" w:color="C0504D" w:sz="4" w:space="0"/>
        <w:right w:val="single" w:color="C0504D" w:sz="4" w:space="0"/>
        <w:bottom w:val="single" w:color="C0504D" w:sz="4" w:space="0"/>
        <w:insideV w:val="single" w:color="C0504D" w:sz="4" w:space="0"/>
        <w:insideH w:val="single" w:color="C0504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166">
    <w:name w:val="Bordered &amp; Lined - Accent 3"/>
    <w:basedOn w:val="146"/>
    <w:uiPriority w:val="99"/>
    <w:rPr>
      <w:color w:val="404040"/>
      <w:sz w:val="20"/>
      <w:szCs w:val="20"/>
      <w:lang w:val="en-GB" w:eastAsia="en-GB"/>
    </w:rPr>
    <w:pPr>
      <w:spacing w:lineRule="auto" w:line="240" w:after="0"/>
    </w:pPr>
    <w:tblPr>
      <w:tblStyleRowBandSize w:val="1"/>
      <w:tblStyleColBandSize w:val="1"/>
      <w:tblInd w:w="0" w:type="dxa"/>
      <w:tblBorders>
        <w:left w:val="single" w:color="76923C" w:sz="4" w:space="0"/>
        <w:top w:val="single" w:color="76923C" w:sz="4" w:space="0"/>
        <w:right w:val="single" w:color="76923C" w:sz="4" w:space="0"/>
        <w:bottom w:val="single" w:color="76923C" w:sz="4" w:space="0"/>
        <w:insideV w:val="single" w:color="76923C" w:sz="4" w:space="0"/>
        <w:insideH w:val="single" w:color="76923C"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B59"/>
      </w:tcPr>
    </w:tblStylePr>
    <w:tblStylePr w:type="firstRow">
      <w:rPr>
        <w:rFonts w:ascii="Arial" w:hAnsi="Arial"/>
        <w:color w:val="F2F2F2"/>
        <w:sz w:val="22"/>
      </w:rPr>
      <w:tcPr>
        <w:shd w:val="clear" w:color="auto" w:fill="9BBB59"/>
      </w:tcPr>
    </w:tblStylePr>
    <w:tblStylePr w:type="lastCol">
      <w:rPr>
        <w:rFonts w:ascii="Arial" w:hAnsi="Arial"/>
        <w:color w:val="F2F2F2"/>
        <w:sz w:val="22"/>
      </w:rPr>
      <w:tcPr>
        <w:shd w:val="clear" w:color="auto" w:fill="9BBB59"/>
      </w:tcPr>
    </w:tblStylePr>
    <w:tblStylePr w:type="lastRow">
      <w:rPr>
        <w:rFonts w:ascii="Arial" w:hAnsi="Arial"/>
        <w:color w:val="F2F2F2"/>
        <w:sz w:val="22"/>
      </w:rPr>
      <w:tcPr>
        <w:shd w:val="clear" w:color="auto" w:fill="9BBB59"/>
      </w:tcPr>
    </w:tblStylePr>
  </w:style>
  <w:style w:type="table" w:styleId="167">
    <w:name w:val="Bordered &amp; Lined - Accent 4"/>
    <w:basedOn w:val="146"/>
    <w:uiPriority w:val="99"/>
    <w:rPr>
      <w:color w:val="404040"/>
      <w:sz w:val="20"/>
      <w:szCs w:val="20"/>
      <w:lang w:val="en-GB" w:eastAsia="en-GB"/>
    </w:rPr>
    <w:pPr>
      <w:spacing w:lineRule="auto" w:line="240" w:after="0"/>
    </w:pPr>
    <w:tblPr>
      <w:tblStyleRowBandSize w:val="1"/>
      <w:tblStyleColBandSize w:val="1"/>
      <w:tblInd w:w="0" w:type="dxa"/>
      <w:tblBorders>
        <w:left w:val="single" w:color="8064A2" w:sz="4" w:space="0"/>
        <w:top w:val="single" w:color="8064A2" w:sz="4" w:space="0"/>
        <w:right w:val="single" w:color="8064A2" w:sz="4" w:space="0"/>
        <w:bottom w:val="single" w:color="8064A2" w:sz="4" w:space="0"/>
        <w:insideV w:val="single" w:color="8064A2" w:sz="4" w:space="0"/>
        <w:insideH w:val="single" w:color="8064A2"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168">
    <w:name w:val="Bordered &amp; Lined - Accent 5"/>
    <w:basedOn w:val="146"/>
    <w:uiPriority w:val="99"/>
    <w:rPr>
      <w:color w:val="404040"/>
      <w:sz w:val="20"/>
      <w:szCs w:val="20"/>
      <w:lang w:val="en-GB" w:eastAsia="en-GB"/>
    </w:rPr>
    <w:pPr>
      <w:spacing w:lineRule="auto" w:line="240" w:after="0"/>
    </w:pPr>
    <w:tblPr>
      <w:tblStyleRowBandSize w:val="1"/>
      <w:tblStyleColBandSize w:val="1"/>
      <w:tblInd w:w="0" w:type="dxa"/>
      <w:tblBorders>
        <w:left w:val="single" w:color="31849B" w:sz="4" w:space="0"/>
        <w:top w:val="single" w:color="31849B" w:sz="4" w:space="0"/>
        <w:right w:val="single" w:color="31849B" w:sz="4" w:space="0"/>
        <w:bottom w:val="single" w:color="31849B" w:sz="4" w:space="0"/>
        <w:insideV w:val="single" w:color="31849B" w:sz="4" w:space="0"/>
        <w:insideH w:val="single" w:color="31849B"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169">
    <w:name w:val="Bordered &amp; Lined - Accent 6"/>
    <w:basedOn w:val="146"/>
    <w:uiPriority w:val="99"/>
    <w:rPr>
      <w:color w:val="404040"/>
      <w:sz w:val="20"/>
      <w:szCs w:val="20"/>
      <w:lang w:val="en-GB" w:eastAsia="en-GB"/>
    </w:rPr>
    <w:pPr>
      <w:spacing w:lineRule="auto" w:line="240" w:after="0"/>
    </w:pPr>
    <w:tblPr>
      <w:tblStyleRowBandSize w:val="1"/>
      <w:tblStyleColBandSize w:val="1"/>
      <w:tblInd w:w="0" w:type="dxa"/>
      <w:tblBorders>
        <w:left w:val="single" w:color="E36C0A" w:sz="4" w:space="0"/>
        <w:top w:val="single" w:color="E36C0A" w:sz="4" w:space="0"/>
        <w:right w:val="single" w:color="E36C0A" w:sz="4" w:space="0"/>
        <w:bottom w:val="single" w:color="E36C0A" w:sz="4" w:space="0"/>
        <w:insideV w:val="single" w:color="E36C0A" w:sz="4" w:space="0"/>
        <w:insideH w:val="single" w:color="E36C0A"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character" w:styleId="170">
    <w:name w:val="Hyperlink"/>
    <w:uiPriority w:val="99"/>
    <w:unhideWhenUsed/>
    <w:rPr>
      <w:color w:val="0563C1" w:themeColor="hyperlink"/>
      <w:u w:val="single"/>
    </w:rPr>
  </w:style>
  <w:style w:type="paragraph" w:styleId="171">
    <w:name w:val="footnote text"/>
    <w:basedOn w:val="135"/>
    <w:uiPriority w:val="99"/>
    <w:semiHidden/>
    <w:unhideWhenUsed/>
    <w:rPr>
      <w:sz w:val="20"/>
    </w:rPr>
    <w:pPr>
      <w:spacing w:lineRule="auto" w:line="240" w:after="0"/>
    </w:pPr>
  </w:style>
  <w:style w:type="character" w:styleId="172">
    <w:name w:val="Footnote Text Char"/>
    <w:basedOn w:val="145"/>
    <w:uiPriority w:val="99"/>
    <w:semiHidden/>
    <w:rPr>
      <w:sz w:val="20"/>
    </w:rPr>
  </w:style>
  <w:style w:type="character" w:styleId="173">
    <w:name w:val="footnote reference"/>
    <w:basedOn w:val="145"/>
    <w:uiPriority w:val="99"/>
    <w:semiHidden/>
    <w:unhideWhenUsed/>
    <w:rPr>
      <w:vertAlign w:val="superscript"/>
    </w:rPr>
  </w:style>
  <w:style w:type="paragraph" w:styleId="174">
    <w:name w:val="Footer"/>
    <w:basedOn w:val="135"/>
    <w:uiPriority w:val="99"/>
    <w:unhideWhenUsed/>
    <w:pPr>
      <w:spacing w:lineRule="auto" w:line="240" w:after="0"/>
      <w:tabs>
        <w:tab w:val="center" w:pos="4677"/>
        <w:tab w:val="right" w:pos="9355"/>
      </w:tabs>
    </w:pPr>
  </w:style>
  <w:style w:type="paragraph" w:styleId="175">
    <w:name w:val="Header"/>
    <w:basedOn w:val="135"/>
    <w:uiPriority w:val="99"/>
    <w:unhideWhenUsed/>
    <w:pPr>
      <w:spacing w:lineRule="auto" w:line="240" w:after="0"/>
      <w:tabs>
        <w:tab w:val="center" w:pos="4677"/>
        <w:tab w:val="right" w:pos="9355"/>
      </w:tabs>
    </w:pPr>
  </w:style>
  <w:style w:type="paragraph" w:styleId="176">
    <w:name w:val="No Spacing"/>
    <w:qFormat/>
    <w:uiPriority w:val="1"/>
    <w:pPr>
      <w:spacing w:lineRule="auto" w:line="240" w:after="0"/>
    </w:pPr>
  </w:style>
  <w:style w:type="paragraph" w:styleId="177">
    <w:name w:val="Quote"/>
    <w:basedOn w:val="135"/>
    <w:next w:val="135"/>
    <w:qFormat/>
    <w:uiPriority w:val="29"/>
    <w:rPr>
      <w:i/>
      <w:iCs/>
      <w:color w:val="373737"/>
      <w:sz w:val="18"/>
      <w:szCs w:val="18"/>
    </w:rPr>
    <w:pPr>
      <w:ind w:left="4536"/>
      <w:jc w:val="both"/>
    </w:pPr>
  </w:style>
  <w:style w:type="paragraph" w:styleId="178">
    <w:name w:val="Subtitle"/>
    <w:basedOn w:val="135"/>
    <w:next w:val="135"/>
    <w:qFormat/>
    <w:uiPriority w:val="11"/>
    <w:rPr>
      <w:i/>
      <w:iCs/>
      <w:color w:val="444444"/>
      <w:sz w:val="52"/>
      <w:szCs w:val="52"/>
    </w:rPr>
    <w:pPr>
      <w:numPr>
        <w:ilvl w:val="1"/>
      </w:numPr>
      <w:spacing w:lineRule="auto" w:line="240"/>
    </w:pPr>
  </w:style>
  <w:style w:type="paragraph" w:styleId="179">
    <w:name w:val="Intense Quote"/>
    <w:basedOn w:val="135"/>
    <w:next w:val="135"/>
    <w:qFormat/>
    <w:uiPriority w:val="30"/>
    <w:rPr>
      <w:b/>
      <w:bCs/>
      <w:i/>
      <w:iCs/>
      <w:color w:val="464646"/>
      <w:sz w:val="19"/>
      <w:szCs w:val="19"/>
    </w:rPr>
    <w:pPr>
      <w:ind w:left="567" w:right="567"/>
      <w:jc w:val="both"/>
      <w:shd w:val="clear" w:color="auto" w:fill="EEEEEE"/>
      <w:pBdr>
        <w:left w:val="single" w:color="808080" w:sz="4" w:space="4"/>
        <w:top w:val="single" w:color="808080" w:sz="4" w:space="1"/>
        <w:right w:val="single" w:color="808080" w:sz="4" w:space="4"/>
        <w:bottom w:val="single" w:color="808080" w:sz="4" w:space="1"/>
      </w:pBdr>
    </w:pPr>
  </w:style>
  <w:style w:type="paragraph" w:styleId="180">
    <w:name w:val="Title"/>
    <w:basedOn w:val="135"/>
    <w:next w:val="135"/>
    <w:qFormat/>
    <w:uiPriority w:val="10"/>
    <w:rPr>
      <w:b/>
      <w:bCs/>
      <w:color w:val="000000" w:themeColor="text1"/>
      <w:sz w:val="72"/>
      <w:szCs w:val="72"/>
    </w:rPr>
    <w:pPr>
      <w:contextualSpacing w:val="true"/>
      <w:spacing w:lineRule="auto" w:line="240" w:after="80" w:before="300"/>
      <w:pBdr>
        <w:bottom w:val="single" w:color="000000" w:sz="24" w:space="0" w:themeColor="text1"/>
      </w:pBdr>
    </w:pPr>
  </w:style>
  <w:style w:type="paragraph" w:styleId="181">
    <w:name w:val="List Paragraph"/>
    <w:basedOn w:val="135"/>
    <w:qFormat/>
    <w:uiPriority w:val="34"/>
    <w:pPr>
      <w:contextualSpacing w:val="true"/>
      <w:ind w:left="720"/>
    </w:pPr>
  </w:style>
  <w:style w:type="character" w:styleId="182">
    <w:name w:val="Строгий"/>
    <w:rPr>
      <w:b/>
      <w:bCs/>
    </w:rPr>
  </w:style>
  <w:style w:type="paragraph" w:styleId="183">
    <w:name w:val="Заголовок 2"/>
    <w:rPr>
      <w:rFonts w:ascii="Times New Roman" w:hAnsi="Times New Roman" w:cs="Times New Roman" w:eastAsia="Times New Roman"/>
      <w:b/>
      <w:bCs/>
      <w:sz w:val="36"/>
      <w:szCs w:val="36"/>
      <w:lang w:val="ru-RU" w:eastAsia="ru-RU"/>
    </w:rPr>
    <w:pPr>
      <w:spacing w:lineRule="auto" w:line="240" w:after="100" w:afterAutospacing="1" w:before="100" w:beforeAutospacing="1"/>
    </w:pPr>
  </w:style>
  <w:style w:type="paragraph" w:styleId="184">
    <w:name w:val="Обычный (веб)"/>
    <w:rPr>
      <w:rFonts w:ascii="Times New Roman" w:hAnsi="Times New Roman" w:cs="Times New Roman" w:eastAsia="Times New Roman"/>
      <w:sz w:val="24"/>
      <w:szCs w:val="24"/>
      <w:lang w:val="ru-RU" w:eastAsia="ru-RU"/>
    </w:rPr>
    <w:pPr>
      <w:spacing w:lineRule="auto" w:line="240" w:after="100" w:afterAutospacing="1" w:before="100" w:beforeAutospacing="1"/>
    </w:pPr>
  </w:style>
  <w:style w:type="paragraph" w:styleId="185">
    <w:name w:val="Обычный"/>
    <w:rPr>
      <w:rFonts w:ascii="Times New Roman" w:hAnsi="Times New Roman" w:cs="Times New Roman" w:eastAsia="Times New Roman"/>
      <w:sz w:val="24"/>
      <w:szCs w:val="24"/>
      <w:lang w:val="ru-RU" w:eastAsia="ru-RU"/>
    </w:rPr>
    <w:pPr>
      <w:spacing w:lineRule="auto" w:line="240" w:after="0"/>
    </w:pPr>
  </w:style>
  <w:style w:type="paragraph" w:styleId="186">
    <w:name w:val="Нижний колонтитул"/>
    <w:rPr>
      <w:rFonts w:cs="Times New Roman" w:eastAsia="Times New Roman"/>
      <w:sz w:val="16"/>
      <w:szCs w:val="16"/>
      <w:lang w:val="ru-RU" w:eastAsia="ru-RU"/>
    </w:rPr>
    <w:pPr>
      <w:spacing w:lineRule="auto" w:line="240" w:after="0"/>
      <w:tabs>
        <w:tab w:val="center" w:pos="4153"/>
        <w:tab w:val="right" w:pos="8306"/>
      </w:tabs>
    </w:pPr>
  </w:style>
  <w:style w:type="paragraph" w:styleId="187">
    <w:name w:val="Заголовок 8"/>
    <w:rPr>
      <w:rFonts w:ascii="Times New Roman" w:hAnsi="Times New Roman" w:cs="Times New Roman" w:eastAsia="Times New Roman"/>
      <w:b/>
      <w:bCs/>
      <w:lang w:val="ru-RU" w:eastAsia="ru-RU"/>
    </w:rPr>
    <w:pPr>
      <w:keepNext/>
      <w:spacing w:lineRule="auto" w:line="240" w:after="0"/>
    </w:pPr>
  </w:style>
  <w:style w:type="paragraph" w:styleId="188">
    <w:name w:val="Заголовок 6"/>
    <w:rPr>
      <w:rFonts w:ascii="Times New Roman" w:hAnsi="Times New Roman" w:cs="Times New Roman" w:eastAsia="Times New Roman"/>
      <w:b/>
      <w:bCs/>
      <w:lang w:val="ru-RU" w:eastAsia="ru-RU"/>
    </w:rPr>
    <w:pPr>
      <w:jc w:val="center"/>
      <w:keepNext/>
      <w:spacing w:lineRule="auto" w:line="240" w:after="0"/>
    </w:pPr>
  </w:style>
  <w:style w:type="paragraph" w:styleId="189">
    <w:name w:val="Заголовок 1"/>
    <w:rPr>
      <w:rFonts w:ascii="Times New Roman" w:hAnsi="Times New Roman" w:cs="Times New Roman" w:eastAsia="Times New Roman"/>
      <w:b/>
      <w:bCs/>
      <w:sz w:val="20"/>
      <w:szCs w:val="20"/>
      <w:lang w:val="ru-RU" w:eastAsia="ru-RU"/>
    </w:rPr>
    <w:pPr>
      <w:jc w:val="center"/>
      <w:keepNext/>
      <w:spacing w:lineRule="auto" w:line="240" w:after="0"/>
    </w:pPr>
  </w:style>
  <w:style w:type="paragraph" w:styleId="190">
    <w:name w:val="Balloon Text"/>
    <w:basedOn w:val="135"/>
    <w:uiPriority w:val="99"/>
    <w:semiHidden/>
    <w:unhideWhenUsed/>
    <w:rPr>
      <w:rFonts w:ascii="Segoe UI" w:hAnsi="Segoe UI" w:cs="Segoe UI"/>
      <w:sz w:val="18"/>
      <w:szCs w:val="18"/>
    </w:rPr>
    <w:pPr>
      <w:spacing w:lineRule="auto" w:line="240" w:after="0"/>
    </w:pPr>
  </w:style>
  <w:style w:type="character" w:styleId="191">
    <w:name w:val="Balloon Text Char"/>
    <w:basedOn w:val="145"/>
    <w:uiPriority w:val="99"/>
    <w:semiHidden/>
    <w:rPr>
      <w:rFonts w:ascii="Segoe UI" w:hAnsi="Segoe UI" w:cs="Segoe UI"/>
      <w:sz w:val="18"/>
      <w:szCs w:val="18"/>
    </w:rPr>
  </w:style>
  <w:style w:type="character" w:styleId="192">
    <w:name w:val="annotation reference"/>
    <w:basedOn w:val="145"/>
    <w:uiPriority w:val="99"/>
    <w:semiHidden/>
    <w:unhideWhenUsed/>
    <w:rPr>
      <w:sz w:val="16"/>
      <w:szCs w:val="16"/>
    </w:rPr>
  </w:style>
  <w:style w:type="paragraph" w:styleId="193">
    <w:name w:val="annotation text"/>
    <w:basedOn w:val="135"/>
    <w:uiPriority w:val="99"/>
    <w:semiHidden/>
    <w:unhideWhenUsed/>
    <w:rPr>
      <w:sz w:val="20"/>
      <w:szCs w:val="20"/>
    </w:rPr>
    <w:pPr>
      <w:spacing w:lineRule="auto" w:line="240"/>
    </w:pPr>
  </w:style>
  <w:style w:type="character" w:styleId="194">
    <w:name w:val="Comment Text Char"/>
    <w:basedOn w:val="145"/>
    <w:uiPriority w:val="99"/>
    <w:semiHidden/>
    <w:rPr>
      <w:sz w:val="20"/>
      <w:szCs w:val="20"/>
    </w:rPr>
  </w:style>
  <w:style w:type="paragraph" w:styleId="195">
    <w:name w:val="annotation subject"/>
    <w:basedOn w:val="193"/>
    <w:next w:val="193"/>
    <w:uiPriority w:val="99"/>
    <w:semiHidden/>
    <w:unhideWhenUsed/>
    <w:rPr>
      <w:b/>
      <w:bCs/>
    </w:rPr>
  </w:style>
  <w:style w:type="character" w:styleId="196">
    <w:name w:val="Comment Subject Char"/>
    <w:basedOn w:val="194"/>
    <w:uiPriority w:val="99"/>
    <w:semiHidden/>
    <w:rPr>
      <w:b/>
      <w:bCs/>
      <w:sz w:val="20"/>
      <w:szCs w:val="20"/>
    </w:rPr>
  </w:style>
  <w:style w:type="paragraph" w:styleId="197">
    <w:name w:val="Normal (Web)"/>
    <w:basedOn w:val="135"/>
    <w:uiPriority w:val="99"/>
    <w:semiHidden/>
    <w:unhideWhenUsed/>
    <w:rPr>
      <w:rFonts w:ascii="Times New Roman" w:hAnsi="Times New Roman" w:cs="Times New Roman" w:eastAsia="Times New Roman"/>
      <w:sz w:val="24"/>
      <w:szCs w:val="24"/>
      <w:lang w:val="ru-RU" w:eastAsia="ru-RU"/>
    </w:rPr>
    <w:pPr>
      <w:spacing w:lineRule="auto" w:line="240" w:after="100" w:afterAutospacing="1" w:before="100" w:beforeAutospacing="1"/>
      <w:pBdr>
        <w:left w:val="none" w:sz="0" w:space="0" w:color="auto"/>
        <w:top w:val="none" w:sz="0" w:space="0" w:color="auto"/>
        <w:right w:val="none" w:sz="0" w:space="0" w:color="auto"/>
        <w:bottom w:val="none" w:sz="0" w:space="0" w:color="auto"/>
        <w:between w:val="none" w:sz="0" w:space="0" w:color="auto"/>
      </w:pBdr>
    </w:pPr>
  </w:style>
  <w:style w:type="paragraph" w:styleId="198">
    <w:name w:val="Заголовок 1"/>
    <w:rPr>
      <w:rFonts w:ascii="Times New Roman" w:hAnsi="Times New Roman" w:cs="Times New Roman" w:eastAsia="Times New Roman"/>
      <w:b/>
      <w:bCs/>
      <w:sz w:val="20"/>
      <w:szCs w:val="20"/>
      <w:lang w:val="ru-RU" w:eastAsia="ru-RU"/>
    </w:rPr>
    <w:pPr>
      <w:jc w:val="center"/>
      <w:keepNext/>
      <w:spacing w:lineRule="auto" w:line="240" w:after="0"/>
    </w:pPr>
  </w:style>
</w:styles>
</file>

<file path=word/webSettings.xml><?xml version="1.0" encoding="utf-8"?>
<w:webSetting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er.gospmr.org" TargetMode="Externa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footnotes" Target="footnotes.xml"/><Relationship Id="rId12" Type="http://schemas.openxmlformats.org/officeDocument/2006/relationships/hyperlink" Target="http://ef-pmr.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numbering" Target="numbering.xml"/><Relationship Id="rId11" Type="http://schemas.openxmlformats.org/officeDocument/2006/relationships/hyperlink" Target="http://ef-pmr.org/pensii/" TargetMode="External"/><Relationship Id="rId5" Type="http://schemas.openxmlformats.org/officeDocument/2006/relationships/theme" Target="theme/theme1.xml"/><Relationship Id="rId15" Type="http://schemas.openxmlformats.org/officeDocument/2006/relationships/customXml" Target="../customXml/item3.xml"/><Relationship Id="rId10" Type="http://schemas.openxmlformats.org/officeDocument/2006/relationships/hyperlink" Target="http://ef-pmr.org/pensii/" TargetMode="External"/><Relationship Id="rId4" Type="http://schemas.openxmlformats.org/officeDocument/2006/relationships/fontTable" Target="fontTable.xml"/><Relationship Id="rId9" Type="http://schemas.openxmlformats.org/officeDocument/2006/relationships/hyperlink" Target="http://ef-pmr.org/pensii/" TargetMode="External"/><Relationship Id="rId14" Type="http://schemas.openxmlformats.org/officeDocument/2006/relationships/customXml" Target="../customXml/item2.xml"/></Relationships>
</file>

<file path=word/_rels/footnotes.xml.rels><?xml version="1.0" encoding="UTF-8" standalone="yes"?><Relationships xmlns="http://schemas.openxmlformats.org/package/2006/relationships"></Relationships>
</file>

<file path=word/theme/_rels/theme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7AA4F7-27DA-40BF-A046-D4FE9E612DD8}"/>
</file>

<file path=customXml/itemProps2.xml><?xml version="1.0" encoding="utf-8"?>
<ds:datastoreItem xmlns:ds="http://schemas.openxmlformats.org/officeDocument/2006/customXml" ds:itemID="{B7FB3B42-406A-4E31-B31E-4A4C2B38A28B}"/>
</file>

<file path=customXml/itemProps3.xml><?xml version="1.0" encoding="utf-8"?>
<ds:datastoreItem xmlns:ds="http://schemas.openxmlformats.org/officeDocument/2006/customXml" ds:itemID="{AA0A73F6-E5AB-4711-902A-06DE113965CF}"/>
</file>

<file path=docProps/app.xml><?xml version="1.0" encoding="utf-8"?>
<Properties xmlns="http://schemas.openxmlformats.org/officeDocument/2006/extended-properties" xmlns:vt="http://schemas.openxmlformats.org/officeDocument/2006/docPropsVTypes">
  <Application>OnlyOffice</Application>
  <AppVersion>3.0000</AppVers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