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559"/>
        <w:gridCol w:w="1683"/>
      </w:tblGrid>
      <w:tr w:rsidR="00B226A5" w:rsidRPr="00AF23FE" w14:paraId="7FB7CA56" w14:textId="77777777" w:rsidTr="1D811CF7">
        <w:trPr>
          <w:trHeight w:hRule="exact" w:val="94"/>
        </w:trPr>
        <w:tc>
          <w:tcPr>
            <w:tcW w:w="4678" w:type="dxa"/>
          </w:tcPr>
          <w:p w14:paraId="5C54236C" w14:textId="34F0EC5C" w:rsidR="008F48D5" w:rsidRPr="00AF23FE" w:rsidRDefault="008F48D5" w:rsidP="0020133B">
            <w:pPr>
              <w:rPr>
                <w:noProof/>
                <w:lang w:val="en-GB"/>
              </w:rPr>
            </w:pPr>
          </w:p>
        </w:tc>
        <w:tc>
          <w:tcPr>
            <w:tcW w:w="1559" w:type="dxa"/>
          </w:tcPr>
          <w:p w14:paraId="22DFC47F" w14:textId="77777777" w:rsidR="008F48D5" w:rsidRPr="00AF23FE" w:rsidRDefault="008F48D5" w:rsidP="0020133B">
            <w:pPr>
              <w:pStyle w:val="Header"/>
              <w:rPr>
                <w:noProof/>
                <w:lang w:val="en-GB"/>
              </w:rPr>
            </w:pPr>
          </w:p>
        </w:tc>
        <w:tc>
          <w:tcPr>
            <w:tcW w:w="1683" w:type="dxa"/>
          </w:tcPr>
          <w:p w14:paraId="7D8202F1" w14:textId="77777777" w:rsidR="008F48D5" w:rsidRPr="00AF23FE" w:rsidRDefault="008F48D5" w:rsidP="0020133B">
            <w:pPr>
              <w:pStyle w:val="Header"/>
              <w:rPr>
                <w:noProof/>
                <w:lang w:val="en-GB"/>
              </w:rPr>
            </w:pPr>
          </w:p>
        </w:tc>
      </w:tr>
      <w:tr w:rsidR="0032123A" w:rsidRPr="00AF23FE" w14:paraId="19A9ED42" w14:textId="77777777" w:rsidTr="1D811CF7">
        <w:trPr>
          <w:trHeight w:hRule="exact" w:val="266"/>
        </w:trPr>
        <w:tc>
          <w:tcPr>
            <w:tcW w:w="4678" w:type="dxa"/>
          </w:tcPr>
          <w:p w14:paraId="48DA4FEF" w14:textId="0E2A8009" w:rsidR="0032123A" w:rsidRPr="00AF23FE" w:rsidRDefault="0032123A" w:rsidP="00D047BD">
            <w:pPr>
              <w:pStyle w:val="Topptekstbrevmal"/>
              <w:rPr>
                <w:lang w:val="en-GB"/>
              </w:rPr>
            </w:pPr>
            <w:r w:rsidRPr="00AF23FE">
              <w:rPr>
                <w:lang w:val="en-GB"/>
              </w:rPr>
              <w:t>UN CRC</w:t>
            </w:r>
          </w:p>
        </w:tc>
        <w:tc>
          <w:tcPr>
            <w:tcW w:w="1559" w:type="dxa"/>
          </w:tcPr>
          <w:p w14:paraId="7A39660D" w14:textId="054AC32E" w:rsidR="0032123A" w:rsidRPr="00AF23FE" w:rsidRDefault="0032123A" w:rsidP="00D047BD">
            <w:pPr>
              <w:pStyle w:val="Topptekstbrevmalrefuth"/>
              <w:rPr>
                <w:rStyle w:val="uthevet"/>
                <w:rFonts w:ascii="Aptos" w:hAnsi="Aptos"/>
                <w:b/>
                <w:bCs w:val="0"/>
                <w:lang w:val="en-GB"/>
              </w:rPr>
            </w:pPr>
            <w:r w:rsidRPr="00AF23FE">
              <w:rPr>
                <w:rStyle w:val="uthevet"/>
                <w:rFonts w:ascii="Aptos" w:hAnsi="Aptos"/>
                <w:b/>
                <w:bCs w:val="0"/>
                <w:lang w:val="en-GB"/>
              </w:rPr>
              <w:t>O</w:t>
            </w:r>
            <w:r w:rsidRPr="00AF23FE">
              <w:rPr>
                <w:rStyle w:val="uthevet"/>
                <w:b/>
                <w:bCs w:val="0"/>
                <w:lang w:val="en-GB"/>
              </w:rPr>
              <w:t>ur reference</w:t>
            </w:r>
            <w:r w:rsidRPr="00AF23FE">
              <w:rPr>
                <w:rStyle w:val="uthevet"/>
                <w:rFonts w:ascii="Aptos" w:hAnsi="Aptos"/>
                <w:b/>
                <w:bCs w:val="0"/>
                <w:lang w:val="en-GB"/>
              </w:rPr>
              <w:t>:</w:t>
            </w:r>
          </w:p>
        </w:tc>
        <w:tc>
          <w:tcPr>
            <w:tcW w:w="1683" w:type="dxa"/>
          </w:tcPr>
          <w:p w14:paraId="070D05F3" w14:textId="79D879FE" w:rsidR="0032123A" w:rsidRPr="00AF23FE" w:rsidRDefault="0032123A" w:rsidP="00D047BD">
            <w:pPr>
              <w:pStyle w:val="Topptekstbrevmalverdi"/>
              <w:rPr>
                <w:lang w:val="en-GB"/>
              </w:rPr>
            </w:pPr>
            <w:r w:rsidRPr="00AF23FE">
              <w:rPr>
                <w:lang w:val="en-GB"/>
              </w:rPr>
              <w:t>2023/45</w:t>
            </w:r>
          </w:p>
        </w:tc>
      </w:tr>
      <w:tr w:rsidR="0032123A" w:rsidRPr="00AF23FE" w14:paraId="3F2F0DE2" w14:textId="77777777" w:rsidTr="1D811CF7">
        <w:trPr>
          <w:trHeight w:hRule="exact" w:val="266"/>
        </w:trPr>
        <w:tc>
          <w:tcPr>
            <w:tcW w:w="4678" w:type="dxa"/>
            <w:vMerge w:val="restart"/>
          </w:tcPr>
          <w:p w14:paraId="7682E2C9" w14:textId="77777777" w:rsidR="0032123A" w:rsidRPr="00AF23FE" w:rsidRDefault="0032123A" w:rsidP="00C10EF4">
            <w:pPr>
              <w:pStyle w:val="NoSpacing"/>
              <w:rPr>
                <w:rFonts w:ascii="Aptos" w:hAnsi="Aptos"/>
                <w:noProof/>
                <w:lang w:val="en-GB"/>
              </w:rPr>
            </w:pPr>
            <w:r w:rsidRPr="00AF23FE">
              <w:rPr>
                <w:rFonts w:ascii="Aptos" w:hAnsi="Aptos"/>
                <w:noProof/>
                <w:lang w:val="en-GB"/>
              </w:rPr>
              <w:t>c/o Child Rights Connect (upload)</w:t>
            </w:r>
          </w:p>
          <w:p w14:paraId="26FFB660" w14:textId="6FC63D48" w:rsidR="0032123A" w:rsidRPr="00AF23FE" w:rsidRDefault="0032123A" w:rsidP="00C10EF4">
            <w:pPr>
              <w:pStyle w:val="NoSpacing"/>
              <w:rPr>
                <w:rFonts w:ascii="Aptos" w:hAnsi="Aptos"/>
                <w:noProof/>
                <w:lang w:val="en-GB"/>
              </w:rPr>
            </w:pPr>
            <w:r w:rsidRPr="00AF23FE">
              <w:rPr>
                <w:rFonts w:ascii="Aptos" w:hAnsi="Aptos"/>
                <w:noProof/>
                <w:lang w:val="en-GB"/>
              </w:rPr>
              <w:t>Copy: ohchr.crc@un.org</w:t>
            </w:r>
          </w:p>
        </w:tc>
        <w:tc>
          <w:tcPr>
            <w:tcW w:w="1559" w:type="dxa"/>
          </w:tcPr>
          <w:p w14:paraId="3B043999" w14:textId="48F94DD7" w:rsidR="0032123A" w:rsidRPr="00AF23FE" w:rsidRDefault="1D811CF7" w:rsidP="1D811CF7">
            <w:pPr>
              <w:pStyle w:val="Topptekstbrevmalrefuth"/>
              <w:rPr>
                <w:rStyle w:val="uthevet"/>
                <w:rFonts w:ascii="Aptos" w:hAnsi="Aptos"/>
                <w:b/>
                <w:lang w:val="en-GB"/>
              </w:rPr>
            </w:pPr>
            <w:r w:rsidRPr="1D811CF7">
              <w:rPr>
                <w:rStyle w:val="uthevet"/>
                <w:rFonts w:ascii="Aptos" w:hAnsi="Aptos"/>
                <w:b/>
                <w:lang w:val="en-GB"/>
              </w:rPr>
              <w:t xml:space="preserve">Date: </w:t>
            </w:r>
          </w:p>
        </w:tc>
        <w:tc>
          <w:tcPr>
            <w:tcW w:w="1683" w:type="dxa"/>
          </w:tcPr>
          <w:p w14:paraId="2C226951" w14:textId="33D720D2" w:rsidR="0032123A" w:rsidRPr="00AF23FE" w:rsidRDefault="00910EB0" w:rsidP="00D047BD">
            <w:pPr>
              <w:pStyle w:val="Topptekstbrevmalverdi"/>
              <w:rPr>
                <w:lang w:val="en-GB"/>
              </w:rPr>
            </w:pPr>
            <w:r>
              <w:rPr>
                <w:lang w:val="en-GB"/>
              </w:rPr>
              <w:t>11</w:t>
            </w:r>
            <w:r w:rsidR="00356B6E">
              <w:rPr>
                <w:lang w:val="en-GB"/>
              </w:rPr>
              <w:t>.11</w:t>
            </w:r>
            <w:r w:rsidR="0032123A" w:rsidRPr="00AF23FE">
              <w:rPr>
                <w:lang w:val="en-GB"/>
              </w:rPr>
              <w:t>.2024</w:t>
            </w:r>
          </w:p>
        </w:tc>
      </w:tr>
      <w:tr w:rsidR="0032123A" w:rsidRPr="00AF23FE" w14:paraId="6C33CFD8" w14:textId="77777777" w:rsidTr="1D811CF7">
        <w:trPr>
          <w:trHeight w:val="209"/>
        </w:trPr>
        <w:tc>
          <w:tcPr>
            <w:tcW w:w="4678" w:type="dxa"/>
            <w:vMerge/>
          </w:tcPr>
          <w:p w14:paraId="0B347F8E" w14:textId="77777777" w:rsidR="0032123A" w:rsidRPr="00AF23FE" w:rsidRDefault="0032123A" w:rsidP="00C10EF4">
            <w:pPr>
              <w:pStyle w:val="NoSpacing"/>
              <w:rPr>
                <w:rFonts w:ascii="Aptos" w:hAnsi="Aptos"/>
                <w:noProof/>
                <w:lang w:val="en-GB"/>
              </w:rPr>
            </w:pPr>
          </w:p>
        </w:tc>
        <w:tc>
          <w:tcPr>
            <w:tcW w:w="1559" w:type="dxa"/>
          </w:tcPr>
          <w:p w14:paraId="780E2600" w14:textId="68F3982F" w:rsidR="0032123A" w:rsidRPr="00AF23FE" w:rsidRDefault="0032123A" w:rsidP="00D047BD">
            <w:pPr>
              <w:pStyle w:val="Topptekstbrevmalrefuth"/>
              <w:rPr>
                <w:rStyle w:val="uthevet"/>
                <w:rFonts w:ascii="Aptos" w:hAnsi="Aptos"/>
                <w:b/>
                <w:bCs w:val="0"/>
                <w:lang w:val="en-GB"/>
              </w:rPr>
            </w:pPr>
            <w:r w:rsidRPr="00AF23FE">
              <w:rPr>
                <w:rStyle w:val="uthevet"/>
                <w:rFonts w:ascii="Aptos" w:hAnsi="Aptos"/>
                <w:b/>
                <w:bCs w:val="0"/>
                <w:lang w:val="en-GB"/>
              </w:rPr>
              <w:t>Publication no.:</w:t>
            </w:r>
          </w:p>
        </w:tc>
        <w:tc>
          <w:tcPr>
            <w:tcW w:w="1683" w:type="dxa"/>
          </w:tcPr>
          <w:p w14:paraId="51D4CFC6" w14:textId="790D5931" w:rsidR="0032123A" w:rsidRPr="00AF23FE" w:rsidRDefault="0032123A" w:rsidP="00D047BD">
            <w:pPr>
              <w:pStyle w:val="Topptekstbrevmalverdi"/>
              <w:rPr>
                <w:lang w:val="en-GB"/>
              </w:rPr>
            </w:pPr>
            <w:r w:rsidRPr="00AF23FE">
              <w:rPr>
                <w:lang w:val="en-GB"/>
              </w:rPr>
              <w:t>NIM-IR-2024-00</w:t>
            </w:r>
            <w:r w:rsidR="00016CF8">
              <w:rPr>
                <w:lang w:val="en-GB"/>
              </w:rPr>
              <w:t>3</w:t>
            </w:r>
          </w:p>
        </w:tc>
      </w:tr>
      <w:tr w:rsidR="0032123A" w:rsidRPr="00AF23FE" w14:paraId="0F155BF7" w14:textId="77777777" w:rsidTr="1D811CF7">
        <w:trPr>
          <w:trHeight w:hRule="exact" w:val="387"/>
        </w:trPr>
        <w:tc>
          <w:tcPr>
            <w:tcW w:w="4678" w:type="dxa"/>
            <w:vMerge/>
          </w:tcPr>
          <w:p w14:paraId="1AB98769" w14:textId="77777777" w:rsidR="0032123A" w:rsidRPr="00AF23FE" w:rsidRDefault="0032123A" w:rsidP="00C10EF4">
            <w:pPr>
              <w:pStyle w:val="NoSpacing"/>
              <w:rPr>
                <w:rFonts w:ascii="Aptos" w:hAnsi="Aptos"/>
                <w:noProof/>
                <w:lang w:val="en-GB"/>
              </w:rPr>
            </w:pPr>
          </w:p>
        </w:tc>
        <w:tc>
          <w:tcPr>
            <w:tcW w:w="1559" w:type="dxa"/>
          </w:tcPr>
          <w:p w14:paraId="5A8C7706" w14:textId="6F2BB400" w:rsidR="0032123A" w:rsidRPr="00AF23FE" w:rsidRDefault="0032123A" w:rsidP="00D047BD">
            <w:pPr>
              <w:pStyle w:val="Topptekstbrevmalrefuth"/>
              <w:rPr>
                <w:rStyle w:val="uthevet"/>
                <w:rFonts w:ascii="Aptos" w:hAnsi="Aptos"/>
                <w:b/>
                <w:bCs w:val="0"/>
                <w:lang w:val="en-GB"/>
              </w:rPr>
            </w:pPr>
          </w:p>
        </w:tc>
        <w:tc>
          <w:tcPr>
            <w:tcW w:w="1683" w:type="dxa"/>
          </w:tcPr>
          <w:p w14:paraId="59BEFDA4" w14:textId="676029AD" w:rsidR="0032123A" w:rsidRPr="00AF23FE" w:rsidRDefault="0032123A" w:rsidP="00D047BD">
            <w:pPr>
              <w:pStyle w:val="Topptekstbrevmalverdi"/>
              <w:rPr>
                <w:lang w:val="en-GB"/>
              </w:rPr>
            </w:pPr>
          </w:p>
        </w:tc>
      </w:tr>
    </w:tbl>
    <w:p w14:paraId="4175CEF9" w14:textId="77777777" w:rsidR="00C10EF4" w:rsidRPr="00AF23FE" w:rsidRDefault="00C10EF4" w:rsidP="0032123A">
      <w:pPr>
        <w:pStyle w:val="NIMTittel1"/>
        <w:spacing w:after="120"/>
        <w:rPr>
          <w:lang w:val="en-GB"/>
        </w:rPr>
      </w:pPr>
    </w:p>
    <w:p w14:paraId="3AC74781" w14:textId="77777777" w:rsidR="0032123A" w:rsidRPr="00AF23FE" w:rsidRDefault="0032123A" w:rsidP="0032123A">
      <w:pPr>
        <w:spacing w:after="0" w:line="240" w:lineRule="auto"/>
        <w:rPr>
          <w:rFonts w:eastAsia="Calibri" w:cs="Times New Roman (CS-brødtekst)"/>
          <w:caps/>
          <w:color w:val="666666"/>
          <w:sz w:val="28"/>
          <w:szCs w:val="28"/>
          <w:lang w:val="en-GB"/>
        </w:rPr>
      </w:pPr>
      <w:r w:rsidRPr="00AF23FE">
        <w:rPr>
          <w:rFonts w:eastAsia="Calibri" w:cs="Times New Roman (CS-brødtekst)"/>
          <w:caps/>
          <w:color w:val="666666"/>
          <w:sz w:val="28"/>
          <w:szCs w:val="28"/>
          <w:lang w:val="en-GB"/>
        </w:rPr>
        <w:t>INTERNATIONAL REPORTING</w:t>
      </w:r>
    </w:p>
    <w:p w14:paraId="0A0F0026" w14:textId="77777777" w:rsidR="0032123A" w:rsidRPr="00AF23FE" w:rsidRDefault="0032123A" w:rsidP="0032123A">
      <w:pPr>
        <w:spacing w:after="240" w:line="240" w:lineRule="auto"/>
        <w:contextualSpacing/>
        <w:rPr>
          <w:rFonts w:eastAsia="Meiryo" w:cs="Arial"/>
          <w:b/>
          <w:color w:val="114253"/>
          <w:sz w:val="40"/>
          <w:szCs w:val="40"/>
          <w:lang w:val="en-GB"/>
        </w:rPr>
      </w:pPr>
      <w:r w:rsidRPr="00AF23FE">
        <w:rPr>
          <w:rFonts w:eastAsia="Meiryo" w:cs="Arial"/>
          <w:b/>
          <w:color w:val="114253"/>
          <w:sz w:val="40"/>
          <w:szCs w:val="40"/>
          <w:lang w:val="en-GB"/>
        </w:rPr>
        <w:t>Supplementary report from the Norwegian Human Rights Institution to the UN CRC 7</w:t>
      </w:r>
      <w:r w:rsidRPr="00AF23FE">
        <w:rPr>
          <w:rFonts w:eastAsia="Meiryo" w:cs="Arial"/>
          <w:b/>
          <w:color w:val="114253"/>
          <w:sz w:val="40"/>
          <w:szCs w:val="40"/>
          <w:vertAlign w:val="superscript"/>
          <w:lang w:val="en-GB"/>
        </w:rPr>
        <w:t>th</w:t>
      </w:r>
      <w:r w:rsidRPr="00AF23FE">
        <w:rPr>
          <w:rFonts w:eastAsia="Meiryo" w:cs="Arial"/>
          <w:b/>
          <w:color w:val="114253"/>
          <w:sz w:val="40"/>
          <w:szCs w:val="40"/>
          <w:lang w:val="en-GB"/>
        </w:rPr>
        <w:t xml:space="preserve"> review of Norway in 2025</w:t>
      </w:r>
    </w:p>
    <w:p w14:paraId="7C8574F0" w14:textId="1802446D" w:rsidR="0032123A" w:rsidRPr="00AF23FE" w:rsidRDefault="1D811CF7" w:rsidP="0032123A">
      <w:pPr>
        <w:spacing w:before="360"/>
        <w:rPr>
          <w:rFonts w:eastAsia="Calibri" w:cs="Arial"/>
          <w:lang w:val="en-GB"/>
        </w:rPr>
      </w:pPr>
      <w:r w:rsidRPr="1D811CF7">
        <w:rPr>
          <w:rFonts w:eastAsia="Calibri" w:cs="Arial"/>
          <w:lang w:val="en-GB"/>
        </w:rPr>
        <w:t xml:space="preserve">The Norwegian Human Rights Institution hereby submits its supplementary report to the UN Committee on the Rights of the Child </w:t>
      </w:r>
      <w:r w:rsidR="00111102">
        <w:rPr>
          <w:rFonts w:eastAsia="Calibri" w:cs="Arial"/>
          <w:lang w:val="en-GB"/>
        </w:rPr>
        <w:t xml:space="preserve">(hereinafter: the Committee) </w:t>
      </w:r>
      <w:r w:rsidRPr="1D811CF7">
        <w:rPr>
          <w:rFonts w:eastAsia="Calibri" w:cs="Arial"/>
          <w:lang w:val="en-GB"/>
        </w:rPr>
        <w:t xml:space="preserve">in relation to the 7th review of Norway in </w:t>
      </w:r>
      <w:r w:rsidRPr="00015792">
        <w:rPr>
          <w:rFonts w:eastAsia="Calibri" w:cs="Arial"/>
          <w:lang w:val="en-GB"/>
        </w:rPr>
        <w:t>May 2025</w:t>
      </w:r>
      <w:r w:rsidRPr="1D811CF7">
        <w:rPr>
          <w:rFonts w:eastAsia="Calibri" w:cs="Arial"/>
          <w:lang w:val="en-GB"/>
        </w:rPr>
        <w:t>.</w:t>
      </w:r>
    </w:p>
    <w:p w14:paraId="26E411CD" w14:textId="3E0ABDA8" w:rsidR="0032123A" w:rsidRPr="00AF23FE" w:rsidRDefault="0032123A" w:rsidP="0032123A">
      <w:pPr>
        <w:rPr>
          <w:rFonts w:eastAsia="Calibri" w:cs="Arial"/>
          <w:lang w:val="en-GB"/>
        </w:rPr>
      </w:pPr>
      <w:r w:rsidRPr="00AF23FE">
        <w:rPr>
          <w:rFonts w:eastAsia="Calibri" w:cs="Arial"/>
          <w:lang w:val="en-GB"/>
        </w:rPr>
        <w:t>The Norwegian Human Rights Institution (hereinafter: the NHRI) was established in 2015 and was re-accredited with A-status by GANHRI in 2022, thus having been recognized as fully compliant with the UN Paris Principles.</w:t>
      </w:r>
    </w:p>
    <w:p w14:paraId="168BADA2" w14:textId="6C18EC8B" w:rsidR="0032123A" w:rsidRPr="00AF23FE" w:rsidRDefault="0032123A" w:rsidP="0032123A">
      <w:pPr>
        <w:rPr>
          <w:rFonts w:eastAsia="Calibri" w:cs="Arial"/>
          <w:lang w:val="en-GB"/>
        </w:rPr>
      </w:pPr>
      <w:r w:rsidRPr="00AF23FE">
        <w:rPr>
          <w:rFonts w:eastAsia="Calibri" w:cs="Arial"/>
          <w:lang w:val="en-GB"/>
        </w:rPr>
        <w:t xml:space="preserve">We hereby take the opportunity to draw your attention to issues </w:t>
      </w:r>
      <w:r w:rsidR="00535183">
        <w:rPr>
          <w:rFonts w:eastAsia="Calibri" w:cs="Arial"/>
          <w:lang w:val="en-GB"/>
        </w:rPr>
        <w:t xml:space="preserve">that could </w:t>
      </w:r>
      <w:r w:rsidRPr="00AF23FE">
        <w:rPr>
          <w:rFonts w:eastAsia="Calibri" w:cs="Arial"/>
          <w:lang w:val="en-GB"/>
        </w:rPr>
        <w:t xml:space="preserve">be addressed in the Committee’s deliberations with Norway. </w:t>
      </w:r>
      <w:r w:rsidR="0052697C">
        <w:rPr>
          <w:rFonts w:eastAsia="Calibri" w:cs="Arial"/>
          <w:lang w:val="en-GB"/>
        </w:rPr>
        <w:t>Of the 1</w:t>
      </w:r>
      <w:r w:rsidR="001332AB">
        <w:rPr>
          <w:rFonts w:eastAsia="Calibri" w:cs="Arial"/>
          <w:lang w:val="en-GB"/>
        </w:rPr>
        <w:t>8</w:t>
      </w:r>
      <w:r w:rsidR="0052697C">
        <w:rPr>
          <w:rFonts w:eastAsia="Calibri" w:cs="Arial"/>
          <w:lang w:val="en-GB"/>
        </w:rPr>
        <w:t xml:space="preserve"> topics </w:t>
      </w:r>
      <w:r w:rsidR="00010C7D">
        <w:rPr>
          <w:rFonts w:eastAsia="Calibri" w:cs="Arial"/>
          <w:lang w:val="en-GB"/>
        </w:rPr>
        <w:t>mention</w:t>
      </w:r>
      <w:r w:rsidR="000F5F0C">
        <w:rPr>
          <w:rFonts w:eastAsia="Calibri" w:cs="Arial"/>
          <w:lang w:val="en-GB"/>
        </w:rPr>
        <w:t>ed</w:t>
      </w:r>
      <w:r w:rsidR="00010C7D">
        <w:rPr>
          <w:rFonts w:eastAsia="Calibri" w:cs="Arial"/>
          <w:lang w:val="en-GB"/>
        </w:rPr>
        <w:t xml:space="preserve"> in </w:t>
      </w:r>
      <w:r w:rsidR="00FD5DF2">
        <w:rPr>
          <w:rFonts w:eastAsia="Calibri" w:cs="Arial"/>
          <w:lang w:val="en-GB"/>
        </w:rPr>
        <w:t>this document</w:t>
      </w:r>
      <w:r w:rsidR="00010C7D">
        <w:rPr>
          <w:rFonts w:eastAsia="Calibri" w:cs="Arial"/>
          <w:lang w:val="en-GB"/>
        </w:rPr>
        <w:t xml:space="preserve">, </w:t>
      </w:r>
      <w:r w:rsidRPr="00AF23FE">
        <w:rPr>
          <w:rFonts w:eastAsia="Calibri" w:cs="Arial"/>
          <w:lang w:val="en-GB"/>
        </w:rPr>
        <w:t xml:space="preserve">we would highlight </w:t>
      </w:r>
      <w:r w:rsidR="007B1251">
        <w:rPr>
          <w:rFonts w:eastAsia="Calibri" w:cs="Arial"/>
          <w:lang w:val="en-GB"/>
        </w:rPr>
        <w:t xml:space="preserve">the following </w:t>
      </w:r>
      <w:r w:rsidR="009E267C">
        <w:rPr>
          <w:rFonts w:eastAsia="Calibri" w:cs="Arial"/>
          <w:lang w:val="en-GB"/>
        </w:rPr>
        <w:t xml:space="preserve">five </w:t>
      </w:r>
      <w:r w:rsidR="007B1251">
        <w:rPr>
          <w:rFonts w:eastAsia="Calibri" w:cs="Arial"/>
          <w:lang w:val="en-GB"/>
        </w:rPr>
        <w:t xml:space="preserve">topics </w:t>
      </w:r>
      <w:r w:rsidRPr="00AF23FE">
        <w:rPr>
          <w:rFonts w:eastAsia="Calibri" w:cs="Arial"/>
          <w:lang w:val="en-GB"/>
        </w:rPr>
        <w:t>as particular</w:t>
      </w:r>
      <w:r w:rsidR="00514168">
        <w:rPr>
          <w:rFonts w:eastAsia="Calibri" w:cs="Arial"/>
          <w:lang w:val="en-GB"/>
        </w:rPr>
        <w:t>ly important</w:t>
      </w:r>
      <w:r w:rsidR="00CB5222">
        <w:rPr>
          <w:rFonts w:eastAsia="Calibri" w:cs="Arial"/>
          <w:lang w:val="en-GB"/>
        </w:rPr>
        <w:t>:</w:t>
      </w:r>
      <w:r w:rsidRPr="00AF23FE">
        <w:rPr>
          <w:rFonts w:eastAsia="Calibri" w:cs="Arial"/>
          <w:lang w:val="en-GB"/>
        </w:rPr>
        <w:t xml:space="preserve"> </w:t>
      </w:r>
      <w:r w:rsidR="008D4A60" w:rsidRPr="00CA0715">
        <w:rPr>
          <w:rFonts w:eastAsia="Calibri" w:cs="Arial"/>
          <w:lang w:val="en-GB"/>
        </w:rPr>
        <w:t xml:space="preserve">Issue </w:t>
      </w:r>
      <w:r w:rsidR="00147431" w:rsidRPr="00CA0715">
        <w:rPr>
          <w:rFonts w:eastAsia="Calibri" w:cs="Arial"/>
          <w:lang w:val="en-GB"/>
        </w:rPr>
        <w:t>3</w:t>
      </w:r>
      <w:r w:rsidR="008D4A60">
        <w:rPr>
          <w:rFonts w:eastAsia="Calibri" w:cs="Arial"/>
          <w:lang w:val="en-GB"/>
        </w:rPr>
        <w:t xml:space="preserve"> on </w:t>
      </w:r>
      <w:r w:rsidR="00B53E32" w:rsidRPr="000F5F0C">
        <w:rPr>
          <w:rFonts w:eastAsia="Calibri" w:cs="Arial"/>
          <w:i/>
          <w:iCs/>
          <w:lang w:val="en-GB"/>
        </w:rPr>
        <w:t>access to justice and independent representation</w:t>
      </w:r>
      <w:r w:rsidR="00432A45">
        <w:rPr>
          <w:rFonts w:eastAsia="Calibri" w:cs="Arial"/>
          <w:lang w:val="en-GB"/>
        </w:rPr>
        <w:t>,</w:t>
      </w:r>
      <w:r w:rsidR="00507E45">
        <w:rPr>
          <w:rFonts w:eastAsia="Calibri" w:cs="Arial"/>
          <w:lang w:val="en-GB"/>
        </w:rPr>
        <w:t xml:space="preserve"> </w:t>
      </w:r>
      <w:r w:rsidR="007E0A71">
        <w:rPr>
          <w:rFonts w:eastAsia="Calibri" w:cs="Arial"/>
          <w:lang w:val="en-GB"/>
        </w:rPr>
        <w:t xml:space="preserve">Issue 7 on </w:t>
      </w:r>
      <w:r w:rsidR="007E0A71" w:rsidRPr="00113B80">
        <w:rPr>
          <w:rFonts w:eastAsia="Calibri" w:cs="Arial"/>
          <w:i/>
          <w:iCs/>
          <w:lang w:val="en-GB"/>
        </w:rPr>
        <w:t xml:space="preserve">care orders and contact </w:t>
      </w:r>
      <w:r w:rsidR="00E555AD" w:rsidRPr="00113B80">
        <w:rPr>
          <w:rFonts w:eastAsia="Calibri" w:cs="Arial"/>
          <w:i/>
          <w:iCs/>
          <w:lang w:val="en-GB"/>
        </w:rPr>
        <w:t xml:space="preserve">rights for children </w:t>
      </w:r>
      <w:r w:rsidR="00210D24" w:rsidRPr="00113B80">
        <w:rPr>
          <w:rFonts w:eastAsia="Calibri" w:cs="Arial"/>
          <w:i/>
          <w:iCs/>
          <w:lang w:val="en-GB"/>
        </w:rPr>
        <w:t>in the care of the child welfare services</w:t>
      </w:r>
      <w:r w:rsidR="00210D24">
        <w:rPr>
          <w:rFonts w:eastAsia="Calibri" w:cs="Arial"/>
          <w:lang w:val="en-GB"/>
        </w:rPr>
        <w:t xml:space="preserve">, </w:t>
      </w:r>
      <w:r w:rsidR="008D4A60">
        <w:rPr>
          <w:rFonts w:eastAsia="Calibri" w:cs="Arial"/>
          <w:lang w:val="en-GB"/>
        </w:rPr>
        <w:t>Issue 1</w:t>
      </w:r>
      <w:r w:rsidR="002753CB">
        <w:rPr>
          <w:rFonts w:eastAsia="Calibri" w:cs="Arial"/>
          <w:lang w:val="en-GB"/>
        </w:rPr>
        <w:t>1</w:t>
      </w:r>
      <w:r w:rsidR="008D4A60">
        <w:rPr>
          <w:rFonts w:eastAsia="Calibri" w:cs="Arial"/>
          <w:lang w:val="en-GB"/>
        </w:rPr>
        <w:t xml:space="preserve"> </w:t>
      </w:r>
      <w:r w:rsidR="008D4A60" w:rsidRPr="0030026E">
        <w:rPr>
          <w:rFonts w:eastAsia="Calibri" w:cs="Arial"/>
          <w:i/>
          <w:iCs/>
          <w:lang w:val="en-GB"/>
        </w:rPr>
        <w:t xml:space="preserve">on the need </w:t>
      </w:r>
      <w:r w:rsidR="00D30048" w:rsidRPr="0030026E">
        <w:rPr>
          <w:rFonts w:eastAsia="Calibri" w:cs="Arial"/>
          <w:i/>
          <w:iCs/>
          <w:lang w:val="en-GB"/>
        </w:rPr>
        <w:t xml:space="preserve">to cut </w:t>
      </w:r>
      <w:r w:rsidR="00A00828">
        <w:rPr>
          <w:rFonts w:eastAsia="Calibri" w:cs="Arial"/>
          <w:i/>
          <w:iCs/>
          <w:lang w:val="en-GB"/>
        </w:rPr>
        <w:t xml:space="preserve">greenhouse </w:t>
      </w:r>
      <w:r w:rsidR="00CA0D42">
        <w:rPr>
          <w:rFonts w:eastAsia="Calibri" w:cs="Arial"/>
          <w:i/>
          <w:iCs/>
          <w:lang w:val="en-GB"/>
        </w:rPr>
        <w:t>ga</w:t>
      </w:r>
      <w:r w:rsidR="00762F8F">
        <w:rPr>
          <w:rFonts w:eastAsia="Calibri" w:cs="Arial"/>
          <w:i/>
          <w:iCs/>
          <w:lang w:val="en-GB"/>
        </w:rPr>
        <w:t xml:space="preserve">s </w:t>
      </w:r>
      <w:r w:rsidR="00D30048" w:rsidRPr="0030026E">
        <w:rPr>
          <w:rFonts w:eastAsia="Calibri" w:cs="Arial"/>
          <w:i/>
          <w:iCs/>
          <w:lang w:val="en-GB"/>
        </w:rPr>
        <w:t xml:space="preserve">emissions </w:t>
      </w:r>
      <w:r w:rsidR="00D30048" w:rsidRPr="00113B80">
        <w:rPr>
          <w:rFonts w:eastAsia="Calibri" w:cs="Arial"/>
          <w:i/>
          <w:iCs/>
          <w:lang w:val="en-GB"/>
        </w:rPr>
        <w:t xml:space="preserve">to safeguard children’s </w:t>
      </w:r>
      <w:r w:rsidR="00D30048" w:rsidRPr="00F9244D">
        <w:rPr>
          <w:rFonts w:eastAsia="Calibri" w:cs="Arial"/>
          <w:i/>
          <w:iCs/>
          <w:lang w:val="en-GB"/>
        </w:rPr>
        <w:t>rights</w:t>
      </w:r>
      <w:r w:rsidR="00432A45">
        <w:rPr>
          <w:rFonts w:eastAsia="Calibri" w:cs="Arial"/>
          <w:lang w:val="en-GB"/>
        </w:rPr>
        <w:t>,</w:t>
      </w:r>
      <w:r w:rsidR="00D30048">
        <w:rPr>
          <w:rFonts w:eastAsia="Calibri" w:cs="Arial"/>
          <w:lang w:val="en-GB"/>
        </w:rPr>
        <w:t xml:space="preserve"> Issue 1</w:t>
      </w:r>
      <w:r w:rsidR="002753CB">
        <w:rPr>
          <w:rFonts w:eastAsia="Calibri" w:cs="Arial"/>
          <w:lang w:val="en-GB"/>
        </w:rPr>
        <w:t>3</w:t>
      </w:r>
      <w:r w:rsidR="00D30048">
        <w:rPr>
          <w:rFonts w:eastAsia="Calibri" w:cs="Arial"/>
          <w:lang w:val="en-GB"/>
        </w:rPr>
        <w:t xml:space="preserve"> on </w:t>
      </w:r>
      <w:r w:rsidR="00D30048" w:rsidRPr="00F9244D">
        <w:rPr>
          <w:rFonts w:eastAsia="Calibri" w:cs="Arial"/>
          <w:i/>
          <w:iCs/>
          <w:lang w:val="en-GB"/>
        </w:rPr>
        <w:t xml:space="preserve">differential care for unaccompanied asylum seekers aged </w:t>
      </w:r>
      <w:r w:rsidR="00D30048" w:rsidRPr="001A7B56">
        <w:rPr>
          <w:rFonts w:eastAsia="Calibri" w:cs="Arial"/>
          <w:i/>
          <w:iCs/>
          <w:lang w:val="en-GB"/>
        </w:rPr>
        <w:t>15-</w:t>
      </w:r>
      <w:r w:rsidR="00D30048" w:rsidRPr="00113B80">
        <w:rPr>
          <w:rFonts w:eastAsia="Calibri" w:cs="Arial"/>
          <w:i/>
          <w:iCs/>
          <w:lang w:val="en-GB"/>
        </w:rPr>
        <w:t>18</w:t>
      </w:r>
      <w:r w:rsidR="00432A45">
        <w:rPr>
          <w:rFonts w:eastAsia="Calibri" w:cs="Arial"/>
          <w:lang w:val="en-GB"/>
        </w:rPr>
        <w:t>,</w:t>
      </w:r>
      <w:r w:rsidR="00AA6E2D">
        <w:rPr>
          <w:rFonts w:eastAsia="Calibri" w:cs="Arial"/>
          <w:lang w:val="en-GB"/>
        </w:rPr>
        <w:t xml:space="preserve"> and Issue 1</w:t>
      </w:r>
      <w:r w:rsidR="002753CB">
        <w:rPr>
          <w:rFonts w:eastAsia="Calibri" w:cs="Arial"/>
          <w:lang w:val="en-GB"/>
        </w:rPr>
        <w:t>8</w:t>
      </w:r>
      <w:r w:rsidR="00AA6E2D">
        <w:rPr>
          <w:rFonts w:eastAsia="Calibri" w:cs="Arial"/>
          <w:lang w:val="en-GB"/>
        </w:rPr>
        <w:t xml:space="preserve"> on </w:t>
      </w:r>
      <w:r w:rsidR="0032511B" w:rsidRPr="00F9244D">
        <w:rPr>
          <w:rFonts w:eastAsia="Calibri" w:cs="Arial"/>
          <w:i/>
          <w:iCs/>
          <w:lang w:val="en-GB"/>
        </w:rPr>
        <w:t>preventive detention of children</w:t>
      </w:r>
      <w:r w:rsidR="004E33BE">
        <w:rPr>
          <w:rFonts w:eastAsia="Calibri" w:cs="Arial"/>
          <w:lang w:val="en-GB"/>
        </w:rPr>
        <w:t>.</w:t>
      </w:r>
    </w:p>
    <w:p w14:paraId="5992347D" w14:textId="77777777" w:rsidR="0032123A" w:rsidRPr="00AF23FE" w:rsidRDefault="0032123A" w:rsidP="0032123A">
      <w:pPr>
        <w:rPr>
          <w:rFonts w:eastAsia="Calibri" w:cs="Arial"/>
          <w:lang w:val="en-GB"/>
        </w:rPr>
      </w:pPr>
      <w:r w:rsidRPr="00AF23FE">
        <w:rPr>
          <w:rFonts w:eastAsia="Calibri" w:cs="Arial"/>
          <w:lang w:val="en-GB"/>
        </w:rPr>
        <w:t xml:space="preserve">Please feel free to contact us at </w:t>
      </w:r>
      <w:hyperlink r:id="rId11" w:history="1">
        <w:r w:rsidRPr="00AF23FE">
          <w:rPr>
            <w:rFonts w:eastAsia="Calibri" w:cs="Arial"/>
            <w:color w:val="0563C1"/>
            <w:u w:val="single"/>
            <w:lang w:val="en-GB"/>
          </w:rPr>
          <w:t>info@nhri.no</w:t>
        </w:r>
      </w:hyperlink>
      <w:r w:rsidRPr="00AF23FE">
        <w:rPr>
          <w:rFonts w:eastAsia="Calibri" w:cs="Arial"/>
          <w:lang w:val="en-GB"/>
        </w:rPr>
        <w:t xml:space="preserve"> if you have any questions.</w:t>
      </w:r>
    </w:p>
    <w:tbl>
      <w:tblPr>
        <w:tblStyle w:val="TableGrid"/>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32123A" w:rsidRPr="00CA0715" w14:paraId="77552425" w14:textId="77777777">
        <w:trPr>
          <w:trHeight w:val="643"/>
        </w:trPr>
        <w:tc>
          <w:tcPr>
            <w:tcW w:w="7938" w:type="dxa"/>
            <w:gridSpan w:val="2"/>
            <w:tcBorders>
              <w:top w:val="nil"/>
              <w:left w:val="nil"/>
              <w:bottom w:val="nil"/>
              <w:right w:val="nil"/>
            </w:tcBorders>
          </w:tcPr>
          <w:p w14:paraId="58F4884F" w14:textId="77777777" w:rsidR="0032123A" w:rsidRPr="00AF23FE" w:rsidRDefault="0032123A">
            <w:pPr>
              <w:jc w:val="both"/>
              <w:rPr>
                <w:rFonts w:eastAsia="Calibri" w:cs="Arial"/>
                <w:lang w:val="en-GB"/>
              </w:rPr>
            </w:pPr>
            <w:r w:rsidRPr="00AF23FE">
              <w:rPr>
                <w:rFonts w:eastAsia="Calibri" w:cs="Arial"/>
                <w:lang w:val="en-GB"/>
              </w:rPr>
              <w:t>Yours sincerely</w:t>
            </w:r>
          </w:p>
          <w:p w14:paraId="381E23EE" w14:textId="77777777" w:rsidR="0032123A" w:rsidRPr="00AF23FE" w:rsidRDefault="0032123A">
            <w:pPr>
              <w:jc w:val="both"/>
              <w:rPr>
                <w:rFonts w:eastAsia="Calibri" w:cs="Arial"/>
                <w:lang w:val="en-GB"/>
              </w:rPr>
            </w:pPr>
            <w:r w:rsidRPr="00AF23FE">
              <w:rPr>
                <w:rFonts w:eastAsia="Calibri" w:cs="Arial"/>
                <w:lang w:val="en-GB"/>
              </w:rPr>
              <w:t>On behalf of the Norwegian Human Rights Institution</w:t>
            </w:r>
          </w:p>
        </w:tc>
      </w:tr>
      <w:tr w:rsidR="0032123A" w:rsidRPr="00CA0715" w14:paraId="18FD2532" w14:textId="77777777">
        <w:trPr>
          <w:trHeight w:val="148"/>
        </w:trPr>
        <w:tc>
          <w:tcPr>
            <w:tcW w:w="7938" w:type="dxa"/>
            <w:gridSpan w:val="2"/>
            <w:tcBorders>
              <w:top w:val="nil"/>
              <w:left w:val="nil"/>
              <w:bottom w:val="nil"/>
              <w:right w:val="nil"/>
            </w:tcBorders>
          </w:tcPr>
          <w:p w14:paraId="1858929C" w14:textId="77777777" w:rsidR="0032123A" w:rsidRPr="00AF23FE" w:rsidRDefault="0032123A">
            <w:pPr>
              <w:rPr>
                <w:rFonts w:eastAsia="Calibri" w:cs="Arial"/>
                <w:lang w:val="en-GB"/>
              </w:rPr>
            </w:pPr>
          </w:p>
        </w:tc>
      </w:tr>
      <w:tr w:rsidR="0032123A" w:rsidRPr="00CA0715" w14:paraId="1B355764" w14:textId="77777777">
        <w:trPr>
          <w:trHeight w:val="789"/>
        </w:trPr>
        <w:tc>
          <w:tcPr>
            <w:tcW w:w="3983" w:type="dxa"/>
            <w:tcBorders>
              <w:top w:val="nil"/>
              <w:left w:val="nil"/>
              <w:bottom w:val="nil"/>
              <w:right w:val="nil"/>
            </w:tcBorders>
          </w:tcPr>
          <w:p w14:paraId="42889D52" w14:textId="4E983ABA" w:rsidR="0032123A" w:rsidRPr="00AF23FE" w:rsidRDefault="00F55B7B">
            <w:pPr>
              <w:rPr>
                <w:rFonts w:eastAsia="Calibri" w:cs="Arial"/>
                <w:lang w:val="en-GB"/>
              </w:rPr>
            </w:pPr>
            <w:r>
              <w:rPr>
                <w:rFonts w:eastAsia="Calibri" w:cs="Arial"/>
                <w:lang w:val="en-GB"/>
              </w:rPr>
              <w:t>Gro Nystuen</w:t>
            </w:r>
          </w:p>
          <w:p w14:paraId="0E08286F" w14:textId="4F51AA6C" w:rsidR="0032123A" w:rsidRPr="00AF23FE" w:rsidRDefault="00782480">
            <w:pPr>
              <w:rPr>
                <w:rFonts w:eastAsia="Calibri" w:cs="Arial"/>
                <w:lang w:val="en-GB"/>
              </w:rPr>
            </w:pPr>
            <w:r>
              <w:rPr>
                <w:rFonts w:eastAsia="Calibri" w:cs="Arial"/>
                <w:lang w:val="en-GB"/>
              </w:rPr>
              <w:t>Assistant</w:t>
            </w:r>
            <w:r w:rsidR="00F55B7B">
              <w:rPr>
                <w:rFonts w:eastAsia="Calibri" w:cs="Arial"/>
                <w:lang w:val="en-GB"/>
              </w:rPr>
              <w:t xml:space="preserve"> director</w:t>
            </w:r>
          </w:p>
        </w:tc>
        <w:tc>
          <w:tcPr>
            <w:tcW w:w="3955" w:type="dxa"/>
            <w:tcBorders>
              <w:top w:val="nil"/>
              <w:left w:val="nil"/>
              <w:bottom w:val="nil"/>
              <w:right w:val="nil"/>
            </w:tcBorders>
          </w:tcPr>
          <w:p w14:paraId="6A03F566" w14:textId="77777777" w:rsidR="0032123A" w:rsidRPr="00AF23FE" w:rsidRDefault="0032123A">
            <w:pPr>
              <w:rPr>
                <w:rFonts w:eastAsia="Calibri" w:cs="Arial"/>
                <w:lang w:val="en-GB"/>
              </w:rPr>
            </w:pPr>
            <w:r w:rsidRPr="00AF23FE">
              <w:rPr>
                <w:rFonts w:eastAsia="Calibri" w:cs="Arial"/>
                <w:lang w:val="en-GB"/>
              </w:rPr>
              <w:t>Kristin Høgdahl</w:t>
            </w:r>
          </w:p>
          <w:p w14:paraId="34EA4A68" w14:textId="77777777" w:rsidR="0032123A" w:rsidRPr="00AF23FE" w:rsidRDefault="0032123A">
            <w:pPr>
              <w:rPr>
                <w:rFonts w:eastAsia="Calibri" w:cs="Arial"/>
                <w:lang w:val="en-GB"/>
              </w:rPr>
            </w:pPr>
            <w:r w:rsidRPr="00AF23FE">
              <w:rPr>
                <w:rFonts w:eastAsia="Calibri" w:cs="Arial"/>
                <w:lang w:val="en-GB"/>
              </w:rPr>
              <w:t>Senior Policy Advisor</w:t>
            </w:r>
          </w:p>
        </w:tc>
      </w:tr>
    </w:tbl>
    <w:p w14:paraId="68666879" w14:textId="77777777" w:rsidR="0032123A" w:rsidRPr="00AF23FE" w:rsidRDefault="0032123A" w:rsidP="0032123A">
      <w:pPr>
        <w:rPr>
          <w:rFonts w:eastAsia="Calibri" w:cs="Arial"/>
          <w:lang w:val="en-GB"/>
        </w:rPr>
      </w:pPr>
    </w:p>
    <w:p w14:paraId="3BC2DF4C" w14:textId="77777777" w:rsidR="0032123A" w:rsidRPr="00AF23FE" w:rsidRDefault="0032123A" w:rsidP="0032123A">
      <w:pPr>
        <w:rPr>
          <w:rFonts w:eastAsia="Calibri" w:cs="Arial"/>
          <w:lang w:val="en-GB"/>
        </w:rPr>
      </w:pPr>
      <w:r w:rsidRPr="00AF23FE">
        <w:rPr>
          <w:rFonts w:eastAsia="Calibri" w:cs="Arial"/>
          <w:lang w:val="en-GB"/>
        </w:rPr>
        <w:t>This document is electronically approved and has no signature.</w:t>
      </w:r>
    </w:p>
    <w:p w14:paraId="3DFD2B52" w14:textId="77777777" w:rsidR="0032123A" w:rsidRPr="00AF23FE" w:rsidRDefault="0032123A" w:rsidP="0032123A">
      <w:pPr>
        <w:spacing w:after="0" w:line="240" w:lineRule="auto"/>
        <w:rPr>
          <w:rFonts w:eastAsia="Calibri" w:cs="Arial"/>
          <w:lang w:val="en-GB"/>
        </w:rPr>
      </w:pPr>
    </w:p>
    <w:sdt>
      <w:sdtPr>
        <w:rPr>
          <w:rFonts w:eastAsia="Meiryo" w:cs="Arial"/>
          <w:lang w:val="en-GB"/>
        </w:rPr>
        <w:id w:val="-1076054004"/>
        <w:docPartObj>
          <w:docPartGallery w:val="Table of Contents"/>
          <w:docPartUnique/>
        </w:docPartObj>
      </w:sdtPr>
      <w:sdtEndPr>
        <w:rPr>
          <w:b/>
          <w:bCs/>
        </w:rPr>
      </w:sdtEndPr>
      <w:sdtContent>
        <w:p w14:paraId="29309A51" w14:textId="50DF6647" w:rsidR="003A75AC" w:rsidRPr="001E6A72" w:rsidRDefault="0032123A" w:rsidP="0032123A">
          <w:pPr>
            <w:keepNext/>
            <w:keepLines/>
            <w:spacing w:before="240" w:after="0"/>
            <w:rPr>
              <w:rFonts w:eastAsia="Meiryo" w:cs="Arial"/>
              <w:b/>
              <w:color w:val="114253"/>
              <w:sz w:val="40"/>
              <w:szCs w:val="40"/>
              <w:lang w:val="en-GB"/>
            </w:rPr>
          </w:pPr>
          <w:r w:rsidRPr="00AB279E">
            <w:rPr>
              <w:rFonts w:eastAsia="Meiryo" w:cs="Arial"/>
              <w:b/>
              <w:color w:val="114253"/>
              <w:sz w:val="40"/>
              <w:szCs w:val="40"/>
              <w:lang w:val="en-GB"/>
            </w:rPr>
            <w:t>Content</w:t>
          </w:r>
        </w:p>
        <w:p w14:paraId="2239A19C" w14:textId="2A894732" w:rsidR="002753CB" w:rsidRPr="003A75AC" w:rsidRDefault="0032123A" w:rsidP="001E6A72">
          <w:pPr>
            <w:pStyle w:val="TOC1"/>
            <w:spacing w:before="240"/>
            <w:rPr>
              <w:caps w:val="0"/>
              <w:kern w:val="2"/>
              <w:sz w:val="24"/>
              <w:szCs w:val="24"/>
              <w:lang w:eastAsia="nb-NO"/>
              <w14:ligatures w14:val="standardContextual"/>
            </w:rPr>
          </w:pPr>
          <w:r w:rsidRPr="00090858">
            <w:rPr>
              <w:rFonts w:eastAsia="Meiryo" w:cs="Arial"/>
              <w:lang w:val="en-GB"/>
            </w:rPr>
            <w:fldChar w:fldCharType="begin"/>
          </w:r>
          <w:r w:rsidRPr="00090858">
            <w:rPr>
              <w:rFonts w:eastAsia="Meiryo" w:cs="Arial"/>
              <w:lang w:val="en-GB"/>
            </w:rPr>
            <w:instrText xml:space="preserve"> TOC \o "1-3" \h \z \u </w:instrText>
          </w:r>
          <w:r w:rsidRPr="00090858">
            <w:rPr>
              <w:rFonts w:eastAsia="Meiryo" w:cs="Arial"/>
              <w:lang w:val="en-GB"/>
            </w:rPr>
            <w:fldChar w:fldCharType="separate"/>
          </w:r>
          <w:hyperlink w:anchor="_Toc181973426" w:history="1">
            <w:r w:rsidR="00811A6A" w:rsidRPr="003A75AC">
              <w:rPr>
                <w:rStyle w:val="Hyperlink"/>
                <w:rFonts w:eastAsia="Calibri" w:cs="Arial"/>
                <w:caps w:val="0"/>
                <w:color w:val="auto"/>
                <w:lang w:val="en-GB"/>
              </w:rPr>
              <w:t>General measures of implementation</w:t>
            </w:r>
            <w:r w:rsidR="002753CB" w:rsidRPr="003A75AC">
              <w:rPr>
                <w:webHidden/>
              </w:rPr>
              <w:tab/>
            </w:r>
            <w:r w:rsidR="002753CB" w:rsidRPr="003A75AC">
              <w:rPr>
                <w:webHidden/>
              </w:rPr>
              <w:fldChar w:fldCharType="begin"/>
            </w:r>
            <w:r w:rsidR="002753CB" w:rsidRPr="003A75AC">
              <w:rPr>
                <w:webHidden/>
              </w:rPr>
              <w:instrText xml:space="preserve"> PAGEREF _Toc181973426 \h </w:instrText>
            </w:r>
            <w:r w:rsidR="002753CB" w:rsidRPr="003A75AC">
              <w:rPr>
                <w:webHidden/>
              </w:rPr>
            </w:r>
            <w:r w:rsidR="002753CB" w:rsidRPr="003A75AC">
              <w:rPr>
                <w:webHidden/>
              </w:rPr>
              <w:fldChar w:fldCharType="separate"/>
            </w:r>
            <w:r w:rsidR="001403D5">
              <w:rPr>
                <w:webHidden/>
              </w:rPr>
              <w:t>3</w:t>
            </w:r>
            <w:r w:rsidR="002753CB" w:rsidRPr="003A75AC">
              <w:rPr>
                <w:webHidden/>
              </w:rPr>
              <w:fldChar w:fldCharType="end"/>
            </w:r>
          </w:hyperlink>
        </w:p>
        <w:p w14:paraId="0C11A6A3" w14:textId="6B1A8374" w:rsidR="002753CB" w:rsidRPr="003A75AC" w:rsidRDefault="00000000">
          <w:pPr>
            <w:pStyle w:val="TOC1"/>
            <w:rPr>
              <w:caps w:val="0"/>
              <w:kern w:val="2"/>
              <w:sz w:val="24"/>
              <w:szCs w:val="24"/>
              <w:lang w:eastAsia="nb-NO"/>
              <w14:ligatures w14:val="standardContextual"/>
            </w:rPr>
          </w:pPr>
          <w:hyperlink w:anchor="_Toc181973430" w:history="1">
            <w:r w:rsidR="003A75AC" w:rsidRPr="003A75AC">
              <w:rPr>
                <w:rStyle w:val="Hyperlink"/>
                <w:rFonts w:eastAsia="Calibri" w:cs="Arial"/>
                <w:caps w:val="0"/>
                <w:color w:val="auto"/>
                <w:lang w:val="en-GB"/>
              </w:rPr>
              <w:t>G</w:t>
            </w:r>
            <w:r w:rsidR="00811A6A" w:rsidRPr="003A75AC">
              <w:rPr>
                <w:rStyle w:val="Hyperlink"/>
                <w:rFonts w:eastAsia="Calibri" w:cs="Arial"/>
                <w:caps w:val="0"/>
                <w:color w:val="auto"/>
                <w:lang w:val="en-GB"/>
              </w:rPr>
              <w:t>eneral principles</w:t>
            </w:r>
            <w:r w:rsidR="002753CB" w:rsidRPr="003A75AC">
              <w:rPr>
                <w:webHidden/>
              </w:rPr>
              <w:tab/>
            </w:r>
            <w:r w:rsidR="002753CB" w:rsidRPr="003A75AC">
              <w:rPr>
                <w:webHidden/>
              </w:rPr>
              <w:fldChar w:fldCharType="begin"/>
            </w:r>
            <w:r w:rsidR="002753CB" w:rsidRPr="003A75AC">
              <w:rPr>
                <w:webHidden/>
              </w:rPr>
              <w:instrText xml:space="preserve"> PAGEREF _Toc181973430 \h </w:instrText>
            </w:r>
            <w:r w:rsidR="002753CB" w:rsidRPr="003A75AC">
              <w:rPr>
                <w:webHidden/>
              </w:rPr>
            </w:r>
            <w:r w:rsidR="002753CB" w:rsidRPr="003A75AC">
              <w:rPr>
                <w:webHidden/>
              </w:rPr>
              <w:fldChar w:fldCharType="separate"/>
            </w:r>
            <w:r w:rsidR="001403D5">
              <w:rPr>
                <w:webHidden/>
              </w:rPr>
              <w:t>6</w:t>
            </w:r>
            <w:r w:rsidR="002753CB" w:rsidRPr="003A75AC">
              <w:rPr>
                <w:webHidden/>
              </w:rPr>
              <w:fldChar w:fldCharType="end"/>
            </w:r>
          </w:hyperlink>
        </w:p>
        <w:p w14:paraId="47A1BC73" w14:textId="5E1523DA" w:rsidR="002753CB" w:rsidRPr="003A75AC" w:rsidRDefault="00000000" w:rsidP="003A75AC">
          <w:pPr>
            <w:pStyle w:val="TOC1"/>
            <w:rPr>
              <w:caps w:val="0"/>
              <w:kern w:val="2"/>
              <w:sz w:val="24"/>
              <w:szCs w:val="24"/>
              <w:lang w:eastAsia="nb-NO"/>
              <w14:ligatures w14:val="standardContextual"/>
            </w:rPr>
          </w:pPr>
          <w:hyperlink w:anchor="_Toc181973433" w:history="1">
            <w:r w:rsidR="003A75AC" w:rsidRPr="003A75AC">
              <w:rPr>
                <w:rStyle w:val="Hyperlink"/>
                <w:rFonts w:eastAsia="Calibri" w:cs="Arial"/>
                <w:caps w:val="0"/>
                <w:color w:val="auto"/>
                <w:lang w:val="en-GB"/>
              </w:rPr>
              <w:t>C</w:t>
            </w:r>
            <w:r w:rsidR="00811A6A" w:rsidRPr="003A75AC">
              <w:rPr>
                <w:rStyle w:val="Hyperlink"/>
                <w:rFonts w:eastAsia="Calibri" w:cs="Arial"/>
                <w:caps w:val="0"/>
                <w:color w:val="auto"/>
                <w:lang w:val="en-GB"/>
              </w:rPr>
              <w:t>ivil rights and freedoms</w:t>
            </w:r>
            <w:r w:rsidR="002753CB" w:rsidRPr="003A75AC">
              <w:rPr>
                <w:webHidden/>
              </w:rPr>
              <w:tab/>
            </w:r>
            <w:r w:rsidR="002753CB" w:rsidRPr="003A75AC">
              <w:rPr>
                <w:webHidden/>
              </w:rPr>
              <w:fldChar w:fldCharType="begin"/>
            </w:r>
            <w:r w:rsidR="002753CB" w:rsidRPr="003A75AC">
              <w:rPr>
                <w:webHidden/>
              </w:rPr>
              <w:instrText xml:space="preserve"> PAGEREF _Toc181973433 \h </w:instrText>
            </w:r>
            <w:r w:rsidR="002753CB" w:rsidRPr="003A75AC">
              <w:rPr>
                <w:webHidden/>
              </w:rPr>
            </w:r>
            <w:r w:rsidR="002753CB" w:rsidRPr="003A75AC">
              <w:rPr>
                <w:webHidden/>
              </w:rPr>
              <w:fldChar w:fldCharType="separate"/>
            </w:r>
            <w:r w:rsidR="001403D5">
              <w:rPr>
                <w:webHidden/>
              </w:rPr>
              <w:t>9</w:t>
            </w:r>
            <w:r w:rsidR="002753CB" w:rsidRPr="003A75AC">
              <w:rPr>
                <w:webHidden/>
              </w:rPr>
              <w:fldChar w:fldCharType="end"/>
            </w:r>
          </w:hyperlink>
        </w:p>
        <w:p w14:paraId="22C75E2C" w14:textId="53EFE97E" w:rsidR="002753CB" w:rsidRPr="003A75AC" w:rsidRDefault="00000000">
          <w:pPr>
            <w:pStyle w:val="TOC1"/>
            <w:rPr>
              <w:caps w:val="0"/>
              <w:kern w:val="2"/>
              <w:sz w:val="24"/>
              <w:szCs w:val="24"/>
              <w:lang w:eastAsia="nb-NO"/>
              <w14:ligatures w14:val="standardContextual"/>
            </w:rPr>
          </w:pPr>
          <w:hyperlink w:anchor="_Toc181973435" w:history="1">
            <w:r w:rsidR="003A75AC" w:rsidRPr="003A75AC">
              <w:rPr>
                <w:rStyle w:val="Hyperlink"/>
                <w:rFonts w:eastAsia="Calibri" w:cs="Arial"/>
                <w:caps w:val="0"/>
                <w:color w:val="auto"/>
                <w:lang w:val="en-GB"/>
              </w:rPr>
              <w:t>F</w:t>
            </w:r>
            <w:r w:rsidR="00811A6A" w:rsidRPr="003A75AC">
              <w:rPr>
                <w:rStyle w:val="Hyperlink"/>
                <w:rFonts w:eastAsia="Calibri" w:cs="Arial"/>
                <w:caps w:val="0"/>
                <w:color w:val="auto"/>
                <w:lang w:val="en-GB"/>
              </w:rPr>
              <w:t>amily environment and alternative care</w:t>
            </w:r>
            <w:r w:rsidR="002753CB" w:rsidRPr="003A75AC">
              <w:rPr>
                <w:webHidden/>
              </w:rPr>
              <w:tab/>
            </w:r>
            <w:r w:rsidR="002753CB" w:rsidRPr="003A75AC">
              <w:rPr>
                <w:webHidden/>
              </w:rPr>
              <w:fldChar w:fldCharType="begin"/>
            </w:r>
            <w:r w:rsidR="002753CB" w:rsidRPr="003A75AC">
              <w:rPr>
                <w:webHidden/>
              </w:rPr>
              <w:instrText xml:space="preserve"> PAGEREF _Toc181973435 \h </w:instrText>
            </w:r>
            <w:r w:rsidR="002753CB" w:rsidRPr="003A75AC">
              <w:rPr>
                <w:webHidden/>
              </w:rPr>
            </w:r>
            <w:r w:rsidR="002753CB" w:rsidRPr="003A75AC">
              <w:rPr>
                <w:webHidden/>
              </w:rPr>
              <w:fldChar w:fldCharType="separate"/>
            </w:r>
            <w:r w:rsidR="001403D5">
              <w:rPr>
                <w:webHidden/>
              </w:rPr>
              <w:t>10</w:t>
            </w:r>
            <w:r w:rsidR="002753CB" w:rsidRPr="003A75AC">
              <w:rPr>
                <w:webHidden/>
              </w:rPr>
              <w:fldChar w:fldCharType="end"/>
            </w:r>
          </w:hyperlink>
        </w:p>
        <w:p w14:paraId="0DD92A5D" w14:textId="07C7C49C" w:rsidR="002753CB" w:rsidRPr="003A75AC" w:rsidRDefault="00000000">
          <w:pPr>
            <w:pStyle w:val="TOC1"/>
            <w:rPr>
              <w:caps w:val="0"/>
              <w:kern w:val="2"/>
              <w:sz w:val="24"/>
              <w:szCs w:val="24"/>
              <w:lang w:eastAsia="nb-NO"/>
              <w14:ligatures w14:val="standardContextual"/>
            </w:rPr>
          </w:pPr>
          <w:hyperlink w:anchor="_Toc181973438" w:history="1">
            <w:r w:rsidR="003A75AC" w:rsidRPr="003A75AC">
              <w:rPr>
                <w:rStyle w:val="Hyperlink"/>
                <w:rFonts w:eastAsia="Calibri" w:cs="Arial"/>
                <w:caps w:val="0"/>
                <w:color w:val="auto"/>
                <w:lang w:val="en-GB"/>
              </w:rPr>
              <w:t>C</w:t>
            </w:r>
            <w:r w:rsidR="00811A6A" w:rsidRPr="003A75AC">
              <w:rPr>
                <w:rStyle w:val="Hyperlink"/>
                <w:rFonts w:eastAsia="Calibri" w:cs="Arial"/>
                <w:caps w:val="0"/>
                <w:color w:val="auto"/>
                <w:lang w:val="en-GB"/>
              </w:rPr>
              <w:t>hildren with disabilities</w:t>
            </w:r>
            <w:r w:rsidR="002753CB" w:rsidRPr="003A75AC">
              <w:rPr>
                <w:webHidden/>
              </w:rPr>
              <w:tab/>
            </w:r>
            <w:r w:rsidR="002753CB" w:rsidRPr="003A75AC">
              <w:rPr>
                <w:webHidden/>
              </w:rPr>
              <w:fldChar w:fldCharType="begin"/>
            </w:r>
            <w:r w:rsidR="002753CB" w:rsidRPr="003A75AC">
              <w:rPr>
                <w:webHidden/>
              </w:rPr>
              <w:instrText xml:space="preserve"> PAGEREF _Toc181973438 \h </w:instrText>
            </w:r>
            <w:r w:rsidR="002753CB" w:rsidRPr="003A75AC">
              <w:rPr>
                <w:webHidden/>
              </w:rPr>
            </w:r>
            <w:r w:rsidR="002753CB" w:rsidRPr="003A75AC">
              <w:rPr>
                <w:webHidden/>
              </w:rPr>
              <w:fldChar w:fldCharType="separate"/>
            </w:r>
            <w:r w:rsidR="001403D5">
              <w:rPr>
                <w:webHidden/>
              </w:rPr>
              <w:t>11</w:t>
            </w:r>
            <w:r w:rsidR="002753CB" w:rsidRPr="003A75AC">
              <w:rPr>
                <w:webHidden/>
              </w:rPr>
              <w:fldChar w:fldCharType="end"/>
            </w:r>
          </w:hyperlink>
        </w:p>
        <w:p w14:paraId="70AB1652" w14:textId="24F4F404" w:rsidR="002753CB" w:rsidRPr="003A75AC" w:rsidRDefault="00000000">
          <w:pPr>
            <w:pStyle w:val="TOC1"/>
            <w:rPr>
              <w:caps w:val="0"/>
              <w:kern w:val="2"/>
              <w:sz w:val="24"/>
              <w:szCs w:val="24"/>
              <w:lang w:eastAsia="nb-NO"/>
              <w14:ligatures w14:val="standardContextual"/>
            </w:rPr>
          </w:pPr>
          <w:hyperlink w:anchor="_Toc181973440" w:history="1">
            <w:r w:rsidR="003A75AC" w:rsidRPr="003A75AC">
              <w:rPr>
                <w:rStyle w:val="Hyperlink"/>
                <w:rFonts w:eastAsia="Calibri" w:cs="Arial"/>
                <w:caps w:val="0"/>
                <w:color w:val="auto"/>
                <w:lang w:val="en-GB"/>
              </w:rPr>
              <w:t>B</w:t>
            </w:r>
            <w:r w:rsidR="00811A6A" w:rsidRPr="003A75AC">
              <w:rPr>
                <w:rStyle w:val="Hyperlink"/>
                <w:rFonts w:eastAsia="Calibri" w:cs="Arial"/>
                <w:caps w:val="0"/>
                <w:color w:val="auto"/>
                <w:lang w:val="en-GB"/>
              </w:rPr>
              <w:t>asic health and welfare</w:t>
            </w:r>
            <w:r w:rsidR="002753CB" w:rsidRPr="003A75AC">
              <w:rPr>
                <w:webHidden/>
              </w:rPr>
              <w:tab/>
            </w:r>
            <w:r w:rsidR="002753CB" w:rsidRPr="003A75AC">
              <w:rPr>
                <w:webHidden/>
              </w:rPr>
              <w:fldChar w:fldCharType="begin"/>
            </w:r>
            <w:r w:rsidR="002753CB" w:rsidRPr="003A75AC">
              <w:rPr>
                <w:webHidden/>
              </w:rPr>
              <w:instrText xml:space="preserve"> PAGEREF _Toc181973440 \h </w:instrText>
            </w:r>
            <w:r w:rsidR="002753CB" w:rsidRPr="003A75AC">
              <w:rPr>
                <w:webHidden/>
              </w:rPr>
            </w:r>
            <w:r w:rsidR="002753CB" w:rsidRPr="003A75AC">
              <w:rPr>
                <w:webHidden/>
              </w:rPr>
              <w:fldChar w:fldCharType="separate"/>
            </w:r>
            <w:r w:rsidR="001403D5">
              <w:rPr>
                <w:webHidden/>
              </w:rPr>
              <w:t>12</w:t>
            </w:r>
            <w:r w:rsidR="002753CB" w:rsidRPr="003A75AC">
              <w:rPr>
                <w:webHidden/>
              </w:rPr>
              <w:fldChar w:fldCharType="end"/>
            </w:r>
          </w:hyperlink>
        </w:p>
        <w:p w14:paraId="2F4FE088" w14:textId="5137A6F6" w:rsidR="002753CB" w:rsidRPr="003A75AC" w:rsidRDefault="00000000">
          <w:pPr>
            <w:pStyle w:val="TOC1"/>
            <w:rPr>
              <w:caps w:val="0"/>
              <w:kern w:val="2"/>
              <w:sz w:val="24"/>
              <w:szCs w:val="24"/>
              <w:lang w:eastAsia="nb-NO"/>
              <w14:ligatures w14:val="standardContextual"/>
            </w:rPr>
          </w:pPr>
          <w:hyperlink w:anchor="_Toc181973444" w:history="1">
            <w:r w:rsidR="003A75AC" w:rsidRPr="003A75AC">
              <w:rPr>
                <w:rStyle w:val="Hyperlink"/>
                <w:rFonts w:eastAsia="Calibri" w:cs="Arial"/>
                <w:caps w:val="0"/>
                <w:color w:val="auto"/>
                <w:lang w:val="en-GB"/>
              </w:rPr>
              <w:t>S</w:t>
            </w:r>
            <w:r w:rsidR="00811A6A" w:rsidRPr="003A75AC">
              <w:rPr>
                <w:rStyle w:val="Hyperlink"/>
                <w:rFonts w:eastAsia="Calibri" w:cs="Arial"/>
                <w:caps w:val="0"/>
                <w:color w:val="auto"/>
                <w:lang w:val="en-GB"/>
              </w:rPr>
              <w:t>pecial protection measures</w:t>
            </w:r>
            <w:r w:rsidR="002753CB" w:rsidRPr="003A75AC">
              <w:rPr>
                <w:webHidden/>
              </w:rPr>
              <w:tab/>
            </w:r>
            <w:r w:rsidR="002753CB" w:rsidRPr="003A75AC">
              <w:rPr>
                <w:webHidden/>
              </w:rPr>
              <w:fldChar w:fldCharType="begin"/>
            </w:r>
            <w:r w:rsidR="002753CB" w:rsidRPr="003A75AC">
              <w:rPr>
                <w:webHidden/>
              </w:rPr>
              <w:instrText xml:space="preserve"> PAGEREF _Toc181973444 \h </w:instrText>
            </w:r>
            <w:r w:rsidR="002753CB" w:rsidRPr="003A75AC">
              <w:rPr>
                <w:webHidden/>
              </w:rPr>
            </w:r>
            <w:r w:rsidR="002753CB" w:rsidRPr="003A75AC">
              <w:rPr>
                <w:webHidden/>
              </w:rPr>
              <w:fldChar w:fldCharType="separate"/>
            </w:r>
            <w:r w:rsidR="001403D5">
              <w:rPr>
                <w:webHidden/>
              </w:rPr>
              <w:t>16</w:t>
            </w:r>
            <w:r w:rsidR="002753CB" w:rsidRPr="003A75AC">
              <w:rPr>
                <w:webHidden/>
              </w:rPr>
              <w:fldChar w:fldCharType="end"/>
            </w:r>
          </w:hyperlink>
        </w:p>
        <w:p w14:paraId="2380B51D" w14:textId="2E8ECCA6" w:rsidR="0032123A" w:rsidRPr="00090858" w:rsidRDefault="0032123A" w:rsidP="0032123A">
          <w:pPr>
            <w:rPr>
              <w:rFonts w:eastAsia="Calibri" w:cs="Arial"/>
              <w:lang w:val="en-GB"/>
            </w:rPr>
          </w:pPr>
          <w:r w:rsidRPr="00090858">
            <w:rPr>
              <w:rFonts w:eastAsia="Calibri" w:cs="Arial"/>
              <w:b/>
              <w:bCs/>
              <w:lang w:val="en-GB"/>
            </w:rPr>
            <w:fldChar w:fldCharType="end"/>
          </w:r>
        </w:p>
      </w:sdtContent>
    </w:sdt>
    <w:p w14:paraId="1BB0CE23" w14:textId="77777777" w:rsidR="0032123A" w:rsidRPr="00090858" w:rsidRDefault="0032123A" w:rsidP="0032123A">
      <w:pPr>
        <w:rPr>
          <w:rFonts w:eastAsia="Calibri" w:cs="Arial"/>
          <w:lang w:val="en-GB"/>
        </w:rPr>
      </w:pPr>
    </w:p>
    <w:p w14:paraId="68E0DBD2" w14:textId="4F215408" w:rsidR="0032123A" w:rsidRPr="00090858" w:rsidRDefault="0032123A" w:rsidP="0032123A">
      <w:pPr>
        <w:spacing w:after="0" w:line="240" w:lineRule="auto"/>
        <w:rPr>
          <w:rFonts w:eastAsia="Calibri" w:cs="Arial"/>
          <w:b/>
          <w:bCs/>
          <w:iCs/>
          <w:sz w:val="30"/>
          <w:szCs w:val="30"/>
          <w:lang w:val="en-GB"/>
        </w:rPr>
      </w:pPr>
      <w:r w:rsidRPr="00090858">
        <w:rPr>
          <w:rFonts w:eastAsia="Calibri" w:cs="Arial"/>
          <w:lang w:val="en-GB"/>
        </w:rPr>
        <w:br w:type="page"/>
      </w:r>
    </w:p>
    <w:p w14:paraId="155DEF98" w14:textId="4F215408" w:rsidR="0032123A" w:rsidRPr="00711D0C" w:rsidRDefault="0032123A" w:rsidP="00711D0C">
      <w:pPr>
        <w:keepNext/>
        <w:tabs>
          <w:tab w:val="left" w:pos="426"/>
        </w:tabs>
        <w:spacing w:before="360" w:after="0" w:line="240" w:lineRule="auto"/>
        <w:ind w:left="227" w:hanging="227"/>
        <w:outlineLvl w:val="0"/>
        <w:rPr>
          <w:rFonts w:eastAsia="Calibri" w:cs="Arial"/>
          <w:b/>
          <w:sz w:val="40"/>
          <w:szCs w:val="40"/>
          <w:lang w:val="en-GB"/>
        </w:rPr>
      </w:pPr>
      <w:bookmarkStart w:id="0" w:name="_Toc181973426"/>
      <w:r w:rsidRPr="00711D0C">
        <w:rPr>
          <w:rFonts w:eastAsia="Calibri" w:cs="Arial"/>
          <w:b/>
          <w:sz w:val="40"/>
          <w:szCs w:val="40"/>
          <w:lang w:val="en-GB"/>
        </w:rPr>
        <w:lastRenderedPageBreak/>
        <w:t>General measures of implementation</w:t>
      </w:r>
      <w:bookmarkEnd w:id="0"/>
    </w:p>
    <w:p w14:paraId="358B7129" w14:textId="66D1232F" w:rsidR="0032123A" w:rsidRPr="00AF23FE" w:rsidRDefault="0032123A" w:rsidP="0032123A">
      <w:pPr>
        <w:pStyle w:val="Heading1"/>
        <w:rPr>
          <w:lang w:val="en-GB"/>
        </w:rPr>
      </w:pPr>
      <w:bookmarkStart w:id="1" w:name="_Toc181973427"/>
      <w:r w:rsidRPr="00AF23FE">
        <w:rPr>
          <w:lang w:val="en-GB"/>
        </w:rPr>
        <w:t xml:space="preserve">Ratification of </w:t>
      </w:r>
      <w:r w:rsidR="00711D0C">
        <w:rPr>
          <w:lang w:val="en-GB"/>
        </w:rPr>
        <w:t xml:space="preserve">the </w:t>
      </w:r>
      <w:r w:rsidRPr="00AF23FE">
        <w:rPr>
          <w:lang w:val="en-GB"/>
        </w:rPr>
        <w:t>individual complaint mechanism to the UN CRC OP3</w:t>
      </w:r>
      <w:bookmarkEnd w:id="1"/>
    </w:p>
    <w:p w14:paraId="4181018B" w14:textId="77777777" w:rsidR="0032123A" w:rsidRPr="00BB61B7" w:rsidRDefault="0032123A" w:rsidP="00360D7E">
      <w:pPr>
        <w:spacing w:before="120"/>
        <w:rPr>
          <w:rFonts w:eastAsia="Calibri" w:cs="Arial"/>
          <w:i/>
          <w:lang w:val="en-GB"/>
        </w:rPr>
      </w:pPr>
      <w:r w:rsidRPr="00BB61B7">
        <w:rPr>
          <w:rFonts w:eastAsia="Calibri" w:cs="Arial"/>
          <w:i/>
          <w:lang w:val="en-GB"/>
        </w:rPr>
        <w:t>Reference is made to LOIPR 2023: 4 (d)</w:t>
      </w:r>
    </w:p>
    <w:p w14:paraId="0D250E8F" w14:textId="5720717C" w:rsidR="0032123A" w:rsidRPr="00AF23FE" w:rsidRDefault="0032123A" w:rsidP="0032123A">
      <w:pPr>
        <w:rPr>
          <w:rFonts w:eastAsia="Aptos" w:cs="Aptos"/>
          <w:lang w:val="en-GB"/>
        </w:rPr>
      </w:pPr>
      <w:r w:rsidRPr="00AF23FE">
        <w:rPr>
          <w:rFonts w:eastAsia="Aptos" w:cs="Aptos"/>
          <w:lang w:val="en-GB"/>
        </w:rPr>
        <w:t>In 2016</w:t>
      </w:r>
      <w:r w:rsidR="001B172F">
        <w:rPr>
          <w:rFonts w:eastAsia="Aptos" w:cs="Aptos"/>
          <w:lang w:val="en-GB"/>
        </w:rPr>
        <w:t>,</w:t>
      </w:r>
      <w:r w:rsidR="002B4F5C">
        <w:rPr>
          <w:rFonts w:eastAsia="Aptos" w:cs="Aptos"/>
          <w:lang w:val="en-GB"/>
        </w:rPr>
        <w:t xml:space="preserve"> the Norwegian</w:t>
      </w:r>
      <w:r w:rsidRPr="00AF23FE">
        <w:rPr>
          <w:rFonts w:eastAsia="Aptos" w:cs="Aptos"/>
          <w:lang w:val="en-GB"/>
        </w:rPr>
        <w:t xml:space="preserve"> Parliament decided </w:t>
      </w:r>
      <w:r w:rsidR="00927BBF">
        <w:rPr>
          <w:rFonts w:eastAsia="Aptos" w:cs="Aptos"/>
          <w:lang w:val="en-GB"/>
        </w:rPr>
        <w:t xml:space="preserve">that Norway </w:t>
      </w:r>
      <w:r w:rsidR="00B44AD4">
        <w:rPr>
          <w:rFonts w:eastAsia="Aptos" w:cs="Aptos"/>
          <w:lang w:val="en-GB"/>
        </w:rPr>
        <w:t>would</w:t>
      </w:r>
      <w:r w:rsidR="00927BBF">
        <w:rPr>
          <w:rFonts w:eastAsia="Aptos" w:cs="Aptos"/>
          <w:lang w:val="en-GB"/>
        </w:rPr>
        <w:t xml:space="preserve"> not</w:t>
      </w:r>
      <w:r w:rsidRPr="00AF23FE">
        <w:rPr>
          <w:rFonts w:eastAsia="Aptos" w:cs="Aptos"/>
          <w:lang w:val="en-GB"/>
        </w:rPr>
        <w:t xml:space="preserve"> ratify </w:t>
      </w:r>
      <w:r w:rsidR="002414FB">
        <w:rPr>
          <w:rFonts w:eastAsia="Aptos" w:cs="Aptos"/>
          <w:lang w:val="en-GB"/>
        </w:rPr>
        <w:t xml:space="preserve">the </w:t>
      </w:r>
      <w:r w:rsidRPr="00AF23FE">
        <w:rPr>
          <w:rFonts w:eastAsia="Aptos" w:cs="Aptos"/>
          <w:lang w:val="en-GB"/>
        </w:rPr>
        <w:t>optional protocols (OP) concerning the individual complaint mechanisms for the CRC, the CRPD and the CESCR. A renewed effort in 2022 focusing only on OP3 CRC was again rejected by a parliamentary majority. While Norway is party to several international individual complaint mechanisms, this leaves some vulnerable groups without the ability to file international complaints after exhausting domestic remedies.</w:t>
      </w:r>
    </w:p>
    <w:p w14:paraId="61AC4E5A" w14:textId="77777777" w:rsidR="0032123A" w:rsidRPr="00AF23FE" w:rsidRDefault="0032123A" w:rsidP="0032123A">
      <w:pPr>
        <w:rPr>
          <w:rFonts w:eastAsia="Aptos" w:cs="Aptos"/>
          <w:lang w:val="en-GB"/>
        </w:rPr>
      </w:pPr>
      <w:r w:rsidRPr="00AF23FE">
        <w:rPr>
          <w:rFonts w:eastAsia="Aptos" w:cs="Aptos"/>
          <w:lang w:val="en-GB"/>
        </w:rPr>
        <w:t>The parliamentary majority and the Government have raised concerns about the provisions of the OP3 CRC itself, the Committee’s composition, resources, and methods, as well as the Committee’s emerging jurisprudence. Parliament has suggested that some recent cases indicate that the Committee’s interpretations are not consistent with Norway’s and other states’ understanding of the Convention.</w:t>
      </w:r>
    </w:p>
    <w:p w14:paraId="2A46BAB3" w14:textId="5DB241DA" w:rsidR="0032123A" w:rsidRPr="00AF23FE" w:rsidRDefault="0032123A" w:rsidP="0032123A">
      <w:pPr>
        <w:rPr>
          <w:rFonts w:eastAsia="Aptos" w:cs="Aptos"/>
          <w:lang w:val="en-GB"/>
        </w:rPr>
      </w:pPr>
      <w:r w:rsidRPr="00AF23FE">
        <w:rPr>
          <w:rFonts w:eastAsia="Aptos" w:cs="Aptos"/>
          <w:lang w:val="en-GB"/>
        </w:rPr>
        <w:t>The NHRI reviewed the Committee’s jurisprudence under the OP to provide updated information before Parliament voted on the issue in 2022</w:t>
      </w:r>
      <w:r w:rsidR="00340962">
        <w:rPr>
          <w:rFonts w:eastAsia="Aptos" w:cs="Aptos"/>
          <w:lang w:val="en-GB"/>
        </w:rPr>
        <w:t>.</w:t>
      </w:r>
      <w:r w:rsidRPr="00AF23FE">
        <w:rPr>
          <w:rFonts w:eastAsia="Aptos" w:cs="Aptos"/>
          <w:color w:val="333333"/>
          <w:vertAlign w:val="superscript"/>
          <w:lang w:val="en-GB"/>
        </w:rPr>
        <w:footnoteReference w:id="2"/>
      </w:r>
      <w:r w:rsidRPr="00AF23FE">
        <w:rPr>
          <w:rFonts w:eastAsia="Aptos" w:cs="Aptos"/>
          <w:lang w:val="en-GB"/>
        </w:rPr>
        <w:t xml:space="preserve"> </w:t>
      </w:r>
      <w:r w:rsidR="004067F4">
        <w:rPr>
          <w:rFonts w:eastAsia="Aptos" w:cs="Aptos"/>
          <w:lang w:val="en-GB"/>
        </w:rPr>
        <w:t xml:space="preserve">We argued that the facts did not support the concerns raised. </w:t>
      </w:r>
      <w:r w:rsidRPr="00AF23FE">
        <w:rPr>
          <w:rFonts w:eastAsia="Aptos" w:cs="Aptos"/>
          <w:lang w:val="en-GB"/>
        </w:rPr>
        <w:t>Unfortunately, this did not sway the vote in Parliament.</w:t>
      </w:r>
      <w:r w:rsidR="00902722">
        <w:rPr>
          <w:rFonts w:eastAsia="Aptos" w:cs="Aptos"/>
          <w:lang w:val="en-GB"/>
        </w:rPr>
        <w:t xml:space="preserve"> We continue to </w:t>
      </w:r>
      <w:r w:rsidR="003B026A">
        <w:rPr>
          <w:rFonts w:eastAsia="Aptos" w:cs="Aptos"/>
          <w:lang w:val="en-GB"/>
        </w:rPr>
        <w:t>promote ratification</w:t>
      </w:r>
      <w:r w:rsidR="00801E7B">
        <w:rPr>
          <w:rFonts w:eastAsia="Aptos" w:cs="Aptos"/>
          <w:lang w:val="en-GB"/>
        </w:rPr>
        <w:t xml:space="preserve"> </w:t>
      </w:r>
      <w:r w:rsidR="00256FAE">
        <w:rPr>
          <w:rFonts w:eastAsia="Aptos" w:cs="Aptos"/>
          <w:lang w:val="en-GB"/>
        </w:rPr>
        <w:t xml:space="preserve">alongside </w:t>
      </w:r>
      <w:r w:rsidR="007E4D84">
        <w:rPr>
          <w:rFonts w:eastAsia="Aptos" w:cs="Aptos"/>
          <w:lang w:val="en-GB"/>
        </w:rPr>
        <w:t xml:space="preserve">the need to </w:t>
      </w:r>
      <w:r w:rsidR="00A74B20">
        <w:rPr>
          <w:rFonts w:eastAsia="Aptos" w:cs="Aptos"/>
          <w:lang w:val="en-GB"/>
        </w:rPr>
        <w:t>improve</w:t>
      </w:r>
      <w:r w:rsidR="00262E40">
        <w:rPr>
          <w:rFonts w:eastAsia="Aptos" w:cs="Aptos"/>
          <w:lang w:val="en-GB"/>
        </w:rPr>
        <w:t xml:space="preserve"> </w:t>
      </w:r>
      <w:r w:rsidR="003E738D">
        <w:rPr>
          <w:rFonts w:eastAsia="Aptos" w:cs="Aptos"/>
          <w:lang w:val="en-GB"/>
        </w:rPr>
        <w:t xml:space="preserve">complaint </w:t>
      </w:r>
      <w:r w:rsidR="00272A0F">
        <w:rPr>
          <w:rFonts w:eastAsia="Aptos" w:cs="Aptos"/>
          <w:lang w:val="en-GB"/>
        </w:rPr>
        <w:t>mech</w:t>
      </w:r>
      <w:r w:rsidR="00262E40">
        <w:rPr>
          <w:rFonts w:eastAsia="Aptos" w:cs="Aptos"/>
          <w:lang w:val="en-GB"/>
        </w:rPr>
        <w:t>a</w:t>
      </w:r>
      <w:r w:rsidR="00272A0F">
        <w:rPr>
          <w:rFonts w:eastAsia="Aptos" w:cs="Aptos"/>
          <w:lang w:val="en-GB"/>
        </w:rPr>
        <w:t xml:space="preserve">nisms at the national </w:t>
      </w:r>
      <w:r w:rsidR="00DC3BE8">
        <w:rPr>
          <w:rFonts w:eastAsia="Aptos" w:cs="Aptos"/>
          <w:lang w:val="en-GB"/>
        </w:rPr>
        <w:t>level (</w:t>
      </w:r>
      <w:r w:rsidR="00A2117D">
        <w:rPr>
          <w:rFonts w:eastAsia="Aptos" w:cs="Aptos"/>
          <w:lang w:val="en-GB"/>
        </w:rPr>
        <w:t>see</w:t>
      </w:r>
      <w:r w:rsidR="00DC3BE8">
        <w:rPr>
          <w:rFonts w:eastAsia="Aptos" w:cs="Aptos"/>
          <w:lang w:val="en-GB"/>
        </w:rPr>
        <w:t xml:space="preserve"> </w:t>
      </w:r>
      <w:r w:rsidR="00A56BFD">
        <w:rPr>
          <w:rFonts w:eastAsia="Aptos" w:cs="Aptos"/>
          <w:lang w:val="en-GB"/>
        </w:rPr>
        <w:t>I</w:t>
      </w:r>
      <w:r w:rsidR="00DC3BE8">
        <w:rPr>
          <w:rFonts w:eastAsia="Aptos" w:cs="Aptos"/>
          <w:lang w:val="en-GB"/>
        </w:rPr>
        <w:t xml:space="preserve">ssue </w:t>
      </w:r>
      <w:r w:rsidR="00D1294B">
        <w:rPr>
          <w:rFonts w:eastAsia="Aptos" w:cs="Aptos"/>
          <w:lang w:val="en-GB"/>
        </w:rPr>
        <w:t>3</w:t>
      </w:r>
      <w:r w:rsidR="00BE1E76">
        <w:rPr>
          <w:rFonts w:eastAsia="Aptos" w:cs="Aptos"/>
          <w:lang w:val="en-GB"/>
        </w:rPr>
        <w:t xml:space="preserve"> below).</w:t>
      </w:r>
      <w:r w:rsidR="00272A0F">
        <w:rPr>
          <w:rFonts w:eastAsia="Aptos" w:cs="Aptos"/>
          <w:lang w:val="en-GB"/>
        </w:rPr>
        <w:t xml:space="preserve"> </w:t>
      </w:r>
    </w:p>
    <w:p w14:paraId="05E656C8" w14:textId="77777777" w:rsidR="0032123A" w:rsidRPr="00AF23FE" w:rsidRDefault="0032123A" w:rsidP="0032123A">
      <w:pPr>
        <w:rPr>
          <w:rFonts w:eastAsia="Aptos" w:cs="Aptos"/>
          <w:b/>
          <w:bCs/>
          <w:lang w:val="en-GB"/>
        </w:rPr>
      </w:pPr>
      <w:r w:rsidRPr="00AF23FE">
        <w:rPr>
          <w:rFonts w:eastAsia="Aptos" w:cs="Aptos"/>
          <w:b/>
          <w:bCs/>
          <w:lang w:val="en-GB"/>
        </w:rPr>
        <w:t>Suggested recommendation:</w:t>
      </w:r>
    </w:p>
    <w:p w14:paraId="709BD8BF" w14:textId="6551B75E" w:rsidR="0032123A" w:rsidRPr="00AF23FE" w:rsidRDefault="0032123A" w:rsidP="0032123A">
      <w:pPr>
        <w:numPr>
          <w:ilvl w:val="0"/>
          <w:numId w:val="36"/>
        </w:numPr>
        <w:spacing w:before="120"/>
        <w:contextualSpacing/>
        <w:rPr>
          <w:rFonts w:eastAsia="Aptos" w:cs="Aptos"/>
          <w:lang w:val="en-GB"/>
        </w:rPr>
      </w:pPr>
      <w:r w:rsidRPr="00AF23FE">
        <w:rPr>
          <w:rFonts w:eastAsia="Aptos" w:cs="Aptos"/>
          <w:lang w:val="en-GB"/>
        </w:rPr>
        <w:t>The State Party should ratify the Optional Protocol to the Convention on the Rights of the Child on a communications procedure (OP3 CRC).</w:t>
      </w:r>
    </w:p>
    <w:p w14:paraId="25D70A07" w14:textId="4A0C051F" w:rsidR="0032123A" w:rsidRPr="00AF23FE" w:rsidRDefault="0032123A" w:rsidP="0032123A">
      <w:pPr>
        <w:pStyle w:val="Heading1"/>
        <w:rPr>
          <w:lang w:val="en-GB"/>
        </w:rPr>
      </w:pPr>
      <w:bookmarkStart w:id="2" w:name="_Toc181973428"/>
      <w:r w:rsidRPr="00AF23FE">
        <w:rPr>
          <w:lang w:val="en-GB"/>
        </w:rPr>
        <w:t>Lack of disaggregated data regarding Sámi children</w:t>
      </w:r>
      <w:bookmarkEnd w:id="2"/>
    </w:p>
    <w:p w14:paraId="45A88516" w14:textId="2D1530E1" w:rsidR="0032123A" w:rsidRPr="00DA2235" w:rsidRDefault="0032123A" w:rsidP="00360D7E">
      <w:pPr>
        <w:spacing w:before="120"/>
        <w:rPr>
          <w:rFonts w:eastAsia="Calibri" w:cs="Arial"/>
          <w:i/>
          <w:lang w:val="en-GB"/>
        </w:rPr>
      </w:pPr>
      <w:r w:rsidRPr="00DA2235">
        <w:rPr>
          <w:rFonts w:eastAsia="Calibri" w:cs="Arial"/>
          <w:i/>
          <w:lang w:val="en-GB"/>
        </w:rPr>
        <w:t>Reference is made to LOIPR 2023: 7</w:t>
      </w:r>
    </w:p>
    <w:p w14:paraId="6D066EF6" w14:textId="4A4C9796" w:rsidR="0032123A" w:rsidRPr="00AF23FE" w:rsidRDefault="0032123A" w:rsidP="0032123A">
      <w:pPr>
        <w:rPr>
          <w:rFonts w:eastAsia="Calibri" w:cs="Arial"/>
          <w:lang w:val="en-GB"/>
        </w:rPr>
      </w:pPr>
      <w:r w:rsidRPr="00AF23FE">
        <w:rPr>
          <w:rFonts w:eastAsia="Calibri" w:cs="Arial"/>
          <w:lang w:val="en-GB"/>
        </w:rPr>
        <w:t xml:space="preserve">Norway does not currently disaggregate official statistics by ethnicity or indigenous status due to concerns regarding the misuse of data, difficulties in quantifying ethnic group representation and scepticism towards data collection among minority groups. Most UN Treaty Bodies have expressed concern over this </w:t>
      </w:r>
      <w:r w:rsidR="0092039C">
        <w:rPr>
          <w:rFonts w:eastAsia="Calibri" w:cs="Arial"/>
          <w:lang w:val="en-GB"/>
        </w:rPr>
        <w:t>policy</w:t>
      </w:r>
      <w:r w:rsidR="0092039C" w:rsidRPr="00AF23FE">
        <w:rPr>
          <w:rFonts w:eastAsia="Calibri" w:cs="Arial"/>
          <w:lang w:val="en-GB"/>
        </w:rPr>
        <w:t xml:space="preserve"> </w:t>
      </w:r>
      <w:r w:rsidRPr="00AF23FE">
        <w:rPr>
          <w:rFonts w:eastAsia="Calibri" w:cs="Arial"/>
          <w:lang w:val="en-GB"/>
        </w:rPr>
        <w:t xml:space="preserve">in </w:t>
      </w:r>
      <w:r w:rsidRPr="00AF23FE">
        <w:rPr>
          <w:rFonts w:eastAsia="Calibri" w:cs="Arial"/>
          <w:lang w:val="en-GB"/>
        </w:rPr>
        <w:lastRenderedPageBreak/>
        <w:t>their concluding observations to Norway.</w:t>
      </w:r>
      <w:r w:rsidRPr="00AF23FE">
        <w:rPr>
          <w:rFonts w:eastAsia="Calibri" w:cs="Arial"/>
          <w:color w:val="333333"/>
          <w:vertAlign w:val="superscript"/>
          <w:lang w:val="en-GB"/>
        </w:rPr>
        <w:footnoteReference w:id="3"/>
      </w:r>
      <w:r w:rsidRPr="00AF23FE">
        <w:rPr>
          <w:rFonts w:eastAsia="Calibri" w:cs="Arial"/>
          <w:lang w:val="en-GB"/>
        </w:rPr>
        <w:t xml:space="preserve"> Treaty Body Reporting Guidelines also recommend that States provide relevant statistical data disaggregated by ethnicity or indigenous status.</w:t>
      </w:r>
      <w:r w:rsidRPr="00AF23FE">
        <w:rPr>
          <w:rFonts w:eastAsia="Calibri" w:cs="Arial"/>
          <w:color w:val="333333"/>
          <w:vertAlign w:val="superscript"/>
          <w:lang w:val="en-GB"/>
        </w:rPr>
        <w:footnoteReference w:id="4"/>
      </w:r>
      <w:r w:rsidRPr="00AF23FE">
        <w:rPr>
          <w:rFonts w:eastAsia="Calibri" w:cs="Arial"/>
          <w:lang w:val="en-GB"/>
        </w:rPr>
        <w:t xml:space="preserve"> </w:t>
      </w:r>
    </w:p>
    <w:p w14:paraId="02F3700E" w14:textId="0023BDFC" w:rsidR="003764C5" w:rsidRPr="00AF23FE" w:rsidRDefault="0032123A" w:rsidP="0032123A">
      <w:pPr>
        <w:rPr>
          <w:rFonts w:eastAsia="Calibri" w:cs="Arial"/>
          <w:lang w:val="en-GB"/>
        </w:rPr>
      </w:pPr>
      <w:r w:rsidRPr="00AF23FE">
        <w:rPr>
          <w:rFonts w:eastAsia="Calibri" w:cs="Arial"/>
          <w:lang w:val="en-GB"/>
        </w:rPr>
        <w:t>In light of this, the NHRI published a report in 2020 which found that the current approach to Sámi statistics in Norway does not provide an adequate empirical basis for monitoring Sámi rights, and that the State’s concerns regarding the collection of Sámi people’s data can be addressed through data protection safeguards.</w:t>
      </w:r>
      <w:r w:rsidRPr="00AF23FE">
        <w:rPr>
          <w:rFonts w:eastAsia="Calibri" w:cs="Arial"/>
          <w:color w:val="333333"/>
          <w:vertAlign w:val="superscript"/>
          <w:lang w:val="en-GB"/>
        </w:rPr>
        <w:footnoteReference w:id="5"/>
      </w:r>
      <w:r w:rsidRPr="00AF23FE">
        <w:rPr>
          <w:rFonts w:eastAsia="Calibri" w:cs="Arial"/>
          <w:lang w:val="en-GB"/>
        </w:rPr>
        <w:t xml:space="preserve"> In April 2024, the NHRI responded to a request from the Sámi Parliament for follow-up advice on reforms to improve the quality and representativeness of Sámi statistics. In the </w:t>
      </w:r>
      <w:r w:rsidR="003764C5">
        <w:rPr>
          <w:rFonts w:eastAsia="Calibri" w:cs="Arial"/>
          <w:lang w:val="en-GB"/>
        </w:rPr>
        <w:t>response</w:t>
      </w:r>
      <w:r w:rsidRPr="00AF23FE">
        <w:rPr>
          <w:rFonts w:eastAsia="Calibri" w:cs="Arial"/>
          <w:lang w:val="en-GB"/>
        </w:rPr>
        <w:t xml:space="preserve">, we have developed a set of standard questions for voluntary self-identification of Sámi respondents for use in surveys and administrative datasets, </w:t>
      </w:r>
      <w:r w:rsidR="005922E0">
        <w:rPr>
          <w:rFonts w:eastAsia="Calibri" w:cs="Arial"/>
          <w:lang w:val="en-GB"/>
        </w:rPr>
        <w:t>as</w:t>
      </w:r>
      <w:r w:rsidR="005922E0" w:rsidRPr="00AF23FE">
        <w:rPr>
          <w:rFonts w:eastAsia="Calibri" w:cs="Arial"/>
          <w:lang w:val="en-GB"/>
        </w:rPr>
        <w:t xml:space="preserve"> </w:t>
      </w:r>
      <w:r w:rsidRPr="00AF23FE">
        <w:rPr>
          <w:rFonts w:eastAsia="Calibri" w:cs="Arial"/>
          <w:lang w:val="en-GB"/>
        </w:rPr>
        <w:t>well as some suggested statistical indicators for monitoring Sámi rights.</w:t>
      </w:r>
      <w:r w:rsidRPr="00AF23FE">
        <w:rPr>
          <w:rFonts w:eastAsia="Calibri" w:cs="Arial"/>
          <w:color w:val="333333"/>
          <w:vertAlign w:val="superscript"/>
          <w:lang w:val="en-GB"/>
        </w:rPr>
        <w:footnoteReference w:id="6"/>
      </w:r>
    </w:p>
    <w:p w14:paraId="4CACACAB" w14:textId="0D2AF752" w:rsidR="0032123A" w:rsidRDefault="003764C5" w:rsidP="0032123A">
      <w:pPr>
        <w:rPr>
          <w:rFonts w:eastAsia="Calibri" w:cs="Arial"/>
          <w:lang w:val="en-GB"/>
        </w:rPr>
      </w:pPr>
      <w:r>
        <w:rPr>
          <w:rFonts w:eastAsia="Calibri" w:cs="Arial"/>
          <w:lang w:val="en-GB"/>
        </w:rPr>
        <w:t>S</w:t>
      </w:r>
      <w:r w:rsidR="0032123A" w:rsidRPr="00AF23FE">
        <w:rPr>
          <w:rFonts w:eastAsia="Calibri" w:cs="Arial"/>
          <w:lang w:val="en-GB"/>
        </w:rPr>
        <w:t>everal human rights issues affecting the Sámi people today are difficult to address effectively due to gaps in available statistics. The NHRI is particularly concerned that there is no available data on the number of Sámi children in the child welfare system in Norway and whether their rights to Sámi language and culture are adequately safeguarded. This makes it difficult for the Child Welfare Services to implement their obligations under CRC Articles 30 and 20(3), as well as Section 1-8 of the new Child Welfare Act, and for institutions like the NHRI and the Sámi Parliament to monitor this situation. Similar data on children with an immigrant background in the child welfare system is already collected and published in Norway.</w:t>
      </w:r>
      <w:r w:rsidR="0032123A" w:rsidRPr="00AF23FE">
        <w:rPr>
          <w:rFonts w:eastAsia="Calibri" w:cs="Arial"/>
          <w:color w:val="333333"/>
          <w:vertAlign w:val="superscript"/>
          <w:lang w:val="en-GB"/>
        </w:rPr>
        <w:footnoteReference w:id="7"/>
      </w:r>
    </w:p>
    <w:p w14:paraId="5E6EE2BC" w14:textId="77777777" w:rsidR="00A3506C" w:rsidRPr="00AF23FE" w:rsidRDefault="00A3506C" w:rsidP="0032123A">
      <w:pPr>
        <w:rPr>
          <w:rFonts w:eastAsia="Calibri" w:cs="Arial"/>
          <w:lang w:val="en-GB"/>
        </w:rPr>
      </w:pPr>
    </w:p>
    <w:p w14:paraId="07945FB0" w14:textId="5E5E927B" w:rsidR="0066594B" w:rsidRPr="0066594B" w:rsidRDefault="0066594B" w:rsidP="0032123A">
      <w:pPr>
        <w:rPr>
          <w:rFonts w:eastAsia="Calibri" w:cs="Arial"/>
          <w:b/>
          <w:bCs/>
          <w:lang w:val="en-GB"/>
        </w:rPr>
      </w:pPr>
      <w:r w:rsidRPr="0066594B">
        <w:rPr>
          <w:rFonts w:eastAsia="Calibri" w:cs="Arial"/>
          <w:b/>
          <w:bCs/>
          <w:lang w:val="en-GB"/>
        </w:rPr>
        <w:lastRenderedPageBreak/>
        <w:t>Suggested recommendation:</w:t>
      </w:r>
    </w:p>
    <w:p w14:paraId="1768F058" w14:textId="77777777" w:rsidR="0032123A" w:rsidRPr="00AF23FE" w:rsidRDefault="0032123A" w:rsidP="0032123A">
      <w:pPr>
        <w:numPr>
          <w:ilvl w:val="0"/>
          <w:numId w:val="35"/>
        </w:numPr>
        <w:spacing w:before="120"/>
        <w:contextualSpacing/>
        <w:rPr>
          <w:rFonts w:eastAsia="Calibri" w:cs="Arial"/>
          <w:lang w:val="en-GB"/>
        </w:rPr>
      </w:pPr>
      <w:r w:rsidRPr="00AF23FE">
        <w:rPr>
          <w:rFonts w:eastAsia="Calibri" w:cs="Arial"/>
          <w:lang w:val="en-GB"/>
        </w:rPr>
        <w:t>The State Party should disaggregate statistical data by ethnicity or indigenous status for the purpose of monitoring the implementation of Sámi children’s rights.</w:t>
      </w:r>
    </w:p>
    <w:p w14:paraId="2FD919BD" w14:textId="484039CA" w:rsidR="0032123A" w:rsidRPr="00AF23FE" w:rsidRDefault="0032123A" w:rsidP="0032123A">
      <w:pPr>
        <w:pStyle w:val="Heading1"/>
        <w:rPr>
          <w:lang w:val="en-GB"/>
        </w:rPr>
      </w:pPr>
      <w:bookmarkStart w:id="5" w:name="_Toc181973429"/>
      <w:r w:rsidRPr="00AF23FE">
        <w:rPr>
          <w:lang w:val="en-GB"/>
        </w:rPr>
        <w:t>Access to justice and independent representation for children at the national level</w:t>
      </w:r>
      <w:bookmarkEnd w:id="5"/>
    </w:p>
    <w:p w14:paraId="36BD4339" w14:textId="0BE8EAF8" w:rsidR="0032123A" w:rsidRPr="006B4191" w:rsidRDefault="0032123A" w:rsidP="00360D7E">
      <w:pPr>
        <w:spacing w:before="120"/>
        <w:rPr>
          <w:rFonts w:eastAsia="Calibri" w:cs="Arial"/>
          <w:i/>
          <w:lang w:val="en-GB"/>
        </w:rPr>
      </w:pPr>
      <w:r w:rsidRPr="006B4191">
        <w:rPr>
          <w:rFonts w:eastAsia="Calibri" w:cs="Arial"/>
          <w:i/>
          <w:lang w:val="en-GB"/>
        </w:rPr>
        <w:t>Reference is made to LOIPR 2023: 8</w:t>
      </w:r>
    </w:p>
    <w:p w14:paraId="20E9BC9E" w14:textId="4D6FED41" w:rsidR="006975F8" w:rsidRDefault="0032123A" w:rsidP="0032123A">
      <w:pPr>
        <w:rPr>
          <w:rFonts w:eastAsia="Calibri" w:cs="Arial"/>
          <w:lang w:val="en-GB"/>
        </w:rPr>
      </w:pPr>
      <w:r w:rsidRPr="00AF23FE">
        <w:rPr>
          <w:rFonts w:eastAsia="Calibri" w:cs="Arial"/>
          <w:lang w:val="en-GB"/>
        </w:rPr>
        <w:t>Access to justice and to effective remedies are essential for the protection, promotion and fulfilment of all human rights.</w:t>
      </w:r>
      <w:r w:rsidRPr="00AF23FE">
        <w:rPr>
          <w:rFonts w:eastAsia="Calibri" w:cs="Arial"/>
          <w:vertAlign w:val="superscript"/>
          <w:lang w:val="en-GB"/>
        </w:rPr>
        <w:footnoteReference w:id="8"/>
      </w:r>
      <w:r w:rsidRPr="00AF23FE">
        <w:rPr>
          <w:rFonts w:eastAsia="Calibri" w:cs="Arial"/>
          <w:lang w:val="en-GB"/>
        </w:rPr>
        <w:t xml:space="preserve"> Although children generally have access to the same legal remedies as adults, their access to justice under domestic law remains inadequate</w:t>
      </w:r>
      <w:r w:rsidR="00CA7857">
        <w:rPr>
          <w:rFonts w:eastAsia="Calibri" w:cs="Arial"/>
          <w:lang w:val="en-GB"/>
        </w:rPr>
        <w:t>.</w:t>
      </w:r>
      <w:r w:rsidR="00580CCF" w:rsidRPr="00580CCF">
        <w:rPr>
          <w:rFonts w:eastAsia="Calibri" w:cs="Arial"/>
          <w:lang w:val="en-GB"/>
        </w:rPr>
        <w:t xml:space="preserve"> </w:t>
      </w:r>
      <w:r w:rsidR="00C74ABA">
        <w:rPr>
          <w:rFonts w:eastAsia="Calibri" w:cs="Arial"/>
          <w:lang w:val="en-GB"/>
        </w:rPr>
        <w:t xml:space="preserve">The NHRI is concerned that existing national complaints mechanisms for children are inadequate, limiting access to justice. Despite previous recommendations from the Committee, the State Party has not implemented </w:t>
      </w:r>
      <w:r w:rsidR="00055E31">
        <w:rPr>
          <w:rFonts w:eastAsia="Calibri" w:cs="Arial"/>
          <w:lang w:val="en-GB"/>
        </w:rPr>
        <w:t>sufficient</w:t>
      </w:r>
      <w:r w:rsidR="00C74ABA">
        <w:rPr>
          <w:rFonts w:eastAsia="Calibri" w:cs="Arial"/>
          <w:lang w:val="en-GB"/>
        </w:rPr>
        <w:t xml:space="preserve"> measures within this area.</w:t>
      </w:r>
    </w:p>
    <w:p w14:paraId="15C8BA33" w14:textId="0BFE7BFC" w:rsidR="0032123A" w:rsidRDefault="00663BF7" w:rsidP="0032123A">
      <w:pPr>
        <w:rPr>
          <w:rFonts w:eastAsia="Calibri" w:cs="Arial"/>
          <w:lang w:val="en-GB"/>
        </w:rPr>
      </w:pPr>
      <w:r>
        <w:rPr>
          <w:rFonts w:eastAsia="Calibri" w:cs="Arial"/>
          <w:lang w:val="en-GB"/>
        </w:rPr>
        <w:t xml:space="preserve">In </w:t>
      </w:r>
      <w:r w:rsidR="00B2374A">
        <w:rPr>
          <w:rFonts w:eastAsia="Calibri" w:cs="Arial"/>
          <w:lang w:val="en-GB"/>
        </w:rPr>
        <w:t xml:space="preserve">our view, </w:t>
      </w:r>
      <w:r w:rsidR="009A6671">
        <w:rPr>
          <w:rFonts w:eastAsia="Calibri" w:cs="Arial"/>
          <w:lang w:val="en-GB"/>
        </w:rPr>
        <w:t>a</w:t>
      </w:r>
      <w:r w:rsidR="006A1840">
        <w:rPr>
          <w:rFonts w:eastAsia="Calibri" w:cs="Arial"/>
          <w:lang w:val="en-GB"/>
        </w:rPr>
        <w:t xml:space="preserve">n </w:t>
      </w:r>
      <w:r w:rsidR="009A6671">
        <w:rPr>
          <w:rFonts w:eastAsia="Calibri" w:cs="Arial"/>
          <w:lang w:val="en-GB"/>
        </w:rPr>
        <w:t xml:space="preserve">effective solution </w:t>
      </w:r>
      <w:r w:rsidR="000F3A6B">
        <w:rPr>
          <w:rFonts w:eastAsia="Calibri" w:cs="Arial"/>
          <w:lang w:val="en-GB"/>
        </w:rPr>
        <w:t xml:space="preserve">would </w:t>
      </w:r>
      <w:r w:rsidR="000A7D14">
        <w:rPr>
          <w:rFonts w:eastAsia="Calibri" w:cs="Arial"/>
          <w:lang w:val="en-GB"/>
        </w:rPr>
        <w:t>be</w:t>
      </w:r>
      <w:r w:rsidR="00B8792E">
        <w:rPr>
          <w:rFonts w:eastAsia="Calibri" w:cs="Arial"/>
          <w:lang w:val="en-GB"/>
        </w:rPr>
        <w:t xml:space="preserve"> to </w:t>
      </w:r>
      <w:r w:rsidR="00813C4F">
        <w:rPr>
          <w:rFonts w:eastAsia="Calibri" w:cs="Arial"/>
          <w:lang w:val="en-GB"/>
        </w:rPr>
        <w:t xml:space="preserve">ensure that all existing </w:t>
      </w:r>
      <w:r w:rsidR="00364BBC">
        <w:rPr>
          <w:rFonts w:eastAsia="Calibri" w:cs="Arial"/>
          <w:lang w:val="en-GB"/>
        </w:rPr>
        <w:t xml:space="preserve">judicial and administrative </w:t>
      </w:r>
      <w:r w:rsidR="00813C4F">
        <w:rPr>
          <w:rFonts w:eastAsia="Calibri" w:cs="Arial"/>
          <w:lang w:val="en-GB"/>
        </w:rPr>
        <w:t xml:space="preserve">complaints mechanisms are </w:t>
      </w:r>
      <w:proofErr w:type="gramStart"/>
      <w:r w:rsidR="00813C4F">
        <w:rPr>
          <w:rFonts w:eastAsia="Calibri" w:cs="Arial"/>
          <w:lang w:val="en-GB"/>
        </w:rPr>
        <w:t>child-friendly</w:t>
      </w:r>
      <w:proofErr w:type="gramEnd"/>
      <w:r w:rsidR="002E28D5">
        <w:rPr>
          <w:rFonts w:eastAsia="Calibri" w:cs="Arial"/>
          <w:lang w:val="en-GB"/>
        </w:rPr>
        <w:t>.</w:t>
      </w:r>
      <w:r w:rsidR="00813C4F">
        <w:rPr>
          <w:rFonts w:eastAsia="Calibri" w:cs="Arial"/>
          <w:lang w:val="en-GB"/>
        </w:rPr>
        <w:t xml:space="preserve"> </w:t>
      </w:r>
      <w:r w:rsidR="0032123A" w:rsidRPr="00AF23FE">
        <w:rPr>
          <w:rFonts w:eastAsia="Calibri" w:cs="Arial"/>
          <w:lang w:val="en-GB"/>
        </w:rPr>
        <w:t xml:space="preserve">While the Parliamentary Ombudsperson has recently developed a child-friendly mechanism, it does not cover all areas where children's rights may be violated. Children's access to domestic remedies, both judicial and administrative, is generally insufficient due to various barriers. Procedural obstacles include the lack of legal capacity and the failure to recognise the right to independent representation (guardian ad litem) when a child's parent(s) do not consent to proceeding with the case. Other barriers include low awareness of complaint mechanisms and a lack of child-friendly remedies. Additionally, </w:t>
      </w:r>
      <w:r w:rsidR="007D3C74">
        <w:rPr>
          <w:rFonts w:eastAsia="Calibri" w:cs="Arial"/>
          <w:lang w:val="en-GB"/>
        </w:rPr>
        <w:t xml:space="preserve">there are limited </w:t>
      </w:r>
      <w:r w:rsidR="0032123A" w:rsidRPr="00AF23FE">
        <w:rPr>
          <w:rFonts w:eastAsia="Calibri" w:cs="Arial"/>
          <w:lang w:val="en-GB"/>
        </w:rPr>
        <w:t xml:space="preserve">resources </w:t>
      </w:r>
      <w:r w:rsidR="00BC4DA6">
        <w:rPr>
          <w:rFonts w:eastAsia="Calibri" w:cs="Arial"/>
          <w:lang w:val="en-GB"/>
        </w:rPr>
        <w:t xml:space="preserve">available </w:t>
      </w:r>
      <w:r w:rsidR="0032123A" w:rsidRPr="00AF23FE">
        <w:rPr>
          <w:rFonts w:eastAsia="Calibri" w:cs="Arial"/>
          <w:lang w:val="en-GB"/>
        </w:rPr>
        <w:t>for legal aid</w:t>
      </w:r>
      <w:r w:rsidR="00BC4DA6">
        <w:rPr>
          <w:rFonts w:eastAsia="Calibri" w:cs="Arial"/>
          <w:lang w:val="en-GB"/>
        </w:rPr>
        <w:t xml:space="preserve"> initiatives</w:t>
      </w:r>
      <w:r w:rsidR="0032123A" w:rsidRPr="00AF23FE">
        <w:rPr>
          <w:rFonts w:eastAsia="Calibri" w:cs="Arial"/>
          <w:lang w:val="en-GB"/>
        </w:rPr>
        <w:t xml:space="preserve">, such as legal aid clinics for children. The Parliament has instructed the Government to </w:t>
      </w:r>
      <w:r w:rsidR="00336097">
        <w:rPr>
          <w:rFonts w:eastAsia="Calibri" w:cs="Arial"/>
          <w:lang w:val="en-GB"/>
        </w:rPr>
        <w:t>strengthen</w:t>
      </w:r>
      <w:r w:rsidR="003D2FD6" w:rsidRPr="00AF23FE">
        <w:rPr>
          <w:rFonts w:eastAsia="Calibri" w:cs="Arial"/>
          <w:lang w:val="en-GB"/>
        </w:rPr>
        <w:t xml:space="preserve"> </w:t>
      </w:r>
      <w:r w:rsidR="0032123A" w:rsidRPr="00AF23FE">
        <w:rPr>
          <w:rFonts w:eastAsia="Calibri" w:cs="Arial"/>
          <w:lang w:val="en-GB"/>
        </w:rPr>
        <w:t>national complaint mechanisms for children and to consider improving these mechanisms.</w:t>
      </w:r>
    </w:p>
    <w:p w14:paraId="4572988F" w14:textId="5DF8CDA8" w:rsidR="0066594B" w:rsidRPr="0066594B" w:rsidRDefault="0066594B" w:rsidP="0032123A">
      <w:pPr>
        <w:rPr>
          <w:b/>
          <w:bCs/>
          <w:lang w:val="en-GB"/>
        </w:rPr>
      </w:pPr>
      <w:r w:rsidRPr="0066594B">
        <w:rPr>
          <w:rFonts w:eastAsia="Calibri" w:cs="Arial"/>
          <w:b/>
          <w:bCs/>
          <w:lang w:val="en-GB"/>
        </w:rPr>
        <w:t>Suggested recommendation:</w:t>
      </w:r>
    </w:p>
    <w:p w14:paraId="0B66B7C4" w14:textId="6772ED3C" w:rsidR="0032123A" w:rsidRPr="00711D0C" w:rsidRDefault="0032123A" w:rsidP="00711D0C">
      <w:pPr>
        <w:pStyle w:val="ListParagraph"/>
        <w:numPr>
          <w:ilvl w:val="0"/>
          <w:numId w:val="35"/>
        </w:numPr>
        <w:rPr>
          <w:rFonts w:eastAsia="Calibri" w:cs="Arial"/>
          <w:lang w:val="en-GB"/>
        </w:rPr>
      </w:pPr>
      <w:r w:rsidRPr="00711D0C">
        <w:rPr>
          <w:rFonts w:eastAsia="Calibri" w:cs="Arial"/>
          <w:lang w:val="en-GB"/>
        </w:rPr>
        <w:t xml:space="preserve">The State Party should </w:t>
      </w:r>
      <w:r w:rsidR="00336097" w:rsidRPr="00711D0C">
        <w:rPr>
          <w:rFonts w:eastAsia="Calibri" w:cs="Arial"/>
          <w:lang w:val="en-GB"/>
        </w:rPr>
        <w:t>strengthen</w:t>
      </w:r>
      <w:r w:rsidRPr="00711D0C">
        <w:rPr>
          <w:rFonts w:eastAsia="Calibri" w:cs="Arial"/>
          <w:lang w:val="en-GB"/>
        </w:rPr>
        <w:t xml:space="preserve"> access to justice and the right to an effective remedy for all children in all areas where their rights may be violated, </w:t>
      </w:r>
      <w:r w:rsidR="6ADAF082" w:rsidRPr="00711D0C">
        <w:rPr>
          <w:rFonts w:eastAsia="Calibri" w:cs="Arial"/>
          <w:lang w:val="en-GB"/>
        </w:rPr>
        <w:t xml:space="preserve">including by reviewing existing </w:t>
      </w:r>
      <w:r w:rsidR="0DAC7526" w:rsidRPr="00711D0C">
        <w:rPr>
          <w:rFonts w:eastAsia="Calibri" w:cs="Arial"/>
          <w:lang w:val="en-GB"/>
        </w:rPr>
        <w:t>judicial and administrative</w:t>
      </w:r>
      <w:r w:rsidR="6ADAF082" w:rsidRPr="00711D0C">
        <w:rPr>
          <w:rFonts w:eastAsia="Calibri" w:cs="Arial"/>
          <w:lang w:val="en-GB"/>
        </w:rPr>
        <w:t xml:space="preserve"> </w:t>
      </w:r>
      <w:r w:rsidR="6ADAF082" w:rsidRPr="00711D0C">
        <w:rPr>
          <w:rFonts w:eastAsia="Calibri" w:cs="Arial"/>
          <w:lang w:val="en-GB"/>
        </w:rPr>
        <w:lastRenderedPageBreak/>
        <w:t xml:space="preserve">complaints mechanisms </w:t>
      </w:r>
      <w:r w:rsidR="48A60E4B" w:rsidRPr="00711D0C">
        <w:rPr>
          <w:rFonts w:eastAsia="Calibri" w:cs="Arial"/>
          <w:lang w:val="en-GB"/>
        </w:rPr>
        <w:t>and by ad</w:t>
      </w:r>
      <w:r w:rsidR="79B92FE3" w:rsidRPr="00711D0C">
        <w:rPr>
          <w:rFonts w:eastAsia="Calibri" w:cs="Arial"/>
          <w:lang w:val="en-GB"/>
        </w:rPr>
        <w:t>d</w:t>
      </w:r>
      <w:r w:rsidR="48A60E4B" w:rsidRPr="00711D0C">
        <w:rPr>
          <w:rFonts w:eastAsia="Calibri" w:cs="Arial"/>
          <w:lang w:val="en-GB"/>
        </w:rPr>
        <w:t>ressing any procedural obstacles which may exist.</w:t>
      </w:r>
      <w:r w:rsidRPr="00711D0C">
        <w:rPr>
          <w:rFonts w:eastAsia="Calibri" w:cs="Arial"/>
          <w:lang w:val="en-GB"/>
        </w:rPr>
        <w:t xml:space="preserve"> </w:t>
      </w:r>
    </w:p>
    <w:p w14:paraId="7EA4A1AE" w14:textId="77777777" w:rsidR="0032123A" w:rsidRPr="00A86303" w:rsidRDefault="0032123A" w:rsidP="0032123A">
      <w:pPr>
        <w:keepNext/>
        <w:tabs>
          <w:tab w:val="left" w:pos="426"/>
        </w:tabs>
        <w:spacing w:before="360" w:after="0" w:line="240" w:lineRule="auto"/>
        <w:ind w:left="227" w:hanging="227"/>
        <w:outlineLvl w:val="0"/>
        <w:rPr>
          <w:rFonts w:eastAsia="Calibri" w:cs="Arial"/>
          <w:b/>
          <w:sz w:val="40"/>
          <w:szCs w:val="40"/>
          <w:lang w:val="en-GB"/>
        </w:rPr>
      </w:pPr>
      <w:bookmarkStart w:id="6" w:name="_Toc181973430"/>
      <w:r w:rsidRPr="00A86303">
        <w:rPr>
          <w:rFonts w:eastAsia="Calibri" w:cs="Arial"/>
          <w:b/>
          <w:sz w:val="40"/>
          <w:szCs w:val="40"/>
          <w:lang w:val="en-GB"/>
        </w:rPr>
        <w:t>General principles</w:t>
      </w:r>
      <w:bookmarkEnd w:id="6"/>
    </w:p>
    <w:p w14:paraId="5EA87123" w14:textId="031A0FCB" w:rsidR="002368FF" w:rsidRPr="002368FF" w:rsidRDefault="0032123A" w:rsidP="002368FF">
      <w:pPr>
        <w:pStyle w:val="Heading1"/>
        <w:rPr>
          <w:lang w:val="en-GB"/>
        </w:rPr>
      </w:pPr>
      <w:bookmarkStart w:id="7" w:name="_Toc181973431"/>
      <w:r w:rsidRPr="002368FF">
        <w:rPr>
          <w:lang w:val="en-GB"/>
        </w:rPr>
        <w:t>Children’s right to be heard in practice</w:t>
      </w:r>
      <w:bookmarkEnd w:id="7"/>
      <w:r w:rsidRPr="002368FF">
        <w:rPr>
          <w:lang w:val="en-GB"/>
        </w:rPr>
        <w:t xml:space="preserve"> </w:t>
      </w:r>
    </w:p>
    <w:p w14:paraId="3D187602" w14:textId="229D98F1" w:rsidR="0032123A" w:rsidRPr="0066594B" w:rsidRDefault="0032123A" w:rsidP="00360D7E">
      <w:pPr>
        <w:spacing w:before="120"/>
        <w:rPr>
          <w:rFonts w:eastAsia="Calibri" w:cs="Times New Roman"/>
          <w:i/>
          <w:lang w:val="en-GB"/>
        </w:rPr>
      </w:pPr>
      <w:r w:rsidRPr="0066594B">
        <w:rPr>
          <w:rFonts w:eastAsia="Calibri" w:cs="Times New Roman"/>
          <w:i/>
          <w:lang w:val="en-GB"/>
        </w:rPr>
        <w:t>Reference is made to LOIPR 2023: 13</w:t>
      </w:r>
    </w:p>
    <w:p w14:paraId="6E74052A" w14:textId="20FFF047" w:rsidR="0032123A" w:rsidRPr="00AF23FE" w:rsidRDefault="0032123A" w:rsidP="0032123A">
      <w:pPr>
        <w:rPr>
          <w:rFonts w:eastAsia="Calibri" w:cs="Arial"/>
          <w:lang w:val="en-GB"/>
        </w:rPr>
      </w:pPr>
      <w:bookmarkStart w:id="8" w:name="_Hlk168061290"/>
      <w:r w:rsidRPr="00AF23FE">
        <w:rPr>
          <w:rFonts w:eastAsia="Calibri" w:cs="Arial"/>
          <w:lang w:val="en-GB"/>
        </w:rPr>
        <w:t>Children’s right to be heard is</w:t>
      </w:r>
      <w:proofErr w:type="gramStart"/>
      <w:r w:rsidRPr="00AF23FE">
        <w:rPr>
          <w:rFonts w:eastAsia="Calibri" w:cs="Arial"/>
          <w:lang w:val="en-GB"/>
        </w:rPr>
        <w:t>, to a large extent, sufficiently implemented</w:t>
      </w:r>
      <w:proofErr w:type="gramEnd"/>
      <w:r w:rsidRPr="00AF23FE">
        <w:rPr>
          <w:rFonts w:eastAsia="Calibri" w:cs="Arial"/>
          <w:lang w:val="en-GB"/>
        </w:rPr>
        <w:t xml:space="preserve"> into Norwegian law. However, there are still challenges as to how it is implemented in practice. Reviews of decisions from various public bodies show that challenges remain in areas such as child welfare cases</w:t>
      </w:r>
      <w:r w:rsidR="00360D7E" w:rsidRPr="00AF23FE">
        <w:rPr>
          <w:rFonts w:eastAsia="Calibri" w:cs="Arial"/>
          <w:lang w:val="en-GB"/>
        </w:rPr>
        <w:t>,</w:t>
      </w:r>
      <w:r w:rsidRPr="00AF23FE">
        <w:rPr>
          <w:rFonts w:eastAsia="Calibri" w:cs="Arial"/>
          <w:vertAlign w:val="superscript"/>
          <w:lang w:val="en-GB"/>
        </w:rPr>
        <w:footnoteReference w:id="9"/>
      </w:r>
      <w:r w:rsidRPr="00AF23FE">
        <w:rPr>
          <w:rFonts w:eastAsia="Calibri" w:cs="Arial"/>
          <w:lang w:val="en-GB"/>
        </w:rPr>
        <w:t xml:space="preserve"> and in immigration/expulsion cases.</w:t>
      </w:r>
      <w:r w:rsidRPr="00AF23FE">
        <w:rPr>
          <w:rFonts w:eastAsia="Calibri" w:cs="Arial"/>
          <w:vertAlign w:val="superscript"/>
          <w:lang w:val="en-GB"/>
        </w:rPr>
        <w:footnoteReference w:id="10"/>
      </w:r>
    </w:p>
    <w:p w14:paraId="73F6FF4F" w14:textId="119763DC" w:rsidR="0032123A" w:rsidRPr="00AF23FE" w:rsidRDefault="0032123A" w:rsidP="0032123A">
      <w:pPr>
        <w:rPr>
          <w:rFonts w:eastAsia="Calibri" w:cs="Arial"/>
          <w:lang w:val="en-GB"/>
        </w:rPr>
      </w:pPr>
      <w:r w:rsidRPr="00AF23FE">
        <w:rPr>
          <w:rFonts w:eastAsia="Calibri" w:cs="Arial"/>
          <w:lang w:val="en-GB"/>
        </w:rPr>
        <w:t>Municipalities are required under the Local Government Act to establish and consult with local youth councils on all matters concerning young people. Despite this, various studies show that many</w:t>
      </w:r>
      <w:r w:rsidRPr="00AF23FE" w:rsidDel="00310E6A">
        <w:rPr>
          <w:rFonts w:eastAsia="Calibri" w:cs="Arial"/>
          <w:lang w:val="en-GB"/>
        </w:rPr>
        <w:t xml:space="preserve"> </w:t>
      </w:r>
      <w:r w:rsidRPr="00AF23FE">
        <w:rPr>
          <w:rFonts w:eastAsia="Calibri" w:cs="Arial"/>
          <w:lang w:val="en-GB"/>
        </w:rPr>
        <w:t xml:space="preserve">youth councils were not consulted during the outbreak of the COVID-19 pandemic. This was criticised by the government-appointed Coronavirus Commission in their second report, which also recognised that Norway’s </w:t>
      </w:r>
      <w:r w:rsidR="001F0DC8">
        <w:rPr>
          <w:rFonts w:eastAsia="Calibri" w:cs="Arial"/>
          <w:lang w:val="en-GB"/>
        </w:rPr>
        <w:t>pandemic</w:t>
      </w:r>
      <w:r w:rsidR="001F0DC8" w:rsidRPr="00AF23FE">
        <w:rPr>
          <w:rFonts w:eastAsia="Calibri" w:cs="Arial"/>
          <w:lang w:val="en-GB"/>
        </w:rPr>
        <w:t xml:space="preserve"> </w:t>
      </w:r>
      <w:r w:rsidRPr="00AF23FE">
        <w:rPr>
          <w:rFonts w:eastAsia="Calibri" w:cs="Arial"/>
          <w:lang w:val="en-GB"/>
        </w:rPr>
        <w:t>control measures had a major impact on children and young people. The</w:t>
      </w:r>
      <w:r w:rsidRPr="00AF23FE" w:rsidDel="003F0614">
        <w:rPr>
          <w:rFonts w:eastAsia="Calibri" w:cs="Arial"/>
          <w:lang w:val="en-GB"/>
        </w:rPr>
        <w:t xml:space="preserve"> </w:t>
      </w:r>
      <w:r w:rsidRPr="00AF23FE">
        <w:rPr>
          <w:rFonts w:eastAsia="Calibri" w:cs="Arial"/>
          <w:lang w:val="en-GB"/>
        </w:rPr>
        <w:t>Commission recommended that decision-makers at all levels establish procedures to involve children and youth in decisions that affect them, including in times of crises.</w:t>
      </w:r>
      <w:r w:rsidRPr="00AF23FE">
        <w:rPr>
          <w:rFonts w:eastAsia="Calibri" w:cs="Arial"/>
          <w:vertAlign w:val="superscript"/>
          <w:lang w:val="en-GB"/>
        </w:rPr>
        <w:footnoteReference w:id="11"/>
      </w:r>
    </w:p>
    <w:p w14:paraId="65AD7EFF" w14:textId="77777777" w:rsidR="0032123A" w:rsidRPr="00AF23FE" w:rsidRDefault="0032123A" w:rsidP="0032123A">
      <w:pPr>
        <w:rPr>
          <w:rFonts w:eastAsia="Calibri" w:cs="Arial"/>
          <w:lang w:val="en-GB"/>
        </w:rPr>
      </w:pPr>
      <w:r w:rsidRPr="00AF23FE">
        <w:rPr>
          <w:rFonts w:eastAsia="Calibri" w:cs="Arial"/>
          <w:lang w:val="en-GB"/>
        </w:rPr>
        <w:t>There is no similar requirement to establish processes for consultations with youth at the national level. A recent survey indicates that the structures for collective participation at the national level appear to be more fragmented.</w:t>
      </w:r>
      <w:r w:rsidRPr="00AF23FE">
        <w:rPr>
          <w:rFonts w:eastAsia="Calibri" w:cs="Arial"/>
          <w:vertAlign w:val="superscript"/>
          <w:lang w:val="en-GB"/>
        </w:rPr>
        <w:footnoteReference w:id="12"/>
      </w:r>
      <w:r w:rsidRPr="00AF23FE">
        <w:rPr>
          <w:rFonts w:eastAsia="Calibri" w:cs="Arial"/>
          <w:lang w:val="en-GB"/>
        </w:rPr>
        <w:t xml:space="preserve"> The survey also indicates that participation at the national level works best in the development of public services, while it is more challenging in policy development. Both the NHRI and the Ombudsperson for Children have received requests from government-appointed committees</w:t>
      </w:r>
      <w:r w:rsidRPr="00AF23FE" w:rsidDel="005B396F">
        <w:rPr>
          <w:rFonts w:eastAsia="Calibri" w:cs="Arial"/>
          <w:lang w:val="en-GB"/>
        </w:rPr>
        <w:t xml:space="preserve"> and</w:t>
      </w:r>
      <w:r w:rsidRPr="00AF23FE">
        <w:rPr>
          <w:rFonts w:eastAsia="Calibri" w:cs="Arial"/>
          <w:lang w:val="en-GB"/>
        </w:rPr>
        <w:t xml:space="preserve"> public bodies seeking advice on good practices in this area. There is a special need for developing structures for ensuring the effective participation of vulnerable children, such as children experiencing violence, mental health treatment and institutional care. The Ministry of Children and Families has </w:t>
      </w:r>
      <w:r w:rsidRPr="00AF23FE">
        <w:rPr>
          <w:rFonts w:eastAsia="Calibri" w:cs="Arial"/>
          <w:lang w:val="en-GB"/>
        </w:rPr>
        <w:lastRenderedPageBreak/>
        <w:t xml:space="preserve">announced that it will consider establishing a centre of expertise on children’s collective participation, following recommendations from The NHRI and other stakeholders. </w:t>
      </w:r>
    </w:p>
    <w:p w14:paraId="07EBFB87" w14:textId="3F2AACDC" w:rsidR="008F0149" w:rsidRPr="008F0149" w:rsidRDefault="008F0149" w:rsidP="0032123A">
      <w:pPr>
        <w:rPr>
          <w:rFonts w:eastAsia="Calibri" w:cs="Arial"/>
          <w:b/>
          <w:bCs/>
          <w:lang w:val="en-GB"/>
        </w:rPr>
      </w:pPr>
      <w:r w:rsidRPr="008F0149">
        <w:rPr>
          <w:rFonts w:eastAsia="Calibri" w:cs="Arial"/>
          <w:b/>
          <w:bCs/>
          <w:lang w:val="en-GB"/>
        </w:rPr>
        <w:t>Suggested recommendation:</w:t>
      </w:r>
    </w:p>
    <w:p w14:paraId="47D4021E" w14:textId="02475267" w:rsidR="00491B07" w:rsidRPr="00711D0C" w:rsidRDefault="0032123A" w:rsidP="00491B07">
      <w:pPr>
        <w:numPr>
          <w:ilvl w:val="0"/>
          <w:numId w:val="34"/>
        </w:numPr>
        <w:spacing w:before="120"/>
        <w:contextualSpacing/>
        <w:rPr>
          <w:rFonts w:ascii="Calibri" w:eastAsia="Calibri" w:hAnsi="Calibri" w:cs="Times New Roman"/>
          <w:lang w:val="en-GB"/>
        </w:rPr>
      </w:pPr>
      <w:r w:rsidRPr="00AF23FE">
        <w:rPr>
          <w:rFonts w:eastAsia="Calibri" w:cs="Arial"/>
          <w:lang w:val="en-GB"/>
        </w:rPr>
        <w:t xml:space="preserve">The State Party should strengthen children’s right to be heard, both individually and collectively, including through the establishment of a national centre of expertise on children’s participation. </w:t>
      </w:r>
    </w:p>
    <w:p w14:paraId="2E6110E3" w14:textId="77777777" w:rsidR="00491B07" w:rsidRPr="00AF23FE" w:rsidRDefault="00491B07" w:rsidP="00491B07">
      <w:pPr>
        <w:pStyle w:val="Heading1"/>
        <w:rPr>
          <w:lang w:val="en-GB"/>
        </w:rPr>
      </w:pPr>
      <w:bookmarkStart w:id="9" w:name="_Toc181973432"/>
      <w:r w:rsidRPr="00AF23FE">
        <w:rPr>
          <w:lang w:val="en-GB"/>
        </w:rPr>
        <w:t>Discrimination and hate speech against children, including Sámi, national minorities and LGBTI children</w:t>
      </w:r>
      <w:bookmarkEnd w:id="9"/>
    </w:p>
    <w:p w14:paraId="5CD1B1F9" w14:textId="77777777" w:rsidR="00491B07" w:rsidRPr="008F0149" w:rsidRDefault="00491B07" w:rsidP="00491B07">
      <w:pPr>
        <w:spacing w:before="120"/>
        <w:rPr>
          <w:rFonts w:eastAsia="Calibri" w:cs="Times New Roman"/>
          <w:i/>
          <w:lang w:val="en-GB"/>
        </w:rPr>
      </w:pPr>
      <w:r w:rsidRPr="008F0149">
        <w:rPr>
          <w:rFonts w:eastAsia="Calibri" w:cs="Times New Roman"/>
          <w:i/>
          <w:lang w:val="en-GB"/>
        </w:rPr>
        <w:t>Reference is made to LOIPR 2023: 29 and 11</w:t>
      </w:r>
    </w:p>
    <w:p w14:paraId="73A591AB" w14:textId="5B34A0B2" w:rsidR="00491B07" w:rsidRPr="00AF23FE" w:rsidRDefault="00491B07" w:rsidP="00491B07">
      <w:pPr>
        <w:rPr>
          <w:rFonts w:eastAsia="Calibri" w:cs="Arial"/>
          <w:lang w:val="en-GB"/>
        </w:rPr>
      </w:pPr>
      <w:r w:rsidRPr="00AF23FE">
        <w:rPr>
          <w:rFonts w:eastAsia="Calibri" w:cs="Arial"/>
          <w:bCs/>
          <w:lang w:val="en-GB"/>
        </w:rPr>
        <w:t xml:space="preserve">In 2022, the NHRI published the results of a </w:t>
      </w:r>
      <w:r w:rsidRPr="00AF23FE">
        <w:rPr>
          <w:rFonts w:eastAsia="Calibri" w:cs="Arial"/>
          <w:lang w:val="en-GB"/>
        </w:rPr>
        <w:t xml:space="preserve">national survey on the population’s attitudes towards the indigenous Sámi people and the five national minorities in Norway (Jews, </w:t>
      </w:r>
      <w:proofErr w:type="spellStart"/>
      <w:r w:rsidRPr="00AF23FE">
        <w:rPr>
          <w:rFonts w:eastAsia="Calibri" w:cs="Arial"/>
          <w:lang w:val="en-GB"/>
        </w:rPr>
        <w:t>Kvens</w:t>
      </w:r>
      <w:proofErr w:type="spellEnd"/>
      <w:r w:rsidRPr="00AF23FE">
        <w:rPr>
          <w:rFonts w:eastAsia="Calibri" w:cs="Arial"/>
          <w:lang w:val="en-GB"/>
        </w:rPr>
        <w:t>/Norwegian Finns, Forest Finns, Roma and Romani/Taters).</w:t>
      </w:r>
      <w:r w:rsidRPr="00AF23FE">
        <w:rPr>
          <w:rFonts w:eastAsia="Calibri" w:cs="Arial"/>
          <w:color w:val="333333"/>
          <w:vertAlign w:val="superscript"/>
          <w:lang w:val="en-GB"/>
        </w:rPr>
        <w:footnoteReference w:id="13"/>
      </w:r>
      <w:r>
        <w:rPr>
          <w:rFonts w:eastAsia="Calibri" w:cs="Arial"/>
          <w:lang w:val="en-GB"/>
        </w:rPr>
        <w:t xml:space="preserve"> </w:t>
      </w:r>
      <w:r w:rsidRPr="00AF23FE">
        <w:rPr>
          <w:rFonts w:eastAsia="Calibri" w:cs="Arial"/>
          <w:lang w:val="en-GB"/>
        </w:rPr>
        <w:t xml:space="preserve">The survey shows that many </w:t>
      </w:r>
      <w:r w:rsidR="001B4DB7">
        <w:rPr>
          <w:rFonts w:eastAsia="Calibri" w:cs="Arial"/>
          <w:lang w:val="en-GB"/>
        </w:rPr>
        <w:t>Norwegians</w:t>
      </w:r>
      <w:r w:rsidRPr="00AF23FE">
        <w:rPr>
          <w:rFonts w:eastAsia="Calibri" w:cs="Arial"/>
          <w:lang w:val="en-GB"/>
        </w:rPr>
        <w:t xml:space="preserve"> have </w:t>
      </w:r>
      <w:r w:rsidR="00D72CCA">
        <w:rPr>
          <w:rFonts w:eastAsia="Calibri" w:cs="Arial"/>
          <w:lang w:val="en-GB"/>
        </w:rPr>
        <w:t xml:space="preserve">limited </w:t>
      </w:r>
      <w:r w:rsidRPr="00AF23FE">
        <w:rPr>
          <w:rFonts w:eastAsia="Calibri" w:cs="Arial"/>
          <w:lang w:val="en-GB"/>
        </w:rPr>
        <w:t xml:space="preserve">knowledge about the Sámi and national minorities, </w:t>
      </w:r>
      <w:r w:rsidR="00D72CCA">
        <w:rPr>
          <w:rFonts w:eastAsia="Calibri" w:cs="Arial"/>
          <w:lang w:val="en-GB"/>
        </w:rPr>
        <w:t xml:space="preserve">many </w:t>
      </w:r>
      <w:r w:rsidRPr="00AF23FE">
        <w:rPr>
          <w:rFonts w:eastAsia="Calibri" w:cs="Arial"/>
          <w:lang w:val="en-GB"/>
        </w:rPr>
        <w:t xml:space="preserve">learnt little about the groups at school and </w:t>
      </w:r>
      <w:r w:rsidR="00D72CCA">
        <w:rPr>
          <w:rFonts w:eastAsia="Calibri" w:cs="Arial"/>
          <w:lang w:val="en-GB"/>
        </w:rPr>
        <w:t xml:space="preserve">many </w:t>
      </w:r>
      <w:r w:rsidRPr="00AF23FE">
        <w:rPr>
          <w:rFonts w:eastAsia="Calibri" w:cs="Arial"/>
          <w:lang w:val="en-GB"/>
        </w:rPr>
        <w:t xml:space="preserve">agree with stereotypes about the groups. In addition, a significant proportion </w:t>
      </w:r>
      <w:r>
        <w:rPr>
          <w:rFonts w:eastAsia="Calibri" w:cs="Arial"/>
          <w:lang w:val="en-GB"/>
        </w:rPr>
        <w:t xml:space="preserve">of the population </w:t>
      </w:r>
      <w:r w:rsidRPr="00AF23FE">
        <w:rPr>
          <w:rFonts w:eastAsia="Calibri" w:cs="Arial"/>
          <w:lang w:val="en-GB"/>
        </w:rPr>
        <w:t>ha</w:t>
      </w:r>
      <w:r>
        <w:rPr>
          <w:rFonts w:eastAsia="Calibri" w:cs="Arial"/>
          <w:lang w:val="en-GB"/>
        </w:rPr>
        <w:t xml:space="preserve">d </w:t>
      </w:r>
      <w:r w:rsidRPr="00AF23FE">
        <w:rPr>
          <w:rFonts w:eastAsia="Calibri" w:cs="Arial"/>
          <w:lang w:val="en-GB"/>
        </w:rPr>
        <w:t xml:space="preserve">observed hate speech </w:t>
      </w:r>
      <w:r>
        <w:rPr>
          <w:rFonts w:eastAsia="Calibri" w:cs="Arial"/>
          <w:lang w:val="en-GB"/>
        </w:rPr>
        <w:t xml:space="preserve">in the past year </w:t>
      </w:r>
      <w:r w:rsidRPr="00AF23FE">
        <w:rPr>
          <w:rFonts w:eastAsia="Calibri" w:cs="Arial"/>
          <w:lang w:val="en-GB"/>
        </w:rPr>
        <w:t>against Jews</w:t>
      </w:r>
      <w:r>
        <w:rPr>
          <w:rFonts w:eastAsia="Calibri" w:cs="Arial"/>
          <w:lang w:val="en-GB"/>
        </w:rPr>
        <w:t xml:space="preserve"> (19%)</w:t>
      </w:r>
      <w:r w:rsidRPr="00AF23FE">
        <w:rPr>
          <w:rFonts w:eastAsia="Calibri" w:cs="Arial"/>
          <w:lang w:val="en-GB"/>
        </w:rPr>
        <w:t>, Sámi</w:t>
      </w:r>
      <w:r>
        <w:rPr>
          <w:rFonts w:eastAsia="Calibri" w:cs="Arial"/>
          <w:lang w:val="en-GB"/>
        </w:rPr>
        <w:t xml:space="preserve"> (15%)</w:t>
      </w:r>
      <w:r w:rsidRPr="00AF23FE">
        <w:rPr>
          <w:rFonts w:eastAsia="Calibri" w:cs="Arial"/>
          <w:lang w:val="en-GB"/>
        </w:rPr>
        <w:t xml:space="preserve">, Roma </w:t>
      </w:r>
      <w:r>
        <w:rPr>
          <w:rFonts w:eastAsia="Calibri" w:cs="Arial"/>
          <w:lang w:val="en-GB"/>
        </w:rPr>
        <w:t xml:space="preserve">(10%) </w:t>
      </w:r>
      <w:r w:rsidRPr="00AF23FE">
        <w:rPr>
          <w:rFonts w:eastAsia="Calibri" w:cs="Arial"/>
          <w:lang w:val="en-GB"/>
        </w:rPr>
        <w:t>and Romani/Taters</w:t>
      </w:r>
      <w:r>
        <w:rPr>
          <w:rFonts w:eastAsia="Calibri" w:cs="Arial"/>
          <w:lang w:val="en-GB"/>
        </w:rPr>
        <w:t xml:space="preserve"> (12%)</w:t>
      </w:r>
      <w:r w:rsidRPr="00AF23FE">
        <w:rPr>
          <w:rFonts w:eastAsia="Calibri" w:cs="Arial"/>
          <w:lang w:val="en-GB"/>
        </w:rPr>
        <w:t>, and</w:t>
      </w:r>
      <w:r>
        <w:rPr>
          <w:rFonts w:eastAsia="Calibri" w:cs="Arial"/>
          <w:lang w:val="en-GB"/>
        </w:rPr>
        <w:t xml:space="preserve"> it was more common to observe</w:t>
      </w:r>
      <w:r w:rsidRPr="00AF23FE">
        <w:rPr>
          <w:rFonts w:eastAsia="Calibri" w:cs="Arial"/>
          <w:lang w:val="en-GB"/>
        </w:rPr>
        <w:t xml:space="preserve"> hate speech against</w:t>
      </w:r>
      <w:r>
        <w:rPr>
          <w:rFonts w:eastAsia="Calibri" w:cs="Arial"/>
          <w:lang w:val="en-GB"/>
        </w:rPr>
        <w:t xml:space="preserve"> </w:t>
      </w:r>
      <w:r w:rsidRPr="00AF23FE">
        <w:rPr>
          <w:rFonts w:eastAsia="Calibri" w:cs="Arial"/>
          <w:lang w:val="en-GB"/>
        </w:rPr>
        <w:t xml:space="preserve">Sámi </w:t>
      </w:r>
      <w:r>
        <w:rPr>
          <w:rFonts w:eastAsia="Calibri" w:cs="Arial"/>
          <w:lang w:val="en-GB"/>
        </w:rPr>
        <w:t xml:space="preserve">people </w:t>
      </w:r>
      <w:r w:rsidRPr="00AF23FE">
        <w:rPr>
          <w:rFonts w:eastAsia="Calibri" w:cs="Arial"/>
          <w:lang w:val="en-GB"/>
        </w:rPr>
        <w:t xml:space="preserve">in </w:t>
      </w:r>
      <w:r>
        <w:rPr>
          <w:rFonts w:eastAsia="Calibri" w:cs="Arial"/>
          <w:lang w:val="en-GB"/>
        </w:rPr>
        <w:t xml:space="preserve">Northern </w:t>
      </w:r>
      <w:r w:rsidRPr="00AF23FE">
        <w:rPr>
          <w:rFonts w:eastAsia="Calibri" w:cs="Arial"/>
          <w:lang w:val="en-GB"/>
        </w:rPr>
        <w:t>Norway</w:t>
      </w:r>
      <w:r>
        <w:rPr>
          <w:rFonts w:eastAsia="Calibri" w:cs="Arial"/>
          <w:lang w:val="en-GB"/>
        </w:rPr>
        <w:t xml:space="preserve"> (33%)</w:t>
      </w:r>
      <w:r w:rsidRPr="00AF23FE">
        <w:rPr>
          <w:rFonts w:eastAsia="Calibri" w:cs="Arial"/>
          <w:lang w:val="en-GB"/>
        </w:rPr>
        <w:t xml:space="preserve">. </w:t>
      </w:r>
    </w:p>
    <w:p w14:paraId="31D242C2" w14:textId="77777777" w:rsidR="00491B07" w:rsidRPr="00AF23FE" w:rsidRDefault="00491B07" w:rsidP="00491B07">
      <w:pPr>
        <w:rPr>
          <w:rFonts w:eastAsia="Calibri" w:cs="Arial"/>
          <w:bCs/>
          <w:lang w:val="en-GB"/>
        </w:rPr>
      </w:pPr>
      <w:r w:rsidRPr="00AF23FE">
        <w:rPr>
          <w:rFonts w:eastAsia="Calibri" w:cs="Arial"/>
          <w:lang w:val="en-GB"/>
        </w:rPr>
        <w:t>These results are consistent with other studies which show that teachers and teacher educators often lack the knowledge and resources to implement the curriculum requirements regarding the Sámi and national minorities,</w:t>
      </w:r>
      <w:r w:rsidRPr="00AF23FE">
        <w:rPr>
          <w:rFonts w:eastAsia="Calibri" w:cs="Arial"/>
          <w:color w:val="333333"/>
          <w:vertAlign w:val="superscript"/>
          <w:lang w:val="en-GB"/>
        </w:rPr>
        <w:footnoteReference w:id="14"/>
      </w:r>
      <w:r w:rsidRPr="00AF23FE">
        <w:rPr>
          <w:rFonts w:eastAsia="Calibri" w:cs="Arial"/>
          <w:lang w:val="en-GB"/>
        </w:rPr>
        <w:t xml:space="preserve"> and that rates of self-reported discrimination and hate speech among the Sámi and some of the national minorities are higher than the general population.</w:t>
      </w:r>
      <w:r w:rsidRPr="00AF23FE">
        <w:rPr>
          <w:rFonts w:eastAsia="Calibri" w:cs="Arial"/>
          <w:color w:val="333333"/>
          <w:vertAlign w:val="superscript"/>
          <w:lang w:val="en-GB"/>
        </w:rPr>
        <w:footnoteReference w:id="15"/>
      </w:r>
      <w:r w:rsidRPr="00AF23FE">
        <w:rPr>
          <w:rFonts w:eastAsia="Calibri" w:cs="Arial"/>
          <w:lang w:val="en-GB"/>
        </w:rPr>
        <w:t xml:space="preserve"> Young Sámi people </w:t>
      </w:r>
      <w:r w:rsidRPr="00AF23FE">
        <w:rPr>
          <w:rFonts w:eastAsia="Calibri" w:cs="Arial"/>
          <w:lang w:val="en-GB"/>
        </w:rPr>
        <w:lastRenderedPageBreak/>
        <w:t>are particularly vulnerable, with a qualitative study indicating that three out of four report experiencing discrimination at least once in their lives.</w:t>
      </w:r>
      <w:r w:rsidRPr="00AF23FE">
        <w:rPr>
          <w:rFonts w:eastAsia="Calibri" w:cs="Arial"/>
          <w:color w:val="333333"/>
          <w:vertAlign w:val="superscript"/>
          <w:lang w:val="en-GB"/>
        </w:rPr>
        <w:footnoteReference w:id="16"/>
      </w:r>
      <w:r>
        <w:rPr>
          <w:rFonts w:eastAsia="Calibri" w:cs="Arial"/>
          <w:lang w:val="en-GB"/>
        </w:rPr>
        <w:t xml:space="preserve"> A report from Amnesty International Norway in 2023 found that one in every four Facebook posts about </w:t>
      </w:r>
      <w:r w:rsidRPr="00AF23FE">
        <w:rPr>
          <w:rFonts w:eastAsia="Calibri" w:cs="Arial"/>
          <w:lang w:val="en-GB"/>
        </w:rPr>
        <w:t>Sámi</w:t>
      </w:r>
      <w:r>
        <w:rPr>
          <w:rFonts w:eastAsia="Calibri" w:cs="Arial"/>
          <w:lang w:val="en-GB"/>
        </w:rPr>
        <w:t xml:space="preserve"> people in Norway is negative and that such posts increased significantly during demonstrations against the Government’s handling of the Fosen case, which concerned wind power developments in </w:t>
      </w:r>
      <w:r w:rsidRPr="00AF23FE">
        <w:rPr>
          <w:rFonts w:eastAsia="Calibri" w:cs="Arial"/>
          <w:lang w:val="en-GB"/>
        </w:rPr>
        <w:t>Sámi</w:t>
      </w:r>
      <w:r>
        <w:rPr>
          <w:rFonts w:eastAsia="Calibri" w:cs="Arial"/>
          <w:lang w:val="en-GB"/>
        </w:rPr>
        <w:t xml:space="preserve"> areas.</w:t>
      </w:r>
      <w:r>
        <w:rPr>
          <w:rStyle w:val="FootnoteReference"/>
          <w:rFonts w:eastAsia="Calibri" w:cs="Arial"/>
          <w:lang w:val="en-GB"/>
        </w:rPr>
        <w:footnoteReference w:id="17"/>
      </w:r>
    </w:p>
    <w:p w14:paraId="6A57ED35" w14:textId="77777777" w:rsidR="00491B07" w:rsidRPr="00AF23FE" w:rsidRDefault="00491B07" w:rsidP="00491B07">
      <w:pPr>
        <w:rPr>
          <w:rFonts w:eastAsia="Calibri" w:cs="Arial"/>
          <w:bCs/>
          <w:lang w:val="en-GB"/>
        </w:rPr>
      </w:pPr>
      <w:r w:rsidRPr="00AF23FE">
        <w:rPr>
          <w:rFonts w:eastAsia="Calibri" w:cs="Arial"/>
          <w:bCs/>
          <w:lang w:val="en-GB"/>
        </w:rPr>
        <w:t xml:space="preserve">The NHRI has made several recommendations to the Government aimed at strengthening the implementation of the State's human rights obligations to protect the Sámi and national minorities from discrimination and hate speech. These include a national competence boost on the Sámi and national minorities for all teachers and teacher educators, additional measures to prevent and combat hate speech against the Sámi and national minorities in both national and local action plans, a low-threshold online </w:t>
      </w:r>
      <w:r w:rsidRPr="00AF23FE">
        <w:rPr>
          <w:lang w:val="en-GB"/>
        </w:rPr>
        <w:t>to</w:t>
      </w:r>
      <w:r w:rsidRPr="00AF23FE">
        <w:rPr>
          <w:rFonts w:eastAsia="Calibri" w:cs="Arial"/>
          <w:bCs/>
          <w:lang w:val="en-GB"/>
        </w:rPr>
        <w:t>ol for reporting hate speech and improved police statistics on hate crime.</w:t>
      </w:r>
    </w:p>
    <w:p w14:paraId="7EF2E1BD" w14:textId="015DB861" w:rsidR="00A3506C" w:rsidRPr="00AF23FE" w:rsidRDefault="00491B07" w:rsidP="007E57DA">
      <w:pPr>
        <w:rPr>
          <w:rFonts w:eastAsia="Calibri" w:cs="Arial"/>
          <w:lang w:val="en-GB"/>
        </w:rPr>
      </w:pPr>
      <w:r>
        <w:rPr>
          <w:rFonts w:eastAsia="Calibri" w:cs="Arial"/>
          <w:lang w:val="en-GB"/>
        </w:rPr>
        <w:t>In 2024, the NHRI published the results of a national survey on the population’s attitudes towards LGBTI people.</w:t>
      </w:r>
      <w:r>
        <w:rPr>
          <w:rStyle w:val="FootnoteReference"/>
          <w:rFonts w:eastAsia="Calibri" w:cs="Arial"/>
          <w:lang w:val="en-GB"/>
        </w:rPr>
        <w:footnoteReference w:id="18"/>
      </w:r>
      <w:r>
        <w:rPr>
          <w:rFonts w:eastAsia="Calibri" w:cs="Arial"/>
          <w:lang w:val="en-GB"/>
        </w:rPr>
        <w:t xml:space="preserve"> The survey shows that </w:t>
      </w:r>
      <w:r w:rsidRPr="005D77C3">
        <w:rPr>
          <w:rFonts w:eastAsia="Calibri" w:cs="Arial"/>
          <w:lang w:val="en-GB"/>
        </w:rPr>
        <w:t>40</w:t>
      </w:r>
      <w:r>
        <w:rPr>
          <w:rFonts w:eastAsia="Calibri" w:cs="Arial"/>
          <w:lang w:val="en-GB"/>
        </w:rPr>
        <w:t xml:space="preserve">% of the population </w:t>
      </w:r>
      <w:r w:rsidRPr="005D77C3">
        <w:rPr>
          <w:rFonts w:eastAsia="Calibri" w:cs="Arial"/>
          <w:lang w:val="en-GB"/>
        </w:rPr>
        <w:t>ha</w:t>
      </w:r>
      <w:r>
        <w:rPr>
          <w:rFonts w:eastAsia="Calibri" w:cs="Arial"/>
          <w:lang w:val="en-GB"/>
        </w:rPr>
        <w:t>s</w:t>
      </w:r>
      <w:r w:rsidRPr="005D77C3">
        <w:rPr>
          <w:rFonts w:eastAsia="Calibri" w:cs="Arial"/>
          <w:lang w:val="en-GB"/>
        </w:rPr>
        <w:t xml:space="preserve"> observed hate speech against </w:t>
      </w:r>
      <w:r>
        <w:rPr>
          <w:rFonts w:eastAsia="Calibri" w:cs="Arial"/>
          <w:lang w:val="en-GB"/>
        </w:rPr>
        <w:t xml:space="preserve">LGBTI people </w:t>
      </w:r>
      <w:r w:rsidRPr="005D77C3">
        <w:rPr>
          <w:rFonts w:eastAsia="Calibri" w:cs="Arial"/>
          <w:lang w:val="en-GB"/>
        </w:rPr>
        <w:t>during the past year</w:t>
      </w:r>
      <w:r>
        <w:rPr>
          <w:rFonts w:eastAsia="Calibri" w:cs="Arial"/>
          <w:lang w:val="en-GB"/>
        </w:rPr>
        <w:t xml:space="preserve">, and </w:t>
      </w:r>
      <w:r w:rsidRPr="005D77C3">
        <w:rPr>
          <w:rFonts w:eastAsia="Calibri" w:cs="Arial"/>
          <w:lang w:val="en-GB"/>
        </w:rPr>
        <w:t xml:space="preserve">one in five </w:t>
      </w:r>
      <w:r>
        <w:rPr>
          <w:rFonts w:eastAsia="Calibri" w:cs="Arial"/>
          <w:lang w:val="en-GB"/>
        </w:rPr>
        <w:t>think that</w:t>
      </w:r>
      <w:r w:rsidRPr="005D77C3">
        <w:rPr>
          <w:rFonts w:eastAsia="Calibri" w:cs="Arial"/>
          <w:lang w:val="en-GB"/>
        </w:rPr>
        <w:t xml:space="preserve"> the </w:t>
      </w:r>
      <w:r>
        <w:rPr>
          <w:rFonts w:eastAsia="Calibri" w:cs="Arial"/>
          <w:lang w:val="en-GB"/>
        </w:rPr>
        <w:t>struggle</w:t>
      </w:r>
      <w:r w:rsidRPr="005D77C3">
        <w:rPr>
          <w:rFonts w:eastAsia="Calibri" w:cs="Arial"/>
          <w:lang w:val="en-GB"/>
        </w:rPr>
        <w:t xml:space="preserve"> for LGBT</w:t>
      </w:r>
      <w:r>
        <w:rPr>
          <w:rFonts w:eastAsia="Calibri" w:cs="Arial"/>
          <w:lang w:val="en-GB"/>
        </w:rPr>
        <w:t>I</w:t>
      </w:r>
      <w:r w:rsidRPr="005D77C3">
        <w:rPr>
          <w:rFonts w:eastAsia="Calibri" w:cs="Arial"/>
          <w:lang w:val="en-GB"/>
        </w:rPr>
        <w:t xml:space="preserve"> people's rights has gone too far</w:t>
      </w:r>
      <w:r>
        <w:rPr>
          <w:rFonts w:eastAsia="Calibri" w:cs="Arial"/>
          <w:lang w:val="en-GB"/>
        </w:rPr>
        <w:t xml:space="preserve">. This is consistent with the results of a </w:t>
      </w:r>
      <w:r w:rsidRPr="00AF23FE">
        <w:rPr>
          <w:rFonts w:eastAsia="Calibri" w:cs="Arial"/>
          <w:lang w:val="en-GB"/>
        </w:rPr>
        <w:t>study from 2019</w:t>
      </w:r>
      <w:r>
        <w:rPr>
          <w:rFonts w:eastAsia="Calibri" w:cs="Arial"/>
          <w:lang w:val="en-GB"/>
        </w:rPr>
        <w:t>, which</w:t>
      </w:r>
      <w:r w:rsidRPr="00AF23FE">
        <w:rPr>
          <w:rFonts w:eastAsia="Calibri" w:cs="Arial"/>
          <w:lang w:val="en-GB"/>
        </w:rPr>
        <w:t xml:space="preserve"> indicated that LGBT </w:t>
      </w:r>
      <w:r>
        <w:rPr>
          <w:rFonts w:eastAsia="Calibri" w:cs="Arial"/>
          <w:lang w:val="en-GB"/>
        </w:rPr>
        <w:t>people</w:t>
      </w:r>
      <w:r w:rsidRPr="00AF23FE">
        <w:rPr>
          <w:rFonts w:eastAsia="Calibri" w:cs="Arial"/>
          <w:lang w:val="en-GB"/>
        </w:rPr>
        <w:t xml:space="preserve"> are twice as likely to experience hate speech</w:t>
      </w:r>
      <w:r>
        <w:rPr>
          <w:rFonts w:eastAsia="Calibri" w:cs="Arial"/>
          <w:lang w:val="en-GB"/>
        </w:rPr>
        <w:t xml:space="preserve"> and </w:t>
      </w:r>
      <w:r w:rsidRPr="00AF23FE">
        <w:rPr>
          <w:rFonts w:eastAsia="Calibri" w:cs="Arial"/>
          <w:lang w:val="en-GB"/>
        </w:rPr>
        <w:t xml:space="preserve">three times as likely to experience threats </w:t>
      </w:r>
      <w:r>
        <w:rPr>
          <w:rFonts w:eastAsia="Calibri" w:cs="Arial"/>
          <w:lang w:val="en-GB"/>
        </w:rPr>
        <w:t>compared to</w:t>
      </w:r>
      <w:r w:rsidRPr="00AF23FE">
        <w:rPr>
          <w:rFonts w:eastAsia="Calibri" w:cs="Arial"/>
          <w:lang w:val="en-GB"/>
        </w:rPr>
        <w:t xml:space="preserve"> the</w:t>
      </w:r>
      <w:r>
        <w:rPr>
          <w:rFonts w:eastAsia="Calibri" w:cs="Arial"/>
          <w:lang w:val="en-GB"/>
        </w:rPr>
        <w:t xml:space="preserve"> general</w:t>
      </w:r>
      <w:r w:rsidRPr="00AF23FE">
        <w:rPr>
          <w:rFonts w:eastAsia="Calibri" w:cs="Arial"/>
          <w:lang w:val="en-GB"/>
        </w:rPr>
        <w:t xml:space="preserve"> population.</w:t>
      </w:r>
      <w:r w:rsidRPr="00AF23FE">
        <w:rPr>
          <w:rFonts w:eastAsia="Calibri" w:cs="Arial"/>
          <w:vertAlign w:val="superscript"/>
          <w:lang w:val="en-GB"/>
        </w:rPr>
        <w:footnoteReference w:id="19"/>
      </w:r>
      <w:r w:rsidRPr="00AF23FE">
        <w:rPr>
          <w:rFonts w:eastAsia="Calibri" w:cs="Arial"/>
          <w:lang w:val="en-GB"/>
        </w:rPr>
        <w:t xml:space="preserve"> A report from SINTEF from 2020 indicated that </w:t>
      </w:r>
      <w:r>
        <w:rPr>
          <w:rFonts w:eastAsia="Calibri" w:cs="Arial"/>
          <w:lang w:val="en-GB"/>
        </w:rPr>
        <w:t xml:space="preserve">many </w:t>
      </w:r>
      <w:r w:rsidRPr="00AF23FE">
        <w:rPr>
          <w:rFonts w:eastAsia="Calibri" w:cs="Arial"/>
          <w:lang w:val="en-GB"/>
        </w:rPr>
        <w:t xml:space="preserve">children and young people are insecure </w:t>
      </w:r>
      <w:r>
        <w:rPr>
          <w:rFonts w:eastAsia="Calibri" w:cs="Arial"/>
          <w:lang w:val="en-GB"/>
        </w:rPr>
        <w:t>and</w:t>
      </w:r>
      <w:r w:rsidRPr="00AF23FE">
        <w:rPr>
          <w:rFonts w:eastAsia="Calibri" w:cs="Arial"/>
          <w:lang w:val="en-GB"/>
        </w:rPr>
        <w:t xml:space="preserve"> afraid of being</w:t>
      </w:r>
      <w:r>
        <w:rPr>
          <w:rFonts w:eastAsia="Calibri" w:cs="Arial"/>
          <w:lang w:val="en-GB"/>
        </w:rPr>
        <w:t xml:space="preserve"> bullied due to their sexual orientation</w:t>
      </w:r>
      <w:r w:rsidRPr="00AF23FE">
        <w:rPr>
          <w:rFonts w:eastAsia="Calibri" w:cs="Arial"/>
          <w:lang w:val="en-GB"/>
        </w:rPr>
        <w:t xml:space="preserve"> </w:t>
      </w:r>
      <w:r>
        <w:rPr>
          <w:rFonts w:eastAsia="Calibri" w:cs="Arial"/>
          <w:lang w:val="en-GB"/>
        </w:rPr>
        <w:t>or gender identity</w:t>
      </w:r>
      <w:r w:rsidRPr="00AF23FE">
        <w:rPr>
          <w:rFonts w:eastAsia="Calibri" w:cs="Arial"/>
          <w:lang w:val="en-GB"/>
        </w:rPr>
        <w:t>.</w:t>
      </w:r>
      <w:r w:rsidRPr="00AF23FE">
        <w:rPr>
          <w:rFonts w:eastAsia="Calibri" w:cs="Arial"/>
          <w:color w:val="333333"/>
          <w:vertAlign w:val="superscript"/>
          <w:lang w:val="en-GB"/>
        </w:rPr>
        <w:footnoteReference w:id="20"/>
      </w:r>
      <w:r w:rsidRPr="00AF23FE">
        <w:rPr>
          <w:rFonts w:eastAsia="Calibri" w:cs="Arial"/>
          <w:lang w:val="en-GB"/>
        </w:rPr>
        <w:t xml:space="preserve"> </w:t>
      </w:r>
      <w:r w:rsidR="00BC0242">
        <w:rPr>
          <w:rFonts w:eastAsia="Calibri" w:cs="Arial"/>
          <w:lang w:val="en-GB"/>
        </w:rPr>
        <w:t>The</w:t>
      </w:r>
      <w:r w:rsidR="008B1336">
        <w:rPr>
          <w:rFonts w:eastAsia="Calibri" w:cs="Arial"/>
          <w:lang w:val="en-GB"/>
        </w:rPr>
        <w:t xml:space="preserve"> Norwegian Directorate for Education and Training also</w:t>
      </w:r>
      <w:r w:rsidR="00BC0242">
        <w:rPr>
          <w:rFonts w:eastAsia="Calibri" w:cs="Arial"/>
          <w:lang w:val="en-GB"/>
        </w:rPr>
        <w:t xml:space="preserve"> recently public</w:t>
      </w:r>
      <w:r w:rsidR="00B7572B">
        <w:rPr>
          <w:rFonts w:eastAsia="Calibri" w:cs="Arial"/>
          <w:lang w:val="en-GB"/>
        </w:rPr>
        <w:t>ized statistics which show</w:t>
      </w:r>
      <w:r w:rsidR="00C55B38">
        <w:rPr>
          <w:rFonts w:eastAsia="Calibri" w:cs="Arial"/>
          <w:lang w:val="en-GB"/>
        </w:rPr>
        <w:t xml:space="preserve"> that b</w:t>
      </w:r>
      <w:r w:rsidR="00FE4036">
        <w:rPr>
          <w:rFonts w:eastAsia="Calibri" w:cs="Arial"/>
          <w:lang w:val="en-GB"/>
        </w:rPr>
        <w:t xml:space="preserve">ullying </w:t>
      </w:r>
      <w:r w:rsidR="00B730B6">
        <w:rPr>
          <w:rFonts w:eastAsia="Calibri" w:cs="Arial"/>
          <w:lang w:val="en-GB"/>
        </w:rPr>
        <w:t>in schools</w:t>
      </w:r>
      <w:r w:rsidR="00872EBA">
        <w:rPr>
          <w:rFonts w:eastAsia="Calibri" w:cs="Arial"/>
          <w:lang w:val="en-GB"/>
        </w:rPr>
        <w:t xml:space="preserve"> are </w:t>
      </w:r>
      <w:r w:rsidR="00991731">
        <w:rPr>
          <w:rFonts w:eastAsia="Calibri" w:cs="Arial"/>
          <w:lang w:val="en-GB"/>
        </w:rPr>
        <w:t xml:space="preserve">three times </w:t>
      </w:r>
      <w:r w:rsidR="003760DF">
        <w:rPr>
          <w:rFonts w:eastAsia="Calibri" w:cs="Arial"/>
          <w:lang w:val="en-GB"/>
        </w:rPr>
        <w:t>higher amo</w:t>
      </w:r>
      <w:r w:rsidR="0041704D">
        <w:rPr>
          <w:rFonts w:eastAsia="Calibri" w:cs="Arial"/>
          <w:lang w:val="en-GB"/>
        </w:rPr>
        <w:t xml:space="preserve">ng </w:t>
      </w:r>
      <w:r w:rsidR="00504FB6">
        <w:rPr>
          <w:rFonts w:eastAsia="Calibri" w:cs="Arial"/>
          <w:lang w:val="en-GB"/>
        </w:rPr>
        <w:t xml:space="preserve">non-binary </w:t>
      </w:r>
      <w:r w:rsidR="00991731">
        <w:rPr>
          <w:rFonts w:eastAsia="Calibri" w:cs="Arial"/>
          <w:lang w:val="en-GB"/>
        </w:rPr>
        <w:t xml:space="preserve">pupils </w:t>
      </w:r>
      <w:r w:rsidR="00C5271F">
        <w:rPr>
          <w:rFonts w:eastAsia="Calibri" w:cs="Arial"/>
          <w:lang w:val="en-GB"/>
        </w:rPr>
        <w:t>than</w:t>
      </w:r>
      <w:r w:rsidR="00991731">
        <w:rPr>
          <w:rFonts w:eastAsia="Calibri" w:cs="Arial"/>
          <w:lang w:val="en-GB"/>
        </w:rPr>
        <w:t xml:space="preserve"> other </w:t>
      </w:r>
      <w:r w:rsidR="005C2588">
        <w:rPr>
          <w:rFonts w:eastAsia="Calibri" w:cs="Arial"/>
          <w:lang w:val="en-GB"/>
        </w:rPr>
        <w:t>pupils</w:t>
      </w:r>
      <w:r w:rsidR="00991731">
        <w:rPr>
          <w:rFonts w:eastAsia="Calibri" w:cs="Arial"/>
          <w:lang w:val="en-GB"/>
        </w:rPr>
        <w:t>.</w:t>
      </w:r>
      <w:r w:rsidR="002D1B62">
        <w:rPr>
          <w:rStyle w:val="FootnoteReference"/>
          <w:rFonts w:eastAsia="Calibri" w:cs="Arial"/>
          <w:lang w:val="en-GB"/>
        </w:rPr>
        <w:footnoteReference w:id="21"/>
      </w:r>
    </w:p>
    <w:p w14:paraId="6603D5D6" w14:textId="77777777" w:rsidR="00491B07" w:rsidRPr="00AF23FE" w:rsidRDefault="00491B07" w:rsidP="00491B07">
      <w:pPr>
        <w:rPr>
          <w:rFonts w:eastAsia="Calibri" w:cs="Arial"/>
          <w:b/>
          <w:lang w:val="en-GB"/>
        </w:rPr>
      </w:pPr>
      <w:r w:rsidRPr="00AF23FE">
        <w:rPr>
          <w:rFonts w:eastAsia="Calibri" w:cs="Arial"/>
          <w:b/>
          <w:lang w:val="en-GB"/>
        </w:rPr>
        <w:t>Suggested recommendation</w:t>
      </w:r>
      <w:r>
        <w:rPr>
          <w:rFonts w:eastAsia="Calibri" w:cs="Arial"/>
          <w:b/>
          <w:lang w:val="en-GB"/>
        </w:rPr>
        <w:t>s</w:t>
      </w:r>
      <w:r w:rsidRPr="00AF23FE">
        <w:rPr>
          <w:rFonts w:eastAsia="Calibri" w:cs="Arial"/>
          <w:b/>
          <w:lang w:val="en-GB"/>
        </w:rPr>
        <w:t>:</w:t>
      </w:r>
    </w:p>
    <w:p w14:paraId="3C2F53C6" w14:textId="77777777" w:rsidR="00491B07" w:rsidRPr="00555A63" w:rsidRDefault="00491B07" w:rsidP="00491B07">
      <w:pPr>
        <w:pStyle w:val="ListParagraph"/>
        <w:numPr>
          <w:ilvl w:val="0"/>
          <w:numId w:val="37"/>
        </w:numPr>
        <w:spacing w:before="0" w:after="160" w:line="259" w:lineRule="auto"/>
        <w:rPr>
          <w:rFonts w:ascii="Calibri" w:eastAsia="Calibri" w:hAnsi="Calibri" w:cs="Times New Roman"/>
          <w:lang w:val="en-GB"/>
        </w:rPr>
      </w:pPr>
      <w:r w:rsidRPr="00AF23FE">
        <w:rPr>
          <w:rFonts w:eastAsia="Calibri" w:cs="Arial"/>
          <w:bCs/>
          <w:lang w:val="en-GB"/>
        </w:rPr>
        <w:t xml:space="preserve">The State Party should </w:t>
      </w:r>
      <w:r>
        <w:rPr>
          <w:rFonts w:eastAsia="Calibri" w:cs="Arial"/>
          <w:bCs/>
          <w:lang w:val="en-GB"/>
        </w:rPr>
        <w:t>strengthen</w:t>
      </w:r>
      <w:r w:rsidRPr="00AF23FE">
        <w:rPr>
          <w:rFonts w:eastAsia="Calibri" w:cs="Arial"/>
          <w:bCs/>
          <w:lang w:val="en-GB"/>
        </w:rPr>
        <w:t xml:space="preserve"> measures to prevent and combat hate speech against Sámi and national minorit</w:t>
      </w:r>
      <w:r>
        <w:rPr>
          <w:rFonts w:eastAsia="Calibri" w:cs="Arial"/>
          <w:bCs/>
          <w:lang w:val="en-GB"/>
        </w:rPr>
        <w:t>y children</w:t>
      </w:r>
      <w:r w:rsidRPr="00AF23FE">
        <w:rPr>
          <w:rFonts w:eastAsia="Calibri" w:cs="Arial"/>
          <w:bCs/>
          <w:lang w:val="en-GB"/>
        </w:rPr>
        <w:t xml:space="preserve"> and LGBTI </w:t>
      </w:r>
      <w:proofErr w:type="gramStart"/>
      <w:r w:rsidRPr="00AF23FE">
        <w:rPr>
          <w:rFonts w:eastAsia="Calibri" w:cs="Arial"/>
          <w:bCs/>
          <w:lang w:val="en-GB"/>
        </w:rPr>
        <w:t>children, and</w:t>
      </w:r>
      <w:proofErr w:type="gramEnd"/>
      <w:r w:rsidRPr="00AF23FE">
        <w:rPr>
          <w:rFonts w:eastAsia="Calibri" w:cs="Arial"/>
          <w:bCs/>
          <w:lang w:val="en-GB"/>
        </w:rPr>
        <w:t xml:space="preserve"> </w:t>
      </w:r>
      <w:r w:rsidRPr="00AF23FE">
        <w:rPr>
          <w:rFonts w:eastAsia="Calibri" w:cs="Arial"/>
          <w:bCs/>
          <w:lang w:val="en-GB"/>
        </w:rPr>
        <w:lastRenderedPageBreak/>
        <w:t>make it easier for members of these groups to report experiences of hate speech.</w:t>
      </w:r>
    </w:p>
    <w:p w14:paraId="3E5EA61F" w14:textId="7C99C106" w:rsidR="00491B07" w:rsidRPr="00711D0C" w:rsidRDefault="00491B07" w:rsidP="00711D0C">
      <w:pPr>
        <w:pStyle w:val="ListParagraph"/>
        <w:numPr>
          <w:ilvl w:val="0"/>
          <w:numId w:val="37"/>
        </w:numPr>
        <w:spacing w:before="0" w:after="160" w:line="259" w:lineRule="auto"/>
        <w:rPr>
          <w:rFonts w:ascii="Calibri" w:eastAsia="Calibri" w:hAnsi="Calibri" w:cs="Times New Roman"/>
          <w:lang w:val="en-GB"/>
        </w:rPr>
      </w:pPr>
      <w:r>
        <w:rPr>
          <w:rFonts w:eastAsia="Calibri" w:cs="Arial"/>
          <w:bCs/>
          <w:lang w:val="en-GB"/>
        </w:rPr>
        <w:t xml:space="preserve">The State Party should adopt measures to </w:t>
      </w:r>
      <w:r w:rsidRPr="00AF23FE">
        <w:rPr>
          <w:rFonts w:eastAsia="Calibri" w:cs="Arial"/>
          <w:bCs/>
          <w:lang w:val="en-GB"/>
        </w:rPr>
        <w:t>improve teacher competence regarding the Sámi and national minorities</w:t>
      </w:r>
      <w:r>
        <w:rPr>
          <w:rFonts w:eastAsia="Calibri" w:cs="Arial"/>
          <w:bCs/>
          <w:lang w:val="en-GB"/>
        </w:rPr>
        <w:t>.</w:t>
      </w:r>
    </w:p>
    <w:p w14:paraId="7F18CEAD" w14:textId="77777777" w:rsidR="0032123A" w:rsidRPr="00D130AF" w:rsidRDefault="0032123A" w:rsidP="0032123A">
      <w:pPr>
        <w:keepNext/>
        <w:tabs>
          <w:tab w:val="left" w:pos="426"/>
        </w:tabs>
        <w:spacing w:before="360" w:after="0" w:line="240" w:lineRule="auto"/>
        <w:ind w:left="227" w:hanging="227"/>
        <w:outlineLvl w:val="0"/>
        <w:rPr>
          <w:rFonts w:eastAsia="Calibri" w:cs="Arial"/>
          <w:b/>
          <w:sz w:val="40"/>
          <w:szCs w:val="40"/>
          <w:lang w:val="en-GB"/>
        </w:rPr>
      </w:pPr>
      <w:bookmarkStart w:id="10" w:name="_Toc181973433"/>
      <w:bookmarkEnd w:id="8"/>
      <w:r w:rsidRPr="00D130AF">
        <w:rPr>
          <w:rFonts w:eastAsia="Calibri" w:cs="Arial"/>
          <w:b/>
          <w:sz w:val="40"/>
          <w:szCs w:val="40"/>
          <w:lang w:val="en-GB"/>
        </w:rPr>
        <w:t>Civil rights and freedoms</w:t>
      </w:r>
      <w:bookmarkEnd w:id="10"/>
    </w:p>
    <w:p w14:paraId="75BDCCCA" w14:textId="06FBD340" w:rsidR="0032123A" w:rsidRPr="00AF23FE" w:rsidRDefault="0032123A" w:rsidP="0032123A">
      <w:pPr>
        <w:pStyle w:val="Heading1"/>
        <w:rPr>
          <w:lang w:val="en-GB"/>
        </w:rPr>
      </w:pPr>
      <w:bookmarkStart w:id="11" w:name="_Toc181973434"/>
      <w:r w:rsidRPr="00AF23FE">
        <w:rPr>
          <w:lang w:val="en-GB"/>
        </w:rPr>
        <w:t>Children’s right to privacy in relation to the digital environment in the private and the public sphere</w:t>
      </w:r>
      <w:bookmarkEnd w:id="11"/>
    </w:p>
    <w:p w14:paraId="0D664AA9" w14:textId="00B91BA0" w:rsidR="0032123A" w:rsidRPr="009947C8" w:rsidRDefault="0032123A" w:rsidP="00360D7E">
      <w:pPr>
        <w:spacing w:before="120"/>
        <w:rPr>
          <w:rFonts w:eastAsia="Calibri" w:cs="Times New Roman"/>
          <w:i/>
          <w:lang w:val="en-GB"/>
        </w:rPr>
      </w:pPr>
      <w:r w:rsidRPr="009947C8">
        <w:rPr>
          <w:rFonts w:eastAsia="Calibri" w:cs="Times New Roman"/>
          <w:i/>
          <w:lang w:val="en-GB"/>
        </w:rPr>
        <w:t>Reference is made to LOIPR 2023: 15</w:t>
      </w:r>
    </w:p>
    <w:p w14:paraId="284AF0D0" w14:textId="68E07126" w:rsidR="0032123A" w:rsidRPr="00AF23FE" w:rsidRDefault="0032123A" w:rsidP="0032123A">
      <w:pPr>
        <w:rPr>
          <w:rFonts w:eastAsia="Calibri" w:cs="Arial"/>
          <w:lang w:val="en-GB"/>
        </w:rPr>
      </w:pPr>
      <w:r w:rsidRPr="00AF23FE">
        <w:rPr>
          <w:rFonts w:eastAsia="Calibri" w:cs="Arial"/>
          <w:lang w:val="en-GB"/>
        </w:rPr>
        <w:t xml:space="preserve">As stated by the Committee, the digital environment presents </w:t>
      </w:r>
      <w:proofErr w:type="gramStart"/>
      <w:r w:rsidRPr="00AF23FE">
        <w:rPr>
          <w:rFonts w:eastAsia="Calibri" w:cs="Arial"/>
          <w:lang w:val="en-GB"/>
        </w:rPr>
        <w:t>particular problems</w:t>
      </w:r>
      <w:proofErr w:type="gramEnd"/>
      <w:r w:rsidRPr="00AF23FE">
        <w:rPr>
          <w:rFonts w:eastAsia="Calibri" w:cs="Arial"/>
          <w:lang w:val="en-GB"/>
        </w:rPr>
        <w:t xml:space="preserve"> for parents and caregivers in respecting children’s right to privacy.</w:t>
      </w:r>
      <w:r w:rsidRPr="00AF23FE">
        <w:rPr>
          <w:rFonts w:eastAsia="Calibri" w:cs="Arial"/>
          <w:vertAlign w:val="superscript"/>
          <w:lang w:val="en-GB"/>
        </w:rPr>
        <w:footnoteReference w:id="22"/>
      </w:r>
      <w:r w:rsidRPr="00AF23FE">
        <w:rPr>
          <w:rFonts w:eastAsia="Calibri" w:cs="Arial"/>
          <w:vertAlign w:val="superscript"/>
          <w:lang w:val="en-GB"/>
        </w:rPr>
        <w:t xml:space="preserve"> </w:t>
      </w:r>
      <w:r w:rsidRPr="00AF23FE">
        <w:rPr>
          <w:rFonts w:eastAsia="Calibri" w:cs="Arial"/>
          <w:lang w:val="en-GB"/>
        </w:rPr>
        <w:t>In Norway, such problems include the issue of parents and others sharing images or other material through social media, sometimes in order to support their view in child welfare cases. Another example is the issue of parents</w:t>
      </w:r>
      <w:r w:rsidR="002142F1">
        <w:rPr>
          <w:rFonts w:eastAsia="Calibri" w:cs="Arial"/>
          <w:lang w:val="en-GB"/>
        </w:rPr>
        <w:t>’</w:t>
      </w:r>
      <w:r w:rsidRPr="00AF23FE">
        <w:rPr>
          <w:rFonts w:eastAsia="Calibri" w:cs="Arial"/>
          <w:lang w:val="en-GB"/>
        </w:rPr>
        <w:t xml:space="preserve"> </w:t>
      </w:r>
      <w:r w:rsidR="006F6BC0">
        <w:rPr>
          <w:rFonts w:eastAsia="Calibri" w:cs="Arial"/>
          <w:lang w:val="en-GB"/>
        </w:rPr>
        <w:t xml:space="preserve">inappropriate </w:t>
      </w:r>
      <w:r w:rsidRPr="00AF23FE">
        <w:rPr>
          <w:rFonts w:eastAsia="Calibri" w:cs="Arial"/>
          <w:lang w:val="en-GB"/>
        </w:rPr>
        <w:t>monitoring and tracking their children’s online activities. Outside the family sphere, the digital environment imposes several threats to children’s right to privacy. An area of particular concern is the use of devices and software provided by schools, leading to the processing of children’s personal data, as elaborated by the Privacy Commission.</w:t>
      </w:r>
      <w:r w:rsidRPr="00AF23FE">
        <w:rPr>
          <w:rFonts w:eastAsia="Calibri" w:cs="Arial"/>
          <w:vertAlign w:val="superscript"/>
          <w:lang w:val="en-GB"/>
        </w:rPr>
        <w:footnoteReference w:id="23"/>
      </w:r>
    </w:p>
    <w:p w14:paraId="5E0536F9" w14:textId="77777777" w:rsidR="0032123A" w:rsidRDefault="0032123A" w:rsidP="00360D7E">
      <w:pPr>
        <w:rPr>
          <w:rFonts w:eastAsia="Calibri" w:cs="Arial"/>
          <w:vertAlign w:val="superscript"/>
          <w:lang w:val="en-GB"/>
        </w:rPr>
      </w:pPr>
      <w:r w:rsidRPr="00AF23FE">
        <w:rPr>
          <w:rFonts w:eastAsia="Calibri" w:cs="Arial"/>
          <w:lang w:val="en-GB"/>
        </w:rPr>
        <w:t>The Personal Data Act was amended in 2012 to include a provision stating that personal data relating to children should not be processed in a way that is inconsistent with the child’s best interests. However, this provision was left out of the new Personal Data Act that entered into force in 2018. Currently, there is ambiguity in Norwegian law when it comes to the question of the child's right to privacy vis-à-vis the parents, both regarding the child’s right to self-determination and to what extent the Norwegian Data Protection Authority or other bodies can intervene against parents’ activities exposing the child’s personal data.</w:t>
      </w:r>
      <w:r w:rsidRPr="00AF23FE">
        <w:rPr>
          <w:rFonts w:eastAsia="Calibri" w:cs="Arial"/>
          <w:vertAlign w:val="superscript"/>
          <w:lang w:val="en-GB"/>
        </w:rPr>
        <w:footnoteReference w:id="24"/>
      </w:r>
      <w:r w:rsidRPr="00AF23FE">
        <w:rPr>
          <w:rFonts w:eastAsia="Calibri" w:cs="Arial"/>
          <w:vertAlign w:val="superscript"/>
          <w:lang w:val="en-GB"/>
        </w:rPr>
        <w:t xml:space="preserve"> </w:t>
      </w:r>
    </w:p>
    <w:p w14:paraId="7E8810B1" w14:textId="4036DFAD" w:rsidR="008F0149" w:rsidRPr="008F0149" w:rsidRDefault="008F0149" w:rsidP="00360D7E">
      <w:pPr>
        <w:rPr>
          <w:rFonts w:eastAsia="Calibri" w:cs="Arial"/>
          <w:b/>
          <w:bCs/>
          <w:lang w:val="en-GB"/>
        </w:rPr>
      </w:pPr>
      <w:r w:rsidRPr="008F0149">
        <w:rPr>
          <w:rFonts w:eastAsia="Calibri" w:cs="Arial"/>
          <w:b/>
          <w:bCs/>
          <w:lang w:val="en-GB"/>
        </w:rPr>
        <w:t>Suggested recommendation:</w:t>
      </w:r>
    </w:p>
    <w:p w14:paraId="091ADF61" w14:textId="77777777" w:rsidR="0032123A" w:rsidRPr="00AF23FE" w:rsidRDefault="0032123A" w:rsidP="00360D7E">
      <w:pPr>
        <w:numPr>
          <w:ilvl w:val="0"/>
          <w:numId w:val="34"/>
        </w:numPr>
        <w:spacing w:before="120"/>
        <w:ind w:left="714" w:hanging="357"/>
        <w:rPr>
          <w:rFonts w:eastAsia="Calibri" w:cs="Arial"/>
          <w:lang w:val="en-GB"/>
        </w:rPr>
      </w:pPr>
      <w:r w:rsidRPr="00AF23FE">
        <w:rPr>
          <w:rFonts w:eastAsia="Calibri" w:cs="Arial"/>
          <w:lang w:val="en-GB"/>
        </w:rPr>
        <w:t xml:space="preserve">The State Party should strengthen children's right to privacy in Norwegian law and ensure effective remedies and complaint mechanisms to children </w:t>
      </w:r>
      <w:r w:rsidRPr="00AF23FE">
        <w:rPr>
          <w:rFonts w:eastAsia="Calibri" w:cs="Arial"/>
          <w:lang w:val="en-GB"/>
        </w:rPr>
        <w:lastRenderedPageBreak/>
        <w:t>who experience violations of their right to privacy, including when their parents or caregivers violate this right.</w:t>
      </w:r>
    </w:p>
    <w:p w14:paraId="7073537D" w14:textId="01FEEA92" w:rsidR="00E5454B" w:rsidRPr="000509AE" w:rsidRDefault="00E5454B" w:rsidP="00E5454B">
      <w:pPr>
        <w:keepNext/>
        <w:tabs>
          <w:tab w:val="left" w:pos="426"/>
        </w:tabs>
        <w:spacing w:before="360" w:after="0" w:line="240" w:lineRule="auto"/>
        <w:ind w:left="227" w:hanging="227"/>
        <w:outlineLvl w:val="0"/>
        <w:rPr>
          <w:rFonts w:eastAsia="Calibri" w:cs="Arial"/>
          <w:b/>
          <w:sz w:val="40"/>
          <w:szCs w:val="40"/>
          <w:lang w:val="en-GB"/>
        </w:rPr>
      </w:pPr>
      <w:bookmarkStart w:id="12" w:name="_Toc181973435"/>
      <w:r w:rsidRPr="008F0149">
        <w:rPr>
          <w:rFonts w:eastAsia="Calibri" w:cs="Arial"/>
          <w:b/>
          <w:sz w:val="40"/>
          <w:szCs w:val="40"/>
          <w:lang w:val="en-GB"/>
        </w:rPr>
        <w:t>Family environment and alternative care</w:t>
      </w:r>
      <w:bookmarkEnd w:id="12"/>
    </w:p>
    <w:p w14:paraId="5B2752DE" w14:textId="2072EDBA" w:rsidR="0032123A" w:rsidRPr="00AF23FE" w:rsidRDefault="00695211" w:rsidP="0032123A">
      <w:pPr>
        <w:pStyle w:val="Heading1"/>
        <w:rPr>
          <w:lang w:val="en-GB"/>
        </w:rPr>
      </w:pPr>
      <w:bookmarkStart w:id="13" w:name="_Toc181973436"/>
      <w:r>
        <w:rPr>
          <w:lang w:val="en-GB"/>
        </w:rPr>
        <w:t xml:space="preserve">Care orders and contact rights </w:t>
      </w:r>
      <w:r w:rsidR="001B3779">
        <w:rPr>
          <w:lang w:val="en-GB"/>
        </w:rPr>
        <w:t>for children in the care of the Child Welfare Services</w:t>
      </w:r>
      <w:bookmarkEnd w:id="13"/>
    </w:p>
    <w:p w14:paraId="1ECB8666" w14:textId="31FD0690" w:rsidR="0032123A" w:rsidRPr="002D520D" w:rsidRDefault="0032123A" w:rsidP="00360D7E">
      <w:pPr>
        <w:spacing w:before="120"/>
        <w:rPr>
          <w:rFonts w:eastAsia="Calibri" w:cs="Arial"/>
          <w:i/>
          <w:lang w:val="en-US"/>
        </w:rPr>
      </w:pPr>
      <w:r w:rsidRPr="008F0149">
        <w:rPr>
          <w:rFonts w:eastAsia="Calibri" w:cs="Times New Roman"/>
          <w:i/>
          <w:lang w:val="en-GB"/>
        </w:rPr>
        <w:t xml:space="preserve">Reference is made to LOIPR 2023: </w:t>
      </w:r>
      <w:r w:rsidR="009D318C">
        <w:rPr>
          <w:rFonts w:eastAsia="Calibri" w:cs="Times New Roman"/>
          <w:i/>
          <w:lang w:val="en-GB"/>
        </w:rPr>
        <w:t>20</w:t>
      </w:r>
    </w:p>
    <w:p w14:paraId="1F4B88D7" w14:textId="46D30546" w:rsidR="00E4129B" w:rsidRDefault="0032123A" w:rsidP="0032123A">
      <w:pPr>
        <w:rPr>
          <w:rFonts w:eastAsia="Calibri" w:cs="Arial"/>
          <w:lang w:val="en-GB"/>
        </w:rPr>
      </w:pPr>
      <w:r w:rsidRPr="00AF23FE">
        <w:rPr>
          <w:rFonts w:eastAsia="Calibri" w:cs="Arial"/>
          <w:lang w:val="en-GB"/>
        </w:rPr>
        <w:t xml:space="preserve">In recent years, </w:t>
      </w:r>
      <w:r w:rsidR="00397C60">
        <w:rPr>
          <w:rFonts w:eastAsia="Calibri" w:cs="Arial"/>
          <w:lang w:val="en-GB"/>
        </w:rPr>
        <w:t xml:space="preserve">there have been several cases </w:t>
      </w:r>
      <w:r w:rsidR="006A4C56">
        <w:rPr>
          <w:rFonts w:eastAsia="Calibri" w:cs="Arial"/>
          <w:lang w:val="en-GB"/>
        </w:rPr>
        <w:t xml:space="preserve">before </w:t>
      </w:r>
      <w:r w:rsidR="00397C60" w:rsidRPr="00AF23FE">
        <w:rPr>
          <w:rFonts w:eastAsia="Calibri" w:cs="Arial"/>
          <w:lang w:val="en-GB"/>
        </w:rPr>
        <w:t>the European Court of Human Rights (ECtHR)</w:t>
      </w:r>
      <w:r w:rsidR="00397C60">
        <w:rPr>
          <w:rFonts w:eastAsia="Calibri" w:cs="Arial"/>
          <w:lang w:val="en-GB"/>
        </w:rPr>
        <w:t xml:space="preserve"> </w:t>
      </w:r>
      <w:r w:rsidR="00A11DD9">
        <w:rPr>
          <w:rFonts w:eastAsia="Calibri" w:cs="Arial"/>
          <w:lang w:val="en-GB"/>
        </w:rPr>
        <w:t xml:space="preserve">concerning </w:t>
      </w:r>
      <w:r w:rsidR="005E54A4">
        <w:rPr>
          <w:rFonts w:eastAsia="Calibri" w:cs="Arial"/>
          <w:lang w:val="en-GB"/>
        </w:rPr>
        <w:t>the</w:t>
      </w:r>
      <w:r w:rsidR="00EE2C5E">
        <w:rPr>
          <w:rFonts w:eastAsia="Calibri" w:cs="Arial"/>
          <w:lang w:val="en-GB"/>
        </w:rPr>
        <w:t xml:space="preserve"> Child Welfare Services </w:t>
      </w:r>
      <w:r w:rsidR="00B5404C">
        <w:rPr>
          <w:rFonts w:eastAsia="Calibri" w:cs="Arial"/>
          <w:lang w:val="en-GB"/>
        </w:rPr>
        <w:t>in Norway</w:t>
      </w:r>
      <w:r w:rsidR="00824B2B">
        <w:rPr>
          <w:rFonts w:eastAsia="Calibri" w:cs="Arial"/>
          <w:lang w:val="en-GB"/>
        </w:rPr>
        <w:t>.</w:t>
      </w:r>
      <w:r w:rsidR="004A6744">
        <w:rPr>
          <w:rFonts w:eastAsia="Calibri" w:cs="Arial"/>
          <w:lang w:val="en-GB"/>
        </w:rPr>
        <w:t xml:space="preserve"> </w:t>
      </w:r>
      <w:r w:rsidR="00392576" w:rsidRPr="007526E4">
        <w:rPr>
          <w:rFonts w:eastAsia="Calibri" w:cs="Arial"/>
          <w:lang w:val="en-GB"/>
        </w:rPr>
        <w:t xml:space="preserve">In several cases, the ECtHR </w:t>
      </w:r>
      <w:r w:rsidR="00392576">
        <w:rPr>
          <w:rFonts w:eastAsia="Calibri" w:cs="Arial"/>
          <w:lang w:val="en-GB"/>
        </w:rPr>
        <w:t xml:space="preserve">determined that the </w:t>
      </w:r>
      <w:r w:rsidR="00D27B82">
        <w:rPr>
          <w:rFonts w:eastAsia="Calibri" w:cs="Arial"/>
          <w:lang w:val="en-GB"/>
        </w:rPr>
        <w:t>Child Welfare Services</w:t>
      </w:r>
      <w:r w:rsidR="00392576">
        <w:rPr>
          <w:rFonts w:eastAsia="Calibri" w:cs="Arial"/>
          <w:lang w:val="en-GB"/>
        </w:rPr>
        <w:t xml:space="preserve"> </w:t>
      </w:r>
      <w:r w:rsidR="00D27B82">
        <w:rPr>
          <w:rFonts w:eastAsia="Calibri" w:cs="Arial"/>
          <w:lang w:val="en-GB"/>
        </w:rPr>
        <w:t>had not made</w:t>
      </w:r>
      <w:r w:rsidR="00D82239">
        <w:rPr>
          <w:rFonts w:eastAsia="Calibri" w:cs="Arial"/>
          <w:lang w:val="en-GB"/>
        </w:rPr>
        <w:t xml:space="preserve"> adequate</w:t>
      </w:r>
      <w:r w:rsidR="00992047">
        <w:rPr>
          <w:rFonts w:eastAsia="Calibri" w:cs="Arial"/>
          <w:lang w:val="en-GB"/>
        </w:rPr>
        <w:t xml:space="preserve"> individual</w:t>
      </w:r>
      <w:r w:rsidR="00D82239">
        <w:rPr>
          <w:rFonts w:eastAsia="Calibri" w:cs="Arial"/>
          <w:lang w:val="en-GB"/>
        </w:rPr>
        <w:t xml:space="preserve"> assessments to justify</w:t>
      </w:r>
      <w:r w:rsidR="003304B3">
        <w:rPr>
          <w:rFonts w:eastAsia="Calibri" w:cs="Arial"/>
          <w:lang w:val="en-GB"/>
        </w:rPr>
        <w:t xml:space="preserve"> </w:t>
      </w:r>
      <w:r w:rsidR="002B5725">
        <w:rPr>
          <w:rFonts w:eastAsia="Calibri" w:cs="Arial"/>
          <w:lang w:val="en-GB"/>
        </w:rPr>
        <w:t>limitations on</w:t>
      </w:r>
      <w:r w:rsidR="00FB2615">
        <w:rPr>
          <w:rFonts w:eastAsia="Calibri" w:cs="Arial"/>
          <w:lang w:val="en-GB"/>
        </w:rPr>
        <w:t xml:space="preserve"> </w:t>
      </w:r>
      <w:r w:rsidR="003304B3" w:rsidRPr="00142E4A">
        <w:rPr>
          <w:rFonts w:eastAsia="Calibri" w:cs="Arial"/>
          <w:lang w:val="en-GB"/>
        </w:rPr>
        <w:t>contact</w:t>
      </w:r>
      <w:r w:rsidR="00CC4D5B">
        <w:rPr>
          <w:rFonts w:eastAsia="Calibri" w:cs="Arial"/>
          <w:lang w:val="en-GB"/>
        </w:rPr>
        <w:t xml:space="preserve"> </w:t>
      </w:r>
      <w:r w:rsidR="003304B3" w:rsidRPr="00142E4A">
        <w:rPr>
          <w:rFonts w:eastAsia="Calibri" w:cs="Arial"/>
          <w:lang w:val="en-GB"/>
        </w:rPr>
        <w:t>between children</w:t>
      </w:r>
      <w:r w:rsidR="003304B3">
        <w:rPr>
          <w:rFonts w:eastAsia="Calibri" w:cs="Arial"/>
          <w:lang w:val="en-GB"/>
        </w:rPr>
        <w:t xml:space="preserve"> and their biological parents</w:t>
      </w:r>
      <w:r w:rsidR="00824B2B">
        <w:rPr>
          <w:rFonts w:eastAsia="Calibri" w:cs="Arial"/>
          <w:lang w:val="en-GB"/>
        </w:rPr>
        <w:t xml:space="preserve">, violating </w:t>
      </w:r>
      <w:r w:rsidR="0049144D" w:rsidRPr="00AF23FE">
        <w:rPr>
          <w:rFonts w:eastAsia="Calibri" w:cs="Arial"/>
          <w:lang w:val="en-GB"/>
        </w:rPr>
        <w:t>Article 8 of the European Convention on Human Rights (ECHR)</w:t>
      </w:r>
      <w:r w:rsidR="00FB2615">
        <w:rPr>
          <w:rFonts w:eastAsia="Calibri" w:cs="Arial"/>
          <w:lang w:val="en-GB"/>
        </w:rPr>
        <w:t>.</w:t>
      </w:r>
    </w:p>
    <w:p w14:paraId="662395DC" w14:textId="69FCB8D4" w:rsidR="00EA10DA" w:rsidRDefault="008A4967" w:rsidP="0032123A">
      <w:pPr>
        <w:rPr>
          <w:rFonts w:eastAsia="Calibri" w:cs="Arial"/>
          <w:lang w:val="en-GB"/>
        </w:rPr>
      </w:pPr>
      <w:r>
        <w:rPr>
          <w:rFonts w:eastAsia="Calibri" w:cs="Arial"/>
          <w:lang w:val="en-GB"/>
        </w:rPr>
        <w:t xml:space="preserve">In most of these cases, the </w:t>
      </w:r>
      <w:r w:rsidR="00FA0714">
        <w:rPr>
          <w:rFonts w:eastAsia="Calibri" w:cs="Arial"/>
          <w:lang w:val="en-GB"/>
        </w:rPr>
        <w:t>Court</w:t>
      </w:r>
      <w:r>
        <w:rPr>
          <w:rFonts w:eastAsia="Calibri" w:cs="Arial"/>
          <w:lang w:val="en-GB"/>
        </w:rPr>
        <w:t xml:space="preserve"> </w:t>
      </w:r>
      <w:r w:rsidR="006E05BA">
        <w:rPr>
          <w:rFonts w:eastAsia="Calibri" w:cs="Arial"/>
          <w:lang w:val="en-GB"/>
        </w:rPr>
        <w:t>did</w:t>
      </w:r>
      <w:r>
        <w:rPr>
          <w:rFonts w:eastAsia="Calibri" w:cs="Arial"/>
          <w:lang w:val="en-GB"/>
        </w:rPr>
        <w:t xml:space="preserve"> not challenge the </w:t>
      </w:r>
      <w:r w:rsidRPr="00E803F4">
        <w:rPr>
          <w:rFonts w:eastAsia="Calibri" w:cs="Arial"/>
          <w:i/>
          <w:iCs/>
          <w:lang w:val="en-GB"/>
        </w:rPr>
        <w:t>threshold</w:t>
      </w:r>
      <w:r>
        <w:rPr>
          <w:rFonts w:eastAsia="Calibri" w:cs="Arial"/>
          <w:lang w:val="en-GB"/>
        </w:rPr>
        <w:t xml:space="preserve"> for issuing </w:t>
      </w:r>
      <w:r w:rsidRPr="00E803F4">
        <w:rPr>
          <w:rFonts w:eastAsia="Calibri" w:cs="Arial"/>
          <w:iCs/>
          <w:lang w:val="en-GB"/>
        </w:rPr>
        <w:t>care orders</w:t>
      </w:r>
      <w:r w:rsidR="004A6744" w:rsidRPr="00E803F4">
        <w:rPr>
          <w:rFonts w:eastAsia="Calibri" w:cs="Arial"/>
          <w:iCs/>
          <w:lang w:val="en-GB"/>
        </w:rPr>
        <w:t xml:space="preserve"> </w:t>
      </w:r>
      <w:r w:rsidR="004A6744">
        <w:rPr>
          <w:rFonts w:eastAsia="Calibri" w:cs="Arial"/>
          <w:lang w:val="en-GB"/>
        </w:rPr>
        <w:t>to remove children</w:t>
      </w:r>
      <w:r w:rsidR="00E0194E">
        <w:rPr>
          <w:rFonts w:eastAsia="Calibri" w:cs="Arial"/>
          <w:lang w:val="en-GB"/>
        </w:rPr>
        <w:t>.</w:t>
      </w:r>
      <w:r w:rsidR="00172192">
        <w:rPr>
          <w:rStyle w:val="FootnoteReference"/>
          <w:rFonts w:eastAsia="Calibri" w:cs="Arial"/>
          <w:lang w:val="en-GB"/>
        </w:rPr>
        <w:footnoteReference w:id="25"/>
      </w:r>
      <w:r w:rsidR="00172192">
        <w:rPr>
          <w:rFonts w:eastAsia="Calibri" w:cs="Arial"/>
          <w:lang w:val="en-GB"/>
        </w:rPr>
        <w:t xml:space="preserve"> </w:t>
      </w:r>
      <w:r w:rsidR="00E0194E">
        <w:rPr>
          <w:rFonts w:eastAsia="Calibri" w:cs="Arial"/>
          <w:lang w:val="en-GB"/>
        </w:rPr>
        <w:t>Furthermore</w:t>
      </w:r>
      <w:r w:rsidR="00812494">
        <w:rPr>
          <w:rFonts w:eastAsia="Calibri" w:cs="Arial"/>
          <w:lang w:val="en-GB"/>
        </w:rPr>
        <w:t xml:space="preserve">, the Court does not necessarily require extensive </w:t>
      </w:r>
      <w:r w:rsidR="00812494" w:rsidRPr="002D520D">
        <w:rPr>
          <w:rFonts w:eastAsia="Calibri" w:cs="Arial"/>
          <w:i/>
          <w:iCs/>
          <w:lang w:val="en-GB"/>
        </w:rPr>
        <w:t>contact arrangements</w:t>
      </w:r>
      <w:r w:rsidR="005B680E">
        <w:rPr>
          <w:rFonts w:eastAsia="Calibri" w:cs="Arial"/>
          <w:lang w:val="en-GB"/>
        </w:rPr>
        <w:t xml:space="preserve"> </w:t>
      </w:r>
      <w:r w:rsidR="002B364B">
        <w:rPr>
          <w:rFonts w:eastAsia="Calibri" w:cs="Arial"/>
          <w:lang w:val="en-GB"/>
        </w:rPr>
        <w:t xml:space="preserve">between children and their parents </w:t>
      </w:r>
      <w:r w:rsidR="005B680E">
        <w:rPr>
          <w:rFonts w:eastAsia="Calibri" w:cs="Arial"/>
          <w:lang w:val="en-GB"/>
        </w:rPr>
        <w:t xml:space="preserve">following </w:t>
      </w:r>
      <w:r w:rsidR="002B364B">
        <w:rPr>
          <w:rFonts w:eastAsia="Calibri" w:cs="Arial"/>
          <w:lang w:val="en-GB"/>
        </w:rPr>
        <w:t>a care order</w:t>
      </w:r>
      <w:r w:rsidR="00172192">
        <w:rPr>
          <w:rFonts w:eastAsia="Calibri" w:cs="Arial"/>
          <w:lang w:val="en-GB"/>
        </w:rPr>
        <w:t>.</w:t>
      </w:r>
      <w:r w:rsidR="00051C78">
        <w:rPr>
          <w:rFonts w:eastAsia="Calibri" w:cs="Arial"/>
          <w:lang w:val="en-GB"/>
        </w:rPr>
        <w:t xml:space="preserve"> The key point is that specific, individualized assessments </w:t>
      </w:r>
      <w:r w:rsidR="009F3A75">
        <w:rPr>
          <w:rFonts w:eastAsia="Calibri" w:cs="Arial"/>
          <w:lang w:val="en-GB"/>
        </w:rPr>
        <w:t xml:space="preserve">should be </w:t>
      </w:r>
      <w:r w:rsidR="00051C78">
        <w:rPr>
          <w:rFonts w:eastAsia="Calibri" w:cs="Arial"/>
          <w:lang w:val="en-GB"/>
        </w:rPr>
        <w:t>made.</w:t>
      </w:r>
    </w:p>
    <w:p w14:paraId="63A86F5E" w14:textId="4EDA1A78" w:rsidR="008022F5" w:rsidRPr="00A3506C" w:rsidRDefault="00AD7D80" w:rsidP="0032123A">
      <w:pPr>
        <w:rPr>
          <w:lang w:val="en-GB"/>
        </w:rPr>
      </w:pPr>
      <w:r w:rsidRPr="002D520D">
        <w:rPr>
          <w:rFonts w:eastAsia="Calibri" w:cs="Arial"/>
          <w:lang w:val="en-US"/>
        </w:rPr>
        <w:t>The Norwegian Directorate for Children, Youth, and Family Affairs’ 2023 annual report shows a trend</w:t>
      </w:r>
      <w:r w:rsidR="00046561" w:rsidRPr="002D520D">
        <w:rPr>
          <w:rFonts w:eastAsia="Calibri" w:cs="Arial"/>
          <w:lang w:val="en-US"/>
        </w:rPr>
        <w:t xml:space="preserve"> </w:t>
      </w:r>
      <w:r w:rsidR="009A444D" w:rsidRPr="002D520D">
        <w:rPr>
          <w:rFonts w:eastAsia="Calibri" w:cs="Arial"/>
          <w:lang w:val="en-US"/>
        </w:rPr>
        <w:t xml:space="preserve">in </w:t>
      </w:r>
      <w:r w:rsidRPr="002D520D">
        <w:rPr>
          <w:rFonts w:eastAsia="Calibri" w:cs="Arial"/>
          <w:lang w:val="en-US"/>
        </w:rPr>
        <w:t>recent years of</w:t>
      </w:r>
      <w:r w:rsidR="009E3D60">
        <w:rPr>
          <w:rFonts w:eastAsia="Calibri" w:cs="Arial"/>
          <w:lang w:val="en-US"/>
        </w:rPr>
        <w:t xml:space="preserve"> a</w:t>
      </w:r>
      <w:r w:rsidR="001E0A47">
        <w:rPr>
          <w:rFonts w:eastAsia="Calibri" w:cs="Arial"/>
          <w:lang w:val="en-US"/>
        </w:rPr>
        <w:t xml:space="preserve"> </w:t>
      </w:r>
      <w:r w:rsidR="00CA6F48" w:rsidRPr="00AF23FE">
        <w:rPr>
          <w:rFonts w:eastAsia="Calibri" w:cs="Arial"/>
          <w:lang w:val="en-GB"/>
        </w:rPr>
        <w:t>decrease in the number of care orders</w:t>
      </w:r>
      <w:r w:rsidR="00CA6F48">
        <w:rPr>
          <w:rFonts w:eastAsia="Calibri" w:cs="Arial"/>
          <w:lang w:val="en-GB"/>
        </w:rPr>
        <w:t xml:space="preserve"> </w:t>
      </w:r>
      <w:r w:rsidR="00A340BA">
        <w:rPr>
          <w:rFonts w:eastAsia="Calibri" w:cs="Arial"/>
          <w:lang w:val="en-GB"/>
        </w:rPr>
        <w:t>issued</w:t>
      </w:r>
      <w:r w:rsidR="003A25EF">
        <w:rPr>
          <w:rFonts w:eastAsia="Calibri" w:cs="Arial"/>
          <w:lang w:val="en-GB"/>
        </w:rPr>
        <w:t xml:space="preserve">, as well as </w:t>
      </w:r>
      <w:r w:rsidR="00A340BA">
        <w:rPr>
          <w:rFonts w:eastAsia="Calibri" w:cs="Arial"/>
          <w:lang w:val="en-GB"/>
        </w:rPr>
        <w:t xml:space="preserve">an </w:t>
      </w:r>
      <w:r w:rsidR="00A340BA" w:rsidRPr="00AF23FE">
        <w:rPr>
          <w:rFonts w:eastAsia="Calibri" w:cs="Arial"/>
          <w:lang w:val="en-GB"/>
        </w:rPr>
        <w:t>increase</w:t>
      </w:r>
      <w:r w:rsidR="00A340BA">
        <w:rPr>
          <w:rFonts w:eastAsia="Calibri" w:cs="Arial"/>
          <w:lang w:val="en-GB"/>
        </w:rPr>
        <w:t xml:space="preserve"> in</w:t>
      </w:r>
      <w:r w:rsidR="003D1D55">
        <w:rPr>
          <w:rFonts w:eastAsia="Calibri" w:cs="Arial"/>
          <w:lang w:val="en-GB"/>
        </w:rPr>
        <w:t xml:space="preserve"> the frequency of</w:t>
      </w:r>
      <w:r w:rsidR="00A340BA" w:rsidRPr="00AF23FE">
        <w:rPr>
          <w:rFonts w:eastAsia="Calibri" w:cs="Arial"/>
          <w:lang w:val="en-GB"/>
        </w:rPr>
        <w:t xml:space="preserve"> </w:t>
      </w:r>
      <w:r w:rsidR="00AB4D98">
        <w:rPr>
          <w:rFonts w:eastAsia="Calibri" w:cs="Arial"/>
          <w:lang w:val="en-GB"/>
        </w:rPr>
        <w:t xml:space="preserve">parental </w:t>
      </w:r>
      <w:r w:rsidR="00A340BA" w:rsidRPr="00AF23FE">
        <w:rPr>
          <w:rFonts w:eastAsia="Calibri" w:cs="Arial"/>
          <w:lang w:val="en-GB"/>
        </w:rPr>
        <w:t xml:space="preserve">contact </w:t>
      </w:r>
      <w:r w:rsidR="000A076C">
        <w:rPr>
          <w:rFonts w:eastAsia="Calibri" w:cs="Arial"/>
          <w:lang w:val="en-GB"/>
        </w:rPr>
        <w:t>following a care order</w:t>
      </w:r>
      <w:r w:rsidR="001B4F38">
        <w:rPr>
          <w:rFonts w:eastAsia="Calibri" w:cs="Arial"/>
          <w:lang w:val="en-GB"/>
        </w:rPr>
        <w:t>.</w:t>
      </w:r>
      <w:r w:rsidR="0032123A" w:rsidRPr="00AF23FE">
        <w:rPr>
          <w:rStyle w:val="FootnoteReference"/>
          <w:rFonts w:eastAsia="Calibri" w:cs="Arial"/>
          <w:lang w:val="en-GB"/>
        </w:rPr>
        <w:footnoteReference w:id="26"/>
      </w:r>
      <w:r w:rsidR="0032123A" w:rsidRPr="00AF23FE">
        <w:rPr>
          <w:rFonts w:eastAsia="Calibri" w:cs="Arial"/>
          <w:lang w:val="en-GB"/>
        </w:rPr>
        <w:t xml:space="preserve"> </w:t>
      </w:r>
      <w:r w:rsidR="00B50638" w:rsidRPr="006C7CAD">
        <w:rPr>
          <w:rFonts w:eastAsia="Calibri" w:cs="Arial"/>
          <w:lang w:val="en-US"/>
        </w:rPr>
        <w:t>A recent study</w:t>
      </w:r>
      <w:r w:rsidR="00721A6F" w:rsidRPr="006C7CAD">
        <w:rPr>
          <w:rFonts w:eastAsia="Calibri" w:cs="Arial"/>
          <w:lang w:val="en-US"/>
        </w:rPr>
        <w:t xml:space="preserve"> </w:t>
      </w:r>
      <w:r w:rsidR="007153C4" w:rsidRPr="006C7CAD">
        <w:rPr>
          <w:rFonts w:eastAsia="Calibri" w:cs="Arial"/>
          <w:lang w:val="en-US"/>
        </w:rPr>
        <w:t xml:space="preserve">shows that certain decisions raise questions about whether the goal of reunification could, and should, have been abandoned in more instances. The fact that the reunification goal is still maintained, even when reunification appears unlikely and despite strong, exceptional reasons, may result in some children experiencing more contact than </w:t>
      </w:r>
      <w:r w:rsidR="008022AD">
        <w:rPr>
          <w:rFonts w:eastAsia="Calibri" w:cs="Arial"/>
          <w:lang w:val="en-US"/>
        </w:rPr>
        <w:t xml:space="preserve">what </w:t>
      </w:r>
      <w:r w:rsidR="007153C4" w:rsidRPr="006C7CAD">
        <w:rPr>
          <w:rFonts w:eastAsia="Calibri" w:cs="Arial"/>
          <w:lang w:val="en-US"/>
        </w:rPr>
        <w:t>is in their best interests.</w:t>
      </w:r>
      <w:r w:rsidR="0032123A" w:rsidRPr="00AF23FE">
        <w:rPr>
          <w:rFonts w:eastAsia="Calibri" w:cs="Arial"/>
          <w:lang w:val="en-GB"/>
        </w:rPr>
        <w:t xml:space="preserve"> </w:t>
      </w:r>
      <w:r w:rsidR="00FD7B6F" w:rsidRPr="002D520D">
        <w:rPr>
          <w:rFonts w:eastAsia="Calibri" w:cs="Arial"/>
          <w:lang w:val="en-US"/>
        </w:rPr>
        <w:t xml:space="preserve">While we refrain from making definitive statements about the causes of this development, </w:t>
      </w:r>
      <w:r w:rsidR="00AD6ACA">
        <w:rPr>
          <w:rFonts w:eastAsia="Calibri" w:cs="Arial"/>
          <w:lang w:val="en-GB"/>
        </w:rPr>
        <w:t>t</w:t>
      </w:r>
      <w:r w:rsidR="00677E78">
        <w:rPr>
          <w:rFonts w:eastAsia="Calibri" w:cs="Arial"/>
          <w:lang w:val="en-GB"/>
        </w:rPr>
        <w:t>he NHRI is concerned</w:t>
      </w:r>
      <w:r w:rsidR="0032123A" w:rsidRPr="00AF23FE">
        <w:rPr>
          <w:rFonts w:eastAsia="Calibri" w:cs="Arial"/>
          <w:lang w:val="en-GB"/>
        </w:rPr>
        <w:t xml:space="preserve"> that </w:t>
      </w:r>
      <w:r w:rsidR="00F96BFC">
        <w:rPr>
          <w:rFonts w:eastAsia="Calibri" w:cs="Arial"/>
          <w:lang w:val="en-GB"/>
        </w:rPr>
        <w:t>this</w:t>
      </w:r>
      <w:r w:rsidR="00F5725D">
        <w:rPr>
          <w:rFonts w:eastAsia="Calibri" w:cs="Arial"/>
          <w:lang w:val="en-GB"/>
        </w:rPr>
        <w:t xml:space="preserve"> could</w:t>
      </w:r>
      <w:r w:rsidR="00F96BFC">
        <w:rPr>
          <w:rFonts w:eastAsia="Calibri" w:cs="Arial"/>
          <w:lang w:val="en-GB"/>
        </w:rPr>
        <w:t xml:space="preserve"> </w:t>
      </w:r>
      <w:r w:rsidR="00962D7D">
        <w:rPr>
          <w:rFonts w:eastAsia="Calibri" w:cs="Arial"/>
          <w:lang w:val="en-GB"/>
        </w:rPr>
        <w:t xml:space="preserve">partly </w:t>
      </w:r>
      <w:r w:rsidR="0030035F">
        <w:rPr>
          <w:rFonts w:eastAsia="Calibri" w:cs="Arial"/>
          <w:lang w:val="en-GB"/>
        </w:rPr>
        <w:t xml:space="preserve">stem from </w:t>
      </w:r>
      <w:r w:rsidR="0032123A" w:rsidRPr="00AF23FE">
        <w:rPr>
          <w:rFonts w:eastAsia="Calibri" w:cs="Arial"/>
          <w:lang w:val="en-GB"/>
        </w:rPr>
        <w:t>a</w:t>
      </w:r>
      <w:r w:rsidR="00B2237C">
        <w:rPr>
          <w:rFonts w:eastAsia="Calibri" w:cs="Arial"/>
          <w:lang w:val="en-GB"/>
        </w:rPr>
        <w:t xml:space="preserve"> </w:t>
      </w:r>
      <w:r w:rsidR="00B2237C" w:rsidRPr="006C7CAD">
        <w:rPr>
          <w:rFonts w:eastAsia="Calibri" w:cs="Arial"/>
          <w:i/>
          <w:iCs/>
          <w:lang w:val="en-GB"/>
        </w:rPr>
        <w:t>mis</w:t>
      </w:r>
      <w:r w:rsidR="0032123A" w:rsidRPr="006C7CAD">
        <w:rPr>
          <w:rFonts w:eastAsia="Calibri" w:cs="Arial"/>
          <w:i/>
          <w:iCs/>
          <w:lang w:val="en-GB"/>
        </w:rPr>
        <w:t>interpretation</w:t>
      </w:r>
      <w:r w:rsidR="0032123A" w:rsidRPr="00AF23FE">
        <w:rPr>
          <w:rFonts w:eastAsia="Calibri" w:cs="Arial"/>
          <w:lang w:val="en-GB"/>
        </w:rPr>
        <w:t xml:space="preserve"> of the ECtHR rulings</w:t>
      </w:r>
      <w:r w:rsidR="00721D60">
        <w:rPr>
          <w:rFonts w:eastAsia="Calibri" w:cs="Arial"/>
          <w:lang w:val="en-GB"/>
        </w:rPr>
        <w:t>.</w:t>
      </w:r>
      <w:r w:rsidR="00472511" w:rsidRPr="00472511">
        <w:rPr>
          <w:lang w:val="en-GB"/>
        </w:rPr>
        <w:t xml:space="preserve"> </w:t>
      </w:r>
      <w:r w:rsidR="00472511">
        <w:rPr>
          <w:lang w:val="en-GB"/>
        </w:rPr>
        <w:t xml:space="preserve">There seems to be a </w:t>
      </w:r>
      <w:r w:rsidR="00472511" w:rsidRPr="002D520D">
        <w:rPr>
          <w:lang w:val="en-GB"/>
        </w:rPr>
        <w:t xml:space="preserve">wrongful impression </w:t>
      </w:r>
      <w:r w:rsidR="006A2E1F">
        <w:rPr>
          <w:lang w:val="en-GB"/>
        </w:rPr>
        <w:lastRenderedPageBreak/>
        <w:t xml:space="preserve">among </w:t>
      </w:r>
      <w:r w:rsidR="00EF1ECB">
        <w:rPr>
          <w:lang w:val="en-GB"/>
        </w:rPr>
        <w:t xml:space="preserve">many actors </w:t>
      </w:r>
      <w:r w:rsidR="00472511" w:rsidRPr="002D520D">
        <w:rPr>
          <w:lang w:val="en-GB"/>
        </w:rPr>
        <w:t>that the rulings require a</w:t>
      </w:r>
      <w:r w:rsidR="00472511">
        <w:rPr>
          <w:lang w:val="en-GB"/>
        </w:rPr>
        <w:t>n overall</w:t>
      </w:r>
      <w:r w:rsidR="00472511" w:rsidRPr="002D520D">
        <w:rPr>
          <w:lang w:val="en-GB"/>
        </w:rPr>
        <w:t xml:space="preserve"> reduction in care orders and more extensive contact regimes</w:t>
      </w:r>
      <w:r w:rsidR="00F13683">
        <w:rPr>
          <w:lang w:val="en-GB"/>
        </w:rPr>
        <w:t>, which is not the case</w:t>
      </w:r>
      <w:r w:rsidR="00472511" w:rsidRPr="002D520D">
        <w:rPr>
          <w:lang w:val="en-GB"/>
        </w:rPr>
        <w:t>.</w:t>
      </w:r>
    </w:p>
    <w:p w14:paraId="775C964A" w14:textId="27A53B7A" w:rsidR="008F0149" w:rsidRPr="008F0149" w:rsidRDefault="008F0149" w:rsidP="0032123A">
      <w:pPr>
        <w:rPr>
          <w:rFonts w:eastAsia="Calibri" w:cs="Arial"/>
          <w:b/>
          <w:bCs/>
          <w:lang w:val="en-GB"/>
        </w:rPr>
      </w:pPr>
      <w:r w:rsidRPr="008F0149">
        <w:rPr>
          <w:rFonts w:eastAsia="Calibri" w:cs="Arial"/>
          <w:b/>
          <w:bCs/>
          <w:lang w:val="en-GB"/>
        </w:rPr>
        <w:t>Suggested recommendation</w:t>
      </w:r>
      <w:r w:rsidR="00D3059A">
        <w:rPr>
          <w:rFonts w:eastAsia="Calibri" w:cs="Arial"/>
          <w:b/>
          <w:bCs/>
          <w:lang w:val="en-GB"/>
        </w:rPr>
        <w:t>s</w:t>
      </w:r>
      <w:r w:rsidRPr="008F0149">
        <w:rPr>
          <w:rFonts w:eastAsia="Calibri" w:cs="Arial"/>
          <w:b/>
          <w:bCs/>
          <w:lang w:val="en-GB"/>
        </w:rPr>
        <w:t>:</w:t>
      </w:r>
    </w:p>
    <w:p w14:paraId="67136172" w14:textId="0B1C2824" w:rsidR="0032123A" w:rsidRPr="00402CAE" w:rsidRDefault="0032123A" w:rsidP="00402CAE">
      <w:pPr>
        <w:pStyle w:val="ListParagraph"/>
        <w:numPr>
          <w:ilvl w:val="0"/>
          <w:numId w:val="37"/>
        </w:numPr>
        <w:spacing w:before="0"/>
        <w:rPr>
          <w:rFonts w:eastAsia="Calibri" w:cs="Arial"/>
          <w:lang w:val="en-GB"/>
        </w:rPr>
      </w:pPr>
      <w:r w:rsidRPr="00AF23FE">
        <w:rPr>
          <w:rFonts w:eastAsia="Calibri" w:cs="Arial"/>
          <w:lang w:val="en-GB"/>
        </w:rPr>
        <w:t xml:space="preserve">The State Party should </w:t>
      </w:r>
      <w:r w:rsidR="006F59AF">
        <w:rPr>
          <w:rFonts w:eastAsia="Calibri" w:cs="Arial"/>
          <w:lang w:val="en-GB"/>
        </w:rPr>
        <w:t>closely</w:t>
      </w:r>
      <w:r w:rsidR="00A2564C">
        <w:rPr>
          <w:rFonts w:eastAsia="Calibri" w:cs="Arial"/>
          <w:lang w:val="en-GB"/>
        </w:rPr>
        <w:t xml:space="preserve"> monitor the development</w:t>
      </w:r>
      <w:r w:rsidR="00B95B3D">
        <w:rPr>
          <w:rFonts w:eastAsia="Calibri" w:cs="Arial"/>
          <w:lang w:val="en-GB"/>
        </w:rPr>
        <w:t xml:space="preserve"> </w:t>
      </w:r>
      <w:r w:rsidR="00BD3BA3">
        <w:rPr>
          <w:rFonts w:eastAsia="Calibri" w:cs="Arial"/>
          <w:lang w:val="en-GB"/>
        </w:rPr>
        <w:t>of</w:t>
      </w:r>
      <w:r w:rsidR="00402CAE">
        <w:rPr>
          <w:rFonts w:eastAsia="Calibri" w:cs="Arial"/>
          <w:lang w:val="en-GB"/>
        </w:rPr>
        <w:t xml:space="preserve"> </w:t>
      </w:r>
      <w:r w:rsidR="00547BE5">
        <w:rPr>
          <w:rFonts w:eastAsia="Calibri" w:cs="Arial"/>
          <w:lang w:val="en-GB"/>
        </w:rPr>
        <w:t xml:space="preserve">both </w:t>
      </w:r>
      <w:r w:rsidRPr="00402CAE">
        <w:rPr>
          <w:rFonts w:eastAsia="Calibri" w:cs="Arial"/>
          <w:lang w:val="en-GB"/>
        </w:rPr>
        <w:t xml:space="preserve">care orders </w:t>
      </w:r>
      <w:r w:rsidR="00547BE5">
        <w:rPr>
          <w:rFonts w:eastAsia="Calibri" w:cs="Arial"/>
          <w:lang w:val="en-GB"/>
        </w:rPr>
        <w:t xml:space="preserve">and subsequent contact with parents </w:t>
      </w:r>
      <w:r w:rsidRPr="00402CAE">
        <w:rPr>
          <w:rFonts w:eastAsia="Calibri" w:cs="Arial"/>
          <w:lang w:val="en-GB"/>
        </w:rPr>
        <w:t>to ensure that child</w:t>
      </w:r>
      <w:r w:rsidR="00547BE5">
        <w:rPr>
          <w:rFonts w:eastAsia="Calibri" w:cs="Arial"/>
          <w:lang w:val="en-GB"/>
        </w:rPr>
        <w:t>ren</w:t>
      </w:r>
      <w:r w:rsidRPr="00402CAE">
        <w:rPr>
          <w:rFonts w:eastAsia="Calibri" w:cs="Arial"/>
          <w:lang w:val="en-GB"/>
        </w:rPr>
        <w:t>'s right</w:t>
      </w:r>
      <w:r w:rsidR="00547BE5">
        <w:rPr>
          <w:rFonts w:eastAsia="Calibri" w:cs="Arial"/>
          <w:lang w:val="en-GB"/>
        </w:rPr>
        <w:t>s</w:t>
      </w:r>
      <w:r w:rsidR="00263ACF">
        <w:rPr>
          <w:rFonts w:eastAsia="Calibri" w:cs="Arial"/>
          <w:lang w:val="en-GB"/>
        </w:rPr>
        <w:t xml:space="preserve"> </w:t>
      </w:r>
      <w:r w:rsidR="00547BE5">
        <w:rPr>
          <w:rFonts w:eastAsia="Calibri" w:cs="Arial"/>
          <w:lang w:val="en-GB"/>
        </w:rPr>
        <w:t xml:space="preserve">are </w:t>
      </w:r>
      <w:r w:rsidR="00011ED2">
        <w:rPr>
          <w:rFonts w:eastAsia="Calibri" w:cs="Arial"/>
          <w:lang w:val="en-GB"/>
        </w:rPr>
        <w:t>fully</w:t>
      </w:r>
      <w:r w:rsidR="00011ED2" w:rsidRPr="00402CAE">
        <w:rPr>
          <w:rFonts w:eastAsia="Calibri" w:cs="Arial"/>
          <w:lang w:val="en-GB"/>
        </w:rPr>
        <w:t xml:space="preserve"> </w:t>
      </w:r>
      <w:r w:rsidRPr="00402CAE">
        <w:rPr>
          <w:rFonts w:eastAsia="Calibri" w:cs="Arial"/>
          <w:lang w:val="en-GB"/>
        </w:rPr>
        <w:t>safeguarded.</w:t>
      </w:r>
    </w:p>
    <w:p w14:paraId="1BD5C0FD" w14:textId="43EF6DE1" w:rsidR="00D14FE3" w:rsidRPr="000E70B9" w:rsidRDefault="00D14FE3" w:rsidP="00D14FE3">
      <w:pPr>
        <w:pStyle w:val="ListParagraph"/>
        <w:numPr>
          <w:ilvl w:val="0"/>
          <w:numId w:val="37"/>
        </w:numPr>
        <w:spacing w:before="0"/>
        <w:rPr>
          <w:rFonts w:eastAsia="Calibri" w:cs="Arial"/>
          <w:lang w:val="en-US"/>
        </w:rPr>
      </w:pPr>
      <w:r w:rsidRPr="00D14FE3">
        <w:rPr>
          <w:rFonts w:eastAsia="Calibri" w:cs="Arial"/>
          <w:lang w:val="en-US"/>
        </w:rPr>
        <w:t xml:space="preserve">The </w:t>
      </w:r>
      <w:r>
        <w:rPr>
          <w:rFonts w:eastAsia="Calibri" w:cs="Arial"/>
          <w:lang w:val="en-US"/>
        </w:rPr>
        <w:t>State Party</w:t>
      </w:r>
      <w:r w:rsidRPr="00D14FE3">
        <w:rPr>
          <w:rFonts w:eastAsia="Calibri" w:cs="Arial"/>
          <w:lang w:val="en-US"/>
        </w:rPr>
        <w:t xml:space="preserve"> should ensure adequate training and guidance on the content of the ECtHR’s judgments against Norway in child welfare cases, to </w:t>
      </w:r>
      <w:r w:rsidR="00175240">
        <w:rPr>
          <w:rFonts w:eastAsia="Calibri" w:cs="Arial"/>
          <w:lang w:val="en-US"/>
        </w:rPr>
        <w:t xml:space="preserve">ensure </w:t>
      </w:r>
      <w:r w:rsidR="00421ECB">
        <w:rPr>
          <w:rFonts w:eastAsia="Calibri" w:cs="Arial"/>
          <w:lang w:val="en-US"/>
        </w:rPr>
        <w:t>that they are</w:t>
      </w:r>
      <w:r w:rsidR="00175240">
        <w:rPr>
          <w:rFonts w:eastAsia="Calibri" w:cs="Arial"/>
          <w:lang w:val="en-US"/>
        </w:rPr>
        <w:t xml:space="preserve"> </w:t>
      </w:r>
      <w:r w:rsidR="00421ECB">
        <w:rPr>
          <w:rFonts w:eastAsia="Calibri" w:cs="Arial"/>
          <w:lang w:val="en-US"/>
        </w:rPr>
        <w:t>implemented correctly and to</w:t>
      </w:r>
      <w:r w:rsidRPr="00D14FE3">
        <w:rPr>
          <w:rFonts w:eastAsia="Calibri" w:cs="Arial"/>
          <w:lang w:val="en-US"/>
        </w:rPr>
        <w:t xml:space="preserve"> prevent these judgments from being </w:t>
      </w:r>
      <w:r w:rsidR="009552D1">
        <w:rPr>
          <w:rFonts w:eastAsia="Calibri" w:cs="Arial"/>
          <w:lang w:val="en-US"/>
        </w:rPr>
        <w:t>mis</w:t>
      </w:r>
      <w:r w:rsidRPr="00D14FE3">
        <w:rPr>
          <w:rFonts w:eastAsia="Calibri" w:cs="Arial"/>
          <w:lang w:val="en-US"/>
        </w:rPr>
        <w:t xml:space="preserve">interpreted </w:t>
      </w:r>
      <w:r w:rsidR="006E1501">
        <w:rPr>
          <w:rFonts w:eastAsia="Calibri" w:cs="Arial"/>
          <w:lang w:val="en-US"/>
        </w:rPr>
        <w:t xml:space="preserve">to apply </w:t>
      </w:r>
      <w:r w:rsidRPr="00D14FE3">
        <w:rPr>
          <w:rFonts w:eastAsia="Calibri" w:cs="Arial"/>
          <w:lang w:val="en-US"/>
        </w:rPr>
        <w:t>more broadly than intended.</w:t>
      </w:r>
    </w:p>
    <w:p w14:paraId="07FE8955" w14:textId="1DDC635B" w:rsidR="0032123A" w:rsidRPr="00AF23FE" w:rsidRDefault="0032123A" w:rsidP="0032123A">
      <w:pPr>
        <w:pStyle w:val="Heading1"/>
        <w:rPr>
          <w:lang w:val="en-GB"/>
        </w:rPr>
      </w:pPr>
      <w:bookmarkStart w:id="14" w:name="_Toc181973437"/>
      <w:r w:rsidRPr="00AF23FE">
        <w:rPr>
          <w:lang w:val="en-GB"/>
        </w:rPr>
        <w:t>Intercountry adoption, investigation of procedures, safeguards and wrongful removal</w:t>
      </w:r>
      <w:bookmarkEnd w:id="14"/>
    </w:p>
    <w:p w14:paraId="2421A848" w14:textId="30845532" w:rsidR="0032123A" w:rsidRPr="008F0149" w:rsidRDefault="0032123A" w:rsidP="00360D7E">
      <w:pPr>
        <w:spacing w:before="120"/>
        <w:rPr>
          <w:rFonts w:eastAsia="Calibri" w:cs="Times New Roman"/>
          <w:b/>
          <w:i/>
          <w:lang w:val="en-GB"/>
        </w:rPr>
      </w:pPr>
      <w:r w:rsidRPr="008F0149">
        <w:rPr>
          <w:rFonts w:eastAsia="Calibri" w:cs="Times New Roman"/>
          <w:i/>
          <w:lang w:val="en-GB"/>
        </w:rPr>
        <w:t>Reference is made to LOIPR 2023: 20 (c</w:t>
      </w:r>
      <w:r w:rsidRPr="008F0149">
        <w:rPr>
          <w:rFonts w:eastAsia="Calibri" w:cs="Times New Roman"/>
          <w:i/>
          <w:iCs/>
          <w:lang w:val="en-GB"/>
        </w:rPr>
        <w:t>)</w:t>
      </w:r>
    </w:p>
    <w:p w14:paraId="3A41A4F4" w14:textId="647055B0" w:rsidR="0032123A" w:rsidRPr="00AF23FE" w:rsidRDefault="0032123A" w:rsidP="0032123A">
      <w:pPr>
        <w:rPr>
          <w:rFonts w:eastAsia="Calibri" w:cs="Arial"/>
          <w:lang w:val="en-GB"/>
        </w:rPr>
      </w:pPr>
      <w:r w:rsidRPr="00AF23FE">
        <w:rPr>
          <w:rFonts w:eastAsia="Calibri" w:cs="Arial"/>
          <w:lang w:val="en-GB"/>
        </w:rPr>
        <w:t>In the wake of several media reports on potential illegal intercountry adoptions to Norway, the Ministry of Children and Families has established an independent committee to investigate these allegations, which is set to deliver their findings before the end of 2025.</w:t>
      </w:r>
      <w:r w:rsidRPr="00AF23FE">
        <w:rPr>
          <w:rFonts w:eastAsia="Calibri" w:cs="Arial"/>
          <w:color w:val="333333"/>
          <w:vertAlign w:val="superscript"/>
          <w:lang w:val="en-GB"/>
        </w:rPr>
        <w:footnoteReference w:id="27"/>
      </w:r>
      <w:r w:rsidRPr="00AF23FE">
        <w:rPr>
          <w:rFonts w:eastAsia="Calibri" w:cs="Arial"/>
          <w:lang w:val="en-GB"/>
        </w:rPr>
        <w:t xml:space="preserve"> The main question being considered by the committee is whether the Norwegian authorities have had sufficient control over international adoptions</w:t>
      </w:r>
      <w:r w:rsidR="00380D50">
        <w:rPr>
          <w:rFonts w:eastAsia="Calibri" w:cs="Arial"/>
          <w:lang w:val="en-GB"/>
        </w:rPr>
        <w:t>. The purpose is</w:t>
      </w:r>
      <w:r w:rsidRPr="00AF23FE">
        <w:rPr>
          <w:rFonts w:eastAsia="Calibri" w:cs="Arial"/>
          <w:lang w:val="en-GB"/>
        </w:rPr>
        <w:t xml:space="preserve"> to learn from any weaknesses in the system. </w:t>
      </w:r>
      <w:r w:rsidR="00EA6EBC">
        <w:rPr>
          <w:rFonts w:eastAsia="Calibri" w:cs="Arial"/>
          <w:lang w:val="en-GB"/>
        </w:rPr>
        <w:t>However, i</w:t>
      </w:r>
      <w:r w:rsidRPr="00AF23FE">
        <w:rPr>
          <w:rFonts w:eastAsia="Calibri" w:cs="Arial"/>
          <w:lang w:val="en-GB"/>
        </w:rPr>
        <w:t xml:space="preserve">f the committee identifies illegal intercountry adoptions, </w:t>
      </w:r>
      <w:r w:rsidR="0041078F">
        <w:rPr>
          <w:rFonts w:eastAsia="Calibri" w:cs="Arial"/>
          <w:lang w:val="en-GB"/>
        </w:rPr>
        <w:t xml:space="preserve">victims of such </w:t>
      </w:r>
      <w:r w:rsidRPr="00AF23FE">
        <w:rPr>
          <w:rFonts w:eastAsia="Calibri" w:cs="Arial"/>
          <w:lang w:val="en-GB"/>
        </w:rPr>
        <w:t xml:space="preserve">human rights violations must </w:t>
      </w:r>
      <w:r w:rsidR="00FD21B3">
        <w:rPr>
          <w:rFonts w:eastAsia="Calibri" w:cs="Arial"/>
          <w:lang w:val="en-GB"/>
        </w:rPr>
        <w:t xml:space="preserve">also </w:t>
      </w:r>
      <w:r w:rsidR="007E410E">
        <w:rPr>
          <w:rFonts w:eastAsia="Calibri" w:cs="Arial"/>
          <w:lang w:val="en-GB"/>
        </w:rPr>
        <w:t xml:space="preserve">have </w:t>
      </w:r>
      <w:r w:rsidR="00743C36">
        <w:rPr>
          <w:rFonts w:eastAsia="Calibri" w:cs="Arial"/>
          <w:lang w:val="en-GB"/>
        </w:rPr>
        <w:t>a right</w:t>
      </w:r>
      <w:r w:rsidR="007E410E">
        <w:rPr>
          <w:rFonts w:eastAsia="Calibri" w:cs="Arial"/>
          <w:lang w:val="en-GB"/>
        </w:rPr>
        <w:t xml:space="preserve"> to reparation</w:t>
      </w:r>
      <w:r w:rsidRPr="00AF23FE">
        <w:rPr>
          <w:rFonts w:eastAsia="Calibri" w:cs="Arial"/>
          <w:lang w:val="en-GB"/>
        </w:rPr>
        <w:t>.</w:t>
      </w:r>
    </w:p>
    <w:p w14:paraId="4D9AD211" w14:textId="4BA024CF" w:rsidR="008F0149" w:rsidRPr="008F0149" w:rsidRDefault="008F0149" w:rsidP="0032123A">
      <w:pPr>
        <w:rPr>
          <w:rFonts w:eastAsia="Calibri" w:cs="Arial"/>
          <w:b/>
          <w:bCs/>
          <w:lang w:val="en-GB"/>
        </w:rPr>
      </w:pPr>
      <w:r w:rsidRPr="008F0149">
        <w:rPr>
          <w:rFonts w:eastAsia="Calibri" w:cs="Arial"/>
          <w:b/>
          <w:bCs/>
          <w:lang w:val="en-GB"/>
        </w:rPr>
        <w:t>Suggested recommendation:</w:t>
      </w:r>
    </w:p>
    <w:p w14:paraId="0361F378" w14:textId="63A2D367" w:rsidR="0032123A" w:rsidRPr="00AF23FE" w:rsidRDefault="0032123A" w:rsidP="0032123A">
      <w:pPr>
        <w:numPr>
          <w:ilvl w:val="0"/>
          <w:numId w:val="32"/>
        </w:numPr>
        <w:spacing w:before="120"/>
        <w:contextualSpacing/>
        <w:rPr>
          <w:rFonts w:eastAsia="Calibri" w:cs="Arial"/>
          <w:lang w:val="en-GB"/>
        </w:rPr>
      </w:pPr>
      <w:r w:rsidRPr="00AF23FE">
        <w:rPr>
          <w:rFonts w:eastAsia="Calibri" w:cs="Arial"/>
          <w:lang w:val="en-GB"/>
        </w:rPr>
        <w:t xml:space="preserve">The State Party should ensure effective remedies and reparations for victims of illegal intercountry adoptions. </w:t>
      </w:r>
    </w:p>
    <w:p w14:paraId="48FC5C85" w14:textId="77777777" w:rsidR="0032123A" w:rsidRPr="008F0149" w:rsidRDefault="0032123A" w:rsidP="0032123A">
      <w:pPr>
        <w:keepNext/>
        <w:tabs>
          <w:tab w:val="left" w:pos="426"/>
        </w:tabs>
        <w:spacing w:before="360" w:after="0" w:line="240" w:lineRule="auto"/>
        <w:ind w:left="227" w:hanging="227"/>
        <w:outlineLvl w:val="0"/>
        <w:rPr>
          <w:rFonts w:eastAsia="Calibri" w:cs="Arial"/>
          <w:b/>
          <w:sz w:val="40"/>
          <w:szCs w:val="40"/>
          <w:lang w:val="en-GB"/>
        </w:rPr>
      </w:pPr>
      <w:bookmarkStart w:id="15" w:name="_Toc181973438"/>
      <w:r w:rsidRPr="008F0149">
        <w:rPr>
          <w:rFonts w:eastAsia="Calibri" w:cs="Arial"/>
          <w:b/>
          <w:sz w:val="40"/>
          <w:szCs w:val="40"/>
          <w:lang w:val="en-GB"/>
        </w:rPr>
        <w:t>Children with disabilities</w:t>
      </w:r>
      <w:bookmarkEnd w:id="15"/>
    </w:p>
    <w:p w14:paraId="14763E33" w14:textId="2DFB1CD5" w:rsidR="0032123A" w:rsidRPr="00AF23FE" w:rsidRDefault="003B0922" w:rsidP="0032123A">
      <w:pPr>
        <w:pStyle w:val="Heading1"/>
        <w:rPr>
          <w:lang w:val="en-GB"/>
        </w:rPr>
      </w:pPr>
      <w:bookmarkStart w:id="16" w:name="_Toc181973439"/>
      <w:r>
        <w:rPr>
          <w:lang w:val="en-GB"/>
        </w:rPr>
        <w:t>Monitoring</w:t>
      </w:r>
      <w:r w:rsidR="000A7588">
        <w:rPr>
          <w:lang w:val="en-GB"/>
        </w:rPr>
        <w:t xml:space="preserve"> of the </w:t>
      </w:r>
      <w:r w:rsidR="00584BF9">
        <w:rPr>
          <w:lang w:val="en-GB"/>
        </w:rPr>
        <w:t>care provided to</w:t>
      </w:r>
      <w:r w:rsidR="000A7588">
        <w:rPr>
          <w:lang w:val="en-GB"/>
        </w:rPr>
        <w:t xml:space="preserve"> children living in respite care homes</w:t>
      </w:r>
      <w:bookmarkEnd w:id="16"/>
    </w:p>
    <w:p w14:paraId="173CE2E0" w14:textId="10D3E04E" w:rsidR="0032123A" w:rsidRDefault="0032123A" w:rsidP="00360D7E">
      <w:pPr>
        <w:spacing w:before="120"/>
        <w:rPr>
          <w:rFonts w:eastAsia="Calibri" w:cs="Times New Roman"/>
          <w:i/>
          <w:iCs/>
          <w:lang w:val="en-GB"/>
        </w:rPr>
      </w:pPr>
      <w:r w:rsidRPr="008F0149">
        <w:rPr>
          <w:rFonts w:eastAsia="Calibri" w:cs="Times New Roman"/>
          <w:i/>
          <w:lang w:val="en-GB"/>
        </w:rPr>
        <w:t>Reference is made to LOIPR 2023: 22</w:t>
      </w:r>
      <w:r w:rsidR="00BE50B9">
        <w:rPr>
          <w:rFonts w:eastAsia="Calibri" w:cs="Times New Roman"/>
          <w:i/>
          <w:lang w:val="en-GB"/>
        </w:rPr>
        <w:t>(b)</w:t>
      </w:r>
      <w:r w:rsidRPr="008F0149">
        <w:rPr>
          <w:rFonts w:eastAsia="Calibri" w:cs="Times New Roman"/>
          <w:i/>
          <w:lang w:val="en-GB"/>
        </w:rPr>
        <w:t xml:space="preserve"> and 5</w:t>
      </w:r>
    </w:p>
    <w:p w14:paraId="4FB78569" w14:textId="6C1C29CA" w:rsidR="00682DB3" w:rsidRDefault="00B87FE9" w:rsidP="00B77DF1">
      <w:pPr>
        <w:spacing w:before="120"/>
        <w:rPr>
          <w:rFonts w:eastAsia="Calibri" w:cs="Times New Roman"/>
          <w:lang w:val="en-GB"/>
        </w:rPr>
      </w:pPr>
      <w:r>
        <w:rPr>
          <w:rFonts w:eastAsia="Calibri" w:cs="Times New Roman"/>
          <w:lang w:val="en-GB"/>
        </w:rPr>
        <w:lastRenderedPageBreak/>
        <w:t xml:space="preserve">In 2021 the Office of the Auditor General in Norway concluded that there are large variations between municipalities in </w:t>
      </w:r>
      <w:r w:rsidR="009057C8">
        <w:rPr>
          <w:rFonts w:eastAsia="Calibri" w:cs="Times New Roman"/>
          <w:lang w:val="en-GB"/>
        </w:rPr>
        <w:t xml:space="preserve">the provision of </w:t>
      </w:r>
      <w:r>
        <w:rPr>
          <w:rFonts w:eastAsia="Calibri" w:cs="Times New Roman"/>
          <w:lang w:val="en-GB"/>
        </w:rPr>
        <w:t>services offered to families with children with disabilities, particularly in the use of respite care measures.</w:t>
      </w:r>
      <w:r>
        <w:rPr>
          <w:rStyle w:val="FootnoteReference"/>
          <w:rFonts w:eastAsia="Calibri" w:cs="Times New Roman"/>
        </w:rPr>
        <w:footnoteReference w:id="28"/>
      </w:r>
      <w:r w:rsidR="00682DB3">
        <w:rPr>
          <w:rFonts w:eastAsia="Calibri" w:cs="Times New Roman"/>
          <w:lang w:val="en-GB"/>
        </w:rPr>
        <w:t xml:space="preserve"> </w:t>
      </w:r>
      <w:r w:rsidR="00B77DF1" w:rsidRPr="00521238">
        <w:rPr>
          <w:rFonts w:eastAsia="Calibri" w:cs="Times New Roman"/>
          <w:lang w:val="en-GB"/>
        </w:rPr>
        <w:t>A recent</w:t>
      </w:r>
      <w:r w:rsidR="00B77DF1">
        <w:rPr>
          <w:rFonts w:eastAsia="Calibri" w:cs="Times New Roman"/>
          <w:lang w:val="en-GB"/>
        </w:rPr>
        <w:t xml:space="preserve"> national</w:t>
      </w:r>
      <w:r w:rsidR="00B77DF1" w:rsidRPr="00521238">
        <w:rPr>
          <w:rFonts w:eastAsia="Calibri" w:cs="Times New Roman"/>
          <w:lang w:val="en-GB"/>
        </w:rPr>
        <w:t xml:space="preserve"> supervision </w:t>
      </w:r>
      <w:r w:rsidR="00B77DF1">
        <w:rPr>
          <w:rFonts w:eastAsia="Calibri" w:cs="Times New Roman"/>
          <w:lang w:val="en-GB"/>
        </w:rPr>
        <w:t xml:space="preserve">of </w:t>
      </w:r>
      <w:proofErr w:type="spellStart"/>
      <w:r w:rsidR="00B77DF1">
        <w:rPr>
          <w:rFonts w:eastAsia="Calibri" w:cs="Times New Roman"/>
          <w:lang w:val="en-GB"/>
        </w:rPr>
        <w:t>habilitation</w:t>
      </w:r>
      <w:proofErr w:type="spellEnd"/>
      <w:r w:rsidR="00B77DF1">
        <w:rPr>
          <w:rFonts w:eastAsia="Calibri" w:cs="Times New Roman"/>
          <w:lang w:val="en-GB"/>
        </w:rPr>
        <w:t xml:space="preserve"> </w:t>
      </w:r>
      <w:r w:rsidR="00C849C1">
        <w:rPr>
          <w:rFonts w:eastAsia="Calibri" w:cs="Times New Roman"/>
          <w:lang w:val="en-GB"/>
        </w:rPr>
        <w:t xml:space="preserve">services </w:t>
      </w:r>
      <w:r w:rsidR="00B77DF1">
        <w:rPr>
          <w:rFonts w:eastAsia="Calibri" w:cs="Times New Roman"/>
          <w:lang w:val="en-GB"/>
        </w:rPr>
        <w:t>for children with disabilities in respite care homes found violation</w:t>
      </w:r>
      <w:r w:rsidR="00437F6E">
        <w:rPr>
          <w:rFonts w:eastAsia="Calibri" w:cs="Times New Roman"/>
          <w:lang w:val="en-GB"/>
        </w:rPr>
        <w:t>s</w:t>
      </w:r>
      <w:r w:rsidR="00B77DF1">
        <w:rPr>
          <w:rFonts w:eastAsia="Calibri" w:cs="Times New Roman"/>
          <w:lang w:val="en-GB"/>
        </w:rPr>
        <w:t xml:space="preserve"> of national legislation in 76 % of the supervised institutions.</w:t>
      </w:r>
      <w:r w:rsidR="00B77DF1">
        <w:rPr>
          <w:rStyle w:val="FootnoteReference"/>
          <w:rFonts w:eastAsia="Calibri" w:cs="Times New Roman"/>
        </w:rPr>
        <w:footnoteReference w:id="29"/>
      </w:r>
      <w:r w:rsidR="00B77DF1">
        <w:rPr>
          <w:rFonts w:eastAsia="Calibri" w:cs="Times New Roman"/>
          <w:lang w:val="en-GB"/>
        </w:rPr>
        <w:t xml:space="preserve"> As a result, the children in question risk not receiving </w:t>
      </w:r>
      <w:proofErr w:type="spellStart"/>
      <w:r w:rsidR="00B77DF1">
        <w:rPr>
          <w:rFonts w:eastAsia="Calibri" w:cs="Times New Roman"/>
          <w:lang w:val="en-GB"/>
        </w:rPr>
        <w:t>habilitation</w:t>
      </w:r>
      <w:proofErr w:type="spellEnd"/>
      <w:r w:rsidR="00B77DF1">
        <w:rPr>
          <w:rFonts w:eastAsia="Calibri" w:cs="Times New Roman"/>
          <w:lang w:val="en-GB"/>
        </w:rPr>
        <w:t xml:space="preserve"> services in line with their </w:t>
      </w:r>
      <w:r w:rsidR="00855E08">
        <w:rPr>
          <w:rFonts w:eastAsia="Calibri" w:cs="Times New Roman"/>
          <w:lang w:val="en-GB"/>
        </w:rPr>
        <w:t xml:space="preserve">individual </w:t>
      </w:r>
      <w:r w:rsidR="00B77DF1">
        <w:rPr>
          <w:rFonts w:eastAsia="Calibri" w:cs="Times New Roman"/>
          <w:lang w:val="en-GB"/>
        </w:rPr>
        <w:t>needs, which often has a negative impact on</w:t>
      </w:r>
      <w:r w:rsidR="00EE49CD">
        <w:rPr>
          <w:rFonts w:eastAsia="Calibri" w:cs="Times New Roman"/>
          <w:lang w:val="en-GB"/>
        </w:rPr>
        <w:t xml:space="preserve"> </w:t>
      </w:r>
      <w:r w:rsidR="00B77DF1">
        <w:rPr>
          <w:rFonts w:eastAsia="Calibri" w:cs="Times New Roman"/>
          <w:lang w:val="en-GB"/>
        </w:rPr>
        <w:t>mental and physical health as well as reduced social participation. In many instances there is also little involvement of the children concerned</w:t>
      </w:r>
      <w:r w:rsidR="00E64CFB">
        <w:rPr>
          <w:rFonts w:eastAsia="Calibri" w:cs="Times New Roman"/>
          <w:lang w:val="en-GB"/>
        </w:rPr>
        <w:t xml:space="preserve"> and their parents</w:t>
      </w:r>
      <w:r w:rsidR="00B77DF1">
        <w:rPr>
          <w:rFonts w:eastAsia="Calibri" w:cs="Times New Roman"/>
          <w:lang w:val="en-GB"/>
        </w:rPr>
        <w:t>.</w:t>
      </w:r>
      <w:r w:rsidR="00C2538D">
        <w:rPr>
          <w:rFonts w:eastAsia="Calibri" w:cs="Times New Roman"/>
          <w:lang w:val="en-GB"/>
        </w:rPr>
        <w:t xml:space="preserve"> </w:t>
      </w:r>
      <w:r w:rsidR="00B516E1">
        <w:rPr>
          <w:rFonts w:eastAsia="Calibri" w:cs="Times New Roman"/>
          <w:lang w:val="en-GB"/>
        </w:rPr>
        <w:t xml:space="preserve">In contrast to child welfare institutions, there are currently no specific regulations </w:t>
      </w:r>
      <w:r w:rsidR="008C12D9">
        <w:rPr>
          <w:rFonts w:eastAsia="Calibri" w:cs="Times New Roman"/>
          <w:lang w:val="en-GB"/>
        </w:rPr>
        <w:t xml:space="preserve">on the rights of children in </w:t>
      </w:r>
      <w:r w:rsidR="009A356D">
        <w:rPr>
          <w:rFonts w:eastAsia="Calibri" w:cs="Times New Roman"/>
          <w:lang w:val="en-GB"/>
        </w:rPr>
        <w:t>respite care homes.</w:t>
      </w:r>
      <w:r w:rsidR="009A356D" w:rsidRPr="009A356D">
        <w:rPr>
          <w:rFonts w:eastAsia="Calibri" w:cs="Times New Roman"/>
          <w:lang w:val="en-GB"/>
        </w:rPr>
        <w:t xml:space="preserve"> </w:t>
      </w:r>
    </w:p>
    <w:p w14:paraId="2101D07E" w14:textId="0A8048EF" w:rsidR="0056555E" w:rsidRPr="0056555E" w:rsidRDefault="00DD6C0B" w:rsidP="00B77DF1">
      <w:pPr>
        <w:spacing w:before="120"/>
        <w:rPr>
          <w:rFonts w:eastAsia="Calibri" w:cs="Times New Roman"/>
          <w:lang w:val="en-GB"/>
        </w:rPr>
      </w:pPr>
      <w:r>
        <w:rPr>
          <w:rFonts w:eastAsia="Calibri" w:cs="Times New Roman"/>
          <w:lang w:val="en-GB"/>
        </w:rPr>
        <w:t>T</w:t>
      </w:r>
      <w:r w:rsidR="009A356D">
        <w:rPr>
          <w:rFonts w:eastAsia="Calibri" w:cs="Times New Roman"/>
          <w:lang w:val="en-GB"/>
        </w:rPr>
        <w:t xml:space="preserve">he Norwegian Board of Health Supervision </w:t>
      </w:r>
      <w:r w:rsidR="00820553">
        <w:rPr>
          <w:rFonts w:eastAsia="Calibri" w:cs="Times New Roman"/>
          <w:lang w:val="en-GB"/>
        </w:rPr>
        <w:t xml:space="preserve">has </w:t>
      </w:r>
      <w:r w:rsidR="00DD63F6">
        <w:rPr>
          <w:rFonts w:eastAsia="Calibri" w:cs="Times New Roman"/>
          <w:lang w:val="en-GB"/>
        </w:rPr>
        <w:t>emphasized the need for</w:t>
      </w:r>
      <w:r w:rsidR="00784ADA">
        <w:rPr>
          <w:rFonts w:eastAsia="Calibri" w:cs="Times New Roman"/>
          <w:lang w:val="en-GB"/>
        </w:rPr>
        <w:t xml:space="preserve"> </w:t>
      </w:r>
      <w:r w:rsidR="00715785">
        <w:rPr>
          <w:rFonts w:eastAsia="Calibri" w:cs="Times New Roman"/>
          <w:lang w:val="en-GB"/>
        </w:rPr>
        <w:t>increased regulation</w:t>
      </w:r>
      <w:r w:rsidR="000E33F4">
        <w:rPr>
          <w:rFonts w:eastAsia="Calibri" w:cs="Times New Roman"/>
          <w:lang w:val="en-GB"/>
        </w:rPr>
        <w:t xml:space="preserve"> of </w:t>
      </w:r>
      <w:r w:rsidR="006A475F">
        <w:rPr>
          <w:rFonts w:eastAsia="Calibri" w:cs="Times New Roman"/>
          <w:lang w:val="en-GB"/>
        </w:rPr>
        <w:t xml:space="preserve">children’s rights in </w:t>
      </w:r>
      <w:r w:rsidR="000E33F4">
        <w:rPr>
          <w:rFonts w:eastAsia="Calibri" w:cs="Times New Roman"/>
          <w:lang w:val="en-GB"/>
        </w:rPr>
        <w:t>respite care homes</w:t>
      </w:r>
      <w:r w:rsidR="00FA2AB7">
        <w:rPr>
          <w:rFonts w:eastAsia="Calibri" w:cs="Times New Roman"/>
          <w:lang w:val="en-GB"/>
        </w:rPr>
        <w:t xml:space="preserve">, including by ensuring </w:t>
      </w:r>
      <w:r w:rsidR="002C6102">
        <w:rPr>
          <w:rFonts w:eastAsia="Calibri" w:cs="Times New Roman"/>
          <w:lang w:val="en-GB"/>
        </w:rPr>
        <w:t>regular oversight</w:t>
      </w:r>
      <w:r w:rsidR="002C64B6">
        <w:rPr>
          <w:rFonts w:eastAsia="Calibri" w:cs="Times New Roman"/>
          <w:lang w:val="en-GB"/>
        </w:rPr>
        <w:t xml:space="preserve"> and control</w:t>
      </w:r>
      <w:r w:rsidR="000E33F4">
        <w:rPr>
          <w:rFonts w:eastAsia="Calibri" w:cs="Times New Roman"/>
          <w:lang w:val="en-GB"/>
        </w:rPr>
        <w:t>.</w:t>
      </w:r>
      <w:r w:rsidR="00B87FE9">
        <w:rPr>
          <w:rFonts w:eastAsia="Calibri" w:cs="Times New Roman"/>
          <w:lang w:val="en-GB"/>
        </w:rPr>
        <w:t xml:space="preserve"> The NHRI is concerned that </w:t>
      </w:r>
      <w:r w:rsidR="00012CB2">
        <w:rPr>
          <w:rFonts w:eastAsia="Calibri" w:cs="Times New Roman"/>
          <w:lang w:val="en-GB"/>
        </w:rPr>
        <w:t xml:space="preserve">lack of </w:t>
      </w:r>
      <w:r w:rsidR="00F96323">
        <w:rPr>
          <w:rFonts w:eastAsia="Calibri" w:cs="Times New Roman"/>
          <w:lang w:val="en-GB"/>
        </w:rPr>
        <w:t xml:space="preserve">adequate </w:t>
      </w:r>
      <w:r w:rsidR="002661C4">
        <w:rPr>
          <w:rFonts w:eastAsia="Calibri" w:cs="Times New Roman"/>
          <w:lang w:val="en-GB"/>
        </w:rPr>
        <w:t>monitoring</w:t>
      </w:r>
      <w:r w:rsidR="00012CB2">
        <w:rPr>
          <w:rFonts w:eastAsia="Calibri" w:cs="Times New Roman"/>
          <w:lang w:val="en-GB"/>
        </w:rPr>
        <w:t xml:space="preserve"> of </w:t>
      </w:r>
      <w:r w:rsidR="003E397D">
        <w:rPr>
          <w:rFonts w:eastAsia="Calibri" w:cs="Times New Roman"/>
          <w:lang w:val="en-GB"/>
        </w:rPr>
        <w:t xml:space="preserve">the rights of children living in respite care homes could challenge </w:t>
      </w:r>
      <w:r w:rsidR="00EF03A9">
        <w:rPr>
          <w:rFonts w:eastAsia="Calibri" w:cs="Times New Roman"/>
          <w:lang w:val="en-GB"/>
        </w:rPr>
        <w:t>Articles</w:t>
      </w:r>
      <w:r w:rsidR="00EE2F6E">
        <w:rPr>
          <w:rFonts w:eastAsia="Calibri" w:cs="Times New Roman"/>
          <w:lang w:val="en-GB"/>
        </w:rPr>
        <w:t xml:space="preserve"> </w:t>
      </w:r>
      <w:r w:rsidR="000C283A">
        <w:rPr>
          <w:rFonts w:eastAsia="Calibri" w:cs="Times New Roman"/>
          <w:lang w:val="en-GB"/>
        </w:rPr>
        <w:t>18</w:t>
      </w:r>
      <w:r w:rsidR="00EE2F6E">
        <w:rPr>
          <w:rFonts w:eastAsia="Calibri" w:cs="Times New Roman"/>
          <w:lang w:val="en-GB"/>
        </w:rPr>
        <w:t>,</w:t>
      </w:r>
      <w:r w:rsidR="009D1B3E">
        <w:rPr>
          <w:rFonts w:eastAsia="Calibri" w:cs="Times New Roman"/>
          <w:lang w:val="en-GB"/>
        </w:rPr>
        <w:t xml:space="preserve"> </w:t>
      </w:r>
      <w:r w:rsidR="00EE2F6E">
        <w:rPr>
          <w:rFonts w:eastAsia="Calibri" w:cs="Times New Roman"/>
          <w:lang w:val="en-GB"/>
        </w:rPr>
        <w:t xml:space="preserve">23 </w:t>
      </w:r>
      <w:r w:rsidR="009D1B3E">
        <w:rPr>
          <w:rFonts w:eastAsia="Calibri" w:cs="Times New Roman"/>
          <w:lang w:val="en-GB"/>
        </w:rPr>
        <w:t>and 24</w:t>
      </w:r>
      <w:r w:rsidR="00EF03A9">
        <w:rPr>
          <w:rFonts w:eastAsia="Calibri" w:cs="Times New Roman"/>
          <w:lang w:val="en-GB"/>
        </w:rPr>
        <w:t xml:space="preserve"> of the </w:t>
      </w:r>
      <w:r w:rsidR="00400A52">
        <w:rPr>
          <w:rFonts w:eastAsia="Calibri" w:cs="Times New Roman"/>
          <w:lang w:val="en-GB"/>
        </w:rPr>
        <w:t>CRC</w:t>
      </w:r>
      <w:r w:rsidR="003E397D">
        <w:rPr>
          <w:rFonts w:eastAsia="Calibri" w:cs="Times New Roman"/>
          <w:lang w:val="en-GB"/>
        </w:rPr>
        <w:t>.</w:t>
      </w:r>
    </w:p>
    <w:p w14:paraId="6A6790B3" w14:textId="24E002B0" w:rsidR="00B77DF1" w:rsidRDefault="00B77DF1" w:rsidP="00360D7E">
      <w:pPr>
        <w:spacing w:before="120"/>
        <w:rPr>
          <w:rFonts w:eastAsia="Calibri" w:cs="Times New Roman"/>
          <w:b/>
          <w:lang w:val="en-GB"/>
        </w:rPr>
      </w:pPr>
      <w:r w:rsidRPr="00B77DF1">
        <w:rPr>
          <w:rFonts w:eastAsia="Calibri" w:cs="Times New Roman"/>
          <w:b/>
          <w:lang w:val="en-GB"/>
        </w:rPr>
        <w:t>Suggested recommendation:</w:t>
      </w:r>
    </w:p>
    <w:p w14:paraId="559A95E2" w14:textId="0B5B0F4E" w:rsidR="008F7B60" w:rsidRDefault="000D1984" w:rsidP="00B77DF1">
      <w:pPr>
        <w:pStyle w:val="ListParagraph"/>
        <w:numPr>
          <w:ilvl w:val="0"/>
          <w:numId w:val="35"/>
        </w:numPr>
        <w:rPr>
          <w:rFonts w:eastAsia="Calibri" w:cs="Times New Roman"/>
          <w:bCs/>
          <w:lang w:val="en-GB"/>
        </w:rPr>
      </w:pPr>
      <w:r>
        <w:rPr>
          <w:rFonts w:eastAsia="Calibri" w:cs="Times New Roman"/>
          <w:bCs/>
          <w:lang w:val="en-GB"/>
        </w:rPr>
        <w:t>The State Party should</w:t>
      </w:r>
      <w:r w:rsidR="00E41452">
        <w:rPr>
          <w:rFonts w:eastAsia="Calibri" w:cs="Times New Roman"/>
          <w:bCs/>
          <w:lang w:val="en-GB"/>
        </w:rPr>
        <w:t xml:space="preserve"> ensure </w:t>
      </w:r>
      <w:r w:rsidR="008F7B60">
        <w:rPr>
          <w:rFonts w:eastAsia="Calibri" w:cs="Times New Roman"/>
          <w:bCs/>
          <w:lang w:val="en-GB"/>
        </w:rPr>
        <w:t>that</w:t>
      </w:r>
      <w:r w:rsidR="00CF3557">
        <w:rPr>
          <w:rFonts w:eastAsia="Calibri" w:cs="Times New Roman"/>
          <w:bCs/>
          <w:lang w:val="en-GB"/>
        </w:rPr>
        <w:t xml:space="preserve"> the </w:t>
      </w:r>
      <w:r w:rsidR="00FE01A4">
        <w:rPr>
          <w:rFonts w:eastAsia="Calibri" w:cs="Times New Roman"/>
          <w:bCs/>
          <w:lang w:val="en-GB"/>
        </w:rPr>
        <w:t xml:space="preserve">care </w:t>
      </w:r>
      <w:r w:rsidR="00FE19F0">
        <w:rPr>
          <w:rFonts w:eastAsia="Calibri" w:cs="Times New Roman"/>
          <w:bCs/>
          <w:lang w:val="en-GB"/>
        </w:rPr>
        <w:t xml:space="preserve">provided to </w:t>
      </w:r>
      <w:r w:rsidR="008F7B60">
        <w:rPr>
          <w:rFonts w:eastAsia="Calibri" w:cs="Times New Roman"/>
          <w:bCs/>
          <w:lang w:val="en-GB"/>
        </w:rPr>
        <w:t xml:space="preserve">children living in respite care homes </w:t>
      </w:r>
      <w:r w:rsidR="001B73B8">
        <w:rPr>
          <w:rFonts w:eastAsia="Calibri" w:cs="Times New Roman"/>
          <w:bCs/>
          <w:lang w:val="en-GB"/>
        </w:rPr>
        <w:t>is</w:t>
      </w:r>
      <w:r w:rsidR="008F7B60">
        <w:rPr>
          <w:rFonts w:eastAsia="Calibri" w:cs="Times New Roman"/>
          <w:bCs/>
          <w:lang w:val="en-GB"/>
        </w:rPr>
        <w:t xml:space="preserve"> subject to </w:t>
      </w:r>
      <w:r w:rsidR="00E111F7">
        <w:rPr>
          <w:rFonts w:eastAsia="Calibri" w:cs="Times New Roman"/>
          <w:bCs/>
          <w:lang w:val="en-GB"/>
        </w:rPr>
        <w:t xml:space="preserve">regular </w:t>
      </w:r>
      <w:r w:rsidR="00F74637">
        <w:rPr>
          <w:rFonts w:eastAsia="Calibri" w:cs="Times New Roman"/>
          <w:bCs/>
          <w:lang w:val="en-GB"/>
        </w:rPr>
        <w:t>moni</w:t>
      </w:r>
      <w:r w:rsidR="003B2DB6">
        <w:rPr>
          <w:rFonts w:eastAsia="Calibri" w:cs="Times New Roman"/>
          <w:bCs/>
          <w:lang w:val="en-GB"/>
        </w:rPr>
        <w:t>toring</w:t>
      </w:r>
      <w:r w:rsidR="00A84D2A">
        <w:rPr>
          <w:rFonts w:eastAsia="Calibri" w:cs="Times New Roman"/>
          <w:bCs/>
          <w:lang w:val="en-GB"/>
        </w:rPr>
        <w:t xml:space="preserve"> and </w:t>
      </w:r>
      <w:r w:rsidR="0086530C">
        <w:rPr>
          <w:rFonts w:eastAsia="Calibri" w:cs="Times New Roman"/>
          <w:bCs/>
          <w:lang w:val="en-GB"/>
        </w:rPr>
        <w:t>oversight</w:t>
      </w:r>
      <w:r w:rsidR="006F7FF7">
        <w:rPr>
          <w:rFonts w:eastAsia="Calibri" w:cs="Times New Roman"/>
          <w:bCs/>
          <w:lang w:val="en-GB"/>
        </w:rPr>
        <w:t>.</w:t>
      </w:r>
    </w:p>
    <w:p w14:paraId="15D875A2" w14:textId="77777777" w:rsidR="0032123A" w:rsidRPr="008F0149" w:rsidRDefault="0032123A" w:rsidP="0032123A">
      <w:pPr>
        <w:keepNext/>
        <w:tabs>
          <w:tab w:val="left" w:pos="426"/>
        </w:tabs>
        <w:spacing w:before="360" w:after="0" w:line="240" w:lineRule="auto"/>
        <w:ind w:left="227" w:hanging="227"/>
        <w:outlineLvl w:val="0"/>
        <w:rPr>
          <w:rFonts w:eastAsia="Calibri" w:cs="Arial"/>
          <w:b/>
          <w:sz w:val="40"/>
          <w:szCs w:val="40"/>
          <w:lang w:val="en-GB"/>
        </w:rPr>
      </w:pPr>
      <w:bookmarkStart w:id="17" w:name="_Toc181973440"/>
      <w:r w:rsidRPr="008F0149">
        <w:rPr>
          <w:rFonts w:eastAsia="Calibri" w:cs="Arial"/>
          <w:b/>
          <w:sz w:val="40"/>
          <w:szCs w:val="40"/>
          <w:lang w:val="en-GB"/>
        </w:rPr>
        <w:t>Basic health and welfare</w:t>
      </w:r>
      <w:bookmarkEnd w:id="17"/>
    </w:p>
    <w:p w14:paraId="2C257B8E" w14:textId="0852B71E" w:rsidR="0032123A" w:rsidRPr="00AF23FE" w:rsidRDefault="0032123A" w:rsidP="0032123A">
      <w:pPr>
        <w:pStyle w:val="Heading1"/>
        <w:rPr>
          <w:lang w:val="en-GB"/>
        </w:rPr>
      </w:pPr>
      <w:bookmarkStart w:id="18" w:name="_Toc181973441"/>
      <w:r w:rsidRPr="00AF23FE">
        <w:rPr>
          <w:lang w:val="en-GB"/>
        </w:rPr>
        <w:t xml:space="preserve">Access to health and care services for children </w:t>
      </w:r>
      <w:r w:rsidR="00CF78CB">
        <w:rPr>
          <w:lang w:val="en-GB"/>
        </w:rPr>
        <w:t>us</w:t>
      </w:r>
      <w:r w:rsidR="00BE50B9">
        <w:rPr>
          <w:lang w:val="en-GB"/>
        </w:rPr>
        <w:t>ing</w:t>
      </w:r>
      <w:r w:rsidRPr="00AF23FE">
        <w:rPr>
          <w:lang w:val="en-GB"/>
        </w:rPr>
        <w:t xml:space="preserve"> drugs</w:t>
      </w:r>
      <w:bookmarkEnd w:id="18"/>
    </w:p>
    <w:p w14:paraId="3501B6CD" w14:textId="05A3B35B" w:rsidR="0032123A" w:rsidRPr="008F0149" w:rsidRDefault="0032123A" w:rsidP="00360D7E">
      <w:pPr>
        <w:spacing w:before="120"/>
        <w:rPr>
          <w:rFonts w:eastAsia="Calibri" w:cs="Times New Roman"/>
          <w:i/>
          <w:lang w:val="en-GB"/>
        </w:rPr>
      </w:pPr>
      <w:r w:rsidRPr="008F0149">
        <w:rPr>
          <w:rFonts w:eastAsia="Calibri" w:cs="Times New Roman"/>
          <w:i/>
          <w:lang w:val="en-GB"/>
        </w:rPr>
        <w:t>Reference is made to LOIPR 2023: 23 (h</w:t>
      </w:r>
      <w:r w:rsidRPr="008F0149">
        <w:rPr>
          <w:rFonts w:eastAsia="Calibri" w:cs="Times New Roman"/>
          <w:i/>
          <w:iCs/>
          <w:lang w:val="en-GB"/>
        </w:rPr>
        <w:t>)</w:t>
      </w:r>
    </w:p>
    <w:p w14:paraId="1DCEA380" w14:textId="6E074AD8" w:rsidR="0032123A" w:rsidRPr="00AF23FE" w:rsidRDefault="0032123A" w:rsidP="0032123A">
      <w:pPr>
        <w:rPr>
          <w:rFonts w:eastAsia="Calibri" w:cs="Arial"/>
          <w:lang w:val="en-GB"/>
        </w:rPr>
      </w:pPr>
      <w:r w:rsidRPr="00AF23FE">
        <w:rPr>
          <w:rFonts w:eastAsia="Calibri" w:cs="Arial"/>
          <w:lang w:val="en-GB"/>
        </w:rPr>
        <w:t xml:space="preserve">In 2022, the NHRI published a report which found </w:t>
      </w:r>
      <w:proofErr w:type="gramStart"/>
      <w:r w:rsidRPr="00AF23FE">
        <w:rPr>
          <w:rFonts w:eastAsia="Calibri" w:cs="Arial"/>
          <w:lang w:val="en-GB"/>
        </w:rPr>
        <w:t>a number of</w:t>
      </w:r>
      <w:proofErr w:type="gramEnd"/>
      <w:r w:rsidRPr="00AF23FE">
        <w:rPr>
          <w:rFonts w:eastAsia="Calibri" w:cs="Arial"/>
          <w:lang w:val="en-GB"/>
        </w:rPr>
        <w:t xml:space="preserve"> inadequacies in the realization of the rights of children using drugs, particularly regarding </w:t>
      </w:r>
      <w:r w:rsidR="00096784">
        <w:rPr>
          <w:rFonts w:eastAsia="Calibri" w:cs="Arial"/>
          <w:lang w:val="en-GB"/>
        </w:rPr>
        <w:t>access to</w:t>
      </w:r>
      <w:r w:rsidR="00096784" w:rsidRPr="00AF23FE">
        <w:rPr>
          <w:rFonts w:eastAsia="Calibri" w:cs="Arial"/>
          <w:lang w:val="en-GB"/>
        </w:rPr>
        <w:t xml:space="preserve"> </w:t>
      </w:r>
      <w:r w:rsidRPr="00AF23FE">
        <w:rPr>
          <w:rFonts w:eastAsia="Calibri" w:cs="Arial"/>
          <w:lang w:val="en-GB"/>
        </w:rPr>
        <w:t>health and care services.</w:t>
      </w:r>
      <w:r w:rsidRPr="00AF23FE">
        <w:rPr>
          <w:rFonts w:eastAsia="Calibri" w:cs="Arial"/>
          <w:color w:val="333333"/>
          <w:vertAlign w:val="superscript"/>
          <w:lang w:val="en-GB"/>
        </w:rPr>
        <w:footnoteReference w:id="30"/>
      </w:r>
      <w:r w:rsidRPr="00AF23FE">
        <w:rPr>
          <w:rFonts w:eastAsia="Calibri" w:cs="Arial"/>
          <w:lang w:val="en-GB"/>
        </w:rPr>
        <w:t xml:space="preserve"> Overall, these issues challenge Articles 24 and 33 of the CRC.</w:t>
      </w:r>
    </w:p>
    <w:p w14:paraId="1B6334DA" w14:textId="4C389B13" w:rsidR="0032123A" w:rsidRPr="00AF23FE" w:rsidRDefault="0032123A" w:rsidP="0032123A">
      <w:pPr>
        <w:rPr>
          <w:rFonts w:eastAsia="Calibri" w:cs="Arial"/>
          <w:lang w:val="en-GB"/>
        </w:rPr>
      </w:pPr>
      <w:r w:rsidRPr="00AF23FE">
        <w:rPr>
          <w:rFonts w:eastAsia="Calibri" w:cs="Arial"/>
          <w:lang w:val="en-GB"/>
        </w:rPr>
        <w:lastRenderedPageBreak/>
        <w:t xml:space="preserve">Firstly, many children with </w:t>
      </w:r>
      <w:r w:rsidR="005F06CA">
        <w:rPr>
          <w:rFonts w:eastAsia="Calibri" w:cs="Arial"/>
          <w:lang w:val="en-GB"/>
        </w:rPr>
        <w:t>simultaneous</w:t>
      </w:r>
      <w:r w:rsidRPr="00AF23FE">
        <w:rPr>
          <w:rFonts w:eastAsia="Calibri" w:cs="Arial"/>
          <w:lang w:val="en-GB"/>
        </w:rPr>
        <w:t xml:space="preserve"> drug problems and mental </w:t>
      </w:r>
      <w:r w:rsidR="00F463CA">
        <w:rPr>
          <w:rFonts w:eastAsia="Calibri" w:cs="Arial"/>
          <w:lang w:val="en-GB"/>
        </w:rPr>
        <w:t>health disorders</w:t>
      </w:r>
      <w:r w:rsidR="00F463CA" w:rsidRPr="00AF23FE">
        <w:rPr>
          <w:rFonts w:eastAsia="Calibri" w:cs="Arial"/>
          <w:lang w:val="en-GB"/>
        </w:rPr>
        <w:t xml:space="preserve"> </w:t>
      </w:r>
      <w:r w:rsidRPr="00AF23FE">
        <w:rPr>
          <w:rFonts w:eastAsia="Calibri" w:cs="Arial"/>
          <w:lang w:val="en-GB"/>
        </w:rPr>
        <w:t xml:space="preserve">lack access to health services. A report from the Office of the Auditor General from 2021 concluded that youth with </w:t>
      </w:r>
      <w:r w:rsidR="00E12BB7">
        <w:rPr>
          <w:rFonts w:eastAsia="Calibri" w:cs="Arial"/>
          <w:lang w:val="en-GB"/>
        </w:rPr>
        <w:t>simultaneous</w:t>
      </w:r>
      <w:r w:rsidRPr="00AF23FE">
        <w:rPr>
          <w:rFonts w:eastAsia="Calibri" w:cs="Arial"/>
          <w:lang w:val="en-GB"/>
        </w:rPr>
        <w:t xml:space="preserve"> drug problems and mental </w:t>
      </w:r>
      <w:r w:rsidR="00E12BB7">
        <w:rPr>
          <w:rFonts w:eastAsia="Calibri" w:cs="Arial"/>
          <w:lang w:val="en-GB"/>
        </w:rPr>
        <w:t xml:space="preserve">health </w:t>
      </w:r>
      <w:r w:rsidRPr="00AF23FE">
        <w:rPr>
          <w:rFonts w:eastAsia="Calibri" w:cs="Arial"/>
          <w:lang w:val="en-GB"/>
        </w:rPr>
        <w:t>disorders do not receive adequate health care treatment.</w:t>
      </w:r>
      <w:r w:rsidRPr="00AF23FE">
        <w:rPr>
          <w:rFonts w:eastAsia="Calibri" w:cs="Arial"/>
          <w:color w:val="333333"/>
          <w:vertAlign w:val="superscript"/>
          <w:lang w:val="en-GB"/>
        </w:rPr>
        <w:footnoteReference w:id="31"/>
      </w:r>
      <w:r w:rsidRPr="00AF23FE">
        <w:rPr>
          <w:rFonts w:eastAsia="Calibri" w:cs="Arial"/>
          <w:lang w:val="en-GB"/>
        </w:rPr>
        <w:t xml:space="preserve"> Nearly 40% of the municipalities state that the health care offer for this group is inadequate, and around one in three municipalities state that the </w:t>
      </w:r>
      <w:r w:rsidR="00BB011D">
        <w:rPr>
          <w:rFonts w:eastAsia="Calibri" w:cs="Arial"/>
          <w:lang w:val="en-GB"/>
        </w:rPr>
        <w:t>services d</w:t>
      </w:r>
      <w:r w:rsidRPr="00AF23FE">
        <w:rPr>
          <w:rFonts w:eastAsia="Calibri" w:cs="Arial"/>
          <w:lang w:val="en-GB"/>
        </w:rPr>
        <w:t xml:space="preserve">o not have sufficient capacity. Almost 20% of the municipalities lack health services for young people with drug problems entirely. Almost every third clinic in Child and Adolescent Psychiatric Outpatient </w:t>
      </w:r>
      <w:r w:rsidR="00FF2455">
        <w:rPr>
          <w:rFonts w:eastAsia="Calibri" w:cs="Arial"/>
          <w:lang w:val="en-GB"/>
        </w:rPr>
        <w:t>Clinic</w:t>
      </w:r>
      <w:r w:rsidR="00FF2455" w:rsidRPr="00AF23FE">
        <w:rPr>
          <w:rFonts w:eastAsia="Calibri" w:cs="Arial"/>
          <w:lang w:val="en-GB"/>
        </w:rPr>
        <w:t xml:space="preserve"> </w:t>
      </w:r>
      <w:r w:rsidRPr="00AF23FE">
        <w:rPr>
          <w:rFonts w:eastAsia="Calibri" w:cs="Arial"/>
          <w:lang w:val="en-GB"/>
        </w:rPr>
        <w:t xml:space="preserve">(BUP) do not treat young people under the age of 18 with </w:t>
      </w:r>
      <w:r w:rsidR="00E12BB7">
        <w:rPr>
          <w:rFonts w:eastAsia="Calibri" w:cs="Arial"/>
          <w:lang w:val="en-GB"/>
        </w:rPr>
        <w:t>simultaneous</w:t>
      </w:r>
      <w:r w:rsidRPr="00AF23FE">
        <w:rPr>
          <w:rFonts w:eastAsia="Calibri" w:cs="Arial"/>
          <w:lang w:val="en-GB"/>
        </w:rPr>
        <w:t xml:space="preserve"> drug problems and mental disorders, and many receive treatment intended for adults. Both in municipalities and in the specialist health services, there is a lack of sufficient competence and resources. </w:t>
      </w:r>
    </w:p>
    <w:p w14:paraId="47EF5062" w14:textId="700461F8" w:rsidR="0032123A" w:rsidRDefault="0032123A" w:rsidP="0032123A">
      <w:pPr>
        <w:rPr>
          <w:rFonts w:eastAsia="Calibri" w:cs="Arial"/>
          <w:lang w:val="en-GB"/>
        </w:rPr>
      </w:pPr>
      <w:r w:rsidRPr="00AF23FE">
        <w:rPr>
          <w:rFonts w:eastAsia="Calibri" w:cs="Arial"/>
          <w:lang w:val="en-GB"/>
        </w:rPr>
        <w:t>Secondly, health and care services offered to children who live in child welfare institutions and use drugs are often inadequate. In 2023, a total of 1,392 children and young people were placed in child welfare institutions in Norway.</w:t>
      </w:r>
      <w:r w:rsidRPr="00AF23FE">
        <w:rPr>
          <w:rFonts w:eastAsia="Calibri" w:cs="Arial"/>
          <w:color w:val="333333"/>
          <w:vertAlign w:val="superscript"/>
          <w:lang w:val="en-GB"/>
        </w:rPr>
        <w:footnoteReference w:id="32"/>
      </w:r>
      <w:r w:rsidRPr="00AF23FE">
        <w:rPr>
          <w:rFonts w:eastAsia="Calibri" w:cs="Arial"/>
          <w:lang w:val="en-GB"/>
        </w:rPr>
        <w:t xml:space="preserve"> Many of these were placed in an institution due to behavioural problems according to the Child Welfare Act </w:t>
      </w:r>
      <w:r w:rsidR="00C32D55">
        <w:rPr>
          <w:rFonts w:eastAsia="Calibri" w:cs="Arial"/>
          <w:lang w:val="en-GB"/>
        </w:rPr>
        <w:t>Section</w:t>
      </w:r>
      <w:r w:rsidR="00C32D55" w:rsidRPr="00AF23FE">
        <w:rPr>
          <w:rFonts w:eastAsia="Calibri" w:cs="Arial"/>
          <w:lang w:val="en-GB"/>
        </w:rPr>
        <w:t xml:space="preserve"> </w:t>
      </w:r>
      <w:r w:rsidRPr="00AF23FE">
        <w:rPr>
          <w:rFonts w:eastAsia="Calibri" w:cs="Arial"/>
          <w:lang w:val="en-GB"/>
        </w:rPr>
        <w:t>4-24 and 4-26. Several reports</w:t>
      </w:r>
      <w:r w:rsidR="00C834BC">
        <w:rPr>
          <w:rFonts w:eastAsia="Calibri" w:cs="Arial"/>
          <w:lang w:val="en-GB"/>
        </w:rPr>
        <w:t xml:space="preserve"> </w:t>
      </w:r>
      <w:r w:rsidRPr="00AF23FE">
        <w:rPr>
          <w:rFonts w:eastAsia="Calibri" w:cs="Arial"/>
          <w:lang w:val="en-GB"/>
        </w:rPr>
        <w:t>conclude that there is a risk that potential drug problems are not always identified when children are placed in child welfare institutions.</w:t>
      </w:r>
      <w:r w:rsidRPr="00AF23FE">
        <w:rPr>
          <w:rFonts w:eastAsia="Calibri" w:cs="Arial"/>
          <w:color w:val="333333"/>
          <w:vertAlign w:val="superscript"/>
          <w:lang w:val="en-GB"/>
        </w:rPr>
        <w:footnoteReference w:id="33"/>
      </w:r>
      <w:r w:rsidRPr="00AF23FE">
        <w:rPr>
          <w:rFonts w:eastAsia="Calibri" w:cs="Arial"/>
          <w:lang w:val="en-GB"/>
        </w:rPr>
        <w:t xml:space="preserve"> Incorrect placement can have serious consequences for the children concerned. Additionally, there is a lack of expertise </w:t>
      </w:r>
      <w:r w:rsidR="00827CFE">
        <w:rPr>
          <w:rFonts w:eastAsia="Calibri" w:cs="Arial"/>
          <w:lang w:val="en-GB"/>
        </w:rPr>
        <w:t>o</w:t>
      </w:r>
      <w:r w:rsidRPr="00AF23FE">
        <w:rPr>
          <w:rFonts w:eastAsia="Calibri" w:cs="Arial"/>
          <w:lang w:val="en-GB"/>
        </w:rPr>
        <w:t xml:space="preserve">n drug problems at many such institutions, and children with drug problems do not always </w:t>
      </w:r>
      <w:r w:rsidR="00B365C1">
        <w:rPr>
          <w:rFonts w:eastAsia="Calibri" w:cs="Arial"/>
          <w:lang w:val="en-GB"/>
        </w:rPr>
        <w:t xml:space="preserve">receive the health and care services </w:t>
      </w:r>
      <w:r w:rsidRPr="00AF23FE">
        <w:rPr>
          <w:rFonts w:eastAsia="Calibri" w:cs="Arial"/>
          <w:lang w:val="en-GB"/>
        </w:rPr>
        <w:t>they need while they are</w:t>
      </w:r>
      <w:r w:rsidR="00B365C1">
        <w:rPr>
          <w:rFonts w:eastAsia="Calibri" w:cs="Arial"/>
          <w:lang w:val="en-GB"/>
        </w:rPr>
        <w:t xml:space="preserve"> placed</w:t>
      </w:r>
      <w:r w:rsidRPr="00AF23FE">
        <w:rPr>
          <w:rFonts w:eastAsia="Calibri" w:cs="Arial"/>
          <w:lang w:val="en-GB"/>
        </w:rPr>
        <w:t xml:space="preserve"> in </w:t>
      </w:r>
      <w:r w:rsidR="00047068">
        <w:rPr>
          <w:rFonts w:eastAsia="Calibri" w:cs="Arial"/>
          <w:lang w:val="en-GB"/>
        </w:rPr>
        <w:t>such</w:t>
      </w:r>
      <w:r w:rsidRPr="00AF23FE">
        <w:rPr>
          <w:rFonts w:eastAsia="Calibri" w:cs="Arial"/>
          <w:lang w:val="en-GB"/>
        </w:rPr>
        <w:t xml:space="preserve"> institution</w:t>
      </w:r>
      <w:r w:rsidR="00047068">
        <w:rPr>
          <w:rFonts w:eastAsia="Calibri" w:cs="Arial"/>
          <w:lang w:val="en-GB"/>
        </w:rPr>
        <w:t>s</w:t>
      </w:r>
      <w:r w:rsidRPr="00AF23FE">
        <w:rPr>
          <w:rFonts w:eastAsia="Calibri" w:cs="Arial"/>
          <w:lang w:val="en-GB"/>
        </w:rPr>
        <w:t xml:space="preserve">. A government-appointed committee has recommended </w:t>
      </w:r>
      <w:proofErr w:type="gramStart"/>
      <w:r w:rsidRPr="00AF23FE">
        <w:rPr>
          <w:rFonts w:eastAsia="Calibri" w:cs="Arial"/>
          <w:lang w:val="en-GB"/>
        </w:rPr>
        <w:t>a number of</w:t>
      </w:r>
      <w:proofErr w:type="gramEnd"/>
      <w:r w:rsidRPr="00AF23FE">
        <w:rPr>
          <w:rFonts w:eastAsia="Calibri" w:cs="Arial"/>
          <w:lang w:val="en-GB"/>
        </w:rPr>
        <w:t xml:space="preserve"> changes to the child welfare institution system.</w:t>
      </w:r>
      <w:r w:rsidRPr="00AF23FE">
        <w:rPr>
          <w:rFonts w:eastAsia="Calibri" w:cs="Arial"/>
          <w:color w:val="333333"/>
          <w:vertAlign w:val="superscript"/>
          <w:lang w:val="en-GB"/>
        </w:rPr>
        <w:footnoteReference w:id="34"/>
      </w:r>
    </w:p>
    <w:p w14:paraId="6B1B7068" w14:textId="69E942EF" w:rsidR="001A7691" w:rsidRDefault="001E132F" w:rsidP="0032123A">
      <w:pPr>
        <w:rPr>
          <w:rFonts w:eastAsia="Calibri" w:cs="Arial"/>
          <w:lang w:val="en-GB"/>
        </w:rPr>
      </w:pPr>
      <w:r>
        <w:rPr>
          <w:rFonts w:eastAsia="Calibri" w:cs="Arial"/>
          <w:lang w:val="en-GB"/>
        </w:rPr>
        <w:t xml:space="preserve">Thirdly, </w:t>
      </w:r>
      <w:r w:rsidR="00304420">
        <w:rPr>
          <w:rFonts w:eastAsia="Calibri" w:cs="Arial"/>
          <w:lang w:val="en-GB"/>
        </w:rPr>
        <w:t>you</w:t>
      </w:r>
      <w:r w:rsidR="00A23320">
        <w:rPr>
          <w:rFonts w:eastAsia="Calibri" w:cs="Arial"/>
          <w:lang w:val="en-GB"/>
        </w:rPr>
        <w:t xml:space="preserve">ng people in Norway can be subjected to </w:t>
      </w:r>
      <w:r w:rsidR="006F06A0">
        <w:rPr>
          <w:rFonts w:eastAsia="Calibri" w:cs="Arial"/>
          <w:lang w:val="en-GB"/>
        </w:rPr>
        <w:t xml:space="preserve">regular </w:t>
      </w:r>
      <w:r w:rsidR="00A23320">
        <w:rPr>
          <w:rFonts w:eastAsia="Calibri" w:cs="Arial"/>
          <w:lang w:val="en-GB"/>
        </w:rPr>
        <w:t>drug tests to monitor sobriety</w:t>
      </w:r>
      <w:r w:rsidR="00620EAF">
        <w:rPr>
          <w:rFonts w:eastAsia="Calibri" w:cs="Arial"/>
          <w:lang w:val="en-GB"/>
        </w:rPr>
        <w:t>,</w:t>
      </w:r>
      <w:r w:rsidR="00A23320">
        <w:rPr>
          <w:rFonts w:eastAsia="Calibri" w:cs="Arial"/>
          <w:lang w:val="en-GB"/>
        </w:rPr>
        <w:t xml:space="preserve"> either as part of a </w:t>
      </w:r>
      <w:r w:rsidR="00BE470B">
        <w:rPr>
          <w:rFonts w:eastAsia="Calibri" w:cs="Arial"/>
          <w:lang w:val="en-GB"/>
        </w:rPr>
        <w:t xml:space="preserve">punitive response or as part of a voluntary drug contract. </w:t>
      </w:r>
      <w:r w:rsidR="00CA69B8">
        <w:rPr>
          <w:rFonts w:eastAsia="Calibri" w:cs="Arial"/>
          <w:lang w:val="en-GB"/>
        </w:rPr>
        <w:t>A government-appointed committee and the Norwegian Directorate of Health</w:t>
      </w:r>
      <w:r w:rsidR="00BE470B">
        <w:rPr>
          <w:rFonts w:eastAsia="Calibri" w:cs="Arial"/>
          <w:lang w:val="en-GB"/>
        </w:rPr>
        <w:t xml:space="preserve"> have pointed out </w:t>
      </w:r>
      <w:r w:rsidR="002858EC">
        <w:rPr>
          <w:rFonts w:eastAsia="Calibri" w:cs="Arial"/>
          <w:lang w:val="en-GB"/>
        </w:rPr>
        <w:t>that there is a lack of documentation on the effectiveness of such measures.</w:t>
      </w:r>
      <w:r w:rsidR="001A1CD0">
        <w:rPr>
          <w:rStyle w:val="FootnoteReference"/>
          <w:rFonts w:eastAsia="Calibri" w:cs="Arial"/>
          <w:lang w:val="en-GB"/>
        </w:rPr>
        <w:footnoteReference w:id="35"/>
      </w:r>
      <w:r w:rsidR="002858EC">
        <w:rPr>
          <w:rFonts w:eastAsia="Calibri" w:cs="Arial"/>
          <w:lang w:val="en-GB"/>
        </w:rPr>
        <w:t xml:space="preserve"> It is therefore unclear whether they are suitable interventions under Article 33 of the </w:t>
      </w:r>
      <w:r w:rsidR="00257E0E">
        <w:rPr>
          <w:rFonts w:eastAsia="Calibri" w:cs="Arial"/>
          <w:lang w:val="en-GB"/>
        </w:rPr>
        <w:t>CRC</w:t>
      </w:r>
      <w:r w:rsidR="002858EC">
        <w:rPr>
          <w:rFonts w:eastAsia="Calibri" w:cs="Arial"/>
          <w:lang w:val="en-GB"/>
        </w:rPr>
        <w:t>.</w:t>
      </w:r>
    </w:p>
    <w:p w14:paraId="71B6F1B6" w14:textId="3B851ACA" w:rsidR="005C1951" w:rsidRDefault="00364AFD" w:rsidP="0032123A">
      <w:pPr>
        <w:rPr>
          <w:rFonts w:eastAsia="Calibri" w:cs="Arial"/>
          <w:lang w:val="en-GB"/>
        </w:rPr>
      </w:pPr>
      <w:r>
        <w:rPr>
          <w:rFonts w:eastAsia="Calibri" w:cs="Arial"/>
          <w:lang w:val="en-GB"/>
        </w:rPr>
        <w:t xml:space="preserve">On 25 </w:t>
      </w:r>
      <w:r w:rsidR="007C119E">
        <w:rPr>
          <w:rFonts w:eastAsia="Calibri" w:cs="Arial"/>
          <w:lang w:val="en-GB"/>
        </w:rPr>
        <w:t xml:space="preserve">October 2024 the </w:t>
      </w:r>
      <w:r w:rsidR="0032123A" w:rsidRPr="00AF23FE">
        <w:rPr>
          <w:rFonts w:eastAsia="Calibri" w:cs="Arial"/>
          <w:lang w:val="en-GB"/>
        </w:rPr>
        <w:t xml:space="preserve">Government </w:t>
      </w:r>
      <w:r>
        <w:rPr>
          <w:rFonts w:eastAsia="Calibri" w:cs="Arial"/>
          <w:lang w:val="en-GB"/>
        </w:rPr>
        <w:t xml:space="preserve">presented </w:t>
      </w:r>
      <w:r w:rsidR="004F09B0">
        <w:rPr>
          <w:rFonts w:eastAsia="Calibri" w:cs="Arial"/>
          <w:lang w:val="en-GB"/>
        </w:rPr>
        <w:t xml:space="preserve">a white paper </w:t>
      </w:r>
      <w:r w:rsidR="0032123A" w:rsidRPr="00AF23FE">
        <w:rPr>
          <w:rFonts w:eastAsia="Calibri" w:cs="Arial"/>
          <w:lang w:val="en-GB"/>
        </w:rPr>
        <w:t xml:space="preserve">on drug policy, which </w:t>
      </w:r>
      <w:r w:rsidR="0011283F">
        <w:rPr>
          <w:rFonts w:eastAsia="Calibri" w:cs="Arial"/>
          <w:lang w:val="en-GB"/>
        </w:rPr>
        <w:t>includes</w:t>
      </w:r>
      <w:r w:rsidR="0032123A" w:rsidRPr="00AF23FE">
        <w:rPr>
          <w:rFonts w:eastAsia="Calibri" w:cs="Arial"/>
          <w:lang w:val="en-GB"/>
        </w:rPr>
        <w:t xml:space="preserve"> </w:t>
      </w:r>
      <w:r w:rsidR="009C0A5F">
        <w:rPr>
          <w:rFonts w:eastAsia="Calibri" w:cs="Arial"/>
          <w:lang w:val="en-GB"/>
        </w:rPr>
        <w:t xml:space="preserve">introduction of a national drug prevention program </w:t>
      </w:r>
      <w:r w:rsidR="00487F87">
        <w:rPr>
          <w:rFonts w:eastAsia="Calibri" w:cs="Arial"/>
          <w:lang w:val="en-GB"/>
        </w:rPr>
        <w:t>for children and youth</w:t>
      </w:r>
      <w:r w:rsidR="00B0385A">
        <w:rPr>
          <w:rFonts w:eastAsia="Calibri" w:cs="Arial"/>
          <w:lang w:val="en-GB"/>
        </w:rPr>
        <w:t xml:space="preserve">, </w:t>
      </w:r>
      <w:r w:rsidR="00B0385A">
        <w:rPr>
          <w:rFonts w:eastAsia="Calibri" w:cs="Arial"/>
          <w:lang w:val="en-GB"/>
        </w:rPr>
        <w:lastRenderedPageBreak/>
        <w:t>and improved access to treatment services</w:t>
      </w:r>
      <w:r w:rsidR="00C12406">
        <w:rPr>
          <w:rFonts w:eastAsia="Calibri" w:cs="Arial"/>
          <w:lang w:val="en-GB"/>
        </w:rPr>
        <w:t xml:space="preserve"> with drug problems. However, </w:t>
      </w:r>
      <w:r w:rsidR="00FC0C13">
        <w:rPr>
          <w:rFonts w:eastAsia="Calibri" w:cs="Arial"/>
          <w:lang w:val="en-GB"/>
        </w:rPr>
        <w:t>at the time of writing</w:t>
      </w:r>
      <w:r w:rsidR="008022AD">
        <w:rPr>
          <w:rFonts w:eastAsia="Calibri" w:cs="Arial"/>
          <w:lang w:val="en-GB"/>
        </w:rPr>
        <w:t>,</w:t>
      </w:r>
      <w:r w:rsidR="00FC0C13">
        <w:rPr>
          <w:rFonts w:eastAsia="Calibri" w:cs="Arial"/>
          <w:lang w:val="en-GB"/>
        </w:rPr>
        <w:t xml:space="preserve"> </w:t>
      </w:r>
      <w:r w:rsidR="00F65F4A">
        <w:rPr>
          <w:rFonts w:eastAsia="Calibri" w:cs="Arial"/>
          <w:lang w:val="en-GB"/>
        </w:rPr>
        <w:t>it remains unclear whether the reform will be followed up with concrete measures and resources</w:t>
      </w:r>
      <w:r w:rsidR="005C1951">
        <w:rPr>
          <w:rFonts w:eastAsia="Calibri" w:cs="Arial"/>
          <w:lang w:val="en-GB"/>
        </w:rPr>
        <w:t xml:space="preserve"> which address </w:t>
      </w:r>
      <w:r w:rsidR="00F9076C">
        <w:rPr>
          <w:rFonts w:eastAsia="Calibri" w:cs="Arial"/>
          <w:lang w:val="en-GB"/>
        </w:rPr>
        <w:t>the above-mentioned issues</w:t>
      </w:r>
      <w:r w:rsidR="00FC0C13">
        <w:rPr>
          <w:rFonts w:eastAsia="Calibri" w:cs="Arial"/>
          <w:lang w:val="en-GB"/>
        </w:rPr>
        <w:t>.</w:t>
      </w:r>
    </w:p>
    <w:p w14:paraId="2F36DEF0" w14:textId="73C82795" w:rsidR="008F0149" w:rsidRPr="008F0149" w:rsidRDefault="008F0149" w:rsidP="0032123A">
      <w:pPr>
        <w:rPr>
          <w:rFonts w:eastAsia="Calibri" w:cs="Arial"/>
          <w:b/>
          <w:bCs/>
          <w:lang w:val="en-GB"/>
        </w:rPr>
      </w:pPr>
      <w:r w:rsidRPr="008F0149">
        <w:rPr>
          <w:rFonts w:eastAsia="Calibri" w:cs="Arial"/>
          <w:b/>
          <w:bCs/>
          <w:lang w:val="en-GB"/>
        </w:rPr>
        <w:t>Suggested recommendation:</w:t>
      </w:r>
    </w:p>
    <w:p w14:paraId="639293E9" w14:textId="0FD1468D" w:rsidR="0032123A" w:rsidRPr="00AF23FE" w:rsidRDefault="0032123A" w:rsidP="0032123A">
      <w:pPr>
        <w:numPr>
          <w:ilvl w:val="0"/>
          <w:numId w:val="32"/>
        </w:numPr>
        <w:spacing w:before="120"/>
        <w:contextualSpacing/>
        <w:rPr>
          <w:rFonts w:ascii="Calibri" w:eastAsia="Calibri" w:hAnsi="Calibri" w:cs="Times New Roman"/>
          <w:lang w:val="en-GB"/>
        </w:rPr>
      </w:pPr>
      <w:r w:rsidRPr="00AF23FE">
        <w:rPr>
          <w:rFonts w:eastAsia="Calibri" w:cs="Arial"/>
          <w:lang w:val="en-GB"/>
        </w:rPr>
        <w:t xml:space="preserve">The State Party should ensure that all children </w:t>
      </w:r>
      <w:r w:rsidR="00897644">
        <w:rPr>
          <w:rFonts w:eastAsia="Calibri" w:cs="Arial"/>
          <w:lang w:val="en-GB"/>
        </w:rPr>
        <w:t xml:space="preserve">using drugs </w:t>
      </w:r>
      <w:r w:rsidRPr="00AF23FE">
        <w:rPr>
          <w:rFonts w:eastAsia="Calibri" w:cs="Arial"/>
          <w:lang w:val="en-GB"/>
        </w:rPr>
        <w:t>have access to adequate health and care services</w:t>
      </w:r>
      <w:r w:rsidR="000C1EE4">
        <w:rPr>
          <w:rFonts w:eastAsia="Calibri" w:cs="Arial"/>
          <w:lang w:val="en-GB"/>
        </w:rPr>
        <w:t xml:space="preserve"> and </w:t>
      </w:r>
      <w:r w:rsidR="00C402F3">
        <w:rPr>
          <w:rFonts w:eastAsia="Calibri" w:cs="Arial"/>
          <w:lang w:val="en-GB"/>
        </w:rPr>
        <w:t xml:space="preserve">evaluate the </w:t>
      </w:r>
      <w:r w:rsidR="003B421B">
        <w:rPr>
          <w:rFonts w:eastAsia="Calibri" w:cs="Arial"/>
          <w:lang w:val="en-GB"/>
        </w:rPr>
        <w:t>effectiveness of existing interventions</w:t>
      </w:r>
      <w:r w:rsidR="00D165D6">
        <w:rPr>
          <w:rFonts w:eastAsia="Calibri" w:cs="Arial"/>
          <w:lang w:val="en-GB"/>
        </w:rPr>
        <w:t xml:space="preserve"> in response to </w:t>
      </w:r>
      <w:r w:rsidR="00BE11EC">
        <w:rPr>
          <w:rFonts w:eastAsia="Calibri" w:cs="Arial"/>
          <w:lang w:val="en-GB"/>
        </w:rPr>
        <w:t>children’s drug use</w:t>
      </w:r>
      <w:r w:rsidRPr="00AF23FE">
        <w:rPr>
          <w:rFonts w:eastAsia="Calibri" w:cs="Arial"/>
          <w:lang w:val="en-GB"/>
        </w:rPr>
        <w:t>.</w:t>
      </w:r>
    </w:p>
    <w:p w14:paraId="09413E12" w14:textId="75DF58D2" w:rsidR="0032123A" w:rsidRPr="00AF23FE" w:rsidRDefault="0032123A" w:rsidP="0032123A">
      <w:pPr>
        <w:pStyle w:val="Heading1"/>
        <w:rPr>
          <w:lang w:val="en-GB"/>
        </w:rPr>
      </w:pPr>
      <w:bookmarkStart w:id="19" w:name="_Toc181973442"/>
      <w:r w:rsidRPr="00AF23FE">
        <w:rPr>
          <w:lang w:val="en-GB"/>
        </w:rPr>
        <w:t>The need to cut emissions to safeguard children’s rights and to assess the best interest of children in all environmental decisions concerning them</w:t>
      </w:r>
      <w:bookmarkEnd w:id="19"/>
    </w:p>
    <w:p w14:paraId="68D4D21E" w14:textId="0B402E68" w:rsidR="0032123A" w:rsidRPr="008F0149" w:rsidRDefault="0032123A" w:rsidP="00360D7E">
      <w:pPr>
        <w:spacing w:before="120"/>
        <w:rPr>
          <w:rFonts w:eastAsia="Calibri" w:cs="Times New Roman"/>
          <w:i/>
          <w:lang w:val="en-GB"/>
        </w:rPr>
      </w:pPr>
      <w:r w:rsidRPr="008F0149">
        <w:rPr>
          <w:rFonts w:eastAsia="Calibri" w:cs="Times New Roman"/>
          <w:i/>
          <w:lang w:val="en-GB"/>
        </w:rPr>
        <w:t>Reference is made to LOIPR 2023: 24</w:t>
      </w:r>
    </w:p>
    <w:p w14:paraId="478DA74F" w14:textId="145F5406" w:rsidR="0032123A" w:rsidRPr="00AF23FE" w:rsidRDefault="0032123A" w:rsidP="0032123A">
      <w:pPr>
        <w:rPr>
          <w:rFonts w:eastAsia="Calibri" w:cs="Arial"/>
          <w:lang w:val="en-GB"/>
        </w:rPr>
      </w:pPr>
      <w:r w:rsidRPr="00AF23FE">
        <w:rPr>
          <w:rFonts w:eastAsia="Calibri" w:cs="Arial"/>
          <w:lang w:val="en-GB"/>
        </w:rPr>
        <w:t xml:space="preserve">Many children’s rights in Norway and abroad, such as the right to life, health, privacy and property, are threatened </w:t>
      </w:r>
      <w:r w:rsidR="00292198">
        <w:rPr>
          <w:rFonts w:eastAsia="Calibri" w:cs="Arial"/>
          <w:lang w:val="en-GB"/>
        </w:rPr>
        <w:t>by</w:t>
      </w:r>
      <w:r w:rsidRPr="00AF23FE">
        <w:rPr>
          <w:rFonts w:eastAsia="Calibri" w:cs="Arial"/>
          <w:lang w:val="en-GB"/>
        </w:rPr>
        <w:t xml:space="preserve"> climate change. Greenhouse gas emissions have caused widespread adverse impacts for human rights, which are projected to increase exponentially if global warming exceeds the critical 1.5°C threshold. </w:t>
      </w:r>
    </w:p>
    <w:p w14:paraId="168CC222" w14:textId="580DE3FD" w:rsidR="003D3541" w:rsidRDefault="0032123A" w:rsidP="0032123A">
      <w:pPr>
        <w:rPr>
          <w:rFonts w:eastAsia="Calibri" w:cs="Arial"/>
          <w:lang w:val="en-GB"/>
        </w:rPr>
      </w:pPr>
      <w:r w:rsidRPr="00AF23FE">
        <w:rPr>
          <w:rFonts w:eastAsia="Calibri" w:cs="Arial"/>
          <w:lang w:val="en-GB"/>
        </w:rPr>
        <w:t xml:space="preserve">Norway emits approximately 50 million tonnes of CO2 within its borders every year, with a quarter of these emissions coming from the production of oil and gas. </w:t>
      </w:r>
      <w:r w:rsidR="005562CA" w:rsidRPr="005562CA">
        <w:rPr>
          <w:rFonts w:eastAsia="Calibri" w:cs="Arial"/>
          <w:lang w:val="en-GB"/>
        </w:rPr>
        <w:t xml:space="preserve">Preliminary figures for 2023 show that </w:t>
      </w:r>
      <w:r w:rsidRPr="005562CA">
        <w:rPr>
          <w:rFonts w:eastAsia="Calibri" w:cs="Arial"/>
          <w:lang w:val="en-GB"/>
        </w:rPr>
        <w:t xml:space="preserve">Norway has reduced its domestic emissions by </w:t>
      </w:r>
      <w:r w:rsidR="005562CA" w:rsidRPr="005562CA">
        <w:rPr>
          <w:rFonts w:eastAsia="Calibri" w:cs="Arial"/>
          <w:lang w:val="en-GB"/>
        </w:rPr>
        <w:t>9,1</w:t>
      </w:r>
      <w:r w:rsidRPr="005562CA">
        <w:rPr>
          <w:rFonts w:eastAsia="Calibri" w:cs="Arial"/>
          <w:lang w:val="en-GB"/>
        </w:rPr>
        <w:t>% since 1990.</w:t>
      </w:r>
      <w:r w:rsidRPr="005562CA">
        <w:rPr>
          <w:rFonts w:eastAsia="Calibri" w:cs="Arial"/>
          <w:color w:val="333333"/>
          <w:vertAlign w:val="superscript"/>
          <w:lang w:val="en-GB"/>
        </w:rPr>
        <w:footnoteReference w:id="36"/>
      </w:r>
      <w:r w:rsidR="003D7A71">
        <w:rPr>
          <w:rFonts w:eastAsia="Calibri" w:cs="Arial"/>
          <w:lang w:val="en-GB"/>
        </w:rPr>
        <w:t xml:space="preserve"> </w:t>
      </w:r>
      <w:r w:rsidR="001A059D">
        <w:rPr>
          <w:rFonts w:eastAsia="Calibri" w:cs="Arial"/>
          <w:lang w:val="en-GB"/>
        </w:rPr>
        <w:t xml:space="preserve">According to the </w:t>
      </w:r>
      <w:r w:rsidR="006B4FED">
        <w:rPr>
          <w:rFonts w:eastAsia="Calibri" w:cs="Arial"/>
          <w:lang w:val="en-GB"/>
        </w:rPr>
        <w:t>Government</w:t>
      </w:r>
      <w:r w:rsidR="001A059D">
        <w:rPr>
          <w:rFonts w:eastAsia="Calibri" w:cs="Arial"/>
          <w:lang w:val="en-GB"/>
        </w:rPr>
        <w:t xml:space="preserve">, </w:t>
      </w:r>
      <w:r w:rsidR="003D7A71">
        <w:rPr>
          <w:rFonts w:eastAsia="Calibri" w:cs="Arial"/>
          <w:lang w:val="en-GB"/>
        </w:rPr>
        <w:t>Norway is not on track to</w:t>
      </w:r>
      <w:r w:rsidR="00484E26">
        <w:rPr>
          <w:rFonts w:eastAsia="Calibri" w:cs="Arial"/>
          <w:lang w:val="en-GB"/>
        </w:rPr>
        <w:t xml:space="preserve"> meet its 2030 target of</w:t>
      </w:r>
      <w:r w:rsidR="003D7A71">
        <w:rPr>
          <w:rFonts w:eastAsia="Calibri" w:cs="Arial"/>
          <w:lang w:val="en-GB"/>
        </w:rPr>
        <w:t xml:space="preserve"> reduc</w:t>
      </w:r>
      <w:r w:rsidR="00484E26">
        <w:rPr>
          <w:rFonts w:eastAsia="Calibri" w:cs="Arial"/>
          <w:lang w:val="en-GB"/>
        </w:rPr>
        <w:t>ing</w:t>
      </w:r>
      <w:r w:rsidR="003D7A71">
        <w:rPr>
          <w:rFonts w:eastAsia="Calibri" w:cs="Arial"/>
          <w:lang w:val="en-GB"/>
        </w:rPr>
        <w:t xml:space="preserve"> </w:t>
      </w:r>
      <w:r w:rsidR="00B712FD">
        <w:rPr>
          <w:rFonts w:eastAsia="Calibri" w:cs="Arial"/>
          <w:lang w:val="en-GB"/>
        </w:rPr>
        <w:t xml:space="preserve">territorial </w:t>
      </w:r>
      <w:r w:rsidR="003D7A71">
        <w:rPr>
          <w:rFonts w:eastAsia="Calibri" w:cs="Arial"/>
          <w:lang w:val="en-GB"/>
        </w:rPr>
        <w:t xml:space="preserve">emissions by </w:t>
      </w:r>
      <w:r w:rsidR="003D7A71" w:rsidRPr="00A924DB">
        <w:rPr>
          <w:rFonts w:eastAsia="Calibri" w:cs="Arial"/>
          <w:lang w:val="en-GB"/>
        </w:rPr>
        <w:t xml:space="preserve">55 </w:t>
      </w:r>
      <w:r w:rsidR="006B4FED">
        <w:rPr>
          <w:rFonts w:eastAsia="Calibri" w:cs="Arial"/>
          <w:lang w:val="en-GB"/>
        </w:rPr>
        <w:t>%</w:t>
      </w:r>
      <w:r w:rsidR="003D7A71" w:rsidRPr="00A924DB">
        <w:rPr>
          <w:rFonts w:eastAsia="Calibri" w:cs="Arial"/>
          <w:lang w:val="en-GB"/>
        </w:rPr>
        <w:t xml:space="preserve"> compared </w:t>
      </w:r>
      <w:r w:rsidR="00484E26">
        <w:rPr>
          <w:rFonts w:eastAsia="Calibri" w:cs="Arial"/>
          <w:lang w:val="en-GB"/>
        </w:rPr>
        <w:t>to</w:t>
      </w:r>
      <w:r w:rsidR="003D7A71" w:rsidRPr="00A924DB">
        <w:rPr>
          <w:rFonts w:eastAsia="Calibri" w:cs="Arial"/>
          <w:lang w:val="en-GB"/>
        </w:rPr>
        <w:t xml:space="preserve"> 1990 levels</w:t>
      </w:r>
      <w:r w:rsidR="006B4FED">
        <w:rPr>
          <w:rFonts w:eastAsia="Calibri" w:cs="Arial"/>
          <w:lang w:val="en-GB"/>
        </w:rPr>
        <w:t>.</w:t>
      </w:r>
      <w:r w:rsidR="001A059D">
        <w:rPr>
          <w:rStyle w:val="FootnoteReference"/>
          <w:rFonts w:eastAsia="Calibri" w:cs="Arial"/>
          <w:lang w:val="en-GB"/>
        </w:rPr>
        <w:footnoteReference w:id="37"/>
      </w:r>
      <w:r w:rsidR="006B4FED">
        <w:rPr>
          <w:rFonts w:eastAsia="Calibri" w:cs="Arial"/>
          <w:lang w:val="en-GB"/>
        </w:rPr>
        <w:t xml:space="preserve"> However, it</w:t>
      </w:r>
      <w:r w:rsidR="00B70AA7">
        <w:rPr>
          <w:rFonts w:eastAsia="Calibri" w:cs="Arial"/>
          <w:lang w:val="en-GB"/>
        </w:rPr>
        <w:t xml:space="preserve"> may fulfil </w:t>
      </w:r>
      <w:r w:rsidR="001A059D">
        <w:rPr>
          <w:rFonts w:eastAsia="Calibri" w:cs="Arial"/>
          <w:lang w:val="en-GB"/>
        </w:rPr>
        <w:t xml:space="preserve">its climate targets under the Norwegian Climate Act </w:t>
      </w:r>
      <w:r w:rsidR="00B712FD">
        <w:rPr>
          <w:rFonts w:eastAsia="Calibri" w:cs="Arial"/>
          <w:lang w:val="en-GB"/>
        </w:rPr>
        <w:t>by</w:t>
      </w:r>
      <w:r w:rsidR="001A059D">
        <w:rPr>
          <w:rFonts w:eastAsia="Calibri" w:cs="Arial"/>
          <w:lang w:val="en-GB"/>
        </w:rPr>
        <w:t xml:space="preserve"> </w:t>
      </w:r>
      <w:r w:rsidR="00553AEC">
        <w:rPr>
          <w:rFonts w:eastAsia="Calibri" w:cs="Arial"/>
          <w:lang w:val="en-GB"/>
        </w:rPr>
        <w:t xml:space="preserve">financing </w:t>
      </w:r>
      <w:r w:rsidR="00B712FD">
        <w:rPr>
          <w:rFonts w:eastAsia="Calibri" w:cs="Arial"/>
          <w:lang w:val="en-GB"/>
        </w:rPr>
        <w:t xml:space="preserve">emission </w:t>
      </w:r>
      <w:r w:rsidR="00553AEC">
        <w:rPr>
          <w:rFonts w:eastAsia="Calibri" w:cs="Arial"/>
          <w:lang w:val="en-GB"/>
        </w:rPr>
        <w:t>reduction</w:t>
      </w:r>
      <w:r w:rsidR="00B712FD">
        <w:rPr>
          <w:rFonts w:eastAsia="Calibri" w:cs="Arial"/>
          <w:lang w:val="en-GB"/>
        </w:rPr>
        <w:t>s</w:t>
      </w:r>
      <w:r w:rsidR="00553AEC">
        <w:rPr>
          <w:rFonts w:eastAsia="Calibri" w:cs="Arial"/>
          <w:lang w:val="en-GB"/>
        </w:rPr>
        <w:t xml:space="preserve"> abroad t</w:t>
      </w:r>
      <w:r w:rsidR="00B712FD">
        <w:rPr>
          <w:rFonts w:eastAsia="Calibri" w:cs="Arial"/>
          <w:lang w:val="en-GB"/>
        </w:rPr>
        <w:t>h</w:t>
      </w:r>
      <w:r w:rsidR="00553AEC">
        <w:rPr>
          <w:rFonts w:eastAsia="Calibri" w:cs="Arial"/>
          <w:lang w:val="en-GB"/>
        </w:rPr>
        <w:t xml:space="preserve">rough emission trading systems and quotas. </w:t>
      </w:r>
    </w:p>
    <w:p w14:paraId="20585672" w14:textId="483E1013" w:rsidR="0032123A" w:rsidRPr="00AF23FE" w:rsidRDefault="0032123A" w:rsidP="0032123A">
      <w:pPr>
        <w:rPr>
          <w:rFonts w:eastAsia="Calibri" w:cs="Arial"/>
          <w:lang w:val="en-GB"/>
        </w:rPr>
      </w:pPr>
      <w:r w:rsidRPr="005562CA">
        <w:rPr>
          <w:rFonts w:eastAsia="Calibri" w:cs="Arial"/>
          <w:lang w:val="en-GB"/>
        </w:rPr>
        <w:t>Norway</w:t>
      </w:r>
      <w:r w:rsidRPr="00AF23FE">
        <w:rPr>
          <w:rFonts w:eastAsia="Calibri" w:cs="Arial"/>
          <w:lang w:val="en-GB"/>
        </w:rPr>
        <w:t xml:space="preserve"> was central in the negotiations that led to the agreement at COP28 in 2023 to “transition away from fossil fuels”. However, Norway has plans to expand, not phase out, oil and gas production and export. Every year, Norway exports oil and gas that is responsible for a further 500 million tonnes of CO</w:t>
      </w:r>
      <w:r w:rsidRPr="00AF23FE">
        <w:rPr>
          <w:rFonts w:eastAsia="Calibri" w:cs="Arial"/>
          <w:vertAlign w:val="subscript"/>
          <w:lang w:val="en-GB"/>
        </w:rPr>
        <w:t>2</w:t>
      </w:r>
      <w:r w:rsidRPr="00AF23FE">
        <w:rPr>
          <w:rFonts w:eastAsia="Calibri" w:cs="Arial"/>
          <w:lang w:val="en-GB"/>
        </w:rPr>
        <w:t xml:space="preserve"> emissions.</w:t>
      </w:r>
      <w:r w:rsidRPr="00AF23FE">
        <w:rPr>
          <w:rFonts w:eastAsia="Calibri" w:cs="Arial"/>
          <w:color w:val="333333"/>
          <w:vertAlign w:val="superscript"/>
          <w:lang w:val="en-GB"/>
        </w:rPr>
        <w:footnoteReference w:id="38"/>
      </w:r>
      <w:r w:rsidRPr="00AF23FE">
        <w:rPr>
          <w:rFonts w:eastAsia="Calibri" w:cs="Arial"/>
          <w:lang w:val="en-GB"/>
        </w:rPr>
        <w:t xml:space="preserve"> During Covid-19, the Government gave fossil fuel subsidies through an oil tax package for plans </w:t>
      </w:r>
      <w:r w:rsidRPr="00AF23FE">
        <w:rPr>
          <w:rFonts w:eastAsia="Calibri" w:cs="Arial"/>
          <w:lang w:val="en-GB"/>
        </w:rPr>
        <w:lastRenderedPageBreak/>
        <w:t>for development and operation of petroleum deposits (PDOs) estimated to a total revenue loss for Norway at 68 billion NOK,</w:t>
      </w:r>
      <w:r w:rsidRPr="00AF23FE">
        <w:rPr>
          <w:rFonts w:eastAsia="Calibri" w:cs="Arial"/>
          <w:color w:val="333333"/>
          <w:vertAlign w:val="superscript"/>
          <w:lang w:val="en-GB"/>
        </w:rPr>
        <w:footnoteReference w:id="39"/>
      </w:r>
      <w:r w:rsidRPr="00AF23FE">
        <w:rPr>
          <w:rFonts w:eastAsia="Calibri" w:cs="Arial"/>
          <w:lang w:val="en-GB"/>
        </w:rPr>
        <w:t xml:space="preserve"> without assessing the best interests of children or </w:t>
      </w:r>
      <w:r w:rsidR="00B853BE">
        <w:rPr>
          <w:rFonts w:eastAsia="Calibri" w:cs="Arial"/>
          <w:lang w:val="en-GB"/>
        </w:rPr>
        <w:t xml:space="preserve">the </w:t>
      </w:r>
      <w:r w:rsidRPr="00AF23FE">
        <w:rPr>
          <w:rFonts w:eastAsia="Calibri" w:cs="Arial"/>
          <w:lang w:val="en-GB"/>
        </w:rPr>
        <w:t xml:space="preserve">environmental effects.  </w:t>
      </w:r>
    </w:p>
    <w:p w14:paraId="47A709D9" w14:textId="60A38480" w:rsidR="008F0149" w:rsidRPr="008F0149" w:rsidRDefault="008F0149" w:rsidP="0032123A">
      <w:pPr>
        <w:rPr>
          <w:rFonts w:eastAsia="Calibri" w:cs="Arial"/>
          <w:b/>
          <w:bCs/>
          <w:lang w:val="en-GB"/>
        </w:rPr>
      </w:pPr>
      <w:r w:rsidRPr="008F0149">
        <w:rPr>
          <w:rFonts w:eastAsia="Calibri" w:cs="Arial"/>
          <w:b/>
          <w:bCs/>
          <w:lang w:val="en-GB"/>
        </w:rPr>
        <w:t>Suggested recommendation</w:t>
      </w:r>
      <w:r>
        <w:rPr>
          <w:rFonts w:eastAsia="Calibri" w:cs="Arial"/>
          <w:b/>
          <w:bCs/>
          <w:lang w:val="en-GB"/>
        </w:rPr>
        <w:t>s</w:t>
      </w:r>
      <w:r w:rsidRPr="008F0149">
        <w:rPr>
          <w:rFonts w:eastAsia="Calibri" w:cs="Arial"/>
          <w:b/>
          <w:bCs/>
          <w:lang w:val="en-GB"/>
        </w:rPr>
        <w:t>:</w:t>
      </w:r>
    </w:p>
    <w:p w14:paraId="77F91799" w14:textId="77777777" w:rsidR="0032123A" w:rsidRPr="00AF23FE" w:rsidRDefault="0032123A" w:rsidP="0032123A">
      <w:pPr>
        <w:numPr>
          <w:ilvl w:val="0"/>
          <w:numId w:val="33"/>
        </w:numPr>
        <w:spacing w:before="120"/>
        <w:contextualSpacing/>
        <w:rPr>
          <w:rFonts w:eastAsia="Calibri" w:cs="Arial"/>
          <w:lang w:val="en-GB"/>
        </w:rPr>
      </w:pPr>
      <w:r w:rsidRPr="00AF23FE">
        <w:rPr>
          <w:rFonts w:eastAsia="Calibri" w:cs="Arial"/>
          <w:lang w:val="en-GB"/>
        </w:rPr>
        <w:t>The State Party should implement deep, rapid and sustained reductions in both domestic and exported greenhouse gas emissions, in line with the 1.5°C target, to protect children’s rights from the worst effects of climate change.</w:t>
      </w:r>
    </w:p>
    <w:p w14:paraId="09E38796" w14:textId="15D3BD68" w:rsidR="0032123A" w:rsidRPr="00711D0C" w:rsidRDefault="0032123A" w:rsidP="0032123A">
      <w:pPr>
        <w:numPr>
          <w:ilvl w:val="0"/>
          <w:numId w:val="33"/>
        </w:numPr>
        <w:spacing w:before="120"/>
        <w:contextualSpacing/>
        <w:rPr>
          <w:rFonts w:eastAsia="Calibri" w:cs="Arial"/>
          <w:lang w:val="en-GB"/>
        </w:rPr>
      </w:pPr>
      <w:r w:rsidRPr="00AF23FE">
        <w:rPr>
          <w:rFonts w:eastAsia="Calibri" w:cs="Arial"/>
          <w:lang w:val="en-GB"/>
        </w:rPr>
        <w:t>The State Party should assess the best interests of children prior to the approval of PDOs</w:t>
      </w:r>
      <w:r w:rsidR="00CC0222">
        <w:rPr>
          <w:rFonts w:eastAsia="Calibri" w:cs="Arial"/>
          <w:lang w:val="en-GB"/>
        </w:rPr>
        <w:t xml:space="preserve">, </w:t>
      </w:r>
      <w:r w:rsidR="008E6D2E">
        <w:rPr>
          <w:rFonts w:eastAsia="Calibri" w:cs="Arial"/>
          <w:lang w:val="en-GB"/>
        </w:rPr>
        <w:t xml:space="preserve">paying due regard to </w:t>
      </w:r>
      <w:r w:rsidR="00CC0222">
        <w:rPr>
          <w:rFonts w:eastAsia="Calibri" w:cs="Arial"/>
          <w:lang w:val="en-GB"/>
        </w:rPr>
        <w:t>the Committee’s recommendation</w:t>
      </w:r>
      <w:r w:rsidR="00EF6D8E">
        <w:rPr>
          <w:rFonts w:eastAsia="Calibri" w:cs="Arial"/>
          <w:lang w:val="en-GB"/>
        </w:rPr>
        <w:t>s</w:t>
      </w:r>
      <w:r w:rsidRPr="00AF23FE">
        <w:rPr>
          <w:rFonts w:eastAsia="Calibri" w:cs="Arial"/>
          <w:lang w:val="en-GB"/>
        </w:rPr>
        <w:t xml:space="preserve"> </w:t>
      </w:r>
      <w:r w:rsidR="00625217">
        <w:rPr>
          <w:rFonts w:eastAsia="Calibri" w:cs="Arial"/>
          <w:lang w:val="en-GB"/>
        </w:rPr>
        <w:t>in General Comment no. 26</w:t>
      </w:r>
      <w:r w:rsidR="00EF6D8E">
        <w:rPr>
          <w:rFonts w:eastAsia="Calibri" w:cs="Arial"/>
          <w:lang w:val="en-GB"/>
        </w:rPr>
        <w:t xml:space="preserve"> concerning </w:t>
      </w:r>
      <w:r w:rsidR="00D52570">
        <w:rPr>
          <w:rFonts w:eastAsia="Calibri" w:cs="Arial"/>
          <w:lang w:val="en-GB"/>
        </w:rPr>
        <w:t xml:space="preserve">impact assessments and </w:t>
      </w:r>
      <w:r w:rsidR="00EF6D8E">
        <w:rPr>
          <w:rFonts w:eastAsia="Calibri" w:cs="Arial"/>
          <w:lang w:val="en-GB"/>
        </w:rPr>
        <w:t>the</w:t>
      </w:r>
      <w:r w:rsidR="00625217">
        <w:rPr>
          <w:rFonts w:eastAsia="Calibri" w:cs="Arial"/>
          <w:lang w:val="en-GB"/>
        </w:rPr>
        <w:t xml:space="preserve"> </w:t>
      </w:r>
      <w:r w:rsidRPr="00AF23FE">
        <w:rPr>
          <w:rFonts w:eastAsia="Calibri" w:cs="Arial"/>
          <w:lang w:val="en-GB"/>
        </w:rPr>
        <w:t xml:space="preserve">phase out </w:t>
      </w:r>
      <w:r w:rsidR="00EF6D8E">
        <w:rPr>
          <w:rFonts w:eastAsia="Calibri" w:cs="Arial"/>
          <w:lang w:val="en-GB"/>
        </w:rPr>
        <w:t xml:space="preserve">of </w:t>
      </w:r>
      <w:r w:rsidRPr="00AF23FE">
        <w:rPr>
          <w:rFonts w:eastAsia="Calibri" w:cs="Arial"/>
          <w:lang w:val="en-GB"/>
        </w:rPr>
        <w:t xml:space="preserve">oil and gas production. </w:t>
      </w:r>
    </w:p>
    <w:p w14:paraId="78D53B23" w14:textId="53071429" w:rsidR="0032123A" w:rsidRPr="00AF23FE" w:rsidRDefault="00A77842" w:rsidP="0032123A">
      <w:pPr>
        <w:pStyle w:val="Heading1"/>
        <w:rPr>
          <w:lang w:val="en-GB"/>
        </w:rPr>
      </w:pPr>
      <w:r>
        <w:rPr>
          <w:color w:val="FF0000"/>
          <w:lang w:val="en-GB"/>
        </w:rPr>
        <w:t xml:space="preserve"> </w:t>
      </w:r>
      <w:bookmarkStart w:id="20" w:name="_Toc181973443"/>
      <w:r w:rsidR="0032123A" w:rsidRPr="00AF23FE">
        <w:rPr>
          <w:lang w:val="en-GB"/>
        </w:rPr>
        <w:t>Child poverty and the standard of living</w:t>
      </w:r>
      <w:bookmarkEnd w:id="20"/>
    </w:p>
    <w:p w14:paraId="774F5E7E" w14:textId="2FBB8217" w:rsidR="0032123A" w:rsidRPr="008F0149" w:rsidRDefault="0032123A" w:rsidP="00360D7E">
      <w:pPr>
        <w:spacing w:before="120"/>
        <w:rPr>
          <w:rFonts w:eastAsia="Calibri" w:cs="Times New Roman"/>
          <w:i/>
          <w:lang w:val="en-GB"/>
        </w:rPr>
      </w:pPr>
      <w:r w:rsidRPr="008F0149">
        <w:rPr>
          <w:rFonts w:eastAsia="Calibri" w:cs="Times New Roman"/>
          <w:i/>
          <w:lang w:val="en-GB"/>
        </w:rPr>
        <w:t>Reference is made to LOIPR 2023: 25</w:t>
      </w:r>
    </w:p>
    <w:p w14:paraId="3AE90E32" w14:textId="3DD1702A" w:rsidR="0032123A" w:rsidRPr="00AF23FE" w:rsidRDefault="0032123A" w:rsidP="0032123A">
      <w:pPr>
        <w:contextualSpacing/>
        <w:rPr>
          <w:rFonts w:eastAsia="Calibri" w:cs="Arial"/>
          <w:lang w:val="en-GB"/>
        </w:rPr>
      </w:pPr>
      <w:r w:rsidRPr="00AF23FE">
        <w:rPr>
          <w:rFonts w:eastAsia="Calibri" w:cs="Arial"/>
          <w:lang w:val="en-GB"/>
        </w:rPr>
        <w:t>In 202</w:t>
      </w:r>
      <w:r w:rsidR="00224E37">
        <w:rPr>
          <w:rFonts w:eastAsia="Calibri" w:cs="Arial"/>
          <w:lang w:val="en-GB"/>
        </w:rPr>
        <w:t>2</w:t>
      </w:r>
      <w:r w:rsidRPr="00AF23FE">
        <w:rPr>
          <w:rFonts w:eastAsia="Calibri" w:cs="Arial"/>
          <w:lang w:val="en-GB"/>
        </w:rPr>
        <w:t>, 1</w:t>
      </w:r>
      <w:r w:rsidR="00224E37">
        <w:rPr>
          <w:rFonts w:eastAsia="Calibri" w:cs="Arial"/>
          <w:lang w:val="en-GB"/>
        </w:rPr>
        <w:t>0</w:t>
      </w:r>
      <w:r w:rsidRPr="00AF23FE">
        <w:rPr>
          <w:rFonts w:eastAsia="Calibri" w:cs="Arial"/>
          <w:lang w:val="en-GB"/>
        </w:rPr>
        <w:t>.</w:t>
      </w:r>
      <w:r w:rsidR="00224E37">
        <w:rPr>
          <w:rFonts w:eastAsia="Calibri" w:cs="Arial"/>
          <w:lang w:val="en-GB"/>
        </w:rPr>
        <w:t>6</w:t>
      </w:r>
      <w:r w:rsidRPr="00AF23FE">
        <w:rPr>
          <w:rFonts w:eastAsia="Calibri" w:cs="Arial"/>
          <w:lang w:val="en-GB"/>
        </w:rPr>
        <w:t xml:space="preserve"> per cent of children belonged to households with persistent low income</w:t>
      </w:r>
      <w:r w:rsidR="005D4D96">
        <w:rPr>
          <w:rFonts w:eastAsia="Calibri" w:cs="Arial"/>
          <w:lang w:val="en-GB"/>
        </w:rPr>
        <w:t xml:space="preserve">. While </w:t>
      </w:r>
      <w:r w:rsidR="00CD4D7B">
        <w:rPr>
          <w:rFonts w:eastAsia="Calibri" w:cs="Arial"/>
          <w:lang w:val="en-GB"/>
        </w:rPr>
        <w:t>the number has</w:t>
      </w:r>
      <w:r w:rsidR="00DE62BE">
        <w:rPr>
          <w:rFonts w:eastAsia="Calibri" w:cs="Arial"/>
          <w:lang w:val="en-GB"/>
        </w:rPr>
        <w:t xml:space="preserve"> </w:t>
      </w:r>
      <w:r w:rsidR="0002085A">
        <w:rPr>
          <w:rFonts w:eastAsia="Calibri" w:cs="Arial"/>
          <w:lang w:val="en-GB"/>
        </w:rPr>
        <w:t>decreased slightly in recent years,</w:t>
      </w:r>
      <w:r w:rsidR="00A95700">
        <w:rPr>
          <w:rFonts w:eastAsia="Calibri" w:cs="Arial"/>
          <w:lang w:val="en-GB"/>
        </w:rPr>
        <w:t xml:space="preserve"> this comes after a </w:t>
      </w:r>
      <w:r w:rsidR="00E120CA">
        <w:rPr>
          <w:rFonts w:eastAsia="Calibri" w:cs="Arial"/>
          <w:lang w:val="en-GB"/>
        </w:rPr>
        <w:t xml:space="preserve">long </w:t>
      </w:r>
      <w:r w:rsidR="00A95700">
        <w:rPr>
          <w:rFonts w:eastAsia="Calibri" w:cs="Arial"/>
          <w:lang w:val="en-GB"/>
        </w:rPr>
        <w:t>per</w:t>
      </w:r>
      <w:r w:rsidR="00D31F2E">
        <w:rPr>
          <w:rFonts w:eastAsia="Calibri" w:cs="Arial"/>
          <w:lang w:val="en-GB"/>
        </w:rPr>
        <w:t>iod of</w:t>
      </w:r>
      <w:r w:rsidR="00C65F92">
        <w:rPr>
          <w:rFonts w:eastAsia="Calibri" w:cs="Arial"/>
          <w:lang w:val="en-GB"/>
        </w:rPr>
        <w:t xml:space="preserve"> </w:t>
      </w:r>
      <w:r w:rsidR="00F56A58">
        <w:rPr>
          <w:rFonts w:eastAsia="Calibri" w:cs="Arial"/>
          <w:lang w:val="en-GB"/>
        </w:rPr>
        <w:t>increase</w:t>
      </w:r>
      <w:r w:rsidR="000A4B9B">
        <w:rPr>
          <w:rFonts w:eastAsia="Calibri" w:cs="Arial"/>
          <w:lang w:val="en-GB"/>
        </w:rPr>
        <w:t xml:space="preserve">. In </w:t>
      </w:r>
      <w:r w:rsidR="009E163C">
        <w:rPr>
          <w:rFonts w:eastAsia="Calibri" w:cs="Arial"/>
          <w:lang w:val="en-GB"/>
        </w:rPr>
        <w:t xml:space="preserve">2005, </w:t>
      </w:r>
      <w:r w:rsidR="00901B25">
        <w:rPr>
          <w:rFonts w:eastAsia="Calibri" w:cs="Arial"/>
          <w:lang w:val="en-GB"/>
        </w:rPr>
        <w:t>6</w:t>
      </w:r>
      <w:r w:rsidR="004D02E5">
        <w:rPr>
          <w:rFonts w:eastAsia="Calibri" w:cs="Arial"/>
          <w:lang w:val="en-GB"/>
        </w:rPr>
        <w:t xml:space="preserve">.7 per cent of </w:t>
      </w:r>
      <w:r w:rsidR="005C0166">
        <w:rPr>
          <w:rFonts w:eastAsia="Calibri" w:cs="Arial"/>
          <w:lang w:val="en-GB"/>
        </w:rPr>
        <w:t>children belonged to low-income house</w:t>
      </w:r>
      <w:r w:rsidR="008832B5">
        <w:rPr>
          <w:rFonts w:eastAsia="Calibri" w:cs="Arial"/>
          <w:lang w:val="en-GB"/>
        </w:rPr>
        <w:t>holds</w:t>
      </w:r>
      <w:r w:rsidRPr="00AF23FE">
        <w:rPr>
          <w:rFonts w:eastAsia="Calibri" w:cs="Arial"/>
          <w:lang w:val="en-GB"/>
        </w:rPr>
        <w:t>.</w:t>
      </w:r>
      <w:r w:rsidR="00670450">
        <w:rPr>
          <w:rStyle w:val="FootnoteReference"/>
          <w:rFonts w:eastAsia="Calibri" w:cs="Arial"/>
          <w:lang w:val="en-GB"/>
        </w:rPr>
        <w:footnoteReference w:id="40"/>
      </w:r>
      <w:r w:rsidRPr="00AF23FE">
        <w:rPr>
          <w:rFonts w:eastAsia="Calibri" w:cs="Arial"/>
          <w:lang w:val="en-GB"/>
        </w:rPr>
        <w:t xml:space="preserve"> These children have an increased risk </w:t>
      </w:r>
      <w:r w:rsidR="00AB316D">
        <w:rPr>
          <w:rFonts w:eastAsia="Calibri" w:cs="Arial"/>
          <w:lang w:val="en-GB"/>
        </w:rPr>
        <w:t xml:space="preserve">of </w:t>
      </w:r>
      <w:r w:rsidRPr="00AF23FE">
        <w:rPr>
          <w:rFonts w:eastAsia="Calibri" w:cs="Arial"/>
          <w:lang w:val="en-GB"/>
        </w:rPr>
        <w:t xml:space="preserve">experiencing socio-economic disadvantage, including negative health outcomes, lower rates of educational attainment and higher rates of unemployment and underemployment. Additionally, access to support services varies according to municipality. This has negative impacts on a whole range of children’s rights, including the right to education, the right to play, rest, and leisure, and the right to health. </w:t>
      </w:r>
    </w:p>
    <w:p w14:paraId="19D268E9" w14:textId="77777777" w:rsidR="0032123A" w:rsidRPr="00AF23FE" w:rsidRDefault="0032123A" w:rsidP="0032123A">
      <w:pPr>
        <w:contextualSpacing/>
        <w:rPr>
          <w:rFonts w:eastAsia="Calibri" w:cs="Arial"/>
          <w:lang w:val="en-GB"/>
        </w:rPr>
      </w:pPr>
    </w:p>
    <w:p w14:paraId="380F76D5" w14:textId="77777777" w:rsidR="0032123A" w:rsidRDefault="0032123A" w:rsidP="0032123A">
      <w:pPr>
        <w:rPr>
          <w:rFonts w:eastAsia="Calibri" w:cs="Arial"/>
          <w:lang w:val="en-GB"/>
        </w:rPr>
      </w:pPr>
      <w:r w:rsidRPr="00AF23FE">
        <w:rPr>
          <w:rFonts w:eastAsia="Calibri" w:cs="Arial"/>
          <w:lang w:val="en-GB"/>
        </w:rPr>
        <w:t>Several measures have been proposed to address this by a government-appointed committee.</w:t>
      </w:r>
      <w:r w:rsidRPr="00AF23FE">
        <w:rPr>
          <w:rFonts w:eastAsia="Calibri" w:cs="Arial"/>
          <w:color w:val="333333"/>
          <w:vertAlign w:val="superscript"/>
          <w:lang w:val="en-GB"/>
        </w:rPr>
        <w:t xml:space="preserve"> </w:t>
      </w:r>
      <w:r w:rsidRPr="00AF23FE">
        <w:rPr>
          <w:rFonts w:eastAsia="Calibri" w:cs="Arial"/>
          <w:color w:val="333333"/>
          <w:vertAlign w:val="superscript"/>
          <w:lang w:val="en-GB"/>
        </w:rPr>
        <w:footnoteReference w:id="41"/>
      </w:r>
      <w:r w:rsidRPr="00AF23FE">
        <w:rPr>
          <w:rFonts w:eastAsia="Calibri" w:cs="Arial"/>
          <w:lang w:val="en-GB"/>
        </w:rPr>
        <w:t xml:space="preserve"> The Government has announced that it will deliver a white paper on social equity and social mobility in 2025, particularly aimed at children, youth and their families.</w:t>
      </w:r>
    </w:p>
    <w:p w14:paraId="0CE0A572" w14:textId="77777777" w:rsidR="00A3506C" w:rsidRPr="00AF23FE" w:rsidRDefault="00A3506C" w:rsidP="0032123A">
      <w:pPr>
        <w:rPr>
          <w:rFonts w:eastAsia="Calibri" w:cs="Arial"/>
          <w:lang w:val="en-GB"/>
        </w:rPr>
      </w:pPr>
    </w:p>
    <w:p w14:paraId="4180E916" w14:textId="6F8B883B" w:rsidR="008F0149" w:rsidRPr="008F0149" w:rsidRDefault="008F0149" w:rsidP="0032123A">
      <w:pPr>
        <w:rPr>
          <w:rFonts w:eastAsia="Calibri" w:cs="Arial"/>
          <w:b/>
          <w:bCs/>
          <w:lang w:val="en-GB"/>
        </w:rPr>
      </w:pPr>
      <w:r w:rsidRPr="008F0149">
        <w:rPr>
          <w:rFonts w:eastAsia="Calibri" w:cs="Arial"/>
          <w:b/>
          <w:bCs/>
          <w:lang w:val="en-GB"/>
        </w:rPr>
        <w:lastRenderedPageBreak/>
        <w:t>Suggested recommendation:</w:t>
      </w:r>
    </w:p>
    <w:p w14:paraId="444E8818" w14:textId="77777777" w:rsidR="0032123A" w:rsidRPr="00AF23FE" w:rsidRDefault="0032123A" w:rsidP="0032123A">
      <w:pPr>
        <w:pStyle w:val="ListParagraph"/>
        <w:numPr>
          <w:ilvl w:val="0"/>
          <w:numId w:val="37"/>
        </w:numPr>
        <w:spacing w:before="0"/>
        <w:rPr>
          <w:rFonts w:eastAsia="Calibri" w:cs="Arial"/>
          <w:lang w:val="en-GB"/>
        </w:rPr>
      </w:pPr>
      <w:r w:rsidRPr="00AF23FE">
        <w:rPr>
          <w:rFonts w:eastAsia="Calibri" w:cs="Arial"/>
          <w:lang w:val="en-GB"/>
        </w:rPr>
        <w:t>The State Party should assess the human rights impacts of child poverty in its forthcoming white paper on social equity and social mobility and develop effective measures to address these impacts.</w:t>
      </w:r>
    </w:p>
    <w:p w14:paraId="13C7DBD6" w14:textId="77777777" w:rsidR="0032123A" w:rsidRPr="008F0149" w:rsidRDefault="0032123A" w:rsidP="0032123A">
      <w:pPr>
        <w:keepNext/>
        <w:tabs>
          <w:tab w:val="left" w:pos="426"/>
        </w:tabs>
        <w:spacing w:before="360" w:after="0" w:line="240" w:lineRule="auto"/>
        <w:ind w:left="227" w:hanging="227"/>
        <w:outlineLvl w:val="0"/>
        <w:rPr>
          <w:rFonts w:eastAsia="Calibri" w:cs="Arial"/>
          <w:b/>
          <w:sz w:val="40"/>
          <w:szCs w:val="40"/>
          <w:lang w:val="en-GB"/>
        </w:rPr>
      </w:pPr>
      <w:bookmarkStart w:id="21" w:name="_Toc181973444"/>
      <w:r w:rsidRPr="008F0149">
        <w:rPr>
          <w:rFonts w:eastAsia="Calibri" w:cs="Arial"/>
          <w:b/>
          <w:sz w:val="40"/>
          <w:szCs w:val="40"/>
          <w:lang w:val="en-GB"/>
        </w:rPr>
        <w:t>Special protection measures</w:t>
      </w:r>
      <w:bookmarkEnd w:id="21"/>
    </w:p>
    <w:p w14:paraId="75494F6B" w14:textId="63E4E900" w:rsidR="0032123A" w:rsidRPr="00AF23FE" w:rsidRDefault="0032123A" w:rsidP="0032123A">
      <w:pPr>
        <w:pStyle w:val="Heading1"/>
        <w:rPr>
          <w:lang w:val="en-GB"/>
        </w:rPr>
      </w:pPr>
      <w:bookmarkStart w:id="22" w:name="_Toc181973445"/>
      <w:r w:rsidRPr="00AF23FE">
        <w:rPr>
          <w:lang w:val="en-GB"/>
        </w:rPr>
        <w:t xml:space="preserve">Differential care for unaccompanied asylum seekers aged </w:t>
      </w:r>
      <w:r w:rsidR="00711D0C">
        <w:rPr>
          <w:lang w:val="en-GB"/>
        </w:rPr>
        <w:t xml:space="preserve">between </w:t>
      </w:r>
      <w:r w:rsidRPr="00AF23FE">
        <w:rPr>
          <w:lang w:val="en-GB"/>
        </w:rPr>
        <w:t>15-18</w:t>
      </w:r>
      <w:bookmarkEnd w:id="22"/>
    </w:p>
    <w:p w14:paraId="6BC28BFD" w14:textId="330888B2" w:rsidR="0032123A" w:rsidRPr="00017A7D" w:rsidRDefault="0032123A" w:rsidP="00360D7E">
      <w:pPr>
        <w:spacing w:before="120"/>
        <w:rPr>
          <w:rFonts w:eastAsia="Calibri" w:cs="Times New Roman"/>
          <w:i/>
          <w:iCs/>
          <w:lang w:val="en-GB"/>
        </w:rPr>
      </w:pPr>
      <w:r w:rsidRPr="00017A7D">
        <w:rPr>
          <w:rFonts w:eastAsia="Calibri" w:cs="Times New Roman"/>
          <w:i/>
          <w:iCs/>
          <w:lang w:val="en-GB"/>
        </w:rPr>
        <w:t>Reference is made to LOIPR 2023: 28</w:t>
      </w:r>
    </w:p>
    <w:p w14:paraId="796B94BB" w14:textId="24B9FD2E" w:rsidR="0032123A" w:rsidRPr="00AF23FE" w:rsidRDefault="0032123A" w:rsidP="0032123A">
      <w:pPr>
        <w:rPr>
          <w:rFonts w:eastAsia="Calibri" w:cs="Arial"/>
          <w:lang w:val="en-GB"/>
        </w:rPr>
      </w:pPr>
      <w:r w:rsidRPr="00AF23FE">
        <w:rPr>
          <w:rFonts w:eastAsia="Calibri" w:cs="Arial"/>
          <w:lang w:val="en-GB"/>
        </w:rPr>
        <w:t xml:space="preserve">The differential treatment of unaccompanied minor asylum seekers over the age of 15 represents a critical breach of the principles outlined in the CRC. This </w:t>
      </w:r>
      <w:r w:rsidR="007A3B58">
        <w:rPr>
          <w:rFonts w:eastAsia="Calibri" w:cs="Arial"/>
          <w:lang w:val="en-GB"/>
        </w:rPr>
        <w:t xml:space="preserve">has been </w:t>
      </w:r>
      <w:r w:rsidRPr="00AF23FE">
        <w:rPr>
          <w:rFonts w:eastAsia="Calibri" w:cs="Arial"/>
          <w:lang w:val="en-GB"/>
        </w:rPr>
        <w:t xml:space="preserve">addressed by </w:t>
      </w:r>
      <w:r w:rsidR="00003CCF">
        <w:rPr>
          <w:rFonts w:eastAsia="Calibri" w:cs="Arial"/>
          <w:lang w:val="en-GB"/>
        </w:rPr>
        <w:t>several treaty bodies</w:t>
      </w:r>
      <w:r w:rsidRPr="00AF23FE">
        <w:rPr>
          <w:rFonts w:eastAsia="Calibri" w:cs="Arial"/>
          <w:lang w:val="en-GB"/>
        </w:rPr>
        <w:t xml:space="preserve"> in </w:t>
      </w:r>
      <w:r w:rsidR="00003CCF">
        <w:rPr>
          <w:rFonts w:eastAsia="Calibri" w:cs="Arial"/>
          <w:lang w:val="en-GB"/>
        </w:rPr>
        <w:t>their concluding observations</w:t>
      </w:r>
      <w:r w:rsidRPr="00AF23FE">
        <w:rPr>
          <w:rFonts w:eastAsia="Calibri" w:cs="Arial"/>
          <w:lang w:val="en-GB"/>
        </w:rPr>
        <w:t xml:space="preserve"> to Norway.</w:t>
      </w:r>
      <w:r w:rsidRPr="00AF23FE">
        <w:rPr>
          <w:rStyle w:val="FootnoteReference"/>
          <w:rFonts w:eastAsia="Calibri" w:cs="Arial"/>
          <w:lang w:val="en-GB"/>
        </w:rPr>
        <w:footnoteReference w:id="42"/>
      </w:r>
    </w:p>
    <w:p w14:paraId="4C2D0DDA" w14:textId="77777777" w:rsidR="000304E5" w:rsidRDefault="0032123A" w:rsidP="0032123A">
      <w:pPr>
        <w:rPr>
          <w:rFonts w:eastAsia="Calibri" w:cs="Arial"/>
          <w:lang w:val="en-GB"/>
        </w:rPr>
      </w:pPr>
      <w:r w:rsidRPr="00AF23FE">
        <w:rPr>
          <w:rFonts w:eastAsia="Calibri" w:cs="Arial"/>
          <w:lang w:val="en-GB"/>
        </w:rPr>
        <w:t xml:space="preserve">At the heart of this concern lies the discrepancy in care provisions for minors aged 15-18 compared to </w:t>
      </w:r>
      <w:r w:rsidR="00324BD9">
        <w:rPr>
          <w:rFonts w:eastAsia="Calibri" w:cs="Arial"/>
          <w:lang w:val="en-GB"/>
        </w:rPr>
        <w:t xml:space="preserve">other children under public care in the same age group. </w:t>
      </w:r>
    </w:p>
    <w:p w14:paraId="1D7F1959" w14:textId="7C5401AF" w:rsidR="00F83B17" w:rsidRPr="00AF23FE" w:rsidRDefault="00F83B17" w:rsidP="0032123A">
      <w:pPr>
        <w:rPr>
          <w:rFonts w:eastAsia="Calibri" w:cs="Arial"/>
          <w:lang w:val="en-GB"/>
        </w:rPr>
      </w:pPr>
      <w:r w:rsidRPr="00C35E47">
        <w:rPr>
          <w:rFonts w:eastAsia="Calibri" w:cs="Arial"/>
          <w:lang w:val="en-US"/>
        </w:rPr>
        <w:t xml:space="preserve">Unaccompanied asylum-seeking minors aged 15 and older are placed under the jurisdiction of </w:t>
      </w:r>
      <w:r w:rsidR="00E068E3">
        <w:rPr>
          <w:rFonts w:eastAsia="Calibri" w:cs="Arial"/>
          <w:lang w:val="en-US"/>
        </w:rPr>
        <w:t xml:space="preserve">the </w:t>
      </w:r>
      <w:r w:rsidRPr="00C35E47">
        <w:rPr>
          <w:rFonts w:eastAsia="Calibri" w:cs="Arial"/>
          <w:lang w:val="en-US"/>
        </w:rPr>
        <w:t xml:space="preserve">immigration authorities, governed by the Immigration Act </w:t>
      </w:r>
      <w:r w:rsidR="00E068E3">
        <w:rPr>
          <w:rFonts w:eastAsia="Calibri" w:cs="Arial"/>
          <w:lang w:val="en-US"/>
        </w:rPr>
        <w:t>Section</w:t>
      </w:r>
      <w:r w:rsidRPr="00C35E47">
        <w:rPr>
          <w:rFonts w:eastAsia="Calibri" w:cs="Arial"/>
          <w:lang w:val="en-US"/>
        </w:rPr>
        <w:t xml:space="preserve"> 95, and are housed in asylum reception centers. In these centers, the quality of care</w:t>
      </w:r>
      <w:r w:rsidR="00BA5DA2">
        <w:rPr>
          <w:rFonts w:eastAsia="Calibri" w:cs="Arial"/>
          <w:lang w:val="en-US"/>
        </w:rPr>
        <w:t xml:space="preserve"> – </w:t>
      </w:r>
      <w:r w:rsidRPr="00C35E47">
        <w:rPr>
          <w:rFonts w:eastAsia="Calibri" w:cs="Arial"/>
          <w:lang w:val="en-US"/>
        </w:rPr>
        <w:t>including staffing standards, supervision, and facility resources</w:t>
      </w:r>
      <w:r w:rsidR="00FD4056">
        <w:rPr>
          <w:rFonts w:eastAsia="Calibri" w:cs="Arial"/>
          <w:lang w:val="en-US"/>
        </w:rPr>
        <w:t xml:space="preserve"> </w:t>
      </w:r>
      <w:r w:rsidR="00BA5DA2">
        <w:rPr>
          <w:rFonts w:eastAsia="Calibri" w:cs="Arial"/>
          <w:lang w:val="en-US"/>
        </w:rPr>
        <w:t xml:space="preserve">– </w:t>
      </w:r>
      <w:r w:rsidRPr="00C35E47">
        <w:rPr>
          <w:rFonts w:eastAsia="Calibri" w:cs="Arial"/>
          <w:lang w:val="en-US"/>
        </w:rPr>
        <w:t>falls considerably short. By contrast, all other children under public care are placed within the Child Welfare Services</w:t>
      </w:r>
      <w:r w:rsidR="000B1668">
        <w:rPr>
          <w:rFonts w:eastAsia="Calibri" w:cs="Arial"/>
          <w:lang w:val="en-US"/>
        </w:rPr>
        <w:t>.</w:t>
      </w:r>
      <w:r w:rsidRPr="00C35E47">
        <w:rPr>
          <w:rFonts w:eastAsia="Calibri" w:cs="Arial"/>
          <w:lang w:val="en-US"/>
        </w:rPr>
        <w:t xml:space="preserve"> </w:t>
      </w:r>
      <w:r w:rsidR="000B1668">
        <w:rPr>
          <w:rFonts w:eastAsia="Calibri" w:cs="Arial"/>
          <w:lang w:val="en-US"/>
        </w:rPr>
        <w:t>Institutions under the Child Welfare Cervices</w:t>
      </w:r>
      <w:r w:rsidRPr="00C35E47">
        <w:rPr>
          <w:rFonts w:eastAsia="Calibri" w:cs="Arial"/>
          <w:lang w:val="en-US"/>
        </w:rPr>
        <w:t xml:space="preserve"> provides comprehensive support through higher staffing levels, better-qualified personnel, and more thoroughly equipped facilities. </w:t>
      </w:r>
    </w:p>
    <w:p w14:paraId="3A203A80" w14:textId="06998A50" w:rsidR="0032123A" w:rsidRPr="00AF23FE" w:rsidRDefault="0032123A" w:rsidP="0032123A">
      <w:pPr>
        <w:rPr>
          <w:rFonts w:eastAsia="Calibri" w:cs="Arial"/>
          <w:lang w:val="en-GB"/>
        </w:rPr>
      </w:pPr>
      <w:r w:rsidRPr="00AF23FE">
        <w:rPr>
          <w:rFonts w:eastAsia="Calibri" w:cs="Arial"/>
          <w:lang w:val="en-GB"/>
        </w:rPr>
        <w:t>The Government has acknowledged the lower level of care and support afforded to older minors.</w:t>
      </w:r>
      <w:r w:rsidR="00AF4E15">
        <w:rPr>
          <w:rStyle w:val="FootnoteReference"/>
          <w:rFonts w:eastAsia="Calibri" w:cs="Arial"/>
          <w:lang w:val="en-GB"/>
        </w:rPr>
        <w:footnoteReference w:id="43"/>
      </w:r>
      <w:r w:rsidRPr="00AF23FE">
        <w:rPr>
          <w:rFonts w:eastAsia="Calibri" w:cs="Arial"/>
          <w:lang w:val="en-GB"/>
        </w:rPr>
        <w:t xml:space="preserve"> However, they argue that such differentiation does not constitute discrimination if justified by varying care needs or other legitimate purposes, such as fostering independence in older children. The NHRI disputes this </w:t>
      </w:r>
      <w:r w:rsidR="007141AD">
        <w:rPr>
          <w:rFonts w:eastAsia="Calibri" w:cs="Arial"/>
          <w:lang w:val="en-GB"/>
        </w:rPr>
        <w:t>reasoning</w:t>
      </w:r>
      <w:r w:rsidR="0032159B">
        <w:rPr>
          <w:rFonts w:eastAsia="Calibri" w:cs="Arial"/>
          <w:lang w:val="en-GB"/>
        </w:rPr>
        <w:t>. T</w:t>
      </w:r>
      <w:r w:rsidRPr="00AF23FE">
        <w:rPr>
          <w:rFonts w:eastAsia="Calibri" w:cs="Arial"/>
          <w:lang w:val="en-GB"/>
        </w:rPr>
        <w:t>he reference to 'different care needs' cannot justify the limited follow-up that these children receive compared to children of the same age under the care of the child welfare services.</w:t>
      </w:r>
    </w:p>
    <w:p w14:paraId="017108E3" w14:textId="3594F196" w:rsidR="0032123A" w:rsidRPr="00AF23FE" w:rsidRDefault="0032123A" w:rsidP="0032123A">
      <w:pPr>
        <w:rPr>
          <w:rFonts w:eastAsia="Calibri" w:cs="Arial"/>
          <w:lang w:val="en-GB"/>
        </w:rPr>
      </w:pPr>
      <w:r w:rsidRPr="00AF23FE">
        <w:rPr>
          <w:rFonts w:eastAsia="Calibri" w:cs="Arial"/>
          <w:lang w:val="en-GB"/>
        </w:rPr>
        <w:lastRenderedPageBreak/>
        <w:t>The NHRI contends that the differential treatment of unaccompanied minor asylum seekers over 15 concerning care provisions is in violation of Articles 20 and 22 of the CRC, necessitating urgent reform.</w:t>
      </w:r>
    </w:p>
    <w:p w14:paraId="7E3B1BA6" w14:textId="77777777" w:rsidR="00BC374E" w:rsidRDefault="0032123A" w:rsidP="0032123A">
      <w:pPr>
        <w:rPr>
          <w:rFonts w:eastAsia="Calibri" w:cs="Arial"/>
          <w:lang w:val="en-GB"/>
        </w:rPr>
      </w:pPr>
      <w:r w:rsidRPr="00AF23FE">
        <w:rPr>
          <w:rFonts w:eastAsia="Calibri" w:cs="Arial"/>
          <w:lang w:val="en-GB"/>
        </w:rPr>
        <w:t>The NHRI is also concerned about the lack of guarantees and sufficiently effective control mechanisms to ensure that each asylum-seeking child above the age of 15 is given proper care</w:t>
      </w:r>
      <w:r w:rsidR="0079433A">
        <w:rPr>
          <w:rFonts w:eastAsia="Calibri" w:cs="Arial"/>
          <w:lang w:val="en-GB"/>
        </w:rPr>
        <w:t>, as required under Article 25 of the CRC</w:t>
      </w:r>
      <w:r w:rsidRPr="00AF23FE">
        <w:rPr>
          <w:rFonts w:eastAsia="Calibri" w:cs="Arial"/>
          <w:lang w:val="en-GB"/>
        </w:rPr>
        <w:t>. After the Immigration Act was amended in July 2021, the County Governors have responsibility to oversee the care of unaccompanied minors living in asylum reception centres.</w:t>
      </w:r>
    </w:p>
    <w:p w14:paraId="276F09DE" w14:textId="1CBA0908" w:rsidR="0009751F" w:rsidRPr="0009751F" w:rsidRDefault="0009751F" w:rsidP="0009751F">
      <w:pPr>
        <w:rPr>
          <w:rFonts w:eastAsia="Calibri" w:cs="Arial"/>
          <w:lang w:val="en-GB"/>
        </w:rPr>
      </w:pPr>
      <w:r w:rsidRPr="0009751F">
        <w:rPr>
          <w:rFonts w:eastAsia="Calibri" w:cs="Arial"/>
          <w:lang w:val="en-GB"/>
        </w:rPr>
        <w:t xml:space="preserve">We are particularly concerned about the lack of periodic reviews for minors housed in asylum reception </w:t>
      </w:r>
      <w:proofErr w:type="spellStart"/>
      <w:r w:rsidRPr="0009751F">
        <w:rPr>
          <w:rFonts w:eastAsia="Calibri" w:cs="Arial"/>
          <w:lang w:val="en-GB"/>
        </w:rPr>
        <w:t>centers</w:t>
      </w:r>
      <w:proofErr w:type="spellEnd"/>
      <w:r w:rsidRPr="0009751F">
        <w:rPr>
          <w:rFonts w:eastAsia="Calibri" w:cs="Arial"/>
          <w:lang w:val="en-GB"/>
        </w:rPr>
        <w:t>, which undermines the legal safeguard intended by Article 25 of the CRC. Periodic assessments are critical in ensuring that the child’s care needs are met and that any deterioration in the child's situation is promptly addressed. However, under the current system, only a small number of inspections have taken place, leaving most minors without adequate oversight of their care conditions.</w:t>
      </w:r>
      <w:r w:rsidR="006A4252" w:rsidRPr="006A4252">
        <w:rPr>
          <w:rFonts w:eastAsia="Calibri" w:cs="Arial"/>
          <w:lang w:val="en-GB"/>
        </w:rPr>
        <w:t xml:space="preserve"> </w:t>
      </w:r>
      <w:r w:rsidR="006A4252" w:rsidRPr="0009751F">
        <w:rPr>
          <w:rFonts w:eastAsia="Calibri" w:cs="Arial"/>
          <w:lang w:val="en-GB"/>
        </w:rPr>
        <w:t>Of the approximately 60 reception centr</w:t>
      </w:r>
      <w:r w:rsidR="008C44B7">
        <w:rPr>
          <w:rFonts w:eastAsia="Calibri" w:cs="Arial"/>
          <w:lang w:val="en-GB"/>
        </w:rPr>
        <w:t>e</w:t>
      </w:r>
      <w:r w:rsidR="006A4252" w:rsidRPr="0009751F">
        <w:rPr>
          <w:rFonts w:eastAsia="Calibri" w:cs="Arial"/>
          <w:lang w:val="en-GB"/>
        </w:rPr>
        <w:t xml:space="preserve">s housing unaccompanied minors, only </w:t>
      </w:r>
      <w:r w:rsidR="00FB64A7">
        <w:rPr>
          <w:rFonts w:eastAsia="Calibri" w:cs="Arial"/>
          <w:lang w:val="en-GB"/>
        </w:rPr>
        <w:t>eight</w:t>
      </w:r>
      <w:r w:rsidR="00FB64A7" w:rsidRPr="0009751F">
        <w:rPr>
          <w:rFonts w:eastAsia="Calibri" w:cs="Arial"/>
          <w:lang w:val="en-GB"/>
        </w:rPr>
        <w:t xml:space="preserve"> </w:t>
      </w:r>
      <w:r w:rsidR="006A4252" w:rsidRPr="0009751F">
        <w:rPr>
          <w:rFonts w:eastAsia="Calibri" w:cs="Arial"/>
          <w:lang w:val="en-GB"/>
        </w:rPr>
        <w:t xml:space="preserve">have been inspected, and violations </w:t>
      </w:r>
      <w:r w:rsidR="00FC52B1">
        <w:rPr>
          <w:rFonts w:eastAsia="Calibri" w:cs="Arial"/>
          <w:lang w:val="en-GB"/>
        </w:rPr>
        <w:t>of national legislation</w:t>
      </w:r>
      <w:r w:rsidR="006A4252" w:rsidRPr="0009751F">
        <w:rPr>
          <w:rFonts w:eastAsia="Calibri" w:cs="Arial"/>
          <w:lang w:val="en-GB"/>
        </w:rPr>
        <w:t xml:space="preserve"> were found in </w:t>
      </w:r>
      <w:r w:rsidR="00FB64A7">
        <w:rPr>
          <w:rFonts w:eastAsia="Calibri" w:cs="Arial"/>
          <w:lang w:val="en-GB"/>
        </w:rPr>
        <w:t>seven</w:t>
      </w:r>
      <w:r w:rsidR="00FB64A7" w:rsidRPr="0009751F">
        <w:rPr>
          <w:rFonts w:eastAsia="Calibri" w:cs="Arial"/>
          <w:lang w:val="en-GB"/>
        </w:rPr>
        <w:t xml:space="preserve"> </w:t>
      </w:r>
      <w:r w:rsidR="006A4252" w:rsidRPr="0009751F">
        <w:rPr>
          <w:rFonts w:eastAsia="Calibri" w:cs="Arial"/>
          <w:lang w:val="en-GB"/>
        </w:rPr>
        <w:t>of these inspections.</w:t>
      </w:r>
      <w:r w:rsidR="00521533">
        <w:rPr>
          <w:rStyle w:val="FootnoteReference"/>
          <w:rFonts w:eastAsia="Calibri" w:cs="Arial"/>
          <w:lang w:val="en-GB"/>
        </w:rPr>
        <w:footnoteReference w:id="44"/>
      </w:r>
      <w:r w:rsidR="006A4252">
        <w:rPr>
          <w:rFonts w:eastAsia="Calibri" w:cs="Arial"/>
          <w:lang w:val="en-GB"/>
        </w:rPr>
        <w:t xml:space="preserve"> </w:t>
      </w:r>
      <w:r w:rsidRPr="0009751F">
        <w:rPr>
          <w:rFonts w:eastAsia="Calibri" w:cs="Arial"/>
          <w:lang w:val="en-GB"/>
        </w:rPr>
        <w:t>This lack of regular oversight fails to meet the CRC's requirement for continuous and independent assessments of the children’s care situations.</w:t>
      </w:r>
      <w:r w:rsidR="00A92265" w:rsidRPr="00A92265">
        <w:rPr>
          <w:rFonts w:eastAsia="Calibri" w:cs="Arial"/>
          <w:lang w:val="en-GB"/>
        </w:rPr>
        <w:t xml:space="preserve"> </w:t>
      </w:r>
      <w:r w:rsidR="00A92265" w:rsidRPr="00AF23FE">
        <w:rPr>
          <w:rFonts w:eastAsia="Calibri" w:cs="Arial"/>
          <w:lang w:val="en-GB"/>
        </w:rPr>
        <w:t>Furthermore, the Norwegian Board of Health Supervision has in a letter dated 1st of February 2023 expressed that they will not be able to secure the rights of unaccompanied minors during their stay in reception centres without an increase in funding.</w:t>
      </w:r>
      <w:r w:rsidR="00A92265" w:rsidRPr="00AF23FE">
        <w:rPr>
          <w:rFonts w:eastAsia="Calibri" w:cs="Arial"/>
          <w:vertAlign w:val="superscript"/>
          <w:lang w:val="en-GB"/>
        </w:rPr>
        <w:footnoteReference w:id="45"/>
      </w:r>
    </w:p>
    <w:p w14:paraId="78AEF505" w14:textId="4D4E0539" w:rsidR="0009751F" w:rsidRPr="0009751F" w:rsidRDefault="0009751F" w:rsidP="0009751F">
      <w:pPr>
        <w:rPr>
          <w:rFonts w:eastAsia="Calibri" w:cs="Arial"/>
          <w:lang w:val="en-GB"/>
        </w:rPr>
      </w:pPr>
      <w:r w:rsidRPr="0009751F">
        <w:rPr>
          <w:rFonts w:eastAsia="Calibri" w:cs="Arial"/>
          <w:lang w:val="en-GB"/>
        </w:rPr>
        <w:t>In line with Article 25, the care situation for every unaccompanied minor should be periodically reviewed by an independent body, such as an external inspectorate, to ensure their best interests are prioritized and their rights are protected.</w:t>
      </w:r>
      <w:r w:rsidR="005D7FF8" w:rsidRPr="005D7FF8">
        <w:rPr>
          <w:rFonts w:eastAsia="Calibri" w:cs="Arial"/>
          <w:lang w:val="en-GB"/>
        </w:rPr>
        <w:t xml:space="preserve"> </w:t>
      </w:r>
    </w:p>
    <w:p w14:paraId="73E715A8" w14:textId="4DE5217F" w:rsidR="0032123A" w:rsidRPr="00AF23FE" w:rsidRDefault="0032123A" w:rsidP="0032123A">
      <w:pPr>
        <w:rPr>
          <w:rFonts w:eastAsia="Calibri" w:cs="Arial"/>
          <w:b/>
          <w:bCs/>
          <w:lang w:val="en-GB"/>
        </w:rPr>
      </w:pPr>
      <w:r w:rsidRPr="00AF23FE">
        <w:rPr>
          <w:rFonts w:eastAsia="Calibri" w:cs="Arial"/>
          <w:b/>
          <w:bCs/>
          <w:lang w:val="en-GB"/>
        </w:rPr>
        <w:t>Suggested recommendation</w:t>
      </w:r>
      <w:r w:rsidR="00711D0C">
        <w:rPr>
          <w:rFonts w:eastAsia="Calibri" w:cs="Arial"/>
          <w:b/>
          <w:bCs/>
          <w:lang w:val="en-GB"/>
        </w:rPr>
        <w:t>s</w:t>
      </w:r>
      <w:r w:rsidRPr="00AF23FE">
        <w:rPr>
          <w:rFonts w:eastAsia="Calibri" w:cs="Arial"/>
          <w:b/>
          <w:bCs/>
          <w:lang w:val="en-GB"/>
        </w:rPr>
        <w:t>:</w:t>
      </w:r>
    </w:p>
    <w:p w14:paraId="3DFD3BAB" w14:textId="3F8DCC20" w:rsidR="0009751F" w:rsidRPr="00711D0C" w:rsidRDefault="0032123A" w:rsidP="00711D0C">
      <w:pPr>
        <w:pStyle w:val="ListParagraph"/>
        <w:numPr>
          <w:ilvl w:val="0"/>
          <w:numId w:val="37"/>
        </w:numPr>
        <w:rPr>
          <w:rFonts w:eastAsia="Calibri" w:cs="Arial"/>
          <w:lang w:val="en-GB"/>
        </w:rPr>
      </w:pPr>
      <w:r w:rsidRPr="0009751F">
        <w:rPr>
          <w:rFonts w:eastAsia="Calibri" w:cs="Arial"/>
          <w:lang w:val="en-GB"/>
        </w:rPr>
        <w:t>The State Party should adopt legislation, regulations and effective monitoring mechanisms</w:t>
      </w:r>
      <w:r w:rsidR="00A46836" w:rsidRPr="0009751F">
        <w:rPr>
          <w:rFonts w:eastAsia="Calibri" w:cs="Arial"/>
          <w:lang w:val="en-GB"/>
        </w:rPr>
        <w:t>, and allocate adequate resources,</w:t>
      </w:r>
      <w:r w:rsidRPr="0009751F">
        <w:rPr>
          <w:rFonts w:eastAsia="Calibri" w:cs="Arial"/>
          <w:lang w:val="en-GB"/>
        </w:rPr>
        <w:t xml:space="preserve"> to ensure that unaccompanied minor asylum seekers over the age of 15 residing in asylum reception </w:t>
      </w:r>
      <w:r w:rsidR="00FB1D6E" w:rsidRPr="0009751F">
        <w:rPr>
          <w:rFonts w:eastAsia="Calibri" w:cs="Arial"/>
          <w:lang w:val="en-GB"/>
        </w:rPr>
        <w:t xml:space="preserve">centres </w:t>
      </w:r>
      <w:r w:rsidRPr="0009751F">
        <w:rPr>
          <w:rFonts w:eastAsia="Calibri" w:cs="Arial"/>
          <w:lang w:val="en-GB"/>
        </w:rPr>
        <w:t xml:space="preserve">receive care that is equivalent to the care provided to other children </w:t>
      </w:r>
      <w:r w:rsidR="002F7548">
        <w:rPr>
          <w:rFonts w:eastAsia="Calibri" w:cs="Arial"/>
          <w:lang w:val="en-GB"/>
        </w:rPr>
        <w:t xml:space="preserve">of the same age </w:t>
      </w:r>
      <w:r w:rsidRPr="0009751F">
        <w:rPr>
          <w:rFonts w:eastAsia="Calibri" w:cs="Arial"/>
          <w:lang w:val="en-GB"/>
        </w:rPr>
        <w:t>under public care.</w:t>
      </w:r>
      <w:r w:rsidR="0009751F" w:rsidRPr="0009751F">
        <w:rPr>
          <w:rFonts w:eastAsia="Calibri" w:cs="Arial"/>
          <w:lang w:val="en-GB"/>
        </w:rPr>
        <w:t xml:space="preserve"> </w:t>
      </w:r>
    </w:p>
    <w:p w14:paraId="66F797F6" w14:textId="64B984F1" w:rsidR="0032123A" w:rsidRPr="00686433" w:rsidRDefault="002D3CA4" w:rsidP="00686433">
      <w:pPr>
        <w:pStyle w:val="ListParagraph"/>
        <w:numPr>
          <w:ilvl w:val="0"/>
          <w:numId w:val="37"/>
        </w:numPr>
        <w:rPr>
          <w:rFonts w:eastAsia="Calibri" w:cs="Arial"/>
          <w:lang w:val="en-GB"/>
        </w:rPr>
      </w:pPr>
      <w:r>
        <w:rPr>
          <w:rFonts w:eastAsia="Calibri" w:cs="Arial"/>
          <w:lang w:val="en-GB"/>
        </w:rPr>
        <w:t xml:space="preserve">The State Party should </w:t>
      </w:r>
      <w:r w:rsidR="006674CC">
        <w:rPr>
          <w:rFonts w:eastAsia="Calibri" w:cs="Arial"/>
          <w:lang w:val="en-GB"/>
        </w:rPr>
        <w:t>increase</w:t>
      </w:r>
      <w:r w:rsidR="0009751F" w:rsidRPr="0009751F">
        <w:rPr>
          <w:rFonts w:eastAsia="Calibri" w:cs="Arial"/>
          <w:lang w:val="en-GB"/>
        </w:rPr>
        <w:t xml:space="preserve"> the frequency of </w:t>
      </w:r>
      <w:r w:rsidR="005436B7">
        <w:rPr>
          <w:rFonts w:eastAsia="Calibri" w:cs="Arial"/>
          <w:lang w:val="en-GB"/>
        </w:rPr>
        <w:t xml:space="preserve">supervision </w:t>
      </w:r>
      <w:r w:rsidR="006674CC">
        <w:rPr>
          <w:rFonts w:eastAsia="Calibri" w:cs="Arial"/>
          <w:lang w:val="en-GB"/>
        </w:rPr>
        <w:t>of the care provided to</w:t>
      </w:r>
      <w:r w:rsidR="0009751F" w:rsidRPr="0009751F">
        <w:rPr>
          <w:rFonts w:eastAsia="Calibri" w:cs="Arial"/>
          <w:lang w:val="en-GB"/>
        </w:rPr>
        <w:t xml:space="preserve"> unaccompanied minors in asylum reception centr</w:t>
      </w:r>
      <w:r w:rsidR="006674CC">
        <w:rPr>
          <w:rFonts w:eastAsia="Calibri" w:cs="Arial"/>
          <w:lang w:val="en-GB"/>
        </w:rPr>
        <w:t>e</w:t>
      </w:r>
      <w:r w:rsidR="0009751F" w:rsidRPr="0009751F">
        <w:rPr>
          <w:rFonts w:eastAsia="Calibri" w:cs="Arial"/>
          <w:lang w:val="en-GB"/>
        </w:rPr>
        <w:t>s</w:t>
      </w:r>
      <w:r w:rsidR="00871F1C">
        <w:rPr>
          <w:rFonts w:eastAsia="Calibri" w:cs="Arial"/>
          <w:lang w:val="en-GB"/>
        </w:rPr>
        <w:t xml:space="preserve">, including </w:t>
      </w:r>
      <w:r w:rsidR="00871F1C">
        <w:rPr>
          <w:rFonts w:eastAsia="Calibri" w:cs="Arial"/>
          <w:lang w:val="en-GB"/>
        </w:rPr>
        <w:lastRenderedPageBreak/>
        <w:t xml:space="preserve">by </w:t>
      </w:r>
      <w:r w:rsidR="0009751F" w:rsidRPr="0009751F">
        <w:rPr>
          <w:rFonts w:eastAsia="Calibri" w:cs="Arial"/>
          <w:lang w:val="en-GB"/>
        </w:rPr>
        <w:t xml:space="preserve">requiring </w:t>
      </w:r>
      <w:r w:rsidR="00937C85">
        <w:rPr>
          <w:rFonts w:eastAsia="Calibri" w:cs="Arial"/>
          <w:lang w:val="en-GB"/>
        </w:rPr>
        <w:t xml:space="preserve">an </w:t>
      </w:r>
      <w:r w:rsidR="0009751F" w:rsidRPr="0009751F">
        <w:rPr>
          <w:rFonts w:eastAsia="Calibri" w:cs="Arial"/>
          <w:lang w:val="en-GB"/>
        </w:rPr>
        <w:t xml:space="preserve">independent authority to conduct regular and independent assessments </w:t>
      </w:r>
      <w:r w:rsidR="00E17C6F">
        <w:rPr>
          <w:rFonts w:eastAsia="Calibri" w:cs="Arial"/>
          <w:lang w:val="en-GB"/>
        </w:rPr>
        <w:t>of the</w:t>
      </w:r>
      <w:r w:rsidR="0009751F" w:rsidRPr="0009751F">
        <w:rPr>
          <w:rFonts w:eastAsia="Calibri" w:cs="Arial"/>
          <w:lang w:val="en-GB"/>
        </w:rPr>
        <w:t xml:space="preserve"> care and</w:t>
      </w:r>
      <w:r w:rsidR="00E17C6F">
        <w:rPr>
          <w:rFonts w:eastAsia="Calibri" w:cs="Arial"/>
          <w:lang w:val="en-GB"/>
        </w:rPr>
        <w:t xml:space="preserve"> welfare of each child.</w:t>
      </w:r>
    </w:p>
    <w:p w14:paraId="438D9F9F" w14:textId="5B031A26" w:rsidR="0032123A" w:rsidRPr="00AF23FE" w:rsidRDefault="0032123A" w:rsidP="0032123A">
      <w:pPr>
        <w:pStyle w:val="Heading1"/>
        <w:rPr>
          <w:lang w:val="en-GB"/>
        </w:rPr>
      </w:pPr>
      <w:r w:rsidRPr="00AF23FE">
        <w:rPr>
          <w:color w:val="FF0000"/>
          <w:lang w:val="en-GB"/>
        </w:rPr>
        <w:t xml:space="preserve"> </w:t>
      </w:r>
      <w:bookmarkStart w:id="23" w:name="_Toc181973446"/>
      <w:r w:rsidRPr="00AF23FE">
        <w:rPr>
          <w:lang w:val="en-GB"/>
        </w:rPr>
        <w:t>Oversight of the care provided to asylum-seeking children accompanied by a companion or a caregiver</w:t>
      </w:r>
      <w:bookmarkEnd w:id="23"/>
      <w:r w:rsidRPr="00AF23FE">
        <w:rPr>
          <w:lang w:val="en-GB"/>
        </w:rPr>
        <w:t xml:space="preserve"> </w:t>
      </w:r>
    </w:p>
    <w:p w14:paraId="2B316CC8" w14:textId="3DA64B29" w:rsidR="0032123A" w:rsidRPr="00AF23FE" w:rsidRDefault="0032123A" w:rsidP="00360D7E">
      <w:pPr>
        <w:spacing w:before="120"/>
        <w:rPr>
          <w:rFonts w:eastAsia="Calibri" w:cs="Arial"/>
          <w:lang w:val="en-GB"/>
        </w:rPr>
      </w:pPr>
      <w:r w:rsidRPr="00AF23FE">
        <w:rPr>
          <w:rFonts w:eastAsia="Calibri" w:cs="Arial"/>
          <w:lang w:val="en-GB"/>
        </w:rPr>
        <w:t xml:space="preserve">The NHRI is concerned that the State Party’s current approach to monitoring the care arrangements </w:t>
      </w:r>
      <w:r w:rsidR="00D003A4">
        <w:rPr>
          <w:rFonts w:eastAsia="Calibri" w:cs="Arial"/>
          <w:lang w:val="en-GB"/>
        </w:rPr>
        <w:t xml:space="preserve">for asylum-seeking </w:t>
      </w:r>
      <w:r w:rsidRPr="00AF23FE">
        <w:rPr>
          <w:rFonts w:eastAsia="Calibri" w:cs="Arial"/>
          <w:lang w:val="en-GB"/>
        </w:rPr>
        <w:t xml:space="preserve">minors </w:t>
      </w:r>
      <w:r w:rsidR="00D003A4">
        <w:rPr>
          <w:rFonts w:eastAsia="Calibri" w:cs="Arial"/>
          <w:lang w:val="en-GB"/>
        </w:rPr>
        <w:t>arriving</w:t>
      </w:r>
      <w:r w:rsidR="003E2DE1">
        <w:rPr>
          <w:rFonts w:eastAsia="Calibri" w:cs="Arial"/>
          <w:lang w:val="en-GB"/>
        </w:rPr>
        <w:t xml:space="preserve"> in Norway</w:t>
      </w:r>
      <w:r w:rsidR="00D003A4">
        <w:rPr>
          <w:rFonts w:eastAsia="Calibri" w:cs="Arial"/>
          <w:lang w:val="en-GB"/>
        </w:rPr>
        <w:t xml:space="preserve"> </w:t>
      </w:r>
      <w:r w:rsidR="007400A7">
        <w:rPr>
          <w:rFonts w:eastAsia="Calibri" w:cs="Arial"/>
          <w:lang w:val="en-GB"/>
        </w:rPr>
        <w:t xml:space="preserve">with </w:t>
      </w:r>
      <w:r w:rsidR="00AF1495">
        <w:rPr>
          <w:rFonts w:eastAsia="Calibri" w:cs="Arial"/>
          <w:lang w:val="en-GB"/>
        </w:rPr>
        <w:t xml:space="preserve">a companion </w:t>
      </w:r>
      <w:r w:rsidRPr="00AF23FE">
        <w:rPr>
          <w:rFonts w:eastAsia="Calibri" w:cs="Arial"/>
          <w:lang w:val="en-GB"/>
        </w:rPr>
        <w:t xml:space="preserve">may not meet the standards required under Articles 3 and 25 of the CRC.  </w:t>
      </w:r>
    </w:p>
    <w:p w14:paraId="2226FC37" w14:textId="592F534F" w:rsidR="0032123A" w:rsidRPr="00AF23FE" w:rsidRDefault="0032123A" w:rsidP="0032123A">
      <w:pPr>
        <w:rPr>
          <w:rFonts w:eastAsia="Calibri" w:cs="Arial"/>
          <w:lang w:val="en-GB"/>
        </w:rPr>
      </w:pPr>
      <w:r w:rsidRPr="00AF23FE">
        <w:rPr>
          <w:rFonts w:eastAsia="Calibri" w:cs="Arial"/>
          <w:lang w:val="en-GB"/>
        </w:rPr>
        <w:t>Since 2022, there has been a significant increase in the number of minor asylum-seeking children arriving in Norway with a companion. The Norwegian Board of Health Supervision has expressed concern for this group.</w:t>
      </w:r>
      <w:r w:rsidRPr="00AF23FE">
        <w:rPr>
          <w:rFonts w:eastAsia="Calibri" w:cs="Arial"/>
          <w:vertAlign w:val="superscript"/>
          <w:lang w:val="en-GB"/>
        </w:rPr>
        <w:footnoteReference w:id="46"/>
      </w:r>
      <w:r w:rsidRPr="00AF23FE">
        <w:rPr>
          <w:rFonts w:eastAsia="Calibri" w:cs="Arial"/>
          <w:lang w:val="en-GB"/>
        </w:rPr>
        <w:t xml:space="preserve"> A companion can be a neighbo</w:t>
      </w:r>
      <w:r w:rsidR="00BD08A4">
        <w:rPr>
          <w:rFonts w:eastAsia="Calibri" w:cs="Arial"/>
          <w:lang w:val="en-GB"/>
        </w:rPr>
        <w:t>u</w:t>
      </w:r>
      <w:r w:rsidRPr="00AF23FE">
        <w:rPr>
          <w:rFonts w:eastAsia="Calibri" w:cs="Arial"/>
          <w:lang w:val="en-GB"/>
        </w:rPr>
        <w:t xml:space="preserve">r, friend, or a person with familial ties to the child. Establishing the relationship between the child and the companion is challenging. In many cases, the companion is considered the child's primary caregiver, yet there is no assessment of the companion's capacity to provide adequate care. While the Norwegian Directorate of Immigration oversees the daily care in asylum reception centres, the practical day-to-day supervision often falls on the companion. Instances have been uncovered where companions fail to provide adequate care for the child, as well as other negative circumstances, such as behavioural issues and substance abuse among other residents. The </w:t>
      </w:r>
      <w:r w:rsidR="00346224">
        <w:rPr>
          <w:rFonts w:eastAsia="Calibri" w:cs="Arial"/>
          <w:lang w:val="en-GB"/>
        </w:rPr>
        <w:t xml:space="preserve">Norwegian </w:t>
      </w:r>
      <w:r w:rsidRPr="00AF23FE">
        <w:rPr>
          <w:rFonts w:eastAsia="Calibri" w:cs="Arial"/>
          <w:lang w:val="en-GB"/>
        </w:rPr>
        <w:t>Board of Health Supervision expresses concern that children with companions in regular reception centres may not receive the care they are entitled to, describing the situation as one of significant concern regarding potential risks.</w:t>
      </w:r>
    </w:p>
    <w:p w14:paraId="4CA68F5D" w14:textId="7D06708B" w:rsidR="0032123A" w:rsidRPr="00AF23FE" w:rsidRDefault="0032123A" w:rsidP="0032123A">
      <w:pPr>
        <w:rPr>
          <w:rFonts w:eastAsia="Calibri" w:cs="Arial"/>
          <w:lang w:val="en-GB"/>
        </w:rPr>
      </w:pPr>
      <w:r w:rsidRPr="00AF23FE">
        <w:rPr>
          <w:rFonts w:eastAsia="Calibri" w:cs="Arial"/>
          <w:lang w:val="en-GB"/>
        </w:rPr>
        <w:t>The Norwegian Board of Health Supervision holds the overarching professional responsibility for the oversight of the care provided by the authorities to minors in asylum reception cent</w:t>
      </w:r>
      <w:r w:rsidR="00221DCE">
        <w:rPr>
          <w:rFonts w:eastAsia="Calibri" w:cs="Arial"/>
          <w:lang w:val="en-GB"/>
        </w:rPr>
        <w:t>re</w:t>
      </w:r>
      <w:r w:rsidRPr="00AF23FE">
        <w:rPr>
          <w:rFonts w:eastAsia="Calibri" w:cs="Arial"/>
          <w:lang w:val="en-GB"/>
        </w:rPr>
        <w:t xml:space="preserve">s. In a publication from February 2024, the </w:t>
      </w:r>
      <w:r w:rsidR="00F50520">
        <w:rPr>
          <w:rFonts w:eastAsia="Calibri" w:cs="Arial"/>
          <w:lang w:val="en-GB"/>
        </w:rPr>
        <w:t>board</w:t>
      </w:r>
      <w:r w:rsidRPr="00AF23FE">
        <w:rPr>
          <w:rFonts w:eastAsia="Calibri" w:cs="Arial"/>
          <w:lang w:val="en-GB"/>
        </w:rPr>
        <w:t xml:space="preserve"> highlights that they consider the current </w:t>
      </w:r>
      <w:r w:rsidR="00A5182C">
        <w:rPr>
          <w:rFonts w:eastAsia="Calibri" w:cs="Arial"/>
          <w:lang w:val="en-GB"/>
        </w:rPr>
        <w:t>allocation of resources</w:t>
      </w:r>
      <w:r w:rsidR="00376AD1">
        <w:rPr>
          <w:rFonts w:eastAsia="Calibri" w:cs="Arial"/>
          <w:lang w:val="en-GB"/>
        </w:rPr>
        <w:t xml:space="preserve"> for supervision</w:t>
      </w:r>
      <w:r w:rsidRPr="00AF23FE">
        <w:rPr>
          <w:rFonts w:eastAsia="Calibri" w:cs="Arial"/>
          <w:lang w:val="en-GB"/>
        </w:rPr>
        <w:t xml:space="preserve"> to be critical.</w:t>
      </w:r>
      <w:r w:rsidR="00EC765D">
        <w:rPr>
          <w:rStyle w:val="FootnoteReference"/>
          <w:rFonts w:eastAsia="Calibri" w:cs="Arial"/>
          <w:lang w:val="en-GB"/>
        </w:rPr>
        <w:footnoteReference w:id="47"/>
      </w:r>
      <w:r w:rsidRPr="00AF23FE">
        <w:rPr>
          <w:rFonts w:eastAsia="Calibri" w:cs="Arial"/>
          <w:lang w:val="en-GB"/>
        </w:rPr>
        <w:t xml:space="preserve"> They have pointed out to both the Directorate of Immigration (UDI) and the Ministry of Justice that, moving forward, it will not be possible to conduct adequate oversight with the current resources.</w:t>
      </w:r>
    </w:p>
    <w:p w14:paraId="2CD6C445" w14:textId="77777777" w:rsidR="0032123A" w:rsidRDefault="0032123A" w:rsidP="0032123A">
      <w:pPr>
        <w:rPr>
          <w:rFonts w:eastAsia="Calibri" w:cs="Arial"/>
          <w:lang w:val="en-GB"/>
        </w:rPr>
      </w:pPr>
      <w:r w:rsidRPr="00AF23FE">
        <w:rPr>
          <w:rFonts w:eastAsia="Calibri" w:cs="Arial"/>
          <w:lang w:val="en-GB"/>
        </w:rPr>
        <w:lastRenderedPageBreak/>
        <w:t xml:space="preserve">When it comes to children accompanied by a caregiver who has legal or customary responsibility for the child, it is important to ensure proper oversight of the services provided to both the child and the caregiver at the institution. </w:t>
      </w:r>
    </w:p>
    <w:p w14:paraId="5C8D7A82" w14:textId="012A0276" w:rsidR="00711D0C" w:rsidRPr="00711D0C" w:rsidRDefault="00711D0C" w:rsidP="0032123A">
      <w:pPr>
        <w:rPr>
          <w:rFonts w:eastAsia="Calibri" w:cs="Arial"/>
          <w:b/>
          <w:bCs/>
          <w:lang w:val="en-GB"/>
        </w:rPr>
      </w:pPr>
      <w:r>
        <w:rPr>
          <w:rFonts w:eastAsia="Calibri" w:cs="Arial"/>
          <w:b/>
          <w:bCs/>
          <w:lang w:val="en-GB"/>
        </w:rPr>
        <w:t>Suggested recommendation:</w:t>
      </w:r>
    </w:p>
    <w:p w14:paraId="4203DF68" w14:textId="55B0CD98" w:rsidR="0032123A" w:rsidRPr="00AF23FE" w:rsidRDefault="0032123A" w:rsidP="0032123A">
      <w:pPr>
        <w:pStyle w:val="ListParagraph"/>
        <w:numPr>
          <w:ilvl w:val="0"/>
          <w:numId w:val="37"/>
        </w:numPr>
        <w:spacing w:before="0"/>
        <w:rPr>
          <w:rFonts w:eastAsia="Calibri" w:cs="Arial"/>
          <w:lang w:val="en-GB"/>
        </w:rPr>
      </w:pPr>
      <w:r w:rsidRPr="00AF23FE">
        <w:rPr>
          <w:rFonts w:eastAsia="Calibri" w:cs="Arial"/>
          <w:lang w:val="en-GB"/>
        </w:rPr>
        <w:t>The State Party should adopt legislation, regulations and effective monitoring mechanisms</w:t>
      </w:r>
      <w:r w:rsidR="00606553">
        <w:rPr>
          <w:rFonts w:eastAsia="Calibri" w:cs="Arial"/>
          <w:lang w:val="en-GB"/>
        </w:rPr>
        <w:t xml:space="preserve">, including </w:t>
      </w:r>
      <w:r w:rsidR="00DD271F">
        <w:rPr>
          <w:rFonts w:eastAsia="Calibri" w:cs="Arial"/>
          <w:lang w:val="en-GB"/>
        </w:rPr>
        <w:t>periodic reviews of the care provided to each child,</w:t>
      </w:r>
      <w:r w:rsidRPr="00AF23FE">
        <w:rPr>
          <w:rFonts w:eastAsia="Calibri" w:cs="Arial"/>
          <w:lang w:val="en-GB"/>
        </w:rPr>
        <w:t xml:space="preserve"> to ensure that asylum-seeking </w:t>
      </w:r>
      <w:r w:rsidR="00767DCB" w:rsidRPr="00AF23FE">
        <w:rPr>
          <w:rFonts w:eastAsia="Calibri" w:cs="Arial"/>
          <w:lang w:val="en-GB"/>
        </w:rPr>
        <w:t>minor</w:t>
      </w:r>
      <w:r w:rsidR="00767DCB">
        <w:rPr>
          <w:rFonts w:eastAsia="Calibri" w:cs="Arial"/>
          <w:lang w:val="en-GB"/>
        </w:rPr>
        <w:t>s</w:t>
      </w:r>
      <w:r w:rsidR="00767DCB" w:rsidRPr="00AF23FE">
        <w:rPr>
          <w:rFonts w:eastAsia="Calibri" w:cs="Arial"/>
          <w:lang w:val="en-GB"/>
        </w:rPr>
        <w:t xml:space="preserve"> </w:t>
      </w:r>
      <w:r w:rsidRPr="00AF23FE">
        <w:rPr>
          <w:rFonts w:eastAsia="Calibri" w:cs="Arial"/>
          <w:lang w:val="en-GB"/>
        </w:rPr>
        <w:t>arriving with a companion in reception centres receive the quality of care they are entitled to under the Convention.</w:t>
      </w:r>
    </w:p>
    <w:p w14:paraId="2E8335E6" w14:textId="210F03B7" w:rsidR="0032123A" w:rsidRPr="00AF23FE" w:rsidRDefault="004D625E" w:rsidP="0032123A">
      <w:pPr>
        <w:pStyle w:val="Heading1"/>
        <w:rPr>
          <w:lang w:val="en-GB"/>
        </w:rPr>
      </w:pPr>
      <w:bookmarkStart w:id="24" w:name="_Toc181973447"/>
      <w:r>
        <w:rPr>
          <w:lang w:val="en-GB"/>
        </w:rPr>
        <w:t>U</w:t>
      </w:r>
      <w:r w:rsidR="0032123A" w:rsidRPr="00AF23FE">
        <w:rPr>
          <w:lang w:val="en-GB"/>
        </w:rPr>
        <w:t>naccompanied asylum-seeking minors disappearing from reception centres</w:t>
      </w:r>
      <w:r>
        <w:rPr>
          <w:lang w:val="en-GB"/>
        </w:rPr>
        <w:t xml:space="preserve"> and the risk of trafficking</w:t>
      </w:r>
      <w:bookmarkEnd w:id="24"/>
    </w:p>
    <w:p w14:paraId="7AB7971C" w14:textId="5108BF58" w:rsidR="0032123A" w:rsidRPr="00871D7F" w:rsidRDefault="0032123A" w:rsidP="00360D7E">
      <w:pPr>
        <w:spacing w:before="120"/>
        <w:rPr>
          <w:rFonts w:eastAsia="Calibri" w:cs="Times New Roman"/>
          <w:i/>
          <w:iCs/>
          <w:lang w:val="en-GB"/>
        </w:rPr>
      </w:pPr>
      <w:r w:rsidRPr="00871D7F">
        <w:rPr>
          <w:rFonts w:eastAsia="Calibri" w:cs="Times New Roman"/>
          <w:i/>
          <w:iCs/>
          <w:lang w:val="en-GB"/>
        </w:rPr>
        <w:t xml:space="preserve">Reference is made to LOIPR 2023: </w:t>
      </w:r>
      <w:r w:rsidR="00154913">
        <w:rPr>
          <w:rFonts w:eastAsia="Calibri" w:cs="Times New Roman"/>
          <w:i/>
          <w:iCs/>
          <w:lang w:val="en-GB"/>
        </w:rPr>
        <w:t xml:space="preserve">28 and </w:t>
      </w:r>
      <w:r w:rsidRPr="00871D7F">
        <w:rPr>
          <w:rFonts w:eastAsia="Calibri" w:cs="Times New Roman"/>
          <w:i/>
          <w:iCs/>
          <w:lang w:val="en-GB"/>
        </w:rPr>
        <w:t>30</w:t>
      </w:r>
    </w:p>
    <w:p w14:paraId="2323DEC6" w14:textId="591C5294" w:rsidR="00B177AE" w:rsidRDefault="00B177AE" w:rsidP="00B177AE">
      <w:pPr>
        <w:rPr>
          <w:rFonts w:eastAsia="Calibri" w:cs="Arial"/>
          <w:bCs/>
          <w:lang w:val="en-GB"/>
        </w:rPr>
      </w:pPr>
      <w:r w:rsidRPr="00AF23FE">
        <w:rPr>
          <w:rFonts w:eastAsia="Calibri" w:cs="Arial"/>
          <w:bCs/>
          <w:lang w:val="en-GB"/>
        </w:rPr>
        <w:t xml:space="preserve">Figures from the Directorate of Immigration </w:t>
      </w:r>
      <w:r w:rsidR="003046E2">
        <w:rPr>
          <w:rFonts w:eastAsia="Calibri" w:cs="Arial"/>
          <w:bCs/>
          <w:lang w:val="en-GB"/>
        </w:rPr>
        <w:t>(UDI)</w:t>
      </w:r>
      <w:r w:rsidR="0032123A" w:rsidRPr="00AF23FE">
        <w:rPr>
          <w:rFonts w:eastAsia="Calibri" w:cs="Arial"/>
          <w:bCs/>
          <w:lang w:val="en-GB"/>
        </w:rPr>
        <w:t xml:space="preserve"> </w:t>
      </w:r>
      <w:r w:rsidR="00E11D48">
        <w:rPr>
          <w:rFonts w:eastAsia="Calibri" w:cs="Arial"/>
          <w:bCs/>
          <w:lang w:val="en-GB"/>
        </w:rPr>
        <w:t xml:space="preserve">as of </w:t>
      </w:r>
      <w:r w:rsidRPr="00AF23FE">
        <w:rPr>
          <w:rFonts w:eastAsia="Calibri" w:cs="Arial"/>
          <w:bCs/>
          <w:lang w:val="en-GB"/>
        </w:rPr>
        <w:t>December</w:t>
      </w:r>
      <w:r w:rsidR="00E11D48">
        <w:rPr>
          <w:rFonts w:eastAsia="Calibri" w:cs="Arial"/>
          <w:bCs/>
          <w:lang w:val="en-GB"/>
        </w:rPr>
        <w:t xml:space="preserve"> 6,</w:t>
      </w:r>
      <w:r w:rsidRPr="00AF23FE">
        <w:rPr>
          <w:rFonts w:eastAsia="Calibri" w:cs="Arial"/>
          <w:bCs/>
          <w:lang w:val="en-GB"/>
        </w:rPr>
        <w:t xml:space="preserve"> 2022</w:t>
      </w:r>
      <w:r w:rsidR="00E11D48">
        <w:rPr>
          <w:rFonts w:eastAsia="Calibri" w:cs="Arial"/>
          <w:bCs/>
          <w:lang w:val="en-GB"/>
        </w:rPr>
        <w:t>, indicate</w:t>
      </w:r>
      <w:r w:rsidRPr="00AF23FE">
        <w:rPr>
          <w:rFonts w:eastAsia="Calibri" w:cs="Arial"/>
          <w:bCs/>
          <w:lang w:val="en-GB"/>
        </w:rPr>
        <w:t xml:space="preserve"> that 4</w:t>
      </w:r>
      <w:r w:rsidR="00FF6C9B">
        <w:rPr>
          <w:rFonts w:eastAsia="Calibri" w:cs="Arial"/>
          <w:bCs/>
          <w:lang w:val="en-GB"/>
        </w:rPr>
        <w:t>32</w:t>
      </w:r>
      <w:r w:rsidRPr="00AF23FE">
        <w:rPr>
          <w:rFonts w:eastAsia="Calibri" w:cs="Arial"/>
          <w:bCs/>
          <w:lang w:val="en-GB"/>
        </w:rPr>
        <w:t xml:space="preserve"> unaccompanied asylum-seeking </w:t>
      </w:r>
      <w:r w:rsidR="00767DCB" w:rsidRPr="00AF23FE">
        <w:rPr>
          <w:rFonts w:eastAsia="Calibri" w:cs="Arial"/>
          <w:bCs/>
          <w:lang w:val="en-GB"/>
        </w:rPr>
        <w:t>minor</w:t>
      </w:r>
      <w:r w:rsidR="00767DCB">
        <w:rPr>
          <w:rFonts w:eastAsia="Calibri" w:cs="Arial"/>
          <w:bCs/>
          <w:lang w:val="en-GB"/>
        </w:rPr>
        <w:t>s</w:t>
      </w:r>
      <w:r w:rsidR="00767DCB" w:rsidRPr="00AF23FE">
        <w:rPr>
          <w:rFonts w:eastAsia="Calibri" w:cs="Arial"/>
          <w:bCs/>
          <w:lang w:val="en-GB"/>
        </w:rPr>
        <w:t xml:space="preserve"> </w:t>
      </w:r>
      <w:r w:rsidRPr="00AF23FE">
        <w:rPr>
          <w:rFonts w:eastAsia="Calibri" w:cs="Arial"/>
          <w:bCs/>
          <w:lang w:val="en-GB"/>
        </w:rPr>
        <w:t xml:space="preserve">have </w:t>
      </w:r>
      <w:r w:rsidR="00374C57">
        <w:rPr>
          <w:rFonts w:eastAsia="Calibri" w:cs="Arial"/>
          <w:bCs/>
          <w:lang w:val="en-GB"/>
        </w:rPr>
        <w:t>gone missing</w:t>
      </w:r>
      <w:r w:rsidRPr="00AF23FE">
        <w:rPr>
          <w:rFonts w:eastAsia="Calibri" w:cs="Arial"/>
          <w:bCs/>
          <w:lang w:val="en-GB"/>
        </w:rPr>
        <w:t xml:space="preserve"> from reception centres since 2015 and </w:t>
      </w:r>
      <w:r w:rsidR="00456355">
        <w:rPr>
          <w:rFonts w:eastAsia="Calibri" w:cs="Arial"/>
          <w:bCs/>
          <w:lang w:val="en-GB"/>
        </w:rPr>
        <w:t>remain unaccounted for</w:t>
      </w:r>
      <w:r w:rsidRPr="00AF23FE">
        <w:rPr>
          <w:rFonts w:eastAsia="Calibri" w:cs="Arial"/>
          <w:bCs/>
          <w:lang w:val="en-GB"/>
        </w:rPr>
        <w:t>.</w:t>
      </w:r>
      <w:r w:rsidRPr="00AF23FE">
        <w:rPr>
          <w:rFonts w:eastAsia="Calibri" w:cs="Arial"/>
          <w:bCs/>
          <w:vertAlign w:val="superscript"/>
          <w:lang w:val="en-GB"/>
        </w:rPr>
        <w:footnoteReference w:id="48"/>
      </w:r>
      <w:r w:rsidRPr="00AF23FE">
        <w:rPr>
          <w:rFonts w:eastAsia="Calibri" w:cs="Arial"/>
          <w:bCs/>
          <w:lang w:val="en-GB"/>
        </w:rPr>
        <w:t xml:space="preserve"> </w:t>
      </w:r>
      <w:r w:rsidRPr="002C0A49">
        <w:rPr>
          <w:rFonts w:eastAsia="Calibri" w:cs="Arial"/>
          <w:bCs/>
          <w:lang w:val="en-GB"/>
        </w:rPr>
        <w:t>These minors may be vulnerable to trafficking or crime</w:t>
      </w:r>
      <w:r w:rsidR="00513FD0">
        <w:rPr>
          <w:rFonts w:eastAsia="Calibri" w:cs="Arial"/>
          <w:bCs/>
          <w:lang w:val="en-GB"/>
        </w:rPr>
        <w:t>. Moreover, they</w:t>
      </w:r>
      <w:r w:rsidRPr="002C0A49">
        <w:rPr>
          <w:rFonts w:eastAsia="Calibri" w:cs="Arial"/>
          <w:bCs/>
          <w:lang w:val="en-GB"/>
        </w:rPr>
        <w:t xml:space="preserve"> may face forced return to their countries of origin or transit, given that many have temporary residence permits that expire when they reach the age of 18.</w:t>
      </w:r>
    </w:p>
    <w:p w14:paraId="5397123B" w14:textId="6C0CF5F3" w:rsidR="006962BA" w:rsidRDefault="00715E1F" w:rsidP="000F3836">
      <w:pPr>
        <w:rPr>
          <w:rFonts w:eastAsia="Calibri" w:cs="Arial"/>
          <w:bCs/>
          <w:lang w:val="en-GB"/>
        </w:rPr>
      </w:pPr>
      <w:r w:rsidRPr="00AF23FE">
        <w:rPr>
          <w:rFonts w:eastAsia="Calibri" w:cs="Arial"/>
          <w:bCs/>
          <w:lang w:val="en-GB"/>
        </w:rPr>
        <w:t>Norway has over time received recommendations from UN monitoring bodies to examine and investigate the causes of these disappearances.</w:t>
      </w:r>
      <w:r w:rsidRPr="00AF23FE">
        <w:rPr>
          <w:rFonts w:eastAsia="Calibri" w:cs="Arial"/>
          <w:bCs/>
          <w:vertAlign w:val="superscript"/>
          <w:lang w:val="en-GB"/>
        </w:rPr>
        <w:footnoteReference w:id="49"/>
      </w:r>
      <w:r w:rsidRPr="00AF23FE">
        <w:rPr>
          <w:rFonts w:eastAsia="Calibri" w:cs="Arial"/>
          <w:bCs/>
          <w:lang w:val="en-GB"/>
        </w:rPr>
        <w:t xml:space="preserve"> </w:t>
      </w:r>
      <w:r w:rsidR="004A2E42">
        <w:rPr>
          <w:rFonts w:eastAsia="Calibri" w:cs="Arial"/>
          <w:bCs/>
          <w:lang w:val="en-GB"/>
        </w:rPr>
        <w:t>UDI</w:t>
      </w:r>
      <w:r w:rsidR="0032123A" w:rsidRPr="00AF23FE">
        <w:rPr>
          <w:rFonts w:eastAsia="Calibri" w:cs="Arial"/>
          <w:bCs/>
          <w:lang w:val="en-GB"/>
        </w:rPr>
        <w:t xml:space="preserve"> </w:t>
      </w:r>
      <w:r w:rsidR="003046E2">
        <w:rPr>
          <w:rFonts w:eastAsia="Calibri" w:cs="Arial"/>
          <w:bCs/>
          <w:lang w:val="en-GB"/>
        </w:rPr>
        <w:t>has procedures</w:t>
      </w:r>
      <w:r w:rsidR="00301C05">
        <w:rPr>
          <w:rFonts w:eastAsia="Calibri" w:cs="Arial"/>
          <w:bCs/>
          <w:lang w:val="en-GB"/>
        </w:rPr>
        <w:t xml:space="preserve"> for</w:t>
      </w:r>
      <w:r w:rsidR="0032123A" w:rsidRPr="00AF23FE">
        <w:rPr>
          <w:rFonts w:eastAsia="Calibri" w:cs="Arial"/>
          <w:bCs/>
          <w:lang w:val="en-GB"/>
        </w:rPr>
        <w:t xml:space="preserve"> follow-up </w:t>
      </w:r>
      <w:r w:rsidR="00803638">
        <w:rPr>
          <w:rFonts w:eastAsia="Calibri" w:cs="Arial"/>
          <w:bCs/>
          <w:lang w:val="en-GB"/>
        </w:rPr>
        <w:t xml:space="preserve">in cases where minors disappear from </w:t>
      </w:r>
      <w:r w:rsidR="00BB7249">
        <w:rPr>
          <w:rFonts w:eastAsia="Calibri" w:cs="Arial"/>
          <w:bCs/>
          <w:lang w:val="en-GB"/>
        </w:rPr>
        <w:t>a reception centre</w:t>
      </w:r>
      <w:r w:rsidR="00E20898">
        <w:rPr>
          <w:rFonts w:eastAsia="Calibri" w:cs="Arial"/>
          <w:bCs/>
          <w:lang w:val="en-GB"/>
        </w:rPr>
        <w:t>.</w:t>
      </w:r>
      <w:r w:rsidR="00E20898">
        <w:rPr>
          <w:rStyle w:val="FootnoteReference"/>
          <w:rFonts w:eastAsia="Calibri" w:cs="Arial"/>
          <w:bCs/>
          <w:lang w:val="en-GB"/>
        </w:rPr>
        <w:footnoteReference w:id="50"/>
      </w:r>
      <w:r w:rsidR="006962BA">
        <w:rPr>
          <w:rFonts w:eastAsia="Calibri" w:cs="Arial"/>
          <w:bCs/>
          <w:lang w:val="en-GB"/>
        </w:rPr>
        <w:t xml:space="preserve"> </w:t>
      </w:r>
    </w:p>
    <w:p w14:paraId="34AAFA94" w14:textId="2BE95C3B" w:rsidR="001E1C1A" w:rsidRPr="00DF1980" w:rsidRDefault="00D646BC" w:rsidP="001E1C1A">
      <w:pPr>
        <w:rPr>
          <w:lang w:val="en-GB"/>
        </w:rPr>
      </w:pPr>
      <w:r>
        <w:rPr>
          <w:lang w:val="en-GB"/>
        </w:rPr>
        <w:t>The NHRI</w:t>
      </w:r>
      <w:r w:rsidR="00C20F22" w:rsidRPr="00DF1980">
        <w:rPr>
          <w:lang w:val="en-GB"/>
        </w:rPr>
        <w:t xml:space="preserve"> </w:t>
      </w:r>
      <w:r w:rsidR="00FA6423">
        <w:rPr>
          <w:lang w:val="en-GB"/>
        </w:rPr>
        <w:t xml:space="preserve">is </w:t>
      </w:r>
      <w:r w:rsidR="00C20F22">
        <w:rPr>
          <w:lang w:val="en-GB"/>
        </w:rPr>
        <w:t>concerned</w:t>
      </w:r>
      <w:r w:rsidR="00C20F22" w:rsidRPr="00DF1980">
        <w:rPr>
          <w:lang w:val="en-GB"/>
        </w:rPr>
        <w:t xml:space="preserve"> that unaccompanied minor asylum seekers, given their vulnerable situation, may be significantly exposed to criminal acts and other exploitation, after their disappearance.</w:t>
      </w:r>
      <w:r w:rsidR="00C20F22">
        <w:rPr>
          <w:lang w:val="en-GB"/>
        </w:rPr>
        <w:t xml:space="preserve"> </w:t>
      </w:r>
      <w:r>
        <w:rPr>
          <w:lang w:val="en-GB"/>
        </w:rPr>
        <w:t>The NHRI</w:t>
      </w:r>
      <w:r w:rsidR="001E1C1A" w:rsidRPr="00DF1980">
        <w:rPr>
          <w:lang w:val="en-GB"/>
        </w:rPr>
        <w:t xml:space="preserve"> </w:t>
      </w:r>
      <w:r w:rsidR="001E1C1A" w:rsidRPr="00FD0A1F">
        <w:rPr>
          <w:lang w:val="en-GB"/>
        </w:rPr>
        <w:t xml:space="preserve">notes that the State, in its reply to the Committee </w:t>
      </w:r>
      <w:r w:rsidR="00FD0A1F" w:rsidRPr="00FD0A1F">
        <w:rPr>
          <w:lang w:val="en-GB"/>
        </w:rPr>
        <w:t>of Enforced Disappearances</w:t>
      </w:r>
      <w:r w:rsidR="001E1C1A" w:rsidRPr="00FD0A1F">
        <w:rPr>
          <w:lang w:val="en-GB"/>
        </w:rPr>
        <w:t>, h</w:t>
      </w:r>
      <w:r w:rsidR="00B3635B">
        <w:rPr>
          <w:lang w:val="en-GB"/>
        </w:rPr>
        <w:t>olds</w:t>
      </w:r>
      <w:r w:rsidR="001E1C1A" w:rsidRPr="00DF1980">
        <w:rPr>
          <w:lang w:val="en-GB"/>
        </w:rPr>
        <w:t xml:space="preserve"> that there will always be a search for and an attempt to bring a child who disappears from a </w:t>
      </w:r>
      <w:r w:rsidR="001E1C1A" w:rsidRPr="00DF1980">
        <w:rPr>
          <w:i/>
          <w:lang w:val="en-GB"/>
        </w:rPr>
        <w:t>centre</w:t>
      </w:r>
      <w:r w:rsidR="001E1C1A" w:rsidRPr="00DF1980">
        <w:rPr>
          <w:lang w:val="en-GB"/>
        </w:rPr>
        <w:t xml:space="preserve"> back</w:t>
      </w:r>
      <w:r w:rsidR="00B3635B">
        <w:rPr>
          <w:lang w:val="en-GB"/>
        </w:rPr>
        <w:t>.</w:t>
      </w:r>
      <w:r w:rsidR="00B3635B">
        <w:rPr>
          <w:rStyle w:val="FootnoteReference"/>
          <w:lang w:val="en-GB"/>
        </w:rPr>
        <w:footnoteReference w:id="51"/>
      </w:r>
      <w:r w:rsidR="00B3635B">
        <w:rPr>
          <w:lang w:val="en-GB"/>
        </w:rPr>
        <w:t xml:space="preserve"> </w:t>
      </w:r>
      <w:r w:rsidR="001E1C1A" w:rsidRPr="00DF1980">
        <w:rPr>
          <w:lang w:val="en-GB"/>
        </w:rPr>
        <w:t xml:space="preserve">In our understanding, the authorities in this context, refers to care centres. We wish to </w:t>
      </w:r>
      <w:r w:rsidR="001E1C1A" w:rsidRPr="00DF1980">
        <w:rPr>
          <w:lang w:val="en-GB"/>
        </w:rPr>
        <w:lastRenderedPageBreak/>
        <w:t xml:space="preserve">emphasize that the same should apply to children missing from </w:t>
      </w:r>
      <w:r w:rsidR="001E1C1A" w:rsidRPr="00DF1980">
        <w:rPr>
          <w:i/>
          <w:lang w:val="en-GB"/>
        </w:rPr>
        <w:t>reception centres</w:t>
      </w:r>
      <w:r w:rsidR="001E1C1A" w:rsidRPr="00DF1980">
        <w:rPr>
          <w:lang w:val="en-GB"/>
        </w:rPr>
        <w:t xml:space="preserve">. </w:t>
      </w:r>
      <w:r w:rsidR="00B441C1" w:rsidRPr="00B441C1">
        <w:rPr>
          <w:lang w:val="en-US"/>
        </w:rPr>
        <w:t xml:space="preserve">We have taken note of the State’s response to the CED Committee, in which it asserts that </w:t>
      </w:r>
      <w:r w:rsidR="00B441C1">
        <w:rPr>
          <w:lang w:val="en-US"/>
        </w:rPr>
        <w:t>the State</w:t>
      </w:r>
      <w:r w:rsidR="00B441C1" w:rsidRPr="00B441C1">
        <w:rPr>
          <w:lang w:val="en-US"/>
        </w:rPr>
        <w:t xml:space="preserve"> no longer bears responsibility for the care of children who leave reception centers. However, we wish to emphasize that the absence of an official duty of care</w:t>
      </w:r>
      <w:r w:rsidR="00060C0D">
        <w:rPr>
          <w:lang w:val="en-US"/>
        </w:rPr>
        <w:t xml:space="preserve"> according to national law</w:t>
      </w:r>
      <w:r w:rsidR="00B441C1" w:rsidRPr="00B441C1">
        <w:rPr>
          <w:lang w:val="en-US"/>
        </w:rPr>
        <w:t xml:space="preserve"> cannot be decisive in determining whether efforts </w:t>
      </w:r>
      <w:r w:rsidR="00DB340A">
        <w:rPr>
          <w:lang w:val="en-US"/>
        </w:rPr>
        <w:t>must</w:t>
      </w:r>
      <w:r w:rsidR="00B441C1" w:rsidRPr="00B441C1">
        <w:rPr>
          <w:lang w:val="en-US"/>
        </w:rPr>
        <w:t xml:space="preserve"> be made to locate these children.</w:t>
      </w:r>
      <w:r w:rsidR="001E1C1A" w:rsidRPr="00DF1980">
        <w:rPr>
          <w:lang w:val="en-GB"/>
        </w:rPr>
        <w:t xml:space="preserve">  </w:t>
      </w:r>
    </w:p>
    <w:p w14:paraId="7652CD87" w14:textId="1FFBE027" w:rsidR="004B60D0" w:rsidRPr="00794AD7" w:rsidRDefault="004B60D0" w:rsidP="004B60D0">
      <w:pPr>
        <w:rPr>
          <w:rFonts w:eastAsia="Calibri" w:cs="Arial"/>
          <w:lang w:val="en-US"/>
        </w:rPr>
      </w:pPr>
      <w:r w:rsidRPr="00DF1980">
        <w:rPr>
          <w:lang w:val="en-GB"/>
        </w:rPr>
        <w:t>In 2018, the Director of Public Prosecutions issued guidelines to the Police and the Public Prosecutor, where it was stated that cases where children disappear from reception centres or care facilities should be prioritized on par with other disappearance cases.</w:t>
      </w:r>
      <w:r>
        <w:rPr>
          <w:lang w:val="en-GB"/>
        </w:rPr>
        <w:t xml:space="preserve"> </w:t>
      </w:r>
      <w:r w:rsidR="00D646BC">
        <w:rPr>
          <w:lang w:val="en-US"/>
        </w:rPr>
        <w:t>The NHRI</w:t>
      </w:r>
      <w:r w:rsidRPr="00794AD7">
        <w:rPr>
          <w:lang w:val="en-US"/>
        </w:rPr>
        <w:t xml:space="preserve"> is not aware of </w:t>
      </w:r>
      <w:r w:rsidR="00794AD7" w:rsidRPr="00794AD7">
        <w:rPr>
          <w:lang w:val="en-US"/>
        </w:rPr>
        <w:t>similar</w:t>
      </w:r>
      <w:r w:rsidRPr="00794AD7">
        <w:rPr>
          <w:lang w:val="en-US"/>
        </w:rPr>
        <w:t xml:space="preserve"> guidelines in recent years</w:t>
      </w:r>
      <w:r w:rsidR="00794AD7" w:rsidRPr="00794AD7">
        <w:rPr>
          <w:lang w:val="en-US"/>
        </w:rPr>
        <w:t>; however,</w:t>
      </w:r>
      <w:r w:rsidRPr="00794AD7">
        <w:rPr>
          <w:lang w:val="en-US"/>
        </w:rPr>
        <w:t xml:space="preserve"> we </w:t>
      </w:r>
      <w:r w:rsidR="00794AD7">
        <w:rPr>
          <w:lang w:val="en-US"/>
        </w:rPr>
        <w:t>emphasize</w:t>
      </w:r>
      <w:r w:rsidR="00794AD7" w:rsidRPr="00794AD7">
        <w:rPr>
          <w:lang w:val="en-US"/>
        </w:rPr>
        <w:t xml:space="preserve"> that </w:t>
      </w:r>
      <w:r w:rsidRPr="00794AD7">
        <w:rPr>
          <w:lang w:val="en-US"/>
        </w:rPr>
        <w:t xml:space="preserve">such </w:t>
      </w:r>
      <w:r w:rsidR="00794AD7" w:rsidRPr="00794AD7">
        <w:rPr>
          <w:lang w:val="en-US"/>
        </w:rPr>
        <w:t>guidance</w:t>
      </w:r>
      <w:r w:rsidRPr="00794AD7">
        <w:rPr>
          <w:lang w:val="en-US"/>
        </w:rPr>
        <w:t xml:space="preserve"> should be explicitly reflected in current circulars </w:t>
      </w:r>
      <w:r w:rsidR="00794AD7" w:rsidRPr="00794AD7">
        <w:rPr>
          <w:lang w:val="en-US"/>
        </w:rPr>
        <w:t>issued by</w:t>
      </w:r>
      <w:r w:rsidRPr="00794AD7">
        <w:rPr>
          <w:lang w:val="en-US"/>
        </w:rPr>
        <w:t xml:space="preserve"> the Director of Public Prosecutions.</w:t>
      </w:r>
    </w:p>
    <w:p w14:paraId="1610C3AC" w14:textId="1B1C3F8E" w:rsidR="00F21D38" w:rsidRPr="00F21D38" w:rsidRDefault="00F21D38" w:rsidP="002C4A7F">
      <w:pPr>
        <w:rPr>
          <w:b/>
          <w:bCs/>
          <w:lang w:val="en-GB"/>
        </w:rPr>
      </w:pPr>
      <w:r w:rsidRPr="00F21D38">
        <w:rPr>
          <w:b/>
          <w:bCs/>
          <w:lang w:val="en-GB"/>
        </w:rPr>
        <w:t>Suggested recommendation</w:t>
      </w:r>
      <w:r w:rsidR="00711D0C">
        <w:rPr>
          <w:b/>
          <w:bCs/>
          <w:lang w:val="en-GB"/>
        </w:rPr>
        <w:t>s</w:t>
      </w:r>
      <w:r w:rsidRPr="00F21D38">
        <w:rPr>
          <w:b/>
          <w:bCs/>
          <w:lang w:val="en-GB"/>
        </w:rPr>
        <w:t>:</w:t>
      </w:r>
    </w:p>
    <w:p w14:paraId="52705664" w14:textId="01DDC23E" w:rsidR="00C12FBA" w:rsidRPr="00711D0C" w:rsidRDefault="00C12FBA" w:rsidP="00711D0C">
      <w:pPr>
        <w:pStyle w:val="ListParagraph"/>
        <w:numPr>
          <w:ilvl w:val="0"/>
          <w:numId w:val="37"/>
        </w:numPr>
        <w:rPr>
          <w:rFonts w:eastAsia="Calibri" w:cs="Arial"/>
          <w:bCs/>
          <w:lang w:val="en-GB"/>
        </w:rPr>
      </w:pPr>
      <w:r w:rsidRPr="00711D0C">
        <w:rPr>
          <w:rFonts w:eastAsia="Calibri" w:cs="Arial"/>
          <w:lang w:val="en-GB"/>
        </w:rPr>
        <w:t>The State Party should adopt measures to prevent disappearances of unaccompanied minor asylum-seekers from reception centres, effectively investigate disappearances when they occur and strengthen its efforts to effectively follow-up existing cases</w:t>
      </w:r>
      <w:r w:rsidRPr="00711D0C">
        <w:rPr>
          <w:rFonts w:eastAsia="Calibri" w:cs="Arial"/>
          <w:bCs/>
          <w:lang w:val="en-GB"/>
        </w:rPr>
        <w:t xml:space="preserve">. </w:t>
      </w:r>
    </w:p>
    <w:p w14:paraId="2D33D56A" w14:textId="3B84E086" w:rsidR="0032123A" w:rsidRPr="00F75CC1" w:rsidRDefault="009D5C8B" w:rsidP="00F75CC1">
      <w:pPr>
        <w:pStyle w:val="ListParagraph"/>
        <w:numPr>
          <w:ilvl w:val="0"/>
          <w:numId w:val="37"/>
        </w:numPr>
        <w:rPr>
          <w:lang w:val="en-GB"/>
        </w:rPr>
      </w:pPr>
      <w:r w:rsidRPr="00711D0C">
        <w:rPr>
          <w:lang w:val="en-US"/>
        </w:rPr>
        <w:t>The</w:t>
      </w:r>
      <w:r w:rsidR="002C4A7F" w:rsidRPr="00711D0C">
        <w:rPr>
          <w:lang w:val="en-US"/>
        </w:rPr>
        <w:t xml:space="preserve"> State </w:t>
      </w:r>
      <w:r w:rsidRPr="00711D0C">
        <w:rPr>
          <w:lang w:val="en-US"/>
        </w:rPr>
        <w:t>Party</w:t>
      </w:r>
      <w:r w:rsidR="002C4A7F" w:rsidRPr="00711D0C">
        <w:rPr>
          <w:lang w:val="en-US"/>
        </w:rPr>
        <w:t xml:space="preserve"> </w:t>
      </w:r>
      <w:r w:rsidRPr="00711D0C">
        <w:rPr>
          <w:lang w:val="en-US"/>
        </w:rPr>
        <w:t>should</w:t>
      </w:r>
      <w:r w:rsidR="002C4A7F" w:rsidRPr="00711D0C">
        <w:rPr>
          <w:lang w:val="en-US"/>
        </w:rPr>
        <w:t xml:space="preserve"> provide guidelines that clearly state that children who go missing from </w:t>
      </w:r>
      <w:r w:rsidR="002C4A7F" w:rsidRPr="00BA2B45">
        <w:rPr>
          <w:lang w:val="en-US"/>
        </w:rPr>
        <w:t xml:space="preserve">reception </w:t>
      </w:r>
      <w:proofErr w:type="spellStart"/>
      <w:r w:rsidR="002C4A7F" w:rsidRPr="00BA2B45">
        <w:rPr>
          <w:lang w:val="en-US"/>
        </w:rPr>
        <w:t>centr</w:t>
      </w:r>
      <w:r w:rsidR="00BF166C" w:rsidRPr="00BA2B45">
        <w:rPr>
          <w:lang w:val="en-US"/>
        </w:rPr>
        <w:t>e</w:t>
      </w:r>
      <w:r w:rsidR="002C4A7F" w:rsidRPr="00BA2B45">
        <w:rPr>
          <w:lang w:val="en-US"/>
        </w:rPr>
        <w:t>s</w:t>
      </w:r>
      <w:proofErr w:type="spellEnd"/>
      <w:r w:rsidR="002C4A7F" w:rsidRPr="00711D0C">
        <w:rPr>
          <w:lang w:val="en-US"/>
        </w:rPr>
        <w:t xml:space="preserve"> must always be searched for, and that efforts must always be made to bring them back</w:t>
      </w:r>
      <w:r w:rsidR="002C4A7F" w:rsidRPr="00711D0C">
        <w:rPr>
          <w:lang w:val="en-GB"/>
        </w:rPr>
        <w:t xml:space="preserve">. </w:t>
      </w:r>
    </w:p>
    <w:p w14:paraId="44FF8705" w14:textId="18EA76C3" w:rsidR="0032123A" w:rsidRPr="00AF23FE" w:rsidRDefault="0032123A" w:rsidP="00F75CC1">
      <w:pPr>
        <w:pStyle w:val="Heading1"/>
        <w:rPr>
          <w:lang w:val="en-GB"/>
        </w:rPr>
      </w:pPr>
      <w:bookmarkStart w:id="25" w:name="_Toc181973449"/>
      <w:r w:rsidRPr="00AF23FE">
        <w:rPr>
          <w:lang w:val="en-GB"/>
        </w:rPr>
        <w:t xml:space="preserve">Treatment of children </w:t>
      </w:r>
      <w:r w:rsidR="00FF1C16">
        <w:rPr>
          <w:lang w:val="en-GB"/>
        </w:rPr>
        <w:t>in</w:t>
      </w:r>
      <w:r w:rsidRPr="00AF23FE">
        <w:rPr>
          <w:lang w:val="en-GB"/>
        </w:rPr>
        <w:t xml:space="preserve"> </w:t>
      </w:r>
      <w:r w:rsidR="005E3055">
        <w:rPr>
          <w:lang w:val="en-GB"/>
        </w:rPr>
        <w:t>pre-trial detention</w:t>
      </w:r>
      <w:r w:rsidRPr="00AF23FE">
        <w:rPr>
          <w:lang w:val="en-GB"/>
        </w:rPr>
        <w:t xml:space="preserve"> </w:t>
      </w:r>
      <w:r w:rsidRPr="004153D0">
        <w:rPr>
          <w:lang w:val="en-GB"/>
        </w:rPr>
        <w:t>in adult prisons</w:t>
      </w:r>
      <w:bookmarkEnd w:id="25"/>
    </w:p>
    <w:p w14:paraId="723FA049" w14:textId="27ACFE99" w:rsidR="00612ED3" w:rsidRPr="00612ED3" w:rsidRDefault="00612ED3" w:rsidP="00360D7E">
      <w:pPr>
        <w:spacing w:before="120"/>
        <w:rPr>
          <w:rFonts w:eastAsia="Calibri" w:cs="Times New Roman"/>
          <w:i/>
          <w:iCs/>
          <w:lang w:val="en-GB"/>
        </w:rPr>
      </w:pPr>
      <w:r w:rsidRPr="00871D7F">
        <w:rPr>
          <w:rFonts w:eastAsia="Calibri" w:cs="Times New Roman"/>
          <w:i/>
          <w:iCs/>
          <w:lang w:val="en-GB"/>
        </w:rPr>
        <w:t xml:space="preserve">Reference is made to LOIPR 2023: </w:t>
      </w:r>
      <w:r w:rsidR="001E7EC6">
        <w:rPr>
          <w:rFonts w:eastAsia="Calibri" w:cs="Times New Roman"/>
          <w:i/>
          <w:iCs/>
          <w:lang w:val="en-GB"/>
        </w:rPr>
        <w:t xml:space="preserve">16 and </w:t>
      </w:r>
      <w:r w:rsidRPr="00871D7F">
        <w:rPr>
          <w:rFonts w:eastAsia="Calibri" w:cs="Times New Roman"/>
          <w:i/>
          <w:iCs/>
          <w:lang w:val="en-GB"/>
        </w:rPr>
        <w:t>31</w:t>
      </w:r>
    </w:p>
    <w:p w14:paraId="19EBAF5F" w14:textId="5F399667" w:rsidR="0032123A" w:rsidRPr="00AF23FE" w:rsidRDefault="0032123A" w:rsidP="00360D7E">
      <w:pPr>
        <w:spacing w:before="120"/>
        <w:rPr>
          <w:rFonts w:eastAsia="Calibri" w:cs="Arial"/>
          <w:bCs/>
          <w:lang w:val="en-GB"/>
        </w:rPr>
      </w:pPr>
      <w:r w:rsidRPr="00AF23FE">
        <w:rPr>
          <w:rFonts w:eastAsia="Calibri" w:cs="Arial"/>
          <w:bCs/>
          <w:lang w:val="en-GB"/>
        </w:rPr>
        <w:t xml:space="preserve">According to Article 37 of the CRC, as interpreted in General Comment No. </w:t>
      </w:r>
      <w:r w:rsidR="008D63EA">
        <w:rPr>
          <w:rFonts w:eastAsia="Calibri" w:cs="Arial"/>
          <w:bCs/>
          <w:lang w:val="en-GB"/>
        </w:rPr>
        <w:t>24</w:t>
      </w:r>
      <w:r w:rsidRPr="00AF23FE">
        <w:rPr>
          <w:rFonts w:eastAsia="Calibri" w:cs="Arial"/>
          <w:bCs/>
          <w:lang w:val="en-GB"/>
        </w:rPr>
        <w:t xml:space="preserve"> by the Committee, children should not </w:t>
      </w:r>
      <w:proofErr w:type="gramStart"/>
      <w:r w:rsidRPr="00AF23FE">
        <w:rPr>
          <w:rFonts w:eastAsia="Calibri" w:cs="Arial"/>
          <w:bCs/>
          <w:lang w:val="en-GB"/>
        </w:rPr>
        <w:t>as a general rule</w:t>
      </w:r>
      <w:proofErr w:type="gramEnd"/>
      <w:r w:rsidRPr="00AF23FE">
        <w:rPr>
          <w:rFonts w:eastAsia="Calibri" w:cs="Arial"/>
          <w:bCs/>
          <w:lang w:val="en-GB"/>
        </w:rPr>
        <w:t xml:space="preserve"> be placed in prison with adult inmates. The Committee emphasises that any exception allowing for children to be placed with adults should be narrowly construed and strictly interpreted in the child's best interests. According to the Criminal Procedure Act, minors should not be held in pre-trial </w:t>
      </w:r>
      <w:r w:rsidR="00A13638">
        <w:rPr>
          <w:rFonts w:eastAsia="Calibri" w:cs="Arial"/>
          <w:bCs/>
          <w:lang w:val="en-GB"/>
        </w:rPr>
        <w:t>detention</w:t>
      </w:r>
      <w:r w:rsidRPr="00AF23FE">
        <w:rPr>
          <w:rFonts w:eastAsia="Calibri" w:cs="Arial"/>
          <w:bCs/>
          <w:lang w:val="en-GB"/>
        </w:rPr>
        <w:t xml:space="preserve"> unless it is </w:t>
      </w:r>
      <w:proofErr w:type="gramStart"/>
      <w:r w:rsidRPr="00AF23FE">
        <w:rPr>
          <w:rFonts w:eastAsia="Calibri" w:cs="Arial"/>
          <w:bCs/>
          <w:lang w:val="en-GB"/>
        </w:rPr>
        <w:t>absolutely necessary</w:t>
      </w:r>
      <w:proofErr w:type="gramEnd"/>
      <w:r w:rsidRPr="00AF23FE">
        <w:rPr>
          <w:rFonts w:eastAsia="Calibri" w:cs="Arial"/>
          <w:bCs/>
          <w:lang w:val="en-GB"/>
        </w:rPr>
        <w:t>. Pre-trial detention must be a proportionate measure.</w:t>
      </w:r>
    </w:p>
    <w:p w14:paraId="33EF259D" w14:textId="7916B0F9" w:rsidR="00FE0DA0" w:rsidRDefault="0032123A" w:rsidP="0032123A">
      <w:pPr>
        <w:rPr>
          <w:rFonts w:eastAsia="Calibri" w:cs="Arial"/>
          <w:bCs/>
          <w:lang w:val="en-GB"/>
        </w:rPr>
      </w:pPr>
      <w:r w:rsidRPr="001423C2">
        <w:rPr>
          <w:rFonts w:eastAsia="Calibri" w:cs="Arial"/>
          <w:bCs/>
          <w:lang w:val="en-GB"/>
        </w:rPr>
        <w:t>Despite this,</w:t>
      </w:r>
      <w:r w:rsidR="001423C2" w:rsidRPr="001423C2">
        <w:rPr>
          <w:rFonts w:eastAsia="Calibri" w:cs="Arial"/>
          <w:bCs/>
          <w:lang w:val="en-GB"/>
        </w:rPr>
        <w:t xml:space="preserve"> a significant number of </w:t>
      </w:r>
      <w:r w:rsidRPr="001423C2">
        <w:rPr>
          <w:rFonts w:eastAsia="Calibri" w:cs="Arial"/>
          <w:bCs/>
          <w:lang w:val="en-GB"/>
        </w:rPr>
        <w:t>children are held in pre-trial detention in regular prisons where infrastructure and staffing are significantly limited compared to youth units.</w:t>
      </w:r>
      <w:r w:rsidRPr="00AF23FE">
        <w:rPr>
          <w:rFonts w:eastAsia="Calibri" w:cs="Arial"/>
          <w:bCs/>
          <w:lang w:val="en-GB"/>
        </w:rPr>
        <w:t xml:space="preserve"> </w:t>
      </w:r>
    </w:p>
    <w:p w14:paraId="63160325" w14:textId="6E004315" w:rsidR="0032123A" w:rsidRPr="00AF23FE" w:rsidRDefault="00FE0DA0" w:rsidP="0032123A">
      <w:pPr>
        <w:rPr>
          <w:rFonts w:eastAsia="Calibri" w:cs="Arial"/>
          <w:bCs/>
          <w:lang w:val="en-GB"/>
        </w:rPr>
      </w:pPr>
      <w:r>
        <w:rPr>
          <w:rFonts w:eastAsia="Calibri" w:cs="Arial"/>
          <w:bCs/>
          <w:lang w:val="en-GB"/>
        </w:rPr>
        <w:t>I</w:t>
      </w:r>
      <w:r w:rsidR="0032123A" w:rsidRPr="00AF23FE">
        <w:rPr>
          <w:rFonts w:eastAsia="Calibri" w:cs="Arial"/>
          <w:bCs/>
          <w:lang w:val="en-GB"/>
        </w:rPr>
        <w:t xml:space="preserve">f minors are to serve time in regular prisons, it is crucial to ensure that there are enough resources to adequately protect their rights. </w:t>
      </w:r>
      <w:r w:rsidR="00D646BC">
        <w:rPr>
          <w:rFonts w:eastAsia="Calibri" w:cs="Arial"/>
          <w:bCs/>
          <w:lang w:val="en-GB"/>
        </w:rPr>
        <w:t>The NHRI</w:t>
      </w:r>
      <w:r w:rsidR="00557B8D">
        <w:rPr>
          <w:rFonts w:eastAsia="Calibri" w:cs="Arial"/>
          <w:bCs/>
          <w:lang w:val="en-GB"/>
        </w:rPr>
        <w:t xml:space="preserve"> </w:t>
      </w:r>
      <w:r w:rsidR="00B95773">
        <w:rPr>
          <w:rFonts w:eastAsia="Calibri" w:cs="Arial"/>
          <w:bCs/>
          <w:lang w:val="en-GB"/>
        </w:rPr>
        <w:t>holds t</w:t>
      </w:r>
      <w:r w:rsidR="00636365">
        <w:rPr>
          <w:rFonts w:eastAsia="Calibri" w:cs="Arial"/>
          <w:bCs/>
          <w:lang w:val="en-GB"/>
        </w:rPr>
        <w:t xml:space="preserve">hat </w:t>
      </w:r>
      <w:r w:rsidR="0032123A" w:rsidRPr="00AF23FE">
        <w:rPr>
          <w:rFonts w:eastAsia="Calibri" w:cs="Arial"/>
          <w:bCs/>
          <w:lang w:val="en-GB"/>
        </w:rPr>
        <w:lastRenderedPageBreak/>
        <w:t xml:space="preserve">significantly stricter requirements should be set for </w:t>
      </w:r>
      <w:r w:rsidR="00893859">
        <w:rPr>
          <w:rFonts w:eastAsia="Calibri" w:cs="Arial"/>
          <w:bCs/>
          <w:lang w:val="en-GB"/>
        </w:rPr>
        <w:t xml:space="preserve">staffing and </w:t>
      </w:r>
      <w:r w:rsidR="0032123A" w:rsidRPr="00AF23FE">
        <w:rPr>
          <w:rFonts w:eastAsia="Calibri" w:cs="Arial"/>
          <w:bCs/>
          <w:lang w:val="en-GB"/>
        </w:rPr>
        <w:t xml:space="preserve">the support and accommodation of minors </w:t>
      </w:r>
      <w:r w:rsidR="00F73F7F">
        <w:rPr>
          <w:rFonts w:eastAsia="Calibri" w:cs="Arial"/>
          <w:bCs/>
          <w:lang w:val="en-GB"/>
        </w:rPr>
        <w:t>who</w:t>
      </w:r>
      <w:r w:rsidR="0032123A" w:rsidRPr="00AF23FE">
        <w:rPr>
          <w:rFonts w:eastAsia="Calibri" w:cs="Arial"/>
          <w:bCs/>
          <w:lang w:val="en-GB"/>
        </w:rPr>
        <w:t xml:space="preserve"> are detained in pre-trial </w:t>
      </w:r>
      <w:r w:rsidR="00A13638">
        <w:rPr>
          <w:rFonts w:eastAsia="Calibri" w:cs="Arial"/>
          <w:bCs/>
          <w:lang w:val="en-GB"/>
        </w:rPr>
        <w:t>detention</w:t>
      </w:r>
      <w:r w:rsidR="0032123A" w:rsidRPr="00AF23FE">
        <w:rPr>
          <w:rFonts w:eastAsia="Calibri" w:cs="Arial"/>
          <w:bCs/>
          <w:lang w:val="en-GB"/>
        </w:rPr>
        <w:t xml:space="preserve"> or serve time with adult inmates.</w:t>
      </w:r>
    </w:p>
    <w:p w14:paraId="5E837FE1" w14:textId="4434771E" w:rsidR="0032123A" w:rsidRPr="00AF23FE" w:rsidRDefault="00D646BC" w:rsidP="0032123A">
      <w:pPr>
        <w:rPr>
          <w:rFonts w:eastAsia="Calibri" w:cs="Arial"/>
          <w:bCs/>
          <w:lang w:val="en-GB"/>
        </w:rPr>
      </w:pPr>
      <w:r>
        <w:rPr>
          <w:rFonts w:eastAsia="Calibri" w:cs="Arial"/>
          <w:bCs/>
          <w:lang w:val="en-US"/>
        </w:rPr>
        <w:t>The NHRI</w:t>
      </w:r>
      <w:r w:rsidR="00766A2A" w:rsidRPr="00766A2A">
        <w:rPr>
          <w:rFonts w:eastAsia="Calibri" w:cs="Arial"/>
          <w:bCs/>
          <w:lang w:val="en-US"/>
        </w:rPr>
        <w:t xml:space="preserve"> is concerned that the court does not consistently receive comprehensive and sufficient information about the conditions under which a child may be held in pre-trial detention before </w:t>
      </w:r>
      <w:proofErr w:type="gramStart"/>
      <w:r w:rsidR="00766A2A" w:rsidRPr="00766A2A">
        <w:rPr>
          <w:rFonts w:eastAsia="Calibri" w:cs="Arial"/>
          <w:bCs/>
          <w:lang w:val="en-US"/>
        </w:rPr>
        <w:t>making a decision</w:t>
      </w:r>
      <w:proofErr w:type="gramEnd"/>
      <w:r w:rsidR="00766A2A" w:rsidRPr="00766A2A">
        <w:rPr>
          <w:rFonts w:eastAsia="Calibri" w:cs="Arial"/>
          <w:bCs/>
          <w:lang w:val="en-US"/>
        </w:rPr>
        <w:t>. We maintain that such information is indispensable for the court to properly assess whether the detention of a child is justified. The court can only determine whether pre-trial detention is necessary and proportionate if the prosecuting authorities and correctional services provide thorough and accurate details regarding the conditions in which the child would be held</w:t>
      </w:r>
      <w:r w:rsidR="0032123A" w:rsidRPr="00AF23FE">
        <w:rPr>
          <w:rFonts w:eastAsia="Calibri" w:cs="Arial"/>
          <w:bCs/>
          <w:lang w:val="en-GB"/>
        </w:rPr>
        <w:t>.</w:t>
      </w:r>
    </w:p>
    <w:p w14:paraId="75CDB89F" w14:textId="039769AA" w:rsidR="0032123A" w:rsidRPr="00AF23FE" w:rsidRDefault="0032123A" w:rsidP="0032123A">
      <w:pPr>
        <w:rPr>
          <w:rFonts w:eastAsia="Calibri" w:cs="Arial"/>
          <w:b/>
          <w:lang w:val="en-GB"/>
        </w:rPr>
      </w:pPr>
      <w:r w:rsidRPr="00AF23FE">
        <w:rPr>
          <w:rFonts w:eastAsia="Calibri" w:cs="Arial"/>
          <w:b/>
          <w:lang w:val="en-GB"/>
        </w:rPr>
        <w:t>Suggested recommendation</w:t>
      </w:r>
      <w:r w:rsidR="00A93A69">
        <w:rPr>
          <w:rFonts w:eastAsia="Calibri" w:cs="Arial"/>
          <w:b/>
          <w:lang w:val="en-GB"/>
        </w:rPr>
        <w:t>s</w:t>
      </w:r>
      <w:r w:rsidRPr="00AF23FE">
        <w:rPr>
          <w:rFonts w:eastAsia="Calibri" w:cs="Arial"/>
          <w:b/>
          <w:lang w:val="en-GB"/>
        </w:rPr>
        <w:t>:</w:t>
      </w:r>
    </w:p>
    <w:p w14:paraId="6A90FA57" w14:textId="7ED421B5" w:rsidR="009F1666" w:rsidRDefault="009F1666" w:rsidP="0032123A">
      <w:pPr>
        <w:pStyle w:val="ListParagraph"/>
        <w:numPr>
          <w:ilvl w:val="0"/>
          <w:numId w:val="39"/>
        </w:numPr>
        <w:spacing w:before="0"/>
        <w:rPr>
          <w:rFonts w:eastAsia="Calibri" w:cs="Arial"/>
          <w:bCs/>
          <w:lang w:val="en-GB"/>
        </w:rPr>
      </w:pPr>
      <w:r>
        <w:rPr>
          <w:rFonts w:eastAsia="Calibri" w:cs="Arial"/>
          <w:bCs/>
          <w:lang w:val="en-GB"/>
        </w:rPr>
        <w:t xml:space="preserve">The State Party should ensure that pre-trial detention of children is only used when </w:t>
      </w:r>
      <w:proofErr w:type="gramStart"/>
      <w:r>
        <w:rPr>
          <w:rFonts w:eastAsia="Calibri" w:cs="Arial"/>
          <w:bCs/>
          <w:lang w:val="en-GB"/>
        </w:rPr>
        <w:t>absolutely necessary</w:t>
      </w:r>
      <w:proofErr w:type="gramEnd"/>
      <w:r>
        <w:rPr>
          <w:rFonts w:eastAsia="Calibri" w:cs="Arial"/>
          <w:bCs/>
          <w:lang w:val="en-GB"/>
        </w:rPr>
        <w:t xml:space="preserve"> </w:t>
      </w:r>
      <w:r w:rsidR="00773517">
        <w:rPr>
          <w:rFonts w:eastAsia="Calibri" w:cs="Arial"/>
          <w:bCs/>
          <w:lang w:val="en-GB"/>
        </w:rPr>
        <w:t xml:space="preserve">and </w:t>
      </w:r>
      <w:r w:rsidR="006D1A97">
        <w:rPr>
          <w:rFonts w:eastAsia="Calibri" w:cs="Arial"/>
          <w:bCs/>
          <w:lang w:val="en-GB"/>
        </w:rPr>
        <w:t xml:space="preserve">should </w:t>
      </w:r>
      <w:r w:rsidR="009A3E51">
        <w:rPr>
          <w:rFonts w:eastAsia="Calibri" w:cs="Arial"/>
          <w:bCs/>
          <w:lang w:val="en-GB"/>
        </w:rPr>
        <w:t>avoid placing children in adult prisons</w:t>
      </w:r>
      <w:r w:rsidR="005767CD">
        <w:rPr>
          <w:rFonts w:eastAsia="Calibri" w:cs="Arial"/>
          <w:bCs/>
          <w:lang w:val="en-GB"/>
        </w:rPr>
        <w:t xml:space="preserve"> unless there is a tho</w:t>
      </w:r>
      <w:r w:rsidR="00082F9A">
        <w:rPr>
          <w:rFonts w:eastAsia="Calibri" w:cs="Arial"/>
          <w:bCs/>
          <w:lang w:val="en-GB"/>
        </w:rPr>
        <w:t>ro</w:t>
      </w:r>
      <w:r w:rsidR="005767CD">
        <w:rPr>
          <w:rFonts w:eastAsia="Calibri" w:cs="Arial"/>
          <w:bCs/>
          <w:lang w:val="en-GB"/>
        </w:rPr>
        <w:t>ugh examination that</w:t>
      </w:r>
      <w:r w:rsidR="003C0826">
        <w:rPr>
          <w:rFonts w:eastAsia="Calibri" w:cs="Arial"/>
          <w:bCs/>
          <w:lang w:val="en-GB"/>
        </w:rPr>
        <w:t xml:space="preserve"> this</w:t>
      </w:r>
      <w:r w:rsidR="005767CD">
        <w:rPr>
          <w:rFonts w:eastAsia="Calibri" w:cs="Arial"/>
          <w:bCs/>
          <w:lang w:val="en-GB"/>
        </w:rPr>
        <w:t xml:space="preserve"> is in the child</w:t>
      </w:r>
      <w:r w:rsidR="00636365">
        <w:rPr>
          <w:rFonts w:eastAsia="Calibri" w:cs="Arial"/>
          <w:bCs/>
          <w:lang w:val="en-GB"/>
        </w:rPr>
        <w:t>’</w:t>
      </w:r>
      <w:r w:rsidR="005767CD">
        <w:rPr>
          <w:rFonts w:eastAsia="Calibri" w:cs="Arial"/>
          <w:bCs/>
          <w:lang w:val="en-GB"/>
        </w:rPr>
        <w:t>s best interests</w:t>
      </w:r>
      <w:r w:rsidR="00B16C8C">
        <w:rPr>
          <w:rFonts w:eastAsia="Calibri" w:cs="Arial"/>
          <w:bCs/>
          <w:lang w:val="en-GB"/>
        </w:rPr>
        <w:t>. If children are placed</w:t>
      </w:r>
      <w:r w:rsidR="00AA1C6A">
        <w:rPr>
          <w:rFonts w:eastAsia="Calibri" w:cs="Arial"/>
          <w:bCs/>
          <w:lang w:val="en-GB"/>
        </w:rPr>
        <w:t xml:space="preserve"> in adult prisons, the State Party should </w:t>
      </w:r>
      <w:r w:rsidR="00EB3C4D">
        <w:rPr>
          <w:rFonts w:eastAsia="Calibri" w:cs="Arial"/>
          <w:bCs/>
          <w:lang w:val="en-GB"/>
        </w:rPr>
        <w:t xml:space="preserve">ensure </w:t>
      </w:r>
      <w:r w:rsidR="003970E4">
        <w:rPr>
          <w:rFonts w:eastAsia="Calibri" w:cs="Arial"/>
          <w:bCs/>
          <w:lang w:val="en-GB"/>
        </w:rPr>
        <w:t>there is adequate staffing, support and accommodation</w:t>
      </w:r>
      <w:r w:rsidR="00C10EE6">
        <w:rPr>
          <w:rFonts w:eastAsia="Calibri" w:cs="Arial"/>
          <w:bCs/>
          <w:lang w:val="en-GB"/>
        </w:rPr>
        <w:t>.</w:t>
      </w:r>
    </w:p>
    <w:p w14:paraId="505A4D84" w14:textId="42B0E984" w:rsidR="0032123A" w:rsidRPr="00AF23FE" w:rsidRDefault="0032123A" w:rsidP="0032123A">
      <w:pPr>
        <w:pStyle w:val="ListParagraph"/>
        <w:numPr>
          <w:ilvl w:val="0"/>
          <w:numId w:val="39"/>
        </w:numPr>
        <w:spacing w:before="0"/>
        <w:rPr>
          <w:rFonts w:eastAsia="Calibri" w:cs="Arial"/>
          <w:bCs/>
          <w:lang w:val="en-GB"/>
        </w:rPr>
      </w:pPr>
      <w:r w:rsidRPr="00AF23FE">
        <w:rPr>
          <w:rFonts w:eastAsia="Calibri" w:cs="Arial"/>
          <w:bCs/>
          <w:lang w:val="en-GB"/>
        </w:rPr>
        <w:t xml:space="preserve">The State Party should put in place guidelines to ensure </w:t>
      </w:r>
      <w:r w:rsidR="00C10EE6">
        <w:rPr>
          <w:rFonts w:eastAsia="Calibri" w:cs="Arial"/>
          <w:bCs/>
          <w:lang w:val="en-GB"/>
        </w:rPr>
        <w:t>that</w:t>
      </w:r>
      <w:r w:rsidRPr="00AF23FE">
        <w:rPr>
          <w:rFonts w:eastAsia="Calibri" w:cs="Arial"/>
          <w:bCs/>
          <w:lang w:val="en-GB"/>
        </w:rPr>
        <w:t xml:space="preserve"> the prosecution authority </w:t>
      </w:r>
      <w:r w:rsidR="00C10EE6">
        <w:rPr>
          <w:rFonts w:eastAsia="Calibri" w:cs="Arial"/>
          <w:bCs/>
          <w:lang w:val="en-GB"/>
        </w:rPr>
        <w:t xml:space="preserve">and correctional services </w:t>
      </w:r>
      <w:r w:rsidR="00993AF9">
        <w:rPr>
          <w:rFonts w:eastAsia="Calibri" w:cs="Arial"/>
          <w:bCs/>
          <w:lang w:val="en-GB"/>
        </w:rPr>
        <w:t>provide adequate</w:t>
      </w:r>
      <w:r w:rsidRPr="00AF23FE">
        <w:rPr>
          <w:rFonts w:eastAsia="Calibri" w:cs="Arial"/>
          <w:bCs/>
          <w:lang w:val="en-GB"/>
        </w:rPr>
        <w:t xml:space="preserve"> information </w:t>
      </w:r>
      <w:r w:rsidR="00D912C0">
        <w:rPr>
          <w:rFonts w:eastAsia="Calibri" w:cs="Arial"/>
          <w:bCs/>
          <w:lang w:val="en-GB"/>
        </w:rPr>
        <w:t xml:space="preserve">to the court </w:t>
      </w:r>
      <w:r w:rsidRPr="00AF23FE">
        <w:rPr>
          <w:rFonts w:eastAsia="Calibri" w:cs="Arial"/>
          <w:bCs/>
          <w:lang w:val="en-GB"/>
        </w:rPr>
        <w:t xml:space="preserve">on the conditions where the child is to be held in </w:t>
      </w:r>
      <w:r w:rsidR="00082F9A">
        <w:rPr>
          <w:rFonts w:eastAsia="Calibri" w:cs="Arial"/>
          <w:bCs/>
          <w:lang w:val="en-GB"/>
        </w:rPr>
        <w:t>pre-trial detention</w:t>
      </w:r>
      <w:r w:rsidRPr="00AF23FE">
        <w:rPr>
          <w:rFonts w:eastAsia="Calibri" w:cs="Arial"/>
          <w:bCs/>
          <w:lang w:val="en-GB"/>
        </w:rPr>
        <w:t xml:space="preserve"> until </w:t>
      </w:r>
      <w:r w:rsidR="00D33EEA">
        <w:rPr>
          <w:rFonts w:eastAsia="Calibri" w:cs="Arial"/>
          <w:bCs/>
          <w:lang w:val="en-GB"/>
        </w:rPr>
        <w:t>their trial</w:t>
      </w:r>
      <w:r w:rsidRPr="00AF23FE">
        <w:rPr>
          <w:rFonts w:eastAsia="Calibri" w:cs="Arial"/>
          <w:bCs/>
          <w:lang w:val="en-GB"/>
        </w:rPr>
        <w:t>.</w:t>
      </w:r>
    </w:p>
    <w:p w14:paraId="335C9553" w14:textId="10F0A53C" w:rsidR="0032123A" w:rsidRPr="00AF23FE" w:rsidRDefault="0032123A" w:rsidP="0032123A">
      <w:pPr>
        <w:pStyle w:val="Heading1"/>
        <w:rPr>
          <w:lang w:val="en-GB"/>
        </w:rPr>
      </w:pPr>
      <w:r w:rsidRPr="00AF23FE">
        <w:rPr>
          <w:lang w:val="en-GB"/>
        </w:rPr>
        <w:t xml:space="preserve"> </w:t>
      </w:r>
      <w:bookmarkStart w:id="26" w:name="_Toc181973450"/>
      <w:r w:rsidRPr="00AF23FE">
        <w:rPr>
          <w:lang w:val="en-GB"/>
        </w:rPr>
        <w:t xml:space="preserve">The use of </w:t>
      </w:r>
      <w:r w:rsidR="006C0BC5">
        <w:rPr>
          <w:lang w:val="en-GB"/>
        </w:rPr>
        <w:t>solitary co</w:t>
      </w:r>
      <w:r w:rsidRPr="00AF23FE">
        <w:rPr>
          <w:lang w:val="en-GB"/>
        </w:rPr>
        <w:t>n</w:t>
      </w:r>
      <w:r w:rsidR="006C0BC5">
        <w:rPr>
          <w:lang w:val="en-GB"/>
        </w:rPr>
        <w:t>finement</w:t>
      </w:r>
      <w:r w:rsidRPr="00AF23FE">
        <w:rPr>
          <w:lang w:val="en-GB"/>
        </w:rPr>
        <w:t>, restraints and force against juveniles in prison</w:t>
      </w:r>
      <w:bookmarkEnd w:id="26"/>
      <w:r w:rsidRPr="00AF23FE">
        <w:rPr>
          <w:lang w:val="en-GB"/>
        </w:rPr>
        <w:t xml:space="preserve"> </w:t>
      </w:r>
    </w:p>
    <w:p w14:paraId="211BE05B" w14:textId="791CBB1A" w:rsidR="005302E3" w:rsidRPr="005302E3" w:rsidRDefault="005302E3" w:rsidP="00360D7E">
      <w:pPr>
        <w:spacing w:before="120"/>
        <w:rPr>
          <w:rFonts w:eastAsia="Calibri" w:cs="Times New Roman"/>
          <w:i/>
          <w:iCs/>
          <w:lang w:val="en-GB"/>
        </w:rPr>
      </w:pPr>
      <w:r w:rsidRPr="00871D7F">
        <w:rPr>
          <w:rFonts w:eastAsia="Calibri" w:cs="Times New Roman"/>
          <w:i/>
          <w:iCs/>
          <w:lang w:val="en-GB"/>
        </w:rPr>
        <w:t xml:space="preserve">Reference is made to LOIPR 2023: </w:t>
      </w:r>
      <w:r w:rsidR="00592DE9">
        <w:rPr>
          <w:rFonts w:eastAsia="Calibri" w:cs="Times New Roman"/>
          <w:i/>
          <w:iCs/>
          <w:lang w:val="en-GB"/>
        </w:rPr>
        <w:t xml:space="preserve">16 and </w:t>
      </w:r>
      <w:r w:rsidRPr="00871D7F">
        <w:rPr>
          <w:rFonts w:eastAsia="Calibri" w:cs="Times New Roman"/>
          <w:i/>
          <w:iCs/>
          <w:lang w:val="en-GB"/>
        </w:rPr>
        <w:t>31</w:t>
      </w:r>
    </w:p>
    <w:p w14:paraId="01D958DD" w14:textId="3A503369" w:rsidR="0032123A" w:rsidRPr="00AF23FE" w:rsidRDefault="0032123A" w:rsidP="00360D7E">
      <w:pPr>
        <w:spacing w:before="120"/>
        <w:rPr>
          <w:rFonts w:eastAsia="Calibri" w:cs="Arial"/>
          <w:lang w:val="en-GB"/>
        </w:rPr>
      </w:pPr>
      <w:r w:rsidRPr="00AF23FE">
        <w:rPr>
          <w:rFonts w:eastAsia="Calibri" w:cs="Arial"/>
          <w:lang w:val="en-GB"/>
        </w:rPr>
        <w:t xml:space="preserve">The NHRI is concerned that the State Party’s current approach to the use of </w:t>
      </w:r>
      <w:r w:rsidR="006C0BC5">
        <w:rPr>
          <w:rFonts w:eastAsia="Calibri" w:cs="Arial"/>
          <w:lang w:val="en-GB"/>
        </w:rPr>
        <w:t>solitary confinement</w:t>
      </w:r>
      <w:r w:rsidRPr="00AF23FE">
        <w:rPr>
          <w:rFonts w:eastAsia="Calibri" w:cs="Arial"/>
          <w:lang w:val="en-GB"/>
        </w:rPr>
        <w:t xml:space="preserve">, restraints and force against juveniles in custody may not meet the standards required under Articles 3(1) and 37(c) of the CRC.  </w:t>
      </w:r>
    </w:p>
    <w:p w14:paraId="0A32C33F" w14:textId="5E73B738" w:rsidR="0032123A" w:rsidRPr="00AF23FE" w:rsidRDefault="0032123A" w:rsidP="0032123A">
      <w:pPr>
        <w:rPr>
          <w:rFonts w:eastAsia="Calibri" w:cs="Arial"/>
          <w:bCs/>
          <w:lang w:val="en-GB"/>
        </w:rPr>
      </w:pPr>
      <w:r w:rsidRPr="00AF23FE">
        <w:rPr>
          <w:rFonts w:eastAsia="Calibri" w:cs="Arial"/>
          <w:bCs/>
          <w:lang w:val="en-GB"/>
        </w:rPr>
        <w:t>We refer to the Ministry of Justice and Public Security's consultation letter of February 2, 2023, in which proposals for amendments to the Execution of Sentences Act and the Health and Care Services Act were sent for consultation.</w:t>
      </w:r>
      <w:r w:rsidR="005D4997">
        <w:rPr>
          <w:rStyle w:val="FootnoteReference"/>
          <w:rFonts w:eastAsia="Calibri" w:cs="Arial"/>
          <w:bCs/>
          <w:lang w:val="en-GB"/>
        </w:rPr>
        <w:footnoteReference w:id="52"/>
      </w:r>
      <w:r w:rsidRPr="00AF23FE">
        <w:rPr>
          <w:rFonts w:eastAsia="Calibri" w:cs="Arial"/>
          <w:bCs/>
          <w:lang w:val="en-GB"/>
        </w:rPr>
        <w:t xml:space="preserve"> The aim of the proposals </w:t>
      </w:r>
      <w:r w:rsidR="007A7078" w:rsidRPr="00AF23FE">
        <w:rPr>
          <w:rFonts w:eastAsia="Calibri" w:cs="Arial"/>
          <w:bCs/>
          <w:lang w:val="en-GB"/>
        </w:rPr>
        <w:t>was</w:t>
      </w:r>
      <w:r w:rsidRPr="00AF23FE">
        <w:rPr>
          <w:rFonts w:eastAsia="Calibri" w:cs="Arial"/>
          <w:bCs/>
          <w:lang w:val="en-GB"/>
        </w:rPr>
        <w:t xml:space="preserve"> to reduce challenges relating to the use of isolation in prisons. The proposed amendments are still under consideration by the </w:t>
      </w:r>
      <w:r w:rsidR="007A7562">
        <w:rPr>
          <w:rFonts w:eastAsia="Calibri" w:cs="Arial"/>
          <w:bCs/>
          <w:lang w:val="en-GB"/>
        </w:rPr>
        <w:t>M</w:t>
      </w:r>
      <w:r w:rsidRPr="00AF23FE">
        <w:rPr>
          <w:rFonts w:eastAsia="Calibri" w:cs="Arial"/>
          <w:bCs/>
          <w:lang w:val="en-GB"/>
        </w:rPr>
        <w:t xml:space="preserve">inistry. </w:t>
      </w:r>
      <w:r w:rsidR="007E6D36">
        <w:rPr>
          <w:rFonts w:eastAsia="Calibri" w:cs="Arial"/>
          <w:bCs/>
          <w:lang w:val="en-GB"/>
        </w:rPr>
        <w:lastRenderedPageBreak/>
        <w:t>While several of the proposed amendments</w:t>
      </w:r>
      <w:r w:rsidR="00B3781B">
        <w:rPr>
          <w:rFonts w:eastAsia="Calibri" w:cs="Arial"/>
          <w:bCs/>
          <w:lang w:val="en-GB"/>
        </w:rPr>
        <w:t xml:space="preserve"> would strengthen </w:t>
      </w:r>
      <w:r w:rsidR="00297E35">
        <w:rPr>
          <w:rFonts w:eastAsia="Calibri" w:cs="Arial"/>
          <w:bCs/>
          <w:lang w:val="en-GB"/>
        </w:rPr>
        <w:t>the implementation of</w:t>
      </w:r>
      <w:r w:rsidR="00F901B4">
        <w:rPr>
          <w:rFonts w:eastAsia="Calibri" w:cs="Arial"/>
          <w:bCs/>
          <w:lang w:val="en-GB"/>
        </w:rPr>
        <w:t xml:space="preserve"> human </w:t>
      </w:r>
      <w:r w:rsidR="00B3781B">
        <w:rPr>
          <w:rFonts w:eastAsia="Calibri" w:cs="Arial"/>
          <w:bCs/>
          <w:lang w:val="en-GB"/>
        </w:rPr>
        <w:t xml:space="preserve">rights, the NHRI </w:t>
      </w:r>
      <w:r w:rsidR="006E0351">
        <w:rPr>
          <w:rFonts w:eastAsia="Calibri" w:cs="Arial"/>
          <w:bCs/>
          <w:lang w:val="en-GB"/>
        </w:rPr>
        <w:t xml:space="preserve">is of the view that </w:t>
      </w:r>
      <w:r w:rsidR="00EB398C">
        <w:rPr>
          <w:rFonts w:eastAsia="Calibri" w:cs="Arial"/>
          <w:bCs/>
          <w:lang w:val="en-GB"/>
        </w:rPr>
        <w:t>further</w:t>
      </w:r>
      <w:r w:rsidR="006E0351">
        <w:rPr>
          <w:rFonts w:eastAsia="Calibri" w:cs="Arial"/>
          <w:bCs/>
          <w:lang w:val="en-GB"/>
        </w:rPr>
        <w:t xml:space="preserve"> </w:t>
      </w:r>
      <w:r w:rsidR="00EB398C">
        <w:rPr>
          <w:rFonts w:eastAsia="Calibri" w:cs="Arial"/>
          <w:bCs/>
          <w:lang w:val="en-GB"/>
        </w:rPr>
        <w:t>reform is needed</w:t>
      </w:r>
      <w:r w:rsidR="00202832">
        <w:rPr>
          <w:rFonts w:eastAsia="Calibri" w:cs="Arial"/>
          <w:bCs/>
          <w:lang w:val="en-GB"/>
        </w:rPr>
        <w:t xml:space="preserve"> to protect children’s rights</w:t>
      </w:r>
      <w:r w:rsidR="006E0351">
        <w:rPr>
          <w:rFonts w:eastAsia="Calibri" w:cs="Arial"/>
          <w:bCs/>
          <w:lang w:val="en-GB"/>
        </w:rPr>
        <w:t xml:space="preserve">. </w:t>
      </w:r>
    </w:p>
    <w:p w14:paraId="5878FAC4" w14:textId="1EE7ADF0" w:rsidR="0032123A" w:rsidRPr="00AF23FE" w:rsidRDefault="0032123A" w:rsidP="0032123A">
      <w:pPr>
        <w:rPr>
          <w:rFonts w:eastAsia="Calibri" w:cs="Arial"/>
          <w:bCs/>
          <w:lang w:val="en-GB"/>
        </w:rPr>
      </w:pPr>
      <w:r w:rsidRPr="00AF23FE">
        <w:rPr>
          <w:rFonts w:eastAsia="Calibri" w:cs="Arial"/>
          <w:bCs/>
          <w:lang w:val="en-GB"/>
        </w:rPr>
        <w:t xml:space="preserve">According to the proposed </w:t>
      </w:r>
      <w:r w:rsidR="00D611A8">
        <w:rPr>
          <w:rFonts w:eastAsia="Calibri" w:cs="Arial"/>
          <w:bCs/>
          <w:lang w:val="en-GB"/>
        </w:rPr>
        <w:t>S</w:t>
      </w:r>
      <w:r w:rsidRPr="00AF23FE">
        <w:rPr>
          <w:rFonts w:eastAsia="Calibri" w:cs="Arial"/>
          <w:bCs/>
          <w:lang w:val="en-GB"/>
        </w:rPr>
        <w:t xml:space="preserve">ection 37(f), </w:t>
      </w:r>
      <w:proofErr w:type="gramStart"/>
      <w:r w:rsidRPr="00AF23FE">
        <w:rPr>
          <w:rFonts w:eastAsia="Calibri" w:cs="Arial"/>
          <w:bCs/>
          <w:lang w:val="en-GB"/>
        </w:rPr>
        <w:t>third paragraph,</w:t>
      </w:r>
      <w:proofErr w:type="gramEnd"/>
      <w:r w:rsidRPr="00AF23FE">
        <w:rPr>
          <w:rFonts w:eastAsia="Calibri" w:cs="Arial"/>
          <w:bCs/>
          <w:lang w:val="en-GB"/>
        </w:rPr>
        <w:t xml:space="preserve"> of the Execution of Sentences Act, complete exclusion</w:t>
      </w:r>
      <w:r w:rsidR="00DF6DA3">
        <w:rPr>
          <w:rFonts w:eastAsia="Calibri" w:cs="Arial"/>
          <w:bCs/>
          <w:lang w:val="en-GB"/>
        </w:rPr>
        <w:t xml:space="preserve"> </w:t>
      </w:r>
      <w:r w:rsidR="002C2A0A">
        <w:rPr>
          <w:rFonts w:eastAsia="Calibri" w:cs="Arial"/>
          <w:bCs/>
          <w:lang w:val="en-GB"/>
        </w:rPr>
        <w:t>(</w:t>
      </w:r>
      <w:r w:rsidR="00193C31">
        <w:rPr>
          <w:rFonts w:eastAsia="Calibri" w:cs="Arial"/>
          <w:bCs/>
          <w:lang w:val="en-GB"/>
        </w:rPr>
        <w:t>meaning isolation</w:t>
      </w:r>
      <w:r w:rsidR="00571BFA">
        <w:rPr>
          <w:rFonts w:eastAsia="Calibri" w:cs="Arial"/>
          <w:bCs/>
          <w:lang w:val="en-GB"/>
        </w:rPr>
        <w:t xml:space="preserve"> from the rest of the prison community)</w:t>
      </w:r>
      <w:r w:rsidR="004C405E">
        <w:rPr>
          <w:rFonts w:eastAsia="Calibri" w:cs="Arial"/>
          <w:bCs/>
          <w:lang w:val="en-GB"/>
        </w:rPr>
        <w:t xml:space="preserve"> </w:t>
      </w:r>
      <w:r w:rsidRPr="00AF23FE">
        <w:rPr>
          <w:rFonts w:eastAsia="Calibri" w:cs="Arial"/>
          <w:bCs/>
          <w:lang w:val="en-GB"/>
        </w:rPr>
        <w:t xml:space="preserve">of an inmate under 18 years old shall not exceed seven days. The NHRI is concerned that this maximum duration is too long given the Committee’s recommendation that solitary confinement of minors should only be used as a last resort for the shortest possible time. The NHRI also urges the State Party to stipulate in regulations that placing children in a security cell or solitary confinement can only be done for the purpose of preventing the inmate from seriously harming themselves or another person. The authorities should also review whether there is a sufficient evidence base for the use of solitary confinement of children in preventing self-harm, and whether other measures may be more appropriate. If solitary confinement is used, the reasoning should be recorded following a thorough examination of the potential consequences for the child, and how the child's best interests and right to be heard have been addressed. </w:t>
      </w:r>
    </w:p>
    <w:p w14:paraId="3439087C" w14:textId="2E59D0D0" w:rsidR="0032123A" w:rsidRDefault="0032123A" w:rsidP="0032123A">
      <w:pPr>
        <w:rPr>
          <w:rFonts w:eastAsia="Calibri" w:cs="Arial"/>
          <w:bCs/>
          <w:lang w:val="en-GB"/>
        </w:rPr>
      </w:pPr>
      <w:r w:rsidRPr="00AF23FE">
        <w:rPr>
          <w:rFonts w:eastAsia="Calibri" w:cs="Arial"/>
          <w:bCs/>
          <w:lang w:val="en-GB"/>
        </w:rPr>
        <w:t xml:space="preserve">The NHRI also urges the State Party to ensure that the authorisation </w:t>
      </w:r>
      <w:r w:rsidR="00AF0694">
        <w:rPr>
          <w:rFonts w:eastAsia="Calibri" w:cs="Arial"/>
          <w:bCs/>
          <w:lang w:val="en-GB"/>
        </w:rPr>
        <w:t>of</w:t>
      </w:r>
      <w:r w:rsidR="00AF0694" w:rsidRPr="00AF23FE">
        <w:rPr>
          <w:rFonts w:eastAsia="Calibri" w:cs="Arial"/>
          <w:bCs/>
          <w:lang w:val="en-GB"/>
        </w:rPr>
        <w:t xml:space="preserve"> </w:t>
      </w:r>
      <w:r w:rsidRPr="00AF23FE">
        <w:rPr>
          <w:rFonts w:eastAsia="Calibri" w:cs="Arial"/>
          <w:bCs/>
          <w:lang w:val="en-GB"/>
        </w:rPr>
        <w:t xml:space="preserve">the use of force or coercive measures against children </w:t>
      </w:r>
      <w:r w:rsidR="0094343E">
        <w:rPr>
          <w:rFonts w:eastAsia="Calibri" w:cs="Arial"/>
          <w:bCs/>
          <w:lang w:val="en-GB"/>
        </w:rPr>
        <w:t>in prison</w:t>
      </w:r>
      <w:r w:rsidRPr="00AF23FE">
        <w:rPr>
          <w:rFonts w:eastAsia="Calibri" w:cs="Arial"/>
          <w:bCs/>
          <w:lang w:val="en-GB"/>
        </w:rPr>
        <w:t xml:space="preserve"> is delimited and specified further in line with human rights standards and recommendations. The </w:t>
      </w:r>
      <w:r w:rsidR="00C800BC">
        <w:rPr>
          <w:rFonts w:eastAsia="Calibri" w:cs="Arial"/>
          <w:bCs/>
          <w:lang w:val="en-GB"/>
        </w:rPr>
        <w:t>Execution</w:t>
      </w:r>
      <w:r w:rsidRPr="00AF23FE">
        <w:rPr>
          <w:rFonts w:eastAsia="Calibri" w:cs="Arial"/>
          <w:bCs/>
          <w:lang w:val="en-GB"/>
        </w:rPr>
        <w:t xml:space="preserve"> of Sentences Act already obligates the correctional services </w:t>
      </w:r>
      <w:r w:rsidR="004D314F">
        <w:rPr>
          <w:rFonts w:eastAsia="Calibri" w:cs="Arial"/>
          <w:bCs/>
          <w:lang w:val="en-GB"/>
        </w:rPr>
        <w:t xml:space="preserve">to make proportionality assessments </w:t>
      </w:r>
      <w:r w:rsidR="002F0AA7" w:rsidRPr="00AF23FE">
        <w:rPr>
          <w:rFonts w:eastAsia="Calibri" w:cs="Arial"/>
          <w:bCs/>
          <w:lang w:val="en-GB"/>
        </w:rPr>
        <w:t>when deciding on the use of coercive measures or exclusion</w:t>
      </w:r>
      <w:r w:rsidRPr="00AF23FE">
        <w:rPr>
          <w:rFonts w:eastAsia="Calibri" w:cs="Arial"/>
          <w:bCs/>
          <w:lang w:val="en-GB"/>
        </w:rPr>
        <w:t xml:space="preserve">. However, the Act does not </w:t>
      </w:r>
      <w:r w:rsidR="0003736F">
        <w:rPr>
          <w:rFonts w:eastAsia="Calibri" w:cs="Arial"/>
          <w:bCs/>
          <w:lang w:val="en-GB"/>
        </w:rPr>
        <w:t xml:space="preserve">explicitly and comprehensively </w:t>
      </w:r>
      <w:r w:rsidRPr="00AF23FE">
        <w:rPr>
          <w:rFonts w:eastAsia="Calibri" w:cs="Arial"/>
          <w:bCs/>
          <w:lang w:val="en-GB"/>
        </w:rPr>
        <w:t>define the factors to be considered in such a proportionality assessment, and this isn’t addressed in the proposed amendments. Children who experience coercive measures in prison should also have the right to a conversation about their experience and how to avoid its recurrence. Improved individual follow-up could positively impact both the inmate and the community, thereby preventing future situations that could otherwise lead to exclusion or the use of coercive measures.</w:t>
      </w:r>
    </w:p>
    <w:p w14:paraId="79D3846B" w14:textId="32674DA0" w:rsidR="006251EF" w:rsidRPr="006251EF" w:rsidRDefault="00CF2DBF" w:rsidP="0032123A">
      <w:pPr>
        <w:rPr>
          <w:rFonts w:eastAsia="Calibri" w:cs="Arial"/>
          <w:b/>
          <w:lang w:val="en-GB"/>
        </w:rPr>
      </w:pPr>
      <w:r>
        <w:rPr>
          <w:rFonts w:eastAsia="Calibri" w:cs="Arial"/>
          <w:b/>
          <w:lang w:val="en-GB"/>
        </w:rPr>
        <w:t>Suggested</w:t>
      </w:r>
      <w:r w:rsidR="006251EF">
        <w:rPr>
          <w:rFonts w:eastAsia="Calibri" w:cs="Arial"/>
          <w:b/>
          <w:lang w:val="en-GB"/>
        </w:rPr>
        <w:t xml:space="preserve"> </w:t>
      </w:r>
      <w:r>
        <w:rPr>
          <w:rFonts w:eastAsia="Calibri" w:cs="Arial"/>
          <w:b/>
          <w:lang w:val="en-GB"/>
        </w:rPr>
        <w:t>recommendations:</w:t>
      </w:r>
    </w:p>
    <w:p w14:paraId="0B075F0E" w14:textId="20B4587E" w:rsidR="0032123A" w:rsidRPr="00AF23FE" w:rsidRDefault="0032123A" w:rsidP="0032123A">
      <w:pPr>
        <w:pStyle w:val="ListParagraph"/>
        <w:numPr>
          <w:ilvl w:val="0"/>
          <w:numId w:val="39"/>
        </w:numPr>
        <w:spacing w:before="0"/>
        <w:rPr>
          <w:rFonts w:eastAsia="Calibri" w:cs="Arial"/>
          <w:bCs/>
          <w:lang w:val="en-GB"/>
        </w:rPr>
      </w:pPr>
      <w:r w:rsidRPr="00AF23FE">
        <w:rPr>
          <w:rFonts w:eastAsia="Calibri" w:cs="Arial"/>
          <w:bCs/>
          <w:lang w:val="en-GB"/>
        </w:rPr>
        <w:t xml:space="preserve">The State Party should amend legislation and regulations concerning the execution of sentences to ensure that </w:t>
      </w:r>
      <w:r w:rsidR="0048151F">
        <w:rPr>
          <w:rFonts w:eastAsia="Calibri" w:cs="Arial"/>
          <w:bCs/>
          <w:lang w:val="en-GB"/>
        </w:rPr>
        <w:t>solitary confinement</w:t>
      </w:r>
      <w:r w:rsidRPr="00AF23FE">
        <w:rPr>
          <w:rFonts w:eastAsia="Calibri" w:cs="Arial"/>
          <w:bCs/>
          <w:lang w:val="en-GB"/>
        </w:rPr>
        <w:t xml:space="preserve">, force and restraints are only used to prevent the inmate from seriously harming themselves or another person. </w:t>
      </w:r>
    </w:p>
    <w:p w14:paraId="20157230" w14:textId="320C8D51" w:rsidR="0032123A" w:rsidRPr="00CF2DBF" w:rsidRDefault="0032123A" w:rsidP="0032123A">
      <w:pPr>
        <w:pStyle w:val="ListParagraph"/>
        <w:numPr>
          <w:ilvl w:val="0"/>
          <w:numId w:val="39"/>
        </w:numPr>
        <w:spacing w:before="0"/>
        <w:rPr>
          <w:rFonts w:eastAsia="Calibri" w:cs="Arial"/>
          <w:bCs/>
          <w:lang w:val="en-GB"/>
        </w:rPr>
      </w:pPr>
      <w:r w:rsidRPr="00AF23FE">
        <w:rPr>
          <w:rFonts w:eastAsia="Calibri" w:cs="Arial"/>
          <w:bCs/>
          <w:lang w:val="en-GB"/>
        </w:rPr>
        <w:t>The State Party should ensure that decisions regarding solitary confinement and the use of coercive measures against children explicitly state how the child's best interests and the requirement for the child to be heard have been addressed.</w:t>
      </w:r>
    </w:p>
    <w:p w14:paraId="71CA6C22" w14:textId="259FAE02" w:rsidR="0032123A" w:rsidRPr="00AF23FE" w:rsidRDefault="0032123A" w:rsidP="0032123A">
      <w:pPr>
        <w:pStyle w:val="Heading1"/>
        <w:rPr>
          <w:lang w:val="en-GB"/>
        </w:rPr>
      </w:pPr>
      <w:r w:rsidRPr="00AF23FE">
        <w:rPr>
          <w:lang w:val="en-GB"/>
        </w:rPr>
        <w:lastRenderedPageBreak/>
        <w:t xml:space="preserve"> </w:t>
      </w:r>
      <w:bookmarkStart w:id="27" w:name="_Toc181973451"/>
      <w:r w:rsidRPr="00AF23FE">
        <w:rPr>
          <w:lang w:val="en-GB"/>
        </w:rPr>
        <w:t>Preventive detention of children</w:t>
      </w:r>
      <w:bookmarkEnd w:id="27"/>
    </w:p>
    <w:p w14:paraId="693528CD" w14:textId="16921B88" w:rsidR="009729A2" w:rsidRPr="009729A2" w:rsidRDefault="009729A2" w:rsidP="00360D7E">
      <w:pPr>
        <w:spacing w:before="120"/>
        <w:rPr>
          <w:rFonts w:eastAsia="Calibri" w:cs="Times New Roman"/>
          <w:i/>
          <w:iCs/>
          <w:lang w:val="en-GB"/>
        </w:rPr>
      </w:pPr>
      <w:r w:rsidRPr="00871D7F">
        <w:rPr>
          <w:rFonts w:eastAsia="Calibri" w:cs="Times New Roman"/>
          <w:i/>
          <w:iCs/>
          <w:lang w:val="en-GB"/>
        </w:rPr>
        <w:t>Reference is made to LOIPR 2023: 31</w:t>
      </w:r>
    </w:p>
    <w:p w14:paraId="028573FA" w14:textId="52A41874" w:rsidR="00BB774E" w:rsidRPr="00AF23FE" w:rsidRDefault="0032123A" w:rsidP="0032123A">
      <w:pPr>
        <w:rPr>
          <w:rFonts w:eastAsia="Calibri" w:cs="Arial"/>
          <w:bCs/>
          <w:lang w:val="en-GB"/>
        </w:rPr>
      </w:pPr>
      <w:r w:rsidRPr="00AF23FE">
        <w:rPr>
          <w:rFonts w:eastAsia="Calibri" w:cs="Arial"/>
          <w:bCs/>
          <w:lang w:val="en-GB"/>
        </w:rPr>
        <w:t>Norway’s practice of imposing preventive detention on minors has been scrutini</w:t>
      </w:r>
      <w:r w:rsidR="000255E3">
        <w:rPr>
          <w:rFonts w:eastAsia="Calibri" w:cs="Arial"/>
          <w:bCs/>
          <w:lang w:val="en-GB"/>
        </w:rPr>
        <w:t>s</w:t>
      </w:r>
      <w:r w:rsidRPr="00AF23FE">
        <w:rPr>
          <w:rFonts w:eastAsia="Calibri" w:cs="Arial"/>
          <w:bCs/>
          <w:lang w:val="en-GB"/>
        </w:rPr>
        <w:t xml:space="preserve">ed by the Committee. In its 2018 </w:t>
      </w:r>
      <w:r w:rsidR="00794199">
        <w:rPr>
          <w:rFonts w:eastAsia="Calibri" w:cs="Arial"/>
          <w:bCs/>
          <w:lang w:val="en-GB"/>
        </w:rPr>
        <w:t>concluding o</w:t>
      </w:r>
      <w:r w:rsidRPr="00AF23FE">
        <w:rPr>
          <w:rFonts w:eastAsia="Calibri" w:cs="Arial"/>
          <w:bCs/>
          <w:lang w:val="en-GB"/>
        </w:rPr>
        <w:t xml:space="preserve">bservations, the Committee recommended that the </w:t>
      </w:r>
      <w:r w:rsidR="00794199">
        <w:rPr>
          <w:rFonts w:eastAsia="Calibri" w:cs="Arial"/>
          <w:bCs/>
          <w:lang w:val="en-GB"/>
        </w:rPr>
        <w:t>State Party</w:t>
      </w:r>
      <w:r w:rsidRPr="00AF23FE">
        <w:rPr>
          <w:rFonts w:eastAsia="Calibri" w:cs="Arial"/>
          <w:bCs/>
          <w:lang w:val="en-GB"/>
        </w:rPr>
        <w:t xml:space="preserve"> "</w:t>
      </w:r>
      <w:r w:rsidR="001B49E9">
        <w:rPr>
          <w:rFonts w:eastAsia="Calibri" w:cs="Arial"/>
          <w:bCs/>
          <w:lang w:val="en-GB"/>
        </w:rPr>
        <w:t>disco</w:t>
      </w:r>
      <w:r w:rsidR="00D23FDA">
        <w:rPr>
          <w:rFonts w:eastAsia="Calibri" w:cs="Arial"/>
          <w:bCs/>
          <w:lang w:val="en-GB"/>
        </w:rPr>
        <w:t>ntinue</w:t>
      </w:r>
      <w:r w:rsidRPr="00AF23FE">
        <w:rPr>
          <w:rFonts w:eastAsia="Calibri" w:cs="Arial"/>
          <w:bCs/>
          <w:lang w:val="en-GB"/>
        </w:rPr>
        <w:t xml:space="preserve"> preventive detention for children".</w:t>
      </w:r>
      <w:r w:rsidRPr="00AF23FE">
        <w:rPr>
          <w:rStyle w:val="FootnoteReference"/>
          <w:rFonts w:eastAsia="Calibri" w:cs="Arial"/>
          <w:bCs/>
          <w:lang w:val="en-GB"/>
        </w:rPr>
        <w:footnoteReference w:id="53"/>
      </w:r>
      <w:r w:rsidR="00FE7348">
        <w:rPr>
          <w:rFonts w:eastAsia="Calibri" w:cs="Arial"/>
          <w:bCs/>
          <w:lang w:val="en-GB"/>
        </w:rPr>
        <w:t xml:space="preserve"> </w:t>
      </w:r>
      <w:r w:rsidR="00BB774E">
        <w:rPr>
          <w:rFonts w:eastAsia="Calibri" w:cs="Arial"/>
          <w:bCs/>
          <w:lang w:val="en-GB"/>
        </w:rPr>
        <w:t xml:space="preserve">One of the key </w:t>
      </w:r>
      <w:r w:rsidR="00617365">
        <w:rPr>
          <w:rFonts w:eastAsia="Calibri" w:cs="Arial"/>
          <w:bCs/>
          <w:lang w:val="en-GB"/>
        </w:rPr>
        <w:t xml:space="preserve">issues related to preventive detention of children, is the </w:t>
      </w:r>
      <w:r w:rsidR="00C62DE1">
        <w:rPr>
          <w:rFonts w:eastAsia="Calibri" w:cs="Arial"/>
          <w:bCs/>
          <w:lang w:val="en-GB"/>
        </w:rPr>
        <w:t>qu</w:t>
      </w:r>
      <w:r w:rsidR="003C1C19">
        <w:rPr>
          <w:rFonts w:eastAsia="Calibri" w:cs="Arial"/>
          <w:bCs/>
          <w:lang w:val="en-GB"/>
        </w:rPr>
        <w:t xml:space="preserve">ality </w:t>
      </w:r>
      <w:r w:rsidR="008C1E73">
        <w:rPr>
          <w:rFonts w:eastAsia="Calibri" w:cs="Arial"/>
          <w:bCs/>
          <w:lang w:val="en-GB"/>
        </w:rPr>
        <w:t>of psychiatric eval</w:t>
      </w:r>
      <w:r w:rsidR="00947863">
        <w:rPr>
          <w:rFonts w:eastAsia="Calibri" w:cs="Arial"/>
          <w:bCs/>
          <w:lang w:val="en-GB"/>
        </w:rPr>
        <w:t>u</w:t>
      </w:r>
      <w:r w:rsidR="008C1E73">
        <w:rPr>
          <w:rFonts w:eastAsia="Calibri" w:cs="Arial"/>
          <w:bCs/>
          <w:lang w:val="en-GB"/>
        </w:rPr>
        <w:t>ations</w:t>
      </w:r>
      <w:r w:rsidR="0037185C">
        <w:rPr>
          <w:rFonts w:eastAsia="Calibri" w:cs="Arial"/>
          <w:bCs/>
          <w:lang w:val="en-GB"/>
        </w:rPr>
        <w:t xml:space="preserve"> for th</w:t>
      </w:r>
      <w:r w:rsidR="00B902B9">
        <w:rPr>
          <w:rFonts w:eastAsia="Calibri" w:cs="Arial"/>
          <w:bCs/>
          <w:lang w:val="en-GB"/>
        </w:rPr>
        <w:t xml:space="preserve">e children concerned. </w:t>
      </w:r>
    </w:p>
    <w:p w14:paraId="4789DB97" w14:textId="07A38AFB" w:rsidR="0032123A" w:rsidRPr="00AF23FE" w:rsidRDefault="0032123A" w:rsidP="0032123A">
      <w:pPr>
        <w:rPr>
          <w:rFonts w:eastAsia="Calibri" w:cs="Arial"/>
          <w:bCs/>
          <w:lang w:val="en-GB"/>
        </w:rPr>
      </w:pPr>
      <w:r w:rsidRPr="00AF23FE">
        <w:rPr>
          <w:rFonts w:eastAsia="Calibri" w:cs="Arial"/>
          <w:bCs/>
          <w:lang w:val="en-GB"/>
        </w:rPr>
        <w:t xml:space="preserve">In 2019/2020, the Ombudsperson for Children conducted a project reviewing several criminal cases involving the </w:t>
      </w:r>
      <w:r w:rsidR="00052D08">
        <w:rPr>
          <w:rFonts w:eastAsia="Calibri" w:cs="Arial"/>
          <w:bCs/>
          <w:lang w:val="en-GB"/>
        </w:rPr>
        <w:t>prevention detention</w:t>
      </w:r>
      <w:r w:rsidRPr="00AF23FE">
        <w:rPr>
          <w:rFonts w:eastAsia="Calibri" w:cs="Arial"/>
          <w:bCs/>
          <w:lang w:val="en-GB"/>
        </w:rPr>
        <w:t xml:space="preserve"> of minors.</w:t>
      </w:r>
      <w:r w:rsidR="00284261">
        <w:rPr>
          <w:rStyle w:val="FootnoteReference"/>
          <w:rFonts w:eastAsia="Calibri" w:cs="Arial"/>
          <w:bCs/>
          <w:lang w:val="en-GB"/>
        </w:rPr>
        <w:footnoteReference w:id="54"/>
      </w:r>
      <w:r w:rsidRPr="00AF23FE">
        <w:rPr>
          <w:rFonts w:eastAsia="Calibri" w:cs="Arial"/>
          <w:bCs/>
          <w:lang w:val="en-GB"/>
        </w:rPr>
        <w:t xml:space="preserve"> A significant concern emerging from this review is whether current psychiatric assessments adequately protect the legal rights of minors. While it is challenging to definitively conclude that the existing reports and assessments are insufficient, multiple cases suggest deficiencies in both the quality of expert evaluations and the competence of some professionals concerning child-specific issues. One critical observation is the limited consideration of child development and the child’s perspective in determining criminal responsibility. </w:t>
      </w:r>
      <w:r w:rsidR="0048360D" w:rsidRPr="00AF23FE">
        <w:rPr>
          <w:rFonts w:eastAsia="Calibri" w:cs="Arial"/>
          <w:bCs/>
          <w:lang w:val="en-GB"/>
        </w:rPr>
        <w:t>The Ministry of Justice and Public Security has stated that it will closely follow the development of cases where children are placed in preventive detention.</w:t>
      </w:r>
      <w:r w:rsidR="0048360D" w:rsidRPr="00AF23FE">
        <w:rPr>
          <w:rFonts w:eastAsia="Calibri" w:cs="Arial"/>
          <w:bCs/>
          <w:vertAlign w:val="superscript"/>
          <w:lang w:val="en-GB"/>
        </w:rPr>
        <w:footnoteReference w:id="55"/>
      </w:r>
      <w:r w:rsidR="0048360D">
        <w:rPr>
          <w:rFonts w:eastAsia="Calibri" w:cs="Arial"/>
          <w:bCs/>
          <w:lang w:val="en-GB"/>
        </w:rPr>
        <w:t xml:space="preserve"> It is crucial that the assessment are fully adequate. </w:t>
      </w:r>
      <w:r w:rsidR="003D09AA">
        <w:rPr>
          <w:rFonts w:eastAsia="Calibri" w:cs="Arial"/>
          <w:bCs/>
          <w:lang w:val="en-GB"/>
        </w:rPr>
        <w:t>The NHRI is</w:t>
      </w:r>
      <w:r w:rsidR="00B46D4D">
        <w:rPr>
          <w:rFonts w:eastAsia="Calibri" w:cs="Arial"/>
          <w:bCs/>
          <w:lang w:val="en-GB"/>
        </w:rPr>
        <w:t xml:space="preserve"> </w:t>
      </w:r>
      <w:r w:rsidR="005A182B">
        <w:rPr>
          <w:rFonts w:eastAsia="Calibri" w:cs="Arial"/>
          <w:bCs/>
          <w:lang w:val="en-GB"/>
        </w:rPr>
        <w:t xml:space="preserve">concerned in this respect. </w:t>
      </w:r>
    </w:p>
    <w:p w14:paraId="0EBA12EA" w14:textId="4CEE0E90" w:rsidR="0032123A" w:rsidRPr="00AF23FE" w:rsidRDefault="0032123A" w:rsidP="0032123A">
      <w:pPr>
        <w:rPr>
          <w:rFonts w:eastAsia="Calibri" w:cs="Arial"/>
          <w:bCs/>
          <w:lang w:val="en-GB"/>
        </w:rPr>
      </w:pPr>
      <w:r w:rsidRPr="00AF23FE">
        <w:rPr>
          <w:rFonts w:eastAsia="Calibri" w:cs="Arial"/>
          <w:bCs/>
          <w:lang w:val="en-GB"/>
        </w:rPr>
        <w:t xml:space="preserve">Under </w:t>
      </w:r>
      <w:r w:rsidR="00AE4681">
        <w:rPr>
          <w:rFonts w:eastAsia="Calibri" w:cs="Arial"/>
          <w:bCs/>
          <w:lang w:val="en-GB"/>
        </w:rPr>
        <w:t>Section 167</w:t>
      </w:r>
      <w:r w:rsidRPr="00AF23FE">
        <w:rPr>
          <w:rFonts w:eastAsia="Calibri" w:cs="Arial"/>
          <w:bCs/>
          <w:lang w:val="en-GB"/>
        </w:rPr>
        <w:t xml:space="preserve"> </w:t>
      </w:r>
      <w:r w:rsidR="00AE4681" w:rsidRPr="00AF23FE">
        <w:rPr>
          <w:rFonts w:eastAsia="Calibri" w:cs="Arial"/>
          <w:bCs/>
          <w:lang w:val="en-GB"/>
        </w:rPr>
        <w:t>of the Criminal Procedure Act</w:t>
      </w:r>
      <w:r w:rsidR="00344FB0">
        <w:rPr>
          <w:rFonts w:eastAsia="Calibri" w:cs="Arial"/>
          <w:bCs/>
          <w:lang w:val="en-GB"/>
        </w:rPr>
        <w:t>,</w:t>
      </w:r>
      <w:r w:rsidR="00AE4681">
        <w:rPr>
          <w:rFonts w:eastAsia="Calibri" w:cs="Arial"/>
          <w:bCs/>
          <w:lang w:val="en-GB"/>
        </w:rPr>
        <w:t xml:space="preserve"> </w:t>
      </w:r>
      <w:r w:rsidR="00E36B5B">
        <w:rPr>
          <w:rFonts w:eastAsia="Calibri" w:cs="Arial"/>
          <w:bCs/>
          <w:lang w:val="en-GB"/>
        </w:rPr>
        <w:t xml:space="preserve">accused </w:t>
      </w:r>
      <w:r w:rsidRPr="00AF23FE">
        <w:rPr>
          <w:rFonts w:eastAsia="Calibri" w:cs="Arial"/>
          <w:bCs/>
          <w:lang w:val="en-GB"/>
        </w:rPr>
        <w:t xml:space="preserve">minors can be </w:t>
      </w:r>
      <w:r w:rsidR="009C44E9">
        <w:rPr>
          <w:rFonts w:eastAsia="Calibri" w:cs="Arial"/>
          <w:bCs/>
          <w:lang w:val="en-GB"/>
        </w:rPr>
        <w:t>admitted to a psychiatric hospital for examinatio</w:t>
      </w:r>
      <w:r w:rsidR="00AE4681">
        <w:rPr>
          <w:rFonts w:eastAsia="Calibri" w:cs="Arial"/>
          <w:bCs/>
          <w:lang w:val="en-GB"/>
        </w:rPr>
        <w:t>n</w:t>
      </w:r>
      <w:r w:rsidRPr="00AF23FE">
        <w:rPr>
          <w:rFonts w:eastAsia="Calibri" w:cs="Arial"/>
          <w:bCs/>
          <w:lang w:val="en-GB"/>
        </w:rPr>
        <w:t xml:space="preserve">. However, no institution is specifically equipped to handle and evaluate minors for such evaluations. The individuals in the four cases resulting in preventive detention </w:t>
      </w:r>
      <w:r w:rsidR="00081A06">
        <w:rPr>
          <w:rFonts w:eastAsia="Calibri" w:cs="Arial"/>
          <w:bCs/>
          <w:lang w:val="en-GB"/>
        </w:rPr>
        <w:t>of children</w:t>
      </w:r>
      <w:r w:rsidRPr="00AF23FE">
        <w:rPr>
          <w:rFonts w:eastAsia="Calibri" w:cs="Arial"/>
          <w:bCs/>
          <w:lang w:val="en-GB"/>
        </w:rPr>
        <w:t xml:space="preserve"> had committed very serious offenses. Assessing the risk of future serious criminal behavio</w:t>
      </w:r>
      <w:r w:rsidR="005D29E0">
        <w:rPr>
          <w:rFonts w:eastAsia="Calibri" w:cs="Arial"/>
          <w:bCs/>
          <w:lang w:val="en-GB"/>
        </w:rPr>
        <w:t>u</w:t>
      </w:r>
      <w:r w:rsidRPr="00AF23FE">
        <w:rPr>
          <w:rFonts w:eastAsia="Calibri" w:cs="Arial"/>
          <w:bCs/>
          <w:lang w:val="en-GB"/>
        </w:rPr>
        <w:t>r is complex and requires the court to rely heavily on psychiatric reports, which describe the defendant’s development, functioning, and potential for future violence. It is therefore crucial for the protection of children’s rights that psychiatric evaluations meet high professional standards, echoing our concerns about the competence and methodologies of the experts involved.</w:t>
      </w:r>
    </w:p>
    <w:p w14:paraId="16A4D286" w14:textId="4F2754E0" w:rsidR="001F2FEA" w:rsidRDefault="0032123A" w:rsidP="0032123A">
      <w:pPr>
        <w:rPr>
          <w:rFonts w:eastAsia="Calibri" w:cs="Arial"/>
          <w:bCs/>
          <w:lang w:val="en-GB"/>
        </w:rPr>
      </w:pPr>
      <w:r w:rsidRPr="00AF23FE">
        <w:rPr>
          <w:rFonts w:eastAsia="Calibri" w:cs="Arial"/>
          <w:bCs/>
          <w:lang w:val="en-GB"/>
        </w:rPr>
        <w:t xml:space="preserve">The Ombudsperson for Children recommends examining the need for a specialised professional environment focused on the development of severe mental disorders </w:t>
      </w:r>
      <w:r w:rsidRPr="00AF23FE">
        <w:rPr>
          <w:rFonts w:eastAsia="Calibri" w:cs="Arial"/>
          <w:bCs/>
          <w:lang w:val="en-GB"/>
        </w:rPr>
        <w:lastRenderedPageBreak/>
        <w:t>in children and adolescents. Such a specialised environment could significantly contribute to early detection of severe and harmful development, provide tailored assistance, and prevent serious incidents that might lead to preventive detention for youth. This expertise is also crucial for post-incident evaluations of criminal responsibility and risk of re</w:t>
      </w:r>
      <w:r w:rsidR="00596D8D">
        <w:rPr>
          <w:rFonts w:eastAsia="Calibri" w:cs="Arial"/>
          <w:bCs/>
          <w:lang w:val="en-GB"/>
        </w:rPr>
        <w:t>offending</w:t>
      </w:r>
      <w:r w:rsidRPr="00AF23FE">
        <w:rPr>
          <w:rFonts w:eastAsia="Calibri" w:cs="Arial"/>
          <w:bCs/>
          <w:lang w:val="en-GB"/>
        </w:rPr>
        <w:t>, ensuring that the affected youth receive appropriate follow-up care.</w:t>
      </w:r>
    </w:p>
    <w:p w14:paraId="7CA83F82" w14:textId="0A98941C" w:rsidR="00CF2DBF" w:rsidRPr="00CF2DBF" w:rsidRDefault="00CF2DBF" w:rsidP="0032123A">
      <w:pPr>
        <w:rPr>
          <w:rFonts w:eastAsia="Calibri" w:cs="Arial"/>
          <w:b/>
          <w:lang w:val="en-GB"/>
        </w:rPr>
      </w:pPr>
      <w:r>
        <w:rPr>
          <w:rFonts w:eastAsia="Calibri" w:cs="Arial"/>
          <w:b/>
          <w:lang w:val="en-GB"/>
        </w:rPr>
        <w:t>Suggested recommendation:</w:t>
      </w:r>
    </w:p>
    <w:p w14:paraId="70B1742E" w14:textId="106E63AD" w:rsidR="0032123A" w:rsidRPr="00AF23FE" w:rsidRDefault="0032123A" w:rsidP="0032123A">
      <w:pPr>
        <w:pStyle w:val="ListParagraph"/>
        <w:numPr>
          <w:ilvl w:val="0"/>
          <w:numId w:val="39"/>
        </w:numPr>
        <w:spacing w:before="0"/>
        <w:rPr>
          <w:rFonts w:eastAsia="Calibri" w:cs="Arial"/>
          <w:bCs/>
          <w:lang w:val="en-GB"/>
        </w:rPr>
      </w:pPr>
      <w:r w:rsidRPr="00AF23FE">
        <w:rPr>
          <w:rFonts w:eastAsia="Calibri" w:cs="Arial"/>
          <w:bCs/>
          <w:lang w:val="en-GB"/>
        </w:rPr>
        <w:t xml:space="preserve">The State Party should ensure </w:t>
      </w:r>
      <w:r w:rsidR="000569D8">
        <w:rPr>
          <w:rFonts w:eastAsia="Calibri" w:cs="Arial"/>
          <w:bCs/>
          <w:lang w:val="en-GB"/>
        </w:rPr>
        <w:t xml:space="preserve">there are adequate facilities and </w:t>
      </w:r>
      <w:r w:rsidRPr="00AF23FE">
        <w:rPr>
          <w:rFonts w:eastAsia="Calibri" w:cs="Arial"/>
          <w:bCs/>
          <w:lang w:val="en-GB"/>
        </w:rPr>
        <w:t xml:space="preserve">clearer guidelines for expert evaluations of children undergoing preventive detention, focusing on assessing their development </w:t>
      </w:r>
      <w:r w:rsidR="009322AA">
        <w:rPr>
          <w:rFonts w:eastAsia="Calibri" w:cs="Arial"/>
          <w:bCs/>
          <w:lang w:val="en-GB"/>
        </w:rPr>
        <w:t xml:space="preserve">over an extended period </w:t>
      </w:r>
      <w:r w:rsidRPr="00AF23FE">
        <w:rPr>
          <w:rFonts w:eastAsia="Calibri" w:cs="Arial"/>
          <w:bCs/>
          <w:lang w:val="en-GB"/>
        </w:rPr>
        <w:t xml:space="preserve">and identifying key issues for healthcare professionals. </w:t>
      </w:r>
    </w:p>
    <w:p w14:paraId="0D1A95DF" w14:textId="77777777" w:rsidR="0032123A" w:rsidRPr="00AF23FE" w:rsidRDefault="0032123A" w:rsidP="0032123A">
      <w:pPr>
        <w:rPr>
          <w:rFonts w:eastAsia="Calibri" w:cs="Arial"/>
          <w:bCs/>
          <w:lang w:val="en-GB"/>
        </w:rPr>
      </w:pPr>
    </w:p>
    <w:p w14:paraId="3B73F506" w14:textId="77777777" w:rsidR="00A44A08" w:rsidRPr="00AF23FE" w:rsidRDefault="00A44A08" w:rsidP="0020133B">
      <w:pPr>
        <w:rPr>
          <w:lang w:val="en-GB"/>
        </w:rPr>
      </w:pPr>
    </w:p>
    <w:sectPr w:rsidR="00A44A08" w:rsidRPr="00AF23FE" w:rsidSect="00883C8C">
      <w:headerReference w:type="even" r:id="rId12"/>
      <w:footerReference w:type="even" r:id="rId13"/>
      <w:footerReference w:type="default" r:id="rId14"/>
      <w:headerReference w:type="first" r:id="rId15"/>
      <w:footerReference w:type="first" r:id="rId16"/>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56E75" w14:textId="77777777" w:rsidR="007B1612" w:rsidRDefault="007B1612" w:rsidP="0020133B">
      <w:r>
        <w:separator/>
      </w:r>
    </w:p>
    <w:p w14:paraId="2CCB66BB" w14:textId="77777777" w:rsidR="007B1612" w:rsidRDefault="007B1612" w:rsidP="0020133B"/>
    <w:p w14:paraId="1230E0E3" w14:textId="77777777" w:rsidR="007B1612" w:rsidRDefault="007B1612" w:rsidP="0020133B"/>
    <w:p w14:paraId="78302CD8" w14:textId="77777777" w:rsidR="007B1612" w:rsidRDefault="007B1612"/>
  </w:endnote>
  <w:endnote w:type="continuationSeparator" w:id="0">
    <w:p w14:paraId="75D0ADAA" w14:textId="77777777" w:rsidR="007B1612" w:rsidRDefault="007B1612" w:rsidP="0020133B">
      <w:r>
        <w:continuationSeparator/>
      </w:r>
    </w:p>
    <w:p w14:paraId="61A343D3" w14:textId="77777777" w:rsidR="007B1612" w:rsidRDefault="007B1612" w:rsidP="0020133B"/>
    <w:p w14:paraId="4F6DD33D" w14:textId="77777777" w:rsidR="007B1612" w:rsidRDefault="007B1612" w:rsidP="0020133B"/>
    <w:p w14:paraId="434D9FFB" w14:textId="77777777" w:rsidR="007B1612" w:rsidRDefault="007B1612"/>
  </w:endnote>
  <w:endnote w:type="continuationNotice" w:id="1">
    <w:p w14:paraId="3F2E6333" w14:textId="77777777" w:rsidR="007B1612" w:rsidRDefault="007B16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CS-brødteks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674F" w14:textId="77777777" w:rsidR="007F2229" w:rsidRDefault="007F2229" w:rsidP="0020133B">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sidR="00464989">
      <w:rPr>
        <w:rStyle w:val="PageNumber"/>
        <w:noProof/>
      </w:rPr>
      <w:t>2</w:t>
    </w:r>
    <w:r>
      <w:rPr>
        <w:rStyle w:val="PageNumber"/>
      </w:rPr>
      <w:fldChar w:fldCharType="end"/>
    </w:r>
  </w:p>
  <w:p w14:paraId="087628BB" w14:textId="77777777" w:rsidR="001414FD" w:rsidRDefault="001414FD" w:rsidP="0020133B">
    <w:pPr>
      <w:pStyle w:val="Footer"/>
      <w:rPr>
        <w:rStyle w:val="PageNumber"/>
      </w:rPr>
    </w:pPr>
  </w:p>
  <w:p w14:paraId="3805380B" w14:textId="77777777" w:rsidR="009856E2" w:rsidRDefault="009856E2" w:rsidP="0020133B">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sidR="00464989">
      <w:rPr>
        <w:rStyle w:val="PageNumber"/>
        <w:noProof/>
      </w:rPr>
      <w:t>2</w:t>
    </w:r>
    <w:r>
      <w:rPr>
        <w:rStyle w:val="PageNumber"/>
      </w:rPr>
      <w:fldChar w:fldCharType="end"/>
    </w:r>
  </w:p>
  <w:p w14:paraId="3B43DAFC" w14:textId="77777777" w:rsidR="009856E2" w:rsidRDefault="009856E2" w:rsidP="0020133B">
    <w:pPr>
      <w:pStyle w:val="Footer"/>
    </w:pPr>
  </w:p>
  <w:p w14:paraId="3534B8FC" w14:textId="77777777" w:rsidR="00F125FC" w:rsidRDefault="00F125FC" w:rsidP="0020133B"/>
  <w:p w14:paraId="42A9614E" w14:textId="77777777" w:rsidR="00F125FC" w:rsidRDefault="00F125FC" w:rsidP="0020133B"/>
  <w:p w14:paraId="7706CB4B" w14:textId="77777777" w:rsidR="00C059D7" w:rsidRDefault="00C059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6E844" w14:textId="77777777" w:rsidR="007F2229" w:rsidRDefault="007F2229" w:rsidP="0020133B">
    <w:pPr>
      <w:pStyle w:val="Footer"/>
    </w:pP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7F2229" w14:paraId="15F4B4A0" w14:textId="77777777" w:rsidTr="008746C6">
      <w:trPr>
        <w:trHeight w:hRule="exact" w:val="397"/>
      </w:trPr>
      <w:tc>
        <w:tcPr>
          <w:tcW w:w="8953" w:type="dxa"/>
        </w:tcPr>
        <w:p w14:paraId="70696280" w14:textId="77777777" w:rsidR="007F2229" w:rsidRPr="003272E4" w:rsidRDefault="007F2229" w:rsidP="00DD4A3B">
          <w:pPr>
            <w:pStyle w:val="Footer"/>
            <w:jc w:val="right"/>
          </w:pPr>
          <w:r>
            <w:rPr>
              <w:rStyle w:val="PageNumber"/>
            </w:rPr>
            <w:fldChar w:fldCharType="begin"/>
          </w:r>
          <w:r>
            <w:rPr>
              <w:rStyle w:val="PageNumber"/>
            </w:rPr>
            <w:instrText xml:space="preserve">PAGE  </w:instrText>
          </w:r>
          <w:r>
            <w:rPr>
              <w:rStyle w:val="PageNumber"/>
            </w:rPr>
            <w:fldChar w:fldCharType="separate"/>
          </w:r>
          <w:r w:rsidR="00F7015A">
            <w:rPr>
              <w:rStyle w:val="PageNumber"/>
              <w:noProof/>
            </w:rPr>
            <w:t>2</w:t>
          </w:r>
          <w:r>
            <w:rPr>
              <w:rStyle w:val="PageNumber"/>
            </w:rPr>
            <w:fldChar w:fldCharType="end"/>
          </w:r>
        </w:p>
      </w:tc>
    </w:tr>
  </w:tbl>
  <w:p w14:paraId="67C215CB" w14:textId="77777777" w:rsidR="007F2229" w:rsidRDefault="007F2229" w:rsidP="0020133B"/>
  <w:p w14:paraId="1BCB0B61" w14:textId="77777777" w:rsidR="00C059D7" w:rsidRDefault="00C059D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FB69" w14:textId="77777777" w:rsidR="00A976FC" w:rsidRPr="0020133B" w:rsidRDefault="001301B2" w:rsidP="0020133B">
    <w:pPr>
      <w:pStyle w:val="Footer"/>
    </w:pPr>
    <w:r w:rsidRPr="0020133B">
      <w:rPr>
        <w:noProof/>
        <w:lang w:eastAsia="nb-NO"/>
      </w:rPr>
      <mc:AlternateContent>
        <mc:Choice Requires="wps">
          <w:drawing>
            <wp:inline distT="0" distB="0" distL="0" distR="0" wp14:anchorId="563C0582" wp14:editId="57AC32F4">
              <wp:extent cx="5040000" cy="2540"/>
              <wp:effectExtent l="0" t="0" r="14605" b="228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rgbClr val="1D6E8A"/>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du="http://schemas.microsoft.com/office/word/2023/wordml/word16du">
          <w:pict>
            <v:line w14:anchorId="17D3B6BC"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V7vAEAANgDAAAOAAAAZHJzL2Uyb0RvYy54bWysU8tu2zAQvBfIPxC8x5KMJAgEy0ERN70U&#10;bdDHB9DU0iJAcgmSseS/75K25aANULSoDiuR3JmdHa5WD5M1bA8hanQdbxY1Z+Ak9trtOv7j+9P1&#10;PWcxCdcLgw46foDIH9ZX71ajb2GJA5oeAiMSF9vRd3xIybdVFeUAVsQFenB0qDBYkWgZdlUfxEjs&#10;1lTLur6rRgy9DyghRtrdHA/5uvArBTJ9USpCYqbjpC2VGErc5litV6LdBeEHLU8yxD+osEI7KjpT&#10;bUQS7CXo36islgEjqrSQaCtUSksoPVA3Tf1LN98G4aH0QuZEP9sU/x+t/Lx/dM+BbBh9bKN/DrmL&#10;SQWb36SPTcWsw2wWTIlJ2rytb2p6OJN0try9KV5WF6wPMX0EtCx/dNxol1sRrdh/ionqUeo5JW8b&#10;l2NEo/snbUxZhN320QS2F3R5zebuw/37fF8EfJVGqwytLvLLVzoYONJ+BcV0T4KbUr5MFsy0Qkpw&#10;qTnxGkfZGaZIwgys/ww85WcolKn7G/CMKJXRpRlstcPwVvU0nSWrY/7ZgWPf2YIt9odyscUaGp/i&#10;3GnU83y+Xhf45Ydc/wQAAP//AwBQSwMEFAAGAAgAAAAhAEg8IW/XAAAAAgEAAA8AAABkcnMvZG93&#10;bnJldi54bWxMj8FOwzAQRO9I/IO1SNzohoJoSONUCIkL4kLKB2zibRLVXkexmwa+HsMFLiuNZjTz&#10;ttwtzqqZpzB40XC7ykCxtN4M0mn42L/c5KBCJDFkvbCGTw6wqy4vSiqMP8s7z3XsVCqRUJCGPsax&#10;QAxtz47Cyo8syTv4yVFMcurQTHRO5c7iOsse0NEgaaGnkZ97bo/1yWnAOa/tYtssHA3a13n9Nn41&#10;udbXV8vTFlTkJf6F4Qc/oUOVmBp/EhOU1ZAeib83eZvHuw2oRsM9YFXif/TqGwAA//8DAFBLAQIt&#10;ABQABgAIAAAAIQC2gziS/gAAAOEBAAATAAAAAAAAAAAAAAAAAAAAAABbQ29udGVudF9UeXBlc10u&#10;eG1sUEsBAi0AFAAGAAgAAAAhADj9If/WAAAAlAEAAAsAAAAAAAAAAAAAAAAALwEAAF9yZWxzLy5y&#10;ZWxzUEsBAi0AFAAGAAgAAAAhAAYhxXu8AQAA2AMAAA4AAAAAAAAAAAAAAAAALgIAAGRycy9lMm9E&#10;b2MueG1sUEsBAi0AFAAGAAgAAAAhAEg8IW/XAAAAAgEAAA8AAAAAAAAAAAAAAAAAFgQAAGRycy9k&#10;b3ducmV2LnhtbFBLBQYAAAAABAAEAPMAAAAaBQAAAAA=&#10;" strokecolor="#1d6e8a"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32123A" w:rsidRPr="00C4255A" w14:paraId="65375760" w14:textId="77777777">
      <w:trPr>
        <w:trHeight w:val="1"/>
      </w:trPr>
      <w:tc>
        <w:tcPr>
          <w:tcW w:w="7938" w:type="dxa"/>
        </w:tcPr>
        <w:p w14:paraId="400A464A" w14:textId="77777777" w:rsidR="0032123A" w:rsidRPr="00C4255A" w:rsidRDefault="0032123A" w:rsidP="0032123A">
          <w:pPr>
            <w:pStyle w:val="Footer"/>
            <w:tabs>
              <w:tab w:val="clear" w:pos="3261"/>
              <w:tab w:val="clear" w:pos="3686"/>
              <w:tab w:val="clear" w:pos="5387"/>
              <w:tab w:val="left" w:pos="3544"/>
              <w:tab w:val="left" w:pos="3969"/>
              <w:tab w:val="left" w:pos="6237"/>
            </w:tabs>
            <w:rPr>
              <w:rFonts w:ascii="Aptos" w:hAnsi="Aptos"/>
              <w:noProof/>
            </w:rPr>
          </w:pPr>
          <w:r w:rsidRPr="00C4255A">
            <w:rPr>
              <w:rFonts w:ascii="Aptos" w:hAnsi="Aptos"/>
              <w:b/>
              <w:bCs/>
              <w:noProof/>
            </w:rPr>
            <w:t>Post</w:t>
          </w:r>
          <w:r>
            <w:rPr>
              <w:rFonts w:ascii="Aptos" w:hAnsi="Aptos"/>
              <w:b/>
              <w:bCs/>
              <w:noProof/>
            </w:rPr>
            <w:t xml:space="preserve">al </w:t>
          </w:r>
          <w:r w:rsidRPr="00C4255A">
            <w:rPr>
              <w:rFonts w:ascii="Aptos" w:hAnsi="Aptos"/>
              <w:b/>
              <w:bCs/>
              <w:noProof/>
            </w:rPr>
            <w:t>ad</w:t>
          </w:r>
          <w:r>
            <w:rPr>
              <w:rFonts w:ascii="Aptos" w:hAnsi="Aptos"/>
              <w:b/>
              <w:bCs/>
              <w:noProof/>
            </w:rPr>
            <w:t>d</w:t>
          </w:r>
          <w:r w:rsidRPr="00C4255A">
            <w:rPr>
              <w:rFonts w:ascii="Aptos" w:hAnsi="Aptos"/>
              <w:b/>
              <w:bCs/>
              <w:noProof/>
            </w:rPr>
            <w:t>ress</w:t>
          </w:r>
          <w:r w:rsidRPr="00C4255A">
            <w:rPr>
              <w:rStyle w:val="uthevet"/>
              <w:noProof/>
            </w:rPr>
            <w:t>:</w:t>
          </w:r>
          <w:r w:rsidRPr="00C4255A">
            <w:rPr>
              <w:rFonts w:ascii="Aptos" w:hAnsi="Aptos"/>
              <w:noProof/>
            </w:rPr>
            <w:t xml:space="preserve"> P</w:t>
          </w:r>
          <w:r>
            <w:rPr>
              <w:rFonts w:ascii="Aptos" w:hAnsi="Aptos"/>
              <w:noProof/>
            </w:rPr>
            <w:t xml:space="preserve">.O. Box </w:t>
          </w:r>
          <w:r w:rsidRPr="00C4255A">
            <w:rPr>
              <w:rFonts w:ascii="Aptos" w:hAnsi="Aptos"/>
              <w:noProof/>
            </w:rPr>
            <w:t xml:space="preserve">299 Sentrum, 0103 Oslo </w:t>
          </w:r>
          <w:r w:rsidRPr="00C4255A">
            <w:rPr>
              <w:rFonts w:ascii="Aptos" w:hAnsi="Aptos"/>
              <w:noProof/>
            </w:rPr>
            <w:tab/>
            <w:t xml:space="preserve">– </w:t>
          </w:r>
          <w:r w:rsidRPr="00C4255A">
            <w:rPr>
              <w:rFonts w:ascii="Aptos" w:hAnsi="Aptos"/>
              <w:noProof/>
            </w:rPr>
            <w:tab/>
          </w:r>
          <w:r w:rsidRPr="00C4255A">
            <w:rPr>
              <w:rFonts w:ascii="Aptos" w:hAnsi="Aptos"/>
              <w:b/>
              <w:bCs/>
              <w:noProof/>
            </w:rPr>
            <w:t>T</w:t>
          </w:r>
          <w:r>
            <w:rPr>
              <w:rFonts w:ascii="Aptos" w:hAnsi="Aptos"/>
              <w:b/>
              <w:bCs/>
              <w:noProof/>
            </w:rPr>
            <w:t>el</w:t>
          </w:r>
          <w:r w:rsidRPr="00C4255A">
            <w:rPr>
              <w:rFonts w:ascii="Aptos" w:hAnsi="Aptos"/>
              <w:b/>
              <w:bCs/>
              <w:noProof/>
            </w:rPr>
            <w:t>:</w:t>
          </w:r>
          <w:r w:rsidRPr="00C4255A">
            <w:rPr>
              <w:rFonts w:ascii="Aptos" w:hAnsi="Aptos"/>
              <w:noProof/>
            </w:rPr>
            <w:t xml:space="preserve"> (+47) 23 31 69 70 </w:t>
          </w:r>
          <w:r w:rsidRPr="00C4255A">
            <w:rPr>
              <w:rFonts w:ascii="Aptos" w:hAnsi="Aptos"/>
              <w:noProof/>
            </w:rPr>
            <w:tab/>
            <w:t xml:space="preserve">– </w:t>
          </w:r>
          <w:r w:rsidRPr="00C4255A">
            <w:rPr>
              <w:rFonts w:ascii="Aptos" w:hAnsi="Aptos"/>
              <w:noProof/>
            </w:rPr>
            <w:tab/>
          </w:r>
          <w:r>
            <w:rPr>
              <w:rFonts w:ascii="Aptos" w:hAnsi="Aptos"/>
              <w:b/>
              <w:bCs/>
              <w:noProof/>
            </w:rPr>
            <w:t>Website</w:t>
          </w:r>
          <w:r w:rsidRPr="00C4255A">
            <w:rPr>
              <w:rFonts w:ascii="Aptos" w:hAnsi="Aptos"/>
              <w:b/>
              <w:bCs/>
              <w:noProof/>
            </w:rPr>
            <w:t>:</w:t>
          </w:r>
          <w:r w:rsidRPr="00C4255A">
            <w:rPr>
              <w:rFonts w:ascii="Aptos" w:hAnsi="Aptos"/>
              <w:noProof/>
            </w:rPr>
            <w:t xml:space="preserve"> www.nhri.no</w:t>
          </w:r>
        </w:p>
      </w:tc>
    </w:tr>
    <w:tr w:rsidR="00C4255A" w:rsidRPr="00C4255A" w14:paraId="10FE62A0" w14:textId="77777777" w:rsidTr="00C4255A">
      <w:trPr>
        <w:trHeight w:val="1"/>
      </w:trPr>
      <w:tc>
        <w:tcPr>
          <w:tcW w:w="7938" w:type="dxa"/>
        </w:tcPr>
        <w:p w14:paraId="45A2C8CE" w14:textId="4A086B54" w:rsidR="00C4255A" w:rsidRPr="00C4255A" w:rsidRDefault="00C4255A" w:rsidP="00C4255A">
          <w:pPr>
            <w:pStyle w:val="Footer"/>
            <w:tabs>
              <w:tab w:val="clear" w:pos="3261"/>
              <w:tab w:val="clear" w:pos="3686"/>
              <w:tab w:val="clear" w:pos="5387"/>
              <w:tab w:val="left" w:pos="3544"/>
              <w:tab w:val="left" w:pos="3969"/>
              <w:tab w:val="left" w:pos="6237"/>
            </w:tabs>
            <w:rPr>
              <w:rFonts w:ascii="Aptos" w:hAnsi="Aptos"/>
              <w:noProof/>
            </w:rPr>
          </w:pPr>
        </w:p>
      </w:tc>
    </w:tr>
    <w:tr w:rsidR="0020133B" w:rsidRPr="0020133B" w14:paraId="3027EEDD" w14:textId="77777777" w:rsidTr="00C4255A">
      <w:trPr>
        <w:trHeight w:val="1"/>
      </w:trPr>
      <w:tc>
        <w:tcPr>
          <w:tcW w:w="7938" w:type="dxa"/>
        </w:tcPr>
        <w:p w14:paraId="0A1A5B29" w14:textId="77777777" w:rsidR="0020133B" w:rsidRPr="0020133B" w:rsidRDefault="0020133B" w:rsidP="0020133B">
          <w:pPr>
            <w:pStyle w:val="Footer"/>
            <w:rPr>
              <w:noProof/>
            </w:rPr>
          </w:pPr>
        </w:p>
      </w:tc>
    </w:tr>
  </w:tbl>
  <w:p w14:paraId="07036C41" w14:textId="77777777" w:rsidR="001301B2" w:rsidRPr="0020133B" w:rsidRDefault="001301B2" w:rsidP="00DD4A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82EF6" w14:textId="77777777" w:rsidR="007B1612" w:rsidRDefault="007B1612" w:rsidP="00DD4A3B">
      <w:pPr>
        <w:pStyle w:val="FootnoteText"/>
      </w:pPr>
      <w:r>
        <w:separator/>
      </w:r>
    </w:p>
    <w:p w14:paraId="515E8E66" w14:textId="77777777" w:rsidR="007B1612" w:rsidRDefault="007B1612"/>
  </w:footnote>
  <w:footnote w:type="continuationSeparator" w:id="0">
    <w:p w14:paraId="46FCAA0D" w14:textId="77777777" w:rsidR="007B1612" w:rsidRDefault="007B1612" w:rsidP="0020133B">
      <w:r>
        <w:continuationSeparator/>
      </w:r>
    </w:p>
    <w:p w14:paraId="66148F75" w14:textId="77777777" w:rsidR="007B1612" w:rsidRDefault="007B1612" w:rsidP="0020133B"/>
    <w:p w14:paraId="3DD07A6F" w14:textId="77777777" w:rsidR="007B1612" w:rsidRDefault="007B1612" w:rsidP="0020133B"/>
    <w:p w14:paraId="01F5C2A1" w14:textId="77777777" w:rsidR="007B1612" w:rsidRDefault="007B1612"/>
  </w:footnote>
  <w:footnote w:type="continuationNotice" w:id="1">
    <w:p w14:paraId="2602BAB1" w14:textId="77777777" w:rsidR="007B1612" w:rsidRDefault="007B1612">
      <w:pPr>
        <w:spacing w:after="0" w:line="240" w:lineRule="auto"/>
      </w:pPr>
    </w:p>
  </w:footnote>
  <w:footnote w:id="2">
    <w:p w14:paraId="03C169F4" w14:textId="77777777" w:rsidR="0032123A" w:rsidRPr="00424705" w:rsidRDefault="0032123A" w:rsidP="0032123A">
      <w:pPr>
        <w:pStyle w:val="FootnoteText"/>
        <w:rPr>
          <w:lang w:val="en-GB"/>
        </w:rPr>
      </w:pPr>
      <w:r>
        <w:rPr>
          <w:rStyle w:val="FootnoteReference"/>
        </w:rPr>
        <w:footnoteRef/>
      </w:r>
      <w:r w:rsidRPr="00424705">
        <w:rPr>
          <w:lang w:val="en-GB"/>
        </w:rPr>
        <w:t xml:space="preserve"> </w:t>
      </w:r>
      <w:r>
        <w:rPr>
          <w:lang w:val="en-GB"/>
        </w:rPr>
        <w:t>See the NHRI’s w</w:t>
      </w:r>
      <w:r w:rsidRPr="1ECB8074">
        <w:rPr>
          <w:rFonts w:eastAsia="Aptos" w:cs="Aptos"/>
          <w:lang w:val="en-GB"/>
        </w:rPr>
        <w:t>ritten submissions to Parliament</w:t>
      </w:r>
      <w:r>
        <w:rPr>
          <w:rFonts w:eastAsia="Aptos" w:cs="Aptos"/>
          <w:lang w:val="en-GB"/>
        </w:rPr>
        <w:t xml:space="preserve"> (in </w:t>
      </w:r>
      <w:r w:rsidRPr="1ECB8074">
        <w:rPr>
          <w:rFonts w:eastAsia="Aptos" w:cs="Aptos"/>
          <w:lang w:val="en-GB"/>
        </w:rPr>
        <w:t>Norwegian)</w:t>
      </w:r>
      <w:r>
        <w:rPr>
          <w:rFonts w:eastAsia="Aptos" w:cs="Aptos"/>
          <w:lang w:val="en-GB"/>
        </w:rPr>
        <w:t>,</w:t>
      </w:r>
      <w:r w:rsidRPr="1ECB8074">
        <w:rPr>
          <w:rFonts w:eastAsia="Aptos" w:cs="Aptos"/>
          <w:lang w:val="en-GB"/>
        </w:rPr>
        <w:t xml:space="preserve"> available </w:t>
      </w:r>
      <w:hyperlink r:id="rId1" w:history="1">
        <w:r w:rsidRPr="1ECB8074">
          <w:rPr>
            <w:rStyle w:val="Hyperlink1"/>
            <w:rFonts w:eastAsia="Aptos" w:cs="Aptos"/>
            <w:lang w:val="en-GB"/>
          </w:rPr>
          <w:t>here</w:t>
        </w:r>
      </w:hyperlink>
      <w:r w:rsidRPr="1ECB8074">
        <w:rPr>
          <w:rFonts w:eastAsia="Aptos" w:cs="Aptos"/>
          <w:lang w:val="en-GB"/>
        </w:rPr>
        <w:t xml:space="preserve"> and </w:t>
      </w:r>
      <w:hyperlink r:id="rId2" w:history="1">
        <w:r w:rsidRPr="1ECB8074">
          <w:rPr>
            <w:rStyle w:val="Hyperlink1"/>
            <w:rFonts w:eastAsia="Aptos" w:cs="Aptos"/>
            <w:lang w:val="en-GB"/>
          </w:rPr>
          <w:t>here.</w:t>
        </w:r>
      </w:hyperlink>
    </w:p>
  </w:footnote>
  <w:footnote w:id="3">
    <w:p w14:paraId="2E0A56E9" w14:textId="77777777" w:rsidR="0032123A" w:rsidRPr="00367E3A" w:rsidRDefault="0032123A" w:rsidP="0032123A">
      <w:pPr>
        <w:pStyle w:val="FootnoteText"/>
        <w:rPr>
          <w:lang w:val="en-AU"/>
        </w:rPr>
      </w:pPr>
      <w:r>
        <w:rPr>
          <w:rStyle w:val="FootnoteReference"/>
          <w:lang w:val="en"/>
        </w:rPr>
        <w:footnoteRef/>
      </w:r>
      <w:r w:rsidRPr="00367E3A">
        <w:rPr>
          <w:lang w:val="en"/>
        </w:rPr>
        <w:t xml:space="preserve"> </w:t>
      </w:r>
      <w:r w:rsidRPr="00A929F3">
        <w:rPr>
          <w:lang w:val="en"/>
        </w:rPr>
        <w:t xml:space="preserve">Committee on Economic, Social and Cultural Rights, </w:t>
      </w:r>
      <w:r w:rsidRPr="00A929F3">
        <w:rPr>
          <w:i/>
          <w:iCs/>
          <w:lang w:val="en"/>
        </w:rPr>
        <w:t>Concluding observations on Norway</w:t>
      </w:r>
      <w:r>
        <w:rPr>
          <w:i/>
          <w:iCs/>
          <w:lang w:val="en"/>
        </w:rPr>
        <w:t xml:space="preserve">, </w:t>
      </w:r>
      <w:r w:rsidRPr="00A929F3">
        <w:rPr>
          <w:lang w:val="en"/>
        </w:rPr>
        <w:t xml:space="preserve">UN. Doc. E/C.12/NOR/CO/6, 6 March 2020, </w:t>
      </w:r>
      <w:r>
        <w:rPr>
          <w:lang w:val="en"/>
        </w:rPr>
        <w:t xml:space="preserve">para. </w:t>
      </w:r>
      <w:r w:rsidRPr="00A929F3">
        <w:rPr>
          <w:lang w:val="en"/>
        </w:rPr>
        <w:t>12</w:t>
      </w:r>
      <w:r>
        <w:rPr>
          <w:lang w:val="en"/>
        </w:rPr>
        <w:t xml:space="preserve">-13; </w:t>
      </w:r>
      <w:r w:rsidRPr="00A929F3">
        <w:rPr>
          <w:lang w:val="en"/>
        </w:rPr>
        <w:t xml:space="preserve">Committee on the Elimination of Racial Discrimination, </w:t>
      </w:r>
      <w:r w:rsidRPr="00A929F3">
        <w:rPr>
          <w:i/>
          <w:iCs/>
          <w:lang w:val="en"/>
        </w:rPr>
        <w:t>Concluding observations on Norway</w:t>
      </w:r>
      <w:r w:rsidRPr="00A929F3">
        <w:rPr>
          <w:lang w:val="en"/>
        </w:rPr>
        <w:t xml:space="preserve">, UN Doc. CERD/C/NOR/CO/23-24, 2 January 2019, </w:t>
      </w:r>
      <w:r>
        <w:rPr>
          <w:lang w:val="en"/>
        </w:rPr>
        <w:t>para.</w:t>
      </w:r>
      <w:r w:rsidRPr="00A929F3">
        <w:rPr>
          <w:lang w:val="en"/>
        </w:rPr>
        <w:t xml:space="preserve"> 5-6</w:t>
      </w:r>
      <w:r>
        <w:rPr>
          <w:lang w:val="en"/>
        </w:rPr>
        <w:t xml:space="preserve">; </w:t>
      </w:r>
      <w:r w:rsidRPr="00A929F3">
        <w:rPr>
          <w:lang w:val="en"/>
        </w:rPr>
        <w:t xml:space="preserve">Committee on the Rights of the Child, </w:t>
      </w:r>
      <w:r w:rsidRPr="00A929F3">
        <w:rPr>
          <w:i/>
          <w:iCs/>
          <w:lang w:val="en"/>
        </w:rPr>
        <w:t>Concluding observations on Norway</w:t>
      </w:r>
      <w:r w:rsidRPr="00A929F3">
        <w:rPr>
          <w:lang w:val="en"/>
        </w:rPr>
        <w:t xml:space="preserve">, </w:t>
      </w:r>
      <w:bookmarkStart w:id="3" w:name="_Hlk26185303"/>
      <w:r w:rsidRPr="00A929F3">
        <w:rPr>
          <w:lang w:val="en"/>
        </w:rPr>
        <w:t xml:space="preserve">UN Doc. CRC/C/NOR/CO/5-6, 4 July 2018, </w:t>
      </w:r>
      <w:r>
        <w:rPr>
          <w:lang w:val="en"/>
        </w:rPr>
        <w:t>para.</w:t>
      </w:r>
      <w:r w:rsidRPr="00A929F3">
        <w:rPr>
          <w:lang w:val="en"/>
        </w:rPr>
        <w:t xml:space="preserve"> 9</w:t>
      </w:r>
      <w:bookmarkEnd w:id="3"/>
      <w:r>
        <w:rPr>
          <w:lang w:val="en"/>
        </w:rPr>
        <w:t xml:space="preserve"> and </w:t>
      </w:r>
      <w:r w:rsidRPr="00A929F3">
        <w:rPr>
          <w:lang w:val="en"/>
        </w:rPr>
        <w:t>18(f)</w:t>
      </w:r>
      <w:r>
        <w:rPr>
          <w:lang w:val="en"/>
        </w:rPr>
        <w:t xml:space="preserve">; </w:t>
      </w:r>
      <w:r w:rsidRPr="00A929F3">
        <w:rPr>
          <w:lang w:val="en"/>
        </w:rPr>
        <w:t xml:space="preserve">Committee on the Elimination of Discrimination Against Women, </w:t>
      </w:r>
      <w:r w:rsidRPr="00A929F3">
        <w:rPr>
          <w:i/>
          <w:iCs/>
          <w:lang w:val="en"/>
        </w:rPr>
        <w:t>Concluding observations on Norway</w:t>
      </w:r>
      <w:r w:rsidRPr="00A929F3">
        <w:rPr>
          <w:lang w:val="en"/>
        </w:rPr>
        <w:t xml:space="preserve">, </w:t>
      </w:r>
      <w:bookmarkStart w:id="4" w:name="_Hlk26185994"/>
      <w:r w:rsidRPr="00A929F3">
        <w:rPr>
          <w:lang w:val="en"/>
        </w:rPr>
        <w:t xml:space="preserve">UN Doc. CEDAW/C/NOR/CO/9, 22 November 2017, </w:t>
      </w:r>
      <w:r>
        <w:rPr>
          <w:lang w:val="en"/>
        </w:rPr>
        <w:t>para.</w:t>
      </w:r>
      <w:r w:rsidRPr="00A929F3">
        <w:rPr>
          <w:lang w:val="en"/>
        </w:rPr>
        <w:t xml:space="preserve"> 25(d)</w:t>
      </w:r>
      <w:bookmarkEnd w:id="4"/>
      <w:r>
        <w:rPr>
          <w:lang w:val="en"/>
        </w:rPr>
        <w:t xml:space="preserve"> and </w:t>
      </w:r>
      <w:r w:rsidRPr="00A929F3">
        <w:rPr>
          <w:lang w:val="en"/>
        </w:rPr>
        <w:t>39(c)</w:t>
      </w:r>
      <w:r>
        <w:rPr>
          <w:lang w:val="en"/>
        </w:rPr>
        <w:t xml:space="preserve">; </w:t>
      </w:r>
      <w:r w:rsidRPr="00A929F3">
        <w:rPr>
          <w:lang w:val="en"/>
        </w:rPr>
        <w:t xml:space="preserve">Committee on the Rights of Persons with Disabilities, </w:t>
      </w:r>
      <w:r w:rsidRPr="00A929F3">
        <w:rPr>
          <w:i/>
          <w:lang w:val="en"/>
        </w:rPr>
        <w:t>Concluding observations on Norway</w:t>
      </w:r>
      <w:r w:rsidRPr="00A929F3">
        <w:rPr>
          <w:lang w:val="en"/>
        </w:rPr>
        <w:t xml:space="preserve">, UN Doc. CRPD/C/NOR/CO/1, 7 May 2019, </w:t>
      </w:r>
      <w:r>
        <w:rPr>
          <w:lang w:val="en"/>
        </w:rPr>
        <w:t xml:space="preserve">para. </w:t>
      </w:r>
      <w:r w:rsidRPr="00A929F3">
        <w:rPr>
          <w:lang w:val="en"/>
        </w:rPr>
        <w:t>49</w:t>
      </w:r>
      <w:r>
        <w:rPr>
          <w:lang w:val="en"/>
        </w:rPr>
        <w:t xml:space="preserve">-50; </w:t>
      </w:r>
      <w:r w:rsidRPr="00A929F3">
        <w:rPr>
          <w:lang w:val="en"/>
        </w:rPr>
        <w:t xml:space="preserve">Human Rights Committee, </w:t>
      </w:r>
      <w:r w:rsidRPr="00A929F3">
        <w:rPr>
          <w:i/>
          <w:lang w:val="en"/>
        </w:rPr>
        <w:t>Concluding observations on Norway</w:t>
      </w:r>
      <w:r w:rsidRPr="00A929F3">
        <w:rPr>
          <w:lang w:val="en"/>
        </w:rPr>
        <w:t xml:space="preserve">, UN Doc. CCPR/C/NOR/CO/7, 25 April 2018, </w:t>
      </w:r>
      <w:r>
        <w:rPr>
          <w:lang w:val="en"/>
        </w:rPr>
        <w:t>para.</w:t>
      </w:r>
      <w:r w:rsidRPr="00A929F3">
        <w:rPr>
          <w:lang w:val="en"/>
        </w:rPr>
        <w:t xml:space="preserve"> 16-17.</w:t>
      </w:r>
    </w:p>
  </w:footnote>
  <w:footnote w:id="4">
    <w:p w14:paraId="5DB4F4FF" w14:textId="77777777" w:rsidR="0032123A" w:rsidRPr="00130E52" w:rsidRDefault="0032123A" w:rsidP="0032123A">
      <w:pPr>
        <w:pStyle w:val="FootnoteText"/>
        <w:rPr>
          <w:lang w:val="en-AU"/>
        </w:rPr>
      </w:pPr>
      <w:r>
        <w:rPr>
          <w:rStyle w:val="FootnoteReference"/>
        </w:rPr>
        <w:footnoteRef/>
      </w:r>
      <w:r w:rsidRPr="00130E52">
        <w:rPr>
          <w:lang w:val="en-AU"/>
        </w:rPr>
        <w:t xml:space="preserve"> </w:t>
      </w:r>
      <w:r>
        <w:rPr>
          <w:lang w:val="en-AU"/>
        </w:rPr>
        <w:t xml:space="preserve">See for example, the CRC </w:t>
      </w:r>
      <w:r>
        <w:rPr>
          <w:lang w:val="en-US"/>
        </w:rPr>
        <w:t>G</w:t>
      </w:r>
      <w:r w:rsidRPr="00130E52">
        <w:rPr>
          <w:lang w:val="en-US"/>
        </w:rPr>
        <w:t>uidelines on the inclusion of statistical information and data in periodic reports</w:t>
      </w:r>
      <w:r>
        <w:rPr>
          <w:lang w:val="en-US"/>
        </w:rPr>
        <w:t xml:space="preserve">, </w:t>
      </w:r>
      <w:r w:rsidRPr="00130E52">
        <w:rPr>
          <w:lang w:val="en-US"/>
        </w:rPr>
        <w:t>CRC/C/58/Rev.3</w:t>
      </w:r>
      <w:r>
        <w:rPr>
          <w:lang w:val="en-US"/>
        </w:rPr>
        <w:t>.</w:t>
      </w:r>
    </w:p>
  </w:footnote>
  <w:footnote w:id="5">
    <w:p w14:paraId="0227B800" w14:textId="0A850118" w:rsidR="0032123A" w:rsidRPr="00130E52" w:rsidRDefault="0032123A" w:rsidP="0032123A">
      <w:pPr>
        <w:pStyle w:val="FootnoteText"/>
        <w:rPr>
          <w:lang w:val="en-AU"/>
        </w:rPr>
      </w:pPr>
      <w:r>
        <w:rPr>
          <w:rStyle w:val="FootnoteReference"/>
          <w:lang w:val="en"/>
        </w:rPr>
        <w:footnoteRef/>
      </w:r>
      <w:r>
        <w:rPr>
          <w:lang w:val="en"/>
        </w:rPr>
        <w:t xml:space="preserve"> The report is available in English at: </w:t>
      </w:r>
      <w:hyperlink r:id="rId3" w:history="1">
        <w:r w:rsidR="002C2117" w:rsidRPr="009C475E">
          <w:rPr>
            <w:rStyle w:val="Hyperlink"/>
            <w:lang w:val="en"/>
          </w:rPr>
          <w:t>https://www.nhri.no/en/2020/a-human-rights-based-approach-to-sami-statistics-in-norway/</w:t>
        </w:r>
      </w:hyperlink>
      <w:r>
        <w:fldChar w:fldCharType="begin"/>
      </w:r>
      <w:r w:rsidRPr="00DA72F5">
        <w:rPr>
          <w:lang w:val="en-GB"/>
        </w:rPr>
        <w:instrText>https://www.nhri.no/en/2020/a-human-rights-based-approach-to-sami-statistics-in-norway/"</w:instrText>
      </w:r>
      <w:r>
        <w:fldChar w:fldCharType="separate"/>
      </w:r>
      <w:r w:rsidRPr="00B42CEF">
        <w:rPr>
          <w:rStyle w:val="Hyperlink1"/>
          <w:lang w:val="en"/>
        </w:rPr>
        <w:t>https://www.nhri.no/en/2020/a-human-rights-based-approach-to-sami-statistics-in-norway/</w:t>
      </w:r>
      <w:r>
        <w:rPr>
          <w:rStyle w:val="Hyperlink1"/>
          <w:lang w:val="en"/>
        </w:rPr>
        <w:fldChar w:fldCharType="end"/>
      </w:r>
      <w:r>
        <w:rPr>
          <w:lang w:val="en"/>
        </w:rPr>
        <w:t xml:space="preserve">. </w:t>
      </w:r>
    </w:p>
  </w:footnote>
  <w:footnote w:id="6">
    <w:p w14:paraId="48CA97EA" w14:textId="77777777" w:rsidR="0032123A" w:rsidRPr="00F61ADD" w:rsidRDefault="0032123A" w:rsidP="0032123A">
      <w:pPr>
        <w:pStyle w:val="FootnoteText"/>
        <w:rPr>
          <w:lang w:val="en-GB"/>
        </w:rPr>
      </w:pPr>
      <w:r>
        <w:rPr>
          <w:rStyle w:val="FootnoteReference"/>
        </w:rPr>
        <w:footnoteRef/>
      </w:r>
      <w:r w:rsidRPr="00F61ADD">
        <w:rPr>
          <w:lang w:val="en-GB"/>
        </w:rPr>
        <w:t xml:space="preserve"> </w:t>
      </w:r>
      <w:r>
        <w:rPr>
          <w:lang w:val="en-GB"/>
        </w:rPr>
        <w:t xml:space="preserve">The NHRI, </w:t>
      </w:r>
      <w:r w:rsidRPr="00090C42">
        <w:rPr>
          <w:i/>
          <w:iCs/>
          <w:lang w:val="en-GB"/>
        </w:rPr>
        <w:t>Response to request for advice on further development of Sami statistics</w:t>
      </w:r>
      <w:r>
        <w:rPr>
          <w:lang w:val="en-GB"/>
        </w:rPr>
        <w:t xml:space="preserve"> (in Norwegian), 12.04.2024, </w:t>
      </w:r>
      <w:hyperlink r:id="rId4" w:history="1">
        <w:r w:rsidRPr="00F97408">
          <w:rPr>
            <w:rStyle w:val="Hyperlink1"/>
            <w:lang w:val="en-GB"/>
          </w:rPr>
          <w:t>https://www.nhri.no/2024/svar-pa-foresporsel-om-rad-om-videreutvikling-av-samisk-statistikk/</w:t>
        </w:r>
      </w:hyperlink>
      <w:r>
        <w:rPr>
          <w:lang w:val="en-GB"/>
        </w:rPr>
        <w:t>.</w:t>
      </w:r>
    </w:p>
  </w:footnote>
  <w:footnote w:id="7">
    <w:p w14:paraId="1F32C387" w14:textId="77777777" w:rsidR="0032123A" w:rsidRPr="00130E52" w:rsidRDefault="0032123A" w:rsidP="0032123A">
      <w:pPr>
        <w:pStyle w:val="FootnoteText"/>
        <w:rPr>
          <w:lang w:val="en-AU"/>
        </w:rPr>
      </w:pPr>
      <w:r>
        <w:rPr>
          <w:rStyle w:val="FootnoteReference"/>
        </w:rPr>
        <w:footnoteRef/>
      </w:r>
      <w:r w:rsidRPr="00130E52">
        <w:rPr>
          <w:lang w:val="en-AU"/>
        </w:rPr>
        <w:t xml:space="preserve"> See </w:t>
      </w:r>
      <w:r>
        <w:rPr>
          <w:lang w:val="en-AU"/>
        </w:rPr>
        <w:t xml:space="preserve">for example statistics from the Norwegian Directorate for Children, Youth and Family Affairs (in Norwegian): </w:t>
      </w:r>
      <w:hyperlink r:id="rId5" w:history="1">
        <w:r w:rsidRPr="00F97408">
          <w:rPr>
            <w:rStyle w:val="Hyperlink1"/>
            <w:lang w:val="en-AU"/>
          </w:rPr>
          <w:t>https://www.bufdir.no/statistikk-og-analyse/barnevern/barnevernstiltak-til-barn-med-innvandrerbakgrunn</w:t>
        </w:r>
      </w:hyperlink>
      <w:r>
        <w:rPr>
          <w:lang w:val="en-AU"/>
        </w:rPr>
        <w:t>.</w:t>
      </w:r>
    </w:p>
  </w:footnote>
  <w:footnote w:id="8">
    <w:p w14:paraId="7983E283" w14:textId="77777777" w:rsidR="0032123A" w:rsidRPr="00F61ADD" w:rsidRDefault="0032123A" w:rsidP="0032123A">
      <w:pPr>
        <w:pStyle w:val="FootnoteText"/>
        <w:rPr>
          <w:lang w:val="en-US"/>
        </w:rPr>
      </w:pPr>
      <w:r>
        <w:rPr>
          <w:rStyle w:val="FootnoteReference"/>
        </w:rPr>
        <w:footnoteRef/>
      </w:r>
      <w:r w:rsidRPr="00F61ADD">
        <w:rPr>
          <w:lang w:val="en-US"/>
        </w:rPr>
        <w:t xml:space="preserve"> Committee on the Rights of the Child</w:t>
      </w:r>
      <w:r>
        <w:rPr>
          <w:lang w:val="en-US"/>
        </w:rPr>
        <w:t>,</w:t>
      </w:r>
      <w:r w:rsidRPr="00F61ADD">
        <w:rPr>
          <w:lang w:val="en-US"/>
        </w:rPr>
        <w:t xml:space="preserve"> </w:t>
      </w:r>
      <w:r w:rsidRPr="00F61ADD">
        <w:rPr>
          <w:i/>
          <w:iCs/>
          <w:lang w:val="en-US"/>
        </w:rPr>
        <w:t>Concept Note: General Comment on Children’s Rights to Access to Justice and Effective Remedies</w:t>
      </w:r>
    </w:p>
  </w:footnote>
  <w:footnote w:id="9">
    <w:p w14:paraId="5395BEF0" w14:textId="31524738" w:rsidR="0032123A" w:rsidRPr="00F61ADD" w:rsidRDefault="0032123A" w:rsidP="0032123A">
      <w:pPr>
        <w:pStyle w:val="FootnoteText"/>
        <w:rPr>
          <w:lang w:val="en-GB"/>
        </w:rPr>
      </w:pPr>
      <w:r>
        <w:rPr>
          <w:rStyle w:val="FootnoteReference"/>
        </w:rPr>
        <w:footnoteRef/>
      </w:r>
      <w:r w:rsidRPr="00F61ADD">
        <w:rPr>
          <w:lang w:val="en-GB"/>
        </w:rPr>
        <w:t xml:space="preserve"> See for exa</w:t>
      </w:r>
      <w:r>
        <w:rPr>
          <w:lang w:val="en-GB"/>
        </w:rPr>
        <w:t>mple the report</w:t>
      </w:r>
      <w:r w:rsidR="008E1C67">
        <w:rPr>
          <w:lang w:val="en-GB"/>
        </w:rPr>
        <w:t xml:space="preserve"> </w:t>
      </w:r>
      <w:hyperlink r:id="rId6" w:history="1">
        <w:r w:rsidR="008E1C67" w:rsidRPr="009B25A8">
          <w:rPr>
            <w:rStyle w:val="Hyperlink"/>
            <w:i/>
            <w:iCs/>
            <w:lang w:val="en-GB"/>
          </w:rPr>
          <w:t>Visitation after taking over care</w:t>
        </w:r>
      </w:hyperlink>
      <w:r>
        <w:rPr>
          <w:lang w:val="en-GB"/>
        </w:rPr>
        <w:t xml:space="preserve"> (2021) from OsloMet</w:t>
      </w:r>
      <w:r w:rsidRPr="00F61ADD">
        <w:rPr>
          <w:lang w:val="en-GB"/>
        </w:rPr>
        <w:t xml:space="preserve"> (in Norwegian). </w:t>
      </w:r>
    </w:p>
  </w:footnote>
  <w:footnote w:id="10">
    <w:p w14:paraId="32CAE710" w14:textId="77777777" w:rsidR="0032123A" w:rsidRPr="00F61ADD" w:rsidRDefault="0032123A" w:rsidP="0032123A">
      <w:pPr>
        <w:pStyle w:val="FootnoteText"/>
        <w:rPr>
          <w:lang w:val="en-GB"/>
        </w:rPr>
      </w:pPr>
      <w:r>
        <w:rPr>
          <w:rStyle w:val="FootnoteReference"/>
        </w:rPr>
        <w:footnoteRef/>
      </w:r>
      <w:r w:rsidRPr="00F61ADD">
        <w:rPr>
          <w:lang w:val="en-GB"/>
        </w:rPr>
        <w:t xml:space="preserve"> See for example the report </w:t>
      </w:r>
      <w:hyperlink r:id="rId7" w:history="1">
        <w:r w:rsidRPr="001A1CC2">
          <w:rPr>
            <w:rStyle w:val="Hyperlink1"/>
            <w:i/>
            <w:iCs/>
            <w:lang w:val="en-GB"/>
          </w:rPr>
          <w:t>On hearing children in expulsion cases</w:t>
        </w:r>
      </w:hyperlink>
      <w:r>
        <w:rPr>
          <w:lang w:val="en-GB"/>
        </w:rPr>
        <w:t xml:space="preserve"> (2022) from Fafo (English summary).</w:t>
      </w:r>
      <w:r w:rsidRPr="004B272D" w:rsidDel="004B272D">
        <w:rPr>
          <w:lang w:val="en-GB"/>
        </w:rPr>
        <w:t xml:space="preserve"> </w:t>
      </w:r>
    </w:p>
  </w:footnote>
  <w:footnote w:id="11">
    <w:p w14:paraId="2D0F1D8A" w14:textId="77777777" w:rsidR="0032123A" w:rsidRPr="00F61ADD" w:rsidRDefault="0032123A" w:rsidP="0032123A">
      <w:pPr>
        <w:pStyle w:val="FootnoteText"/>
        <w:rPr>
          <w:lang w:val="en-US"/>
        </w:rPr>
      </w:pPr>
      <w:r>
        <w:rPr>
          <w:rStyle w:val="FootnoteReference"/>
        </w:rPr>
        <w:footnoteRef/>
      </w:r>
      <w:r w:rsidRPr="009A2D91">
        <w:rPr>
          <w:lang w:val="en-US"/>
        </w:rPr>
        <w:t xml:space="preserve"> </w:t>
      </w:r>
      <w:r w:rsidRPr="00345645">
        <w:rPr>
          <w:lang w:val="en-US"/>
        </w:rPr>
        <w:t>NOU 2022:5, chapter 10.2. An English summary of the Coronavirus Commission</w:t>
      </w:r>
      <w:r>
        <w:rPr>
          <w:lang w:val="en-US"/>
        </w:rPr>
        <w:t>’s report</w:t>
      </w:r>
      <w:r w:rsidRPr="00345645">
        <w:rPr>
          <w:lang w:val="en-US"/>
        </w:rPr>
        <w:t xml:space="preserve"> is available here:</w:t>
      </w:r>
      <w:r>
        <w:rPr>
          <w:lang w:val="en-US"/>
        </w:rPr>
        <w:t xml:space="preserve"> </w:t>
      </w:r>
      <w:hyperlink r:id="rId8" w:history="1">
        <w:r w:rsidRPr="000F6793">
          <w:rPr>
            <w:rStyle w:val="Hyperlink1"/>
            <w:lang w:val="en-US"/>
          </w:rPr>
          <w:t>https://www.regjeringen.no/contentassets/d0b61f6e1d1b40d1bb92ff9d9b60793d/en-gb/pdfs/nou202220220005000engpdfs.pdf</w:t>
        </w:r>
      </w:hyperlink>
      <w:r>
        <w:rPr>
          <w:lang w:val="en-US"/>
        </w:rPr>
        <w:t>.</w:t>
      </w:r>
    </w:p>
  </w:footnote>
  <w:footnote w:id="12">
    <w:p w14:paraId="37ED10F9" w14:textId="77777777" w:rsidR="0032123A" w:rsidRPr="009A2D91" w:rsidRDefault="0032123A" w:rsidP="0032123A">
      <w:pPr>
        <w:pStyle w:val="FootnoteText"/>
        <w:rPr>
          <w:lang w:val="en-US"/>
        </w:rPr>
      </w:pPr>
      <w:r>
        <w:rPr>
          <w:rStyle w:val="FootnoteReference"/>
        </w:rPr>
        <w:footnoteRef/>
      </w:r>
      <w:r w:rsidRPr="009A2D91">
        <w:rPr>
          <w:lang w:val="en-US"/>
        </w:rPr>
        <w:t xml:space="preserve"> </w:t>
      </w:r>
      <w:r>
        <w:rPr>
          <w:lang w:val="en-US"/>
        </w:rPr>
        <w:t xml:space="preserve">See </w:t>
      </w:r>
      <w:hyperlink r:id="rId9" w:history="1">
        <w:r w:rsidRPr="00FF5176">
          <w:rPr>
            <w:rStyle w:val="Hyperlink"/>
            <w:lang w:val="en-US"/>
          </w:rPr>
          <w:t>Kartlegging av medvirkning på systemnivå</w:t>
        </w:r>
      </w:hyperlink>
      <w:r>
        <w:rPr>
          <w:lang w:val="en-US"/>
        </w:rPr>
        <w:t xml:space="preserve"> (in Norwegian),</w:t>
      </w:r>
      <w:r w:rsidRPr="009A2D91">
        <w:rPr>
          <w:lang w:val="en-US"/>
        </w:rPr>
        <w:t xml:space="preserve"> s</w:t>
      </w:r>
      <w:r>
        <w:rPr>
          <w:lang w:val="en-US"/>
        </w:rPr>
        <w:t>u</w:t>
      </w:r>
      <w:r w:rsidRPr="009A2D91">
        <w:rPr>
          <w:lang w:val="en-US"/>
        </w:rPr>
        <w:t xml:space="preserve">rvey </w:t>
      </w:r>
      <w:r w:rsidRPr="001E5563">
        <w:rPr>
          <w:szCs w:val="24"/>
          <w:lang w:val="en-GB"/>
        </w:rPr>
        <w:t>conducted on behalf of the Norwegian Directorate for Children, Youth and Family Affairs</w:t>
      </w:r>
      <w:r>
        <w:rPr>
          <w:szCs w:val="24"/>
          <w:lang w:val="en-GB"/>
        </w:rPr>
        <w:t xml:space="preserve"> (2024).</w:t>
      </w:r>
    </w:p>
  </w:footnote>
  <w:footnote w:id="13">
    <w:p w14:paraId="1C356AA4" w14:textId="77777777" w:rsidR="00491B07" w:rsidRPr="00F61ADD" w:rsidRDefault="00491B07" w:rsidP="00491B07">
      <w:pPr>
        <w:pStyle w:val="FootnoteText"/>
        <w:rPr>
          <w:lang w:val="en-GB"/>
        </w:rPr>
      </w:pPr>
      <w:r>
        <w:rPr>
          <w:rStyle w:val="FootnoteReference"/>
        </w:rPr>
        <w:footnoteRef/>
      </w:r>
      <w:r w:rsidRPr="00F61ADD">
        <w:rPr>
          <w:lang w:val="en-GB"/>
        </w:rPr>
        <w:t xml:space="preserve"> The report is available in Norwegian at: </w:t>
      </w:r>
      <w:hyperlink r:id="rId10" w:history="1">
        <w:r w:rsidRPr="00F61ADD">
          <w:rPr>
            <w:rStyle w:val="Hyperlink1"/>
            <w:lang w:val="en-GB"/>
          </w:rPr>
          <w:t>https://www.nhri.no/rapport/holdninger-til-samer-og-nasjonale-minoriteter-i-norge/</w:t>
        </w:r>
      </w:hyperlink>
      <w:r w:rsidRPr="00F61ADD">
        <w:rPr>
          <w:lang w:val="en-GB"/>
        </w:rPr>
        <w:t>.</w:t>
      </w:r>
    </w:p>
  </w:footnote>
  <w:footnote w:id="14">
    <w:p w14:paraId="4848C7DB" w14:textId="310BA0FC" w:rsidR="00491B07" w:rsidRPr="00F61ADD" w:rsidRDefault="00491B07" w:rsidP="00491B07">
      <w:pPr>
        <w:pStyle w:val="FootnoteText"/>
        <w:rPr>
          <w:lang w:val="en-GB"/>
        </w:rPr>
      </w:pPr>
      <w:r>
        <w:rPr>
          <w:rStyle w:val="FootnoteReference"/>
        </w:rPr>
        <w:footnoteRef/>
      </w:r>
      <w:r w:rsidRPr="00F61ADD">
        <w:rPr>
          <w:lang w:val="en-GB"/>
        </w:rPr>
        <w:t xml:space="preserve"> See for example,</w:t>
      </w:r>
      <w:r w:rsidRPr="00F61ADD">
        <w:rPr>
          <w:rFonts w:ascii="Arial" w:hAnsi="Arial" w:cs="Arial"/>
          <w:color w:val="555555"/>
          <w:sz w:val="22"/>
          <w:szCs w:val="24"/>
          <w:shd w:val="clear" w:color="auto" w:fill="FFFFFF"/>
          <w:lang w:val="en-GB"/>
        </w:rPr>
        <w:t xml:space="preserve"> </w:t>
      </w:r>
      <w:r w:rsidRPr="00F61ADD">
        <w:rPr>
          <w:lang w:val="en-GB"/>
        </w:rPr>
        <w:t>Torjer A. Olsen, "Not Good Enough for Anyone? Managing Sámi Education in the Cultural Interface" in Indigenising Education and Citizenship Perspectives on Policies and Practices from Sápmi and Beyond, Torjer A. Olsen and Hilde Sollid, eds. </w:t>
      </w:r>
      <w:r w:rsidRPr="00061318">
        <w:rPr>
          <w:lang w:val="en-AU"/>
        </w:rPr>
        <w:t>(Oslo: University Press, 2022); Hadi Strømmen Lile, «Human Rights Education» in Malcolm Langford</w:t>
      </w:r>
      <w:r>
        <w:rPr>
          <w:lang w:val="en-AU"/>
        </w:rPr>
        <w:t>,</w:t>
      </w:r>
      <w:r w:rsidRPr="00061318">
        <w:rPr>
          <w:lang w:val="en-AU"/>
        </w:rPr>
        <w:t xml:space="preserve"> Marit Skivenes &amp; Karl Harald Søvig (eds.), Children’s Rights in Norway: An Implementation Paradox? </w:t>
      </w:r>
      <w:r w:rsidRPr="00F61ADD">
        <w:rPr>
          <w:lang w:val="en-GB"/>
        </w:rPr>
        <w:t>(Universitetsforlaget, 2019) p. 415; Ola K. Berge, Åsne Dahl Haugsevje and Nanna Løkka, “Cultural enrichment – ​​political difficulty: Review of the policy towards national minorities 2000–2019” (Telemarksforsking, report no. 490, 2019); Arnfinn Midtbøen, Julia Orupabo and Åse Røthing, "Old minorities in the new Norway" in National minorities and indigenous people in Norwegian politics from 1900 to 2016, Nik Brandal, Cora Alexa Døving and Ingvill Thorson Plesner, eds. (Oslo: Cappelen Damm Academic, 2017).</w:t>
      </w:r>
    </w:p>
  </w:footnote>
  <w:footnote w:id="15">
    <w:p w14:paraId="2B27F1D4" w14:textId="77777777" w:rsidR="00491B07" w:rsidRPr="002D4786" w:rsidRDefault="00491B07" w:rsidP="00491B07">
      <w:pPr>
        <w:pStyle w:val="FootnoteText"/>
        <w:rPr>
          <w:lang w:val="en-AU"/>
        </w:rPr>
      </w:pPr>
      <w:r>
        <w:rPr>
          <w:rStyle w:val="FootnoteReference"/>
        </w:rPr>
        <w:footnoteRef/>
      </w:r>
      <w:r w:rsidRPr="002D4786">
        <w:rPr>
          <w:lang w:val="en-AU"/>
        </w:rPr>
        <w:t xml:space="preserve"> See for example, </w:t>
      </w:r>
      <w:r>
        <w:rPr>
          <w:lang w:val="en-AU"/>
        </w:rPr>
        <w:t>Ketil Lenert Hansen, “</w:t>
      </w:r>
      <w:r w:rsidRPr="002E18EE">
        <w:rPr>
          <w:lang w:val="en-AU"/>
        </w:rPr>
        <w:t xml:space="preserve">Ethnic discrimination and bullying in relation to self-reported physical and mental health in </w:t>
      </w:r>
      <w:r>
        <w:rPr>
          <w:lang w:val="en-AU"/>
        </w:rPr>
        <w:t>Sámi</w:t>
      </w:r>
      <w:r w:rsidRPr="002E18EE">
        <w:rPr>
          <w:lang w:val="en-AU"/>
        </w:rPr>
        <w:t xml:space="preserve"> settlement areas in Norway: The </w:t>
      </w:r>
      <w:r>
        <w:rPr>
          <w:lang w:val="en-AU"/>
        </w:rPr>
        <w:t>SÁMI</w:t>
      </w:r>
      <w:r w:rsidRPr="002E18EE">
        <w:rPr>
          <w:lang w:val="en-AU"/>
        </w:rPr>
        <w:t>NOR study</w:t>
      </w:r>
      <w:r>
        <w:rPr>
          <w:lang w:val="en-AU"/>
        </w:rPr>
        <w:t xml:space="preserve">”, 2011; </w:t>
      </w:r>
      <w:r w:rsidRPr="002D4786">
        <w:rPr>
          <w:lang w:val="en-AU"/>
        </w:rPr>
        <w:t xml:space="preserve">Audun Fladmoe, Marjan Nadim og Simon Roland Birkvad, </w:t>
      </w:r>
      <w:r>
        <w:rPr>
          <w:lang w:val="en-AU"/>
        </w:rPr>
        <w:t>“E</w:t>
      </w:r>
      <w:r w:rsidRPr="00F61ADD">
        <w:rPr>
          <w:lang w:val="en-GB"/>
        </w:rPr>
        <w:t>xperiences with hate speech and incitement among LGBT people, other minority groups and the rest of the population”</w:t>
      </w:r>
      <w:r w:rsidRPr="002D4786">
        <w:rPr>
          <w:lang w:val="en-AU"/>
        </w:rPr>
        <w:t xml:space="preserve"> (Oslo: </w:t>
      </w:r>
      <w:r>
        <w:rPr>
          <w:lang w:val="en-AU"/>
        </w:rPr>
        <w:t>Institute for Social Research</w:t>
      </w:r>
      <w:r w:rsidRPr="002D4786">
        <w:rPr>
          <w:lang w:val="en-AU"/>
        </w:rPr>
        <w:t xml:space="preserve">, </w:t>
      </w:r>
      <w:r>
        <w:rPr>
          <w:lang w:val="en-AU"/>
        </w:rPr>
        <w:t>report</w:t>
      </w:r>
      <w:r w:rsidRPr="002D4786">
        <w:rPr>
          <w:lang w:val="en-AU"/>
        </w:rPr>
        <w:t xml:space="preserve"> </w:t>
      </w:r>
      <w:r>
        <w:rPr>
          <w:lang w:val="en-AU"/>
        </w:rPr>
        <w:t>no</w:t>
      </w:r>
      <w:r w:rsidRPr="002D4786">
        <w:rPr>
          <w:lang w:val="en-AU"/>
        </w:rPr>
        <w:t>. 4, 2019).</w:t>
      </w:r>
    </w:p>
  </w:footnote>
  <w:footnote w:id="16">
    <w:p w14:paraId="3675209E" w14:textId="77777777" w:rsidR="00491B07" w:rsidRPr="00F61ADD" w:rsidRDefault="00491B07" w:rsidP="00491B07">
      <w:pPr>
        <w:pStyle w:val="FootnoteText"/>
        <w:rPr>
          <w:lang w:val="en-GB"/>
        </w:rPr>
      </w:pPr>
      <w:r>
        <w:rPr>
          <w:rStyle w:val="FootnoteReference"/>
        </w:rPr>
        <w:footnoteRef/>
      </w:r>
      <w:r w:rsidRPr="00F61ADD">
        <w:rPr>
          <w:lang w:val="en-GB"/>
        </w:rPr>
        <w:t xml:space="preserve"> Ketil Lenert Hansen and Sara With Skaar, “Young Sámi's mental health. A qualitative and quantitative study of the psychosocial health of young Sámi” (Tromsø: UiT Norges Arctic University, 2021).</w:t>
      </w:r>
    </w:p>
  </w:footnote>
  <w:footnote w:id="17">
    <w:p w14:paraId="467115A1" w14:textId="77777777" w:rsidR="00491B07" w:rsidRPr="006C6307" w:rsidRDefault="00491B07" w:rsidP="00491B07">
      <w:pPr>
        <w:pStyle w:val="FootnoteText"/>
        <w:rPr>
          <w:lang w:val="en-GB"/>
        </w:rPr>
      </w:pPr>
      <w:r>
        <w:rPr>
          <w:rStyle w:val="FootnoteReference"/>
        </w:rPr>
        <w:footnoteRef/>
      </w:r>
      <w:r w:rsidRPr="006C6307">
        <w:rPr>
          <w:lang w:val="en-GB"/>
        </w:rPr>
        <w:t xml:space="preserve"> </w:t>
      </w:r>
      <w:r w:rsidRPr="00F61ADD">
        <w:rPr>
          <w:lang w:val="en-GB"/>
        </w:rPr>
        <w:t>The report is available in Norwegian at:</w:t>
      </w:r>
      <w:r>
        <w:rPr>
          <w:lang w:val="en-GB"/>
        </w:rPr>
        <w:t xml:space="preserve"> </w:t>
      </w:r>
      <w:hyperlink r:id="rId11" w:history="1">
        <w:r w:rsidRPr="009D6650">
          <w:rPr>
            <w:rStyle w:val="Hyperlink"/>
            <w:lang w:val="en-GB"/>
          </w:rPr>
          <w:t>https://amnesty.no/netthets-mot-samer</w:t>
        </w:r>
      </w:hyperlink>
      <w:r>
        <w:rPr>
          <w:lang w:val="en-GB"/>
        </w:rPr>
        <w:t>.</w:t>
      </w:r>
    </w:p>
  </w:footnote>
  <w:footnote w:id="18">
    <w:p w14:paraId="7B579F38" w14:textId="77777777" w:rsidR="00491B07" w:rsidRPr="00390AF8" w:rsidRDefault="00491B07" w:rsidP="00491B07">
      <w:pPr>
        <w:pStyle w:val="FootnoteText"/>
        <w:rPr>
          <w:lang w:val="en-GB"/>
        </w:rPr>
      </w:pPr>
      <w:r>
        <w:rPr>
          <w:rStyle w:val="FootnoteReference"/>
        </w:rPr>
        <w:footnoteRef/>
      </w:r>
      <w:r w:rsidRPr="00390AF8">
        <w:rPr>
          <w:lang w:val="en-GB"/>
        </w:rPr>
        <w:t xml:space="preserve"> </w:t>
      </w:r>
      <w:r w:rsidRPr="00F61ADD">
        <w:rPr>
          <w:lang w:val="en-GB"/>
        </w:rPr>
        <w:t>The report is available in Norwegian at:</w:t>
      </w:r>
      <w:r>
        <w:rPr>
          <w:lang w:val="en-GB"/>
        </w:rPr>
        <w:t xml:space="preserve"> </w:t>
      </w:r>
      <w:hyperlink r:id="rId12" w:history="1">
        <w:r w:rsidRPr="009D6650">
          <w:rPr>
            <w:rStyle w:val="Hyperlink"/>
            <w:lang w:val="en-GB"/>
          </w:rPr>
          <w:t>https://www.nhri.no/skeives-menneskerettigheter/</w:t>
        </w:r>
      </w:hyperlink>
      <w:r>
        <w:rPr>
          <w:lang w:val="en-GB"/>
        </w:rPr>
        <w:t>.</w:t>
      </w:r>
    </w:p>
  </w:footnote>
  <w:footnote w:id="19">
    <w:p w14:paraId="6B843076" w14:textId="0DBC60F6" w:rsidR="00491B07" w:rsidRPr="003415FD" w:rsidRDefault="00491B07" w:rsidP="00491B07">
      <w:pPr>
        <w:pStyle w:val="FootnoteText"/>
        <w:spacing w:line="240" w:lineRule="auto"/>
        <w:rPr>
          <w:lang w:val="se-NO"/>
        </w:rPr>
      </w:pPr>
      <w:r w:rsidRPr="003415FD">
        <w:rPr>
          <w:rStyle w:val="FootnoteReference"/>
        </w:rPr>
        <w:footnoteRef/>
      </w:r>
      <w:r w:rsidRPr="00456975">
        <w:rPr>
          <w:lang w:val="sv-SE"/>
        </w:rPr>
        <w:t xml:space="preserve"> Birkvad, S. R., Fladmoe, A. &amp; Marjan, N. (2019). </w:t>
      </w:r>
      <w:r w:rsidR="00553577">
        <w:t>«</w:t>
      </w:r>
      <w:r w:rsidRPr="003415FD">
        <w:t>Erfaringer med hatytringer og hets blant LHBT-personer, andre minoritetsgrupper og den øvrige befolkningen</w:t>
      </w:r>
      <w:r w:rsidR="00553577">
        <w:t>»</w:t>
      </w:r>
      <w:r w:rsidRPr="003415FD">
        <w:t xml:space="preserve"> (Rapport 2019:4). </w:t>
      </w:r>
      <w:r w:rsidRPr="008F7CEE">
        <w:t>Institutt for samfunnsforskning.</w:t>
      </w:r>
    </w:p>
  </w:footnote>
  <w:footnote w:id="20">
    <w:p w14:paraId="4944084B" w14:textId="1EA51746" w:rsidR="00491B07" w:rsidRPr="00456975" w:rsidRDefault="00491B07" w:rsidP="00491B07">
      <w:pPr>
        <w:pStyle w:val="FootnoteText"/>
      </w:pPr>
      <w:r>
        <w:rPr>
          <w:rStyle w:val="FootnoteReference"/>
        </w:rPr>
        <w:footnoteRef/>
      </w:r>
      <w:r w:rsidRPr="00456975">
        <w:t xml:space="preserve"> Lassemo, E., Sand, K., Tøndel, G. (2020). </w:t>
      </w:r>
      <w:r w:rsidR="00553577" w:rsidRPr="00456975">
        <w:t>«</w:t>
      </w:r>
      <w:r w:rsidRPr="00456975">
        <w:t>Kartlegging spørsmål fra lhbtiq-ungdom</w:t>
      </w:r>
      <w:r w:rsidR="00553577" w:rsidRPr="00456975">
        <w:t>»</w:t>
      </w:r>
      <w:r w:rsidRPr="00456975">
        <w:t>, ung.no (Rapport: 2020:00454), SINTEF.</w:t>
      </w:r>
    </w:p>
  </w:footnote>
  <w:footnote w:id="21">
    <w:p w14:paraId="7545C8CD" w14:textId="6CF0A1F4" w:rsidR="002D1B62" w:rsidRPr="00456975" w:rsidRDefault="002D1B62">
      <w:pPr>
        <w:pStyle w:val="FootnoteText"/>
      </w:pPr>
      <w:r>
        <w:rPr>
          <w:rStyle w:val="FootnoteReference"/>
        </w:rPr>
        <w:footnoteRef/>
      </w:r>
      <w:r w:rsidRPr="00456975">
        <w:t xml:space="preserve"> </w:t>
      </w:r>
      <w:hyperlink r:id="rId13" w:history="1">
        <w:r w:rsidR="00781357" w:rsidRPr="00456975">
          <w:rPr>
            <w:rStyle w:val="Hyperlink"/>
          </w:rPr>
          <w:t>https://www.vg.no/nyheter/i/Rz6O8J/elevundersoekelse-1-av-3-i-annen-kjoennskategori-mobbes</w:t>
        </w:r>
      </w:hyperlink>
      <w:r w:rsidR="001A1C39" w:rsidRPr="00456975">
        <w:t xml:space="preserve"> (in Norwegian).</w:t>
      </w:r>
    </w:p>
  </w:footnote>
  <w:footnote w:id="22">
    <w:p w14:paraId="1CB0F222" w14:textId="4921D004" w:rsidR="0032123A" w:rsidRPr="00525BB4" w:rsidRDefault="0032123A" w:rsidP="0032123A">
      <w:pPr>
        <w:pStyle w:val="FootnoteText"/>
        <w:rPr>
          <w:lang w:val="en-US"/>
        </w:rPr>
      </w:pPr>
      <w:r>
        <w:rPr>
          <w:rStyle w:val="FootnoteReference"/>
        </w:rPr>
        <w:footnoteRef/>
      </w:r>
      <w:r w:rsidRPr="00BA2B45">
        <w:rPr>
          <w:lang w:val="en-GB"/>
        </w:rPr>
        <w:t xml:space="preserve"> </w:t>
      </w:r>
      <w:r w:rsidR="00584B2A" w:rsidRPr="00A929F3">
        <w:rPr>
          <w:lang w:val="en"/>
        </w:rPr>
        <w:t>Committee on the Rights of the Child</w:t>
      </w:r>
      <w:r w:rsidR="00584B2A">
        <w:rPr>
          <w:lang w:val="en-GB"/>
        </w:rPr>
        <w:t xml:space="preserve">, </w:t>
      </w:r>
      <w:r w:rsidRPr="00100B16">
        <w:rPr>
          <w:i/>
          <w:iCs/>
          <w:lang w:val="en-GB"/>
        </w:rPr>
        <w:t>General Comment no. 25</w:t>
      </w:r>
      <w:r w:rsidR="00100B16">
        <w:rPr>
          <w:lang w:val="en-GB"/>
        </w:rPr>
        <w:t xml:space="preserve">, </w:t>
      </w:r>
      <w:r w:rsidR="00281593" w:rsidRPr="00281593">
        <w:rPr>
          <w:lang w:val="en-GB"/>
        </w:rPr>
        <w:t xml:space="preserve">UN </w:t>
      </w:r>
      <w:r w:rsidR="00281593">
        <w:rPr>
          <w:lang w:val="en-GB"/>
        </w:rPr>
        <w:t xml:space="preserve">doc. </w:t>
      </w:r>
      <w:r w:rsidR="00281593" w:rsidRPr="00281593">
        <w:rPr>
          <w:lang w:val="en-GB"/>
        </w:rPr>
        <w:t>CRC/C/GC/25</w:t>
      </w:r>
      <w:r w:rsidRPr="00BA2B45">
        <w:rPr>
          <w:lang w:val="en-GB"/>
        </w:rPr>
        <w:t xml:space="preserve">, </w:t>
      </w:r>
      <w:r w:rsidR="00100B16" w:rsidRPr="00281593">
        <w:rPr>
          <w:lang w:val="en-GB"/>
        </w:rPr>
        <w:t>2 March 2021</w:t>
      </w:r>
      <w:r w:rsidR="00100B16">
        <w:rPr>
          <w:lang w:val="en-GB"/>
        </w:rPr>
        <w:t>,</w:t>
      </w:r>
      <w:r w:rsidR="00100B16" w:rsidRPr="00281593">
        <w:rPr>
          <w:lang w:val="en-GB"/>
        </w:rPr>
        <w:t xml:space="preserve"> </w:t>
      </w:r>
      <w:r w:rsidRPr="00BA2B45">
        <w:rPr>
          <w:lang w:val="en-GB"/>
        </w:rPr>
        <w:t xml:space="preserve">para. </w:t>
      </w:r>
      <w:r w:rsidRPr="00525BB4">
        <w:rPr>
          <w:lang w:val="en-US"/>
        </w:rPr>
        <w:t>76.</w:t>
      </w:r>
    </w:p>
  </w:footnote>
  <w:footnote w:id="23">
    <w:p w14:paraId="4B45B561" w14:textId="77777777" w:rsidR="0032123A" w:rsidRPr="00525BB4" w:rsidRDefault="0032123A" w:rsidP="0032123A">
      <w:pPr>
        <w:pStyle w:val="FootnoteText"/>
        <w:rPr>
          <w:lang w:val="en-US"/>
        </w:rPr>
      </w:pPr>
      <w:r>
        <w:rPr>
          <w:rStyle w:val="FootnoteReference"/>
        </w:rPr>
        <w:footnoteRef/>
      </w:r>
      <w:r w:rsidRPr="00525BB4">
        <w:rPr>
          <w:lang w:val="en-US"/>
        </w:rPr>
        <w:t xml:space="preserve"> NOU 2022:11.</w:t>
      </w:r>
    </w:p>
  </w:footnote>
  <w:footnote w:id="24">
    <w:p w14:paraId="4C4C1877" w14:textId="1BE855F2" w:rsidR="0032123A" w:rsidRPr="00F61ADD" w:rsidRDefault="0032123A" w:rsidP="0032123A">
      <w:pPr>
        <w:pStyle w:val="FootnoteText"/>
        <w:rPr>
          <w:lang w:val="en-US"/>
        </w:rPr>
      </w:pPr>
      <w:r>
        <w:rPr>
          <w:rStyle w:val="FootnoteReference"/>
        </w:rPr>
        <w:footnoteRef/>
      </w:r>
      <w:r w:rsidRPr="00F61ADD">
        <w:rPr>
          <w:lang w:val="en-US"/>
        </w:rPr>
        <w:t xml:space="preserve"> </w:t>
      </w:r>
      <w:r>
        <w:rPr>
          <w:lang w:val="en-US"/>
        </w:rPr>
        <w:t>This was a</w:t>
      </w:r>
      <w:r w:rsidRPr="004B5BF0">
        <w:rPr>
          <w:lang w:val="en-US"/>
        </w:rPr>
        <w:t>ddressed</w:t>
      </w:r>
      <w:r w:rsidRPr="00F61ADD">
        <w:rPr>
          <w:lang w:val="en-US"/>
        </w:rPr>
        <w:t xml:space="preserve"> by the </w:t>
      </w:r>
      <w:r>
        <w:rPr>
          <w:lang w:val="en-US"/>
        </w:rPr>
        <w:t>g</w:t>
      </w:r>
      <w:r w:rsidRPr="00F61ADD">
        <w:rPr>
          <w:lang w:val="en-US"/>
        </w:rPr>
        <w:t>overnment</w:t>
      </w:r>
      <w:r>
        <w:rPr>
          <w:lang w:val="en-US"/>
        </w:rPr>
        <w:t>-</w:t>
      </w:r>
      <w:r w:rsidRPr="00F61ADD">
        <w:rPr>
          <w:lang w:val="en-US"/>
        </w:rPr>
        <w:t xml:space="preserve">appointed </w:t>
      </w:r>
      <w:r w:rsidR="00D04CCD">
        <w:rPr>
          <w:lang w:val="en-US"/>
        </w:rPr>
        <w:t>C</w:t>
      </w:r>
      <w:r w:rsidRPr="00F61ADD">
        <w:rPr>
          <w:lang w:val="en-US"/>
        </w:rPr>
        <w:t>ommittee on a new Children Act in NOU 2020:14, as well as the Privacy Commission in NOU 2022:11</w:t>
      </w:r>
      <w:r>
        <w:rPr>
          <w:lang w:val="en-US"/>
        </w:rPr>
        <w:t>.</w:t>
      </w:r>
    </w:p>
  </w:footnote>
  <w:footnote w:id="25">
    <w:p w14:paraId="584AA85B" w14:textId="1C3F800E" w:rsidR="00172192" w:rsidRPr="00AA52F4" w:rsidRDefault="00172192" w:rsidP="00172192">
      <w:pPr>
        <w:pStyle w:val="FootnoteText"/>
        <w:rPr>
          <w:lang w:val="en-GB"/>
        </w:rPr>
      </w:pPr>
      <w:r>
        <w:rPr>
          <w:rStyle w:val="FootnoteReference"/>
        </w:rPr>
        <w:footnoteRef/>
      </w:r>
      <w:r w:rsidRPr="00AA52F4">
        <w:rPr>
          <w:lang w:val="en-GB"/>
        </w:rPr>
        <w:t xml:space="preserve"> </w:t>
      </w:r>
      <w:r>
        <w:rPr>
          <w:lang w:val="en-GB"/>
        </w:rPr>
        <w:t xml:space="preserve">For information on care orders see: Bufdir, </w:t>
      </w:r>
      <w:r w:rsidRPr="00CA08E9">
        <w:rPr>
          <w:i/>
          <w:iCs/>
          <w:lang w:val="en-GB"/>
        </w:rPr>
        <w:t>Stages in a child welfare case</w:t>
      </w:r>
      <w:r>
        <w:rPr>
          <w:lang w:val="en-GB"/>
        </w:rPr>
        <w:t xml:space="preserve">, </w:t>
      </w:r>
      <w:hyperlink r:id="rId14" w:history="1">
        <w:r w:rsidRPr="009C475E">
          <w:rPr>
            <w:rStyle w:val="Hyperlink"/>
            <w:lang w:val="en-GB"/>
          </w:rPr>
          <w:t>https://www.bufdir.no/en/child-welfare-services/stages-in-a-child-welfare-case</w:t>
        </w:r>
      </w:hyperlink>
      <w:r w:rsidR="00D04CCD">
        <w:rPr>
          <w:lang w:val="en-GB"/>
        </w:rPr>
        <w:t>:</w:t>
      </w:r>
      <w:r>
        <w:rPr>
          <w:lang w:val="en-GB"/>
        </w:rPr>
        <w:t xml:space="preserve"> “</w:t>
      </w:r>
      <w:r w:rsidRPr="00623799">
        <w:rPr>
          <w:lang w:val="en-GB"/>
        </w:rPr>
        <w:t>When the Child Welfare Services deem that it is in a child’s best interest to be removed from their family, a care order can be issued, and the state takes over the daily care of the child.</w:t>
      </w:r>
      <w:r w:rsidRPr="00170894">
        <w:rPr>
          <w:lang w:val="en-GB"/>
        </w:rPr>
        <w:t xml:space="preserve"> A care order can only be issued if there are serious deficiencies in the everyday care, if the child is mistreated or subjected to other serious harm such as violence, abuse or neglect at home</w:t>
      </w:r>
      <w:r>
        <w:rPr>
          <w:lang w:val="en-GB"/>
        </w:rPr>
        <w:t>.”</w:t>
      </w:r>
    </w:p>
  </w:footnote>
  <w:footnote w:id="26">
    <w:p w14:paraId="1E5358FC" w14:textId="5CB4DB1D" w:rsidR="0032123A" w:rsidRPr="005C6A10" w:rsidRDefault="0032123A" w:rsidP="0032123A">
      <w:pPr>
        <w:pStyle w:val="FootnoteText"/>
        <w:rPr>
          <w:lang w:val="en-GB"/>
        </w:rPr>
      </w:pPr>
      <w:r>
        <w:rPr>
          <w:rStyle w:val="FootnoteReference"/>
        </w:rPr>
        <w:footnoteRef/>
      </w:r>
      <w:r w:rsidRPr="005C6A10">
        <w:rPr>
          <w:lang w:val="en-GB"/>
        </w:rPr>
        <w:t xml:space="preserve"> </w:t>
      </w:r>
      <w:r w:rsidR="00D04CCD" w:rsidRPr="005C6A10">
        <w:rPr>
          <w:lang w:val="en-GB"/>
        </w:rPr>
        <w:t>Norwegian Directorate for Children, Youth, and Family Affairs</w:t>
      </w:r>
      <w:r w:rsidR="00D04CCD">
        <w:rPr>
          <w:lang w:val="en-GB"/>
        </w:rPr>
        <w:t xml:space="preserve">, </w:t>
      </w:r>
      <w:hyperlink r:id="rId15" w:history="1">
        <w:r w:rsidRPr="00FF5176">
          <w:rPr>
            <w:rStyle w:val="Hyperlink"/>
            <w:lang w:val="en-GB"/>
          </w:rPr>
          <w:t>Annual report 2023</w:t>
        </w:r>
      </w:hyperlink>
      <w:r w:rsidRPr="005C6A10">
        <w:rPr>
          <w:lang w:val="en-GB"/>
        </w:rPr>
        <w:t xml:space="preserve"> </w:t>
      </w:r>
      <w:r>
        <w:rPr>
          <w:lang w:val="en-GB"/>
        </w:rPr>
        <w:t>(in Norwegian)</w:t>
      </w:r>
      <w:r w:rsidRPr="005C6A10">
        <w:rPr>
          <w:lang w:val="en-GB"/>
        </w:rPr>
        <w:t>.</w:t>
      </w:r>
    </w:p>
  </w:footnote>
  <w:footnote w:id="27">
    <w:p w14:paraId="7D21008F" w14:textId="749B0712" w:rsidR="0032123A" w:rsidRPr="00AD6324" w:rsidRDefault="0032123A" w:rsidP="0032123A">
      <w:pPr>
        <w:pStyle w:val="FootnoteText"/>
        <w:rPr>
          <w:lang w:val="en-GB"/>
        </w:rPr>
      </w:pPr>
      <w:r>
        <w:rPr>
          <w:rStyle w:val="FootnoteReference"/>
        </w:rPr>
        <w:footnoteRef/>
      </w:r>
      <w:r w:rsidRPr="00AD6324">
        <w:rPr>
          <w:lang w:val="en-GB"/>
        </w:rPr>
        <w:t xml:space="preserve"> </w:t>
      </w:r>
      <w:hyperlink r:id="rId16" w:history="1">
        <w:r w:rsidRPr="00AD6324">
          <w:rPr>
            <w:rStyle w:val="Hyperlink1"/>
            <w:lang w:val="en-GB"/>
          </w:rPr>
          <w:t>https://utenlandsadopsjonsutvalget.no/mandat/</w:t>
        </w:r>
      </w:hyperlink>
      <w:r w:rsidRPr="00AD6324">
        <w:rPr>
          <w:lang w:val="en-GB"/>
        </w:rPr>
        <w:t xml:space="preserve"> </w:t>
      </w:r>
      <w:r w:rsidR="00AD6324" w:rsidRPr="00AD6324">
        <w:rPr>
          <w:lang w:val="en-GB"/>
        </w:rPr>
        <w:t xml:space="preserve">(in </w:t>
      </w:r>
      <w:r w:rsidR="00AD6324">
        <w:rPr>
          <w:lang w:val="en-GB"/>
        </w:rPr>
        <w:t>Norwegian).</w:t>
      </w:r>
    </w:p>
  </w:footnote>
  <w:footnote w:id="28">
    <w:p w14:paraId="5076B0E6" w14:textId="77777777" w:rsidR="00B87FE9" w:rsidRPr="00127C40" w:rsidRDefault="00B87FE9" w:rsidP="00B87FE9">
      <w:pPr>
        <w:pStyle w:val="FootnoteText"/>
      </w:pPr>
      <w:r>
        <w:rPr>
          <w:rStyle w:val="FootnoteReference"/>
        </w:rPr>
        <w:footnoteRef/>
      </w:r>
      <w:r w:rsidRPr="00127C40">
        <w:t xml:space="preserve"> Office of the Auditor General of Norway, Dok. 3:15 (2020-2021) </w:t>
      </w:r>
      <w:r w:rsidRPr="00127C40">
        <w:rPr>
          <w:i/>
          <w:iCs/>
        </w:rPr>
        <w:t>Undersøkelse av helse- og omsorgstjeneste</w:t>
      </w:r>
      <w:r>
        <w:rPr>
          <w:i/>
          <w:iCs/>
        </w:rPr>
        <w:t>r til barn med funksjonsnedsettelser</w:t>
      </w:r>
      <w:r>
        <w:t>.</w:t>
      </w:r>
    </w:p>
  </w:footnote>
  <w:footnote w:id="29">
    <w:p w14:paraId="7040DE18" w14:textId="2AE62D9C" w:rsidR="00B77DF1" w:rsidRPr="00E111F7" w:rsidRDefault="00B77DF1" w:rsidP="00B77DF1">
      <w:pPr>
        <w:pStyle w:val="FootnoteText"/>
        <w:rPr>
          <w:i/>
          <w:iCs/>
        </w:rPr>
      </w:pPr>
      <w:r>
        <w:rPr>
          <w:rStyle w:val="FootnoteReference"/>
        </w:rPr>
        <w:footnoteRef/>
      </w:r>
      <w:r w:rsidRPr="00E111F7">
        <w:t xml:space="preserve"> The Norwegian Board of Health Supervision, </w:t>
      </w:r>
      <w:r w:rsidRPr="00E111F7">
        <w:rPr>
          <w:i/>
          <w:iCs/>
        </w:rPr>
        <w:t>“Det viktigaste er at barna er trygge og har det bra”</w:t>
      </w:r>
      <w:r w:rsidR="002D665E">
        <w:rPr>
          <w:i/>
          <w:iCs/>
        </w:rPr>
        <w:t>:</w:t>
      </w:r>
      <w:r w:rsidRPr="00E111F7">
        <w:rPr>
          <w:i/>
          <w:iCs/>
        </w:rPr>
        <w:t xml:space="preserve"> Oppsummering av landsomfattande tilsyn med barne- og avlastningsbustader 2022-2023, </w:t>
      </w:r>
      <w:r w:rsidRPr="00BF6684">
        <w:t>r</w:t>
      </w:r>
      <w:r w:rsidR="00703C18">
        <w:t>ep</w:t>
      </w:r>
      <w:r w:rsidRPr="00BF6684">
        <w:t>ort 7/2024</w:t>
      </w:r>
      <w:r w:rsidR="00BF6684">
        <w:t xml:space="preserve"> (in Norwegian)</w:t>
      </w:r>
      <w:r w:rsidRPr="00E111F7">
        <w:rPr>
          <w:i/>
          <w:iCs/>
        </w:rPr>
        <w:t>.</w:t>
      </w:r>
    </w:p>
  </w:footnote>
  <w:footnote w:id="30">
    <w:p w14:paraId="761F68E7" w14:textId="5BA2F365" w:rsidR="0032123A" w:rsidRPr="00900CB8" w:rsidRDefault="0032123A" w:rsidP="0032123A">
      <w:pPr>
        <w:pStyle w:val="FootnoteText"/>
        <w:rPr>
          <w:lang w:val="en-US"/>
        </w:rPr>
      </w:pPr>
      <w:r>
        <w:rPr>
          <w:rStyle w:val="FootnoteReference"/>
        </w:rPr>
        <w:footnoteRef/>
      </w:r>
      <w:r w:rsidRPr="00C11A7F">
        <w:rPr>
          <w:lang w:val="en-US"/>
        </w:rPr>
        <w:t xml:space="preserve"> The Norwegian Human Rights Institution, </w:t>
      </w:r>
      <w:r w:rsidRPr="00084359">
        <w:rPr>
          <w:i/>
          <w:iCs/>
          <w:lang w:val="en-US"/>
        </w:rPr>
        <w:t>Drug use and human rights</w:t>
      </w:r>
      <w:r w:rsidR="00703C18">
        <w:rPr>
          <w:lang w:val="en-US"/>
        </w:rPr>
        <w:t xml:space="preserve"> (2022)</w:t>
      </w:r>
      <w:r w:rsidRPr="00C11A7F">
        <w:rPr>
          <w:lang w:val="en-US"/>
        </w:rPr>
        <w:t xml:space="preserve">. </w:t>
      </w:r>
      <w:r w:rsidRPr="00900CB8">
        <w:rPr>
          <w:lang w:val="en-US"/>
        </w:rPr>
        <w:t>An English summary of the report is available here:</w:t>
      </w:r>
      <w:r w:rsidRPr="002F1721">
        <w:rPr>
          <w:lang w:val="en-GB"/>
        </w:rPr>
        <w:t xml:space="preserve"> </w:t>
      </w:r>
      <w:hyperlink r:id="rId17" w:history="1">
        <w:r w:rsidRPr="000F6793">
          <w:rPr>
            <w:rStyle w:val="Hyperlink1"/>
            <w:lang w:val="en-US"/>
          </w:rPr>
          <w:t>https://www.nhri.no/en/2023/drug-use-and-human-rights/</w:t>
        </w:r>
      </w:hyperlink>
      <w:r>
        <w:rPr>
          <w:lang w:val="en-US"/>
        </w:rPr>
        <w:t xml:space="preserve">. </w:t>
      </w:r>
    </w:p>
  </w:footnote>
  <w:footnote w:id="31">
    <w:p w14:paraId="2E0868F8" w14:textId="77777777" w:rsidR="0032123A" w:rsidRPr="00C11A7F" w:rsidRDefault="0032123A" w:rsidP="0032123A">
      <w:pPr>
        <w:pStyle w:val="FootnoteText"/>
        <w:rPr>
          <w:lang w:val="en-US"/>
        </w:rPr>
      </w:pPr>
      <w:r>
        <w:rPr>
          <w:rStyle w:val="FootnoteReference"/>
        </w:rPr>
        <w:footnoteRef/>
      </w:r>
      <w:r w:rsidRPr="00C11A7F">
        <w:rPr>
          <w:lang w:val="en-US"/>
        </w:rPr>
        <w:t xml:space="preserve"> Dokument 3:13 (2020–2021).</w:t>
      </w:r>
    </w:p>
  </w:footnote>
  <w:footnote w:id="32">
    <w:p w14:paraId="13AFC019" w14:textId="32A3551A" w:rsidR="0032123A" w:rsidRPr="009A2615" w:rsidRDefault="0032123A" w:rsidP="0032123A">
      <w:pPr>
        <w:pStyle w:val="FootnoteText"/>
        <w:rPr>
          <w:lang w:val="en-GB"/>
        </w:rPr>
      </w:pPr>
      <w:r>
        <w:rPr>
          <w:rStyle w:val="FootnoteReference"/>
        </w:rPr>
        <w:footnoteRef/>
      </w:r>
      <w:r w:rsidRPr="00DB7BDE">
        <w:rPr>
          <w:lang w:val="en-US"/>
        </w:rPr>
        <w:t xml:space="preserve"> </w:t>
      </w:r>
      <w:r w:rsidR="009A2615" w:rsidRPr="005C6A10">
        <w:rPr>
          <w:lang w:val="en-GB"/>
        </w:rPr>
        <w:t>Norwegian Directorate for Children, Youth, and Family Affairs</w:t>
      </w:r>
      <w:r w:rsidR="009A2615">
        <w:rPr>
          <w:lang w:val="en-GB"/>
        </w:rPr>
        <w:t xml:space="preserve">, </w:t>
      </w:r>
      <w:hyperlink r:id="rId18" w:history="1">
        <w:r w:rsidR="009A2615" w:rsidRPr="00FF5176">
          <w:rPr>
            <w:rStyle w:val="Hyperlink"/>
            <w:lang w:val="en-GB"/>
          </w:rPr>
          <w:t>Annual report 2023</w:t>
        </w:r>
      </w:hyperlink>
      <w:r w:rsidR="009A2615" w:rsidRPr="005C6A10">
        <w:rPr>
          <w:lang w:val="en-GB"/>
        </w:rPr>
        <w:t xml:space="preserve"> </w:t>
      </w:r>
      <w:r w:rsidR="009A2615">
        <w:rPr>
          <w:lang w:val="en-GB"/>
        </w:rPr>
        <w:t xml:space="preserve">(in Norwegian), </w:t>
      </w:r>
      <w:r w:rsidRPr="009A2615">
        <w:rPr>
          <w:lang w:val="en-GB"/>
        </w:rPr>
        <w:t>p. 11.</w:t>
      </w:r>
    </w:p>
  </w:footnote>
  <w:footnote w:id="33">
    <w:p w14:paraId="586935EE" w14:textId="42E92CAA" w:rsidR="0032123A" w:rsidRPr="00C834BC" w:rsidRDefault="0032123A" w:rsidP="0032123A">
      <w:pPr>
        <w:pStyle w:val="FootnoteText"/>
        <w:rPr>
          <w:lang w:val="en-GB"/>
        </w:rPr>
      </w:pPr>
      <w:r>
        <w:rPr>
          <w:rStyle w:val="FootnoteReference"/>
        </w:rPr>
        <w:footnoteRef/>
      </w:r>
      <w:r w:rsidRPr="00C834BC">
        <w:rPr>
          <w:lang w:val="en-GB"/>
        </w:rPr>
        <w:t xml:space="preserve"> </w:t>
      </w:r>
      <w:r w:rsidR="00C834BC" w:rsidRPr="00C834BC">
        <w:rPr>
          <w:lang w:val="en-GB"/>
        </w:rPr>
        <w:t xml:space="preserve">The Office of the Auditor General, </w:t>
      </w:r>
      <w:r w:rsidRPr="00C834BC">
        <w:rPr>
          <w:lang w:val="en-GB"/>
        </w:rPr>
        <w:t xml:space="preserve">Dokument 3:7 (2019–2020), p. 45 and The Ombudsperson for </w:t>
      </w:r>
      <w:r w:rsidR="009A2615">
        <w:rPr>
          <w:lang w:val="en-GB"/>
        </w:rPr>
        <w:t>C</w:t>
      </w:r>
      <w:r w:rsidRPr="00C834BC">
        <w:rPr>
          <w:lang w:val="en-GB"/>
        </w:rPr>
        <w:t xml:space="preserve">hildren, </w:t>
      </w:r>
      <w:r w:rsidRPr="00C834BC">
        <w:rPr>
          <w:i/>
          <w:lang w:val="en-GB"/>
        </w:rPr>
        <w:t>De tror vi er shitkids</w:t>
      </w:r>
      <w:r w:rsidRPr="00C834BC">
        <w:rPr>
          <w:lang w:val="en-GB"/>
        </w:rPr>
        <w:t xml:space="preserve"> </w:t>
      </w:r>
      <w:r w:rsidR="00703C18">
        <w:rPr>
          <w:lang w:val="en-GB"/>
        </w:rPr>
        <w:t>(</w:t>
      </w:r>
      <w:r w:rsidRPr="00C834BC">
        <w:rPr>
          <w:lang w:val="en-GB"/>
        </w:rPr>
        <w:t>2020</w:t>
      </w:r>
      <w:r w:rsidR="00703C18">
        <w:rPr>
          <w:lang w:val="en-GB"/>
        </w:rPr>
        <w:t>)</w:t>
      </w:r>
      <w:r w:rsidRPr="00C834BC">
        <w:rPr>
          <w:lang w:val="en-GB"/>
        </w:rPr>
        <w:t>, p. 25–27</w:t>
      </w:r>
      <w:r w:rsidR="0037156F">
        <w:rPr>
          <w:lang w:val="en-GB"/>
        </w:rPr>
        <w:t>.</w:t>
      </w:r>
    </w:p>
  </w:footnote>
  <w:footnote w:id="34">
    <w:p w14:paraId="5746C3CD" w14:textId="77777777" w:rsidR="0032123A" w:rsidRPr="00FF5176" w:rsidRDefault="0032123A" w:rsidP="0032123A">
      <w:pPr>
        <w:pStyle w:val="FootnoteText"/>
        <w:rPr>
          <w:lang w:val="en-GB"/>
        </w:rPr>
      </w:pPr>
      <w:r>
        <w:rPr>
          <w:rStyle w:val="FootnoteReference"/>
        </w:rPr>
        <w:footnoteRef/>
      </w:r>
      <w:r w:rsidRPr="00FF5176">
        <w:rPr>
          <w:lang w:val="en-GB"/>
        </w:rPr>
        <w:t xml:space="preserve"> NOU 2023: 24.</w:t>
      </w:r>
    </w:p>
  </w:footnote>
  <w:footnote w:id="35">
    <w:p w14:paraId="6459AA8B" w14:textId="77777777" w:rsidR="001A1CD0" w:rsidRPr="00090BE3" w:rsidRDefault="001A1CD0" w:rsidP="001A1CD0">
      <w:pPr>
        <w:pStyle w:val="FootnoteText"/>
        <w:rPr>
          <w:lang w:val="en-GB"/>
        </w:rPr>
      </w:pPr>
      <w:r>
        <w:rPr>
          <w:rStyle w:val="FootnoteReference"/>
        </w:rPr>
        <w:footnoteRef/>
      </w:r>
      <w:r w:rsidRPr="00090BE3">
        <w:rPr>
          <w:lang w:val="en-GB"/>
        </w:rPr>
        <w:t xml:space="preserve"> </w:t>
      </w:r>
      <w:r>
        <w:rPr>
          <w:lang w:val="en-GB"/>
        </w:rPr>
        <w:t>NOU 2019: 26 p. 320 and The Norwegian Directorate of Health’s hearing statement to the report p. 21.</w:t>
      </w:r>
    </w:p>
  </w:footnote>
  <w:footnote w:id="36">
    <w:p w14:paraId="50D26F3B" w14:textId="687B7D13" w:rsidR="0032123A" w:rsidRPr="00FA29E5" w:rsidRDefault="0032123A" w:rsidP="0032123A">
      <w:pPr>
        <w:pStyle w:val="FootnoteText"/>
        <w:rPr>
          <w:lang w:val="en-US"/>
        </w:rPr>
      </w:pPr>
      <w:r>
        <w:rPr>
          <w:rStyle w:val="FootnoteReference"/>
        </w:rPr>
        <w:footnoteRef/>
      </w:r>
      <w:r w:rsidRPr="00FA29E5">
        <w:rPr>
          <w:lang w:val="en-US"/>
        </w:rPr>
        <w:t xml:space="preserve"> See </w:t>
      </w:r>
      <w:hyperlink r:id="rId19" w:history="1">
        <w:r w:rsidRPr="002E382A">
          <w:rPr>
            <w:rStyle w:val="Hyperlink1"/>
            <w:lang w:val="en-US"/>
          </w:rPr>
          <w:t>https://miljostatus.miljodirektoratet.no/tema/klima/</w:t>
        </w:r>
      </w:hyperlink>
      <w:r w:rsidR="002D665E">
        <w:rPr>
          <w:lang w:val="en-US"/>
        </w:rPr>
        <w:t xml:space="preserve"> (in Norwegian).</w:t>
      </w:r>
      <w:r>
        <w:rPr>
          <w:lang w:val="en-US"/>
        </w:rPr>
        <w:t xml:space="preserve">  </w:t>
      </w:r>
    </w:p>
  </w:footnote>
  <w:footnote w:id="37">
    <w:p w14:paraId="65B213AE" w14:textId="1FC864C6" w:rsidR="001A059D" w:rsidRPr="009B25A8" w:rsidRDefault="001A059D">
      <w:pPr>
        <w:pStyle w:val="FootnoteText"/>
        <w:rPr>
          <w:lang w:val="en-GB"/>
        </w:rPr>
      </w:pPr>
      <w:r>
        <w:rPr>
          <w:rStyle w:val="FootnoteReference"/>
        </w:rPr>
        <w:footnoteRef/>
      </w:r>
      <w:r w:rsidRPr="009B25A8">
        <w:rPr>
          <w:lang w:val="en-GB"/>
        </w:rPr>
        <w:t xml:space="preserve"> </w:t>
      </w:r>
      <w:r w:rsidR="00451688" w:rsidRPr="009B25A8">
        <w:rPr>
          <w:lang w:val="en-GB"/>
        </w:rPr>
        <w:t>With the adopted policies in the 2023 National Budget, the government could document expected territorial emissions reductions of approximately 24% compared to 1990 by 2030, se</w:t>
      </w:r>
      <w:r w:rsidR="00451688">
        <w:rPr>
          <w:lang w:val="en-GB"/>
        </w:rPr>
        <w:t xml:space="preserve">e </w:t>
      </w:r>
      <w:r w:rsidR="004365C0" w:rsidRPr="009B25A8">
        <w:rPr>
          <w:rFonts w:eastAsia="Calibri" w:cs="Arial"/>
          <w:i/>
          <w:iCs/>
          <w:lang w:val="en-GB"/>
        </w:rPr>
        <w:t xml:space="preserve">Government’s second status report and </w:t>
      </w:r>
      <w:r w:rsidR="004365C0">
        <w:rPr>
          <w:rFonts w:eastAsia="Calibri" w:cs="Arial"/>
          <w:i/>
          <w:iCs/>
          <w:lang w:val="en-GB"/>
        </w:rPr>
        <w:t xml:space="preserve">plan, </w:t>
      </w:r>
      <w:r w:rsidR="00052E5B">
        <w:rPr>
          <w:lang w:val="en-GB"/>
        </w:rPr>
        <w:t>pp</w:t>
      </w:r>
      <w:r w:rsidR="008A5211" w:rsidRPr="009B25A8">
        <w:rPr>
          <w:lang w:val="en-GB"/>
        </w:rPr>
        <w:t xml:space="preserve">. 97 </w:t>
      </w:r>
      <w:r w:rsidR="00052E5B">
        <w:rPr>
          <w:lang w:val="en-GB"/>
        </w:rPr>
        <w:t>and</w:t>
      </w:r>
      <w:r w:rsidR="008A5211" w:rsidRPr="009B25A8">
        <w:rPr>
          <w:lang w:val="en-GB"/>
        </w:rPr>
        <w:t xml:space="preserve"> 106</w:t>
      </w:r>
      <w:r w:rsidR="00052E5B">
        <w:rPr>
          <w:lang w:val="en-GB"/>
        </w:rPr>
        <w:t xml:space="preserve">, </w:t>
      </w:r>
      <w:hyperlink r:id="rId20" w:history="1">
        <w:r w:rsidR="00052E5B" w:rsidRPr="00D8329D">
          <w:rPr>
            <w:rStyle w:val="Hyperlink"/>
            <w:lang w:val="en-GB"/>
          </w:rPr>
          <w:t>https://www.regjeringen.no/contentassets/28965e11d8044ceb94d0f958b8a45869/nn-no/pdfs/regjeringas_klimastatus_og_-plan.pdf</w:t>
        </w:r>
      </w:hyperlink>
      <w:r w:rsidR="005605E8">
        <w:rPr>
          <w:lang w:val="en-GB"/>
        </w:rPr>
        <w:t xml:space="preserve"> (in Norwegian).</w:t>
      </w:r>
    </w:p>
  </w:footnote>
  <w:footnote w:id="38">
    <w:p w14:paraId="34020985" w14:textId="5065501A" w:rsidR="0032123A" w:rsidRPr="00C37A9A" w:rsidRDefault="0032123A" w:rsidP="0032123A">
      <w:pPr>
        <w:pStyle w:val="FootnoteText"/>
      </w:pPr>
      <w:r>
        <w:rPr>
          <w:rStyle w:val="FootnoteReference"/>
        </w:rPr>
        <w:footnoteRef/>
      </w:r>
      <w:r w:rsidRPr="00C37A9A">
        <w:t xml:space="preserve"> </w:t>
      </w:r>
      <w:r w:rsidRPr="00C37A9A">
        <w:rPr>
          <w:i/>
          <w:iCs/>
        </w:rPr>
        <w:t>Klimautvalget 2050: Omstilling til lavutslipp – Veivalg for klimapolitikken mot 2050</w:t>
      </w:r>
      <w:r>
        <w:rPr>
          <w:i/>
          <w:iCs/>
        </w:rPr>
        <w:t xml:space="preserve"> </w:t>
      </w:r>
      <w:r>
        <w:t xml:space="preserve">p. 211 avaliable here: </w:t>
      </w:r>
      <w:hyperlink r:id="rId21" w:history="1">
        <w:r w:rsidRPr="002E382A">
          <w:rPr>
            <w:rStyle w:val="Hyperlink1"/>
          </w:rPr>
          <w:t>https://files.nettsteder.regjeringen.no/wpuploads01/sites/479/2023/10/Klimautvalget-2050.pdf</w:t>
        </w:r>
      </w:hyperlink>
      <w:r>
        <w:t xml:space="preserve"> </w:t>
      </w:r>
      <w:r w:rsidR="005605E8">
        <w:t>(in Norwegian).</w:t>
      </w:r>
    </w:p>
  </w:footnote>
  <w:footnote w:id="39">
    <w:p w14:paraId="4D33FA0C" w14:textId="4FACE088" w:rsidR="0032123A" w:rsidRPr="001531D1" w:rsidRDefault="0032123A" w:rsidP="0032123A">
      <w:pPr>
        <w:pStyle w:val="FootnoteText"/>
        <w:rPr>
          <w:lang w:val="en-US"/>
        </w:rPr>
      </w:pPr>
      <w:r>
        <w:rPr>
          <w:rStyle w:val="FootnoteReference"/>
        </w:rPr>
        <w:footnoteRef/>
      </w:r>
      <w:r w:rsidRPr="001531D1">
        <w:rPr>
          <w:lang w:val="en-US"/>
        </w:rPr>
        <w:t xml:space="preserve"> Norwegian Church Aid, </w:t>
      </w:r>
      <w:r w:rsidRPr="00EA1E9D">
        <w:rPr>
          <w:i/>
          <w:iCs/>
          <w:lang w:val="en-US"/>
        </w:rPr>
        <w:t>From Fossil Subsidies</w:t>
      </w:r>
      <w:r>
        <w:rPr>
          <w:i/>
          <w:iCs/>
          <w:lang w:val="en-US"/>
        </w:rPr>
        <w:t xml:space="preserve"> t</w:t>
      </w:r>
      <w:r w:rsidRPr="00EA1E9D">
        <w:rPr>
          <w:i/>
          <w:iCs/>
          <w:lang w:val="en-US"/>
        </w:rPr>
        <w:t>o International Climate Finance</w:t>
      </w:r>
      <w:r>
        <w:rPr>
          <w:i/>
          <w:iCs/>
          <w:lang w:val="en-US"/>
        </w:rPr>
        <w:t xml:space="preserve">: </w:t>
      </w:r>
      <w:r w:rsidRPr="00EA1E9D">
        <w:rPr>
          <w:i/>
          <w:iCs/>
          <w:lang w:val="en-US"/>
        </w:rPr>
        <w:t xml:space="preserve"> An investigation into the fossil subsidies of the Norwegian oil tax package</w:t>
      </w:r>
      <w:r w:rsidRPr="001531D1">
        <w:rPr>
          <w:lang w:val="en-US"/>
        </w:rPr>
        <w:t xml:space="preserve"> Report 2024/10</w:t>
      </w:r>
      <w:r>
        <w:rPr>
          <w:lang w:val="en-US"/>
        </w:rPr>
        <w:t xml:space="preserve">, </w:t>
      </w:r>
      <w:r w:rsidRPr="001531D1">
        <w:rPr>
          <w:lang w:val="en-US"/>
        </w:rPr>
        <w:t xml:space="preserve">April 10th, 2024 </w:t>
      </w:r>
      <w:r>
        <w:rPr>
          <w:lang w:val="en-US"/>
        </w:rPr>
        <w:t xml:space="preserve">by </w:t>
      </w:r>
      <w:r w:rsidRPr="001531D1">
        <w:rPr>
          <w:lang w:val="en-US"/>
        </w:rPr>
        <w:t>Vista Analyse AS</w:t>
      </w:r>
      <w:r>
        <w:rPr>
          <w:lang w:val="en-US"/>
        </w:rPr>
        <w:t>, available here</w:t>
      </w:r>
      <w:r w:rsidR="001246AF">
        <w:rPr>
          <w:lang w:val="en-US"/>
        </w:rPr>
        <w:t xml:space="preserve"> (in Norwegian)</w:t>
      </w:r>
      <w:r>
        <w:rPr>
          <w:lang w:val="en-US"/>
        </w:rPr>
        <w:t xml:space="preserve">: </w:t>
      </w:r>
      <w:hyperlink r:id="rId22" w:history="1">
        <w:r w:rsidRPr="002E382A">
          <w:rPr>
            <w:rStyle w:val="Hyperlink1"/>
            <w:lang w:val="en-US"/>
          </w:rPr>
          <w:t>https://www.kirkensnodhjelp.no/contentassets/21e39d1b5cb5415493bf81e284f76235/2024-klimafinansiering-vista-rapport-final-digitalt-2.pdf</w:t>
        </w:r>
      </w:hyperlink>
      <w:r>
        <w:rPr>
          <w:lang w:val="en-US"/>
        </w:rPr>
        <w:t xml:space="preserve"> </w:t>
      </w:r>
    </w:p>
  </w:footnote>
  <w:footnote w:id="40">
    <w:p w14:paraId="7D5FE887" w14:textId="363182FF" w:rsidR="00670450" w:rsidRPr="00113B80" w:rsidRDefault="00670450">
      <w:pPr>
        <w:pStyle w:val="FootnoteText"/>
        <w:rPr>
          <w:lang w:val="en-US"/>
        </w:rPr>
      </w:pPr>
      <w:r>
        <w:rPr>
          <w:rStyle w:val="FootnoteReference"/>
        </w:rPr>
        <w:footnoteRef/>
      </w:r>
      <w:r w:rsidRPr="00113B80">
        <w:rPr>
          <w:lang w:val="en-US"/>
        </w:rPr>
        <w:t xml:space="preserve"> </w:t>
      </w:r>
      <w:r w:rsidR="00703A21" w:rsidRPr="00113B80">
        <w:rPr>
          <w:lang w:val="en-US"/>
        </w:rPr>
        <w:t>Normann</w:t>
      </w:r>
      <w:r w:rsidR="002A7C81" w:rsidRPr="00113B80">
        <w:rPr>
          <w:lang w:val="en-US"/>
        </w:rPr>
        <w:t>, "Færre barn lever i familier</w:t>
      </w:r>
      <w:r w:rsidR="00C83184" w:rsidRPr="00113B80">
        <w:rPr>
          <w:lang w:val="en-US"/>
        </w:rPr>
        <w:t xml:space="preserve"> med </w:t>
      </w:r>
      <w:r w:rsidR="002A7C81" w:rsidRPr="00113B80">
        <w:rPr>
          <w:lang w:val="en-US"/>
        </w:rPr>
        <w:t>lavinntekt"</w:t>
      </w:r>
      <w:r w:rsidR="00EE1532" w:rsidRPr="00113B80">
        <w:rPr>
          <w:lang w:val="en-US"/>
        </w:rPr>
        <w:t>, Statistisk sentralbyrå</w:t>
      </w:r>
      <w:r w:rsidR="00F82C56" w:rsidRPr="00113B80">
        <w:rPr>
          <w:lang w:val="en-US"/>
        </w:rPr>
        <w:t>, 18.01.2024 (in Norwegian)</w:t>
      </w:r>
      <w:r w:rsidR="00DE03DA" w:rsidRPr="00113B80">
        <w:rPr>
          <w:lang w:val="en-US"/>
        </w:rPr>
        <w:t xml:space="preserve">, </w:t>
      </w:r>
      <w:hyperlink r:id="rId23" w:history="1">
        <w:r w:rsidR="00745216" w:rsidRPr="00113B80">
          <w:rPr>
            <w:rStyle w:val="Hyperlink"/>
            <w:lang w:val="en-US"/>
          </w:rPr>
          <w:t>https://www.ssb.no/inntekt-og-forbruk/inntekt-og-formue/artikler/faerre-barn-lever-i-familier-med-lavinntekt</w:t>
        </w:r>
      </w:hyperlink>
      <w:r w:rsidR="00745216" w:rsidRPr="00113B80">
        <w:rPr>
          <w:lang w:val="en-US"/>
        </w:rPr>
        <w:t>.</w:t>
      </w:r>
    </w:p>
  </w:footnote>
  <w:footnote w:id="41">
    <w:p w14:paraId="5E0C8A2E" w14:textId="091B2630" w:rsidR="0032123A" w:rsidRPr="001C6EA5" w:rsidRDefault="0032123A" w:rsidP="0032123A">
      <w:pPr>
        <w:pStyle w:val="FootnoteText"/>
        <w:rPr>
          <w:lang w:val="en-US"/>
        </w:rPr>
      </w:pPr>
      <w:r>
        <w:rPr>
          <w:rStyle w:val="FootnoteReference"/>
        </w:rPr>
        <w:footnoteRef/>
      </w:r>
      <w:r w:rsidRPr="001C6EA5">
        <w:rPr>
          <w:lang w:val="en-US"/>
        </w:rPr>
        <w:t xml:space="preserve"> See </w:t>
      </w:r>
      <w:hyperlink r:id="rId24" w:history="1">
        <w:r w:rsidR="00656D19" w:rsidRPr="004263F1">
          <w:rPr>
            <w:rStyle w:val="Hyperlink"/>
            <w:lang w:val="en-US"/>
          </w:rPr>
          <w:t>https://www.regjeringen.no/no/dokumenter/en-ny-barndom-for-livet/id3000835/</w:t>
        </w:r>
      </w:hyperlink>
      <w:r w:rsidR="003B5A3B">
        <w:rPr>
          <w:lang w:val="en-US"/>
        </w:rPr>
        <w:t xml:space="preserve"> (in Norway).</w:t>
      </w:r>
    </w:p>
  </w:footnote>
  <w:footnote w:id="42">
    <w:p w14:paraId="221DEF2A" w14:textId="1E8325E5" w:rsidR="0032123A" w:rsidRPr="00761EB8" w:rsidRDefault="0032123A" w:rsidP="0032123A">
      <w:pPr>
        <w:pStyle w:val="FootnoteText"/>
        <w:rPr>
          <w:lang w:val="en-US"/>
        </w:rPr>
      </w:pPr>
      <w:r>
        <w:rPr>
          <w:rStyle w:val="FootnoteReference"/>
        </w:rPr>
        <w:footnoteRef/>
      </w:r>
      <w:r w:rsidRPr="00761EB8">
        <w:rPr>
          <w:lang w:val="en-US"/>
        </w:rPr>
        <w:t xml:space="preserve"> </w:t>
      </w:r>
      <w:r w:rsidRPr="00A929F3">
        <w:rPr>
          <w:lang w:val="en"/>
        </w:rPr>
        <w:t xml:space="preserve">Committee on the Rights of </w:t>
      </w:r>
      <w:r>
        <w:rPr>
          <w:lang w:val="en"/>
        </w:rPr>
        <w:t>the Child</w:t>
      </w:r>
      <w:r w:rsidRPr="00A929F3">
        <w:rPr>
          <w:lang w:val="en"/>
        </w:rPr>
        <w:t xml:space="preserve">, </w:t>
      </w:r>
      <w:r w:rsidRPr="00A929F3">
        <w:rPr>
          <w:i/>
          <w:lang w:val="en"/>
        </w:rPr>
        <w:t>Concluding observations on Norway</w:t>
      </w:r>
      <w:r w:rsidRPr="00A929F3">
        <w:rPr>
          <w:lang w:val="en"/>
        </w:rPr>
        <w:t xml:space="preserve">, UN Doc. </w:t>
      </w:r>
      <w:r>
        <w:rPr>
          <w:lang w:val="en"/>
        </w:rPr>
        <w:t>CRC</w:t>
      </w:r>
      <w:r w:rsidRPr="00A929F3">
        <w:rPr>
          <w:lang w:val="en"/>
        </w:rPr>
        <w:t>/C/NOR/CO/</w:t>
      </w:r>
      <w:r>
        <w:rPr>
          <w:lang w:val="en"/>
        </w:rPr>
        <w:t>5-6</w:t>
      </w:r>
      <w:r w:rsidRPr="00A929F3">
        <w:rPr>
          <w:lang w:val="en"/>
        </w:rPr>
        <w:t xml:space="preserve">, </w:t>
      </w:r>
      <w:r>
        <w:rPr>
          <w:lang w:val="en"/>
        </w:rPr>
        <w:t>4</w:t>
      </w:r>
      <w:r w:rsidRPr="00A929F3">
        <w:rPr>
          <w:lang w:val="en"/>
        </w:rPr>
        <w:t xml:space="preserve"> </w:t>
      </w:r>
      <w:r>
        <w:rPr>
          <w:lang w:val="en"/>
        </w:rPr>
        <w:t>July</w:t>
      </w:r>
      <w:r w:rsidRPr="00A929F3">
        <w:rPr>
          <w:lang w:val="en"/>
        </w:rPr>
        <w:t xml:space="preserve"> 201</w:t>
      </w:r>
      <w:r>
        <w:rPr>
          <w:lang w:val="en"/>
        </w:rPr>
        <w:t>8</w:t>
      </w:r>
      <w:r w:rsidRPr="00A929F3">
        <w:rPr>
          <w:lang w:val="en"/>
        </w:rPr>
        <w:t xml:space="preserve">, </w:t>
      </w:r>
      <w:r>
        <w:rPr>
          <w:lang w:val="en"/>
        </w:rPr>
        <w:t xml:space="preserve">para. </w:t>
      </w:r>
      <w:r w:rsidR="00A93A9D">
        <w:rPr>
          <w:lang w:val="en"/>
        </w:rPr>
        <w:t>3</w:t>
      </w:r>
      <w:r>
        <w:rPr>
          <w:lang w:val="en"/>
        </w:rPr>
        <w:t>1(g) and 32(g)</w:t>
      </w:r>
      <w:r w:rsidR="00BE1C7A">
        <w:rPr>
          <w:lang w:val="en"/>
        </w:rPr>
        <w:t>;</w:t>
      </w:r>
      <w:r w:rsidR="002E4A86">
        <w:rPr>
          <w:lang w:val="en"/>
        </w:rPr>
        <w:t xml:space="preserve"> </w:t>
      </w:r>
      <w:r w:rsidR="002E4A86" w:rsidRPr="002E4A86">
        <w:rPr>
          <w:lang w:val="en"/>
        </w:rPr>
        <w:t>Human Rights Committee</w:t>
      </w:r>
      <w:r w:rsidR="00EF7094">
        <w:rPr>
          <w:lang w:val="en"/>
        </w:rPr>
        <w:t xml:space="preserve">, </w:t>
      </w:r>
      <w:r w:rsidR="002E4A86" w:rsidRPr="00EF7094">
        <w:rPr>
          <w:i/>
          <w:iCs/>
          <w:lang w:val="en"/>
        </w:rPr>
        <w:t>Concluding observations on the seventh periodic report of Norway</w:t>
      </w:r>
      <w:r w:rsidR="00A343C3">
        <w:rPr>
          <w:lang w:val="en"/>
        </w:rPr>
        <w:t xml:space="preserve">, </w:t>
      </w:r>
      <w:r w:rsidR="004C3565">
        <w:rPr>
          <w:lang w:val="en"/>
        </w:rPr>
        <w:t xml:space="preserve">25. </w:t>
      </w:r>
      <w:r w:rsidR="000E629D">
        <w:rPr>
          <w:lang w:val="en"/>
        </w:rPr>
        <w:t>April</w:t>
      </w:r>
      <w:r w:rsidR="00AE33AA">
        <w:rPr>
          <w:lang w:val="en"/>
        </w:rPr>
        <w:t>, UN Doc.</w:t>
      </w:r>
      <w:r w:rsidR="002E4A86">
        <w:rPr>
          <w:lang w:val="en"/>
        </w:rPr>
        <w:t xml:space="preserve"> </w:t>
      </w:r>
      <w:r w:rsidR="003F1A06" w:rsidRPr="003F1A06">
        <w:rPr>
          <w:lang w:val="en"/>
        </w:rPr>
        <w:t xml:space="preserve">CCPR/C/NOR/CO/7, </w:t>
      </w:r>
      <w:r w:rsidR="003F1A06">
        <w:rPr>
          <w:lang w:val="en"/>
        </w:rPr>
        <w:t xml:space="preserve">para. </w:t>
      </w:r>
      <w:r w:rsidR="003F1A06" w:rsidRPr="003F1A06">
        <w:rPr>
          <w:lang w:val="en"/>
        </w:rPr>
        <w:t>31</w:t>
      </w:r>
      <w:r w:rsidR="007D5156">
        <w:rPr>
          <w:lang w:val="en"/>
        </w:rPr>
        <w:t xml:space="preserve">; </w:t>
      </w:r>
      <w:r w:rsidR="00E86312" w:rsidRPr="00E86312">
        <w:rPr>
          <w:lang w:val="en"/>
        </w:rPr>
        <w:t>Committee on Economic, Social and Cultural Rights</w:t>
      </w:r>
      <w:r w:rsidR="00B73A51">
        <w:rPr>
          <w:lang w:val="en"/>
        </w:rPr>
        <w:t>,</w:t>
      </w:r>
      <w:r w:rsidR="00E86312">
        <w:rPr>
          <w:lang w:val="en"/>
        </w:rPr>
        <w:t xml:space="preserve"> </w:t>
      </w:r>
      <w:r w:rsidR="00AA57DF" w:rsidRPr="00EF7094">
        <w:rPr>
          <w:i/>
          <w:iCs/>
          <w:lang w:val="en"/>
        </w:rPr>
        <w:t>Concluding observations on the sixth periodic report of Norway</w:t>
      </w:r>
      <w:r w:rsidR="00E57083">
        <w:rPr>
          <w:lang w:val="en"/>
        </w:rPr>
        <w:t xml:space="preserve">, </w:t>
      </w:r>
      <w:r w:rsidR="00FE7642" w:rsidRPr="00B30B0B">
        <w:rPr>
          <w:lang w:val="en"/>
        </w:rPr>
        <w:t>02 April 2020</w:t>
      </w:r>
      <w:r w:rsidR="00FE7642">
        <w:rPr>
          <w:lang w:val="en"/>
        </w:rPr>
        <w:t xml:space="preserve"> </w:t>
      </w:r>
      <w:r w:rsidR="00E57083">
        <w:rPr>
          <w:lang w:val="en"/>
        </w:rPr>
        <w:t xml:space="preserve">UN Doc. </w:t>
      </w:r>
      <w:r w:rsidR="00164587" w:rsidRPr="00164587">
        <w:rPr>
          <w:lang w:val="en"/>
        </w:rPr>
        <w:t>E/C.12/NOR/CO/6</w:t>
      </w:r>
      <w:r w:rsidR="00B30B0B">
        <w:rPr>
          <w:lang w:val="en"/>
        </w:rPr>
        <w:t>,</w:t>
      </w:r>
      <w:r w:rsidR="00FE7642">
        <w:rPr>
          <w:lang w:val="en"/>
        </w:rPr>
        <w:t xml:space="preserve"> </w:t>
      </w:r>
      <w:r w:rsidR="008532BF">
        <w:rPr>
          <w:lang w:val="en"/>
        </w:rPr>
        <w:t>para. 29.</w:t>
      </w:r>
      <w:r w:rsidR="00B30B0B">
        <w:rPr>
          <w:lang w:val="en"/>
        </w:rPr>
        <w:t xml:space="preserve"> </w:t>
      </w:r>
    </w:p>
  </w:footnote>
  <w:footnote w:id="43">
    <w:p w14:paraId="0AB4EB19" w14:textId="3DCD16CA" w:rsidR="00AF4E15" w:rsidRPr="00AF4E15" w:rsidRDefault="00AF4E15">
      <w:pPr>
        <w:pStyle w:val="FootnoteText"/>
        <w:rPr>
          <w:lang w:val="en-US"/>
        </w:rPr>
      </w:pPr>
      <w:r>
        <w:rPr>
          <w:rStyle w:val="FootnoteReference"/>
        </w:rPr>
        <w:footnoteRef/>
      </w:r>
      <w:r w:rsidRPr="00AF4E15">
        <w:rPr>
          <w:lang w:val="en-US"/>
        </w:rPr>
        <w:t xml:space="preserve"> </w:t>
      </w:r>
      <w:r w:rsidR="00061F95">
        <w:rPr>
          <w:lang w:val="en-US"/>
        </w:rPr>
        <w:t>State party report</w:t>
      </w:r>
      <w:r w:rsidR="00DA101F">
        <w:rPr>
          <w:lang w:val="en-US"/>
        </w:rPr>
        <w:t xml:space="preserve"> para. </w:t>
      </w:r>
      <w:r w:rsidR="00C93CA6">
        <w:rPr>
          <w:lang w:val="en-US"/>
        </w:rPr>
        <w:t xml:space="preserve">235. </w:t>
      </w:r>
    </w:p>
  </w:footnote>
  <w:footnote w:id="44">
    <w:p w14:paraId="7C2E0827" w14:textId="35163EDA" w:rsidR="00521533" w:rsidRPr="00BA2B45" w:rsidRDefault="00521533">
      <w:pPr>
        <w:pStyle w:val="FootnoteText"/>
        <w:rPr>
          <w:lang w:val="en-US"/>
        </w:rPr>
      </w:pPr>
      <w:r>
        <w:rPr>
          <w:rStyle w:val="FootnoteReference"/>
        </w:rPr>
        <w:footnoteRef/>
      </w:r>
      <w:r w:rsidRPr="00BA2B45">
        <w:rPr>
          <w:lang w:val="en-US"/>
        </w:rPr>
        <w:t xml:space="preserve"> </w:t>
      </w:r>
      <w:r>
        <w:rPr>
          <w:lang w:val="en-US"/>
        </w:rPr>
        <w:t xml:space="preserve">As of </w:t>
      </w:r>
      <w:r w:rsidR="009074A7">
        <w:rPr>
          <w:lang w:val="en-US"/>
        </w:rPr>
        <w:t>November 2024.</w:t>
      </w:r>
    </w:p>
  </w:footnote>
  <w:footnote w:id="45">
    <w:p w14:paraId="274D1B0A" w14:textId="72B0F60E" w:rsidR="00A92265" w:rsidRPr="00673290" w:rsidRDefault="00A92265" w:rsidP="00A92265">
      <w:pPr>
        <w:pStyle w:val="FootnoteText"/>
        <w:rPr>
          <w:lang w:val="en-GB"/>
        </w:rPr>
      </w:pPr>
      <w:r>
        <w:rPr>
          <w:rStyle w:val="FootnoteReference"/>
        </w:rPr>
        <w:footnoteRef/>
      </w:r>
      <w:r w:rsidRPr="00673290">
        <w:rPr>
          <w:lang w:val="en-GB"/>
        </w:rPr>
        <w:t xml:space="preserve"> </w:t>
      </w:r>
      <w:hyperlink r:id="rId25" w:history="1">
        <w:r w:rsidRPr="00673290">
          <w:rPr>
            <w:rStyle w:val="Hyperlink1"/>
            <w:lang w:val="en-GB"/>
          </w:rPr>
          <w:t>https://www.helsetilsynet.no/publikasjoner/brev-og-horingsuttalelser-fra-statens-helsetilsyn/2023/dimensjonering-av-tilsyn-med-enslige-mindrearige-asylsokere-i-mottak--ressursbehov/</w:t>
        </w:r>
      </w:hyperlink>
      <w:r w:rsidRPr="00673290">
        <w:rPr>
          <w:lang w:val="en-GB"/>
        </w:rPr>
        <w:t xml:space="preserve"> </w:t>
      </w:r>
      <w:r w:rsidR="00673290" w:rsidRPr="00673290">
        <w:rPr>
          <w:lang w:val="en-GB"/>
        </w:rPr>
        <w:t>(in</w:t>
      </w:r>
      <w:r w:rsidR="00673290">
        <w:rPr>
          <w:lang w:val="en-GB"/>
        </w:rPr>
        <w:t xml:space="preserve"> Norwegian).</w:t>
      </w:r>
    </w:p>
  </w:footnote>
  <w:footnote w:id="46">
    <w:p w14:paraId="77E79D42" w14:textId="13AD8BB2" w:rsidR="0032123A" w:rsidRPr="00F61ADD" w:rsidRDefault="0032123A" w:rsidP="0032123A">
      <w:pPr>
        <w:pStyle w:val="FootnoteText"/>
        <w:rPr>
          <w:lang w:val="en-US"/>
        </w:rPr>
      </w:pPr>
      <w:r>
        <w:rPr>
          <w:rStyle w:val="FootnoteReference"/>
        </w:rPr>
        <w:footnoteRef/>
      </w:r>
      <w:r w:rsidRPr="00F61ADD">
        <w:rPr>
          <w:lang w:val="en-US"/>
        </w:rPr>
        <w:t xml:space="preserve"> </w:t>
      </w:r>
      <w:hyperlink r:id="rId26" w:anchor="toc-header-3" w:history="1">
        <w:r w:rsidRPr="00F61ADD">
          <w:rPr>
            <w:rStyle w:val="Hyperlink1"/>
            <w:lang w:val="en-US"/>
          </w:rPr>
          <w:t>https://www.helsetilsynet.no/publikasjoner/tilsynsmeldingen/2024/enslige-mindreaarige-asylsoekere-faar-ikke-den-omsorgen-de-har-krav-paa-viser-tilsyn/#toc-header-3</w:t>
        </w:r>
      </w:hyperlink>
      <w:r w:rsidRPr="00F61ADD">
        <w:rPr>
          <w:lang w:val="en-US"/>
        </w:rPr>
        <w:t xml:space="preserve"> </w:t>
      </w:r>
      <w:r w:rsidR="00673290">
        <w:rPr>
          <w:lang w:val="en-US"/>
        </w:rPr>
        <w:t>(in Norwegian).</w:t>
      </w:r>
    </w:p>
  </w:footnote>
  <w:footnote w:id="47">
    <w:p w14:paraId="71333933" w14:textId="019110E2" w:rsidR="00EC765D" w:rsidRPr="0072727A" w:rsidRDefault="00EC765D">
      <w:pPr>
        <w:pStyle w:val="FootnoteText"/>
        <w:rPr>
          <w:lang w:val="en-US"/>
        </w:rPr>
      </w:pPr>
      <w:r>
        <w:rPr>
          <w:rStyle w:val="FootnoteReference"/>
        </w:rPr>
        <w:footnoteRef/>
      </w:r>
      <w:r w:rsidRPr="0072727A">
        <w:rPr>
          <w:lang w:val="en-US"/>
        </w:rPr>
        <w:t xml:space="preserve"> </w:t>
      </w:r>
      <w:hyperlink r:id="rId27" w:history="1">
        <w:r w:rsidR="0072727A" w:rsidRPr="008B610D">
          <w:rPr>
            <w:rStyle w:val="Hyperlink"/>
            <w:lang w:val="en-US"/>
          </w:rPr>
          <w:t>https://www.helsetilsynet.no/publikasjoner/tilsynsmeldingen/2024/enslige-mindreaarige-asylsoekere-faar-ikke-den-omsorgen-de-har-krav-paa-viser-tilsyn/</w:t>
        </w:r>
      </w:hyperlink>
      <w:r w:rsidR="0072727A">
        <w:rPr>
          <w:lang w:val="en-US"/>
        </w:rPr>
        <w:t xml:space="preserve"> </w:t>
      </w:r>
      <w:r w:rsidR="00673290">
        <w:rPr>
          <w:lang w:val="en-US"/>
        </w:rPr>
        <w:t>(in Norwegian).</w:t>
      </w:r>
    </w:p>
  </w:footnote>
  <w:footnote w:id="48">
    <w:p w14:paraId="322619C9" w14:textId="05563E08" w:rsidR="00B177AE" w:rsidRPr="00456355" w:rsidRDefault="00B177AE" w:rsidP="00B177AE">
      <w:pPr>
        <w:pStyle w:val="FootnoteText"/>
        <w:rPr>
          <w:lang w:val="en-GB"/>
        </w:rPr>
      </w:pPr>
      <w:r>
        <w:rPr>
          <w:rStyle w:val="FootnoteReference"/>
        </w:rPr>
        <w:footnoteRef/>
      </w:r>
      <w:r w:rsidRPr="00597FE2">
        <w:rPr>
          <w:lang w:val="en-GB"/>
        </w:rPr>
        <w:t xml:space="preserve"> </w:t>
      </w:r>
      <w:r w:rsidR="00A16879" w:rsidRPr="00983135">
        <w:rPr>
          <w:lang w:val="en-US"/>
        </w:rPr>
        <w:t>The Norwegian Broadcasting Corporation (NRK), in collaboration with the Centre for Investigative Journalism (SUJO), obtained data from UDI on unaccompanied minors who disappeared from care or reception centers between 2015 and 2020</w:t>
      </w:r>
      <w:r w:rsidR="00456355">
        <w:rPr>
          <w:lang w:val="en-US"/>
        </w:rPr>
        <w:t>. Available in Norwegian here:</w:t>
      </w:r>
      <w:r w:rsidR="00A16879" w:rsidRPr="00983135">
        <w:rPr>
          <w:lang w:val="en-US"/>
        </w:rPr>
        <w:t xml:space="preserve"> </w:t>
      </w:r>
      <w:hyperlink r:id="rId28" w:history="1">
        <w:r w:rsidR="00A16879" w:rsidRPr="00456355">
          <w:rPr>
            <w:rStyle w:val="Hyperlink"/>
            <w:lang w:val="en-GB"/>
          </w:rPr>
          <w:t>https://www.nrk.no/vestland/432-barn-og-ungdommer-har-forsvunnet-fra-norske-asylmottak.-politiet-leter-sjelden-etter-asylsokerne-1.16184402</w:t>
        </w:r>
      </w:hyperlink>
    </w:p>
  </w:footnote>
  <w:footnote w:id="49">
    <w:p w14:paraId="5070BF4A" w14:textId="77777777" w:rsidR="00715E1F" w:rsidRPr="001D61DC" w:rsidRDefault="00715E1F" w:rsidP="00715E1F">
      <w:pPr>
        <w:pStyle w:val="FootnoteText"/>
        <w:rPr>
          <w:lang w:val="en-GB"/>
        </w:rPr>
      </w:pPr>
      <w:r>
        <w:rPr>
          <w:rStyle w:val="FootnoteReference"/>
        </w:rPr>
        <w:footnoteRef/>
      </w:r>
      <w:r w:rsidRPr="00D738B1">
        <w:rPr>
          <w:lang w:val="en-US"/>
        </w:rPr>
        <w:t xml:space="preserve"> CCPR/C/NOR/CO/7, para. 31, CAT/C/NOR/CO/8, para. 26, CRC/C/NOR/CO/5-6, para. </w:t>
      </w:r>
      <w:r w:rsidRPr="001D61DC">
        <w:rPr>
          <w:lang w:val="en-GB"/>
        </w:rPr>
        <w:t>32.</w:t>
      </w:r>
    </w:p>
  </w:footnote>
  <w:footnote w:id="50">
    <w:p w14:paraId="58ACABDA" w14:textId="444A7CAF" w:rsidR="00E20898" w:rsidRPr="00A61FC2" w:rsidRDefault="00E20898">
      <w:pPr>
        <w:pStyle w:val="FootnoteText"/>
        <w:rPr>
          <w:lang w:val="en-GB"/>
        </w:rPr>
      </w:pPr>
      <w:r>
        <w:rPr>
          <w:rStyle w:val="FootnoteReference"/>
        </w:rPr>
        <w:footnoteRef/>
      </w:r>
      <w:r w:rsidRPr="00A61FC2">
        <w:rPr>
          <w:lang w:val="en-GB"/>
        </w:rPr>
        <w:t xml:space="preserve"> </w:t>
      </w:r>
      <w:r w:rsidR="00AC1C25" w:rsidRPr="00A61FC2">
        <w:rPr>
          <w:lang w:val="en-GB"/>
        </w:rPr>
        <w:t>See State Party report, p</w:t>
      </w:r>
      <w:r w:rsidR="00AC1C25">
        <w:rPr>
          <w:lang w:val="en-GB"/>
        </w:rPr>
        <w:t xml:space="preserve">ara. </w:t>
      </w:r>
      <w:r w:rsidR="00656909">
        <w:rPr>
          <w:lang w:val="en-GB"/>
        </w:rPr>
        <w:t>23</w:t>
      </w:r>
      <w:r w:rsidR="00F27E54">
        <w:rPr>
          <w:lang w:val="en-GB"/>
        </w:rPr>
        <w:t>6.</w:t>
      </w:r>
    </w:p>
  </w:footnote>
  <w:footnote w:id="51">
    <w:p w14:paraId="678F2161" w14:textId="5B92BD0B" w:rsidR="00B3635B" w:rsidRPr="006D22B0" w:rsidRDefault="00B3635B">
      <w:pPr>
        <w:pStyle w:val="FootnoteText"/>
        <w:rPr>
          <w:lang w:val="en-US"/>
        </w:rPr>
      </w:pPr>
      <w:r>
        <w:rPr>
          <w:rStyle w:val="FootnoteReference"/>
        </w:rPr>
        <w:footnoteRef/>
      </w:r>
      <w:r w:rsidRPr="006D22B0">
        <w:rPr>
          <w:lang w:val="en-US"/>
        </w:rPr>
        <w:t xml:space="preserve"> </w:t>
      </w:r>
      <w:r w:rsidR="009F4EF8">
        <w:rPr>
          <w:lang w:val="en-US"/>
        </w:rPr>
        <w:t>CED State Party report, para. 136.</w:t>
      </w:r>
    </w:p>
  </w:footnote>
  <w:footnote w:id="52">
    <w:p w14:paraId="1848CCD1" w14:textId="429CE48C" w:rsidR="005D4997" w:rsidRPr="00AB6AE8" w:rsidRDefault="005D4997">
      <w:pPr>
        <w:pStyle w:val="FootnoteText"/>
        <w:rPr>
          <w:lang w:val="en-GB"/>
        </w:rPr>
      </w:pPr>
      <w:r>
        <w:rPr>
          <w:rStyle w:val="FootnoteReference"/>
        </w:rPr>
        <w:footnoteRef/>
      </w:r>
      <w:r w:rsidRPr="00AB6AE8">
        <w:rPr>
          <w:lang w:val="en-GB"/>
        </w:rPr>
        <w:t xml:space="preserve"> </w:t>
      </w:r>
      <w:hyperlink r:id="rId29" w:history="1">
        <w:r w:rsidRPr="00AB6AE8">
          <w:rPr>
            <w:rStyle w:val="Hyperlink"/>
            <w:lang w:val="en-GB"/>
          </w:rPr>
          <w:t>https://www.regjeringen.no/no/dokumenter/horing-forslag-om-endring-i-straffegjennomforingsloven-og-helse-og-omsorgstjenesteloven-fellesskap-utelukkelse-og-tvangsmidler-i-fengsel/id2961862/</w:t>
        </w:r>
      </w:hyperlink>
      <w:r w:rsidR="00AB6AE8" w:rsidRPr="00AB6AE8">
        <w:rPr>
          <w:lang w:val="en-GB"/>
        </w:rPr>
        <w:t xml:space="preserve"> (in</w:t>
      </w:r>
      <w:r w:rsidR="00AB6AE8">
        <w:rPr>
          <w:lang w:val="en-GB"/>
        </w:rPr>
        <w:t xml:space="preserve"> Norwegian)</w:t>
      </w:r>
    </w:p>
  </w:footnote>
  <w:footnote w:id="53">
    <w:p w14:paraId="4284833A" w14:textId="77777777" w:rsidR="0032123A" w:rsidRPr="00A91D2B" w:rsidRDefault="0032123A" w:rsidP="0032123A">
      <w:pPr>
        <w:pStyle w:val="FootnoteText"/>
        <w:rPr>
          <w:lang w:val="en-GB"/>
        </w:rPr>
      </w:pPr>
      <w:r>
        <w:rPr>
          <w:rStyle w:val="FootnoteReference"/>
        </w:rPr>
        <w:footnoteRef/>
      </w:r>
      <w:r w:rsidRPr="00A91D2B">
        <w:rPr>
          <w:lang w:val="en-GB"/>
        </w:rPr>
        <w:t xml:space="preserve"> </w:t>
      </w:r>
      <w:r w:rsidRPr="00A929F3">
        <w:rPr>
          <w:lang w:val="en"/>
        </w:rPr>
        <w:t xml:space="preserve">Committee on the Rights of the Child, </w:t>
      </w:r>
      <w:r w:rsidRPr="00A929F3">
        <w:rPr>
          <w:i/>
          <w:iCs/>
          <w:lang w:val="en"/>
        </w:rPr>
        <w:t>Concluding observations on Norway</w:t>
      </w:r>
      <w:r w:rsidRPr="00A929F3">
        <w:rPr>
          <w:lang w:val="en"/>
        </w:rPr>
        <w:t xml:space="preserve">, UN Doc. CRC/C/NOR/CO/5-6, 4 July 2018, </w:t>
      </w:r>
      <w:r>
        <w:rPr>
          <w:lang w:val="en"/>
        </w:rPr>
        <w:t>para.</w:t>
      </w:r>
      <w:r w:rsidRPr="00A929F3">
        <w:rPr>
          <w:lang w:val="en"/>
        </w:rPr>
        <w:t xml:space="preserve"> </w:t>
      </w:r>
      <w:r>
        <w:rPr>
          <w:lang w:val="en"/>
        </w:rPr>
        <w:t>35(a).</w:t>
      </w:r>
    </w:p>
  </w:footnote>
  <w:footnote w:id="54">
    <w:p w14:paraId="13DD23FB" w14:textId="4C9176F7" w:rsidR="00284261" w:rsidRPr="00284261" w:rsidRDefault="00284261">
      <w:pPr>
        <w:pStyle w:val="FootnoteText"/>
        <w:rPr>
          <w:lang w:val="en-US"/>
        </w:rPr>
      </w:pPr>
      <w:r>
        <w:rPr>
          <w:rStyle w:val="FootnoteReference"/>
        </w:rPr>
        <w:footnoteRef/>
      </w:r>
      <w:r w:rsidRPr="00284261">
        <w:rPr>
          <w:lang w:val="en-US"/>
        </w:rPr>
        <w:t xml:space="preserve"> </w:t>
      </w:r>
      <w:r w:rsidR="00CF4909">
        <w:rPr>
          <w:lang w:val="en-US"/>
        </w:rPr>
        <w:t xml:space="preserve">The </w:t>
      </w:r>
      <w:r w:rsidR="00B17C44">
        <w:rPr>
          <w:lang w:val="en-US"/>
        </w:rPr>
        <w:t>Ombudsperson for Children</w:t>
      </w:r>
      <w:r w:rsidR="00661CA2">
        <w:rPr>
          <w:lang w:val="en-US"/>
        </w:rPr>
        <w:t>,</w:t>
      </w:r>
      <w:r w:rsidR="00B17C44">
        <w:rPr>
          <w:lang w:val="en-US"/>
        </w:rPr>
        <w:t xml:space="preserve"> </w:t>
      </w:r>
      <w:r w:rsidR="00C2410F">
        <w:rPr>
          <w:lang w:val="en-US"/>
        </w:rPr>
        <w:t xml:space="preserve">Letter </w:t>
      </w:r>
      <w:r w:rsidR="00226863">
        <w:rPr>
          <w:lang w:val="en-US"/>
        </w:rPr>
        <w:t>4</w:t>
      </w:r>
      <w:r w:rsidR="00B17C44">
        <w:rPr>
          <w:lang w:val="en-US"/>
        </w:rPr>
        <w:t xml:space="preserve"> </w:t>
      </w:r>
      <w:r w:rsidR="00226863">
        <w:rPr>
          <w:lang w:val="en-US"/>
        </w:rPr>
        <w:t xml:space="preserve">June 2021 </w:t>
      </w:r>
      <w:r w:rsidR="00661CA2">
        <w:rPr>
          <w:lang w:val="en-US"/>
        </w:rPr>
        <w:t>(</w:t>
      </w:r>
      <w:r w:rsidR="00226863">
        <w:rPr>
          <w:lang w:val="en-US"/>
        </w:rPr>
        <w:t xml:space="preserve">reference </w:t>
      </w:r>
      <w:r w:rsidR="00226863" w:rsidRPr="00226863">
        <w:rPr>
          <w:lang w:val="en-US"/>
        </w:rPr>
        <w:t>19/00139-33</w:t>
      </w:r>
      <w:r w:rsidR="00226863">
        <w:rPr>
          <w:lang w:val="en-US"/>
        </w:rPr>
        <w:t>)</w:t>
      </w:r>
      <w:r w:rsidR="00252DDB">
        <w:rPr>
          <w:lang w:val="en-US"/>
        </w:rPr>
        <w:t>. Available her</w:t>
      </w:r>
      <w:r w:rsidR="00CF7F90">
        <w:rPr>
          <w:lang w:val="en-US"/>
        </w:rPr>
        <w:t>e</w:t>
      </w:r>
      <w:r w:rsidR="00A27A38">
        <w:rPr>
          <w:lang w:val="en-US"/>
        </w:rPr>
        <w:t xml:space="preserve">: </w:t>
      </w:r>
      <w:hyperlink r:id="rId30" w:history="1">
        <w:r w:rsidR="00A27A38" w:rsidRPr="001A0493">
          <w:rPr>
            <w:rStyle w:val="Hyperlink"/>
            <w:lang w:val="en-US"/>
          </w:rPr>
          <w:t>https://www.barneombudet.no/uploads/documents/Barneombudet-mener/Innspill-til-myndighetene/2021/Funn-etter-gjennomgang-av-saker-der-barn-er-fengslet-i-perioden-2016-2019.pdf</w:t>
        </w:r>
      </w:hyperlink>
      <w:r w:rsidR="00661CA2">
        <w:rPr>
          <w:lang w:val="en-US"/>
        </w:rPr>
        <w:t xml:space="preserve"> (in Norwegian</w:t>
      </w:r>
      <w:r w:rsidR="00CF4909">
        <w:rPr>
          <w:lang w:val="en-US"/>
        </w:rPr>
        <w:t>)</w:t>
      </w:r>
      <w:r w:rsidR="00A27A38">
        <w:rPr>
          <w:lang w:val="en-US"/>
        </w:rPr>
        <w:t>.</w:t>
      </w:r>
    </w:p>
  </w:footnote>
  <w:footnote w:id="55">
    <w:p w14:paraId="31398239" w14:textId="6C12FA6E" w:rsidR="0048360D" w:rsidRPr="00071C56" w:rsidRDefault="0048360D" w:rsidP="0048360D">
      <w:pPr>
        <w:pStyle w:val="FootnoteText"/>
        <w:rPr>
          <w:lang w:val="en-US"/>
        </w:rPr>
      </w:pPr>
      <w:r>
        <w:rPr>
          <w:rStyle w:val="FootnoteReference"/>
        </w:rPr>
        <w:footnoteRef/>
      </w:r>
      <w:r w:rsidRPr="00071C56">
        <w:rPr>
          <w:lang w:val="en-US"/>
        </w:rPr>
        <w:t xml:space="preserve"> </w:t>
      </w:r>
      <w:r w:rsidRPr="0013716A">
        <w:rPr>
          <w:lang w:val="en-US"/>
        </w:rPr>
        <w:t>Letter from the Ministry of Justice and Public Security to The Ombudsperson for Children, 14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55DB" w14:textId="77777777" w:rsidR="00886557" w:rsidRDefault="00000000" w:rsidP="0020133B">
    <w:pPr>
      <w:pStyle w:val="Header"/>
    </w:pPr>
    <w:r>
      <w:rPr>
        <w:noProof/>
        <w:lang w:eastAsia="en-GB"/>
      </w:rPr>
      <w:pict w14:anchorId="19338D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453pt;height:640.65pt;z-index:-251658240;mso-wrap-edited:f;mso-position-horizontal:center;mso-position-horizontal-relative:margin;mso-position-vertical:center;mso-position-vertical-relative:margin" o:allowincell="f">
          <v:imagedata r:id="rId1" o:title="NIM-brevmal" gain="19661f" blacklevel="22938f"/>
          <w10:wrap anchorx="margin" anchory="margin"/>
        </v:shape>
      </w:pict>
    </w:r>
  </w:p>
  <w:p w14:paraId="4CAC7A57" w14:textId="77777777" w:rsidR="00C059D7" w:rsidRDefault="00C059D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6EF6" w14:textId="4CF4F065" w:rsidR="009856E2" w:rsidRDefault="0032123A" w:rsidP="0020133B">
    <w:pPr>
      <w:pStyle w:val="Header"/>
    </w:pPr>
    <w:r>
      <w:rPr>
        <w:noProof/>
      </w:rPr>
      <w:drawing>
        <wp:anchor distT="0" distB="0" distL="114300" distR="114300" simplePos="0" relativeHeight="251657216" behindDoc="0" locked="0" layoutInCell="1" allowOverlap="1" wp14:anchorId="62E67C4C" wp14:editId="0B72B8DB">
          <wp:simplePos x="0" y="0"/>
          <wp:positionH relativeFrom="column">
            <wp:posOffset>-861490</wp:posOffset>
          </wp:positionH>
          <wp:positionV relativeFrom="paragraph">
            <wp:posOffset>241935</wp:posOffset>
          </wp:positionV>
          <wp:extent cx="2385695" cy="470535"/>
          <wp:effectExtent l="0" t="0" r="0" b="5715"/>
          <wp:wrapSquare wrapText="bothSides"/>
          <wp:docPr id="1049897208" name="Grafik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k 4"/>
                  <pic:cNvPicPr/>
                </pic:nvPicPr>
                <pic:blipFill>
                  <a:blip r:embed="rId1">
                    <a:extLst>
                      <a:ext uri="{96DAC541-7B7A-43D3-8B79-37D633B846F1}">
                        <asvg:svgBlip xmlns:asvg="http://schemas.microsoft.com/office/drawing/2016/SVG/main" r:embed="rId2"/>
                      </a:ext>
                    </a:extLst>
                  </a:blip>
                  <a:stretch>
                    <a:fillRect/>
                  </a:stretch>
                </pic:blipFill>
                <pic:spPr>
                  <a:xfrm>
                    <a:off x="0" y="0"/>
                    <a:ext cx="2385695" cy="4705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80044F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3CA526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0C6DC7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B700183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25E0A3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0456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9D672D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1C07F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2AEA07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38BD9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526E73"/>
    <w:multiLevelType w:val="hybridMultilevel"/>
    <w:tmpl w:val="956020C6"/>
    <w:lvl w:ilvl="0" w:tplc="449A26CA">
      <w:numFmt w:val="bullet"/>
      <w:lvlText w:val="-"/>
      <w:lvlJc w:val="left"/>
      <w:pPr>
        <w:ind w:left="720" w:hanging="360"/>
      </w:pPr>
      <w:rPr>
        <w:rFonts w:ascii="Aptos" w:eastAsiaTheme="minorHAnsi" w:hAnsi="Apto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01D56441"/>
    <w:multiLevelType w:val="multilevel"/>
    <w:tmpl w:val="A7BA03E4"/>
    <w:styleLink w:val="Gjeldendelist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0EF559E"/>
    <w:multiLevelType w:val="hybridMultilevel"/>
    <w:tmpl w:val="B4F80ECE"/>
    <w:lvl w:ilvl="0" w:tplc="6D4461BE">
      <w:numFmt w:val="bullet"/>
      <w:lvlText w:val="-"/>
      <w:lvlJc w:val="left"/>
      <w:pPr>
        <w:ind w:left="720" w:hanging="360"/>
      </w:pPr>
      <w:rPr>
        <w:rFonts w:ascii="Aptos" w:eastAsiaTheme="minorHAnsi" w:hAnsi="Apto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132107E0"/>
    <w:multiLevelType w:val="multilevel"/>
    <w:tmpl w:val="081A45E8"/>
    <w:lvl w:ilvl="0">
      <w:start w:val="1"/>
      <w:numFmt w:val="decimal"/>
      <w:pStyle w:val="Heading1"/>
      <w:lvlText w:val="%1."/>
      <w:lvlJc w:val="left"/>
      <w:pPr>
        <w:ind w:left="511" w:hanging="227"/>
      </w:pPr>
      <w:rPr>
        <w:rFonts w:hint="default"/>
      </w:rPr>
    </w:lvl>
    <w:lvl w:ilvl="1">
      <w:start w:val="1"/>
      <w:numFmt w:val="decimal"/>
      <w:pStyle w:val="Heading2"/>
      <w:lvlText w:val="%1.%2"/>
      <w:lvlJc w:val="left"/>
      <w:pPr>
        <w:ind w:left="792" w:hanging="792"/>
      </w:pPr>
      <w:rPr>
        <w:rFonts w:hint="default"/>
      </w:rPr>
    </w:lvl>
    <w:lvl w:ilvl="2">
      <w:start w:val="1"/>
      <w:numFmt w:val="decimal"/>
      <w:pStyle w:val="Heading3"/>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458175C"/>
    <w:multiLevelType w:val="hybridMultilevel"/>
    <w:tmpl w:val="B4444A68"/>
    <w:lvl w:ilvl="0" w:tplc="40E2A2A0">
      <w:numFmt w:val="bullet"/>
      <w:lvlText w:val="-"/>
      <w:lvlJc w:val="left"/>
      <w:pPr>
        <w:ind w:left="720" w:hanging="360"/>
      </w:pPr>
      <w:rPr>
        <w:rFonts w:ascii="Aptos" w:eastAsiaTheme="minorHAnsi" w:hAnsi="Apto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1AF37FDE"/>
    <w:multiLevelType w:val="hybridMultilevel"/>
    <w:tmpl w:val="5CF825E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1BA41683"/>
    <w:multiLevelType w:val="hybridMultilevel"/>
    <w:tmpl w:val="B41E8378"/>
    <w:lvl w:ilvl="0" w:tplc="FB826D8A">
      <w:numFmt w:val="bullet"/>
      <w:lvlText w:val="-"/>
      <w:lvlJc w:val="left"/>
      <w:pPr>
        <w:ind w:left="720" w:hanging="360"/>
      </w:pPr>
      <w:rPr>
        <w:rFonts w:ascii="Aptos" w:eastAsia="Aptos" w:hAnsi="Aptos" w:cs="Apto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1CE6541E"/>
    <w:multiLevelType w:val="hybridMultilevel"/>
    <w:tmpl w:val="C340E306"/>
    <w:lvl w:ilvl="0" w:tplc="C8A291B8">
      <w:numFmt w:val="bullet"/>
      <w:lvlText w:val="-"/>
      <w:lvlJc w:val="left"/>
      <w:pPr>
        <w:ind w:left="720" w:hanging="360"/>
      </w:pPr>
      <w:rPr>
        <w:rFonts w:ascii="Aptos" w:eastAsia="Aptos" w:hAnsi="Aptos" w:cs="Apto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F763CA4"/>
    <w:multiLevelType w:val="multilevel"/>
    <w:tmpl w:val="53C2C7A4"/>
    <w:lvl w:ilvl="0">
      <w:start w:val="1"/>
      <w:numFmt w:val="decimal"/>
      <w:lvlText w:val="%1."/>
      <w:lvlJc w:val="left"/>
      <w:pPr>
        <w:ind w:left="227" w:hanging="227"/>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12E15E4"/>
    <w:multiLevelType w:val="hybridMultilevel"/>
    <w:tmpl w:val="0F8CB1C4"/>
    <w:lvl w:ilvl="0" w:tplc="04140001">
      <w:start w:val="1"/>
      <w:numFmt w:val="bullet"/>
      <w:lvlText w:val=""/>
      <w:lvlJc w:val="left"/>
      <w:pPr>
        <w:ind w:left="121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23" w15:restartNumberingAfterBreak="0">
    <w:nsid w:val="273134DE"/>
    <w:multiLevelType w:val="multilevel"/>
    <w:tmpl w:val="4B5EC222"/>
    <w:lvl w:ilvl="0">
      <w:start w:val="1"/>
      <w:numFmt w:val="decimal"/>
      <w:lvlText w:val="%1."/>
      <w:lvlJc w:val="left"/>
      <w:pPr>
        <w:ind w:left="227" w:hanging="227"/>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50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13D27D7"/>
    <w:multiLevelType w:val="hybridMultilevel"/>
    <w:tmpl w:val="4EA8EFDC"/>
    <w:lvl w:ilvl="0" w:tplc="E248AA56">
      <w:numFmt w:val="bullet"/>
      <w:lvlText w:val="-"/>
      <w:lvlJc w:val="left"/>
      <w:pPr>
        <w:ind w:left="720" w:hanging="360"/>
      </w:pPr>
      <w:rPr>
        <w:rFonts w:ascii="Aptos" w:eastAsiaTheme="minorHAnsi" w:hAnsi="Apto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31AA13B2"/>
    <w:multiLevelType w:val="multilevel"/>
    <w:tmpl w:val="ADFE8904"/>
    <w:styleLink w:val="Gjeldendeliste2"/>
    <w:lvl w:ilvl="0">
      <w:start w:val="1"/>
      <w:numFmt w:val="decimal"/>
      <w:lvlText w:val="%1."/>
      <w:lvlJc w:val="left"/>
      <w:pPr>
        <w:ind w:left="227" w:hanging="227"/>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6854010"/>
    <w:multiLevelType w:val="hybridMultilevel"/>
    <w:tmpl w:val="BB7C02BC"/>
    <w:lvl w:ilvl="0" w:tplc="6D4461BE">
      <w:numFmt w:val="bullet"/>
      <w:lvlText w:val="-"/>
      <w:lvlJc w:val="left"/>
      <w:pPr>
        <w:ind w:left="720" w:hanging="360"/>
      </w:pPr>
      <w:rPr>
        <w:rFonts w:ascii="Aptos" w:eastAsiaTheme="minorHAnsi" w:hAnsi="Apto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A8406F3"/>
    <w:multiLevelType w:val="hybridMultilevel"/>
    <w:tmpl w:val="00680712"/>
    <w:lvl w:ilvl="0" w:tplc="257206B8">
      <w:numFmt w:val="bullet"/>
      <w:lvlText w:val="-"/>
      <w:lvlJc w:val="left"/>
      <w:pPr>
        <w:ind w:left="720" w:hanging="360"/>
      </w:pPr>
      <w:rPr>
        <w:rFonts w:ascii="Aptos" w:eastAsia="Aptos" w:hAnsi="Aptos" w:cs="Apto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45D83A8E"/>
    <w:multiLevelType w:val="hybridMultilevel"/>
    <w:tmpl w:val="6910EDF0"/>
    <w:lvl w:ilvl="0" w:tplc="0428EFCA">
      <w:start w:val="1"/>
      <w:numFmt w:val="bullet"/>
      <w:lvlText w:val="-"/>
      <w:lvlJc w:val="left"/>
      <w:pPr>
        <w:ind w:left="720" w:hanging="360"/>
      </w:pPr>
      <w:rPr>
        <w:rFonts w:ascii="Calibri" w:eastAsia="Calibr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1" w15:restartNumberingAfterBreak="0">
    <w:nsid w:val="4655625F"/>
    <w:multiLevelType w:val="hybridMultilevel"/>
    <w:tmpl w:val="8E8CFA4E"/>
    <w:lvl w:ilvl="0" w:tplc="D2F49154">
      <w:start w:val="1"/>
      <w:numFmt w:val="decimal"/>
      <w:lvlText w:val="%1."/>
      <w:lvlJc w:val="left"/>
      <w:pPr>
        <w:ind w:left="927"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2"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4AAE375C"/>
    <w:multiLevelType w:val="hybridMultilevel"/>
    <w:tmpl w:val="7EFCF370"/>
    <w:lvl w:ilvl="0" w:tplc="18B66F30">
      <w:start w:val="1"/>
      <w:numFmt w:val="bullet"/>
      <w:lvlText w:val=""/>
      <w:lvlJc w:val="left"/>
      <w:pPr>
        <w:ind w:left="699" w:hanging="360"/>
      </w:pPr>
      <w:rPr>
        <w:rFonts w:ascii="Symbol" w:hAnsi="Symbol" w:hint="default"/>
      </w:rPr>
    </w:lvl>
    <w:lvl w:ilvl="1" w:tplc="FFFFFFFF" w:tentative="1">
      <w:start w:val="1"/>
      <w:numFmt w:val="lowerLetter"/>
      <w:lvlText w:val="%2."/>
      <w:lvlJc w:val="left"/>
      <w:pPr>
        <w:ind w:left="1419" w:hanging="360"/>
      </w:pPr>
    </w:lvl>
    <w:lvl w:ilvl="2" w:tplc="FFFFFFFF" w:tentative="1">
      <w:start w:val="1"/>
      <w:numFmt w:val="lowerRoman"/>
      <w:lvlText w:val="%3."/>
      <w:lvlJc w:val="right"/>
      <w:pPr>
        <w:ind w:left="2139" w:hanging="180"/>
      </w:pPr>
    </w:lvl>
    <w:lvl w:ilvl="3" w:tplc="FFFFFFFF" w:tentative="1">
      <w:start w:val="1"/>
      <w:numFmt w:val="decimal"/>
      <w:lvlText w:val="%4."/>
      <w:lvlJc w:val="left"/>
      <w:pPr>
        <w:ind w:left="2859" w:hanging="360"/>
      </w:pPr>
    </w:lvl>
    <w:lvl w:ilvl="4" w:tplc="FFFFFFFF" w:tentative="1">
      <w:start w:val="1"/>
      <w:numFmt w:val="lowerLetter"/>
      <w:lvlText w:val="%5."/>
      <w:lvlJc w:val="left"/>
      <w:pPr>
        <w:ind w:left="3579" w:hanging="360"/>
      </w:pPr>
    </w:lvl>
    <w:lvl w:ilvl="5" w:tplc="FFFFFFFF" w:tentative="1">
      <w:start w:val="1"/>
      <w:numFmt w:val="lowerRoman"/>
      <w:lvlText w:val="%6."/>
      <w:lvlJc w:val="right"/>
      <w:pPr>
        <w:ind w:left="4299" w:hanging="180"/>
      </w:pPr>
    </w:lvl>
    <w:lvl w:ilvl="6" w:tplc="FFFFFFFF" w:tentative="1">
      <w:start w:val="1"/>
      <w:numFmt w:val="decimal"/>
      <w:lvlText w:val="%7."/>
      <w:lvlJc w:val="left"/>
      <w:pPr>
        <w:ind w:left="5019" w:hanging="360"/>
      </w:pPr>
    </w:lvl>
    <w:lvl w:ilvl="7" w:tplc="FFFFFFFF" w:tentative="1">
      <w:start w:val="1"/>
      <w:numFmt w:val="lowerLetter"/>
      <w:lvlText w:val="%8."/>
      <w:lvlJc w:val="left"/>
      <w:pPr>
        <w:ind w:left="5739" w:hanging="360"/>
      </w:pPr>
    </w:lvl>
    <w:lvl w:ilvl="8" w:tplc="FFFFFFFF" w:tentative="1">
      <w:start w:val="1"/>
      <w:numFmt w:val="lowerRoman"/>
      <w:lvlText w:val="%9."/>
      <w:lvlJc w:val="right"/>
      <w:pPr>
        <w:ind w:left="6459" w:hanging="180"/>
      </w:pPr>
    </w:lvl>
  </w:abstractNum>
  <w:abstractNum w:abstractNumId="34" w15:restartNumberingAfterBreak="0">
    <w:nsid w:val="560668CD"/>
    <w:multiLevelType w:val="hybridMultilevel"/>
    <w:tmpl w:val="3C528842"/>
    <w:lvl w:ilvl="0" w:tplc="E8048EC2">
      <w:start w:val="1"/>
      <w:numFmt w:val="decimal"/>
      <w:pStyle w:val="ListParagraph"/>
      <w:lvlText w:val="%1."/>
      <w:lvlJc w:val="left"/>
      <w:pPr>
        <w:ind w:left="1279" w:hanging="360"/>
      </w:pPr>
    </w:lvl>
    <w:lvl w:ilvl="1" w:tplc="04140019" w:tentative="1">
      <w:start w:val="1"/>
      <w:numFmt w:val="lowerLetter"/>
      <w:lvlText w:val="%2."/>
      <w:lvlJc w:val="left"/>
      <w:pPr>
        <w:ind w:left="1999" w:hanging="360"/>
      </w:pPr>
    </w:lvl>
    <w:lvl w:ilvl="2" w:tplc="0414001B" w:tentative="1">
      <w:start w:val="1"/>
      <w:numFmt w:val="lowerRoman"/>
      <w:lvlText w:val="%3."/>
      <w:lvlJc w:val="right"/>
      <w:pPr>
        <w:ind w:left="2719" w:hanging="180"/>
      </w:pPr>
    </w:lvl>
    <w:lvl w:ilvl="3" w:tplc="0414000F" w:tentative="1">
      <w:start w:val="1"/>
      <w:numFmt w:val="decimal"/>
      <w:lvlText w:val="%4."/>
      <w:lvlJc w:val="left"/>
      <w:pPr>
        <w:ind w:left="3439" w:hanging="360"/>
      </w:pPr>
    </w:lvl>
    <w:lvl w:ilvl="4" w:tplc="04140019" w:tentative="1">
      <w:start w:val="1"/>
      <w:numFmt w:val="lowerLetter"/>
      <w:lvlText w:val="%5."/>
      <w:lvlJc w:val="left"/>
      <w:pPr>
        <w:ind w:left="4159" w:hanging="360"/>
      </w:pPr>
    </w:lvl>
    <w:lvl w:ilvl="5" w:tplc="0414001B" w:tentative="1">
      <w:start w:val="1"/>
      <w:numFmt w:val="lowerRoman"/>
      <w:lvlText w:val="%6."/>
      <w:lvlJc w:val="right"/>
      <w:pPr>
        <w:ind w:left="4879" w:hanging="180"/>
      </w:pPr>
    </w:lvl>
    <w:lvl w:ilvl="6" w:tplc="0414000F" w:tentative="1">
      <w:start w:val="1"/>
      <w:numFmt w:val="decimal"/>
      <w:lvlText w:val="%7."/>
      <w:lvlJc w:val="left"/>
      <w:pPr>
        <w:ind w:left="5599" w:hanging="360"/>
      </w:pPr>
    </w:lvl>
    <w:lvl w:ilvl="7" w:tplc="04140019" w:tentative="1">
      <w:start w:val="1"/>
      <w:numFmt w:val="lowerLetter"/>
      <w:lvlText w:val="%8."/>
      <w:lvlJc w:val="left"/>
      <w:pPr>
        <w:ind w:left="6319" w:hanging="360"/>
      </w:pPr>
    </w:lvl>
    <w:lvl w:ilvl="8" w:tplc="0414001B" w:tentative="1">
      <w:start w:val="1"/>
      <w:numFmt w:val="lowerRoman"/>
      <w:lvlText w:val="%9."/>
      <w:lvlJc w:val="right"/>
      <w:pPr>
        <w:ind w:left="7039" w:hanging="180"/>
      </w:pPr>
    </w:lvl>
  </w:abstractNum>
  <w:abstractNum w:abstractNumId="35" w15:restartNumberingAfterBreak="0">
    <w:nsid w:val="56AA7736"/>
    <w:multiLevelType w:val="hybridMultilevel"/>
    <w:tmpl w:val="85767190"/>
    <w:lvl w:ilvl="0" w:tplc="40E2A2A0">
      <w:numFmt w:val="bullet"/>
      <w:lvlText w:val="-"/>
      <w:lvlJc w:val="left"/>
      <w:pPr>
        <w:ind w:left="720" w:hanging="360"/>
      </w:pPr>
      <w:rPr>
        <w:rFonts w:ascii="Aptos" w:eastAsiaTheme="minorHAnsi" w:hAnsi="Apto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37267EC"/>
    <w:multiLevelType w:val="multilevel"/>
    <w:tmpl w:val="3370B4B4"/>
    <w:styleLink w:val="Gjeldendeliste1"/>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3B72930"/>
    <w:multiLevelType w:val="multilevel"/>
    <w:tmpl w:val="04140023"/>
    <w:styleLink w:val="ArticleSection"/>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15:restartNumberingAfterBreak="0">
    <w:nsid w:val="65955714"/>
    <w:multiLevelType w:val="hybridMultilevel"/>
    <w:tmpl w:val="75B29A92"/>
    <w:lvl w:ilvl="0" w:tplc="1CAC5CB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534F1D"/>
    <w:multiLevelType w:val="multilevel"/>
    <w:tmpl w:val="56D4617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8583CA5"/>
    <w:multiLevelType w:val="multilevel"/>
    <w:tmpl w:val="E5826438"/>
    <w:lvl w:ilvl="0">
      <w:start w:val="1"/>
      <w:numFmt w:val="decimal"/>
      <w:lvlText w:val="%1."/>
      <w:lvlJc w:val="left"/>
      <w:pPr>
        <w:ind w:left="227" w:hanging="227"/>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CD37A8D"/>
    <w:multiLevelType w:val="hybridMultilevel"/>
    <w:tmpl w:val="7040BFB2"/>
    <w:lvl w:ilvl="0" w:tplc="1CAC5CB8">
      <w:numFmt w:val="bullet"/>
      <w:lvlText w:val="-"/>
      <w:lvlJc w:val="left"/>
      <w:pPr>
        <w:ind w:left="1279" w:hanging="360"/>
      </w:pPr>
      <w:rPr>
        <w:rFonts w:ascii="Aptos" w:eastAsiaTheme="minorHAnsi" w:hAnsi="Aptos" w:cstheme="minorBidi" w:hint="default"/>
      </w:rPr>
    </w:lvl>
    <w:lvl w:ilvl="1" w:tplc="04140003" w:tentative="1">
      <w:start w:val="1"/>
      <w:numFmt w:val="bullet"/>
      <w:lvlText w:val="o"/>
      <w:lvlJc w:val="left"/>
      <w:pPr>
        <w:ind w:left="1999" w:hanging="360"/>
      </w:pPr>
      <w:rPr>
        <w:rFonts w:ascii="Courier New" w:hAnsi="Courier New" w:cs="Courier New" w:hint="default"/>
      </w:rPr>
    </w:lvl>
    <w:lvl w:ilvl="2" w:tplc="04140005" w:tentative="1">
      <w:start w:val="1"/>
      <w:numFmt w:val="bullet"/>
      <w:lvlText w:val=""/>
      <w:lvlJc w:val="left"/>
      <w:pPr>
        <w:ind w:left="2719" w:hanging="360"/>
      </w:pPr>
      <w:rPr>
        <w:rFonts w:ascii="Wingdings" w:hAnsi="Wingdings" w:hint="default"/>
      </w:rPr>
    </w:lvl>
    <w:lvl w:ilvl="3" w:tplc="04140001" w:tentative="1">
      <w:start w:val="1"/>
      <w:numFmt w:val="bullet"/>
      <w:lvlText w:val=""/>
      <w:lvlJc w:val="left"/>
      <w:pPr>
        <w:ind w:left="3439" w:hanging="360"/>
      </w:pPr>
      <w:rPr>
        <w:rFonts w:ascii="Symbol" w:hAnsi="Symbol" w:hint="default"/>
      </w:rPr>
    </w:lvl>
    <w:lvl w:ilvl="4" w:tplc="04140003" w:tentative="1">
      <w:start w:val="1"/>
      <w:numFmt w:val="bullet"/>
      <w:lvlText w:val="o"/>
      <w:lvlJc w:val="left"/>
      <w:pPr>
        <w:ind w:left="4159" w:hanging="360"/>
      </w:pPr>
      <w:rPr>
        <w:rFonts w:ascii="Courier New" w:hAnsi="Courier New" w:cs="Courier New" w:hint="default"/>
      </w:rPr>
    </w:lvl>
    <w:lvl w:ilvl="5" w:tplc="04140005" w:tentative="1">
      <w:start w:val="1"/>
      <w:numFmt w:val="bullet"/>
      <w:lvlText w:val=""/>
      <w:lvlJc w:val="left"/>
      <w:pPr>
        <w:ind w:left="4879" w:hanging="360"/>
      </w:pPr>
      <w:rPr>
        <w:rFonts w:ascii="Wingdings" w:hAnsi="Wingdings" w:hint="default"/>
      </w:rPr>
    </w:lvl>
    <w:lvl w:ilvl="6" w:tplc="04140001" w:tentative="1">
      <w:start w:val="1"/>
      <w:numFmt w:val="bullet"/>
      <w:lvlText w:val=""/>
      <w:lvlJc w:val="left"/>
      <w:pPr>
        <w:ind w:left="5599" w:hanging="360"/>
      </w:pPr>
      <w:rPr>
        <w:rFonts w:ascii="Symbol" w:hAnsi="Symbol" w:hint="default"/>
      </w:rPr>
    </w:lvl>
    <w:lvl w:ilvl="7" w:tplc="04140003" w:tentative="1">
      <w:start w:val="1"/>
      <w:numFmt w:val="bullet"/>
      <w:lvlText w:val="o"/>
      <w:lvlJc w:val="left"/>
      <w:pPr>
        <w:ind w:left="6319" w:hanging="360"/>
      </w:pPr>
      <w:rPr>
        <w:rFonts w:ascii="Courier New" w:hAnsi="Courier New" w:cs="Courier New" w:hint="default"/>
      </w:rPr>
    </w:lvl>
    <w:lvl w:ilvl="8" w:tplc="04140005" w:tentative="1">
      <w:start w:val="1"/>
      <w:numFmt w:val="bullet"/>
      <w:lvlText w:val=""/>
      <w:lvlJc w:val="left"/>
      <w:pPr>
        <w:ind w:left="7039" w:hanging="360"/>
      </w:pPr>
      <w:rPr>
        <w:rFonts w:ascii="Wingdings" w:hAnsi="Wingdings" w:hint="default"/>
      </w:rPr>
    </w:lvl>
  </w:abstractNum>
  <w:abstractNum w:abstractNumId="43" w15:restartNumberingAfterBreak="0">
    <w:nsid w:val="7DC01371"/>
    <w:multiLevelType w:val="multilevel"/>
    <w:tmpl w:val="60761690"/>
    <w:styleLink w:val="Gjeldendeliste4"/>
    <w:lvl w:ilvl="0">
      <w:start w:val="1"/>
      <w:numFmt w:val="decimal"/>
      <w:lvlText w:val="%1."/>
      <w:lvlJc w:val="left"/>
      <w:pPr>
        <w:ind w:left="227" w:hanging="227"/>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30195384">
    <w:abstractNumId w:val="22"/>
  </w:num>
  <w:num w:numId="2" w16cid:durableId="1788042455">
    <w:abstractNumId w:val="36"/>
  </w:num>
  <w:num w:numId="3" w16cid:durableId="265582513">
    <w:abstractNumId w:val="27"/>
  </w:num>
  <w:num w:numId="4" w16cid:durableId="1183588065">
    <w:abstractNumId w:val="32"/>
  </w:num>
  <w:num w:numId="5" w16cid:durableId="730150907">
    <w:abstractNumId w:val="29"/>
  </w:num>
  <w:num w:numId="6" w16cid:durableId="1397240290">
    <w:abstractNumId w:val="41"/>
  </w:num>
  <w:num w:numId="7" w16cid:durableId="979966490">
    <w:abstractNumId w:val="19"/>
  </w:num>
  <w:num w:numId="8" w16cid:durableId="12286092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84000306">
    <w:abstractNumId w:val="31"/>
  </w:num>
  <w:num w:numId="10" w16cid:durableId="2126266432">
    <w:abstractNumId w:val="0"/>
  </w:num>
  <w:num w:numId="11" w16cid:durableId="1882982222">
    <w:abstractNumId w:val="1"/>
  </w:num>
  <w:num w:numId="12" w16cid:durableId="113524211">
    <w:abstractNumId w:val="2"/>
  </w:num>
  <w:num w:numId="13" w16cid:durableId="1963227620">
    <w:abstractNumId w:val="3"/>
  </w:num>
  <w:num w:numId="14" w16cid:durableId="369036881">
    <w:abstractNumId w:val="4"/>
  </w:num>
  <w:num w:numId="15" w16cid:durableId="798571334">
    <w:abstractNumId w:val="9"/>
  </w:num>
  <w:num w:numId="16" w16cid:durableId="1295482355">
    <w:abstractNumId w:val="5"/>
  </w:num>
  <w:num w:numId="17" w16cid:durableId="485628030">
    <w:abstractNumId w:val="6"/>
  </w:num>
  <w:num w:numId="18" w16cid:durableId="1854150882">
    <w:abstractNumId w:val="7"/>
  </w:num>
  <w:num w:numId="19" w16cid:durableId="316349410">
    <w:abstractNumId w:val="8"/>
  </w:num>
  <w:num w:numId="20" w16cid:durableId="1941570335">
    <w:abstractNumId w:val="10"/>
  </w:num>
  <w:num w:numId="21" w16cid:durableId="492573028">
    <w:abstractNumId w:val="37"/>
  </w:num>
  <w:num w:numId="22" w16cid:durableId="1300375765">
    <w:abstractNumId w:val="25"/>
  </w:num>
  <w:num w:numId="23" w16cid:durableId="841435321">
    <w:abstractNumId w:val="20"/>
  </w:num>
  <w:num w:numId="24" w16cid:durableId="1341002748">
    <w:abstractNumId w:val="12"/>
  </w:num>
  <w:num w:numId="25" w16cid:durableId="666976110">
    <w:abstractNumId w:val="23"/>
  </w:num>
  <w:num w:numId="26" w16cid:durableId="403526912">
    <w:abstractNumId w:val="43"/>
  </w:num>
  <w:num w:numId="27" w16cid:durableId="1615597992">
    <w:abstractNumId w:val="14"/>
  </w:num>
  <w:num w:numId="28" w16cid:durableId="1697273493">
    <w:abstractNumId w:val="38"/>
  </w:num>
  <w:num w:numId="29" w16cid:durableId="1736511987">
    <w:abstractNumId w:val="34"/>
  </w:num>
  <w:num w:numId="30" w16cid:durableId="1027213909">
    <w:abstractNumId w:val="16"/>
  </w:num>
  <w:num w:numId="31" w16cid:durableId="1210000350">
    <w:abstractNumId w:val="40"/>
  </w:num>
  <w:num w:numId="32" w16cid:durableId="87388224">
    <w:abstractNumId w:val="11"/>
  </w:num>
  <w:num w:numId="33" w16cid:durableId="171337217">
    <w:abstractNumId w:val="24"/>
  </w:num>
  <w:num w:numId="34" w16cid:durableId="2099134718">
    <w:abstractNumId w:val="39"/>
  </w:num>
  <w:num w:numId="35" w16cid:durableId="355229041">
    <w:abstractNumId w:val="30"/>
  </w:num>
  <w:num w:numId="36" w16cid:durableId="257370470">
    <w:abstractNumId w:val="18"/>
  </w:num>
  <w:num w:numId="37" w16cid:durableId="1452280080">
    <w:abstractNumId w:val="35"/>
  </w:num>
  <w:num w:numId="38" w16cid:durableId="1016350602">
    <w:abstractNumId w:val="26"/>
  </w:num>
  <w:num w:numId="39" w16cid:durableId="902905913">
    <w:abstractNumId w:val="13"/>
  </w:num>
  <w:num w:numId="40" w16cid:durableId="1270578561">
    <w:abstractNumId w:val="15"/>
  </w:num>
  <w:num w:numId="41" w16cid:durableId="133452962">
    <w:abstractNumId w:val="28"/>
  </w:num>
  <w:num w:numId="42" w16cid:durableId="1137991422">
    <w:abstractNumId w:val="17"/>
  </w:num>
  <w:num w:numId="43" w16cid:durableId="33697312">
    <w:abstractNumId w:val="33"/>
  </w:num>
  <w:num w:numId="44" w16cid:durableId="1972708233">
    <w:abstractNumId w:val="42"/>
  </w:num>
  <w:num w:numId="45" w16cid:durableId="18976683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113"/>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23A"/>
    <w:rsid w:val="0000024D"/>
    <w:rsid w:val="00000E43"/>
    <w:rsid w:val="00001AB0"/>
    <w:rsid w:val="00003CCF"/>
    <w:rsid w:val="00004309"/>
    <w:rsid w:val="00006498"/>
    <w:rsid w:val="00010A39"/>
    <w:rsid w:val="00010C7D"/>
    <w:rsid w:val="00010D58"/>
    <w:rsid w:val="00011C81"/>
    <w:rsid w:val="00011DD2"/>
    <w:rsid w:val="00011ED2"/>
    <w:rsid w:val="00012CB2"/>
    <w:rsid w:val="00013F7F"/>
    <w:rsid w:val="00014CC6"/>
    <w:rsid w:val="00015792"/>
    <w:rsid w:val="00015820"/>
    <w:rsid w:val="00016CF8"/>
    <w:rsid w:val="00017A7D"/>
    <w:rsid w:val="0002085A"/>
    <w:rsid w:val="00020DF6"/>
    <w:rsid w:val="00021B6B"/>
    <w:rsid w:val="00022567"/>
    <w:rsid w:val="000255E3"/>
    <w:rsid w:val="00025B05"/>
    <w:rsid w:val="00026E80"/>
    <w:rsid w:val="000304E5"/>
    <w:rsid w:val="00031A16"/>
    <w:rsid w:val="00033A48"/>
    <w:rsid w:val="000344FF"/>
    <w:rsid w:val="000347EB"/>
    <w:rsid w:val="000351AF"/>
    <w:rsid w:val="0003620C"/>
    <w:rsid w:val="00036CEF"/>
    <w:rsid w:val="0003736F"/>
    <w:rsid w:val="00037788"/>
    <w:rsid w:val="000406B7"/>
    <w:rsid w:val="00040786"/>
    <w:rsid w:val="000415EF"/>
    <w:rsid w:val="0004209E"/>
    <w:rsid w:val="00044130"/>
    <w:rsid w:val="000454CC"/>
    <w:rsid w:val="00045552"/>
    <w:rsid w:val="00046561"/>
    <w:rsid w:val="00046AD0"/>
    <w:rsid w:val="00047068"/>
    <w:rsid w:val="0004779A"/>
    <w:rsid w:val="000509AE"/>
    <w:rsid w:val="00051665"/>
    <w:rsid w:val="00051C78"/>
    <w:rsid w:val="00051F02"/>
    <w:rsid w:val="00052D08"/>
    <w:rsid w:val="00052E5B"/>
    <w:rsid w:val="00053082"/>
    <w:rsid w:val="000530CE"/>
    <w:rsid w:val="00053976"/>
    <w:rsid w:val="00053B59"/>
    <w:rsid w:val="00053C51"/>
    <w:rsid w:val="000545F2"/>
    <w:rsid w:val="00055E31"/>
    <w:rsid w:val="000569D8"/>
    <w:rsid w:val="000570A3"/>
    <w:rsid w:val="0006044F"/>
    <w:rsid w:val="00060632"/>
    <w:rsid w:val="00060C0D"/>
    <w:rsid w:val="00061F95"/>
    <w:rsid w:val="00062C8C"/>
    <w:rsid w:val="00063EAF"/>
    <w:rsid w:val="0006444C"/>
    <w:rsid w:val="0006683F"/>
    <w:rsid w:val="000701A0"/>
    <w:rsid w:val="0007092C"/>
    <w:rsid w:val="000715EF"/>
    <w:rsid w:val="000751BC"/>
    <w:rsid w:val="00075705"/>
    <w:rsid w:val="00075997"/>
    <w:rsid w:val="00076155"/>
    <w:rsid w:val="00076229"/>
    <w:rsid w:val="000765C2"/>
    <w:rsid w:val="000767F7"/>
    <w:rsid w:val="00077F36"/>
    <w:rsid w:val="00080B42"/>
    <w:rsid w:val="00081182"/>
    <w:rsid w:val="000814BC"/>
    <w:rsid w:val="0008192D"/>
    <w:rsid w:val="00081A06"/>
    <w:rsid w:val="00081BFD"/>
    <w:rsid w:val="00081E09"/>
    <w:rsid w:val="0008240C"/>
    <w:rsid w:val="0008294F"/>
    <w:rsid w:val="00082F9A"/>
    <w:rsid w:val="00084359"/>
    <w:rsid w:val="000853DD"/>
    <w:rsid w:val="0008546E"/>
    <w:rsid w:val="000867D5"/>
    <w:rsid w:val="0008686D"/>
    <w:rsid w:val="00086AFA"/>
    <w:rsid w:val="0008702E"/>
    <w:rsid w:val="00087D91"/>
    <w:rsid w:val="00087DD2"/>
    <w:rsid w:val="00090858"/>
    <w:rsid w:val="00090BE3"/>
    <w:rsid w:val="00090C42"/>
    <w:rsid w:val="000916E0"/>
    <w:rsid w:val="0009377B"/>
    <w:rsid w:val="00094EE5"/>
    <w:rsid w:val="00096082"/>
    <w:rsid w:val="00096784"/>
    <w:rsid w:val="00096787"/>
    <w:rsid w:val="0009751F"/>
    <w:rsid w:val="00097E74"/>
    <w:rsid w:val="000A076C"/>
    <w:rsid w:val="000A19FF"/>
    <w:rsid w:val="000A1BFE"/>
    <w:rsid w:val="000A2822"/>
    <w:rsid w:val="000A4B9B"/>
    <w:rsid w:val="000A5887"/>
    <w:rsid w:val="000A6294"/>
    <w:rsid w:val="000A7588"/>
    <w:rsid w:val="000A7870"/>
    <w:rsid w:val="000A7D14"/>
    <w:rsid w:val="000A7F7F"/>
    <w:rsid w:val="000B031E"/>
    <w:rsid w:val="000B0A0A"/>
    <w:rsid w:val="000B0D81"/>
    <w:rsid w:val="000B1668"/>
    <w:rsid w:val="000B3C77"/>
    <w:rsid w:val="000B4C92"/>
    <w:rsid w:val="000C0586"/>
    <w:rsid w:val="000C1237"/>
    <w:rsid w:val="000C1EE4"/>
    <w:rsid w:val="000C283A"/>
    <w:rsid w:val="000C7340"/>
    <w:rsid w:val="000D0FDC"/>
    <w:rsid w:val="000D1984"/>
    <w:rsid w:val="000D5390"/>
    <w:rsid w:val="000D6E54"/>
    <w:rsid w:val="000D6F4A"/>
    <w:rsid w:val="000D70A4"/>
    <w:rsid w:val="000D7715"/>
    <w:rsid w:val="000E01EE"/>
    <w:rsid w:val="000E06CD"/>
    <w:rsid w:val="000E13A0"/>
    <w:rsid w:val="000E1968"/>
    <w:rsid w:val="000E19AD"/>
    <w:rsid w:val="000E1C0B"/>
    <w:rsid w:val="000E2276"/>
    <w:rsid w:val="000E22B4"/>
    <w:rsid w:val="000E2A9A"/>
    <w:rsid w:val="000E2BEF"/>
    <w:rsid w:val="000E2D57"/>
    <w:rsid w:val="000E33F4"/>
    <w:rsid w:val="000E35BD"/>
    <w:rsid w:val="000E4161"/>
    <w:rsid w:val="000E5459"/>
    <w:rsid w:val="000E5D21"/>
    <w:rsid w:val="000E629D"/>
    <w:rsid w:val="000E68B5"/>
    <w:rsid w:val="000E70B9"/>
    <w:rsid w:val="000E76EA"/>
    <w:rsid w:val="000F0AB4"/>
    <w:rsid w:val="000F0E23"/>
    <w:rsid w:val="000F2318"/>
    <w:rsid w:val="000F3751"/>
    <w:rsid w:val="000F3836"/>
    <w:rsid w:val="000F3A6B"/>
    <w:rsid w:val="000F4FC5"/>
    <w:rsid w:val="000F5096"/>
    <w:rsid w:val="000F5F0C"/>
    <w:rsid w:val="000F6EDF"/>
    <w:rsid w:val="000F778F"/>
    <w:rsid w:val="000F7D79"/>
    <w:rsid w:val="0010035A"/>
    <w:rsid w:val="00100678"/>
    <w:rsid w:val="00100B16"/>
    <w:rsid w:val="001011B8"/>
    <w:rsid w:val="00101FAA"/>
    <w:rsid w:val="001021D3"/>
    <w:rsid w:val="00102484"/>
    <w:rsid w:val="0010685E"/>
    <w:rsid w:val="00106AD8"/>
    <w:rsid w:val="001076B8"/>
    <w:rsid w:val="00111102"/>
    <w:rsid w:val="001116CA"/>
    <w:rsid w:val="0011283F"/>
    <w:rsid w:val="00112853"/>
    <w:rsid w:val="00112FB6"/>
    <w:rsid w:val="0011340E"/>
    <w:rsid w:val="00113B80"/>
    <w:rsid w:val="00115140"/>
    <w:rsid w:val="001162BE"/>
    <w:rsid w:val="00116475"/>
    <w:rsid w:val="0011667C"/>
    <w:rsid w:val="00116EEB"/>
    <w:rsid w:val="00116F69"/>
    <w:rsid w:val="00117233"/>
    <w:rsid w:val="001205D1"/>
    <w:rsid w:val="00120DF4"/>
    <w:rsid w:val="00120FEC"/>
    <w:rsid w:val="001210E2"/>
    <w:rsid w:val="001212F6"/>
    <w:rsid w:val="00121AEB"/>
    <w:rsid w:val="001246AF"/>
    <w:rsid w:val="001247AF"/>
    <w:rsid w:val="00125C41"/>
    <w:rsid w:val="00127A75"/>
    <w:rsid w:val="001301B2"/>
    <w:rsid w:val="00131A34"/>
    <w:rsid w:val="00131D64"/>
    <w:rsid w:val="0013329F"/>
    <w:rsid w:val="001332AB"/>
    <w:rsid w:val="00133E40"/>
    <w:rsid w:val="00134786"/>
    <w:rsid w:val="00136986"/>
    <w:rsid w:val="00137FC9"/>
    <w:rsid w:val="001403D5"/>
    <w:rsid w:val="00140807"/>
    <w:rsid w:val="00140BB0"/>
    <w:rsid w:val="001414FD"/>
    <w:rsid w:val="001421E6"/>
    <w:rsid w:val="001423C2"/>
    <w:rsid w:val="00142C23"/>
    <w:rsid w:val="00142E4A"/>
    <w:rsid w:val="001430F0"/>
    <w:rsid w:val="0014369D"/>
    <w:rsid w:val="00143B52"/>
    <w:rsid w:val="00143D69"/>
    <w:rsid w:val="0014403A"/>
    <w:rsid w:val="001445F7"/>
    <w:rsid w:val="00144CA3"/>
    <w:rsid w:val="00145AD5"/>
    <w:rsid w:val="001468BD"/>
    <w:rsid w:val="00146E6E"/>
    <w:rsid w:val="00147431"/>
    <w:rsid w:val="0014761B"/>
    <w:rsid w:val="0014787E"/>
    <w:rsid w:val="001479D3"/>
    <w:rsid w:val="00147B0A"/>
    <w:rsid w:val="00150909"/>
    <w:rsid w:val="00151D79"/>
    <w:rsid w:val="00152A44"/>
    <w:rsid w:val="00152E3A"/>
    <w:rsid w:val="001531F1"/>
    <w:rsid w:val="0015357D"/>
    <w:rsid w:val="00153B4B"/>
    <w:rsid w:val="0015441C"/>
    <w:rsid w:val="001545C4"/>
    <w:rsid w:val="00154913"/>
    <w:rsid w:val="00155399"/>
    <w:rsid w:val="00155DCF"/>
    <w:rsid w:val="001569CE"/>
    <w:rsid w:val="00157606"/>
    <w:rsid w:val="00161BB6"/>
    <w:rsid w:val="001629BA"/>
    <w:rsid w:val="00163AF8"/>
    <w:rsid w:val="00163EB0"/>
    <w:rsid w:val="00164587"/>
    <w:rsid w:val="00165602"/>
    <w:rsid w:val="00165B88"/>
    <w:rsid w:val="00166C7E"/>
    <w:rsid w:val="00166EC2"/>
    <w:rsid w:val="001706BB"/>
    <w:rsid w:val="00170894"/>
    <w:rsid w:val="00171670"/>
    <w:rsid w:val="00171ADB"/>
    <w:rsid w:val="00172144"/>
    <w:rsid w:val="00172192"/>
    <w:rsid w:val="00172C41"/>
    <w:rsid w:val="00172D45"/>
    <w:rsid w:val="0017301A"/>
    <w:rsid w:val="001736BF"/>
    <w:rsid w:val="00175240"/>
    <w:rsid w:val="001759F6"/>
    <w:rsid w:val="00175F9A"/>
    <w:rsid w:val="001775BA"/>
    <w:rsid w:val="001805C0"/>
    <w:rsid w:val="00181B04"/>
    <w:rsid w:val="00182446"/>
    <w:rsid w:val="001837A0"/>
    <w:rsid w:val="00183A6A"/>
    <w:rsid w:val="00184530"/>
    <w:rsid w:val="00184718"/>
    <w:rsid w:val="001848F8"/>
    <w:rsid w:val="001910FB"/>
    <w:rsid w:val="00192095"/>
    <w:rsid w:val="00192DDA"/>
    <w:rsid w:val="00192EA1"/>
    <w:rsid w:val="00193ADD"/>
    <w:rsid w:val="00193C31"/>
    <w:rsid w:val="00194D72"/>
    <w:rsid w:val="00195991"/>
    <w:rsid w:val="001960E2"/>
    <w:rsid w:val="00197337"/>
    <w:rsid w:val="001A0523"/>
    <w:rsid w:val="001A052A"/>
    <w:rsid w:val="001A059D"/>
    <w:rsid w:val="001A1457"/>
    <w:rsid w:val="001A16CB"/>
    <w:rsid w:val="001A1C39"/>
    <w:rsid w:val="001A1CD0"/>
    <w:rsid w:val="001A1EFB"/>
    <w:rsid w:val="001A2294"/>
    <w:rsid w:val="001A2EB4"/>
    <w:rsid w:val="001A3DC9"/>
    <w:rsid w:val="001A4D55"/>
    <w:rsid w:val="001A4DEF"/>
    <w:rsid w:val="001A583F"/>
    <w:rsid w:val="001A7691"/>
    <w:rsid w:val="001A7B56"/>
    <w:rsid w:val="001A7D69"/>
    <w:rsid w:val="001B1348"/>
    <w:rsid w:val="001B172F"/>
    <w:rsid w:val="001B2D8C"/>
    <w:rsid w:val="001B3779"/>
    <w:rsid w:val="001B44AA"/>
    <w:rsid w:val="001B4570"/>
    <w:rsid w:val="001B49E9"/>
    <w:rsid w:val="001B4DB7"/>
    <w:rsid w:val="001B4F38"/>
    <w:rsid w:val="001B5C51"/>
    <w:rsid w:val="001B69A4"/>
    <w:rsid w:val="001B6C6C"/>
    <w:rsid w:val="001B6E74"/>
    <w:rsid w:val="001B73B8"/>
    <w:rsid w:val="001C1484"/>
    <w:rsid w:val="001C185D"/>
    <w:rsid w:val="001C2A89"/>
    <w:rsid w:val="001C5D79"/>
    <w:rsid w:val="001C6B78"/>
    <w:rsid w:val="001C6D39"/>
    <w:rsid w:val="001C7E02"/>
    <w:rsid w:val="001D356B"/>
    <w:rsid w:val="001D3D8A"/>
    <w:rsid w:val="001D3FC5"/>
    <w:rsid w:val="001D5163"/>
    <w:rsid w:val="001D56EB"/>
    <w:rsid w:val="001D61DC"/>
    <w:rsid w:val="001D6335"/>
    <w:rsid w:val="001D6B28"/>
    <w:rsid w:val="001E0A47"/>
    <w:rsid w:val="001E132F"/>
    <w:rsid w:val="001E1C1A"/>
    <w:rsid w:val="001E3556"/>
    <w:rsid w:val="001E36E0"/>
    <w:rsid w:val="001E5A32"/>
    <w:rsid w:val="001E5BA2"/>
    <w:rsid w:val="001E6394"/>
    <w:rsid w:val="001E671E"/>
    <w:rsid w:val="001E697B"/>
    <w:rsid w:val="001E6A72"/>
    <w:rsid w:val="001E6D2D"/>
    <w:rsid w:val="001E771E"/>
    <w:rsid w:val="001E7BF4"/>
    <w:rsid w:val="001E7EC6"/>
    <w:rsid w:val="001F0DC8"/>
    <w:rsid w:val="001F0F3A"/>
    <w:rsid w:val="001F1901"/>
    <w:rsid w:val="001F1BBA"/>
    <w:rsid w:val="001F2D5C"/>
    <w:rsid w:val="001F2FEA"/>
    <w:rsid w:val="001F316B"/>
    <w:rsid w:val="001F582C"/>
    <w:rsid w:val="001F5BEE"/>
    <w:rsid w:val="001F6253"/>
    <w:rsid w:val="001F7E71"/>
    <w:rsid w:val="00200D53"/>
    <w:rsid w:val="00201162"/>
    <w:rsid w:val="0020133B"/>
    <w:rsid w:val="002024F9"/>
    <w:rsid w:val="00202809"/>
    <w:rsid w:val="00202832"/>
    <w:rsid w:val="002042A4"/>
    <w:rsid w:val="00204D5D"/>
    <w:rsid w:val="00206DDD"/>
    <w:rsid w:val="00207852"/>
    <w:rsid w:val="00207A5D"/>
    <w:rsid w:val="00210D24"/>
    <w:rsid w:val="00211789"/>
    <w:rsid w:val="002118BE"/>
    <w:rsid w:val="00214248"/>
    <w:rsid w:val="002142F1"/>
    <w:rsid w:val="00215213"/>
    <w:rsid w:val="00215234"/>
    <w:rsid w:val="00215734"/>
    <w:rsid w:val="00216026"/>
    <w:rsid w:val="0021739E"/>
    <w:rsid w:val="0021755D"/>
    <w:rsid w:val="00220156"/>
    <w:rsid w:val="00220435"/>
    <w:rsid w:val="00221DCE"/>
    <w:rsid w:val="0022201D"/>
    <w:rsid w:val="002220D3"/>
    <w:rsid w:val="0022308F"/>
    <w:rsid w:val="00223347"/>
    <w:rsid w:val="00224E37"/>
    <w:rsid w:val="00225ED2"/>
    <w:rsid w:val="00226658"/>
    <w:rsid w:val="0022667D"/>
    <w:rsid w:val="00226863"/>
    <w:rsid w:val="0022729D"/>
    <w:rsid w:val="00227EC5"/>
    <w:rsid w:val="00227F0F"/>
    <w:rsid w:val="002313D8"/>
    <w:rsid w:val="00231AFE"/>
    <w:rsid w:val="00231B25"/>
    <w:rsid w:val="00231BD7"/>
    <w:rsid w:val="002324AD"/>
    <w:rsid w:val="002341AB"/>
    <w:rsid w:val="00234AA2"/>
    <w:rsid w:val="00235549"/>
    <w:rsid w:val="002358AB"/>
    <w:rsid w:val="00235C62"/>
    <w:rsid w:val="002368FF"/>
    <w:rsid w:val="00240553"/>
    <w:rsid w:val="002414FB"/>
    <w:rsid w:val="0024381E"/>
    <w:rsid w:val="00243E70"/>
    <w:rsid w:val="002447A6"/>
    <w:rsid w:val="00245AC6"/>
    <w:rsid w:val="00245F4F"/>
    <w:rsid w:val="00246584"/>
    <w:rsid w:val="00246692"/>
    <w:rsid w:val="00246FDD"/>
    <w:rsid w:val="002477AF"/>
    <w:rsid w:val="00252DDB"/>
    <w:rsid w:val="0025397E"/>
    <w:rsid w:val="002551F1"/>
    <w:rsid w:val="00256172"/>
    <w:rsid w:val="00256FAE"/>
    <w:rsid w:val="002576E2"/>
    <w:rsid w:val="00257BB4"/>
    <w:rsid w:val="00257E0E"/>
    <w:rsid w:val="0026006D"/>
    <w:rsid w:val="00260142"/>
    <w:rsid w:val="00260666"/>
    <w:rsid w:val="00261104"/>
    <w:rsid w:val="00261756"/>
    <w:rsid w:val="002629D3"/>
    <w:rsid w:val="00262E40"/>
    <w:rsid w:val="002634BE"/>
    <w:rsid w:val="00263ACF"/>
    <w:rsid w:val="00263B84"/>
    <w:rsid w:val="00264970"/>
    <w:rsid w:val="00264D95"/>
    <w:rsid w:val="00265342"/>
    <w:rsid w:val="002655AA"/>
    <w:rsid w:val="002661C4"/>
    <w:rsid w:val="002664AC"/>
    <w:rsid w:val="00270014"/>
    <w:rsid w:val="0027114B"/>
    <w:rsid w:val="0027162C"/>
    <w:rsid w:val="00271EBA"/>
    <w:rsid w:val="00272540"/>
    <w:rsid w:val="00272A0F"/>
    <w:rsid w:val="00272C9A"/>
    <w:rsid w:val="00274696"/>
    <w:rsid w:val="00274EFF"/>
    <w:rsid w:val="002753CB"/>
    <w:rsid w:val="00276300"/>
    <w:rsid w:val="002769D6"/>
    <w:rsid w:val="002778BD"/>
    <w:rsid w:val="00277E8E"/>
    <w:rsid w:val="0028045E"/>
    <w:rsid w:val="00280CCF"/>
    <w:rsid w:val="00280CE2"/>
    <w:rsid w:val="00281593"/>
    <w:rsid w:val="00282A1F"/>
    <w:rsid w:val="00282BFE"/>
    <w:rsid w:val="00282D21"/>
    <w:rsid w:val="002837E0"/>
    <w:rsid w:val="00284261"/>
    <w:rsid w:val="002843F6"/>
    <w:rsid w:val="0028541D"/>
    <w:rsid w:val="002858EC"/>
    <w:rsid w:val="0028597B"/>
    <w:rsid w:val="00286DC9"/>
    <w:rsid w:val="0029093B"/>
    <w:rsid w:val="00290AED"/>
    <w:rsid w:val="0029144D"/>
    <w:rsid w:val="00292198"/>
    <w:rsid w:val="00292F8F"/>
    <w:rsid w:val="0029383E"/>
    <w:rsid w:val="00293C93"/>
    <w:rsid w:val="00294206"/>
    <w:rsid w:val="00294452"/>
    <w:rsid w:val="002958D9"/>
    <w:rsid w:val="00295986"/>
    <w:rsid w:val="00297E35"/>
    <w:rsid w:val="002A12C0"/>
    <w:rsid w:val="002A1E47"/>
    <w:rsid w:val="002A1F81"/>
    <w:rsid w:val="002A3ACC"/>
    <w:rsid w:val="002A5A36"/>
    <w:rsid w:val="002A7C81"/>
    <w:rsid w:val="002B0CF9"/>
    <w:rsid w:val="002B2536"/>
    <w:rsid w:val="002B2A54"/>
    <w:rsid w:val="002B34C7"/>
    <w:rsid w:val="002B364B"/>
    <w:rsid w:val="002B4100"/>
    <w:rsid w:val="002B4F5C"/>
    <w:rsid w:val="002B4FD4"/>
    <w:rsid w:val="002B5725"/>
    <w:rsid w:val="002B5DD9"/>
    <w:rsid w:val="002B5EA5"/>
    <w:rsid w:val="002B5EB8"/>
    <w:rsid w:val="002B60FE"/>
    <w:rsid w:val="002B7D17"/>
    <w:rsid w:val="002C02BD"/>
    <w:rsid w:val="002C0A49"/>
    <w:rsid w:val="002C2117"/>
    <w:rsid w:val="002C2583"/>
    <w:rsid w:val="002C2A0A"/>
    <w:rsid w:val="002C431D"/>
    <w:rsid w:val="002C4A7F"/>
    <w:rsid w:val="002C6102"/>
    <w:rsid w:val="002C634A"/>
    <w:rsid w:val="002C64B6"/>
    <w:rsid w:val="002C687A"/>
    <w:rsid w:val="002C6CCD"/>
    <w:rsid w:val="002C7B88"/>
    <w:rsid w:val="002D085F"/>
    <w:rsid w:val="002D0B6C"/>
    <w:rsid w:val="002D120F"/>
    <w:rsid w:val="002D1B62"/>
    <w:rsid w:val="002D1B96"/>
    <w:rsid w:val="002D3CA4"/>
    <w:rsid w:val="002D520D"/>
    <w:rsid w:val="002D665E"/>
    <w:rsid w:val="002E04D2"/>
    <w:rsid w:val="002E1373"/>
    <w:rsid w:val="002E16D5"/>
    <w:rsid w:val="002E28D5"/>
    <w:rsid w:val="002E2EE5"/>
    <w:rsid w:val="002E3A06"/>
    <w:rsid w:val="002E4A86"/>
    <w:rsid w:val="002E6B95"/>
    <w:rsid w:val="002E7F13"/>
    <w:rsid w:val="002F053D"/>
    <w:rsid w:val="002F0AA7"/>
    <w:rsid w:val="002F0AD4"/>
    <w:rsid w:val="002F1236"/>
    <w:rsid w:val="002F239C"/>
    <w:rsid w:val="002F3ED5"/>
    <w:rsid w:val="002F3FCD"/>
    <w:rsid w:val="002F4E0A"/>
    <w:rsid w:val="002F514C"/>
    <w:rsid w:val="002F5B46"/>
    <w:rsid w:val="002F60C4"/>
    <w:rsid w:val="002F6560"/>
    <w:rsid w:val="002F7010"/>
    <w:rsid w:val="002F7548"/>
    <w:rsid w:val="002F7DF2"/>
    <w:rsid w:val="0030026E"/>
    <w:rsid w:val="0030035F"/>
    <w:rsid w:val="00300BC3"/>
    <w:rsid w:val="0030189F"/>
    <w:rsid w:val="00301BAA"/>
    <w:rsid w:val="00301C05"/>
    <w:rsid w:val="00301E65"/>
    <w:rsid w:val="003029C6"/>
    <w:rsid w:val="00304420"/>
    <w:rsid w:val="003046E2"/>
    <w:rsid w:val="0030481A"/>
    <w:rsid w:val="00304CD0"/>
    <w:rsid w:val="00306B78"/>
    <w:rsid w:val="003077F9"/>
    <w:rsid w:val="00310A6A"/>
    <w:rsid w:val="00311283"/>
    <w:rsid w:val="00311A00"/>
    <w:rsid w:val="00311AB1"/>
    <w:rsid w:val="003121A1"/>
    <w:rsid w:val="00312C8C"/>
    <w:rsid w:val="00312DB8"/>
    <w:rsid w:val="00314A19"/>
    <w:rsid w:val="0031606C"/>
    <w:rsid w:val="003172F2"/>
    <w:rsid w:val="00317A06"/>
    <w:rsid w:val="00320F30"/>
    <w:rsid w:val="0032123A"/>
    <w:rsid w:val="00321304"/>
    <w:rsid w:val="0032159B"/>
    <w:rsid w:val="00321E53"/>
    <w:rsid w:val="00323171"/>
    <w:rsid w:val="0032390D"/>
    <w:rsid w:val="00324BD9"/>
    <w:rsid w:val="0032511B"/>
    <w:rsid w:val="003260A7"/>
    <w:rsid w:val="003272E4"/>
    <w:rsid w:val="00327C82"/>
    <w:rsid w:val="00327E4F"/>
    <w:rsid w:val="003304B3"/>
    <w:rsid w:val="00330F0D"/>
    <w:rsid w:val="00331607"/>
    <w:rsid w:val="003316CB"/>
    <w:rsid w:val="0033178C"/>
    <w:rsid w:val="00333295"/>
    <w:rsid w:val="003333C2"/>
    <w:rsid w:val="00333894"/>
    <w:rsid w:val="00333A51"/>
    <w:rsid w:val="00336097"/>
    <w:rsid w:val="003360B7"/>
    <w:rsid w:val="00340962"/>
    <w:rsid w:val="00341031"/>
    <w:rsid w:val="003423FD"/>
    <w:rsid w:val="00342586"/>
    <w:rsid w:val="00342BB3"/>
    <w:rsid w:val="0034312E"/>
    <w:rsid w:val="0034356E"/>
    <w:rsid w:val="00343A7C"/>
    <w:rsid w:val="00344FB0"/>
    <w:rsid w:val="003451BA"/>
    <w:rsid w:val="00346224"/>
    <w:rsid w:val="0034647A"/>
    <w:rsid w:val="00346AF7"/>
    <w:rsid w:val="0034711D"/>
    <w:rsid w:val="0034722B"/>
    <w:rsid w:val="00347508"/>
    <w:rsid w:val="00347D75"/>
    <w:rsid w:val="00350595"/>
    <w:rsid w:val="00350BAD"/>
    <w:rsid w:val="0035113F"/>
    <w:rsid w:val="0035190C"/>
    <w:rsid w:val="00353F7F"/>
    <w:rsid w:val="00354DB3"/>
    <w:rsid w:val="00355B02"/>
    <w:rsid w:val="00356B6E"/>
    <w:rsid w:val="00356D04"/>
    <w:rsid w:val="00360170"/>
    <w:rsid w:val="00360D7E"/>
    <w:rsid w:val="00361BE4"/>
    <w:rsid w:val="00362808"/>
    <w:rsid w:val="003628DB"/>
    <w:rsid w:val="00364AFD"/>
    <w:rsid w:val="00364BBC"/>
    <w:rsid w:val="00365ADD"/>
    <w:rsid w:val="00365E0A"/>
    <w:rsid w:val="00366609"/>
    <w:rsid w:val="00366A2B"/>
    <w:rsid w:val="00367106"/>
    <w:rsid w:val="003671C2"/>
    <w:rsid w:val="003704AD"/>
    <w:rsid w:val="0037156F"/>
    <w:rsid w:val="0037185C"/>
    <w:rsid w:val="003719EE"/>
    <w:rsid w:val="00371AB6"/>
    <w:rsid w:val="00373241"/>
    <w:rsid w:val="0037385D"/>
    <w:rsid w:val="00374C57"/>
    <w:rsid w:val="00374E04"/>
    <w:rsid w:val="00375B4F"/>
    <w:rsid w:val="003760DF"/>
    <w:rsid w:val="003764C5"/>
    <w:rsid w:val="00376AD1"/>
    <w:rsid w:val="00376C27"/>
    <w:rsid w:val="00377238"/>
    <w:rsid w:val="00377645"/>
    <w:rsid w:val="0037770C"/>
    <w:rsid w:val="0038052B"/>
    <w:rsid w:val="00380918"/>
    <w:rsid w:val="00380C6D"/>
    <w:rsid w:val="00380D50"/>
    <w:rsid w:val="00382B31"/>
    <w:rsid w:val="00382E00"/>
    <w:rsid w:val="00382EAF"/>
    <w:rsid w:val="00382EED"/>
    <w:rsid w:val="0038369F"/>
    <w:rsid w:val="003836D0"/>
    <w:rsid w:val="003848FB"/>
    <w:rsid w:val="003850D8"/>
    <w:rsid w:val="003855DC"/>
    <w:rsid w:val="00390AA2"/>
    <w:rsid w:val="00390AF8"/>
    <w:rsid w:val="003913F8"/>
    <w:rsid w:val="003914A8"/>
    <w:rsid w:val="00391AB3"/>
    <w:rsid w:val="00392576"/>
    <w:rsid w:val="00393C70"/>
    <w:rsid w:val="00394A62"/>
    <w:rsid w:val="00394CE0"/>
    <w:rsid w:val="00395965"/>
    <w:rsid w:val="00396949"/>
    <w:rsid w:val="003970E4"/>
    <w:rsid w:val="00397C60"/>
    <w:rsid w:val="003A1A95"/>
    <w:rsid w:val="003A25EF"/>
    <w:rsid w:val="003A4038"/>
    <w:rsid w:val="003A40D7"/>
    <w:rsid w:val="003A5C04"/>
    <w:rsid w:val="003A5EC1"/>
    <w:rsid w:val="003A70AC"/>
    <w:rsid w:val="003A75AC"/>
    <w:rsid w:val="003A7EE6"/>
    <w:rsid w:val="003B026A"/>
    <w:rsid w:val="003B0922"/>
    <w:rsid w:val="003B0EC7"/>
    <w:rsid w:val="003B226C"/>
    <w:rsid w:val="003B2644"/>
    <w:rsid w:val="003B2DB6"/>
    <w:rsid w:val="003B3459"/>
    <w:rsid w:val="003B39B6"/>
    <w:rsid w:val="003B3AB3"/>
    <w:rsid w:val="003B3AFF"/>
    <w:rsid w:val="003B421B"/>
    <w:rsid w:val="003B578F"/>
    <w:rsid w:val="003B5A3B"/>
    <w:rsid w:val="003B6807"/>
    <w:rsid w:val="003C0289"/>
    <w:rsid w:val="003C0826"/>
    <w:rsid w:val="003C0AA6"/>
    <w:rsid w:val="003C0BA7"/>
    <w:rsid w:val="003C1222"/>
    <w:rsid w:val="003C1C19"/>
    <w:rsid w:val="003C2237"/>
    <w:rsid w:val="003C72F9"/>
    <w:rsid w:val="003C7724"/>
    <w:rsid w:val="003D086D"/>
    <w:rsid w:val="003D0946"/>
    <w:rsid w:val="003D09AA"/>
    <w:rsid w:val="003D0A24"/>
    <w:rsid w:val="003D1D17"/>
    <w:rsid w:val="003D1D30"/>
    <w:rsid w:val="003D1D55"/>
    <w:rsid w:val="003D1F22"/>
    <w:rsid w:val="003D1FD7"/>
    <w:rsid w:val="003D2FB2"/>
    <w:rsid w:val="003D2FD6"/>
    <w:rsid w:val="003D3541"/>
    <w:rsid w:val="003D3593"/>
    <w:rsid w:val="003D38DB"/>
    <w:rsid w:val="003D43F6"/>
    <w:rsid w:val="003D4481"/>
    <w:rsid w:val="003D4A1D"/>
    <w:rsid w:val="003D7A71"/>
    <w:rsid w:val="003E04CD"/>
    <w:rsid w:val="003E1680"/>
    <w:rsid w:val="003E1B96"/>
    <w:rsid w:val="003E20A9"/>
    <w:rsid w:val="003E2C77"/>
    <w:rsid w:val="003E2DE1"/>
    <w:rsid w:val="003E2F17"/>
    <w:rsid w:val="003E397D"/>
    <w:rsid w:val="003E42D8"/>
    <w:rsid w:val="003E738D"/>
    <w:rsid w:val="003F095D"/>
    <w:rsid w:val="003F13CC"/>
    <w:rsid w:val="003F1584"/>
    <w:rsid w:val="003F1734"/>
    <w:rsid w:val="003F175A"/>
    <w:rsid w:val="003F1A06"/>
    <w:rsid w:val="003F1CE5"/>
    <w:rsid w:val="003F2D43"/>
    <w:rsid w:val="003F3600"/>
    <w:rsid w:val="003F3752"/>
    <w:rsid w:val="003F4228"/>
    <w:rsid w:val="003F4569"/>
    <w:rsid w:val="003F483A"/>
    <w:rsid w:val="003F4C69"/>
    <w:rsid w:val="003F519C"/>
    <w:rsid w:val="003F59EF"/>
    <w:rsid w:val="003F5F2C"/>
    <w:rsid w:val="003F6597"/>
    <w:rsid w:val="003F6E7F"/>
    <w:rsid w:val="003F71E4"/>
    <w:rsid w:val="003F7A7E"/>
    <w:rsid w:val="00400A52"/>
    <w:rsid w:val="00402CAE"/>
    <w:rsid w:val="00403449"/>
    <w:rsid w:val="0040398F"/>
    <w:rsid w:val="004042D7"/>
    <w:rsid w:val="004054EC"/>
    <w:rsid w:val="004067F4"/>
    <w:rsid w:val="0040770F"/>
    <w:rsid w:val="004078ED"/>
    <w:rsid w:val="0041078F"/>
    <w:rsid w:val="004112C7"/>
    <w:rsid w:val="00412241"/>
    <w:rsid w:val="004123F5"/>
    <w:rsid w:val="00413722"/>
    <w:rsid w:val="00413A4E"/>
    <w:rsid w:val="00413CCB"/>
    <w:rsid w:val="00414AAF"/>
    <w:rsid w:val="00415296"/>
    <w:rsid w:val="004153D0"/>
    <w:rsid w:val="00416035"/>
    <w:rsid w:val="0041704D"/>
    <w:rsid w:val="004172D6"/>
    <w:rsid w:val="004177E4"/>
    <w:rsid w:val="0042057B"/>
    <w:rsid w:val="00421ECB"/>
    <w:rsid w:val="00423011"/>
    <w:rsid w:val="00424327"/>
    <w:rsid w:val="00425A96"/>
    <w:rsid w:val="0042605A"/>
    <w:rsid w:val="0042653A"/>
    <w:rsid w:val="00430998"/>
    <w:rsid w:val="00431837"/>
    <w:rsid w:val="004324BE"/>
    <w:rsid w:val="00432A45"/>
    <w:rsid w:val="00432CC2"/>
    <w:rsid w:val="0043351A"/>
    <w:rsid w:val="00433751"/>
    <w:rsid w:val="00433BCD"/>
    <w:rsid w:val="0043435E"/>
    <w:rsid w:val="004346CE"/>
    <w:rsid w:val="0043550D"/>
    <w:rsid w:val="004365C0"/>
    <w:rsid w:val="00437F6E"/>
    <w:rsid w:val="0044015B"/>
    <w:rsid w:val="00440957"/>
    <w:rsid w:val="00441640"/>
    <w:rsid w:val="00444B05"/>
    <w:rsid w:val="00445045"/>
    <w:rsid w:val="00445CA0"/>
    <w:rsid w:val="00445FC6"/>
    <w:rsid w:val="0044613B"/>
    <w:rsid w:val="0044730F"/>
    <w:rsid w:val="00447B71"/>
    <w:rsid w:val="00450990"/>
    <w:rsid w:val="00451688"/>
    <w:rsid w:val="00451F41"/>
    <w:rsid w:val="0045258B"/>
    <w:rsid w:val="004536F1"/>
    <w:rsid w:val="00453EA0"/>
    <w:rsid w:val="004558A8"/>
    <w:rsid w:val="00455EFA"/>
    <w:rsid w:val="00456221"/>
    <w:rsid w:val="00456264"/>
    <w:rsid w:val="00456355"/>
    <w:rsid w:val="00456975"/>
    <w:rsid w:val="0046163D"/>
    <w:rsid w:val="00461E21"/>
    <w:rsid w:val="00463888"/>
    <w:rsid w:val="00464989"/>
    <w:rsid w:val="00466144"/>
    <w:rsid w:val="00467FBF"/>
    <w:rsid w:val="00472511"/>
    <w:rsid w:val="00472C55"/>
    <w:rsid w:val="004742DB"/>
    <w:rsid w:val="004754D2"/>
    <w:rsid w:val="004754F2"/>
    <w:rsid w:val="00477284"/>
    <w:rsid w:val="00480860"/>
    <w:rsid w:val="00480B4C"/>
    <w:rsid w:val="0048151F"/>
    <w:rsid w:val="00481C31"/>
    <w:rsid w:val="00482DC2"/>
    <w:rsid w:val="0048300A"/>
    <w:rsid w:val="0048360D"/>
    <w:rsid w:val="00484600"/>
    <w:rsid w:val="00484E26"/>
    <w:rsid w:val="0048516B"/>
    <w:rsid w:val="00485A74"/>
    <w:rsid w:val="00485C69"/>
    <w:rsid w:val="00485D43"/>
    <w:rsid w:val="00485EB1"/>
    <w:rsid w:val="004861D9"/>
    <w:rsid w:val="00487F87"/>
    <w:rsid w:val="00490EC5"/>
    <w:rsid w:val="0049144D"/>
    <w:rsid w:val="0049149F"/>
    <w:rsid w:val="00491B07"/>
    <w:rsid w:val="00491E16"/>
    <w:rsid w:val="004924F6"/>
    <w:rsid w:val="00495E96"/>
    <w:rsid w:val="004961C4"/>
    <w:rsid w:val="00497F9C"/>
    <w:rsid w:val="004A1B11"/>
    <w:rsid w:val="004A1B6B"/>
    <w:rsid w:val="004A2E42"/>
    <w:rsid w:val="004A6744"/>
    <w:rsid w:val="004A70E3"/>
    <w:rsid w:val="004B33F7"/>
    <w:rsid w:val="004B3D5C"/>
    <w:rsid w:val="004B464B"/>
    <w:rsid w:val="004B4F0C"/>
    <w:rsid w:val="004B508E"/>
    <w:rsid w:val="004B50C1"/>
    <w:rsid w:val="004B60D0"/>
    <w:rsid w:val="004B6711"/>
    <w:rsid w:val="004B6A08"/>
    <w:rsid w:val="004B7CB5"/>
    <w:rsid w:val="004C025F"/>
    <w:rsid w:val="004C0744"/>
    <w:rsid w:val="004C098A"/>
    <w:rsid w:val="004C276B"/>
    <w:rsid w:val="004C2D03"/>
    <w:rsid w:val="004C3565"/>
    <w:rsid w:val="004C3634"/>
    <w:rsid w:val="004C405E"/>
    <w:rsid w:val="004C4393"/>
    <w:rsid w:val="004C6825"/>
    <w:rsid w:val="004C766C"/>
    <w:rsid w:val="004D02E5"/>
    <w:rsid w:val="004D0C39"/>
    <w:rsid w:val="004D1AA6"/>
    <w:rsid w:val="004D277C"/>
    <w:rsid w:val="004D3099"/>
    <w:rsid w:val="004D314F"/>
    <w:rsid w:val="004D408A"/>
    <w:rsid w:val="004D4677"/>
    <w:rsid w:val="004D579D"/>
    <w:rsid w:val="004D625E"/>
    <w:rsid w:val="004D64D4"/>
    <w:rsid w:val="004D66AC"/>
    <w:rsid w:val="004D704A"/>
    <w:rsid w:val="004E053C"/>
    <w:rsid w:val="004E070C"/>
    <w:rsid w:val="004E26FF"/>
    <w:rsid w:val="004E33BE"/>
    <w:rsid w:val="004E509B"/>
    <w:rsid w:val="004E6067"/>
    <w:rsid w:val="004E6DC0"/>
    <w:rsid w:val="004E6FA2"/>
    <w:rsid w:val="004E7488"/>
    <w:rsid w:val="004E7C5A"/>
    <w:rsid w:val="004F09B0"/>
    <w:rsid w:val="004F18DE"/>
    <w:rsid w:val="004F1D0C"/>
    <w:rsid w:val="004F1E69"/>
    <w:rsid w:val="004F20D4"/>
    <w:rsid w:val="004F213B"/>
    <w:rsid w:val="004F436D"/>
    <w:rsid w:val="004F491A"/>
    <w:rsid w:val="004F50CA"/>
    <w:rsid w:val="004F61C4"/>
    <w:rsid w:val="0050077F"/>
    <w:rsid w:val="005010E7"/>
    <w:rsid w:val="0050225D"/>
    <w:rsid w:val="00504604"/>
    <w:rsid w:val="00504FB6"/>
    <w:rsid w:val="0050573E"/>
    <w:rsid w:val="00506739"/>
    <w:rsid w:val="0050713C"/>
    <w:rsid w:val="005078E4"/>
    <w:rsid w:val="00507E45"/>
    <w:rsid w:val="005112F0"/>
    <w:rsid w:val="00511957"/>
    <w:rsid w:val="0051212B"/>
    <w:rsid w:val="00512F6F"/>
    <w:rsid w:val="00513826"/>
    <w:rsid w:val="00513FD0"/>
    <w:rsid w:val="00514168"/>
    <w:rsid w:val="005141F0"/>
    <w:rsid w:val="00514990"/>
    <w:rsid w:val="00514CEB"/>
    <w:rsid w:val="00515E9E"/>
    <w:rsid w:val="00515EA2"/>
    <w:rsid w:val="005201C8"/>
    <w:rsid w:val="0052053F"/>
    <w:rsid w:val="00521328"/>
    <w:rsid w:val="00521533"/>
    <w:rsid w:val="00521B4B"/>
    <w:rsid w:val="005221CB"/>
    <w:rsid w:val="005222EC"/>
    <w:rsid w:val="0052413A"/>
    <w:rsid w:val="00525610"/>
    <w:rsid w:val="00525FB8"/>
    <w:rsid w:val="0052697C"/>
    <w:rsid w:val="0052714F"/>
    <w:rsid w:val="005302E3"/>
    <w:rsid w:val="00530E1C"/>
    <w:rsid w:val="005310B2"/>
    <w:rsid w:val="005313B1"/>
    <w:rsid w:val="0053152F"/>
    <w:rsid w:val="005326DF"/>
    <w:rsid w:val="005334C6"/>
    <w:rsid w:val="00533AD7"/>
    <w:rsid w:val="00534274"/>
    <w:rsid w:val="005342A0"/>
    <w:rsid w:val="00534D01"/>
    <w:rsid w:val="00535183"/>
    <w:rsid w:val="0053635F"/>
    <w:rsid w:val="00536887"/>
    <w:rsid w:val="00537857"/>
    <w:rsid w:val="005422A1"/>
    <w:rsid w:val="005436B7"/>
    <w:rsid w:val="00543FD4"/>
    <w:rsid w:val="005440E6"/>
    <w:rsid w:val="00544CD3"/>
    <w:rsid w:val="00544F22"/>
    <w:rsid w:val="00544FE4"/>
    <w:rsid w:val="0054501D"/>
    <w:rsid w:val="005464C4"/>
    <w:rsid w:val="00547BE5"/>
    <w:rsid w:val="00551421"/>
    <w:rsid w:val="00553577"/>
    <w:rsid w:val="00553AEC"/>
    <w:rsid w:val="00553F50"/>
    <w:rsid w:val="00554460"/>
    <w:rsid w:val="00554508"/>
    <w:rsid w:val="005549B4"/>
    <w:rsid w:val="005549D0"/>
    <w:rsid w:val="00554C82"/>
    <w:rsid w:val="00555A63"/>
    <w:rsid w:val="005562CA"/>
    <w:rsid w:val="00557B8D"/>
    <w:rsid w:val="005605E8"/>
    <w:rsid w:val="00560872"/>
    <w:rsid w:val="0056189D"/>
    <w:rsid w:val="0056555E"/>
    <w:rsid w:val="005666C0"/>
    <w:rsid w:val="00571BFA"/>
    <w:rsid w:val="00575F6B"/>
    <w:rsid w:val="0057636E"/>
    <w:rsid w:val="00576507"/>
    <w:rsid w:val="005767CD"/>
    <w:rsid w:val="00577C9D"/>
    <w:rsid w:val="00580CCF"/>
    <w:rsid w:val="00580F11"/>
    <w:rsid w:val="005811BF"/>
    <w:rsid w:val="005817F8"/>
    <w:rsid w:val="005818A2"/>
    <w:rsid w:val="00583194"/>
    <w:rsid w:val="00583C67"/>
    <w:rsid w:val="00584A55"/>
    <w:rsid w:val="00584B2A"/>
    <w:rsid w:val="00584BF9"/>
    <w:rsid w:val="00585DC0"/>
    <w:rsid w:val="00587B0E"/>
    <w:rsid w:val="0059050E"/>
    <w:rsid w:val="00590AB7"/>
    <w:rsid w:val="005914A4"/>
    <w:rsid w:val="0059212A"/>
    <w:rsid w:val="005922E0"/>
    <w:rsid w:val="0059234D"/>
    <w:rsid w:val="00592A79"/>
    <w:rsid w:val="00592AC8"/>
    <w:rsid w:val="00592DE9"/>
    <w:rsid w:val="005934B2"/>
    <w:rsid w:val="00594785"/>
    <w:rsid w:val="0059641A"/>
    <w:rsid w:val="00596D8D"/>
    <w:rsid w:val="005971CA"/>
    <w:rsid w:val="00597999"/>
    <w:rsid w:val="005A02BF"/>
    <w:rsid w:val="005A06F8"/>
    <w:rsid w:val="005A182B"/>
    <w:rsid w:val="005A27E6"/>
    <w:rsid w:val="005A3DDC"/>
    <w:rsid w:val="005A40E3"/>
    <w:rsid w:val="005A4B68"/>
    <w:rsid w:val="005A62AD"/>
    <w:rsid w:val="005A63AB"/>
    <w:rsid w:val="005A71D7"/>
    <w:rsid w:val="005A7458"/>
    <w:rsid w:val="005B1E82"/>
    <w:rsid w:val="005B1F4C"/>
    <w:rsid w:val="005B44FC"/>
    <w:rsid w:val="005B5A32"/>
    <w:rsid w:val="005B634D"/>
    <w:rsid w:val="005B680E"/>
    <w:rsid w:val="005B73A2"/>
    <w:rsid w:val="005C0166"/>
    <w:rsid w:val="005C0685"/>
    <w:rsid w:val="005C11F0"/>
    <w:rsid w:val="005C1951"/>
    <w:rsid w:val="005C2588"/>
    <w:rsid w:val="005C25B2"/>
    <w:rsid w:val="005C3E44"/>
    <w:rsid w:val="005C4477"/>
    <w:rsid w:val="005C54A3"/>
    <w:rsid w:val="005C593C"/>
    <w:rsid w:val="005C646B"/>
    <w:rsid w:val="005D0EBA"/>
    <w:rsid w:val="005D29E0"/>
    <w:rsid w:val="005D328E"/>
    <w:rsid w:val="005D3424"/>
    <w:rsid w:val="005D39BD"/>
    <w:rsid w:val="005D3A5C"/>
    <w:rsid w:val="005D4997"/>
    <w:rsid w:val="005D4D96"/>
    <w:rsid w:val="005D6279"/>
    <w:rsid w:val="005D6C37"/>
    <w:rsid w:val="005D6F12"/>
    <w:rsid w:val="005D77C3"/>
    <w:rsid w:val="005D7FF8"/>
    <w:rsid w:val="005E18D5"/>
    <w:rsid w:val="005E2029"/>
    <w:rsid w:val="005E3055"/>
    <w:rsid w:val="005E35DF"/>
    <w:rsid w:val="005E3786"/>
    <w:rsid w:val="005E54A4"/>
    <w:rsid w:val="005E54F8"/>
    <w:rsid w:val="005F06CA"/>
    <w:rsid w:val="005F09CB"/>
    <w:rsid w:val="005F0B54"/>
    <w:rsid w:val="005F15E5"/>
    <w:rsid w:val="005F2B9C"/>
    <w:rsid w:val="005F32FA"/>
    <w:rsid w:val="005F3C4F"/>
    <w:rsid w:val="005F3F32"/>
    <w:rsid w:val="005F7A6E"/>
    <w:rsid w:val="00600629"/>
    <w:rsid w:val="0060214E"/>
    <w:rsid w:val="00603B20"/>
    <w:rsid w:val="00603B21"/>
    <w:rsid w:val="00604C4C"/>
    <w:rsid w:val="006053F1"/>
    <w:rsid w:val="00605618"/>
    <w:rsid w:val="0060652D"/>
    <w:rsid w:val="00606553"/>
    <w:rsid w:val="00606CF6"/>
    <w:rsid w:val="00610AB0"/>
    <w:rsid w:val="00611F48"/>
    <w:rsid w:val="006121FE"/>
    <w:rsid w:val="00612B60"/>
    <w:rsid w:val="00612ED3"/>
    <w:rsid w:val="00612F52"/>
    <w:rsid w:val="00613852"/>
    <w:rsid w:val="00614465"/>
    <w:rsid w:val="00614B0C"/>
    <w:rsid w:val="00616D3D"/>
    <w:rsid w:val="0061713A"/>
    <w:rsid w:val="00617365"/>
    <w:rsid w:val="00617E9D"/>
    <w:rsid w:val="00620363"/>
    <w:rsid w:val="00620798"/>
    <w:rsid w:val="00620EAF"/>
    <w:rsid w:val="006215D1"/>
    <w:rsid w:val="00621F3C"/>
    <w:rsid w:val="00623450"/>
    <w:rsid w:val="00623799"/>
    <w:rsid w:val="006243E9"/>
    <w:rsid w:val="006251EF"/>
    <w:rsid w:val="00625217"/>
    <w:rsid w:val="0062620C"/>
    <w:rsid w:val="006262DC"/>
    <w:rsid w:val="006265AA"/>
    <w:rsid w:val="006277EB"/>
    <w:rsid w:val="00631C84"/>
    <w:rsid w:val="00632D2B"/>
    <w:rsid w:val="006336BA"/>
    <w:rsid w:val="006337E5"/>
    <w:rsid w:val="00633E59"/>
    <w:rsid w:val="00634BA1"/>
    <w:rsid w:val="00636365"/>
    <w:rsid w:val="006378CE"/>
    <w:rsid w:val="00637C94"/>
    <w:rsid w:val="00637EFB"/>
    <w:rsid w:val="00637FE7"/>
    <w:rsid w:val="00640D88"/>
    <w:rsid w:val="00641704"/>
    <w:rsid w:val="006422A9"/>
    <w:rsid w:val="006429E1"/>
    <w:rsid w:val="00647947"/>
    <w:rsid w:val="0065102B"/>
    <w:rsid w:val="0065114A"/>
    <w:rsid w:val="00651D97"/>
    <w:rsid w:val="00651E0F"/>
    <w:rsid w:val="00652326"/>
    <w:rsid w:val="00654588"/>
    <w:rsid w:val="00654A03"/>
    <w:rsid w:val="00654D35"/>
    <w:rsid w:val="00655488"/>
    <w:rsid w:val="00655D6F"/>
    <w:rsid w:val="00655EC1"/>
    <w:rsid w:val="00655FA1"/>
    <w:rsid w:val="006561CF"/>
    <w:rsid w:val="00656909"/>
    <w:rsid w:val="00656D19"/>
    <w:rsid w:val="00657F57"/>
    <w:rsid w:val="006603D6"/>
    <w:rsid w:val="00661CA2"/>
    <w:rsid w:val="00661DBC"/>
    <w:rsid w:val="006620DB"/>
    <w:rsid w:val="00663BF7"/>
    <w:rsid w:val="0066594B"/>
    <w:rsid w:val="00667277"/>
    <w:rsid w:val="006674CC"/>
    <w:rsid w:val="00670450"/>
    <w:rsid w:val="0067097B"/>
    <w:rsid w:val="00670A60"/>
    <w:rsid w:val="00671844"/>
    <w:rsid w:val="00672A71"/>
    <w:rsid w:val="00672BFA"/>
    <w:rsid w:val="00673290"/>
    <w:rsid w:val="006735C1"/>
    <w:rsid w:val="0067393B"/>
    <w:rsid w:val="00674D05"/>
    <w:rsid w:val="00675ED2"/>
    <w:rsid w:val="00677B1C"/>
    <w:rsid w:val="00677E78"/>
    <w:rsid w:val="006825B3"/>
    <w:rsid w:val="00682DB3"/>
    <w:rsid w:val="00684176"/>
    <w:rsid w:val="006847E6"/>
    <w:rsid w:val="00685A62"/>
    <w:rsid w:val="00686433"/>
    <w:rsid w:val="006865C1"/>
    <w:rsid w:val="00687202"/>
    <w:rsid w:val="00687868"/>
    <w:rsid w:val="006878A7"/>
    <w:rsid w:val="00687C64"/>
    <w:rsid w:val="00690D86"/>
    <w:rsid w:val="00692FD3"/>
    <w:rsid w:val="006931CE"/>
    <w:rsid w:val="00693680"/>
    <w:rsid w:val="006937A1"/>
    <w:rsid w:val="006951C1"/>
    <w:rsid w:val="00695211"/>
    <w:rsid w:val="00695ACC"/>
    <w:rsid w:val="006962BA"/>
    <w:rsid w:val="006975F8"/>
    <w:rsid w:val="00697E8D"/>
    <w:rsid w:val="006A012E"/>
    <w:rsid w:val="006A1840"/>
    <w:rsid w:val="006A2D57"/>
    <w:rsid w:val="006A2E1F"/>
    <w:rsid w:val="006A30AF"/>
    <w:rsid w:val="006A3984"/>
    <w:rsid w:val="006A4252"/>
    <w:rsid w:val="006A4313"/>
    <w:rsid w:val="006A475F"/>
    <w:rsid w:val="006A4C56"/>
    <w:rsid w:val="006A6419"/>
    <w:rsid w:val="006A78A2"/>
    <w:rsid w:val="006B1EBA"/>
    <w:rsid w:val="006B317D"/>
    <w:rsid w:val="006B4191"/>
    <w:rsid w:val="006B49DE"/>
    <w:rsid w:val="006B4A08"/>
    <w:rsid w:val="006B4BB0"/>
    <w:rsid w:val="006B4FED"/>
    <w:rsid w:val="006B5D95"/>
    <w:rsid w:val="006B6DEC"/>
    <w:rsid w:val="006B7242"/>
    <w:rsid w:val="006C0BC5"/>
    <w:rsid w:val="006C1C89"/>
    <w:rsid w:val="006C2A69"/>
    <w:rsid w:val="006C455C"/>
    <w:rsid w:val="006C4DB7"/>
    <w:rsid w:val="006C563F"/>
    <w:rsid w:val="006C6307"/>
    <w:rsid w:val="006C6AA2"/>
    <w:rsid w:val="006C6D41"/>
    <w:rsid w:val="006C7CAD"/>
    <w:rsid w:val="006D167C"/>
    <w:rsid w:val="006D1A97"/>
    <w:rsid w:val="006D1E77"/>
    <w:rsid w:val="006D22B0"/>
    <w:rsid w:val="006D2E3E"/>
    <w:rsid w:val="006D76DC"/>
    <w:rsid w:val="006E0270"/>
    <w:rsid w:val="006E0351"/>
    <w:rsid w:val="006E05BA"/>
    <w:rsid w:val="006E1501"/>
    <w:rsid w:val="006E1A88"/>
    <w:rsid w:val="006E1FA1"/>
    <w:rsid w:val="006E3602"/>
    <w:rsid w:val="006E4D3A"/>
    <w:rsid w:val="006E6461"/>
    <w:rsid w:val="006E6923"/>
    <w:rsid w:val="006E7E4D"/>
    <w:rsid w:val="006F0450"/>
    <w:rsid w:val="006F0656"/>
    <w:rsid w:val="006F06A0"/>
    <w:rsid w:val="006F125F"/>
    <w:rsid w:val="006F17C2"/>
    <w:rsid w:val="006F239B"/>
    <w:rsid w:val="006F2D88"/>
    <w:rsid w:val="006F2F47"/>
    <w:rsid w:val="006F3B01"/>
    <w:rsid w:val="006F59AF"/>
    <w:rsid w:val="006F5DB5"/>
    <w:rsid w:val="006F692C"/>
    <w:rsid w:val="006F6BC0"/>
    <w:rsid w:val="006F7939"/>
    <w:rsid w:val="006F7ABA"/>
    <w:rsid w:val="006F7FF7"/>
    <w:rsid w:val="00700624"/>
    <w:rsid w:val="00703967"/>
    <w:rsid w:val="00703A21"/>
    <w:rsid w:val="00703C18"/>
    <w:rsid w:val="00704DE2"/>
    <w:rsid w:val="00705443"/>
    <w:rsid w:val="00705627"/>
    <w:rsid w:val="007078DB"/>
    <w:rsid w:val="0071169E"/>
    <w:rsid w:val="00711D0C"/>
    <w:rsid w:val="00712D01"/>
    <w:rsid w:val="007131F6"/>
    <w:rsid w:val="007134FF"/>
    <w:rsid w:val="0071419E"/>
    <w:rsid w:val="007141AD"/>
    <w:rsid w:val="007148C7"/>
    <w:rsid w:val="007153C4"/>
    <w:rsid w:val="00715785"/>
    <w:rsid w:val="00715E1F"/>
    <w:rsid w:val="00716B6C"/>
    <w:rsid w:val="00720668"/>
    <w:rsid w:val="00720DCD"/>
    <w:rsid w:val="00721A6F"/>
    <w:rsid w:val="00721D60"/>
    <w:rsid w:val="00722D9E"/>
    <w:rsid w:val="007236D6"/>
    <w:rsid w:val="00723ACA"/>
    <w:rsid w:val="00723D0D"/>
    <w:rsid w:val="0072495C"/>
    <w:rsid w:val="0072536F"/>
    <w:rsid w:val="00725380"/>
    <w:rsid w:val="00725579"/>
    <w:rsid w:val="00725997"/>
    <w:rsid w:val="007266F7"/>
    <w:rsid w:val="0072727A"/>
    <w:rsid w:val="007277F6"/>
    <w:rsid w:val="00730E2A"/>
    <w:rsid w:val="007311E5"/>
    <w:rsid w:val="00731A34"/>
    <w:rsid w:val="00732518"/>
    <w:rsid w:val="00734383"/>
    <w:rsid w:val="007359C0"/>
    <w:rsid w:val="00735EEE"/>
    <w:rsid w:val="007364CE"/>
    <w:rsid w:val="007400A7"/>
    <w:rsid w:val="00740E30"/>
    <w:rsid w:val="007419AE"/>
    <w:rsid w:val="00741B03"/>
    <w:rsid w:val="0074203B"/>
    <w:rsid w:val="00743668"/>
    <w:rsid w:val="00743C36"/>
    <w:rsid w:val="00745216"/>
    <w:rsid w:val="00745900"/>
    <w:rsid w:val="00746A00"/>
    <w:rsid w:val="007474AA"/>
    <w:rsid w:val="00747601"/>
    <w:rsid w:val="007500CC"/>
    <w:rsid w:val="00750DF5"/>
    <w:rsid w:val="00751201"/>
    <w:rsid w:val="00752579"/>
    <w:rsid w:val="007526E4"/>
    <w:rsid w:val="00753DF6"/>
    <w:rsid w:val="007544E9"/>
    <w:rsid w:val="00755F1A"/>
    <w:rsid w:val="007570D2"/>
    <w:rsid w:val="0076007D"/>
    <w:rsid w:val="0076109A"/>
    <w:rsid w:val="0076181E"/>
    <w:rsid w:val="00761B05"/>
    <w:rsid w:val="00762452"/>
    <w:rsid w:val="00762F8F"/>
    <w:rsid w:val="0076347F"/>
    <w:rsid w:val="00764741"/>
    <w:rsid w:val="00764972"/>
    <w:rsid w:val="007649A1"/>
    <w:rsid w:val="00765F2E"/>
    <w:rsid w:val="007661F2"/>
    <w:rsid w:val="00766A2A"/>
    <w:rsid w:val="00767840"/>
    <w:rsid w:val="00767DCB"/>
    <w:rsid w:val="007729C0"/>
    <w:rsid w:val="00773517"/>
    <w:rsid w:val="00773EF9"/>
    <w:rsid w:val="00775C33"/>
    <w:rsid w:val="00775EFA"/>
    <w:rsid w:val="007764C9"/>
    <w:rsid w:val="00776E78"/>
    <w:rsid w:val="00777A04"/>
    <w:rsid w:val="00777A80"/>
    <w:rsid w:val="00777BEF"/>
    <w:rsid w:val="00781357"/>
    <w:rsid w:val="00782480"/>
    <w:rsid w:val="00782CEC"/>
    <w:rsid w:val="0078327E"/>
    <w:rsid w:val="0078392E"/>
    <w:rsid w:val="00784297"/>
    <w:rsid w:val="00784ADA"/>
    <w:rsid w:val="00785578"/>
    <w:rsid w:val="007855A2"/>
    <w:rsid w:val="00786312"/>
    <w:rsid w:val="007879E9"/>
    <w:rsid w:val="00790252"/>
    <w:rsid w:val="007904B0"/>
    <w:rsid w:val="00790A28"/>
    <w:rsid w:val="007916DB"/>
    <w:rsid w:val="007923C4"/>
    <w:rsid w:val="007939DF"/>
    <w:rsid w:val="00794199"/>
    <w:rsid w:val="0079433A"/>
    <w:rsid w:val="0079458A"/>
    <w:rsid w:val="00794AD7"/>
    <w:rsid w:val="0079503F"/>
    <w:rsid w:val="00795D89"/>
    <w:rsid w:val="00796249"/>
    <w:rsid w:val="00797328"/>
    <w:rsid w:val="007A1970"/>
    <w:rsid w:val="007A1989"/>
    <w:rsid w:val="007A1D89"/>
    <w:rsid w:val="007A2201"/>
    <w:rsid w:val="007A2F2A"/>
    <w:rsid w:val="007A3B58"/>
    <w:rsid w:val="007A41B3"/>
    <w:rsid w:val="007A4893"/>
    <w:rsid w:val="007A4E41"/>
    <w:rsid w:val="007A52FF"/>
    <w:rsid w:val="007A5A97"/>
    <w:rsid w:val="007A674F"/>
    <w:rsid w:val="007A6CDD"/>
    <w:rsid w:val="007A7078"/>
    <w:rsid w:val="007A7562"/>
    <w:rsid w:val="007B11C6"/>
    <w:rsid w:val="007B1251"/>
    <w:rsid w:val="007B1612"/>
    <w:rsid w:val="007B1635"/>
    <w:rsid w:val="007B2A55"/>
    <w:rsid w:val="007B3A69"/>
    <w:rsid w:val="007B45BC"/>
    <w:rsid w:val="007B4FD6"/>
    <w:rsid w:val="007B595D"/>
    <w:rsid w:val="007B66E2"/>
    <w:rsid w:val="007B6B7B"/>
    <w:rsid w:val="007B7070"/>
    <w:rsid w:val="007B7D68"/>
    <w:rsid w:val="007B7F8D"/>
    <w:rsid w:val="007C0205"/>
    <w:rsid w:val="007C045D"/>
    <w:rsid w:val="007C119E"/>
    <w:rsid w:val="007C1202"/>
    <w:rsid w:val="007C14C5"/>
    <w:rsid w:val="007C1F0E"/>
    <w:rsid w:val="007C3873"/>
    <w:rsid w:val="007C3A70"/>
    <w:rsid w:val="007C49FD"/>
    <w:rsid w:val="007C4A49"/>
    <w:rsid w:val="007C4BAC"/>
    <w:rsid w:val="007C4E5A"/>
    <w:rsid w:val="007C66B0"/>
    <w:rsid w:val="007C6F65"/>
    <w:rsid w:val="007D24E3"/>
    <w:rsid w:val="007D3870"/>
    <w:rsid w:val="007D3C74"/>
    <w:rsid w:val="007D43CE"/>
    <w:rsid w:val="007D5156"/>
    <w:rsid w:val="007D55E6"/>
    <w:rsid w:val="007D6724"/>
    <w:rsid w:val="007E0A71"/>
    <w:rsid w:val="007E31C9"/>
    <w:rsid w:val="007E410E"/>
    <w:rsid w:val="007E4A4A"/>
    <w:rsid w:val="007E4D84"/>
    <w:rsid w:val="007E57DA"/>
    <w:rsid w:val="007E6503"/>
    <w:rsid w:val="007E6D36"/>
    <w:rsid w:val="007E6E38"/>
    <w:rsid w:val="007E7770"/>
    <w:rsid w:val="007F09EF"/>
    <w:rsid w:val="007F1462"/>
    <w:rsid w:val="007F152B"/>
    <w:rsid w:val="007F1641"/>
    <w:rsid w:val="007F2229"/>
    <w:rsid w:val="007F3061"/>
    <w:rsid w:val="007F339E"/>
    <w:rsid w:val="007F3997"/>
    <w:rsid w:val="007F443D"/>
    <w:rsid w:val="007F5175"/>
    <w:rsid w:val="007F5D94"/>
    <w:rsid w:val="007F677B"/>
    <w:rsid w:val="007F6F47"/>
    <w:rsid w:val="007F6F6A"/>
    <w:rsid w:val="00801B7A"/>
    <w:rsid w:val="00801E34"/>
    <w:rsid w:val="00801E7B"/>
    <w:rsid w:val="00801E86"/>
    <w:rsid w:val="008022AD"/>
    <w:rsid w:val="008022F5"/>
    <w:rsid w:val="00802E52"/>
    <w:rsid w:val="00803638"/>
    <w:rsid w:val="00804D44"/>
    <w:rsid w:val="00804F63"/>
    <w:rsid w:val="00806364"/>
    <w:rsid w:val="00807AC3"/>
    <w:rsid w:val="00807D41"/>
    <w:rsid w:val="00811A6A"/>
    <w:rsid w:val="00812494"/>
    <w:rsid w:val="008132BE"/>
    <w:rsid w:val="00813C4F"/>
    <w:rsid w:val="00813E2C"/>
    <w:rsid w:val="00815707"/>
    <w:rsid w:val="0081761C"/>
    <w:rsid w:val="00820553"/>
    <w:rsid w:val="00820B7B"/>
    <w:rsid w:val="00821B29"/>
    <w:rsid w:val="00824B20"/>
    <w:rsid w:val="00824B2B"/>
    <w:rsid w:val="00824E95"/>
    <w:rsid w:val="008256F6"/>
    <w:rsid w:val="00825842"/>
    <w:rsid w:val="00826CAC"/>
    <w:rsid w:val="00827B13"/>
    <w:rsid w:val="00827C5F"/>
    <w:rsid w:val="00827CFE"/>
    <w:rsid w:val="0083164E"/>
    <w:rsid w:val="0083165C"/>
    <w:rsid w:val="00835208"/>
    <w:rsid w:val="008356E0"/>
    <w:rsid w:val="008357FC"/>
    <w:rsid w:val="00836BB5"/>
    <w:rsid w:val="0084076B"/>
    <w:rsid w:val="008415B3"/>
    <w:rsid w:val="00841686"/>
    <w:rsid w:val="00841B5B"/>
    <w:rsid w:val="00841C34"/>
    <w:rsid w:val="00843D40"/>
    <w:rsid w:val="0084505E"/>
    <w:rsid w:val="00846E52"/>
    <w:rsid w:val="00846EC8"/>
    <w:rsid w:val="00847C0C"/>
    <w:rsid w:val="008503F9"/>
    <w:rsid w:val="008512C2"/>
    <w:rsid w:val="008514E0"/>
    <w:rsid w:val="00852F46"/>
    <w:rsid w:val="008532BF"/>
    <w:rsid w:val="008558E1"/>
    <w:rsid w:val="00855C93"/>
    <w:rsid w:val="00855E08"/>
    <w:rsid w:val="00855F5F"/>
    <w:rsid w:val="00861AFA"/>
    <w:rsid w:val="0086235B"/>
    <w:rsid w:val="00862802"/>
    <w:rsid w:val="00862D3E"/>
    <w:rsid w:val="00862D52"/>
    <w:rsid w:val="00863253"/>
    <w:rsid w:val="00863975"/>
    <w:rsid w:val="0086530C"/>
    <w:rsid w:val="00865406"/>
    <w:rsid w:val="0086544F"/>
    <w:rsid w:val="00866BF7"/>
    <w:rsid w:val="00871160"/>
    <w:rsid w:val="008712CC"/>
    <w:rsid w:val="00871D7F"/>
    <w:rsid w:val="00871F1C"/>
    <w:rsid w:val="00871FC8"/>
    <w:rsid w:val="00872EBA"/>
    <w:rsid w:val="008746C6"/>
    <w:rsid w:val="00874951"/>
    <w:rsid w:val="008752C1"/>
    <w:rsid w:val="00875D2C"/>
    <w:rsid w:val="00875E5D"/>
    <w:rsid w:val="00875F0B"/>
    <w:rsid w:val="008762ED"/>
    <w:rsid w:val="008773A8"/>
    <w:rsid w:val="008774B9"/>
    <w:rsid w:val="00877D66"/>
    <w:rsid w:val="00881E9C"/>
    <w:rsid w:val="008832B5"/>
    <w:rsid w:val="008835E1"/>
    <w:rsid w:val="00883722"/>
    <w:rsid w:val="00883C8C"/>
    <w:rsid w:val="00884A3A"/>
    <w:rsid w:val="00884BF3"/>
    <w:rsid w:val="00885612"/>
    <w:rsid w:val="00886557"/>
    <w:rsid w:val="008865C3"/>
    <w:rsid w:val="00887270"/>
    <w:rsid w:val="0088728F"/>
    <w:rsid w:val="00887376"/>
    <w:rsid w:val="008876B0"/>
    <w:rsid w:val="008903EE"/>
    <w:rsid w:val="008908B5"/>
    <w:rsid w:val="00891005"/>
    <w:rsid w:val="00892041"/>
    <w:rsid w:val="00893750"/>
    <w:rsid w:val="00893859"/>
    <w:rsid w:val="00893C07"/>
    <w:rsid w:val="00893DD1"/>
    <w:rsid w:val="00893E0A"/>
    <w:rsid w:val="00894A9B"/>
    <w:rsid w:val="00894FAC"/>
    <w:rsid w:val="00896F4A"/>
    <w:rsid w:val="008971B0"/>
    <w:rsid w:val="00897644"/>
    <w:rsid w:val="008A1808"/>
    <w:rsid w:val="008A1F6B"/>
    <w:rsid w:val="008A3B12"/>
    <w:rsid w:val="008A4967"/>
    <w:rsid w:val="008A5130"/>
    <w:rsid w:val="008A5211"/>
    <w:rsid w:val="008A6307"/>
    <w:rsid w:val="008A694B"/>
    <w:rsid w:val="008B09B3"/>
    <w:rsid w:val="008B1336"/>
    <w:rsid w:val="008B1DD8"/>
    <w:rsid w:val="008B37E0"/>
    <w:rsid w:val="008B3A74"/>
    <w:rsid w:val="008B3BE0"/>
    <w:rsid w:val="008B4AB1"/>
    <w:rsid w:val="008B6B54"/>
    <w:rsid w:val="008C026D"/>
    <w:rsid w:val="008C12D9"/>
    <w:rsid w:val="008C1C70"/>
    <w:rsid w:val="008C1E73"/>
    <w:rsid w:val="008C1FFF"/>
    <w:rsid w:val="008C44B7"/>
    <w:rsid w:val="008C45B8"/>
    <w:rsid w:val="008C45C0"/>
    <w:rsid w:val="008C591E"/>
    <w:rsid w:val="008C5E4B"/>
    <w:rsid w:val="008C6207"/>
    <w:rsid w:val="008C715E"/>
    <w:rsid w:val="008D0212"/>
    <w:rsid w:val="008D03AE"/>
    <w:rsid w:val="008D071F"/>
    <w:rsid w:val="008D2623"/>
    <w:rsid w:val="008D4A60"/>
    <w:rsid w:val="008D4E3D"/>
    <w:rsid w:val="008D549A"/>
    <w:rsid w:val="008D6005"/>
    <w:rsid w:val="008D63EA"/>
    <w:rsid w:val="008D6BED"/>
    <w:rsid w:val="008E0772"/>
    <w:rsid w:val="008E117F"/>
    <w:rsid w:val="008E13DC"/>
    <w:rsid w:val="008E1C67"/>
    <w:rsid w:val="008E1CFE"/>
    <w:rsid w:val="008E2D16"/>
    <w:rsid w:val="008E30FC"/>
    <w:rsid w:val="008E36E3"/>
    <w:rsid w:val="008E3B04"/>
    <w:rsid w:val="008E3CDD"/>
    <w:rsid w:val="008E53DC"/>
    <w:rsid w:val="008E5A5B"/>
    <w:rsid w:val="008E66FC"/>
    <w:rsid w:val="008E6D2E"/>
    <w:rsid w:val="008E6D30"/>
    <w:rsid w:val="008F0149"/>
    <w:rsid w:val="008F05CC"/>
    <w:rsid w:val="008F10A7"/>
    <w:rsid w:val="008F1148"/>
    <w:rsid w:val="008F148C"/>
    <w:rsid w:val="008F2AB6"/>
    <w:rsid w:val="008F396B"/>
    <w:rsid w:val="008F41AF"/>
    <w:rsid w:val="008F48D5"/>
    <w:rsid w:val="008F4911"/>
    <w:rsid w:val="008F4F35"/>
    <w:rsid w:val="008F53F2"/>
    <w:rsid w:val="008F57AC"/>
    <w:rsid w:val="008F6F78"/>
    <w:rsid w:val="008F7B60"/>
    <w:rsid w:val="008F7BED"/>
    <w:rsid w:val="008F7CEE"/>
    <w:rsid w:val="00900E21"/>
    <w:rsid w:val="00901B25"/>
    <w:rsid w:val="00902722"/>
    <w:rsid w:val="00903B03"/>
    <w:rsid w:val="00904C15"/>
    <w:rsid w:val="009057C8"/>
    <w:rsid w:val="00905B53"/>
    <w:rsid w:val="0090629F"/>
    <w:rsid w:val="00906459"/>
    <w:rsid w:val="009074A7"/>
    <w:rsid w:val="0090776D"/>
    <w:rsid w:val="0091099D"/>
    <w:rsid w:val="00910EB0"/>
    <w:rsid w:val="00911E54"/>
    <w:rsid w:val="009130FF"/>
    <w:rsid w:val="00914D42"/>
    <w:rsid w:val="00914DD9"/>
    <w:rsid w:val="009152E9"/>
    <w:rsid w:val="0092039C"/>
    <w:rsid w:val="009227A8"/>
    <w:rsid w:val="009234C1"/>
    <w:rsid w:val="00924451"/>
    <w:rsid w:val="00925EA4"/>
    <w:rsid w:val="0092708B"/>
    <w:rsid w:val="00927BBF"/>
    <w:rsid w:val="009301D5"/>
    <w:rsid w:val="00932090"/>
    <w:rsid w:val="009322AA"/>
    <w:rsid w:val="00933320"/>
    <w:rsid w:val="00933C27"/>
    <w:rsid w:val="00933F5D"/>
    <w:rsid w:val="0093511B"/>
    <w:rsid w:val="00935F9C"/>
    <w:rsid w:val="00936A0A"/>
    <w:rsid w:val="00937C85"/>
    <w:rsid w:val="00940B3D"/>
    <w:rsid w:val="009414A0"/>
    <w:rsid w:val="009416F3"/>
    <w:rsid w:val="0094263E"/>
    <w:rsid w:val="00942AAF"/>
    <w:rsid w:val="00942EFB"/>
    <w:rsid w:val="00943418"/>
    <w:rsid w:val="0094343E"/>
    <w:rsid w:val="00943EA7"/>
    <w:rsid w:val="009441E9"/>
    <w:rsid w:val="00944A34"/>
    <w:rsid w:val="00944B80"/>
    <w:rsid w:val="009458BA"/>
    <w:rsid w:val="00945E5C"/>
    <w:rsid w:val="00946965"/>
    <w:rsid w:val="00947356"/>
    <w:rsid w:val="00947789"/>
    <w:rsid w:val="00947863"/>
    <w:rsid w:val="00950A60"/>
    <w:rsid w:val="00951AE3"/>
    <w:rsid w:val="009527D1"/>
    <w:rsid w:val="00952C60"/>
    <w:rsid w:val="00952ED6"/>
    <w:rsid w:val="00953237"/>
    <w:rsid w:val="00953901"/>
    <w:rsid w:val="00953C7C"/>
    <w:rsid w:val="0095422F"/>
    <w:rsid w:val="009552D1"/>
    <w:rsid w:val="009552E6"/>
    <w:rsid w:val="0095643D"/>
    <w:rsid w:val="00960CB3"/>
    <w:rsid w:val="00960D21"/>
    <w:rsid w:val="0096100F"/>
    <w:rsid w:val="00961109"/>
    <w:rsid w:val="00962717"/>
    <w:rsid w:val="00962891"/>
    <w:rsid w:val="00962897"/>
    <w:rsid w:val="00962D7D"/>
    <w:rsid w:val="00962E47"/>
    <w:rsid w:val="00963428"/>
    <w:rsid w:val="0096345E"/>
    <w:rsid w:val="00964146"/>
    <w:rsid w:val="00965112"/>
    <w:rsid w:val="00965AAC"/>
    <w:rsid w:val="00966EE5"/>
    <w:rsid w:val="00971840"/>
    <w:rsid w:val="009729A2"/>
    <w:rsid w:val="00972D14"/>
    <w:rsid w:val="00972E7A"/>
    <w:rsid w:val="00972E8B"/>
    <w:rsid w:val="00973596"/>
    <w:rsid w:val="00974355"/>
    <w:rsid w:val="00974A6F"/>
    <w:rsid w:val="00975677"/>
    <w:rsid w:val="00976424"/>
    <w:rsid w:val="009766FB"/>
    <w:rsid w:val="00976E0B"/>
    <w:rsid w:val="009778B6"/>
    <w:rsid w:val="009815E8"/>
    <w:rsid w:val="00981A96"/>
    <w:rsid w:val="009852F5"/>
    <w:rsid w:val="009856E2"/>
    <w:rsid w:val="00986044"/>
    <w:rsid w:val="009861A3"/>
    <w:rsid w:val="0098693D"/>
    <w:rsid w:val="00990755"/>
    <w:rsid w:val="00991731"/>
    <w:rsid w:val="00991C75"/>
    <w:rsid w:val="00991CF8"/>
    <w:rsid w:val="00991EAA"/>
    <w:rsid w:val="00992047"/>
    <w:rsid w:val="009921A2"/>
    <w:rsid w:val="00992EBF"/>
    <w:rsid w:val="009931DC"/>
    <w:rsid w:val="00993AF9"/>
    <w:rsid w:val="009947C8"/>
    <w:rsid w:val="0099764E"/>
    <w:rsid w:val="009A0F39"/>
    <w:rsid w:val="009A1214"/>
    <w:rsid w:val="009A180F"/>
    <w:rsid w:val="009A1D6E"/>
    <w:rsid w:val="009A2547"/>
    <w:rsid w:val="009A2615"/>
    <w:rsid w:val="009A356D"/>
    <w:rsid w:val="009A3C60"/>
    <w:rsid w:val="009A3E51"/>
    <w:rsid w:val="009A4106"/>
    <w:rsid w:val="009A444D"/>
    <w:rsid w:val="009A461C"/>
    <w:rsid w:val="009A52DF"/>
    <w:rsid w:val="009A6303"/>
    <w:rsid w:val="009A6671"/>
    <w:rsid w:val="009B004A"/>
    <w:rsid w:val="009B1623"/>
    <w:rsid w:val="009B1640"/>
    <w:rsid w:val="009B1A01"/>
    <w:rsid w:val="009B1F49"/>
    <w:rsid w:val="009B25A8"/>
    <w:rsid w:val="009B26AD"/>
    <w:rsid w:val="009B27E4"/>
    <w:rsid w:val="009B28AD"/>
    <w:rsid w:val="009B3780"/>
    <w:rsid w:val="009B5952"/>
    <w:rsid w:val="009B6533"/>
    <w:rsid w:val="009B7DF3"/>
    <w:rsid w:val="009C0119"/>
    <w:rsid w:val="009C0422"/>
    <w:rsid w:val="009C0A5F"/>
    <w:rsid w:val="009C108F"/>
    <w:rsid w:val="009C1CD2"/>
    <w:rsid w:val="009C203A"/>
    <w:rsid w:val="009C2383"/>
    <w:rsid w:val="009C262D"/>
    <w:rsid w:val="009C2668"/>
    <w:rsid w:val="009C3395"/>
    <w:rsid w:val="009C44E9"/>
    <w:rsid w:val="009C4624"/>
    <w:rsid w:val="009C5601"/>
    <w:rsid w:val="009C5F0D"/>
    <w:rsid w:val="009C62DA"/>
    <w:rsid w:val="009C6FAE"/>
    <w:rsid w:val="009D02D8"/>
    <w:rsid w:val="009D1B3E"/>
    <w:rsid w:val="009D2B05"/>
    <w:rsid w:val="009D318C"/>
    <w:rsid w:val="009D33B4"/>
    <w:rsid w:val="009D36DE"/>
    <w:rsid w:val="009D4E2D"/>
    <w:rsid w:val="009D53B1"/>
    <w:rsid w:val="009D5BD6"/>
    <w:rsid w:val="009D5C8B"/>
    <w:rsid w:val="009D5CFC"/>
    <w:rsid w:val="009D652B"/>
    <w:rsid w:val="009D6AF1"/>
    <w:rsid w:val="009D6E33"/>
    <w:rsid w:val="009D6FA1"/>
    <w:rsid w:val="009D7A08"/>
    <w:rsid w:val="009E03DD"/>
    <w:rsid w:val="009E09A7"/>
    <w:rsid w:val="009E1100"/>
    <w:rsid w:val="009E163C"/>
    <w:rsid w:val="009E172C"/>
    <w:rsid w:val="009E25C6"/>
    <w:rsid w:val="009E2639"/>
    <w:rsid w:val="009E267C"/>
    <w:rsid w:val="009E2EB3"/>
    <w:rsid w:val="009E2EDF"/>
    <w:rsid w:val="009E3D60"/>
    <w:rsid w:val="009E53DE"/>
    <w:rsid w:val="009E549D"/>
    <w:rsid w:val="009E6274"/>
    <w:rsid w:val="009E6CC2"/>
    <w:rsid w:val="009E7331"/>
    <w:rsid w:val="009F0DBA"/>
    <w:rsid w:val="009F1666"/>
    <w:rsid w:val="009F2AC7"/>
    <w:rsid w:val="009F3A75"/>
    <w:rsid w:val="009F4EF8"/>
    <w:rsid w:val="009F54F4"/>
    <w:rsid w:val="009F5E17"/>
    <w:rsid w:val="009F60F8"/>
    <w:rsid w:val="009F68CC"/>
    <w:rsid w:val="009F6BA8"/>
    <w:rsid w:val="00A00828"/>
    <w:rsid w:val="00A01C23"/>
    <w:rsid w:val="00A02349"/>
    <w:rsid w:val="00A02557"/>
    <w:rsid w:val="00A035DB"/>
    <w:rsid w:val="00A0405B"/>
    <w:rsid w:val="00A055C1"/>
    <w:rsid w:val="00A1063E"/>
    <w:rsid w:val="00A110D3"/>
    <w:rsid w:val="00A111DD"/>
    <w:rsid w:val="00A11496"/>
    <w:rsid w:val="00A11DD9"/>
    <w:rsid w:val="00A121E8"/>
    <w:rsid w:val="00A13251"/>
    <w:rsid w:val="00A13638"/>
    <w:rsid w:val="00A139F9"/>
    <w:rsid w:val="00A13C5C"/>
    <w:rsid w:val="00A1450E"/>
    <w:rsid w:val="00A147EC"/>
    <w:rsid w:val="00A147FB"/>
    <w:rsid w:val="00A16879"/>
    <w:rsid w:val="00A16C16"/>
    <w:rsid w:val="00A172AD"/>
    <w:rsid w:val="00A17DCC"/>
    <w:rsid w:val="00A20244"/>
    <w:rsid w:val="00A20A7D"/>
    <w:rsid w:val="00A2117D"/>
    <w:rsid w:val="00A2136E"/>
    <w:rsid w:val="00A21729"/>
    <w:rsid w:val="00A229B6"/>
    <w:rsid w:val="00A2300E"/>
    <w:rsid w:val="00A23320"/>
    <w:rsid w:val="00A238D0"/>
    <w:rsid w:val="00A2564C"/>
    <w:rsid w:val="00A259EB"/>
    <w:rsid w:val="00A273AB"/>
    <w:rsid w:val="00A277FC"/>
    <w:rsid w:val="00A27A38"/>
    <w:rsid w:val="00A30270"/>
    <w:rsid w:val="00A31BA1"/>
    <w:rsid w:val="00A31D05"/>
    <w:rsid w:val="00A338F8"/>
    <w:rsid w:val="00A340BA"/>
    <w:rsid w:val="00A343C3"/>
    <w:rsid w:val="00A346E7"/>
    <w:rsid w:val="00A34F2D"/>
    <w:rsid w:val="00A34F55"/>
    <w:rsid w:val="00A3506C"/>
    <w:rsid w:val="00A35D71"/>
    <w:rsid w:val="00A3719F"/>
    <w:rsid w:val="00A403E3"/>
    <w:rsid w:val="00A4093A"/>
    <w:rsid w:val="00A415E7"/>
    <w:rsid w:val="00A42194"/>
    <w:rsid w:val="00A42A07"/>
    <w:rsid w:val="00A43A6D"/>
    <w:rsid w:val="00A44259"/>
    <w:rsid w:val="00A44A08"/>
    <w:rsid w:val="00A4605D"/>
    <w:rsid w:val="00A46836"/>
    <w:rsid w:val="00A4688A"/>
    <w:rsid w:val="00A477CC"/>
    <w:rsid w:val="00A47966"/>
    <w:rsid w:val="00A51431"/>
    <w:rsid w:val="00A5182C"/>
    <w:rsid w:val="00A535C5"/>
    <w:rsid w:val="00A547FC"/>
    <w:rsid w:val="00A56BFD"/>
    <w:rsid w:val="00A56D79"/>
    <w:rsid w:val="00A607BA"/>
    <w:rsid w:val="00A61373"/>
    <w:rsid w:val="00A61FBB"/>
    <w:rsid w:val="00A61FC2"/>
    <w:rsid w:val="00A6205D"/>
    <w:rsid w:val="00A636F1"/>
    <w:rsid w:val="00A63FB3"/>
    <w:rsid w:val="00A64C6C"/>
    <w:rsid w:val="00A65854"/>
    <w:rsid w:val="00A66BED"/>
    <w:rsid w:val="00A66F1D"/>
    <w:rsid w:val="00A70118"/>
    <w:rsid w:val="00A70C33"/>
    <w:rsid w:val="00A71B34"/>
    <w:rsid w:val="00A7263C"/>
    <w:rsid w:val="00A73879"/>
    <w:rsid w:val="00A74B20"/>
    <w:rsid w:val="00A758E6"/>
    <w:rsid w:val="00A75C3A"/>
    <w:rsid w:val="00A77842"/>
    <w:rsid w:val="00A8154E"/>
    <w:rsid w:val="00A820A7"/>
    <w:rsid w:val="00A82E58"/>
    <w:rsid w:val="00A83039"/>
    <w:rsid w:val="00A832EB"/>
    <w:rsid w:val="00A84D2A"/>
    <w:rsid w:val="00A86303"/>
    <w:rsid w:val="00A8654D"/>
    <w:rsid w:val="00A900C8"/>
    <w:rsid w:val="00A90E16"/>
    <w:rsid w:val="00A914A2"/>
    <w:rsid w:val="00A915A2"/>
    <w:rsid w:val="00A917BC"/>
    <w:rsid w:val="00A92265"/>
    <w:rsid w:val="00A924DB"/>
    <w:rsid w:val="00A925D1"/>
    <w:rsid w:val="00A93A69"/>
    <w:rsid w:val="00A93A9D"/>
    <w:rsid w:val="00A93CC1"/>
    <w:rsid w:val="00A93DCC"/>
    <w:rsid w:val="00A945C3"/>
    <w:rsid w:val="00A95700"/>
    <w:rsid w:val="00A976FC"/>
    <w:rsid w:val="00AA03C8"/>
    <w:rsid w:val="00AA0BC6"/>
    <w:rsid w:val="00AA0FEA"/>
    <w:rsid w:val="00AA1061"/>
    <w:rsid w:val="00AA1C6A"/>
    <w:rsid w:val="00AA2AF2"/>
    <w:rsid w:val="00AA3255"/>
    <w:rsid w:val="00AA47E0"/>
    <w:rsid w:val="00AA52F4"/>
    <w:rsid w:val="00AA57DF"/>
    <w:rsid w:val="00AA5CC3"/>
    <w:rsid w:val="00AA6AF9"/>
    <w:rsid w:val="00AA6E2D"/>
    <w:rsid w:val="00AA75B5"/>
    <w:rsid w:val="00AB0D88"/>
    <w:rsid w:val="00AB22B7"/>
    <w:rsid w:val="00AB262B"/>
    <w:rsid w:val="00AB279E"/>
    <w:rsid w:val="00AB316D"/>
    <w:rsid w:val="00AB3918"/>
    <w:rsid w:val="00AB3E58"/>
    <w:rsid w:val="00AB4D98"/>
    <w:rsid w:val="00AB574D"/>
    <w:rsid w:val="00AB645E"/>
    <w:rsid w:val="00AB6AE8"/>
    <w:rsid w:val="00AB6F7E"/>
    <w:rsid w:val="00AC1A8E"/>
    <w:rsid w:val="00AC1C25"/>
    <w:rsid w:val="00AC1E87"/>
    <w:rsid w:val="00AC1F84"/>
    <w:rsid w:val="00AC2457"/>
    <w:rsid w:val="00AC4568"/>
    <w:rsid w:val="00AC4ABB"/>
    <w:rsid w:val="00AC4BC5"/>
    <w:rsid w:val="00AC574E"/>
    <w:rsid w:val="00AC67AA"/>
    <w:rsid w:val="00AD0312"/>
    <w:rsid w:val="00AD0B44"/>
    <w:rsid w:val="00AD2344"/>
    <w:rsid w:val="00AD27D8"/>
    <w:rsid w:val="00AD6324"/>
    <w:rsid w:val="00AD68BE"/>
    <w:rsid w:val="00AD6ACA"/>
    <w:rsid w:val="00AD7D80"/>
    <w:rsid w:val="00AD7FCE"/>
    <w:rsid w:val="00AE23F3"/>
    <w:rsid w:val="00AE33AA"/>
    <w:rsid w:val="00AE4681"/>
    <w:rsid w:val="00AE4BA0"/>
    <w:rsid w:val="00AE4C4C"/>
    <w:rsid w:val="00AE6340"/>
    <w:rsid w:val="00AE6456"/>
    <w:rsid w:val="00AE69F2"/>
    <w:rsid w:val="00AE6EA8"/>
    <w:rsid w:val="00AE71C4"/>
    <w:rsid w:val="00AE7559"/>
    <w:rsid w:val="00AE7657"/>
    <w:rsid w:val="00AE77BF"/>
    <w:rsid w:val="00AE7B35"/>
    <w:rsid w:val="00AE7C04"/>
    <w:rsid w:val="00AF0263"/>
    <w:rsid w:val="00AF0694"/>
    <w:rsid w:val="00AF07B8"/>
    <w:rsid w:val="00AF1495"/>
    <w:rsid w:val="00AF23FE"/>
    <w:rsid w:val="00AF3BD6"/>
    <w:rsid w:val="00AF3F1A"/>
    <w:rsid w:val="00AF3F39"/>
    <w:rsid w:val="00AF471A"/>
    <w:rsid w:val="00AF493F"/>
    <w:rsid w:val="00AF4E15"/>
    <w:rsid w:val="00AF56DC"/>
    <w:rsid w:val="00AF64D0"/>
    <w:rsid w:val="00B005C4"/>
    <w:rsid w:val="00B01126"/>
    <w:rsid w:val="00B01157"/>
    <w:rsid w:val="00B0126B"/>
    <w:rsid w:val="00B0152B"/>
    <w:rsid w:val="00B01707"/>
    <w:rsid w:val="00B01AD4"/>
    <w:rsid w:val="00B0385A"/>
    <w:rsid w:val="00B03B1E"/>
    <w:rsid w:val="00B03ECF"/>
    <w:rsid w:val="00B05D71"/>
    <w:rsid w:val="00B073DD"/>
    <w:rsid w:val="00B07CDC"/>
    <w:rsid w:val="00B10313"/>
    <w:rsid w:val="00B10C71"/>
    <w:rsid w:val="00B12D14"/>
    <w:rsid w:val="00B12D40"/>
    <w:rsid w:val="00B13392"/>
    <w:rsid w:val="00B138BE"/>
    <w:rsid w:val="00B13C8D"/>
    <w:rsid w:val="00B14129"/>
    <w:rsid w:val="00B14A87"/>
    <w:rsid w:val="00B14AB5"/>
    <w:rsid w:val="00B14EA8"/>
    <w:rsid w:val="00B16C8C"/>
    <w:rsid w:val="00B177AE"/>
    <w:rsid w:val="00B17C44"/>
    <w:rsid w:val="00B17EB1"/>
    <w:rsid w:val="00B205A3"/>
    <w:rsid w:val="00B2138E"/>
    <w:rsid w:val="00B216F0"/>
    <w:rsid w:val="00B2237C"/>
    <w:rsid w:val="00B225AE"/>
    <w:rsid w:val="00B226A5"/>
    <w:rsid w:val="00B2374A"/>
    <w:rsid w:val="00B23786"/>
    <w:rsid w:val="00B25506"/>
    <w:rsid w:val="00B25B82"/>
    <w:rsid w:val="00B2631D"/>
    <w:rsid w:val="00B2637C"/>
    <w:rsid w:val="00B26E6D"/>
    <w:rsid w:val="00B27EDB"/>
    <w:rsid w:val="00B30009"/>
    <w:rsid w:val="00B30B0B"/>
    <w:rsid w:val="00B31EAA"/>
    <w:rsid w:val="00B323B0"/>
    <w:rsid w:val="00B33671"/>
    <w:rsid w:val="00B34EAF"/>
    <w:rsid w:val="00B3635B"/>
    <w:rsid w:val="00B365C1"/>
    <w:rsid w:val="00B36B66"/>
    <w:rsid w:val="00B3781B"/>
    <w:rsid w:val="00B37CC0"/>
    <w:rsid w:val="00B407DD"/>
    <w:rsid w:val="00B4088D"/>
    <w:rsid w:val="00B441C1"/>
    <w:rsid w:val="00B44AD4"/>
    <w:rsid w:val="00B46D4D"/>
    <w:rsid w:val="00B5000F"/>
    <w:rsid w:val="00B50638"/>
    <w:rsid w:val="00B509E1"/>
    <w:rsid w:val="00B50D82"/>
    <w:rsid w:val="00B516E1"/>
    <w:rsid w:val="00B51B70"/>
    <w:rsid w:val="00B53E32"/>
    <w:rsid w:val="00B5404C"/>
    <w:rsid w:val="00B56023"/>
    <w:rsid w:val="00B56907"/>
    <w:rsid w:val="00B57C8C"/>
    <w:rsid w:val="00B6092D"/>
    <w:rsid w:val="00B62080"/>
    <w:rsid w:val="00B634BA"/>
    <w:rsid w:val="00B63C2E"/>
    <w:rsid w:val="00B63CDB"/>
    <w:rsid w:val="00B643CD"/>
    <w:rsid w:val="00B70031"/>
    <w:rsid w:val="00B70520"/>
    <w:rsid w:val="00B70658"/>
    <w:rsid w:val="00B70A16"/>
    <w:rsid w:val="00B70AA7"/>
    <w:rsid w:val="00B712FD"/>
    <w:rsid w:val="00B71CB7"/>
    <w:rsid w:val="00B726E6"/>
    <w:rsid w:val="00B730B6"/>
    <w:rsid w:val="00B73A51"/>
    <w:rsid w:val="00B7520A"/>
    <w:rsid w:val="00B7572B"/>
    <w:rsid w:val="00B7646F"/>
    <w:rsid w:val="00B764E7"/>
    <w:rsid w:val="00B76836"/>
    <w:rsid w:val="00B768DD"/>
    <w:rsid w:val="00B76A8A"/>
    <w:rsid w:val="00B774F7"/>
    <w:rsid w:val="00B77DF1"/>
    <w:rsid w:val="00B801DD"/>
    <w:rsid w:val="00B8247D"/>
    <w:rsid w:val="00B84FA0"/>
    <w:rsid w:val="00B853BE"/>
    <w:rsid w:val="00B8792E"/>
    <w:rsid w:val="00B87FE9"/>
    <w:rsid w:val="00B902B9"/>
    <w:rsid w:val="00B90F45"/>
    <w:rsid w:val="00B91E05"/>
    <w:rsid w:val="00B93178"/>
    <w:rsid w:val="00B93811"/>
    <w:rsid w:val="00B95773"/>
    <w:rsid w:val="00B95B3D"/>
    <w:rsid w:val="00B95ECA"/>
    <w:rsid w:val="00B960DE"/>
    <w:rsid w:val="00B96326"/>
    <w:rsid w:val="00B97CAC"/>
    <w:rsid w:val="00BA06B9"/>
    <w:rsid w:val="00BA1053"/>
    <w:rsid w:val="00BA25E0"/>
    <w:rsid w:val="00BA25F8"/>
    <w:rsid w:val="00BA2B45"/>
    <w:rsid w:val="00BA3744"/>
    <w:rsid w:val="00BA5DA2"/>
    <w:rsid w:val="00BA798D"/>
    <w:rsid w:val="00BB011D"/>
    <w:rsid w:val="00BB0A80"/>
    <w:rsid w:val="00BB23F3"/>
    <w:rsid w:val="00BB4DFC"/>
    <w:rsid w:val="00BB518D"/>
    <w:rsid w:val="00BB60E0"/>
    <w:rsid w:val="00BB61B7"/>
    <w:rsid w:val="00BB7208"/>
    <w:rsid w:val="00BB7249"/>
    <w:rsid w:val="00BB774E"/>
    <w:rsid w:val="00BB7951"/>
    <w:rsid w:val="00BB7A68"/>
    <w:rsid w:val="00BC01A1"/>
    <w:rsid w:val="00BC0242"/>
    <w:rsid w:val="00BC04B8"/>
    <w:rsid w:val="00BC1473"/>
    <w:rsid w:val="00BC15E0"/>
    <w:rsid w:val="00BC19C2"/>
    <w:rsid w:val="00BC1FEB"/>
    <w:rsid w:val="00BC24B6"/>
    <w:rsid w:val="00BC296C"/>
    <w:rsid w:val="00BC374E"/>
    <w:rsid w:val="00BC3942"/>
    <w:rsid w:val="00BC4121"/>
    <w:rsid w:val="00BC4329"/>
    <w:rsid w:val="00BC4DA6"/>
    <w:rsid w:val="00BC64F4"/>
    <w:rsid w:val="00BC74F5"/>
    <w:rsid w:val="00BC7AB1"/>
    <w:rsid w:val="00BD08A4"/>
    <w:rsid w:val="00BD08E4"/>
    <w:rsid w:val="00BD18C3"/>
    <w:rsid w:val="00BD2CCF"/>
    <w:rsid w:val="00BD3BA3"/>
    <w:rsid w:val="00BD4B96"/>
    <w:rsid w:val="00BD5268"/>
    <w:rsid w:val="00BD610B"/>
    <w:rsid w:val="00BD67FA"/>
    <w:rsid w:val="00BD70BB"/>
    <w:rsid w:val="00BD7294"/>
    <w:rsid w:val="00BD7F5E"/>
    <w:rsid w:val="00BE03A6"/>
    <w:rsid w:val="00BE11EC"/>
    <w:rsid w:val="00BE192F"/>
    <w:rsid w:val="00BE1C7A"/>
    <w:rsid w:val="00BE1E76"/>
    <w:rsid w:val="00BE267A"/>
    <w:rsid w:val="00BE2BC0"/>
    <w:rsid w:val="00BE3128"/>
    <w:rsid w:val="00BE4014"/>
    <w:rsid w:val="00BE4317"/>
    <w:rsid w:val="00BE470B"/>
    <w:rsid w:val="00BE50B9"/>
    <w:rsid w:val="00BE5DDE"/>
    <w:rsid w:val="00BE68A6"/>
    <w:rsid w:val="00BE6DEB"/>
    <w:rsid w:val="00BE793A"/>
    <w:rsid w:val="00BE7CE1"/>
    <w:rsid w:val="00BF166C"/>
    <w:rsid w:val="00BF1C9F"/>
    <w:rsid w:val="00BF311C"/>
    <w:rsid w:val="00BF31A0"/>
    <w:rsid w:val="00BF4B90"/>
    <w:rsid w:val="00BF506B"/>
    <w:rsid w:val="00BF5B68"/>
    <w:rsid w:val="00BF6046"/>
    <w:rsid w:val="00BF6196"/>
    <w:rsid w:val="00BF6684"/>
    <w:rsid w:val="00BF6BA7"/>
    <w:rsid w:val="00BF6CE5"/>
    <w:rsid w:val="00BF7F06"/>
    <w:rsid w:val="00C0004C"/>
    <w:rsid w:val="00C001B0"/>
    <w:rsid w:val="00C004A2"/>
    <w:rsid w:val="00C02018"/>
    <w:rsid w:val="00C03295"/>
    <w:rsid w:val="00C044A4"/>
    <w:rsid w:val="00C04F95"/>
    <w:rsid w:val="00C059D7"/>
    <w:rsid w:val="00C06BED"/>
    <w:rsid w:val="00C10EE6"/>
    <w:rsid w:val="00C10EF4"/>
    <w:rsid w:val="00C11A7F"/>
    <w:rsid w:val="00C12406"/>
    <w:rsid w:val="00C126EF"/>
    <w:rsid w:val="00C12C36"/>
    <w:rsid w:val="00C12CEF"/>
    <w:rsid w:val="00C12FBA"/>
    <w:rsid w:val="00C139AA"/>
    <w:rsid w:val="00C13B43"/>
    <w:rsid w:val="00C13D01"/>
    <w:rsid w:val="00C13EE5"/>
    <w:rsid w:val="00C142F8"/>
    <w:rsid w:val="00C14839"/>
    <w:rsid w:val="00C1675C"/>
    <w:rsid w:val="00C17F4C"/>
    <w:rsid w:val="00C205F8"/>
    <w:rsid w:val="00C20F22"/>
    <w:rsid w:val="00C2168A"/>
    <w:rsid w:val="00C21EE5"/>
    <w:rsid w:val="00C224B5"/>
    <w:rsid w:val="00C2410F"/>
    <w:rsid w:val="00C2479D"/>
    <w:rsid w:val="00C2538D"/>
    <w:rsid w:val="00C27AAF"/>
    <w:rsid w:val="00C311E1"/>
    <w:rsid w:val="00C329BE"/>
    <w:rsid w:val="00C32D55"/>
    <w:rsid w:val="00C337BE"/>
    <w:rsid w:val="00C34837"/>
    <w:rsid w:val="00C353D7"/>
    <w:rsid w:val="00C35523"/>
    <w:rsid w:val="00C35E47"/>
    <w:rsid w:val="00C37C2F"/>
    <w:rsid w:val="00C402F3"/>
    <w:rsid w:val="00C40314"/>
    <w:rsid w:val="00C407BB"/>
    <w:rsid w:val="00C415AA"/>
    <w:rsid w:val="00C4179A"/>
    <w:rsid w:val="00C4255A"/>
    <w:rsid w:val="00C434CE"/>
    <w:rsid w:val="00C43706"/>
    <w:rsid w:val="00C44051"/>
    <w:rsid w:val="00C44A5E"/>
    <w:rsid w:val="00C44D75"/>
    <w:rsid w:val="00C4589F"/>
    <w:rsid w:val="00C46744"/>
    <w:rsid w:val="00C46A53"/>
    <w:rsid w:val="00C46CD9"/>
    <w:rsid w:val="00C4757A"/>
    <w:rsid w:val="00C5003E"/>
    <w:rsid w:val="00C5177D"/>
    <w:rsid w:val="00C5271F"/>
    <w:rsid w:val="00C52793"/>
    <w:rsid w:val="00C532F3"/>
    <w:rsid w:val="00C53596"/>
    <w:rsid w:val="00C54307"/>
    <w:rsid w:val="00C544B5"/>
    <w:rsid w:val="00C55405"/>
    <w:rsid w:val="00C55928"/>
    <w:rsid w:val="00C55B38"/>
    <w:rsid w:val="00C55B57"/>
    <w:rsid w:val="00C56912"/>
    <w:rsid w:val="00C56E1C"/>
    <w:rsid w:val="00C57997"/>
    <w:rsid w:val="00C57C90"/>
    <w:rsid w:val="00C6070C"/>
    <w:rsid w:val="00C627F1"/>
    <w:rsid w:val="00C62DE1"/>
    <w:rsid w:val="00C63968"/>
    <w:rsid w:val="00C64537"/>
    <w:rsid w:val="00C648F2"/>
    <w:rsid w:val="00C651F9"/>
    <w:rsid w:val="00C653C3"/>
    <w:rsid w:val="00C65D3E"/>
    <w:rsid w:val="00C65F92"/>
    <w:rsid w:val="00C67900"/>
    <w:rsid w:val="00C729B0"/>
    <w:rsid w:val="00C74890"/>
    <w:rsid w:val="00C74ABA"/>
    <w:rsid w:val="00C77BE9"/>
    <w:rsid w:val="00C77F88"/>
    <w:rsid w:val="00C800BC"/>
    <w:rsid w:val="00C8189A"/>
    <w:rsid w:val="00C83184"/>
    <w:rsid w:val="00C834BC"/>
    <w:rsid w:val="00C835DB"/>
    <w:rsid w:val="00C849C1"/>
    <w:rsid w:val="00C8520D"/>
    <w:rsid w:val="00C86785"/>
    <w:rsid w:val="00C86B7D"/>
    <w:rsid w:val="00C86B90"/>
    <w:rsid w:val="00C86BB0"/>
    <w:rsid w:val="00C8737F"/>
    <w:rsid w:val="00C90C57"/>
    <w:rsid w:val="00C9148B"/>
    <w:rsid w:val="00C915CD"/>
    <w:rsid w:val="00C91834"/>
    <w:rsid w:val="00C92556"/>
    <w:rsid w:val="00C92C82"/>
    <w:rsid w:val="00C93CA6"/>
    <w:rsid w:val="00C9404D"/>
    <w:rsid w:val="00C9409B"/>
    <w:rsid w:val="00C95D33"/>
    <w:rsid w:val="00C9698D"/>
    <w:rsid w:val="00CA0669"/>
    <w:rsid w:val="00CA0715"/>
    <w:rsid w:val="00CA08E9"/>
    <w:rsid w:val="00CA0BFD"/>
    <w:rsid w:val="00CA0D42"/>
    <w:rsid w:val="00CA293D"/>
    <w:rsid w:val="00CA2B71"/>
    <w:rsid w:val="00CA2C60"/>
    <w:rsid w:val="00CA2F74"/>
    <w:rsid w:val="00CA3623"/>
    <w:rsid w:val="00CA4667"/>
    <w:rsid w:val="00CA497F"/>
    <w:rsid w:val="00CA4B29"/>
    <w:rsid w:val="00CA5BF6"/>
    <w:rsid w:val="00CA69B8"/>
    <w:rsid w:val="00CA6F05"/>
    <w:rsid w:val="00CA6F48"/>
    <w:rsid w:val="00CA7857"/>
    <w:rsid w:val="00CB29AB"/>
    <w:rsid w:val="00CB4285"/>
    <w:rsid w:val="00CB46BC"/>
    <w:rsid w:val="00CB497F"/>
    <w:rsid w:val="00CB4C7E"/>
    <w:rsid w:val="00CB5222"/>
    <w:rsid w:val="00CB5B8E"/>
    <w:rsid w:val="00CB6213"/>
    <w:rsid w:val="00CC0222"/>
    <w:rsid w:val="00CC216B"/>
    <w:rsid w:val="00CC2DFE"/>
    <w:rsid w:val="00CC4D5B"/>
    <w:rsid w:val="00CC4D8E"/>
    <w:rsid w:val="00CC4EB9"/>
    <w:rsid w:val="00CC5ED3"/>
    <w:rsid w:val="00CC69E0"/>
    <w:rsid w:val="00CC6D22"/>
    <w:rsid w:val="00CC71CE"/>
    <w:rsid w:val="00CD033E"/>
    <w:rsid w:val="00CD0586"/>
    <w:rsid w:val="00CD06D5"/>
    <w:rsid w:val="00CD4AE0"/>
    <w:rsid w:val="00CD4D7B"/>
    <w:rsid w:val="00CD5358"/>
    <w:rsid w:val="00CD6143"/>
    <w:rsid w:val="00CD6A5B"/>
    <w:rsid w:val="00CD7068"/>
    <w:rsid w:val="00CD7331"/>
    <w:rsid w:val="00CE02BF"/>
    <w:rsid w:val="00CE1A75"/>
    <w:rsid w:val="00CE245C"/>
    <w:rsid w:val="00CE4624"/>
    <w:rsid w:val="00CE59BC"/>
    <w:rsid w:val="00CE6234"/>
    <w:rsid w:val="00CE6C14"/>
    <w:rsid w:val="00CF1208"/>
    <w:rsid w:val="00CF1CD4"/>
    <w:rsid w:val="00CF21DE"/>
    <w:rsid w:val="00CF22EF"/>
    <w:rsid w:val="00CF2AAB"/>
    <w:rsid w:val="00CF2DBF"/>
    <w:rsid w:val="00CF3399"/>
    <w:rsid w:val="00CF3557"/>
    <w:rsid w:val="00CF373F"/>
    <w:rsid w:val="00CF4909"/>
    <w:rsid w:val="00CF78CB"/>
    <w:rsid w:val="00CF7F90"/>
    <w:rsid w:val="00D003A4"/>
    <w:rsid w:val="00D008D2"/>
    <w:rsid w:val="00D01A43"/>
    <w:rsid w:val="00D032E9"/>
    <w:rsid w:val="00D042F8"/>
    <w:rsid w:val="00D047BD"/>
    <w:rsid w:val="00D04B77"/>
    <w:rsid w:val="00D04CCD"/>
    <w:rsid w:val="00D06BDB"/>
    <w:rsid w:val="00D06E6B"/>
    <w:rsid w:val="00D07206"/>
    <w:rsid w:val="00D073EC"/>
    <w:rsid w:val="00D07C26"/>
    <w:rsid w:val="00D10085"/>
    <w:rsid w:val="00D10701"/>
    <w:rsid w:val="00D10C37"/>
    <w:rsid w:val="00D10F8F"/>
    <w:rsid w:val="00D12807"/>
    <w:rsid w:val="00D1294B"/>
    <w:rsid w:val="00D130AF"/>
    <w:rsid w:val="00D14FE3"/>
    <w:rsid w:val="00D1607D"/>
    <w:rsid w:val="00D165D6"/>
    <w:rsid w:val="00D17984"/>
    <w:rsid w:val="00D17C3D"/>
    <w:rsid w:val="00D218CF"/>
    <w:rsid w:val="00D21B34"/>
    <w:rsid w:val="00D23FDA"/>
    <w:rsid w:val="00D24E40"/>
    <w:rsid w:val="00D260CD"/>
    <w:rsid w:val="00D261CA"/>
    <w:rsid w:val="00D26327"/>
    <w:rsid w:val="00D2690B"/>
    <w:rsid w:val="00D27510"/>
    <w:rsid w:val="00D2752C"/>
    <w:rsid w:val="00D278EF"/>
    <w:rsid w:val="00D27B82"/>
    <w:rsid w:val="00D30048"/>
    <w:rsid w:val="00D3059A"/>
    <w:rsid w:val="00D30981"/>
    <w:rsid w:val="00D30DE5"/>
    <w:rsid w:val="00D30E16"/>
    <w:rsid w:val="00D31F2E"/>
    <w:rsid w:val="00D32F06"/>
    <w:rsid w:val="00D32F2D"/>
    <w:rsid w:val="00D33EEA"/>
    <w:rsid w:val="00D36164"/>
    <w:rsid w:val="00D370C3"/>
    <w:rsid w:val="00D37CDE"/>
    <w:rsid w:val="00D41FF8"/>
    <w:rsid w:val="00D43D30"/>
    <w:rsid w:val="00D44B02"/>
    <w:rsid w:val="00D463C1"/>
    <w:rsid w:val="00D46A59"/>
    <w:rsid w:val="00D47876"/>
    <w:rsid w:val="00D47B55"/>
    <w:rsid w:val="00D47D58"/>
    <w:rsid w:val="00D5003B"/>
    <w:rsid w:val="00D52488"/>
    <w:rsid w:val="00D52570"/>
    <w:rsid w:val="00D5299A"/>
    <w:rsid w:val="00D52AC4"/>
    <w:rsid w:val="00D538EB"/>
    <w:rsid w:val="00D55324"/>
    <w:rsid w:val="00D55885"/>
    <w:rsid w:val="00D56843"/>
    <w:rsid w:val="00D57917"/>
    <w:rsid w:val="00D57C48"/>
    <w:rsid w:val="00D57E57"/>
    <w:rsid w:val="00D611A8"/>
    <w:rsid w:val="00D6210E"/>
    <w:rsid w:val="00D62342"/>
    <w:rsid w:val="00D63430"/>
    <w:rsid w:val="00D646BC"/>
    <w:rsid w:val="00D64B2C"/>
    <w:rsid w:val="00D67D8E"/>
    <w:rsid w:val="00D70E73"/>
    <w:rsid w:val="00D715F6"/>
    <w:rsid w:val="00D71700"/>
    <w:rsid w:val="00D7197D"/>
    <w:rsid w:val="00D72CCA"/>
    <w:rsid w:val="00D72CEE"/>
    <w:rsid w:val="00D73467"/>
    <w:rsid w:val="00D73969"/>
    <w:rsid w:val="00D743FF"/>
    <w:rsid w:val="00D7491E"/>
    <w:rsid w:val="00D75DBC"/>
    <w:rsid w:val="00D76746"/>
    <w:rsid w:val="00D7719D"/>
    <w:rsid w:val="00D810E6"/>
    <w:rsid w:val="00D81382"/>
    <w:rsid w:val="00D81812"/>
    <w:rsid w:val="00D82239"/>
    <w:rsid w:val="00D8406D"/>
    <w:rsid w:val="00D84666"/>
    <w:rsid w:val="00D86098"/>
    <w:rsid w:val="00D869B6"/>
    <w:rsid w:val="00D90128"/>
    <w:rsid w:val="00D912C0"/>
    <w:rsid w:val="00D92C1A"/>
    <w:rsid w:val="00D93E7D"/>
    <w:rsid w:val="00D94626"/>
    <w:rsid w:val="00D94C85"/>
    <w:rsid w:val="00D95226"/>
    <w:rsid w:val="00D97054"/>
    <w:rsid w:val="00D97EFD"/>
    <w:rsid w:val="00DA0997"/>
    <w:rsid w:val="00DA101F"/>
    <w:rsid w:val="00DA187E"/>
    <w:rsid w:val="00DA2235"/>
    <w:rsid w:val="00DA2565"/>
    <w:rsid w:val="00DA26AA"/>
    <w:rsid w:val="00DA26C5"/>
    <w:rsid w:val="00DA3993"/>
    <w:rsid w:val="00DA49EF"/>
    <w:rsid w:val="00DA4CE3"/>
    <w:rsid w:val="00DA567B"/>
    <w:rsid w:val="00DA72F5"/>
    <w:rsid w:val="00DA77DD"/>
    <w:rsid w:val="00DB021B"/>
    <w:rsid w:val="00DB2798"/>
    <w:rsid w:val="00DB340A"/>
    <w:rsid w:val="00DB3952"/>
    <w:rsid w:val="00DB4519"/>
    <w:rsid w:val="00DB5A2D"/>
    <w:rsid w:val="00DB7BDE"/>
    <w:rsid w:val="00DC121C"/>
    <w:rsid w:val="00DC1766"/>
    <w:rsid w:val="00DC3304"/>
    <w:rsid w:val="00DC39B0"/>
    <w:rsid w:val="00DC3BE8"/>
    <w:rsid w:val="00DC55A1"/>
    <w:rsid w:val="00DC5CA7"/>
    <w:rsid w:val="00DC5CFD"/>
    <w:rsid w:val="00DC5F95"/>
    <w:rsid w:val="00DC7338"/>
    <w:rsid w:val="00DC7613"/>
    <w:rsid w:val="00DD0925"/>
    <w:rsid w:val="00DD17C0"/>
    <w:rsid w:val="00DD1EB6"/>
    <w:rsid w:val="00DD206D"/>
    <w:rsid w:val="00DD271F"/>
    <w:rsid w:val="00DD2DBD"/>
    <w:rsid w:val="00DD37F6"/>
    <w:rsid w:val="00DD38BF"/>
    <w:rsid w:val="00DD3CFF"/>
    <w:rsid w:val="00DD3D6B"/>
    <w:rsid w:val="00DD430A"/>
    <w:rsid w:val="00DD4A3B"/>
    <w:rsid w:val="00DD5498"/>
    <w:rsid w:val="00DD54A9"/>
    <w:rsid w:val="00DD63F6"/>
    <w:rsid w:val="00DD6913"/>
    <w:rsid w:val="00DD6C0B"/>
    <w:rsid w:val="00DD7E2E"/>
    <w:rsid w:val="00DE03DA"/>
    <w:rsid w:val="00DE16D3"/>
    <w:rsid w:val="00DE202A"/>
    <w:rsid w:val="00DE2B8D"/>
    <w:rsid w:val="00DE31B7"/>
    <w:rsid w:val="00DE3555"/>
    <w:rsid w:val="00DE4674"/>
    <w:rsid w:val="00DE507A"/>
    <w:rsid w:val="00DE5726"/>
    <w:rsid w:val="00DE5F82"/>
    <w:rsid w:val="00DE62BE"/>
    <w:rsid w:val="00DE727E"/>
    <w:rsid w:val="00DE7696"/>
    <w:rsid w:val="00DF2333"/>
    <w:rsid w:val="00DF2408"/>
    <w:rsid w:val="00DF241C"/>
    <w:rsid w:val="00DF3A41"/>
    <w:rsid w:val="00DF6091"/>
    <w:rsid w:val="00DF6DA3"/>
    <w:rsid w:val="00E0194E"/>
    <w:rsid w:val="00E01DB2"/>
    <w:rsid w:val="00E02248"/>
    <w:rsid w:val="00E023C3"/>
    <w:rsid w:val="00E02F19"/>
    <w:rsid w:val="00E04066"/>
    <w:rsid w:val="00E06204"/>
    <w:rsid w:val="00E068E3"/>
    <w:rsid w:val="00E06E3E"/>
    <w:rsid w:val="00E07002"/>
    <w:rsid w:val="00E07037"/>
    <w:rsid w:val="00E076E7"/>
    <w:rsid w:val="00E07F6A"/>
    <w:rsid w:val="00E10E16"/>
    <w:rsid w:val="00E111F7"/>
    <w:rsid w:val="00E11D48"/>
    <w:rsid w:val="00E120CA"/>
    <w:rsid w:val="00E123D4"/>
    <w:rsid w:val="00E12BB7"/>
    <w:rsid w:val="00E138DC"/>
    <w:rsid w:val="00E14F6D"/>
    <w:rsid w:val="00E170A3"/>
    <w:rsid w:val="00E17A93"/>
    <w:rsid w:val="00E17C10"/>
    <w:rsid w:val="00E17C6F"/>
    <w:rsid w:val="00E20898"/>
    <w:rsid w:val="00E2161F"/>
    <w:rsid w:val="00E21BE7"/>
    <w:rsid w:val="00E2432A"/>
    <w:rsid w:val="00E25885"/>
    <w:rsid w:val="00E25A09"/>
    <w:rsid w:val="00E25D7D"/>
    <w:rsid w:val="00E263E9"/>
    <w:rsid w:val="00E30079"/>
    <w:rsid w:val="00E32887"/>
    <w:rsid w:val="00E33168"/>
    <w:rsid w:val="00E335AF"/>
    <w:rsid w:val="00E358C6"/>
    <w:rsid w:val="00E36B5B"/>
    <w:rsid w:val="00E40D87"/>
    <w:rsid w:val="00E40EE3"/>
    <w:rsid w:val="00E4129B"/>
    <w:rsid w:val="00E4136B"/>
    <w:rsid w:val="00E41452"/>
    <w:rsid w:val="00E41E45"/>
    <w:rsid w:val="00E434B6"/>
    <w:rsid w:val="00E448B8"/>
    <w:rsid w:val="00E45389"/>
    <w:rsid w:val="00E46354"/>
    <w:rsid w:val="00E4700C"/>
    <w:rsid w:val="00E507D4"/>
    <w:rsid w:val="00E5101D"/>
    <w:rsid w:val="00E51094"/>
    <w:rsid w:val="00E5225D"/>
    <w:rsid w:val="00E53B40"/>
    <w:rsid w:val="00E53F03"/>
    <w:rsid w:val="00E54313"/>
    <w:rsid w:val="00E5454B"/>
    <w:rsid w:val="00E545A0"/>
    <w:rsid w:val="00E555AD"/>
    <w:rsid w:val="00E567E9"/>
    <w:rsid w:val="00E56A82"/>
    <w:rsid w:val="00E56EC1"/>
    <w:rsid w:val="00E57083"/>
    <w:rsid w:val="00E62AD7"/>
    <w:rsid w:val="00E6370A"/>
    <w:rsid w:val="00E64CFB"/>
    <w:rsid w:val="00E66B57"/>
    <w:rsid w:val="00E71D0B"/>
    <w:rsid w:val="00E72190"/>
    <w:rsid w:val="00E72835"/>
    <w:rsid w:val="00E74CFB"/>
    <w:rsid w:val="00E75E8D"/>
    <w:rsid w:val="00E8036F"/>
    <w:rsid w:val="00E803F4"/>
    <w:rsid w:val="00E80B89"/>
    <w:rsid w:val="00E814B9"/>
    <w:rsid w:val="00E827C5"/>
    <w:rsid w:val="00E82ABC"/>
    <w:rsid w:val="00E8373C"/>
    <w:rsid w:val="00E83AC1"/>
    <w:rsid w:val="00E83C4E"/>
    <w:rsid w:val="00E83EE4"/>
    <w:rsid w:val="00E86312"/>
    <w:rsid w:val="00E87D07"/>
    <w:rsid w:val="00E87ED7"/>
    <w:rsid w:val="00E900C4"/>
    <w:rsid w:val="00E90402"/>
    <w:rsid w:val="00E90505"/>
    <w:rsid w:val="00E913E0"/>
    <w:rsid w:val="00E9158F"/>
    <w:rsid w:val="00E91894"/>
    <w:rsid w:val="00E9360C"/>
    <w:rsid w:val="00E93D7A"/>
    <w:rsid w:val="00E93E15"/>
    <w:rsid w:val="00E9614F"/>
    <w:rsid w:val="00E9622D"/>
    <w:rsid w:val="00E9632B"/>
    <w:rsid w:val="00E9743C"/>
    <w:rsid w:val="00EA0460"/>
    <w:rsid w:val="00EA10DA"/>
    <w:rsid w:val="00EA17EF"/>
    <w:rsid w:val="00EA2646"/>
    <w:rsid w:val="00EA2657"/>
    <w:rsid w:val="00EA3322"/>
    <w:rsid w:val="00EA37AA"/>
    <w:rsid w:val="00EA3F38"/>
    <w:rsid w:val="00EA477A"/>
    <w:rsid w:val="00EA50FD"/>
    <w:rsid w:val="00EA6EBC"/>
    <w:rsid w:val="00EA7162"/>
    <w:rsid w:val="00EA7EEC"/>
    <w:rsid w:val="00EB10CD"/>
    <w:rsid w:val="00EB1C41"/>
    <w:rsid w:val="00EB1F21"/>
    <w:rsid w:val="00EB276F"/>
    <w:rsid w:val="00EB28E1"/>
    <w:rsid w:val="00EB2E74"/>
    <w:rsid w:val="00EB398C"/>
    <w:rsid w:val="00EB3A10"/>
    <w:rsid w:val="00EB3C4D"/>
    <w:rsid w:val="00EB3DBA"/>
    <w:rsid w:val="00EB53E6"/>
    <w:rsid w:val="00EB5A8A"/>
    <w:rsid w:val="00EB74C6"/>
    <w:rsid w:val="00EB7BE8"/>
    <w:rsid w:val="00EB7D51"/>
    <w:rsid w:val="00EC1379"/>
    <w:rsid w:val="00EC206F"/>
    <w:rsid w:val="00EC29C4"/>
    <w:rsid w:val="00EC29D6"/>
    <w:rsid w:val="00EC2F98"/>
    <w:rsid w:val="00EC3AB2"/>
    <w:rsid w:val="00EC4737"/>
    <w:rsid w:val="00EC4D79"/>
    <w:rsid w:val="00EC59CB"/>
    <w:rsid w:val="00EC6A1C"/>
    <w:rsid w:val="00EC765D"/>
    <w:rsid w:val="00ED0093"/>
    <w:rsid w:val="00ED036B"/>
    <w:rsid w:val="00ED3952"/>
    <w:rsid w:val="00ED4740"/>
    <w:rsid w:val="00ED4FC2"/>
    <w:rsid w:val="00ED63AB"/>
    <w:rsid w:val="00ED71ED"/>
    <w:rsid w:val="00ED73AC"/>
    <w:rsid w:val="00ED777D"/>
    <w:rsid w:val="00EE040B"/>
    <w:rsid w:val="00EE1095"/>
    <w:rsid w:val="00EE125A"/>
    <w:rsid w:val="00EE14F4"/>
    <w:rsid w:val="00EE1532"/>
    <w:rsid w:val="00EE2848"/>
    <w:rsid w:val="00EE2C5E"/>
    <w:rsid w:val="00EE2F6E"/>
    <w:rsid w:val="00EE3957"/>
    <w:rsid w:val="00EE3E9F"/>
    <w:rsid w:val="00EE451C"/>
    <w:rsid w:val="00EE49CD"/>
    <w:rsid w:val="00EE5D8E"/>
    <w:rsid w:val="00EF02E6"/>
    <w:rsid w:val="00EF03A9"/>
    <w:rsid w:val="00EF1ECB"/>
    <w:rsid w:val="00EF389A"/>
    <w:rsid w:val="00EF42D7"/>
    <w:rsid w:val="00EF4C80"/>
    <w:rsid w:val="00EF608C"/>
    <w:rsid w:val="00EF6D8E"/>
    <w:rsid w:val="00EF7094"/>
    <w:rsid w:val="00EF72C6"/>
    <w:rsid w:val="00EF72D5"/>
    <w:rsid w:val="00EF7473"/>
    <w:rsid w:val="00F01ACD"/>
    <w:rsid w:val="00F03891"/>
    <w:rsid w:val="00F03A76"/>
    <w:rsid w:val="00F03ABD"/>
    <w:rsid w:val="00F04C3B"/>
    <w:rsid w:val="00F05481"/>
    <w:rsid w:val="00F05ED8"/>
    <w:rsid w:val="00F06876"/>
    <w:rsid w:val="00F11B1D"/>
    <w:rsid w:val="00F125FC"/>
    <w:rsid w:val="00F13510"/>
    <w:rsid w:val="00F13683"/>
    <w:rsid w:val="00F13A16"/>
    <w:rsid w:val="00F14B4B"/>
    <w:rsid w:val="00F16C04"/>
    <w:rsid w:val="00F20C3E"/>
    <w:rsid w:val="00F213AA"/>
    <w:rsid w:val="00F2193D"/>
    <w:rsid w:val="00F21D38"/>
    <w:rsid w:val="00F22FA5"/>
    <w:rsid w:val="00F259E0"/>
    <w:rsid w:val="00F26383"/>
    <w:rsid w:val="00F263CC"/>
    <w:rsid w:val="00F27E54"/>
    <w:rsid w:val="00F300B8"/>
    <w:rsid w:val="00F32206"/>
    <w:rsid w:val="00F32CA5"/>
    <w:rsid w:val="00F34683"/>
    <w:rsid w:val="00F359AF"/>
    <w:rsid w:val="00F3648A"/>
    <w:rsid w:val="00F37628"/>
    <w:rsid w:val="00F409EC"/>
    <w:rsid w:val="00F423FF"/>
    <w:rsid w:val="00F4241F"/>
    <w:rsid w:val="00F424BA"/>
    <w:rsid w:val="00F445DE"/>
    <w:rsid w:val="00F44648"/>
    <w:rsid w:val="00F463CA"/>
    <w:rsid w:val="00F4752E"/>
    <w:rsid w:val="00F475B2"/>
    <w:rsid w:val="00F479E2"/>
    <w:rsid w:val="00F47C08"/>
    <w:rsid w:val="00F5038E"/>
    <w:rsid w:val="00F50520"/>
    <w:rsid w:val="00F50F05"/>
    <w:rsid w:val="00F512BE"/>
    <w:rsid w:val="00F53676"/>
    <w:rsid w:val="00F53968"/>
    <w:rsid w:val="00F55936"/>
    <w:rsid w:val="00F55B7B"/>
    <w:rsid w:val="00F56016"/>
    <w:rsid w:val="00F56A58"/>
    <w:rsid w:val="00F5725D"/>
    <w:rsid w:val="00F57581"/>
    <w:rsid w:val="00F60532"/>
    <w:rsid w:val="00F63B27"/>
    <w:rsid w:val="00F65307"/>
    <w:rsid w:val="00F653E4"/>
    <w:rsid w:val="00F65E4A"/>
    <w:rsid w:val="00F65F4A"/>
    <w:rsid w:val="00F668D7"/>
    <w:rsid w:val="00F66F43"/>
    <w:rsid w:val="00F7015A"/>
    <w:rsid w:val="00F70DE6"/>
    <w:rsid w:val="00F71010"/>
    <w:rsid w:val="00F71550"/>
    <w:rsid w:val="00F715F1"/>
    <w:rsid w:val="00F71B20"/>
    <w:rsid w:val="00F7266A"/>
    <w:rsid w:val="00F72AF5"/>
    <w:rsid w:val="00F73F7F"/>
    <w:rsid w:val="00F74223"/>
    <w:rsid w:val="00F74637"/>
    <w:rsid w:val="00F75CC1"/>
    <w:rsid w:val="00F75D7C"/>
    <w:rsid w:val="00F77EDB"/>
    <w:rsid w:val="00F82289"/>
    <w:rsid w:val="00F8262A"/>
    <w:rsid w:val="00F82C56"/>
    <w:rsid w:val="00F83B17"/>
    <w:rsid w:val="00F84668"/>
    <w:rsid w:val="00F8503C"/>
    <w:rsid w:val="00F85B47"/>
    <w:rsid w:val="00F865EF"/>
    <w:rsid w:val="00F87176"/>
    <w:rsid w:val="00F901B4"/>
    <w:rsid w:val="00F9076C"/>
    <w:rsid w:val="00F907EE"/>
    <w:rsid w:val="00F91402"/>
    <w:rsid w:val="00F91880"/>
    <w:rsid w:val="00F91BAA"/>
    <w:rsid w:val="00F9244D"/>
    <w:rsid w:val="00F936C2"/>
    <w:rsid w:val="00F95D26"/>
    <w:rsid w:val="00F96323"/>
    <w:rsid w:val="00F96BFC"/>
    <w:rsid w:val="00F96D15"/>
    <w:rsid w:val="00F971B4"/>
    <w:rsid w:val="00F97A0C"/>
    <w:rsid w:val="00FA0714"/>
    <w:rsid w:val="00FA0EA7"/>
    <w:rsid w:val="00FA1627"/>
    <w:rsid w:val="00FA27D7"/>
    <w:rsid w:val="00FA2AB7"/>
    <w:rsid w:val="00FA4C9D"/>
    <w:rsid w:val="00FA6397"/>
    <w:rsid w:val="00FA6423"/>
    <w:rsid w:val="00FA65C0"/>
    <w:rsid w:val="00FA6F04"/>
    <w:rsid w:val="00FA76AE"/>
    <w:rsid w:val="00FA7AFA"/>
    <w:rsid w:val="00FB113A"/>
    <w:rsid w:val="00FB175B"/>
    <w:rsid w:val="00FB1D6E"/>
    <w:rsid w:val="00FB20BB"/>
    <w:rsid w:val="00FB21FE"/>
    <w:rsid w:val="00FB2615"/>
    <w:rsid w:val="00FB5A89"/>
    <w:rsid w:val="00FB625F"/>
    <w:rsid w:val="00FB64A7"/>
    <w:rsid w:val="00FB66A7"/>
    <w:rsid w:val="00FB6928"/>
    <w:rsid w:val="00FC0C13"/>
    <w:rsid w:val="00FC0E5D"/>
    <w:rsid w:val="00FC1A6F"/>
    <w:rsid w:val="00FC28EA"/>
    <w:rsid w:val="00FC2FF1"/>
    <w:rsid w:val="00FC503F"/>
    <w:rsid w:val="00FC52B1"/>
    <w:rsid w:val="00FC5367"/>
    <w:rsid w:val="00FC5BED"/>
    <w:rsid w:val="00FC605F"/>
    <w:rsid w:val="00FC6B31"/>
    <w:rsid w:val="00FC71C1"/>
    <w:rsid w:val="00FD0A1F"/>
    <w:rsid w:val="00FD2172"/>
    <w:rsid w:val="00FD21B3"/>
    <w:rsid w:val="00FD4056"/>
    <w:rsid w:val="00FD40F9"/>
    <w:rsid w:val="00FD4A68"/>
    <w:rsid w:val="00FD5DF2"/>
    <w:rsid w:val="00FD6FA0"/>
    <w:rsid w:val="00FD7B6F"/>
    <w:rsid w:val="00FE0157"/>
    <w:rsid w:val="00FE01A4"/>
    <w:rsid w:val="00FE0D45"/>
    <w:rsid w:val="00FE0DA0"/>
    <w:rsid w:val="00FE1310"/>
    <w:rsid w:val="00FE19F0"/>
    <w:rsid w:val="00FE2521"/>
    <w:rsid w:val="00FE3470"/>
    <w:rsid w:val="00FE4036"/>
    <w:rsid w:val="00FE54F5"/>
    <w:rsid w:val="00FE5B0D"/>
    <w:rsid w:val="00FE649D"/>
    <w:rsid w:val="00FE6EB2"/>
    <w:rsid w:val="00FE7348"/>
    <w:rsid w:val="00FE7642"/>
    <w:rsid w:val="00FF1563"/>
    <w:rsid w:val="00FF1C16"/>
    <w:rsid w:val="00FF1C3F"/>
    <w:rsid w:val="00FF2455"/>
    <w:rsid w:val="00FF3D5B"/>
    <w:rsid w:val="00FF569E"/>
    <w:rsid w:val="00FF56F1"/>
    <w:rsid w:val="00FF671D"/>
    <w:rsid w:val="00FF6C9B"/>
    <w:rsid w:val="03713065"/>
    <w:rsid w:val="042EE2CF"/>
    <w:rsid w:val="04DAA536"/>
    <w:rsid w:val="073DCADD"/>
    <w:rsid w:val="0758343E"/>
    <w:rsid w:val="0A8F63B2"/>
    <w:rsid w:val="0DAC7526"/>
    <w:rsid w:val="103C556D"/>
    <w:rsid w:val="13D978D5"/>
    <w:rsid w:val="141DEDB9"/>
    <w:rsid w:val="16E7C824"/>
    <w:rsid w:val="17C768D0"/>
    <w:rsid w:val="18C37DE4"/>
    <w:rsid w:val="1D811CF7"/>
    <w:rsid w:val="1E59AFBE"/>
    <w:rsid w:val="1F556C55"/>
    <w:rsid w:val="20AE5D7F"/>
    <w:rsid w:val="21177651"/>
    <w:rsid w:val="2D3B6791"/>
    <w:rsid w:val="2E79F11F"/>
    <w:rsid w:val="300EF85B"/>
    <w:rsid w:val="30D1A9B8"/>
    <w:rsid w:val="32237530"/>
    <w:rsid w:val="335EDD70"/>
    <w:rsid w:val="36A69EEC"/>
    <w:rsid w:val="3B61C964"/>
    <w:rsid w:val="3CC040A6"/>
    <w:rsid w:val="42ED106C"/>
    <w:rsid w:val="441100A9"/>
    <w:rsid w:val="4555DF53"/>
    <w:rsid w:val="4847732B"/>
    <w:rsid w:val="48A60E4B"/>
    <w:rsid w:val="4ED5693B"/>
    <w:rsid w:val="4FA06E13"/>
    <w:rsid w:val="51276907"/>
    <w:rsid w:val="51EE266A"/>
    <w:rsid w:val="54DFC47D"/>
    <w:rsid w:val="55EC9D1D"/>
    <w:rsid w:val="578497DE"/>
    <w:rsid w:val="5A44C9B9"/>
    <w:rsid w:val="5C54CC05"/>
    <w:rsid w:val="5FE844F0"/>
    <w:rsid w:val="651EC96A"/>
    <w:rsid w:val="66E9607D"/>
    <w:rsid w:val="6833AABE"/>
    <w:rsid w:val="69EFFA39"/>
    <w:rsid w:val="6A3D6AFF"/>
    <w:rsid w:val="6ADAF082"/>
    <w:rsid w:val="706A115D"/>
    <w:rsid w:val="70D2EE03"/>
    <w:rsid w:val="7326E1D7"/>
    <w:rsid w:val="79B92FE3"/>
    <w:rsid w:val="7B1D83A9"/>
    <w:rsid w:val="7BA6A895"/>
    <w:rsid w:val="7BF47A7A"/>
    <w:rsid w:val="7CF0A1B0"/>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598A58"/>
  <w14:defaultImageDpi w14:val="330"/>
  <w15:chartTrackingRefBased/>
  <w15:docId w15:val="{0206E35A-12AF-4BA8-B609-BD35F47B9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50D82"/>
    <w:pPr>
      <w:spacing w:after="120" w:line="276" w:lineRule="auto"/>
    </w:pPr>
    <w:rPr>
      <w:rFonts w:ascii="Aptos" w:hAnsi="Aptos"/>
      <w:sz w:val="22"/>
    </w:rPr>
  </w:style>
  <w:style w:type="paragraph" w:styleId="Heading1">
    <w:name w:val="heading 1"/>
    <w:basedOn w:val="Heading2"/>
    <w:next w:val="Normal"/>
    <w:link w:val="Heading1Char"/>
    <w:uiPriority w:val="9"/>
    <w:qFormat/>
    <w:rsid w:val="003B3AB3"/>
    <w:pPr>
      <w:keepNext/>
      <w:numPr>
        <w:ilvl w:val="0"/>
      </w:numPr>
      <w:tabs>
        <w:tab w:val="clear" w:pos="567"/>
        <w:tab w:val="left" w:pos="426"/>
      </w:tabs>
      <w:spacing w:before="360"/>
      <w:outlineLvl w:val="0"/>
    </w:pPr>
    <w:rPr>
      <w:sz w:val="30"/>
      <w:szCs w:val="30"/>
    </w:rPr>
  </w:style>
  <w:style w:type="paragraph" w:styleId="Heading2">
    <w:name w:val="heading 2"/>
    <w:basedOn w:val="Normal"/>
    <w:next w:val="Normal"/>
    <w:link w:val="Heading2Char"/>
    <w:uiPriority w:val="9"/>
    <w:unhideWhenUsed/>
    <w:qFormat/>
    <w:rsid w:val="003B3AB3"/>
    <w:pPr>
      <w:numPr>
        <w:ilvl w:val="1"/>
        <w:numId w:val="27"/>
      </w:numPr>
      <w:tabs>
        <w:tab w:val="left" w:pos="567"/>
      </w:tabs>
      <w:spacing w:after="0" w:line="240" w:lineRule="auto"/>
      <w:outlineLvl w:val="1"/>
    </w:pPr>
    <w:rPr>
      <w:b/>
      <w:bCs/>
      <w:iCs/>
      <w:sz w:val="26"/>
      <w:szCs w:val="26"/>
    </w:rPr>
  </w:style>
  <w:style w:type="paragraph" w:styleId="Heading3">
    <w:name w:val="heading 3"/>
    <w:basedOn w:val="Normal"/>
    <w:next w:val="Normal"/>
    <w:link w:val="Heading3Char"/>
    <w:uiPriority w:val="9"/>
    <w:unhideWhenUsed/>
    <w:qFormat/>
    <w:rsid w:val="00933320"/>
    <w:pPr>
      <w:keepNext/>
      <w:keepLines/>
      <w:numPr>
        <w:ilvl w:val="2"/>
        <w:numId w:val="27"/>
      </w:numPr>
      <w:tabs>
        <w:tab w:val="left" w:pos="709"/>
      </w:tabs>
      <w:spacing w:after="0"/>
      <w:outlineLvl w:val="2"/>
    </w:pPr>
    <w:rPr>
      <w:rFonts w:eastAsiaTheme="majorEastAsia" w:cstheme="majorBidi"/>
      <w:b/>
      <w:iCs/>
    </w:rPr>
  </w:style>
  <w:style w:type="paragraph" w:styleId="Heading4">
    <w:name w:val="heading 4"/>
    <w:basedOn w:val="Normal"/>
    <w:next w:val="Normal"/>
    <w:link w:val="Heading4Char"/>
    <w:uiPriority w:val="9"/>
    <w:unhideWhenUsed/>
    <w:rsid w:val="000F778F"/>
    <w:pPr>
      <w:keepNext/>
      <w:keepLines/>
      <w:numPr>
        <w:ilvl w:val="3"/>
        <w:numId w:val="25"/>
      </w:numPr>
      <w:tabs>
        <w:tab w:val="left" w:pos="851"/>
      </w:tabs>
      <w:spacing w:after="0"/>
      <w:ind w:left="0" w:firstLine="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semiHidden/>
    <w:unhideWhenUsed/>
    <w:rsid w:val="00C425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4255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4255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4255A"/>
    <w:pPr>
      <w:keepNext/>
      <w:keepLines/>
      <w:spacing w:before="40" w:after="0"/>
      <w:outlineLvl w:val="7"/>
    </w:pPr>
    <w:rPr>
      <w:rFonts w:asciiTheme="majorHAnsi" w:eastAsiaTheme="majorEastAsia" w:hAnsiTheme="majorHAnsi" w:cstheme="majorBidi"/>
      <w:color w:val="242673" w:themeColor="text1" w:themeTint="D8"/>
      <w:sz w:val="21"/>
      <w:szCs w:val="21"/>
    </w:rPr>
  </w:style>
  <w:style w:type="paragraph" w:styleId="Heading9">
    <w:name w:val="heading 9"/>
    <w:basedOn w:val="Normal"/>
    <w:next w:val="Normal"/>
    <w:link w:val="Heading9Char"/>
    <w:uiPriority w:val="9"/>
    <w:semiHidden/>
    <w:unhideWhenUsed/>
    <w:qFormat/>
    <w:rsid w:val="00C4255A"/>
    <w:pPr>
      <w:keepNext/>
      <w:keepLines/>
      <w:spacing w:before="40" w:after="0"/>
      <w:outlineLvl w:val="8"/>
    </w:pPr>
    <w:rPr>
      <w:rFonts w:asciiTheme="majorHAnsi" w:eastAsiaTheme="majorEastAsia" w:hAnsiTheme="majorHAnsi" w:cstheme="majorBidi"/>
      <w:i/>
      <w:iCs/>
      <w:color w:val="242673"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INNHOLDSFORTEGNELSE"/>
    <w:basedOn w:val="Normal"/>
    <w:next w:val="Normal"/>
    <w:autoRedefine/>
    <w:uiPriority w:val="39"/>
    <w:unhideWhenUsed/>
    <w:rsid w:val="0086235B"/>
    <w:pPr>
      <w:tabs>
        <w:tab w:val="right" w:leader="dot" w:pos="9338"/>
      </w:tabs>
      <w:spacing w:after="100"/>
    </w:pPr>
    <w:rPr>
      <w:rFonts w:eastAsiaTheme="minorEastAsia"/>
      <w:caps/>
      <w:noProof/>
      <w:szCs w:val="22"/>
    </w:rPr>
  </w:style>
  <w:style w:type="table" w:customStyle="1" w:styleId="NIBIOvenstrejustert">
    <w:name w:val="NIBIO venstre justert"/>
    <w:basedOn w:val="TableNorma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GridTable1Light">
    <w:name w:val="Grid Table 1 Light"/>
    <w:aliases w:val="GIEK tabell"/>
    <w:basedOn w:val="TableNorma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Heading2Char">
    <w:name w:val="Heading 2 Char"/>
    <w:basedOn w:val="DefaultParagraphFont"/>
    <w:link w:val="Heading2"/>
    <w:uiPriority w:val="9"/>
    <w:rsid w:val="003B3AB3"/>
    <w:rPr>
      <w:rFonts w:ascii="Aptos" w:hAnsi="Aptos"/>
      <w:b/>
      <w:bCs/>
      <w:iCs/>
      <w:sz w:val="26"/>
      <w:szCs w:val="26"/>
    </w:rPr>
  </w:style>
  <w:style w:type="table" w:customStyle="1" w:styleId="GIEK">
    <w:name w:val="GIEK"/>
    <w:basedOn w:val="TableNorma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Heading3Char">
    <w:name w:val="Heading 3 Char"/>
    <w:basedOn w:val="DefaultParagraphFont"/>
    <w:link w:val="Heading3"/>
    <w:uiPriority w:val="9"/>
    <w:rsid w:val="00933320"/>
    <w:rPr>
      <w:rFonts w:ascii="Aptos" w:eastAsiaTheme="majorEastAsia" w:hAnsi="Aptos" w:cstheme="majorBidi"/>
      <w:b/>
      <w:iCs/>
      <w:sz w:val="22"/>
    </w:rPr>
  </w:style>
  <w:style w:type="paragraph" w:styleId="Header">
    <w:name w:val="header"/>
    <w:basedOn w:val="Normal"/>
    <w:link w:val="HeaderChar"/>
    <w:uiPriority w:val="99"/>
    <w:unhideWhenUsed/>
    <w:rsid w:val="00641704"/>
    <w:pPr>
      <w:tabs>
        <w:tab w:val="center" w:pos="4536"/>
        <w:tab w:val="right" w:pos="9072"/>
      </w:tabs>
      <w:spacing w:after="0"/>
    </w:pPr>
    <w:rPr>
      <w:sz w:val="18"/>
    </w:rPr>
  </w:style>
  <w:style w:type="character" w:customStyle="1" w:styleId="HeaderChar">
    <w:name w:val="Header Char"/>
    <w:basedOn w:val="DefaultParagraphFont"/>
    <w:link w:val="Header"/>
    <w:uiPriority w:val="99"/>
    <w:rsid w:val="00641704"/>
    <w:rPr>
      <w:rFonts w:ascii="Calibri" w:hAnsi="Calibri"/>
      <w:sz w:val="18"/>
    </w:rPr>
  </w:style>
  <w:style w:type="paragraph" w:styleId="Footer">
    <w:name w:val="footer"/>
    <w:basedOn w:val="Normal"/>
    <w:link w:val="FooterChar"/>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FooterChar">
    <w:name w:val="Footer Char"/>
    <w:basedOn w:val="DefaultParagraphFont"/>
    <w:link w:val="Footer"/>
    <w:uiPriority w:val="99"/>
    <w:rsid w:val="001B6E74"/>
    <w:rPr>
      <w:rFonts w:ascii="Calibri Light" w:hAnsi="Calibri Light"/>
      <w:color w:val="151643" w:themeColor="text1"/>
      <w:sz w:val="16"/>
    </w:rPr>
  </w:style>
  <w:style w:type="table" w:styleId="TableGrid">
    <w:name w:val="Table Grid"/>
    <w:basedOn w:val="TableNorma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856E2"/>
  </w:style>
  <w:style w:type="character" w:customStyle="1" w:styleId="Heading1Char">
    <w:name w:val="Heading 1 Char"/>
    <w:basedOn w:val="DefaultParagraphFont"/>
    <w:link w:val="Heading1"/>
    <w:uiPriority w:val="9"/>
    <w:rsid w:val="003B3AB3"/>
    <w:rPr>
      <w:rFonts w:ascii="Aptos" w:hAnsi="Aptos"/>
      <w:b/>
      <w:bCs/>
      <w:iCs/>
      <w:sz w:val="30"/>
      <w:szCs w:val="30"/>
    </w:rPr>
  </w:style>
  <w:style w:type="character" w:customStyle="1" w:styleId="Heading4Char">
    <w:name w:val="Heading 4 Char"/>
    <w:basedOn w:val="DefaultParagraphFont"/>
    <w:link w:val="Heading4"/>
    <w:uiPriority w:val="9"/>
    <w:rsid w:val="000F778F"/>
    <w:rPr>
      <w:rFonts w:asciiTheme="majorHAnsi" w:eastAsiaTheme="majorEastAsia" w:hAnsiTheme="majorHAnsi" w:cstheme="majorBidi"/>
      <w:i/>
      <w:iCs/>
      <w:color w:val="333333"/>
      <w:sz w:val="22"/>
    </w:rPr>
  </w:style>
  <w:style w:type="paragraph" w:styleId="ListParagraph">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ParagraphChar"/>
    <w:uiPriority w:val="34"/>
    <w:qFormat/>
    <w:rsid w:val="00C46744"/>
    <w:pPr>
      <w:numPr>
        <w:numId w:val="29"/>
      </w:numPr>
      <w:spacing w:before="120"/>
      <w:contextualSpacing/>
    </w:pPr>
  </w:style>
  <w:style w:type="paragraph" w:styleId="BalloonText">
    <w:name w:val="Balloon Text"/>
    <w:basedOn w:val="Normal"/>
    <w:link w:val="BalloonTextChar"/>
    <w:uiPriority w:val="99"/>
    <w:semiHidden/>
    <w:unhideWhenUsed/>
    <w:rsid w:val="001301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B2"/>
    <w:rPr>
      <w:rFonts w:ascii="Segoe UI" w:hAnsi="Segoe UI" w:cs="Segoe UI"/>
      <w:sz w:val="18"/>
      <w:szCs w:val="18"/>
    </w:rPr>
  </w:style>
  <w:style w:type="paragraph" w:styleId="NoSpacing">
    <w:name w:val="No Spacing"/>
    <w:basedOn w:val="Normal"/>
    <w:uiPriority w:val="1"/>
    <w:rsid w:val="00D94626"/>
    <w:pPr>
      <w:jc w:val="both"/>
    </w:pPr>
    <w:rPr>
      <w:rFonts w:ascii="Calibri" w:hAnsi="Calibri"/>
    </w:rPr>
  </w:style>
  <w:style w:type="character" w:styleId="UnresolvedMention">
    <w:name w:val="Unresolved Mention"/>
    <w:basedOn w:val="DefaultParagraphFont"/>
    <w:uiPriority w:val="99"/>
    <w:rsid w:val="00E87ED7"/>
    <w:rPr>
      <w:color w:val="605E5C"/>
      <w:shd w:val="clear" w:color="auto" w:fill="E1DFDD"/>
    </w:rPr>
  </w:style>
  <w:style w:type="paragraph" w:customStyle="1" w:styleId="NIMTittel1">
    <w:name w:val="NIM Tittel 1"/>
    <w:basedOn w:val="Normal"/>
    <w:link w:val="NIMTittel1Tegn"/>
    <w:rsid w:val="004C2D03"/>
    <w:pPr>
      <w:spacing w:after="240" w:line="240" w:lineRule="auto"/>
      <w:contextualSpacing/>
    </w:pPr>
    <w:rPr>
      <w:rFonts w:eastAsiaTheme="majorEastAsia" w:cstheme="majorBidi"/>
      <w:b/>
      <w:color w:val="114253"/>
      <w:sz w:val="30"/>
      <w:szCs w:val="30"/>
    </w:rPr>
  </w:style>
  <w:style w:type="paragraph" w:styleId="TOAHeading">
    <w:name w:val="toa heading"/>
    <w:basedOn w:val="Normal"/>
    <w:next w:val="Normal"/>
    <w:uiPriority w:val="99"/>
    <w:semiHidden/>
    <w:unhideWhenUsed/>
    <w:rsid w:val="00A44A08"/>
    <w:pPr>
      <w:spacing w:before="120"/>
    </w:pPr>
    <w:rPr>
      <w:rFonts w:asciiTheme="majorHAnsi" w:eastAsiaTheme="majorEastAsia" w:hAnsiTheme="majorHAnsi" w:cstheme="majorBidi"/>
      <w:b/>
      <w:bCs/>
      <w:sz w:val="24"/>
    </w:rPr>
  </w:style>
  <w:style w:type="paragraph" w:styleId="TableofAuthorities">
    <w:name w:val="table of authorities"/>
    <w:basedOn w:val="Normal"/>
    <w:next w:val="Normal"/>
    <w:uiPriority w:val="99"/>
    <w:semiHidden/>
    <w:unhideWhenUsed/>
    <w:rsid w:val="00A44A08"/>
    <w:pPr>
      <w:spacing w:after="0"/>
      <w:ind w:left="220" w:hanging="220"/>
    </w:pPr>
  </w:style>
  <w:style w:type="character" w:customStyle="1" w:styleId="NIMTittel1Tegn">
    <w:name w:val="NIM Tittel 1 Tegn"/>
    <w:basedOn w:val="DefaultParagraphFont"/>
    <w:link w:val="NIMTittel1"/>
    <w:rsid w:val="004C2D03"/>
    <w:rPr>
      <w:rFonts w:ascii="Aptos" w:eastAsiaTheme="majorEastAsia" w:hAnsi="Aptos" w:cstheme="majorBidi"/>
      <w:b/>
      <w:color w:val="114253"/>
      <w:sz w:val="30"/>
      <w:szCs w:val="3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5"/>
    <w:basedOn w:val="Normal"/>
    <w:link w:val="FootnoteTextChar"/>
    <w:uiPriority w:val="99"/>
    <w:unhideWhenUsed/>
    <w:qFormat/>
    <w:rsid w:val="00C544B5"/>
    <w:pPr>
      <w:spacing w:after="0"/>
    </w:pPr>
    <w:rPr>
      <w:color w:val="333333"/>
      <w:sz w:val="16"/>
      <w:szCs w:val="16"/>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basedOn w:val="DefaultParagraphFont"/>
    <w:link w:val="FootnoteText"/>
    <w:uiPriority w:val="99"/>
    <w:qFormat/>
    <w:rsid w:val="00C544B5"/>
    <w:rPr>
      <w:rFonts w:ascii="Aptos" w:hAnsi="Aptos"/>
      <w:color w:val="333333"/>
      <w:sz w:val="16"/>
      <w:szCs w:val="16"/>
    </w:rPr>
  </w:style>
  <w:style w:type="character" w:styleId="FootnoteReference">
    <w:name w:val="footnote reference"/>
    <w:aliases w:val="4_G,Footnotes refss,Texto de nota al pie,referencia nota al pie,BVI fnr,Appel note de bas de page,Footnote symbol,Footnote,Footnote number,Ref. de nota al pie.,Ref,de nota al pie,number,SUPERS,(Diplomarbeit FZ),fr"/>
    <w:basedOn w:val="DefaultParagraphFont"/>
    <w:uiPriority w:val="99"/>
    <w:unhideWhenUsed/>
    <w:qFormat/>
    <w:rsid w:val="00B226A5"/>
    <w:rPr>
      <w:color w:val="333333"/>
      <w:vertAlign w:val="superscript"/>
    </w:rPr>
  </w:style>
  <w:style w:type="paragraph" w:customStyle="1" w:styleId="langtsitat">
    <w:name w:val="langt sitat"/>
    <w:basedOn w:val="Normal"/>
    <w:qFormat/>
    <w:rsid w:val="00B226A5"/>
    <w:pPr>
      <w:ind w:left="567"/>
    </w:pPr>
    <w:rPr>
      <w:iCs/>
      <w:lang w:val="en-US"/>
    </w:rPr>
  </w:style>
  <w:style w:type="paragraph" w:styleId="DocumentMap">
    <w:name w:val="Document Map"/>
    <w:basedOn w:val="Normal"/>
    <w:link w:val="DocumentMapChar"/>
    <w:uiPriority w:val="99"/>
    <w:semiHidden/>
    <w:unhideWhenUsed/>
    <w:rsid w:val="00802E52"/>
    <w:pPr>
      <w:spacing w:after="0" w:line="240" w:lineRule="auto"/>
    </w:pPr>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802E52"/>
    <w:rPr>
      <w:rFonts w:ascii="Times New Roman" w:hAnsi="Times New Roman" w:cs="Times New Roman"/>
      <w:color w:val="151643" w:themeColor="text1"/>
    </w:rPr>
  </w:style>
  <w:style w:type="paragraph" w:customStyle="1" w:styleId="Stikktittel">
    <w:name w:val="Stikktittel"/>
    <w:basedOn w:val="NoSpacing"/>
    <w:rsid w:val="000D6F4A"/>
    <w:pPr>
      <w:spacing w:before="120" w:after="0"/>
    </w:pPr>
    <w:rPr>
      <w:rFonts w:ascii="Aptos" w:hAnsi="Aptos"/>
      <w:b/>
    </w:rPr>
  </w:style>
  <w:style w:type="character" w:customStyle="1" w:styleId="uthevet">
    <w:name w:val="uthevet"/>
    <w:basedOn w:val="DefaultParagraphFont"/>
    <w:uiPriority w:val="1"/>
    <w:rsid w:val="00761B05"/>
    <w:rPr>
      <w:rFonts w:ascii="Calibri" w:hAnsi="Calibri"/>
      <w:b/>
      <w:bCs/>
      <w:i w:val="0"/>
      <w:iCs w:val="0"/>
    </w:rPr>
  </w:style>
  <w:style w:type="paragraph" w:styleId="Revision">
    <w:name w:val="Revision"/>
    <w:hidden/>
    <w:uiPriority w:val="99"/>
    <w:semiHidden/>
    <w:rsid w:val="003F71E4"/>
    <w:rPr>
      <w:rFonts w:ascii="Calibri" w:hAnsi="Calibri"/>
      <w:color w:val="151643" w:themeColor="text1"/>
      <w:sz w:val="22"/>
      <w:lang w:val="en-GB"/>
    </w:rPr>
  </w:style>
  <w:style w:type="numbering" w:customStyle="1" w:styleId="Gjeldendeliste1">
    <w:name w:val="Gjeldende liste1"/>
    <w:uiPriority w:val="99"/>
    <w:rsid w:val="00D94626"/>
    <w:pPr>
      <w:numPr>
        <w:numId w:val="21"/>
      </w:numPr>
    </w:pPr>
  </w:style>
  <w:style w:type="numbering" w:customStyle="1" w:styleId="Gjeldendeliste2">
    <w:name w:val="Gjeldende liste2"/>
    <w:uiPriority w:val="99"/>
    <w:rsid w:val="00D94626"/>
    <w:pPr>
      <w:numPr>
        <w:numId w:val="22"/>
      </w:numPr>
    </w:pPr>
  </w:style>
  <w:style w:type="character" w:customStyle="1" w:styleId="Heading5Char">
    <w:name w:val="Heading 5 Char"/>
    <w:basedOn w:val="DefaultParagraphFont"/>
    <w:link w:val="Heading5"/>
    <w:uiPriority w:val="9"/>
    <w:semiHidden/>
    <w:rsid w:val="00C4255A"/>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C4255A"/>
    <w:rPr>
      <w:rFonts w:asciiTheme="majorHAnsi" w:eastAsiaTheme="majorEastAsia" w:hAnsiTheme="majorHAnsi" w:cstheme="majorBidi"/>
      <w:color w:val="1F3763" w:themeColor="accent1" w:themeShade="7F"/>
      <w:sz w:val="22"/>
    </w:rPr>
  </w:style>
  <w:style w:type="character" w:customStyle="1" w:styleId="Heading7Char">
    <w:name w:val="Heading 7 Char"/>
    <w:basedOn w:val="DefaultParagraphFont"/>
    <w:link w:val="Heading7"/>
    <w:uiPriority w:val="9"/>
    <w:semiHidden/>
    <w:rsid w:val="00C4255A"/>
    <w:rPr>
      <w:rFonts w:asciiTheme="majorHAnsi" w:eastAsiaTheme="majorEastAsia" w:hAnsiTheme="majorHAnsi" w:cstheme="majorBidi"/>
      <w:i/>
      <w:iCs/>
      <w:color w:val="1F3763" w:themeColor="accent1" w:themeShade="7F"/>
      <w:sz w:val="22"/>
    </w:rPr>
  </w:style>
  <w:style w:type="character" w:customStyle="1" w:styleId="Heading8Char">
    <w:name w:val="Heading 8 Char"/>
    <w:basedOn w:val="DefaultParagraphFont"/>
    <w:link w:val="Heading8"/>
    <w:uiPriority w:val="9"/>
    <w:semiHidden/>
    <w:rsid w:val="00C4255A"/>
    <w:rPr>
      <w:rFonts w:asciiTheme="majorHAnsi" w:eastAsiaTheme="majorEastAsia" w:hAnsiTheme="majorHAnsi" w:cstheme="majorBidi"/>
      <w:color w:val="242673" w:themeColor="text1" w:themeTint="D8"/>
      <w:sz w:val="21"/>
      <w:szCs w:val="21"/>
    </w:rPr>
  </w:style>
  <w:style w:type="character" w:customStyle="1" w:styleId="Heading9Char">
    <w:name w:val="Heading 9 Char"/>
    <w:basedOn w:val="DefaultParagraphFont"/>
    <w:link w:val="Heading9"/>
    <w:uiPriority w:val="9"/>
    <w:semiHidden/>
    <w:rsid w:val="00C4255A"/>
    <w:rPr>
      <w:rFonts w:asciiTheme="majorHAnsi" w:eastAsiaTheme="majorEastAsia" w:hAnsiTheme="majorHAnsi" w:cstheme="majorBidi"/>
      <w:i/>
      <w:iCs/>
      <w:color w:val="242673" w:themeColor="text1" w:themeTint="D8"/>
      <w:sz w:val="21"/>
      <w:szCs w:val="21"/>
    </w:rPr>
  </w:style>
  <w:style w:type="numbering" w:customStyle="1" w:styleId="Gjeldendeliste3">
    <w:name w:val="Gjeldende liste3"/>
    <w:uiPriority w:val="99"/>
    <w:rsid w:val="00C4255A"/>
    <w:pPr>
      <w:numPr>
        <w:numId w:val="24"/>
      </w:numPr>
    </w:pPr>
  </w:style>
  <w:style w:type="numbering" w:customStyle="1" w:styleId="Gjeldendeliste4">
    <w:name w:val="Gjeldende liste4"/>
    <w:uiPriority w:val="99"/>
    <w:rsid w:val="000F778F"/>
    <w:pPr>
      <w:numPr>
        <w:numId w:val="26"/>
      </w:numPr>
    </w:pPr>
  </w:style>
  <w:style w:type="numbering" w:styleId="ArticleSection">
    <w:name w:val="Outline List 3"/>
    <w:basedOn w:val="NoList"/>
    <w:uiPriority w:val="99"/>
    <w:semiHidden/>
    <w:unhideWhenUsed/>
    <w:rsid w:val="000F778F"/>
    <w:pPr>
      <w:numPr>
        <w:numId w:val="28"/>
      </w:numPr>
    </w:pPr>
  </w:style>
  <w:style w:type="paragraph" w:customStyle="1" w:styleId="Topptekstbrevmal">
    <w:name w:val="Topptekst brevmal"/>
    <w:rsid w:val="00933320"/>
    <w:rPr>
      <w:rFonts w:ascii="Aptos" w:hAnsi="Aptos"/>
      <w:noProof/>
      <w:sz w:val="22"/>
    </w:rPr>
  </w:style>
  <w:style w:type="paragraph" w:customStyle="1" w:styleId="Topptekstbrevmalrefuth">
    <w:name w:val="Topptekst brevmal ref uth"/>
    <w:basedOn w:val="Header"/>
    <w:rsid w:val="00D047BD"/>
    <w:rPr>
      <w:b/>
      <w:noProof/>
    </w:rPr>
  </w:style>
  <w:style w:type="paragraph" w:customStyle="1" w:styleId="Topptekstbrevmalverdi">
    <w:name w:val="Topptekst brevmal verdi"/>
    <w:basedOn w:val="Topptekstbrevmal"/>
    <w:rsid w:val="00D047BD"/>
    <w:rPr>
      <w:sz w:val="18"/>
    </w:rPr>
  </w:style>
  <w:style w:type="paragraph" w:customStyle="1" w:styleId="brevtype">
    <w:name w:val="brevtype"/>
    <w:basedOn w:val="Normal"/>
    <w:rsid w:val="00D047BD"/>
    <w:pPr>
      <w:spacing w:after="0" w:line="240" w:lineRule="auto"/>
    </w:pPr>
    <w:rPr>
      <w:rFonts w:cs="Times New Roman (CS-brødtekst)"/>
      <w:caps/>
      <w:color w:val="666666"/>
      <w:sz w:val="28"/>
      <w:szCs w:val="28"/>
    </w:rPr>
  </w:style>
  <w:style w:type="character" w:customStyle="1" w:styleId="ListParagraphChar">
    <w:name w:val="List Paragraph Char"/>
    <w:aliases w:val="List P1 Char,Dot pt Char,No Spacing1 Char,List Paragraph Char Char Char Char,Indicator Text Char,Numbered Para 1 Char,List Paragraph1 Char,Bullet 1 Char,Bullet Points Char,MAIN CONTENT Char,F5 List Paragraph Char,List Paragraph2 Char"/>
    <w:link w:val="ListParagraph"/>
    <w:uiPriority w:val="34"/>
    <w:qFormat/>
    <w:rsid w:val="0032123A"/>
    <w:rPr>
      <w:rFonts w:ascii="Aptos" w:hAnsi="Aptos"/>
      <w:sz w:val="22"/>
    </w:rPr>
  </w:style>
  <w:style w:type="character" w:styleId="CommentReference">
    <w:name w:val="annotation reference"/>
    <w:basedOn w:val="DefaultParagraphFont"/>
    <w:uiPriority w:val="99"/>
    <w:semiHidden/>
    <w:unhideWhenUsed/>
    <w:rsid w:val="0032123A"/>
    <w:rPr>
      <w:sz w:val="16"/>
      <w:szCs w:val="16"/>
    </w:rPr>
  </w:style>
  <w:style w:type="paragraph" w:customStyle="1" w:styleId="CommentText1">
    <w:name w:val="Comment Text1"/>
    <w:basedOn w:val="Normal"/>
    <w:next w:val="CommentText"/>
    <w:link w:val="CommentTextChar"/>
    <w:uiPriority w:val="99"/>
    <w:unhideWhenUsed/>
    <w:rsid w:val="0032123A"/>
    <w:pPr>
      <w:spacing w:line="240" w:lineRule="auto"/>
    </w:pPr>
    <w:rPr>
      <w:rFonts w:ascii="Calibri" w:hAnsi="Calibri"/>
      <w:color w:val="151643"/>
      <w:kern w:val="2"/>
      <w:sz w:val="20"/>
      <w:szCs w:val="20"/>
      <w:lang w:val="en-GB"/>
      <w14:ligatures w14:val="standardContextual"/>
    </w:rPr>
  </w:style>
  <w:style w:type="character" w:customStyle="1" w:styleId="CommentTextChar">
    <w:name w:val="Comment Text Char"/>
    <w:basedOn w:val="DefaultParagraphFont"/>
    <w:link w:val="CommentText1"/>
    <w:uiPriority w:val="99"/>
    <w:rsid w:val="0032123A"/>
    <w:rPr>
      <w:rFonts w:ascii="Calibri" w:hAnsi="Calibri"/>
      <w:color w:val="151643"/>
      <w:kern w:val="2"/>
      <w:sz w:val="20"/>
      <w:szCs w:val="20"/>
      <w:lang w:val="en-GB"/>
      <w14:ligatures w14:val="standardContextual"/>
    </w:rPr>
  </w:style>
  <w:style w:type="character" w:customStyle="1" w:styleId="Hyperlink1">
    <w:name w:val="Hyperlink1"/>
    <w:basedOn w:val="DefaultParagraphFont"/>
    <w:uiPriority w:val="99"/>
    <w:unhideWhenUsed/>
    <w:rsid w:val="0032123A"/>
    <w:rPr>
      <w:color w:val="0563C1"/>
      <w:u w:val="single"/>
    </w:rPr>
  </w:style>
  <w:style w:type="character" w:styleId="Mention">
    <w:name w:val="Mention"/>
    <w:basedOn w:val="DefaultParagraphFont"/>
    <w:uiPriority w:val="99"/>
    <w:unhideWhenUsed/>
    <w:rsid w:val="0032123A"/>
    <w:rPr>
      <w:color w:val="2B579A"/>
      <w:shd w:val="clear" w:color="auto" w:fill="E1DFDD"/>
    </w:rPr>
  </w:style>
  <w:style w:type="paragraph" w:styleId="CommentText">
    <w:name w:val="annotation text"/>
    <w:basedOn w:val="Normal"/>
    <w:link w:val="CommentTextChar1"/>
    <w:uiPriority w:val="99"/>
    <w:unhideWhenUsed/>
    <w:rsid w:val="0032123A"/>
    <w:pPr>
      <w:spacing w:after="160" w:line="240" w:lineRule="auto"/>
    </w:pPr>
    <w:rPr>
      <w:rFonts w:asciiTheme="minorHAnsi" w:hAnsiTheme="minorHAnsi"/>
      <w:kern w:val="2"/>
      <w:sz w:val="20"/>
      <w:szCs w:val="20"/>
      <w14:ligatures w14:val="standardContextual"/>
    </w:rPr>
  </w:style>
  <w:style w:type="character" w:customStyle="1" w:styleId="CommentTextChar1">
    <w:name w:val="Comment Text Char1"/>
    <w:basedOn w:val="DefaultParagraphFont"/>
    <w:link w:val="CommentText"/>
    <w:uiPriority w:val="99"/>
    <w:rsid w:val="0032123A"/>
    <w:rPr>
      <w:kern w:val="2"/>
      <w:sz w:val="20"/>
      <w:szCs w:val="20"/>
      <w14:ligatures w14:val="standardContextual"/>
    </w:rPr>
  </w:style>
  <w:style w:type="character" w:styleId="Hyperlink">
    <w:name w:val="Hyperlink"/>
    <w:basedOn w:val="DefaultParagraphFont"/>
    <w:uiPriority w:val="99"/>
    <w:unhideWhenUsed/>
    <w:rsid w:val="0032123A"/>
    <w:rPr>
      <w:color w:val="0563C1" w:themeColor="hyperlink"/>
      <w:u w:val="single"/>
    </w:rPr>
  </w:style>
  <w:style w:type="paragraph" w:styleId="TOC2">
    <w:name w:val="toc 2"/>
    <w:basedOn w:val="Normal"/>
    <w:next w:val="Normal"/>
    <w:autoRedefine/>
    <w:uiPriority w:val="39"/>
    <w:unhideWhenUsed/>
    <w:rsid w:val="0032123A"/>
    <w:pPr>
      <w:spacing w:after="100" w:line="259" w:lineRule="auto"/>
      <w:ind w:left="220"/>
    </w:pPr>
    <w:rPr>
      <w:rFonts w:asciiTheme="minorHAnsi" w:hAnsiTheme="minorHAnsi"/>
      <w:kern w:val="2"/>
      <w:szCs w:val="22"/>
      <w14:ligatures w14:val="standardContextual"/>
    </w:rPr>
  </w:style>
  <w:style w:type="paragraph" w:styleId="CommentSubject">
    <w:name w:val="annotation subject"/>
    <w:basedOn w:val="CommentText"/>
    <w:next w:val="CommentText"/>
    <w:link w:val="CommentSubjectChar"/>
    <w:uiPriority w:val="99"/>
    <w:semiHidden/>
    <w:unhideWhenUsed/>
    <w:rsid w:val="006337E5"/>
    <w:pPr>
      <w:spacing w:after="120"/>
    </w:pPr>
    <w:rPr>
      <w:rFonts w:ascii="Aptos" w:hAnsi="Aptos"/>
      <w:b/>
      <w:bCs/>
      <w:kern w:val="0"/>
      <w14:ligatures w14:val="none"/>
    </w:rPr>
  </w:style>
  <w:style w:type="character" w:customStyle="1" w:styleId="CommentSubjectChar">
    <w:name w:val="Comment Subject Char"/>
    <w:basedOn w:val="CommentTextChar1"/>
    <w:link w:val="CommentSubject"/>
    <w:uiPriority w:val="99"/>
    <w:semiHidden/>
    <w:rsid w:val="006337E5"/>
    <w:rPr>
      <w:rFonts w:ascii="Aptos" w:hAnsi="Aptos"/>
      <w:b/>
      <w:bCs/>
      <w:kern w:val="2"/>
      <w:sz w:val="20"/>
      <w:szCs w:val="20"/>
      <w14:ligatures w14:val="standardContextual"/>
    </w:rPr>
  </w:style>
  <w:style w:type="character" w:styleId="FollowedHyperlink">
    <w:name w:val="FollowedHyperlink"/>
    <w:basedOn w:val="DefaultParagraphFont"/>
    <w:uiPriority w:val="99"/>
    <w:semiHidden/>
    <w:unhideWhenUsed/>
    <w:rsid w:val="00AD03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85686">
      <w:bodyDiv w:val="1"/>
      <w:marLeft w:val="0"/>
      <w:marRight w:val="0"/>
      <w:marTop w:val="0"/>
      <w:marBottom w:val="0"/>
      <w:divBdr>
        <w:top w:val="none" w:sz="0" w:space="0" w:color="auto"/>
        <w:left w:val="none" w:sz="0" w:space="0" w:color="auto"/>
        <w:bottom w:val="none" w:sz="0" w:space="0" w:color="auto"/>
        <w:right w:val="none" w:sz="0" w:space="0" w:color="auto"/>
      </w:divBdr>
    </w:div>
    <w:div w:id="433131817">
      <w:bodyDiv w:val="1"/>
      <w:marLeft w:val="0"/>
      <w:marRight w:val="0"/>
      <w:marTop w:val="0"/>
      <w:marBottom w:val="0"/>
      <w:divBdr>
        <w:top w:val="none" w:sz="0" w:space="0" w:color="auto"/>
        <w:left w:val="none" w:sz="0" w:space="0" w:color="auto"/>
        <w:bottom w:val="none" w:sz="0" w:space="0" w:color="auto"/>
        <w:right w:val="none" w:sz="0" w:space="0" w:color="auto"/>
      </w:divBdr>
    </w:div>
    <w:div w:id="860316950">
      <w:bodyDiv w:val="1"/>
      <w:marLeft w:val="0"/>
      <w:marRight w:val="0"/>
      <w:marTop w:val="0"/>
      <w:marBottom w:val="0"/>
      <w:divBdr>
        <w:top w:val="none" w:sz="0" w:space="0" w:color="auto"/>
        <w:left w:val="none" w:sz="0" w:space="0" w:color="auto"/>
        <w:bottom w:val="none" w:sz="0" w:space="0" w:color="auto"/>
        <w:right w:val="none" w:sz="0" w:space="0" w:color="auto"/>
      </w:divBdr>
    </w:div>
    <w:div w:id="1078022190">
      <w:bodyDiv w:val="1"/>
      <w:marLeft w:val="0"/>
      <w:marRight w:val="0"/>
      <w:marTop w:val="0"/>
      <w:marBottom w:val="0"/>
      <w:divBdr>
        <w:top w:val="none" w:sz="0" w:space="0" w:color="auto"/>
        <w:left w:val="none" w:sz="0" w:space="0" w:color="auto"/>
        <w:bottom w:val="none" w:sz="0" w:space="0" w:color="auto"/>
        <w:right w:val="none" w:sz="0" w:space="0" w:color="auto"/>
      </w:divBdr>
    </w:div>
    <w:div w:id="1296982511">
      <w:bodyDiv w:val="1"/>
      <w:marLeft w:val="0"/>
      <w:marRight w:val="0"/>
      <w:marTop w:val="0"/>
      <w:marBottom w:val="0"/>
      <w:divBdr>
        <w:top w:val="none" w:sz="0" w:space="0" w:color="auto"/>
        <w:left w:val="none" w:sz="0" w:space="0" w:color="auto"/>
        <w:bottom w:val="none" w:sz="0" w:space="0" w:color="auto"/>
        <w:right w:val="none" w:sz="0" w:space="0" w:color="auto"/>
      </w:divBdr>
    </w:div>
    <w:div w:id="1771198990">
      <w:bodyDiv w:val="1"/>
      <w:marLeft w:val="0"/>
      <w:marRight w:val="0"/>
      <w:marTop w:val="0"/>
      <w:marBottom w:val="0"/>
      <w:divBdr>
        <w:top w:val="none" w:sz="0" w:space="0" w:color="auto"/>
        <w:left w:val="none" w:sz="0" w:space="0" w:color="auto"/>
        <w:bottom w:val="none" w:sz="0" w:space="0" w:color="auto"/>
        <w:right w:val="none" w:sz="0" w:space="0" w:color="auto"/>
      </w:divBdr>
    </w:div>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 w:id="1933511298">
      <w:bodyDiv w:val="1"/>
      <w:marLeft w:val="0"/>
      <w:marRight w:val="0"/>
      <w:marTop w:val="0"/>
      <w:marBottom w:val="0"/>
      <w:divBdr>
        <w:top w:val="none" w:sz="0" w:space="0" w:color="auto"/>
        <w:left w:val="none" w:sz="0" w:space="0" w:color="auto"/>
        <w:bottom w:val="none" w:sz="0" w:space="0" w:color="auto"/>
        <w:right w:val="none" w:sz="0" w:space="0" w:color="auto"/>
      </w:divBdr>
    </w:div>
    <w:div w:id="21250784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nhri.n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regjeringen.no/contentassets/d0b61f6e1d1b40d1bb92ff9d9b60793d/en-gb/pdfs/nou202220220005000engpdfs.pdf" TargetMode="External"/><Relationship Id="rId13" Type="http://schemas.openxmlformats.org/officeDocument/2006/relationships/hyperlink" Target="https://www.vg.no/nyheter/i/Rz6O8J/elevundersoekelse-1-av-3-i-annen-kjoennskategori-mobbes" TargetMode="External"/><Relationship Id="rId18" Type="http://schemas.openxmlformats.org/officeDocument/2006/relationships/hyperlink" Target="https://www.bufdir.no/siteassets/rapporter/arsrapport-bufdir-2023.pdf" TargetMode="External"/><Relationship Id="rId26" Type="http://schemas.openxmlformats.org/officeDocument/2006/relationships/hyperlink" Target="https://www.helsetilsynet.no/publikasjoner/tilsynsmeldingen/2024/enslige-mindreaarige-asylsoekere-faar-ikke-den-omsorgen-de-har-krav-paa-viser-tilsyn/" TargetMode="External"/><Relationship Id="rId3" Type="http://schemas.openxmlformats.org/officeDocument/2006/relationships/hyperlink" Target="https://www.nhri.no/en/2020/a-human-rights-based-approach-to-sami-statistics-in-norway/" TargetMode="External"/><Relationship Id="rId21" Type="http://schemas.openxmlformats.org/officeDocument/2006/relationships/hyperlink" Target="https://files.nettsteder.regjeringen.no/wpuploads01/sites/479/2023/10/Klimautvalget-2050.pdf" TargetMode="External"/><Relationship Id="rId7" Type="http://schemas.openxmlformats.org/officeDocument/2006/relationships/hyperlink" Target="https://www.fafo.no/zoo-publikasjoner/summaries/on-hearing-children-in-expulsion-cases" TargetMode="External"/><Relationship Id="rId12" Type="http://schemas.openxmlformats.org/officeDocument/2006/relationships/hyperlink" Target="https://www.nhri.no/skeives-menneskerettigheter/" TargetMode="External"/><Relationship Id="rId17" Type="http://schemas.openxmlformats.org/officeDocument/2006/relationships/hyperlink" Target="https://www.nhri.no/en/2023/drug-use-and-human-rights/" TargetMode="External"/><Relationship Id="rId25" Type="http://schemas.openxmlformats.org/officeDocument/2006/relationships/hyperlink" Target="https://www.helsetilsynet.no/publikasjoner/brev-og-horingsuttalelser-fra-statens-helsetilsyn/2023/dimensjonering-av-tilsyn-med-enslige-mindrearige-asylsokere-i-mottak--ressursbehov/" TargetMode="External"/><Relationship Id="rId2" Type="http://schemas.openxmlformats.org/officeDocument/2006/relationships/hyperlink" Target="https://www.nhri.no/wp-content/uploads/2022/03/Ytterligere-innspill-til-representantforslag-56-S-fra-NIM.pdf" TargetMode="External"/><Relationship Id="rId16" Type="http://schemas.openxmlformats.org/officeDocument/2006/relationships/hyperlink" Target="https://utenlandsadopsjonsutvalget.no/mandat/" TargetMode="External"/><Relationship Id="rId20" Type="http://schemas.openxmlformats.org/officeDocument/2006/relationships/hyperlink" Target="https://www.regjeringen.no/contentassets/28965e11d8044ceb94d0f958b8a45869/nn-no/pdfs/regjeringas_klimastatus_og_-plan.pdf" TargetMode="External"/><Relationship Id="rId29" Type="http://schemas.openxmlformats.org/officeDocument/2006/relationships/hyperlink" Target="https://www.regjeringen.no/no/dokumenter/horing-forslag-om-endring-i-straffegjennomforingsloven-og-helse-og-omsorgstjenesteloven-fellesskap-utelukkelse-og-tvangsmidler-i-fengsel/id2961862/" TargetMode="External"/><Relationship Id="rId1" Type="http://schemas.openxmlformats.org/officeDocument/2006/relationships/hyperlink" Target="https://www.nhri.no/2022/innspill-til-stortinget-om-klagerett-for-barn/" TargetMode="External"/><Relationship Id="rId6" Type="http://schemas.openxmlformats.org/officeDocument/2006/relationships/hyperlink" Target="https://skriftserien.oslomet.no/index.php/skriftserien/article/view/753/630" TargetMode="External"/><Relationship Id="rId11" Type="http://schemas.openxmlformats.org/officeDocument/2006/relationships/hyperlink" Target="https://amnesty.no/netthets-mot-samer" TargetMode="External"/><Relationship Id="rId24" Type="http://schemas.openxmlformats.org/officeDocument/2006/relationships/hyperlink" Target="https://www.regjeringen.no/no/dokumenter/en-ny-barndom-for-livet/id3000835/" TargetMode="External"/><Relationship Id="rId5" Type="http://schemas.openxmlformats.org/officeDocument/2006/relationships/hyperlink" Target="https://www.bufdir.no/statistikk-og-analyse/barnevern/barnevernstiltak-til-barn-med-innvandrerbakgrunn" TargetMode="External"/><Relationship Id="rId15" Type="http://schemas.openxmlformats.org/officeDocument/2006/relationships/hyperlink" Target="https://www.bufdir.no/siteassets/rapporter/arsrapport-bufdir-2023.pdf" TargetMode="External"/><Relationship Id="rId23" Type="http://schemas.openxmlformats.org/officeDocument/2006/relationships/hyperlink" Target="https://www.ssb.no/inntekt-og-forbruk/inntekt-og-formue/artikler/faerre-barn-lever-i-familier-med-lavinntekt" TargetMode="External"/><Relationship Id="rId28" Type="http://schemas.openxmlformats.org/officeDocument/2006/relationships/hyperlink" Target="https://www.nrk.no/vestland/432-barn-og-ungdommer-har-forsvunnet-fra-norske-asylmottak.-politiet-leter-sjelden-etter-asylsokerne-1.16184402" TargetMode="External"/><Relationship Id="rId10" Type="http://schemas.openxmlformats.org/officeDocument/2006/relationships/hyperlink" Target="https://www.nhri.no/rapport/holdninger-til-samer-og-nasjonale-minoriteter-i-norge/" TargetMode="External"/><Relationship Id="rId19" Type="http://schemas.openxmlformats.org/officeDocument/2006/relationships/hyperlink" Target="https://miljostatus.miljodirektoratet.no/tema/klima/" TargetMode="External"/><Relationship Id="rId4" Type="http://schemas.openxmlformats.org/officeDocument/2006/relationships/hyperlink" Target="https://www.nhri.no/2024/svar-pa-foresporsel-om-rad-om-videreutvikling-av-samisk-statistikk/" TargetMode="External"/><Relationship Id="rId9" Type="http://schemas.openxmlformats.org/officeDocument/2006/relationships/hyperlink" Target="https://www.bufdir.no/siteassets/rapporter/kartlegging-medvirkning-ramboll24/" TargetMode="External"/><Relationship Id="rId14" Type="http://schemas.openxmlformats.org/officeDocument/2006/relationships/hyperlink" Target="https://www.bufdir.no/en/child-welfare-services/stages-in-a-child-welfare-case" TargetMode="External"/><Relationship Id="rId22" Type="http://schemas.openxmlformats.org/officeDocument/2006/relationships/hyperlink" Target="https://www.kirkensnodhjelp.no/contentassets/21e39d1b5cb5415493bf81e284f76235/2024-klimafinansiering-vista-rapport-final-digitalt-2.pdf" TargetMode="External"/><Relationship Id="rId27" Type="http://schemas.openxmlformats.org/officeDocument/2006/relationships/hyperlink" Target="https://www.helsetilsynet.no/publikasjoner/tilsynsmeldingen/2024/enslige-mindreaarige-asylsoekere-faar-ikke-den-omsorgen-de-har-krav-paa-viser-tilsyn/" TargetMode="External"/><Relationship Id="rId30" Type="http://schemas.openxmlformats.org/officeDocument/2006/relationships/hyperlink" Target="https://www.barneombudet.no/uploads/documents/Barneombudet-mener/Innspill-til-myndighetene/2021/Funn-etter-gjennomgang-av-saker-der-barn-er-fengslet-i-perioden-2016-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IM%20brevmal%20D24.dotx" TargetMode="External"/></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BF4564A0206FD4FBEA6A28B4C43D712" ma:contentTypeVersion="4" ma:contentTypeDescription="Opprett et nytt dokument." ma:contentTypeScope="" ma:versionID="cff4a767a1fa10c78f316e73b13766c3">
  <xsd:schema xmlns:xsd="http://www.w3.org/2001/XMLSchema" xmlns:xs="http://www.w3.org/2001/XMLSchema" xmlns:p="http://schemas.microsoft.com/office/2006/metadata/properties" xmlns:ns2="028a24a0-efe4-4001-a119-04345320c327" targetNamespace="http://schemas.microsoft.com/office/2006/metadata/properties" ma:root="true" ma:fieldsID="25810a071907de5e525cb0fad68776e7" ns2:_="">
    <xsd:import namespace="028a24a0-efe4-4001-a119-04345320c3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a24a0-efe4-4001-a119-04345320c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D0D48C7-B7FD-45E6-84BC-AFAFA5E3A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a24a0-efe4-4001-a119-04345320c3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20170E-2BE3-4924-B032-292841C1B6CC}">
  <ds:schemaRefs>
    <ds:schemaRef ds:uri="http://schemas.microsoft.com/sharepoint/v3/contenttype/forms"/>
  </ds:schemaRefs>
</ds:datastoreItem>
</file>

<file path=customXml/itemProps3.xml><?xml version="1.0" encoding="utf-8"?>
<ds:datastoreItem xmlns:ds="http://schemas.openxmlformats.org/officeDocument/2006/customXml" ds:itemID="{0E3BDF90-4D92-42C0-AF5B-DDA6511AFB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8078AE-DD23-463D-AE77-9A8A9A2E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NIM brevmal D24.dotx</Template>
  <TotalTime>0</TotalTime>
  <Pages>24</Pages>
  <Words>6842</Words>
  <Characters>39006</Characters>
  <Application>Microsoft Office Word</Application>
  <DocSecurity>0</DocSecurity>
  <Lines>325</Lines>
  <Paragraphs>91</Paragraphs>
  <ScaleCrop>false</ScaleCrop>
  <HeadingPairs>
    <vt:vector size="2" baseType="variant">
      <vt:variant>
        <vt:lpstr>Tittel</vt:lpstr>
      </vt:variant>
      <vt:variant>
        <vt:i4>1</vt:i4>
      </vt:variant>
    </vt:vector>
  </HeadingPairs>
  <TitlesOfParts>
    <vt:vector size="1" baseType="lpstr">
      <vt:lpstr>NIM brev</vt:lpstr>
    </vt:vector>
  </TitlesOfParts>
  <Manager/>
  <Company>NIM</Company>
  <LinksUpToDate>false</LinksUpToDate>
  <CharactersWithSpaces>45757</CharactersWithSpaces>
  <SharedDoc>false</SharedDoc>
  <HyperlinkBase/>
  <HLinks>
    <vt:vector size="336" baseType="variant">
      <vt:variant>
        <vt:i4>1441847</vt:i4>
      </vt:variant>
      <vt:variant>
        <vt:i4>155</vt:i4>
      </vt:variant>
      <vt:variant>
        <vt:i4>0</vt:i4>
      </vt:variant>
      <vt:variant>
        <vt:i4>5</vt:i4>
      </vt:variant>
      <vt:variant>
        <vt:lpwstr/>
      </vt:variant>
      <vt:variant>
        <vt:lpwstr>_Toc181955259</vt:lpwstr>
      </vt:variant>
      <vt:variant>
        <vt:i4>1441847</vt:i4>
      </vt:variant>
      <vt:variant>
        <vt:i4>149</vt:i4>
      </vt:variant>
      <vt:variant>
        <vt:i4>0</vt:i4>
      </vt:variant>
      <vt:variant>
        <vt:i4>5</vt:i4>
      </vt:variant>
      <vt:variant>
        <vt:lpwstr/>
      </vt:variant>
      <vt:variant>
        <vt:lpwstr>_Toc181955258</vt:lpwstr>
      </vt:variant>
      <vt:variant>
        <vt:i4>1441847</vt:i4>
      </vt:variant>
      <vt:variant>
        <vt:i4>143</vt:i4>
      </vt:variant>
      <vt:variant>
        <vt:i4>0</vt:i4>
      </vt:variant>
      <vt:variant>
        <vt:i4>5</vt:i4>
      </vt:variant>
      <vt:variant>
        <vt:lpwstr/>
      </vt:variant>
      <vt:variant>
        <vt:lpwstr>_Toc181955257</vt:lpwstr>
      </vt:variant>
      <vt:variant>
        <vt:i4>1441847</vt:i4>
      </vt:variant>
      <vt:variant>
        <vt:i4>137</vt:i4>
      </vt:variant>
      <vt:variant>
        <vt:i4>0</vt:i4>
      </vt:variant>
      <vt:variant>
        <vt:i4>5</vt:i4>
      </vt:variant>
      <vt:variant>
        <vt:lpwstr/>
      </vt:variant>
      <vt:variant>
        <vt:lpwstr>_Toc181955256</vt:lpwstr>
      </vt:variant>
      <vt:variant>
        <vt:i4>1441847</vt:i4>
      </vt:variant>
      <vt:variant>
        <vt:i4>131</vt:i4>
      </vt:variant>
      <vt:variant>
        <vt:i4>0</vt:i4>
      </vt:variant>
      <vt:variant>
        <vt:i4>5</vt:i4>
      </vt:variant>
      <vt:variant>
        <vt:lpwstr/>
      </vt:variant>
      <vt:variant>
        <vt:lpwstr>_Toc181955255</vt:lpwstr>
      </vt:variant>
      <vt:variant>
        <vt:i4>1441847</vt:i4>
      </vt:variant>
      <vt:variant>
        <vt:i4>125</vt:i4>
      </vt:variant>
      <vt:variant>
        <vt:i4>0</vt:i4>
      </vt:variant>
      <vt:variant>
        <vt:i4>5</vt:i4>
      </vt:variant>
      <vt:variant>
        <vt:lpwstr/>
      </vt:variant>
      <vt:variant>
        <vt:lpwstr>_Toc181955254</vt:lpwstr>
      </vt:variant>
      <vt:variant>
        <vt:i4>1441847</vt:i4>
      </vt:variant>
      <vt:variant>
        <vt:i4>119</vt:i4>
      </vt:variant>
      <vt:variant>
        <vt:i4>0</vt:i4>
      </vt:variant>
      <vt:variant>
        <vt:i4>5</vt:i4>
      </vt:variant>
      <vt:variant>
        <vt:lpwstr/>
      </vt:variant>
      <vt:variant>
        <vt:lpwstr>_Toc181955253</vt:lpwstr>
      </vt:variant>
      <vt:variant>
        <vt:i4>1441847</vt:i4>
      </vt:variant>
      <vt:variant>
        <vt:i4>113</vt:i4>
      </vt:variant>
      <vt:variant>
        <vt:i4>0</vt:i4>
      </vt:variant>
      <vt:variant>
        <vt:i4>5</vt:i4>
      </vt:variant>
      <vt:variant>
        <vt:lpwstr/>
      </vt:variant>
      <vt:variant>
        <vt:lpwstr>_Toc181955252</vt:lpwstr>
      </vt:variant>
      <vt:variant>
        <vt:i4>1441847</vt:i4>
      </vt:variant>
      <vt:variant>
        <vt:i4>107</vt:i4>
      </vt:variant>
      <vt:variant>
        <vt:i4>0</vt:i4>
      </vt:variant>
      <vt:variant>
        <vt:i4>5</vt:i4>
      </vt:variant>
      <vt:variant>
        <vt:lpwstr/>
      </vt:variant>
      <vt:variant>
        <vt:lpwstr>_Toc181955251</vt:lpwstr>
      </vt:variant>
      <vt:variant>
        <vt:i4>1441847</vt:i4>
      </vt:variant>
      <vt:variant>
        <vt:i4>101</vt:i4>
      </vt:variant>
      <vt:variant>
        <vt:i4>0</vt:i4>
      </vt:variant>
      <vt:variant>
        <vt:i4>5</vt:i4>
      </vt:variant>
      <vt:variant>
        <vt:lpwstr/>
      </vt:variant>
      <vt:variant>
        <vt:lpwstr>_Toc181955250</vt:lpwstr>
      </vt:variant>
      <vt:variant>
        <vt:i4>1507383</vt:i4>
      </vt:variant>
      <vt:variant>
        <vt:i4>95</vt:i4>
      </vt:variant>
      <vt:variant>
        <vt:i4>0</vt:i4>
      </vt:variant>
      <vt:variant>
        <vt:i4>5</vt:i4>
      </vt:variant>
      <vt:variant>
        <vt:lpwstr/>
      </vt:variant>
      <vt:variant>
        <vt:lpwstr>_Toc181955249</vt:lpwstr>
      </vt:variant>
      <vt:variant>
        <vt:i4>1507383</vt:i4>
      </vt:variant>
      <vt:variant>
        <vt:i4>89</vt:i4>
      </vt:variant>
      <vt:variant>
        <vt:i4>0</vt:i4>
      </vt:variant>
      <vt:variant>
        <vt:i4>5</vt:i4>
      </vt:variant>
      <vt:variant>
        <vt:lpwstr/>
      </vt:variant>
      <vt:variant>
        <vt:lpwstr>_Toc181955248</vt:lpwstr>
      </vt:variant>
      <vt:variant>
        <vt:i4>1507383</vt:i4>
      </vt:variant>
      <vt:variant>
        <vt:i4>83</vt:i4>
      </vt:variant>
      <vt:variant>
        <vt:i4>0</vt:i4>
      </vt:variant>
      <vt:variant>
        <vt:i4>5</vt:i4>
      </vt:variant>
      <vt:variant>
        <vt:lpwstr/>
      </vt:variant>
      <vt:variant>
        <vt:lpwstr>_Toc181955247</vt:lpwstr>
      </vt:variant>
      <vt:variant>
        <vt:i4>1507383</vt:i4>
      </vt:variant>
      <vt:variant>
        <vt:i4>77</vt:i4>
      </vt:variant>
      <vt:variant>
        <vt:i4>0</vt:i4>
      </vt:variant>
      <vt:variant>
        <vt:i4>5</vt:i4>
      </vt:variant>
      <vt:variant>
        <vt:lpwstr/>
      </vt:variant>
      <vt:variant>
        <vt:lpwstr>_Toc181955246</vt:lpwstr>
      </vt:variant>
      <vt:variant>
        <vt:i4>1507383</vt:i4>
      </vt:variant>
      <vt:variant>
        <vt:i4>71</vt:i4>
      </vt:variant>
      <vt:variant>
        <vt:i4>0</vt:i4>
      </vt:variant>
      <vt:variant>
        <vt:i4>5</vt:i4>
      </vt:variant>
      <vt:variant>
        <vt:lpwstr/>
      </vt:variant>
      <vt:variant>
        <vt:lpwstr>_Toc181955245</vt:lpwstr>
      </vt:variant>
      <vt:variant>
        <vt:i4>1507383</vt:i4>
      </vt:variant>
      <vt:variant>
        <vt:i4>65</vt:i4>
      </vt:variant>
      <vt:variant>
        <vt:i4>0</vt:i4>
      </vt:variant>
      <vt:variant>
        <vt:i4>5</vt:i4>
      </vt:variant>
      <vt:variant>
        <vt:lpwstr/>
      </vt:variant>
      <vt:variant>
        <vt:lpwstr>_Toc181955244</vt:lpwstr>
      </vt:variant>
      <vt:variant>
        <vt:i4>1507383</vt:i4>
      </vt:variant>
      <vt:variant>
        <vt:i4>59</vt:i4>
      </vt:variant>
      <vt:variant>
        <vt:i4>0</vt:i4>
      </vt:variant>
      <vt:variant>
        <vt:i4>5</vt:i4>
      </vt:variant>
      <vt:variant>
        <vt:lpwstr/>
      </vt:variant>
      <vt:variant>
        <vt:lpwstr>_Toc181955243</vt:lpwstr>
      </vt:variant>
      <vt:variant>
        <vt:i4>1507383</vt:i4>
      </vt:variant>
      <vt:variant>
        <vt:i4>53</vt:i4>
      </vt:variant>
      <vt:variant>
        <vt:i4>0</vt:i4>
      </vt:variant>
      <vt:variant>
        <vt:i4>5</vt:i4>
      </vt:variant>
      <vt:variant>
        <vt:lpwstr/>
      </vt:variant>
      <vt:variant>
        <vt:lpwstr>_Toc181955242</vt:lpwstr>
      </vt:variant>
      <vt:variant>
        <vt:i4>1507383</vt:i4>
      </vt:variant>
      <vt:variant>
        <vt:i4>47</vt:i4>
      </vt:variant>
      <vt:variant>
        <vt:i4>0</vt:i4>
      </vt:variant>
      <vt:variant>
        <vt:i4>5</vt:i4>
      </vt:variant>
      <vt:variant>
        <vt:lpwstr/>
      </vt:variant>
      <vt:variant>
        <vt:lpwstr>_Toc181955241</vt:lpwstr>
      </vt:variant>
      <vt:variant>
        <vt:i4>1507383</vt:i4>
      </vt:variant>
      <vt:variant>
        <vt:i4>41</vt:i4>
      </vt:variant>
      <vt:variant>
        <vt:i4>0</vt:i4>
      </vt:variant>
      <vt:variant>
        <vt:i4>5</vt:i4>
      </vt:variant>
      <vt:variant>
        <vt:lpwstr/>
      </vt:variant>
      <vt:variant>
        <vt:lpwstr>_Toc181955240</vt:lpwstr>
      </vt:variant>
      <vt:variant>
        <vt:i4>1048631</vt:i4>
      </vt:variant>
      <vt:variant>
        <vt:i4>35</vt:i4>
      </vt:variant>
      <vt:variant>
        <vt:i4>0</vt:i4>
      </vt:variant>
      <vt:variant>
        <vt:i4>5</vt:i4>
      </vt:variant>
      <vt:variant>
        <vt:lpwstr/>
      </vt:variant>
      <vt:variant>
        <vt:lpwstr>_Toc181955239</vt:lpwstr>
      </vt:variant>
      <vt:variant>
        <vt:i4>1048631</vt:i4>
      </vt:variant>
      <vt:variant>
        <vt:i4>29</vt:i4>
      </vt:variant>
      <vt:variant>
        <vt:i4>0</vt:i4>
      </vt:variant>
      <vt:variant>
        <vt:i4>5</vt:i4>
      </vt:variant>
      <vt:variant>
        <vt:lpwstr/>
      </vt:variant>
      <vt:variant>
        <vt:lpwstr>_Toc181955238</vt:lpwstr>
      </vt:variant>
      <vt:variant>
        <vt:i4>1048631</vt:i4>
      </vt:variant>
      <vt:variant>
        <vt:i4>23</vt:i4>
      </vt:variant>
      <vt:variant>
        <vt:i4>0</vt:i4>
      </vt:variant>
      <vt:variant>
        <vt:i4>5</vt:i4>
      </vt:variant>
      <vt:variant>
        <vt:lpwstr/>
      </vt:variant>
      <vt:variant>
        <vt:lpwstr>_Toc181955237</vt:lpwstr>
      </vt:variant>
      <vt:variant>
        <vt:i4>1048631</vt:i4>
      </vt:variant>
      <vt:variant>
        <vt:i4>17</vt:i4>
      </vt:variant>
      <vt:variant>
        <vt:i4>0</vt:i4>
      </vt:variant>
      <vt:variant>
        <vt:i4>5</vt:i4>
      </vt:variant>
      <vt:variant>
        <vt:lpwstr/>
      </vt:variant>
      <vt:variant>
        <vt:lpwstr>_Toc181955236</vt:lpwstr>
      </vt:variant>
      <vt:variant>
        <vt:i4>1048631</vt:i4>
      </vt:variant>
      <vt:variant>
        <vt:i4>11</vt:i4>
      </vt:variant>
      <vt:variant>
        <vt:i4>0</vt:i4>
      </vt:variant>
      <vt:variant>
        <vt:i4>5</vt:i4>
      </vt:variant>
      <vt:variant>
        <vt:lpwstr/>
      </vt:variant>
      <vt:variant>
        <vt:lpwstr>_Toc181955235</vt:lpwstr>
      </vt:variant>
      <vt:variant>
        <vt:i4>1048631</vt:i4>
      </vt:variant>
      <vt:variant>
        <vt:i4>5</vt:i4>
      </vt:variant>
      <vt:variant>
        <vt:i4>0</vt:i4>
      </vt:variant>
      <vt:variant>
        <vt:i4>5</vt:i4>
      </vt:variant>
      <vt:variant>
        <vt:lpwstr/>
      </vt:variant>
      <vt:variant>
        <vt:lpwstr>_Toc181955234</vt:lpwstr>
      </vt:variant>
      <vt:variant>
        <vt:i4>4325497</vt:i4>
      </vt:variant>
      <vt:variant>
        <vt:i4>0</vt:i4>
      </vt:variant>
      <vt:variant>
        <vt:i4>0</vt:i4>
      </vt:variant>
      <vt:variant>
        <vt:i4>5</vt:i4>
      </vt:variant>
      <vt:variant>
        <vt:lpwstr>mailto:info@nhri.no</vt:lpwstr>
      </vt:variant>
      <vt:variant>
        <vt:lpwstr/>
      </vt:variant>
      <vt:variant>
        <vt:i4>4587541</vt:i4>
      </vt:variant>
      <vt:variant>
        <vt:i4>87</vt:i4>
      </vt:variant>
      <vt:variant>
        <vt:i4>0</vt:i4>
      </vt:variant>
      <vt:variant>
        <vt:i4>5</vt:i4>
      </vt:variant>
      <vt:variant>
        <vt:lpwstr>https://www.barneombudet.no/uploads/documents/Barneombudet-mener/Innspill-til-myndighetene/2021/Funn-etter-gjennomgang-av-saker-der-barn-er-fengslet-i-perioden-2016-2019.pdf</vt:lpwstr>
      </vt:variant>
      <vt:variant>
        <vt:lpwstr/>
      </vt:variant>
      <vt:variant>
        <vt:i4>720902</vt:i4>
      </vt:variant>
      <vt:variant>
        <vt:i4>84</vt:i4>
      </vt:variant>
      <vt:variant>
        <vt:i4>0</vt:i4>
      </vt:variant>
      <vt:variant>
        <vt:i4>5</vt:i4>
      </vt:variant>
      <vt:variant>
        <vt:lpwstr>https://www.regjeringen.no/no/dokumenter/horing-forslag-om-endring-i-straffegjennomforingsloven-og-helse-og-omsorgstjenesteloven-fellesskap-utelukkelse-og-tvangsmidler-i-fengsel/id2961862/</vt:lpwstr>
      </vt:variant>
      <vt:variant>
        <vt:lpwstr/>
      </vt:variant>
      <vt:variant>
        <vt:i4>6553716</vt:i4>
      </vt:variant>
      <vt:variant>
        <vt:i4>81</vt:i4>
      </vt:variant>
      <vt:variant>
        <vt:i4>0</vt:i4>
      </vt:variant>
      <vt:variant>
        <vt:i4>5</vt:i4>
      </vt:variant>
      <vt:variant>
        <vt:lpwstr>https://www.helsetilsynet.no/publikasjoner/tilsynsmeldingen/2024/enslige-mindreaarige-asylsoekere-faar-ikke-den-omsorgen-de-har-krav-paa-viser-tilsyn/</vt:lpwstr>
      </vt:variant>
      <vt:variant>
        <vt:lpwstr/>
      </vt:variant>
      <vt:variant>
        <vt:i4>6684706</vt:i4>
      </vt:variant>
      <vt:variant>
        <vt:i4>78</vt:i4>
      </vt:variant>
      <vt:variant>
        <vt:i4>0</vt:i4>
      </vt:variant>
      <vt:variant>
        <vt:i4>5</vt:i4>
      </vt:variant>
      <vt:variant>
        <vt:lpwstr>https://www.helsetilsynet.no/publikasjoner/tilsynsmeldingen/2024/enslige-mindreaarige-asylsoekere-faar-ikke-den-omsorgen-de-har-krav-paa-viser-tilsyn/</vt:lpwstr>
      </vt:variant>
      <vt:variant>
        <vt:lpwstr>toc-header-3</vt:lpwstr>
      </vt:variant>
      <vt:variant>
        <vt:i4>917524</vt:i4>
      </vt:variant>
      <vt:variant>
        <vt:i4>75</vt:i4>
      </vt:variant>
      <vt:variant>
        <vt:i4>0</vt:i4>
      </vt:variant>
      <vt:variant>
        <vt:i4>5</vt:i4>
      </vt:variant>
      <vt:variant>
        <vt:lpwstr>https://www.helsetilsynet.no/publikasjoner/brev-og-horingsuttalelser-fra-statens-helsetilsyn/2023/dimensjonering-av-tilsyn-med-enslige-mindrearige-asylsokere-i-mottak--ressursbehov/</vt:lpwstr>
      </vt:variant>
      <vt:variant>
        <vt:lpwstr/>
      </vt:variant>
      <vt:variant>
        <vt:i4>7471214</vt:i4>
      </vt:variant>
      <vt:variant>
        <vt:i4>72</vt:i4>
      </vt:variant>
      <vt:variant>
        <vt:i4>0</vt:i4>
      </vt:variant>
      <vt:variant>
        <vt:i4>5</vt:i4>
      </vt:variant>
      <vt:variant>
        <vt:lpwstr>https://www.regjeringen.no/no/dokumenter/en-ny-barndom-for-livet/id3000835/</vt:lpwstr>
      </vt:variant>
      <vt:variant>
        <vt:lpwstr/>
      </vt:variant>
      <vt:variant>
        <vt:i4>4915227</vt:i4>
      </vt:variant>
      <vt:variant>
        <vt:i4>69</vt:i4>
      </vt:variant>
      <vt:variant>
        <vt:i4>0</vt:i4>
      </vt:variant>
      <vt:variant>
        <vt:i4>5</vt:i4>
      </vt:variant>
      <vt:variant>
        <vt:lpwstr>https://www.ssb.no/inntekt-og-forbruk/inntekt-og-formue/artikler/faerre-barn-lever-i-familier-med-lavinntekt</vt:lpwstr>
      </vt:variant>
      <vt:variant>
        <vt:lpwstr/>
      </vt:variant>
      <vt:variant>
        <vt:i4>7929915</vt:i4>
      </vt:variant>
      <vt:variant>
        <vt:i4>66</vt:i4>
      </vt:variant>
      <vt:variant>
        <vt:i4>0</vt:i4>
      </vt:variant>
      <vt:variant>
        <vt:i4>5</vt:i4>
      </vt:variant>
      <vt:variant>
        <vt:lpwstr>https://www.kirkensnodhjelp.no/contentassets/21e39d1b5cb5415493bf81e284f76235/2024-klimafinansiering-vista-rapport-final-digitalt-2.pdf</vt:lpwstr>
      </vt:variant>
      <vt:variant>
        <vt:lpwstr/>
      </vt:variant>
      <vt:variant>
        <vt:i4>1245258</vt:i4>
      </vt:variant>
      <vt:variant>
        <vt:i4>63</vt:i4>
      </vt:variant>
      <vt:variant>
        <vt:i4>0</vt:i4>
      </vt:variant>
      <vt:variant>
        <vt:i4>5</vt:i4>
      </vt:variant>
      <vt:variant>
        <vt:lpwstr>https://files.nettsteder.regjeringen.no/wpuploads01/sites/479/2023/10/Klimautvalget-2050.pdf</vt:lpwstr>
      </vt:variant>
      <vt:variant>
        <vt:lpwstr/>
      </vt:variant>
      <vt:variant>
        <vt:i4>6488139</vt:i4>
      </vt:variant>
      <vt:variant>
        <vt:i4>60</vt:i4>
      </vt:variant>
      <vt:variant>
        <vt:i4>0</vt:i4>
      </vt:variant>
      <vt:variant>
        <vt:i4>5</vt:i4>
      </vt:variant>
      <vt:variant>
        <vt:lpwstr>https://www.regjeringen.no/contentassets/28965e11d8044ceb94d0f958b8a45869/nn-no/pdfs/regjeringas_klimastatus_og_-plan.pdf</vt:lpwstr>
      </vt:variant>
      <vt:variant>
        <vt:lpwstr/>
      </vt:variant>
      <vt:variant>
        <vt:i4>1507359</vt:i4>
      </vt:variant>
      <vt:variant>
        <vt:i4>57</vt:i4>
      </vt:variant>
      <vt:variant>
        <vt:i4>0</vt:i4>
      </vt:variant>
      <vt:variant>
        <vt:i4>5</vt:i4>
      </vt:variant>
      <vt:variant>
        <vt:lpwstr>https://miljostatus.miljodirektoratet.no/tema/klima/</vt:lpwstr>
      </vt:variant>
      <vt:variant>
        <vt:lpwstr/>
      </vt:variant>
      <vt:variant>
        <vt:i4>1900627</vt:i4>
      </vt:variant>
      <vt:variant>
        <vt:i4>54</vt:i4>
      </vt:variant>
      <vt:variant>
        <vt:i4>0</vt:i4>
      </vt:variant>
      <vt:variant>
        <vt:i4>5</vt:i4>
      </vt:variant>
      <vt:variant>
        <vt:lpwstr>https://www.bufdir.no/siteassets/rapporter/arsrapport-bufdir-2023.pdf</vt:lpwstr>
      </vt:variant>
      <vt:variant>
        <vt:lpwstr/>
      </vt:variant>
      <vt:variant>
        <vt:i4>7077950</vt:i4>
      </vt:variant>
      <vt:variant>
        <vt:i4>51</vt:i4>
      </vt:variant>
      <vt:variant>
        <vt:i4>0</vt:i4>
      </vt:variant>
      <vt:variant>
        <vt:i4>5</vt:i4>
      </vt:variant>
      <vt:variant>
        <vt:lpwstr>https://www.nhri.no/en/2023/drug-use-and-human-rights/</vt:lpwstr>
      </vt:variant>
      <vt:variant>
        <vt:lpwstr/>
      </vt:variant>
      <vt:variant>
        <vt:i4>5832728</vt:i4>
      </vt:variant>
      <vt:variant>
        <vt:i4>48</vt:i4>
      </vt:variant>
      <vt:variant>
        <vt:i4>0</vt:i4>
      </vt:variant>
      <vt:variant>
        <vt:i4>5</vt:i4>
      </vt:variant>
      <vt:variant>
        <vt:lpwstr>https://utenlandsadopsjonsutvalget.no/mandat/</vt:lpwstr>
      </vt:variant>
      <vt:variant>
        <vt:lpwstr/>
      </vt:variant>
      <vt:variant>
        <vt:i4>1900627</vt:i4>
      </vt:variant>
      <vt:variant>
        <vt:i4>45</vt:i4>
      </vt:variant>
      <vt:variant>
        <vt:i4>0</vt:i4>
      </vt:variant>
      <vt:variant>
        <vt:i4>5</vt:i4>
      </vt:variant>
      <vt:variant>
        <vt:lpwstr>https://www.bufdir.no/siteassets/rapporter/arsrapport-bufdir-2023.pdf</vt:lpwstr>
      </vt:variant>
      <vt:variant>
        <vt:lpwstr/>
      </vt:variant>
      <vt:variant>
        <vt:i4>3080292</vt:i4>
      </vt:variant>
      <vt:variant>
        <vt:i4>42</vt:i4>
      </vt:variant>
      <vt:variant>
        <vt:i4>0</vt:i4>
      </vt:variant>
      <vt:variant>
        <vt:i4>5</vt:i4>
      </vt:variant>
      <vt:variant>
        <vt:lpwstr>https://www.bufdir.no/en/child-welfare-services/stages-in-a-child-welfare-case</vt:lpwstr>
      </vt:variant>
      <vt:variant>
        <vt:lpwstr/>
      </vt:variant>
      <vt:variant>
        <vt:i4>6619232</vt:i4>
      </vt:variant>
      <vt:variant>
        <vt:i4>39</vt:i4>
      </vt:variant>
      <vt:variant>
        <vt:i4>0</vt:i4>
      </vt:variant>
      <vt:variant>
        <vt:i4>5</vt:i4>
      </vt:variant>
      <vt:variant>
        <vt:lpwstr>https://www.vg.no/nyheter/i/Rz6O8J/elevundersoekelse-1-av-3-i-annen-kjoennskategori-mobbes</vt:lpwstr>
      </vt:variant>
      <vt:variant>
        <vt:lpwstr/>
      </vt:variant>
      <vt:variant>
        <vt:i4>393218</vt:i4>
      </vt:variant>
      <vt:variant>
        <vt:i4>36</vt:i4>
      </vt:variant>
      <vt:variant>
        <vt:i4>0</vt:i4>
      </vt:variant>
      <vt:variant>
        <vt:i4>5</vt:i4>
      </vt:variant>
      <vt:variant>
        <vt:lpwstr>https://www.nhri.no/skeives-menneskerettigheter/</vt:lpwstr>
      </vt:variant>
      <vt:variant>
        <vt:lpwstr/>
      </vt:variant>
      <vt:variant>
        <vt:i4>4259844</vt:i4>
      </vt:variant>
      <vt:variant>
        <vt:i4>33</vt:i4>
      </vt:variant>
      <vt:variant>
        <vt:i4>0</vt:i4>
      </vt:variant>
      <vt:variant>
        <vt:i4>5</vt:i4>
      </vt:variant>
      <vt:variant>
        <vt:lpwstr>https://amnesty.no/netthets-mot-samer</vt:lpwstr>
      </vt:variant>
      <vt:variant>
        <vt:lpwstr/>
      </vt:variant>
      <vt:variant>
        <vt:i4>6881319</vt:i4>
      </vt:variant>
      <vt:variant>
        <vt:i4>30</vt:i4>
      </vt:variant>
      <vt:variant>
        <vt:i4>0</vt:i4>
      </vt:variant>
      <vt:variant>
        <vt:i4>5</vt:i4>
      </vt:variant>
      <vt:variant>
        <vt:lpwstr>https://www.nhri.no/rapport/holdninger-til-samer-og-nasjonale-minoriteter-i-norge/</vt:lpwstr>
      </vt:variant>
      <vt:variant>
        <vt:lpwstr/>
      </vt:variant>
      <vt:variant>
        <vt:i4>5832782</vt:i4>
      </vt:variant>
      <vt:variant>
        <vt:i4>27</vt:i4>
      </vt:variant>
      <vt:variant>
        <vt:i4>0</vt:i4>
      </vt:variant>
      <vt:variant>
        <vt:i4>5</vt:i4>
      </vt:variant>
      <vt:variant>
        <vt:lpwstr>https://www.bufdir.no/siteassets/rapporter/kartlegging-medvirkning-ramboll24/</vt:lpwstr>
      </vt:variant>
      <vt:variant>
        <vt:lpwstr/>
      </vt:variant>
      <vt:variant>
        <vt:i4>7012412</vt:i4>
      </vt:variant>
      <vt:variant>
        <vt:i4>24</vt:i4>
      </vt:variant>
      <vt:variant>
        <vt:i4>0</vt:i4>
      </vt:variant>
      <vt:variant>
        <vt:i4>5</vt:i4>
      </vt:variant>
      <vt:variant>
        <vt:lpwstr>https://www.regjeringen.no/contentassets/d0b61f6e1d1b40d1bb92ff9d9b60793d/en-gb/pdfs/nou202220220005000engpdfs.pdf</vt:lpwstr>
      </vt:variant>
      <vt:variant>
        <vt:lpwstr/>
      </vt:variant>
      <vt:variant>
        <vt:i4>8192111</vt:i4>
      </vt:variant>
      <vt:variant>
        <vt:i4>21</vt:i4>
      </vt:variant>
      <vt:variant>
        <vt:i4>0</vt:i4>
      </vt:variant>
      <vt:variant>
        <vt:i4>5</vt:i4>
      </vt:variant>
      <vt:variant>
        <vt:lpwstr>https://www.fafo.no/zoo-publikasjoner/summaries/on-hearing-children-in-expulsion-cases</vt:lpwstr>
      </vt:variant>
      <vt:variant>
        <vt:lpwstr/>
      </vt:variant>
      <vt:variant>
        <vt:i4>3014776</vt:i4>
      </vt:variant>
      <vt:variant>
        <vt:i4>18</vt:i4>
      </vt:variant>
      <vt:variant>
        <vt:i4>0</vt:i4>
      </vt:variant>
      <vt:variant>
        <vt:i4>5</vt:i4>
      </vt:variant>
      <vt:variant>
        <vt:lpwstr>https://skriftserien.oslomet.no/index.php/skriftserien/article/view/753/630</vt:lpwstr>
      </vt:variant>
      <vt:variant>
        <vt:lpwstr/>
      </vt:variant>
      <vt:variant>
        <vt:i4>2818106</vt:i4>
      </vt:variant>
      <vt:variant>
        <vt:i4>15</vt:i4>
      </vt:variant>
      <vt:variant>
        <vt:i4>0</vt:i4>
      </vt:variant>
      <vt:variant>
        <vt:i4>5</vt:i4>
      </vt:variant>
      <vt:variant>
        <vt:lpwstr>https://www.bufdir.no/statistikk-og-analyse/barnevern/barnevernstiltak-til-barn-med-innvandrerbakgrunn</vt:lpwstr>
      </vt:variant>
      <vt:variant>
        <vt:lpwstr/>
      </vt:variant>
      <vt:variant>
        <vt:i4>4456462</vt:i4>
      </vt:variant>
      <vt:variant>
        <vt:i4>12</vt:i4>
      </vt:variant>
      <vt:variant>
        <vt:i4>0</vt:i4>
      </vt:variant>
      <vt:variant>
        <vt:i4>5</vt:i4>
      </vt:variant>
      <vt:variant>
        <vt:lpwstr>https://www.nhri.no/2024/svar-pa-foresporsel-om-rad-om-videreutvikling-av-samisk-statistikk/</vt:lpwstr>
      </vt:variant>
      <vt:variant>
        <vt:lpwstr/>
      </vt:variant>
      <vt:variant>
        <vt:i4>7995440</vt:i4>
      </vt:variant>
      <vt:variant>
        <vt:i4>6</vt:i4>
      </vt:variant>
      <vt:variant>
        <vt:i4>0</vt:i4>
      </vt:variant>
      <vt:variant>
        <vt:i4>5</vt:i4>
      </vt:variant>
      <vt:variant>
        <vt:lpwstr>https://www.nhri.no/en/2020/a-human-rights-based-approach-to-sami-statistics-in-norway/</vt:lpwstr>
      </vt:variant>
      <vt:variant>
        <vt:lpwstr/>
      </vt:variant>
      <vt:variant>
        <vt:i4>983135</vt:i4>
      </vt:variant>
      <vt:variant>
        <vt:i4>3</vt:i4>
      </vt:variant>
      <vt:variant>
        <vt:i4>0</vt:i4>
      </vt:variant>
      <vt:variant>
        <vt:i4>5</vt:i4>
      </vt:variant>
      <vt:variant>
        <vt:lpwstr>https://www.nhri.no/wp-content/uploads/2022/03/Ytterligere-innspill-til-representantforslag-56-S-fra-NIM.pdf</vt:lpwstr>
      </vt:variant>
      <vt:variant>
        <vt:lpwstr/>
      </vt:variant>
      <vt:variant>
        <vt:i4>2818155</vt:i4>
      </vt:variant>
      <vt:variant>
        <vt:i4>0</vt:i4>
      </vt:variant>
      <vt:variant>
        <vt:i4>0</vt:i4>
      </vt:variant>
      <vt:variant>
        <vt:i4>5</vt:i4>
      </vt:variant>
      <vt:variant>
        <vt:lpwstr>https://www.nhri.no/2022/innspill-til-stortinget-om-klagerett-for-barn/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Peter Dawson</dc:creator>
  <cp:keywords/>
  <dc:description/>
  <cp:lastModifiedBy>James Boit</cp:lastModifiedBy>
  <cp:revision>2</cp:revision>
  <cp:lastPrinted>2024-11-11T11:27:00Z</cp:lastPrinted>
  <dcterms:created xsi:type="dcterms:W3CDTF">2024-12-12T14:36:00Z</dcterms:created>
  <dcterms:modified xsi:type="dcterms:W3CDTF">2024-12-12T14:36:00Z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0x0101008BF4564A0206FD4FBEA6A28B4C43D712</vt:lpwstr>
  </property>
  <property fmtid="{D5CDD505-2E9C-101B-9397-08002B2CF9AE}" pid="3" name="MediaServiceImageTags">
    <vt:lpwstr/>
  </property>
</Properties>
</file>