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E61F2" w:rsidRDefault="00DC43A7">
      <w:pPr>
        <w:snapToGrid w:val="0"/>
        <w:spacing w:afterLines="50" w:after="120"/>
        <w:jc w:val="center"/>
        <w:rPr>
          <w:rFonts w:ascii="SimSun" w:cs="SimSun"/>
          <w:b/>
          <w:color w:val="000000"/>
          <w:sz w:val="36"/>
          <w:szCs w:val="36"/>
        </w:rPr>
      </w:pPr>
      <w:bookmarkStart w:id="0" w:name="_GoBack"/>
      <w:bookmarkEnd w:id="0"/>
      <w:r>
        <w:rPr>
          <w:rFonts w:ascii="SimSun" w:cs="SimSun" w:hint="eastAsia"/>
          <w:b/>
          <w:color w:val="000000"/>
          <w:sz w:val="36"/>
          <w:szCs w:val="36"/>
        </w:rPr>
        <w:t>NGO</w:t>
      </w:r>
      <w:r>
        <w:rPr>
          <w:rFonts w:ascii="SimSun" w:cs="SimSun" w:hint="eastAsia"/>
          <w:b/>
          <w:color w:val="000000"/>
          <w:sz w:val="36"/>
          <w:szCs w:val="36"/>
        </w:rPr>
        <w:t>报告：中国履行</w:t>
      </w:r>
      <w:r>
        <w:rPr>
          <w:rStyle w:val="Strong"/>
          <w:rFonts w:ascii="SimSun" w:hAnsi="SimSun" w:cs="SimSun" w:hint="eastAsia"/>
          <w:color w:val="000000"/>
          <w:sz w:val="36"/>
          <w:szCs w:val="36"/>
        </w:rPr>
        <w:t>《禁止酷刑和其他残忍、不人道或有辱人格的待遇或处罚公约》在法治层面的</w:t>
      </w:r>
      <w:r>
        <w:rPr>
          <w:rFonts w:ascii="SimSun" w:cs="SimSun" w:hint="eastAsia"/>
          <w:b/>
          <w:color w:val="000000"/>
          <w:sz w:val="36"/>
          <w:szCs w:val="36"/>
        </w:rPr>
        <w:t>情况</w:t>
      </w:r>
    </w:p>
    <w:p w:rsidR="00AE61F2" w:rsidRDefault="00AE61F2">
      <w:pPr>
        <w:snapToGrid w:val="0"/>
        <w:spacing w:afterLines="50" w:after="120"/>
        <w:jc w:val="center"/>
        <w:rPr>
          <w:b/>
          <w:sz w:val="32"/>
          <w:szCs w:val="32"/>
        </w:rPr>
      </w:pPr>
    </w:p>
    <w:p w:rsidR="00AE61F2" w:rsidRDefault="00DC43A7">
      <w:pPr>
        <w:snapToGrid w:val="0"/>
        <w:spacing w:afterLines="50" w:after="120"/>
      </w:pPr>
      <w:r>
        <w:rPr>
          <w:rFonts w:hint="eastAsia"/>
          <w:b/>
        </w:rPr>
        <w:t>提交机构：</w:t>
      </w:r>
      <w:r>
        <w:rPr>
          <w:rFonts w:hint="eastAsia"/>
        </w:rPr>
        <w:t>中国人权研究会、西南政法大学人权教育与研究中心</w:t>
      </w:r>
    </w:p>
    <w:p w:rsidR="00AE61F2" w:rsidRDefault="00DC43A7">
      <w:pPr>
        <w:snapToGrid w:val="0"/>
        <w:spacing w:afterLines="50" w:after="120"/>
      </w:pPr>
      <w:r>
        <w:rPr>
          <w:rFonts w:hint="eastAsia"/>
          <w:b/>
        </w:rPr>
        <w:t>关键词：</w:t>
      </w:r>
      <w:r>
        <w:rPr>
          <w:rFonts w:hint="eastAsia"/>
        </w:rPr>
        <w:t>禁止酷刑、法治</w:t>
      </w:r>
    </w:p>
    <w:p w:rsidR="00AE61F2" w:rsidRDefault="00AE61F2">
      <w:pPr>
        <w:snapToGrid w:val="0"/>
        <w:spacing w:afterLines="50" w:after="120"/>
      </w:pP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color w:val="000000"/>
          <w:sz w:val="21"/>
          <w:szCs w:val="21"/>
        </w:rPr>
      </w:pPr>
      <w:r>
        <w:rPr>
          <w:rFonts w:ascii="SimSun" w:cs="仿宋" w:hint="eastAsia"/>
          <w:color w:val="000000"/>
          <w:sz w:val="21"/>
          <w:szCs w:val="21"/>
        </w:rPr>
        <w:t>我们注意到，自</w:t>
      </w:r>
      <w:r>
        <w:rPr>
          <w:rFonts w:ascii="SimSun" w:cs="仿宋" w:hint="eastAsia"/>
          <w:color w:val="000000"/>
          <w:sz w:val="21"/>
          <w:szCs w:val="21"/>
        </w:rPr>
        <w:t>1988</w:t>
      </w:r>
      <w:r>
        <w:rPr>
          <w:rFonts w:ascii="SimSun" w:cs="仿宋" w:hint="eastAsia"/>
          <w:color w:val="000000"/>
          <w:sz w:val="21"/>
          <w:szCs w:val="21"/>
        </w:rPr>
        <w:t>年实施《</w:t>
      </w:r>
      <w:r>
        <w:rPr>
          <w:rStyle w:val="Strong"/>
          <w:rFonts w:ascii="SimSun" w:hAnsi="SimSun" w:cs="仿宋" w:hint="eastAsia"/>
          <w:b w:val="0"/>
          <w:color w:val="000000"/>
          <w:sz w:val="21"/>
          <w:szCs w:val="21"/>
        </w:rPr>
        <w:t>禁止酷刑和其他残忍、不人道或有辱人格的待遇或处罚公约</w:t>
      </w:r>
      <w:r>
        <w:rPr>
          <w:rFonts w:ascii="SimSun" w:cs="仿宋" w:hint="eastAsia"/>
          <w:color w:val="000000"/>
          <w:sz w:val="21"/>
          <w:szCs w:val="21"/>
        </w:rPr>
        <w:t>》（以下简称</w:t>
      </w:r>
      <w:r>
        <w:rPr>
          <w:rFonts w:ascii="SimSun" w:cs="仿宋" w:hint="eastAsia"/>
          <w:color w:val="000000"/>
          <w:sz w:val="21"/>
          <w:szCs w:val="21"/>
          <w:shd w:val="clear" w:color="auto" w:fill="FFFFFF"/>
        </w:rPr>
        <w:t>《禁止酷刑公约》</w:t>
      </w:r>
      <w:r>
        <w:rPr>
          <w:rFonts w:ascii="SimSun" w:cs="仿宋" w:hint="eastAsia"/>
          <w:color w:val="000000"/>
          <w:sz w:val="21"/>
          <w:szCs w:val="21"/>
        </w:rPr>
        <w:t>）以来，中国</w:t>
      </w:r>
      <w:r>
        <w:rPr>
          <w:rFonts w:ascii="SimSun" w:cs="仿宋" w:hint="eastAsia"/>
          <w:color w:val="000000"/>
          <w:sz w:val="21"/>
          <w:szCs w:val="21"/>
          <w:shd w:val="clear" w:color="auto" w:fill="FFFFFF"/>
        </w:rPr>
        <w:t>认真履行公约义务，大力推进反酷刑的法治化建设</w:t>
      </w:r>
      <w:r>
        <w:rPr>
          <w:rFonts w:ascii="SimSun" w:cs="仿宋" w:hint="eastAsia"/>
          <w:color w:val="000000"/>
          <w:sz w:val="21"/>
          <w:szCs w:val="21"/>
        </w:rPr>
        <w:t>，国内人权状况积极改善</w:t>
      </w:r>
      <w:r>
        <w:rPr>
          <w:rFonts w:ascii="SimSun" w:cs="仿宋" w:hint="eastAsia"/>
          <w:color w:val="000000"/>
          <w:sz w:val="21"/>
          <w:szCs w:val="21"/>
          <w:shd w:val="clear" w:color="auto" w:fill="FFFFFF"/>
        </w:rPr>
        <w:t>。</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color w:val="000000"/>
          <w:sz w:val="21"/>
          <w:szCs w:val="21"/>
        </w:rPr>
      </w:pPr>
      <w:r>
        <w:rPr>
          <w:rFonts w:ascii="SimSun" w:cs="仿宋" w:hint="eastAsia"/>
          <w:color w:val="000000"/>
          <w:sz w:val="21"/>
          <w:szCs w:val="21"/>
        </w:rPr>
        <w:t>首先，中国根据《禁止酷刑公约》的宗旨、精神及相关条款，将“酷刑”刑法化。中国刑法典在条文上与《禁止酷刑公约》第</w:t>
      </w:r>
      <w:r>
        <w:rPr>
          <w:rFonts w:ascii="SimSun" w:cs="仿宋" w:hint="eastAsia"/>
          <w:color w:val="000000"/>
          <w:sz w:val="21"/>
          <w:szCs w:val="21"/>
        </w:rPr>
        <w:t>1</w:t>
      </w:r>
      <w:r>
        <w:rPr>
          <w:rFonts w:ascii="SimSun" w:cs="仿宋" w:hint="eastAsia"/>
          <w:color w:val="000000"/>
          <w:sz w:val="21"/>
          <w:szCs w:val="21"/>
        </w:rPr>
        <w:t>条的“酷刑”定义存在差异，未建立专门的“酷刑”罪名体系，但在实质精神上与公约一致。（</w:t>
      </w:r>
      <w:r>
        <w:rPr>
          <w:rFonts w:ascii="SimSun" w:cs="仿宋" w:hint="eastAsia"/>
          <w:color w:val="000000"/>
          <w:sz w:val="21"/>
          <w:szCs w:val="21"/>
        </w:rPr>
        <w:t>1</w:t>
      </w:r>
      <w:r>
        <w:rPr>
          <w:rFonts w:ascii="SimSun" w:cs="仿宋" w:hint="eastAsia"/>
          <w:color w:val="000000"/>
          <w:sz w:val="21"/>
          <w:szCs w:val="21"/>
        </w:rPr>
        <w:t>）刑法典主要通过六个特别条款（第</w:t>
      </w:r>
      <w:r>
        <w:rPr>
          <w:rFonts w:ascii="SimSun" w:cs="仿宋" w:hint="eastAsia"/>
          <w:color w:val="000000"/>
          <w:sz w:val="21"/>
          <w:szCs w:val="21"/>
        </w:rPr>
        <w:t>238</w:t>
      </w:r>
      <w:r>
        <w:rPr>
          <w:rFonts w:ascii="SimSun" w:cs="仿宋" w:hint="eastAsia"/>
          <w:color w:val="000000"/>
          <w:sz w:val="21"/>
          <w:szCs w:val="21"/>
        </w:rPr>
        <w:t>、</w:t>
      </w:r>
      <w:r>
        <w:rPr>
          <w:rFonts w:ascii="SimSun" w:cs="仿宋" w:hint="eastAsia"/>
          <w:color w:val="000000"/>
          <w:sz w:val="21"/>
          <w:szCs w:val="21"/>
        </w:rPr>
        <w:t>245</w:t>
      </w:r>
      <w:r>
        <w:rPr>
          <w:rFonts w:ascii="SimSun" w:cs="仿宋" w:hint="eastAsia"/>
          <w:color w:val="000000"/>
          <w:sz w:val="21"/>
          <w:szCs w:val="21"/>
        </w:rPr>
        <w:t>、</w:t>
      </w:r>
      <w:r>
        <w:rPr>
          <w:rFonts w:ascii="SimSun" w:cs="仿宋" w:hint="eastAsia"/>
          <w:color w:val="000000"/>
          <w:sz w:val="21"/>
          <w:szCs w:val="21"/>
        </w:rPr>
        <w:t>247</w:t>
      </w:r>
      <w:r>
        <w:rPr>
          <w:rFonts w:ascii="SimSun" w:cs="仿宋" w:hint="eastAsia"/>
          <w:color w:val="000000"/>
          <w:sz w:val="21"/>
          <w:szCs w:val="21"/>
        </w:rPr>
        <w:t>、</w:t>
      </w:r>
      <w:r>
        <w:rPr>
          <w:rFonts w:ascii="SimSun" w:cs="仿宋" w:hint="eastAsia"/>
          <w:color w:val="000000"/>
          <w:sz w:val="21"/>
          <w:szCs w:val="21"/>
        </w:rPr>
        <w:t>248</w:t>
      </w:r>
      <w:r>
        <w:rPr>
          <w:rFonts w:ascii="SimSun" w:cs="仿宋" w:hint="eastAsia"/>
          <w:color w:val="000000"/>
          <w:sz w:val="21"/>
          <w:szCs w:val="21"/>
        </w:rPr>
        <w:t>、</w:t>
      </w:r>
      <w:r>
        <w:rPr>
          <w:rFonts w:ascii="SimSun" w:cs="仿宋" w:hint="eastAsia"/>
          <w:color w:val="000000"/>
          <w:sz w:val="21"/>
          <w:szCs w:val="21"/>
        </w:rPr>
        <w:t>254</w:t>
      </w:r>
      <w:r>
        <w:rPr>
          <w:rFonts w:ascii="SimSun" w:cs="仿宋" w:hint="eastAsia"/>
          <w:color w:val="000000"/>
          <w:sz w:val="21"/>
          <w:szCs w:val="21"/>
        </w:rPr>
        <w:t>、</w:t>
      </w:r>
      <w:r>
        <w:rPr>
          <w:rFonts w:ascii="SimSun" w:cs="仿宋" w:hint="eastAsia"/>
          <w:color w:val="000000"/>
          <w:sz w:val="21"/>
          <w:szCs w:val="21"/>
        </w:rPr>
        <w:t>443</w:t>
      </w:r>
      <w:r>
        <w:rPr>
          <w:rFonts w:ascii="SimSun" w:cs="仿宋" w:hint="eastAsia"/>
          <w:color w:val="000000"/>
          <w:sz w:val="21"/>
          <w:szCs w:val="21"/>
        </w:rPr>
        <w:t>条），设立七种直接涉及酷刑的犯罪将公约规定具体化；（</w:t>
      </w:r>
      <w:r>
        <w:rPr>
          <w:rFonts w:ascii="SimSun" w:cs="仿宋" w:hint="eastAsia"/>
          <w:color w:val="000000"/>
          <w:sz w:val="21"/>
          <w:szCs w:val="21"/>
        </w:rPr>
        <w:t>2</w:t>
      </w:r>
      <w:r>
        <w:rPr>
          <w:rFonts w:ascii="SimSun" w:cs="仿宋" w:hint="eastAsia"/>
          <w:color w:val="000000"/>
          <w:sz w:val="21"/>
          <w:szCs w:val="21"/>
        </w:rPr>
        <w:t>）犯罪主体既有一般主体，也有特殊主体（如构成</w:t>
      </w:r>
      <w:hyperlink r:id="rId8" w:history="1">
        <w:r>
          <w:rPr>
            <w:rStyle w:val="Hyperlink"/>
            <w:rFonts w:ascii="SimSun" w:hAnsi="SimSun" w:cs="仿宋" w:hint="eastAsia"/>
            <w:color w:val="000000"/>
            <w:sz w:val="21"/>
            <w:szCs w:val="21"/>
            <w:u w:val="none"/>
          </w:rPr>
          <w:t>报复陷害罪</w:t>
        </w:r>
      </w:hyperlink>
      <w:r>
        <w:rPr>
          <w:rFonts w:ascii="SimSun" w:cs="仿宋" w:hint="eastAsia"/>
          <w:color w:val="000000"/>
          <w:sz w:val="21"/>
          <w:szCs w:val="21"/>
        </w:rPr>
        <w:t>的主体为</w:t>
      </w:r>
      <w:hyperlink r:id="rId9" w:history="1">
        <w:r>
          <w:rPr>
            <w:rStyle w:val="Hyperlink"/>
            <w:rFonts w:ascii="SimSun" w:hAnsi="SimSun" w:cs="仿宋" w:hint="eastAsia"/>
            <w:color w:val="000000"/>
            <w:sz w:val="21"/>
            <w:szCs w:val="21"/>
            <w:u w:val="none"/>
          </w:rPr>
          <w:t>国家机关工作人员</w:t>
        </w:r>
      </w:hyperlink>
      <w:r>
        <w:rPr>
          <w:rFonts w:ascii="SimSun" w:cs="仿宋" w:hint="eastAsia"/>
          <w:color w:val="000000"/>
          <w:sz w:val="21"/>
          <w:szCs w:val="21"/>
        </w:rPr>
        <w:t>，构成</w:t>
      </w:r>
      <w:hyperlink r:id="rId10" w:history="1">
        <w:r>
          <w:rPr>
            <w:rStyle w:val="Hyperlink"/>
            <w:rFonts w:ascii="SimSun" w:hAnsi="SimSun" w:cs="仿宋" w:hint="eastAsia"/>
            <w:color w:val="000000"/>
            <w:sz w:val="21"/>
            <w:szCs w:val="21"/>
            <w:u w:val="none"/>
          </w:rPr>
          <w:t>虐待部属罪</w:t>
        </w:r>
      </w:hyperlink>
      <w:r>
        <w:rPr>
          <w:rFonts w:ascii="SimSun" w:cs="仿宋" w:hint="eastAsia"/>
          <w:color w:val="000000"/>
          <w:sz w:val="21"/>
          <w:szCs w:val="21"/>
        </w:rPr>
        <w:t>的主体为军职长官）；（</w:t>
      </w:r>
      <w:r>
        <w:rPr>
          <w:rFonts w:ascii="SimSun" w:cs="仿宋" w:hint="eastAsia"/>
          <w:color w:val="000000"/>
          <w:sz w:val="21"/>
          <w:szCs w:val="21"/>
        </w:rPr>
        <w:t>3</w:t>
      </w:r>
      <w:r>
        <w:rPr>
          <w:rFonts w:ascii="SimSun" w:cs="仿宋" w:hint="eastAsia"/>
          <w:color w:val="000000"/>
          <w:sz w:val="21"/>
          <w:szCs w:val="21"/>
        </w:rPr>
        <w:t>）犯罪行为既可能为主体直接“实施”的行为，也包括“指使”（语义上包括《禁止酷刑公约》规定的积极唆使和消极的同意或默许）其他人实施酷刑行为，如虐待被监管人罪；（</w:t>
      </w:r>
      <w:r>
        <w:rPr>
          <w:rFonts w:ascii="SimSun" w:cs="仿宋" w:hint="eastAsia"/>
          <w:color w:val="000000"/>
          <w:sz w:val="21"/>
          <w:szCs w:val="21"/>
        </w:rPr>
        <w:t>4</w:t>
      </w:r>
      <w:r>
        <w:rPr>
          <w:rFonts w:ascii="SimSun" w:cs="仿宋" w:hint="eastAsia"/>
          <w:color w:val="000000"/>
          <w:sz w:val="21"/>
          <w:szCs w:val="21"/>
        </w:rPr>
        <w:t>）一般主体或特殊主体均可实施的涉酷刑犯罪，对特殊主体加重或从重处罚，如国家工作人员利用职权犯非法拘禁罪的加重处罚，</w:t>
      </w:r>
      <w:hyperlink r:id="rId11" w:history="1">
        <w:r>
          <w:rPr>
            <w:rStyle w:val="Hyperlink"/>
            <w:rFonts w:ascii="SimSun" w:hAnsi="SimSun" w:cs="仿宋" w:hint="eastAsia"/>
            <w:color w:val="000000"/>
            <w:sz w:val="21"/>
            <w:szCs w:val="21"/>
            <w:u w:val="none"/>
          </w:rPr>
          <w:t>司法工作人员</w:t>
        </w:r>
      </w:hyperlink>
      <w:r>
        <w:rPr>
          <w:rFonts w:ascii="SimSun" w:cs="仿宋" w:hint="eastAsia"/>
          <w:color w:val="000000"/>
          <w:sz w:val="21"/>
          <w:szCs w:val="21"/>
        </w:rPr>
        <w:t>滥用职</w:t>
      </w:r>
      <w:r>
        <w:rPr>
          <w:rFonts w:ascii="SimSun" w:cs="仿宋" w:hint="eastAsia"/>
          <w:color w:val="000000"/>
          <w:sz w:val="21"/>
          <w:szCs w:val="21"/>
        </w:rPr>
        <w:t>权犯</w:t>
      </w:r>
      <w:hyperlink r:id="rId12" w:history="1">
        <w:r>
          <w:rPr>
            <w:rStyle w:val="Hyperlink"/>
            <w:rFonts w:ascii="SimSun" w:hAnsi="SimSun" w:cs="仿宋" w:hint="eastAsia"/>
            <w:color w:val="000000"/>
            <w:sz w:val="21"/>
            <w:szCs w:val="21"/>
            <w:u w:val="none"/>
          </w:rPr>
          <w:t>非法搜查罪</w:t>
        </w:r>
      </w:hyperlink>
      <w:r>
        <w:rPr>
          <w:rFonts w:ascii="SimSun" w:cs="仿宋" w:hint="eastAsia"/>
          <w:color w:val="000000"/>
          <w:sz w:val="21"/>
          <w:szCs w:val="21"/>
        </w:rPr>
        <w:t>的加重处罚；（</w:t>
      </w:r>
      <w:r>
        <w:rPr>
          <w:rFonts w:ascii="SimSun" w:cs="仿宋" w:hint="eastAsia"/>
          <w:color w:val="000000"/>
          <w:sz w:val="21"/>
          <w:szCs w:val="21"/>
        </w:rPr>
        <w:t>5</w:t>
      </w:r>
      <w:r>
        <w:rPr>
          <w:rFonts w:ascii="SimSun" w:cs="仿宋" w:hint="eastAsia"/>
          <w:color w:val="000000"/>
          <w:sz w:val="21"/>
          <w:szCs w:val="21"/>
        </w:rPr>
        <w:t>）除处罚行为犯外，对于结果犯加重处罚，甚至适用可能判处死刑的重罪，如司法工作人员</w:t>
      </w:r>
      <w:hyperlink r:id="rId13" w:history="1">
        <w:r>
          <w:rPr>
            <w:rStyle w:val="Hyperlink"/>
            <w:rFonts w:ascii="SimSun" w:hAnsi="SimSun" w:cs="仿宋" w:hint="eastAsia"/>
            <w:color w:val="000000"/>
            <w:sz w:val="21"/>
            <w:szCs w:val="21"/>
            <w:u w:val="none"/>
          </w:rPr>
          <w:t>刑讯逼供</w:t>
        </w:r>
      </w:hyperlink>
      <w:r>
        <w:rPr>
          <w:rFonts w:ascii="SimSun" w:cs="仿宋" w:hint="eastAsia"/>
          <w:color w:val="000000"/>
          <w:sz w:val="21"/>
          <w:szCs w:val="21"/>
        </w:rPr>
        <w:t>或</w:t>
      </w:r>
      <w:hyperlink r:id="rId14" w:history="1">
        <w:r>
          <w:rPr>
            <w:rStyle w:val="Hyperlink"/>
            <w:rFonts w:ascii="SimSun" w:hAnsi="SimSun" w:cs="仿宋" w:hint="eastAsia"/>
            <w:color w:val="000000"/>
            <w:sz w:val="21"/>
            <w:szCs w:val="21"/>
            <w:u w:val="none"/>
          </w:rPr>
          <w:t>暴力取证</w:t>
        </w:r>
      </w:hyperlink>
      <w:r>
        <w:rPr>
          <w:rFonts w:ascii="SimSun" w:cs="仿宋" w:hint="eastAsia"/>
          <w:color w:val="000000"/>
          <w:sz w:val="21"/>
          <w:szCs w:val="21"/>
        </w:rPr>
        <w:t>，或监狱、</w:t>
      </w:r>
      <w:hyperlink r:id="rId15" w:history="1">
        <w:r>
          <w:rPr>
            <w:rStyle w:val="Hyperlink"/>
            <w:rFonts w:ascii="SimSun" w:hAnsi="SimSun" w:cs="仿宋" w:hint="eastAsia"/>
            <w:color w:val="000000"/>
            <w:sz w:val="21"/>
            <w:szCs w:val="21"/>
            <w:u w:val="none"/>
          </w:rPr>
          <w:t>拘留所</w:t>
        </w:r>
      </w:hyperlink>
      <w:r>
        <w:rPr>
          <w:rFonts w:ascii="SimSun" w:cs="仿宋" w:hint="eastAsia"/>
          <w:color w:val="000000"/>
          <w:sz w:val="21"/>
          <w:szCs w:val="21"/>
        </w:rPr>
        <w:t>、看守所等监管机关的监管人员虐待被监管人员，造成伤残或死亡后果的，依故意伤害罪或故意杀人罪从重处罚</w:t>
      </w:r>
      <w:r>
        <w:rPr>
          <w:rFonts w:ascii="SimSun" w:cs="仿宋" w:hint="eastAsia"/>
          <w:color w:val="000000"/>
          <w:sz w:val="21"/>
          <w:szCs w:val="21"/>
        </w:rPr>
        <w:t>；（</w:t>
      </w:r>
      <w:r>
        <w:rPr>
          <w:rFonts w:ascii="SimSun" w:cs="仿宋" w:hint="eastAsia"/>
          <w:color w:val="000000"/>
          <w:sz w:val="21"/>
          <w:szCs w:val="21"/>
        </w:rPr>
        <w:t>6</w:t>
      </w:r>
      <w:r>
        <w:rPr>
          <w:rFonts w:ascii="SimSun" w:cs="仿宋" w:hint="eastAsia"/>
          <w:color w:val="000000"/>
          <w:sz w:val="21"/>
          <w:szCs w:val="21"/>
        </w:rPr>
        <w:t>）在实施其他犯罪行为时并有涉及酷刑行为的，可数罪并罚，如</w:t>
      </w:r>
      <w:r>
        <w:rPr>
          <w:rFonts w:ascii="SimSun" w:cs="仿宋" w:hint="eastAsia"/>
          <w:color w:val="000000"/>
          <w:sz w:val="21"/>
          <w:szCs w:val="21"/>
        </w:rPr>
        <w:t>2015</w:t>
      </w:r>
      <w:r>
        <w:rPr>
          <w:rFonts w:ascii="SimSun" w:cs="仿宋" w:hint="eastAsia"/>
          <w:color w:val="000000"/>
          <w:sz w:val="21"/>
          <w:szCs w:val="21"/>
        </w:rPr>
        <w:t>年《刑法修正案（九）》第</w:t>
      </w:r>
      <w:r>
        <w:rPr>
          <w:rFonts w:ascii="SimSun" w:cs="仿宋" w:hint="eastAsia"/>
          <w:color w:val="000000"/>
          <w:sz w:val="21"/>
          <w:szCs w:val="21"/>
        </w:rPr>
        <w:t>42</w:t>
      </w:r>
      <w:r>
        <w:rPr>
          <w:rFonts w:ascii="SimSun" w:cs="仿宋" w:hint="eastAsia"/>
          <w:color w:val="000000"/>
          <w:sz w:val="21"/>
          <w:szCs w:val="21"/>
        </w:rPr>
        <w:t>条规定，犯组织、强迫他人卖淫罪，并有杀害、伤害、强奸、绑架等犯罪行为的，依照数罪并罚的规定处罚；（</w:t>
      </w:r>
      <w:r>
        <w:rPr>
          <w:rFonts w:ascii="SimSun" w:cs="仿宋" w:hint="eastAsia"/>
          <w:color w:val="000000"/>
          <w:sz w:val="21"/>
          <w:szCs w:val="21"/>
        </w:rPr>
        <w:t>7</w:t>
      </w:r>
      <w:r>
        <w:rPr>
          <w:rFonts w:ascii="SimSun" w:cs="仿宋" w:hint="eastAsia"/>
          <w:color w:val="000000"/>
          <w:sz w:val="21"/>
          <w:szCs w:val="21"/>
        </w:rPr>
        <w:t>）刑法中存在直接正犯、间接正犯（教唆犯即间接正犯）、共犯等类型，因此酷刑行为、试图实施酷刑、命令使用酷刑或酷刑的合谋等实际上均为中国刑法所涵盖，在行为类型上的基本没有遗漏；（</w:t>
      </w:r>
      <w:r>
        <w:rPr>
          <w:rFonts w:ascii="SimSun" w:cs="仿宋" w:hint="eastAsia"/>
          <w:color w:val="000000"/>
          <w:sz w:val="21"/>
          <w:szCs w:val="21"/>
        </w:rPr>
        <w:t>8</w:t>
      </w:r>
      <w:r>
        <w:rPr>
          <w:rFonts w:ascii="SimSun" w:cs="仿宋" w:hint="eastAsia"/>
          <w:color w:val="000000"/>
          <w:sz w:val="21"/>
          <w:szCs w:val="21"/>
        </w:rPr>
        <w:t>）按照犯罪构成原理，符合《禁止酷刑公约》“酷刑”定义的行为，即使未为刑法直接涉及酷刑的罪名所涵盖，但可能因成立其他犯罪而受到刑事处罚，如</w:t>
      </w:r>
      <w:r>
        <w:rPr>
          <w:rFonts w:ascii="SimSun" w:cs="仿宋" w:hint="eastAsia"/>
          <w:color w:val="000000"/>
          <w:kern w:val="2"/>
          <w:sz w:val="21"/>
          <w:szCs w:val="21"/>
        </w:rPr>
        <w:t>《</w:t>
      </w:r>
      <w:r>
        <w:rPr>
          <w:rFonts w:ascii="SimSun" w:cs="仿宋" w:hint="eastAsia"/>
          <w:color w:val="000000"/>
          <w:kern w:val="2"/>
          <w:sz w:val="21"/>
          <w:szCs w:val="21"/>
        </w:rPr>
        <w:t>刑法修正案（九）》取消了</w:t>
      </w:r>
      <w:r>
        <w:rPr>
          <w:rFonts w:ascii="SimSun" w:cs="仿宋" w:hint="eastAsia"/>
          <w:color w:val="000000"/>
          <w:kern w:val="2"/>
          <w:sz w:val="21"/>
          <w:szCs w:val="21"/>
        </w:rPr>
        <w:t>9</w:t>
      </w:r>
      <w:r>
        <w:rPr>
          <w:rFonts w:ascii="SimSun" w:cs="仿宋" w:hint="eastAsia"/>
          <w:color w:val="000000"/>
          <w:kern w:val="2"/>
          <w:sz w:val="21"/>
          <w:szCs w:val="21"/>
        </w:rPr>
        <w:t>个罪名的死刑，第</w:t>
      </w:r>
      <w:r>
        <w:rPr>
          <w:rFonts w:ascii="SimSun" w:cs="仿宋" w:hint="eastAsia"/>
          <w:color w:val="000000"/>
          <w:kern w:val="2"/>
          <w:sz w:val="21"/>
          <w:szCs w:val="21"/>
        </w:rPr>
        <w:t>19</w:t>
      </w:r>
      <w:r>
        <w:rPr>
          <w:rFonts w:ascii="SimSun" w:cs="仿宋" w:hint="eastAsia"/>
          <w:color w:val="000000"/>
          <w:kern w:val="2"/>
          <w:sz w:val="21"/>
          <w:szCs w:val="21"/>
        </w:rPr>
        <w:t>条增加规定，“对未成年人、老年人、患病的人、残疾人等负有监护、看护职责的人虐待被监护、看护的人，情节恶劣的，处三年以下有期徒刑或者拘役。”</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color w:val="000000"/>
          <w:sz w:val="21"/>
          <w:szCs w:val="21"/>
        </w:rPr>
      </w:pPr>
      <w:r>
        <w:rPr>
          <w:rFonts w:ascii="SimSun" w:cs="仿宋" w:hint="eastAsia"/>
          <w:color w:val="000000"/>
          <w:sz w:val="21"/>
          <w:szCs w:val="21"/>
        </w:rPr>
        <w:t>其次，重要刑事程序立法及司法实施工作相应跟进。</w:t>
      </w:r>
      <w:r>
        <w:rPr>
          <w:rFonts w:ascii="SimSun" w:cs="仿宋" w:hint="eastAsia"/>
          <w:color w:val="000000"/>
          <w:sz w:val="21"/>
          <w:szCs w:val="21"/>
        </w:rPr>
        <w:t>2012</w:t>
      </w:r>
      <w:r>
        <w:rPr>
          <w:rFonts w:ascii="SimSun" w:cs="仿宋" w:hint="eastAsia"/>
          <w:color w:val="000000"/>
          <w:sz w:val="21"/>
          <w:szCs w:val="21"/>
        </w:rPr>
        <w:t>年，中国修订《刑事诉讼法》，增加和修改的条文占原条文的三成。此次修订，整体思想与国际接轨，以限制国家刑事追诉权、保障犯罪嫌疑人权利为宗旨，在许多方面有较大突破：在</w:t>
      </w:r>
      <w:r>
        <w:rPr>
          <w:rFonts w:ascii="SimSun" w:cs="仿宋" w:hint="eastAsia"/>
          <w:color w:val="000000"/>
          <w:kern w:val="2"/>
          <w:sz w:val="21"/>
          <w:szCs w:val="21"/>
        </w:rPr>
        <w:t>总则中，明确写入“尊重和保障人权”，实现了刑事诉讼理念从偏重打击犯罪到惩罚犯罪与保障人权并重的转换。在律师制度</w:t>
      </w:r>
      <w:r>
        <w:rPr>
          <w:rFonts w:ascii="SimSun" w:cs="仿宋" w:hint="eastAsia"/>
          <w:color w:val="000000"/>
          <w:kern w:val="2"/>
          <w:sz w:val="21"/>
          <w:szCs w:val="21"/>
        </w:rPr>
        <w:t>、证据制度和严</w:t>
      </w:r>
      <w:r>
        <w:rPr>
          <w:rFonts w:ascii="SimSun" w:cs="仿宋" w:hint="eastAsia"/>
          <w:color w:val="000000"/>
          <w:kern w:val="2"/>
          <w:sz w:val="21"/>
          <w:szCs w:val="21"/>
        </w:rPr>
        <w:lastRenderedPageBreak/>
        <w:t>禁刑讯逼供机制上，进行了制度建构，确立了不得强迫自证其罪的权利，补充完善了非法证据排除规则，规定在讯问过程中采用录音录像措施，初步形成了一套完整的严禁刑讯逼供的机制。同时，规定警察出庭作证，完善了辩护人在刑事诉讼中法律地位和作用的规定，增加了法院的强制医疗决定权以及相关程序，明确将拘留后因有碍侦查不通知家属的情形仅限于涉嫌危害国家安全犯罪、恐怖活动犯罪，有效遏制侦查机关可能滥用“秘密拘捕”。为贯彻落实《刑事诉讼法》，司法机关也出台了相关的具体规定。比如，</w:t>
      </w:r>
      <w:r>
        <w:rPr>
          <w:rFonts w:ascii="SimSun" w:cs="仿宋" w:hint="eastAsia"/>
          <w:color w:val="000000"/>
          <w:sz w:val="21"/>
          <w:szCs w:val="21"/>
          <w:shd w:val="clear" w:color="auto" w:fill="FFFFFF"/>
        </w:rPr>
        <w:t>2015</w:t>
      </w:r>
      <w:r>
        <w:rPr>
          <w:rFonts w:ascii="SimSun" w:cs="仿宋" w:hint="eastAsia"/>
          <w:color w:val="000000"/>
          <w:sz w:val="21"/>
          <w:szCs w:val="21"/>
          <w:shd w:val="clear" w:color="auto" w:fill="FFFFFF"/>
        </w:rPr>
        <w:t>年</w:t>
      </w:r>
      <w:r>
        <w:rPr>
          <w:rFonts w:ascii="SimSun" w:cs="仿宋" w:hint="eastAsia"/>
          <w:color w:val="000000"/>
          <w:sz w:val="21"/>
          <w:szCs w:val="21"/>
          <w:shd w:val="clear" w:color="auto" w:fill="FFFFFF"/>
        </w:rPr>
        <w:t>8</w:t>
      </w:r>
      <w:r>
        <w:rPr>
          <w:rFonts w:ascii="SimSun" w:cs="仿宋" w:hint="eastAsia"/>
          <w:color w:val="000000"/>
          <w:sz w:val="21"/>
          <w:szCs w:val="21"/>
          <w:shd w:val="clear" w:color="auto" w:fill="FFFFFF"/>
        </w:rPr>
        <w:t>月，最高人民检察院出台职务犯</w:t>
      </w:r>
      <w:r>
        <w:rPr>
          <w:rFonts w:ascii="SimSun" w:cs="仿宋" w:hint="eastAsia"/>
          <w:color w:val="000000"/>
          <w:sz w:val="21"/>
          <w:szCs w:val="21"/>
          <w:shd w:val="clear" w:color="auto" w:fill="FFFFFF"/>
        </w:rPr>
        <w:t>罪侦查工作“八项禁令”，其中包括“严禁随意初查和在初查中对被调查对象采取限制人身、财产权利的强制性措施”、“严禁在未全程同步录音录像情况下进行讯问”、“严禁刑讯逼供以及其他非法取证行为”、“严禁阻止或者妨碍律师依法会见犯罪嫌疑人”、“严禁违法使用指定居所监视居住措施”等。</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color w:val="000000"/>
          <w:sz w:val="21"/>
          <w:szCs w:val="21"/>
        </w:rPr>
      </w:pPr>
      <w:r>
        <w:rPr>
          <w:rFonts w:ascii="SimSun" w:cs="仿宋" w:hint="eastAsia"/>
          <w:color w:val="000000"/>
          <w:sz w:val="21"/>
          <w:szCs w:val="21"/>
        </w:rPr>
        <w:t>另外，其他法律的修改和新规章的实施方面，也有相应积极举措。</w:t>
      </w:r>
      <w:r>
        <w:rPr>
          <w:rFonts w:ascii="SimSun" w:cs="仿宋" w:hint="eastAsia"/>
          <w:color w:val="000000"/>
          <w:sz w:val="21"/>
          <w:szCs w:val="21"/>
        </w:rPr>
        <w:t>2012</w:t>
      </w:r>
      <w:r>
        <w:rPr>
          <w:rFonts w:ascii="SimSun" w:cs="仿宋" w:hint="eastAsia"/>
          <w:color w:val="000000"/>
          <w:sz w:val="21"/>
          <w:szCs w:val="21"/>
        </w:rPr>
        <w:t>年以来，中国修改了《监狱法》、《律师法》、《未成年人保护法》、《预防未成年人犯罪法》、《治安管理处罚法》、《国家赔偿法》、《人民警察法》等七部法律的部分条款。《拘留所条例》</w:t>
      </w:r>
      <w:r>
        <w:rPr>
          <w:rFonts w:ascii="SimSun" w:cs="仿宋" w:hint="eastAsia"/>
          <w:color w:val="000000"/>
          <w:sz w:val="21"/>
          <w:szCs w:val="21"/>
        </w:rPr>
        <w:t>、《拘留所条例实施办法》等行政法规和部门规章也于</w:t>
      </w:r>
      <w:r>
        <w:rPr>
          <w:rFonts w:ascii="SimSun" w:cs="仿宋" w:hint="eastAsia"/>
          <w:color w:val="000000"/>
          <w:sz w:val="21"/>
          <w:szCs w:val="21"/>
        </w:rPr>
        <w:t>2012</w:t>
      </w:r>
      <w:r>
        <w:rPr>
          <w:rFonts w:ascii="SimSun" w:cs="仿宋" w:hint="eastAsia"/>
          <w:color w:val="000000"/>
          <w:sz w:val="21"/>
          <w:szCs w:val="21"/>
        </w:rPr>
        <w:t>年生效实施。</w:t>
      </w:r>
      <w:r>
        <w:rPr>
          <w:rFonts w:ascii="SimSun" w:cs="仿宋" w:hint="eastAsia"/>
          <w:color w:val="000000"/>
          <w:sz w:val="21"/>
          <w:szCs w:val="21"/>
        </w:rPr>
        <w:t>2014</w:t>
      </w:r>
      <w:r>
        <w:rPr>
          <w:rFonts w:ascii="SimSun" w:cs="仿宋" w:hint="eastAsia"/>
          <w:color w:val="000000"/>
          <w:sz w:val="21"/>
          <w:szCs w:val="21"/>
        </w:rPr>
        <w:t>年，《行政诉讼法》实施</w:t>
      </w:r>
      <w:r>
        <w:rPr>
          <w:rFonts w:ascii="SimSun" w:cs="仿宋" w:hint="eastAsia"/>
          <w:color w:val="000000"/>
          <w:sz w:val="21"/>
          <w:szCs w:val="21"/>
        </w:rPr>
        <w:t>24</w:t>
      </w:r>
      <w:r>
        <w:rPr>
          <w:rFonts w:ascii="SimSun" w:cs="仿宋" w:hint="eastAsia"/>
          <w:color w:val="000000"/>
          <w:sz w:val="21"/>
          <w:szCs w:val="21"/>
        </w:rPr>
        <w:t>年以来首次修改，规定行政机关及其工作人员不得干预、阻碍人民法院受理行政案件，引入了集中管辖和提级管辖两种方式，确定若干人民法院跨行政区域管辖行政案件，减少了地方政府对行政审判的干预，进一步完善了检察院的审判监督。</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sz w:val="21"/>
          <w:szCs w:val="21"/>
        </w:rPr>
      </w:pPr>
      <w:r>
        <w:rPr>
          <w:rFonts w:ascii="SimSun" w:cs="仿宋" w:hint="eastAsia"/>
          <w:color w:val="000000"/>
          <w:sz w:val="21"/>
          <w:szCs w:val="21"/>
          <w:shd w:val="clear" w:color="auto" w:fill="FFFFFF"/>
        </w:rPr>
        <w:t>我们注意到，根据反酷刑立法的变化，中国在执法、司法和法律监督实践中，采取了一系列重大举措。（</w:t>
      </w:r>
      <w:r>
        <w:rPr>
          <w:rFonts w:ascii="SimSun" w:cs="仿宋" w:hint="eastAsia"/>
          <w:color w:val="000000"/>
          <w:sz w:val="21"/>
          <w:szCs w:val="21"/>
          <w:shd w:val="clear" w:color="auto" w:fill="FFFFFF"/>
        </w:rPr>
        <w:t>1</w:t>
      </w:r>
      <w:r>
        <w:rPr>
          <w:rFonts w:ascii="SimSun" w:cs="仿宋" w:hint="eastAsia"/>
          <w:color w:val="000000"/>
          <w:sz w:val="21"/>
          <w:szCs w:val="21"/>
          <w:shd w:val="clear" w:color="auto" w:fill="FFFFFF"/>
        </w:rPr>
        <w:t>）</w:t>
      </w:r>
      <w:r>
        <w:rPr>
          <w:rFonts w:ascii="SimSun" w:cs="仿宋" w:hint="eastAsia"/>
          <w:color w:val="000000"/>
          <w:sz w:val="21"/>
          <w:szCs w:val="21"/>
          <w:shd w:val="clear" w:color="auto" w:fill="FFFFFF"/>
        </w:rPr>
        <w:t>2013</w:t>
      </w:r>
      <w:r>
        <w:rPr>
          <w:rFonts w:ascii="SimSun" w:cs="仿宋" w:hint="eastAsia"/>
          <w:color w:val="000000"/>
          <w:sz w:val="21"/>
          <w:szCs w:val="21"/>
          <w:shd w:val="clear" w:color="auto" w:fill="FFFFFF"/>
        </w:rPr>
        <w:t>年正式废止实施</w:t>
      </w:r>
      <w:r>
        <w:rPr>
          <w:rFonts w:ascii="SimSun" w:cs="仿宋" w:hint="eastAsia"/>
          <w:color w:val="000000"/>
          <w:sz w:val="21"/>
          <w:szCs w:val="21"/>
          <w:shd w:val="clear" w:color="auto" w:fill="FFFFFF"/>
        </w:rPr>
        <w:t>58</w:t>
      </w:r>
      <w:r>
        <w:rPr>
          <w:rFonts w:ascii="SimSun" w:cs="仿宋" w:hint="eastAsia"/>
          <w:color w:val="000000"/>
          <w:sz w:val="21"/>
          <w:szCs w:val="21"/>
          <w:shd w:val="clear" w:color="auto" w:fill="FFFFFF"/>
        </w:rPr>
        <w:t>年的“劳动教养制度”。</w:t>
      </w:r>
      <w:r>
        <w:rPr>
          <w:rFonts w:ascii="SimSun" w:cs="仿宋" w:hint="eastAsia"/>
          <w:color w:val="000000"/>
          <w:sz w:val="21"/>
          <w:szCs w:val="21"/>
          <w:shd w:val="clear" w:color="auto" w:fill="FFFFFF"/>
        </w:rPr>
        <w:t>2011</w:t>
      </w:r>
      <w:r>
        <w:rPr>
          <w:rFonts w:ascii="SimSun" w:cs="仿宋" w:hint="eastAsia"/>
          <w:color w:val="000000"/>
          <w:sz w:val="21"/>
          <w:szCs w:val="21"/>
          <w:shd w:val="clear" w:color="auto" w:fill="FFFFFF"/>
        </w:rPr>
        <w:t>年，最高人民法院等十部委在四个城市进行劳动教</w:t>
      </w:r>
      <w:r>
        <w:rPr>
          <w:rFonts w:ascii="SimSun" w:cs="仿宋" w:hint="eastAsia"/>
          <w:color w:val="000000"/>
          <w:sz w:val="21"/>
          <w:szCs w:val="21"/>
          <w:shd w:val="clear" w:color="auto" w:fill="FFFFFF"/>
        </w:rPr>
        <w:t>养制度改革试点，“劳动教养”制度被“违法行为教育矫治”取代。</w:t>
      </w:r>
      <w:r>
        <w:rPr>
          <w:rFonts w:ascii="SimSun" w:cs="仿宋" w:hint="eastAsia"/>
          <w:color w:val="000000"/>
          <w:sz w:val="21"/>
          <w:szCs w:val="21"/>
          <w:shd w:val="clear" w:color="auto" w:fill="FFFFFF"/>
        </w:rPr>
        <w:t>2013</w:t>
      </w:r>
      <w:r>
        <w:rPr>
          <w:rFonts w:ascii="SimSun" w:cs="仿宋" w:hint="eastAsia"/>
          <w:color w:val="000000"/>
          <w:sz w:val="21"/>
          <w:szCs w:val="21"/>
          <w:shd w:val="clear" w:color="auto" w:fill="FFFFFF"/>
        </w:rPr>
        <w:t>年初，多地政法部门停止劳教审批，截至</w:t>
      </w:r>
      <w:r>
        <w:rPr>
          <w:rFonts w:ascii="SimSun" w:cs="仿宋" w:hint="eastAsia"/>
          <w:color w:val="000000"/>
          <w:sz w:val="21"/>
          <w:szCs w:val="21"/>
          <w:shd w:val="clear" w:color="auto" w:fill="FFFFFF"/>
        </w:rPr>
        <w:t>2013</w:t>
      </w:r>
      <w:r>
        <w:rPr>
          <w:rFonts w:ascii="SimSun" w:cs="仿宋" w:hint="eastAsia"/>
          <w:color w:val="000000"/>
          <w:sz w:val="21"/>
          <w:szCs w:val="21"/>
          <w:shd w:val="clear" w:color="auto" w:fill="FFFFFF"/>
        </w:rPr>
        <w:t>年</w:t>
      </w:r>
      <w:r>
        <w:rPr>
          <w:rFonts w:ascii="SimSun" w:cs="仿宋" w:hint="eastAsia"/>
          <w:color w:val="000000"/>
          <w:sz w:val="21"/>
          <w:szCs w:val="21"/>
          <w:shd w:val="clear" w:color="auto" w:fill="FFFFFF"/>
        </w:rPr>
        <w:t>10</w:t>
      </w:r>
      <w:r>
        <w:rPr>
          <w:rFonts w:ascii="SimSun" w:cs="仿宋" w:hint="eastAsia"/>
          <w:color w:val="000000"/>
          <w:sz w:val="21"/>
          <w:szCs w:val="21"/>
          <w:shd w:val="clear" w:color="auto" w:fill="FFFFFF"/>
        </w:rPr>
        <w:t>月底，各地累计接收社区矫正人员</w:t>
      </w:r>
      <w:r>
        <w:rPr>
          <w:rFonts w:ascii="SimSun" w:cs="仿宋" w:hint="eastAsia"/>
          <w:color w:val="000000"/>
          <w:sz w:val="21"/>
          <w:szCs w:val="21"/>
          <w:shd w:val="clear" w:color="auto" w:fill="FFFFFF"/>
        </w:rPr>
        <w:t>166.5</w:t>
      </w:r>
      <w:r>
        <w:rPr>
          <w:rFonts w:ascii="SimSun" w:cs="仿宋" w:hint="eastAsia"/>
          <w:color w:val="000000"/>
          <w:sz w:val="21"/>
          <w:szCs w:val="21"/>
          <w:shd w:val="clear" w:color="auto" w:fill="FFFFFF"/>
        </w:rPr>
        <w:t>万人，解除矫正</w:t>
      </w:r>
      <w:r>
        <w:rPr>
          <w:rFonts w:ascii="SimSun" w:cs="仿宋" w:hint="eastAsia"/>
          <w:color w:val="000000"/>
          <w:sz w:val="21"/>
          <w:szCs w:val="21"/>
          <w:shd w:val="clear" w:color="auto" w:fill="FFFFFF"/>
        </w:rPr>
        <w:t>100.7</w:t>
      </w:r>
      <w:r>
        <w:rPr>
          <w:rFonts w:ascii="SimSun" w:cs="仿宋" w:hint="eastAsia"/>
          <w:color w:val="000000"/>
          <w:sz w:val="21"/>
          <w:szCs w:val="21"/>
          <w:shd w:val="clear" w:color="auto" w:fill="FFFFFF"/>
        </w:rPr>
        <w:t>万人，接收社区矫正人员</w:t>
      </w:r>
      <w:r>
        <w:rPr>
          <w:rFonts w:ascii="SimSun" w:cs="仿宋" w:hint="eastAsia"/>
          <w:color w:val="000000"/>
          <w:sz w:val="21"/>
          <w:szCs w:val="21"/>
          <w:shd w:val="clear" w:color="auto" w:fill="FFFFFF"/>
        </w:rPr>
        <w:t>65.8</w:t>
      </w:r>
      <w:r>
        <w:rPr>
          <w:rFonts w:ascii="SimSun" w:cs="仿宋" w:hint="eastAsia"/>
          <w:color w:val="000000"/>
          <w:sz w:val="21"/>
          <w:szCs w:val="21"/>
          <w:shd w:val="clear" w:color="auto" w:fill="FFFFFF"/>
        </w:rPr>
        <w:t>万人。（</w:t>
      </w:r>
      <w:r>
        <w:rPr>
          <w:rFonts w:ascii="SimSun" w:cs="仿宋" w:hint="eastAsia"/>
          <w:color w:val="000000"/>
          <w:sz w:val="21"/>
          <w:szCs w:val="21"/>
          <w:shd w:val="clear" w:color="auto" w:fill="FFFFFF"/>
        </w:rPr>
        <w:t>2</w:t>
      </w:r>
      <w:r>
        <w:rPr>
          <w:rFonts w:ascii="SimSun" w:cs="仿宋" w:hint="eastAsia"/>
          <w:color w:val="000000"/>
          <w:sz w:val="21"/>
          <w:szCs w:val="21"/>
          <w:shd w:val="clear" w:color="auto" w:fill="FFFFFF"/>
        </w:rPr>
        <w:t>）完善律师资源分布结构，首次实现律师资源全覆盖。中国通过设立律师事务所、选派优秀志愿律师等措施，解决了</w:t>
      </w:r>
      <w:r>
        <w:rPr>
          <w:rFonts w:ascii="SimSun" w:cs="仿宋" w:hint="eastAsia"/>
          <w:color w:val="000000"/>
          <w:sz w:val="21"/>
          <w:szCs w:val="21"/>
          <w:shd w:val="clear" w:color="auto" w:fill="FFFFFF"/>
        </w:rPr>
        <w:t>174</w:t>
      </w:r>
      <w:r>
        <w:rPr>
          <w:rFonts w:ascii="SimSun" w:cs="仿宋" w:hint="eastAsia"/>
          <w:color w:val="000000"/>
          <w:sz w:val="21"/>
          <w:szCs w:val="21"/>
          <w:shd w:val="clear" w:color="auto" w:fill="FFFFFF"/>
        </w:rPr>
        <w:t>个县无律师的问题，截至</w:t>
      </w:r>
      <w:r>
        <w:rPr>
          <w:rFonts w:ascii="SimSun" w:cs="仿宋" w:hint="eastAsia"/>
          <w:color w:val="000000"/>
          <w:sz w:val="21"/>
          <w:szCs w:val="21"/>
          <w:shd w:val="clear" w:color="auto" w:fill="FFFFFF"/>
        </w:rPr>
        <w:t>2014</w:t>
      </w:r>
      <w:r>
        <w:rPr>
          <w:rFonts w:ascii="SimSun" w:cs="仿宋" w:hint="eastAsia"/>
          <w:color w:val="000000"/>
          <w:sz w:val="21"/>
          <w:szCs w:val="21"/>
          <w:shd w:val="clear" w:color="auto" w:fill="FFFFFF"/>
        </w:rPr>
        <w:t>年底，全国共有执业律师</w:t>
      </w:r>
      <w:r>
        <w:rPr>
          <w:rFonts w:ascii="SimSun" w:cs="仿宋" w:hint="eastAsia"/>
          <w:color w:val="000000"/>
          <w:sz w:val="21"/>
          <w:szCs w:val="21"/>
          <w:shd w:val="clear" w:color="auto" w:fill="FFFFFF"/>
        </w:rPr>
        <w:t>27.1</w:t>
      </w:r>
      <w:r>
        <w:rPr>
          <w:rFonts w:ascii="SimSun" w:cs="仿宋" w:hint="eastAsia"/>
          <w:color w:val="000000"/>
          <w:sz w:val="21"/>
          <w:szCs w:val="21"/>
          <w:shd w:val="clear" w:color="auto" w:fill="FFFFFF"/>
        </w:rPr>
        <w:t>万多人，律师事务所规模达</w:t>
      </w:r>
      <w:r>
        <w:rPr>
          <w:rFonts w:ascii="SimSun" w:cs="仿宋" w:hint="eastAsia"/>
          <w:color w:val="000000"/>
          <w:sz w:val="21"/>
          <w:szCs w:val="21"/>
          <w:shd w:val="clear" w:color="auto" w:fill="FFFFFF"/>
        </w:rPr>
        <w:t>2.2</w:t>
      </w:r>
      <w:r>
        <w:rPr>
          <w:rFonts w:ascii="SimSun" w:cs="仿宋" w:hint="eastAsia"/>
          <w:color w:val="000000"/>
          <w:sz w:val="21"/>
          <w:szCs w:val="21"/>
          <w:shd w:val="clear" w:color="auto" w:fill="FFFFFF"/>
        </w:rPr>
        <w:t>万多家，</w:t>
      </w:r>
      <w:r>
        <w:rPr>
          <w:rFonts w:ascii="SimSun" w:cs="仿宋" w:hint="eastAsia"/>
          <w:color w:val="000000"/>
          <w:sz w:val="21"/>
          <w:szCs w:val="21"/>
          <w:shd w:val="clear" w:color="auto" w:fill="FFFFFF"/>
        </w:rPr>
        <w:t>2014</w:t>
      </w:r>
      <w:r>
        <w:rPr>
          <w:rFonts w:ascii="SimSun" w:cs="仿宋" w:hint="eastAsia"/>
          <w:color w:val="000000"/>
          <w:sz w:val="21"/>
          <w:szCs w:val="21"/>
          <w:shd w:val="clear" w:color="auto" w:fill="FFFFFF"/>
        </w:rPr>
        <w:t>年代理刑事诉讼</w:t>
      </w:r>
      <w:r>
        <w:rPr>
          <w:rFonts w:ascii="SimSun" w:cs="仿宋" w:hint="eastAsia"/>
          <w:color w:val="000000"/>
          <w:sz w:val="21"/>
          <w:szCs w:val="21"/>
          <w:shd w:val="clear" w:color="auto" w:fill="FFFFFF"/>
        </w:rPr>
        <w:t>66.7</w:t>
      </w:r>
      <w:r>
        <w:rPr>
          <w:rFonts w:ascii="SimSun" w:cs="仿宋" w:hint="eastAsia"/>
          <w:color w:val="000000"/>
          <w:sz w:val="21"/>
          <w:szCs w:val="21"/>
          <w:shd w:val="clear" w:color="auto" w:fill="FFFFFF"/>
        </w:rPr>
        <w:t>万多件。（</w:t>
      </w:r>
      <w:r>
        <w:rPr>
          <w:rFonts w:ascii="SimSun" w:cs="仿宋" w:hint="eastAsia"/>
          <w:color w:val="000000"/>
          <w:sz w:val="21"/>
          <w:szCs w:val="21"/>
          <w:shd w:val="clear" w:color="auto" w:fill="FFFFFF"/>
        </w:rPr>
        <w:t>3</w:t>
      </w:r>
      <w:r>
        <w:rPr>
          <w:rFonts w:ascii="SimSun" w:cs="仿宋" w:hint="eastAsia"/>
          <w:color w:val="000000"/>
          <w:sz w:val="21"/>
          <w:szCs w:val="21"/>
          <w:shd w:val="clear" w:color="auto" w:fill="FFFFFF"/>
        </w:rPr>
        <w:t>）律师执业权利得到切实保障。新刑事诉讼法实</w:t>
      </w:r>
      <w:r>
        <w:rPr>
          <w:rFonts w:ascii="SimSun" w:cs="仿宋" w:hint="eastAsia"/>
          <w:color w:val="000000"/>
          <w:sz w:val="21"/>
          <w:szCs w:val="21"/>
          <w:shd w:val="clear" w:color="auto" w:fill="FFFFFF"/>
        </w:rPr>
        <w:t>施以来，针对律师执业中会见难、阅卷难、调查取证难、发问难、质证难、辩论难问题，公安部、住建部、国家发改委、最高人民检察院、最高人民法院等分别出台了《看守所建设标准》、《关于依法保障律师执业权利的规定》、《关于建立健全防范刑事冤假错案工作机制的意见》等具体规定，推出了律师会见预约制度，完善侦查、起诉和审判环节律师依法执业权利。</w:t>
      </w:r>
      <w:r>
        <w:rPr>
          <w:rFonts w:ascii="SimSun" w:cs="仿宋" w:hint="eastAsia"/>
          <w:color w:val="000000"/>
          <w:sz w:val="21"/>
          <w:szCs w:val="21"/>
          <w:shd w:val="clear" w:color="auto" w:fill="FFFFFF"/>
        </w:rPr>
        <w:t>2014</w:t>
      </w:r>
      <w:r>
        <w:rPr>
          <w:rFonts w:ascii="SimSun" w:cs="仿宋" w:hint="eastAsia"/>
          <w:color w:val="000000"/>
          <w:sz w:val="21"/>
          <w:szCs w:val="21"/>
          <w:shd w:val="clear" w:color="auto" w:fill="FFFFFF"/>
        </w:rPr>
        <w:t>年，全国看守所安排律师会见超过</w:t>
      </w:r>
      <w:r>
        <w:rPr>
          <w:rFonts w:ascii="SimSun" w:cs="仿宋" w:hint="eastAsia"/>
          <w:color w:val="000000"/>
          <w:sz w:val="21"/>
          <w:szCs w:val="21"/>
          <w:shd w:val="clear" w:color="auto" w:fill="FFFFFF"/>
        </w:rPr>
        <w:t>100</w:t>
      </w:r>
      <w:r>
        <w:rPr>
          <w:rFonts w:ascii="SimSun" w:cs="仿宋" w:hint="eastAsia"/>
          <w:color w:val="000000"/>
          <w:sz w:val="21"/>
          <w:szCs w:val="21"/>
          <w:shd w:val="clear" w:color="auto" w:fill="FFFFFF"/>
        </w:rPr>
        <w:t>万件，未发生因看守所原因导致律师不能在法定时限内会见的情况。很多看守所建立了网上预约平台，全国超过</w:t>
      </w:r>
      <w:r>
        <w:rPr>
          <w:rFonts w:ascii="SimSun" w:cs="仿宋" w:hint="eastAsia"/>
          <w:color w:val="000000"/>
          <w:sz w:val="21"/>
          <w:szCs w:val="21"/>
          <w:shd w:val="clear" w:color="auto" w:fill="FFFFFF"/>
        </w:rPr>
        <w:t>98.7%</w:t>
      </w:r>
      <w:r>
        <w:rPr>
          <w:rFonts w:ascii="SimSun" w:cs="仿宋" w:hint="eastAsia"/>
          <w:color w:val="000000"/>
          <w:sz w:val="21"/>
          <w:szCs w:val="21"/>
          <w:shd w:val="clear" w:color="auto" w:fill="FFFFFF"/>
        </w:rPr>
        <w:t>的看守所向社会公布了联系电话，可以</w:t>
      </w:r>
      <w:r>
        <w:rPr>
          <w:rFonts w:ascii="SimSun" w:cs="仿宋" w:hint="eastAsia"/>
          <w:color w:val="000000"/>
          <w:sz w:val="21"/>
          <w:szCs w:val="21"/>
          <w:shd w:val="clear" w:color="auto" w:fill="FFFFFF"/>
        </w:rPr>
        <w:t>电话会见预约的超过</w:t>
      </w:r>
      <w:r>
        <w:rPr>
          <w:rFonts w:ascii="SimSun" w:cs="仿宋" w:hint="eastAsia"/>
          <w:color w:val="000000"/>
          <w:sz w:val="21"/>
          <w:szCs w:val="21"/>
          <w:shd w:val="clear" w:color="auto" w:fill="FFFFFF"/>
        </w:rPr>
        <w:t>95.8%</w:t>
      </w:r>
      <w:r>
        <w:rPr>
          <w:rFonts w:ascii="SimSun" w:cs="仿宋" w:hint="eastAsia"/>
          <w:color w:val="000000"/>
          <w:sz w:val="21"/>
          <w:szCs w:val="21"/>
          <w:shd w:val="clear" w:color="auto" w:fill="FFFFFF"/>
        </w:rPr>
        <w:t>。公安部修订了《公安机关办理刑事案件程序规定》，细化了律师接受委托权、案件知情权、会见和通信权等内容。各地公安机关积极组织专题培训，增强程序意识、证据意识和人权保障意识，源头减少和杜绝侵害律师执业权利的问题发生。</w:t>
      </w:r>
      <w:r>
        <w:rPr>
          <w:rFonts w:ascii="SimSun" w:cs="仿宋" w:hint="eastAsia"/>
          <w:color w:val="000000"/>
          <w:sz w:val="21"/>
          <w:szCs w:val="21"/>
          <w:shd w:val="clear" w:color="auto" w:fill="FFFFFF"/>
        </w:rPr>
        <w:t>2015</w:t>
      </w:r>
      <w:r>
        <w:rPr>
          <w:rFonts w:ascii="SimSun" w:cs="仿宋" w:hint="eastAsia"/>
          <w:color w:val="000000"/>
          <w:sz w:val="21"/>
          <w:szCs w:val="21"/>
          <w:shd w:val="clear" w:color="auto" w:fill="FFFFFF"/>
        </w:rPr>
        <w:t>年上半年，全国检察机关接待辩护律师侦查期间</w:t>
      </w:r>
      <w:r>
        <w:rPr>
          <w:rFonts w:ascii="SimSun" w:cs="仿宋" w:hint="eastAsia"/>
          <w:color w:val="000000"/>
          <w:sz w:val="21"/>
          <w:szCs w:val="21"/>
          <w:shd w:val="clear" w:color="auto" w:fill="FFFFFF"/>
        </w:rPr>
        <w:lastRenderedPageBreak/>
        <w:t>会见申请</w:t>
      </w:r>
      <w:r>
        <w:rPr>
          <w:rFonts w:ascii="SimSun" w:cs="仿宋" w:hint="eastAsia"/>
          <w:color w:val="000000"/>
          <w:sz w:val="21"/>
          <w:szCs w:val="21"/>
          <w:shd w:val="clear" w:color="auto" w:fill="FFFFFF"/>
        </w:rPr>
        <w:t>2200</w:t>
      </w:r>
      <w:r>
        <w:rPr>
          <w:rFonts w:ascii="SimSun" w:cs="仿宋" w:hint="eastAsia"/>
          <w:color w:val="000000"/>
          <w:sz w:val="21"/>
          <w:szCs w:val="21"/>
          <w:shd w:val="clear" w:color="auto" w:fill="FFFFFF"/>
        </w:rPr>
        <w:t>余次、阅卷申请近</w:t>
      </w:r>
      <w:r>
        <w:rPr>
          <w:rFonts w:ascii="SimSun" w:cs="仿宋" w:hint="eastAsia"/>
          <w:color w:val="000000"/>
          <w:sz w:val="21"/>
          <w:szCs w:val="21"/>
          <w:shd w:val="clear" w:color="auto" w:fill="FFFFFF"/>
        </w:rPr>
        <w:t>11</w:t>
      </w:r>
      <w:r>
        <w:rPr>
          <w:rFonts w:ascii="SimSun" w:cs="仿宋" w:hint="eastAsia"/>
          <w:color w:val="000000"/>
          <w:sz w:val="21"/>
          <w:szCs w:val="21"/>
          <w:shd w:val="clear" w:color="auto" w:fill="FFFFFF"/>
        </w:rPr>
        <w:t>万次，对于辩护人、诉讼代理人提出的阻碍其行使诉讼权利的情形向有关部门提出纠正</w:t>
      </w:r>
      <w:r>
        <w:rPr>
          <w:rFonts w:ascii="SimSun" w:cs="仿宋" w:hint="eastAsia"/>
          <w:color w:val="000000"/>
          <w:sz w:val="21"/>
          <w:szCs w:val="21"/>
          <w:shd w:val="clear" w:color="auto" w:fill="FFFFFF"/>
        </w:rPr>
        <w:t>400</w:t>
      </w:r>
      <w:r>
        <w:rPr>
          <w:rFonts w:ascii="SimSun" w:cs="仿宋" w:hint="eastAsia"/>
          <w:color w:val="000000"/>
          <w:sz w:val="21"/>
          <w:szCs w:val="21"/>
          <w:shd w:val="clear" w:color="auto" w:fill="FFFFFF"/>
        </w:rPr>
        <w:t>余件。（</w:t>
      </w:r>
      <w:r>
        <w:rPr>
          <w:rFonts w:ascii="SimSun" w:cs="仿宋" w:hint="eastAsia"/>
          <w:color w:val="000000"/>
          <w:sz w:val="21"/>
          <w:szCs w:val="21"/>
          <w:shd w:val="clear" w:color="auto" w:fill="FFFFFF"/>
        </w:rPr>
        <w:t>4</w:t>
      </w:r>
      <w:r>
        <w:rPr>
          <w:rFonts w:ascii="SimSun" w:cs="仿宋" w:hint="eastAsia"/>
          <w:color w:val="000000"/>
          <w:sz w:val="21"/>
          <w:szCs w:val="21"/>
          <w:shd w:val="clear" w:color="auto" w:fill="FFFFFF"/>
        </w:rPr>
        <w:t>）法律援助工作进一步完善。</w:t>
      </w:r>
      <w:r>
        <w:rPr>
          <w:rFonts w:ascii="SimSun" w:cs="仿宋" w:hint="eastAsia"/>
          <w:color w:val="000000"/>
          <w:sz w:val="21"/>
          <w:szCs w:val="21"/>
          <w:shd w:val="clear" w:color="auto" w:fill="FFFFFF"/>
        </w:rPr>
        <w:t>2014</w:t>
      </w:r>
      <w:r>
        <w:rPr>
          <w:rFonts w:ascii="SimSun" w:cs="仿宋" w:hint="eastAsia"/>
          <w:color w:val="000000"/>
          <w:sz w:val="21"/>
          <w:szCs w:val="21"/>
          <w:shd w:val="clear" w:color="auto" w:fill="FFFFFF"/>
        </w:rPr>
        <w:t>年</w:t>
      </w:r>
      <w:r>
        <w:rPr>
          <w:rFonts w:ascii="SimSun" w:cs="仿宋" w:hint="eastAsia"/>
          <w:color w:val="000000"/>
          <w:sz w:val="21"/>
          <w:szCs w:val="21"/>
          <w:shd w:val="clear" w:color="auto" w:fill="FFFFFF"/>
        </w:rPr>
        <w:t>7</w:t>
      </w:r>
      <w:r>
        <w:rPr>
          <w:rFonts w:ascii="SimSun" w:cs="仿宋" w:hint="eastAsia"/>
          <w:color w:val="000000"/>
          <w:sz w:val="21"/>
          <w:szCs w:val="21"/>
          <w:shd w:val="clear" w:color="auto" w:fill="FFFFFF"/>
        </w:rPr>
        <w:t>月，公安部提出</w:t>
      </w:r>
      <w:r>
        <w:rPr>
          <w:rFonts w:ascii="SimSun" w:cs="仿宋" w:hint="eastAsia"/>
          <w:color w:val="000000"/>
          <w:sz w:val="21"/>
          <w:szCs w:val="21"/>
          <w:shd w:val="clear" w:color="auto" w:fill="FFFFFF"/>
        </w:rPr>
        <w:t>16</w:t>
      </w:r>
      <w:r>
        <w:rPr>
          <w:rFonts w:ascii="SimSun" w:cs="仿宋" w:hint="eastAsia"/>
          <w:color w:val="000000"/>
          <w:sz w:val="21"/>
          <w:szCs w:val="21"/>
          <w:shd w:val="clear" w:color="auto" w:fill="FFFFFF"/>
        </w:rPr>
        <w:t>项便民利民措施，其中要求具备条件的大中</w:t>
      </w:r>
      <w:r>
        <w:rPr>
          <w:rFonts w:ascii="SimSun" w:cs="仿宋" w:hint="eastAsia"/>
          <w:color w:val="000000"/>
          <w:sz w:val="21"/>
          <w:szCs w:val="21"/>
          <w:shd w:val="clear" w:color="auto" w:fill="FFFFFF"/>
        </w:rPr>
        <w:t>城市在看守所内设立法律援助中心工作站，目前，全国已有</w:t>
      </w:r>
      <w:r>
        <w:rPr>
          <w:rFonts w:ascii="SimSun" w:cs="仿宋" w:hint="eastAsia"/>
          <w:color w:val="000000"/>
          <w:sz w:val="21"/>
          <w:szCs w:val="21"/>
          <w:shd w:val="clear" w:color="auto" w:fill="FFFFFF"/>
        </w:rPr>
        <w:t>1700</w:t>
      </w:r>
      <w:r>
        <w:rPr>
          <w:rFonts w:ascii="SimSun" w:cs="仿宋" w:hint="eastAsia"/>
          <w:color w:val="000000"/>
          <w:sz w:val="21"/>
          <w:szCs w:val="21"/>
          <w:shd w:val="clear" w:color="auto" w:fill="FFFFFF"/>
        </w:rPr>
        <w:t>余个看守所建立了法律援助工作站。</w:t>
      </w:r>
      <w:r>
        <w:rPr>
          <w:rFonts w:ascii="SimSun" w:cs="仿宋" w:hint="eastAsia"/>
          <w:color w:val="000000"/>
          <w:sz w:val="21"/>
          <w:szCs w:val="21"/>
          <w:shd w:val="clear" w:color="auto" w:fill="FFFFFF"/>
        </w:rPr>
        <w:t>2015</w:t>
      </w:r>
      <w:r>
        <w:rPr>
          <w:rFonts w:ascii="SimSun" w:cs="仿宋" w:hint="eastAsia"/>
          <w:color w:val="000000"/>
          <w:sz w:val="21"/>
          <w:szCs w:val="21"/>
          <w:shd w:val="clear" w:color="auto" w:fill="FFFFFF"/>
        </w:rPr>
        <w:t>年</w:t>
      </w:r>
      <w:r>
        <w:rPr>
          <w:rFonts w:ascii="SimSun" w:cs="仿宋" w:hint="eastAsia"/>
          <w:color w:val="000000"/>
          <w:sz w:val="21"/>
          <w:szCs w:val="21"/>
          <w:shd w:val="clear" w:color="auto" w:fill="FFFFFF"/>
        </w:rPr>
        <w:t>6</w:t>
      </w:r>
      <w:r>
        <w:rPr>
          <w:rFonts w:ascii="SimSun" w:cs="仿宋" w:hint="eastAsia"/>
          <w:color w:val="000000"/>
          <w:sz w:val="21"/>
          <w:szCs w:val="21"/>
          <w:shd w:val="clear" w:color="auto" w:fill="FFFFFF"/>
        </w:rPr>
        <w:t>月，中共中央办公厅、国务院办公厅印发了《关于完善法律援助制度的意见》。（</w:t>
      </w:r>
      <w:r>
        <w:rPr>
          <w:rFonts w:ascii="SimSun" w:cs="仿宋" w:hint="eastAsia"/>
          <w:color w:val="000000"/>
          <w:sz w:val="21"/>
          <w:szCs w:val="21"/>
          <w:shd w:val="clear" w:color="auto" w:fill="FFFFFF"/>
        </w:rPr>
        <w:t>5</w:t>
      </w:r>
      <w:r>
        <w:rPr>
          <w:rFonts w:ascii="SimSun" w:cs="仿宋" w:hint="eastAsia"/>
          <w:color w:val="000000"/>
          <w:sz w:val="21"/>
          <w:szCs w:val="21"/>
          <w:shd w:val="clear" w:color="auto" w:fill="FFFFFF"/>
        </w:rPr>
        <w:t>）防止刑讯逼供的模式正从事后调查核实再排除，向事前防范、预防刑讯逼供发生的方式转变。</w:t>
      </w:r>
      <w:r>
        <w:rPr>
          <w:rFonts w:ascii="SimSun" w:cs="仿宋" w:hint="eastAsia"/>
          <w:color w:val="000000"/>
          <w:sz w:val="21"/>
          <w:szCs w:val="21"/>
          <w:shd w:val="clear" w:color="auto" w:fill="FFFFFF"/>
        </w:rPr>
        <w:t>2012</w:t>
      </w:r>
      <w:r>
        <w:rPr>
          <w:rFonts w:ascii="SimSun" w:cs="仿宋" w:hint="eastAsia"/>
          <w:color w:val="000000"/>
          <w:sz w:val="21"/>
          <w:szCs w:val="21"/>
          <w:shd w:val="clear" w:color="auto" w:fill="FFFFFF"/>
        </w:rPr>
        <w:t>年</w:t>
      </w:r>
      <w:r>
        <w:rPr>
          <w:rFonts w:ascii="SimSun" w:cs="仿宋" w:hint="eastAsia"/>
          <w:color w:val="000000"/>
          <w:sz w:val="21"/>
          <w:szCs w:val="21"/>
          <w:shd w:val="clear" w:color="auto" w:fill="FFFFFF"/>
        </w:rPr>
        <w:t>8</w:t>
      </w:r>
      <w:r>
        <w:rPr>
          <w:rFonts w:ascii="SimSun" w:cs="仿宋" w:hint="eastAsia"/>
          <w:color w:val="000000"/>
          <w:sz w:val="21"/>
          <w:szCs w:val="21"/>
          <w:shd w:val="clear" w:color="auto" w:fill="FFFFFF"/>
        </w:rPr>
        <w:t>月以来，最高人民检察院、公安部联合中国人民大学诉讼制度与司法改革中心等民间组织，在全国多地进行了不同试点：利用现有监控设备录像，变主动录像为被动录像，让录像成为制约讯问人员的方式，部分省检察院录像系统实现省市县三级联网，省检察院中控室可监</w:t>
      </w:r>
      <w:r>
        <w:rPr>
          <w:rFonts w:ascii="SimSun" w:cs="仿宋" w:hint="eastAsia"/>
          <w:color w:val="000000"/>
          <w:sz w:val="21"/>
          <w:szCs w:val="21"/>
          <w:shd w:val="clear" w:color="auto" w:fill="FFFFFF"/>
        </w:rPr>
        <w:t>督基层检察院讯问录像。有的地方在看守所厕所设立秘密投诉箱，如芜湖市看守所。有的地方试点羁押期限时间表，如江西进贤县检察院将刑事诉讼法规定的各类羁押期限汇编成表，在提审时和犯罪嫌疑人权利义务告知书一起提供给在押人员，并详细为他们解释羁押期限的起止时间和计算方法。约</w:t>
      </w:r>
      <w:r>
        <w:rPr>
          <w:rFonts w:ascii="SimSun" w:cs="仿宋" w:hint="eastAsia"/>
          <w:color w:val="000000"/>
          <w:sz w:val="21"/>
          <w:szCs w:val="21"/>
          <w:shd w:val="clear" w:color="auto" w:fill="FFFFFF"/>
        </w:rPr>
        <w:t>20</w:t>
      </w:r>
      <w:r>
        <w:rPr>
          <w:rFonts w:ascii="SimSun" w:cs="仿宋" w:hint="eastAsia"/>
          <w:color w:val="000000"/>
          <w:sz w:val="21"/>
          <w:szCs w:val="21"/>
          <w:shd w:val="clear" w:color="auto" w:fill="FFFFFF"/>
        </w:rPr>
        <w:t>个省市的警察代表被培训了讯问技能，不再要求嫌疑人“老实交代”，而是耐心听其解释，如有难圆其说露出破绽的，则进一步提问和查实。这些试点的成功经验已在全国逐步推广。（</w:t>
      </w:r>
      <w:r>
        <w:rPr>
          <w:rFonts w:ascii="SimSun" w:cs="仿宋" w:hint="eastAsia"/>
          <w:color w:val="000000"/>
          <w:sz w:val="21"/>
          <w:szCs w:val="21"/>
          <w:shd w:val="clear" w:color="auto" w:fill="FFFFFF"/>
        </w:rPr>
        <w:t>6</w:t>
      </w:r>
      <w:r>
        <w:rPr>
          <w:rFonts w:ascii="SimSun" w:cs="仿宋" w:hint="eastAsia"/>
          <w:color w:val="000000"/>
          <w:sz w:val="21"/>
          <w:szCs w:val="21"/>
          <w:shd w:val="clear" w:color="auto" w:fill="FFFFFF"/>
        </w:rPr>
        <w:t>）纠正错案，深入贯彻“疑罪从无”理念。</w:t>
      </w:r>
      <w:r>
        <w:rPr>
          <w:rFonts w:ascii="SimSun" w:cs="仿宋" w:hint="eastAsia"/>
          <w:color w:val="000000"/>
          <w:sz w:val="21"/>
          <w:szCs w:val="21"/>
        </w:rPr>
        <w:t>2014</w:t>
      </w:r>
      <w:r>
        <w:rPr>
          <w:rFonts w:ascii="SimSun" w:cs="仿宋" w:hint="eastAsia"/>
          <w:color w:val="000000"/>
          <w:sz w:val="21"/>
          <w:szCs w:val="21"/>
        </w:rPr>
        <w:t>年，最高人民法院监督指导各地法院纠正</w:t>
      </w:r>
      <w:r>
        <w:rPr>
          <w:rFonts w:ascii="SimSun" w:cs="仿宋" w:hint="eastAsia"/>
          <w:color w:val="000000"/>
          <w:sz w:val="21"/>
          <w:szCs w:val="21"/>
        </w:rPr>
        <w:t>了</w:t>
      </w:r>
      <w:r>
        <w:rPr>
          <w:rFonts w:ascii="SimSun" w:cs="仿宋" w:hint="eastAsia"/>
          <w:color w:val="000000"/>
          <w:sz w:val="21"/>
          <w:szCs w:val="21"/>
        </w:rPr>
        <w:t>12</w:t>
      </w:r>
      <w:r>
        <w:rPr>
          <w:rFonts w:ascii="SimSun" w:cs="仿宋" w:hint="eastAsia"/>
          <w:color w:val="000000"/>
          <w:sz w:val="21"/>
          <w:szCs w:val="21"/>
        </w:rPr>
        <w:t>起重大错案，包括杨波涛案、张光祥案、念斌案、王元松案、呼格吉勒图案等，多数被无罪释放的当事人称曾受过刑讯逼供或诱供。</w:t>
      </w:r>
      <w:r>
        <w:rPr>
          <w:rFonts w:ascii="SimSun" w:cs="仿宋" w:hint="eastAsia"/>
          <w:color w:val="000000"/>
          <w:sz w:val="21"/>
          <w:szCs w:val="21"/>
        </w:rPr>
        <w:t>12</w:t>
      </w:r>
      <w:r>
        <w:rPr>
          <w:rFonts w:ascii="SimSun" w:cs="仿宋" w:hint="eastAsia"/>
          <w:color w:val="000000"/>
          <w:sz w:val="21"/>
          <w:szCs w:val="21"/>
        </w:rPr>
        <w:t>起案件多遵循“疑罪从无”原则改判或直接撤诉，“疑罪从无”理念在法院审判环节，公安、检察院在侦查起诉阶段实践中的认可度不断提高，得到了更大程度的遵循。</w:t>
      </w:r>
      <w:r>
        <w:rPr>
          <w:rFonts w:ascii="SimSun" w:cs="仿宋" w:hint="eastAsia"/>
          <w:color w:val="000000"/>
          <w:sz w:val="21"/>
          <w:szCs w:val="21"/>
        </w:rPr>
        <w:t>2014</w:t>
      </w:r>
      <w:r>
        <w:rPr>
          <w:rFonts w:ascii="SimSun" w:cs="仿宋" w:hint="eastAsia"/>
          <w:color w:val="000000"/>
          <w:sz w:val="21"/>
          <w:szCs w:val="21"/>
        </w:rPr>
        <w:t>年，全国各地法院通过再审程序纠正了</w:t>
      </w:r>
      <w:r>
        <w:rPr>
          <w:rFonts w:ascii="SimSun" w:cs="仿宋" w:hint="eastAsia"/>
          <w:color w:val="000000"/>
          <w:sz w:val="21"/>
          <w:szCs w:val="21"/>
        </w:rPr>
        <w:t>1000</w:t>
      </w:r>
      <w:r>
        <w:rPr>
          <w:rFonts w:ascii="SimSun" w:cs="仿宋" w:hint="eastAsia"/>
          <w:color w:val="000000"/>
          <w:sz w:val="21"/>
          <w:szCs w:val="21"/>
        </w:rPr>
        <w:t>多起案件。</w:t>
      </w:r>
      <w:r>
        <w:rPr>
          <w:rFonts w:ascii="SimSun" w:cs="仿宋" w:hint="eastAsia"/>
          <w:color w:val="000000"/>
          <w:sz w:val="21"/>
          <w:szCs w:val="21"/>
          <w:shd w:val="clear" w:color="auto" w:fill="FFFFFF"/>
        </w:rPr>
        <w:t>（</w:t>
      </w:r>
      <w:r>
        <w:rPr>
          <w:rFonts w:ascii="SimSun" w:cs="仿宋" w:hint="eastAsia"/>
          <w:color w:val="000000"/>
          <w:sz w:val="21"/>
          <w:szCs w:val="21"/>
          <w:shd w:val="clear" w:color="auto" w:fill="FFFFFF"/>
        </w:rPr>
        <w:t>7</w:t>
      </w:r>
      <w:r>
        <w:rPr>
          <w:rFonts w:ascii="SimSun" w:cs="仿宋" w:hint="eastAsia"/>
          <w:color w:val="000000"/>
          <w:sz w:val="21"/>
          <w:szCs w:val="21"/>
          <w:shd w:val="clear" w:color="auto" w:fill="FFFFFF"/>
        </w:rPr>
        <w:t>）清理超期羁押。截至</w:t>
      </w:r>
      <w:r>
        <w:rPr>
          <w:rFonts w:ascii="SimSun" w:cs="仿宋" w:hint="eastAsia"/>
          <w:color w:val="000000"/>
          <w:sz w:val="21"/>
          <w:szCs w:val="21"/>
          <w:shd w:val="clear" w:color="auto" w:fill="FFFFFF"/>
        </w:rPr>
        <w:t>2013</w:t>
      </w:r>
      <w:r>
        <w:rPr>
          <w:rFonts w:ascii="SimSun" w:cs="仿宋" w:hint="eastAsia"/>
          <w:color w:val="000000"/>
          <w:sz w:val="21"/>
          <w:szCs w:val="21"/>
          <w:shd w:val="clear" w:color="auto" w:fill="FFFFFF"/>
        </w:rPr>
        <w:t>年</w:t>
      </w:r>
      <w:r>
        <w:rPr>
          <w:rFonts w:ascii="SimSun" w:cs="仿宋" w:hint="eastAsia"/>
          <w:color w:val="000000"/>
          <w:sz w:val="21"/>
          <w:szCs w:val="21"/>
          <w:shd w:val="clear" w:color="auto" w:fill="FFFFFF"/>
        </w:rPr>
        <w:t>4</w:t>
      </w:r>
      <w:r>
        <w:rPr>
          <w:rFonts w:ascii="SimSun" w:cs="仿宋" w:hint="eastAsia"/>
          <w:color w:val="000000"/>
          <w:sz w:val="21"/>
          <w:szCs w:val="21"/>
          <w:shd w:val="clear" w:color="auto" w:fill="FFFFFF"/>
        </w:rPr>
        <w:t>月</w:t>
      </w:r>
      <w:r>
        <w:rPr>
          <w:rFonts w:ascii="SimSun" w:cs="仿宋" w:hint="eastAsia"/>
          <w:color w:val="000000"/>
          <w:sz w:val="21"/>
          <w:szCs w:val="21"/>
          <w:shd w:val="clear" w:color="auto" w:fill="FFFFFF"/>
        </w:rPr>
        <w:t>30</w:t>
      </w:r>
      <w:r>
        <w:rPr>
          <w:rFonts w:ascii="SimSun" w:cs="仿宋" w:hint="eastAsia"/>
          <w:color w:val="000000"/>
          <w:sz w:val="21"/>
          <w:szCs w:val="21"/>
          <w:shd w:val="clear" w:color="auto" w:fill="FFFFFF"/>
        </w:rPr>
        <w:t>日，全国羁押</w:t>
      </w:r>
      <w:r>
        <w:rPr>
          <w:rFonts w:ascii="SimSun" w:cs="仿宋" w:hint="eastAsia"/>
          <w:color w:val="000000"/>
          <w:sz w:val="21"/>
          <w:szCs w:val="21"/>
          <w:shd w:val="clear" w:color="auto" w:fill="FFFFFF"/>
        </w:rPr>
        <w:t>3</w:t>
      </w:r>
      <w:r>
        <w:rPr>
          <w:rFonts w:ascii="SimSun" w:cs="仿宋" w:hint="eastAsia"/>
          <w:color w:val="000000"/>
          <w:sz w:val="21"/>
          <w:szCs w:val="21"/>
          <w:shd w:val="clear" w:color="auto" w:fill="FFFFFF"/>
        </w:rPr>
        <w:t>年以上的久押不决案件共计</w:t>
      </w:r>
      <w:r>
        <w:rPr>
          <w:rFonts w:ascii="SimSun" w:cs="仿宋" w:hint="eastAsia"/>
          <w:color w:val="000000"/>
          <w:sz w:val="21"/>
          <w:szCs w:val="21"/>
          <w:shd w:val="clear" w:color="auto" w:fill="FFFFFF"/>
        </w:rPr>
        <w:t>1845</w:t>
      </w:r>
      <w:r>
        <w:rPr>
          <w:rFonts w:ascii="SimSun" w:cs="仿宋" w:hint="eastAsia"/>
          <w:color w:val="000000"/>
          <w:sz w:val="21"/>
          <w:szCs w:val="21"/>
          <w:shd w:val="clear" w:color="auto" w:fill="FFFFFF"/>
        </w:rPr>
        <w:t>件</w:t>
      </w:r>
      <w:r>
        <w:rPr>
          <w:rFonts w:ascii="SimSun" w:cs="仿宋" w:hint="eastAsia"/>
          <w:color w:val="000000"/>
          <w:sz w:val="21"/>
          <w:szCs w:val="21"/>
          <w:shd w:val="clear" w:color="auto" w:fill="FFFFFF"/>
        </w:rPr>
        <w:t>4459</w:t>
      </w:r>
      <w:r>
        <w:rPr>
          <w:rFonts w:ascii="SimSun" w:cs="仿宋" w:hint="eastAsia"/>
          <w:color w:val="000000"/>
          <w:sz w:val="21"/>
          <w:szCs w:val="21"/>
          <w:shd w:val="clear" w:color="auto" w:fill="FFFFFF"/>
        </w:rPr>
        <w:t>人，目前已清理纠正</w:t>
      </w:r>
      <w:r>
        <w:rPr>
          <w:rFonts w:ascii="SimSun" w:cs="仿宋" w:hint="eastAsia"/>
          <w:color w:val="000000"/>
          <w:sz w:val="21"/>
          <w:szCs w:val="21"/>
          <w:shd w:val="clear" w:color="auto" w:fill="FFFFFF"/>
        </w:rPr>
        <w:t>1766</w:t>
      </w:r>
      <w:r>
        <w:rPr>
          <w:rFonts w:ascii="SimSun" w:cs="仿宋" w:hint="eastAsia"/>
          <w:color w:val="000000"/>
          <w:sz w:val="21"/>
          <w:szCs w:val="21"/>
          <w:shd w:val="clear" w:color="auto" w:fill="FFFFFF"/>
        </w:rPr>
        <w:t>件</w:t>
      </w:r>
      <w:r>
        <w:rPr>
          <w:rFonts w:ascii="SimSun" w:cs="仿宋" w:hint="eastAsia"/>
          <w:color w:val="000000"/>
          <w:sz w:val="21"/>
          <w:szCs w:val="21"/>
          <w:shd w:val="clear" w:color="auto" w:fill="FFFFFF"/>
        </w:rPr>
        <w:t>4299</w:t>
      </w:r>
      <w:r>
        <w:rPr>
          <w:rFonts w:ascii="SimSun" w:cs="仿宋" w:hint="eastAsia"/>
          <w:color w:val="000000"/>
          <w:sz w:val="21"/>
          <w:szCs w:val="21"/>
          <w:shd w:val="clear" w:color="auto" w:fill="FFFFFF"/>
        </w:rPr>
        <w:t>人，尚未完全纠正的久押不决案件绝大部分进入新</w:t>
      </w:r>
      <w:r>
        <w:rPr>
          <w:rFonts w:ascii="SimSun" w:cs="仿宋" w:hint="eastAsia"/>
          <w:color w:val="000000"/>
          <w:sz w:val="21"/>
          <w:szCs w:val="21"/>
          <w:shd w:val="clear" w:color="auto" w:fill="FFFFFF"/>
        </w:rPr>
        <w:t>的诉讼阶段。（</w:t>
      </w:r>
      <w:r>
        <w:rPr>
          <w:rFonts w:ascii="SimSun" w:cs="仿宋" w:hint="eastAsia"/>
          <w:color w:val="000000"/>
          <w:sz w:val="21"/>
          <w:szCs w:val="21"/>
          <w:shd w:val="clear" w:color="auto" w:fill="FFFFFF"/>
        </w:rPr>
        <w:t>8</w:t>
      </w:r>
      <w:r>
        <w:rPr>
          <w:rFonts w:ascii="SimSun" w:cs="仿宋" w:hint="eastAsia"/>
          <w:color w:val="000000"/>
          <w:sz w:val="21"/>
          <w:szCs w:val="21"/>
          <w:shd w:val="clear" w:color="auto" w:fill="FFFFFF"/>
        </w:rPr>
        <w:t>）纠正律师控告办案机关阻碍刑事诉讼权利案件。检察机关认真履行对其他执法司法机关妨碍律师依法执业的监督职责，</w:t>
      </w:r>
      <w:r>
        <w:rPr>
          <w:rFonts w:ascii="SimSun" w:cs="仿宋" w:hint="eastAsia"/>
          <w:color w:val="000000"/>
          <w:sz w:val="21"/>
          <w:szCs w:val="21"/>
          <w:shd w:val="clear" w:color="auto" w:fill="FFFFFF"/>
        </w:rPr>
        <w:t>2013</w:t>
      </w:r>
      <w:r>
        <w:rPr>
          <w:rFonts w:ascii="SimSun" w:cs="仿宋" w:hint="eastAsia"/>
          <w:color w:val="000000"/>
          <w:sz w:val="21"/>
          <w:szCs w:val="21"/>
          <w:shd w:val="clear" w:color="auto" w:fill="FFFFFF"/>
        </w:rPr>
        <w:t>年</w:t>
      </w:r>
      <w:r>
        <w:rPr>
          <w:rFonts w:ascii="SimSun" w:cs="仿宋" w:hint="eastAsia"/>
          <w:color w:val="000000"/>
          <w:sz w:val="21"/>
          <w:szCs w:val="21"/>
          <w:shd w:val="clear" w:color="auto" w:fill="FFFFFF"/>
        </w:rPr>
        <w:t>1</w:t>
      </w:r>
      <w:r>
        <w:rPr>
          <w:rFonts w:ascii="SimSun" w:cs="仿宋" w:hint="eastAsia"/>
          <w:color w:val="000000"/>
          <w:sz w:val="21"/>
          <w:szCs w:val="21"/>
          <w:shd w:val="clear" w:color="auto" w:fill="FFFFFF"/>
        </w:rPr>
        <w:t>月至</w:t>
      </w:r>
      <w:r>
        <w:rPr>
          <w:rFonts w:ascii="SimSun" w:cs="仿宋" w:hint="eastAsia"/>
          <w:color w:val="000000"/>
          <w:sz w:val="21"/>
          <w:szCs w:val="21"/>
          <w:shd w:val="clear" w:color="auto" w:fill="FFFFFF"/>
        </w:rPr>
        <w:t>2015</w:t>
      </w:r>
      <w:r>
        <w:rPr>
          <w:rFonts w:ascii="SimSun" w:cs="仿宋" w:hint="eastAsia"/>
          <w:color w:val="000000"/>
          <w:sz w:val="21"/>
          <w:szCs w:val="21"/>
          <w:shd w:val="clear" w:color="auto" w:fill="FFFFFF"/>
        </w:rPr>
        <w:t>年</w:t>
      </w:r>
      <w:r>
        <w:rPr>
          <w:rFonts w:ascii="SimSun" w:cs="仿宋" w:hint="eastAsia"/>
          <w:color w:val="000000"/>
          <w:sz w:val="21"/>
          <w:szCs w:val="21"/>
          <w:shd w:val="clear" w:color="auto" w:fill="FFFFFF"/>
        </w:rPr>
        <w:t>6</w:t>
      </w:r>
      <w:r>
        <w:rPr>
          <w:rFonts w:ascii="SimSun" w:cs="仿宋" w:hint="eastAsia"/>
          <w:color w:val="000000"/>
          <w:sz w:val="21"/>
          <w:szCs w:val="21"/>
          <w:shd w:val="clear" w:color="auto" w:fill="FFFFFF"/>
        </w:rPr>
        <w:t>月，共受到律师控告办案机关阻碍刑事诉讼权利案件</w:t>
      </w:r>
      <w:r>
        <w:rPr>
          <w:rFonts w:ascii="SimSun" w:cs="仿宋" w:hint="eastAsia"/>
          <w:color w:val="000000"/>
          <w:sz w:val="21"/>
          <w:szCs w:val="21"/>
          <w:shd w:val="clear" w:color="auto" w:fill="FFFFFF"/>
        </w:rPr>
        <w:t>4109</w:t>
      </w:r>
      <w:r>
        <w:rPr>
          <w:rFonts w:ascii="SimSun" w:cs="仿宋" w:hint="eastAsia"/>
          <w:color w:val="000000"/>
          <w:sz w:val="21"/>
          <w:szCs w:val="21"/>
          <w:shd w:val="clear" w:color="auto" w:fill="FFFFFF"/>
        </w:rPr>
        <w:t>件，通知有关办案机关纠正</w:t>
      </w:r>
      <w:r>
        <w:rPr>
          <w:rFonts w:ascii="SimSun" w:cs="仿宋" w:hint="eastAsia"/>
          <w:color w:val="000000"/>
          <w:sz w:val="21"/>
          <w:szCs w:val="21"/>
          <w:shd w:val="clear" w:color="auto" w:fill="FFFFFF"/>
        </w:rPr>
        <w:t>3372</w:t>
      </w:r>
      <w:r>
        <w:rPr>
          <w:rFonts w:ascii="SimSun" w:cs="仿宋" w:hint="eastAsia"/>
          <w:color w:val="000000"/>
          <w:sz w:val="21"/>
          <w:szCs w:val="21"/>
          <w:shd w:val="clear" w:color="auto" w:fill="FFFFFF"/>
        </w:rPr>
        <w:t>件。</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sz w:val="21"/>
          <w:szCs w:val="21"/>
        </w:rPr>
      </w:pPr>
      <w:r>
        <w:rPr>
          <w:rFonts w:ascii="SimSun" w:cs="仿宋" w:hint="eastAsia"/>
          <w:color w:val="000000"/>
          <w:sz w:val="21"/>
          <w:szCs w:val="21"/>
        </w:rPr>
        <w:t>我们注意到，中国正在从零星的、局部的人权状况改善向统一的人权法治保障制度的顶层设计转变。</w:t>
      </w:r>
      <w:r>
        <w:rPr>
          <w:rFonts w:ascii="SimSun" w:cs="仿宋" w:hint="eastAsia"/>
          <w:sz w:val="21"/>
          <w:szCs w:val="21"/>
        </w:rPr>
        <w:t>2012</w:t>
      </w:r>
      <w:r>
        <w:rPr>
          <w:rFonts w:ascii="SimSun" w:cs="仿宋" w:hint="eastAsia"/>
          <w:sz w:val="21"/>
          <w:szCs w:val="21"/>
        </w:rPr>
        <w:t>年，中共</w:t>
      </w:r>
      <w:r>
        <w:rPr>
          <w:rFonts w:ascii="SimSun" w:cs="仿宋" w:hint="eastAsia"/>
          <w:color w:val="242424"/>
          <w:sz w:val="21"/>
          <w:szCs w:val="21"/>
          <w:shd w:val="clear" w:color="auto" w:fill="FFFFFF"/>
        </w:rPr>
        <w:t>十八大报告勾勒出依法推进人权的愿景：“依法治国基本方略</w:t>
      </w:r>
      <w:r>
        <w:rPr>
          <w:rFonts w:ascii="SimSun" w:cs="仿宋" w:hint="eastAsia"/>
          <w:color w:val="000000"/>
          <w:sz w:val="21"/>
          <w:szCs w:val="21"/>
          <w:shd w:val="clear" w:color="auto" w:fill="FFFFFF"/>
        </w:rPr>
        <w:t>全面落实，法治政府基本建成，司法公信力不断提高，人权得到切实尊重和保障”。</w:t>
      </w:r>
      <w:r>
        <w:rPr>
          <w:rFonts w:ascii="SimSun" w:cs="仿宋" w:hint="eastAsia"/>
          <w:color w:val="000000"/>
          <w:sz w:val="21"/>
          <w:szCs w:val="21"/>
          <w:shd w:val="clear" w:color="auto" w:fill="FFFFFF"/>
        </w:rPr>
        <w:t>2013</w:t>
      </w:r>
      <w:r>
        <w:rPr>
          <w:rFonts w:ascii="SimSun" w:cs="仿宋" w:hint="eastAsia"/>
          <w:color w:val="000000"/>
          <w:sz w:val="21"/>
          <w:szCs w:val="21"/>
          <w:shd w:val="clear" w:color="auto" w:fill="FFFFFF"/>
        </w:rPr>
        <w:t>年，十</w:t>
      </w:r>
      <w:r>
        <w:rPr>
          <w:rFonts w:ascii="SimSun" w:cs="仿宋" w:hint="eastAsia"/>
          <w:color w:val="000000"/>
          <w:sz w:val="21"/>
          <w:szCs w:val="21"/>
        </w:rPr>
        <w:t>八届三中全会《中共中央关于全面深化改革若干重大问题的决定》提出了“完善人权司法保障制度”的重要改革目标，要求</w:t>
      </w:r>
      <w:r>
        <w:rPr>
          <w:rFonts w:ascii="SimSun" w:cs="仿宋" w:hint="eastAsia"/>
          <w:color w:val="000000"/>
          <w:sz w:val="21"/>
          <w:szCs w:val="21"/>
          <w:shd w:val="clear" w:color="auto" w:fill="FFFFFF"/>
        </w:rPr>
        <w:t>“严禁刑讯逼供、体罚虐待，严格实行非法证据排除规则。逐步减少适用死刑罪名”，“废止劳动教养制度”，“发挥律师在依法维护公民和法人合法权益方面的重要作用。”十八届四中全会《中共中央关于全面推进依法治国若干重大问题的决定》在第四部分“保证公正司法，提高司法公信力”专列第五节“加强人权司法保障”，强调在诉讼过程中保护当事人和其他诉讼参与人的诉讼权利，具体提出“五权保障”，即“强化诉讼过程中当事人和其他诉讼参</w:t>
      </w:r>
      <w:r>
        <w:rPr>
          <w:rFonts w:ascii="SimSun" w:cs="仿宋" w:hint="eastAsia"/>
          <w:color w:val="000000"/>
          <w:sz w:val="21"/>
          <w:szCs w:val="21"/>
          <w:shd w:val="clear" w:color="auto" w:fill="FFFFFF"/>
        </w:rPr>
        <w:t>与人的知情权、陈述权、辩护辩论权、申请权、申诉权的制度保障。”在统一的顶层设计下，中国开启了司法改革的进程。如，</w:t>
      </w:r>
      <w:r>
        <w:rPr>
          <w:rFonts w:ascii="SimSun" w:cs="仿宋" w:hint="eastAsia"/>
          <w:color w:val="000000"/>
          <w:sz w:val="21"/>
          <w:szCs w:val="21"/>
        </w:rPr>
        <w:t>最高人民法院设立巡回法庭，审理跨行政区域重大案件，设立跨行政区划的人</w:t>
      </w:r>
      <w:r>
        <w:rPr>
          <w:rFonts w:ascii="SimSun" w:cs="仿宋" w:hint="eastAsia"/>
          <w:color w:val="000000"/>
          <w:sz w:val="21"/>
          <w:szCs w:val="21"/>
        </w:rPr>
        <w:lastRenderedPageBreak/>
        <w:t>民法院、人民检察院，这有利于排除对审判工作和检察工作的干扰、保障法院和检察院依法独立公正行使审判权和检察权，这两项改革试点涉及司法管理体制、司法权力运行机制等深层次问题。</w:t>
      </w:r>
      <w:r>
        <w:rPr>
          <w:rFonts w:ascii="SimSun" w:cs="仿宋" w:hint="eastAsia"/>
          <w:sz w:val="21"/>
          <w:szCs w:val="21"/>
        </w:rPr>
        <w:t>整体来看，司法的自主性制度化推进明显，对于确保实现《禁止酷刑公约》的目标将会发挥越来越重要的作用。</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sz w:val="21"/>
          <w:szCs w:val="21"/>
        </w:rPr>
      </w:pPr>
      <w:r>
        <w:rPr>
          <w:rFonts w:ascii="SimSun" w:cs="仿宋" w:hint="eastAsia"/>
          <w:sz w:val="21"/>
          <w:szCs w:val="21"/>
        </w:rPr>
        <w:t>纵向上看，近几年中国在法律领域落实《禁止酷刑公约》方面取得了重</w:t>
      </w:r>
      <w:r>
        <w:rPr>
          <w:rFonts w:ascii="SimSun" w:cs="仿宋" w:hint="eastAsia"/>
          <w:sz w:val="21"/>
          <w:szCs w:val="21"/>
        </w:rPr>
        <w:t>大进展，较好地履行了公约的义务。但中国在禁止酷刑方面，仍然受历史传统、国内条件、措施实施周期等客观条件的制约。</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color w:val="000000"/>
          <w:sz w:val="21"/>
          <w:szCs w:val="21"/>
          <w:shd w:val="clear" w:color="auto" w:fill="FFFFFF"/>
        </w:rPr>
      </w:pPr>
      <w:r>
        <w:rPr>
          <w:rFonts w:ascii="SimSun" w:cs="仿宋" w:hint="eastAsia"/>
          <w:sz w:val="21"/>
          <w:szCs w:val="21"/>
        </w:rPr>
        <w:t>我们建议，中国进一步完善法治建设，进一步修订有关法律法规，健全反酷刑的法律体系。特别是根据中国社会转型的现实状况，充分吸收相关国际人权公约的内容，全面、依法打击各种形式的酷刑行为；</w:t>
      </w:r>
      <w:r>
        <w:rPr>
          <w:rFonts w:ascii="SimSun" w:cs="仿宋" w:hint="eastAsia"/>
          <w:color w:val="000000"/>
          <w:sz w:val="21"/>
          <w:szCs w:val="21"/>
          <w:shd w:val="clear" w:color="auto" w:fill="FFFFFF"/>
        </w:rPr>
        <w:t>在加快国家安全与公共安全建设，打击恐怖主义犯罪时，注重推进法治化建设，尽快制定《反恐怖主义法》，将保护国家安全与保护人权有机协调。</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color w:val="000000"/>
          <w:sz w:val="21"/>
          <w:szCs w:val="21"/>
          <w:shd w:val="clear" w:color="auto" w:fill="FFFFFF"/>
        </w:rPr>
      </w:pPr>
      <w:r>
        <w:rPr>
          <w:rFonts w:ascii="SimSun" w:cs="仿宋" w:hint="eastAsia"/>
          <w:sz w:val="21"/>
          <w:szCs w:val="21"/>
        </w:rPr>
        <w:t>我们建议，加快</w:t>
      </w:r>
      <w:r>
        <w:rPr>
          <w:rFonts w:ascii="SimSun" w:cs="仿宋" w:hint="eastAsia"/>
          <w:color w:val="000000"/>
          <w:sz w:val="21"/>
          <w:szCs w:val="21"/>
          <w:shd w:val="clear" w:color="auto" w:fill="FFFFFF"/>
        </w:rPr>
        <w:t>行政权力制约监督的制度建设。推行政府权力清单制度，行政机关不得法外设定权力</w:t>
      </w:r>
      <w:r>
        <w:rPr>
          <w:rFonts w:ascii="SimSun" w:cs="仿宋" w:hint="eastAsia"/>
          <w:color w:val="000000"/>
          <w:sz w:val="21"/>
          <w:szCs w:val="21"/>
          <w:shd w:val="clear" w:color="auto" w:fill="FFFFFF"/>
        </w:rPr>
        <w:t>，没有法律法规依据不得作出减损公民、法人和其他组织合法权益或者增加其义务的决定。积极推行政府法律顾问制度。推进综合执法，大幅减少执法队伍种类，坚决反对和惩治粗暴执法、野蛮执法行为。健全行政执法和刑事司法衔接机制，完善案件移送标准和程序，建立行政执法机关、公安机关、检察机关、审判机关信息共享、案情通报、案件移送制度。加强对政府内部权力的制约，完善政府内部层级监督和专门监督，建立常态化监督制度。完善对涉及公民人身、财产权益的行政强制措施实行司法监督制度。完善检察机关履职中督促纠正行政机关违法行使职权或者不行使职</w:t>
      </w:r>
      <w:r>
        <w:rPr>
          <w:rFonts w:ascii="SimSun" w:cs="仿宋" w:hint="eastAsia"/>
          <w:color w:val="000000"/>
          <w:sz w:val="21"/>
          <w:szCs w:val="21"/>
          <w:shd w:val="clear" w:color="auto" w:fill="FFFFFF"/>
        </w:rPr>
        <w:t>权的行为的制度。及时制定《看守所法》，适时启动《治安管理处罚法》等修订工作。</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color w:val="000000"/>
          <w:sz w:val="21"/>
          <w:szCs w:val="21"/>
          <w:shd w:val="clear" w:color="auto" w:fill="FFFFFF"/>
        </w:rPr>
      </w:pPr>
      <w:r>
        <w:rPr>
          <w:rFonts w:ascii="SimSun" w:cs="仿宋" w:hint="eastAsia"/>
          <w:sz w:val="21"/>
          <w:szCs w:val="21"/>
        </w:rPr>
        <w:t>我们建议，大力推进</w:t>
      </w:r>
      <w:r>
        <w:rPr>
          <w:rFonts w:ascii="SimSun" w:cs="仿宋" w:hint="eastAsia"/>
          <w:color w:val="000000"/>
          <w:sz w:val="21"/>
          <w:szCs w:val="21"/>
          <w:shd w:val="clear" w:color="auto" w:fill="FFFFFF"/>
        </w:rPr>
        <w:t>司法改革，健全反酷刑的人权司法保障制度。推进以审判为中心的诉讼制度改革，健全落实罪刑法定、疑罪从无、非法证据排除等法律原则的法律制度，确保侦查、审查起诉的案件事实证据经得起法律的检验。落实终审和诉讼终结制度，实行诉访分离，保障当事人依法行使申诉权利。对不服司法机关生效裁判、决定的申诉，逐步实行由律师代理制度。对聘不起律师的申诉人，纳入法律援助范围。完善刑罚执行制度，统一刑罚执行体制，如，为有效执行刑罚，对非监禁的</w:t>
      </w:r>
      <w:r>
        <w:rPr>
          <w:rFonts w:ascii="SimSun" w:cs="仿宋" w:hint="eastAsia"/>
          <w:color w:val="000000"/>
          <w:sz w:val="21"/>
          <w:szCs w:val="21"/>
          <w:shd w:val="clear" w:color="auto" w:fill="FFFFFF"/>
        </w:rPr>
        <w:t>罪犯实行社区矫正，尽快制定相应的《社会矫正法》。明确司法机关内部各层级权限，健全内部监督制约机制。</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cs="仿宋"/>
          <w:color w:val="000000"/>
          <w:sz w:val="21"/>
          <w:szCs w:val="21"/>
          <w:shd w:val="clear" w:color="auto" w:fill="FFFFFF"/>
        </w:rPr>
      </w:pPr>
      <w:r>
        <w:rPr>
          <w:rFonts w:ascii="SimSun" w:cs="仿宋" w:hint="eastAsia"/>
          <w:color w:val="000000"/>
          <w:sz w:val="21"/>
          <w:szCs w:val="21"/>
          <w:shd w:val="clear" w:color="auto" w:fill="FFFFFF"/>
        </w:rPr>
        <w:t>我们建议，完善律师执业权利保障机制和违法违规执业惩戒制度。及时修订《律师执业管理办法》，进一步明晰执业行为边界，规范律师会见和参与庭审行为，进一步完善律师权利救济工作机制；进一步健全完善律师违法违规行为惩戒制度，完善律师执业行为监督体系。</w:t>
      </w:r>
    </w:p>
    <w:p w:rsidR="00AE61F2" w:rsidRDefault="00DC43A7">
      <w:pPr>
        <w:widowControl w:val="0"/>
        <w:numPr>
          <w:ilvl w:val="0"/>
          <w:numId w:val="1"/>
        </w:numPr>
        <w:tabs>
          <w:tab w:val="clear" w:pos="1780"/>
          <w:tab w:val="left" w:pos="0"/>
        </w:tabs>
        <w:adjustRightInd w:val="0"/>
        <w:snapToGrid w:val="0"/>
        <w:spacing w:line="360" w:lineRule="auto"/>
        <w:ind w:left="0" w:firstLine="0"/>
        <w:jc w:val="both"/>
        <w:rPr>
          <w:rFonts w:ascii="SimSun"/>
          <w:sz w:val="21"/>
          <w:szCs w:val="21"/>
        </w:rPr>
      </w:pPr>
      <w:r>
        <w:rPr>
          <w:rFonts w:ascii="SimSun" w:cs="仿宋" w:hint="eastAsia"/>
          <w:sz w:val="21"/>
          <w:szCs w:val="21"/>
        </w:rPr>
        <w:t>我们建议，进一步</w:t>
      </w:r>
      <w:r>
        <w:rPr>
          <w:rFonts w:ascii="SimSun" w:cs="仿宋" w:hint="eastAsia"/>
          <w:color w:val="000000"/>
          <w:sz w:val="21"/>
          <w:szCs w:val="21"/>
          <w:shd w:val="clear" w:color="auto" w:fill="FFFFFF"/>
        </w:rPr>
        <w:t>加强对执法、司法活动的监督。健全司法、社会对行政机关的监督制度，完善纠错问责机制。加强上级对下级以及国家机关相互之间涉及酷刑的执法与司法活动的监督。保障一般</w:t>
      </w:r>
      <w:r>
        <w:rPr>
          <w:rFonts w:ascii="SimSun" w:cs="仿宋" w:hint="eastAsia"/>
          <w:color w:val="000000"/>
          <w:sz w:val="21"/>
          <w:szCs w:val="21"/>
          <w:shd w:val="clear" w:color="auto" w:fill="FFFFFF"/>
        </w:rPr>
        <w:t>公众与新闻媒体参与司法，构建开放、动态、透明、便民的阳光司法机制。</w:t>
      </w:r>
    </w:p>
    <w:p w:rsidR="00AE61F2" w:rsidRDefault="00DC43A7">
      <w:pPr>
        <w:widowControl w:val="0"/>
        <w:numPr>
          <w:ilvl w:val="0"/>
          <w:numId w:val="1"/>
        </w:numPr>
        <w:tabs>
          <w:tab w:val="clear" w:pos="1780"/>
          <w:tab w:val="left" w:pos="0"/>
        </w:tabs>
        <w:adjustRightInd w:val="0"/>
        <w:snapToGrid w:val="0"/>
        <w:spacing w:line="360" w:lineRule="auto"/>
        <w:ind w:left="0" w:firstLine="0"/>
        <w:jc w:val="both"/>
      </w:pPr>
      <w:r>
        <w:rPr>
          <w:rFonts w:ascii="SimSun" w:cs="仿宋" w:hint="eastAsia"/>
          <w:color w:val="000000"/>
          <w:sz w:val="21"/>
          <w:szCs w:val="21"/>
          <w:shd w:val="clear" w:color="auto" w:fill="FFFFFF"/>
        </w:rPr>
        <w:t>我们建议，进一步完善有关禁止酷刑的国际法与国内法的适用衔接机制，进一步加强对普通民众，特别是国家工作人员禁止酷刑意识的培养与教育工作。</w:t>
      </w:r>
    </w:p>
    <w:p w:rsidR="00AE61F2" w:rsidRDefault="00DC43A7">
      <w:pPr>
        <w:spacing w:line="560" w:lineRule="exact"/>
        <w:jc w:val="center"/>
        <w:rPr>
          <w:rFonts w:ascii="SimSun"/>
          <w:b/>
          <w:sz w:val="30"/>
          <w:szCs w:val="30"/>
        </w:rPr>
      </w:pPr>
      <w:r>
        <w:rPr>
          <w:rFonts w:ascii="仿宋" w:eastAsia="仿宋" w:cs="仿宋"/>
          <w:color w:val="000000"/>
          <w:sz w:val="32"/>
          <w:szCs w:val="32"/>
        </w:rPr>
        <w:br w:type="page"/>
      </w:r>
      <w:r>
        <w:rPr>
          <w:rFonts w:ascii="SimSun" w:hint="eastAsia"/>
          <w:b/>
          <w:sz w:val="30"/>
          <w:szCs w:val="30"/>
        </w:rPr>
        <w:lastRenderedPageBreak/>
        <w:t>中</w:t>
      </w:r>
      <w:r>
        <w:rPr>
          <w:rFonts w:ascii="SimSun" w:hint="eastAsia"/>
          <w:b/>
          <w:sz w:val="30"/>
          <w:szCs w:val="30"/>
        </w:rPr>
        <w:t xml:space="preserve">  </w:t>
      </w:r>
      <w:r>
        <w:rPr>
          <w:rFonts w:ascii="SimSun" w:hint="eastAsia"/>
          <w:b/>
          <w:sz w:val="30"/>
          <w:szCs w:val="30"/>
        </w:rPr>
        <w:t>国</w:t>
      </w:r>
      <w:r>
        <w:rPr>
          <w:rFonts w:ascii="SimSun" w:hint="eastAsia"/>
          <w:b/>
          <w:sz w:val="30"/>
          <w:szCs w:val="30"/>
        </w:rPr>
        <w:t xml:space="preserve">  </w:t>
      </w:r>
      <w:r>
        <w:rPr>
          <w:rFonts w:ascii="SimSun" w:hint="eastAsia"/>
          <w:b/>
          <w:sz w:val="30"/>
          <w:szCs w:val="30"/>
        </w:rPr>
        <w:t>人</w:t>
      </w:r>
      <w:r>
        <w:rPr>
          <w:rFonts w:ascii="SimSun" w:hint="eastAsia"/>
          <w:b/>
          <w:sz w:val="30"/>
          <w:szCs w:val="30"/>
        </w:rPr>
        <w:t xml:space="preserve">  </w:t>
      </w:r>
      <w:r>
        <w:rPr>
          <w:rFonts w:ascii="SimSun" w:hint="eastAsia"/>
          <w:b/>
          <w:sz w:val="30"/>
          <w:szCs w:val="30"/>
        </w:rPr>
        <w:t>权</w:t>
      </w:r>
      <w:r>
        <w:rPr>
          <w:rFonts w:ascii="SimSun" w:hint="eastAsia"/>
          <w:b/>
          <w:sz w:val="30"/>
          <w:szCs w:val="30"/>
        </w:rPr>
        <w:t xml:space="preserve">  </w:t>
      </w:r>
      <w:r>
        <w:rPr>
          <w:rFonts w:ascii="SimSun" w:hint="eastAsia"/>
          <w:b/>
          <w:sz w:val="30"/>
          <w:szCs w:val="30"/>
        </w:rPr>
        <w:t>研</w:t>
      </w:r>
      <w:r>
        <w:rPr>
          <w:rFonts w:ascii="SimSun" w:hint="eastAsia"/>
          <w:b/>
          <w:sz w:val="30"/>
          <w:szCs w:val="30"/>
        </w:rPr>
        <w:t xml:space="preserve">  </w:t>
      </w:r>
      <w:r>
        <w:rPr>
          <w:rFonts w:ascii="SimSun" w:hint="eastAsia"/>
          <w:b/>
          <w:sz w:val="30"/>
          <w:szCs w:val="30"/>
        </w:rPr>
        <w:t>究</w:t>
      </w:r>
      <w:r>
        <w:rPr>
          <w:rFonts w:ascii="SimSun" w:hint="eastAsia"/>
          <w:b/>
          <w:sz w:val="30"/>
          <w:szCs w:val="30"/>
        </w:rPr>
        <w:t xml:space="preserve">  </w:t>
      </w:r>
      <w:r>
        <w:rPr>
          <w:rFonts w:ascii="SimSun" w:hint="eastAsia"/>
          <w:b/>
          <w:sz w:val="30"/>
          <w:szCs w:val="30"/>
        </w:rPr>
        <w:t>会</w:t>
      </w:r>
    </w:p>
    <w:p w:rsidR="00AE61F2" w:rsidRDefault="00DC43A7">
      <w:pPr>
        <w:spacing w:line="240" w:lineRule="atLeast"/>
        <w:ind w:firstLine="720"/>
        <w:jc w:val="center"/>
        <w:rPr>
          <w:b/>
          <w:sz w:val="22"/>
          <w:szCs w:val="21"/>
        </w:rPr>
      </w:pPr>
      <w:r>
        <w:rPr>
          <w:b/>
          <w:sz w:val="22"/>
          <w:szCs w:val="21"/>
        </w:rPr>
        <w:t xml:space="preserve">  China Society for Human Rights Studies</w:t>
      </w:r>
    </w:p>
    <w:p w:rsidR="00AE61F2" w:rsidRDefault="00DC43A7">
      <w:pPr>
        <w:spacing w:line="240" w:lineRule="atLeast"/>
        <w:ind w:firstLine="720"/>
        <w:jc w:val="center"/>
        <w:rPr>
          <w:b/>
          <w:sz w:val="22"/>
          <w:szCs w:val="21"/>
        </w:rPr>
      </w:pPr>
      <w:r>
        <w:rPr>
          <w:b/>
          <w:sz w:val="22"/>
          <w:szCs w:val="21"/>
        </w:rPr>
        <w:t xml:space="preserve">    NGO in consultative status with ECOSOC of the United Nations</w:t>
      </w:r>
    </w:p>
    <w:p w:rsidR="00AE61F2" w:rsidRDefault="00DC43A7">
      <w:pPr>
        <w:pBdr>
          <w:bottom w:val="thickThinSmallGap" w:sz="24" w:space="1" w:color="auto"/>
        </w:pBdr>
        <w:spacing w:line="240" w:lineRule="atLeast"/>
        <w:rPr>
          <w:rFonts w:ascii="STZhongsong" w:eastAsia="STZhongsong"/>
          <w:b/>
          <w:sz w:val="22"/>
          <w:szCs w:val="21"/>
        </w:rPr>
      </w:pPr>
      <w:r>
        <w:rPr>
          <w:rFonts w:eastAsia="KaiTi_GB2312"/>
          <w:sz w:val="22"/>
          <w:szCs w:val="21"/>
        </w:rPr>
        <w:t xml:space="preserve">                                                     </w:t>
      </w:r>
      <w:r>
        <w:rPr>
          <w:rFonts w:ascii="STZhongsong" w:eastAsia="STZhongsong" w:hint="eastAsia"/>
          <w:b/>
          <w:sz w:val="22"/>
          <w:szCs w:val="21"/>
        </w:rPr>
        <w:t xml:space="preserve"> </w:t>
      </w:r>
    </w:p>
    <w:p w:rsidR="00AE61F2" w:rsidRDefault="00DC43A7">
      <w:pPr>
        <w:spacing w:line="480" w:lineRule="exact"/>
        <w:rPr>
          <w:rFonts w:ascii="FangSong_GB2312" w:eastAsia="FangSong_GB2312"/>
          <w:b/>
          <w:sz w:val="28"/>
          <w:szCs w:val="28"/>
        </w:rPr>
      </w:pPr>
      <w:r>
        <w:rPr>
          <w:rFonts w:ascii="FangSong_GB2312" w:eastAsia="FangSong_GB2312" w:hint="eastAsia"/>
          <w:b/>
          <w:sz w:val="28"/>
          <w:szCs w:val="28"/>
        </w:rPr>
        <w:t>中文名称：</w:t>
      </w:r>
      <w:r>
        <w:rPr>
          <w:rFonts w:ascii="FangSong_GB2312" w:eastAsia="FangSong_GB2312" w:hint="eastAsia"/>
          <w:b/>
          <w:sz w:val="28"/>
          <w:szCs w:val="28"/>
        </w:rPr>
        <w:t xml:space="preserve">  </w:t>
      </w:r>
      <w:r>
        <w:rPr>
          <w:rFonts w:ascii="FangSong_GB2312" w:eastAsia="FangSong_GB2312" w:hint="eastAsia"/>
          <w:sz w:val="28"/>
          <w:szCs w:val="28"/>
        </w:rPr>
        <w:t xml:space="preserve"> </w:t>
      </w:r>
      <w:r>
        <w:rPr>
          <w:rFonts w:ascii="FangSong_GB2312" w:eastAsia="FangSong_GB2312" w:hint="eastAsia"/>
          <w:sz w:val="28"/>
          <w:szCs w:val="28"/>
        </w:rPr>
        <w:t>中国人权研究会</w:t>
      </w:r>
    </w:p>
    <w:p w:rsidR="00AE61F2" w:rsidRDefault="00DC43A7">
      <w:pPr>
        <w:spacing w:line="480" w:lineRule="exact"/>
        <w:rPr>
          <w:rFonts w:ascii="FangSong_GB2312" w:eastAsia="FangSong_GB2312"/>
          <w:sz w:val="28"/>
          <w:szCs w:val="28"/>
        </w:rPr>
      </w:pPr>
      <w:r>
        <w:rPr>
          <w:rFonts w:ascii="FangSong_GB2312" w:eastAsia="FangSong_GB2312" w:hint="eastAsia"/>
          <w:b/>
          <w:sz w:val="28"/>
          <w:szCs w:val="28"/>
        </w:rPr>
        <w:t>英文名称：</w:t>
      </w:r>
      <w:r>
        <w:rPr>
          <w:rFonts w:ascii="FangSong_GB2312" w:eastAsia="FangSong_GB2312" w:hint="eastAsia"/>
          <w:sz w:val="28"/>
          <w:szCs w:val="28"/>
        </w:rPr>
        <w:t xml:space="preserve">   China Society for Human Rights Studies</w:t>
      </w:r>
    </w:p>
    <w:p w:rsidR="00AE61F2" w:rsidRDefault="00DC43A7">
      <w:pPr>
        <w:spacing w:line="480" w:lineRule="exact"/>
        <w:rPr>
          <w:rFonts w:ascii="FangSong_GB2312" w:eastAsia="FangSong_GB2312"/>
          <w:sz w:val="28"/>
          <w:szCs w:val="28"/>
        </w:rPr>
      </w:pPr>
      <w:r>
        <w:rPr>
          <w:rFonts w:ascii="FangSong_GB2312" w:eastAsia="FangSong_GB2312" w:hint="eastAsia"/>
          <w:b/>
          <w:sz w:val="28"/>
          <w:szCs w:val="28"/>
        </w:rPr>
        <w:t>英文缩写：</w:t>
      </w:r>
      <w:r>
        <w:rPr>
          <w:rFonts w:ascii="FangSong_GB2312" w:eastAsia="FangSong_GB2312" w:hint="eastAsia"/>
          <w:sz w:val="28"/>
          <w:szCs w:val="28"/>
        </w:rPr>
        <w:t xml:space="preserve">   CSHRS</w:t>
      </w:r>
    </w:p>
    <w:p w:rsidR="00AE61F2" w:rsidRDefault="00DC43A7">
      <w:pPr>
        <w:spacing w:line="480" w:lineRule="exact"/>
        <w:rPr>
          <w:rFonts w:ascii="FangSong_GB2312" w:eastAsia="FangSong_GB2312"/>
          <w:sz w:val="28"/>
          <w:szCs w:val="28"/>
        </w:rPr>
      </w:pPr>
      <w:r>
        <w:rPr>
          <w:rFonts w:ascii="FangSong_GB2312" w:eastAsia="FangSong_GB2312" w:hint="eastAsia"/>
          <w:b/>
          <w:sz w:val="28"/>
          <w:szCs w:val="28"/>
        </w:rPr>
        <w:t>成立日期：</w:t>
      </w:r>
      <w:r>
        <w:rPr>
          <w:rFonts w:ascii="FangSong_GB2312" w:eastAsia="FangSong_GB2312" w:hint="eastAsia"/>
          <w:sz w:val="28"/>
          <w:szCs w:val="28"/>
        </w:rPr>
        <w:t xml:space="preserve">   1993</w:t>
      </w:r>
      <w:r>
        <w:rPr>
          <w:rFonts w:ascii="FangSong_GB2312" w:eastAsia="FangSong_GB2312" w:hint="eastAsia"/>
          <w:sz w:val="28"/>
          <w:szCs w:val="28"/>
        </w:rPr>
        <w:t>年</w:t>
      </w:r>
      <w:r>
        <w:rPr>
          <w:rFonts w:ascii="FangSong_GB2312" w:eastAsia="FangSong_GB2312" w:hint="eastAsia"/>
          <w:sz w:val="28"/>
          <w:szCs w:val="28"/>
        </w:rPr>
        <w:t>1</w:t>
      </w:r>
      <w:r>
        <w:rPr>
          <w:rFonts w:ascii="FangSong_GB2312" w:eastAsia="FangSong_GB2312" w:hint="eastAsia"/>
          <w:sz w:val="28"/>
          <w:szCs w:val="28"/>
        </w:rPr>
        <w:t>月</w:t>
      </w:r>
    </w:p>
    <w:p w:rsidR="00AE61F2" w:rsidRDefault="00AE61F2">
      <w:pPr>
        <w:spacing w:line="480" w:lineRule="auto"/>
        <w:ind w:firstLineChars="200" w:firstLine="480"/>
        <w:rPr>
          <w:rFonts w:ascii="FangSong_GB2312" w:eastAsia="FangSong_GB2312"/>
        </w:rPr>
      </w:pPr>
    </w:p>
    <w:p w:rsidR="00AE61F2" w:rsidRDefault="00DC43A7">
      <w:pPr>
        <w:spacing w:line="480" w:lineRule="auto"/>
        <w:ind w:firstLineChars="200" w:firstLine="480"/>
        <w:rPr>
          <w:rFonts w:ascii="FangSong_GB2312" w:eastAsia="FangSong_GB2312"/>
        </w:rPr>
      </w:pPr>
      <w:r>
        <w:rPr>
          <w:rFonts w:ascii="FangSong_GB2312" w:eastAsia="FangSong_GB2312" w:hint="eastAsia"/>
        </w:rPr>
        <w:t>中国人权研究会成立于</w:t>
      </w:r>
      <w:r>
        <w:rPr>
          <w:rFonts w:ascii="FangSong_GB2312" w:eastAsia="FangSong_GB2312" w:hint="eastAsia"/>
        </w:rPr>
        <w:t xml:space="preserve"> 1993</w:t>
      </w:r>
      <w:r>
        <w:rPr>
          <w:rFonts w:ascii="FangSong_GB2312" w:eastAsia="FangSong_GB2312" w:hint="eastAsia"/>
        </w:rPr>
        <w:t>年</w:t>
      </w:r>
      <w:r>
        <w:rPr>
          <w:rFonts w:ascii="FangSong_GB2312" w:eastAsia="FangSong_GB2312" w:hint="eastAsia"/>
        </w:rPr>
        <w:t>1</w:t>
      </w:r>
      <w:r>
        <w:rPr>
          <w:rFonts w:ascii="FangSong_GB2312" w:eastAsia="FangSong_GB2312" w:hint="eastAsia"/>
        </w:rPr>
        <w:t>月，是目前中国人权领域规模最大、影响最广的全国性学术团体，</w:t>
      </w:r>
      <w:r>
        <w:rPr>
          <w:rFonts w:ascii="FangSong_GB2312" w:eastAsia="FangSong_GB2312" w:hint="eastAsia"/>
        </w:rPr>
        <w:t>1998</w:t>
      </w:r>
      <w:r>
        <w:rPr>
          <w:rFonts w:ascii="FangSong_GB2312" w:eastAsia="FangSong_GB2312" w:hint="eastAsia"/>
        </w:rPr>
        <w:t>年</w:t>
      </w:r>
      <w:r>
        <w:rPr>
          <w:rFonts w:ascii="FangSong_GB2312" w:eastAsia="FangSong_GB2312" w:hint="eastAsia"/>
        </w:rPr>
        <w:t>7</w:t>
      </w:r>
      <w:r>
        <w:rPr>
          <w:rFonts w:ascii="FangSong_GB2312" w:eastAsia="FangSong_GB2312" w:hint="eastAsia"/>
        </w:rPr>
        <w:t>月起在联合国经社理事会享有特别咨商地位，并被列入联合国教科文组织“世界人权研究和培训机构名录”。</w:t>
      </w:r>
    </w:p>
    <w:p w:rsidR="00AE61F2" w:rsidRDefault="00DC43A7">
      <w:pPr>
        <w:spacing w:line="480" w:lineRule="auto"/>
        <w:ind w:firstLineChars="200" w:firstLine="480"/>
        <w:rPr>
          <w:rFonts w:ascii="FangSong_GB2312" w:eastAsia="FangSong_GB2312"/>
        </w:rPr>
      </w:pPr>
      <w:r>
        <w:rPr>
          <w:rFonts w:ascii="FangSong_GB2312" w:eastAsia="FangSong_GB2312" w:hint="eastAsia"/>
        </w:rPr>
        <w:t>中国人权研究</w:t>
      </w:r>
      <w:r>
        <w:rPr>
          <w:rFonts w:ascii="FangSong_GB2312" w:eastAsia="FangSong_GB2312" w:hint="eastAsia"/>
        </w:rPr>
        <w:t>会的宗旨是：研究中外人权理论、历史和现状，普及和宣传人权知识，开展国际交流与合作，促进中国和世界人权事业的健康发展。自成立以来，研究会举办过多次人权理论研讨会和人权专题调研，翻译、编纂和出版了一系列人权专著；大力开展人权知识普及和教育，推动设立国家人权教育和培训基地；积极参与国际人权领域的交流与合作，创办“北京人权论坛”，并派员参加联合国人权领域会议及其它多、双边国际人权会议和活动。</w:t>
      </w:r>
    </w:p>
    <w:p w:rsidR="00AE61F2" w:rsidRDefault="00AE61F2">
      <w:pPr>
        <w:spacing w:line="480" w:lineRule="auto"/>
        <w:ind w:firstLineChars="200" w:firstLine="480"/>
        <w:rPr>
          <w:rFonts w:ascii="FangSong_GB2312" w:eastAsia="FangSong_GB2312"/>
        </w:rPr>
      </w:pPr>
    </w:p>
    <w:p w:rsidR="00AE61F2" w:rsidRDefault="00AE61F2">
      <w:pPr>
        <w:spacing w:line="480" w:lineRule="auto"/>
        <w:ind w:firstLineChars="200" w:firstLine="480"/>
        <w:rPr>
          <w:rFonts w:ascii="FangSong_GB2312" w:eastAsia="FangSong_GB2312"/>
        </w:rPr>
      </w:pPr>
    </w:p>
    <w:p w:rsidR="00AE61F2" w:rsidRDefault="00AE61F2">
      <w:pPr>
        <w:spacing w:line="480" w:lineRule="auto"/>
        <w:ind w:firstLineChars="200" w:firstLine="480"/>
        <w:rPr>
          <w:rFonts w:ascii="FangSong_GB2312" w:eastAsia="FangSong_GB2312"/>
        </w:rPr>
      </w:pPr>
    </w:p>
    <w:p w:rsidR="00AE61F2" w:rsidRDefault="00DC43A7">
      <w:pPr>
        <w:pBdr>
          <w:bottom w:val="thickThinSmallGap" w:sz="24" w:space="0" w:color="auto"/>
        </w:pBdr>
        <w:spacing w:line="300" w:lineRule="exact"/>
        <w:rPr>
          <w:rFonts w:ascii="STZhongsong" w:eastAsia="STZhongsong"/>
          <w:b/>
        </w:rPr>
      </w:pPr>
      <w:r>
        <w:rPr>
          <w:rFonts w:ascii="STZhongsong" w:eastAsia="STZhongsong" w:hint="eastAsia"/>
          <w:b/>
        </w:rPr>
        <w:t xml:space="preserve">                                                           </w:t>
      </w:r>
      <w:r>
        <w:rPr>
          <w:rFonts w:ascii="STZhongsong" w:eastAsia="STZhongsong" w:hint="eastAsia"/>
          <w:b/>
        </w:rPr>
        <w:t xml:space="preserve">                                 </w:t>
      </w:r>
    </w:p>
    <w:p w:rsidR="00AE61F2" w:rsidRDefault="00DC43A7">
      <w:pPr>
        <w:rPr>
          <w:rFonts w:eastAsia="KaiTi_GB2312"/>
          <w:b/>
        </w:rPr>
      </w:pPr>
      <w:r>
        <w:rPr>
          <w:rFonts w:eastAsia="KaiTi_GB2312"/>
          <w:b/>
        </w:rPr>
        <w:t xml:space="preserve">Add: Room </w:t>
      </w:r>
      <w:r>
        <w:rPr>
          <w:rFonts w:eastAsia="KaiTi_GB2312" w:hint="eastAsia"/>
          <w:b/>
        </w:rPr>
        <w:t>20</w:t>
      </w:r>
      <w:r>
        <w:rPr>
          <w:rFonts w:eastAsia="KaiTi_GB2312"/>
          <w:b/>
        </w:rPr>
        <w:t xml:space="preserve">5, </w:t>
      </w:r>
      <w:r>
        <w:rPr>
          <w:rFonts w:eastAsia="KaiTi_GB2312" w:hint="eastAsia"/>
          <w:b/>
        </w:rPr>
        <w:t>Lixue Hutong</w:t>
      </w:r>
      <w:r>
        <w:rPr>
          <w:rFonts w:eastAsia="KaiTi_GB2312"/>
          <w:b/>
        </w:rPr>
        <w:t xml:space="preserve">, </w:t>
      </w:r>
      <w:r>
        <w:rPr>
          <w:rFonts w:eastAsia="KaiTi_GB2312" w:hint="eastAsia"/>
          <w:b/>
        </w:rPr>
        <w:t>Fuyou</w:t>
      </w:r>
      <w:r>
        <w:rPr>
          <w:rFonts w:eastAsia="KaiTi_GB2312"/>
          <w:b/>
        </w:rPr>
        <w:t xml:space="preserve"> St., </w:t>
      </w:r>
      <w:r>
        <w:rPr>
          <w:rFonts w:eastAsia="KaiTi_GB2312" w:hint="eastAsia"/>
          <w:b/>
        </w:rPr>
        <w:t>Xi</w:t>
      </w:r>
      <w:r>
        <w:rPr>
          <w:rFonts w:eastAsia="KaiTi_GB2312"/>
          <w:b/>
        </w:rPr>
        <w:t>cheng District, Beijing 100</w:t>
      </w:r>
      <w:r>
        <w:rPr>
          <w:rFonts w:eastAsia="KaiTi_GB2312" w:hint="eastAsia"/>
          <w:b/>
        </w:rPr>
        <w:t>80</w:t>
      </w:r>
      <w:r>
        <w:rPr>
          <w:rFonts w:eastAsia="KaiTi_GB2312"/>
          <w:b/>
        </w:rPr>
        <w:t>0, P.R. China</w:t>
      </w:r>
    </w:p>
    <w:p w:rsidR="00AE61F2" w:rsidRDefault="00DC43A7">
      <w:pPr>
        <w:rPr>
          <w:rFonts w:eastAsia="KaiTi_GB2312"/>
          <w:b/>
        </w:rPr>
      </w:pPr>
      <w:r>
        <w:rPr>
          <w:rFonts w:eastAsia="KaiTi_GB2312"/>
          <w:b/>
        </w:rPr>
        <w:t>Tel</w:t>
      </w:r>
      <w:r>
        <w:rPr>
          <w:rFonts w:eastAsia="KaiTi_GB2312" w:hint="eastAsia"/>
          <w:b/>
        </w:rPr>
        <w:t>：（</w:t>
      </w:r>
      <w:r>
        <w:rPr>
          <w:rFonts w:eastAsia="KaiTi_GB2312"/>
          <w:b/>
        </w:rPr>
        <w:t>86-10</w:t>
      </w:r>
      <w:r>
        <w:rPr>
          <w:rFonts w:eastAsia="KaiTi_GB2312" w:hint="eastAsia"/>
          <w:b/>
        </w:rPr>
        <w:t>）</w:t>
      </w:r>
      <w:r>
        <w:rPr>
          <w:rFonts w:eastAsia="KaiTi_GB2312" w:hint="eastAsia"/>
          <w:b/>
        </w:rPr>
        <w:t>5562</w:t>
      </w:r>
      <w:r>
        <w:rPr>
          <w:rFonts w:eastAsia="KaiTi_GB2312"/>
          <w:b/>
        </w:rPr>
        <w:t>-</w:t>
      </w:r>
      <w:r>
        <w:rPr>
          <w:rFonts w:eastAsia="KaiTi_GB2312" w:hint="eastAsia"/>
          <w:b/>
        </w:rPr>
        <w:t>4019</w:t>
      </w:r>
      <w:r>
        <w:rPr>
          <w:rFonts w:eastAsia="KaiTi_GB2312"/>
          <w:b/>
        </w:rPr>
        <w:t xml:space="preserve">                      Fax</w:t>
      </w:r>
      <w:r>
        <w:rPr>
          <w:rFonts w:eastAsia="KaiTi_GB2312" w:hint="eastAsia"/>
          <w:b/>
        </w:rPr>
        <w:t>：（</w:t>
      </w:r>
      <w:r>
        <w:rPr>
          <w:rFonts w:eastAsia="KaiTi_GB2312"/>
          <w:b/>
        </w:rPr>
        <w:t>86-10</w:t>
      </w:r>
      <w:r>
        <w:rPr>
          <w:rFonts w:eastAsia="KaiTi_GB2312" w:hint="eastAsia"/>
          <w:b/>
        </w:rPr>
        <w:t>）</w:t>
      </w:r>
      <w:r>
        <w:rPr>
          <w:rFonts w:eastAsia="KaiTi_GB2312" w:hint="eastAsia"/>
          <w:b/>
        </w:rPr>
        <w:t>5562</w:t>
      </w:r>
      <w:r>
        <w:rPr>
          <w:rFonts w:eastAsia="KaiTi_GB2312"/>
          <w:b/>
        </w:rPr>
        <w:t>-</w:t>
      </w:r>
      <w:r>
        <w:rPr>
          <w:rFonts w:eastAsia="KaiTi_GB2312" w:hint="eastAsia"/>
          <w:b/>
        </w:rPr>
        <w:t>4015</w:t>
      </w:r>
    </w:p>
    <w:p w:rsidR="00AE61F2" w:rsidRDefault="00DC43A7">
      <w:pPr>
        <w:rPr>
          <w:rFonts w:eastAsia="KaiTi_GB2312"/>
          <w:b/>
        </w:rPr>
      </w:pPr>
      <w:r>
        <w:rPr>
          <w:rFonts w:eastAsia="KaiTi_GB2312"/>
          <w:b/>
        </w:rPr>
        <w:t>E-mail</w:t>
      </w:r>
      <w:r>
        <w:rPr>
          <w:rFonts w:eastAsia="KaiTi_GB2312" w:hint="eastAsia"/>
          <w:b/>
        </w:rPr>
        <w:t>：</w:t>
      </w:r>
      <w:hyperlink r:id="rId16" w:history="1">
        <w:r>
          <w:rPr>
            <w:rStyle w:val="Hyperlink"/>
            <w:rFonts w:eastAsia="KaiTi_GB2312"/>
            <w:b/>
          </w:rPr>
          <w:t>chinahrs@</w:t>
        </w:r>
        <w:r>
          <w:rPr>
            <w:rStyle w:val="Hyperlink"/>
            <w:rFonts w:eastAsia="KaiTi_GB2312" w:hint="eastAsia"/>
            <w:b/>
          </w:rPr>
          <w:t>hotmail</w:t>
        </w:r>
        <w:r>
          <w:rPr>
            <w:rStyle w:val="Hyperlink"/>
            <w:rFonts w:eastAsia="KaiTi_GB2312"/>
            <w:b/>
          </w:rPr>
          <w:t>.</w:t>
        </w:r>
        <w:r>
          <w:rPr>
            <w:rStyle w:val="Hyperlink"/>
            <w:rFonts w:eastAsia="KaiTi_GB2312" w:hint="eastAsia"/>
            <w:b/>
          </w:rPr>
          <w:t>com</w:t>
        </w:r>
      </w:hyperlink>
      <w:r>
        <w:rPr>
          <w:rFonts w:eastAsia="KaiTi_GB2312"/>
          <w:b/>
        </w:rPr>
        <w:t xml:space="preserve">           </w:t>
      </w:r>
    </w:p>
    <w:p w:rsidR="00AE61F2" w:rsidRDefault="00DC43A7">
      <w:pPr>
        <w:rPr>
          <w:rFonts w:eastAsia="KaiTi_GB2312"/>
          <w:b/>
        </w:rPr>
      </w:pPr>
      <w:r>
        <w:rPr>
          <w:rFonts w:eastAsia="KaiTi_GB2312"/>
          <w:b/>
        </w:rPr>
        <w:t>Website: www.chinahumanrights.org</w:t>
      </w:r>
    </w:p>
    <w:p w:rsidR="00AE61F2" w:rsidRDefault="00DC43A7">
      <w:pPr>
        <w:jc w:val="center"/>
        <w:rPr>
          <w:rFonts w:ascii="方正小标宋_GBK" w:eastAsia="方正小标宋_GBK"/>
          <w:b/>
          <w:bCs/>
          <w:sz w:val="32"/>
          <w:szCs w:val="32"/>
        </w:rPr>
      </w:pPr>
      <w:r>
        <w:rPr>
          <w:rFonts w:ascii="仿宋" w:eastAsia="仿宋" w:cs="仿宋"/>
          <w:color w:val="000000"/>
          <w:sz w:val="32"/>
          <w:szCs w:val="32"/>
        </w:rPr>
        <w:br w:type="page"/>
      </w:r>
      <w:r>
        <w:rPr>
          <w:rFonts w:ascii="方正小标宋_GBK" w:eastAsia="方正小标宋_GBK" w:hint="eastAsia"/>
          <w:b/>
          <w:bCs/>
          <w:sz w:val="32"/>
          <w:szCs w:val="32"/>
        </w:rPr>
        <w:lastRenderedPageBreak/>
        <w:t>西南政法大学人权教育与研究中心</w:t>
      </w:r>
    </w:p>
    <w:p w:rsidR="00AE61F2" w:rsidRDefault="00AE61F2">
      <w:pPr>
        <w:jc w:val="center"/>
        <w:rPr>
          <w:rFonts w:ascii="方正小标宋_GBK" w:eastAsia="方正小标宋_GBK"/>
          <w:b/>
          <w:bCs/>
          <w:sz w:val="32"/>
          <w:szCs w:val="32"/>
        </w:rPr>
      </w:pPr>
    </w:p>
    <w:p w:rsidR="00AE61F2" w:rsidRDefault="00AE61F2"/>
    <w:p w:rsidR="00AE61F2" w:rsidRDefault="00DC43A7" w:rsidP="00DC43A7">
      <w:pPr>
        <w:shd w:val="clear" w:color="auto" w:fill="FFFFFF"/>
        <w:adjustRightInd w:val="0"/>
        <w:snapToGrid w:val="0"/>
        <w:spacing w:line="300" w:lineRule="auto"/>
        <w:ind w:firstLineChars="200" w:firstLine="564"/>
        <w:rPr>
          <w:rFonts w:ascii="方正仿宋_GBK" w:eastAsia="方正仿宋_GBK" w:cs="仿宋"/>
          <w:spacing w:val="2"/>
          <w:sz w:val="28"/>
          <w:szCs w:val="28"/>
          <w:shd w:val="clear" w:color="auto" w:fill="FFFFFF"/>
        </w:rPr>
      </w:pPr>
      <w:r>
        <w:rPr>
          <w:rFonts w:ascii="方正仿宋_GBK" w:eastAsia="方正仿宋_GBK" w:cs="仿宋" w:hint="eastAsia"/>
          <w:spacing w:val="2"/>
          <w:sz w:val="28"/>
          <w:szCs w:val="28"/>
          <w:shd w:val="clear" w:color="auto" w:fill="FFFFFF"/>
        </w:rPr>
        <w:t>西南政法大学人权教育与研究中心是“国家人权教育与培训基地”</w:t>
      </w:r>
      <w:r>
        <w:rPr>
          <w:rFonts w:ascii="方正仿宋_GBK" w:eastAsia="方正仿宋_GBK" w:cs="仿宋" w:hint="eastAsia"/>
          <w:spacing w:val="2"/>
          <w:sz w:val="28"/>
          <w:szCs w:val="28"/>
          <w:shd w:val="clear" w:color="auto" w:fill="FFFFFF"/>
        </w:rPr>
        <w:t>,</w:t>
      </w:r>
      <w:r>
        <w:rPr>
          <w:rFonts w:ascii="方正仿宋_GBK" w:eastAsia="方正仿宋_GBK" w:cs="仿宋" w:hint="eastAsia"/>
          <w:spacing w:val="2"/>
          <w:sz w:val="28"/>
          <w:szCs w:val="28"/>
          <w:shd w:val="clear" w:color="auto" w:fill="FFFFFF"/>
        </w:rPr>
        <w:t>是学校直属实体机构，主要从事人权教育培训、人权理论研究、人权实践调研与人权咨政工作。</w:t>
      </w:r>
    </w:p>
    <w:p w:rsidR="00AE61F2" w:rsidRDefault="00DC43A7" w:rsidP="00DC43A7">
      <w:pPr>
        <w:shd w:val="clear" w:color="auto" w:fill="FFFFFF"/>
        <w:adjustRightInd w:val="0"/>
        <w:snapToGrid w:val="0"/>
        <w:spacing w:line="300" w:lineRule="auto"/>
        <w:ind w:firstLineChars="200" w:firstLine="564"/>
        <w:rPr>
          <w:rFonts w:ascii="方正仿宋_GBK" w:eastAsia="方正仿宋_GBK" w:cs="仿宋"/>
          <w:spacing w:val="2"/>
          <w:sz w:val="28"/>
          <w:szCs w:val="28"/>
          <w:shd w:val="clear" w:color="auto" w:fill="FFFFFF"/>
        </w:rPr>
      </w:pPr>
      <w:r>
        <w:rPr>
          <w:rFonts w:ascii="方正仿宋_GBK" w:eastAsia="方正仿宋_GBK" w:cs="仿宋" w:hint="eastAsia"/>
          <w:spacing w:val="2"/>
          <w:sz w:val="28"/>
          <w:szCs w:val="28"/>
          <w:shd w:val="clear" w:color="auto" w:fill="FFFFFF"/>
        </w:rPr>
        <w:t>中心主任由西南政法大学校长担任，另设执行主任，并成立了专门的学术委员会及学位评定委员会。中心下设</w:t>
      </w:r>
      <w:r>
        <w:rPr>
          <w:rFonts w:ascii="方正仿宋_GBK" w:eastAsia="方正仿宋_GBK" w:cs="仿宋" w:hint="eastAsia"/>
          <w:spacing w:val="2"/>
          <w:sz w:val="28"/>
          <w:szCs w:val="28"/>
          <w:shd w:val="clear" w:color="auto" w:fill="FFFFFF"/>
        </w:rPr>
        <w:t>3</w:t>
      </w:r>
      <w:r>
        <w:rPr>
          <w:rFonts w:ascii="方正仿宋_GBK" w:eastAsia="方正仿宋_GBK" w:cs="仿宋" w:hint="eastAsia"/>
          <w:spacing w:val="2"/>
          <w:sz w:val="28"/>
          <w:szCs w:val="28"/>
          <w:shd w:val="clear" w:color="auto" w:fill="FFFFFF"/>
        </w:rPr>
        <w:t>个部门，目前建有</w:t>
      </w:r>
      <w:r>
        <w:rPr>
          <w:rFonts w:ascii="方正仿宋_GBK" w:eastAsia="方正仿宋_GBK" w:cs="仿宋" w:hint="eastAsia"/>
          <w:spacing w:val="2"/>
          <w:sz w:val="28"/>
          <w:szCs w:val="28"/>
          <w:shd w:val="clear" w:color="auto" w:fill="FFFFFF"/>
        </w:rPr>
        <w:t>6</w:t>
      </w:r>
      <w:r>
        <w:rPr>
          <w:rFonts w:ascii="方正仿宋_GBK" w:eastAsia="方正仿宋_GBK" w:cs="仿宋" w:hint="eastAsia"/>
          <w:spacing w:val="2"/>
          <w:sz w:val="28"/>
          <w:szCs w:val="28"/>
          <w:shd w:val="clear" w:color="auto" w:fill="FFFFFF"/>
        </w:rPr>
        <w:t>个创新团队，其中具有博士学位的</w:t>
      </w:r>
      <w:r>
        <w:rPr>
          <w:rFonts w:ascii="方正仿宋_GBK" w:eastAsia="方正仿宋_GBK" w:cs="仿宋" w:hint="eastAsia"/>
          <w:spacing w:val="2"/>
          <w:sz w:val="28"/>
          <w:szCs w:val="28"/>
          <w:shd w:val="clear" w:color="auto" w:fill="FFFFFF"/>
        </w:rPr>
        <w:t>19</w:t>
      </w:r>
      <w:r>
        <w:rPr>
          <w:rFonts w:ascii="方正仿宋_GBK" w:eastAsia="方正仿宋_GBK" w:cs="仿宋" w:hint="eastAsia"/>
          <w:spacing w:val="2"/>
          <w:sz w:val="28"/>
          <w:szCs w:val="28"/>
          <w:shd w:val="clear" w:color="auto" w:fill="FFFFFF"/>
        </w:rPr>
        <w:t>人，有海外留学背景的</w:t>
      </w:r>
      <w:r>
        <w:rPr>
          <w:rFonts w:ascii="方正仿宋_GBK" w:eastAsia="方正仿宋_GBK" w:cs="仿宋" w:hint="eastAsia"/>
          <w:spacing w:val="2"/>
          <w:sz w:val="28"/>
          <w:szCs w:val="28"/>
          <w:shd w:val="clear" w:color="auto" w:fill="FFFFFF"/>
        </w:rPr>
        <w:t>8</w:t>
      </w:r>
      <w:r>
        <w:rPr>
          <w:rFonts w:ascii="方正仿宋_GBK" w:eastAsia="方正仿宋_GBK" w:cs="仿宋" w:hint="eastAsia"/>
          <w:spacing w:val="2"/>
          <w:sz w:val="28"/>
          <w:szCs w:val="28"/>
          <w:shd w:val="clear" w:color="auto" w:fill="FFFFFF"/>
        </w:rPr>
        <w:t>人。中心办公面积达</w:t>
      </w:r>
      <w:r>
        <w:rPr>
          <w:rFonts w:ascii="方正仿宋_GBK" w:eastAsia="方正仿宋_GBK" w:cs="仿宋" w:hint="eastAsia"/>
          <w:spacing w:val="2"/>
          <w:sz w:val="28"/>
          <w:szCs w:val="28"/>
          <w:shd w:val="clear" w:color="auto" w:fill="FFFFFF"/>
        </w:rPr>
        <w:t>1000</w:t>
      </w:r>
      <w:r>
        <w:rPr>
          <w:rFonts w:ascii="方正仿宋_GBK" w:eastAsia="方正仿宋_GBK" w:cs="仿宋" w:hint="eastAsia"/>
          <w:spacing w:val="2"/>
          <w:sz w:val="28"/>
          <w:szCs w:val="28"/>
          <w:shd w:val="clear" w:color="auto" w:fill="FFFFFF"/>
        </w:rPr>
        <w:t>余平米，馆藏图书超</w:t>
      </w:r>
      <w:r>
        <w:rPr>
          <w:rFonts w:ascii="方正仿宋_GBK" w:eastAsia="方正仿宋_GBK" w:cs="仿宋" w:hint="eastAsia"/>
          <w:spacing w:val="2"/>
          <w:sz w:val="28"/>
          <w:szCs w:val="28"/>
          <w:shd w:val="clear" w:color="auto" w:fill="FFFFFF"/>
        </w:rPr>
        <w:t>10000</w:t>
      </w:r>
      <w:r>
        <w:rPr>
          <w:rFonts w:ascii="方正仿宋_GBK" w:eastAsia="方正仿宋_GBK" w:cs="仿宋" w:hint="eastAsia"/>
          <w:spacing w:val="2"/>
          <w:sz w:val="28"/>
          <w:szCs w:val="28"/>
          <w:shd w:val="clear" w:color="auto" w:fill="FFFFFF"/>
        </w:rPr>
        <w:t>册，外文图</w:t>
      </w:r>
      <w:r>
        <w:rPr>
          <w:rFonts w:ascii="方正仿宋_GBK" w:eastAsia="方正仿宋_GBK" w:cs="仿宋" w:hint="eastAsia"/>
          <w:spacing w:val="2"/>
          <w:sz w:val="28"/>
          <w:szCs w:val="28"/>
          <w:shd w:val="clear" w:color="auto" w:fill="FFFFFF"/>
        </w:rPr>
        <w:t>书</w:t>
      </w:r>
      <w:r>
        <w:rPr>
          <w:rFonts w:ascii="方正仿宋_GBK" w:eastAsia="方正仿宋_GBK" w:cs="仿宋" w:hint="eastAsia"/>
          <w:spacing w:val="2"/>
          <w:sz w:val="28"/>
          <w:szCs w:val="28"/>
          <w:shd w:val="clear" w:color="auto" w:fill="FFFFFF"/>
        </w:rPr>
        <w:t>1000</w:t>
      </w:r>
      <w:r>
        <w:rPr>
          <w:rFonts w:ascii="方正仿宋_GBK" w:eastAsia="方正仿宋_GBK" w:cs="仿宋" w:hint="eastAsia"/>
          <w:spacing w:val="2"/>
          <w:sz w:val="28"/>
          <w:szCs w:val="28"/>
          <w:shd w:val="clear" w:color="auto" w:fill="FFFFFF"/>
        </w:rPr>
        <w:t>余册。中心编辑出版中文学术辑刊《中国人权评论》、英文学术辑刊《</w:t>
      </w:r>
      <w:r>
        <w:rPr>
          <w:rFonts w:ascii="方正仿宋_GBK" w:eastAsia="方正仿宋_GBK" w:cs="仿宋" w:hint="eastAsia"/>
          <w:spacing w:val="2"/>
          <w:sz w:val="28"/>
          <w:szCs w:val="28"/>
          <w:shd w:val="clear" w:color="auto" w:fill="FFFFFF"/>
        </w:rPr>
        <w:t>CNINA HUMAN RIGHTS REVIEW</w:t>
      </w:r>
      <w:r>
        <w:rPr>
          <w:rFonts w:ascii="方正仿宋_GBK" w:eastAsia="方正仿宋_GBK" w:cs="仿宋" w:hint="eastAsia"/>
          <w:spacing w:val="2"/>
          <w:sz w:val="28"/>
          <w:szCs w:val="28"/>
          <w:shd w:val="clear" w:color="auto" w:fill="FFFFFF"/>
        </w:rPr>
        <w:t>》。</w:t>
      </w:r>
    </w:p>
    <w:p w:rsidR="00AE61F2" w:rsidRDefault="00DC43A7" w:rsidP="00DC43A7">
      <w:pPr>
        <w:shd w:val="clear" w:color="auto" w:fill="FFFFFF"/>
        <w:adjustRightInd w:val="0"/>
        <w:snapToGrid w:val="0"/>
        <w:spacing w:line="300" w:lineRule="auto"/>
        <w:ind w:firstLineChars="200" w:firstLine="564"/>
        <w:rPr>
          <w:rFonts w:ascii="方正仿宋_GBK" w:eastAsia="方正仿宋_GBK" w:cs="仿宋"/>
          <w:spacing w:val="2"/>
          <w:sz w:val="28"/>
          <w:szCs w:val="28"/>
          <w:shd w:val="clear" w:color="auto" w:fill="FFFFFF"/>
        </w:rPr>
      </w:pPr>
      <w:r>
        <w:rPr>
          <w:rFonts w:ascii="方正仿宋_GBK" w:eastAsia="方正仿宋_GBK" w:cs="仿宋" w:hint="eastAsia"/>
          <w:spacing w:val="2"/>
          <w:sz w:val="28"/>
          <w:szCs w:val="28"/>
          <w:shd w:val="clear" w:color="auto" w:fill="FFFFFF"/>
        </w:rPr>
        <w:t>自</w:t>
      </w:r>
      <w:r>
        <w:rPr>
          <w:rFonts w:ascii="方正仿宋_GBK" w:eastAsia="方正仿宋_GBK" w:cs="仿宋" w:hint="eastAsia"/>
          <w:spacing w:val="2"/>
          <w:sz w:val="28"/>
          <w:szCs w:val="28"/>
          <w:shd w:val="clear" w:color="auto" w:fill="FFFFFF"/>
        </w:rPr>
        <w:t>2014</w:t>
      </w:r>
      <w:r>
        <w:rPr>
          <w:rFonts w:ascii="方正仿宋_GBK" w:eastAsia="方正仿宋_GBK" w:cs="仿宋" w:hint="eastAsia"/>
          <w:spacing w:val="2"/>
          <w:sz w:val="28"/>
          <w:szCs w:val="28"/>
          <w:shd w:val="clear" w:color="auto" w:fill="FFFFFF"/>
        </w:rPr>
        <w:t>年起，中心同东亚、欧盟、北美、拉美等地区的人权研究机构与非政府组织建立联系，与</w:t>
      </w:r>
      <w:r>
        <w:rPr>
          <w:rFonts w:ascii="方正仿宋_GBK" w:eastAsia="方正仿宋_GBK" w:cs="仿宋" w:hint="eastAsia"/>
          <w:spacing w:val="2"/>
          <w:sz w:val="28"/>
          <w:szCs w:val="28"/>
          <w:shd w:val="clear" w:color="auto" w:fill="FFFFFF"/>
        </w:rPr>
        <w:t>5</w:t>
      </w:r>
      <w:r>
        <w:rPr>
          <w:rFonts w:ascii="方正仿宋_GBK" w:eastAsia="方正仿宋_GBK" w:cs="仿宋" w:hint="eastAsia"/>
          <w:spacing w:val="2"/>
          <w:sz w:val="28"/>
          <w:szCs w:val="28"/>
          <w:shd w:val="clear" w:color="auto" w:fill="FFFFFF"/>
        </w:rPr>
        <w:t>家机构达成合作意向，并签订备忘录。</w:t>
      </w:r>
    </w:p>
    <w:p w:rsidR="00AE61F2" w:rsidRDefault="00DC43A7" w:rsidP="00DC43A7">
      <w:pPr>
        <w:shd w:val="clear" w:color="auto" w:fill="FFFFFF"/>
        <w:adjustRightInd w:val="0"/>
        <w:snapToGrid w:val="0"/>
        <w:spacing w:line="300" w:lineRule="auto"/>
        <w:ind w:firstLineChars="200" w:firstLine="564"/>
        <w:rPr>
          <w:rFonts w:ascii="方正仿宋_GBK" w:eastAsia="方正仿宋_GBK" w:cs="仿宋"/>
          <w:spacing w:val="2"/>
          <w:sz w:val="28"/>
          <w:szCs w:val="28"/>
          <w:shd w:val="clear" w:color="auto" w:fill="FFFFFF"/>
        </w:rPr>
      </w:pPr>
      <w:r>
        <w:rPr>
          <w:rFonts w:ascii="方正仿宋_GBK" w:eastAsia="方正仿宋_GBK" w:cs="仿宋" w:hint="eastAsia"/>
          <w:spacing w:val="2"/>
          <w:sz w:val="28"/>
          <w:szCs w:val="28"/>
          <w:shd w:val="clear" w:color="auto" w:fill="FFFFFF"/>
        </w:rPr>
        <w:t>中心按照国家级中心信息化发展战略的目标与要求，深入有序地推进信息化建设。中心正在建设中国唯一的人权研究实证采集</w:t>
      </w:r>
      <w:r>
        <w:rPr>
          <w:rFonts w:ascii="方正仿宋_GBK" w:eastAsia="方正仿宋_GBK" w:cs="仿宋" w:hint="eastAsia"/>
          <w:spacing w:val="2"/>
          <w:sz w:val="28"/>
          <w:szCs w:val="28"/>
          <w:shd w:val="clear" w:color="auto" w:fill="FFFFFF"/>
        </w:rPr>
        <w:t>-</w:t>
      </w:r>
      <w:r>
        <w:rPr>
          <w:rFonts w:ascii="方正仿宋_GBK" w:eastAsia="方正仿宋_GBK" w:cs="仿宋" w:hint="eastAsia"/>
          <w:spacing w:val="2"/>
          <w:sz w:val="28"/>
          <w:szCs w:val="28"/>
          <w:shd w:val="clear" w:color="auto" w:fill="FFFFFF"/>
        </w:rPr>
        <w:t>分析</w:t>
      </w:r>
      <w:r>
        <w:rPr>
          <w:rFonts w:ascii="方正仿宋_GBK" w:eastAsia="方正仿宋_GBK" w:cs="仿宋" w:hint="eastAsia"/>
          <w:spacing w:val="2"/>
          <w:sz w:val="28"/>
          <w:szCs w:val="28"/>
          <w:shd w:val="clear" w:color="auto" w:fill="FFFFFF"/>
        </w:rPr>
        <w:t>-</w:t>
      </w:r>
      <w:r>
        <w:rPr>
          <w:rFonts w:ascii="方正仿宋_GBK" w:eastAsia="方正仿宋_GBK" w:cs="仿宋" w:hint="eastAsia"/>
          <w:spacing w:val="2"/>
          <w:sz w:val="28"/>
          <w:szCs w:val="28"/>
          <w:shd w:val="clear" w:color="auto" w:fill="FFFFFF"/>
        </w:rPr>
        <w:t>监测</w:t>
      </w:r>
      <w:r>
        <w:rPr>
          <w:rFonts w:ascii="方正仿宋_GBK" w:eastAsia="方正仿宋_GBK" w:cs="仿宋" w:hint="eastAsia"/>
          <w:spacing w:val="2"/>
          <w:sz w:val="28"/>
          <w:szCs w:val="28"/>
          <w:shd w:val="clear" w:color="auto" w:fill="FFFFFF"/>
        </w:rPr>
        <w:t>-</w:t>
      </w:r>
      <w:r>
        <w:rPr>
          <w:rFonts w:ascii="方正仿宋_GBK" w:eastAsia="方正仿宋_GBK" w:cs="仿宋" w:hint="eastAsia"/>
          <w:spacing w:val="2"/>
          <w:sz w:val="28"/>
          <w:szCs w:val="28"/>
          <w:shd w:val="clear" w:color="auto" w:fill="FFFFFF"/>
        </w:rPr>
        <w:t>应用一体化电子数据库，实现中心实证调研数据处理的信息化，中心现有研究资源利用的数字化，中心人权外宣、交流与合作的集约化，中心教育与培训的智能化。中心正在筹建国内首家人权研究领域的数字化图书分馆，助推中国人权科研发展。</w:t>
      </w:r>
    </w:p>
    <w:p w:rsidR="00AE61F2" w:rsidRDefault="00DC43A7" w:rsidP="00DC43A7">
      <w:pPr>
        <w:shd w:val="clear" w:color="auto" w:fill="FFFFFF"/>
        <w:adjustRightInd w:val="0"/>
        <w:snapToGrid w:val="0"/>
        <w:spacing w:line="300" w:lineRule="auto"/>
        <w:ind w:firstLineChars="200" w:firstLine="564"/>
        <w:rPr>
          <w:rFonts w:ascii="方正仿宋_GBK" w:eastAsia="方正仿宋_GBK" w:cs="仿宋"/>
          <w:spacing w:val="2"/>
          <w:sz w:val="28"/>
          <w:szCs w:val="28"/>
          <w:shd w:val="clear" w:color="auto" w:fill="FFFFFF"/>
        </w:rPr>
      </w:pPr>
      <w:r>
        <w:rPr>
          <w:rFonts w:ascii="方正仿宋_GBK" w:eastAsia="方正仿宋_GBK" w:cs="仿宋" w:hint="eastAsia"/>
          <w:spacing w:val="2"/>
          <w:sz w:val="28"/>
          <w:szCs w:val="28"/>
          <w:shd w:val="clear" w:color="auto" w:fill="FFFFFF"/>
        </w:rPr>
        <w:t>中心始终坚持以实际行动推广人权理念、以教育培训练就专门人才、以实证调研服务人权决策，为中国人权事业的发展竭诚尽智。</w:t>
      </w:r>
    </w:p>
    <w:p w:rsidR="00AE61F2" w:rsidRDefault="00AE61F2" w:rsidP="00DC43A7">
      <w:pPr>
        <w:shd w:val="clear" w:color="auto" w:fill="FFFFFF"/>
        <w:adjustRightInd w:val="0"/>
        <w:snapToGrid w:val="0"/>
        <w:spacing w:line="300" w:lineRule="auto"/>
        <w:ind w:firstLineChars="200" w:firstLine="604"/>
        <w:rPr>
          <w:rFonts w:ascii="方正仿宋_GBK" w:eastAsia="方正仿宋_GBK" w:cs="仿宋"/>
          <w:spacing w:val="2"/>
          <w:sz w:val="30"/>
          <w:szCs w:val="30"/>
          <w:shd w:val="clear" w:color="auto" w:fill="FFFFFF"/>
        </w:rPr>
      </w:pPr>
    </w:p>
    <w:p w:rsidR="00AE61F2" w:rsidRDefault="00AE61F2"/>
    <w:p w:rsidR="00AE61F2" w:rsidRDefault="00DC43A7">
      <w:pPr>
        <w:adjustRightInd w:val="0"/>
        <w:snapToGrid w:val="0"/>
        <w:spacing w:line="300" w:lineRule="auto"/>
        <w:rPr>
          <w:rFonts w:ascii="Times New Roman" w:eastAsia="方正小标宋_GBK" w:hAnsi="Times New Roman"/>
          <w:b/>
        </w:rPr>
      </w:pPr>
      <w:r>
        <w:rPr>
          <w:rFonts w:ascii="Times New Roman" w:eastAsia="方正小标宋_GBK" w:hAnsi="Times New Roman" w:hint="eastAsia"/>
          <w:b/>
        </w:rPr>
        <w:t>联系方式：</w:t>
      </w:r>
    </w:p>
    <w:p w:rsidR="00AE61F2" w:rsidRDefault="00DC43A7">
      <w:pPr>
        <w:adjustRightInd w:val="0"/>
        <w:snapToGrid w:val="0"/>
        <w:spacing w:line="300" w:lineRule="auto"/>
        <w:rPr>
          <w:rFonts w:ascii="Times New Roman" w:eastAsia="方正小标宋_GBK" w:hAnsi="Times New Roman"/>
        </w:rPr>
      </w:pPr>
      <w:r>
        <w:rPr>
          <w:rFonts w:ascii="Times New Roman" w:eastAsia="方正小标宋_GBK" w:hAnsi="Times New Roman" w:hint="eastAsia"/>
        </w:rPr>
        <w:t>中国</w:t>
      </w:r>
      <w:r>
        <w:rPr>
          <w:rFonts w:ascii="SimSun" w:cs="SimSun" w:hint="eastAsia"/>
        </w:rPr>
        <w:t>·</w:t>
      </w:r>
      <w:r>
        <w:rPr>
          <w:rFonts w:ascii="Times New Roman" w:eastAsia="方正小标宋_GBK" w:hAnsi="Times New Roman" w:hint="eastAsia"/>
        </w:rPr>
        <w:t>重庆</w:t>
      </w:r>
    </w:p>
    <w:p w:rsidR="00AE61F2" w:rsidRDefault="00DC43A7">
      <w:pPr>
        <w:adjustRightInd w:val="0"/>
        <w:snapToGrid w:val="0"/>
        <w:spacing w:line="300" w:lineRule="auto"/>
        <w:rPr>
          <w:rFonts w:ascii="Times New Roman" w:eastAsia="方正小标宋_GBK" w:hAnsi="Times New Roman"/>
        </w:rPr>
      </w:pPr>
      <w:r>
        <w:rPr>
          <w:rFonts w:ascii="Times New Roman" w:eastAsia="方正小标宋_GBK" w:hAnsi="Times New Roman" w:hint="eastAsia"/>
        </w:rPr>
        <w:t>渝北区宝圣大道</w:t>
      </w:r>
      <w:r>
        <w:rPr>
          <w:rFonts w:ascii="Times New Roman" w:eastAsia="方正小标宋_GBK" w:hAnsi="Times New Roman" w:hint="eastAsia"/>
        </w:rPr>
        <w:t>301</w:t>
      </w:r>
      <w:r>
        <w:rPr>
          <w:rFonts w:ascii="Times New Roman" w:eastAsia="方正小标宋_GBK" w:hAnsi="Times New Roman" w:hint="eastAsia"/>
        </w:rPr>
        <w:t>号</w:t>
      </w:r>
    </w:p>
    <w:p w:rsidR="00AE61F2" w:rsidRDefault="00DC43A7">
      <w:pPr>
        <w:adjustRightInd w:val="0"/>
        <w:snapToGrid w:val="0"/>
        <w:spacing w:line="300" w:lineRule="auto"/>
        <w:rPr>
          <w:rFonts w:ascii="Times New Roman" w:eastAsia="方正小标宋_GBK" w:hAnsi="Times New Roman"/>
        </w:rPr>
      </w:pPr>
      <w:r>
        <w:rPr>
          <w:rFonts w:ascii="Times New Roman" w:eastAsia="方正小标宋_GBK" w:hAnsi="Times New Roman" w:hint="eastAsia"/>
        </w:rPr>
        <w:t>西南政法大学</w:t>
      </w:r>
      <w:r>
        <w:rPr>
          <w:rFonts w:ascii="Times New Roman" w:eastAsia="方正小标宋_GBK" w:hAnsi="Times New Roman" w:hint="eastAsia"/>
        </w:rPr>
        <w:t xml:space="preserve">  </w:t>
      </w:r>
      <w:r>
        <w:rPr>
          <w:rFonts w:ascii="Times New Roman" w:eastAsia="方正小标宋_GBK" w:hAnsi="Times New Roman" w:hint="eastAsia"/>
        </w:rPr>
        <w:t>致雅楼</w:t>
      </w:r>
      <w:r>
        <w:rPr>
          <w:rFonts w:ascii="Times New Roman" w:eastAsia="方正小标宋_GBK" w:hAnsi="Times New Roman" w:hint="eastAsia"/>
        </w:rPr>
        <w:t>3</w:t>
      </w:r>
      <w:r>
        <w:rPr>
          <w:rFonts w:ascii="Times New Roman" w:eastAsia="方正小标宋_GBK" w:hAnsi="Times New Roman" w:hint="eastAsia"/>
        </w:rPr>
        <w:t>楼</w:t>
      </w:r>
    </w:p>
    <w:p w:rsidR="00AE61F2" w:rsidRDefault="00DC43A7">
      <w:pPr>
        <w:adjustRightInd w:val="0"/>
        <w:snapToGrid w:val="0"/>
        <w:spacing w:line="300" w:lineRule="auto"/>
        <w:rPr>
          <w:rFonts w:ascii="Times New Roman" w:eastAsia="方正小标宋_GBK" w:hAnsi="Times New Roman"/>
        </w:rPr>
      </w:pPr>
      <w:r>
        <w:rPr>
          <w:rFonts w:ascii="Times New Roman" w:eastAsia="方正小标宋_GBK" w:hAnsi="Times New Roman" w:hint="eastAsia"/>
        </w:rPr>
        <w:t>邮编：</w:t>
      </w:r>
      <w:r>
        <w:rPr>
          <w:rFonts w:ascii="Times New Roman" w:eastAsia="方正小标宋_GBK" w:hAnsi="Times New Roman" w:hint="eastAsia"/>
        </w:rPr>
        <w:t>401120</w:t>
      </w:r>
    </w:p>
    <w:p w:rsidR="00AE61F2" w:rsidRDefault="00DC43A7">
      <w:pPr>
        <w:adjustRightInd w:val="0"/>
        <w:snapToGrid w:val="0"/>
        <w:spacing w:line="300" w:lineRule="auto"/>
        <w:rPr>
          <w:rFonts w:ascii="Times New Roman" w:eastAsia="方正小标宋_GBK" w:hAnsi="Times New Roman"/>
        </w:rPr>
      </w:pPr>
      <w:r>
        <w:rPr>
          <w:rFonts w:ascii="Times New Roman" w:eastAsia="方正小标宋_GBK" w:hAnsi="Times New Roman" w:hint="eastAsia"/>
        </w:rPr>
        <w:t>电话</w:t>
      </w:r>
      <w:r>
        <w:rPr>
          <w:rFonts w:ascii="Times New Roman" w:eastAsia="方正小标宋_GBK" w:hAnsi="Times New Roman" w:hint="eastAsia"/>
        </w:rPr>
        <w:t>/</w:t>
      </w:r>
      <w:r>
        <w:rPr>
          <w:rFonts w:ascii="Times New Roman" w:eastAsia="方正小标宋_GBK" w:hAnsi="Times New Roman" w:hint="eastAsia"/>
        </w:rPr>
        <w:t>传真：</w:t>
      </w:r>
      <w:r>
        <w:rPr>
          <w:rFonts w:ascii="Times New Roman" w:eastAsia="方正小标宋_GBK" w:hAnsi="Times New Roman" w:hint="eastAsia"/>
        </w:rPr>
        <w:t>023-67258917</w:t>
      </w:r>
    </w:p>
    <w:p w:rsidR="00AE61F2" w:rsidRDefault="00DC43A7">
      <w:pPr>
        <w:adjustRightInd w:val="0"/>
        <w:snapToGrid w:val="0"/>
        <w:spacing w:line="300" w:lineRule="auto"/>
        <w:rPr>
          <w:rFonts w:ascii="Times New Roman" w:eastAsia="方正小标宋_GBK" w:hAnsi="Times New Roman"/>
        </w:rPr>
      </w:pPr>
      <w:r>
        <w:rPr>
          <w:rFonts w:ascii="Times New Roman" w:eastAsia="方正小标宋_GBK" w:hAnsi="Times New Roman" w:hint="eastAsia"/>
        </w:rPr>
        <w:t xml:space="preserve">Email: </w:t>
      </w:r>
      <w:hyperlink r:id="rId17" w:history="1">
        <w:r>
          <w:rPr>
            <w:rStyle w:val="Hyperlink"/>
            <w:rFonts w:ascii="Times New Roman" w:eastAsia="方正小标宋_GBK" w:hAnsi="Times New Roman" w:hint="eastAsia"/>
          </w:rPr>
          <w:t>ceshr_swupl@126.com</w:t>
        </w:r>
      </w:hyperlink>
    </w:p>
    <w:p w:rsidR="00AE61F2" w:rsidRDefault="00DC43A7">
      <w:pPr>
        <w:adjustRightInd w:val="0"/>
        <w:snapToGrid w:val="0"/>
        <w:spacing w:line="300" w:lineRule="auto"/>
        <w:rPr>
          <w:rFonts w:ascii="Times New Roman" w:eastAsia="方正小标宋_GBK" w:hAnsi="Times New Roman"/>
        </w:rPr>
      </w:pPr>
      <w:r>
        <w:rPr>
          <w:rFonts w:ascii="Times New Roman" w:eastAsia="方正小标宋_GBK" w:hAnsi="Times New Roman" w:hint="eastAsia"/>
        </w:rPr>
        <w:t>Http://news.swupl.edu.cn/RenQuan</w:t>
      </w:r>
    </w:p>
    <w:p w:rsidR="00AE61F2" w:rsidRDefault="00AE61F2">
      <w:pPr>
        <w:widowControl w:val="0"/>
        <w:tabs>
          <w:tab w:val="left" w:pos="0"/>
        </w:tabs>
        <w:adjustRightInd w:val="0"/>
        <w:snapToGrid w:val="0"/>
        <w:spacing w:line="360" w:lineRule="auto"/>
        <w:jc w:val="both"/>
        <w:rPr>
          <w:rFonts w:ascii="仿宋" w:eastAsia="仿宋" w:cs="仿宋"/>
          <w:color w:val="000000"/>
          <w:sz w:val="32"/>
          <w:szCs w:val="32"/>
        </w:rPr>
      </w:pPr>
    </w:p>
    <w:sectPr w:rsidR="00AE61F2">
      <w:headerReference w:type="default" r:id="rId18"/>
      <w:footerReference w:type="default" r:id="rId19"/>
      <w:headerReference w:type="first" r:id="rId20"/>
      <w:pgSz w:w="11913" w:h="16834"/>
      <w:pgMar w:top="1418" w:right="1418" w:bottom="1418" w:left="1418" w:header="646" w:footer="646"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C43A7">
      <w:r>
        <w:separator/>
      </w:r>
    </w:p>
  </w:endnote>
  <w:endnote w:type="continuationSeparator" w:id="0">
    <w:p w:rsidR="00000000" w:rsidRDefault="00DC4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
    <w:altName w:val="Arial Unicode MS"/>
    <w:charset w:val="86"/>
    <w:family w:val="auto"/>
    <w:pitch w:val="variable"/>
    <w:sig w:usb0="00000000" w:usb1="38CF7CFA" w:usb2="00000016" w:usb3="00000000" w:csb0="00040001" w:csb1="00000000"/>
  </w:font>
  <w:font w:name="KaiTi_GB2312">
    <w:altName w:val="楷体_GB2312"/>
    <w:panose1 w:val="02010609060101010101"/>
    <w:charset w:val="86"/>
    <w:family w:val="modern"/>
    <w:pitch w:val="variable"/>
    <w:sig w:usb0="00000001" w:usb1="080E0000" w:usb2="00000010" w:usb3="00000000" w:csb0="00040000" w:csb1="00000000"/>
  </w:font>
  <w:font w:name="STZhongsong">
    <w:altName w:val="Arial Unicode MS"/>
    <w:charset w:val="86"/>
    <w:family w:val="auto"/>
    <w:pitch w:val="variable"/>
    <w:sig w:usb0="00000000" w:usb1="080F0000" w:usb2="00000010" w:usb3="00000000" w:csb0="0004009F" w:csb1="00000000"/>
  </w:font>
  <w:font w:name="FangSong_GB2312">
    <w:altName w:val="仿宋_GB2312"/>
    <w:panose1 w:val="02010609060101010101"/>
    <w:charset w:val="86"/>
    <w:family w:val="modern"/>
    <w:pitch w:val="variable"/>
    <w:sig w:usb0="800002BF" w:usb1="38CF7CFA" w:usb2="00000016" w:usb3="00000000" w:csb0="00040001" w:csb1="00000000"/>
  </w:font>
  <w:font w:name="方正小标宋_GBK">
    <w:altName w:val="SimSun"/>
    <w:charset w:val="86"/>
    <w:family w:val="auto"/>
    <w:pitch w:val="variable"/>
    <w:sig w:usb0="00000001" w:usb1="080E0000" w:usb2="00000010" w:usb3="00000000" w:csb0="00040000" w:csb1="00000000"/>
  </w:font>
  <w:font w:name="方正仿宋_GBK">
    <w:altName w:val="SimSun"/>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1F2" w:rsidRDefault="00DC43A7">
    <w:pPr>
      <w:pStyle w:val="Footer"/>
      <w:jc w:val="center"/>
    </w:pPr>
    <w:r>
      <w:fldChar w:fldCharType="begin"/>
    </w:r>
    <w:r>
      <w:instrText xml:space="preserve"> PAGE   \* MERGEFORMAT </w:instrText>
    </w:r>
    <w:r>
      <w:fldChar w:fldCharType="separate"/>
    </w:r>
    <w:r w:rsidRPr="00DC43A7">
      <w:rPr>
        <w:noProof/>
        <w:lang w:val="zh-CN"/>
      </w:rPr>
      <w:t>4</w:t>
    </w:r>
    <w:r>
      <w:rPr>
        <w:lang w:val="zh-CN"/>
      </w:rPr>
      <w:fldChar w:fldCharType="end"/>
    </w:r>
  </w:p>
  <w:p w:rsidR="00AE61F2" w:rsidRDefault="00AE61F2">
    <w:pPr>
      <w:jc w:val="center"/>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C43A7">
      <w:r>
        <w:separator/>
      </w:r>
    </w:p>
  </w:footnote>
  <w:footnote w:type="continuationSeparator" w:id="0">
    <w:p w:rsidR="00000000" w:rsidRDefault="00DC4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1F2" w:rsidRDefault="00AE61F2">
    <w:pPr>
      <w:pStyle w:val="Heade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1F2" w:rsidRDefault="00DC43A7">
    <w:pPr>
      <w:pStyle w:val="Header"/>
      <w:jc w:val="left"/>
      <w:rPr>
        <w:rFonts w:ascii="Times New Roman" w:hAnsi="Times New Roman"/>
        <w:i/>
        <w:iCs/>
        <w:u w:val="single"/>
      </w:rPr>
    </w:pPr>
    <w:r>
      <w:rPr>
        <w:rFonts w:ascii="Times New Roman" w:hAnsi="Times New Roman"/>
        <w:i/>
        <w:iCs/>
        <w:u w:val="single"/>
      </w:rPr>
      <w:t>On China’s Implementation of the CAT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start w:val="1"/>
      <w:numFmt w:val="decimal"/>
      <w:lvlRestart w:val="0"/>
      <w:lvlText w:val="%1．"/>
      <w:lvlJc w:val="left"/>
      <w:pPr>
        <w:tabs>
          <w:tab w:val="num" w:pos="1780"/>
        </w:tabs>
        <w:ind w:left="1780" w:hanging="1140"/>
      </w:pPr>
      <w:rPr>
        <w:rFonts w:hint="default"/>
      </w:rPr>
    </w:lvl>
    <w:lvl w:ilvl="1">
      <w:start w:val="1"/>
      <w:numFmt w:val="lowerLetter"/>
      <w:lvlText w:val="%2)"/>
      <w:lvlJc w:val="left"/>
      <w:pPr>
        <w:tabs>
          <w:tab w:val="num" w:pos="1480"/>
        </w:tabs>
        <w:ind w:left="1480" w:hanging="420"/>
      </w:pPr>
    </w:lvl>
    <w:lvl w:ilvl="2">
      <w:start w:val="1"/>
      <w:numFmt w:val="lowerRoman"/>
      <w:lvlText w:val="%3."/>
      <w:lvlJc w:val="right"/>
      <w:pPr>
        <w:tabs>
          <w:tab w:val="num" w:pos="1900"/>
        </w:tabs>
        <w:ind w:left="1900" w:hanging="420"/>
      </w:pPr>
    </w:lvl>
    <w:lvl w:ilvl="3">
      <w:start w:val="1"/>
      <w:numFmt w:val="decimal"/>
      <w:lvlText w:val="%4."/>
      <w:lvlJc w:val="left"/>
      <w:pPr>
        <w:tabs>
          <w:tab w:val="num" w:pos="2320"/>
        </w:tabs>
        <w:ind w:left="2320" w:hanging="420"/>
      </w:pPr>
    </w:lvl>
    <w:lvl w:ilvl="4">
      <w:start w:val="1"/>
      <w:numFmt w:val="lowerLetter"/>
      <w:lvlText w:val="%5)"/>
      <w:lvlJc w:val="left"/>
      <w:pPr>
        <w:tabs>
          <w:tab w:val="num" w:pos="2740"/>
        </w:tabs>
        <w:ind w:left="2740" w:hanging="420"/>
      </w:pPr>
    </w:lvl>
    <w:lvl w:ilvl="5">
      <w:start w:val="1"/>
      <w:numFmt w:val="lowerRoman"/>
      <w:lvlText w:val="%6."/>
      <w:lvlJc w:val="right"/>
      <w:pPr>
        <w:tabs>
          <w:tab w:val="num" w:pos="3160"/>
        </w:tabs>
        <w:ind w:left="3160" w:hanging="420"/>
      </w:pPr>
    </w:lvl>
    <w:lvl w:ilvl="6">
      <w:start w:val="1"/>
      <w:numFmt w:val="decimal"/>
      <w:lvlText w:val="%7."/>
      <w:lvlJc w:val="left"/>
      <w:pPr>
        <w:tabs>
          <w:tab w:val="num" w:pos="3580"/>
        </w:tabs>
        <w:ind w:left="3580" w:hanging="420"/>
      </w:pPr>
    </w:lvl>
    <w:lvl w:ilvl="7">
      <w:start w:val="1"/>
      <w:numFmt w:val="lowerLetter"/>
      <w:lvlText w:val="%8)"/>
      <w:lvlJc w:val="left"/>
      <w:pPr>
        <w:tabs>
          <w:tab w:val="num" w:pos="4000"/>
        </w:tabs>
        <w:ind w:left="4000" w:hanging="420"/>
      </w:pPr>
    </w:lvl>
    <w:lvl w:ilvl="8">
      <w:start w:val="1"/>
      <w:numFmt w:val="lowerRoman"/>
      <w:lvlText w:val="%9."/>
      <w:lvlJc w:val="right"/>
      <w:pPr>
        <w:tabs>
          <w:tab w:val="num" w:pos="4420"/>
        </w:tabs>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bordersDoNotSurroundHeader/>
  <w:bordersDoNotSurroundFooter/>
  <w:trackRevisions/>
  <w:defaultTabStop w:val="720"/>
  <w:hyphenationZone w:val="425"/>
  <w:drawingGridHorizontalSpacing w:val="120"/>
  <w:drawingGridVerticalSpacing w:val="0"/>
  <w:displayHorizontalDrawingGridEvery w:val="0"/>
  <w:noPunctuationKerning/>
  <w:characterSpacingControl w:val="doNotCompress"/>
  <w:footnotePr>
    <w:footnote w:id="-1"/>
    <w:footnote w:id="0"/>
  </w:footnotePr>
  <w:endnotePr>
    <w:endnote w:id="-1"/>
    <w:endnote w:id="0"/>
  </w:endnotePr>
  <w:compat>
    <w:spaceForUL/>
    <w:doNotBreakWrappedTables/>
    <w:growAutofit/>
    <w:useFELayout/>
    <w:useAltKinsokuLineBreakRules/>
    <w:splitPgBreakAndParaMark/>
    <w:compatSetting w:name="compatibilityMode" w:uri="http://schemas.microsoft.com/office/word" w:val="14"/>
  </w:compat>
  <w:rsids>
    <w:rsidRoot w:val="00AE61F2"/>
    <w:rsid w:val="00AE61F2"/>
    <w:rsid w:val="00DC43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ascii="Verdana" w:hAnsi="Verdana"/>
      <w:sz w:val="24"/>
      <w:szCs w:val="24"/>
    </w:rPr>
  </w:style>
  <w:style w:type="paragraph" w:styleId="Heading1">
    <w:name w:val="heading 1"/>
    <w:basedOn w:val="Normal"/>
    <w:next w:val="Normal"/>
    <w:pPr>
      <w:outlineLvl w:val="0"/>
    </w:pPr>
    <w:rPr>
      <w:rFonts w:ascii="SimSun" w:cs="SimSun"/>
      <w:b/>
      <w:kern w:val="44"/>
      <w:sz w:val="48"/>
      <w:szCs w:val="48"/>
    </w:rPr>
  </w:style>
  <w:style w:type="paragraph" w:styleId="Heading4">
    <w:name w:val="heading 4"/>
    <w:basedOn w:val="Normal"/>
    <w:next w:val="Normal"/>
    <w:pPr>
      <w:outlineLvl w:val="3"/>
    </w:pPr>
    <w:rPr>
      <w:rFonts w:ascii="SimSun" w:cs="SimSu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geNumber1">
    <w:name w:val="Page Number1"/>
    <w:basedOn w:val="DefaultParagraphFont"/>
    <w:rPr>
      <w:rFonts w:cs="Times New Roman"/>
    </w:rPr>
  </w:style>
  <w:style w:type="paragraph" w:styleId="Footer">
    <w:name w:val="footer"/>
    <w:basedOn w:val="Normal"/>
    <w:pPr>
      <w:tabs>
        <w:tab w:val="center" w:pos="4320"/>
        <w:tab w:val="right" w:pos="8640"/>
      </w:tabs>
    </w:pPr>
  </w:style>
  <w:style w:type="paragraph" w:styleId="Header">
    <w:name w:val="header"/>
    <w:basedOn w:val="Normal"/>
    <w:pPr>
      <w:tabs>
        <w:tab w:val="center" w:pos="4153"/>
        <w:tab w:val="right" w:pos="8306"/>
      </w:tabs>
      <w:spacing w:line="360" w:lineRule="auto"/>
      <w:jc w:val="center"/>
    </w:pPr>
    <w:rPr>
      <w:szCs w:val="32"/>
    </w:rPr>
  </w:style>
  <w:style w:type="paragraph" w:styleId="BalloonText">
    <w:name w:val="Balloon Text"/>
    <w:basedOn w:val="Normal"/>
    <w:rPr>
      <w:rFonts w:ascii="Tahoma" w:hAnsi="Tahoma"/>
      <w:sz w:val="16"/>
    </w:rPr>
  </w:style>
  <w:style w:type="character" w:styleId="Strong">
    <w:name w:val="Strong"/>
    <w:basedOn w:val="DefaultParagraphFont"/>
    <w:rPr>
      <w:b/>
    </w:rPr>
  </w:style>
  <w:style w:type="character" w:styleId="FootnoteReference">
    <w:name w:val="footnote reference"/>
    <w:basedOn w:val="DefaultParagraphFont"/>
    <w:rPr>
      <w:vertAlign w:val="superscript"/>
    </w:rPr>
  </w:style>
  <w:style w:type="character" w:styleId="Hyperlink">
    <w:name w:val="Hyperlink"/>
    <w:basedOn w:val="DefaultParagraphFont"/>
    <w:rPr>
      <w:rFonts w:cs="Times New Roman"/>
      <w:color w:val="0000FF"/>
      <w:u w:val="single"/>
    </w:rPr>
  </w:style>
  <w:style w:type="paragraph" w:customStyle="1" w:styleId="NormalWeb1">
    <w:name w:val="Normal (Web)1"/>
    <w:basedOn w:val="Normal"/>
    <w:rPr>
      <w:rFonts w:ascii="Times New Roman" w:hAnsi="Times New Roman"/>
    </w:rPr>
  </w:style>
  <w:style w:type="paragraph" w:customStyle="1" w:styleId="Standardtext">
    <w:name w:val="Standardtext"/>
    <w:basedOn w:val="Normal"/>
    <w:rPr>
      <w:rFonts w:ascii="Times New Roman" w:hAnsi="Times New Roman"/>
    </w:rPr>
  </w:style>
  <w:style w:type="paragraph" w:customStyle="1" w:styleId="Default">
    <w:name w:val="Default"/>
    <w:pPr>
      <w:widowControl w:val="0"/>
      <w:autoSpaceDE w:val="0"/>
      <w:autoSpaceDN w:val="0"/>
      <w:adjustRightInd w:val="0"/>
    </w:pPr>
    <w:rPr>
      <w:rFonts w:ascii="SimSun"/>
      <w:color w:val="000000"/>
      <w:sz w:val="24"/>
    </w:rPr>
  </w:style>
  <w:style w:type="paragraph" w:styleId="FootnoteText">
    <w:name w:val="footnote text"/>
    <w:basedOn w:val="Normal"/>
    <w:pPr>
      <w:snapToGrid w:val="0"/>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ascii="Verdana" w:hAnsi="Verdana"/>
      <w:sz w:val="24"/>
      <w:szCs w:val="24"/>
    </w:rPr>
  </w:style>
  <w:style w:type="paragraph" w:styleId="Heading1">
    <w:name w:val="heading 1"/>
    <w:basedOn w:val="Normal"/>
    <w:next w:val="Normal"/>
    <w:pPr>
      <w:outlineLvl w:val="0"/>
    </w:pPr>
    <w:rPr>
      <w:rFonts w:ascii="SimSun" w:cs="SimSun"/>
      <w:b/>
      <w:kern w:val="44"/>
      <w:sz w:val="48"/>
      <w:szCs w:val="48"/>
    </w:rPr>
  </w:style>
  <w:style w:type="paragraph" w:styleId="Heading4">
    <w:name w:val="heading 4"/>
    <w:basedOn w:val="Normal"/>
    <w:next w:val="Normal"/>
    <w:pPr>
      <w:outlineLvl w:val="3"/>
    </w:pPr>
    <w:rPr>
      <w:rFonts w:ascii="SimSun" w:cs="SimSu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geNumber1">
    <w:name w:val="Page Number1"/>
    <w:basedOn w:val="DefaultParagraphFont"/>
    <w:rPr>
      <w:rFonts w:cs="Times New Roman"/>
    </w:rPr>
  </w:style>
  <w:style w:type="paragraph" w:styleId="Footer">
    <w:name w:val="footer"/>
    <w:basedOn w:val="Normal"/>
    <w:pPr>
      <w:tabs>
        <w:tab w:val="center" w:pos="4320"/>
        <w:tab w:val="right" w:pos="8640"/>
      </w:tabs>
    </w:pPr>
  </w:style>
  <w:style w:type="paragraph" w:styleId="Header">
    <w:name w:val="header"/>
    <w:basedOn w:val="Normal"/>
    <w:pPr>
      <w:tabs>
        <w:tab w:val="center" w:pos="4153"/>
        <w:tab w:val="right" w:pos="8306"/>
      </w:tabs>
      <w:spacing w:line="360" w:lineRule="auto"/>
      <w:jc w:val="center"/>
    </w:pPr>
    <w:rPr>
      <w:szCs w:val="32"/>
    </w:rPr>
  </w:style>
  <w:style w:type="paragraph" w:styleId="BalloonText">
    <w:name w:val="Balloon Text"/>
    <w:basedOn w:val="Normal"/>
    <w:rPr>
      <w:rFonts w:ascii="Tahoma" w:hAnsi="Tahoma"/>
      <w:sz w:val="16"/>
    </w:rPr>
  </w:style>
  <w:style w:type="character" w:styleId="Strong">
    <w:name w:val="Strong"/>
    <w:basedOn w:val="DefaultParagraphFont"/>
    <w:rPr>
      <w:b/>
    </w:rPr>
  </w:style>
  <w:style w:type="character" w:styleId="FootnoteReference">
    <w:name w:val="footnote reference"/>
    <w:basedOn w:val="DefaultParagraphFont"/>
    <w:rPr>
      <w:vertAlign w:val="superscript"/>
    </w:rPr>
  </w:style>
  <w:style w:type="character" w:styleId="Hyperlink">
    <w:name w:val="Hyperlink"/>
    <w:basedOn w:val="DefaultParagraphFont"/>
    <w:rPr>
      <w:rFonts w:cs="Times New Roman"/>
      <w:color w:val="0000FF"/>
      <w:u w:val="single"/>
    </w:rPr>
  </w:style>
  <w:style w:type="paragraph" w:customStyle="1" w:styleId="NormalWeb1">
    <w:name w:val="Normal (Web)1"/>
    <w:basedOn w:val="Normal"/>
    <w:rPr>
      <w:rFonts w:ascii="Times New Roman" w:hAnsi="Times New Roman"/>
    </w:rPr>
  </w:style>
  <w:style w:type="paragraph" w:customStyle="1" w:styleId="Standardtext">
    <w:name w:val="Standardtext"/>
    <w:basedOn w:val="Normal"/>
    <w:rPr>
      <w:rFonts w:ascii="Times New Roman" w:hAnsi="Times New Roman"/>
    </w:rPr>
  </w:style>
  <w:style w:type="paragraph" w:customStyle="1" w:styleId="Default">
    <w:name w:val="Default"/>
    <w:pPr>
      <w:widowControl w:val="0"/>
      <w:autoSpaceDE w:val="0"/>
      <w:autoSpaceDN w:val="0"/>
      <w:adjustRightInd w:val="0"/>
    </w:pPr>
    <w:rPr>
      <w:rFonts w:ascii="SimSun"/>
      <w:color w:val="000000"/>
      <w:sz w:val="24"/>
    </w:rPr>
  </w:style>
  <w:style w:type="paragraph" w:styleId="FootnoteText">
    <w:name w:val="footnote text"/>
    <w:basedOn w:val="Normal"/>
    <w:pPr>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baike.sogou.com/lemma/ShowInnerLink.htm?lemmaId=443867&amp;ss_c=ssc.citiao.link" TargetMode="External"/><Relationship Id="rId13" Type="http://schemas.openxmlformats.org/officeDocument/2006/relationships/hyperlink" Target="http://baike.sogou.com/lemma/ShowInnerLink.htm?lemmaId=7648765&amp;ss_c=ssc.citiao.link"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aike.sogou.com/lemma/ShowInnerLink.htm?lemmaId=456192&amp;ss_c=ssc.citiao.link" TargetMode="External"/><Relationship Id="rId17" Type="http://schemas.openxmlformats.org/officeDocument/2006/relationships/hyperlink" Target="mailto:ceshr_swupl@126.com"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mailto:chinahrs@hotmail.co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aike.sogou.com/lemma/ShowInnerLink.htm?lemmaId=8029625&amp;ss_c=ssc.citiao.link"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baike.sogou.com/lemma/ShowInnerLink.htm?lemmaId=7831884&amp;ss_c=ssc.citiao.link" TargetMode="External"/><Relationship Id="rId23" Type="http://schemas.openxmlformats.org/officeDocument/2006/relationships/customXml" Target="../customXml/item1.xml"/><Relationship Id="rId10" Type="http://schemas.openxmlformats.org/officeDocument/2006/relationships/hyperlink" Target="http://baike.sogou.com/lemma/ShowInnerLink.htm?lemmaId=534285&amp;ss_c=ssc.citiao.lin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aike.sogou.com/lemma/ShowInnerLink.htm?lemmaId=430692&amp;ss_c=ssc.citiao.link" TargetMode="External"/><Relationship Id="rId14" Type="http://schemas.openxmlformats.org/officeDocument/2006/relationships/hyperlink" Target="http://baike.sogou.com/lemma/ShowInnerLink.htm?lemmaId=6659763&amp;ss_c=ssc.citiao.li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A737D9-95B1-4051-94C1-E3874D749933}"/>
</file>

<file path=customXml/itemProps2.xml><?xml version="1.0" encoding="utf-8"?>
<ds:datastoreItem xmlns:ds="http://schemas.openxmlformats.org/officeDocument/2006/customXml" ds:itemID="{D18F5275-D4E7-4552-B580-13B63AB2169F}"/>
</file>

<file path=customXml/itemProps3.xml><?xml version="1.0" encoding="utf-8"?>
<ds:datastoreItem xmlns:ds="http://schemas.openxmlformats.org/officeDocument/2006/customXml" ds:itemID="{B29F9200-62C6-4646-AC41-076990E63F50}"/>
</file>

<file path=docProps/app.xml><?xml version="1.0" encoding="utf-8"?>
<Properties xmlns="http://schemas.openxmlformats.org/officeDocument/2006/extended-properties" xmlns:vt="http://schemas.openxmlformats.org/officeDocument/2006/docPropsVTypes">
  <Template>Normal</Template>
  <TotalTime>0</TotalTime>
  <Pages>7</Pages>
  <Words>1204</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PERMISSION</vt:lpstr>
    </vt:vector>
  </TitlesOfParts>
  <Company>DEI</Company>
  <LinksUpToDate>false</LinksUpToDate>
  <CharactersWithSpaces>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PERMISSION</dc:title>
  <dc:creator>DEI</dc:creator>
  <cp:lastModifiedBy>Liliana Trillo Diaz</cp:lastModifiedBy>
  <cp:revision>2</cp:revision>
  <cp:lastPrinted>2015-10-20T02:10:00Z</cp:lastPrinted>
  <dcterms:created xsi:type="dcterms:W3CDTF">2015-10-20T07:39:00Z</dcterms:created>
  <dcterms:modified xsi:type="dcterms:W3CDTF">2015-10-20T07:39:00Z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2052-6.6.0.2671</vt:lpwstr>
  </property>
  <property fmtid="{D5CDD505-2E9C-101B-9397-08002B2CF9AE}" pid="3" name="ContentTypeId">
    <vt:lpwstr>0x01010022B3C51BB8F9654FB8068485B2E4975B</vt:lpwstr>
  </property>
</Properties>
</file>