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BED31A">
      <w:pPr>
        <w:spacing w:after="0" w:line="276" w:lineRule="auto"/>
        <w:jc w:val="center"/>
        <w:rPr>
          <w:rFonts w:ascii="Times New Roman" w:hAnsi="Times New Roman" w:cs="Times New Roman"/>
          <w:b/>
          <w:bCs/>
          <w:color w:val="auto"/>
          <w:sz w:val="28"/>
          <w:szCs w:val="28"/>
        </w:rPr>
      </w:pPr>
      <w:bookmarkStart w:id="0" w:name="_GoBack"/>
      <w:bookmarkEnd w:id="0"/>
      <w:r>
        <w:rPr>
          <w:rFonts w:hint="default" w:ascii="Times New Roman" w:hAnsi="Times New Roman" w:cs="Times New Roman"/>
          <w:b/>
          <w:color w:val="auto"/>
          <w:sz w:val="28"/>
          <w:szCs w:val="28"/>
        </w:rPr>
        <w:t xml:space="preserve">Report by the </w:t>
      </w:r>
      <w:r>
        <w:rPr>
          <w:rFonts w:ascii="Times New Roman" w:hAnsi="Times New Roman" w:cs="Times New Roman"/>
          <w:b/>
          <w:bCs/>
          <w:color w:val="auto"/>
          <w:sz w:val="28"/>
          <w:szCs w:val="28"/>
        </w:rPr>
        <w:t xml:space="preserve">Viet Nam Committee </w:t>
      </w:r>
    </w:p>
    <w:p w14:paraId="7DFAF4F2">
      <w:pPr>
        <w:spacing w:after="0" w:line="276" w:lineRule="auto"/>
        <w:jc w:val="center"/>
        <w:rPr>
          <w:rFonts w:hint="default" w:ascii="Times New Roman" w:hAnsi="Times New Roman" w:cs="Times New Roman"/>
          <w:b/>
          <w:color w:val="auto"/>
          <w:sz w:val="28"/>
          <w:szCs w:val="28"/>
        </w:rPr>
      </w:pPr>
      <w:r>
        <w:rPr>
          <w:rFonts w:ascii="Times New Roman" w:hAnsi="Times New Roman" w:cs="Times New Roman"/>
          <w:b/>
          <w:bCs/>
          <w:color w:val="auto"/>
          <w:sz w:val="28"/>
          <w:szCs w:val="28"/>
        </w:rPr>
        <w:t>for Asian-African-Latin American Solidarity and Cooperation</w:t>
      </w:r>
    </w:p>
    <w:p w14:paraId="1EA66DA4">
      <w:pPr>
        <w:spacing w:after="0" w:line="276" w:lineRule="auto"/>
        <w:jc w:val="center"/>
        <w:rPr>
          <w:rFonts w:hint="default" w:ascii="Times New Roman" w:hAnsi="Times New Roman" w:cs="Times New Roman"/>
          <w:b/>
          <w:color w:val="auto"/>
          <w:sz w:val="28"/>
          <w:szCs w:val="28"/>
        </w:rPr>
      </w:pPr>
      <w:r>
        <w:rPr>
          <w:rFonts w:hint="default" w:ascii="Times New Roman" w:hAnsi="Times New Roman" w:cs="Times New Roman"/>
          <w:b/>
          <w:color w:val="auto"/>
          <w:sz w:val="28"/>
          <w:szCs w:val="28"/>
          <w:lang w:val="en-US"/>
        </w:rPr>
        <w:t>on the I</w:t>
      </w:r>
      <w:r>
        <w:rPr>
          <w:rFonts w:hint="default" w:ascii="Times New Roman" w:hAnsi="Times New Roman" w:cs="Times New Roman"/>
          <w:b/>
          <w:color w:val="auto"/>
          <w:sz w:val="28"/>
          <w:szCs w:val="28"/>
        </w:rPr>
        <w:t>mplementation of the Convention on the Elimination of All Forms of Discrimination against Women (CEDAW) in Viet Nam</w:t>
      </w:r>
    </w:p>
    <w:p w14:paraId="6B56F40D">
      <w:pPr>
        <w:keepNext w:val="0"/>
        <w:keepLines w:val="0"/>
        <w:pageBreakBefore w:val="0"/>
        <w:widowControl/>
        <w:kinsoku/>
        <w:wordWrap/>
        <w:overflowPunct/>
        <w:topLinePunct w:val="0"/>
        <w:autoSpaceDE/>
        <w:autoSpaceDN/>
        <w:bidi w:val="0"/>
        <w:adjustRightInd/>
        <w:snapToGrid w:val="0"/>
        <w:spacing w:beforeAutospacing="0" w:after="60" w:afterAutospacing="0" w:line="276" w:lineRule="auto"/>
        <w:ind w:firstLine="720" w:firstLineChars="0"/>
        <w:jc w:val="both"/>
        <w:textAlignment w:val="auto"/>
        <w:rPr>
          <w:rFonts w:hint="default" w:ascii="Times New Roman" w:hAnsi="Times New Roman" w:cs="Times New Roman"/>
          <w:color w:val="auto"/>
          <w:sz w:val="28"/>
          <w:szCs w:val="28"/>
        </w:rPr>
      </w:pPr>
    </w:p>
    <w:p w14:paraId="45D77825">
      <w:pPr>
        <w:keepNext w:val="0"/>
        <w:keepLines w:val="0"/>
        <w:pageBreakBefore w:val="0"/>
        <w:widowControl/>
        <w:kinsoku/>
        <w:wordWrap/>
        <w:overflowPunct/>
        <w:topLinePunct w:val="0"/>
        <w:autoSpaceDE/>
        <w:autoSpaceDN/>
        <w:bidi w:val="0"/>
        <w:adjustRightInd/>
        <w:snapToGrid w:val="0"/>
        <w:spacing w:beforeAutospacing="0" w:after="60" w:afterAutospacing="0" w:line="276" w:lineRule="auto"/>
        <w:ind w:firstLine="720" w:firstLineChars="0"/>
        <w:jc w:val="both"/>
        <w:textAlignment w:val="auto"/>
        <w:rPr>
          <w:rFonts w:ascii="Times New Roman" w:hAnsi="Times New Roman" w:cs="Times New Roman"/>
          <w:color w:val="auto"/>
          <w:sz w:val="28"/>
          <w:szCs w:val="28"/>
        </w:rPr>
      </w:pPr>
      <w:r>
        <w:rPr>
          <w:rFonts w:ascii="Times New Roman" w:hAnsi="Times New Roman" w:cs="Times New Roman"/>
          <w:color w:val="auto"/>
          <w:sz w:val="28"/>
          <w:szCs w:val="28"/>
        </w:rPr>
        <w:t>The Viet Nam Committee for Asian-African-Latin American Solidarity and Cooperation (VAALA) is a Vietnamese social organization, established in 1956, to promote people-to-people friendship, solidarity and cooperation with like-minded organizations in Asia, Africa and Latin America contributing to strengthening mutual understanding and solidarity, friendship, and cooperation between the people of Viet Nam and the peoples of Asian, African and Latin American countries; promote peace, people’s solidarity, national independence, democracy and social progress for equitable and sustainable development in Asia, Africa and Latin America.</w:t>
      </w:r>
    </w:p>
    <w:p w14:paraId="08B62B67">
      <w:pPr>
        <w:keepNext w:val="0"/>
        <w:keepLines w:val="0"/>
        <w:pageBreakBefore w:val="0"/>
        <w:widowControl/>
        <w:kinsoku/>
        <w:wordWrap/>
        <w:overflowPunct/>
        <w:topLinePunct w:val="0"/>
        <w:autoSpaceDE/>
        <w:autoSpaceDN/>
        <w:bidi w:val="0"/>
        <w:adjustRightInd/>
        <w:snapToGrid w:val="0"/>
        <w:spacing w:beforeAutospacing="0" w:after="60" w:afterAutospacing="0" w:line="276" w:lineRule="auto"/>
        <w:ind w:firstLine="720" w:firstLineChars="0"/>
        <w:jc w:val="both"/>
        <w:textAlignment w:val="auto"/>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rPr>
        <w:t xml:space="preserve">This report, prepared by </w:t>
      </w:r>
      <w:r>
        <w:rPr>
          <w:rFonts w:hint="default" w:ascii="Times New Roman" w:hAnsi="Times New Roman" w:eastAsia="SimSun" w:cs="Times New Roman"/>
          <w:sz w:val="28"/>
          <w:szCs w:val="28"/>
          <w:lang w:val="en-US"/>
        </w:rPr>
        <w:t>VAALA</w:t>
      </w:r>
      <w:r>
        <w:rPr>
          <w:rFonts w:hint="default" w:ascii="Times New Roman" w:hAnsi="Times New Roman" w:eastAsia="SimSun" w:cs="Times New Roman"/>
          <w:sz w:val="28"/>
          <w:szCs w:val="28"/>
        </w:rPr>
        <w:t xml:space="preserve"> shares perspectives on the implementation of women’s rights and gender equality in Viet Nam</w:t>
      </w:r>
      <w:r>
        <w:rPr>
          <w:rFonts w:hint="default" w:ascii="Times New Roman" w:hAnsi="Times New Roman" w:eastAsia="SimSun" w:cs="Times New Roman"/>
          <w:sz w:val="28"/>
          <w:szCs w:val="28"/>
          <w:lang w:val="en-US"/>
        </w:rPr>
        <w:t xml:space="preserve">. </w:t>
      </w:r>
    </w:p>
    <w:p w14:paraId="70D771A8">
      <w:pPr>
        <w:keepNext w:val="0"/>
        <w:keepLines w:val="0"/>
        <w:pageBreakBefore w:val="0"/>
        <w:widowControl/>
        <w:kinsoku/>
        <w:wordWrap/>
        <w:overflowPunct/>
        <w:topLinePunct w:val="0"/>
        <w:autoSpaceDE/>
        <w:autoSpaceDN/>
        <w:bidi w:val="0"/>
        <w:adjustRightInd/>
        <w:snapToGrid w:val="0"/>
        <w:spacing w:beforeAutospacing="0" w:after="60" w:afterAutospacing="0" w:line="276" w:lineRule="auto"/>
        <w:ind w:firstLine="720" w:firstLineChars="0"/>
        <w:jc w:val="both"/>
        <w:textAlignment w:val="auto"/>
        <w:rPr>
          <w:rStyle w:val="13"/>
          <w:rFonts w:hint="default" w:ascii="Times New Roman" w:hAnsi="Times New Roman" w:cs="Times New Roman"/>
          <w:color w:val="auto"/>
          <w:sz w:val="28"/>
          <w:szCs w:val="28"/>
        </w:rPr>
      </w:pPr>
      <w:r>
        <w:rPr>
          <w:rStyle w:val="13"/>
          <w:rFonts w:hint="default" w:ascii="Times New Roman" w:hAnsi="Times New Roman" w:cs="Times New Roman"/>
          <w:color w:val="auto"/>
          <w:sz w:val="28"/>
          <w:szCs w:val="28"/>
        </w:rPr>
        <w:t>The Rights of Female Workers</w:t>
      </w:r>
    </w:p>
    <w:p w14:paraId="2793B3A3">
      <w:pPr>
        <w:keepNext w:val="0"/>
        <w:keepLines w:val="0"/>
        <w:pageBreakBefore w:val="0"/>
        <w:widowControl/>
        <w:kinsoku/>
        <w:wordWrap/>
        <w:overflowPunct/>
        <w:topLinePunct w:val="0"/>
        <w:autoSpaceDE/>
        <w:autoSpaceDN/>
        <w:bidi w:val="0"/>
        <w:adjustRightInd/>
        <w:snapToGrid w:val="0"/>
        <w:spacing w:beforeAutospacing="0" w:after="60" w:afterAutospacing="0" w:line="276" w:lineRule="auto"/>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From the perspective of social organizations, in recent years, significant progress has been made in protecting the rights of female workers in Viet</w:t>
      </w:r>
      <w:r>
        <w:rPr>
          <w:rFonts w:hint="default" w:ascii="Times New Roman" w:hAnsi="Times New Roman" w:cs="Times New Roman"/>
          <w:color w:val="auto"/>
          <w:sz w:val="28"/>
          <w:szCs w:val="28"/>
          <w:lang w:val="en-US"/>
        </w:rPr>
        <w:t xml:space="preserve"> Nam. Re</w:t>
      </w:r>
      <w:r>
        <w:rPr>
          <w:rFonts w:hint="default" w:ascii="Times New Roman" w:hAnsi="Times New Roman" w:cs="Times New Roman"/>
          <w:color w:val="auto"/>
          <w:sz w:val="28"/>
          <w:szCs w:val="28"/>
        </w:rPr>
        <w:t>garding retirement age, Viet</w:t>
      </w:r>
      <w:r>
        <w:rPr>
          <w:rFonts w:hint="default" w:ascii="Times New Roman" w:hAnsi="Times New Roman" w:cs="Times New Roman"/>
          <w:color w:val="auto"/>
          <w:sz w:val="28"/>
          <w:szCs w:val="28"/>
          <w:lang w:val="en-US"/>
        </w:rPr>
        <w:t xml:space="preserve"> Nam</w:t>
      </w:r>
      <w:r>
        <w:rPr>
          <w:rFonts w:hint="default" w:ascii="Times New Roman" w:hAnsi="Times New Roman" w:cs="Times New Roman"/>
          <w:color w:val="auto"/>
          <w:sz w:val="28"/>
          <w:szCs w:val="28"/>
        </w:rPr>
        <w:t xml:space="preserve"> has issued regulations to narrow the retirement age gap between men and women. According to the Labour Code 2019, the retirement age for employees will gradually increase, aiming to reach 62 for men by 2028 and 60 for women by 2035. As of 2021, the retirement age was 60 years and 3 months for men and 55 years and 4 months for women, and has since increased annually by 3 months for men and 4 months for women. In addition, Decree No. 83/2022/ND-CP allows officials and civil servants in leadership and management positions to retire at an older age, extending working opportunities for many female leaders.</w:t>
      </w:r>
    </w:p>
    <w:p w14:paraId="38292B1F">
      <w:pPr>
        <w:keepNext w:val="0"/>
        <w:keepLines w:val="0"/>
        <w:pageBreakBefore w:val="0"/>
        <w:widowControl/>
        <w:kinsoku/>
        <w:wordWrap/>
        <w:overflowPunct/>
        <w:topLinePunct w:val="0"/>
        <w:autoSpaceDE/>
        <w:autoSpaceDN/>
        <w:bidi w:val="0"/>
        <w:adjustRightInd/>
        <w:snapToGrid w:val="0"/>
        <w:spacing w:beforeAutospacing="0" w:after="60" w:afterAutospacing="0" w:line="276" w:lineRule="auto"/>
        <w:ind w:firstLine="720" w:firstLineChars="0"/>
        <w:jc w:val="both"/>
        <w:textAlignment w:val="auto"/>
        <w:rPr>
          <w:rFonts w:hint="default" w:ascii="Times New Roman" w:hAnsi="Times New Roman" w:cs="Times New Roman"/>
          <w:color w:val="auto"/>
          <w:sz w:val="28"/>
          <w:szCs w:val="28"/>
          <w:lang w:val="en-US"/>
        </w:rPr>
      </w:pPr>
      <w:r>
        <w:rPr>
          <w:rFonts w:hint="default" w:ascii="Times New Roman" w:hAnsi="Times New Roman" w:eastAsia="SimSun" w:cs="Times New Roman"/>
          <w:color w:val="auto"/>
          <w:sz w:val="28"/>
          <w:szCs w:val="28"/>
        </w:rPr>
        <w:t xml:space="preserve">In addition to retirement policies, Viet Nam has strengthened legal protections for female workers regarding maternity and childcare. </w:t>
      </w:r>
      <w:r>
        <w:rPr>
          <w:rFonts w:hint="default" w:ascii="Times New Roman" w:hAnsi="Times New Roman" w:cs="Times New Roman"/>
          <w:color w:val="auto"/>
          <w:sz w:val="28"/>
          <w:szCs w:val="28"/>
        </w:rPr>
        <w:t>The Labour Code 2019 expands the scope of beneficiaries to include maternity leave, care for sick children, and contraceptive measures.</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Female employees are entitled to six months of maternity leave with benefits paid by the social insurance fund, including extended leave in the case of multiple births. The law also provides special protections for pregnant and nursing women, such as restrictions on overtime, night shifts, and hazardous work, and strictly prohibits dismissal or unilateral termination of labour contracts due to pregnancy, childbirth, or maternity leave.</w:t>
      </w:r>
      <w:r>
        <w:rPr>
          <w:rFonts w:hint="default" w:ascii="Times New Roman" w:hAnsi="Times New Roman" w:cs="Times New Roman"/>
          <w:color w:val="auto"/>
          <w:sz w:val="28"/>
          <w:szCs w:val="28"/>
          <w:lang w:val="en-US"/>
        </w:rPr>
        <w:t xml:space="preserve"> </w:t>
      </w:r>
    </w:p>
    <w:p w14:paraId="7FB4A504">
      <w:pPr>
        <w:keepNext w:val="0"/>
        <w:keepLines w:val="0"/>
        <w:pageBreakBefore w:val="0"/>
        <w:widowControl/>
        <w:suppressLineNumbers w:val="0"/>
        <w:kinsoku/>
        <w:wordWrap/>
        <w:overflowPunct/>
        <w:topLinePunct w:val="0"/>
        <w:autoSpaceDE/>
        <w:autoSpaceDN/>
        <w:bidi w:val="0"/>
        <w:adjustRightInd/>
        <w:spacing w:after="60" w:line="276" w:lineRule="auto"/>
        <w:ind w:firstLine="720" w:firstLineChars="0"/>
        <w:jc w:val="left"/>
        <w:textAlignment w:val="auto"/>
        <w:rPr>
          <w:rFonts w:hint="default" w:ascii="Times New Roman" w:hAnsi="Times New Roman" w:cs="Times New Roman"/>
          <w:b/>
          <w:bCs/>
          <w:color w:val="auto"/>
          <w:sz w:val="28"/>
          <w:szCs w:val="28"/>
          <w:lang w:val="en-US" w:eastAsia="zh-CN"/>
        </w:rPr>
      </w:pPr>
      <w:r>
        <w:rPr>
          <w:rFonts w:hint="default" w:ascii="Times New Roman" w:hAnsi="Times New Roman" w:eastAsia="SimSun" w:cs="Times New Roman"/>
          <w:b/>
          <w:bCs/>
          <w:color w:val="auto"/>
          <w:sz w:val="28"/>
          <w:szCs w:val="28"/>
        </w:rPr>
        <w:t xml:space="preserve"> </w:t>
      </w:r>
      <w:r>
        <w:rPr>
          <w:rFonts w:hint="default" w:ascii="Times New Roman" w:hAnsi="Times New Roman" w:cs="Times New Roman"/>
          <w:b/>
          <w:bCs/>
          <w:color w:val="auto"/>
          <w:sz w:val="28"/>
          <w:szCs w:val="28"/>
          <w:lang w:val="en-US" w:eastAsia="zh-CN"/>
        </w:rPr>
        <w:t>Participation in political and public life</w:t>
      </w:r>
    </w:p>
    <w:p w14:paraId="6FD60DF2">
      <w:pPr>
        <w:keepNext w:val="0"/>
        <w:keepLines w:val="0"/>
        <w:pageBreakBefore w:val="0"/>
        <w:widowControl/>
        <w:suppressLineNumbers w:val="0"/>
        <w:kinsoku/>
        <w:wordWrap/>
        <w:overflowPunct/>
        <w:topLinePunct w:val="0"/>
        <w:autoSpaceDE/>
        <w:autoSpaceDN/>
        <w:bidi w:val="0"/>
        <w:adjustRightInd/>
        <w:spacing w:after="60" w:line="276" w:lineRule="auto"/>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Viet Nam has made substantial efforts to ensure women’s participation in social life and decision-making. A </w:t>
      </w:r>
      <w:r>
        <w:rPr>
          <w:rFonts w:hint="default" w:ascii="Times New Roman" w:hAnsi="Times New Roman" w:cs="Times New Roman"/>
          <w:color w:val="auto"/>
          <w:sz w:val="28"/>
          <w:szCs w:val="28"/>
          <w:lang w:val="en-US"/>
        </w:rPr>
        <w:t xml:space="preserve">wide </w:t>
      </w:r>
      <w:r>
        <w:rPr>
          <w:rFonts w:hint="default" w:ascii="Times New Roman" w:hAnsi="Times New Roman" w:cs="Times New Roman"/>
          <w:color w:val="auto"/>
          <w:sz w:val="28"/>
          <w:szCs w:val="28"/>
        </w:rPr>
        <w:t>range of laws, decrees</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and policies have been introduced to advance these goals. Notably, the National Strategy on Gender Equality 2021</w:t>
      </w:r>
      <w:r>
        <w:rPr>
          <w:rFonts w:hint="default" w:ascii="Times New Roman" w:hAnsi="Times New Roman" w:cs="Times New Roman"/>
          <w:color w:val="auto"/>
          <w:sz w:val="28"/>
          <w:szCs w:val="28"/>
          <w:lang w:val="en-US"/>
        </w:rPr>
        <w:t>-</w:t>
      </w:r>
      <w:r>
        <w:rPr>
          <w:rFonts w:hint="default" w:ascii="Times New Roman" w:hAnsi="Times New Roman" w:cs="Times New Roman"/>
          <w:color w:val="auto"/>
          <w:sz w:val="28"/>
          <w:szCs w:val="28"/>
        </w:rPr>
        <w:t>2030 sets clear targets in the political sphere, aiming for 60% of key leadership positions at all levels of government and state management agencies to be held by women by 2025, and 75% by 2030. Institutional reforms have also been implemented to address structural barriers affecting women’s career advancement in the public sector. For example, regulations issued in 2022 allow female cadres, civil servants, and public employees in leadership roles to retire at a higher age, and Decrees 138/2020/ND-CP and 115/2020/ND-CP</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provide preferential consideration for women in promotion and rank advancement when candidates meet equal conditions.</w:t>
      </w:r>
    </w:p>
    <w:p w14:paraId="262E371D">
      <w:pPr>
        <w:keepNext w:val="0"/>
        <w:keepLines w:val="0"/>
        <w:pageBreakBefore w:val="0"/>
        <w:widowControl/>
        <w:suppressLineNumbers w:val="0"/>
        <w:kinsoku/>
        <w:wordWrap/>
        <w:overflowPunct/>
        <w:topLinePunct w:val="0"/>
        <w:autoSpaceDE/>
        <w:autoSpaceDN/>
        <w:bidi w:val="0"/>
        <w:adjustRightInd/>
        <w:spacing w:after="60" w:line="276" w:lineRule="auto"/>
        <w:ind w:firstLine="720" w:firstLineChars="0"/>
        <w:jc w:val="both"/>
        <w:textAlignment w:val="auto"/>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lang w:val="en-US"/>
        </w:rPr>
        <w:t>In practice, many</w:t>
      </w:r>
      <w:r>
        <w:rPr>
          <w:rFonts w:hint="default" w:ascii="Times New Roman" w:hAnsi="Times New Roman" w:cs="Times New Roman"/>
          <w:color w:val="auto"/>
          <w:sz w:val="28"/>
          <w:szCs w:val="28"/>
        </w:rPr>
        <w:t xml:space="preserve"> women </w:t>
      </w:r>
      <w:r>
        <w:rPr>
          <w:rFonts w:hint="default" w:ascii="Times New Roman" w:hAnsi="Times New Roman" w:cs="Times New Roman"/>
          <w:color w:val="auto"/>
          <w:sz w:val="28"/>
          <w:szCs w:val="28"/>
          <w:lang w:val="en-US"/>
        </w:rPr>
        <w:t xml:space="preserve">in Viet Nam </w:t>
      </w:r>
      <w:r>
        <w:rPr>
          <w:rFonts w:hint="default" w:ascii="Times New Roman" w:hAnsi="Times New Roman" w:cs="Times New Roman"/>
          <w:color w:val="auto"/>
          <w:sz w:val="28"/>
          <w:szCs w:val="28"/>
        </w:rPr>
        <w:t>are holding key positions in local administrations, contributing to handling important issue</w:t>
      </w:r>
      <w:r>
        <w:rPr>
          <w:rFonts w:hint="default" w:ascii="Times New Roman" w:hAnsi="Times New Roman" w:cs="Times New Roman"/>
          <w:color w:val="auto"/>
          <w:sz w:val="28"/>
          <w:szCs w:val="28"/>
          <w:lang w:val="en-US"/>
        </w:rPr>
        <w:t>s. In 2024, the</w:t>
      </w:r>
      <w:r>
        <w:rPr>
          <w:rFonts w:hint="default" w:ascii="Times New Roman" w:hAnsi="Times New Roman" w:eastAsia="SimSun" w:cs="Times New Roman"/>
          <w:color w:val="auto"/>
          <w:sz w:val="28"/>
          <w:szCs w:val="28"/>
        </w:rPr>
        <w:t xml:space="preserve"> proportion of women in key leadership positions is high compared to global standards: one female member of the Politburo, one Vice President, one Vice Chairwoman of the National Assembly, and 74.6% of provincial-level key leadership positions held by women.</w:t>
      </w:r>
      <w:r>
        <w:rPr>
          <w:rFonts w:hint="default" w:ascii="Times New Roman" w:hAnsi="Times New Roman" w:cs="Times New Roman"/>
          <w:color w:val="auto"/>
          <w:sz w:val="28"/>
          <w:szCs w:val="28"/>
          <w:lang w:val="en-US"/>
        </w:rPr>
        <w:t xml:space="preserve"> </w:t>
      </w:r>
    </w:p>
    <w:p w14:paraId="00300E4B">
      <w:pPr>
        <w:keepNext w:val="0"/>
        <w:keepLines w:val="0"/>
        <w:pageBreakBefore w:val="0"/>
        <w:widowControl/>
        <w:suppressLineNumbers w:val="0"/>
        <w:kinsoku/>
        <w:wordWrap/>
        <w:overflowPunct/>
        <w:topLinePunct w:val="0"/>
        <w:autoSpaceDE/>
        <w:autoSpaceDN/>
        <w:bidi w:val="0"/>
        <w:adjustRightInd/>
        <w:spacing w:after="60" w:line="276" w:lineRule="auto"/>
        <w:ind w:firstLine="720" w:firstLineChars="0"/>
        <w:jc w:val="both"/>
        <w:textAlignment w:val="auto"/>
        <w:rPr>
          <w:rFonts w:hint="default" w:ascii="Times New Roman" w:hAnsi="Times New Roman" w:eastAsia="SimSun" w:cs="Times New Roman"/>
          <w:b w:val="0"/>
          <w:bCs w:val="0"/>
          <w:color w:val="auto"/>
          <w:sz w:val="28"/>
          <w:szCs w:val="28"/>
        </w:rPr>
      </w:pPr>
      <w:r>
        <w:rPr>
          <w:rFonts w:hint="default" w:ascii="Times New Roman" w:hAnsi="Times New Roman" w:eastAsia="SimSun" w:cs="Times New Roman"/>
          <w:color w:val="auto"/>
          <w:sz w:val="28"/>
          <w:szCs w:val="28"/>
        </w:rPr>
        <w:t>Moreover, women in Viet</w:t>
      </w:r>
      <w:r>
        <w:rPr>
          <w:rFonts w:hint="default" w:ascii="Times New Roman" w:hAnsi="Times New Roman" w:eastAsia="SimSun" w:cs="Times New Roman"/>
          <w:color w:val="auto"/>
          <w:sz w:val="28"/>
          <w:szCs w:val="28"/>
          <w:lang w:val="en-US"/>
        </w:rPr>
        <w:t xml:space="preserve"> Nam </w:t>
      </w:r>
      <w:r>
        <w:rPr>
          <w:rFonts w:hint="default" w:ascii="Times New Roman" w:hAnsi="Times New Roman" w:eastAsia="SimSun" w:cs="Times New Roman"/>
          <w:color w:val="auto"/>
          <w:sz w:val="28"/>
          <w:szCs w:val="28"/>
        </w:rPr>
        <w:t xml:space="preserve">have made remarkable contributions in various sectors </w:t>
      </w:r>
      <w:r>
        <w:rPr>
          <w:rFonts w:hint="default" w:ascii="Times New Roman" w:hAnsi="Times New Roman" w:eastAsia="SimSun" w:cs="Times New Roman"/>
          <w:color w:val="auto"/>
          <w:sz w:val="28"/>
          <w:szCs w:val="28"/>
          <w:lang w:val="en-US"/>
        </w:rPr>
        <w:t xml:space="preserve">in </w:t>
      </w:r>
      <w:r>
        <w:rPr>
          <w:rFonts w:hint="default" w:ascii="Times New Roman" w:hAnsi="Times New Roman" w:cs="Times New Roman"/>
          <w:color w:val="auto"/>
          <w:sz w:val="28"/>
          <w:szCs w:val="28"/>
        </w:rPr>
        <w:t>other areas such as business, education and healthcare.</w:t>
      </w:r>
      <w:r>
        <w:rPr>
          <w:rFonts w:hint="default" w:ascii="Times New Roman" w:hAnsi="Times New Roman" w:cs="Times New Roman"/>
          <w:color w:val="auto"/>
          <w:sz w:val="28"/>
          <w:szCs w:val="28"/>
          <w:lang w:val="en-US"/>
        </w:rPr>
        <w:t xml:space="preserve"> </w:t>
      </w:r>
      <w:r>
        <w:rPr>
          <w:rFonts w:hint="default" w:ascii="Times New Roman" w:hAnsi="Times New Roman" w:eastAsia="SimSun" w:cs="Times New Roman"/>
          <w:color w:val="auto"/>
          <w:sz w:val="28"/>
          <w:szCs w:val="28"/>
        </w:rPr>
        <w:t xml:space="preserve">In the business sector, female entrepreneurs are increasingly prominent. </w:t>
      </w:r>
      <w:r>
        <w:rPr>
          <w:rFonts w:hint="default" w:ascii="Times New Roman" w:hAnsi="Times New Roman" w:eastAsia="SimSun" w:cs="Times New Roman"/>
          <w:color w:val="auto"/>
          <w:sz w:val="28"/>
          <w:szCs w:val="28"/>
          <w:lang w:val="en-US"/>
        </w:rPr>
        <w:t xml:space="preserve">Women-lead </w:t>
      </w:r>
      <w:r>
        <w:rPr>
          <w:rFonts w:hint="default" w:ascii="Times New Roman" w:hAnsi="Times New Roman" w:eastAsia="SimSun" w:cs="Times New Roman"/>
          <w:color w:val="auto"/>
          <w:sz w:val="28"/>
          <w:szCs w:val="28"/>
        </w:rPr>
        <w:t>businesses account for nearly 25% of all enterprises,</w:t>
      </w:r>
      <w:r>
        <w:rPr>
          <w:rFonts w:hint="default" w:ascii="Times New Roman" w:hAnsi="Times New Roman" w:eastAsia="SimSun" w:cs="Times New Roman"/>
          <w:b w:val="0"/>
          <w:bCs w:val="0"/>
          <w:color w:val="auto"/>
          <w:sz w:val="28"/>
          <w:szCs w:val="28"/>
          <w:lang w:val="en-US"/>
        </w:rPr>
        <w:t xml:space="preserve"> </w:t>
      </w:r>
      <w:r>
        <w:rPr>
          <w:rFonts w:hint="default" w:ascii="Times New Roman" w:hAnsi="Times New Roman" w:eastAsia="SimSun" w:cs="Times New Roman"/>
          <w:b w:val="0"/>
          <w:bCs w:val="0"/>
          <w:color w:val="auto"/>
          <w:sz w:val="28"/>
          <w:szCs w:val="28"/>
        </w:rPr>
        <w:t xml:space="preserve">with many operating successfully in key sectors such as technology and finance. </w:t>
      </w:r>
      <w:r>
        <w:rPr>
          <w:rFonts w:hint="default" w:ascii="Times New Roman" w:hAnsi="Times New Roman" w:eastAsia="SimSun" w:cs="Times New Roman"/>
          <w:b w:val="0"/>
          <w:bCs w:val="0"/>
          <w:color w:val="auto"/>
          <w:sz w:val="28"/>
          <w:szCs w:val="28"/>
          <w:lang w:val="en-US"/>
        </w:rPr>
        <w:t>P</w:t>
      </w:r>
      <w:r>
        <w:rPr>
          <w:rFonts w:hint="default" w:ascii="Times New Roman" w:hAnsi="Times New Roman" w:eastAsia="SimSun" w:cs="Times New Roman"/>
          <w:b w:val="0"/>
          <w:bCs w:val="0"/>
          <w:color w:val="auto"/>
          <w:sz w:val="28"/>
          <w:szCs w:val="28"/>
        </w:rPr>
        <w:t xml:space="preserve">rominent female entrepreneurs such as </w:t>
      </w:r>
      <w:r>
        <w:rPr>
          <w:rStyle w:val="13"/>
          <w:rFonts w:hint="default" w:ascii="Times New Roman" w:hAnsi="Times New Roman" w:eastAsia="SimSun" w:cs="Times New Roman"/>
          <w:b w:val="0"/>
          <w:bCs w:val="0"/>
          <w:color w:val="auto"/>
          <w:sz w:val="28"/>
          <w:szCs w:val="28"/>
        </w:rPr>
        <w:t>Nguyễn Thị Phương Thảo</w:t>
      </w:r>
      <w:r>
        <w:rPr>
          <w:rFonts w:hint="default" w:ascii="Times New Roman" w:hAnsi="Times New Roman" w:eastAsia="SimSun" w:cs="Times New Roman"/>
          <w:b w:val="0"/>
          <w:bCs w:val="0"/>
          <w:color w:val="auto"/>
          <w:sz w:val="28"/>
          <w:szCs w:val="28"/>
        </w:rPr>
        <w:t xml:space="preserve">, CEO of VietJet Air, </w:t>
      </w:r>
      <w:r>
        <w:rPr>
          <w:rStyle w:val="13"/>
          <w:rFonts w:hint="default" w:ascii="Times New Roman" w:hAnsi="Times New Roman" w:eastAsia="SimSun" w:cs="Times New Roman"/>
          <w:b w:val="0"/>
          <w:bCs w:val="0"/>
          <w:color w:val="auto"/>
          <w:sz w:val="28"/>
          <w:szCs w:val="28"/>
        </w:rPr>
        <w:t>Mai Kiều Liên</w:t>
      </w:r>
      <w:r>
        <w:rPr>
          <w:rFonts w:hint="default" w:ascii="Times New Roman" w:hAnsi="Times New Roman" w:eastAsia="SimSun" w:cs="Times New Roman"/>
          <w:b w:val="0"/>
          <w:bCs w:val="0"/>
          <w:color w:val="auto"/>
          <w:sz w:val="28"/>
          <w:szCs w:val="28"/>
        </w:rPr>
        <w:t xml:space="preserve">, CEO of Vinamilk, and </w:t>
      </w:r>
      <w:r>
        <w:rPr>
          <w:rStyle w:val="13"/>
          <w:rFonts w:hint="default" w:ascii="Times New Roman" w:hAnsi="Times New Roman" w:eastAsia="SimSun" w:cs="Times New Roman"/>
          <w:b w:val="0"/>
          <w:bCs w:val="0"/>
          <w:color w:val="auto"/>
          <w:sz w:val="28"/>
          <w:szCs w:val="28"/>
        </w:rPr>
        <w:t>Thái Hương</w:t>
      </w:r>
      <w:r>
        <w:rPr>
          <w:rFonts w:hint="default" w:ascii="Times New Roman" w:hAnsi="Times New Roman" w:eastAsia="SimSun" w:cs="Times New Roman"/>
          <w:b w:val="0"/>
          <w:bCs w:val="0"/>
          <w:color w:val="auto"/>
          <w:sz w:val="28"/>
          <w:szCs w:val="28"/>
        </w:rPr>
        <w:t xml:space="preserve">, founder of the TH Group, have demonstrated strong leadership and innovation, contributing significantly to national economic growth. </w:t>
      </w:r>
    </w:p>
    <w:p w14:paraId="7CF5C440">
      <w:pPr>
        <w:keepNext w:val="0"/>
        <w:keepLines w:val="0"/>
        <w:pageBreakBefore w:val="0"/>
        <w:widowControl/>
        <w:suppressLineNumbers w:val="0"/>
        <w:kinsoku/>
        <w:wordWrap/>
        <w:overflowPunct/>
        <w:topLinePunct w:val="0"/>
        <w:autoSpaceDE/>
        <w:autoSpaceDN/>
        <w:bidi w:val="0"/>
        <w:adjustRightInd/>
        <w:spacing w:after="60" w:line="276" w:lineRule="auto"/>
        <w:ind w:firstLine="720" w:firstLineChars="0"/>
        <w:jc w:val="both"/>
        <w:textAlignment w:val="auto"/>
        <w:rPr>
          <w:rFonts w:hint="default" w:ascii="Times New Roman" w:hAnsi="Times New Roman" w:eastAsia="SimSun" w:cs="Times New Roman"/>
          <w:b w:val="0"/>
          <w:bCs w:val="0"/>
          <w:color w:val="auto"/>
          <w:sz w:val="28"/>
          <w:szCs w:val="28"/>
        </w:rPr>
      </w:pPr>
      <w:r>
        <w:rPr>
          <w:rFonts w:hint="default" w:ascii="Times New Roman" w:hAnsi="Times New Roman" w:eastAsia="SimSun" w:cs="Times New Roman"/>
          <w:b w:val="0"/>
          <w:bCs w:val="0"/>
          <w:color w:val="auto"/>
          <w:sz w:val="28"/>
          <w:szCs w:val="28"/>
        </w:rPr>
        <w:t>In the field of education, female leadership is increasingly evident at both central and local levels, as many universities are led by women serving as rectors, vice-rectors, and heads of faculties who play an active role in shaping educational policies and academic programs.</w:t>
      </w:r>
      <w:r>
        <w:rPr>
          <w:rFonts w:hint="default" w:ascii="Times New Roman" w:hAnsi="Times New Roman" w:eastAsia="SimSun" w:cs="Times New Roman"/>
          <w:b w:val="0"/>
          <w:bCs w:val="0"/>
          <w:color w:val="auto"/>
          <w:sz w:val="28"/>
          <w:szCs w:val="28"/>
          <w:lang w:val="en-US"/>
        </w:rPr>
        <w:t xml:space="preserve"> </w:t>
      </w:r>
      <w:r>
        <w:rPr>
          <w:rFonts w:hint="default" w:ascii="Times New Roman" w:hAnsi="Times New Roman" w:eastAsia="SimSun" w:cs="Times New Roman"/>
          <w:b w:val="0"/>
          <w:bCs w:val="0"/>
          <w:color w:val="auto"/>
          <w:sz w:val="28"/>
          <w:szCs w:val="28"/>
        </w:rPr>
        <w:t xml:space="preserve">Vietnamese women scholars and education leaders have also made notable contributions to higher education and scientific research, both domestically and internationally. </w:t>
      </w:r>
    </w:p>
    <w:p w14:paraId="1827778C">
      <w:pPr>
        <w:keepNext w:val="0"/>
        <w:keepLines w:val="0"/>
        <w:pageBreakBefore w:val="0"/>
        <w:widowControl/>
        <w:suppressLineNumbers w:val="0"/>
        <w:kinsoku/>
        <w:wordWrap/>
        <w:overflowPunct/>
        <w:topLinePunct w:val="0"/>
        <w:autoSpaceDE/>
        <w:autoSpaceDN/>
        <w:bidi w:val="0"/>
        <w:adjustRightInd/>
        <w:spacing w:after="60" w:line="276" w:lineRule="auto"/>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eastAsia="SimSun" w:cs="Times New Roman"/>
          <w:b w:val="0"/>
          <w:bCs w:val="0"/>
          <w:color w:val="auto"/>
          <w:sz w:val="28"/>
          <w:szCs w:val="28"/>
        </w:rPr>
        <w:t>Similarly, in healthcare, women constitute a substantial proportion of medical professionals, including doctors, nurses, and hospital administrators. During the COVID-19 pandemic, women assumed critical roles in epidemic prevention and control, research, and vaccination campaigns, underscoring their indispensable contributions to public health and national resilience.</w:t>
      </w:r>
    </w:p>
    <w:p w14:paraId="7E8EB4B6">
      <w:pPr>
        <w:keepNext w:val="0"/>
        <w:keepLines w:val="0"/>
        <w:pageBreakBefore w:val="0"/>
        <w:widowControl/>
        <w:suppressLineNumbers w:val="0"/>
        <w:kinsoku/>
        <w:wordWrap/>
        <w:overflowPunct/>
        <w:topLinePunct w:val="0"/>
        <w:autoSpaceDE/>
        <w:autoSpaceDN/>
        <w:bidi w:val="0"/>
        <w:adjustRightInd/>
        <w:spacing w:after="60" w:line="276" w:lineRule="auto"/>
        <w:ind w:firstLine="720" w:firstLineChars="0"/>
        <w:jc w:val="both"/>
        <w:textAlignment w:val="auto"/>
        <w:rPr>
          <w:rFonts w:hint="default" w:ascii="Times New Roman" w:hAnsi="Times New Roman" w:eastAsia="SimSun" w:cs="Times New Roman"/>
          <w:b/>
          <w:bCs/>
          <w:color w:val="auto"/>
          <w:sz w:val="28"/>
          <w:szCs w:val="28"/>
          <w:lang w:val="en-US"/>
        </w:rPr>
      </w:pPr>
      <w:r>
        <w:rPr>
          <w:rFonts w:hint="default" w:ascii="Times New Roman" w:hAnsi="Times New Roman" w:eastAsia="SimSun" w:cs="Times New Roman"/>
          <w:b/>
          <w:bCs/>
          <w:color w:val="auto"/>
          <w:sz w:val="28"/>
          <w:szCs w:val="28"/>
          <w:lang w:val="en-US"/>
        </w:rPr>
        <w:t>Education</w:t>
      </w:r>
    </w:p>
    <w:p w14:paraId="4892D0AE">
      <w:pPr>
        <w:keepNext w:val="0"/>
        <w:keepLines w:val="0"/>
        <w:pageBreakBefore w:val="0"/>
        <w:widowControl/>
        <w:suppressLineNumbers w:val="0"/>
        <w:kinsoku/>
        <w:wordWrap/>
        <w:overflowPunct/>
        <w:topLinePunct w:val="0"/>
        <w:autoSpaceDE/>
        <w:autoSpaceDN/>
        <w:bidi w:val="0"/>
        <w:adjustRightInd/>
        <w:spacing w:after="60" w:line="276" w:lineRule="auto"/>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Viet Nam has made significant progress in advancing women’s and girls’ rights and promoting gender equality in education. The Law on Education (2019, amended in 2020) enshrines the right to education for all citizens regardless of gender and mandates educational institutions to prevent and eliminate gender-based discrimination.</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Complementing this legal framework, the National Strategy on Gender Equality for the period 2021–2030 sets out clear targets to narrow gender gaps in education, with particular attention to ethnic minority groups and other disadvantaged communities.</w:t>
      </w:r>
    </w:p>
    <w:p w14:paraId="1F8919AB">
      <w:pPr>
        <w:keepNext w:val="0"/>
        <w:keepLines w:val="0"/>
        <w:pageBreakBefore w:val="0"/>
        <w:widowControl/>
        <w:suppressLineNumbers w:val="0"/>
        <w:kinsoku/>
        <w:wordWrap/>
        <w:overflowPunct/>
        <w:topLinePunct w:val="0"/>
        <w:autoSpaceDE/>
        <w:autoSpaceDN/>
        <w:bidi w:val="0"/>
        <w:adjustRightInd/>
        <w:spacing w:after="60" w:line="276" w:lineRule="auto"/>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A wide range of programs and policies have been implemented to enhance access to education and training for women and girls. These measures include universal preschool education for five-year-old children; tuition compensation for learners at preschool, primary, vocational, and higher education levels; and exemptions or reductions in tuition fees for students from poor and near-poor households. Additional support is provided in the form of food and accommodation assistance for preschool and primary school students from disadvantaged backgrounds, learners in semi-boarding schools in particularly difficult communes, and students in ethnic minority boarding schools. Preschool children aged three and four also receive lunch subsidies, while concessional loan programs help students from low-income families continue their education.</w:t>
      </w:r>
    </w:p>
    <w:p w14:paraId="55ABCE19">
      <w:pPr>
        <w:keepNext w:val="0"/>
        <w:keepLines w:val="0"/>
        <w:pageBreakBefore w:val="0"/>
        <w:widowControl/>
        <w:kinsoku/>
        <w:wordWrap/>
        <w:overflowPunct/>
        <w:topLinePunct w:val="0"/>
        <w:autoSpaceDE/>
        <w:autoSpaceDN/>
        <w:bidi w:val="0"/>
        <w:adjustRightInd/>
        <w:snapToGrid w:val="0"/>
        <w:spacing w:beforeAutospacing="0" w:after="60" w:afterAutospacing="0" w:line="276" w:lineRule="auto"/>
        <w:ind w:firstLine="720" w:firstLineChars="0"/>
        <w:jc w:val="both"/>
        <w:textAlignment w:val="auto"/>
        <w:rPr>
          <w:rFonts w:hint="default" w:ascii="Times New Roman" w:hAnsi="Times New Roman" w:eastAsia="SimSun" w:cs="Times New Roman"/>
          <w:color w:val="auto"/>
          <w:sz w:val="28"/>
          <w:szCs w:val="28"/>
          <w:lang w:val="en-US"/>
        </w:rPr>
      </w:pPr>
      <w:r>
        <w:rPr>
          <w:rFonts w:ascii="Times New Roman" w:hAnsi="Times New Roman"/>
          <w:color w:val="auto"/>
          <w:sz w:val="28"/>
          <w:lang w:val="en-GB"/>
        </w:rPr>
        <w:t xml:space="preserve">As a result, groups of women and girls in difficult conditions, </w:t>
      </w:r>
      <w:r>
        <w:rPr>
          <w:rFonts w:hint="default" w:ascii="Times New Roman" w:hAnsi="Times New Roman"/>
          <w:color w:val="auto"/>
          <w:sz w:val="28"/>
          <w:lang w:val="en-US"/>
        </w:rPr>
        <w:t xml:space="preserve">such as </w:t>
      </w:r>
      <w:r>
        <w:rPr>
          <w:rFonts w:ascii="Times New Roman" w:hAnsi="Times New Roman"/>
          <w:color w:val="auto"/>
          <w:sz w:val="28"/>
          <w:lang w:val="en-GB"/>
        </w:rPr>
        <w:t xml:space="preserve">those who are poor, from ethnic minorities, or living in areas with particularly difficult socio-economic conditions, have had the opportunity to attend school for literacy and vocational training, and improve their qualifications to find better jobs, get out of poverty, and have a brighter future. </w:t>
      </w:r>
    </w:p>
    <w:p w14:paraId="058307A3">
      <w:pPr>
        <w:keepNext w:val="0"/>
        <w:keepLines w:val="0"/>
        <w:pageBreakBefore w:val="0"/>
        <w:widowControl/>
        <w:kinsoku/>
        <w:wordWrap/>
        <w:overflowPunct/>
        <w:topLinePunct w:val="0"/>
        <w:autoSpaceDE/>
        <w:autoSpaceDN/>
        <w:bidi w:val="0"/>
        <w:adjustRightInd/>
        <w:snapToGrid w:val="0"/>
        <w:spacing w:beforeAutospacing="0" w:after="60" w:afterAutospacing="0" w:line="276" w:lineRule="auto"/>
        <w:ind w:firstLine="720" w:firstLineChars="0"/>
        <w:jc w:val="both"/>
        <w:textAlignment w:val="auto"/>
        <w:rPr>
          <w:rFonts w:hint="default" w:ascii="Times New Roman" w:hAnsi="Times New Roman" w:cs="Times New Roman"/>
          <w:b/>
          <w:bCs/>
          <w:color w:val="auto"/>
          <w:sz w:val="28"/>
          <w:szCs w:val="28"/>
          <w:lang w:val="en-US"/>
        </w:rPr>
      </w:pPr>
      <w:r>
        <w:rPr>
          <w:rFonts w:hint="default" w:ascii="Times New Roman" w:hAnsi="Times New Roman" w:cs="Times New Roman"/>
          <w:b/>
          <w:bCs/>
          <w:color w:val="auto"/>
          <w:sz w:val="28"/>
          <w:szCs w:val="28"/>
          <w:lang w:val="en-US"/>
        </w:rPr>
        <w:t>Peaceful and inclusive societies</w:t>
      </w:r>
    </w:p>
    <w:p w14:paraId="0693D423">
      <w:pPr>
        <w:keepNext w:val="0"/>
        <w:keepLines w:val="0"/>
        <w:pageBreakBefore w:val="0"/>
        <w:widowControl/>
        <w:kinsoku/>
        <w:wordWrap/>
        <w:overflowPunct/>
        <w:topLinePunct w:val="0"/>
        <w:autoSpaceDE/>
        <w:autoSpaceDN/>
        <w:bidi w:val="0"/>
        <w:adjustRightInd/>
        <w:snapToGrid w:val="0"/>
        <w:spacing w:beforeAutospacing="0" w:after="60" w:afterAutospacing="0" w:line="276" w:lineRule="auto"/>
        <w:ind w:firstLine="720" w:firstLineChars="0"/>
        <w:jc w:val="both"/>
        <w:textAlignment w:val="auto"/>
        <w:rPr>
          <w:rFonts w:hint="default" w:ascii="Times New Roman" w:hAnsi="Times New Roman" w:cs="Times New Roman"/>
          <w:b w:val="0"/>
          <w:bCs w:val="0"/>
          <w:color w:val="auto"/>
          <w:sz w:val="28"/>
          <w:szCs w:val="28"/>
          <w:lang w:val="en-US"/>
        </w:rPr>
      </w:pPr>
      <w:r>
        <w:rPr>
          <w:rFonts w:hint="default" w:ascii="Times New Roman" w:hAnsi="Times New Roman" w:cs="Times New Roman"/>
          <w:b w:val="0"/>
          <w:bCs w:val="0"/>
          <w:color w:val="auto"/>
          <w:sz w:val="28"/>
          <w:szCs w:val="28"/>
        </w:rPr>
        <w:t xml:space="preserve">In practice, Vietnamese women have made substantial contributions to peacekeeping and security. Since 2018, Viet Nam has deployed female officers to UN peacekeeping missions, reaching approximately </w:t>
      </w:r>
      <w:r>
        <w:rPr>
          <w:rStyle w:val="13"/>
          <w:rFonts w:hint="default" w:ascii="Times New Roman" w:hAnsi="Times New Roman" w:cs="Times New Roman"/>
          <w:b w:val="0"/>
          <w:bCs w:val="0"/>
          <w:color w:val="auto"/>
          <w:sz w:val="28"/>
          <w:szCs w:val="28"/>
        </w:rPr>
        <w:t>117 female officers by August 2024</w:t>
      </w:r>
      <w:r>
        <w:rPr>
          <w:rFonts w:hint="default" w:ascii="Times New Roman" w:hAnsi="Times New Roman" w:cs="Times New Roman"/>
          <w:b w:val="0"/>
          <w:bCs w:val="0"/>
          <w:color w:val="auto"/>
          <w:sz w:val="28"/>
          <w:szCs w:val="28"/>
        </w:rPr>
        <w:t xml:space="preserve">, representing about </w:t>
      </w:r>
      <w:r>
        <w:rPr>
          <w:rStyle w:val="13"/>
          <w:rFonts w:hint="default" w:ascii="Times New Roman" w:hAnsi="Times New Roman" w:cs="Times New Roman"/>
          <w:b w:val="0"/>
          <w:bCs w:val="0"/>
          <w:color w:val="auto"/>
          <w:sz w:val="28"/>
          <w:szCs w:val="28"/>
        </w:rPr>
        <w:t>15% of all deployed personnel</w:t>
      </w:r>
      <w:r>
        <w:rPr>
          <w:rFonts w:hint="default" w:ascii="Times New Roman" w:hAnsi="Times New Roman" w:cs="Times New Roman"/>
          <w:b w:val="0"/>
          <w:bCs w:val="0"/>
          <w:color w:val="auto"/>
          <w:sz w:val="28"/>
          <w:szCs w:val="28"/>
        </w:rPr>
        <w:t>. These women have served in diverse roles as military observers, staff officers, trainers, doctors, and nurses</w:t>
      </w:r>
      <w:r>
        <w:rPr>
          <w:rFonts w:hint="default" w:ascii="Times New Roman" w:hAnsi="Times New Roman" w:cs="Times New Roman"/>
          <w:b w:val="0"/>
          <w:bCs w:val="0"/>
          <w:color w:val="auto"/>
          <w:sz w:val="28"/>
          <w:szCs w:val="28"/>
          <w:lang w:val="en-US"/>
        </w:rPr>
        <w:t xml:space="preserve">. </w:t>
      </w:r>
    </w:p>
    <w:p w14:paraId="35217B29">
      <w:pPr>
        <w:keepNext w:val="0"/>
        <w:keepLines w:val="0"/>
        <w:pageBreakBefore w:val="0"/>
        <w:widowControl/>
        <w:kinsoku/>
        <w:wordWrap/>
        <w:overflowPunct/>
        <w:topLinePunct w:val="0"/>
        <w:autoSpaceDE/>
        <w:autoSpaceDN/>
        <w:bidi w:val="0"/>
        <w:adjustRightInd/>
        <w:snapToGrid w:val="0"/>
        <w:spacing w:beforeAutospacing="0" w:after="60" w:afterAutospacing="0" w:line="276" w:lineRule="auto"/>
        <w:ind w:firstLine="720" w:firstLineChars="0"/>
        <w:jc w:val="both"/>
        <w:textAlignment w:val="auto"/>
        <w:rPr>
          <w:rFonts w:hint="default" w:ascii="Times New Roman" w:hAnsi="Times New Roman" w:cs="Times New Roman"/>
          <w:b w:val="0"/>
          <w:bCs w:val="0"/>
          <w:color w:val="auto"/>
          <w:sz w:val="28"/>
          <w:szCs w:val="28"/>
        </w:rPr>
      </w:pPr>
      <w:r>
        <w:rPr>
          <w:rFonts w:hint="default" w:ascii="Times New Roman" w:hAnsi="Times New Roman" w:cs="Times New Roman"/>
          <w:b w:val="0"/>
          <w:bCs w:val="0"/>
          <w:color w:val="auto"/>
          <w:sz w:val="28"/>
          <w:szCs w:val="28"/>
        </w:rPr>
        <w:t xml:space="preserve">Viet Nam has also promoted women’s digital empowerment as part of broader gender equality initiatives. Under the </w:t>
      </w:r>
      <w:r>
        <w:rPr>
          <w:rStyle w:val="13"/>
          <w:rFonts w:hint="default" w:ascii="Times New Roman" w:hAnsi="Times New Roman" w:cs="Times New Roman"/>
          <w:b w:val="0"/>
          <w:bCs w:val="0"/>
          <w:color w:val="auto"/>
          <w:sz w:val="28"/>
          <w:szCs w:val="28"/>
        </w:rPr>
        <w:t>National Digital Transformation Program</w:t>
      </w:r>
      <w:r>
        <w:rPr>
          <w:rFonts w:hint="default" w:ascii="Times New Roman" w:hAnsi="Times New Roman" w:cs="Times New Roman"/>
          <w:b w:val="0"/>
          <w:bCs w:val="0"/>
          <w:color w:val="auto"/>
          <w:sz w:val="28"/>
          <w:szCs w:val="28"/>
        </w:rPr>
        <w:t xml:space="preserve">, </w:t>
      </w:r>
      <w:r>
        <w:rPr>
          <w:rStyle w:val="13"/>
          <w:rFonts w:hint="default" w:ascii="Times New Roman" w:hAnsi="Times New Roman" w:cs="Times New Roman"/>
          <w:b w:val="0"/>
          <w:bCs w:val="0"/>
          <w:color w:val="auto"/>
          <w:sz w:val="28"/>
          <w:szCs w:val="28"/>
        </w:rPr>
        <w:t>community digital technology teams</w:t>
      </w:r>
      <w:r>
        <w:rPr>
          <w:rFonts w:hint="default" w:ascii="Times New Roman" w:hAnsi="Times New Roman" w:cs="Times New Roman"/>
          <w:b w:val="0"/>
          <w:bCs w:val="0"/>
          <w:color w:val="auto"/>
          <w:sz w:val="28"/>
          <w:szCs w:val="28"/>
        </w:rPr>
        <w:t xml:space="preserve"> have been established in communes nationwide to help women and girls acquire digital skills, access e-commerce platforms, and participate in online transactions. By mid-2023, </w:t>
      </w:r>
      <w:r>
        <w:rPr>
          <w:rStyle w:val="13"/>
          <w:rFonts w:hint="default" w:ascii="Times New Roman" w:hAnsi="Times New Roman" w:cs="Times New Roman"/>
          <w:b w:val="0"/>
          <w:bCs w:val="0"/>
          <w:color w:val="auto"/>
          <w:sz w:val="28"/>
          <w:szCs w:val="28"/>
        </w:rPr>
        <w:t>52 out of 63 provinces</w:t>
      </w:r>
      <w:r>
        <w:rPr>
          <w:rFonts w:hint="default" w:ascii="Times New Roman" w:hAnsi="Times New Roman" w:cs="Times New Roman"/>
          <w:b w:val="0"/>
          <w:bCs w:val="0"/>
          <w:color w:val="auto"/>
          <w:sz w:val="28"/>
          <w:szCs w:val="28"/>
        </w:rPr>
        <w:t xml:space="preserve"> had fully established these teams, reaching thousands of women and girls, particularly those in remote, border, and ethnic minority areas. These initiatives have not only narrowed the digital gender gap but also enabled women to engage more actively in economic, social, and civic life, contributing to more inclusive and resilient communities.</w:t>
      </w:r>
    </w:p>
    <w:p w14:paraId="191D91C7">
      <w:pPr>
        <w:keepNext w:val="0"/>
        <w:keepLines w:val="0"/>
        <w:pageBreakBefore w:val="0"/>
        <w:widowControl/>
        <w:kinsoku/>
        <w:wordWrap/>
        <w:overflowPunct/>
        <w:topLinePunct w:val="0"/>
        <w:autoSpaceDE/>
        <w:autoSpaceDN/>
        <w:bidi w:val="0"/>
        <w:adjustRightInd/>
        <w:snapToGrid w:val="0"/>
        <w:spacing w:beforeAutospacing="0" w:after="60" w:afterAutospacing="0" w:line="276" w:lineRule="auto"/>
        <w:ind w:firstLine="720" w:firstLineChars="0"/>
        <w:jc w:val="both"/>
        <w:textAlignment w:val="auto"/>
        <w:rPr>
          <w:rFonts w:hint="default" w:ascii="Times New Roman" w:hAnsi="Times New Roman" w:cs="Times New Roman"/>
          <w:b w:val="0"/>
          <w:bCs w:val="0"/>
          <w:color w:val="auto"/>
          <w:sz w:val="28"/>
          <w:szCs w:val="28"/>
        </w:rPr>
      </w:pPr>
      <w:r>
        <w:rPr>
          <w:rFonts w:hint="default" w:ascii="Times New Roman" w:hAnsi="Times New Roman" w:eastAsia="SimSun" w:cs="Times New Roman"/>
          <w:color w:val="auto"/>
          <w:sz w:val="28"/>
          <w:szCs w:val="28"/>
        </w:rPr>
        <w:t>In summary, Viet Nam has achieved significant progress in advancing women’s rights and promoting gender equality across multiple sectors, including labor, political participation, education, business, healthcare, peacekeeping, and digital empowerment.</w:t>
      </w:r>
    </w:p>
    <w:p w14:paraId="2BE5ED73">
      <w:pPr>
        <w:keepNext w:val="0"/>
        <w:keepLines w:val="0"/>
        <w:pageBreakBefore w:val="0"/>
        <w:widowControl/>
        <w:kinsoku/>
        <w:wordWrap/>
        <w:overflowPunct/>
        <w:topLinePunct w:val="0"/>
        <w:autoSpaceDE/>
        <w:autoSpaceDN/>
        <w:bidi w:val="0"/>
        <w:adjustRightInd/>
        <w:snapToGrid w:val="0"/>
        <w:spacing w:beforeAutospacing="0" w:after="60" w:afterAutospacing="0" w:line="276" w:lineRule="auto"/>
        <w:ind w:firstLine="720" w:firstLineChars="0"/>
        <w:jc w:val="both"/>
        <w:textAlignment w:val="auto"/>
        <w:rPr>
          <w:rFonts w:hint="default" w:ascii="Times New Roman" w:hAnsi="Times New Roman" w:cs="Times New Roman"/>
          <w:b w:val="0"/>
          <w:bCs w:val="0"/>
          <w:color w:val="auto"/>
          <w:sz w:val="28"/>
          <w:szCs w:val="28"/>
        </w:rPr>
      </w:pPr>
      <w:r>
        <w:rPr>
          <w:rFonts w:hint="default" w:ascii="Times New Roman" w:hAnsi="Times New Roman" w:cs="Times New Roman"/>
          <w:b w:val="0"/>
          <w:bCs w:val="0"/>
          <w:color w:val="auto"/>
          <w:sz w:val="28"/>
          <w:szCs w:val="28"/>
        </w:rPr>
        <w:t>To further consolidate these achievements, several recommendations can be considered:</w:t>
      </w:r>
    </w:p>
    <w:p w14:paraId="4BE0CF70">
      <w:pPr>
        <w:keepNext w:val="0"/>
        <w:keepLines w:val="0"/>
        <w:pageBreakBefore w:val="0"/>
        <w:widowControl/>
        <w:numPr>
          <w:ilvl w:val="0"/>
          <w:numId w:val="1"/>
        </w:numPr>
        <w:kinsoku/>
        <w:wordWrap/>
        <w:overflowPunct/>
        <w:topLinePunct w:val="0"/>
        <w:autoSpaceDE/>
        <w:autoSpaceDN/>
        <w:bidi w:val="0"/>
        <w:adjustRightInd/>
        <w:snapToGrid w:val="0"/>
        <w:spacing w:beforeAutospacing="0" w:after="60" w:afterAutospacing="0" w:line="276" w:lineRule="auto"/>
        <w:ind w:firstLine="720" w:firstLineChars="0"/>
        <w:jc w:val="both"/>
        <w:textAlignment w:val="auto"/>
        <w:rPr>
          <w:rFonts w:hint="default" w:ascii="Times New Roman" w:hAnsi="Times New Roman" w:cs="Times New Roman"/>
          <w:b w:val="0"/>
          <w:bCs w:val="0"/>
          <w:color w:val="auto"/>
          <w:sz w:val="28"/>
          <w:szCs w:val="28"/>
        </w:rPr>
      </w:pPr>
      <w:r>
        <w:rPr>
          <w:rStyle w:val="13"/>
          <w:rFonts w:hint="default" w:ascii="Times New Roman" w:hAnsi="Times New Roman" w:cs="Times New Roman"/>
          <w:b w:val="0"/>
          <w:bCs w:val="0"/>
          <w:color w:val="auto"/>
          <w:sz w:val="28"/>
          <w:szCs w:val="28"/>
        </w:rPr>
        <w:t>Strengthen legal and institutional frameworks</w:t>
      </w:r>
      <w:r>
        <w:rPr>
          <w:rFonts w:hint="default" w:ascii="Times New Roman" w:hAnsi="Times New Roman" w:cs="Times New Roman"/>
          <w:b w:val="0"/>
          <w:bCs w:val="0"/>
          <w:color w:val="auto"/>
          <w:sz w:val="28"/>
          <w:szCs w:val="28"/>
        </w:rPr>
        <w:t xml:space="preserve"> to ensure comprehensive protection of female workers, including in informal and emerging sectors, and to support career advancement and leadership opportunities for women.</w:t>
      </w:r>
    </w:p>
    <w:p w14:paraId="03ABE206">
      <w:pPr>
        <w:keepNext w:val="0"/>
        <w:keepLines w:val="0"/>
        <w:pageBreakBefore w:val="0"/>
        <w:widowControl/>
        <w:numPr>
          <w:ilvl w:val="0"/>
          <w:numId w:val="1"/>
        </w:numPr>
        <w:kinsoku/>
        <w:wordWrap/>
        <w:overflowPunct/>
        <w:topLinePunct w:val="0"/>
        <w:autoSpaceDE/>
        <w:autoSpaceDN/>
        <w:bidi w:val="0"/>
        <w:adjustRightInd/>
        <w:snapToGrid w:val="0"/>
        <w:spacing w:beforeAutospacing="0" w:after="60" w:afterAutospacing="0" w:line="276" w:lineRule="auto"/>
        <w:ind w:firstLine="720" w:firstLineChars="0"/>
        <w:jc w:val="both"/>
        <w:textAlignment w:val="auto"/>
        <w:rPr>
          <w:rFonts w:hint="default" w:ascii="Times New Roman" w:hAnsi="Times New Roman" w:cs="Times New Roman"/>
          <w:b w:val="0"/>
          <w:bCs w:val="0"/>
          <w:color w:val="auto"/>
          <w:sz w:val="28"/>
          <w:szCs w:val="28"/>
        </w:rPr>
      </w:pPr>
      <w:r>
        <w:rPr>
          <w:rStyle w:val="13"/>
          <w:rFonts w:hint="default" w:ascii="Times New Roman" w:hAnsi="Times New Roman" w:cs="Times New Roman"/>
          <w:b w:val="0"/>
          <w:bCs w:val="0"/>
          <w:color w:val="auto"/>
          <w:sz w:val="28"/>
          <w:szCs w:val="28"/>
        </w:rPr>
        <w:t>Enhance targeted programs for vulnerable groups</w:t>
      </w:r>
      <w:r>
        <w:rPr>
          <w:rFonts w:hint="default" w:ascii="Times New Roman" w:hAnsi="Times New Roman" w:cs="Times New Roman"/>
          <w:b w:val="0"/>
          <w:bCs w:val="0"/>
          <w:color w:val="auto"/>
          <w:sz w:val="28"/>
          <w:szCs w:val="28"/>
        </w:rPr>
        <w:t>, particularly women and girls from ethnic minorities, remote areas, and low-income households, to reduce persistent gaps in education, digital skills, and economic participation.</w:t>
      </w:r>
    </w:p>
    <w:p w14:paraId="29AEF0AA">
      <w:pPr>
        <w:keepNext w:val="0"/>
        <w:keepLines w:val="0"/>
        <w:pageBreakBefore w:val="0"/>
        <w:widowControl/>
        <w:numPr>
          <w:ilvl w:val="0"/>
          <w:numId w:val="1"/>
        </w:numPr>
        <w:kinsoku/>
        <w:wordWrap/>
        <w:overflowPunct/>
        <w:topLinePunct w:val="0"/>
        <w:autoSpaceDE/>
        <w:autoSpaceDN/>
        <w:bidi w:val="0"/>
        <w:adjustRightInd/>
        <w:snapToGrid w:val="0"/>
        <w:spacing w:beforeAutospacing="0" w:after="60" w:afterAutospacing="0" w:line="276" w:lineRule="auto"/>
        <w:ind w:firstLine="720" w:firstLineChars="0"/>
        <w:jc w:val="both"/>
        <w:textAlignment w:val="auto"/>
        <w:rPr>
          <w:color w:val="auto"/>
        </w:rPr>
      </w:pPr>
      <w:r>
        <w:rPr>
          <w:rStyle w:val="13"/>
          <w:rFonts w:hint="default" w:ascii="Times New Roman" w:hAnsi="Times New Roman" w:cs="Times New Roman"/>
          <w:b w:val="0"/>
          <w:bCs w:val="0"/>
          <w:color w:val="auto"/>
          <w:sz w:val="28"/>
          <w:szCs w:val="28"/>
        </w:rPr>
        <w:t>Promote women’s leadership and participation</w:t>
      </w:r>
      <w:r>
        <w:rPr>
          <w:rFonts w:hint="default" w:ascii="Times New Roman" w:hAnsi="Times New Roman" w:cs="Times New Roman"/>
          <w:b w:val="0"/>
          <w:bCs w:val="0"/>
          <w:color w:val="auto"/>
          <w:sz w:val="28"/>
          <w:szCs w:val="28"/>
        </w:rPr>
        <w:t xml:space="preserve"> at all levels of governance, business, and public service through capacity-building initiatives</w:t>
      </w:r>
      <w:r>
        <w:rPr>
          <w:rFonts w:hint="default" w:ascii="Times New Roman" w:hAnsi="Times New Roman" w:cs="Times New Roman"/>
          <w:b w:val="0"/>
          <w:bCs w:val="0"/>
          <w:color w:val="auto"/>
          <w:sz w:val="28"/>
          <w:szCs w:val="28"/>
          <w:lang w:val="en-US"/>
        </w:rPr>
        <w:t xml:space="preserve">.  </w:t>
      </w:r>
    </w:p>
    <w:p w14:paraId="5A4B8EAC">
      <w:pPr>
        <w:keepNext w:val="0"/>
        <w:keepLines w:val="0"/>
        <w:pageBreakBefore w:val="0"/>
        <w:widowControl/>
        <w:kinsoku/>
        <w:wordWrap/>
        <w:overflowPunct/>
        <w:topLinePunct w:val="0"/>
        <w:autoSpaceDE/>
        <w:autoSpaceDN/>
        <w:bidi w:val="0"/>
        <w:adjustRightInd/>
        <w:snapToGrid w:val="0"/>
        <w:spacing w:beforeAutospacing="0" w:after="60" w:afterAutospacing="0" w:line="276" w:lineRule="auto"/>
        <w:jc w:val="both"/>
        <w:textAlignment w:val="auto"/>
        <w:rPr>
          <w:rFonts w:hint="default" w:ascii="Times New Roman" w:hAnsi="Times New Roman" w:cs="Times New Roman"/>
          <w:b w:val="0"/>
          <w:bCs w:val="0"/>
          <w:color w:val="auto"/>
          <w:sz w:val="28"/>
          <w:szCs w:val="28"/>
          <w:lang w:val="en-US"/>
        </w:rPr>
      </w:pPr>
    </w:p>
    <w:sectPr>
      <w:headerReference r:id="rId3" w:type="default"/>
      <w:pgSz w:w="11906" w:h="16838"/>
      <w:pgMar w:top="1134" w:right="1134" w:bottom="1134" w:left="1701" w:header="720" w:footer="720" w:gutter="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2760087"/>
      <w:docPartObj>
        <w:docPartGallery w:val="autotext"/>
      </w:docPartObj>
    </w:sdtPr>
    <w:sdtContent>
      <w:p w14:paraId="6BD927B8">
        <w:pPr>
          <w:pStyle w:val="10"/>
          <w:jc w:val="center"/>
        </w:pPr>
        <w:r>
          <w:fldChar w:fldCharType="begin"/>
        </w:r>
        <w:r>
          <w:instrText xml:space="preserve"> PAGE   \* MERGEFORMAT </w:instrText>
        </w:r>
        <w:r>
          <w:fldChar w:fldCharType="separate"/>
        </w:r>
        <w:r>
          <w:t>2</w:t>
        </w:r>
        <w:r>
          <w:fldChar w:fldCharType="end"/>
        </w:r>
      </w:p>
    </w:sdtContent>
  </w:sdt>
  <w:p w14:paraId="24C64227">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1D369A"/>
    <w:multiLevelType w:val="singleLevel"/>
    <w:tmpl w:val="721D369A"/>
    <w:lvl w:ilvl="0" w:tentative="0">
      <w:start w:val="1"/>
      <w:numFmt w:val="decimal"/>
      <w:suff w:val="space"/>
      <w:lvlText w:val="%1."/>
      <w:lvlJc w:val="left"/>
      <w:rPr>
        <w:rFonts w:hint="default" w:ascii="Times New Roman" w:hAnsi="Times New Roman" w:cs="Times New Roman"/>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609A"/>
    <w:rsid w:val="00031E7B"/>
    <w:rsid w:val="000331E2"/>
    <w:rsid w:val="00043AB6"/>
    <w:rsid w:val="00076064"/>
    <w:rsid w:val="000B69C6"/>
    <w:rsid w:val="000C109A"/>
    <w:rsid w:val="000D6BA6"/>
    <w:rsid w:val="0012563D"/>
    <w:rsid w:val="00136784"/>
    <w:rsid w:val="00172307"/>
    <w:rsid w:val="001C5615"/>
    <w:rsid w:val="001F01FA"/>
    <w:rsid w:val="00287744"/>
    <w:rsid w:val="002B4E3E"/>
    <w:rsid w:val="002E6016"/>
    <w:rsid w:val="003371F7"/>
    <w:rsid w:val="003D20ED"/>
    <w:rsid w:val="003F2A11"/>
    <w:rsid w:val="004D07E7"/>
    <w:rsid w:val="00505860"/>
    <w:rsid w:val="0051281A"/>
    <w:rsid w:val="00513018"/>
    <w:rsid w:val="005432FA"/>
    <w:rsid w:val="00570F0D"/>
    <w:rsid w:val="00575DDD"/>
    <w:rsid w:val="005815B5"/>
    <w:rsid w:val="00596158"/>
    <w:rsid w:val="005E4002"/>
    <w:rsid w:val="005F4DE9"/>
    <w:rsid w:val="00614B24"/>
    <w:rsid w:val="00656231"/>
    <w:rsid w:val="006D3CE9"/>
    <w:rsid w:val="006E7906"/>
    <w:rsid w:val="00704494"/>
    <w:rsid w:val="00737657"/>
    <w:rsid w:val="00747392"/>
    <w:rsid w:val="00874F94"/>
    <w:rsid w:val="008D2F69"/>
    <w:rsid w:val="00900FC4"/>
    <w:rsid w:val="00953A31"/>
    <w:rsid w:val="009E019F"/>
    <w:rsid w:val="00A56AFC"/>
    <w:rsid w:val="00A90AD2"/>
    <w:rsid w:val="00A940C4"/>
    <w:rsid w:val="00AB6FC8"/>
    <w:rsid w:val="00AE530D"/>
    <w:rsid w:val="00B269BB"/>
    <w:rsid w:val="00B45730"/>
    <w:rsid w:val="00BA0EF2"/>
    <w:rsid w:val="00BF0672"/>
    <w:rsid w:val="00BF2DE3"/>
    <w:rsid w:val="00C93DB2"/>
    <w:rsid w:val="00CB573E"/>
    <w:rsid w:val="00CC3704"/>
    <w:rsid w:val="00CD0004"/>
    <w:rsid w:val="00CE0ADB"/>
    <w:rsid w:val="00D715D7"/>
    <w:rsid w:val="00D85AAA"/>
    <w:rsid w:val="00DC012B"/>
    <w:rsid w:val="00E8558D"/>
    <w:rsid w:val="00E9135A"/>
    <w:rsid w:val="00EF1A98"/>
    <w:rsid w:val="00F047F7"/>
    <w:rsid w:val="00F22E69"/>
    <w:rsid w:val="00F60EC3"/>
    <w:rsid w:val="00F963BE"/>
    <w:rsid w:val="00FE6300"/>
    <w:rsid w:val="00FE72D6"/>
    <w:rsid w:val="0AC24DB3"/>
    <w:rsid w:val="10C41590"/>
    <w:rsid w:val="10D80231"/>
    <w:rsid w:val="172D3193"/>
    <w:rsid w:val="1AFA3372"/>
    <w:rsid w:val="1CB42226"/>
    <w:rsid w:val="22C55999"/>
    <w:rsid w:val="2E5C4674"/>
    <w:rsid w:val="2F5277B1"/>
    <w:rsid w:val="30DD1D84"/>
    <w:rsid w:val="3A167348"/>
    <w:rsid w:val="3C39515C"/>
    <w:rsid w:val="41B03F53"/>
    <w:rsid w:val="43D25540"/>
    <w:rsid w:val="44644441"/>
    <w:rsid w:val="45D05539"/>
    <w:rsid w:val="51DD691E"/>
    <w:rsid w:val="52C35CE4"/>
    <w:rsid w:val="586F0C14"/>
    <w:rsid w:val="6EC838F0"/>
    <w:rsid w:val="71FC6AE4"/>
    <w:rsid w:val="739326B3"/>
    <w:rsid w:val="76232660"/>
    <w:rsid w:val="779D609A"/>
    <w:rsid w:val="7FD051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3"/>
    <w:next w:val="1"/>
    <w:unhideWhenUsed/>
    <w:qFormat/>
    <w:uiPriority w:val="0"/>
    <w:pPr>
      <w:spacing w:beforeAutospacing="1" w:afterAutospacing="1"/>
      <w:outlineLvl w:val="2"/>
    </w:pPr>
    <w:rPr>
      <w:rFonts w:hint="eastAsia" w:ascii="SimSun" w:hAnsi="SimSun" w:eastAsia="SimSun" w:cs="Times New Roman"/>
      <w:b/>
      <w:bCs/>
      <w:sz w:val="27"/>
      <w:szCs w:val="27"/>
      <w:lang w:val="en-US" w:eastAsia="zh-CN" w:bidi="ar-SA"/>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Emphasis"/>
    <w:basedOn w:val="3"/>
    <w:qFormat/>
    <w:uiPriority w:val="20"/>
    <w:rPr>
      <w:i/>
      <w:iCs/>
    </w:rPr>
  </w:style>
  <w:style w:type="paragraph" w:styleId="6">
    <w:name w:val="footer"/>
    <w:basedOn w:val="1"/>
    <w:link w:val="16"/>
    <w:qFormat/>
    <w:uiPriority w:val="0"/>
    <w:pPr>
      <w:tabs>
        <w:tab w:val="center" w:pos="4680"/>
        <w:tab w:val="right" w:pos="9360"/>
      </w:tabs>
    </w:pPr>
  </w:style>
  <w:style w:type="character" w:styleId="7">
    <w:name w:val="footnote reference"/>
    <w:link w:val="8"/>
    <w:unhideWhenUsed/>
    <w:qFormat/>
    <w:uiPriority w:val="99"/>
    <w:rPr>
      <w:rFonts w:asciiTheme="minorHAnsi" w:hAnsiTheme="minorHAnsi" w:eastAsiaTheme="minorHAnsi" w:cstheme="minorBidi"/>
      <w:vertAlign w:val="superscript"/>
    </w:rPr>
  </w:style>
  <w:style w:type="paragraph" w:customStyle="1" w:styleId="8">
    <w:name w:val="Footnote symbol Car Zchn Zchn"/>
    <w:basedOn w:val="1"/>
    <w:link w:val="7"/>
    <w:qFormat/>
    <w:uiPriority w:val="99"/>
    <w:pPr>
      <w:suppressAutoHyphens/>
      <w:spacing w:after="0" w:line="240" w:lineRule="exact"/>
      <w:jc w:val="both"/>
    </w:pPr>
    <w:rPr>
      <w:rFonts w:asciiTheme="minorHAnsi" w:hAnsiTheme="minorHAnsi" w:eastAsiaTheme="minorHAnsi" w:cstheme="minorBidi"/>
      <w:vertAlign w:val="superscript"/>
    </w:rPr>
  </w:style>
  <w:style w:type="paragraph" w:styleId="9">
    <w:name w:val="footnote text"/>
    <w:basedOn w:val="1"/>
    <w:unhideWhenUsed/>
    <w:qFormat/>
    <w:uiPriority w:val="0"/>
    <w:pPr>
      <w:spacing w:after="0" w:line="240" w:lineRule="auto"/>
    </w:pPr>
    <w:rPr>
      <w:rFonts w:asciiTheme="minorHAnsi" w:hAnsiTheme="minorHAnsi" w:eastAsiaTheme="minorHAnsi" w:cstheme="minorBidi"/>
    </w:rPr>
  </w:style>
  <w:style w:type="paragraph" w:styleId="10">
    <w:name w:val="header"/>
    <w:basedOn w:val="1"/>
    <w:link w:val="15"/>
    <w:qFormat/>
    <w:uiPriority w:val="99"/>
    <w:pPr>
      <w:tabs>
        <w:tab w:val="center" w:pos="4680"/>
        <w:tab w:val="right" w:pos="9360"/>
      </w:tabs>
    </w:pPr>
  </w:style>
  <w:style w:type="character" w:styleId="11">
    <w:name w:val="Hyperlink"/>
    <w:basedOn w:val="3"/>
    <w:qFormat/>
    <w:uiPriority w:val="0"/>
    <w:rPr>
      <w:color w:val="0000FF"/>
      <w:u w:val="single"/>
    </w:rPr>
  </w:style>
  <w:style w:type="paragraph" w:styleId="12">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3">
    <w:name w:val="Strong"/>
    <w:basedOn w:val="3"/>
    <w:qFormat/>
    <w:uiPriority w:val="22"/>
    <w:rPr>
      <w:b/>
      <w:bCs/>
    </w:rPr>
  </w:style>
  <w:style w:type="paragraph" w:styleId="14">
    <w:name w:val="List Paragraph"/>
    <w:basedOn w:val="1"/>
    <w:qFormat/>
    <w:uiPriority w:val="99"/>
    <w:pPr>
      <w:ind w:left="720"/>
      <w:contextualSpacing/>
    </w:pPr>
  </w:style>
  <w:style w:type="character" w:customStyle="1" w:styleId="15">
    <w:name w:val="Header Char"/>
    <w:basedOn w:val="3"/>
    <w:link w:val="10"/>
    <w:qFormat/>
    <w:uiPriority w:val="99"/>
    <w:rPr>
      <w:rFonts w:asciiTheme="minorHAnsi" w:hAnsiTheme="minorHAnsi" w:eastAsiaTheme="minorEastAsia" w:cstheme="minorBidi"/>
      <w:lang w:eastAsia="zh-CN"/>
    </w:rPr>
  </w:style>
  <w:style w:type="character" w:customStyle="1" w:styleId="16">
    <w:name w:val="Footer Char"/>
    <w:basedOn w:val="3"/>
    <w:link w:val="6"/>
    <w:qFormat/>
    <w:uiPriority w:val="0"/>
    <w:rPr>
      <w:rFonts w:asciiTheme="minorHAnsi" w:hAnsiTheme="minorHAnsi" w:eastAsiaTheme="minorEastAsia" w:cstheme="minorBidi"/>
      <w:lang w:eastAsia="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1861</Words>
  <Characters>10613</Characters>
  <Lines>88</Lines>
  <Paragraphs>24</Paragraphs>
  <TotalTime>46</TotalTime>
  <ScaleCrop>false</ScaleCrop>
  <LinksUpToDate>false</LinksUpToDate>
  <CharactersWithSpaces>12450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2025-05-12T08:20:00Z</dcterms:created>
  <dc:creator>Hà Phan</dc:creator>
  <cp:lastModifiedBy>Hà Phan</cp:lastModifiedBy>
  <dcterms:modified xsi:type="dcterms:W3CDTF">2026-01-03T12:18:23Z</dcterms:modified>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318B5124B3374F2D8156C413C6B6F6F7_13</vt:lpwstr>
  </property>
</Properties>
</file>