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65BDC" w14:textId="77777777" w:rsidR="008B1F9D" w:rsidRPr="00482DFF" w:rsidRDefault="008B1F9D" w:rsidP="007F023F">
      <w:pPr>
        <w:spacing w:after="0" w:line="240" w:lineRule="auto"/>
        <w:contextualSpacing/>
        <w:rPr>
          <w:rFonts w:ascii="Arial Narrow" w:hAnsi="Arial Narrow"/>
          <w:b/>
        </w:rPr>
      </w:pPr>
      <w:r w:rsidRPr="00482DFF">
        <w:rPr>
          <w:rFonts w:ascii="Arial Narrow" w:hAnsi="Arial Narrow"/>
          <w:noProof/>
          <w:lang w:val="en-GB" w:eastAsia="en-GB"/>
        </w:rPr>
        <w:drawing>
          <wp:anchor distT="0" distB="0" distL="114300" distR="114300" simplePos="0" relativeHeight="251661312" behindDoc="0" locked="0" layoutInCell="1" allowOverlap="1" wp14:anchorId="0373608A" wp14:editId="7C4B2E0D">
            <wp:simplePos x="0" y="0"/>
            <wp:positionH relativeFrom="margin">
              <wp:align>left</wp:align>
            </wp:positionH>
            <wp:positionV relativeFrom="paragraph">
              <wp:posOffset>-242570</wp:posOffset>
            </wp:positionV>
            <wp:extent cx="1729740" cy="1153160"/>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rodh version definitiva compartir organizacione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9740" cy="1153160"/>
                    </a:xfrm>
                    <a:prstGeom prst="rect">
                      <a:avLst/>
                    </a:prstGeom>
                  </pic:spPr>
                </pic:pic>
              </a:graphicData>
            </a:graphic>
            <wp14:sizeRelH relativeFrom="page">
              <wp14:pctWidth>0</wp14:pctWidth>
            </wp14:sizeRelH>
            <wp14:sizeRelV relativeFrom="page">
              <wp14:pctHeight>0</wp14:pctHeight>
            </wp14:sizeRelV>
          </wp:anchor>
        </w:drawing>
      </w:r>
      <w:r w:rsidRPr="00482DFF">
        <w:rPr>
          <w:rFonts w:ascii="Arial Narrow" w:hAnsi="Arial Narrow"/>
          <w:noProof/>
          <w:lang w:val="en-GB" w:eastAsia="en-GB"/>
        </w:rPr>
        <w:drawing>
          <wp:anchor distT="0" distB="0" distL="114300" distR="114300" simplePos="0" relativeHeight="251660288" behindDoc="1" locked="0" layoutInCell="1" allowOverlap="1" wp14:anchorId="6B329118" wp14:editId="0DF546F9">
            <wp:simplePos x="0" y="0"/>
            <wp:positionH relativeFrom="column">
              <wp:posOffset>1828800</wp:posOffset>
            </wp:positionH>
            <wp:positionV relativeFrom="margin">
              <wp:posOffset>-114300</wp:posOffset>
            </wp:positionV>
            <wp:extent cx="1371600" cy="959485"/>
            <wp:effectExtent l="0" t="0" r="0" b="5715"/>
            <wp:wrapThrough wrapText="bothSides">
              <wp:wrapPolygon edited="0">
                <wp:start x="0" y="0"/>
                <wp:lineTo x="0" y="21157"/>
                <wp:lineTo x="21200" y="21157"/>
                <wp:lineTo x="21200" y="0"/>
                <wp:lineTo x="0" y="0"/>
              </wp:wrapPolygon>
            </wp:wrapThrough>
            <wp:docPr id="6" name="Imagen 6" descr="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red.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1600" cy="959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2DFF">
        <w:rPr>
          <w:rFonts w:ascii="Arial Narrow" w:hAnsi="Arial Narrow"/>
          <w:noProof/>
          <w:lang w:val="en-GB" w:eastAsia="en-GB"/>
        </w:rPr>
        <w:drawing>
          <wp:anchor distT="0" distB="0" distL="114300" distR="114300" simplePos="0" relativeHeight="251659264" behindDoc="0" locked="0" layoutInCell="1" allowOverlap="1" wp14:anchorId="15B07EAC" wp14:editId="2EF85983">
            <wp:simplePos x="0" y="0"/>
            <wp:positionH relativeFrom="column">
              <wp:posOffset>3202940</wp:posOffset>
            </wp:positionH>
            <wp:positionV relativeFrom="paragraph">
              <wp:posOffset>266700</wp:posOffset>
            </wp:positionV>
            <wp:extent cx="2740660" cy="533400"/>
            <wp:effectExtent l="0" t="0" r="254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066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2DFF">
        <w:rPr>
          <w:rFonts w:ascii="Arial Narrow" w:hAnsi="Arial Narrow" w:cs="Arial"/>
          <w:b/>
          <w:noProof/>
          <w:lang w:val="en-GB" w:eastAsia="en-GB"/>
        </w:rPr>
        <w:drawing>
          <wp:anchor distT="0" distB="0" distL="114300" distR="114300" simplePos="0" relativeHeight="251662336" behindDoc="0" locked="0" layoutInCell="1" allowOverlap="1" wp14:anchorId="088EC5F1" wp14:editId="684C6FBC">
            <wp:simplePos x="0" y="0"/>
            <wp:positionH relativeFrom="margin">
              <wp:posOffset>3200400</wp:posOffset>
            </wp:positionH>
            <wp:positionV relativeFrom="paragraph">
              <wp:posOffset>-228600</wp:posOffset>
            </wp:positionV>
            <wp:extent cx="2331720" cy="489585"/>
            <wp:effectExtent l="0" t="0" r="5080" b="0"/>
            <wp:wrapNone/>
            <wp:docPr id="10" name="Imagen 10" descr="C:\Users\usuario1\Downloads\cm_baj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uario1\Downloads\cm_baja.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1720" cy="489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7EED7F" w14:textId="77777777" w:rsidR="008B1F9D" w:rsidRPr="00482DFF" w:rsidRDefault="008B1F9D" w:rsidP="007F023F">
      <w:pPr>
        <w:autoSpaceDE w:val="0"/>
        <w:autoSpaceDN w:val="0"/>
        <w:adjustRightInd w:val="0"/>
        <w:spacing w:after="0" w:line="240" w:lineRule="auto"/>
        <w:contextualSpacing/>
        <w:jc w:val="right"/>
        <w:rPr>
          <w:rFonts w:ascii="Arial Narrow" w:hAnsi="Arial Narrow" w:cs="Helvetica-Bold"/>
          <w:b/>
          <w:bCs/>
        </w:rPr>
      </w:pPr>
    </w:p>
    <w:p w14:paraId="746A1486" w14:textId="77777777" w:rsidR="008B1F9D" w:rsidRPr="00482DFF" w:rsidRDefault="008B1F9D" w:rsidP="007F023F">
      <w:pPr>
        <w:autoSpaceDE w:val="0"/>
        <w:autoSpaceDN w:val="0"/>
        <w:adjustRightInd w:val="0"/>
        <w:spacing w:after="0" w:line="240" w:lineRule="auto"/>
        <w:contextualSpacing/>
        <w:jc w:val="right"/>
        <w:rPr>
          <w:rFonts w:ascii="Arial Narrow" w:hAnsi="Arial Narrow" w:cs="Helvetica-Bold"/>
          <w:b/>
          <w:bCs/>
        </w:rPr>
      </w:pPr>
    </w:p>
    <w:p w14:paraId="24A24E65" w14:textId="77777777" w:rsidR="008B1F9D" w:rsidRPr="00482DFF" w:rsidRDefault="008B1F9D" w:rsidP="007F023F">
      <w:pPr>
        <w:spacing w:after="0" w:line="240" w:lineRule="auto"/>
        <w:contextualSpacing/>
        <w:rPr>
          <w:rFonts w:ascii="Arial Narrow" w:hAnsi="Arial Narrow"/>
          <w:b/>
        </w:rPr>
      </w:pPr>
    </w:p>
    <w:p w14:paraId="01A639F5" w14:textId="77777777" w:rsidR="008B1F9D" w:rsidRPr="00482DFF" w:rsidRDefault="008B1F9D" w:rsidP="007F023F">
      <w:pPr>
        <w:spacing w:after="0" w:line="240" w:lineRule="auto"/>
        <w:contextualSpacing/>
        <w:rPr>
          <w:rFonts w:ascii="Arial Narrow" w:hAnsi="Arial Narrow"/>
          <w:b/>
        </w:rPr>
      </w:pPr>
    </w:p>
    <w:p w14:paraId="3D88E91E" w14:textId="77777777" w:rsidR="007F023F" w:rsidRPr="00482DFF" w:rsidRDefault="007F023F" w:rsidP="007F023F">
      <w:pPr>
        <w:spacing w:after="0" w:line="240" w:lineRule="auto"/>
        <w:ind w:left="4253"/>
        <w:contextualSpacing/>
        <w:jc w:val="both"/>
        <w:rPr>
          <w:rFonts w:ascii="Arial Narrow" w:hAnsi="Arial Narrow"/>
          <w:b/>
        </w:rPr>
      </w:pPr>
    </w:p>
    <w:p w14:paraId="3C6F2B56" w14:textId="77777777" w:rsidR="007F023F" w:rsidRPr="00482DFF" w:rsidRDefault="007F023F" w:rsidP="007F023F">
      <w:pPr>
        <w:spacing w:after="0" w:line="240" w:lineRule="auto"/>
        <w:ind w:left="4253"/>
        <w:contextualSpacing/>
        <w:jc w:val="both"/>
        <w:rPr>
          <w:rFonts w:ascii="Arial Narrow" w:hAnsi="Arial Narrow"/>
          <w:b/>
        </w:rPr>
      </w:pPr>
    </w:p>
    <w:p w14:paraId="610A277F" w14:textId="4863EC5B" w:rsidR="008B1F9D" w:rsidRPr="00482DFF" w:rsidRDefault="00DC75CE" w:rsidP="007F023F">
      <w:pPr>
        <w:spacing w:after="0" w:line="240" w:lineRule="auto"/>
        <w:ind w:left="4253"/>
        <w:contextualSpacing/>
        <w:jc w:val="both"/>
        <w:rPr>
          <w:rFonts w:ascii="Arial Narrow" w:hAnsi="Arial Narrow"/>
          <w:b/>
        </w:rPr>
      </w:pPr>
      <w:r w:rsidRPr="00482DFF">
        <w:rPr>
          <w:rFonts w:ascii="Arial Narrow" w:hAnsi="Arial Narrow"/>
          <w:b/>
        </w:rPr>
        <w:t>Ciudad de México, México a 12 de octubre de 2018.</w:t>
      </w:r>
    </w:p>
    <w:p w14:paraId="5D9A1584" w14:textId="77777777" w:rsidR="00DC75CE" w:rsidRPr="00482DFF" w:rsidRDefault="00DC75CE" w:rsidP="007F023F">
      <w:pPr>
        <w:spacing w:after="0" w:line="240" w:lineRule="auto"/>
        <w:ind w:left="4253"/>
        <w:contextualSpacing/>
        <w:jc w:val="both"/>
        <w:rPr>
          <w:rFonts w:ascii="Arial Narrow" w:hAnsi="Arial Narrow"/>
          <w:b/>
        </w:rPr>
      </w:pPr>
      <w:r w:rsidRPr="00482DFF">
        <w:rPr>
          <w:rFonts w:ascii="Arial Narrow" w:hAnsi="Arial Narrow"/>
          <w:b/>
        </w:rPr>
        <w:t xml:space="preserve">Ref: Envío de información adicional sobre el caso de los 43 estudiantes desaparecidos de la Escuela Normal Rural “Raúl Isidro Burgos” de Ayotzinapa, en el marco del próximo Diálogo del Comité contra la Desaparición Forzada con el Estado mexicano en su </w:t>
      </w:r>
      <w:r w:rsidR="00CC022B" w:rsidRPr="00482DFF">
        <w:rPr>
          <w:rFonts w:ascii="Arial Narrow" w:hAnsi="Arial Narrow"/>
          <w:b/>
        </w:rPr>
        <w:t>décimo quinta</w:t>
      </w:r>
      <w:r w:rsidRPr="00482DFF">
        <w:rPr>
          <w:rFonts w:ascii="Arial Narrow" w:hAnsi="Arial Narrow"/>
          <w:b/>
        </w:rPr>
        <w:t xml:space="preserve"> sesión, vinculada con el Informe Estatal </w:t>
      </w:r>
      <w:r w:rsidR="00CC022B" w:rsidRPr="00482DFF">
        <w:rPr>
          <w:rFonts w:ascii="Arial Narrow" w:hAnsi="Arial Narrow"/>
          <w:b/>
        </w:rPr>
        <w:t>(CED/C/MEX/CO/1/Add.2)</w:t>
      </w:r>
      <w:r w:rsidRPr="00482DFF">
        <w:rPr>
          <w:rFonts w:ascii="Arial Narrow" w:hAnsi="Arial Narrow"/>
          <w:b/>
        </w:rPr>
        <w:t>.</w:t>
      </w:r>
    </w:p>
    <w:p w14:paraId="7B386136" w14:textId="77777777" w:rsidR="00DC75CE" w:rsidRPr="00482DFF" w:rsidRDefault="00DC75CE" w:rsidP="007F023F">
      <w:pPr>
        <w:spacing w:after="0" w:line="240" w:lineRule="auto"/>
        <w:contextualSpacing/>
        <w:rPr>
          <w:rFonts w:ascii="Arial Narrow" w:hAnsi="Arial Narrow"/>
          <w:b/>
        </w:rPr>
      </w:pPr>
    </w:p>
    <w:p w14:paraId="3CF642EA" w14:textId="77777777" w:rsidR="00E07D23" w:rsidRPr="00482DFF" w:rsidRDefault="00E07D23" w:rsidP="007F023F">
      <w:pPr>
        <w:spacing w:after="0" w:line="240" w:lineRule="auto"/>
        <w:contextualSpacing/>
        <w:rPr>
          <w:rFonts w:ascii="Arial Narrow" w:hAnsi="Arial Narrow" w:cs="Arial"/>
          <w:b/>
        </w:rPr>
      </w:pPr>
      <w:r w:rsidRPr="00482DFF">
        <w:rPr>
          <w:rFonts w:ascii="Arial Narrow" w:hAnsi="Arial Narrow" w:cs="Arial"/>
          <w:b/>
        </w:rPr>
        <w:t>Honorables Integrantes del Comité contra la Desaparición Forzada:</w:t>
      </w:r>
    </w:p>
    <w:p w14:paraId="4E71CCDF" w14:textId="77777777" w:rsidR="00E07D23" w:rsidRPr="00482DFF" w:rsidRDefault="00E07D23" w:rsidP="007F023F">
      <w:pPr>
        <w:spacing w:after="0" w:line="240" w:lineRule="auto"/>
        <w:contextualSpacing/>
        <w:rPr>
          <w:rFonts w:ascii="Arial Narrow" w:hAnsi="Arial Narrow" w:cs="Arial"/>
        </w:rPr>
      </w:pPr>
    </w:p>
    <w:p w14:paraId="7ECD53E2" w14:textId="77777777" w:rsidR="00E07D23" w:rsidRPr="00482DFF" w:rsidRDefault="002D7A7C" w:rsidP="007F023F">
      <w:pPr>
        <w:spacing w:after="0" w:line="240" w:lineRule="auto"/>
        <w:contextualSpacing/>
        <w:jc w:val="both"/>
        <w:rPr>
          <w:rFonts w:ascii="Arial Narrow" w:hAnsi="Arial Narrow" w:cs="Arial"/>
        </w:rPr>
      </w:pPr>
      <w:r w:rsidRPr="00482DFF">
        <w:rPr>
          <w:rFonts w:ascii="Arial Narrow" w:hAnsi="Arial Narrow" w:cs="Arial"/>
        </w:rPr>
        <w:t xml:space="preserve">El </w:t>
      </w:r>
      <w:r w:rsidR="00E07D23" w:rsidRPr="00482DFF">
        <w:rPr>
          <w:rFonts w:ascii="Arial Narrow" w:hAnsi="Arial Narrow" w:cs="Arial"/>
        </w:rPr>
        <w:t xml:space="preserve">Centro de Derechos Humanos Miguel Agustín Pro Juárez, A.C. (Centro Prodh), el Centro de Derechos de la Montaña “Tlachinollan”, el Centro Regional de Defensa de los Derechos Humanos José María Morelos y Pavón, A.C., y la Red Guerrerense de Organismos Civiles de Derechos Humanos, nos dirigimos a ustedes en nuestra calidad de representantes de las víctimas de las graves violaciones vinculadas con la desaparición forzada de 43 jóvenes estudiantes de la Escuela Normal Rural Raúl Isidro Burgos de Ayotzinapa, Guerrero, ocurrida el 26 de septiembre de 2014.  </w:t>
      </w:r>
    </w:p>
    <w:p w14:paraId="2618133E" w14:textId="77777777" w:rsidR="00E07D23" w:rsidRPr="00482DFF" w:rsidRDefault="00E07D23" w:rsidP="007F023F">
      <w:pPr>
        <w:spacing w:after="0" w:line="240" w:lineRule="auto"/>
        <w:contextualSpacing/>
        <w:jc w:val="both"/>
        <w:rPr>
          <w:rFonts w:ascii="Arial Narrow" w:hAnsi="Arial Narrow" w:cs="Arial"/>
        </w:rPr>
      </w:pPr>
    </w:p>
    <w:p w14:paraId="04A6FB08" w14:textId="77777777" w:rsidR="00E07D23" w:rsidRPr="00482DFF" w:rsidRDefault="00E07D23" w:rsidP="007F023F">
      <w:pPr>
        <w:spacing w:after="0" w:line="240" w:lineRule="auto"/>
        <w:contextualSpacing/>
        <w:jc w:val="both"/>
        <w:rPr>
          <w:rFonts w:ascii="Arial Narrow" w:hAnsi="Arial Narrow" w:cs="Arial"/>
        </w:rPr>
      </w:pPr>
      <w:r w:rsidRPr="00482DFF">
        <w:rPr>
          <w:rFonts w:ascii="Arial Narrow" w:hAnsi="Arial Narrow" w:cs="Arial"/>
        </w:rPr>
        <w:t>Dichas violaciones a derechos humanos, cabe señalar, originaron las Acciones Urgentes AU 18-60/2014 y el Llamamiento Conjunto Urgente del Presidente-Relator del Grupo de Trabajo sobre las Desapariciones Forzadas o Involuntarias, del Relator Especial sobre la Tortura y Otros Tratos o Penas Crueles, Inhumanos o Degradantes y del Relator Especial sobre las Ejecuciones Extrajudiciales, Sumarias o Arbitrarias, de fecha 3 de octubre de 2014, entre otros muchos pronunciamientos de organismos internacionales, incluyendo las medidas cautelares</w:t>
      </w:r>
      <w:r w:rsidR="00567D90" w:rsidRPr="00482DFF">
        <w:rPr>
          <w:rFonts w:ascii="Arial Narrow" w:hAnsi="Arial Narrow" w:cs="Arial"/>
        </w:rPr>
        <w:t xml:space="preserve"> 409/14</w:t>
      </w:r>
      <w:r w:rsidRPr="00482DFF">
        <w:rPr>
          <w:rFonts w:ascii="Arial Narrow" w:hAnsi="Arial Narrow" w:cs="Arial"/>
        </w:rPr>
        <w:t xml:space="preserve"> otorgadas por la Comisión Interamerican</w:t>
      </w:r>
      <w:r w:rsidR="00567D90" w:rsidRPr="00482DFF">
        <w:rPr>
          <w:rFonts w:ascii="Arial Narrow" w:hAnsi="Arial Narrow" w:cs="Arial"/>
        </w:rPr>
        <w:t>a de Derechos Humanos (CIDH)</w:t>
      </w:r>
      <w:r w:rsidRPr="00482DFF">
        <w:rPr>
          <w:rFonts w:ascii="Arial Narrow" w:hAnsi="Arial Narrow" w:cs="Arial"/>
        </w:rPr>
        <w:t xml:space="preserve">. </w:t>
      </w:r>
    </w:p>
    <w:p w14:paraId="14F91CA7" w14:textId="77777777" w:rsidR="00E07D23" w:rsidRPr="00482DFF" w:rsidRDefault="00E07D23" w:rsidP="007F023F">
      <w:pPr>
        <w:spacing w:after="0" w:line="240" w:lineRule="auto"/>
        <w:contextualSpacing/>
        <w:jc w:val="both"/>
        <w:rPr>
          <w:rFonts w:ascii="Arial Narrow" w:hAnsi="Arial Narrow" w:cs="Arial"/>
        </w:rPr>
      </w:pPr>
    </w:p>
    <w:p w14:paraId="33CCF5BB" w14:textId="77777777" w:rsidR="00567D90" w:rsidRPr="00482DFF" w:rsidRDefault="00E07D23" w:rsidP="007F023F">
      <w:pPr>
        <w:spacing w:after="0" w:line="240" w:lineRule="auto"/>
        <w:contextualSpacing/>
        <w:jc w:val="both"/>
        <w:rPr>
          <w:rFonts w:ascii="Arial Narrow" w:hAnsi="Arial Narrow" w:cs="Arial"/>
        </w:rPr>
      </w:pPr>
      <w:r w:rsidRPr="00482DFF">
        <w:rPr>
          <w:rFonts w:ascii="Arial Narrow" w:hAnsi="Arial Narrow" w:cs="Arial"/>
        </w:rPr>
        <w:t xml:space="preserve">Dada la gravedad y relevancia </w:t>
      </w:r>
      <w:r w:rsidR="00567D90" w:rsidRPr="00482DFF">
        <w:rPr>
          <w:rFonts w:ascii="Arial Narrow" w:hAnsi="Arial Narrow" w:cs="Arial"/>
        </w:rPr>
        <w:t>del conocido “Caso Ayotzinapa”</w:t>
      </w:r>
      <w:r w:rsidRPr="00482DFF">
        <w:rPr>
          <w:rFonts w:ascii="Arial Narrow" w:hAnsi="Arial Narrow" w:cs="Arial"/>
        </w:rPr>
        <w:t xml:space="preserve">, </w:t>
      </w:r>
      <w:r w:rsidR="00567D90" w:rsidRPr="00482DFF">
        <w:rPr>
          <w:rFonts w:ascii="Arial Narrow" w:hAnsi="Arial Narrow" w:cs="Arial"/>
        </w:rPr>
        <w:t>reconocidas por el propio Comité contra las Desapariciones Forzadas (CED) en sus observaciones finales derivadas de la evaluación a México en la cumplimentación de sus compromisos convencionales</w:t>
      </w:r>
      <w:r w:rsidR="00567D90" w:rsidRPr="00482DFF">
        <w:rPr>
          <w:rStyle w:val="FootnoteReference"/>
          <w:rFonts w:ascii="Arial Narrow" w:hAnsi="Arial Narrow" w:cs="Arial"/>
        </w:rPr>
        <w:footnoteReference w:id="1"/>
      </w:r>
      <w:r w:rsidR="00567D90" w:rsidRPr="00482DFF">
        <w:rPr>
          <w:rFonts w:ascii="Arial Narrow" w:hAnsi="Arial Narrow" w:cs="Arial"/>
        </w:rPr>
        <w:t xml:space="preserve"> como una prueba de los serios desafíos que enfrenta el Estado </w:t>
      </w:r>
      <w:r w:rsidR="002D7A7C" w:rsidRPr="00482DFF">
        <w:rPr>
          <w:rFonts w:ascii="Arial Narrow" w:hAnsi="Arial Narrow" w:cs="Arial"/>
        </w:rPr>
        <w:t>mexicano</w:t>
      </w:r>
      <w:r w:rsidR="00567D90" w:rsidRPr="00482DFF">
        <w:rPr>
          <w:rFonts w:ascii="Arial Narrow" w:hAnsi="Arial Narrow" w:cs="Arial"/>
        </w:rPr>
        <w:t xml:space="preserve"> en materia de prevención, investigación y sanción de las desapariciones forzadas y búsqued</w:t>
      </w:r>
      <w:r w:rsidR="002D7A7C" w:rsidRPr="00482DFF">
        <w:rPr>
          <w:rFonts w:ascii="Arial Narrow" w:hAnsi="Arial Narrow" w:cs="Arial"/>
        </w:rPr>
        <w:t xml:space="preserve">a de las personas desaparecidas, presentamos información actualizada sobre el caso para el Diálogo de seguimiento del Comité con el Estado mexicano a llevarse a cabo en su próxima décimo quinta sesión. </w:t>
      </w:r>
    </w:p>
    <w:p w14:paraId="58FBD036" w14:textId="77777777" w:rsidR="002D7A7C" w:rsidRPr="00482DFF" w:rsidRDefault="002D7A7C" w:rsidP="007F023F">
      <w:pPr>
        <w:spacing w:after="0" w:line="240" w:lineRule="auto"/>
        <w:contextualSpacing/>
        <w:jc w:val="both"/>
        <w:rPr>
          <w:rFonts w:ascii="Arial Narrow" w:hAnsi="Arial Narrow" w:cs="Arial"/>
        </w:rPr>
      </w:pPr>
    </w:p>
    <w:p w14:paraId="4F6F9A2F" w14:textId="4BE2BEC5" w:rsidR="00253F24" w:rsidRPr="00482DFF" w:rsidRDefault="00253F24" w:rsidP="007F023F">
      <w:pPr>
        <w:spacing w:after="0" w:line="240" w:lineRule="auto"/>
        <w:contextualSpacing/>
        <w:jc w:val="both"/>
        <w:rPr>
          <w:rFonts w:ascii="Arial Narrow" w:hAnsi="Arial Narrow" w:cs="Arial"/>
        </w:rPr>
      </w:pPr>
      <w:r w:rsidRPr="00482DFF">
        <w:rPr>
          <w:rFonts w:ascii="Arial Narrow" w:hAnsi="Arial Narrow" w:cs="Arial"/>
        </w:rPr>
        <w:t xml:space="preserve">En ese contexto, a </w:t>
      </w:r>
      <w:r w:rsidR="0026503B" w:rsidRPr="00482DFF">
        <w:rPr>
          <w:rFonts w:ascii="Arial Narrow" w:hAnsi="Arial Narrow" w:cs="Arial"/>
        </w:rPr>
        <w:t>continuación,</w:t>
      </w:r>
      <w:r w:rsidRPr="00482DFF">
        <w:rPr>
          <w:rFonts w:ascii="Arial Narrow" w:hAnsi="Arial Narrow" w:cs="Arial"/>
        </w:rPr>
        <w:t xml:space="preserve"> nos referiremos</w:t>
      </w:r>
      <w:r w:rsidR="007F048F" w:rsidRPr="00482DFF">
        <w:rPr>
          <w:rFonts w:ascii="Arial Narrow" w:hAnsi="Arial Narrow" w:cs="Arial"/>
        </w:rPr>
        <w:t xml:space="preserve"> a la situación actual del caso </w:t>
      </w:r>
      <w:r w:rsidR="00440D4E" w:rsidRPr="00482DFF">
        <w:rPr>
          <w:rFonts w:ascii="Arial Narrow" w:hAnsi="Arial Narrow" w:cs="Arial"/>
        </w:rPr>
        <w:t>y las oport</w:t>
      </w:r>
      <w:r w:rsidR="001772AB" w:rsidRPr="00482DFF">
        <w:rPr>
          <w:rFonts w:ascii="Arial Narrow" w:hAnsi="Arial Narrow" w:cs="Arial"/>
        </w:rPr>
        <w:t>unidades que se han abierto en é</w:t>
      </w:r>
      <w:r w:rsidR="00440D4E" w:rsidRPr="00482DFF">
        <w:rPr>
          <w:rFonts w:ascii="Arial Narrow" w:hAnsi="Arial Narrow" w:cs="Arial"/>
        </w:rPr>
        <w:t>ste</w:t>
      </w:r>
      <w:r w:rsidR="001772AB" w:rsidRPr="00482DFF">
        <w:rPr>
          <w:rFonts w:ascii="Arial Narrow" w:hAnsi="Arial Narrow" w:cs="Arial"/>
        </w:rPr>
        <w:t xml:space="preserve"> </w:t>
      </w:r>
      <w:r w:rsidR="00440D4E" w:rsidRPr="00482DFF">
        <w:rPr>
          <w:rFonts w:ascii="Arial Narrow" w:hAnsi="Arial Narrow" w:cs="Arial"/>
        </w:rPr>
        <w:t xml:space="preserve">derivada de resoluciones judiciales, </w:t>
      </w:r>
      <w:r w:rsidR="007F048F" w:rsidRPr="00482DFF">
        <w:rPr>
          <w:rFonts w:ascii="Arial Narrow" w:hAnsi="Arial Narrow" w:cs="Arial"/>
        </w:rPr>
        <w:t xml:space="preserve">como un ejemplo de la respuesta estatal ante las obligaciones convencionales, </w:t>
      </w:r>
      <w:r w:rsidRPr="00482DFF">
        <w:rPr>
          <w:rFonts w:ascii="Arial Narrow" w:hAnsi="Arial Narrow" w:cs="Arial"/>
        </w:rPr>
        <w:t xml:space="preserve">sin dejar de mencionar que el Comité tiene conocimiento de los avances </w:t>
      </w:r>
      <w:r w:rsidR="00AE34F8" w:rsidRPr="00482DFF">
        <w:rPr>
          <w:rFonts w:ascii="Arial Narrow" w:hAnsi="Arial Narrow" w:cs="Arial"/>
        </w:rPr>
        <w:t>en el caso a lo largo de cuatro a</w:t>
      </w:r>
      <w:r w:rsidR="00E9722E" w:rsidRPr="00482DFF">
        <w:rPr>
          <w:rFonts w:ascii="Arial Narrow" w:hAnsi="Arial Narrow" w:cs="Arial"/>
        </w:rPr>
        <w:t>ño</w:t>
      </w:r>
      <w:r w:rsidR="0026503B" w:rsidRPr="00482DFF">
        <w:rPr>
          <w:rFonts w:ascii="Arial Narrow" w:hAnsi="Arial Narrow" w:cs="Arial"/>
        </w:rPr>
        <w:t>s</w:t>
      </w:r>
      <w:r w:rsidR="00E9722E" w:rsidRPr="00482DFF">
        <w:rPr>
          <w:rFonts w:ascii="Arial Narrow" w:hAnsi="Arial Narrow" w:cs="Arial"/>
        </w:rPr>
        <w:t xml:space="preserve"> de la desaparición forzada en el contexto de las Acciones Ur</w:t>
      </w:r>
      <w:r w:rsidR="007F048F" w:rsidRPr="00482DFF">
        <w:rPr>
          <w:rFonts w:ascii="Arial Narrow" w:hAnsi="Arial Narrow" w:cs="Arial"/>
        </w:rPr>
        <w:t xml:space="preserve">gentes mencionadas. </w:t>
      </w:r>
      <w:r w:rsidR="00501B06" w:rsidRPr="00482DFF">
        <w:rPr>
          <w:rFonts w:ascii="Arial Narrow" w:hAnsi="Arial Narrow" w:cs="Arial"/>
        </w:rPr>
        <w:t>En particular, los pendientes más apremiantes del caso en su totalidad han sido recientemente delineados en el Informe de Balance del Mecanismo Especial de Seguimiento al caso Ayotzinapa, presentado en junio del presente año</w:t>
      </w:r>
      <w:r w:rsidR="00501B06" w:rsidRPr="00482DFF">
        <w:rPr>
          <w:rStyle w:val="FootnoteReference"/>
          <w:rFonts w:ascii="Arial Narrow" w:hAnsi="Arial Narrow" w:cs="Arial"/>
        </w:rPr>
        <w:footnoteReference w:id="2"/>
      </w:r>
      <w:r w:rsidR="00501B06" w:rsidRPr="00482DFF">
        <w:rPr>
          <w:rFonts w:ascii="Arial Narrow" w:hAnsi="Arial Narrow" w:cs="Arial"/>
        </w:rPr>
        <w:t xml:space="preserve">. </w:t>
      </w:r>
    </w:p>
    <w:p w14:paraId="077ACC81" w14:textId="77777777" w:rsidR="00A7463A" w:rsidRPr="00482DFF" w:rsidRDefault="00A7463A" w:rsidP="007F023F">
      <w:pPr>
        <w:spacing w:after="0" w:line="240" w:lineRule="auto"/>
        <w:contextualSpacing/>
        <w:jc w:val="both"/>
        <w:rPr>
          <w:rFonts w:ascii="Arial Narrow" w:hAnsi="Arial Narrow" w:cs="Arial"/>
        </w:rPr>
      </w:pPr>
    </w:p>
    <w:p w14:paraId="43E8B1FC" w14:textId="77777777" w:rsidR="00A849FC" w:rsidRPr="00482DFF" w:rsidRDefault="00C63E5D" w:rsidP="007F023F">
      <w:pPr>
        <w:spacing w:after="0" w:line="240" w:lineRule="auto"/>
        <w:contextualSpacing/>
        <w:jc w:val="both"/>
        <w:rPr>
          <w:rFonts w:ascii="Arial Narrow" w:hAnsi="Arial Narrow"/>
          <w:b/>
        </w:rPr>
      </w:pPr>
      <w:r w:rsidRPr="00482DFF">
        <w:rPr>
          <w:rFonts w:ascii="Arial Narrow" w:hAnsi="Arial Narrow"/>
          <w:b/>
        </w:rPr>
        <w:lastRenderedPageBreak/>
        <w:t>1. Investigaciones de casos de desaparición forzada.</w:t>
      </w:r>
    </w:p>
    <w:p w14:paraId="5100F985" w14:textId="77777777" w:rsidR="00DC75CE" w:rsidRPr="00482DFF" w:rsidRDefault="00DC75CE" w:rsidP="007F023F">
      <w:pPr>
        <w:spacing w:after="0" w:line="240" w:lineRule="auto"/>
        <w:contextualSpacing/>
        <w:jc w:val="both"/>
        <w:rPr>
          <w:rFonts w:ascii="Arial Narrow" w:hAnsi="Arial Narrow"/>
          <w:b/>
        </w:rPr>
      </w:pPr>
    </w:p>
    <w:p w14:paraId="2D714F84" w14:textId="77777777" w:rsidR="00C63E5D" w:rsidRPr="00482DFF" w:rsidRDefault="00C63E5D" w:rsidP="007F023F">
      <w:pPr>
        <w:spacing w:after="0" w:line="240" w:lineRule="auto"/>
        <w:contextualSpacing/>
        <w:jc w:val="both"/>
        <w:rPr>
          <w:rFonts w:ascii="Arial Narrow" w:hAnsi="Arial Narrow"/>
          <w:b/>
        </w:rPr>
      </w:pPr>
      <w:r w:rsidRPr="00482DFF">
        <w:rPr>
          <w:rFonts w:ascii="Arial Narrow" w:hAnsi="Arial Narrow"/>
          <w:b/>
        </w:rPr>
        <w:t xml:space="preserve">En sus observaciones finales, el Comité hizo una recomendación específica sobre las investigaciones en casos donde haya motivos para creer que una persona ha sido sometida a desaparición forzada. </w:t>
      </w:r>
      <w:r w:rsidR="00B67F6E" w:rsidRPr="00482DFF">
        <w:rPr>
          <w:rFonts w:ascii="Arial Narrow" w:hAnsi="Arial Narrow"/>
          <w:b/>
        </w:rPr>
        <w:t>Así, recomendó en su párrafo 28:</w:t>
      </w:r>
    </w:p>
    <w:p w14:paraId="6F043984" w14:textId="77777777" w:rsidR="00B67F6E" w:rsidRPr="00482DFF" w:rsidRDefault="00B67F6E" w:rsidP="007F023F">
      <w:pPr>
        <w:spacing w:after="0" w:line="240" w:lineRule="auto"/>
        <w:contextualSpacing/>
        <w:jc w:val="both"/>
        <w:rPr>
          <w:rFonts w:ascii="Arial Narrow" w:hAnsi="Arial Narrow"/>
          <w:b/>
        </w:rPr>
      </w:pPr>
    </w:p>
    <w:p w14:paraId="101F707F" w14:textId="77777777" w:rsidR="00016BB3" w:rsidRPr="00482DFF" w:rsidRDefault="00016BB3" w:rsidP="007F023F">
      <w:pPr>
        <w:pStyle w:val="Default"/>
        <w:ind w:left="708"/>
        <w:contextualSpacing/>
        <w:jc w:val="both"/>
        <w:rPr>
          <w:rFonts w:ascii="Arial Narrow" w:hAnsi="Arial Narrow" w:cstheme="minorBidi"/>
          <w:i/>
          <w:color w:val="auto"/>
          <w:sz w:val="22"/>
          <w:szCs w:val="22"/>
        </w:rPr>
      </w:pPr>
      <w:r w:rsidRPr="00482DFF">
        <w:rPr>
          <w:rFonts w:ascii="Arial Narrow" w:hAnsi="Arial Narrow" w:cstheme="minorBidi"/>
          <w:i/>
          <w:color w:val="auto"/>
          <w:sz w:val="22"/>
          <w:szCs w:val="22"/>
        </w:rPr>
        <w:t xml:space="preserve">a) Garantizar que, cuando haya indicios para suponer que se pudiera haber cometido una desaparición forzada, se proceda, sin dilación, a investigar de manera efectiva a todos los agentes u órganos estatales que pudieran haber estado involucrados, </w:t>
      </w:r>
      <w:r w:rsidRPr="00482DFF">
        <w:rPr>
          <w:rFonts w:ascii="Arial Narrow" w:hAnsi="Arial Narrow" w:cstheme="minorBidi"/>
          <w:b/>
          <w:i/>
          <w:color w:val="auto"/>
          <w:sz w:val="22"/>
          <w:szCs w:val="22"/>
        </w:rPr>
        <w:t>así como a agotar todas las líneas de investigación</w:t>
      </w:r>
      <w:r w:rsidRPr="00482DFF">
        <w:rPr>
          <w:rFonts w:ascii="Arial Narrow" w:hAnsi="Arial Narrow" w:cstheme="minorBidi"/>
          <w:i/>
          <w:color w:val="auto"/>
          <w:sz w:val="22"/>
          <w:szCs w:val="22"/>
        </w:rPr>
        <w:t xml:space="preserve">; </w:t>
      </w:r>
    </w:p>
    <w:p w14:paraId="212B6F36" w14:textId="77777777" w:rsidR="00016BB3" w:rsidRPr="00482DFF" w:rsidRDefault="00016BB3" w:rsidP="007F023F">
      <w:pPr>
        <w:pStyle w:val="Default"/>
        <w:ind w:left="708"/>
        <w:contextualSpacing/>
        <w:jc w:val="both"/>
        <w:rPr>
          <w:rFonts w:ascii="Arial Narrow" w:hAnsi="Arial Narrow" w:cstheme="minorBidi"/>
          <w:i/>
          <w:color w:val="auto"/>
          <w:sz w:val="22"/>
          <w:szCs w:val="22"/>
        </w:rPr>
      </w:pPr>
      <w:r w:rsidRPr="00482DFF">
        <w:rPr>
          <w:rFonts w:ascii="Arial Narrow" w:hAnsi="Arial Narrow" w:cstheme="minorBidi"/>
          <w:i/>
          <w:color w:val="auto"/>
          <w:sz w:val="22"/>
          <w:szCs w:val="22"/>
        </w:rPr>
        <w:t xml:space="preserve">b) Fomentar y facilitar la </w:t>
      </w:r>
      <w:r w:rsidRPr="00482DFF">
        <w:rPr>
          <w:rFonts w:ascii="Arial Narrow" w:hAnsi="Arial Narrow" w:cstheme="minorBidi"/>
          <w:b/>
          <w:i/>
          <w:color w:val="auto"/>
          <w:sz w:val="22"/>
          <w:szCs w:val="22"/>
        </w:rPr>
        <w:t>participación de los allegados de la persona desaparecida en las investigaciones, sin que esto les confiera la responsabilidad</w:t>
      </w:r>
      <w:r w:rsidRPr="00482DFF">
        <w:rPr>
          <w:rFonts w:ascii="Arial Narrow" w:hAnsi="Arial Narrow" w:cstheme="minorBidi"/>
          <w:i/>
          <w:color w:val="auto"/>
          <w:sz w:val="22"/>
          <w:szCs w:val="22"/>
        </w:rPr>
        <w:t xml:space="preserve"> de producir las pruebas necesarias para la investigación; </w:t>
      </w:r>
    </w:p>
    <w:p w14:paraId="1A563181" w14:textId="77777777" w:rsidR="00016BB3" w:rsidRPr="00482DFF" w:rsidRDefault="00016BB3" w:rsidP="007F023F">
      <w:pPr>
        <w:pStyle w:val="Default"/>
        <w:ind w:left="708"/>
        <w:contextualSpacing/>
        <w:jc w:val="both"/>
        <w:rPr>
          <w:rFonts w:ascii="Arial Narrow" w:hAnsi="Arial Narrow" w:cstheme="minorBidi"/>
          <w:i/>
          <w:color w:val="auto"/>
          <w:sz w:val="22"/>
          <w:szCs w:val="22"/>
        </w:rPr>
      </w:pPr>
      <w:r w:rsidRPr="00482DFF">
        <w:rPr>
          <w:rFonts w:ascii="Arial Narrow" w:hAnsi="Arial Narrow" w:cstheme="minorBidi"/>
          <w:i/>
          <w:color w:val="auto"/>
          <w:sz w:val="22"/>
          <w:szCs w:val="22"/>
        </w:rPr>
        <w:t xml:space="preserve">c) Garantizar la efectiva coordinación y cooperación entre todos los órganos encargados de la investigación y asegurar que </w:t>
      </w:r>
      <w:r w:rsidRPr="00482DFF">
        <w:rPr>
          <w:rFonts w:ascii="Arial Narrow" w:hAnsi="Arial Narrow" w:cstheme="minorBidi"/>
          <w:b/>
          <w:i/>
          <w:color w:val="auto"/>
          <w:sz w:val="22"/>
          <w:szCs w:val="22"/>
        </w:rPr>
        <w:t>cuenten con las estructuras y los recursos técnicos, periciales, financieros y de personal</w:t>
      </w:r>
      <w:r w:rsidRPr="00482DFF">
        <w:rPr>
          <w:rFonts w:ascii="Arial Narrow" w:hAnsi="Arial Narrow" w:cstheme="minorBidi"/>
          <w:i/>
          <w:color w:val="auto"/>
          <w:sz w:val="22"/>
          <w:szCs w:val="22"/>
        </w:rPr>
        <w:t xml:space="preserve"> adecuados a fin de que puedan desempeñar sus funciones con celeridad y de manera eficaz; </w:t>
      </w:r>
    </w:p>
    <w:p w14:paraId="77B5CEE4" w14:textId="77777777" w:rsidR="00016BB3" w:rsidRPr="00482DFF" w:rsidRDefault="00016BB3" w:rsidP="007F023F">
      <w:pPr>
        <w:pStyle w:val="Default"/>
        <w:ind w:left="708"/>
        <w:contextualSpacing/>
        <w:jc w:val="both"/>
        <w:rPr>
          <w:rFonts w:ascii="Arial Narrow" w:hAnsi="Arial Narrow" w:cstheme="minorBidi"/>
          <w:color w:val="auto"/>
          <w:sz w:val="22"/>
          <w:szCs w:val="22"/>
        </w:rPr>
      </w:pPr>
      <w:r w:rsidRPr="00482DFF">
        <w:rPr>
          <w:rFonts w:ascii="Arial Narrow" w:hAnsi="Arial Narrow" w:cstheme="minorBidi"/>
          <w:i/>
          <w:color w:val="auto"/>
          <w:sz w:val="22"/>
          <w:szCs w:val="22"/>
        </w:rPr>
        <w:t xml:space="preserve">d) Tomar las medidas necesarias para garantizar que </w:t>
      </w:r>
      <w:r w:rsidRPr="00482DFF">
        <w:rPr>
          <w:rFonts w:ascii="Arial Narrow" w:hAnsi="Arial Narrow" w:cstheme="minorBidi"/>
          <w:b/>
          <w:i/>
          <w:color w:val="auto"/>
          <w:sz w:val="22"/>
          <w:szCs w:val="22"/>
        </w:rPr>
        <w:t>las fuerzas del orden o de seguridad</w:t>
      </w:r>
      <w:r w:rsidRPr="00482DFF">
        <w:rPr>
          <w:rFonts w:ascii="Arial Narrow" w:hAnsi="Arial Narrow" w:cstheme="minorBidi"/>
          <w:i/>
          <w:color w:val="auto"/>
          <w:sz w:val="22"/>
          <w:szCs w:val="22"/>
        </w:rPr>
        <w:t xml:space="preserve">, sean civiles o militares, cuyos miembros se encuentren </w:t>
      </w:r>
      <w:r w:rsidRPr="00482DFF">
        <w:rPr>
          <w:rFonts w:ascii="Arial Narrow" w:hAnsi="Arial Narrow" w:cstheme="minorBidi"/>
          <w:b/>
          <w:i/>
          <w:color w:val="auto"/>
          <w:sz w:val="22"/>
          <w:szCs w:val="22"/>
        </w:rPr>
        <w:t xml:space="preserve">bajo sospecha de haber cometido una desaparición forzada no participen en la investigación. </w:t>
      </w:r>
      <w:r w:rsidR="003F72C2" w:rsidRPr="00482DFF">
        <w:rPr>
          <w:rFonts w:ascii="Arial Narrow" w:hAnsi="Arial Narrow" w:cstheme="minorBidi"/>
          <w:color w:val="auto"/>
          <w:sz w:val="22"/>
          <w:szCs w:val="22"/>
        </w:rPr>
        <w:t xml:space="preserve">(El énfasis no se encuentra en el original) </w:t>
      </w:r>
    </w:p>
    <w:p w14:paraId="3678EC81" w14:textId="77777777" w:rsidR="00A76824" w:rsidRPr="00482DFF" w:rsidRDefault="00A76824" w:rsidP="007F023F">
      <w:pPr>
        <w:spacing w:after="0" w:line="240" w:lineRule="auto"/>
        <w:contextualSpacing/>
        <w:jc w:val="both"/>
        <w:rPr>
          <w:rFonts w:ascii="Arial Narrow" w:hAnsi="Arial Narrow"/>
        </w:rPr>
      </w:pPr>
    </w:p>
    <w:p w14:paraId="655BB695" w14:textId="03643604" w:rsidR="00016BB3" w:rsidRPr="00482DFF" w:rsidRDefault="00D43DF9" w:rsidP="007F023F">
      <w:pPr>
        <w:spacing w:after="0" w:line="240" w:lineRule="auto"/>
        <w:contextualSpacing/>
        <w:jc w:val="both"/>
        <w:rPr>
          <w:rFonts w:ascii="Arial Narrow" w:hAnsi="Arial Narrow"/>
        </w:rPr>
      </w:pPr>
      <w:r w:rsidRPr="00482DFF">
        <w:rPr>
          <w:rFonts w:ascii="Arial Narrow" w:hAnsi="Arial Narrow"/>
        </w:rPr>
        <w:t xml:space="preserve">En el informe del Estado mexicano, se refiere a lo establecido en la Ley General en materia de Desaparición Forzada de Personas, Desaparición cometida por Particulares y del Sistema Nacional de Búsqueda de Personas </w:t>
      </w:r>
      <w:r w:rsidR="0070251D" w:rsidRPr="00482DFF">
        <w:rPr>
          <w:rFonts w:ascii="Arial Narrow" w:hAnsi="Arial Narrow"/>
        </w:rPr>
        <w:t xml:space="preserve">(en adelante “Ley General”) </w:t>
      </w:r>
      <w:r w:rsidRPr="00482DFF">
        <w:rPr>
          <w:rFonts w:ascii="Arial Narrow" w:hAnsi="Arial Narrow"/>
        </w:rPr>
        <w:t xml:space="preserve">y su voluntad para implementar lo estipulado en la misma, resaltando </w:t>
      </w:r>
      <w:r w:rsidR="0070251D" w:rsidRPr="00482DFF">
        <w:rPr>
          <w:rFonts w:ascii="Arial Narrow" w:hAnsi="Arial Narrow"/>
        </w:rPr>
        <w:t>la</w:t>
      </w:r>
      <w:r w:rsidR="00FE6820" w:rsidRPr="00482DFF">
        <w:rPr>
          <w:rFonts w:ascii="Arial Narrow" w:hAnsi="Arial Narrow"/>
        </w:rPr>
        <w:t xml:space="preserve"> coadyuvancia de las familias de las personas desaparecidas </w:t>
      </w:r>
      <w:r w:rsidRPr="00482DFF">
        <w:rPr>
          <w:rFonts w:ascii="Arial Narrow" w:hAnsi="Arial Narrow"/>
        </w:rPr>
        <w:t>“en la investigación, búsqueda y localización de las personas desaparecidas o no localizadas, a quienes la autoridad les informa los avances y acciones de búsqueda en el marco de las investigaciones, además de considerar las aportaciones de los participantes, de acuerdo a la viabilidad jurídica de sus propuestas</w:t>
      </w:r>
      <w:r w:rsidR="00FE6820" w:rsidRPr="00482DFF">
        <w:rPr>
          <w:rFonts w:ascii="Arial Narrow" w:hAnsi="Arial Narrow"/>
        </w:rPr>
        <w:t>”</w:t>
      </w:r>
      <w:r w:rsidR="00FE6820" w:rsidRPr="00482DFF">
        <w:rPr>
          <w:rStyle w:val="FootnoteReference"/>
          <w:rFonts w:ascii="Arial Narrow" w:hAnsi="Arial Narrow"/>
        </w:rPr>
        <w:footnoteReference w:id="3"/>
      </w:r>
      <w:r w:rsidR="00FE6820" w:rsidRPr="00482DFF">
        <w:rPr>
          <w:rFonts w:ascii="Arial Narrow" w:hAnsi="Arial Narrow"/>
        </w:rPr>
        <w:t>.</w:t>
      </w:r>
      <w:r w:rsidR="0070251D" w:rsidRPr="00482DFF">
        <w:rPr>
          <w:rFonts w:ascii="Arial Narrow" w:hAnsi="Arial Narrow"/>
        </w:rPr>
        <w:t xml:space="preserve"> En su respuesta el Estado resalta sus acciones en mesas de trabajo de la Fiscalía Especializada de Búsqueda de Personas Desaparecidas con familiares de personas desaparecidas para impulsar acciones de búsqueda e investigación </w:t>
      </w:r>
      <w:r w:rsidR="009D5F15" w:rsidRPr="00482DFF">
        <w:rPr>
          <w:rFonts w:ascii="Arial Narrow" w:hAnsi="Arial Narrow"/>
        </w:rPr>
        <w:t>conforme a la nueva Ley General.</w:t>
      </w:r>
    </w:p>
    <w:p w14:paraId="0A786CDD" w14:textId="77777777" w:rsidR="0070251D" w:rsidRPr="00482DFF" w:rsidRDefault="0070251D" w:rsidP="007F023F">
      <w:pPr>
        <w:spacing w:after="0" w:line="240" w:lineRule="auto"/>
        <w:contextualSpacing/>
        <w:jc w:val="both"/>
        <w:rPr>
          <w:rFonts w:ascii="Arial Narrow" w:hAnsi="Arial Narrow"/>
        </w:rPr>
      </w:pPr>
    </w:p>
    <w:p w14:paraId="48F521FE" w14:textId="1A3B151E"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En es</w:t>
      </w:r>
      <w:r w:rsidR="00B31087" w:rsidRPr="00482DFF">
        <w:rPr>
          <w:rFonts w:ascii="Arial Narrow" w:hAnsi="Arial Narrow"/>
        </w:rPr>
        <w:t xml:space="preserve">e contexto, se vuelven relevantes las </w:t>
      </w:r>
      <w:r w:rsidRPr="00482DFF">
        <w:rPr>
          <w:rFonts w:ascii="Arial Narrow" w:hAnsi="Arial Narrow"/>
        </w:rPr>
        <w:t>decisiones judiciales que han abierto nuevas oportunidades para que las familias</w:t>
      </w:r>
      <w:r w:rsidR="00B31087" w:rsidRPr="00482DFF">
        <w:rPr>
          <w:rFonts w:ascii="Arial Narrow" w:hAnsi="Arial Narrow"/>
        </w:rPr>
        <w:t xml:space="preserve"> de los 43 estudiantes desaparecidos de Ayotzinapa</w:t>
      </w:r>
      <w:r w:rsidRPr="00482DFF">
        <w:rPr>
          <w:rFonts w:ascii="Arial Narrow" w:hAnsi="Arial Narrow"/>
        </w:rPr>
        <w:t xml:space="preserve"> puedan acceder a la verdad y a la justicia. Nos referimos a las sentencias del Primer Tribunal Colegiado de Circuito del Décimo Noveno Circuito</w:t>
      </w:r>
      <w:r w:rsidRPr="00482DFF">
        <w:rPr>
          <w:rFonts w:ascii="Arial Narrow" w:hAnsi="Arial Narrow"/>
          <w:vertAlign w:val="superscript"/>
        </w:rPr>
        <w:footnoteReference w:id="4"/>
      </w:r>
      <w:r w:rsidRPr="00482DFF">
        <w:rPr>
          <w:rFonts w:ascii="Arial Narrow" w:hAnsi="Arial Narrow"/>
        </w:rPr>
        <w:t>, en los amparos en revisión 203/2017 al 206/2017, resueltas por unanimidad en sesión pública de 31 de mayo de 2018,</w:t>
      </w:r>
      <w:r w:rsidR="004539D6" w:rsidRPr="00482DFF">
        <w:rPr>
          <w:rFonts w:ascii="Arial Narrow" w:hAnsi="Arial Narrow"/>
        </w:rPr>
        <w:t xml:space="preserve"> y las subsecuentes dictadas dentro de los incidentes de inejecución de sentencia 4/2018 al 7/2018 emitidas por el mismo Tribunal Colegiado en sesión del 20 de septiembre de 2018,</w:t>
      </w:r>
      <w:r w:rsidRPr="00482DFF">
        <w:rPr>
          <w:rFonts w:ascii="Arial Narrow" w:hAnsi="Arial Narrow"/>
        </w:rPr>
        <w:t xml:space="preserve"> en las que dicha instancia judicial ordenó reponer la investigación del caso Ayotzinapa dada la gravedad de las irregularidades detectadas, así como la creación de una Comisión de Investigación para la Verdad y la Justica en el caso.</w:t>
      </w:r>
    </w:p>
    <w:p w14:paraId="7F25E097" w14:textId="77777777" w:rsidR="009D5F15" w:rsidRPr="00482DFF" w:rsidRDefault="009D5F15" w:rsidP="007F023F">
      <w:pPr>
        <w:spacing w:after="0" w:line="240" w:lineRule="auto"/>
        <w:contextualSpacing/>
        <w:jc w:val="both"/>
        <w:rPr>
          <w:rFonts w:ascii="Arial Narrow" w:hAnsi="Arial Narrow"/>
        </w:rPr>
      </w:pPr>
    </w:p>
    <w:p w14:paraId="6B260075" w14:textId="617C8698"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El contenido de esta</w:t>
      </w:r>
      <w:r w:rsidR="004539D6" w:rsidRPr="00482DFF">
        <w:rPr>
          <w:rFonts w:ascii="Arial Narrow" w:hAnsi="Arial Narrow"/>
        </w:rPr>
        <w:t>s</w:t>
      </w:r>
      <w:r w:rsidRPr="00482DFF">
        <w:rPr>
          <w:rFonts w:ascii="Arial Narrow" w:hAnsi="Arial Narrow"/>
        </w:rPr>
        <w:t xml:space="preserve"> sentencia</w:t>
      </w:r>
      <w:r w:rsidR="004539D6" w:rsidRPr="00482DFF">
        <w:rPr>
          <w:rFonts w:ascii="Arial Narrow" w:hAnsi="Arial Narrow"/>
        </w:rPr>
        <w:t>s</w:t>
      </w:r>
      <w:r w:rsidRPr="00482DFF">
        <w:rPr>
          <w:rFonts w:ascii="Arial Narrow" w:hAnsi="Arial Narrow"/>
        </w:rPr>
        <w:t xml:space="preserve"> es tan innovador como inesperado, ya que el juicio revisaba los cargos en contra de los procesados, analizando los autos de formal prisión (es decir, de vinculación a proceso) que se les habían dictado. De este modo, aplicando los marcos constitucionales e internacionales de protección de derechos humanos, el Tribunal Colegiado extendió la protección constitucional a favor de las familias de los 43 estudiantes desaparecidos desde la noche del 26 y la madrugada del 27 de septiembre de 2014.</w:t>
      </w:r>
    </w:p>
    <w:p w14:paraId="2BEC6F3B" w14:textId="77777777" w:rsidR="009D5F15" w:rsidRPr="00482DFF" w:rsidRDefault="009D5F15" w:rsidP="007F023F">
      <w:pPr>
        <w:spacing w:after="0" w:line="240" w:lineRule="auto"/>
        <w:contextualSpacing/>
        <w:jc w:val="both"/>
        <w:rPr>
          <w:rFonts w:ascii="Arial Narrow" w:hAnsi="Arial Narrow"/>
        </w:rPr>
      </w:pPr>
    </w:p>
    <w:p w14:paraId="28740579" w14:textId="77777777"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 xml:space="preserve">Aunado a lo anterior, la sentencia retomó detalladamente la importancia de la asistencia técnica proporcionada por diversos mecanismos internacionales de derechos humanos, incluida la de la Comisión Interamericana de Derechos Humanos (CIDH) mediante el Grupo Interdisciplinario de Expertos Independientes (GIEI) y el Mecanismo Especial de Seguimiento (MES), así como la relevancia de la supervisión internacional para que el caso sea esclarecido, como la prevista por la propia Oficina del Alto Comisionado de las Naciones Unidas para los Derechos Humanos (OACNUDH) en México, como se detallará adelante. </w:t>
      </w:r>
    </w:p>
    <w:p w14:paraId="0602C109" w14:textId="77777777" w:rsidR="009D5F15" w:rsidRPr="00482DFF" w:rsidRDefault="009D5F15" w:rsidP="007F023F">
      <w:pPr>
        <w:spacing w:after="0" w:line="240" w:lineRule="auto"/>
        <w:contextualSpacing/>
        <w:jc w:val="both"/>
        <w:rPr>
          <w:rFonts w:ascii="Arial Narrow" w:hAnsi="Arial Narrow"/>
        </w:rPr>
      </w:pPr>
    </w:p>
    <w:p w14:paraId="32B43416" w14:textId="77777777"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La ejecución de esta sentencia abre –como lo han expresado públicamente las propias familias– una nueva puerta de esp</w:t>
      </w:r>
      <w:r w:rsidR="000261FE" w:rsidRPr="00482DFF">
        <w:rPr>
          <w:rFonts w:ascii="Arial Narrow" w:hAnsi="Arial Narrow"/>
        </w:rPr>
        <w:t xml:space="preserve">eranza para alcanzar la verdad. Sin embargo, contrario a lo que informa el Estado mexicano en su respuesta al Comité, en esta ocasión, las </w:t>
      </w:r>
      <w:r w:rsidR="00782F84" w:rsidRPr="00482DFF">
        <w:rPr>
          <w:rFonts w:ascii="Arial Narrow" w:hAnsi="Arial Narrow"/>
        </w:rPr>
        <w:t>instituciones</w:t>
      </w:r>
      <w:r w:rsidR="000261FE" w:rsidRPr="00482DFF">
        <w:rPr>
          <w:rFonts w:ascii="Arial Narrow" w:hAnsi="Arial Narrow"/>
        </w:rPr>
        <w:t xml:space="preserve"> federales han emprendido un embate desproporcionado contra la sentencia poniendo </w:t>
      </w:r>
      <w:r w:rsidRPr="00482DFF">
        <w:rPr>
          <w:rFonts w:ascii="Arial Narrow" w:hAnsi="Arial Narrow"/>
        </w:rPr>
        <w:t xml:space="preserve">en duda la voluntad de esta administración para </w:t>
      </w:r>
      <w:r w:rsidR="000261FE" w:rsidRPr="00482DFF">
        <w:rPr>
          <w:rFonts w:ascii="Arial Narrow" w:hAnsi="Arial Narrow"/>
        </w:rPr>
        <w:t>esclarecer los hechos de un caso que ha marcado su ejercicio en materia de derechos humanos.</w:t>
      </w:r>
    </w:p>
    <w:p w14:paraId="463F0436" w14:textId="77777777" w:rsidR="000261FE" w:rsidRPr="00482DFF" w:rsidRDefault="000261FE" w:rsidP="007F023F">
      <w:pPr>
        <w:spacing w:after="0" w:line="240" w:lineRule="auto"/>
        <w:contextualSpacing/>
        <w:jc w:val="both"/>
        <w:rPr>
          <w:rFonts w:ascii="Arial Narrow" w:hAnsi="Arial Narrow"/>
        </w:rPr>
      </w:pPr>
    </w:p>
    <w:p w14:paraId="7A916BBF" w14:textId="58668743" w:rsidR="000261FE" w:rsidRPr="00482DFF" w:rsidRDefault="000261FE" w:rsidP="007F023F">
      <w:pPr>
        <w:spacing w:after="0" w:line="240" w:lineRule="auto"/>
        <w:contextualSpacing/>
        <w:jc w:val="both"/>
        <w:rPr>
          <w:rFonts w:ascii="Arial Narrow" w:hAnsi="Arial Narrow"/>
        </w:rPr>
      </w:pPr>
      <w:r w:rsidRPr="00482DFF">
        <w:rPr>
          <w:rFonts w:ascii="Arial Narrow" w:hAnsi="Arial Narrow"/>
        </w:rPr>
        <w:t xml:space="preserve">A </w:t>
      </w:r>
      <w:r w:rsidR="004E1D65" w:rsidRPr="00482DFF">
        <w:rPr>
          <w:rFonts w:ascii="Arial Narrow" w:hAnsi="Arial Narrow"/>
        </w:rPr>
        <w:t>continuación,</w:t>
      </w:r>
      <w:r w:rsidR="001A107C" w:rsidRPr="00482DFF">
        <w:rPr>
          <w:rFonts w:ascii="Arial Narrow" w:hAnsi="Arial Narrow"/>
        </w:rPr>
        <w:t xml:space="preserve"> nos referiremos a los puntos relevantes de las sentencias, que detallan, como a pesar de los av</w:t>
      </w:r>
      <w:r w:rsidR="004E1D65" w:rsidRPr="00482DFF">
        <w:rPr>
          <w:rFonts w:ascii="Arial Narrow" w:hAnsi="Arial Narrow"/>
        </w:rPr>
        <w:t xml:space="preserve">ances legislativos y normativos en la materia, las investigaciones en casos de desaparición forzada, incluso en aquellos donde hay supervisión internacional, </w:t>
      </w:r>
      <w:r w:rsidR="00FF113F" w:rsidRPr="00482DFF">
        <w:rPr>
          <w:rFonts w:ascii="Arial Narrow" w:hAnsi="Arial Narrow"/>
        </w:rPr>
        <w:t xml:space="preserve">no cumplen con las obligaciones convencionales adquiridas por el Estado mexicano. </w:t>
      </w:r>
    </w:p>
    <w:p w14:paraId="37DF8050" w14:textId="77777777" w:rsidR="009D5F15" w:rsidRPr="00482DFF" w:rsidRDefault="009D5F15" w:rsidP="007F023F">
      <w:pPr>
        <w:spacing w:after="0" w:line="240" w:lineRule="auto"/>
        <w:contextualSpacing/>
        <w:rPr>
          <w:rFonts w:ascii="Arial Narrow" w:hAnsi="Arial Narrow"/>
        </w:rPr>
      </w:pPr>
    </w:p>
    <w:p w14:paraId="144A55B5" w14:textId="77777777" w:rsidR="009D5F15" w:rsidRPr="00482DFF" w:rsidRDefault="009D5F15" w:rsidP="007F023F">
      <w:pPr>
        <w:numPr>
          <w:ilvl w:val="0"/>
          <w:numId w:val="1"/>
        </w:numPr>
        <w:spacing w:after="0" w:line="240" w:lineRule="auto"/>
        <w:contextualSpacing/>
        <w:rPr>
          <w:rFonts w:ascii="Arial Narrow" w:hAnsi="Arial Narrow"/>
          <w:b/>
        </w:rPr>
      </w:pPr>
      <w:r w:rsidRPr="00482DFF">
        <w:rPr>
          <w:rFonts w:ascii="Arial Narrow" w:hAnsi="Arial Narrow"/>
          <w:b/>
        </w:rPr>
        <w:t>Antecedentes de la sentencia del Tribunal Colegiado de Circuito</w:t>
      </w:r>
    </w:p>
    <w:p w14:paraId="02C6AFAA" w14:textId="77777777" w:rsidR="009D5F15" w:rsidRPr="00482DFF" w:rsidRDefault="009D5F15" w:rsidP="007F023F">
      <w:pPr>
        <w:spacing w:after="0" w:line="240" w:lineRule="auto"/>
        <w:contextualSpacing/>
        <w:jc w:val="both"/>
        <w:rPr>
          <w:rFonts w:ascii="Arial Narrow" w:hAnsi="Arial Narrow"/>
        </w:rPr>
      </w:pPr>
    </w:p>
    <w:p w14:paraId="1B4DB4FF" w14:textId="77777777"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 xml:space="preserve">Como es conocido por el Comité, después de los hechos del 26 de septiembre de 2014, han sido detenidas alrededor de 120 personas, siendo solo 65 de éstas las directamente imputadas por la comisión de delitos cometidos contra los estudiantes. Desde 2014, la gran mayoría de dichos procesados fueron puestos a disposición de órganos jurisdiccionales federales con sede en Tamaulipas, debido a que la Procuraduría General de la República (PGR) adujo que no había condiciones de seguridad para llevar adelante los procesos en el estado de Guerrero, como habría tenido que ocurrir en razón del lugar de los hechos, invocando el artículo 10 del Código Federal de Procedimientos Penales.    </w:t>
      </w:r>
    </w:p>
    <w:p w14:paraId="0F2562E0" w14:textId="77777777" w:rsidR="009D5F15" w:rsidRPr="00482DFF" w:rsidRDefault="009D5F15" w:rsidP="007F023F">
      <w:pPr>
        <w:spacing w:after="0" w:line="240" w:lineRule="auto"/>
        <w:contextualSpacing/>
        <w:jc w:val="both"/>
        <w:rPr>
          <w:rFonts w:ascii="Arial Narrow" w:hAnsi="Arial Narrow"/>
        </w:rPr>
      </w:pPr>
    </w:p>
    <w:p w14:paraId="284ED363" w14:textId="77777777"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 xml:space="preserve">En estos casos, los acusados fueron vinculados a proceso mediante el dictado de diversos autos de formal prisión; es decir, se les dictó una resolución jurisdiccional que les vinculó a proceso por considerarlos probables responsables de diversos delitos. Como es su derecho, los acusados promovieron diversos recursos para combatir estos autos de formal prisión. </w:t>
      </w:r>
    </w:p>
    <w:p w14:paraId="731056A7" w14:textId="77777777" w:rsidR="009D5F15" w:rsidRPr="00482DFF" w:rsidRDefault="009D5F15" w:rsidP="007F023F">
      <w:pPr>
        <w:spacing w:after="0" w:line="240" w:lineRule="auto"/>
        <w:contextualSpacing/>
        <w:rPr>
          <w:rFonts w:ascii="Arial Narrow" w:hAnsi="Arial Narrow"/>
        </w:rPr>
      </w:pPr>
    </w:p>
    <w:p w14:paraId="54D92EC4" w14:textId="77777777"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En este contexto, nueve personas detenidas, a quienes en su momento la PGR señaló como integrantes de Guerreros Unidos y a las que se les dictó auto de formal prisión por el delito de delincuencia organizada, dentro de la causa penal 123/2014 instruida por el Primer Juez de Distrito del Décimo Noveno Circuito, con sede en Matamoros, Tamaulipas, promovieron recurso de apelación a través del Defensor Público Federal. Al resolver ese recurso, un tribunal de segunda instancia confirmó el auto de formal prisión. Por ello, interpusieron demanda de amparo. Ese juicio constitucional fue resuelto el 19 de mayo de 2017 por el Tercer Tribunal Unitario del mismo Circuito Judicial, instancia que resolvió reponer el procedimiento en contra de los detenidos, con la finalidad de que las víctimas (es decir, las familias de los 43 normalistas desaparecidos) y sus representantes fueran notificadas y pudiesen tener intervención en dicho proceso desde el comienzo.</w:t>
      </w:r>
    </w:p>
    <w:p w14:paraId="2AE3F6D6" w14:textId="77777777" w:rsidR="009D5F15" w:rsidRPr="00482DFF" w:rsidRDefault="009D5F15" w:rsidP="007F023F">
      <w:pPr>
        <w:spacing w:after="0" w:line="240" w:lineRule="auto"/>
        <w:contextualSpacing/>
        <w:rPr>
          <w:rFonts w:ascii="Arial Narrow" w:hAnsi="Arial Narrow"/>
        </w:rPr>
      </w:pPr>
    </w:p>
    <w:p w14:paraId="06813D39" w14:textId="77777777"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Lo anterior en razón de que en la causa penal 123/2014 las familias de los estudiantes desaparecidos de Ayotzinapa no tenían reconocimiento de víctimas, pues de acuerdo con la práctica general en casos de delincuencia organizada, se determina la inexistencia de las víctimas pues se asume que la afectación es contra la “sociedad” en su conjunto.</w:t>
      </w:r>
    </w:p>
    <w:p w14:paraId="27166024" w14:textId="77777777" w:rsidR="009D5F15" w:rsidRPr="00482DFF" w:rsidRDefault="009D5F15" w:rsidP="007F023F">
      <w:pPr>
        <w:spacing w:after="0" w:line="240" w:lineRule="auto"/>
        <w:contextualSpacing/>
        <w:jc w:val="both"/>
        <w:rPr>
          <w:rFonts w:ascii="Arial Narrow" w:hAnsi="Arial Narrow"/>
        </w:rPr>
      </w:pPr>
    </w:p>
    <w:p w14:paraId="207313E8" w14:textId="591BBCE9" w:rsidR="009D5F15" w:rsidRPr="00482DFF" w:rsidRDefault="009D5F15" w:rsidP="007F023F">
      <w:pPr>
        <w:spacing w:after="0" w:line="240" w:lineRule="auto"/>
        <w:contextualSpacing/>
        <w:jc w:val="both"/>
        <w:rPr>
          <w:rFonts w:ascii="Arial Narrow" w:hAnsi="Arial Narrow"/>
        </w:rPr>
      </w:pPr>
      <w:r w:rsidRPr="00482DFF">
        <w:rPr>
          <w:rFonts w:ascii="Arial Narrow" w:hAnsi="Arial Narrow"/>
        </w:rPr>
        <w:t xml:space="preserve">Inconforme con la decisión del Tribunal Unitario, el Agente del Ministerio Público de la Federación adscrito al Tercer Tribunal Unitario del mismo Circuito Judicial -es decir, la propia PGR- interpuso recurso de revisión, </w:t>
      </w:r>
      <w:r w:rsidRPr="00482DFF">
        <w:rPr>
          <w:rFonts w:ascii="Arial Narrow" w:hAnsi="Arial Narrow"/>
        </w:rPr>
        <w:lastRenderedPageBreak/>
        <w:t>argumentando que a las víctimas no se les debía notificar el inicio del procedimiento. Así, se dio paso a la tercera instancia que en México recae en los Tribunales Colegiados de Circuito, que conforme a la legislación nacional se sitúan sólo por debajo de la Suprema Corte de Justicia de la Nación (SCJN). La resolución de estos recursos de revisión, identificados con los números 203/2017 al 206/2017, quedó en manos del Primer Tribunal Colegiado de Circuito del Décimo Noveno Circuito, integrado por tres magistrados, quienes, en sesión pública de 31 de mayo de 2018, emitieron por unanimidad sus sentencias, a partir de un proyecto que elaboró el Magistrado Mauricio Fernández de la Mora</w:t>
      </w:r>
      <w:r w:rsidRPr="00482DFF">
        <w:rPr>
          <w:rFonts w:ascii="Arial Narrow" w:hAnsi="Arial Narrow"/>
          <w:vertAlign w:val="superscript"/>
        </w:rPr>
        <w:footnoteReference w:id="5"/>
      </w:r>
      <w:r w:rsidRPr="00482DFF">
        <w:rPr>
          <w:rFonts w:ascii="Arial Narrow" w:hAnsi="Arial Narrow"/>
        </w:rPr>
        <w:t>.</w:t>
      </w:r>
    </w:p>
    <w:p w14:paraId="3F72A856" w14:textId="77777777" w:rsidR="00E247CD" w:rsidRPr="00482DFF" w:rsidRDefault="00E247CD" w:rsidP="007F023F">
      <w:pPr>
        <w:spacing w:after="0" w:line="240" w:lineRule="auto"/>
        <w:contextualSpacing/>
        <w:jc w:val="both"/>
        <w:rPr>
          <w:rFonts w:ascii="Arial Narrow" w:hAnsi="Arial Narrow"/>
        </w:rPr>
      </w:pPr>
    </w:p>
    <w:p w14:paraId="2CB0B0ED" w14:textId="609C8103"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A continuación, nos referiremos a los aspectos más relevantes de dicha sentencia</w:t>
      </w:r>
      <w:r w:rsidR="0011664A" w:rsidRPr="00482DFF">
        <w:rPr>
          <w:rFonts w:ascii="Arial Narrow" w:eastAsia="Calibri" w:hAnsi="Arial Narrow" w:cs="Arial"/>
        </w:rPr>
        <w:t>.</w:t>
      </w:r>
    </w:p>
    <w:p w14:paraId="11804B18"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01CD86C7" w14:textId="77777777" w:rsidR="00E247CD" w:rsidRPr="00482DFF" w:rsidRDefault="00E247CD" w:rsidP="007F023F">
      <w:pPr>
        <w:pStyle w:val="ListParagraph"/>
        <w:numPr>
          <w:ilvl w:val="0"/>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t>Contenido de la sentencia</w:t>
      </w:r>
    </w:p>
    <w:p w14:paraId="44B83677"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6A0E5995"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La sentencia dictada por el</w:t>
      </w:r>
      <w:r w:rsidRPr="00482DFF">
        <w:rPr>
          <w:rFonts w:ascii="Arial Narrow" w:hAnsi="Arial Narrow"/>
        </w:rPr>
        <w:t xml:space="preserve"> </w:t>
      </w:r>
      <w:r w:rsidRPr="00482DFF">
        <w:rPr>
          <w:rFonts w:ascii="Arial Narrow" w:eastAsia="Calibri" w:hAnsi="Arial Narrow" w:cs="Arial"/>
        </w:rPr>
        <w:t xml:space="preserve">Primer Tribunal Colegiado de Circuito del Décimo Noveno Circuito es innovadora en la aplicación de estándares en materia de derechos humanos, ya que sustenta no solamente en la aplicación del texto constitucional y de las leyes nacionales, sino que además incorpora jurisprudencia de la Corte Interamericana, así como instrumentos internacionales, que de acuerdo a la reforma en materia de derechos humanos del 2011 forman parte del marco normativo mexicano. </w:t>
      </w:r>
    </w:p>
    <w:p w14:paraId="438F9E9E"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77C4E60B"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Vista en su integralidad es claro que la sentencia constituye una valiente decisión por parte de los Magistrados que asumieron su papel como contrapeso del Ejecutivo y que, de acuerdo con sus atribuciones, dictaron medidas para corregir las irregularidades y vicios de una investigación en un caso emblemático como lo es Ayotzinapa, poniendo en el centro el derecho a la verdad y justicia de las víctimas. </w:t>
      </w:r>
    </w:p>
    <w:p w14:paraId="57BA1B3F"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19B4256B" w14:textId="77777777" w:rsidR="00E247CD" w:rsidRPr="00482DFF" w:rsidRDefault="00E247CD" w:rsidP="007F023F">
      <w:pPr>
        <w:spacing w:after="0" w:line="240" w:lineRule="auto"/>
        <w:ind w:right="51"/>
        <w:contextualSpacing/>
        <w:jc w:val="both"/>
        <w:rPr>
          <w:rFonts w:ascii="Arial Narrow" w:hAnsi="Arial Narrow"/>
        </w:rPr>
      </w:pPr>
      <w:r w:rsidRPr="00482DFF">
        <w:rPr>
          <w:rFonts w:ascii="Arial Narrow" w:eastAsia="Calibri" w:hAnsi="Arial Narrow" w:cs="Arial"/>
        </w:rPr>
        <w:t>Frente al dilema de que tutelar sólo los derechos de los acusados dejara en la impunidad el caso, adoptaron medidas orientadas a salvaguardar también los derechos de las víctimas, encontrando un balance innovador entre ambas perspectivas. Como veremos más adelante, los Magistrados no se extralimitaron ni invadieron competencias ajenas.</w:t>
      </w:r>
    </w:p>
    <w:p w14:paraId="2F0C3212" w14:textId="77777777" w:rsidR="00E247CD" w:rsidRPr="00482DFF" w:rsidRDefault="00E247CD" w:rsidP="007F023F">
      <w:pPr>
        <w:spacing w:after="0" w:line="240" w:lineRule="auto"/>
        <w:ind w:right="51"/>
        <w:contextualSpacing/>
        <w:jc w:val="both"/>
        <w:rPr>
          <w:rFonts w:ascii="Arial Narrow" w:hAnsi="Arial Narrow"/>
        </w:rPr>
      </w:pPr>
    </w:p>
    <w:p w14:paraId="01E998DC"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En los siguientes apartados nos referiremos a las secciones más relevantes de la innovadora sentencia que se refieren a: 1) las graves violaciones de derechos humanos que analiza el tribunal, derivadas del análisis de las pruebas presentadas en contra de los procesados y la exclusión de las mismas; 2) la insostenibilidad de la teoría del caso; 3) la falta de independencia y autonomía en la investigación; 4) el derecho de las víctimas a la verdad y a la justicia; y 5) la orden de crear una Comisión de Investigación para la Verdad y la Justicia (Caso Iguala).</w:t>
      </w:r>
    </w:p>
    <w:p w14:paraId="7999EBDC"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20FA631E" w14:textId="77777777" w:rsidR="00E247CD" w:rsidRPr="00482DFF" w:rsidRDefault="00E247CD" w:rsidP="007F023F">
      <w:pPr>
        <w:pStyle w:val="ListParagraph"/>
        <w:numPr>
          <w:ilvl w:val="1"/>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t>Violaciones de derechos humanos y al debido proceso analizadas por el tribunal en las acusaciones contra los procesados</w:t>
      </w:r>
    </w:p>
    <w:p w14:paraId="40B93A9C" w14:textId="77777777" w:rsidR="00E247CD" w:rsidRPr="00482DFF" w:rsidRDefault="00E247CD" w:rsidP="007F023F">
      <w:pPr>
        <w:spacing w:after="0" w:line="240" w:lineRule="auto"/>
        <w:ind w:right="51"/>
        <w:contextualSpacing/>
        <w:jc w:val="both"/>
        <w:rPr>
          <w:rFonts w:ascii="Arial Narrow" w:eastAsia="Calibri" w:hAnsi="Arial Narrow" w:cs="Arial"/>
          <w:b/>
        </w:rPr>
      </w:pPr>
    </w:p>
    <w:p w14:paraId="1D0A3BCE"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Una vez que el Tribunal Colegiado de Circuito desestima en una primera sección de la sentencia los agravios presentados por el Ministerio Público Federal respecto de la inexistencia de las víctimas en el delito de delincuencia organizada y de que éstas no debían ser notificadas en el proceso, los Magistrados se dedican en su resolución a hacer un análisis detallado del acervo probatorio en contra de los inculpados, incluyendo las pruebas sobre sus detenciones y retenciones, así como las alegaciones de violaciones a la integridad física de los detenidos. </w:t>
      </w:r>
    </w:p>
    <w:p w14:paraId="2CA50C1A"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52CE191C" w14:textId="77777777" w:rsidR="00E247CD" w:rsidRPr="00482DFF" w:rsidRDefault="00E247CD" w:rsidP="007F023F">
      <w:pPr>
        <w:pStyle w:val="ListParagraph"/>
        <w:numPr>
          <w:ilvl w:val="0"/>
          <w:numId w:val="2"/>
        </w:numPr>
        <w:spacing w:after="0" w:line="240" w:lineRule="auto"/>
        <w:ind w:right="51"/>
        <w:jc w:val="both"/>
        <w:rPr>
          <w:rFonts w:ascii="Arial Narrow" w:eastAsia="Calibri" w:hAnsi="Arial Narrow" w:cs="Arial"/>
          <w:b/>
        </w:rPr>
      </w:pPr>
      <w:r w:rsidRPr="00482DFF">
        <w:rPr>
          <w:rFonts w:ascii="Arial Narrow" w:eastAsia="Calibri" w:hAnsi="Arial Narrow" w:cs="Arial"/>
          <w:b/>
        </w:rPr>
        <w:t>Detenciones arbitrarias y retenciones prolongadas injustificadas</w:t>
      </w:r>
    </w:p>
    <w:p w14:paraId="47A634F1" w14:textId="77777777" w:rsidR="00E247CD" w:rsidRPr="00482DFF" w:rsidRDefault="00E247CD" w:rsidP="007F023F">
      <w:pPr>
        <w:pStyle w:val="ListParagraph"/>
        <w:spacing w:after="0" w:line="240" w:lineRule="auto"/>
        <w:ind w:right="51"/>
        <w:jc w:val="both"/>
        <w:rPr>
          <w:rFonts w:ascii="Arial Narrow" w:eastAsia="Calibri" w:hAnsi="Arial Narrow" w:cs="Arial"/>
          <w:b/>
        </w:rPr>
      </w:pPr>
    </w:p>
    <w:p w14:paraId="4E49DF5C"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Con el objetivo de hacer una evaluación de las pruebas contra los imputados, el tribunal fijó criterios para analizar la legalidad de todas las declaraciones que sustentaban el auto de formal prisión en contra de éstos, </w:t>
      </w:r>
      <w:r w:rsidRPr="00482DFF">
        <w:rPr>
          <w:rFonts w:ascii="Arial Narrow" w:eastAsia="Calibri" w:hAnsi="Arial Narrow" w:cs="Arial"/>
        </w:rPr>
        <w:lastRenderedPageBreak/>
        <w:t>considerando la violación al derecho a la puesta a disposición inmediata, estudiando la razonabilidad y verosimilitud de: i) el tiempo que transcurrió entre la detención y la presentación ante autoridad ministerial; ii) la justificación dada por los aprehensores; iii) las alteraciones a la integridad personal; y iv) la existencia o no de una justificación sobre su ocurrencia.</w:t>
      </w:r>
    </w:p>
    <w:p w14:paraId="030AB626"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4CFA8E98"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Consecuentemente, en algunos casos, los magistrados fijaron una línea clara sobre la efectiva acreditación de una retención prolongada e injustificada; mientras que, en otros, al no haber constancias documentales suficientes, advirtieron que debían analizarse bajo los criterios precisados. El Órgano Colegiado calificó de inverosímil las justificaciones respecto del tiempo de traslado; señalando también la ausencia de justificación sobre las lesiones que presentaron algunas personas detenidas. </w:t>
      </w:r>
    </w:p>
    <w:p w14:paraId="433D3F4D"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1FB254E7"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Este análisis corrobora la detención arbitraria y la retención prolongada e injustificada de algunos detenidos, a manos de elementos de la Policía Federal Ministerial y la Secretaría de Marina.</w:t>
      </w:r>
    </w:p>
    <w:p w14:paraId="176FD2ED"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37FB79A2" w14:textId="77777777" w:rsidR="00E247CD" w:rsidRPr="00482DFF" w:rsidRDefault="00E247CD" w:rsidP="007F023F">
      <w:pPr>
        <w:pStyle w:val="ListParagraph"/>
        <w:numPr>
          <w:ilvl w:val="0"/>
          <w:numId w:val="2"/>
        </w:numPr>
        <w:spacing w:after="0" w:line="240" w:lineRule="auto"/>
        <w:ind w:right="51"/>
        <w:jc w:val="both"/>
        <w:rPr>
          <w:rFonts w:ascii="Arial Narrow" w:eastAsia="Calibri" w:hAnsi="Arial Narrow" w:cs="Arial"/>
          <w:b/>
        </w:rPr>
      </w:pPr>
      <w:r w:rsidRPr="00482DFF">
        <w:rPr>
          <w:rFonts w:ascii="Arial Narrow" w:eastAsia="Calibri" w:hAnsi="Arial Narrow" w:cs="Arial"/>
          <w:b/>
        </w:rPr>
        <w:t>Tortura</w:t>
      </w:r>
    </w:p>
    <w:p w14:paraId="457603C8" w14:textId="77777777" w:rsidR="00E247CD" w:rsidRPr="00482DFF" w:rsidRDefault="00E247CD" w:rsidP="007F023F">
      <w:pPr>
        <w:pStyle w:val="ListParagraph"/>
        <w:spacing w:after="0" w:line="240" w:lineRule="auto"/>
        <w:ind w:right="51"/>
        <w:jc w:val="both"/>
        <w:rPr>
          <w:rFonts w:ascii="Arial Narrow" w:eastAsia="Calibri" w:hAnsi="Arial Narrow" w:cs="Arial"/>
          <w:b/>
        </w:rPr>
      </w:pPr>
    </w:p>
    <w:p w14:paraId="5B7BF7E1" w14:textId="08D82058"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De la misma forma que el Tribunal hizo un estudio de los informes de detención y retención. El Órgano Colegiado hizo un análisis detallado sobre las múltiples declaraciones autoinculpatorias que sostienen la acusación en contra de los detenidos, en casos donde aparecen lesiones en los expedientes médicos y/o existen expresiones de los detenidos de haber sido torturados. Para ello, retomó la documentación del propio GIEI, a la luz del contexto del país, enfatizando que México “ha sido condenado en varias ocasiones por la Corte Interamericana de Derechos Humanos, por situaciones relacionadas con la ausencia de investigación en casos de tortura, por la incorrecta asignación de la carga de la prueba a quien alega la tortura, y por no excluir las declaraciones y demás pruebas así obtenidas” (párr. 232). </w:t>
      </w:r>
    </w:p>
    <w:p w14:paraId="3DE165FA"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0B120F99"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Así, en su sentencia el Colegiado determinó que prácticamente la totalidad de pruebas que sostienen el cuerpo del delito y la probable responsabilidad, son declaraciones autoincriminatorias. Los magistrados advirtieron la ocurrencia de actos de tortura y otros tratos crueles, inhumanos y degradantes; presumiendo que en su participación y/o encubrimiento, estuvieron involucrados tanto los elementos aprehensores, como personal de la Subprocuraduría Especializada en Investigación de Delincuencia Organizada (SEIDO). (párr. 744 y 745)</w:t>
      </w:r>
    </w:p>
    <w:p w14:paraId="4EED2A03"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7B718F3A"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Es importante resaltar que el propio Tribunal registró cómo en la medida en que practicaban nuevas certificaciones sobre la integridad de los detenidos, “aparecían” nuevas lesiones; también, sobre la ocurrencia de violaciones a la integridad personal cuando las personas ya estaban bajo la responsabilidad de la autoridad ministerial. </w:t>
      </w:r>
    </w:p>
    <w:p w14:paraId="0AA73FEA" w14:textId="77777777" w:rsidR="00D84DC0" w:rsidRPr="00482DFF" w:rsidRDefault="00D84DC0" w:rsidP="007F023F">
      <w:pPr>
        <w:spacing w:after="0" w:line="240" w:lineRule="auto"/>
        <w:ind w:right="51"/>
        <w:contextualSpacing/>
        <w:jc w:val="both"/>
        <w:rPr>
          <w:rFonts w:ascii="Arial Narrow" w:eastAsia="Calibri" w:hAnsi="Arial Narrow" w:cs="Arial"/>
        </w:rPr>
      </w:pPr>
    </w:p>
    <w:p w14:paraId="2D619EA2" w14:textId="0EC12DD9" w:rsidR="00D84DC0" w:rsidRPr="00482DFF" w:rsidRDefault="00D84DC0"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La sentencia aduce al trabajo técnico de la OACNUDH en México en su informe “Doble Injusticia”</w:t>
      </w:r>
      <w:r w:rsidR="00420DEA" w:rsidRPr="00482DFF">
        <w:rPr>
          <w:rStyle w:val="FootnoteReference"/>
          <w:rFonts w:ascii="Arial Narrow" w:eastAsia="Calibri" w:hAnsi="Arial Narrow" w:cs="Arial"/>
        </w:rPr>
        <w:footnoteReference w:id="6"/>
      </w:r>
      <w:r w:rsidRPr="00482DFF">
        <w:rPr>
          <w:rFonts w:ascii="Arial Narrow" w:eastAsia="Calibri" w:hAnsi="Arial Narrow" w:cs="Arial"/>
        </w:rPr>
        <w:t xml:space="preserve">, el cual analiza y utiliza para evaluar aquellas declaraciones que se tomaron en cuenta para emitir el auto de formal prisión, en las que de acuerdo al Representante en México se contaba con “fuertes elementos de convicción que indican la comisión de actos de tortura”. (párr. 520-530). Así, para la resolución fue determinante el informe de la OACNUDH, pues el Colegiado </w:t>
      </w:r>
      <w:r w:rsidR="00AA52F7" w:rsidRPr="00482DFF">
        <w:rPr>
          <w:rFonts w:ascii="Arial Narrow" w:eastAsia="Calibri" w:hAnsi="Arial Narrow" w:cs="Arial"/>
        </w:rPr>
        <w:t>re</w:t>
      </w:r>
      <w:r w:rsidRPr="00482DFF">
        <w:rPr>
          <w:rFonts w:ascii="Arial Narrow" w:eastAsia="Calibri" w:hAnsi="Arial Narrow" w:cs="Arial"/>
        </w:rPr>
        <w:t>tomó la perspectiv</w:t>
      </w:r>
      <w:r w:rsidR="00B4280E" w:rsidRPr="00482DFF">
        <w:rPr>
          <w:rFonts w:ascii="Arial Narrow" w:eastAsia="Calibri" w:hAnsi="Arial Narrow" w:cs="Arial"/>
        </w:rPr>
        <w:t xml:space="preserve">a de que </w:t>
      </w:r>
      <w:r w:rsidR="00AA52F7" w:rsidRPr="00482DFF">
        <w:rPr>
          <w:rFonts w:ascii="Arial Narrow" w:eastAsia="Calibri" w:hAnsi="Arial Narrow" w:cs="Arial"/>
        </w:rPr>
        <w:t xml:space="preserve">la tortura </w:t>
      </w:r>
      <w:r w:rsidR="00B4280E" w:rsidRPr="00482DFF">
        <w:rPr>
          <w:rFonts w:ascii="Arial Narrow" w:eastAsia="Calibri" w:hAnsi="Arial Narrow" w:cs="Arial"/>
        </w:rPr>
        <w:t>es una doble injusticia</w:t>
      </w:r>
      <w:r w:rsidR="00AA52F7" w:rsidRPr="00482DFF">
        <w:rPr>
          <w:rFonts w:ascii="Arial Narrow" w:eastAsia="Calibri" w:hAnsi="Arial Narrow" w:cs="Arial"/>
        </w:rPr>
        <w:t>, afectando</w:t>
      </w:r>
      <w:r w:rsidR="00B4280E" w:rsidRPr="00482DFF">
        <w:rPr>
          <w:rFonts w:ascii="Arial Narrow" w:eastAsia="Calibri" w:hAnsi="Arial Narrow" w:cs="Arial"/>
        </w:rPr>
        <w:t xml:space="preserve"> tanto </w:t>
      </w:r>
      <w:r w:rsidR="00AA52F7" w:rsidRPr="00482DFF">
        <w:rPr>
          <w:rFonts w:ascii="Arial Narrow" w:eastAsia="Calibri" w:hAnsi="Arial Narrow" w:cs="Arial"/>
        </w:rPr>
        <w:t>a</w:t>
      </w:r>
      <w:r w:rsidR="00B4280E" w:rsidRPr="00482DFF">
        <w:rPr>
          <w:rFonts w:ascii="Arial Narrow" w:eastAsia="Calibri" w:hAnsi="Arial Narrow" w:cs="Arial"/>
        </w:rPr>
        <w:t xml:space="preserve"> </w:t>
      </w:r>
      <w:r w:rsidR="00AA52F7" w:rsidRPr="00482DFF">
        <w:rPr>
          <w:rFonts w:ascii="Arial Narrow" w:eastAsia="Calibri" w:hAnsi="Arial Narrow" w:cs="Arial"/>
        </w:rPr>
        <w:t>aquel que</w:t>
      </w:r>
      <w:r w:rsidR="00B4280E" w:rsidRPr="00482DFF">
        <w:rPr>
          <w:rFonts w:ascii="Arial Narrow" w:eastAsia="Calibri" w:hAnsi="Arial Narrow" w:cs="Arial"/>
        </w:rPr>
        <w:t xml:space="preserve"> ha sido torturado, como </w:t>
      </w:r>
      <w:r w:rsidR="00AA52F7" w:rsidRPr="00482DFF">
        <w:rPr>
          <w:rFonts w:ascii="Arial Narrow" w:eastAsia="Calibri" w:hAnsi="Arial Narrow" w:cs="Arial"/>
        </w:rPr>
        <w:t>a</w:t>
      </w:r>
      <w:r w:rsidR="00B4280E" w:rsidRPr="00482DFF">
        <w:rPr>
          <w:rFonts w:ascii="Arial Narrow" w:eastAsia="Calibri" w:hAnsi="Arial Narrow" w:cs="Arial"/>
        </w:rPr>
        <w:t xml:space="preserve"> las víctimas a quienes se les vulnera su derecho a la verdad; </w:t>
      </w:r>
      <w:r w:rsidR="00AA52F7" w:rsidRPr="00482DFF">
        <w:rPr>
          <w:rFonts w:ascii="Arial Narrow" w:eastAsia="Calibri" w:hAnsi="Arial Narrow" w:cs="Arial"/>
        </w:rPr>
        <w:t>sustentando</w:t>
      </w:r>
      <w:r w:rsidR="00B4280E" w:rsidRPr="00482DFF">
        <w:rPr>
          <w:rFonts w:ascii="Arial Narrow" w:eastAsia="Calibri" w:hAnsi="Arial Narrow" w:cs="Arial"/>
        </w:rPr>
        <w:t xml:space="preserve"> así</w:t>
      </w:r>
      <w:r w:rsidRPr="00482DFF">
        <w:rPr>
          <w:rFonts w:ascii="Arial Narrow" w:eastAsia="Calibri" w:hAnsi="Arial Narrow" w:cs="Arial"/>
        </w:rPr>
        <w:t xml:space="preserve"> las graves irregularidades en el caso y </w:t>
      </w:r>
      <w:r w:rsidR="00B4280E" w:rsidRPr="00482DFF">
        <w:rPr>
          <w:rFonts w:ascii="Arial Narrow" w:eastAsia="Calibri" w:hAnsi="Arial Narrow" w:cs="Arial"/>
        </w:rPr>
        <w:t xml:space="preserve">por otro lado, </w:t>
      </w:r>
      <w:r w:rsidRPr="00482DFF">
        <w:rPr>
          <w:rFonts w:ascii="Arial Narrow" w:eastAsia="Calibri" w:hAnsi="Arial Narrow" w:cs="Arial"/>
        </w:rPr>
        <w:t>la enorme utilidad de esa her</w:t>
      </w:r>
      <w:r w:rsidR="00B4280E" w:rsidRPr="00482DFF">
        <w:rPr>
          <w:rFonts w:ascii="Arial Narrow" w:eastAsia="Calibri" w:hAnsi="Arial Narrow" w:cs="Arial"/>
        </w:rPr>
        <w:t xml:space="preserve">ramienta de documentación que </w:t>
      </w:r>
      <w:r w:rsidR="00AA52F7" w:rsidRPr="00482DFF">
        <w:rPr>
          <w:rFonts w:ascii="Arial Narrow" w:eastAsia="Calibri" w:hAnsi="Arial Narrow" w:cs="Arial"/>
        </w:rPr>
        <w:t>desarrolló</w:t>
      </w:r>
      <w:r w:rsidR="00B4280E" w:rsidRPr="00482DFF">
        <w:rPr>
          <w:rFonts w:ascii="Arial Narrow" w:eastAsia="Calibri" w:hAnsi="Arial Narrow" w:cs="Arial"/>
        </w:rPr>
        <w:t xml:space="preserve"> la OACNUDH en México, a pesar de las severas e infundadas críticas en su contra</w:t>
      </w:r>
      <w:r w:rsidR="00B4280E" w:rsidRPr="00482DFF">
        <w:rPr>
          <w:rStyle w:val="FootnoteReference"/>
          <w:rFonts w:ascii="Arial Narrow" w:eastAsia="Calibri" w:hAnsi="Arial Narrow" w:cs="Arial"/>
        </w:rPr>
        <w:footnoteReference w:id="7"/>
      </w:r>
      <w:r w:rsidR="00B4280E" w:rsidRPr="00482DFF">
        <w:rPr>
          <w:rFonts w:ascii="Arial Narrow" w:eastAsia="Calibri" w:hAnsi="Arial Narrow" w:cs="Arial"/>
        </w:rPr>
        <w:t xml:space="preserve">. </w:t>
      </w:r>
    </w:p>
    <w:p w14:paraId="4E90919D"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1B2F2375" w14:textId="77777777" w:rsidR="00E247CD" w:rsidRPr="00482DFF" w:rsidRDefault="00E247CD" w:rsidP="007F023F">
      <w:pPr>
        <w:pStyle w:val="ListParagraph"/>
        <w:numPr>
          <w:ilvl w:val="1"/>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lastRenderedPageBreak/>
        <w:t>La insostenibilidad de la teoría del caso</w:t>
      </w:r>
    </w:p>
    <w:p w14:paraId="7A6FF6CC" w14:textId="77777777" w:rsidR="00E247CD" w:rsidRPr="00482DFF" w:rsidRDefault="00E247CD" w:rsidP="007F023F">
      <w:pPr>
        <w:pStyle w:val="ListParagraph"/>
        <w:spacing w:after="0" w:line="240" w:lineRule="auto"/>
        <w:ind w:right="51"/>
        <w:jc w:val="both"/>
        <w:rPr>
          <w:rFonts w:ascii="Arial Narrow" w:eastAsia="Calibri" w:hAnsi="Arial Narrow" w:cs="Arial"/>
          <w:b/>
        </w:rPr>
      </w:pPr>
    </w:p>
    <w:p w14:paraId="345BF243"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Como el Tribunal Colegiado hizo un estudio de las pruebas que sostienen las acusaciones contra los procesados y estableció la serie de irregularidades que de éstas derivan, la sentencia realizó un análisis sobre el sustento de la teoría del caso de la PGR, según la cual los normalistas desaparecidos fueron privados de su libertad, asesinados y trasladados al basurero de Cocula donde sus cuerpos fueron incinerados. De forma unánime, los tres magistrados que integran dicho órgano jurisdiccional resaltaron como ésta se sustenta preponderantemente en declaraciones autoinculpatorias de las que hay indicios que pudieron haber sido extraídas infligiendo a los declarantes tratos crueles, inhumanos y degradantes o tortura. También señalaron cómo elementos probatorios que indicaban la participación en los hechos, por acción u omisión, de personas adscritas a corporaciones que exceden el ámbito municipal, tales como la Policía Estatal de Guerrero, la Policía Federal y los elementos del 27 Batallón de Infantería del Ejército Mexicano. </w:t>
      </w:r>
    </w:p>
    <w:p w14:paraId="4669BB72"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6148ECB6"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Además, el tribunal hizo un estudio de los peritajes encomendados al doctor José L. Torero y al Equipo Argentino de Antropología Forense (EAAF) que concluyen que conforme a la evidencia encontrada en el basurero de Cocula y la evaluación que hicieron de la misma, no es posible sostener la hipótesis de la incineración de los 43 estudiantes desaparecidos.</w:t>
      </w:r>
    </w:p>
    <w:p w14:paraId="45ADFC53"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3EB5DFCF"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Es decir que, por primera ocasión, un órgano jurisdiccional nacional evaluó la evidencia que sostiene la hipótesis del Basurero de Cocula como paradero final de los estudiantes y se pronunció sobre su imposibilidad científica, conforme a las pruebas y los estudios independientes que se han incluido en el expediente o han sido presentados por peritos independientes. </w:t>
      </w:r>
    </w:p>
    <w:p w14:paraId="6257D200"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5E2046FB"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Adicionalmente, el Tribunal, rescatando contenido del Informe “</w:t>
      </w:r>
      <w:r w:rsidRPr="00482DFF">
        <w:rPr>
          <w:rFonts w:ascii="Arial Narrow" w:eastAsia="Calibri" w:hAnsi="Arial Narrow" w:cs="Arial"/>
          <w:i/>
        </w:rPr>
        <w:t>Doble Injusticia</w:t>
      </w:r>
      <w:r w:rsidRPr="00482DFF">
        <w:rPr>
          <w:rFonts w:ascii="Arial Narrow" w:eastAsia="Calibri" w:hAnsi="Arial Narrow" w:cs="Arial"/>
        </w:rPr>
        <w:t>” emitido por la OACNUDH, resaltó la importancia de los hechos que ocurrieron en el río San Juan el 28 de octubre de 2014 y que no fueron debidamente documentados por la PGR, indicando que constituye “una actuación irregular de diversos servidores públicos”. En virtud de lo anterior, el Tribunal ordenó dar vista a las autoridades correspondientes, sobre las irregularidades y obstáculos frente a la investigación documentados (irregularidades en el Río San Juan, destrucción de evidencias, tortura, entre otras) considerando que algunas de ellas pudieran configurar responsabilidades incluso penales.</w:t>
      </w:r>
    </w:p>
    <w:p w14:paraId="174FE420"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6EEF6A67" w14:textId="77777777" w:rsidR="00E247CD" w:rsidRPr="00482DFF" w:rsidRDefault="00E247CD" w:rsidP="007F023F">
      <w:pPr>
        <w:pStyle w:val="ListParagraph"/>
        <w:numPr>
          <w:ilvl w:val="1"/>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t>La falta de inmediatez, efectividad, independencia e imparcialidad en la investigación.</w:t>
      </w:r>
    </w:p>
    <w:p w14:paraId="71D1D5E5" w14:textId="77777777" w:rsidR="00E247CD" w:rsidRPr="00482DFF" w:rsidRDefault="00E247CD" w:rsidP="007F023F">
      <w:pPr>
        <w:pStyle w:val="ListParagraph"/>
        <w:spacing w:after="0" w:line="240" w:lineRule="auto"/>
        <w:ind w:right="51"/>
        <w:jc w:val="both"/>
        <w:rPr>
          <w:rFonts w:ascii="Arial Narrow" w:eastAsia="Calibri" w:hAnsi="Arial Narrow" w:cs="Arial"/>
          <w:b/>
        </w:rPr>
      </w:pPr>
    </w:p>
    <w:p w14:paraId="1A07A25D" w14:textId="77777777" w:rsidR="00E247CD" w:rsidRPr="00482DFF" w:rsidRDefault="00E247CD" w:rsidP="007F023F">
      <w:pPr>
        <w:spacing w:after="0" w:line="240" w:lineRule="auto"/>
        <w:contextualSpacing/>
        <w:jc w:val="both"/>
        <w:rPr>
          <w:rFonts w:ascii="Arial Narrow" w:hAnsi="Arial Narrow"/>
        </w:rPr>
      </w:pPr>
      <w:r w:rsidRPr="00482DFF">
        <w:rPr>
          <w:rFonts w:ascii="Arial Narrow" w:hAnsi="Arial Narrow"/>
        </w:rPr>
        <w:t xml:space="preserve">Una vez que el Tribunal Colegiado entra en la evaluación de la investigación de la PGR en el caso, se adentra en estudiar si ésta cumple con los estándares internacionales de una investigación de graves violaciones de derechos humanos, tomando como marco legal, tanto la Constitución, como los tratados internacionales de los que México es parte, así como la propia jurisprudencia nacional e internacional. </w:t>
      </w:r>
    </w:p>
    <w:p w14:paraId="31EC7A1D" w14:textId="77777777" w:rsidR="00E247CD" w:rsidRPr="00482DFF" w:rsidRDefault="00E247CD" w:rsidP="007F023F">
      <w:pPr>
        <w:spacing w:after="0" w:line="240" w:lineRule="auto"/>
        <w:contextualSpacing/>
        <w:jc w:val="both"/>
        <w:rPr>
          <w:rFonts w:ascii="Arial Narrow" w:hAnsi="Arial Narrow"/>
        </w:rPr>
      </w:pPr>
    </w:p>
    <w:p w14:paraId="58158A71" w14:textId="77777777" w:rsidR="00E247CD" w:rsidRPr="00482DFF" w:rsidRDefault="00E247CD" w:rsidP="007F023F">
      <w:pPr>
        <w:spacing w:after="0" w:line="240" w:lineRule="auto"/>
        <w:contextualSpacing/>
        <w:jc w:val="both"/>
        <w:rPr>
          <w:rFonts w:ascii="Arial Narrow" w:hAnsi="Arial Narrow"/>
        </w:rPr>
      </w:pPr>
      <w:r w:rsidRPr="00482DFF">
        <w:rPr>
          <w:rFonts w:ascii="Arial Narrow" w:hAnsi="Arial Narrow"/>
        </w:rPr>
        <w:t xml:space="preserve">Primeramente, el tribunal establece que la investigación a cargo de la PGR no satisface el requisito de que ésta sea </w:t>
      </w:r>
      <w:r w:rsidRPr="00482DFF">
        <w:rPr>
          <w:rFonts w:ascii="Arial Narrow" w:hAnsi="Arial Narrow"/>
          <w:b/>
        </w:rPr>
        <w:t>inmediata</w:t>
      </w:r>
      <w:r w:rsidRPr="00482DFF">
        <w:rPr>
          <w:rFonts w:ascii="Arial Narrow" w:hAnsi="Arial Narrow"/>
        </w:rPr>
        <w:t xml:space="preserve">, pues si bien se inició una averiguación previa desde los primeros momentos hubo omisiones en la recaudación de pruebas esenciales para la misma (párr. 970 y 979). De igual forma, consideraron unánimemente los magistrados que la investigación no satisface el requisito </w:t>
      </w:r>
      <w:r w:rsidRPr="00482DFF">
        <w:rPr>
          <w:rFonts w:ascii="Arial Narrow" w:hAnsi="Arial Narrow"/>
          <w:b/>
        </w:rPr>
        <w:t xml:space="preserve">efectividad, </w:t>
      </w:r>
      <w:r w:rsidRPr="00482DFF">
        <w:rPr>
          <w:rFonts w:ascii="Arial Narrow" w:hAnsi="Arial Narrow"/>
        </w:rPr>
        <w:t xml:space="preserve">por lo que el Tribunal planteó 24 cuestionamientos (párr. 987-991) que a su juicio no encuentran respuesta lógica en lo que obra en el expediente, o irregularidades que no han sido subsanadas. </w:t>
      </w:r>
    </w:p>
    <w:p w14:paraId="4D6CFE12" w14:textId="77777777" w:rsidR="00E247CD" w:rsidRPr="00482DFF" w:rsidRDefault="00E247CD" w:rsidP="007F023F">
      <w:pPr>
        <w:spacing w:after="0" w:line="240" w:lineRule="auto"/>
        <w:contextualSpacing/>
        <w:jc w:val="both"/>
        <w:rPr>
          <w:rFonts w:ascii="Arial Narrow" w:hAnsi="Arial Narrow"/>
        </w:rPr>
      </w:pPr>
    </w:p>
    <w:p w14:paraId="695BDD64" w14:textId="77777777" w:rsidR="00E247CD" w:rsidRPr="00482DFF" w:rsidRDefault="00E247CD" w:rsidP="007F023F">
      <w:pPr>
        <w:spacing w:after="0" w:line="240" w:lineRule="auto"/>
        <w:contextualSpacing/>
        <w:jc w:val="both"/>
        <w:rPr>
          <w:rFonts w:ascii="Arial Narrow" w:hAnsi="Arial Narrow"/>
        </w:rPr>
      </w:pPr>
      <w:r w:rsidRPr="00482DFF">
        <w:rPr>
          <w:rFonts w:ascii="Arial Narrow" w:hAnsi="Arial Narrow"/>
        </w:rPr>
        <w:t xml:space="preserve">Por otro lado, al referirse al requisito de </w:t>
      </w:r>
      <w:r w:rsidRPr="00482DFF">
        <w:rPr>
          <w:rFonts w:ascii="Arial Narrow" w:hAnsi="Arial Narrow"/>
          <w:b/>
        </w:rPr>
        <w:t xml:space="preserve">independencia </w:t>
      </w:r>
      <w:r w:rsidRPr="00482DFF">
        <w:rPr>
          <w:rFonts w:ascii="Arial Narrow" w:hAnsi="Arial Narrow"/>
        </w:rPr>
        <w:t>de la autoridad investigadora y a</w:t>
      </w:r>
      <w:r w:rsidRPr="00482DFF">
        <w:rPr>
          <w:rFonts w:ascii="Arial Narrow" w:hAnsi="Arial Narrow"/>
          <w:b/>
        </w:rPr>
        <w:t xml:space="preserve"> la imparcialidad </w:t>
      </w:r>
      <w:r w:rsidRPr="00482DFF">
        <w:rPr>
          <w:rFonts w:ascii="Arial Narrow" w:hAnsi="Arial Narrow"/>
        </w:rPr>
        <w:t xml:space="preserve">de la misma, el Tribunal Colegiado, hace un estudio del contexto en el que se dan tanto las violaciones graves de derechos humanos que dan origen a la investigación y su posterior investigación irregular, para concluir que la PGR está afectada de parcialidad y de falta de </w:t>
      </w:r>
      <w:r w:rsidRPr="00482DFF">
        <w:rPr>
          <w:rFonts w:ascii="Arial Narrow" w:hAnsi="Arial Narrow"/>
          <w:b/>
        </w:rPr>
        <w:t>autonomía e independencia</w:t>
      </w:r>
      <w:r w:rsidRPr="00482DFF">
        <w:rPr>
          <w:rFonts w:ascii="Arial Narrow" w:hAnsi="Arial Narrow"/>
        </w:rPr>
        <w:t xml:space="preserve"> para la investigación del caso Ayotzinapa. </w:t>
      </w:r>
    </w:p>
    <w:p w14:paraId="044931E7" w14:textId="77777777" w:rsidR="00E247CD" w:rsidRPr="00482DFF" w:rsidRDefault="00E247CD" w:rsidP="007F023F">
      <w:pPr>
        <w:spacing w:after="0" w:line="240" w:lineRule="auto"/>
        <w:contextualSpacing/>
        <w:jc w:val="both"/>
        <w:rPr>
          <w:rFonts w:ascii="Arial Narrow" w:hAnsi="Arial Narrow"/>
        </w:rPr>
      </w:pPr>
    </w:p>
    <w:p w14:paraId="070C25F7" w14:textId="77777777" w:rsidR="00E247CD" w:rsidRPr="00482DFF" w:rsidRDefault="00E247CD" w:rsidP="007F023F">
      <w:pPr>
        <w:spacing w:after="0" w:line="240" w:lineRule="auto"/>
        <w:ind w:right="51"/>
        <w:contextualSpacing/>
        <w:jc w:val="both"/>
        <w:rPr>
          <w:rFonts w:ascii="Arial Narrow" w:hAnsi="Arial Narrow"/>
        </w:rPr>
      </w:pPr>
      <w:r w:rsidRPr="00482DFF">
        <w:rPr>
          <w:rFonts w:ascii="Arial Narrow" w:hAnsi="Arial Narrow"/>
        </w:rPr>
        <w:lastRenderedPageBreak/>
        <w:t xml:space="preserve">Ante estas conclusiones, el Tribunal determina que es necesaria la creación de un procedimiento que permita que la investigación cumpla con las exigencias de </w:t>
      </w:r>
      <w:r w:rsidRPr="00482DFF">
        <w:rPr>
          <w:rFonts w:ascii="Arial Narrow" w:hAnsi="Arial Narrow"/>
          <w:b/>
        </w:rPr>
        <w:t>inmediatez, efectividad, independencia e imparcialidad</w:t>
      </w:r>
      <w:r w:rsidRPr="00482DFF">
        <w:rPr>
          <w:rFonts w:ascii="Arial Narrow" w:hAnsi="Arial Narrow"/>
        </w:rPr>
        <w:t xml:space="preserve">; lo que se traduce, en los efectos de la sentencia, en la creación de la Comisión de Investigación para la Verdad y la Justicia (Caso Iguala), a lo que nos referiremos enseguida. </w:t>
      </w:r>
    </w:p>
    <w:p w14:paraId="78192D4C" w14:textId="77777777" w:rsidR="00E247CD" w:rsidRPr="00482DFF" w:rsidRDefault="00E247CD" w:rsidP="007F023F">
      <w:pPr>
        <w:spacing w:after="0" w:line="240" w:lineRule="auto"/>
        <w:ind w:right="51"/>
        <w:contextualSpacing/>
        <w:jc w:val="both"/>
        <w:rPr>
          <w:rFonts w:ascii="Arial Narrow" w:hAnsi="Arial Narrow"/>
        </w:rPr>
      </w:pPr>
    </w:p>
    <w:p w14:paraId="78EBC221" w14:textId="77777777" w:rsidR="00E247CD" w:rsidRPr="00482DFF" w:rsidRDefault="00E247CD" w:rsidP="007F023F">
      <w:pPr>
        <w:pStyle w:val="ListParagraph"/>
        <w:numPr>
          <w:ilvl w:val="1"/>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t>El derecho de las víctimas a la verdad y a la justicia</w:t>
      </w:r>
    </w:p>
    <w:p w14:paraId="07836035" w14:textId="77777777" w:rsidR="00E247CD" w:rsidRPr="00482DFF" w:rsidRDefault="00E247CD" w:rsidP="007F023F">
      <w:pPr>
        <w:spacing w:after="0" w:line="240" w:lineRule="auto"/>
        <w:contextualSpacing/>
        <w:jc w:val="both"/>
        <w:rPr>
          <w:rFonts w:ascii="Arial Narrow" w:eastAsia="Calibri" w:hAnsi="Arial Narrow" w:cs="Arial"/>
        </w:rPr>
      </w:pPr>
    </w:p>
    <w:p w14:paraId="560E7A3D" w14:textId="77777777" w:rsidR="00E247CD" w:rsidRPr="00482DFF" w:rsidRDefault="00E247CD" w:rsidP="007F023F">
      <w:pPr>
        <w:spacing w:after="0" w:line="240" w:lineRule="auto"/>
        <w:contextualSpacing/>
        <w:jc w:val="both"/>
        <w:rPr>
          <w:rFonts w:ascii="Arial Narrow" w:eastAsia="Calibri" w:hAnsi="Arial Narrow" w:cs="Arial"/>
        </w:rPr>
      </w:pPr>
      <w:r w:rsidRPr="00482DFF">
        <w:rPr>
          <w:rFonts w:ascii="Arial Narrow" w:eastAsia="Calibri" w:hAnsi="Arial Narrow" w:cs="Arial"/>
        </w:rPr>
        <w:t xml:space="preserve">El Tribunal indicó en su sentencia que el cumplimiento de la inmediatez, la efectividad, la independencia y la imparcialidad de la investigación, guarda estrecha relación con el derecho de las víctimas y sus familiares a conocer la verdad. </w:t>
      </w:r>
    </w:p>
    <w:p w14:paraId="04745DB7" w14:textId="77777777" w:rsidR="00E247CD" w:rsidRPr="00482DFF" w:rsidRDefault="00E247CD" w:rsidP="007F023F">
      <w:pPr>
        <w:spacing w:after="0" w:line="240" w:lineRule="auto"/>
        <w:contextualSpacing/>
        <w:jc w:val="both"/>
        <w:rPr>
          <w:rFonts w:ascii="Arial Narrow" w:eastAsia="Calibri" w:hAnsi="Arial Narrow" w:cs="Arial"/>
        </w:rPr>
      </w:pPr>
    </w:p>
    <w:p w14:paraId="7F3BEA00" w14:textId="77777777" w:rsidR="00E247CD" w:rsidRPr="00482DFF" w:rsidRDefault="00E247CD" w:rsidP="007F023F">
      <w:pPr>
        <w:spacing w:after="0" w:line="240" w:lineRule="auto"/>
        <w:contextualSpacing/>
        <w:jc w:val="both"/>
        <w:rPr>
          <w:rFonts w:ascii="Arial Narrow" w:eastAsia="Calibri" w:hAnsi="Arial Narrow" w:cs="Arial"/>
        </w:rPr>
      </w:pPr>
      <w:r w:rsidRPr="00482DFF">
        <w:rPr>
          <w:rFonts w:ascii="Arial Narrow" w:eastAsia="Calibri" w:hAnsi="Arial Narrow" w:cs="Arial"/>
        </w:rPr>
        <w:t>Con base en lo anterior, el Tribunal Colegiado ordenó la creación de un mecanismo extraordinario de investigación -inspirado en jurisprudencia y protocolos internacionales de investigación de graves violaciones de derechos humanos- para garantizar que el derecho a la justicia y a la verdad de las víctimas.</w:t>
      </w:r>
    </w:p>
    <w:p w14:paraId="388D0EDE" w14:textId="77777777" w:rsidR="00E247CD" w:rsidRPr="00482DFF" w:rsidRDefault="00E247CD" w:rsidP="007F023F">
      <w:pPr>
        <w:spacing w:after="0" w:line="240" w:lineRule="auto"/>
        <w:contextualSpacing/>
        <w:jc w:val="both"/>
        <w:rPr>
          <w:rFonts w:ascii="Arial Narrow" w:eastAsia="Calibri" w:hAnsi="Arial Narrow" w:cs="Arial"/>
        </w:rPr>
      </w:pPr>
    </w:p>
    <w:p w14:paraId="168020B6" w14:textId="77777777" w:rsidR="00E247CD" w:rsidRPr="00482DFF" w:rsidRDefault="00E247CD" w:rsidP="007F023F">
      <w:pPr>
        <w:pStyle w:val="ListParagraph"/>
        <w:numPr>
          <w:ilvl w:val="1"/>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t>El ordenamiento de la Conformación de una Comisión de Investigación para la Verdad y la Justicia (Caso Iguala).</w:t>
      </w:r>
    </w:p>
    <w:p w14:paraId="4C739339" w14:textId="77777777" w:rsidR="00E247CD" w:rsidRPr="00482DFF" w:rsidRDefault="00E247CD" w:rsidP="007F023F">
      <w:pPr>
        <w:pStyle w:val="ListParagraph"/>
        <w:spacing w:after="0" w:line="240" w:lineRule="auto"/>
        <w:ind w:right="51"/>
        <w:jc w:val="both"/>
        <w:rPr>
          <w:rFonts w:ascii="Arial Narrow" w:eastAsia="Calibri" w:hAnsi="Arial Narrow" w:cs="Arial"/>
          <w:b/>
          <w:highlight w:val="yellow"/>
        </w:rPr>
      </w:pPr>
    </w:p>
    <w:p w14:paraId="08E3D8E3"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Una premisa central para comprender la relevancia de la sentencia del órgano colegiado, no sólo para el caso Ayotzinapa, pero también para otros casos de graves violaciones de derechos humanos en México, es que los Magistrados supieron ver que </w:t>
      </w:r>
      <w:r w:rsidRPr="00482DFF">
        <w:rPr>
          <w:rFonts w:ascii="Arial Narrow" w:eastAsia="Calibri" w:hAnsi="Arial Narrow" w:cs="Arial"/>
          <w:b/>
        </w:rPr>
        <w:t>el solo señalamiento de la múltiples irregularidades en la investigación sería insuficiente para reencauzar la investigación hacia el esclarecimiento de los hechos, y por ese motivo consideraron necesario tomar medidas para revertir los obstáculos que se han presentado en la investigación y poder garantizar así el derecho a la verdad y el derecho a la justicia a favor de las víctimas</w:t>
      </w:r>
      <w:r w:rsidRPr="00482DFF">
        <w:rPr>
          <w:rFonts w:ascii="Arial Narrow" w:eastAsia="Calibri" w:hAnsi="Arial Narrow" w:cs="Arial"/>
        </w:rPr>
        <w:t>.</w:t>
      </w:r>
    </w:p>
    <w:p w14:paraId="28043483"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445F5A55"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En ese contexto, el Tribunal consideró necesario contar con un mecanismo de investigación entendido como una “comisión especial de indagación” a la cual denominó “Comisión de Investigación para la Verdad y la Justicia (Caso Iguala)”, conformada por las víctimas a través de sus representantes, el Ministerio Público de la Federación (MPF)y la Comisión Nacional de Derechos Humanos (CNDH). </w:t>
      </w:r>
    </w:p>
    <w:p w14:paraId="1919596E"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7C888FAC"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Entendiendo la necesidad de generar contrapesos al Ministerio Público, por la gravedad de las irregularidades detectadas en el caso, los Magistrados </w:t>
      </w:r>
      <w:r w:rsidRPr="00482DFF">
        <w:rPr>
          <w:rFonts w:ascii="Arial Narrow" w:eastAsia="Calibri" w:hAnsi="Arial Narrow" w:cs="Arial"/>
          <w:b/>
        </w:rPr>
        <w:t xml:space="preserve">asignan un papel de primera relevancia a las víctimas </w:t>
      </w:r>
      <w:r w:rsidRPr="00482DFF">
        <w:rPr>
          <w:rFonts w:ascii="Arial Narrow" w:eastAsia="Calibri" w:hAnsi="Arial Narrow" w:cs="Arial"/>
        </w:rPr>
        <w:t xml:space="preserve">al ser ellas junto con CNDH quienes propondrán las líneas de investigación, presenciarán todas las diligencias, tendrán inmediato acceso a los lugares considerados pertinentes, entre otras facultades. De manera textual la sentencia señala que la averiguación previa seguirá incumbiendo al Ministerio Público, que actuará de manera conjunta con las víctimas, quienes estarán en todo momento acompañadas por la Comisión Nacional de los Derechos Humanos (párr. 1140). </w:t>
      </w:r>
    </w:p>
    <w:p w14:paraId="1DFCBAF6"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039D446A" w14:textId="489BF481" w:rsidR="00E247CD" w:rsidRPr="00482DFF" w:rsidRDefault="00E247CD" w:rsidP="007F023F">
      <w:pPr>
        <w:spacing w:after="0" w:line="240" w:lineRule="auto"/>
        <w:ind w:right="51"/>
        <w:contextualSpacing/>
        <w:jc w:val="both"/>
        <w:rPr>
          <w:rFonts w:ascii="Arial Narrow" w:eastAsia="Calibri" w:hAnsi="Arial Narrow" w:cs="Arial"/>
          <w:b/>
        </w:rPr>
      </w:pPr>
      <w:r w:rsidRPr="00482DFF">
        <w:rPr>
          <w:rFonts w:ascii="Arial Narrow" w:eastAsia="Calibri" w:hAnsi="Arial Narrow" w:cs="Arial"/>
        </w:rPr>
        <w:t xml:space="preserve">Es decir, la Comisión de Investigación para la Verdad y la Justicia, propuesta por el Tribunal Colegiado es un mecanismo extraordinario que busca acotar significativamente el poder y la discrecionalidad del Ministerio Público y por tanto de la PGR, con controles externos, </w:t>
      </w:r>
      <w:r w:rsidRPr="00482DFF">
        <w:rPr>
          <w:rFonts w:ascii="Arial Narrow" w:eastAsia="Calibri" w:hAnsi="Arial Narrow" w:cs="Arial"/>
          <w:b/>
        </w:rPr>
        <w:t xml:space="preserve">sin relevarlo de su responsabilidad de investigar </w:t>
      </w:r>
      <w:r w:rsidRPr="00482DFF">
        <w:rPr>
          <w:rFonts w:ascii="Arial Narrow" w:eastAsia="Calibri" w:hAnsi="Arial Narrow" w:cs="Arial"/>
        </w:rPr>
        <w:t xml:space="preserve">y sin invadir sus facultades establecidas en el artículo 21 de la Constitución; </w:t>
      </w:r>
      <w:r w:rsidRPr="00482DFF">
        <w:rPr>
          <w:rFonts w:ascii="Arial Narrow" w:eastAsia="Calibri" w:hAnsi="Arial Narrow" w:cs="Arial"/>
          <w:b/>
        </w:rPr>
        <w:t>evitando así imponer la carga de la prueba a las propias víctimas</w:t>
      </w:r>
      <w:r w:rsidR="001F2FF3" w:rsidRPr="00482DFF">
        <w:rPr>
          <w:rFonts w:ascii="Arial Narrow" w:eastAsia="Calibri" w:hAnsi="Arial Narrow" w:cs="Arial"/>
          <w:b/>
        </w:rPr>
        <w:t xml:space="preserve"> cómo lo recomendó el propio Comité</w:t>
      </w:r>
      <w:r w:rsidRPr="00482DFF">
        <w:rPr>
          <w:rFonts w:ascii="Arial Narrow" w:eastAsia="Calibri" w:hAnsi="Arial Narrow" w:cs="Arial"/>
        </w:rPr>
        <w:t xml:space="preserve">. El razonamiento de los Magistrados es que, sin ese contrapeso, muy probablemente la investigación volvería a </w:t>
      </w:r>
      <w:r w:rsidRPr="00482DFF">
        <w:rPr>
          <w:rFonts w:ascii="Arial Narrow" w:eastAsia="Calibri" w:hAnsi="Arial Narrow" w:cs="Arial"/>
          <w:b/>
        </w:rPr>
        <w:t>incorporar los sesgos y las irregularidades que hasta ahora han prevalecido</w:t>
      </w:r>
      <w:r w:rsidR="00A76824" w:rsidRPr="00482DFF">
        <w:rPr>
          <w:rFonts w:ascii="Arial Narrow" w:eastAsia="Calibri" w:hAnsi="Arial Narrow" w:cs="Arial"/>
          <w:b/>
        </w:rPr>
        <w:t>, evitando agotar todas las líneas de investigación</w:t>
      </w:r>
      <w:r w:rsidRPr="00482DFF">
        <w:rPr>
          <w:rFonts w:ascii="Arial Narrow" w:eastAsia="Calibri" w:hAnsi="Arial Narrow" w:cs="Arial"/>
          <w:b/>
        </w:rPr>
        <w:t>.</w:t>
      </w:r>
    </w:p>
    <w:p w14:paraId="43565034"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614FAF7C" w14:textId="3F71893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Es importante mencionar, que a diferencia de lo que públicamente se ha alegado por parte de la PGR, en ningún momento se afirma en la sentencia que la Comisión de Investigación realizará actividades propias del Ministerio Público</w:t>
      </w:r>
      <w:r w:rsidR="00A76824" w:rsidRPr="00482DFF">
        <w:rPr>
          <w:rFonts w:ascii="Arial Narrow" w:eastAsia="Calibri" w:hAnsi="Arial Narrow" w:cs="Arial"/>
        </w:rPr>
        <w:t xml:space="preserve">. </w:t>
      </w:r>
    </w:p>
    <w:p w14:paraId="490C04A8"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w:t>
      </w:r>
    </w:p>
    <w:p w14:paraId="6D1B8E59" w14:textId="40A8FA95"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lastRenderedPageBreak/>
        <w:t xml:space="preserve">Uno de los aspectos más relevantes de la sentencia respecto de la Comisión de Investigación es su expresa recomendación de que se </w:t>
      </w:r>
      <w:r w:rsidR="00B6293B" w:rsidRPr="00482DFF">
        <w:rPr>
          <w:rFonts w:ascii="Arial Narrow" w:eastAsia="Calibri" w:hAnsi="Arial Narrow" w:cs="Arial"/>
        </w:rPr>
        <w:t xml:space="preserve">continúe con la asistencia técnica de la CIDH por parte del Mecanismo Especial de Seguimiento y se </w:t>
      </w:r>
      <w:r w:rsidRPr="00482DFF">
        <w:rPr>
          <w:rFonts w:ascii="Arial Narrow" w:eastAsia="Calibri" w:hAnsi="Arial Narrow" w:cs="Arial"/>
        </w:rPr>
        <w:t>integre una vez más a la investigación el GIEI, haciendo referencia expresa al Acuerdo para la Incorporación de Asistencia Técnica Internacional, si</w:t>
      </w:r>
      <w:r w:rsidR="00B6293B" w:rsidRPr="00482DFF">
        <w:rPr>
          <w:rFonts w:ascii="Arial Narrow" w:eastAsia="Calibri" w:hAnsi="Arial Narrow" w:cs="Arial"/>
        </w:rPr>
        <w:t>gnado por la CIDH y las partes</w:t>
      </w:r>
      <w:r w:rsidR="00A76824" w:rsidRPr="00482DFF">
        <w:rPr>
          <w:rFonts w:ascii="Arial Narrow" w:eastAsia="Calibri" w:hAnsi="Arial Narrow" w:cs="Arial"/>
        </w:rPr>
        <w:t xml:space="preserve"> </w:t>
      </w:r>
      <w:r w:rsidRPr="00482DFF">
        <w:rPr>
          <w:rFonts w:ascii="Arial Narrow" w:eastAsia="Calibri" w:hAnsi="Arial Narrow" w:cs="Arial"/>
        </w:rPr>
        <w:t xml:space="preserve">(párr. 1134). </w:t>
      </w:r>
    </w:p>
    <w:p w14:paraId="5530ED0F"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510334AF"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Adicionalmente, la sentencia aborda la necesidad de que exista </w:t>
      </w:r>
      <w:r w:rsidRPr="00482DFF">
        <w:rPr>
          <w:rFonts w:ascii="Arial Narrow" w:eastAsia="Calibri" w:hAnsi="Arial Narrow" w:cs="Arial"/>
          <w:b/>
        </w:rPr>
        <w:t>voluntad política para que la investigación se reencauce</w:t>
      </w:r>
      <w:r w:rsidRPr="00482DFF">
        <w:rPr>
          <w:rFonts w:ascii="Arial Narrow" w:eastAsia="Calibri" w:hAnsi="Arial Narrow" w:cs="Arial"/>
        </w:rPr>
        <w:t xml:space="preserve">. Por ello, insta al Presidente de la República a que éste facilite las condiciones para que se esclarezca el caso, apuntando a su responsabilidad política. De igual forma, llama al Congreso de la Unión a que garantice la disposición de </w:t>
      </w:r>
      <w:r w:rsidRPr="00482DFF">
        <w:rPr>
          <w:rFonts w:ascii="Arial Narrow" w:eastAsia="Calibri" w:hAnsi="Arial Narrow" w:cs="Arial"/>
          <w:b/>
        </w:rPr>
        <w:t>recursos públicos para el funcionamiento de la Comisión</w:t>
      </w:r>
      <w:r w:rsidRPr="00482DFF">
        <w:rPr>
          <w:rFonts w:ascii="Arial Narrow" w:eastAsia="Calibri" w:hAnsi="Arial Narrow" w:cs="Arial"/>
        </w:rPr>
        <w:t xml:space="preserve">. En ambos casos, el Órgano Colegiado reconoce que dichas autoridades no son parte del litigio, por lo que únicamente se ordena notificarles la resolución. </w:t>
      </w:r>
    </w:p>
    <w:p w14:paraId="03090E6C"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0D7AE77B"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Finalmente, cabe resaltar que en la sentencia es claro que esta es una medida alternativa y extraordinaria dadas las irregularidades documentadas en la investigación. Es decir, la Comisión investigadora responde a las particularidades del caso, por un lado, por la gravedad de los hechos y por el otro, por la documentada falta de investigación adecuada, eficiente, efectiva e independiente. </w:t>
      </w:r>
    </w:p>
    <w:p w14:paraId="3F0F0D89"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63D3D5F0" w14:textId="4698358F"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Como se puede apreciar de la</w:t>
      </w:r>
      <w:r w:rsidR="00C830BA" w:rsidRPr="00482DFF">
        <w:rPr>
          <w:rFonts w:ascii="Arial Narrow" w:eastAsia="Calibri" w:hAnsi="Arial Narrow" w:cs="Arial"/>
        </w:rPr>
        <w:t>s discusio</w:t>
      </w:r>
      <w:r w:rsidRPr="00482DFF">
        <w:rPr>
          <w:rFonts w:ascii="Arial Narrow" w:eastAsia="Calibri" w:hAnsi="Arial Narrow" w:cs="Arial"/>
        </w:rPr>
        <w:t>n</w:t>
      </w:r>
      <w:r w:rsidR="00C830BA" w:rsidRPr="00482DFF">
        <w:rPr>
          <w:rFonts w:ascii="Arial Narrow" w:eastAsia="Calibri" w:hAnsi="Arial Narrow" w:cs="Arial"/>
        </w:rPr>
        <w:t>es</w:t>
      </w:r>
      <w:r w:rsidRPr="00482DFF">
        <w:rPr>
          <w:rFonts w:ascii="Arial Narrow" w:eastAsia="Calibri" w:hAnsi="Arial Narrow" w:cs="Arial"/>
        </w:rPr>
        <w:t xml:space="preserve"> que llevó a cabo el Tribunal en su</w:t>
      </w:r>
      <w:r w:rsidR="00C830BA" w:rsidRPr="00482DFF">
        <w:rPr>
          <w:rFonts w:ascii="Arial Narrow" w:eastAsia="Calibri" w:hAnsi="Arial Narrow" w:cs="Arial"/>
        </w:rPr>
        <w:t>s sesiones</w:t>
      </w:r>
      <w:r w:rsidRPr="00482DFF">
        <w:rPr>
          <w:rFonts w:ascii="Arial Narrow" w:eastAsia="Calibri" w:hAnsi="Arial Narrow" w:cs="Arial"/>
        </w:rPr>
        <w:t xml:space="preserve"> y en el desarrollo de la</w:t>
      </w:r>
      <w:r w:rsidR="00C830BA" w:rsidRPr="00482DFF">
        <w:rPr>
          <w:rFonts w:ascii="Arial Narrow" w:eastAsia="Calibri" w:hAnsi="Arial Narrow" w:cs="Arial"/>
        </w:rPr>
        <w:t>s</w:t>
      </w:r>
      <w:r w:rsidRPr="00482DFF">
        <w:rPr>
          <w:rFonts w:ascii="Arial Narrow" w:eastAsia="Calibri" w:hAnsi="Arial Narrow" w:cs="Arial"/>
        </w:rPr>
        <w:t xml:space="preserve"> sentencia</w:t>
      </w:r>
      <w:r w:rsidR="00C830BA" w:rsidRPr="00482DFF">
        <w:rPr>
          <w:rFonts w:ascii="Arial Narrow" w:eastAsia="Calibri" w:hAnsi="Arial Narrow" w:cs="Arial"/>
        </w:rPr>
        <w:t>s</w:t>
      </w:r>
      <w:r w:rsidRPr="00482DFF">
        <w:rPr>
          <w:rFonts w:ascii="Arial Narrow" w:eastAsia="Calibri" w:hAnsi="Arial Narrow" w:cs="Arial"/>
        </w:rPr>
        <w:t>, la Comisión de Investigación para la Verdad y la Justicia no se trata de una Comisión de la Verdad en el sentido clásico de las instancias no jurisdiccionales que son creadas para el esclarecimiento histórico y la memoria, sino de una medida extraordinaria para buscar que la investigación se reencauce, inspirada en instrumentos como el Protocolo de Minnesota y la jurisprudencia interamericana, que señalan la pertinencia de instituir comisiones indagatorias independientes en casos donde la autonomía ya no puede ser garantizada por las autoridades ordinarias.</w:t>
      </w:r>
    </w:p>
    <w:p w14:paraId="50C354CB"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7098CC34"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Pese a la trascendencia de esta resolución, luego que la sentencia fuera dictada por el Tribunal Colegiado, el Gobierno Federal inició una serie de acciones legales para impugnarla y dejarla sin efectos.       </w:t>
      </w:r>
    </w:p>
    <w:p w14:paraId="30DEECA4"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73290BE5" w14:textId="77777777" w:rsidR="00E247CD" w:rsidRPr="00482DFF" w:rsidRDefault="00E247CD" w:rsidP="007F023F">
      <w:pPr>
        <w:pStyle w:val="ListParagraph"/>
        <w:numPr>
          <w:ilvl w:val="0"/>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t xml:space="preserve">El embate contra la Sentencia del Tribunal Colegiado </w:t>
      </w:r>
    </w:p>
    <w:p w14:paraId="08BA3280" w14:textId="77777777" w:rsidR="00E247CD" w:rsidRPr="00482DFF" w:rsidRDefault="00E247CD" w:rsidP="007F023F">
      <w:pPr>
        <w:spacing w:after="0" w:line="240" w:lineRule="auto"/>
        <w:ind w:right="51"/>
        <w:contextualSpacing/>
        <w:jc w:val="both"/>
        <w:rPr>
          <w:rFonts w:ascii="Arial Narrow" w:eastAsia="Calibri" w:hAnsi="Arial Narrow" w:cs="Arial"/>
          <w:b/>
        </w:rPr>
      </w:pPr>
    </w:p>
    <w:p w14:paraId="6A3017F6" w14:textId="77777777" w:rsidR="00E247CD" w:rsidRPr="00482DFF" w:rsidRDefault="00E247CD" w:rsidP="007F023F">
      <w:pPr>
        <w:spacing w:after="0" w:line="240" w:lineRule="auto"/>
        <w:ind w:right="51"/>
        <w:contextualSpacing/>
        <w:jc w:val="both"/>
        <w:rPr>
          <w:rFonts w:ascii="Arial Narrow" w:eastAsia="Calibri" w:hAnsi="Arial Narrow" w:cs="Arial"/>
          <w:i/>
        </w:rPr>
      </w:pPr>
      <w:r w:rsidRPr="00482DFF">
        <w:rPr>
          <w:rFonts w:ascii="Arial Narrow" w:eastAsia="Calibri" w:hAnsi="Arial Narrow" w:cs="Arial"/>
        </w:rPr>
        <w:t>Conforme con el marco normativo mexicano, las sentencias de amparos en revisión 203/2017 – 206/2017 son inatacables, pues conforme al artículo 107, fracción VIII, inciso b), último párrafo, de la Constitución Política de los Estados Unidos Mexicanos</w:t>
      </w:r>
      <w:r w:rsidRPr="00482DFF">
        <w:rPr>
          <w:rFonts w:ascii="Arial Narrow" w:eastAsia="Calibri" w:hAnsi="Arial Narrow" w:cs="Arial"/>
          <w:i/>
        </w:rPr>
        <w:t xml:space="preserve">, “las sentencias pronunciadas por los Tribunales Colegiados de Circuito al resolver el recurso de revisión </w:t>
      </w:r>
      <w:r w:rsidRPr="00482DFF">
        <w:rPr>
          <w:rFonts w:ascii="Arial Narrow" w:eastAsia="Calibri" w:hAnsi="Arial Narrow" w:cs="Arial"/>
          <w:b/>
          <w:i/>
        </w:rPr>
        <w:t>no admitirán recurso alguno</w:t>
      </w:r>
      <w:r w:rsidRPr="00482DFF">
        <w:rPr>
          <w:rFonts w:ascii="Arial Narrow" w:eastAsia="Calibri" w:hAnsi="Arial Narrow" w:cs="Arial"/>
          <w:i/>
        </w:rPr>
        <w:t>; por ello, ningún tribunal, incluida la Suprema Corte de Justicia de la Nación, tiene facultades para modificarlas y menos para revocarlas, en virtud de que con su sola emisión son definitivas e inatacables, y su contenido no puede desconocerse en cualquier otro juicio o instancia”.</w:t>
      </w:r>
    </w:p>
    <w:p w14:paraId="521432CD"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6BEDB4AB"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No obstante, inmediatamente después de conocer la nota de prensa del Consejo de la Judicatura Federal,  la PGR refirió en un comunicado oficial “no compartir” los argumentos de la sentencia</w:t>
      </w:r>
      <w:r w:rsidRPr="00482DFF">
        <w:rPr>
          <w:rStyle w:val="FootnoteReference"/>
          <w:rFonts w:ascii="Arial Narrow" w:eastAsia="Calibri" w:hAnsi="Arial Narrow" w:cs="Arial"/>
        </w:rPr>
        <w:footnoteReference w:id="8"/>
      </w:r>
      <w:r w:rsidRPr="00482DFF">
        <w:rPr>
          <w:rFonts w:ascii="Arial Narrow" w:eastAsia="Calibri" w:hAnsi="Arial Narrow" w:cs="Arial"/>
        </w:rPr>
        <w:t>. Adicionalmente, el Encargado de Despacho de la Procuraduría declaró en distintas ocasiones que buscarían las vías para impugnar el fallo</w:t>
      </w:r>
      <w:r w:rsidRPr="00482DFF">
        <w:rPr>
          <w:rStyle w:val="FootnoteReference"/>
          <w:rFonts w:ascii="Arial Narrow" w:eastAsia="Calibri" w:hAnsi="Arial Narrow" w:cs="Arial"/>
        </w:rPr>
        <w:footnoteReference w:id="9"/>
      </w:r>
      <w:r w:rsidRPr="00482DFF">
        <w:rPr>
          <w:rFonts w:ascii="Arial Narrow" w:eastAsia="Calibri" w:hAnsi="Arial Narrow" w:cs="Arial"/>
        </w:rPr>
        <w:t>. Para ello, adicionalmente, la PGR articuló el apoyo de todas las procuradurías del país, que en un pronunciamiento conjunto condenaron la sentencia</w:t>
      </w:r>
      <w:r w:rsidRPr="00482DFF">
        <w:rPr>
          <w:rStyle w:val="FootnoteReference"/>
          <w:rFonts w:ascii="Arial Narrow" w:eastAsia="Calibri" w:hAnsi="Arial Narrow" w:cs="Arial"/>
        </w:rPr>
        <w:footnoteReference w:id="10"/>
      </w:r>
      <w:r w:rsidRPr="00482DFF">
        <w:rPr>
          <w:rFonts w:ascii="Arial Narrow" w:eastAsia="Calibri" w:hAnsi="Arial Narrow" w:cs="Arial"/>
        </w:rPr>
        <w:t xml:space="preserve">.  </w:t>
      </w:r>
    </w:p>
    <w:p w14:paraId="1938E7EE"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372646D7"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lastRenderedPageBreak/>
        <w:t xml:space="preserve">El Gobierno Federal lanzó una ofensiva contra la sentencia con la interposición de una serie de recursos judiciales, algunos previstos en la legislación y otros completamente fuera de todo cauce legal. Al día de hoy se tiene un registro de más de cerca de cien recursos legales, escritos e impugnaciones interpuestas contra la sentencia, a los que nos referiremos a continuación. </w:t>
      </w:r>
    </w:p>
    <w:p w14:paraId="586440E1" w14:textId="77777777" w:rsidR="001772AB" w:rsidRPr="00482DFF" w:rsidRDefault="001772AB" w:rsidP="007F023F">
      <w:pPr>
        <w:spacing w:after="0" w:line="240" w:lineRule="auto"/>
        <w:ind w:right="51"/>
        <w:contextualSpacing/>
        <w:jc w:val="both"/>
        <w:rPr>
          <w:rFonts w:ascii="Arial Narrow" w:eastAsia="Calibri" w:hAnsi="Arial Narrow" w:cs="Arial"/>
        </w:rPr>
      </w:pPr>
    </w:p>
    <w:p w14:paraId="72196C5F" w14:textId="77777777" w:rsidR="00E247CD" w:rsidRPr="00482DFF" w:rsidRDefault="00E247CD" w:rsidP="007F023F">
      <w:pPr>
        <w:pStyle w:val="ListParagraph"/>
        <w:numPr>
          <w:ilvl w:val="1"/>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t xml:space="preserve">Recursos de imposibilidad de cumplimiento </w:t>
      </w:r>
    </w:p>
    <w:p w14:paraId="545F629C" w14:textId="77777777" w:rsidR="00E247CD" w:rsidRPr="00482DFF" w:rsidRDefault="00E247CD" w:rsidP="007F023F">
      <w:pPr>
        <w:pStyle w:val="ListParagraph"/>
        <w:spacing w:after="0" w:line="240" w:lineRule="auto"/>
        <w:ind w:right="51"/>
        <w:jc w:val="both"/>
        <w:rPr>
          <w:rFonts w:ascii="Arial Narrow" w:eastAsia="Calibri" w:hAnsi="Arial Narrow" w:cs="Arial"/>
          <w:b/>
          <w:highlight w:val="yellow"/>
        </w:rPr>
      </w:pPr>
    </w:p>
    <w:p w14:paraId="583E235B" w14:textId="2E80F26D"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Uno de los principales recursos interpuestos por la propia PGR y que ha avanzado </w:t>
      </w:r>
      <w:r w:rsidR="00D453F2" w:rsidRPr="00482DFF">
        <w:rPr>
          <w:rFonts w:ascii="Arial Narrow" w:eastAsia="Calibri" w:hAnsi="Arial Narrow" w:cs="Arial"/>
        </w:rPr>
        <w:t>hasta la Suprema Corte de Justicia</w:t>
      </w:r>
      <w:r w:rsidRPr="00482DFF">
        <w:rPr>
          <w:rFonts w:ascii="Arial Narrow" w:eastAsia="Calibri" w:hAnsi="Arial Narrow" w:cs="Arial"/>
        </w:rPr>
        <w:t xml:space="preserve"> es un incidente de imposibilidad de cumplimiento material y jurídico</w:t>
      </w:r>
      <w:r w:rsidR="00D453F2" w:rsidRPr="00482DFF">
        <w:rPr>
          <w:rStyle w:val="FootnoteReference"/>
          <w:rFonts w:ascii="Arial Narrow" w:eastAsia="Calibri" w:hAnsi="Arial Narrow" w:cs="Arial"/>
        </w:rPr>
        <w:footnoteReference w:id="11"/>
      </w:r>
      <w:r w:rsidRPr="00482DFF">
        <w:rPr>
          <w:rFonts w:ascii="Arial Narrow" w:eastAsia="Calibri" w:hAnsi="Arial Narrow" w:cs="Arial"/>
        </w:rPr>
        <w:t xml:space="preserve">. Si bien este recurso está previsto en la legislación mexicana, la PGR claramente lo empleó para presentar una apelación velada, incurriendo justamente en lo que la Constitución y la Ley de Amparo prohíben: impugnar una sentencia de amparo en revisión. </w:t>
      </w:r>
    </w:p>
    <w:p w14:paraId="62DF4F3F"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2BF00106"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t xml:space="preserve">Así, la PGR argumentó que la sentencia era imposible de cumplir porque: 1) se había ampliado indebidamente la </w:t>
      </w:r>
      <w:r w:rsidRPr="00482DFF">
        <w:rPr>
          <w:rFonts w:ascii="Arial Narrow" w:eastAsia="Calibri" w:hAnsi="Arial Narrow" w:cs="Arial"/>
          <w:i/>
        </w:rPr>
        <w:t>litis</w:t>
      </w:r>
      <w:r w:rsidRPr="00482DFF">
        <w:rPr>
          <w:rFonts w:ascii="Arial Narrow" w:eastAsia="Calibri" w:hAnsi="Arial Narrow" w:cs="Arial"/>
        </w:rPr>
        <w:t xml:space="preserve"> sobre los quejosos, conceptos de violación y autoridades responsables; 2) se había invadido la facultad exclusiva del MP de investigar y perseguir delitos; y, 3) se había ordenado la creación de la Comisión de Investigación con base en el Protocolo de Minnesota, el cual -estima la Procuraduría- no es un instrumento vinculante para el Estado mexicano. </w:t>
      </w:r>
    </w:p>
    <w:p w14:paraId="3164148E"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259CF635" w14:textId="68FEE20A" w:rsidR="00E247CD" w:rsidRPr="00482DFF" w:rsidRDefault="00E247CD" w:rsidP="007F023F">
      <w:pPr>
        <w:spacing w:after="0" w:line="240" w:lineRule="auto"/>
        <w:ind w:right="51"/>
        <w:contextualSpacing/>
        <w:jc w:val="both"/>
        <w:rPr>
          <w:rFonts w:ascii="Arial Narrow" w:hAnsi="Arial Narrow"/>
        </w:rPr>
      </w:pPr>
      <w:r w:rsidRPr="00482DFF">
        <w:rPr>
          <w:rFonts w:ascii="Arial Narrow" w:eastAsia="Calibri" w:hAnsi="Arial Narrow" w:cs="Arial"/>
        </w:rPr>
        <w:t xml:space="preserve">Los argumentos de la PGR fueron apoyados por </w:t>
      </w:r>
      <w:r w:rsidR="007F08D1" w:rsidRPr="00482DFF">
        <w:rPr>
          <w:rFonts w:ascii="Arial Narrow" w:eastAsia="Calibri" w:hAnsi="Arial Narrow" w:cs="Arial"/>
        </w:rPr>
        <w:t>el</w:t>
      </w:r>
      <w:r w:rsidR="0062750A" w:rsidRPr="00482DFF">
        <w:rPr>
          <w:rFonts w:ascii="Arial Narrow" w:eastAsia="Calibri" w:hAnsi="Arial Narrow" w:cs="Arial"/>
        </w:rPr>
        <w:t xml:space="preserve"> Congreso </w:t>
      </w:r>
      <w:r w:rsidRPr="00482DFF">
        <w:rPr>
          <w:rFonts w:ascii="Arial Narrow" w:eastAsia="Calibri" w:hAnsi="Arial Narrow" w:cs="Arial"/>
        </w:rPr>
        <w:t xml:space="preserve">y </w:t>
      </w:r>
      <w:r w:rsidR="0062750A" w:rsidRPr="00482DFF">
        <w:rPr>
          <w:rFonts w:ascii="Arial Narrow" w:eastAsia="Calibri" w:hAnsi="Arial Narrow" w:cs="Arial"/>
        </w:rPr>
        <w:t xml:space="preserve">por la </w:t>
      </w:r>
      <w:r w:rsidRPr="00482DFF">
        <w:rPr>
          <w:rFonts w:ascii="Arial Narrow" w:eastAsia="Calibri" w:hAnsi="Arial Narrow" w:cs="Arial"/>
        </w:rPr>
        <w:t xml:space="preserve">Presidencia de la República en desahogos de vista. </w:t>
      </w:r>
      <w:r w:rsidR="00D453F2" w:rsidRPr="00482DFF">
        <w:rPr>
          <w:rFonts w:ascii="Arial Narrow" w:eastAsia="Calibri" w:hAnsi="Arial Narrow" w:cs="Arial"/>
        </w:rPr>
        <w:t>A</w:t>
      </w:r>
      <w:r w:rsidRPr="00482DFF">
        <w:rPr>
          <w:rFonts w:ascii="Arial Narrow" w:hAnsi="Arial Narrow"/>
        </w:rPr>
        <w:t xml:space="preserve">mbas representaciones legales de dos de los Poderes de la Unión alegaron que la sentencia desatendía el diseño constitucional mexicano y que imponía obligaciones tanto al legislativo como al ejecutivo. </w:t>
      </w:r>
    </w:p>
    <w:p w14:paraId="119E1C49" w14:textId="77777777" w:rsidR="00E247CD" w:rsidRPr="00482DFF" w:rsidRDefault="00E247CD" w:rsidP="007F023F">
      <w:pPr>
        <w:spacing w:after="0" w:line="240" w:lineRule="auto"/>
        <w:contextualSpacing/>
        <w:jc w:val="both"/>
        <w:rPr>
          <w:rFonts w:ascii="Arial Narrow" w:hAnsi="Arial Narrow"/>
        </w:rPr>
      </w:pPr>
    </w:p>
    <w:p w14:paraId="79AFC581" w14:textId="7CFE873A" w:rsidR="00E247CD" w:rsidRPr="00482DFF" w:rsidRDefault="00D453F2" w:rsidP="007F023F">
      <w:pPr>
        <w:spacing w:after="0" w:line="240" w:lineRule="auto"/>
        <w:contextualSpacing/>
        <w:jc w:val="both"/>
        <w:rPr>
          <w:rFonts w:ascii="Arial Narrow" w:hAnsi="Arial Narrow"/>
        </w:rPr>
      </w:pPr>
      <w:r w:rsidRPr="00482DFF">
        <w:rPr>
          <w:rFonts w:ascii="Arial Narrow" w:hAnsi="Arial Narrow"/>
        </w:rPr>
        <w:t>En ese contexto, el</w:t>
      </w:r>
      <w:r w:rsidR="00E247CD" w:rsidRPr="00482DFF">
        <w:rPr>
          <w:rFonts w:ascii="Arial Narrow" w:hAnsi="Arial Narrow"/>
        </w:rPr>
        <w:t xml:space="preserve"> 18 de julio pasado el Tercer Tribunal Unitario </w:t>
      </w:r>
      <w:r w:rsidRPr="00482DFF">
        <w:rPr>
          <w:rFonts w:ascii="Arial Narrow" w:hAnsi="Arial Narrow"/>
        </w:rPr>
        <w:t xml:space="preserve">- </w:t>
      </w:r>
      <w:r w:rsidRPr="00482DFF">
        <w:rPr>
          <w:rFonts w:ascii="Arial Narrow" w:eastAsia="Calibri" w:hAnsi="Arial Narrow" w:cs="Arial"/>
        </w:rPr>
        <w:t xml:space="preserve">que como instancia a cargo del juicio de amparo inicial es responsable de supervisar el cumplimiento de la sentencia pese a que ésta fue dictada por </w:t>
      </w:r>
      <w:r w:rsidR="007F08D1" w:rsidRPr="00482DFF">
        <w:rPr>
          <w:rFonts w:ascii="Arial Narrow" w:eastAsia="Calibri" w:hAnsi="Arial Narrow" w:cs="Arial"/>
        </w:rPr>
        <w:t>un tribunal de alzada</w:t>
      </w:r>
      <w:r w:rsidRPr="00482DFF">
        <w:rPr>
          <w:rFonts w:ascii="Arial Narrow" w:eastAsia="Calibri" w:hAnsi="Arial Narrow" w:cs="Arial"/>
        </w:rPr>
        <w:t xml:space="preserve"> –</w:t>
      </w:r>
      <w:r w:rsidR="00E247CD" w:rsidRPr="00482DFF">
        <w:rPr>
          <w:rFonts w:ascii="Arial Narrow" w:hAnsi="Arial Narrow"/>
        </w:rPr>
        <w:t>declaró fundado el incidente de imposibilidad de cumplimiento, determinando, por lo tanto, que la sentencia no puede ejecutarse. No obstante, el propio Tercer Tribunal Unitario en su resolución, r</w:t>
      </w:r>
      <w:r w:rsidRPr="00482DFF">
        <w:rPr>
          <w:rFonts w:ascii="Arial Narrow" w:hAnsi="Arial Narrow"/>
        </w:rPr>
        <w:t>emitió</w:t>
      </w:r>
      <w:r w:rsidR="00E247CD" w:rsidRPr="00482DFF">
        <w:rPr>
          <w:rFonts w:ascii="Arial Narrow" w:hAnsi="Arial Narrow"/>
        </w:rPr>
        <w:t xml:space="preserve"> la misma al Primer Tribunal Colegiado del Décimo Noveno de Circuito, es decir, el mismo que emitió la sentencia que ordenó crear la Comisión de Investigación, para que “examine la legalidad de la decisión aquí adoptada, y determine si existe o no la imposibilidad de acatar la sentencia protectora; y de concluir que si es ejecutable, en su caso, remita los autos a la Suprema Corte de Justicia de la Nación con proyecto de separación del cargo de los titulares de la autoridades responsables”. </w:t>
      </w:r>
      <w:r w:rsidR="00FD055C" w:rsidRPr="00482DFF">
        <w:rPr>
          <w:rFonts w:ascii="Arial Narrow" w:hAnsi="Arial Narrow"/>
        </w:rPr>
        <w:t>Así lo hizo el Tribunal Colegiado en su sesión del 20 de septiembre de 2018, en el que ratificó la viabilidad jurídica de la Comisión de Inve</w:t>
      </w:r>
      <w:r w:rsidR="009C70C8" w:rsidRPr="00482DFF">
        <w:rPr>
          <w:rFonts w:ascii="Arial Narrow" w:hAnsi="Arial Narrow"/>
        </w:rPr>
        <w:t>stigación y dejó sin valor la decisión del Tribunal Unitario</w:t>
      </w:r>
      <w:r w:rsidR="0062750A" w:rsidRPr="00482DFF">
        <w:rPr>
          <w:rStyle w:val="FootnoteReference"/>
          <w:rFonts w:ascii="Arial Narrow" w:hAnsi="Arial Narrow"/>
        </w:rPr>
        <w:footnoteReference w:id="12"/>
      </w:r>
      <w:r w:rsidR="009C70C8" w:rsidRPr="00482DFF">
        <w:rPr>
          <w:rFonts w:ascii="Arial Narrow" w:hAnsi="Arial Narrow"/>
        </w:rPr>
        <w:t xml:space="preserve">. </w:t>
      </w:r>
    </w:p>
    <w:p w14:paraId="6738CD6A" w14:textId="77777777" w:rsidR="00E247CD" w:rsidRPr="00482DFF" w:rsidRDefault="00E247CD" w:rsidP="007F023F">
      <w:pPr>
        <w:spacing w:after="0" w:line="240" w:lineRule="auto"/>
        <w:contextualSpacing/>
        <w:jc w:val="both"/>
        <w:rPr>
          <w:rFonts w:ascii="Arial Narrow" w:hAnsi="Arial Narrow"/>
        </w:rPr>
      </w:pPr>
    </w:p>
    <w:p w14:paraId="269266F0" w14:textId="71ED49DA" w:rsidR="00E247CD" w:rsidRPr="00482DFF" w:rsidRDefault="00FD055C" w:rsidP="007F023F">
      <w:pPr>
        <w:spacing w:after="0" w:line="240" w:lineRule="auto"/>
        <w:contextualSpacing/>
        <w:jc w:val="both"/>
        <w:rPr>
          <w:rFonts w:ascii="Arial Narrow" w:hAnsi="Arial Narrow"/>
        </w:rPr>
      </w:pPr>
      <w:r w:rsidRPr="00482DFF">
        <w:rPr>
          <w:rFonts w:ascii="Arial Narrow" w:hAnsi="Arial Narrow"/>
        </w:rPr>
        <w:t xml:space="preserve">No obstante, la Suprema Corte de Justicia de la Nación tendrá la última palabra al decidir los recursos de imposibilidad de cumplimiento en los siguientes meses. </w:t>
      </w:r>
    </w:p>
    <w:p w14:paraId="7D020EF9" w14:textId="77777777" w:rsidR="00FD055C" w:rsidRPr="00482DFF" w:rsidRDefault="00FD055C" w:rsidP="007F023F">
      <w:pPr>
        <w:spacing w:after="0" w:line="240" w:lineRule="auto"/>
        <w:contextualSpacing/>
        <w:jc w:val="both"/>
        <w:rPr>
          <w:rFonts w:ascii="Arial Narrow" w:hAnsi="Arial Narrow"/>
        </w:rPr>
      </w:pPr>
    </w:p>
    <w:p w14:paraId="5983C301" w14:textId="77777777" w:rsidR="00E247CD" w:rsidRPr="00482DFF" w:rsidRDefault="00E247CD" w:rsidP="007F023F">
      <w:pPr>
        <w:spacing w:after="0" w:line="240" w:lineRule="auto"/>
        <w:contextualSpacing/>
        <w:jc w:val="both"/>
        <w:rPr>
          <w:rFonts w:ascii="Arial Narrow" w:hAnsi="Arial Narrow"/>
        </w:rPr>
      </w:pPr>
      <w:r w:rsidRPr="00482DFF">
        <w:rPr>
          <w:rFonts w:ascii="Arial Narrow" w:hAnsi="Arial Narrow"/>
        </w:rPr>
        <w:t xml:space="preserve">Cabe resaltar que la única parte de la sentencia impugnada en el recurso de imposibilidad de cumplimiento por parte de PGR, se refería a la creación de la Comisión de Investigación, es decir que de facto la PGR se allanó a los señalamientos del Tribunal sobre el resto de las irregularidades cometidas dentro de la investigación. </w:t>
      </w:r>
    </w:p>
    <w:p w14:paraId="2EDCD196" w14:textId="77777777" w:rsidR="00E247CD" w:rsidRPr="00482DFF" w:rsidRDefault="00E247CD" w:rsidP="007F023F">
      <w:pPr>
        <w:spacing w:after="0" w:line="240" w:lineRule="auto"/>
        <w:ind w:right="51"/>
        <w:contextualSpacing/>
        <w:jc w:val="both"/>
        <w:rPr>
          <w:rFonts w:ascii="Arial Narrow" w:eastAsia="Calibri" w:hAnsi="Arial Narrow" w:cs="Arial"/>
        </w:rPr>
      </w:pPr>
    </w:p>
    <w:p w14:paraId="211E9069" w14:textId="354EA265" w:rsidR="00E247CD" w:rsidRPr="00482DFF" w:rsidRDefault="00E247CD" w:rsidP="007F023F">
      <w:pPr>
        <w:pStyle w:val="ListParagraph"/>
        <w:numPr>
          <w:ilvl w:val="1"/>
          <w:numId w:val="1"/>
        </w:numPr>
        <w:spacing w:after="0" w:line="240" w:lineRule="auto"/>
        <w:ind w:right="51"/>
        <w:jc w:val="both"/>
        <w:rPr>
          <w:rFonts w:ascii="Arial Narrow" w:eastAsia="Calibri" w:hAnsi="Arial Narrow" w:cs="Arial"/>
          <w:b/>
        </w:rPr>
      </w:pPr>
      <w:r w:rsidRPr="00482DFF">
        <w:rPr>
          <w:rFonts w:ascii="Arial Narrow" w:eastAsia="Calibri" w:hAnsi="Arial Narrow" w:cs="Arial"/>
          <w:b/>
        </w:rPr>
        <w:t>Recursos adicionales interpuestos contra la Sentencia</w:t>
      </w:r>
    </w:p>
    <w:p w14:paraId="2C96D38D" w14:textId="77777777" w:rsidR="00E247CD" w:rsidRPr="00482DFF" w:rsidRDefault="00E247CD" w:rsidP="007F023F">
      <w:pPr>
        <w:pStyle w:val="ListParagraph"/>
        <w:spacing w:after="0" w:line="240" w:lineRule="auto"/>
        <w:ind w:left="1080" w:right="51"/>
        <w:jc w:val="both"/>
        <w:rPr>
          <w:rFonts w:ascii="Arial Narrow" w:eastAsia="Calibri" w:hAnsi="Arial Narrow" w:cs="Arial"/>
        </w:rPr>
      </w:pPr>
    </w:p>
    <w:p w14:paraId="313EA609" w14:textId="77777777" w:rsidR="00E247CD" w:rsidRPr="00482DFF" w:rsidRDefault="00E247CD" w:rsidP="007F023F">
      <w:pPr>
        <w:spacing w:after="0" w:line="240" w:lineRule="auto"/>
        <w:ind w:right="51"/>
        <w:contextualSpacing/>
        <w:jc w:val="both"/>
        <w:rPr>
          <w:rFonts w:ascii="Arial Narrow" w:eastAsia="Calibri" w:hAnsi="Arial Narrow" w:cs="Arial"/>
        </w:rPr>
      </w:pPr>
      <w:r w:rsidRPr="00482DFF">
        <w:rPr>
          <w:rFonts w:ascii="Arial Narrow" w:eastAsia="Calibri" w:hAnsi="Arial Narrow" w:cs="Arial"/>
        </w:rPr>
        <w:lastRenderedPageBreak/>
        <w:t xml:space="preserve">Además del recurso de imposibilidad de cumplimiento, como parte de la ofensiva de la administración actual, se han presentado otros recursos. Para mayor claridad, enseguida los enlistamos agrupados en función de los órganos judiciales ante los que han sido interpuestos. </w:t>
      </w:r>
    </w:p>
    <w:p w14:paraId="4B746AA1" w14:textId="77777777" w:rsidR="00E247CD" w:rsidRPr="00482DFF" w:rsidRDefault="00E247CD" w:rsidP="007F023F">
      <w:pPr>
        <w:spacing w:after="0" w:line="240" w:lineRule="auto"/>
        <w:ind w:left="708" w:right="51"/>
        <w:contextualSpacing/>
        <w:jc w:val="both"/>
        <w:rPr>
          <w:rFonts w:ascii="Arial Narrow" w:eastAsia="Calibri" w:hAnsi="Arial Narrow" w:cs="Arial"/>
        </w:rPr>
      </w:pPr>
    </w:p>
    <w:p w14:paraId="4C2B87A4" w14:textId="77777777" w:rsidR="00E247CD" w:rsidRPr="00482DFF" w:rsidRDefault="00E247CD" w:rsidP="007F023F">
      <w:pPr>
        <w:pStyle w:val="ListParagraph"/>
        <w:numPr>
          <w:ilvl w:val="0"/>
          <w:numId w:val="3"/>
        </w:numPr>
        <w:spacing w:after="0" w:line="240" w:lineRule="auto"/>
        <w:ind w:right="51"/>
        <w:jc w:val="both"/>
        <w:rPr>
          <w:rFonts w:ascii="Arial Narrow" w:eastAsia="Calibri" w:hAnsi="Arial Narrow" w:cs="Arial"/>
          <w:b/>
        </w:rPr>
      </w:pPr>
      <w:r w:rsidRPr="00482DFF">
        <w:rPr>
          <w:rFonts w:ascii="Arial Narrow" w:eastAsia="Calibri" w:hAnsi="Arial Narrow" w:cs="Arial"/>
          <w:b/>
        </w:rPr>
        <w:t xml:space="preserve">Tercer Tribunal Unitario del Décimo Noveno Circuito. </w:t>
      </w:r>
    </w:p>
    <w:p w14:paraId="3CFF80A9" w14:textId="77777777" w:rsidR="00E247CD" w:rsidRPr="00482DFF" w:rsidRDefault="00E247CD" w:rsidP="007F023F">
      <w:pPr>
        <w:pStyle w:val="ListParagraph"/>
        <w:spacing w:after="0" w:line="240" w:lineRule="auto"/>
        <w:ind w:left="1413" w:right="51"/>
        <w:jc w:val="both"/>
        <w:rPr>
          <w:rFonts w:ascii="Arial Narrow" w:eastAsia="Calibri" w:hAnsi="Arial Narrow" w:cs="Arial"/>
          <w:b/>
        </w:rPr>
      </w:pPr>
    </w:p>
    <w:p w14:paraId="30F7A451" w14:textId="77777777" w:rsidR="00E247CD" w:rsidRPr="00482DFF" w:rsidRDefault="00E247CD" w:rsidP="007F023F">
      <w:pPr>
        <w:spacing w:after="0" w:line="240" w:lineRule="auto"/>
        <w:ind w:left="708" w:right="51"/>
        <w:contextualSpacing/>
        <w:jc w:val="both"/>
        <w:rPr>
          <w:rFonts w:ascii="Arial Narrow" w:eastAsia="Calibri" w:hAnsi="Arial Narrow" w:cs="Arial"/>
        </w:rPr>
      </w:pPr>
      <w:r w:rsidRPr="00482DFF">
        <w:rPr>
          <w:rFonts w:ascii="Arial Narrow" w:eastAsia="Calibri" w:hAnsi="Arial Narrow" w:cs="Arial"/>
        </w:rPr>
        <w:t>i.</w:t>
      </w:r>
      <w:r w:rsidRPr="00482DFF">
        <w:rPr>
          <w:rFonts w:ascii="Arial Narrow" w:eastAsia="Calibri" w:hAnsi="Arial Narrow" w:cs="Arial"/>
        </w:rPr>
        <w:tab/>
        <w:t xml:space="preserve">PGR presentó 4 incidentes de imposibilidad de cumplimiento material y jurídico, los que fueron declarados fundados, como ya se mencionó previamente. </w:t>
      </w:r>
    </w:p>
    <w:p w14:paraId="276797DC" w14:textId="77777777" w:rsidR="00E247CD" w:rsidRPr="00482DFF" w:rsidRDefault="00E247CD" w:rsidP="007F023F">
      <w:pPr>
        <w:spacing w:after="0" w:line="240" w:lineRule="auto"/>
        <w:ind w:left="708" w:right="51"/>
        <w:contextualSpacing/>
        <w:jc w:val="both"/>
        <w:rPr>
          <w:rFonts w:ascii="Arial Narrow" w:eastAsia="Calibri" w:hAnsi="Arial Narrow" w:cs="Arial"/>
        </w:rPr>
      </w:pPr>
      <w:r w:rsidRPr="00482DFF">
        <w:rPr>
          <w:rFonts w:ascii="Arial Narrow" w:eastAsia="Calibri" w:hAnsi="Arial Narrow" w:cs="Arial"/>
        </w:rPr>
        <w:t>ii.</w:t>
      </w:r>
      <w:r w:rsidRPr="00482DFF">
        <w:rPr>
          <w:rFonts w:ascii="Arial Narrow" w:eastAsia="Calibri" w:hAnsi="Arial Narrow" w:cs="Arial"/>
        </w:rPr>
        <w:tab/>
        <w:t xml:space="preserve">La PGR, la Secretaría de la Defensa Nacional (SEDENA), la Secretaría de Marina (SEMAR), la Comisión Ejecutiva de Atención a Víctimas (CEAV), la Secretaría de Salud, la Secretaría de Hacienda y Crédito Público (SHCP), Policía Federal, el Órgano Administrativo Desconcentrado Prevención y Readaptación Social (ODPRS), la Secretaría de Gobernación (SEGOB), la Consejería Jurídica, la Oficina de la Presidencia y el Congreso de la Unión interpusieron una serie de recursos de revisión extraordinaria, los que están pendientes de remitirse a la SCJN para que se pronuncie sobre una solicitud de atracción presentada por la PGR. </w:t>
      </w:r>
    </w:p>
    <w:p w14:paraId="4C39A3FE" w14:textId="77777777" w:rsidR="00E247CD" w:rsidRPr="00482DFF" w:rsidRDefault="00E247CD" w:rsidP="007F023F">
      <w:pPr>
        <w:spacing w:after="0" w:line="240" w:lineRule="auto"/>
        <w:ind w:left="708" w:right="51"/>
        <w:contextualSpacing/>
        <w:jc w:val="both"/>
        <w:rPr>
          <w:rFonts w:ascii="Arial Narrow" w:eastAsia="Calibri" w:hAnsi="Arial Narrow" w:cs="Arial"/>
        </w:rPr>
      </w:pPr>
    </w:p>
    <w:p w14:paraId="5A5535A4" w14:textId="77777777" w:rsidR="00E247CD" w:rsidRPr="00482DFF" w:rsidRDefault="00E247CD" w:rsidP="007F023F">
      <w:pPr>
        <w:spacing w:after="0" w:line="240" w:lineRule="auto"/>
        <w:ind w:left="708" w:right="51"/>
        <w:contextualSpacing/>
        <w:jc w:val="both"/>
        <w:rPr>
          <w:rFonts w:ascii="Arial Narrow" w:eastAsia="Calibri" w:hAnsi="Arial Narrow" w:cs="Arial"/>
          <w:b/>
        </w:rPr>
      </w:pPr>
      <w:r w:rsidRPr="00482DFF">
        <w:rPr>
          <w:rFonts w:ascii="Arial Narrow" w:eastAsia="Calibri" w:hAnsi="Arial Narrow" w:cs="Arial"/>
          <w:b/>
        </w:rPr>
        <w:t>b)</w:t>
      </w:r>
      <w:r w:rsidRPr="00482DFF">
        <w:rPr>
          <w:rFonts w:ascii="Arial Narrow" w:eastAsia="Calibri" w:hAnsi="Arial Narrow" w:cs="Arial"/>
          <w:b/>
        </w:rPr>
        <w:tab/>
        <w:t xml:space="preserve">Primer Tribunal Colegiado del Décimo Noveno Circuito. </w:t>
      </w:r>
    </w:p>
    <w:p w14:paraId="11F7C3C6" w14:textId="77777777" w:rsidR="00E247CD" w:rsidRPr="00482DFF" w:rsidRDefault="00E247CD" w:rsidP="007F023F">
      <w:pPr>
        <w:spacing w:after="0" w:line="240" w:lineRule="auto"/>
        <w:ind w:left="708" w:right="51"/>
        <w:contextualSpacing/>
        <w:jc w:val="both"/>
        <w:rPr>
          <w:rFonts w:ascii="Arial Narrow" w:eastAsia="Calibri" w:hAnsi="Arial Narrow" w:cs="Arial"/>
        </w:rPr>
      </w:pPr>
    </w:p>
    <w:p w14:paraId="691E4BAF" w14:textId="77777777" w:rsidR="00E247CD" w:rsidRPr="00482DFF" w:rsidRDefault="00E247CD" w:rsidP="007F023F">
      <w:pPr>
        <w:spacing w:after="0" w:line="240" w:lineRule="auto"/>
        <w:ind w:left="708" w:right="51"/>
        <w:contextualSpacing/>
        <w:jc w:val="both"/>
        <w:rPr>
          <w:rFonts w:ascii="Arial Narrow" w:eastAsia="Calibri" w:hAnsi="Arial Narrow" w:cs="Arial"/>
        </w:rPr>
      </w:pPr>
      <w:r w:rsidRPr="00482DFF">
        <w:rPr>
          <w:rFonts w:ascii="Arial Narrow" w:eastAsia="Calibri" w:hAnsi="Arial Narrow" w:cs="Arial"/>
        </w:rPr>
        <w:t>i.</w:t>
      </w:r>
      <w:r w:rsidRPr="00482DFF">
        <w:rPr>
          <w:rFonts w:ascii="Arial Narrow" w:eastAsia="Calibri" w:hAnsi="Arial Narrow" w:cs="Arial"/>
        </w:rPr>
        <w:tab/>
        <w:t>Presidencia y el Congreso interpusieron una solicitud de aclaración de la sentencia, la cual fue declarada improcedente.</w:t>
      </w:r>
    </w:p>
    <w:p w14:paraId="4A4A60B9" w14:textId="77777777" w:rsidR="00E247CD" w:rsidRPr="00482DFF" w:rsidRDefault="00E247CD" w:rsidP="007F023F">
      <w:pPr>
        <w:spacing w:after="0" w:line="240" w:lineRule="auto"/>
        <w:ind w:left="708" w:right="51"/>
        <w:contextualSpacing/>
        <w:jc w:val="both"/>
        <w:rPr>
          <w:rFonts w:ascii="Arial Narrow" w:eastAsia="Calibri" w:hAnsi="Arial Narrow" w:cs="Arial"/>
        </w:rPr>
      </w:pPr>
      <w:r w:rsidRPr="00482DFF">
        <w:rPr>
          <w:rFonts w:ascii="Arial Narrow" w:eastAsia="Calibri" w:hAnsi="Arial Narrow" w:cs="Arial"/>
        </w:rPr>
        <w:t>ii.</w:t>
      </w:r>
      <w:r w:rsidRPr="00482DFF">
        <w:rPr>
          <w:rFonts w:ascii="Arial Narrow" w:eastAsia="Calibri" w:hAnsi="Arial Narrow" w:cs="Arial"/>
        </w:rPr>
        <w:tab/>
        <w:t>Presidencia y el Congreso interpusieron un incidente de nulidad de notificaciones, el cual se admitió a trámite.</w:t>
      </w:r>
    </w:p>
    <w:p w14:paraId="226D857B" w14:textId="77777777" w:rsidR="00E247CD" w:rsidRPr="00482DFF" w:rsidRDefault="00E247CD" w:rsidP="007F023F">
      <w:pPr>
        <w:spacing w:after="0" w:line="240" w:lineRule="auto"/>
        <w:ind w:left="708" w:right="51"/>
        <w:contextualSpacing/>
        <w:jc w:val="both"/>
        <w:rPr>
          <w:rFonts w:ascii="Arial Narrow" w:eastAsia="Calibri" w:hAnsi="Arial Narrow" w:cs="Arial"/>
        </w:rPr>
      </w:pPr>
      <w:r w:rsidRPr="00482DFF">
        <w:rPr>
          <w:rFonts w:ascii="Arial Narrow" w:eastAsia="Calibri" w:hAnsi="Arial Narrow" w:cs="Arial"/>
        </w:rPr>
        <w:t>iii.</w:t>
      </w:r>
      <w:r w:rsidRPr="00482DFF">
        <w:rPr>
          <w:rFonts w:ascii="Arial Narrow" w:eastAsia="Calibri" w:hAnsi="Arial Narrow" w:cs="Arial"/>
        </w:rPr>
        <w:tab/>
        <w:t>La PGR interpuso un incidente de regularización de procedimiento, que se desechó de plano.</w:t>
      </w:r>
    </w:p>
    <w:p w14:paraId="5EA68537" w14:textId="77777777" w:rsidR="00E247CD" w:rsidRPr="00482DFF" w:rsidRDefault="00E247CD" w:rsidP="007F023F">
      <w:pPr>
        <w:spacing w:after="0" w:line="240" w:lineRule="auto"/>
        <w:ind w:left="708" w:right="51"/>
        <w:contextualSpacing/>
        <w:jc w:val="both"/>
        <w:rPr>
          <w:rFonts w:ascii="Arial Narrow" w:eastAsia="Calibri" w:hAnsi="Arial Narrow" w:cs="Arial"/>
        </w:rPr>
      </w:pPr>
      <w:r w:rsidRPr="00482DFF">
        <w:rPr>
          <w:rFonts w:ascii="Arial Narrow" w:eastAsia="Calibri" w:hAnsi="Arial Narrow" w:cs="Arial"/>
        </w:rPr>
        <w:t>iv.</w:t>
      </w:r>
      <w:r w:rsidRPr="00482DFF">
        <w:rPr>
          <w:rFonts w:ascii="Arial Narrow" w:eastAsia="Calibri" w:hAnsi="Arial Narrow" w:cs="Arial"/>
        </w:rPr>
        <w:tab/>
        <w:t xml:space="preserve">La PGR, la Secretaría de la Defensa Nacional (SEDENA), la Secretaría de Marina (SEMAR), la Comisión Ejecutiva de Atención a Víctimas (CEAV), la Secretaría de Salud, la Secretaría de Hacienda y Crédito Público (SHCP), Policía Federal, el Órgano Administrativo Desconcentrado Prevención y Readaptación Social (ODPRS), la Secretaría de Gobernación (SEGOB), la Consejería Jurídica, la Oficina de la Presidencia y el Congreso de la Unión interpusieron 43 recursos de revisión extraordinaria, los cuáles fueron desechados de plano. </w:t>
      </w:r>
    </w:p>
    <w:p w14:paraId="35517E66" w14:textId="77777777" w:rsidR="00E247CD" w:rsidRPr="00482DFF" w:rsidRDefault="00E247CD" w:rsidP="007F023F">
      <w:pPr>
        <w:spacing w:after="0" w:line="240" w:lineRule="auto"/>
        <w:ind w:left="708" w:right="51"/>
        <w:contextualSpacing/>
        <w:jc w:val="both"/>
        <w:rPr>
          <w:rFonts w:ascii="Arial Narrow" w:eastAsia="Calibri" w:hAnsi="Arial Narrow" w:cs="Arial"/>
        </w:rPr>
      </w:pPr>
    </w:p>
    <w:p w14:paraId="126AECB8" w14:textId="77777777" w:rsidR="00E247CD" w:rsidRPr="00482DFF" w:rsidRDefault="00E247CD" w:rsidP="007F023F">
      <w:pPr>
        <w:spacing w:after="0" w:line="240" w:lineRule="auto"/>
        <w:ind w:left="708" w:right="51"/>
        <w:contextualSpacing/>
        <w:jc w:val="both"/>
        <w:rPr>
          <w:rFonts w:ascii="Arial Narrow" w:eastAsia="Calibri" w:hAnsi="Arial Narrow" w:cs="Arial"/>
          <w:b/>
        </w:rPr>
      </w:pPr>
      <w:r w:rsidRPr="00482DFF">
        <w:rPr>
          <w:rFonts w:ascii="Arial Narrow" w:eastAsia="Calibri" w:hAnsi="Arial Narrow" w:cs="Arial"/>
          <w:b/>
        </w:rPr>
        <w:t>c)</w:t>
      </w:r>
      <w:r w:rsidRPr="00482DFF">
        <w:rPr>
          <w:rFonts w:ascii="Arial Narrow" w:eastAsia="Calibri" w:hAnsi="Arial Narrow" w:cs="Arial"/>
          <w:b/>
        </w:rPr>
        <w:tab/>
        <w:t xml:space="preserve">Suprema Corte de Justicia de la Nación. </w:t>
      </w:r>
    </w:p>
    <w:p w14:paraId="2B080445" w14:textId="77777777" w:rsidR="00E247CD" w:rsidRPr="00482DFF" w:rsidRDefault="00E247CD" w:rsidP="007F023F">
      <w:pPr>
        <w:spacing w:after="0" w:line="240" w:lineRule="auto"/>
        <w:ind w:left="708" w:right="51"/>
        <w:contextualSpacing/>
        <w:jc w:val="both"/>
        <w:rPr>
          <w:rFonts w:ascii="Arial Narrow" w:eastAsia="Calibri" w:hAnsi="Arial Narrow" w:cs="Arial"/>
        </w:rPr>
      </w:pPr>
    </w:p>
    <w:p w14:paraId="6D989219" w14:textId="77777777" w:rsidR="00E247CD" w:rsidRPr="00482DFF" w:rsidRDefault="00E247CD" w:rsidP="007F023F">
      <w:pPr>
        <w:spacing w:after="0" w:line="240" w:lineRule="auto"/>
        <w:ind w:left="708" w:right="51"/>
        <w:contextualSpacing/>
        <w:jc w:val="both"/>
        <w:rPr>
          <w:rFonts w:ascii="Arial Narrow" w:eastAsia="Calibri" w:hAnsi="Arial Narrow" w:cs="Arial"/>
        </w:rPr>
      </w:pPr>
      <w:r w:rsidRPr="00482DFF">
        <w:rPr>
          <w:rFonts w:ascii="Arial Narrow" w:eastAsia="Calibri" w:hAnsi="Arial Narrow" w:cs="Arial"/>
        </w:rPr>
        <w:t>i.</w:t>
      </w:r>
      <w:r w:rsidRPr="00482DFF">
        <w:rPr>
          <w:rFonts w:ascii="Arial Narrow" w:eastAsia="Calibri" w:hAnsi="Arial Narrow" w:cs="Arial"/>
        </w:rPr>
        <w:tab/>
        <w:t xml:space="preserve">La PGR interpuso 4 recursos de queja en contra del requerimiento de conformar la Comisión de Investigación, respecto de los cuáles la SCJN se declaró incompetente. </w:t>
      </w:r>
    </w:p>
    <w:p w14:paraId="1129AA6B" w14:textId="77777777" w:rsidR="00E247CD" w:rsidRPr="00482DFF" w:rsidRDefault="00E247CD" w:rsidP="007F023F">
      <w:pPr>
        <w:spacing w:after="0" w:line="240" w:lineRule="auto"/>
        <w:ind w:left="708" w:right="51"/>
        <w:contextualSpacing/>
        <w:jc w:val="both"/>
        <w:rPr>
          <w:rFonts w:ascii="Arial Narrow" w:eastAsia="Calibri" w:hAnsi="Arial Narrow" w:cs="Arial"/>
        </w:rPr>
      </w:pPr>
      <w:r w:rsidRPr="00482DFF">
        <w:rPr>
          <w:rFonts w:ascii="Arial Narrow" w:eastAsia="Calibri" w:hAnsi="Arial Narrow" w:cs="Arial"/>
        </w:rPr>
        <w:t>ii.</w:t>
      </w:r>
      <w:r w:rsidRPr="00482DFF">
        <w:rPr>
          <w:rFonts w:ascii="Arial Narrow" w:eastAsia="Calibri" w:hAnsi="Arial Narrow" w:cs="Arial"/>
        </w:rPr>
        <w:tab/>
        <w:t>La PGR solicitó que la Corte ejerza su facultad de atracción sobre los recursos de revisión extraordinaria que esta dependencia y el resto de las autoridades federales presentaron en el Tribunal Unitario. La Corte admitió a trámite la solicitud y mandó a suspender la resolución de los recursos de revisión extraordinaria hasta que el Alto Tribunal se pronuncie sobre la solicitud de atracción. Un Ministro o Ministra de la Primera se encargará del proyecto de solicitud de atracción, en razón de que a ésta Sala le compete la materia penal.</w:t>
      </w:r>
    </w:p>
    <w:p w14:paraId="067B7C8D" w14:textId="77777777" w:rsidR="00E247CD" w:rsidRPr="00482DFF" w:rsidRDefault="00E247CD" w:rsidP="007F023F">
      <w:pPr>
        <w:spacing w:after="0" w:line="240" w:lineRule="auto"/>
        <w:contextualSpacing/>
        <w:jc w:val="both"/>
        <w:rPr>
          <w:rFonts w:ascii="Arial Narrow" w:hAnsi="Arial Narrow"/>
        </w:rPr>
      </w:pPr>
    </w:p>
    <w:p w14:paraId="4A65F11B" w14:textId="5318A667" w:rsidR="00E247CD" w:rsidRPr="00482DFF" w:rsidRDefault="00E247CD" w:rsidP="007F023F">
      <w:pPr>
        <w:spacing w:after="0" w:line="240" w:lineRule="auto"/>
        <w:contextualSpacing/>
        <w:jc w:val="both"/>
        <w:rPr>
          <w:rFonts w:ascii="Arial Narrow" w:hAnsi="Arial Narrow"/>
        </w:rPr>
      </w:pPr>
      <w:r w:rsidRPr="00482DFF">
        <w:rPr>
          <w:rFonts w:ascii="Arial Narrow" w:hAnsi="Arial Narrow"/>
        </w:rPr>
        <w:t>Finalmente, cobra relevancia mencionar que incluso individuos a título personal han interpuesto recursos contra la sentencia. Individuos, integrantes de instituciones que están siendo o deberían ser investigados por su participación en los hechos y que por diversos obstáculos interpuestos por las instituciones a las que pertenecen o la deficiencia de la investigación de la PGR, su participación no ha sido profundamente investigada. Tal es el caso de integrantes del 27 Batallón del Ejército, que presenciaron los hechos, que recibieron información relevante sobre lo que estaba pasando en la ciudad en tiempo real o que han sido señalados de presuntos vínculos con la delincuencia organiz</w:t>
      </w:r>
      <w:r w:rsidR="00271F3F" w:rsidRPr="00482DFF">
        <w:rPr>
          <w:rFonts w:ascii="Arial Narrow" w:hAnsi="Arial Narrow"/>
        </w:rPr>
        <w:t>ada</w:t>
      </w:r>
      <w:r w:rsidRPr="00482DFF">
        <w:rPr>
          <w:rFonts w:ascii="Arial Narrow" w:hAnsi="Arial Narrow"/>
        </w:rPr>
        <w:t xml:space="preserve">; </w:t>
      </w:r>
      <w:r w:rsidR="00B24008" w:rsidRPr="00482DFF">
        <w:rPr>
          <w:rFonts w:ascii="Arial Narrow" w:hAnsi="Arial Narrow"/>
        </w:rPr>
        <w:t xml:space="preserve">así como de </w:t>
      </w:r>
      <w:r w:rsidRPr="00482DFF">
        <w:rPr>
          <w:rFonts w:ascii="Arial Narrow" w:hAnsi="Arial Narrow"/>
        </w:rPr>
        <w:t xml:space="preserve">elementos de la Marina, que </w:t>
      </w:r>
      <w:r w:rsidR="00B24008" w:rsidRPr="00482DFF">
        <w:rPr>
          <w:rFonts w:ascii="Arial Narrow" w:hAnsi="Arial Narrow"/>
        </w:rPr>
        <w:t>participaron</w:t>
      </w:r>
      <w:r w:rsidRPr="00482DFF">
        <w:rPr>
          <w:rFonts w:ascii="Arial Narrow" w:hAnsi="Arial Narrow"/>
        </w:rPr>
        <w:t xml:space="preserve"> en las detenciones de personas que a la postre denunciaron actos de tortura; </w:t>
      </w:r>
      <w:r w:rsidR="00B24008" w:rsidRPr="00482DFF">
        <w:rPr>
          <w:rFonts w:ascii="Arial Narrow" w:hAnsi="Arial Narrow"/>
        </w:rPr>
        <w:t>y de</w:t>
      </w:r>
      <w:r w:rsidRPr="00482DFF">
        <w:rPr>
          <w:rFonts w:ascii="Arial Narrow" w:hAnsi="Arial Narrow"/>
        </w:rPr>
        <w:t xml:space="preserve"> policías federal</w:t>
      </w:r>
      <w:r w:rsidR="00B24008" w:rsidRPr="00482DFF">
        <w:rPr>
          <w:rFonts w:ascii="Arial Narrow" w:hAnsi="Arial Narrow"/>
        </w:rPr>
        <w:t>es</w:t>
      </w:r>
      <w:r w:rsidRPr="00482DFF">
        <w:rPr>
          <w:rFonts w:ascii="Arial Narrow" w:hAnsi="Arial Narrow"/>
        </w:rPr>
        <w:t xml:space="preserve"> que también participaron en detenciones que han sido cuestionadas. </w:t>
      </w:r>
    </w:p>
    <w:p w14:paraId="43DF8860" w14:textId="77777777" w:rsidR="00E247CD" w:rsidRPr="00482DFF" w:rsidRDefault="00E247CD" w:rsidP="007F023F">
      <w:pPr>
        <w:spacing w:after="0" w:line="240" w:lineRule="auto"/>
        <w:contextualSpacing/>
        <w:jc w:val="both"/>
        <w:rPr>
          <w:rFonts w:ascii="Arial Narrow" w:hAnsi="Arial Narrow"/>
        </w:rPr>
      </w:pPr>
    </w:p>
    <w:p w14:paraId="717FB678" w14:textId="44354932" w:rsidR="00E247CD" w:rsidRPr="00482DFF" w:rsidRDefault="00E247CD" w:rsidP="007F023F">
      <w:pPr>
        <w:spacing w:after="0" w:line="240" w:lineRule="auto"/>
        <w:contextualSpacing/>
        <w:jc w:val="both"/>
        <w:rPr>
          <w:rFonts w:ascii="Arial Narrow" w:hAnsi="Arial Narrow"/>
        </w:rPr>
      </w:pPr>
      <w:r w:rsidRPr="00482DFF">
        <w:rPr>
          <w:rFonts w:ascii="Arial Narrow" w:hAnsi="Arial Narrow"/>
        </w:rPr>
        <w:lastRenderedPageBreak/>
        <w:t>Cabe señalar que</w:t>
      </w:r>
      <w:r w:rsidR="008C2797" w:rsidRPr="00482DFF">
        <w:rPr>
          <w:rFonts w:ascii="Arial Narrow" w:hAnsi="Arial Narrow"/>
        </w:rPr>
        <w:t>,</w:t>
      </w:r>
      <w:r w:rsidRPr="00482DFF">
        <w:rPr>
          <w:rFonts w:ascii="Arial Narrow" w:hAnsi="Arial Narrow"/>
        </w:rPr>
        <w:t xml:space="preserve"> respecto de estos funcionarios, que se duelen de que la creación de una Comisión de Investigación les agravia directa y personalmente, las instituciones a las cuales están adscritos les han brindado representación y asesoría jurídica para impugnar la sentencia. Es decir, la representación legal de estos individuos corre a cargo de las mismas representaciones legales de los Titulares de las instituciones de las que son parte, lo que lleva un claro mensaje respecto a que estas instituciones no permitirán la adecuada investigación de su participación en los hechos</w:t>
      </w:r>
      <w:r w:rsidRPr="00482DFF">
        <w:rPr>
          <w:rStyle w:val="FootnoteReference"/>
          <w:rFonts w:ascii="Arial Narrow" w:hAnsi="Arial Narrow"/>
        </w:rPr>
        <w:footnoteReference w:id="13"/>
      </w:r>
      <w:r w:rsidRPr="00482DFF">
        <w:rPr>
          <w:rFonts w:ascii="Arial Narrow" w:hAnsi="Arial Narrow"/>
        </w:rPr>
        <w:t xml:space="preserve">. </w:t>
      </w:r>
      <w:r w:rsidR="00B24008" w:rsidRPr="00482DFF">
        <w:rPr>
          <w:rFonts w:ascii="Arial Narrow" w:hAnsi="Arial Narrow"/>
        </w:rPr>
        <w:t>Esto fue incluso defendido públicamente por altos mandos del Ejército mexicano en medios nacionales</w:t>
      </w:r>
      <w:r w:rsidR="00B24008" w:rsidRPr="00482DFF">
        <w:rPr>
          <w:rStyle w:val="FootnoteReference"/>
          <w:rFonts w:ascii="Arial Narrow" w:hAnsi="Arial Narrow"/>
        </w:rPr>
        <w:footnoteReference w:id="14"/>
      </w:r>
      <w:r w:rsidR="00B24008" w:rsidRPr="00482DFF">
        <w:rPr>
          <w:rFonts w:ascii="Arial Narrow" w:hAnsi="Arial Narrow"/>
        </w:rPr>
        <w:t xml:space="preserve">. </w:t>
      </w:r>
    </w:p>
    <w:p w14:paraId="055A2B11" w14:textId="5AC088BA" w:rsidR="00E247CD" w:rsidRPr="00482DFF" w:rsidRDefault="00E247CD" w:rsidP="007F023F">
      <w:pPr>
        <w:spacing w:after="0" w:line="240" w:lineRule="auto"/>
        <w:contextualSpacing/>
        <w:jc w:val="both"/>
        <w:rPr>
          <w:rFonts w:ascii="Arial Narrow" w:hAnsi="Arial Narrow"/>
        </w:rPr>
      </w:pPr>
    </w:p>
    <w:p w14:paraId="633DFBD0" w14:textId="77777777" w:rsidR="00B24008" w:rsidRPr="00482DFF" w:rsidRDefault="00B24008" w:rsidP="007F023F">
      <w:pPr>
        <w:pStyle w:val="ListParagraph"/>
        <w:numPr>
          <w:ilvl w:val="0"/>
          <w:numId w:val="1"/>
        </w:numPr>
        <w:spacing w:after="0" w:line="240" w:lineRule="auto"/>
        <w:jc w:val="both"/>
        <w:rPr>
          <w:rFonts w:ascii="Arial Narrow" w:hAnsi="Arial Narrow"/>
          <w:b/>
        </w:rPr>
      </w:pPr>
      <w:r w:rsidRPr="00482DFF">
        <w:rPr>
          <w:rFonts w:ascii="Arial Narrow" w:hAnsi="Arial Narrow"/>
          <w:b/>
        </w:rPr>
        <w:t xml:space="preserve">La relevancia del cumplimiento y de la implementación de un mecanismo extraordinario de investigación derivado de una sentencia judicial interna. </w:t>
      </w:r>
    </w:p>
    <w:p w14:paraId="5BF248A1" w14:textId="77777777" w:rsidR="00B24008" w:rsidRPr="00482DFF" w:rsidRDefault="00B24008" w:rsidP="007F023F">
      <w:pPr>
        <w:spacing w:after="0" w:line="240" w:lineRule="auto"/>
        <w:contextualSpacing/>
        <w:jc w:val="both"/>
        <w:rPr>
          <w:rFonts w:ascii="Arial Narrow" w:hAnsi="Arial Narrow"/>
        </w:rPr>
      </w:pPr>
    </w:p>
    <w:p w14:paraId="78D9422B" w14:textId="77777777" w:rsidR="00B24008" w:rsidRPr="00482DFF" w:rsidRDefault="00B24008" w:rsidP="007F023F">
      <w:pPr>
        <w:spacing w:after="0" w:line="240" w:lineRule="auto"/>
        <w:contextualSpacing/>
        <w:jc w:val="both"/>
        <w:rPr>
          <w:rFonts w:ascii="Arial Narrow" w:hAnsi="Arial Narrow"/>
        </w:rPr>
      </w:pPr>
      <w:r w:rsidRPr="00482DFF">
        <w:rPr>
          <w:rFonts w:ascii="Arial Narrow" w:hAnsi="Arial Narrow"/>
        </w:rPr>
        <w:t xml:space="preserve">Es importante hacer la valoración sobre lo que implica que todo el Gobierno Federal mexicano esté empleando todos sus recursos legales en contra de una sentencia que ordena reencauzar la investigación del caso Ayotzinapa. Son más de 100 recursos y escritos, presentados por 10 dependencias federales e individuos representados con recursos públicos. El Gobierno Federal no ha reclamado los señalamientos sobre la perpetración de actos de tortura, de detenciones arbitrarias, de retenciones ilegales o de sesgos investigativos; centralmente, ha impugnado la orden de que sea creada una Comisión de Investigación para el caso. </w:t>
      </w:r>
    </w:p>
    <w:p w14:paraId="3A7CCE22" w14:textId="77777777" w:rsidR="000A6538" w:rsidRPr="00482DFF" w:rsidRDefault="000A6538" w:rsidP="007F023F">
      <w:pPr>
        <w:spacing w:after="0" w:line="240" w:lineRule="auto"/>
        <w:contextualSpacing/>
        <w:jc w:val="both"/>
        <w:rPr>
          <w:rFonts w:ascii="Arial Narrow" w:hAnsi="Arial Narrow"/>
        </w:rPr>
      </w:pPr>
    </w:p>
    <w:p w14:paraId="5A3A506F" w14:textId="77777777" w:rsidR="00B24008" w:rsidRPr="00482DFF" w:rsidRDefault="00B24008" w:rsidP="007F023F">
      <w:pPr>
        <w:spacing w:after="0" w:line="240" w:lineRule="auto"/>
        <w:contextualSpacing/>
        <w:jc w:val="both"/>
        <w:rPr>
          <w:rFonts w:ascii="Arial Narrow" w:hAnsi="Arial Narrow"/>
        </w:rPr>
      </w:pPr>
      <w:r w:rsidRPr="00482DFF">
        <w:rPr>
          <w:rFonts w:ascii="Arial Narrow" w:hAnsi="Arial Narrow"/>
        </w:rPr>
        <w:t xml:space="preserve">En este sentido, cabe recordar que ante las observaciones críticas de instancias internacionales como el Grupo Interdisciplinario de Expertos Independientes (GIEI), del Mecanismo Especial de Seguimiento (MES) de esta CIDH, de Oficina en México del Alto Comisionado de las Naciones Unidas para los Derechos Humanos (OACNUDH) y del propio Comité contra las Desapariciones Forzadas, la respuesta del Gobierno Federal siempre fue que los tribunales mexicanos tendrían la última sobre el caso. Empero, hoy que esa palabra se ha expresado en una valoración adversa para la “verdad histórica”, la respuesta de la Administración Pública Federal ha sido de una coordinada ofensiva legal contra el fallo. Así, </w:t>
      </w:r>
      <w:r w:rsidRPr="00482DFF">
        <w:rPr>
          <w:rFonts w:ascii="Arial Narrow" w:hAnsi="Arial Narrow"/>
          <w:b/>
        </w:rPr>
        <w:t xml:space="preserve">las mismas autoridades que no se han coordinado para buscar a los desaparecidos ni en este caso ni en otros, lo están haciendo para impugnar un ejercicio novedoso de autonomía judicial.      </w:t>
      </w:r>
    </w:p>
    <w:p w14:paraId="0A2C8D4A" w14:textId="77777777" w:rsidR="00B24008" w:rsidRPr="00482DFF" w:rsidRDefault="00B24008" w:rsidP="007F023F">
      <w:pPr>
        <w:spacing w:after="0" w:line="240" w:lineRule="auto"/>
        <w:contextualSpacing/>
        <w:jc w:val="both"/>
        <w:rPr>
          <w:rFonts w:ascii="Arial Narrow" w:hAnsi="Arial Narrow"/>
        </w:rPr>
      </w:pPr>
    </w:p>
    <w:p w14:paraId="6A3516FD" w14:textId="77777777" w:rsidR="00B24008" w:rsidRPr="00482DFF" w:rsidRDefault="00B24008" w:rsidP="007F023F">
      <w:pPr>
        <w:spacing w:after="0" w:line="240" w:lineRule="auto"/>
        <w:contextualSpacing/>
        <w:jc w:val="both"/>
        <w:rPr>
          <w:rFonts w:ascii="Arial Narrow" w:hAnsi="Arial Narrow"/>
        </w:rPr>
      </w:pPr>
      <w:r w:rsidRPr="00482DFF">
        <w:rPr>
          <w:rFonts w:ascii="Arial Narrow" w:hAnsi="Arial Narrow"/>
        </w:rPr>
        <w:t xml:space="preserve">Para las familias de los estudiantes desaparecidos y para esta representación el hecho que las instituciones que debieran estar volteadas a dar con el paradero de los normalistas, identificar a los responsables de los hechos de esa noche y sancionarlos, obstruyan la creación de un mecanismo extraordinario de investigación para el caso, da cuenta de que en realidad este Gobierno Federal sigue buscando encubrir a toda costa la verdad de los hechos, obstaculizar las responsabilidades que deben de investigarse de la participación de otras instituciones estatales y federales incluyendo las castrenses, y ocultar las irregularidades que llevaron a construir una versión oficial sin asidero científico. </w:t>
      </w:r>
    </w:p>
    <w:p w14:paraId="225E093F" w14:textId="77777777" w:rsidR="00136659" w:rsidRPr="00482DFF" w:rsidRDefault="00136659" w:rsidP="007F023F">
      <w:pPr>
        <w:spacing w:after="0" w:line="240" w:lineRule="auto"/>
        <w:contextualSpacing/>
        <w:jc w:val="both"/>
        <w:rPr>
          <w:rFonts w:ascii="Arial Narrow" w:hAnsi="Arial Narrow"/>
        </w:rPr>
      </w:pPr>
    </w:p>
    <w:p w14:paraId="0A9EC90D" w14:textId="3CC12378" w:rsidR="00136659" w:rsidRPr="00482DFF" w:rsidRDefault="00136659" w:rsidP="007F023F">
      <w:pPr>
        <w:spacing w:after="0" w:line="240" w:lineRule="auto"/>
        <w:contextualSpacing/>
        <w:jc w:val="both"/>
        <w:rPr>
          <w:rFonts w:ascii="Arial Narrow" w:hAnsi="Arial Narrow"/>
        </w:rPr>
      </w:pPr>
      <w:r w:rsidRPr="00482DFF">
        <w:rPr>
          <w:rFonts w:ascii="Arial Narrow" w:hAnsi="Arial Narrow"/>
        </w:rPr>
        <w:t xml:space="preserve">Es decir, que contrario a lo que estableció el Comité en sus recomendaciones respecto de las investigaciones en casos de desaparición forzada, a pesar de la resolución del órgano colegiado, el Estado mexicano en el caso Ayotzinapa se niega a agotar todas las líneas de investigación; facilitar la participación de las familias, sin que eso les confiera la responsabilidad de producir pruebas; garantizar la coordinación institucional y garantizar los recursos para desempeñar funciones de investigación y a garantizar una investigación imparcial asegurando que quienes se encuentren bajo sospecha de haber sido parte de la desaparición o que hayan obstaculizado la investigación no sea parte de la misma. </w:t>
      </w:r>
    </w:p>
    <w:p w14:paraId="587A7B29" w14:textId="6DD3BDD7" w:rsidR="00141E33" w:rsidRPr="00482DFF" w:rsidRDefault="00141E33" w:rsidP="007F023F">
      <w:pPr>
        <w:spacing w:after="0" w:line="240" w:lineRule="auto"/>
        <w:contextualSpacing/>
        <w:jc w:val="both"/>
        <w:rPr>
          <w:rFonts w:ascii="Arial Narrow" w:hAnsi="Arial Narrow"/>
        </w:rPr>
      </w:pPr>
    </w:p>
    <w:p w14:paraId="6F26DB29" w14:textId="342BB18B" w:rsidR="00141E33" w:rsidRPr="00482DFF" w:rsidRDefault="00141E33" w:rsidP="007F023F">
      <w:pPr>
        <w:spacing w:after="0" w:line="240" w:lineRule="auto"/>
        <w:contextualSpacing/>
        <w:jc w:val="both"/>
        <w:rPr>
          <w:rFonts w:ascii="Arial Narrow" w:hAnsi="Arial Narrow"/>
        </w:rPr>
      </w:pPr>
      <w:r w:rsidRPr="00482DFF">
        <w:rPr>
          <w:rFonts w:ascii="Arial Narrow" w:hAnsi="Arial Narrow"/>
        </w:rPr>
        <w:t>Fina</w:t>
      </w:r>
      <w:r w:rsidR="00E726D6" w:rsidRPr="00482DFF">
        <w:rPr>
          <w:rFonts w:ascii="Arial Narrow" w:hAnsi="Arial Narrow"/>
        </w:rPr>
        <w:t>lmente, no sobra mencionar que, la de</w:t>
      </w:r>
      <w:r w:rsidR="00E612E0" w:rsidRPr="00482DFF">
        <w:rPr>
          <w:rFonts w:ascii="Arial Narrow" w:hAnsi="Arial Narrow"/>
        </w:rPr>
        <w:t>cisión del Estado mexicano de no aceptar la competencia del Comité para recibir y examinar comunicaciones individuales</w:t>
      </w:r>
      <w:r w:rsidR="001772AB" w:rsidRPr="00482DFF">
        <w:rPr>
          <w:rFonts w:ascii="Arial Narrow" w:hAnsi="Arial Narrow"/>
        </w:rPr>
        <w:t xml:space="preserve"> – como lo ha sostenido en su informe al Comité–</w:t>
      </w:r>
      <w:r w:rsidR="001772AB" w:rsidRPr="00482DFF">
        <w:rPr>
          <w:rStyle w:val="FootnoteReference"/>
          <w:rFonts w:ascii="Arial Narrow" w:hAnsi="Arial Narrow"/>
        </w:rPr>
        <w:footnoteReference w:id="15"/>
      </w:r>
      <w:r w:rsidR="00E612E0" w:rsidRPr="00482DFF">
        <w:rPr>
          <w:rFonts w:ascii="Arial Narrow" w:hAnsi="Arial Narrow"/>
        </w:rPr>
        <w:t xml:space="preserve">, se vuelve muy relevante en estos contextos, cuando el Estado se niega a cumplimentar sentencias nacionales </w:t>
      </w:r>
      <w:r w:rsidR="00E612E0" w:rsidRPr="00482DFF">
        <w:rPr>
          <w:rFonts w:ascii="Arial Narrow" w:hAnsi="Arial Narrow"/>
        </w:rPr>
        <w:lastRenderedPageBreak/>
        <w:t>basadas en estándares y jurisprudencia internacional. La negación del Estado a aceptar la competencia del Comité incluso ha llevado a familiare</w:t>
      </w:r>
      <w:r w:rsidR="00065783" w:rsidRPr="00482DFF">
        <w:rPr>
          <w:rFonts w:ascii="Arial Narrow" w:hAnsi="Arial Narrow"/>
        </w:rPr>
        <w:t>s de víctimas de desaparición a interponer recursos legales contra las instituciones a cargo de la política exterior para denunciar la falta de acceso a mecanismos internacionales de protección en materia de desapariciones forzadas</w:t>
      </w:r>
      <w:r w:rsidR="00065783" w:rsidRPr="00482DFF">
        <w:rPr>
          <w:rStyle w:val="FootnoteReference"/>
          <w:rFonts w:ascii="Arial Narrow" w:hAnsi="Arial Narrow"/>
        </w:rPr>
        <w:footnoteReference w:id="16"/>
      </w:r>
      <w:r w:rsidR="001772AB" w:rsidRPr="00482DFF">
        <w:rPr>
          <w:rFonts w:ascii="Arial Narrow" w:hAnsi="Arial Narrow"/>
        </w:rPr>
        <w:t xml:space="preserve">. Esto se vuelve aún más relevantes para casos que a diferencia del caso Ayotzinapa no han contado con supervisión internacional. </w:t>
      </w:r>
    </w:p>
    <w:p w14:paraId="11BFD037" w14:textId="01570E4F" w:rsidR="00B24008" w:rsidRPr="00482DFF" w:rsidRDefault="00B24008" w:rsidP="007F023F">
      <w:pPr>
        <w:spacing w:after="0" w:line="240" w:lineRule="auto"/>
        <w:contextualSpacing/>
        <w:jc w:val="both"/>
        <w:rPr>
          <w:rFonts w:ascii="Arial Narrow" w:hAnsi="Arial Narrow"/>
        </w:rPr>
      </w:pPr>
    </w:p>
    <w:p w14:paraId="1FBF172F" w14:textId="67E5C557" w:rsidR="00B24008" w:rsidRPr="00482DFF" w:rsidRDefault="00B769D4" w:rsidP="007F023F">
      <w:pPr>
        <w:pStyle w:val="ListParagraph"/>
        <w:numPr>
          <w:ilvl w:val="0"/>
          <w:numId w:val="1"/>
        </w:numPr>
        <w:spacing w:after="0" w:line="240" w:lineRule="auto"/>
        <w:jc w:val="both"/>
        <w:rPr>
          <w:rFonts w:ascii="Arial Narrow" w:hAnsi="Arial Narrow"/>
          <w:b/>
        </w:rPr>
      </w:pPr>
      <w:r w:rsidRPr="00482DFF">
        <w:rPr>
          <w:rFonts w:ascii="Arial Narrow" w:hAnsi="Arial Narrow"/>
          <w:b/>
        </w:rPr>
        <w:t>Conclusiones y petitorios</w:t>
      </w:r>
    </w:p>
    <w:p w14:paraId="74D097A8" w14:textId="77777777" w:rsidR="00B769D4" w:rsidRPr="00482DFF" w:rsidRDefault="00B769D4" w:rsidP="007F023F">
      <w:pPr>
        <w:pStyle w:val="ListParagraph"/>
        <w:spacing w:after="0" w:line="240" w:lineRule="auto"/>
        <w:jc w:val="both"/>
        <w:rPr>
          <w:rFonts w:ascii="Arial Narrow" w:hAnsi="Arial Narrow"/>
          <w:b/>
        </w:rPr>
      </w:pPr>
    </w:p>
    <w:p w14:paraId="753A1952" w14:textId="77777777" w:rsidR="00B769D4" w:rsidRPr="00482DFF" w:rsidRDefault="00B769D4" w:rsidP="007F023F">
      <w:pPr>
        <w:spacing w:after="0" w:line="240" w:lineRule="auto"/>
        <w:ind w:right="49"/>
        <w:contextualSpacing/>
        <w:jc w:val="both"/>
        <w:rPr>
          <w:rFonts w:ascii="Arial Narrow" w:hAnsi="Arial Narrow"/>
        </w:rPr>
      </w:pPr>
      <w:r w:rsidRPr="00482DFF">
        <w:rPr>
          <w:rFonts w:ascii="Arial Narrow" w:hAnsi="Arial Narrow"/>
        </w:rPr>
        <w:t xml:space="preserve">La sentencia del Tribunal Colegiado de Circuito, además de por primera vez poner al centro los derechos de las víctimas en una decisión nacional en el caso, ha logrado sepultar y confirmar lo que han dicho todos los mecanismos internacionales sobre la teoría oficial de la PGR. Por ello, su cumplimiento se convierte en la oportunidad de las familias a alcanzar la verdad a casi 4 años de los hechos. </w:t>
      </w:r>
    </w:p>
    <w:p w14:paraId="38E7DA41" w14:textId="77777777" w:rsidR="001F1D52" w:rsidRPr="00482DFF" w:rsidRDefault="001F1D52" w:rsidP="007F023F">
      <w:pPr>
        <w:spacing w:after="0" w:line="240" w:lineRule="auto"/>
        <w:contextualSpacing/>
        <w:jc w:val="both"/>
        <w:rPr>
          <w:rFonts w:ascii="Arial Narrow" w:hAnsi="Arial Narrow"/>
        </w:rPr>
      </w:pPr>
    </w:p>
    <w:p w14:paraId="31ACC508" w14:textId="5A4F892C" w:rsidR="001F1D52" w:rsidRPr="00482DFF" w:rsidRDefault="001F1D52" w:rsidP="007F023F">
      <w:pPr>
        <w:spacing w:after="0" w:line="240" w:lineRule="auto"/>
        <w:contextualSpacing/>
        <w:jc w:val="both"/>
        <w:rPr>
          <w:rFonts w:ascii="Arial Narrow" w:hAnsi="Arial Narrow"/>
        </w:rPr>
      </w:pPr>
      <w:r w:rsidRPr="00482DFF">
        <w:rPr>
          <w:rFonts w:ascii="Arial Narrow" w:hAnsi="Arial Narrow"/>
        </w:rPr>
        <w:t>Por ello, es importante resaltar el inminente cambio en el Ejecutivo federal a llevarse a cabo a unos días de que se sostenga el Diálogo del Comité con el Estado mexicano. Si bien éste se llevará a cabo con la actual administración, es importante que el Comité conozca que el ahora Presidente electo y el equipo de transición ha hecho expresiones importantes respecto de que la crisis de desapariciones en México será una prioridad para ellos</w:t>
      </w:r>
      <w:r w:rsidR="002E615E" w:rsidRPr="00482DFF">
        <w:rPr>
          <w:rStyle w:val="FootnoteReference"/>
          <w:rFonts w:ascii="Arial Narrow" w:hAnsi="Arial Narrow"/>
        </w:rPr>
        <w:footnoteReference w:id="17"/>
      </w:r>
      <w:r w:rsidRPr="00482DFF">
        <w:rPr>
          <w:rFonts w:ascii="Arial Narrow" w:hAnsi="Arial Narrow"/>
        </w:rPr>
        <w:t xml:space="preserve">; y en particular </w:t>
      </w:r>
      <w:r w:rsidR="002E615E">
        <w:rPr>
          <w:rFonts w:ascii="Arial Narrow" w:hAnsi="Arial Narrow"/>
        </w:rPr>
        <w:t>respecto d</w:t>
      </w:r>
      <w:r w:rsidRPr="00482DFF">
        <w:rPr>
          <w:rFonts w:ascii="Arial Narrow" w:hAnsi="Arial Narrow"/>
        </w:rPr>
        <w:t>el caso de Ayotzinapa, se han comprometido a la creación de un mecanismo extraordinario de investigación como el ordenado por el Tribunal Colegiado, con la participación de organismos internacionales, compromiso que quedará signado en un decreto presidencial</w:t>
      </w:r>
      <w:r w:rsidRPr="00482DFF">
        <w:rPr>
          <w:rStyle w:val="FootnoteReference"/>
          <w:rFonts w:ascii="Arial Narrow" w:hAnsi="Arial Narrow"/>
        </w:rPr>
        <w:footnoteReference w:id="18"/>
      </w:r>
      <w:r w:rsidRPr="00482DFF">
        <w:rPr>
          <w:rFonts w:ascii="Arial Narrow" w:hAnsi="Arial Narrow"/>
        </w:rPr>
        <w:t xml:space="preserve">. En este contexto, un monitoreo estrecho del </w:t>
      </w:r>
      <w:r w:rsidR="00C47228" w:rsidRPr="00482DFF">
        <w:rPr>
          <w:rFonts w:ascii="Arial Narrow" w:hAnsi="Arial Narrow"/>
        </w:rPr>
        <w:t>C</w:t>
      </w:r>
      <w:r w:rsidRPr="00482DFF">
        <w:rPr>
          <w:rFonts w:ascii="Arial Narrow" w:hAnsi="Arial Narrow"/>
        </w:rPr>
        <w:t>omité</w:t>
      </w:r>
      <w:r w:rsidR="00C47228" w:rsidRPr="00482DFF">
        <w:rPr>
          <w:rFonts w:ascii="Arial Narrow" w:hAnsi="Arial Narrow"/>
        </w:rPr>
        <w:t xml:space="preserve"> posterior al diálogo, será crucial para </w:t>
      </w:r>
      <w:r w:rsidRPr="00482DFF">
        <w:rPr>
          <w:rFonts w:ascii="Arial Narrow" w:hAnsi="Arial Narrow"/>
        </w:rPr>
        <w:t xml:space="preserve">ensanchar la breve ventana de oportunidad que se abre, en </w:t>
      </w:r>
      <w:r w:rsidR="00C47228" w:rsidRPr="00482DFF">
        <w:rPr>
          <w:rFonts w:ascii="Arial Narrow" w:hAnsi="Arial Narrow"/>
        </w:rPr>
        <w:t>este caso emblemático</w:t>
      </w:r>
      <w:r w:rsidRPr="00482DFF">
        <w:rPr>
          <w:rFonts w:ascii="Arial Narrow" w:hAnsi="Arial Narrow"/>
        </w:rPr>
        <w:t xml:space="preserve"> que de ser resuelto podría ser un detonador de justicia y verdad en </w:t>
      </w:r>
      <w:r w:rsidR="00C47228" w:rsidRPr="00482DFF">
        <w:rPr>
          <w:rFonts w:ascii="Arial Narrow" w:hAnsi="Arial Narrow"/>
        </w:rPr>
        <w:t>México</w:t>
      </w:r>
    </w:p>
    <w:p w14:paraId="00E91CC7" w14:textId="77777777" w:rsidR="00B24008" w:rsidRPr="00482DFF" w:rsidRDefault="00B24008" w:rsidP="007F023F">
      <w:pPr>
        <w:pStyle w:val="ListParagraph"/>
        <w:spacing w:after="0" w:line="240" w:lineRule="auto"/>
        <w:ind w:left="0"/>
        <w:jc w:val="both"/>
        <w:rPr>
          <w:rFonts w:ascii="Arial Narrow" w:hAnsi="Arial Narrow"/>
        </w:rPr>
      </w:pPr>
    </w:p>
    <w:p w14:paraId="7A474DFF" w14:textId="1A9AE7AD" w:rsidR="002B1C5F" w:rsidRPr="00482DFF" w:rsidRDefault="002B1C5F" w:rsidP="007F023F">
      <w:pPr>
        <w:pStyle w:val="ListParagraph"/>
        <w:spacing w:after="0" w:line="240" w:lineRule="auto"/>
        <w:ind w:left="0"/>
        <w:jc w:val="both"/>
        <w:rPr>
          <w:rFonts w:ascii="Arial Narrow" w:hAnsi="Arial Narrow"/>
        </w:rPr>
      </w:pPr>
      <w:r w:rsidRPr="00482DFF">
        <w:rPr>
          <w:rFonts w:ascii="Arial Narrow" w:hAnsi="Arial Narrow"/>
        </w:rPr>
        <w:t xml:space="preserve">Por lo anterior, solicitamos </w:t>
      </w:r>
      <w:r w:rsidR="004E435C">
        <w:rPr>
          <w:rFonts w:ascii="Arial Narrow" w:hAnsi="Arial Narrow"/>
        </w:rPr>
        <w:t xml:space="preserve">respetuosamente </w:t>
      </w:r>
      <w:r w:rsidRPr="00482DFF">
        <w:rPr>
          <w:rFonts w:ascii="Arial Narrow" w:hAnsi="Arial Narrow"/>
        </w:rPr>
        <w:t xml:space="preserve">al Comité Contra las Desapariciones Forzadas que en el marco de su diálogo de seguimiento con el Estado mexicano reitere sus recomendaciones emitidas </w:t>
      </w:r>
      <w:r w:rsidR="005D4E9A" w:rsidRPr="00482DFF">
        <w:rPr>
          <w:rFonts w:ascii="Arial Narrow" w:hAnsi="Arial Narrow"/>
        </w:rPr>
        <w:t>respecto de las investigaciones en casos de desaparición forzada y en particular:</w:t>
      </w:r>
    </w:p>
    <w:p w14:paraId="62B6335A" w14:textId="77777777" w:rsidR="005D4E9A" w:rsidRPr="00482DFF" w:rsidRDefault="005D4E9A" w:rsidP="007F023F">
      <w:pPr>
        <w:pStyle w:val="ListParagraph"/>
        <w:spacing w:after="0" w:line="240" w:lineRule="auto"/>
        <w:ind w:left="0"/>
        <w:jc w:val="both"/>
        <w:rPr>
          <w:rFonts w:ascii="Arial Narrow" w:hAnsi="Arial Narrow"/>
        </w:rPr>
      </w:pPr>
    </w:p>
    <w:p w14:paraId="186E8FE3" w14:textId="6AD5C405" w:rsidR="006D6B1F" w:rsidRPr="00482DFF" w:rsidRDefault="00B24008" w:rsidP="007F023F">
      <w:pPr>
        <w:pStyle w:val="ListParagraph"/>
        <w:numPr>
          <w:ilvl w:val="0"/>
          <w:numId w:val="4"/>
        </w:numPr>
        <w:spacing w:after="0" w:line="240" w:lineRule="auto"/>
        <w:jc w:val="both"/>
        <w:rPr>
          <w:rFonts w:ascii="Arial Narrow" w:hAnsi="Arial Narrow"/>
        </w:rPr>
      </w:pPr>
      <w:r w:rsidRPr="00482DFF">
        <w:rPr>
          <w:rFonts w:ascii="Arial Narrow" w:hAnsi="Arial Narrow"/>
        </w:rPr>
        <w:t>Solicitar nuevamente al Estado que fije con claridad su posición frente a las múltiples recomendaciones internacionales que se han hecho en el caso, particularmente respecto de los informes del GIEI</w:t>
      </w:r>
      <w:r w:rsidR="007A7C13" w:rsidRPr="00482DFF">
        <w:rPr>
          <w:rFonts w:ascii="Arial Narrow" w:hAnsi="Arial Narrow"/>
        </w:rPr>
        <w:t xml:space="preserve"> y del Mecanismo Especial de Seguimiento de la CIDH</w:t>
      </w:r>
      <w:r w:rsidR="006D6B1F" w:rsidRPr="00482DFF">
        <w:rPr>
          <w:rFonts w:ascii="Arial Narrow" w:hAnsi="Arial Narrow"/>
        </w:rPr>
        <w:t>, las cuáles han sido retomadas por la sentencia del Tribunal Colegiado de Circuito.</w:t>
      </w:r>
    </w:p>
    <w:p w14:paraId="7DFA4CD3" w14:textId="1941BE4B" w:rsidR="006D6B1F" w:rsidRPr="00482DFF" w:rsidRDefault="006D6B1F" w:rsidP="007F023F">
      <w:pPr>
        <w:pStyle w:val="ListParagraph"/>
        <w:numPr>
          <w:ilvl w:val="0"/>
          <w:numId w:val="4"/>
        </w:numPr>
        <w:spacing w:after="0" w:line="240" w:lineRule="auto"/>
        <w:jc w:val="both"/>
        <w:rPr>
          <w:rFonts w:ascii="Arial Narrow" w:hAnsi="Arial Narrow"/>
        </w:rPr>
      </w:pPr>
      <w:r w:rsidRPr="00482DFF">
        <w:rPr>
          <w:rFonts w:ascii="Arial Narrow" w:hAnsi="Arial Narrow"/>
        </w:rPr>
        <w:t>Solicitar información al Estado mexica</w:t>
      </w:r>
      <w:r w:rsidR="00552BAF" w:rsidRPr="00482DFF">
        <w:rPr>
          <w:rFonts w:ascii="Arial Narrow" w:hAnsi="Arial Narrow"/>
        </w:rPr>
        <w:t xml:space="preserve">no respecto de los cambios en los protocolos de investigación que se han desarrollado después de la emisión de la Ley General en la materia y los avances en números </w:t>
      </w:r>
      <w:r w:rsidR="00A87AEC" w:rsidRPr="00482DFF">
        <w:rPr>
          <w:rFonts w:ascii="Arial Narrow" w:hAnsi="Arial Narrow"/>
        </w:rPr>
        <w:t>de investigaciones que se han iniciado y consignado a partir de la implementación de la Ley.</w:t>
      </w:r>
    </w:p>
    <w:p w14:paraId="39731E9A" w14:textId="77777777" w:rsidR="0018096C" w:rsidRPr="00482DFF" w:rsidRDefault="00552BAF" w:rsidP="007F023F">
      <w:pPr>
        <w:pStyle w:val="ListParagraph"/>
        <w:numPr>
          <w:ilvl w:val="0"/>
          <w:numId w:val="4"/>
        </w:numPr>
        <w:spacing w:after="0" w:line="240" w:lineRule="auto"/>
        <w:jc w:val="both"/>
        <w:rPr>
          <w:rFonts w:ascii="Arial Narrow" w:hAnsi="Arial Narrow"/>
        </w:rPr>
      </w:pPr>
      <w:r w:rsidRPr="00482DFF">
        <w:rPr>
          <w:rFonts w:ascii="Arial Narrow" w:hAnsi="Arial Narrow"/>
        </w:rPr>
        <w:t xml:space="preserve">Reiterar al Estado mexicano la recomendación de </w:t>
      </w:r>
      <w:r w:rsidR="00EB1FC6" w:rsidRPr="00482DFF">
        <w:rPr>
          <w:rFonts w:ascii="Arial Narrow" w:hAnsi="Arial Narrow"/>
        </w:rPr>
        <w:t>reconocer la competencia del Comité para recibir y examinar comunicaciones individuales e interestatales en virtud de los artículos 31 y 32 de la Convención con miras a reforzar el régimen de protección contra las desapariciones forzadas previsto en la misma.</w:t>
      </w:r>
    </w:p>
    <w:p w14:paraId="23F18476" w14:textId="692F3A96" w:rsidR="00016BB3" w:rsidRDefault="00EB1FC6" w:rsidP="007F023F">
      <w:pPr>
        <w:pStyle w:val="ListParagraph"/>
        <w:numPr>
          <w:ilvl w:val="0"/>
          <w:numId w:val="4"/>
        </w:numPr>
        <w:spacing w:after="0" w:line="240" w:lineRule="auto"/>
        <w:jc w:val="both"/>
        <w:rPr>
          <w:rFonts w:ascii="Arial Narrow" w:hAnsi="Arial Narrow"/>
        </w:rPr>
      </w:pPr>
      <w:r w:rsidRPr="00482DFF">
        <w:rPr>
          <w:rFonts w:ascii="Arial Narrow" w:hAnsi="Arial Narrow"/>
        </w:rPr>
        <w:t xml:space="preserve">Finalmente, y ante el inminente cambio de administración federal, consideramos </w:t>
      </w:r>
      <w:r w:rsidR="0018096C" w:rsidRPr="00482DFF">
        <w:rPr>
          <w:rFonts w:ascii="Arial Narrow" w:hAnsi="Arial Narrow"/>
        </w:rPr>
        <w:t>que</w:t>
      </w:r>
      <w:r w:rsidRPr="00482DFF">
        <w:rPr>
          <w:rFonts w:ascii="Arial Narrow" w:hAnsi="Arial Narrow"/>
        </w:rPr>
        <w:t xml:space="preserve"> si la delegación del Estado mexicano se acompaña de integrantes del equipo de transición, el Comité </w:t>
      </w:r>
      <w:r w:rsidR="0018096C" w:rsidRPr="00482DFF">
        <w:rPr>
          <w:rFonts w:ascii="Arial Narrow" w:hAnsi="Arial Narrow"/>
        </w:rPr>
        <w:t>podría s</w:t>
      </w:r>
      <w:r w:rsidRPr="00482DFF">
        <w:rPr>
          <w:rFonts w:ascii="Arial Narrow" w:hAnsi="Arial Narrow"/>
        </w:rPr>
        <w:t>olicitar al Estado mexicano la anuencia de una visita al país</w:t>
      </w:r>
      <w:r w:rsidR="00A87AEC" w:rsidRPr="00482DFF">
        <w:rPr>
          <w:rFonts w:ascii="Arial Narrow" w:hAnsi="Arial Narrow"/>
        </w:rPr>
        <w:t xml:space="preserve"> a la brevedad</w:t>
      </w:r>
      <w:r w:rsidRPr="00482DFF">
        <w:rPr>
          <w:rFonts w:ascii="Arial Narrow" w:hAnsi="Arial Narrow"/>
        </w:rPr>
        <w:t>, conforme al mecanismo previsto en el artículo 33 de la C</w:t>
      </w:r>
      <w:r w:rsidR="0018096C" w:rsidRPr="00482DFF">
        <w:rPr>
          <w:rFonts w:ascii="Arial Narrow" w:hAnsi="Arial Narrow"/>
        </w:rPr>
        <w:t xml:space="preserve">onvención. </w:t>
      </w:r>
    </w:p>
    <w:p w14:paraId="784E7C8A" w14:textId="77777777" w:rsidR="004E435C" w:rsidRPr="004E435C" w:rsidRDefault="004E435C" w:rsidP="004E435C">
      <w:pPr>
        <w:spacing w:after="0" w:line="240" w:lineRule="auto"/>
        <w:ind w:left="360"/>
        <w:jc w:val="both"/>
        <w:rPr>
          <w:rFonts w:ascii="Arial Narrow" w:hAnsi="Arial Narrow"/>
        </w:rPr>
      </w:pPr>
      <w:r w:rsidRPr="004E435C">
        <w:rPr>
          <w:rFonts w:ascii="Arial Narrow" w:hAnsi="Arial Narrow"/>
        </w:rPr>
        <w:lastRenderedPageBreak/>
        <w:t>Sin más por el momento, aprovechamos la oportunidad de reiterarle la seguridad de nuestra más distinguida consideración.</w:t>
      </w:r>
    </w:p>
    <w:p w14:paraId="760CB77C" w14:textId="77777777" w:rsidR="004E435C" w:rsidRPr="004E435C" w:rsidRDefault="004E435C" w:rsidP="004E435C">
      <w:pPr>
        <w:spacing w:after="0" w:line="240" w:lineRule="auto"/>
        <w:ind w:left="360"/>
        <w:jc w:val="both"/>
        <w:rPr>
          <w:rFonts w:ascii="Arial Narrow" w:hAnsi="Arial Narrow"/>
        </w:rPr>
      </w:pPr>
    </w:p>
    <w:p w14:paraId="60E80BE7" w14:textId="77777777" w:rsidR="004E435C" w:rsidRPr="004E435C" w:rsidRDefault="004E435C" w:rsidP="004E435C">
      <w:pPr>
        <w:spacing w:after="0" w:line="240" w:lineRule="auto"/>
        <w:ind w:left="360"/>
        <w:jc w:val="both"/>
        <w:rPr>
          <w:rFonts w:ascii="Arial Narrow" w:hAnsi="Arial Narrow"/>
        </w:rPr>
      </w:pPr>
    </w:p>
    <w:p w14:paraId="411D807F" w14:textId="77777777" w:rsidR="004E435C" w:rsidRPr="004E435C" w:rsidRDefault="004E435C" w:rsidP="004E435C">
      <w:pPr>
        <w:spacing w:after="0" w:line="240" w:lineRule="auto"/>
        <w:ind w:left="360"/>
        <w:jc w:val="both"/>
        <w:rPr>
          <w:rFonts w:ascii="Arial Narrow" w:hAnsi="Arial Narrow"/>
        </w:rPr>
      </w:pPr>
    </w:p>
    <w:p w14:paraId="23D77157" w14:textId="77777777" w:rsidR="004E435C" w:rsidRPr="004E435C" w:rsidRDefault="004E435C" w:rsidP="004E435C">
      <w:pPr>
        <w:spacing w:after="0" w:line="240" w:lineRule="auto"/>
        <w:ind w:left="360"/>
        <w:jc w:val="center"/>
        <w:rPr>
          <w:rFonts w:ascii="Arial Narrow" w:hAnsi="Arial Narrow"/>
          <w:b/>
        </w:rPr>
      </w:pPr>
      <w:r w:rsidRPr="004E435C">
        <w:rPr>
          <w:rFonts w:ascii="Arial Narrow" w:hAnsi="Arial Narrow"/>
          <w:b/>
        </w:rPr>
        <w:t>Centro de Derechos Humanos Miguel Agustín Pro Juárez A.C. (</w:t>
      </w:r>
      <w:bookmarkStart w:id="0" w:name="_GoBack"/>
      <w:r w:rsidRPr="004E435C">
        <w:rPr>
          <w:rFonts w:ascii="Arial Narrow" w:hAnsi="Arial Narrow"/>
          <w:b/>
        </w:rPr>
        <w:t>Centro Prodh</w:t>
      </w:r>
      <w:bookmarkEnd w:id="0"/>
      <w:r w:rsidRPr="004E435C">
        <w:rPr>
          <w:rFonts w:ascii="Arial Narrow" w:hAnsi="Arial Narrow"/>
          <w:b/>
        </w:rPr>
        <w:t>)</w:t>
      </w:r>
    </w:p>
    <w:p w14:paraId="1B23CAFC" w14:textId="77777777" w:rsidR="004E435C" w:rsidRPr="004E435C" w:rsidRDefault="004E435C" w:rsidP="004E435C">
      <w:pPr>
        <w:spacing w:after="0" w:line="240" w:lineRule="auto"/>
        <w:ind w:left="360"/>
        <w:jc w:val="center"/>
        <w:rPr>
          <w:rFonts w:ascii="Arial Narrow" w:hAnsi="Arial Narrow"/>
          <w:b/>
        </w:rPr>
      </w:pPr>
    </w:p>
    <w:p w14:paraId="472ED7C0" w14:textId="77777777" w:rsidR="004E435C" w:rsidRPr="004E435C" w:rsidRDefault="004E435C" w:rsidP="004E435C">
      <w:pPr>
        <w:spacing w:after="0" w:line="240" w:lineRule="auto"/>
        <w:ind w:left="360"/>
        <w:jc w:val="center"/>
        <w:rPr>
          <w:rFonts w:ascii="Arial Narrow" w:hAnsi="Arial Narrow"/>
          <w:b/>
        </w:rPr>
      </w:pPr>
      <w:r w:rsidRPr="004E435C">
        <w:rPr>
          <w:rFonts w:ascii="Arial Narrow" w:hAnsi="Arial Narrow"/>
          <w:b/>
        </w:rPr>
        <w:t>Centro de Derechos Humanos de la Montaña Tlachinollan</w:t>
      </w:r>
    </w:p>
    <w:p w14:paraId="6B17AF0C" w14:textId="77777777" w:rsidR="004E435C" w:rsidRPr="004E435C" w:rsidRDefault="004E435C" w:rsidP="004E435C">
      <w:pPr>
        <w:spacing w:after="0" w:line="240" w:lineRule="auto"/>
        <w:ind w:left="360"/>
        <w:jc w:val="center"/>
        <w:rPr>
          <w:rFonts w:ascii="Arial Narrow" w:hAnsi="Arial Narrow"/>
          <w:b/>
        </w:rPr>
      </w:pPr>
    </w:p>
    <w:p w14:paraId="06A35873" w14:textId="77777777" w:rsidR="004E435C" w:rsidRPr="004E435C" w:rsidRDefault="004E435C" w:rsidP="004E435C">
      <w:pPr>
        <w:spacing w:after="0" w:line="240" w:lineRule="auto"/>
        <w:ind w:left="360"/>
        <w:jc w:val="center"/>
        <w:rPr>
          <w:rFonts w:ascii="Arial Narrow" w:hAnsi="Arial Narrow"/>
          <w:b/>
        </w:rPr>
      </w:pPr>
      <w:r w:rsidRPr="004E435C">
        <w:rPr>
          <w:rFonts w:ascii="Arial Narrow" w:hAnsi="Arial Narrow"/>
          <w:b/>
        </w:rPr>
        <w:t>Centro Regional de Defensa de los Derechos Humanos José María Morelos y Pavón</w:t>
      </w:r>
    </w:p>
    <w:p w14:paraId="4384D545" w14:textId="77777777" w:rsidR="004E435C" w:rsidRPr="004E435C" w:rsidRDefault="004E435C" w:rsidP="004E435C">
      <w:pPr>
        <w:spacing w:after="0" w:line="240" w:lineRule="auto"/>
        <w:ind w:left="360"/>
        <w:jc w:val="center"/>
        <w:rPr>
          <w:rFonts w:ascii="Arial Narrow" w:hAnsi="Arial Narrow"/>
          <w:b/>
        </w:rPr>
      </w:pPr>
    </w:p>
    <w:p w14:paraId="59F69952" w14:textId="77777777" w:rsidR="004E435C" w:rsidRPr="004E435C" w:rsidRDefault="004E435C" w:rsidP="004E435C">
      <w:pPr>
        <w:spacing w:after="0" w:line="240" w:lineRule="auto"/>
        <w:ind w:left="360"/>
        <w:jc w:val="center"/>
        <w:rPr>
          <w:rFonts w:ascii="Arial Narrow" w:hAnsi="Arial Narrow"/>
          <w:b/>
        </w:rPr>
      </w:pPr>
      <w:r w:rsidRPr="004E435C">
        <w:rPr>
          <w:rFonts w:ascii="Arial Narrow" w:hAnsi="Arial Narrow"/>
          <w:b/>
        </w:rPr>
        <w:t xml:space="preserve">Red Guerrerense de Organismos Civiles de Derechos Humanos </w:t>
      </w:r>
    </w:p>
    <w:p w14:paraId="6464D626" w14:textId="77777777" w:rsidR="004E435C" w:rsidRPr="004E435C" w:rsidRDefault="004E435C" w:rsidP="004E435C">
      <w:pPr>
        <w:spacing w:after="0" w:line="240" w:lineRule="auto"/>
        <w:ind w:left="360"/>
        <w:jc w:val="center"/>
        <w:rPr>
          <w:rFonts w:ascii="Arial Narrow" w:hAnsi="Arial Narrow"/>
          <w:b/>
        </w:rPr>
      </w:pPr>
    </w:p>
    <w:p w14:paraId="53E78D71" w14:textId="77777777" w:rsidR="004E435C" w:rsidRPr="004E435C" w:rsidRDefault="004E435C" w:rsidP="004E435C">
      <w:pPr>
        <w:spacing w:after="0" w:line="240" w:lineRule="auto"/>
        <w:ind w:left="360"/>
        <w:jc w:val="both"/>
        <w:rPr>
          <w:rFonts w:ascii="Arial Narrow" w:hAnsi="Arial Narrow"/>
        </w:rPr>
      </w:pPr>
    </w:p>
    <w:sectPr w:rsidR="004E435C" w:rsidRPr="004E435C" w:rsidSect="00DF6B3A">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9A2ECB" w14:textId="77777777" w:rsidR="006164F1" w:rsidRDefault="006164F1" w:rsidP="00567D90">
      <w:pPr>
        <w:spacing w:after="0" w:line="240" w:lineRule="auto"/>
      </w:pPr>
      <w:r>
        <w:separator/>
      </w:r>
    </w:p>
  </w:endnote>
  <w:endnote w:type="continuationSeparator" w:id="0">
    <w:p w14:paraId="65C69114" w14:textId="77777777" w:rsidR="006164F1" w:rsidRDefault="006164F1" w:rsidP="00567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OpenSans-SemiBold">
    <w:altName w:val="Cambria"/>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304412"/>
      <w:docPartObj>
        <w:docPartGallery w:val="Page Numbers (Bottom of Page)"/>
        <w:docPartUnique/>
      </w:docPartObj>
    </w:sdtPr>
    <w:sdtEndPr/>
    <w:sdtContent>
      <w:p w14:paraId="3BA3244D" w14:textId="5B1B05E5" w:rsidR="00975DD0" w:rsidRPr="00975DD0" w:rsidRDefault="00975DD0" w:rsidP="00975DD0">
        <w:pPr>
          <w:pStyle w:val="Footer"/>
          <w:jc w:val="right"/>
          <w:rPr>
            <w:rFonts w:ascii="Arial Narrow" w:hAnsi="Arial Narrow"/>
            <w:sz w:val="18"/>
            <w:szCs w:val="18"/>
          </w:rPr>
        </w:pPr>
        <w:r w:rsidRPr="00975DD0">
          <w:rPr>
            <w:rFonts w:ascii="Arial Narrow" w:hAnsi="Arial Narrow"/>
            <w:sz w:val="18"/>
            <w:szCs w:val="18"/>
          </w:rPr>
          <w:fldChar w:fldCharType="begin"/>
        </w:r>
        <w:r w:rsidRPr="00975DD0">
          <w:rPr>
            <w:rFonts w:ascii="Arial Narrow" w:hAnsi="Arial Narrow"/>
            <w:sz w:val="18"/>
            <w:szCs w:val="18"/>
          </w:rPr>
          <w:instrText>PAGE   \* MERGEFORMAT</w:instrText>
        </w:r>
        <w:r w:rsidRPr="00975DD0">
          <w:rPr>
            <w:rFonts w:ascii="Arial Narrow" w:hAnsi="Arial Narrow"/>
            <w:sz w:val="18"/>
            <w:szCs w:val="18"/>
          </w:rPr>
          <w:fldChar w:fldCharType="separate"/>
        </w:r>
        <w:r w:rsidR="00136DBD" w:rsidRPr="00136DBD">
          <w:rPr>
            <w:rFonts w:ascii="Arial Narrow" w:hAnsi="Arial Narrow"/>
            <w:noProof/>
            <w:sz w:val="18"/>
            <w:szCs w:val="18"/>
            <w:lang w:val="es-ES"/>
          </w:rPr>
          <w:t>13</w:t>
        </w:r>
        <w:r w:rsidRPr="00975DD0">
          <w:rPr>
            <w:rFonts w:ascii="Arial Narrow" w:hAnsi="Arial Narrow"/>
            <w:sz w:val="18"/>
            <w:szCs w:val="18"/>
          </w:rPr>
          <w:fldChar w:fldCharType="end"/>
        </w:r>
      </w:p>
    </w:sdtContent>
  </w:sdt>
  <w:p w14:paraId="15C2749E" w14:textId="77777777" w:rsidR="00975DD0" w:rsidRDefault="00975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24C20" w14:textId="77777777" w:rsidR="006164F1" w:rsidRDefault="006164F1" w:rsidP="00567D90">
      <w:pPr>
        <w:spacing w:after="0" w:line="240" w:lineRule="auto"/>
      </w:pPr>
      <w:r>
        <w:separator/>
      </w:r>
    </w:p>
  </w:footnote>
  <w:footnote w:type="continuationSeparator" w:id="0">
    <w:p w14:paraId="2798F73B" w14:textId="77777777" w:rsidR="006164F1" w:rsidRDefault="006164F1" w:rsidP="00567D90">
      <w:pPr>
        <w:spacing w:after="0" w:line="240" w:lineRule="auto"/>
      </w:pPr>
      <w:r>
        <w:continuationSeparator/>
      </w:r>
    </w:p>
  </w:footnote>
  <w:footnote w:id="1">
    <w:p w14:paraId="5FE0C4D4" w14:textId="4BECD699" w:rsidR="00782F84" w:rsidRPr="00482DFF" w:rsidRDefault="00782F84" w:rsidP="00482DFF">
      <w:pPr>
        <w:pStyle w:val="FootnoteText"/>
        <w:contextualSpacing/>
        <w:jc w:val="both"/>
        <w:rPr>
          <w:rFonts w:ascii="Arial Narrow" w:hAnsi="Arial Narrow"/>
          <w:sz w:val="18"/>
          <w:szCs w:val="18"/>
          <w:lang w:val="es-ES_tradnl"/>
        </w:rPr>
      </w:pPr>
      <w:r w:rsidRPr="00482DFF">
        <w:rPr>
          <w:rStyle w:val="FootnoteReference"/>
          <w:rFonts w:ascii="Arial Narrow" w:hAnsi="Arial Narrow"/>
          <w:sz w:val="18"/>
          <w:szCs w:val="18"/>
        </w:rPr>
        <w:footnoteRef/>
      </w:r>
      <w:r w:rsidRPr="00482DFF">
        <w:rPr>
          <w:rFonts w:ascii="Arial Narrow" w:hAnsi="Arial Narrow"/>
          <w:sz w:val="18"/>
          <w:szCs w:val="18"/>
        </w:rPr>
        <w:t xml:space="preserve"> </w:t>
      </w:r>
      <w:r w:rsidR="00E41B95" w:rsidRPr="00482DFF">
        <w:rPr>
          <w:rFonts w:ascii="Arial Narrow" w:hAnsi="Arial Narrow"/>
          <w:sz w:val="18"/>
          <w:szCs w:val="18"/>
        </w:rPr>
        <w:t xml:space="preserve">Comité contra las Desapariciones Forzadas. Observaciones finales sobre el informe presentado por México en virtud del artículo 29, párrafo 1, de la Convención. </w:t>
      </w:r>
      <w:r w:rsidR="007F048F" w:rsidRPr="00482DFF">
        <w:rPr>
          <w:rFonts w:ascii="Arial Narrow" w:hAnsi="Arial Narrow"/>
          <w:sz w:val="18"/>
          <w:szCs w:val="18"/>
        </w:rPr>
        <w:t xml:space="preserve">5 de marzo </w:t>
      </w:r>
      <w:r w:rsidR="00E41B95" w:rsidRPr="00482DFF">
        <w:rPr>
          <w:rFonts w:ascii="Arial Narrow" w:hAnsi="Arial Narrow"/>
          <w:sz w:val="18"/>
          <w:szCs w:val="18"/>
        </w:rPr>
        <w:t xml:space="preserve">de 2015. </w:t>
      </w:r>
      <w:r w:rsidR="007F048F" w:rsidRPr="00482DFF">
        <w:rPr>
          <w:rFonts w:ascii="Arial Narrow" w:hAnsi="Arial Narrow"/>
          <w:sz w:val="18"/>
          <w:szCs w:val="18"/>
        </w:rPr>
        <w:t xml:space="preserve">UN Doc. </w:t>
      </w:r>
      <w:r w:rsidR="007F048F" w:rsidRPr="00482DFF">
        <w:rPr>
          <w:rFonts w:ascii="Arial Narrow" w:hAnsi="Arial Narrow" w:cs="Segoe UI"/>
          <w:color w:val="000000"/>
          <w:sz w:val="18"/>
          <w:szCs w:val="18"/>
          <w:shd w:val="clear" w:color="auto" w:fill="FFFFFF"/>
        </w:rPr>
        <w:t xml:space="preserve">CED/C/MEX/CO/1 </w:t>
      </w:r>
      <w:r w:rsidR="00E41B95" w:rsidRPr="00482DFF">
        <w:rPr>
          <w:rFonts w:ascii="Arial Narrow" w:hAnsi="Arial Narrow"/>
          <w:sz w:val="18"/>
          <w:szCs w:val="18"/>
        </w:rPr>
        <w:t>Párr. 10</w:t>
      </w:r>
    </w:p>
  </w:footnote>
  <w:footnote w:id="2">
    <w:p w14:paraId="6ABA6435" w14:textId="20F4F235" w:rsidR="00501B06" w:rsidRPr="00482DFF" w:rsidRDefault="00501B06"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136DBD">
        <w:rPr>
          <w:rFonts w:ascii="Arial Narrow" w:hAnsi="Arial Narrow"/>
          <w:sz w:val="18"/>
          <w:szCs w:val="18"/>
          <w:lang w:val="es-ES"/>
        </w:rPr>
        <w:t xml:space="preserve"> CIDH. </w:t>
      </w:r>
      <w:r w:rsidRPr="00482DFF">
        <w:rPr>
          <w:rFonts w:ascii="Arial Narrow" w:hAnsi="Arial Narrow"/>
          <w:sz w:val="18"/>
          <w:szCs w:val="18"/>
        </w:rPr>
        <w:t xml:space="preserve">Informe de Balance. Mecanismo Especial de Seguimiento al Asunto Ayotzinapa de la CIDH. 5 de junio de 2018. Disponible en: </w:t>
      </w:r>
      <w:hyperlink r:id="rId1" w:history="1">
        <w:r w:rsidRPr="00482DFF">
          <w:rPr>
            <w:rStyle w:val="Hyperlink"/>
            <w:rFonts w:ascii="Arial Narrow" w:hAnsi="Arial Narrow"/>
            <w:sz w:val="18"/>
            <w:szCs w:val="18"/>
          </w:rPr>
          <w:t>http://www.oas.org/es/cidh/docs/Mesa/InformebalanceAyotzinapa.pdf</w:t>
        </w:r>
      </w:hyperlink>
      <w:r w:rsidRPr="00482DFF">
        <w:rPr>
          <w:rFonts w:ascii="Arial Narrow" w:hAnsi="Arial Narrow"/>
          <w:sz w:val="18"/>
          <w:szCs w:val="18"/>
        </w:rPr>
        <w:t xml:space="preserve"> </w:t>
      </w:r>
    </w:p>
  </w:footnote>
  <w:footnote w:id="3">
    <w:p w14:paraId="4CEBF46C" w14:textId="04B679A3" w:rsidR="00782F84" w:rsidRPr="00482DFF" w:rsidRDefault="00782F84" w:rsidP="00482DFF">
      <w:pPr>
        <w:pStyle w:val="FootnoteText"/>
        <w:contextualSpacing/>
        <w:jc w:val="both"/>
        <w:rPr>
          <w:rFonts w:ascii="Arial Narrow" w:hAnsi="Arial Narrow"/>
          <w:sz w:val="18"/>
          <w:szCs w:val="18"/>
          <w:lang w:val="es-ES_tradnl"/>
        </w:rPr>
      </w:pPr>
      <w:r w:rsidRPr="00482DFF">
        <w:rPr>
          <w:rStyle w:val="FootnoteReference"/>
          <w:rFonts w:ascii="Arial Narrow" w:hAnsi="Arial Narrow"/>
          <w:sz w:val="18"/>
          <w:szCs w:val="18"/>
        </w:rPr>
        <w:footnoteRef/>
      </w:r>
      <w:r w:rsidRPr="00482DFF">
        <w:rPr>
          <w:rFonts w:ascii="Arial Narrow" w:hAnsi="Arial Narrow"/>
          <w:sz w:val="18"/>
          <w:szCs w:val="18"/>
        </w:rPr>
        <w:t xml:space="preserve"> </w:t>
      </w:r>
      <w:r w:rsidR="00E41B95" w:rsidRPr="00482DFF">
        <w:rPr>
          <w:rFonts w:ascii="Arial Narrow" w:hAnsi="Arial Narrow"/>
          <w:sz w:val="18"/>
          <w:szCs w:val="18"/>
        </w:rPr>
        <w:t>Comité contra la Desaparición Forzada. Información recibida de México sobre la implementación de las observaciones finales</w:t>
      </w:r>
      <w:r w:rsidRPr="00482DFF">
        <w:rPr>
          <w:rFonts w:ascii="Arial Narrow" w:hAnsi="Arial Narrow"/>
          <w:sz w:val="18"/>
          <w:szCs w:val="18"/>
        </w:rPr>
        <w:t>.</w:t>
      </w:r>
      <w:r w:rsidR="00E41B95" w:rsidRPr="00482DFF">
        <w:rPr>
          <w:rFonts w:ascii="Arial Narrow" w:hAnsi="Arial Narrow"/>
          <w:sz w:val="18"/>
          <w:szCs w:val="18"/>
        </w:rPr>
        <w:t xml:space="preserve"> 6 de abril de 2018. UN. Doc. CED/C/MEX/CO/1/Add.2. pág. 18</w:t>
      </w:r>
    </w:p>
  </w:footnote>
  <w:footnote w:id="4">
    <w:p w14:paraId="130CB34C" w14:textId="77777777" w:rsidR="00782F84" w:rsidRPr="00482DFF" w:rsidRDefault="00782F84"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Nota Informativa del Consejo de la Judicatura Federal. DGCS/NI: 19/2018. 4 de junio de 2018. </w:t>
      </w:r>
      <w:hyperlink r:id="rId2" w:history="1">
        <w:r w:rsidRPr="00482DFF">
          <w:rPr>
            <w:rStyle w:val="Hyperlink"/>
            <w:rFonts w:ascii="Arial Narrow" w:hAnsi="Arial Narrow"/>
            <w:sz w:val="18"/>
            <w:szCs w:val="18"/>
          </w:rPr>
          <w:t>http://www.cjf.gob.mx/documentos/notasInformativas/docsNotasInformativas/2018/notaInformativa19.pdf</w:t>
        </w:r>
      </w:hyperlink>
      <w:r w:rsidRPr="00482DFF">
        <w:rPr>
          <w:rFonts w:ascii="Arial Narrow" w:hAnsi="Arial Narrow"/>
          <w:sz w:val="18"/>
          <w:szCs w:val="18"/>
        </w:rPr>
        <w:t xml:space="preserve"> y Versión pública de la sentencia del amparo en revisión 203/2017. </w:t>
      </w:r>
      <w:hyperlink r:id="rId3" w:history="1">
        <w:r w:rsidRPr="00482DFF">
          <w:rPr>
            <w:rStyle w:val="Hyperlink"/>
            <w:rFonts w:ascii="Arial Narrow" w:hAnsi="Arial Narrow"/>
            <w:sz w:val="18"/>
            <w:szCs w:val="18"/>
          </w:rPr>
          <w:t>https://goo.gl/CTPoLJ</w:t>
        </w:r>
      </w:hyperlink>
      <w:r w:rsidRPr="00482DFF">
        <w:rPr>
          <w:rFonts w:ascii="Arial Narrow" w:hAnsi="Arial Narrow"/>
          <w:sz w:val="18"/>
          <w:szCs w:val="18"/>
        </w:rPr>
        <w:t xml:space="preserve"> .  La sentencia completa se anexa (ANEXO1)</w:t>
      </w:r>
    </w:p>
    <w:p w14:paraId="694718D7" w14:textId="77777777" w:rsidR="00782F84" w:rsidRPr="00482DFF" w:rsidRDefault="00782F84" w:rsidP="00482DFF">
      <w:pPr>
        <w:pStyle w:val="FootnoteText"/>
        <w:contextualSpacing/>
        <w:jc w:val="both"/>
        <w:rPr>
          <w:rFonts w:ascii="Arial Narrow" w:hAnsi="Arial Narrow"/>
          <w:sz w:val="18"/>
          <w:szCs w:val="18"/>
        </w:rPr>
      </w:pPr>
    </w:p>
  </w:footnote>
  <w:footnote w:id="5">
    <w:p w14:paraId="6790CCB7" w14:textId="77777777" w:rsidR="00782F84" w:rsidRPr="00482DFF" w:rsidRDefault="00782F84" w:rsidP="00482DFF">
      <w:pPr>
        <w:pStyle w:val="FootnoteText"/>
        <w:contextualSpacing/>
        <w:jc w:val="both"/>
        <w:rPr>
          <w:rFonts w:ascii="Arial Narrow" w:hAnsi="Arial Narrow"/>
          <w:sz w:val="18"/>
          <w:szCs w:val="18"/>
          <w:lang w:val="es-ES_tradnl"/>
        </w:rPr>
      </w:pPr>
      <w:r w:rsidRPr="00482DFF">
        <w:rPr>
          <w:rStyle w:val="FootnoteReference"/>
          <w:rFonts w:ascii="Arial Narrow" w:hAnsi="Arial Narrow"/>
          <w:sz w:val="18"/>
          <w:szCs w:val="18"/>
        </w:rPr>
        <w:footnoteRef/>
      </w:r>
      <w:r w:rsidRPr="00482DFF">
        <w:rPr>
          <w:rFonts w:ascii="Arial Narrow" w:hAnsi="Arial Narrow"/>
          <w:sz w:val="18"/>
          <w:szCs w:val="18"/>
        </w:rPr>
        <w:t xml:space="preserve">  Video de la sesión del Tribunal Colegiado:  http://www.cjf.gob.mx/bvirtual/websearch/videos/VimeoViewer.aspx?CargaId=35957. </w:t>
      </w:r>
    </w:p>
  </w:footnote>
  <w:footnote w:id="6">
    <w:p w14:paraId="110FADA9" w14:textId="1E42293E" w:rsidR="00420DEA" w:rsidRPr="00482DFF" w:rsidRDefault="00420DEA"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OACNUDH México. Doble injusticia – Informe sobre violaciones de derechos humanos en la investigación del caso Ayotzinapa. Marzo de 2018. Disponible en: </w:t>
      </w:r>
      <w:hyperlink r:id="rId4" w:history="1">
        <w:r w:rsidRPr="00482DFF">
          <w:rPr>
            <w:rStyle w:val="Hyperlink"/>
            <w:rFonts w:ascii="Arial Narrow" w:hAnsi="Arial Narrow"/>
            <w:sz w:val="18"/>
            <w:szCs w:val="18"/>
          </w:rPr>
          <w:t>http://www.hchr.org.mx/images/doc_pub/20180315_DobleInjusticia_InformeONUDHInvestigacionAyotzinapa.pdf</w:t>
        </w:r>
      </w:hyperlink>
      <w:r w:rsidRPr="00482DFF">
        <w:rPr>
          <w:rFonts w:ascii="Arial Narrow" w:hAnsi="Arial Narrow"/>
          <w:sz w:val="18"/>
          <w:szCs w:val="18"/>
        </w:rPr>
        <w:t xml:space="preserve"> </w:t>
      </w:r>
    </w:p>
  </w:footnote>
  <w:footnote w:id="7">
    <w:p w14:paraId="351F0683" w14:textId="49412B6D" w:rsidR="00B4280E" w:rsidRPr="00482DFF" w:rsidRDefault="00B4280E"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Milenio. Jarab ¿Abogado de los asesinos?. 16 de marzo de 2018. Disponible en: </w:t>
      </w:r>
      <w:hyperlink r:id="rId5" w:history="1">
        <w:r w:rsidRPr="00482DFF">
          <w:rPr>
            <w:rStyle w:val="Hyperlink"/>
            <w:rFonts w:ascii="Arial Narrow" w:hAnsi="Arial Narrow"/>
            <w:sz w:val="18"/>
            <w:szCs w:val="18"/>
          </w:rPr>
          <w:t>http://www.milenio.com/opinion/carlos-marin/el-asalto-la-razon/jarab-abogado-de-asesinos</w:t>
        </w:r>
      </w:hyperlink>
      <w:r w:rsidRPr="00482DFF">
        <w:rPr>
          <w:rFonts w:ascii="Arial Narrow" w:hAnsi="Arial Narrow"/>
          <w:sz w:val="18"/>
          <w:szCs w:val="18"/>
        </w:rPr>
        <w:t xml:space="preserve"> </w:t>
      </w:r>
    </w:p>
  </w:footnote>
  <w:footnote w:id="8">
    <w:p w14:paraId="4B881380" w14:textId="77777777" w:rsidR="00E247CD" w:rsidRPr="00482DFF" w:rsidRDefault="00E247CD"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PGR.</w:t>
      </w:r>
      <w:r w:rsidRPr="00482DFF">
        <w:rPr>
          <w:rFonts w:ascii="Arial Narrow" w:hAnsi="Arial Narrow" w:cs="OpenSans-SemiBold"/>
          <w:bCs/>
          <w:color w:val="424242"/>
          <w:sz w:val="18"/>
          <w:szCs w:val="18"/>
        </w:rPr>
        <w:t xml:space="preserve"> </w:t>
      </w:r>
      <w:r w:rsidRPr="00482DFF">
        <w:rPr>
          <w:rFonts w:ascii="Arial Narrow" w:hAnsi="Arial Narrow"/>
          <w:bCs/>
          <w:sz w:val="18"/>
          <w:szCs w:val="18"/>
        </w:rPr>
        <w:t xml:space="preserve">Comunicado 606/18. La Procuraduría General de la República Informa. </w:t>
      </w:r>
      <w:r w:rsidRPr="00482DFF">
        <w:rPr>
          <w:rFonts w:ascii="Arial Narrow" w:hAnsi="Arial Narrow"/>
          <w:sz w:val="18"/>
          <w:szCs w:val="18"/>
        </w:rPr>
        <w:t xml:space="preserve"> </w:t>
      </w:r>
      <w:hyperlink r:id="rId6" w:history="1">
        <w:r w:rsidRPr="00482DFF">
          <w:rPr>
            <w:rStyle w:val="Hyperlink"/>
            <w:rFonts w:ascii="Arial Narrow" w:hAnsi="Arial Narrow"/>
            <w:sz w:val="18"/>
            <w:szCs w:val="18"/>
          </w:rPr>
          <w:t>https://www.gob.mx/pgr/prensa/comunicado-606-18-la-procuraduria-general-de-la-republica-informa</w:t>
        </w:r>
      </w:hyperlink>
      <w:r w:rsidRPr="00482DFF">
        <w:rPr>
          <w:rFonts w:ascii="Arial Narrow" w:hAnsi="Arial Narrow"/>
          <w:sz w:val="18"/>
          <w:szCs w:val="18"/>
        </w:rPr>
        <w:t xml:space="preserve"> </w:t>
      </w:r>
    </w:p>
  </w:footnote>
  <w:footnote w:id="9">
    <w:p w14:paraId="3E6103B8" w14:textId="77777777" w:rsidR="00E247CD" w:rsidRPr="00482DFF" w:rsidRDefault="00E247CD" w:rsidP="00482DFF">
      <w:pPr>
        <w:pStyle w:val="FootnoteText"/>
        <w:contextualSpacing/>
        <w:jc w:val="both"/>
        <w:rPr>
          <w:rFonts w:ascii="Arial Narrow" w:hAnsi="Arial Narrow"/>
          <w:b/>
          <w:bCs/>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Radio Fórmula. </w:t>
      </w:r>
      <w:r w:rsidRPr="00482DFF">
        <w:rPr>
          <w:rFonts w:ascii="Arial Narrow" w:hAnsi="Arial Narrow"/>
          <w:bCs/>
          <w:sz w:val="18"/>
          <w:szCs w:val="18"/>
        </w:rPr>
        <w:t>Tribunal no ha notificado la totalidad de la sentencia sobre caso Ayotzinapa: PGR.</w:t>
      </w:r>
      <w:r w:rsidRPr="00482DFF">
        <w:rPr>
          <w:rFonts w:ascii="Arial Narrow" w:hAnsi="Arial Narrow"/>
          <w:b/>
          <w:bCs/>
          <w:sz w:val="18"/>
          <w:szCs w:val="18"/>
        </w:rPr>
        <w:t xml:space="preserve"> </w:t>
      </w:r>
      <w:r w:rsidRPr="00482DFF">
        <w:rPr>
          <w:rFonts w:ascii="Arial Narrow" w:hAnsi="Arial Narrow"/>
          <w:sz w:val="18"/>
          <w:szCs w:val="18"/>
        </w:rPr>
        <w:t xml:space="preserve"> </w:t>
      </w:r>
      <w:hyperlink r:id="rId7" w:history="1">
        <w:r w:rsidRPr="00482DFF">
          <w:rPr>
            <w:rStyle w:val="Hyperlink"/>
            <w:rFonts w:ascii="Arial Narrow" w:hAnsi="Arial Narrow"/>
            <w:sz w:val="18"/>
            <w:szCs w:val="18"/>
          </w:rPr>
          <w:t>https://www.radioformula.com.mx/notas.asp?Idn=737459&amp;idFC=2018</w:t>
        </w:r>
      </w:hyperlink>
      <w:r w:rsidRPr="00482DFF">
        <w:rPr>
          <w:rFonts w:ascii="Arial Narrow" w:hAnsi="Arial Narrow"/>
          <w:sz w:val="18"/>
          <w:szCs w:val="18"/>
        </w:rPr>
        <w:t xml:space="preserve"> </w:t>
      </w:r>
    </w:p>
  </w:footnote>
  <w:footnote w:id="10">
    <w:p w14:paraId="2AD88B1A" w14:textId="77777777" w:rsidR="00E247CD" w:rsidRPr="00482DFF" w:rsidRDefault="00E247CD"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Conferencia Nacional de Procuración de Justicia.  </w:t>
      </w:r>
      <w:r w:rsidRPr="00482DFF">
        <w:rPr>
          <w:rFonts w:ascii="Arial Narrow" w:hAnsi="Arial Narrow"/>
          <w:sz w:val="18"/>
          <w:szCs w:val="18"/>
        </w:rPr>
        <w:tab/>
        <w:t xml:space="preserve">Pronunciamiento de la Conferencia Nacional de Procuración de Justicia (CNPJ) respecto a la resolución del Poder Judicial de la Federación sobre el “Caso Iguala”. 21 de junio de 2018. Disponible en: </w:t>
      </w:r>
      <w:hyperlink r:id="rId8" w:history="1">
        <w:r w:rsidRPr="00482DFF">
          <w:rPr>
            <w:rStyle w:val="Hyperlink"/>
            <w:rFonts w:ascii="Arial Narrow" w:hAnsi="Arial Narrow" w:cs="Helvetica"/>
            <w:sz w:val="18"/>
            <w:szCs w:val="18"/>
          </w:rPr>
          <w:t>https://goo.gl/nwqrTd</w:t>
        </w:r>
      </w:hyperlink>
      <w:r w:rsidRPr="00482DFF">
        <w:rPr>
          <w:rFonts w:ascii="Arial Narrow" w:hAnsi="Arial Narrow" w:cs="Helvetica"/>
          <w:color w:val="444444"/>
          <w:sz w:val="18"/>
          <w:szCs w:val="18"/>
        </w:rPr>
        <w:t xml:space="preserve"> </w:t>
      </w:r>
    </w:p>
  </w:footnote>
  <w:footnote w:id="11">
    <w:p w14:paraId="08A5DC81" w14:textId="6FCA307B" w:rsidR="00D453F2" w:rsidRPr="00482DFF" w:rsidRDefault="00D453F2"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w:t>
      </w:r>
      <w:r w:rsidR="00E41AA7" w:rsidRPr="00482DFF">
        <w:rPr>
          <w:rFonts w:ascii="Arial Narrow" w:hAnsi="Arial Narrow"/>
          <w:sz w:val="18"/>
          <w:szCs w:val="18"/>
        </w:rPr>
        <w:t xml:space="preserve">SCJN. Ministro. Comunicado de prensa 117/2018.  Presidente admite a trámite los incidentes de inejecución de la sentencia relacionados con caso Ayotzinapa. 2 de octubre de 2018. Disponible en: </w:t>
      </w:r>
      <w:hyperlink r:id="rId9" w:history="1">
        <w:r w:rsidR="00E41AA7" w:rsidRPr="00482DFF">
          <w:rPr>
            <w:rStyle w:val="Hyperlink"/>
            <w:rFonts w:ascii="Arial Narrow" w:hAnsi="Arial Narrow"/>
            <w:sz w:val="18"/>
            <w:szCs w:val="18"/>
          </w:rPr>
          <w:t>http://www.internet2.scjn.gob.mx/red2/comunicados/noticia.asp?id=5762</w:t>
        </w:r>
      </w:hyperlink>
      <w:r w:rsidR="00E41AA7" w:rsidRPr="00482DFF">
        <w:rPr>
          <w:rFonts w:ascii="Arial Narrow" w:hAnsi="Arial Narrow"/>
          <w:sz w:val="18"/>
          <w:szCs w:val="18"/>
        </w:rPr>
        <w:t xml:space="preserve"> </w:t>
      </w:r>
    </w:p>
  </w:footnote>
  <w:footnote w:id="12">
    <w:p w14:paraId="739FAB0F" w14:textId="01401AC4" w:rsidR="0062750A" w:rsidRPr="00482DFF" w:rsidRDefault="0062750A"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w:t>
      </w:r>
      <w:r w:rsidR="00E41AA7" w:rsidRPr="00482DFF">
        <w:rPr>
          <w:rFonts w:ascii="Arial Narrow" w:hAnsi="Arial Narrow"/>
          <w:sz w:val="18"/>
          <w:szCs w:val="18"/>
        </w:rPr>
        <w:t xml:space="preserve">Consejo de la Judicatura Federal. Nota de prensa DGCS/NI: 43/2018. 20 de septiembre de 2018. Disponible en: </w:t>
      </w:r>
      <w:hyperlink r:id="rId10" w:history="1">
        <w:r w:rsidR="00E41AA7" w:rsidRPr="00482DFF">
          <w:rPr>
            <w:rStyle w:val="Hyperlink"/>
            <w:rFonts w:ascii="Arial Narrow" w:hAnsi="Arial Narrow"/>
            <w:sz w:val="18"/>
            <w:szCs w:val="18"/>
          </w:rPr>
          <w:t>http://www.cjf.gob.mx/documentos/notasInformativas/docsNotasInformativas/2018/notaInformativa43.pdf</w:t>
        </w:r>
      </w:hyperlink>
      <w:r w:rsidR="00E41AA7" w:rsidRPr="00482DFF">
        <w:rPr>
          <w:rFonts w:ascii="Arial Narrow" w:hAnsi="Arial Narrow"/>
          <w:sz w:val="18"/>
          <w:szCs w:val="18"/>
        </w:rPr>
        <w:t xml:space="preserve"> </w:t>
      </w:r>
      <w:r w:rsidRPr="00482DFF">
        <w:rPr>
          <w:rFonts w:ascii="Arial Narrow" w:hAnsi="Arial Narrow"/>
          <w:sz w:val="18"/>
          <w:szCs w:val="18"/>
        </w:rPr>
        <w:t xml:space="preserve"> </w:t>
      </w:r>
    </w:p>
  </w:footnote>
  <w:footnote w:id="13">
    <w:p w14:paraId="22D81774" w14:textId="77777777" w:rsidR="00E247CD" w:rsidRPr="00482DFF" w:rsidRDefault="00E247CD" w:rsidP="00482DFF">
      <w:pPr>
        <w:pStyle w:val="FootnoteText"/>
        <w:contextualSpacing/>
        <w:jc w:val="both"/>
        <w:rPr>
          <w:rFonts w:ascii="Arial Narrow" w:hAnsi="Arial Narrow"/>
          <w:sz w:val="18"/>
          <w:szCs w:val="18"/>
          <w:lang w:val="es-ES_tradnl"/>
        </w:rPr>
      </w:pPr>
      <w:r w:rsidRPr="00482DFF">
        <w:rPr>
          <w:rStyle w:val="FootnoteReference"/>
          <w:rFonts w:ascii="Arial Narrow" w:hAnsi="Arial Narrow"/>
          <w:sz w:val="18"/>
          <w:szCs w:val="18"/>
        </w:rPr>
        <w:footnoteRef/>
      </w:r>
      <w:r w:rsidRPr="00482DFF">
        <w:rPr>
          <w:rFonts w:ascii="Arial Narrow" w:hAnsi="Arial Narrow"/>
          <w:sz w:val="18"/>
          <w:szCs w:val="18"/>
        </w:rPr>
        <w:t xml:space="preserve"> </w:t>
      </w:r>
      <w:r w:rsidRPr="00482DFF">
        <w:rPr>
          <w:rFonts w:ascii="Arial Narrow" w:hAnsi="Arial Narrow"/>
          <w:sz w:val="18"/>
          <w:szCs w:val="18"/>
          <w:lang w:val="es-ES_tradnl"/>
        </w:rPr>
        <w:t xml:space="preserve">Proceso. El gobierno en pleno se ampara contra una Comisión de la Verdad. No. 2181. 19 de agosto de 2018. Pág. 26. Disponible: </w:t>
      </w:r>
      <w:hyperlink r:id="rId11" w:history="1">
        <w:r w:rsidRPr="00482DFF">
          <w:rPr>
            <w:rStyle w:val="Hyperlink"/>
            <w:rFonts w:ascii="Arial Narrow" w:hAnsi="Arial Narrow"/>
            <w:sz w:val="18"/>
            <w:szCs w:val="18"/>
            <w:lang w:val="es-ES_tradnl"/>
          </w:rPr>
          <w:t>https://goo.gl/4JJD4E</w:t>
        </w:r>
      </w:hyperlink>
      <w:r w:rsidRPr="00482DFF">
        <w:rPr>
          <w:rFonts w:ascii="Arial Narrow" w:hAnsi="Arial Narrow"/>
          <w:sz w:val="18"/>
          <w:szCs w:val="18"/>
          <w:lang w:val="es-ES_tradnl"/>
        </w:rPr>
        <w:t xml:space="preserve">  </w:t>
      </w:r>
    </w:p>
  </w:footnote>
  <w:footnote w:id="14">
    <w:p w14:paraId="4B45D85B" w14:textId="17FED3CE" w:rsidR="00B24008" w:rsidRPr="00482DFF" w:rsidRDefault="00B24008"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w:t>
      </w:r>
      <w:r w:rsidR="00B5764F" w:rsidRPr="00482DFF">
        <w:rPr>
          <w:rFonts w:ascii="Arial Narrow" w:hAnsi="Arial Narrow"/>
          <w:sz w:val="18"/>
          <w:szCs w:val="18"/>
        </w:rPr>
        <w:t xml:space="preserve">El Universal. “Comisión de la Verdad no es imparcial: Sedena”. 1 de octubre de 2018. Disponible en: </w:t>
      </w:r>
      <w:hyperlink r:id="rId12" w:history="1">
        <w:r w:rsidR="00E726D6" w:rsidRPr="00482DFF">
          <w:rPr>
            <w:rStyle w:val="Hyperlink"/>
            <w:rFonts w:ascii="Arial Narrow" w:hAnsi="Arial Narrow" w:cs="Helvetica"/>
            <w:sz w:val="18"/>
            <w:szCs w:val="18"/>
          </w:rPr>
          <w:t>https://goo.gl/MvRdSX</w:t>
        </w:r>
      </w:hyperlink>
      <w:r w:rsidR="00E726D6" w:rsidRPr="00482DFF">
        <w:rPr>
          <w:rFonts w:ascii="Arial Narrow" w:hAnsi="Arial Narrow" w:cs="Helvetica"/>
          <w:color w:val="444444"/>
          <w:sz w:val="18"/>
          <w:szCs w:val="18"/>
        </w:rPr>
        <w:t xml:space="preserve"> </w:t>
      </w:r>
    </w:p>
  </w:footnote>
  <w:footnote w:id="15">
    <w:p w14:paraId="128E7971" w14:textId="299D36F0" w:rsidR="001772AB" w:rsidRPr="00136DBD" w:rsidRDefault="001772AB" w:rsidP="00482DFF">
      <w:pPr>
        <w:pStyle w:val="FootnoteText"/>
        <w:contextualSpacing/>
        <w:jc w:val="both"/>
        <w:rPr>
          <w:rFonts w:ascii="Arial Narrow" w:hAnsi="Arial Narrow"/>
          <w:sz w:val="18"/>
          <w:szCs w:val="18"/>
          <w:lang w:val="es-ES"/>
        </w:rPr>
      </w:pPr>
      <w:r w:rsidRPr="00482DFF">
        <w:rPr>
          <w:rStyle w:val="FootnoteReference"/>
          <w:rFonts w:ascii="Arial Narrow" w:hAnsi="Arial Narrow"/>
          <w:sz w:val="18"/>
          <w:szCs w:val="18"/>
        </w:rPr>
        <w:footnoteRef/>
      </w:r>
      <w:r w:rsidRPr="00482DFF">
        <w:rPr>
          <w:rFonts w:ascii="Arial Narrow" w:hAnsi="Arial Narrow"/>
          <w:sz w:val="18"/>
          <w:szCs w:val="18"/>
        </w:rPr>
        <w:t xml:space="preserve"> UN. Doc. </w:t>
      </w:r>
      <w:r w:rsidRPr="00136DBD">
        <w:rPr>
          <w:rFonts w:ascii="Arial Narrow" w:hAnsi="Arial Narrow"/>
          <w:sz w:val="18"/>
          <w:szCs w:val="18"/>
          <w:lang w:val="es-ES"/>
        </w:rPr>
        <w:t>CED/C/MEX/CO/1/Add.2. párr. 5.</w:t>
      </w:r>
    </w:p>
  </w:footnote>
  <w:footnote w:id="16">
    <w:p w14:paraId="57D1D133" w14:textId="793D224D" w:rsidR="00065783" w:rsidRPr="00482DFF" w:rsidRDefault="00065783" w:rsidP="00482DFF">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Reforma. Mantienen el rechazo a competencia de ONU. 12 de septiembre de 2018. Disponible en: </w:t>
      </w:r>
      <w:hyperlink r:id="rId13" w:history="1">
        <w:r w:rsidRPr="00482DFF">
          <w:rPr>
            <w:rStyle w:val="Hyperlink"/>
            <w:rFonts w:ascii="Arial Narrow" w:hAnsi="Arial Narrow" w:cs="Helvetica"/>
            <w:sz w:val="18"/>
            <w:szCs w:val="18"/>
          </w:rPr>
          <w:t>https://goo.gl/U3hYSJ</w:t>
        </w:r>
      </w:hyperlink>
      <w:r w:rsidRPr="00482DFF">
        <w:rPr>
          <w:rFonts w:ascii="Arial Narrow" w:hAnsi="Arial Narrow" w:cs="Helvetica"/>
          <w:sz w:val="18"/>
          <w:szCs w:val="18"/>
        </w:rPr>
        <w:t xml:space="preserve"> </w:t>
      </w:r>
    </w:p>
  </w:footnote>
  <w:footnote w:id="17">
    <w:p w14:paraId="7020D210" w14:textId="77777777" w:rsidR="002E615E" w:rsidRPr="00482DFF" w:rsidRDefault="002E615E" w:rsidP="002E615E">
      <w:pPr>
        <w:pStyle w:val="FootnoteText"/>
        <w:contextualSpacing/>
        <w:jc w:val="both"/>
        <w:rPr>
          <w:rFonts w:ascii="Arial Narrow" w:hAnsi="Arial Narrow"/>
          <w:sz w:val="18"/>
          <w:szCs w:val="18"/>
        </w:rPr>
      </w:pPr>
      <w:r w:rsidRPr="00482DFF">
        <w:rPr>
          <w:rStyle w:val="FootnoteReference"/>
          <w:rFonts w:ascii="Arial Narrow" w:hAnsi="Arial Narrow"/>
          <w:sz w:val="18"/>
          <w:szCs w:val="18"/>
        </w:rPr>
        <w:footnoteRef/>
      </w:r>
      <w:r w:rsidRPr="00482DFF">
        <w:rPr>
          <w:rFonts w:ascii="Arial Narrow" w:hAnsi="Arial Narrow"/>
          <w:sz w:val="18"/>
          <w:szCs w:val="18"/>
        </w:rPr>
        <w:t xml:space="preserve"> La Jornada. </w:t>
      </w:r>
      <w:r w:rsidRPr="00482DFF">
        <w:rPr>
          <w:rFonts w:ascii="Arial Narrow" w:hAnsi="Arial Narrow"/>
          <w:bCs/>
          <w:sz w:val="18"/>
          <w:szCs w:val="18"/>
        </w:rPr>
        <w:t xml:space="preserve">Sánchez Cordero y Encinas dialogan con familiares de desaparecidos. 11 de agosto de 2018. </w:t>
      </w:r>
      <w:hyperlink r:id="rId14" w:history="1">
        <w:r w:rsidRPr="00482DFF">
          <w:rPr>
            <w:rStyle w:val="Hyperlink"/>
            <w:rFonts w:ascii="Arial Narrow" w:hAnsi="Arial Narrow"/>
            <w:bCs/>
            <w:sz w:val="18"/>
            <w:szCs w:val="18"/>
          </w:rPr>
          <w:t>https://www.jornada.com.mx/2018/08/11/politica/006n2pol</w:t>
        </w:r>
      </w:hyperlink>
      <w:r w:rsidRPr="00482DFF">
        <w:rPr>
          <w:rFonts w:ascii="Arial Narrow" w:hAnsi="Arial Narrow"/>
          <w:bCs/>
          <w:sz w:val="18"/>
          <w:szCs w:val="18"/>
        </w:rPr>
        <w:t xml:space="preserve">. El Universal. Familiares de desaparecidos se reúnen con Sánchez Cordero. 10 de agosto de 2018. Disponible en: </w:t>
      </w:r>
      <w:hyperlink r:id="rId15" w:history="1">
        <w:r w:rsidRPr="00482DFF">
          <w:rPr>
            <w:rStyle w:val="Hyperlink"/>
            <w:rFonts w:ascii="Arial Narrow" w:hAnsi="Arial Narrow"/>
            <w:bCs/>
            <w:sz w:val="18"/>
            <w:szCs w:val="18"/>
          </w:rPr>
          <w:t>http://www.milenio.com/politica/familiares-de-desaparecidos-se-reunen-con-sanchez-cordero</w:t>
        </w:r>
      </w:hyperlink>
      <w:r w:rsidRPr="00482DFF">
        <w:rPr>
          <w:rFonts w:ascii="Arial Narrow" w:hAnsi="Arial Narrow"/>
          <w:bCs/>
          <w:sz w:val="18"/>
          <w:szCs w:val="18"/>
        </w:rPr>
        <w:t xml:space="preserve"> </w:t>
      </w:r>
    </w:p>
  </w:footnote>
  <w:footnote w:id="18">
    <w:p w14:paraId="15F660ED" w14:textId="26A77A9D" w:rsidR="001F1D52" w:rsidRPr="00482DFF" w:rsidRDefault="001F1D52" w:rsidP="00482DFF">
      <w:pPr>
        <w:pStyle w:val="FootnoteText"/>
        <w:contextualSpacing/>
        <w:jc w:val="both"/>
        <w:rPr>
          <w:rFonts w:ascii="Arial Narrow" w:hAnsi="Arial Narrow"/>
          <w:sz w:val="18"/>
          <w:szCs w:val="18"/>
          <w:lang w:val="es-ES"/>
        </w:rPr>
      </w:pPr>
      <w:r w:rsidRPr="00482DFF">
        <w:rPr>
          <w:rStyle w:val="FootnoteReference"/>
          <w:rFonts w:ascii="Arial Narrow" w:hAnsi="Arial Narrow"/>
          <w:sz w:val="18"/>
          <w:szCs w:val="18"/>
        </w:rPr>
        <w:footnoteRef/>
      </w:r>
      <w:r w:rsidR="00A271F1" w:rsidRPr="00482DFF">
        <w:rPr>
          <w:rFonts w:ascii="Arial Narrow" w:hAnsi="Arial Narrow"/>
          <w:sz w:val="18"/>
          <w:szCs w:val="18"/>
          <w:lang w:val="es-ES"/>
        </w:rPr>
        <w:t xml:space="preserve">La Jornada. AMLO: habrá comisión de la verdad para el caso de los 43. 27 de septiembre de 2018. Disponible en: </w:t>
      </w:r>
      <w:hyperlink r:id="rId16" w:history="1">
        <w:r w:rsidR="00A271F1" w:rsidRPr="00482DFF">
          <w:rPr>
            <w:rStyle w:val="Hyperlink"/>
            <w:rFonts w:ascii="Arial Narrow" w:hAnsi="Arial Narrow"/>
            <w:sz w:val="18"/>
            <w:szCs w:val="18"/>
            <w:lang w:val="es-ES"/>
          </w:rPr>
          <w:t>https://goo.gl/8cKwQn</w:t>
        </w:r>
      </w:hyperlink>
      <w:r w:rsidR="00A271F1" w:rsidRPr="00482DFF">
        <w:rPr>
          <w:rFonts w:ascii="Arial Narrow" w:hAnsi="Arial Narrow"/>
          <w:sz w:val="18"/>
          <w:szCs w:val="18"/>
          <w:lang w:val="es-ES"/>
        </w:rPr>
        <w:t xml:space="preserve">. El Universal. Que Comisión de la Verdad indague hasta el Ejército: AMLO. 27 de septiembre de 2018. Disponible en: </w:t>
      </w:r>
      <w:hyperlink r:id="rId17" w:history="1">
        <w:r w:rsidR="00A271F1" w:rsidRPr="00482DFF">
          <w:rPr>
            <w:rStyle w:val="Hyperlink"/>
            <w:rFonts w:ascii="Arial Narrow" w:hAnsi="Arial Narrow"/>
            <w:sz w:val="18"/>
            <w:szCs w:val="18"/>
            <w:lang w:val="es-ES"/>
          </w:rPr>
          <w:t>https://goo.gl/qizGKG</w:t>
        </w:r>
      </w:hyperlink>
      <w:r w:rsidR="00A271F1" w:rsidRPr="00482DFF">
        <w:rPr>
          <w:rFonts w:ascii="Arial Narrow" w:hAnsi="Arial Narrow"/>
          <w:sz w:val="18"/>
          <w:szCs w:val="18"/>
          <w:lang w:val="es-ES"/>
        </w:rPr>
        <w:t xml:space="preserve">. Reforma. Amarran Comisión para el caso Ayotzinapa-. 27 de septiembre de 2018. Disponible en: </w:t>
      </w:r>
      <w:hyperlink r:id="rId18" w:history="1">
        <w:r w:rsidR="00A271F1" w:rsidRPr="00482DFF">
          <w:rPr>
            <w:rStyle w:val="Hyperlink"/>
            <w:rFonts w:ascii="Arial Narrow" w:hAnsi="Arial Narrow"/>
            <w:sz w:val="18"/>
            <w:szCs w:val="18"/>
            <w:lang w:val="es-ES"/>
          </w:rPr>
          <w:t>https://goo.gl/PjAahe</w:t>
        </w:r>
      </w:hyperlink>
      <w:r w:rsidR="00A271F1" w:rsidRPr="00482DFF">
        <w:rPr>
          <w:rFonts w:ascii="Arial Narrow" w:hAnsi="Arial Narrow"/>
          <w:sz w:val="18"/>
          <w:szCs w:val="18"/>
          <w:lang w:val="es-ES"/>
        </w:rPr>
        <w:t xml:space="preserve"> Milenio. Con decreto AMLO va por la verdad de los 43. 27 de septiembre de 2018. Disponible en: </w:t>
      </w:r>
      <w:hyperlink r:id="rId19" w:history="1">
        <w:r w:rsidR="00A271F1" w:rsidRPr="00482DFF">
          <w:rPr>
            <w:rStyle w:val="Hyperlink"/>
            <w:rFonts w:ascii="Arial Narrow" w:hAnsi="Arial Narrow"/>
            <w:sz w:val="18"/>
            <w:szCs w:val="18"/>
            <w:lang w:val="es-ES"/>
          </w:rPr>
          <w:t>https://goo.gl/udqKFe</w:t>
        </w:r>
      </w:hyperlink>
      <w:r w:rsidR="00A271F1" w:rsidRPr="00482DFF">
        <w:rPr>
          <w:rFonts w:ascii="Arial Narrow" w:hAnsi="Arial Narrow"/>
          <w:sz w:val="18"/>
          <w:szCs w:val="18"/>
          <w:lang w:val="es-ES"/>
        </w:rPr>
        <w:t xml:space="preserve"> </w:t>
      </w:r>
      <w:r w:rsidRPr="00482DFF">
        <w:rPr>
          <w:rFonts w:ascii="Arial Narrow" w:hAnsi="Arial Narrow"/>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73A06"/>
    <w:multiLevelType w:val="multilevel"/>
    <w:tmpl w:val="43A8DA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43111600"/>
    <w:multiLevelType w:val="hybridMultilevel"/>
    <w:tmpl w:val="4B64B194"/>
    <w:lvl w:ilvl="0" w:tplc="F4701600">
      <w:start w:val="1"/>
      <w:numFmt w:val="lowerLetter"/>
      <w:lvlText w:val="%1)"/>
      <w:lvlJc w:val="left"/>
      <w:pPr>
        <w:ind w:left="1413" w:hanging="705"/>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 w15:restartNumberingAfterBreak="0">
    <w:nsid w:val="4E5B4889"/>
    <w:multiLevelType w:val="hybridMultilevel"/>
    <w:tmpl w:val="7334225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724D3166"/>
    <w:multiLevelType w:val="hybridMultilevel"/>
    <w:tmpl w:val="F3AA756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BB3"/>
    <w:rsid w:val="00016BB3"/>
    <w:rsid w:val="000261FE"/>
    <w:rsid w:val="00065783"/>
    <w:rsid w:val="000A6538"/>
    <w:rsid w:val="000E0750"/>
    <w:rsid w:val="0011664A"/>
    <w:rsid w:val="00136659"/>
    <w:rsid w:val="00136DBD"/>
    <w:rsid w:val="00141E33"/>
    <w:rsid w:val="0016206E"/>
    <w:rsid w:val="001772AB"/>
    <w:rsid w:val="0018096C"/>
    <w:rsid w:val="001A107C"/>
    <w:rsid w:val="001B2452"/>
    <w:rsid w:val="001F1D52"/>
    <w:rsid w:val="001F2FF3"/>
    <w:rsid w:val="00201679"/>
    <w:rsid w:val="00253F24"/>
    <w:rsid w:val="00257365"/>
    <w:rsid w:val="0026503B"/>
    <w:rsid w:val="00271F3F"/>
    <w:rsid w:val="002962DF"/>
    <w:rsid w:val="002B1C5F"/>
    <w:rsid w:val="002C11D4"/>
    <w:rsid w:val="002D7A7C"/>
    <w:rsid w:val="002E4507"/>
    <w:rsid w:val="002E615E"/>
    <w:rsid w:val="0032747B"/>
    <w:rsid w:val="003871FD"/>
    <w:rsid w:val="003F1ABB"/>
    <w:rsid w:val="003F72C2"/>
    <w:rsid w:val="00420DEA"/>
    <w:rsid w:val="00440D4E"/>
    <w:rsid w:val="004539D6"/>
    <w:rsid w:val="00482DFF"/>
    <w:rsid w:val="004E1D65"/>
    <w:rsid w:val="004E435C"/>
    <w:rsid w:val="00501B06"/>
    <w:rsid w:val="00523A4F"/>
    <w:rsid w:val="00524A87"/>
    <w:rsid w:val="00552BAF"/>
    <w:rsid w:val="00567D90"/>
    <w:rsid w:val="005D4E9A"/>
    <w:rsid w:val="006164F1"/>
    <w:rsid w:val="0062750A"/>
    <w:rsid w:val="00652424"/>
    <w:rsid w:val="00694BA8"/>
    <w:rsid w:val="006D6B1F"/>
    <w:rsid w:val="0070251D"/>
    <w:rsid w:val="00782F84"/>
    <w:rsid w:val="007A7C13"/>
    <w:rsid w:val="007F023F"/>
    <w:rsid w:val="007F048F"/>
    <w:rsid w:val="007F08D1"/>
    <w:rsid w:val="00824872"/>
    <w:rsid w:val="008B1F9D"/>
    <w:rsid w:val="008C2797"/>
    <w:rsid w:val="00975DD0"/>
    <w:rsid w:val="009C70C8"/>
    <w:rsid w:val="009D5F15"/>
    <w:rsid w:val="00A271F1"/>
    <w:rsid w:val="00A7463A"/>
    <w:rsid w:val="00A76824"/>
    <w:rsid w:val="00A849FC"/>
    <w:rsid w:val="00A87AEC"/>
    <w:rsid w:val="00AA52F7"/>
    <w:rsid w:val="00AE34F8"/>
    <w:rsid w:val="00B24008"/>
    <w:rsid w:val="00B31087"/>
    <w:rsid w:val="00B35B89"/>
    <w:rsid w:val="00B4280E"/>
    <w:rsid w:val="00B5764F"/>
    <w:rsid w:val="00B6293B"/>
    <w:rsid w:val="00B67F6E"/>
    <w:rsid w:val="00B769D4"/>
    <w:rsid w:val="00C02D6C"/>
    <w:rsid w:val="00C47228"/>
    <w:rsid w:val="00C63E5D"/>
    <w:rsid w:val="00C830BA"/>
    <w:rsid w:val="00CC022B"/>
    <w:rsid w:val="00D43DF9"/>
    <w:rsid w:val="00D453F2"/>
    <w:rsid w:val="00D84DC0"/>
    <w:rsid w:val="00D927EF"/>
    <w:rsid w:val="00DC75CE"/>
    <w:rsid w:val="00DF6B3A"/>
    <w:rsid w:val="00E07D23"/>
    <w:rsid w:val="00E247CD"/>
    <w:rsid w:val="00E41AA7"/>
    <w:rsid w:val="00E41B95"/>
    <w:rsid w:val="00E612E0"/>
    <w:rsid w:val="00E726D6"/>
    <w:rsid w:val="00E9722E"/>
    <w:rsid w:val="00EB1FC6"/>
    <w:rsid w:val="00FD055C"/>
    <w:rsid w:val="00FE6820"/>
    <w:rsid w:val="00FE6DC3"/>
    <w:rsid w:val="00FF113F"/>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E43D4D4"/>
  <w14:defaultImageDpi w14:val="300"/>
  <w15:docId w15:val="{AA580F1F-1BC8-4200-9735-1E6A1CF20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BB3"/>
    <w:pPr>
      <w:spacing w:after="160" w:line="259" w:lineRule="auto"/>
    </w:pPr>
    <w:rPr>
      <w:rFonts w:eastAsiaTheme="minorHAnsi"/>
      <w:sz w:val="22"/>
      <w:szCs w:val="22"/>
      <w:lang w:val="es-MX"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6BB3"/>
    <w:pPr>
      <w:autoSpaceDE w:val="0"/>
      <w:autoSpaceDN w:val="0"/>
      <w:adjustRightInd w:val="0"/>
    </w:pPr>
    <w:rPr>
      <w:rFonts w:ascii="Times New Roman" w:eastAsiaTheme="minorHAnsi" w:hAnsi="Times New Roman" w:cs="Times New Roman"/>
      <w:color w:val="000000"/>
      <w:lang w:val="es-MX" w:eastAsia="en-US"/>
    </w:rPr>
  </w:style>
  <w:style w:type="paragraph" w:styleId="FootnoteText">
    <w:name w:val="footnote text"/>
    <w:aliases w:val="Footnote Text Char Char Char Char Char,Footnote Text Char Char Char Char,Footnote reference,FA Fu,Footnote Text Char Char Char,Footnote Text Cha,FA Fußnotentext,FA Fu?notentext,Footnote Text Char Char,FA Fuﬂnotentext,Ca,Car Car Car,C,Car3"/>
    <w:basedOn w:val="Normal"/>
    <w:link w:val="FootnoteTextChar"/>
    <w:uiPriority w:val="99"/>
    <w:unhideWhenUsed/>
    <w:qFormat/>
    <w:rsid w:val="00567D90"/>
    <w:pPr>
      <w:spacing w:after="0" w:line="240" w:lineRule="auto"/>
    </w:pPr>
    <w:rPr>
      <w:sz w:val="24"/>
      <w:szCs w:val="24"/>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notentext Char,Ca Char,C Char"/>
    <w:basedOn w:val="DefaultParagraphFont"/>
    <w:link w:val="FootnoteText"/>
    <w:uiPriority w:val="99"/>
    <w:rsid w:val="00567D90"/>
    <w:rPr>
      <w:rFonts w:eastAsiaTheme="minorHAnsi"/>
      <w:lang w:val="es-MX" w:eastAsia="en-US"/>
    </w:rPr>
  </w:style>
  <w:style w:type="character" w:styleId="FootnoteReference">
    <w:name w:val="footnote reference"/>
    <w:aliases w:val="Footnotes refss,Texto de nota al pie,Ref. de nota al pie 2,Appel note de bas de page,Footnote number,referencia nota al pie,BVI fnr,f,4_G,16 Point,Superscript 6 Point,Texto nota al pie,Footnote Reference Char3,ftref,Ref,de nota al pi"/>
    <w:basedOn w:val="DefaultParagraphFont"/>
    <w:uiPriority w:val="99"/>
    <w:unhideWhenUsed/>
    <w:qFormat/>
    <w:rsid w:val="00567D90"/>
    <w:rPr>
      <w:vertAlign w:val="superscript"/>
    </w:rPr>
  </w:style>
  <w:style w:type="paragraph" w:styleId="NormalWeb">
    <w:name w:val="Normal (Web)"/>
    <w:basedOn w:val="Normal"/>
    <w:uiPriority w:val="99"/>
    <w:semiHidden/>
    <w:unhideWhenUsed/>
    <w:rsid w:val="00567D90"/>
    <w:rPr>
      <w:rFonts w:ascii="Times New Roman" w:hAnsi="Times New Roman" w:cs="Times New Roman"/>
      <w:sz w:val="24"/>
      <w:szCs w:val="24"/>
    </w:rPr>
  </w:style>
  <w:style w:type="character" w:styleId="Hyperlink">
    <w:name w:val="Hyperlink"/>
    <w:basedOn w:val="DefaultParagraphFont"/>
    <w:uiPriority w:val="99"/>
    <w:unhideWhenUsed/>
    <w:rsid w:val="009D5F15"/>
    <w:rPr>
      <w:color w:val="0000FF" w:themeColor="hyperlink"/>
      <w:u w:val="single"/>
    </w:rPr>
  </w:style>
  <w:style w:type="paragraph" w:styleId="ListParagraph">
    <w:name w:val="List Paragraph"/>
    <w:basedOn w:val="Normal"/>
    <w:uiPriority w:val="34"/>
    <w:qFormat/>
    <w:rsid w:val="00E247CD"/>
    <w:pPr>
      <w:ind w:left="720"/>
      <w:contextualSpacing/>
    </w:pPr>
  </w:style>
  <w:style w:type="table" w:styleId="TableGrid">
    <w:name w:val="Table Grid"/>
    <w:basedOn w:val="TableNormal"/>
    <w:uiPriority w:val="39"/>
    <w:rsid w:val="00E247CD"/>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F1ABB"/>
    <w:rPr>
      <w:sz w:val="16"/>
      <w:szCs w:val="16"/>
    </w:rPr>
  </w:style>
  <w:style w:type="paragraph" w:styleId="CommentText">
    <w:name w:val="annotation text"/>
    <w:basedOn w:val="Normal"/>
    <w:link w:val="CommentTextChar"/>
    <w:uiPriority w:val="99"/>
    <w:semiHidden/>
    <w:unhideWhenUsed/>
    <w:rsid w:val="003F1ABB"/>
    <w:pPr>
      <w:spacing w:line="240" w:lineRule="auto"/>
    </w:pPr>
    <w:rPr>
      <w:sz w:val="20"/>
      <w:szCs w:val="20"/>
    </w:rPr>
  </w:style>
  <w:style w:type="character" w:customStyle="1" w:styleId="CommentTextChar">
    <w:name w:val="Comment Text Char"/>
    <w:basedOn w:val="DefaultParagraphFont"/>
    <w:link w:val="CommentText"/>
    <w:uiPriority w:val="99"/>
    <w:semiHidden/>
    <w:rsid w:val="003F1ABB"/>
    <w:rPr>
      <w:rFonts w:eastAsiaTheme="minorHAnsi"/>
      <w:sz w:val="20"/>
      <w:szCs w:val="20"/>
      <w:lang w:val="es-MX" w:eastAsia="en-US"/>
    </w:rPr>
  </w:style>
  <w:style w:type="paragraph" w:styleId="CommentSubject">
    <w:name w:val="annotation subject"/>
    <w:basedOn w:val="CommentText"/>
    <w:next w:val="CommentText"/>
    <w:link w:val="CommentSubjectChar"/>
    <w:uiPriority w:val="99"/>
    <w:semiHidden/>
    <w:unhideWhenUsed/>
    <w:rsid w:val="003F1ABB"/>
    <w:rPr>
      <w:b/>
      <w:bCs/>
    </w:rPr>
  </w:style>
  <w:style w:type="character" w:customStyle="1" w:styleId="CommentSubjectChar">
    <w:name w:val="Comment Subject Char"/>
    <w:basedOn w:val="CommentTextChar"/>
    <w:link w:val="CommentSubject"/>
    <w:uiPriority w:val="99"/>
    <w:semiHidden/>
    <w:rsid w:val="003F1ABB"/>
    <w:rPr>
      <w:rFonts w:eastAsiaTheme="minorHAnsi"/>
      <w:b/>
      <w:bCs/>
      <w:sz w:val="20"/>
      <w:szCs w:val="20"/>
      <w:lang w:val="es-MX" w:eastAsia="en-US"/>
    </w:rPr>
  </w:style>
  <w:style w:type="paragraph" w:styleId="BalloonText">
    <w:name w:val="Balloon Text"/>
    <w:basedOn w:val="Normal"/>
    <w:link w:val="BalloonTextChar"/>
    <w:uiPriority w:val="99"/>
    <w:semiHidden/>
    <w:unhideWhenUsed/>
    <w:rsid w:val="003F1A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1ABB"/>
    <w:rPr>
      <w:rFonts w:ascii="Segoe UI" w:eastAsiaTheme="minorHAnsi" w:hAnsi="Segoe UI" w:cs="Segoe UI"/>
      <w:sz w:val="18"/>
      <w:szCs w:val="18"/>
      <w:lang w:val="es-MX" w:eastAsia="en-US"/>
    </w:rPr>
  </w:style>
  <w:style w:type="paragraph" w:styleId="EndnoteText">
    <w:name w:val="endnote text"/>
    <w:basedOn w:val="Normal"/>
    <w:link w:val="EndnoteTextChar"/>
    <w:uiPriority w:val="99"/>
    <w:semiHidden/>
    <w:unhideWhenUsed/>
    <w:rsid w:val="00420D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0DEA"/>
    <w:rPr>
      <w:rFonts w:eastAsiaTheme="minorHAnsi"/>
      <w:sz w:val="20"/>
      <w:szCs w:val="20"/>
      <w:lang w:val="es-MX" w:eastAsia="en-US"/>
    </w:rPr>
  </w:style>
  <w:style w:type="character" w:styleId="EndnoteReference">
    <w:name w:val="endnote reference"/>
    <w:basedOn w:val="DefaultParagraphFont"/>
    <w:uiPriority w:val="99"/>
    <w:semiHidden/>
    <w:unhideWhenUsed/>
    <w:rsid w:val="00420DEA"/>
    <w:rPr>
      <w:vertAlign w:val="superscript"/>
    </w:rPr>
  </w:style>
  <w:style w:type="paragraph" w:styleId="Header">
    <w:name w:val="header"/>
    <w:basedOn w:val="Normal"/>
    <w:link w:val="HeaderChar"/>
    <w:uiPriority w:val="99"/>
    <w:unhideWhenUsed/>
    <w:rsid w:val="00975DD0"/>
    <w:pPr>
      <w:tabs>
        <w:tab w:val="center" w:pos="4419"/>
        <w:tab w:val="right" w:pos="8838"/>
      </w:tabs>
      <w:spacing w:after="0" w:line="240" w:lineRule="auto"/>
    </w:pPr>
  </w:style>
  <w:style w:type="character" w:customStyle="1" w:styleId="HeaderChar">
    <w:name w:val="Header Char"/>
    <w:basedOn w:val="DefaultParagraphFont"/>
    <w:link w:val="Header"/>
    <w:uiPriority w:val="99"/>
    <w:rsid w:val="00975DD0"/>
    <w:rPr>
      <w:rFonts w:eastAsiaTheme="minorHAnsi"/>
      <w:sz w:val="22"/>
      <w:szCs w:val="22"/>
      <w:lang w:val="es-MX" w:eastAsia="en-US"/>
    </w:rPr>
  </w:style>
  <w:style w:type="paragraph" w:styleId="Footer">
    <w:name w:val="footer"/>
    <w:basedOn w:val="Normal"/>
    <w:link w:val="FooterChar"/>
    <w:uiPriority w:val="99"/>
    <w:unhideWhenUsed/>
    <w:rsid w:val="00975DD0"/>
    <w:pPr>
      <w:tabs>
        <w:tab w:val="center" w:pos="4419"/>
        <w:tab w:val="right" w:pos="8838"/>
      </w:tabs>
      <w:spacing w:after="0" w:line="240" w:lineRule="auto"/>
    </w:pPr>
  </w:style>
  <w:style w:type="character" w:customStyle="1" w:styleId="FooterChar">
    <w:name w:val="Footer Char"/>
    <w:basedOn w:val="DefaultParagraphFont"/>
    <w:link w:val="Footer"/>
    <w:uiPriority w:val="99"/>
    <w:rsid w:val="00975DD0"/>
    <w:rPr>
      <w:rFonts w:eastAsiaTheme="minorHAns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320494">
      <w:bodyDiv w:val="1"/>
      <w:marLeft w:val="0"/>
      <w:marRight w:val="0"/>
      <w:marTop w:val="0"/>
      <w:marBottom w:val="0"/>
      <w:divBdr>
        <w:top w:val="none" w:sz="0" w:space="0" w:color="auto"/>
        <w:left w:val="none" w:sz="0" w:space="0" w:color="auto"/>
        <w:bottom w:val="none" w:sz="0" w:space="0" w:color="auto"/>
        <w:right w:val="none" w:sz="0" w:space="0" w:color="auto"/>
      </w:divBdr>
      <w:divsChild>
        <w:div w:id="1997688979">
          <w:marLeft w:val="0"/>
          <w:marRight w:val="0"/>
          <w:marTop w:val="0"/>
          <w:marBottom w:val="0"/>
          <w:divBdr>
            <w:top w:val="none" w:sz="0" w:space="0" w:color="auto"/>
            <w:left w:val="none" w:sz="0" w:space="0" w:color="auto"/>
            <w:bottom w:val="none" w:sz="0" w:space="0" w:color="auto"/>
            <w:right w:val="none" w:sz="0" w:space="0" w:color="auto"/>
          </w:divBdr>
          <w:divsChild>
            <w:div w:id="902065379">
              <w:marLeft w:val="0"/>
              <w:marRight w:val="0"/>
              <w:marTop w:val="0"/>
              <w:marBottom w:val="0"/>
              <w:divBdr>
                <w:top w:val="none" w:sz="0" w:space="0" w:color="auto"/>
                <w:left w:val="none" w:sz="0" w:space="0" w:color="auto"/>
                <w:bottom w:val="none" w:sz="0" w:space="0" w:color="auto"/>
                <w:right w:val="none" w:sz="0" w:space="0" w:color="auto"/>
              </w:divBdr>
              <w:divsChild>
                <w:div w:id="164353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9281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goo.gl/nwqrTd" TargetMode="External"/><Relationship Id="rId13" Type="http://schemas.openxmlformats.org/officeDocument/2006/relationships/hyperlink" Target="https://goo.gl/U3hYSJ" TargetMode="External"/><Relationship Id="rId18" Type="http://schemas.openxmlformats.org/officeDocument/2006/relationships/hyperlink" Target="https://goo.gl/PjAahe" TargetMode="External"/><Relationship Id="rId3" Type="http://schemas.openxmlformats.org/officeDocument/2006/relationships/hyperlink" Target="https://goo.gl/CTPoLJ" TargetMode="External"/><Relationship Id="rId7" Type="http://schemas.openxmlformats.org/officeDocument/2006/relationships/hyperlink" Target="https://www.radioformula.com.mx/notas.asp?Idn=737459&amp;idFC=2018" TargetMode="External"/><Relationship Id="rId12" Type="http://schemas.openxmlformats.org/officeDocument/2006/relationships/hyperlink" Target="https://goo.gl/MvRdSX" TargetMode="External"/><Relationship Id="rId17" Type="http://schemas.openxmlformats.org/officeDocument/2006/relationships/hyperlink" Target="https://goo.gl/qizGKG" TargetMode="External"/><Relationship Id="rId2" Type="http://schemas.openxmlformats.org/officeDocument/2006/relationships/hyperlink" Target="http://www.cjf.gob.mx/documentos/notasInformativas/docsNotasInformativas/2018/notaInformativa19.pdf" TargetMode="External"/><Relationship Id="rId16" Type="http://schemas.openxmlformats.org/officeDocument/2006/relationships/hyperlink" Target="https://goo.gl/8cKwQn" TargetMode="External"/><Relationship Id="rId1" Type="http://schemas.openxmlformats.org/officeDocument/2006/relationships/hyperlink" Target="http://www.oas.org/es/cidh/docs/Mesa/InformebalanceAyotzinapa.pdf" TargetMode="External"/><Relationship Id="rId6" Type="http://schemas.openxmlformats.org/officeDocument/2006/relationships/hyperlink" Target="https://www.gob.mx/pgr/prensa/comunicado-606-18-la-procuraduria-general-de-la-republica-informa" TargetMode="External"/><Relationship Id="rId11" Type="http://schemas.openxmlformats.org/officeDocument/2006/relationships/hyperlink" Target="https://goo.gl/4JJD4E" TargetMode="External"/><Relationship Id="rId5" Type="http://schemas.openxmlformats.org/officeDocument/2006/relationships/hyperlink" Target="http://www.milenio.com/opinion/carlos-marin/el-asalto-la-razon/jarab-abogado-de-asesinos" TargetMode="External"/><Relationship Id="rId15" Type="http://schemas.openxmlformats.org/officeDocument/2006/relationships/hyperlink" Target="http://www.milenio.com/politica/familiares-de-desaparecidos-se-reunen-con-sanchez-cordero" TargetMode="External"/><Relationship Id="rId10" Type="http://schemas.openxmlformats.org/officeDocument/2006/relationships/hyperlink" Target="http://www.cjf.gob.mx/documentos/notasInformativas/docsNotasInformativas/2018/notaInformativa43.pdf" TargetMode="External"/><Relationship Id="rId19" Type="http://schemas.openxmlformats.org/officeDocument/2006/relationships/hyperlink" Target="https://goo.gl/udqKFe" TargetMode="External"/><Relationship Id="rId4" Type="http://schemas.openxmlformats.org/officeDocument/2006/relationships/hyperlink" Target="http://www.hchr.org.mx/images/doc_pub/20180315_DobleInjusticia_InformeONUDHInvestigacionAyotzinapa.pdf" TargetMode="External"/><Relationship Id="rId9" Type="http://schemas.openxmlformats.org/officeDocument/2006/relationships/hyperlink" Target="http://www.internet2.scjn.gob.mx/red2/comunicados/noticia.asp?id=5762" TargetMode="External"/><Relationship Id="rId14" Type="http://schemas.openxmlformats.org/officeDocument/2006/relationships/hyperlink" Target="https://www.jornada.com.mx/2018/08/11/politica/006n2po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9C398-C8B4-46AC-8B7E-AD97616BEF5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D8AC3437-8C89-4A1B-B64E-8B2E1A4F5D37}">
  <ds:schemaRefs>
    <ds:schemaRef ds:uri="http://schemas.microsoft.com/sharepoint/v3/contenttype/forms"/>
  </ds:schemaRefs>
</ds:datastoreItem>
</file>

<file path=customXml/itemProps3.xml><?xml version="1.0" encoding="utf-8"?>
<ds:datastoreItem xmlns:ds="http://schemas.openxmlformats.org/officeDocument/2006/customXml" ds:itemID="{988E6DDC-9A19-40EB-BB52-E356D8109F0D}"/>
</file>

<file path=customXml/itemProps4.xml><?xml version="1.0" encoding="utf-8"?>
<ds:datastoreItem xmlns:ds="http://schemas.openxmlformats.org/officeDocument/2006/customXml" ds:itemID="{E08ADA69-AB6D-40FC-AC27-4D88B50E2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6613</Words>
  <Characters>37697</Characters>
  <Application>Microsoft Office Word</Application>
  <DocSecurity>0</DocSecurity>
  <Lines>314</Lines>
  <Paragraphs>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Luisa Aguilar Rodriguez</dc:creator>
  <cp:keywords/>
  <dc:description/>
  <cp:lastModifiedBy>DEJA Perrine</cp:lastModifiedBy>
  <cp:revision>2</cp:revision>
  <dcterms:created xsi:type="dcterms:W3CDTF">2020-03-30T19:24:00Z</dcterms:created>
  <dcterms:modified xsi:type="dcterms:W3CDTF">2020-03-30T19:24:00Z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