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34B9" w14:textId="77777777" w:rsidR="00715AE4" w:rsidRPr="00C63626" w:rsidRDefault="00715AE4" w:rsidP="002F310B">
      <w:pPr>
        <w:spacing w:before="200" w:after="120"/>
        <w:jc w:val="both"/>
        <w:rPr>
          <w:rFonts w:asciiTheme="majorBidi" w:hAnsiTheme="majorBidi" w:cstheme="majorBidi"/>
          <w:sz w:val="22"/>
          <w:szCs w:val="22"/>
          <w:lang w:val="en-US"/>
        </w:rPr>
      </w:pPr>
    </w:p>
    <w:p w14:paraId="30D26849" w14:textId="77777777" w:rsidR="00715AE4" w:rsidRPr="00C63626" w:rsidRDefault="00715AE4" w:rsidP="002F310B">
      <w:pPr>
        <w:spacing w:before="200" w:after="120"/>
        <w:jc w:val="both"/>
        <w:rPr>
          <w:rFonts w:asciiTheme="majorBidi" w:hAnsiTheme="majorBidi" w:cstheme="majorBidi"/>
          <w:sz w:val="22"/>
          <w:szCs w:val="22"/>
          <w:lang w:val="en-US"/>
        </w:rPr>
      </w:pPr>
    </w:p>
    <w:p w14:paraId="12F79283" w14:textId="77777777" w:rsidR="00BA2930" w:rsidRPr="00C63626" w:rsidRDefault="00BA2930" w:rsidP="002F310B">
      <w:pPr>
        <w:spacing w:before="200" w:after="120"/>
        <w:jc w:val="both"/>
        <w:rPr>
          <w:rFonts w:asciiTheme="majorBidi" w:hAnsiTheme="majorBidi" w:cstheme="majorBidi"/>
          <w:sz w:val="22"/>
          <w:szCs w:val="22"/>
          <w:lang w:val="en-US"/>
        </w:rPr>
      </w:pPr>
    </w:p>
    <w:p w14:paraId="3EBC64D6" w14:textId="77777777" w:rsidR="00BD5C7A" w:rsidRPr="00AE03A6" w:rsidRDefault="00BD5C7A" w:rsidP="002F310B">
      <w:pPr>
        <w:spacing w:before="200" w:after="120"/>
        <w:jc w:val="center"/>
        <w:rPr>
          <w:rFonts w:asciiTheme="majorBidi" w:hAnsiTheme="majorBidi" w:cstheme="majorBidi"/>
          <w:sz w:val="22"/>
          <w:szCs w:val="22"/>
          <w:lang w:val="en-US"/>
        </w:rPr>
      </w:pPr>
      <w:r w:rsidRPr="00AE03A6">
        <w:rPr>
          <w:rFonts w:asciiTheme="majorBidi" w:hAnsiTheme="majorBidi" w:cstheme="majorBidi"/>
          <w:noProof/>
          <w:sz w:val="22"/>
          <w:szCs w:val="22"/>
          <w:lang w:val="en-US"/>
        </w:rPr>
        <w:drawing>
          <wp:inline distT="0" distB="0" distL="0" distR="0" wp14:anchorId="4927EE14" wp14:editId="3420B7DC">
            <wp:extent cx="2420834" cy="1291714"/>
            <wp:effectExtent l="0" t="0" r="508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NDH transpara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8376" cy="1295738"/>
                    </a:xfrm>
                    <a:prstGeom prst="rect">
                      <a:avLst/>
                    </a:prstGeom>
                  </pic:spPr>
                </pic:pic>
              </a:graphicData>
            </a:graphic>
          </wp:inline>
        </w:drawing>
      </w:r>
    </w:p>
    <w:p w14:paraId="5C7536E3" w14:textId="77777777" w:rsidR="00BD5C7A" w:rsidRPr="00AE03A6" w:rsidRDefault="00BD5C7A" w:rsidP="002F310B">
      <w:pPr>
        <w:spacing w:before="200" w:after="120"/>
        <w:jc w:val="center"/>
        <w:rPr>
          <w:rFonts w:asciiTheme="majorBidi" w:hAnsiTheme="majorBidi" w:cstheme="majorBidi"/>
          <w:b/>
          <w:bCs/>
          <w:color w:val="000000" w:themeColor="text1"/>
          <w:sz w:val="22"/>
          <w:szCs w:val="22"/>
          <w:lang w:val="en-US"/>
        </w:rPr>
      </w:pPr>
    </w:p>
    <w:p w14:paraId="10A8861C" w14:textId="77777777" w:rsidR="00383183" w:rsidRPr="00AE03A6" w:rsidRDefault="00383183" w:rsidP="003A4F35">
      <w:pPr>
        <w:spacing w:before="200" w:after="120"/>
        <w:rPr>
          <w:rFonts w:asciiTheme="majorBidi" w:hAnsiTheme="majorBidi" w:cstheme="majorBidi"/>
          <w:b/>
          <w:bCs/>
          <w:color w:val="000000" w:themeColor="text1"/>
          <w:sz w:val="22"/>
          <w:szCs w:val="22"/>
          <w:lang w:val="en-US"/>
        </w:rPr>
      </w:pPr>
    </w:p>
    <w:p w14:paraId="6DCABEDA" w14:textId="77777777" w:rsidR="00383183" w:rsidRPr="00AE03A6" w:rsidRDefault="00383183" w:rsidP="002F310B">
      <w:pPr>
        <w:spacing w:before="200" w:after="120"/>
        <w:jc w:val="center"/>
        <w:rPr>
          <w:rFonts w:asciiTheme="majorBidi" w:hAnsiTheme="majorBidi" w:cstheme="majorBidi"/>
          <w:b/>
          <w:bCs/>
          <w:color w:val="000000" w:themeColor="text1"/>
          <w:sz w:val="22"/>
          <w:szCs w:val="22"/>
          <w:lang w:val="en-US"/>
        </w:rPr>
      </w:pPr>
    </w:p>
    <w:p w14:paraId="627416E0" w14:textId="77777777" w:rsidR="00383183" w:rsidRPr="00AE03A6" w:rsidRDefault="00383183" w:rsidP="002F310B">
      <w:pPr>
        <w:spacing w:before="200" w:after="120"/>
        <w:jc w:val="center"/>
        <w:rPr>
          <w:rFonts w:asciiTheme="majorBidi" w:hAnsiTheme="majorBidi" w:cstheme="majorBidi"/>
          <w:b/>
          <w:bCs/>
          <w:color w:val="000000" w:themeColor="text1"/>
          <w:sz w:val="22"/>
          <w:szCs w:val="22"/>
          <w:lang w:val="en-US"/>
        </w:rPr>
      </w:pPr>
    </w:p>
    <w:p w14:paraId="5F177E8B" w14:textId="16089620" w:rsidR="00BD5C7A" w:rsidRPr="00AE03A6" w:rsidRDefault="00BD5C7A" w:rsidP="007B00A8">
      <w:pPr>
        <w:spacing w:before="200" w:after="120"/>
        <w:jc w:val="center"/>
        <w:outlineLvl w:val="0"/>
        <w:rPr>
          <w:rFonts w:asciiTheme="majorBidi" w:hAnsiTheme="majorBidi" w:cstheme="majorBidi"/>
          <w:b/>
          <w:bCs/>
          <w:color w:val="000000" w:themeColor="text1"/>
          <w:sz w:val="44"/>
          <w:szCs w:val="44"/>
          <w:lang w:val="en-US"/>
        </w:rPr>
      </w:pPr>
      <w:r w:rsidRPr="00AE03A6">
        <w:rPr>
          <w:rFonts w:asciiTheme="majorBidi" w:hAnsiTheme="majorBidi" w:cstheme="majorBidi"/>
          <w:b/>
          <w:bCs/>
          <w:color w:val="000000" w:themeColor="text1"/>
          <w:sz w:val="44"/>
          <w:szCs w:val="44"/>
          <w:lang w:val="en-US"/>
        </w:rPr>
        <w:t>Report</w:t>
      </w:r>
    </w:p>
    <w:p w14:paraId="235E89FE" w14:textId="77777777" w:rsidR="00BD5C7A" w:rsidRPr="00AE03A6" w:rsidRDefault="00BD5C7A" w:rsidP="002F310B">
      <w:pPr>
        <w:spacing w:before="200" w:after="120"/>
        <w:jc w:val="center"/>
        <w:rPr>
          <w:rFonts w:asciiTheme="majorBidi" w:hAnsiTheme="majorBidi" w:cstheme="majorBidi"/>
          <w:b/>
          <w:bCs/>
          <w:color w:val="000000" w:themeColor="text1"/>
          <w:sz w:val="44"/>
          <w:szCs w:val="44"/>
          <w:lang w:val="en-US"/>
        </w:rPr>
      </w:pPr>
      <w:r w:rsidRPr="00AE03A6">
        <w:rPr>
          <w:rFonts w:asciiTheme="majorBidi" w:hAnsiTheme="majorBidi" w:cstheme="majorBidi"/>
          <w:b/>
          <w:bCs/>
          <w:color w:val="000000" w:themeColor="text1"/>
          <w:sz w:val="44"/>
          <w:szCs w:val="44"/>
          <w:lang w:val="en-US"/>
        </w:rPr>
        <w:t>of the National Human Rights Council of the Kingdom of Morocco</w:t>
      </w:r>
    </w:p>
    <w:p w14:paraId="7CE09389" w14:textId="77777777" w:rsidR="00BD5C7A" w:rsidRPr="00AE03A6" w:rsidRDefault="00BD5C7A" w:rsidP="002F310B">
      <w:pPr>
        <w:spacing w:before="200" w:after="120"/>
        <w:jc w:val="center"/>
        <w:rPr>
          <w:rFonts w:asciiTheme="majorBidi" w:hAnsiTheme="majorBidi" w:cstheme="majorBidi"/>
          <w:b/>
          <w:bCs/>
          <w:color w:val="000000" w:themeColor="text1"/>
          <w:sz w:val="44"/>
          <w:szCs w:val="44"/>
          <w:lang w:val="en-US"/>
        </w:rPr>
      </w:pPr>
      <w:r w:rsidRPr="00AE03A6">
        <w:rPr>
          <w:rFonts w:asciiTheme="majorBidi" w:hAnsiTheme="majorBidi" w:cstheme="majorBidi"/>
          <w:b/>
          <w:bCs/>
          <w:color w:val="000000" w:themeColor="text1"/>
          <w:sz w:val="44"/>
          <w:szCs w:val="44"/>
          <w:lang w:val="en-US"/>
        </w:rPr>
        <w:t>to</w:t>
      </w:r>
    </w:p>
    <w:p w14:paraId="4E88ECCC" w14:textId="66226E45" w:rsidR="00BD5C7A" w:rsidRPr="00AE03A6" w:rsidRDefault="00BD5C7A" w:rsidP="002F310B">
      <w:pPr>
        <w:spacing w:before="200" w:after="120"/>
        <w:jc w:val="center"/>
        <w:rPr>
          <w:rFonts w:asciiTheme="majorBidi" w:hAnsiTheme="majorBidi" w:cstheme="majorBidi"/>
          <w:b/>
          <w:bCs/>
          <w:color w:val="000000" w:themeColor="text1"/>
          <w:sz w:val="44"/>
          <w:szCs w:val="44"/>
          <w:lang w:val="en-US"/>
        </w:rPr>
      </w:pPr>
      <w:r w:rsidRPr="00AE03A6">
        <w:rPr>
          <w:rFonts w:asciiTheme="majorBidi" w:hAnsiTheme="majorBidi" w:cstheme="majorBidi"/>
          <w:b/>
          <w:bCs/>
          <w:color w:val="000000" w:themeColor="text1"/>
          <w:sz w:val="44"/>
          <w:szCs w:val="44"/>
          <w:lang w:val="en-US"/>
        </w:rPr>
        <w:t xml:space="preserve">The </w:t>
      </w:r>
      <w:r w:rsidR="00BF3175" w:rsidRPr="00AE03A6">
        <w:rPr>
          <w:rFonts w:asciiTheme="majorBidi" w:hAnsiTheme="majorBidi" w:cstheme="majorBidi"/>
          <w:b/>
          <w:bCs/>
          <w:color w:val="000000" w:themeColor="text1"/>
          <w:sz w:val="44"/>
          <w:szCs w:val="44"/>
          <w:lang w:val="en-US"/>
        </w:rPr>
        <w:t xml:space="preserve">UN </w:t>
      </w:r>
      <w:r w:rsidRPr="00AE03A6">
        <w:rPr>
          <w:rFonts w:asciiTheme="majorBidi" w:hAnsiTheme="majorBidi" w:cstheme="majorBidi"/>
          <w:b/>
          <w:bCs/>
          <w:color w:val="000000" w:themeColor="text1"/>
          <w:sz w:val="44"/>
          <w:szCs w:val="44"/>
          <w:lang w:val="en-US"/>
        </w:rPr>
        <w:t>Human Rights Committee</w:t>
      </w:r>
    </w:p>
    <w:p w14:paraId="75F13C07" w14:textId="77777777" w:rsidR="00BD5C7A" w:rsidRPr="00AE03A6" w:rsidRDefault="00BD5C7A" w:rsidP="002F310B">
      <w:pPr>
        <w:spacing w:before="200" w:after="120"/>
        <w:jc w:val="center"/>
        <w:rPr>
          <w:rFonts w:asciiTheme="majorBidi" w:hAnsiTheme="majorBidi" w:cstheme="majorBidi"/>
          <w:color w:val="000000" w:themeColor="text1"/>
          <w:sz w:val="22"/>
          <w:szCs w:val="22"/>
          <w:lang w:val="en-US"/>
        </w:rPr>
      </w:pPr>
    </w:p>
    <w:p w14:paraId="4298C44A" w14:textId="77777777" w:rsidR="00715AE4" w:rsidRPr="00AE03A6" w:rsidRDefault="00715AE4" w:rsidP="002F310B">
      <w:pPr>
        <w:spacing w:before="200" w:after="120"/>
        <w:jc w:val="center"/>
        <w:rPr>
          <w:rFonts w:asciiTheme="majorBidi" w:hAnsiTheme="majorBidi" w:cstheme="majorBidi"/>
          <w:color w:val="000000" w:themeColor="text1"/>
          <w:sz w:val="22"/>
          <w:szCs w:val="22"/>
          <w:lang w:val="en-US"/>
        </w:rPr>
      </w:pPr>
    </w:p>
    <w:p w14:paraId="706B0323" w14:textId="77777777" w:rsidR="003A4F35" w:rsidRPr="00AE03A6" w:rsidRDefault="003A4F35" w:rsidP="002F310B">
      <w:pPr>
        <w:spacing w:before="200" w:after="120"/>
        <w:jc w:val="center"/>
        <w:rPr>
          <w:rFonts w:asciiTheme="majorBidi" w:hAnsiTheme="majorBidi" w:cstheme="majorBidi"/>
          <w:color w:val="000000" w:themeColor="text1"/>
          <w:sz w:val="22"/>
          <w:szCs w:val="22"/>
          <w:lang w:val="en-US"/>
        </w:rPr>
      </w:pPr>
    </w:p>
    <w:p w14:paraId="0C1F76A2" w14:textId="77777777" w:rsidR="003A4F35" w:rsidRPr="00AE03A6" w:rsidRDefault="003A4F35" w:rsidP="003A4F35">
      <w:pPr>
        <w:spacing w:before="200" w:after="120"/>
        <w:ind w:left="360"/>
        <w:jc w:val="center"/>
        <w:rPr>
          <w:rFonts w:asciiTheme="majorBidi" w:hAnsiTheme="majorBidi" w:cstheme="majorBidi"/>
          <w:i/>
          <w:iCs/>
          <w:color w:val="000000" w:themeColor="text1"/>
          <w:sz w:val="22"/>
          <w:szCs w:val="22"/>
          <w:lang w:val="en-US"/>
        </w:rPr>
      </w:pPr>
    </w:p>
    <w:p w14:paraId="3C732BD4" w14:textId="77777777" w:rsidR="003A4F35" w:rsidRPr="00AE03A6" w:rsidRDefault="003A4F35" w:rsidP="003A4F35">
      <w:pPr>
        <w:spacing w:before="200" w:after="120"/>
        <w:ind w:left="360"/>
        <w:jc w:val="center"/>
        <w:rPr>
          <w:rFonts w:asciiTheme="majorBidi" w:hAnsiTheme="majorBidi" w:cstheme="majorBidi"/>
          <w:i/>
          <w:iCs/>
          <w:color w:val="000000" w:themeColor="text1"/>
          <w:sz w:val="22"/>
          <w:szCs w:val="22"/>
          <w:lang w:val="en-US"/>
        </w:rPr>
      </w:pPr>
    </w:p>
    <w:p w14:paraId="7E16FBE7" w14:textId="2E16D196" w:rsidR="00715AE4" w:rsidRPr="00AE03A6" w:rsidRDefault="00BD5C7A" w:rsidP="007B00A8">
      <w:pPr>
        <w:spacing w:before="200" w:after="120"/>
        <w:ind w:left="360"/>
        <w:jc w:val="center"/>
        <w:outlineLvl w:val="0"/>
        <w:rPr>
          <w:rFonts w:asciiTheme="majorBidi" w:hAnsiTheme="majorBidi" w:cstheme="majorBidi"/>
          <w:i/>
          <w:iCs/>
          <w:color w:val="000000" w:themeColor="text1"/>
          <w:sz w:val="22"/>
          <w:szCs w:val="22"/>
          <w:lang w:val="en-US"/>
        </w:rPr>
      </w:pPr>
      <w:r w:rsidRPr="00AE03A6">
        <w:rPr>
          <w:rFonts w:asciiTheme="majorBidi" w:hAnsiTheme="majorBidi" w:cstheme="majorBidi"/>
          <w:i/>
          <w:iCs/>
          <w:color w:val="000000" w:themeColor="text1"/>
          <w:sz w:val="22"/>
          <w:szCs w:val="22"/>
          <w:lang w:val="en-US"/>
        </w:rPr>
        <w:t xml:space="preserve">Input regarding List of Issues </w:t>
      </w:r>
    </w:p>
    <w:p w14:paraId="52CAD00B" w14:textId="77777777" w:rsidR="00BD5C7A" w:rsidRPr="00AE03A6" w:rsidRDefault="00BD5C7A" w:rsidP="002F310B">
      <w:pPr>
        <w:spacing w:before="200" w:after="120"/>
        <w:ind w:left="360"/>
        <w:jc w:val="center"/>
        <w:rPr>
          <w:rFonts w:asciiTheme="majorBidi" w:hAnsiTheme="majorBidi" w:cstheme="majorBidi"/>
          <w:i/>
          <w:iCs/>
          <w:color w:val="000000" w:themeColor="text1"/>
          <w:sz w:val="22"/>
          <w:szCs w:val="22"/>
          <w:lang w:val="en-US"/>
        </w:rPr>
      </w:pPr>
      <w:r w:rsidRPr="00AE03A6">
        <w:rPr>
          <w:rFonts w:asciiTheme="majorBidi" w:hAnsiTheme="majorBidi" w:cstheme="majorBidi"/>
          <w:i/>
          <w:iCs/>
          <w:color w:val="000000" w:themeColor="text1"/>
          <w:sz w:val="22"/>
          <w:szCs w:val="22"/>
          <w:lang w:val="en-US"/>
        </w:rPr>
        <w:t xml:space="preserve">May 2025 </w:t>
      </w:r>
    </w:p>
    <w:p w14:paraId="02605EB2" w14:textId="77777777" w:rsidR="00715AE4" w:rsidRPr="00AE03A6" w:rsidRDefault="00715AE4" w:rsidP="002F310B">
      <w:pPr>
        <w:spacing w:before="200" w:after="120"/>
        <w:jc w:val="both"/>
        <w:rPr>
          <w:rFonts w:asciiTheme="majorBidi" w:hAnsiTheme="majorBidi" w:cstheme="majorBidi"/>
          <w:b/>
          <w:bCs/>
          <w:color w:val="000000" w:themeColor="text1"/>
          <w:sz w:val="22"/>
          <w:szCs w:val="22"/>
          <w:lang w:val="en-US"/>
        </w:rPr>
      </w:pPr>
    </w:p>
    <w:p w14:paraId="461D80E5" w14:textId="77777777" w:rsidR="00715AE4" w:rsidRPr="00AE03A6" w:rsidRDefault="00715AE4" w:rsidP="002F310B">
      <w:pPr>
        <w:spacing w:before="200" w:after="120"/>
        <w:jc w:val="both"/>
        <w:rPr>
          <w:rFonts w:asciiTheme="majorBidi" w:hAnsiTheme="majorBidi" w:cstheme="majorBidi"/>
          <w:b/>
          <w:bCs/>
          <w:color w:val="000000" w:themeColor="text1"/>
          <w:sz w:val="22"/>
          <w:szCs w:val="22"/>
          <w:lang w:val="en-US"/>
        </w:rPr>
      </w:pPr>
    </w:p>
    <w:p w14:paraId="74E6ADCD" w14:textId="77777777" w:rsidR="00715AE4" w:rsidRPr="00AE03A6" w:rsidRDefault="00715AE4" w:rsidP="002F310B">
      <w:pPr>
        <w:spacing w:before="200" w:after="120"/>
        <w:jc w:val="both"/>
        <w:rPr>
          <w:rFonts w:asciiTheme="majorBidi" w:hAnsiTheme="majorBidi" w:cstheme="majorBidi"/>
          <w:b/>
          <w:bCs/>
          <w:color w:val="000000" w:themeColor="text1"/>
          <w:sz w:val="22"/>
          <w:szCs w:val="22"/>
          <w:lang w:val="en-US"/>
        </w:rPr>
      </w:pPr>
    </w:p>
    <w:p w14:paraId="169CF033" w14:textId="77777777" w:rsidR="003A4F35" w:rsidRPr="00AE03A6" w:rsidRDefault="003A4F35">
      <w:pPr>
        <w:rPr>
          <w:rFonts w:asciiTheme="majorBidi" w:hAnsiTheme="majorBidi" w:cstheme="majorBidi"/>
          <w:b/>
          <w:bCs/>
          <w:color w:val="000000" w:themeColor="text1"/>
          <w:sz w:val="22"/>
          <w:szCs w:val="22"/>
          <w:lang w:val="en-US"/>
        </w:rPr>
      </w:pPr>
      <w:r w:rsidRPr="00AE03A6">
        <w:rPr>
          <w:rFonts w:asciiTheme="majorBidi" w:hAnsiTheme="majorBidi" w:cstheme="majorBidi"/>
          <w:b/>
          <w:bCs/>
          <w:color w:val="000000" w:themeColor="text1"/>
          <w:lang w:val="en-US"/>
        </w:rPr>
        <w:br w:type="page"/>
      </w:r>
    </w:p>
    <w:p w14:paraId="6F96A072" w14:textId="6CB5D443" w:rsidR="00BD5C7A" w:rsidRPr="00AE03A6" w:rsidRDefault="00715AE4" w:rsidP="00325765">
      <w:pPr>
        <w:pStyle w:val="Paragraphedeliste"/>
        <w:numPr>
          <w:ilvl w:val="0"/>
          <w:numId w:val="30"/>
        </w:numPr>
        <w:spacing w:before="200" w:after="120"/>
        <w:jc w:val="both"/>
        <w:rPr>
          <w:rFonts w:asciiTheme="majorBidi" w:hAnsiTheme="majorBidi" w:cstheme="majorBidi"/>
          <w:b/>
          <w:bCs/>
          <w:color w:val="000000" w:themeColor="text1"/>
          <w:lang w:val="en-US"/>
        </w:rPr>
      </w:pPr>
      <w:r w:rsidRPr="00AE03A6">
        <w:rPr>
          <w:rFonts w:asciiTheme="majorBidi" w:hAnsiTheme="majorBidi" w:cstheme="majorBidi"/>
          <w:b/>
          <w:bCs/>
          <w:color w:val="000000" w:themeColor="text1"/>
          <w:lang w:val="en-US"/>
        </w:rPr>
        <w:lastRenderedPageBreak/>
        <w:t xml:space="preserve">Introduction </w:t>
      </w:r>
    </w:p>
    <w:p w14:paraId="00962AAE" w14:textId="74987920" w:rsidR="00473608" w:rsidRPr="00AE03A6" w:rsidRDefault="00BD5C7A" w:rsidP="00BF3175">
      <w:pPr>
        <w:pStyle w:val="Paragraphedeliste"/>
        <w:numPr>
          <w:ilvl w:val="0"/>
          <w:numId w:val="3"/>
        </w:numPr>
        <w:spacing w:before="200" w:after="120" w:line="240" w:lineRule="auto"/>
        <w:ind w:left="360"/>
        <w:contextualSpacing w:val="0"/>
        <w:jc w:val="both"/>
        <w:rPr>
          <w:rFonts w:asciiTheme="majorBidi" w:hAnsiTheme="majorBidi" w:cstheme="majorBidi"/>
          <w:color w:val="000000" w:themeColor="text1"/>
          <w:lang w:val="en-US"/>
        </w:rPr>
      </w:pPr>
      <w:r w:rsidRPr="00AE03A6">
        <w:rPr>
          <w:rFonts w:asciiTheme="majorBidi" w:hAnsiTheme="majorBidi" w:cstheme="majorBidi"/>
          <w:color w:val="000000" w:themeColor="text1"/>
          <w:lang w:val="en-US"/>
        </w:rPr>
        <w:t xml:space="preserve">The National Human Rights Council of Morocco (CNDH) is a constitutional institution for the promotion and protection of human rights. It was established in 1990 and has been accredited to “A” status since 1999, testifying to its full compliance with the Paris Principles of 1993. The CNDH has 12 Regional Human Rights Commissions (CRDH), which </w:t>
      </w:r>
      <w:r w:rsidR="008F1CA2" w:rsidRPr="00AE03A6">
        <w:rPr>
          <w:rFonts w:asciiTheme="majorBidi" w:hAnsiTheme="majorBidi" w:cstheme="majorBidi"/>
          <w:color w:val="000000" w:themeColor="text1"/>
          <w:lang w:val="en-US"/>
        </w:rPr>
        <w:t>work on</w:t>
      </w:r>
      <w:r w:rsidRPr="00AE03A6">
        <w:rPr>
          <w:rFonts w:asciiTheme="majorBidi" w:hAnsiTheme="majorBidi" w:cstheme="majorBidi"/>
          <w:color w:val="000000" w:themeColor="text1"/>
          <w:lang w:val="en-US"/>
        </w:rPr>
        <w:t xml:space="preserve"> the entire n</w:t>
      </w:r>
      <w:r w:rsidR="00E67199" w:rsidRPr="00AE03A6">
        <w:rPr>
          <w:rFonts w:asciiTheme="majorBidi" w:hAnsiTheme="majorBidi" w:cstheme="majorBidi"/>
          <w:color w:val="000000" w:themeColor="text1"/>
          <w:lang w:val="en-US"/>
        </w:rPr>
        <w:t>ational territory. CRDH</w:t>
      </w:r>
      <w:r w:rsidR="00BF3175" w:rsidRPr="00AE03A6">
        <w:rPr>
          <w:rFonts w:asciiTheme="majorBidi" w:hAnsiTheme="majorBidi" w:cstheme="majorBidi"/>
          <w:color w:val="000000" w:themeColor="text1"/>
          <w:lang w:val="en-US"/>
        </w:rPr>
        <w:t>s</w:t>
      </w:r>
      <w:r w:rsidR="00E67199" w:rsidRPr="00AE03A6">
        <w:rPr>
          <w:rFonts w:asciiTheme="majorBidi" w:hAnsiTheme="majorBidi" w:cstheme="majorBidi"/>
          <w:color w:val="000000" w:themeColor="text1"/>
          <w:lang w:val="en-US"/>
        </w:rPr>
        <w:t xml:space="preserve"> are</w:t>
      </w:r>
      <w:r w:rsidRPr="00AE03A6">
        <w:rPr>
          <w:rFonts w:asciiTheme="majorBidi" w:hAnsiTheme="majorBidi" w:cstheme="majorBidi"/>
          <w:color w:val="000000" w:themeColor="text1"/>
          <w:lang w:val="en-US"/>
        </w:rPr>
        <w:t xml:space="preserve"> </w:t>
      </w:r>
      <w:r w:rsidR="00BF3175" w:rsidRPr="00AE03A6">
        <w:rPr>
          <w:rFonts w:asciiTheme="majorBidi" w:hAnsiTheme="majorBidi" w:cstheme="majorBidi"/>
          <w:color w:val="000000" w:themeColor="text1"/>
          <w:lang w:val="en-US"/>
        </w:rPr>
        <w:t xml:space="preserve">mainly </w:t>
      </w:r>
      <w:r w:rsidRPr="00AE03A6">
        <w:rPr>
          <w:rFonts w:asciiTheme="majorBidi" w:hAnsiTheme="majorBidi" w:cstheme="majorBidi"/>
          <w:color w:val="000000" w:themeColor="text1"/>
          <w:lang w:val="en-US"/>
        </w:rPr>
        <w:t>composed of civil society representatives and local human rights defenders. These commissions are those of Rabat-</w:t>
      </w:r>
      <w:proofErr w:type="spellStart"/>
      <w:r w:rsidRPr="00AE03A6">
        <w:rPr>
          <w:rFonts w:asciiTheme="majorBidi" w:hAnsiTheme="majorBidi" w:cstheme="majorBidi"/>
          <w:color w:val="000000" w:themeColor="text1"/>
          <w:lang w:val="en-US"/>
        </w:rPr>
        <w:t>Salé</w:t>
      </w:r>
      <w:proofErr w:type="spellEnd"/>
      <w:r w:rsidRPr="00AE03A6">
        <w:rPr>
          <w:rFonts w:asciiTheme="majorBidi" w:hAnsiTheme="majorBidi" w:cstheme="majorBidi"/>
          <w:color w:val="000000" w:themeColor="text1"/>
          <w:lang w:val="en-US"/>
        </w:rPr>
        <w:t>-</w:t>
      </w:r>
      <w:proofErr w:type="spellStart"/>
      <w:r w:rsidRPr="00AE03A6">
        <w:rPr>
          <w:rFonts w:asciiTheme="majorBidi" w:hAnsiTheme="majorBidi" w:cstheme="majorBidi"/>
          <w:color w:val="000000" w:themeColor="text1"/>
          <w:lang w:val="en-US"/>
        </w:rPr>
        <w:t>Kenitra</w:t>
      </w:r>
      <w:proofErr w:type="spellEnd"/>
      <w:r w:rsidRPr="00AE03A6">
        <w:rPr>
          <w:rFonts w:asciiTheme="majorBidi" w:hAnsiTheme="majorBidi" w:cstheme="majorBidi"/>
          <w:color w:val="000000" w:themeColor="text1"/>
          <w:lang w:val="en-US"/>
        </w:rPr>
        <w:t>, Fez-Meknes, Marrakech-Safi, Casablanca-</w:t>
      </w:r>
      <w:proofErr w:type="spellStart"/>
      <w:r w:rsidRPr="00AE03A6">
        <w:rPr>
          <w:rFonts w:asciiTheme="majorBidi" w:hAnsiTheme="majorBidi" w:cstheme="majorBidi"/>
          <w:color w:val="000000" w:themeColor="text1"/>
          <w:lang w:val="en-US"/>
        </w:rPr>
        <w:t>Settat</w:t>
      </w:r>
      <w:proofErr w:type="spellEnd"/>
      <w:r w:rsidRPr="00AE03A6">
        <w:rPr>
          <w:rFonts w:asciiTheme="majorBidi" w:hAnsiTheme="majorBidi" w:cstheme="majorBidi"/>
          <w:color w:val="000000" w:themeColor="text1"/>
          <w:lang w:val="en-US"/>
        </w:rPr>
        <w:t xml:space="preserve">, </w:t>
      </w:r>
      <w:proofErr w:type="spellStart"/>
      <w:r w:rsidRPr="00AE03A6">
        <w:rPr>
          <w:rFonts w:asciiTheme="majorBidi" w:hAnsiTheme="majorBidi" w:cstheme="majorBidi"/>
          <w:color w:val="000000" w:themeColor="text1"/>
          <w:lang w:val="en-US"/>
        </w:rPr>
        <w:t>Draa-Tafilalet</w:t>
      </w:r>
      <w:proofErr w:type="spellEnd"/>
      <w:r w:rsidRPr="00AE03A6">
        <w:rPr>
          <w:rFonts w:asciiTheme="majorBidi" w:hAnsiTheme="majorBidi" w:cstheme="majorBidi"/>
          <w:color w:val="000000" w:themeColor="text1"/>
          <w:lang w:val="en-US"/>
        </w:rPr>
        <w:t xml:space="preserve">, Oriental, Beni </w:t>
      </w:r>
      <w:proofErr w:type="spellStart"/>
      <w:r w:rsidRPr="00AE03A6">
        <w:rPr>
          <w:rFonts w:asciiTheme="majorBidi" w:hAnsiTheme="majorBidi" w:cstheme="majorBidi"/>
          <w:color w:val="000000" w:themeColor="text1"/>
          <w:lang w:val="en-US"/>
        </w:rPr>
        <w:t>Mellal-Khenifra</w:t>
      </w:r>
      <w:proofErr w:type="spellEnd"/>
      <w:r w:rsidRPr="00AE03A6">
        <w:rPr>
          <w:rFonts w:asciiTheme="majorBidi" w:hAnsiTheme="majorBidi" w:cstheme="majorBidi"/>
          <w:color w:val="000000" w:themeColor="text1"/>
          <w:lang w:val="en-US"/>
        </w:rPr>
        <w:t>, Tangier-</w:t>
      </w:r>
      <w:proofErr w:type="spellStart"/>
      <w:r w:rsidRPr="00AE03A6">
        <w:rPr>
          <w:rFonts w:asciiTheme="majorBidi" w:hAnsiTheme="majorBidi" w:cstheme="majorBidi"/>
          <w:color w:val="000000" w:themeColor="text1"/>
          <w:lang w:val="en-US"/>
        </w:rPr>
        <w:t>Tetouan</w:t>
      </w:r>
      <w:proofErr w:type="spellEnd"/>
      <w:r w:rsidRPr="00AE03A6">
        <w:rPr>
          <w:rFonts w:asciiTheme="majorBidi" w:hAnsiTheme="majorBidi" w:cstheme="majorBidi"/>
          <w:color w:val="000000" w:themeColor="text1"/>
          <w:lang w:val="en-US"/>
        </w:rPr>
        <w:t xml:space="preserve">-Al </w:t>
      </w:r>
      <w:proofErr w:type="spellStart"/>
      <w:r w:rsidRPr="00AE03A6">
        <w:rPr>
          <w:rFonts w:asciiTheme="majorBidi" w:hAnsiTheme="majorBidi" w:cstheme="majorBidi"/>
          <w:color w:val="000000" w:themeColor="text1"/>
          <w:lang w:val="en-US"/>
        </w:rPr>
        <w:t>Hoceima</w:t>
      </w:r>
      <w:proofErr w:type="spellEnd"/>
      <w:r w:rsidRPr="00AE03A6">
        <w:rPr>
          <w:rFonts w:asciiTheme="majorBidi" w:hAnsiTheme="majorBidi" w:cstheme="majorBidi"/>
          <w:color w:val="000000" w:themeColor="text1"/>
          <w:lang w:val="en-US"/>
        </w:rPr>
        <w:t xml:space="preserve">, </w:t>
      </w:r>
      <w:proofErr w:type="spellStart"/>
      <w:r w:rsidRPr="00AE03A6">
        <w:rPr>
          <w:rFonts w:asciiTheme="majorBidi" w:hAnsiTheme="majorBidi" w:cstheme="majorBidi"/>
          <w:color w:val="000000" w:themeColor="text1"/>
          <w:lang w:val="en-US"/>
        </w:rPr>
        <w:t>Guelmim</w:t>
      </w:r>
      <w:proofErr w:type="spellEnd"/>
      <w:r w:rsidRPr="00AE03A6">
        <w:rPr>
          <w:rFonts w:asciiTheme="majorBidi" w:hAnsiTheme="majorBidi" w:cstheme="majorBidi"/>
          <w:color w:val="000000" w:themeColor="text1"/>
          <w:lang w:val="en-US"/>
        </w:rPr>
        <w:t xml:space="preserve">-Oued Noun, </w:t>
      </w:r>
      <w:proofErr w:type="spellStart"/>
      <w:r w:rsidRPr="00AE03A6">
        <w:rPr>
          <w:rFonts w:asciiTheme="majorBidi" w:hAnsiTheme="majorBidi" w:cstheme="majorBidi"/>
          <w:color w:val="000000" w:themeColor="text1"/>
          <w:lang w:val="en-US"/>
        </w:rPr>
        <w:t>Souss</w:t>
      </w:r>
      <w:proofErr w:type="spellEnd"/>
      <w:r w:rsidRPr="00AE03A6">
        <w:rPr>
          <w:rFonts w:asciiTheme="majorBidi" w:hAnsiTheme="majorBidi" w:cstheme="majorBidi"/>
          <w:color w:val="000000" w:themeColor="text1"/>
          <w:lang w:val="en-US"/>
        </w:rPr>
        <w:t>-Massa, Laayoune-</w:t>
      </w:r>
      <w:proofErr w:type="spellStart"/>
      <w:r w:rsidRPr="00AE03A6">
        <w:rPr>
          <w:rFonts w:asciiTheme="majorBidi" w:hAnsiTheme="majorBidi" w:cstheme="majorBidi"/>
          <w:color w:val="000000" w:themeColor="text1"/>
          <w:lang w:val="en-US"/>
        </w:rPr>
        <w:t>Sakia</w:t>
      </w:r>
      <w:proofErr w:type="spellEnd"/>
      <w:r w:rsidRPr="00AE03A6">
        <w:rPr>
          <w:rFonts w:asciiTheme="majorBidi" w:hAnsiTheme="majorBidi" w:cstheme="majorBidi"/>
          <w:color w:val="000000" w:themeColor="text1"/>
          <w:lang w:val="en-US"/>
        </w:rPr>
        <w:t xml:space="preserve"> El </w:t>
      </w:r>
      <w:proofErr w:type="spellStart"/>
      <w:r w:rsidRPr="00AE03A6">
        <w:rPr>
          <w:rFonts w:asciiTheme="majorBidi" w:hAnsiTheme="majorBidi" w:cstheme="majorBidi"/>
          <w:color w:val="000000" w:themeColor="text1"/>
          <w:lang w:val="en-US"/>
        </w:rPr>
        <w:t>Hamra</w:t>
      </w:r>
      <w:proofErr w:type="spellEnd"/>
      <w:r w:rsidRPr="00AE03A6">
        <w:rPr>
          <w:rFonts w:asciiTheme="majorBidi" w:hAnsiTheme="majorBidi" w:cstheme="majorBidi"/>
          <w:color w:val="000000" w:themeColor="text1"/>
          <w:lang w:val="en-US"/>
        </w:rPr>
        <w:t xml:space="preserve"> and </w:t>
      </w:r>
      <w:proofErr w:type="spellStart"/>
      <w:r w:rsidRPr="00AE03A6">
        <w:rPr>
          <w:rFonts w:asciiTheme="majorBidi" w:hAnsiTheme="majorBidi" w:cstheme="majorBidi"/>
          <w:color w:val="000000" w:themeColor="text1"/>
          <w:lang w:val="en-US"/>
        </w:rPr>
        <w:t>Dakhla</w:t>
      </w:r>
      <w:proofErr w:type="spellEnd"/>
      <w:r w:rsidRPr="00AE03A6">
        <w:rPr>
          <w:rFonts w:asciiTheme="majorBidi" w:hAnsiTheme="majorBidi" w:cstheme="majorBidi"/>
          <w:color w:val="000000" w:themeColor="text1"/>
          <w:lang w:val="en-US"/>
        </w:rPr>
        <w:t xml:space="preserve">-Oued </w:t>
      </w:r>
      <w:proofErr w:type="spellStart"/>
      <w:r w:rsidRPr="00AE03A6">
        <w:rPr>
          <w:rFonts w:asciiTheme="majorBidi" w:hAnsiTheme="majorBidi" w:cstheme="majorBidi"/>
          <w:color w:val="000000" w:themeColor="text1"/>
          <w:lang w:val="en-US"/>
        </w:rPr>
        <w:t>Eddahab</w:t>
      </w:r>
      <w:proofErr w:type="spellEnd"/>
      <w:r w:rsidRPr="00AE03A6">
        <w:rPr>
          <w:rFonts w:asciiTheme="majorBidi" w:hAnsiTheme="majorBidi" w:cstheme="majorBidi"/>
          <w:color w:val="000000" w:themeColor="text1"/>
          <w:lang w:val="en-US"/>
        </w:rPr>
        <w:t xml:space="preserve">. </w:t>
      </w:r>
    </w:p>
    <w:p w14:paraId="6416C7C3" w14:textId="6A75D80C" w:rsidR="009D5DC6" w:rsidRPr="00AE03A6" w:rsidRDefault="00473608" w:rsidP="00BF3175">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 xml:space="preserve">Since its reform in 2018, the CNDH has systematically prepared and published </w:t>
      </w:r>
      <w:r w:rsidR="00052D8A" w:rsidRPr="00AE03A6">
        <w:rPr>
          <w:rFonts w:asciiTheme="majorBidi" w:hAnsiTheme="majorBidi" w:cstheme="majorBidi"/>
          <w:color w:val="000000"/>
          <w:lang w:val="en-US"/>
        </w:rPr>
        <w:t xml:space="preserve">5 </w:t>
      </w:r>
      <w:r w:rsidRPr="00AE03A6">
        <w:rPr>
          <w:rFonts w:asciiTheme="majorBidi" w:hAnsiTheme="majorBidi" w:cstheme="majorBidi"/>
          <w:color w:val="000000"/>
          <w:lang w:val="en-US"/>
        </w:rPr>
        <w:t>annual reports on the situation of human rights in Morocco</w:t>
      </w:r>
      <w:r w:rsidRPr="00AE03A6">
        <w:rPr>
          <w:rFonts w:asciiTheme="majorBidi" w:hAnsiTheme="majorBidi" w:cstheme="majorBidi"/>
          <w:vertAlign w:val="superscript"/>
          <w:lang w:val="en-US"/>
        </w:rPr>
        <w:footnoteReference w:id="1"/>
      </w:r>
      <w:r w:rsidRPr="00AE03A6">
        <w:rPr>
          <w:rFonts w:asciiTheme="majorBidi" w:hAnsiTheme="majorBidi" w:cstheme="majorBidi"/>
          <w:color w:val="000000"/>
          <w:lang w:val="en-US"/>
        </w:rPr>
        <w:t>. In these reports, the CNDH reviews the progress made, identify the remaining challenges and makes specific and structuring recommendations</w:t>
      </w:r>
      <w:r w:rsidR="00EC04EA" w:rsidRPr="00AE03A6">
        <w:rPr>
          <w:rFonts w:asciiTheme="majorBidi" w:hAnsiTheme="majorBidi" w:cstheme="majorBidi"/>
          <w:color w:val="000000"/>
          <w:lang w:val="en-US"/>
        </w:rPr>
        <w:t>, touching</w:t>
      </w:r>
      <w:r w:rsidR="00BF3175" w:rsidRPr="00AE03A6">
        <w:rPr>
          <w:rFonts w:asciiTheme="majorBidi" w:hAnsiTheme="majorBidi" w:cstheme="majorBidi"/>
          <w:color w:val="000000"/>
          <w:lang w:val="en-US"/>
        </w:rPr>
        <w:t>,</w:t>
      </w:r>
      <w:r w:rsidR="00EC04EA" w:rsidRPr="00AE03A6">
        <w:rPr>
          <w:rFonts w:asciiTheme="majorBidi" w:hAnsiTheme="majorBidi" w:cstheme="majorBidi"/>
          <w:color w:val="000000"/>
          <w:lang w:val="en-US"/>
        </w:rPr>
        <w:t xml:space="preserve"> </w:t>
      </w:r>
      <w:r w:rsidR="00BF3175" w:rsidRPr="00AE03A6">
        <w:rPr>
          <w:rFonts w:asciiTheme="majorBidi" w:hAnsiTheme="majorBidi" w:cstheme="majorBidi"/>
          <w:color w:val="000000"/>
          <w:lang w:val="en-US"/>
        </w:rPr>
        <w:t xml:space="preserve">inter alia, </w:t>
      </w:r>
      <w:r w:rsidR="00EC04EA" w:rsidRPr="00AE03A6">
        <w:rPr>
          <w:rFonts w:asciiTheme="majorBidi" w:hAnsiTheme="majorBidi" w:cstheme="majorBidi"/>
          <w:color w:val="000000"/>
          <w:lang w:val="en-US"/>
        </w:rPr>
        <w:t xml:space="preserve">on </w:t>
      </w:r>
      <w:r w:rsidRPr="00AE03A6">
        <w:rPr>
          <w:rFonts w:asciiTheme="majorBidi" w:hAnsiTheme="majorBidi" w:cstheme="majorBidi"/>
          <w:color w:val="000000"/>
          <w:lang w:val="en-US"/>
        </w:rPr>
        <w:t xml:space="preserve">the implementation of </w:t>
      </w:r>
      <w:r w:rsidR="00EC04EA" w:rsidRPr="00AE03A6">
        <w:rPr>
          <w:rFonts w:asciiTheme="majorBidi" w:hAnsiTheme="majorBidi" w:cstheme="majorBidi"/>
          <w:color w:val="000000"/>
          <w:lang w:val="en-US"/>
        </w:rPr>
        <w:t>c</w:t>
      </w:r>
      <w:r w:rsidRPr="00AE03A6">
        <w:rPr>
          <w:rFonts w:asciiTheme="majorBidi" w:hAnsiTheme="majorBidi" w:cstheme="majorBidi"/>
          <w:color w:val="000000"/>
          <w:lang w:val="en-US"/>
        </w:rPr>
        <w:t>ivil and political rights</w:t>
      </w:r>
      <w:r w:rsidR="00052D8A" w:rsidRPr="00AE03A6">
        <w:rPr>
          <w:rFonts w:asciiTheme="majorBidi" w:hAnsiTheme="majorBidi" w:cstheme="majorBidi"/>
          <w:color w:val="000000"/>
          <w:lang w:val="en-US"/>
        </w:rPr>
        <w:t>.</w:t>
      </w:r>
      <w:r w:rsidR="009D5DC6" w:rsidRPr="00AE03A6">
        <w:rPr>
          <w:rFonts w:asciiTheme="majorBidi" w:hAnsiTheme="majorBidi" w:cstheme="majorBidi"/>
          <w:color w:val="000000"/>
          <w:lang w:val="en-US"/>
        </w:rPr>
        <w:t xml:space="preserve"> </w:t>
      </w:r>
    </w:p>
    <w:p w14:paraId="58FA6F79" w14:textId="77777777" w:rsidR="009D5DC6" w:rsidRPr="00AE03A6" w:rsidRDefault="00473608" w:rsidP="00EC04EA">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The CNDH has a quasi-judicial mandate to handle complaints either at its own initiative or upon complaints it receives. The CNDH and its national preventive mechanism carry out visits to places of detention and monitors the conditions of detainees and their treatment, including penitentiary institutions, child protection centers, social protection establishments, and psychiatric hospitals</w:t>
      </w:r>
      <w:r w:rsidRPr="00AE03A6">
        <w:rPr>
          <w:rStyle w:val="Appelnotedebasdep"/>
          <w:rFonts w:asciiTheme="majorBidi" w:hAnsiTheme="majorBidi" w:cstheme="majorBidi"/>
          <w:color w:val="000000"/>
          <w:lang w:val="en-US"/>
        </w:rPr>
        <w:footnoteReference w:id="2"/>
      </w:r>
      <w:r w:rsidRPr="00AE03A6">
        <w:rPr>
          <w:rFonts w:asciiTheme="majorBidi" w:hAnsiTheme="majorBidi" w:cstheme="majorBidi"/>
          <w:color w:val="000000"/>
          <w:lang w:val="en-US"/>
        </w:rPr>
        <w:t>. These visits included also thematic visits on specific issues, such as</w:t>
      </w:r>
      <w:r w:rsidR="00EC04EA" w:rsidRPr="00AE03A6">
        <w:rPr>
          <w:rFonts w:asciiTheme="majorBidi" w:hAnsiTheme="majorBidi" w:cstheme="majorBidi"/>
          <w:color w:val="000000"/>
          <w:lang w:val="en-US"/>
        </w:rPr>
        <w:t xml:space="preserve"> those related to</w:t>
      </w:r>
      <w:r w:rsidRPr="00AE03A6">
        <w:rPr>
          <w:rFonts w:asciiTheme="majorBidi" w:hAnsiTheme="majorBidi" w:cstheme="majorBidi"/>
          <w:color w:val="000000"/>
          <w:lang w:val="en-US"/>
        </w:rPr>
        <w:t xml:space="preserve"> migrants</w:t>
      </w:r>
      <w:r w:rsidR="00052D8A" w:rsidRPr="00AE03A6">
        <w:rPr>
          <w:rFonts w:asciiTheme="majorBidi" w:hAnsiTheme="majorBidi" w:cstheme="majorBidi"/>
          <w:color w:val="000000"/>
          <w:lang w:val="en-US"/>
        </w:rPr>
        <w:t>,</w:t>
      </w:r>
      <w:r w:rsidRPr="00AE03A6">
        <w:rPr>
          <w:rFonts w:asciiTheme="majorBidi" w:hAnsiTheme="majorBidi" w:cstheme="majorBidi"/>
          <w:color w:val="000000"/>
          <w:lang w:val="en-US"/>
        </w:rPr>
        <w:t xml:space="preserve"> women and children. Relevant reports that include recommendations are addressed to the competent au</w:t>
      </w:r>
      <w:r w:rsidR="00EC04EA" w:rsidRPr="00AE03A6">
        <w:rPr>
          <w:rFonts w:asciiTheme="majorBidi" w:hAnsiTheme="majorBidi" w:cstheme="majorBidi"/>
          <w:color w:val="000000"/>
          <w:lang w:val="en-US"/>
        </w:rPr>
        <w:t>thorities with a view to resolving</w:t>
      </w:r>
      <w:r w:rsidRPr="00AE03A6">
        <w:rPr>
          <w:rFonts w:asciiTheme="majorBidi" w:hAnsiTheme="majorBidi" w:cstheme="majorBidi"/>
          <w:color w:val="000000"/>
          <w:lang w:val="en-US"/>
        </w:rPr>
        <w:t xml:space="preserve"> issues identified during visits. Detailed information on the visits is included in the CNDH annual reports</w:t>
      </w:r>
      <w:r w:rsidRPr="00AE03A6">
        <w:rPr>
          <w:rFonts w:asciiTheme="majorBidi" w:hAnsiTheme="majorBidi" w:cstheme="majorBidi"/>
          <w:vertAlign w:val="superscript"/>
          <w:lang w:val="en-US"/>
        </w:rPr>
        <w:footnoteReference w:id="3"/>
      </w:r>
      <w:r w:rsidRPr="00AE03A6">
        <w:rPr>
          <w:rFonts w:asciiTheme="majorBidi" w:hAnsiTheme="majorBidi" w:cstheme="majorBidi"/>
          <w:color w:val="000000"/>
          <w:lang w:val="en-US"/>
        </w:rPr>
        <w:t>.</w:t>
      </w:r>
    </w:p>
    <w:p w14:paraId="1A935F35" w14:textId="7A52032C" w:rsidR="009D5DC6" w:rsidRPr="00AE03A6" w:rsidRDefault="00473608" w:rsidP="009F105C">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 xml:space="preserve">The National Redress Mechanism for Children </w:t>
      </w:r>
      <w:r w:rsidR="00526CCC" w:rsidRPr="00AE03A6">
        <w:rPr>
          <w:rFonts w:asciiTheme="majorBidi" w:hAnsiTheme="majorBidi" w:cstheme="majorBidi"/>
          <w:color w:val="000000"/>
          <w:lang w:val="en-US"/>
        </w:rPr>
        <w:t>and the National Mechanism for the Protection of the Rights of Persons with Disabilities are</w:t>
      </w:r>
      <w:r w:rsidRPr="00AE03A6">
        <w:rPr>
          <w:rFonts w:asciiTheme="majorBidi" w:hAnsiTheme="majorBidi" w:cstheme="majorBidi"/>
          <w:color w:val="000000"/>
          <w:lang w:val="en-US"/>
        </w:rPr>
        <w:t xml:space="preserve"> mandated to handle complaints, conduct relevant investigation, hold hearings</w:t>
      </w:r>
      <w:r w:rsidR="00CF1C06" w:rsidRPr="00AE03A6">
        <w:rPr>
          <w:rFonts w:asciiTheme="majorBidi" w:hAnsiTheme="majorBidi" w:cstheme="majorBidi"/>
          <w:color w:val="000000"/>
          <w:lang w:val="en-US"/>
        </w:rPr>
        <w:t xml:space="preserve"> and</w:t>
      </w:r>
      <w:r w:rsidRPr="00AE03A6">
        <w:rPr>
          <w:rFonts w:asciiTheme="majorBidi" w:hAnsiTheme="majorBidi" w:cstheme="majorBidi"/>
          <w:color w:val="000000"/>
          <w:lang w:val="en-US"/>
        </w:rPr>
        <w:t xml:space="preserve"> conduct </w:t>
      </w:r>
      <w:r w:rsidR="005F4CAD" w:rsidRPr="00AE03A6">
        <w:rPr>
          <w:rFonts w:asciiTheme="majorBidi" w:hAnsiTheme="majorBidi" w:cstheme="majorBidi"/>
          <w:color w:val="000000"/>
          <w:lang w:val="en-US"/>
        </w:rPr>
        <w:t xml:space="preserve">protective </w:t>
      </w:r>
      <w:r w:rsidRPr="00AE03A6">
        <w:rPr>
          <w:rFonts w:asciiTheme="majorBidi" w:hAnsiTheme="majorBidi" w:cstheme="majorBidi"/>
          <w:color w:val="000000"/>
          <w:lang w:val="en-US"/>
        </w:rPr>
        <w:t xml:space="preserve">actions. In case of a substantiated violation or abuse of the rights of this group leading to a serious harm, the CNDH </w:t>
      </w:r>
      <w:r w:rsidR="005F4CAD" w:rsidRPr="00AE03A6">
        <w:rPr>
          <w:rFonts w:asciiTheme="majorBidi" w:hAnsiTheme="majorBidi" w:cstheme="majorBidi"/>
          <w:color w:val="000000"/>
          <w:lang w:val="en-US"/>
        </w:rPr>
        <w:t>shall</w:t>
      </w:r>
      <w:r w:rsidRPr="00AE03A6">
        <w:rPr>
          <w:rFonts w:asciiTheme="majorBidi" w:hAnsiTheme="majorBidi" w:cstheme="majorBidi"/>
          <w:color w:val="000000"/>
          <w:lang w:val="en-US"/>
        </w:rPr>
        <w:t xml:space="preserve"> notify the judicial authorities to initiate the necessary measures</w:t>
      </w:r>
      <w:r w:rsidR="00D81857" w:rsidRPr="00AE03A6">
        <w:rPr>
          <w:rFonts w:asciiTheme="majorBidi" w:hAnsiTheme="majorBidi" w:cstheme="majorBidi"/>
          <w:color w:val="000000"/>
          <w:lang w:val="en-US"/>
        </w:rPr>
        <w:t xml:space="preserve"> and </w:t>
      </w:r>
      <w:r w:rsidR="009F105C" w:rsidRPr="00AE03A6">
        <w:rPr>
          <w:rFonts w:asciiTheme="majorBidi" w:hAnsiTheme="majorBidi" w:cstheme="majorBidi"/>
          <w:color w:val="000000"/>
          <w:lang w:val="en-US"/>
        </w:rPr>
        <w:t>provide them with the information it possesses</w:t>
      </w:r>
      <w:r w:rsidRPr="00AE03A6">
        <w:rPr>
          <w:rFonts w:asciiTheme="majorBidi" w:hAnsiTheme="majorBidi" w:cstheme="majorBidi"/>
          <w:color w:val="000000"/>
          <w:lang w:val="en-US"/>
        </w:rPr>
        <w:t xml:space="preserve">. </w:t>
      </w:r>
    </w:p>
    <w:p w14:paraId="616D6741" w14:textId="006A2670" w:rsidR="00B72C32" w:rsidRPr="00AE03A6" w:rsidRDefault="00F72D73" w:rsidP="00B72C32">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color w:val="000000" w:themeColor="text1"/>
          <w:lang w:val="en-US"/>
        </w:rPr>
        <w:t xml:space="preserve">The CNDH welcomes Morocco’s acceptance of the simplified reporting procedure and encourages the State to adopt this approach in its engagement with all treaty bodies, </w:t>
      </w:r>
      <w:r w:rsidR="00A564F8" w:rsidRPr="00AE03A6">
        <w:rPr>
          <w:rFonts w:asciiTheme="majorBidi" w:hAnsiTheme="majorBidi" w:cstheme="majorBidi"/>
          <w:color w:val="000000" w:themeColor="text1"/>
          <w:lang w:val="en-US"/>
        </w:rPr>
        <w:t>in line with CNDH recommendations made</w:t>
      </w:r>
      <w:r w:rsidRPr="00AE03A6">
        <w:rPr>
          <w:rFonts w:asciiTheme="majorBidi" w:hAnsiTheme="majorBidi" w:cstheme="majorBidi"/>
          <w:color w:val="000000" w:themeColor="text1"/>
          <w:lang w:val="en-US"/>
        </w:rPr>
        <w:t xml:space="preserve"> in its </w:t>
      </w:r>
      <w:r w:rsidR="00A564F8" w:rsidRPr="00AE03A6">
        <w:rPr>
          <w:rFonts w:asciiTheme="majorBidi" w:hAnsiTheme="majorBidi" w:cstheme="majorBidi"/>
          <w:color w:val="000000" w:themeColor="text1"/>
          <w:lang w:val="en-US"/>
        </w:rPr>
        <w:t xml:space="preserve">various </w:t>
      </w:r>
      <w:r w:rsidRPr="00AE03A6">
        <w:rPr>
          <w:rFonts w:asciiTheme="majorBidi" w:hAnsiTheme="majorBidi" w:cstheme="majorBidi"/>
          <w:color w:val="000000" w:themeColor="text1"/>
          <w:lang w:val="en-US"/>
        </w:rPr>
        <w:t>annual reports since 2019.</w:t>
      </w:r>
      <w:r w:rsidR="00B72C32" w:rsidRPr="00AE03A6">
        <w:rPr>
          <w:rFonts w:asciiTheme="majorBidi" w:hAnsiTheme="majorBidi" w:cstheme="majorBidi"/>
          <w:color w:val="000000" w:themeColor="text1"/>
          <w:lang w:val="en-US"/>
        </w:rPr>
        <w:t xml:space="preserve"> The simplified reporting procedure can serve as an effective tool to address delays in reporting to treaty bodies</w:t>
      </w:r>
      <w:r w:rsidR="005C51FC" w:rsidRPr="00AE03A6">
        <w:rPr>
          <w:rFonts w:asciiTheme="majorBidi" w:hAnsiTheme="majorBidi" w:cstheme="majorBidi"/>
          <w:color w:val="000000" w:themeColor="text1"/>
          <w:lang w:val="en-US"/>
        </w:rPr>
        <w:t>.</w:t>
      </w:r>
    </w:p>
    <w:p w14:paraId="7119D47C" w14:textId="77777777" w:rsidR="00FB479E" w:rsidRPr="00AE03A6" w:rsidRDefault="00715AE4" w:rsidP="00FB479E">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color w:val="000000" w:themeColor="text1"/>
          <w:lang w:val="en-US"/>
        </w:rPr>
        <w:t xml:space="preserve">The present </w:t>
      </w:r>
      <w:r w:rsidR="00B72C32" w:rsidRPr="00AE03A6">
        <w:rPr>
          <w:rFonts w:asciiTheme="majorBidi" w:hAnsiTheme="majorBidi" w:cstheme="majorBidi"/>
          <w:color w:val="000000" w:themeColor="text1"/>
          <w:lang w:val="en-US"/>
        </w:rPr>
        <w:t>input</w:t>
      </w:r>
      <w:r w:rsidRPr="00AE03A6">
        <w:rPr>
          <w:rFonts w:asciiTheme="majorBidi" w:hAnsiTheme="majorBidi" w:cstheme="majorBidi"/>
          <w:color w:val="000000" w:themeColor="text1"/>
          <w:lang w:val="en-US"/>
        </w:rPr>
        <w:t>, based on an analysis of the national context in relation with the provisions of the Inter</w:t>
      </w:r>
      <w:r w:rsidR="009F105C" w:rsidRPr="00AE03A6">
        <w:rPr>
          <w:rFonts w:asciiTheme="majorBidi" w:hAnsiTheme="majorBidi" w:cstheme="majorBidi"/>
          <w:color w:val="000000" w:themeColor="text1"/>
          <w:lang w:val="en-US"/>
        </w:rPr>
        <w:t>national Covenant on Civil and P</w:t>
      </w:r>
      <w:r w:rsidRPr="00AE03A6">
        <w:rPr>
          <w:rFonts w:asciiTheme="majorBidi" w:hAnsiTheme="majorBidi" w:cstheme="majorBidi"/>
          <w:color w:val="000000" w:themeColor="text1"/>
          <w:lang w:val="en-US"/>
        </w:rPr>
        <w:t xml:space="preserve">olitical Rights (ICCPR), </w:t>
      </w:r>
      <w:r w:rsidR="00B72C32" w:rsidRPr="00AE03A6">
        <w:rPr>
          <w:rFonts w:asciiTheme="majorBidi" w:hAnsiTheme="majorBidi" w:cstheme="majorBidi"/>
          <w:color w:val="000000" w:themeColor="text1"/>
          <w:lang w:val="en-US"/>
        </w:rPr>
        <w:t xml:space="preserve">includes </w:t>
      </w:r>
      <w:r w:rsidR="00B72C32" w:rsidRPr="00AE03A6">
        <w:rPr>
          <w:rFonts w:asciiTheme="majorBidi" w:hAnsiTheme="majorBidi" w:cstheme="majorBidi"/>
          <w:lang w:val="en-US"/>
        </w:rPr>
        <w:t xml:space="preserve">up-to-date information on the implementation of the recommendations made in the concluding observations of 2016 and of the </w:t>
      </w:r>
      <w:r w:rsidR="009F105C" w:rsidRPr="00AE03A6">
        <w:rPr>
          <w:rFonts w:asciiTheme="majorBidi" w:hAnsiTheme="majorBidi" w:cstheme="majorBidi"/>
          <w:color w:val="000000" w:themeColor="text1"/>
          <w:lang w:val="en-US"/>
        </w:rPr>
        <w:t>ICCPR</w:t>
      </w:r>
      <w:r w:rsidR="009F105C" w:rsidRPr="00AE03A6">
        <w:rPr>
          <w:rFonts w:asciiTheme="majorBidi" w:hAnsiTheme="majorBidi" w:cstheme="majorBidi"/>
          <w:lang w:val="en-US"/>
        </w:rPr>
        <w:t xml:space="preserve"> </w:t>
      </w:r>
      <w:r w:rsidR="00B72C32" w:rsidRPr="00AE03A6">
        <w:rPr>
          <w:rFonts w:asciiTheme="majorBidi" w:hAnsiTheme="majorBidi" w:cstheme="majorBidi"/>
          <w:lang w:val="en-US"/>
        </w:rPr>
        <w:t>as a whole.</w:t>
      </w:r>
      <w:r w:rsidR="00B72C32" w:rsidRPr="00AE03A6">
        <w:rPr>
          <w:rFonts w:asciiTheme="majorBidi" w:hAnsiTheme="majorBidi" w:cstheme="majorBidi"/>
          <w:color w:val="000000" w:themeColor="text1"/>
          <w:lang w:val="en-US"/>
        </w:rPr>
        <w:t xml:space="preserve"> It </w:t>
      </w:r>
      <w:r w:rsidRPr="00AE03A6">
        <w:rPr>
          <w:rFonts w:asciiTheme="majorBidi" w:hAnsiTheme="majorBidi" w:cstheme="majorBidi"/>
          <w:color w:val="000000" w:themeColor="text1"/>
          <w:lang w:val="en-US"/>
        </w:rPr>
        <w:t xml:space="preserve">was prepared on the basis of the CNDH </w:t>
      </w:r>
      <w:r w:rsidR="00526CCC" w:rsidRPr="00AE03A6">
        <w:rPr>
          <w:rFonts w:asciiTheme="majorBidi" w:hAnsiTheme="majorBidi" w:cstheme="majorBidi"/>
          <w:color w:val="000000" w:themeColor="text1"/>
          <w:lang w:val="en-US"/>
        </w:rPr>
        <w:t>documents and activities</w:t>
      </w:r>
      <w:r w:rsidRPr="00AE03A6">
        <w:rPr>
          <w:rFonts w:asciiTheme="majorBidi" w:hAnsiTheme="majorBidi" w:cstheme="majorBidi"/>
          <w:color w:val="000000" w:themeColor="text1"/>
          <w:lang w:val="en-US"/>
        </w:rPr>
        <w:t xml:space="preserve">, including the annual report, thematic reports, studies, seminars, debates and awareness raising activities, </w:t>
      </w:r>
      <w:r w:rsidR="00245474" w:rsidRPr="00AE03A6">
        <w:rPr>
          <w:rFonts w:asciiTheme="majorBidi" w:hAnsiTheme="majorBidi" w:cstheme="majorBidi"/>
          <w:color w:val="000000" w:themeColor="text1"/>
          <w:lang w:val="en-US"/>
        </w:rPr>
        <w:t xml:space="preserve">local and </w:t>
      </w:r>
      <w:r w:rsidR="00A564F8" w:rsidRPr="00AE03A6">
        <w:rPr>
          <w:rFonts w:asciiTheme="majorBidi" w:hAnsiTheme="majorBidi" w:cstheme="majorBidi"/>
          <w:color w:val="000000" w:themeColor="text1"/>
          <w:lang w:val="en-US"/>
        </w:rPr>
        <w:t xml:space="preserve">nationwide consultations </w:t>
      </w:r>
      <w:r w:rsidRPr="00AE03A6">
        <w:rPr>
          <w:rFonts w:asciiTheme="majorBidi" w:hAnsiTheme="majorBidi" w:cstheme="majorBidi"/>
          <w:color w:val="000000" w:themeColor="text1"/>
          <w:lang w:val="en-US"/>
        </w:rPr>
        <w:t xml:space="preserve">as well as its actions related to the protection of </w:t>
      </w:r>
      <w:r w:rsidR="008146DA" w:rsidRPr="00AE03A6">
        <w:rPr>
          <w:rFonts w:asciiTheme="majorBidi" w:hAnsiTheme="majorBidi" w:cstheme="majorBidi"/>
          <w:color w:val="000000" w:themeColor="text1"/>
          <w:lang w:val="en-US"/>
        </w:rPr>
        <w:t>civil and political rights</w:t>
      </w:r>
      <w:r w:rsidRPr="00AE03A6">
        <w:rPr>
          <w:rFonts w:asciiTheme="majorBidi" w:hAnsiTheme="majorBidi" w:cstheme="majorBidi"/>
          <w:color w:val="000000" w:themeColor="text1"/>
          <w:lang w:val="en-US"/>
        </w:rPr>
        <w:t xml:space="preserve">. </w:t>
      </w:r>
    </w:p>
    <w:p w14:paraId="6E5E95AF" w14:textId="4274E82D" w:rsidR="00C232FA" w:rsidRPr="00AE03A6" w:rsidRDefault="00715AE4" w:rsidP="005C51FC">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themeColor="text1"/>
          <w:lang w:val="en-US"/>
        </w:rPr>
      </w:pPr>
      <w:r w:rsidRPr="00AE03A6">
        <w:rPr>
          <w:rFonts w:asciiTheme="majorBidi" w:hAnsiTheme="majorBidi" w:cstheme="majorBidi"/>
          <w:color w:val="000000" w:themeColor="text1"/>
          <w:lang w:val="en-US"/>
        </w:rPr>
        <w:t xml:space="preserve">The </w:t>
      </w:r>
      <w:r w:rsidR="00FB479E" w:rsidRPr="00AE03A6">
        <w:rPr>
          <w:rFonts w:asciiTheme="majorBidi" w:hAnsiTheme="majorBidi" w:cstheme="majorBidi"/>
          <w:color w:val="000000" w:themeColor="text1"/>
          <w:lang w:val="en-US"/>
        </w:rPr>
        <w:t xml:space="preserve">CNDH hopes that this submission will offer the UN Human Rights Committee (the Committee) further insights and serve as a basis for initiating a constructive and productive dialogue with the Government, as well as for preparing the list of issues. </w:t>
      </w:r>
    </w:p>
    <w:p w14:paraId="2263F50F" w14:textId="78AD00C9" w:rsidR="00715AE4" w:rsidRPr="00AE03A6" w:rsidRDefault="00715AE4" w:rsidP="00325765">
      <w:pPr>
        <w:pStyle w:val="Paragraphedeliste"/>
        <w:numPr>
          <w:ilvl w:val="0"/>
          <w:numId w:val="30"/>
        </w:numPr>
        <w:spacing w:before="200" w:after="120"/>
        <w:jc w:val="both"/>
        <w:rPr>
          <w:rFonts w:asciiTheme="majorBidi" w:hAnsiTheme="majorBidi" w:cstheme="majorBidi"/>
          <w:b/>
          <w:bCs/>
          <w:color w:val="000000" w:themeColor="text1"/>
          <w:lang w:val="en-US"/>
        </w:rPr>
      </w:pPr>
      <w:r w:rsidRPr="00AE03A6">
        <w:rPr>
          <w:rFonts w:asciiTheme="majorBidi" w:hAnsiTheme="majorBidi" w:cstheme="majorBidi"/>
          <w:b/>
          <w:bCs/>
          <w:color w:val="000000" w:themeColor="text1"/>
          <w:lang w:val="en-US"/>
        </w:rPr>
        <w:t>Progress</w:t>
      </w:r>
      <w:r w:rsidR="00325765" w:rsidRPr="00AE03A6">
        <w:rPr>
          <w:rFonts w:asciiTheme="majorBidi" w:hAnsiTheme="majorBidi" w:cstheme="majorBidi"/>
          <w:b/>
          <w:bCs/>
          <w:color w:val="000000" w:themeColor="text1"/>
          <w:lang w:val="en-US"/>
        </w:rPr>
        <w:t xml:space="preserve"> made</w:t>
      </w:r>
      <w:r w:rsidRPr="00AE03A6">
        <w:rPr>
          <w:rFonts w:asciiTheme="majorBidi" w:hAnsiTheme="majorBidi" w:cstheme="majorBidi"/>
          <w:b/>
          <w:bCs/>
          <w:color w:val="000000" w:themeColor="text1"/>
          <w:lang w:val="en-US"/>
        </w:rPr>
        <w:t xml:space="preserve"> in the implementation of the ICCPR and remain</w:t>
      </w:r>
      <w:r w:rsidR="00EC4903" w:rsidRPr="00AE03A6">
        <w:rPr>
          <w:rFonts w:asciiTheme="majorBidi" w:hAnsiTheme="majorBidi" w:cstheme="majorBidi"/>
          <w:b/>
          <w:bCs/>
          <w:color w:val="000000" w:themeColor="text1"/>
          <w:lang w:val="en-US"/>
        </w:rPr>
        <w:t>in</w:t>
      </w:r>
      <w:r w:rsidRPr="00AE03A6">
        <w:rPr>
          <w:rFonts w:asciiTheme="majorBidi" w:hAnsiTheme="majorBidi" w:cstheme="majorBidi"/>
          <w:b/>
          <w:bCs/>
          <w:color w:val="000000" w:themeColor="text1"/>
          <w:lang w:val="en-US"/>
        </w:rPr>
        <w:t xml:space="preserve">g </w:t>
      </w:r>
      <w:r w:rsidR="00063446" w:rsidRPr="00AE03A6">
        <w:rPr>
          <w:rFonts w:asciiTheme="majorBidi" w:hAnsiTheme="majorBidi" w:cstheme="majorBidi"/>
          <w:b/>
          <w:bCs/>
          <w:color w:val="000000" w:themeColor="text1"/>
          <w:lang w:val="en-US"/>
        </w:rPr>
        <w:t>challenges:</w:t>
      </w:r>
    </w:p>
    <w:p w14:paraId="6FBCF45F" w14:textId="7F55DC4F" w:rsidR="009D5DC6" w:rsidRPr="00AE03A6" w:rsidRDefault="009D5DC6" w:rsidP="002F310B">
      <w:pPr>
        <w:pStyle w:val="Paragraphedeliste"/>
        <w:numPr>
          <w:ilvl w:val="0"/>
          <w:numId w:val="5"/>
        </w:numPr>
        <w:spacing w:before="200" w:after="120" w:line="240" w:lineRule="auto"/>
        <w:contextualSpacing w:val="0"/>
        <w:jc w:val="both"/>
        <w:rPr>
          <w:rFonts w:asciiTheme="majorBidi" w:hAnsiTheme="majorBidi" w:cstheme="majorBidi"/>
          <w:b/>
          <w:bCs/>
          <w:color w:val="000000" w:themeColor="text1"/>
          <w:lang w:val="en-US"/>
        </w:rPr>
      </w:pPr>
      <w:r w:rsidRPr="00AE03A6">
        <w:rPr>
          <w:rFonts w:asciiTheme="majorBidi" w:hAnsiTheme="majorBidi" w:cstheme="majorBidi"/>
          <w:b/>
          <w:bCs/>
          <w:color w:val="000000" w:themeColor="text1"/>
          <w:lang w:val="en-US"/>
        </w:rPr>
        <w:t xml:space="preserve">Ratification and </w:t>
      </w:r>
      <w:r w:rsidR="00CF1C06" w:rsidRPr="00AE03A6">
        <w:rPr>
          <w:rFonts w:asciiTheme="majorBidi" w:hAnsiTheme="majorBidi" w:cstheme="majorBidi"/>
          <w:b/>
          <w:bCs/>
          <w:color w:val="000000" w:themeColor="text1"/>
          <w:lang w:val="en-US"/>
        </w:rPr>
        <w:t xml:space="preserve">endorsement </w:t>
      </w:r>
      <w:r w:rsidRPr="00AE03A6">
        <w:rPr>
          <w:rFonts w:asciiTheme="majorBidi" w:hAnsiTheme="majorBidi" w:cstheme="majorBidi"/>
          <w:b/>
          <w:bCs/>
          <w:color w:val="000000" w:themeColor="text1"/>
          <w:lang w:val="en-US"/>
        </w:rPr>
        <w:t xml:space="preserve">to </w:t>
      </w:r>
      <w:r w:rsidR="00526CCC" w:rsidRPr="00AE03A6">
        <w:rPr>
          <w:rFonts w:asciiTheme="majorBidi" w:hAnsiTheme="majorBidi" w:cstheme="majorBidi"/>
          <w:b/>
          <w:bCs/>
          <w:color w:val="000000" w:themeColor="text1"/>
          <w:lang w:val="en-US"/>
        </w:rPr>
        <w:t xml:space="preserve">the </w:t>
      </w:r>
      <w:r w:rsidRPr="00AE03A6">
        <w:rPr>
          <w:rFonts w:asciiTheme="majorBidi" w:hAnsiTheme="majorBidi" w:cstheme="majorBidi"/>
          <w:b/>
          <w:bCs/>
          <w:color w:val="000000" w:themeColor="text1"/>
          <w:lang w:val="en-US"/>
        </w:rPr>
        <w:t xml:space="preserve">international instruments: </w:t>
      </w:r>
    </w:p>
    <w:p w14:paraId="3EF7DBFE" w14:textId="43725341" w:rsidR="00AB6187" w:rsidRPr="00AE03A6" w:rsidRDefault="00084D3D" w:rsidP="00E60D16">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lang w:val="en-US"/>
        </w:rPr>
      </w:pPr>
      <w:r w:rsidRPr="00AE03A6">
        <w:rPr>
          <w:rFonts w:asciiTheme="majorBidi" w:hAnsiTheme="majorBidi" w:cstheme="majorBidi"/>
          <w:color w:val="000000"/>
          <w:lang w:val="en-US"/>
        </w:rPr>
        <w:t>Morocco is currently</w:t>
      </w:r>
      <w:r w:rsidR="00325765" w:rsidRPr="00AE03A6">
        <w:rPr>
          <w:rFonts w:asciiTheme="majorBidi" w:hAnsiTheme="majorBidi" w:cstheme="majorBidi"/>
          <w:color w:val="000000"/>
          <w:lang w:val="en-US"/>
        </w:rPr>
        <w:t xml:space="preserve"> a state party to 15 out of the </w:t>
      </w:r>
      <w:r w:rsidR="00526CCC" w:rsidRPr="00AE03A6">
        <w:rPr>
          <w:rFonts w:asciiTheme="majorBidi" w:hAnsiTheme="majorBidi" w:cstheme="majorBidi"/>
          <w:color w:val="000000"/>
          <w:lang w:val="en-US"/>
        </w:rPr>
        <w:t xml:space="preserve">18 </w:t>
      </w:r>
      <w:r w:rsidRPr="00AE03A6">
        <w:rPr>
          <w:rFonts w:asciiTheme="majorBidi" w:hAnsiTheme="majorBidi" w:cstheme="majorBidi"/>
          <w:color w:val="000000"/>
          <w:lang w:val="en-US"/>
        </w:rPr>
        <w:t xml:space="preserve">international human rights instruments. The CNDH </w:t>
      </w:r>
      <w:r w:rsidR="0043570A" w:rsidRPr="00AE03A6">
        <w:rPr>
          <w:rFonts w:asciiTheme="majorBidi" w:hAnsiTheme="majorBidi" w:cstheme="majorBidi"/>
          <w:color w:val="000000"/>
          <w:lang w:val="en-US"/>
        </w:rPr>
        <w:t>note</w:t>
      </w:r>
      <w:r w:rsidR="00526CCC" w:rsidRPr="00AE03A6">
        <w:rPr>
          <w:rFonts w:asciiTheme="majorBidi" w:hAnsiTheme="majorBidi" w:cstheme="majorBidi"/>
          <w:color w:val="000000"/>
          <w:lang w:val="en-US"/>
        </w:rPr>
        <w:t>s</w:t>
      </w:r>
      <w:r w:rsidR="0043570A" w:rsidRPr="00AE03A6">
        <w:rPr>
          <w:rFonts w:asciiTheme="majorBidi" w:hAnsiTheme="majorBidi" w:cstheme="majorBidi"/>
          <w:color w:val="000000"/>
          <w:lang w:val="en-US"/>
        </w:rPr>
        <w:t xml:space="preserve"> with satisfaction </w:t>
      </w:r>
      <w:r w:rsidR="0078743E" w:rsidRPr="00AE03A6">
        <w:rPr>
          <w:rFonts w:asciiTheme="majorBidi" w:hAnsiTheme="majorBidi" w:cstheme="majorBidi"/>
          <w:color w:val="000000"/>
          <w:lang w:val="en-US"/>
        </w:rPr>
        <w:t>the implementation of its recommendation concerning</w:t>
      </w:r>
      <w:r w:rsidR="00473608" w:rsidRPr="00AE03A6">
        <w:rPr>
          <w:rFonts w:asciiTheme="majorBidi" w:hAnsiTheme="majorBidi" w:cstheme="majorBidi"/>
          <w:color w:val="000000"/>
          <w:lang w:val="en-US"/>
        </w:rPr>
        <w:t xml:space="preserve"> </w:t>
      </w:r>
      <w:r w:rsidR="0078743E" w:rsidRPr="00AE03A6">
        <w:rPr>
          <w:rFonts w:asciiTheme="majorBidi" w:hAnsiTheme="majorBidi" w:cstheme="majorBidi"/>
          <w:color w:val="000000"/>
          <w:lang w:val="en-US"/>
        </w:rPr>
        <w:t xml:space="preserve">Morocco’s </w:t>
      </w:r>
      <w:r w:rsidR="0043570A" w:rsidRPr="00AE03A6">
        <w:rPr>
          <w:rFonts w:asciiTheme="majorBidi" w:hAnsiTheme="majorBidi" w:cstheme="majorBidi"/>
          <w:color w:val="000000"/>
          <w:lang w:val="en-US"/>
        </w:rPr>
        <w:t>accession to t</w:t>
      </w:r>
      <w:r w:rsidRPr="00AE03A6">
        <w:rPr>
          <w:rFonts w:asciiTheme="majorBidi" w:hAnsiTheme="majorBidi" w:cstheme="majorBidi"/>
          <w:color w:val="000000"/>
          <w:lang w:val="en-US"/>
        </w:rPr>
        <w:t>he first Optional Protocol to the</w:t>
      </w:r>
      <w:r w:rsidR="0043570A" w:rsidRPr="00AE03A6">
        <w:rPr>
          <w:rFonts w:asciiTheme="majorBidi" w:hAnsiTheme="majorBidi" w:cstheme="majorBidi"/>
          <w:color w:val="000000"/>
          <w:lang w:val="en-US"/>
        </w:rPr>
        <w:t xml:space="preserve"> </w:t>
      </w:r>
      <w:r w:rsidR="00E739BD" w:rsidRPr="00AE03A6">
        <w:rPr>
          <w:rFonts w:asciiTheme="majorBidi" w:hAnsiTheme="majorBidi" w:cstheme="majorBidi"/>
          <w:color w:val="000000"/>
          <w:lang w:val="en-US"/>
        </w:rPr>
        <w:t>ICCPR</w:t>
      </w:r>
      <w:r w:rsidRPr="00AE03A6">
        <w:rPr>
          <w:rFonts w:asciiTheme="majorBidi" w:hAnsiTheme="majorBidi" w:cstheme="majorBidi"/>
          <w:color w:val="000000"/>
          <w:lang w:val="en-US"/>
        </w:rPr>
        <w:t xml:space="preserve"> </w:t>
      </w:r>
      <w:r w:rsidR="00575C35" w:rsidRPr="00AE03A6">
        <w:rPr>
          <w:rFonts w:asciiTheme="majorBidi" w:hAnsiTheme="majorBidi" w:cstheme="majorBidi"/>
          <w:color w:val="000000"/>
          <w:lang w:val="en-US"/>
        </w:rPr>
        <w:t xml:space="preserve">and Optional Protocol to the Convention on </w:t>
      </w:r>
      <w:r w:rsidR="00575C35" w:rsidRPr="00AE03A6">
        <w:rPr>
          <w:rFonts w:asciiTheme="majorBidi" w:hAnsiTheme="majorBidi" w:cstheme="majorBidi"/>
          <w:color w:val="000000"/>
          <w:lang w:val="en-US"/>
        </w:rPr>
        <w:lastRenderedPageBreak/>
        <w:t>the Elimination of Discrimination against Women</w:t>
      </w:r>
      <w:r w:rsidR="00E739BD" w:rsidRPr="00AE03A6">
        <w:rPr>
          <w:rFonts w:asciiTheme="majorBidi" w:hAnsiTheme="majorBidi" w:cstheme="majorBidi"/>
          <w:color w:val="000000"/>
          <w:lang w:val="en-US"/>
        </w:rPr>
        <w:t>, both in April 2022</w:t>
      </w:r>
      <w:r w:rsidR="0043570A" w:rsidRPr="00AE03A6">
        <w:rPr>
          <w:rStyle w:val="Appelnotedebasdep"/>
          <w:rFonts w:asciiTheme="majorBidi" w:hAnsiTheme="majorBidi" w:cstheme="majorBidi"/>
          <w:color w:val="000000"/>
          <w:lang w:val="en-US"/>
        </w:rPr>
        <w:footnoteReference w:id="4"/>
      </w:r>
      <w:r w:rsidRPr="00AE03A6">
        <w:rPr>
          <w:rFonts w:asciiTheme="majorBidi" w:hAnsiTheme="majorBidi" w:cstheme="majorBidi"/>
          <w:color w:val="000000"/>
          <w:lang w:val="en-US"/>
        </w:rPr>
        <w:t>.</w:t>
      </w:r>
      <w:r w:rsidR="00575C35" w:rsidRPr="00AE03A6">
        <w:rPr>
          <w:rFonts w:asciiTheme="majorBidi" w:hAnsiTheme="majorBidi" w:cstheme="majorBidi"/>
          <w:color w:val="000000"/>
          <w:lang w:val="en-US"/>
        </w:rPr>
        <w:t xml:space="preserve"> It also notes the positive step taken by the State regarding the vote in favor of </w:t>
      </w:r>
      <w:r w:rsidR="006B1786" w:rsidRPr="00AE03A6">
        <w:rPr>
          <w:rFonts w:asciiTheme="majorBidi" w:hAnsiTheme="majorBidi" w:cstheme="majorBidi"/>
          <w:color w:val="000000"/>
          <w:lang w:val="en-US"/>
        </w:rPr>
        <w:t xml:space="preserve">the </w:t>
      </w:r>
      <w:r w:rsidR="00575C35" w:rsidRPr="00AE03A6">
        <w:rPr>
          <w:rFonts w:asciiTheme="majorBidi" w:hAnsiTheme="majorBidi" w:cstheme="majorBidi"/>
          <w:color w:val="000000"/>
          <w:lang w:val="en-US"/>
        </w:rPr>
        <w:t xml:space="preserve">UN Resolution </w:t>
      </w:r>
      <w:r w:rsidR="00BF42F0" w:rsidRPr="00AE03A6">
        <w:rPr>
          <w:rFonts w:asciiTheme="majorBidi" w:hAnsiTheme="majorBidi" w:cstheme="majorBidi"/>
          <w:color w:val="000000"/>
          <w:lang w:val="en-US"/>
        </w:rPr>
        <w:t>on the m</w:t>
      </w:r>
      <w:r w:rsidR="00E60D16" w:rsidRPr="00AE03A6">
        <w:rPr>
          <w:rFonts w:asciiTheme="majorBidi" w:hAnsiTheme="majorBidi" w:cstheme="majorBidi"/>
          <w:color w:val="000000"/>
          <w:lang w:val="en-US"/>
        </w:rPr>
        <w:t xml:space="preserve">oratorium </w:t>
      </w:r>
      <w:r w:rsidR="00575C35" w:rsidRPr="00AE03A6">
        <w:rPr>
          <w:rFonts w:asciiTheme="majorBidi" w:hAnsiTheme="majorBidi" w:cstheme="majorBidi"/>
          <w:color w:val="000000"/>
          <w:lang w:val="en-US"/>
        </w:rPr>
        <w:t xml:space="preserve">on </w:t>
      </w:r>
      <w:r w:rsidR="00BF42F0" w:rsidRPr="00AE03A6">
        <w:rPr>
          <w:rFonts w:asciiTheme="majorBidi" w:hAnsiTheme="majorBidi" w:cstheme="majorBidi"/>
          <w:color w:val="000000"/>
          <w:lang w:val="en-US"/>
        </w:rPr>
        <w:t xml:space="preserve">the use of the death penalty </w:t>
      </w:r>
      <w:r w:rsidR="00575C35" w:rsidRPr="00AE03A6">
        <w:rPr>
          <w:rFonts w:asciiTheme="majorBidi" w:hAnsiTheme="majorBidi" w:cstheme="majorBidi"/>
          <w:color w:val="000000"/>
          <w:lang w:val="en-US"/>
        </w:rPr>
        <w:t>in December 2024</w:t>
      </w:r>
      <w:r w:rsidR="00575C35" w:rsidRPr="00AE03A6">
        <w:rPr>
          <w:rStyle w:val="Appelnotedebasdep"/>
          <w:rFonts w:asciiTheme="majorBidi" w:hAnsiTheme="majorBidi" w:cstheme="majorBidi"/>
          <w:color w:val="000000"/>
          <w:lang w:val="en-US"/>
        </w:rPr>
        <w:footnoteReference w:id="5"/>
      </w:r>
      <w:r w:rsidR="0078743E" w:rsidRPr="00AE03A6">
        <w:rPr>
          <w:rFonts w:asciiTheme="majorBidi" w:hAnsiTheme="majorBidi" w:cstheme="majorBidi"/>
          <w:color w:val="000000"/>
          <w:lang w:val="en-US"/>
        </w:rPr>
        <w:t xml:space="preserve">. </w:t>
      </w:r>
    </w:p>
    <w:p w14:paraId="7B640000" w14:textId="34F59074" w:rsidR="007B709A" w:rsidRPr="00AE03A6" w:rsidRDefault="001D6611" w:rsidP="001D6611">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 xml:space="preserve">However, the CNDH </w:t>
      </w:r>
      <w:r w:rsidR="00473608" w:rsidRPr="00AE03A6">
        <w:rPr>
          <w:rFonts w:asciiTheme="majorBidi" w:hAnsiTheme="majorBidi" w:cstheme="majorBidi"/>
          <w:color w:val="000000"/>
          <w:lang w:val="en-US"/>
        </w:rPr>
        <w:t xml:space="preserve">reiterates its </w:t>
      </w:r>
      <w:r w:rsidR="009D5DC6" w:rsidRPr="00AE03A6">
        <w:rPr>
          <w:rFonts w:asciiTheme="majorBidi" w:hAnsiTheme="majorBidi" w:cstheme="majorBidi"/>
          <w:color w:val="000000"/>
          <w:lang w:val="en-US"/>
        </w:rPr>
        <w:t>recommendations</w:t>
      </w:r>
      <w:r w:rsidR="00473608" w:rsidRPr="00AE03A6">
        <w:rPr>
          <w:rFonts w:asciiTheme="majorBidi" w:hAnsiTheme="majorBidi" w:cstheme="majorBidi"/>
          <w:color w:val="000000"/>
          <w:lang w:val="en-US"/>
        </w:rPr>
        <w:t xml:space="preserve"> </w:t>
      </w:r>
      <w:r w:rsidR="00D63DC6" w:rsidRPr="00AE03A6">
        <w:rPr>
          <w:rFonts w:asciiTheme="majorBidi" w:hAnsiTheme="majorBidi" w:cstheme="majorBidi"/>
          <w:color w:val="000000"/>
          <w:lang w:val="en-US"/>
        </w:rPr>
        <w:t>addressed to the government to finalize the process of ratifying the Optional Protocol to the Convention on the Rights of the Child on Communications Procedure</w:t>
      </w:r>
      <w:r w:rsidR="00D63DC6" w:rsidRPr="00AE03A6">
        <w:rPr>
          <w:color w:val="000000"/>
          <w:vertAlign w:val="superscript"/>
        </w:rPr>
        <w:footnoteReference w:id="6"/>
      </w:r>
      <w:r w:rsidR="00D63DC6" w:rsidRPr="00AE03A6">
        <w:rPr>
          <w:rFonts w:asciiTheme="majorBidi" w:hAnsiTheme="majorBidi" w:cstheme="majorBidi"/>
          <w:color w:val="000000"/>
          <w:vertAlign w:val="superscript"/>
          <w:lang w:val="en-US"/>
        </w:rPr>
        <w:t>.</w:t>
      </w:r>
      <w:r w:rsidR="00D63DC6" w:rsidRPr="00AE03A6">
        <w:rPr>
          <w:rFonts w:asciiTheme="majorBidi" w:hAnsiTheme="majorBidi" w:cstheme="majorBidi"/>
          <w:color w:val="000000"/>
          <w:lang w:val="en-US"/>
        </w:rPr>
        <w:t xml:space="preserve"> It also encourage</w:t>
      </w:r>
      <w:r w:rsidR="00526CCC" w:rsidRPr="00AE03A6">
        <w:rPr>
          <w:rFonts w:asciiTheme="majorBidi" w:hAnsiTheme="majorBidi" w:cstheme="majorBidi"/>
          <w:color w:val="000000"/>
          <w:lang w:val="en-US"/>
        </w:rPr>
        <w:t>s</w:t>
      </w:r>
      <w:r w:rsidR="00D63DC6" w:rsidRPr="00AE03A6">
        <w:rPr>
          <w:rFonts w:asciiTheme="majorBidi" w:hAnsiTheme="majorBidi" w:cstheme="majorBidi"/>
          <w:color w:val="000000"/>
          <w:lang w:val="en-US"/>
        </w:rPr>
        <w:t xml:space="preserve"> the government to adhere to the second Optional Protocol to the </w:t>
      </w:r>
      <w:r w:rsidR="00AB6187" w:rsidRPr="00AE03A6">
        <w:rPr>
          <w:rFonts w:asciiTheme="majorBidi" w:hAnsiTheme="majorBidi" w:cstheme="majorBidi"/>
          <w:color w:val="000000"/>
          <w:lang w:val="en-US"/>
        </w:rPr>
        <w:t>ICCPR</w:t>
      </w:r>
      <w:r w:rsidR="00D63DC6" w:rsidRPr="00AE03A6">
        <w:rPr>
          <w:rFonts w:asciiTheme="majorBidi" w:hAnsiTheme="majorBidi" w:cstheme="majorBidi"/>
          <w:color w:val="000000"/>
          <w:lang w:val="en-US"/>
        </w:rPr>
        <w:t xml:space="preserve">, </w:t>
      </w:r>
      <w:r w:rsidR="0078743E" w:rsidRPr="00AE03A6">
        <w:rPr>
          <w:rFonts w:asciiTheme="majorBidi" w:hAnsiTheme="majorBidi" w:cstheme="majorBidi"/>
          <w:color w:val="000000"/>
          <w:lang w:val="en-US"/>
        </w:rPr>
        <w:t>aiming at the Abolition of the D</w:t>
      </w:r>
      <w:r w:rsidR="00D63DC6" w:rsidRPr="00AE03A6">
        <w:rPr>
          <w:rFonts w:asciiTheme="majorBidi" w:hAnsiTheme="majorBidi" w:cstheme="majorBidi"/>
          <w:color w:val="000000"/>
          <w:lang w:val="en-US"/>
        </w:rPr>
        <w:t>eath Penalty</w:t>
      </w:r>
      <w:r w:rsidR="00AB6187" w:rsidRPr="00AE03A6">
        <w:rPr>
          <w:rFonts w:asciiTheme="majorBidi" w:hAnsiTheme="majorBidi" w:cstheme="majorBidi"/>
          <w:color w:val="000000"/>
          <w:lang w:val="en-US"/>
        </w:rPr>
        <w:t xml:space="preserve">; the Optional Protocol to the International Covenant on Economic, Social and Cultural Rights (ICESCR); the ILO Convention No. 87 on </w:t>
      </w:r>
      <w:r w:rsidR="00526CCC" w:rsidRPr="00AE03A6">
        <w:rPr>
          <w:rFonts w:asciiTheme="majorBidi" w:hAnsiTheme="majorBidi" w:cstheme="majorBidi"/>
          <w:color w:val="000000"/>
          <w:lang w:val="en-US"/>
        </w:rPr>
        <w:t>F</w:t>
      </w:r>
      <w:r w:rsidR="00AB6187" w:rsidRPr="00AE03A6">
        <w:rPr>
          <w:rFonts w:asciiTheme="majorBidi" w:hAnsiTheme="majorBidi" w:cstheme="majorBidi"/>
          <w:color w:val="000000"/>
          <w:lang w:val="en-US"/>
        </w:rPr>
        <w:t xml:space="preserve">reedom of </w:t>
      </w:r>
      <w:r w:rsidR="00526CCC" w:rsidRPr="00AE03A6">
        <w:rPr>
          <w:rFonts w:asciiTheme="majorBidi" w:hAnsiTheme="majorBidi" w:cstheme="majorBidi"/>
          <w:color w:val="000000"/>
          <w:lang w:val="en-US"/>
        </w:rPr>
        <w:t>A</w:t>
      </w:r>
      <w:r w:rsidR="00AB6187" w:rsidRPr="00AE03A6">
        <w:rPr>
          <w:rFonts w:asciiTheme="majorBidi" w:hAnsiTheme="majorBidi" w:cstheme="majorBidi"/>
          <w:color w:val="000000"/>
          <w:lang w:val="en-US"/>
        </w:rPr>
        <w:t xml:space="preserve">ssociation and </w:t>
      </w:r>
      <w:r w:rsidR="00526CCC" w:rsidRPr="00AE03A6">
        <w:rPr>
          <w:rFonts w:asciiTheme="majorBidi" w:hAnsiTheme="majorBidi" w:cstheme="majorBidi"/>
          <w:color w:val="000000"/>
          <w:lang w:val="en-US"/>
        </w:rPr>
        <w:t>P</w:t>
      </w:r>
      <w:r w:rsidR="00AB6187" w:rsidRPr="00AE03A6">
        <w:rPr>
          <w:rFonts w:asciiTheme="majorBidi" w:hAnsiTheme="majorBidi" w:cstheme="majorBidi"/>
          <w:color w:val="000000"/>
          <w:lang w:val="en-US"/>
        </w:rPr>
        <w:t xml:space="preserve">rotection of the </w:t>
      </w:r>
      <w:r w:rsidR="00526CCC" w:rsidRPr="00AE03A6">
        <w:rPr>
          <w:rFonts w:asciiTheme="majorBidi" w:hAnsiTheme="majorBidi" w:cstheme="majorBidi"/>
          <w:color w:val="000000"/>
          <w:lang w:val="en-US"/>
        </w:rPr>
        <w:t>R</w:t>
      </w:r>
      <w:r w:rsidR="00AB6187" w:rsidRPr="00AE03A6">
        <w:rPr>
          <w:rFonts w:asciiTheme="majorBidi" w:hAnsiTheme="majorBidi" w:cstheme="majorBidi"/>
          <w:color w:val="000000"/>
          <w:lang w:val="en-US"/>
        </w:rPr>
        <w:t xml:space="preserve">ight to </w:t>
      </w:r>
      <w:r w:rsidR="00526CCC" w:rsidRPr="00AE03A6">
        <w:rPr>
          <w:rFonts w:asciiTheme="majorBidi" w:hAnsiTheme="majorBidi" w:cstheme="majorBidi"/>
          <w:color w:val="000000"/>
          <w:lang w:val="en-US"/>
        </w:rPr>
        <w:t>O</w:t>
      </w:r>
      <w:r w:rsidRPr="00AE03A6">
        <w:rPr>
          <w:rFonts w:asciiTheme="majorBidi" w:hAnsiTheme="majorBidi" w:cstheme="majorBidi"/>
          <w:color w:val="000000"/>
          <w:lang w:val="en-US"/>
        </w:rPr>
        <w:t>rganize</w:t>
      </w:r>
      <w:r w:rsidR="00AB6187" w:rsidRPr="00AE03A6">
        <w:rPr>
          <w:rFonts w:asciiTheme="majorBidi" w:hAnsiTheme="majorBidi" w:cstheme="majorBidi"/>
          <w:color w:val="000000"/>
          <w:lang w:val="en-US"/>
        </w:rPr>
        <w:t>.</w:t>
      </w:r>
      <w:r w:rsidR="001F4457" w:rsidRPr="00AE03A6">
        <w:rPr>
          <w:rFonts w:asciiTheme="majorBidi" w:hAnsiTheme="majorBidi" w:cstheme="majorBidi"/>
          <w:color w:val="000000"/>
          <w:lang w:val="en-US"/>
        </w:rPr>
        <w:t xml:space="preserve"> </w:t>
      </w:r>
      <w:r w:rsidR="007B709A" w:rsidRPr="00AE03A6">
        <w:rPr>
          <w:rFonts w:asciiTheme="majorBidi" w:hAnsiTheme="majorBidi" w:cstheme="majorBidi"/>
          <w:color w:val="000000"/>
          <w:lang w:val="en-US"/>
        </w:rPr>
        <w:t>The CNDH has consistently advocated for these ratifications through its various engagements and reports, including its annual report, which is formally addressed to all relevant national authorities.</w:t>
      </w:r>
    </w:p>
    <w:p w14:paraId="4CC25B31" w14:textId="3750AE97" w:rsidR="0063516B" w:rsidRPr="00AE03A6" w:rsidRDefault="0063516B" w:rsidP="00CF1C06">
      <w:pPr>
        <w:shd w:val="clear" w:color="auto" w:fill="D9D9D9" w:themeFill="background1" w:themeFillShade="D9"/>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Issue 1:</w:t>
      </w:r>
      <w:r w:rsidR="003A4F35" w:rsidRPr="00AE03A6">
        <w:rPr>
          <w:rFonts w:asciiTheme="majorBidi" w:hAnsiTheme="majorBidi" w:cstheme="majorBidi"/>
          <w:i/>
          <w:iCs/>
          <w:color w:val="000000"/>
          <w:sz w:val="22"/>
          <w:szCs w:val="22"/>
          <w:lang w:val="en-US"/>
        </w:rPr>
        <w:t xml:space="preserve"> The Committee may wish to </w:t>
      </w:r>
      <w:r w:rsidR="007B00A8" w:rsidRPr="00AE03A6">
        <w:rPr>
          <w:rFonts w:asciiTheme="majorBidi" w:hAnsiTheme="majorBidi" w:cstheme="majorBidi"/>
          <w:i/>
          <w:iCs/>
          <w:color w:val="000000"/>
          <w:sz w:val="22"/>
          <w:szCs w:val="22"/>
          <w:lang w:val="en-US"/>
        </w:rPr>
        <w:t xml:space="preserve">address the following question </w:t>
      </w:r>
      <w:r w:rsidR="003A4F35" w:rsidRPr="00AE03A6">
        <w:rPr>
          <w:rFonts w:asciiTheme="majorBidi" w:hAnsiTheme="majorBidi" w:cstheme="majorBidi"/>
          <w:i/>
          <w:iCs/>
          <w:color w:val="000000"/>
          <w:sz w:val="22"/>
          <w:szCs w:val="22"/>
          <w:lang w:val="en-US"/>
        </w:rPr>
        <w:t>to the State party:</w:t>
      </w:r>
    </w:p>
    <w:p w14:paraId="0D45FFEB" w14:textId="291029D6" w:rsidR="0063516B" w:rsidRPr="00AE03A6" w:rsidRDefault="00D71792" w:rsidP="00CF1C06">
      <w:pPr>
        <w:shd w:val="clear" w:color="auto" w:fill="D9D9D9" w:themeFill="background1" w:themeFillShade="D9"/>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Please provide detailed information on the steps taken by the State party toward the ratification of the </w:t>
      </w:r>
      <w:r w:rsidR="005C51FC" w:rsidRPr="00AE03A6">
        <w:rPr>
          <w:rFonts w:asciiTheme="majorBidi" w:hAnsiTheme="majorBidi" w:cstheme="majorBidi"/>
          <w:i/>
          <w:iCs/>
          <w:color w:val="000000"/>
          <w:sz w:val="22"/>
          <w:szCs w:val="22"/>
          <w:lang w:val="en-US"/>
        </w:rPr>
        <w:t>remaining</w:t>
      </w:r>
      <w:r w:rsidRPr="00AE03A6">
        <w:rPr>
          <w:rFonts w:asciiTheme="majorBidi" w:hAnsiTheme="majorBidi" w:cstheme="majorBidi"/>
          <w:i/>
          <w:iCs/>
          <w:color w:val="000000"/>
          <w:sz w:val="22"/>
          <w:szCs w:val="22"/>
          <w:lang w:val="en-US"/>
        </w:rPr>
        <w:t xml:space="preserve"> international instruments</w:t>
      </w:r>
      <w:r w:rsidR="005C51FC" w:rsidRPr="00AE03A6">
        <w:rPr>
          <w:rFonts w:asciiTheme="majorBidi" w:hAnsiTheme="majorBidi" w:cstheme="majorBidi"/>
          <w:i/>
          <w:iCs/>
          <w:color w:val="000000"/>
          <w:sz w:val="22"/>
          <w:szCs w:val="22"/>
          <w:lang w:val="en-US"/>
        </w:rPr>
        <w:t>, especially</w:t>
      </w:r>
      <w:r w:rsidRPr="00AE03A6">
        <w:rPr>
          <w:rFonts w:asciiTheme="majorBidi" w:hAnsiTheme="majorBidi" w:cstheme="majorBidi"/>
          <w:i/>
          <w:iCs/>
          <w:color w:val="000000"/>
          <w:sz w:val="22"/>
          <w:szCs w:val="22"/>
          <w:lang w:val="en-US"/>
        </w:rPr>
        <w:t xml:space="preserve"> the Second Optional Protocol to the International Covenant on Civil and Political Rights (ICCPR), aiming at the abolition of the death penalty.</w:t>
      </w:r>
      <w:r w:rsidR="00CF1C06" w:rsidRPr="00AE03A6">
        <w:rPr>
          <w:rFonts w:asciiTheme="majorBidi" w:hAnsiTheme="majorBidi" w:cstheme="majorBidi"/>
          <w:i/>
          <w:iCs/>
          <w:color w:val="000000"/>
          <w:sz w:val="22"/>
          <w:szCs w:val="22"/>
          <w:lang w:val="en-US"/>
        </w:rPr>
        <w:t xml:space="preserve"> </w:t>
      </w:r>
      <w:r w:rsidRPr="00AE03A6">
        <w:rPr>
          <w:rFonts w:asciiTheme="majorBidi" w:hAnsiTheme="majorBidi" w:cstheme="majorBidi"/>
          <w:i/>
          <w:iCs/>
          <w:color w:val="000000"/>
          <w:sz w:val="22"/>
          <w:szCs w:val="22"/>
          <w:lang w:val="en-US"/>
        </w:rPr>
        <w:t>In particular, indicate whether any legislative, institutional, or policy measures have been initi</w:t>
      </w:r>
      <w:r w:rsidR="00EB3485" w:rsidRPr="00AE03A6">
        <w:rPr>
          <w:rFonts w:asciiTheme="majorBidi" w:hAnsiTheme="majorBidi" w:cstheme="majorBidi"/>
          <w:i/>
          <w:iCs/>
          <w:color w:val="000000"/>
          <w:sz w:val="22"/>
          <w:szCs w:val="22"/>
          <w:lang w:val="en-US"/>
        </w:rPr>
        <w:t>ated to facilitate ratification</w:t>
      </w:r>
      <w:r w:rsidRPr="00AE03A6">
        <w:rPr>
          <w:rFonts w:asciiTheme="majorBidi" w:hAnsiTheme="majorBidi" w:cstheme="majorBidi"/>
          <w:i/>
          <w:iCs/>
          <w:color w:val="000000"/>
          <w:sz w:val="22"/>
          <w:szCs w:val="22"/>
          <w:lang w:val="en-US"/>
        </w:rPr>
        <w:t>.</w:t>
      </w:r>
    </w:p>
    <w:p w14:paraId="1414EB52" w14:textId="6F05D5CF" w:rsidR="009B27CB" w:rsidRPr="00AE03A6" w:rsidRDefault="00C811FF" w:rsidP="00C811FF">
      <w:pPr>
        <w:pStyle w:val="Paragraphedeliste"/>
        <w:numPr>
          <w:ilvl w:val="0"/>
          <w:numId w:val="5"/>
        </w:numPr>
        <w:spacing w:before="200" w:after="120" w:line="240" w:lineRule="auto"/>
        <w:contextualSpacing w:val="0"/>
        <w:jc w:val="both"/>
        <w:rPr>
          <w:rFonts w:asciiTheme="majorBidi" w:hAnsiTheme="majorBidi" w:cstheme="majorBidi"/>
          <w:b/>
          <w:bCs/>
          <w:color w:val="000000" w:themeColor="text1"/>
          <w:lang w:val="en-US"/>
        </w:rPr>
      </w:pPr>
      <w:r w:rsidRPr="00AE03A6">
        <w:rPr>
          <w:rFonts w:asciiTheme="majorBidi" w:hAnsiTheme="majorBidi" w:cstheme="majorBidi"/>
          <w:b/>
          <w:bCs/>
          <w:color w:val="000000" w:themeColor="text1"/>
          <w:lang w:val="en-US"/>
        </w:rPr>
        <w:t>Legal</w:t>
      </w:r>
      <w:r w:rsidR="00383183" w:rsidRPr="00AE03A6">
        <w:rPr>
          <w:rFonts w:asciiTheme="majorBidi" w:hAnsiTheme="majorBidi" w:cstheme="majorBidi"/>
          <w:b/>
          <w:bCs/>
          <w:color w:val="000000" w:themeColor="text1"/>
          <w:lang w:val="en-US"/>
        </w:rPr>
        <w:t xml:space="preserve"> </w:t>
      </w:r>
      <w:r w:rsidR="00084D3D" w:rsidRPr="00AE03A6">
        <w:rPr>
          <w:rFonts w:asciiTheme="majorBidi" w:hAnsiTheme="majorBidi" w:cstheme="majorBidi"/>
          <w:b/>
          <w:bCs/>
          <w:color w:val="000000" w:themeColor="text1"/>
          <w:lang w:val="en-US"/>
        </w:rPr>
        <w:t xml:space="preserve">framework </w:t>
      </w:r>
    </w:p>
    <w:p w14:paraId="01946064" w14:textId="000AF729" w:rsidR="00D5754B" w:rsidRPr="00AE03A6" w:rsidRDefault="009B27CB" w:rsidP="002950EC">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lang w:val="en-US"/>
        </w:rPr>
      </w:pPr>
      <w:r w:rsidRPr="00AE03A6">
        <w:rPr>
          <w:rFonts w:asciiTheme="majorBidi" w:hAnsiTheme="majorBidi" w:cstheme="majorBidi"/>
          <w:color w:val="000000"/>
          <w:lang w:val="en-US"/>
        </w:rPr>
        <w:t xml:space="preserve">The CNDH welcomes the </w:t>
      </w:r>
      <w:r w:rsidR="00EB3485" w:rsidRPr="00AE03A6">
        <w:rPr>
          <w:rFonts w:asciiTheme="majorBidi" w:hAnsiTheme="majorBidi" w:cstheme="majorBidi"/>
          <w:color w:val="000000"/>
          <w:lang w:val="en-US"/>
        </w:rPr>
        <w:t xml:space="preserve">legislative </w:t>
      </w:r>
      <w:r w:rsidRPr="00AE03A6">
        <w:rPr>
          <w:rFonts w:asciiTheme="majorBidi" w:hAnsiTheme="majorBidi" w:cstheme="majorBidi"/>
          <w:color w:val="000000"/>
          <w:lang w:val="en-US"/>
        </w:rPr>
        <w:t>progress made since 20</w:t>
      </w:r>
      <w:r w:rsidR="00045028" w:rsidRPr="00AE03A6">
        <w:rPr>
          <w:rFonts w:asciiTheme="majorBidi" w:hAnsiTheme="majorBidi" w:cstheme="majorBidi"/>
          <w:color w:val="000000"/>
          <w:lang w:val="en-US"/>
        </w:rPr>
        <w:t>16</w:t>
      </w:r>
      <w:r w:rsidRPr="00AE03A6">
        <w:rPr>
          <w:rFonts w:asciiTheme="majorBidi" w:hAnsiTheme="majorBidi" w:cstheme="majorBidi"/>
          <w:color w:val="000000"/>
          <w:lang w:val="en-US"/>
        </w:rPr>
        <w:t xml:space="preserve">, when </w:t>
      </w:r>
      <w:r w:rsidR="00045028" w:rsidRPr="00AE03A6">
        <w:rPr>
          <w:rFonts w:asciiTheme="majorBidi" w:hAnsiTheme="majorBidi" w:cstheme="majorBidi"/>
          <w:lang w:val="en-US"/>
        </w:rPr>
        <w:t xml:space="preserve">the sixth periodic report of Morocco </w:t>
      </w:r>
      <w:r w:rsidR="00045028" w:rsidRPr="00AE03A6">
        <w:rPr>
          <w:rFonts w:asciiTheme="majorBidi" w:hAnsiTheme="majorBidi" w:cstheme="majorBidi"/>
          <w:color w:val="000000"/>
          <w:lang w:val="en-US"/>
        </w:rPr>
        <w:t>was</w:t>
      </w:r>
      <w:r w:rsidRPr="00AE03A6">
        <w:rPr>
          <w:rFonts w:asciiTheme="majorBidi" w:hAnsiTheme="majorBidi" w:cstheme="majorBidi"/>
          <w:color w:val="000000"/>
          <w:lang w:val="en-US"/>
        </w:rPr>
        <w:t xml:space="preserve"> reviewed</w:t>
      </w:r>
      <w:r w:rsidR="00075663" w:rsidRPr="00AE03A6">
        <w:rPr>
          <w:rFonts w:asciiTheme="majorBidi" w:hAnsiTheme="majorBidi" w:cstheme="majorBidi"/>
          <w:color w:val="000000"/>
          <w:lang w:val="en-US"/>
        </w:rPr>
        <w:t>, including</w:t>
      </w:r>
      <w:r w:rsidR="00045028" w:rsidRPr="00AE03A6">
        <w:rPr>
          <w:rFonts w:asciiTheme="majorBidi" w:hAnsiTheme="majorBidi" w:cstheme="majorBidi"/>
          <w:color w:val="000000"/>
          <w:lang w:val="en-US"/>
        </w:rPr>
        <w:t xml:space="preserve"> the adoption </w:t>
      </w:r>
      <w:r w:rsidR="008E20C9" w:rsidRPr="00AE03A6">
        <w:rPr>
          <w:rFonts w:asciiTheme="majorBidi" w:hAnsiTheme="majorBidi" w:cstheme="majorBidi"/>
          <w:color w:val="000000"/>
          <w:lang w:val="en-US"/>
        </w:rPr>
        <w:t>of</w:t>
      </w:r>
      <w:r w:rsidR="000761A3" w:rsidRPr="00AE03A6">
        <w:rPr>
          <w:rFonts w:asciiTheme="majorBidi" w:hAnsiTheme="majorBidi" w:cstheme="majorBidi"/>
          <w:color w:val="000000"/>
          <w:lang w:val="en-US"/>
        </w:rPr>
        <w:t xml:space="preserve"> </w:t>
      </w:r>
      <w:r w:rsidR="00ED63FE" w:rsidRPr="00AE03A6">
        <w:rPr>
          <w:rFonts w:asciiTheme="majorBidi" w:hAnsiTheme="majorBidi" w:cstheme="majorBidi"/>
          <w:color w:val="000000"/>
          <w:lang w:val="en-US"/>
        </w:rPr>
        <w:t>Law N</w:t>
      </w:r>
      <w:r w:rsidR="00075663" w:rsidRPr="00AE03A6">
        <w:rPr>
          <w:rFonts w:asciiTheme="majorBidi" w:hAnsiTheme="majorBidi" w:cstheme="majorBidi"/>
          <w:color w:val="000000"/>
          <w:lang w:val="en-US"/>
        </w:rPr>
        <w:t xml:space="preserve">o. </w:t>
      </w:r>
      <w:r w:rsidR="008E20C9" w:rsidRPr="00AE03A6">
        <w:rPr>
          <w:rFonts w:asciiTheme="majorBidi" w:hAnsiTheme="majorBidi" w:cstheme="majorBidi"/>
          <w:color w:val="000000"/>
          <w:lang w:val="en-US"/>
        </w:rPr>
        <w:t>31</w:t>
      </w:r>
      <w:r w:rsidR="00CF1C06" w:rsidRPr="00AE03A6">
        <w:rPr>
          <w:rFonts w:asciiTheme="majorBidi" w:hAnsiTheme="majorBidi" w:cstheme="majorBidi"/>
          <w:color w:val="000000"/>
          <w:lang w:val="en-US"/>
        </w:rPr>
        <w:t>.</w:t>
      </w:r>
      <w:r w:rsidR="008E20C9" w:rsidRPr="00AE03A6">
        <w:rPr>
          <w:rFonts w:asciiTheme="majorBidi" w:hAnsiTheme="majorBidi" w:cstheme="majorBidi"/>
          <w:color w:val="000000"/>
          <w:lang w:val="en-US"/>
        </w:rPr>
        <w:t>13</w:t>
      </w:r>
      <w:r w:rsidR="00ED63FE" w:rsidRPr="00AE03A6">
        <w:rPr>
          <w:rFonts w:asciiTheme="majorBidi" w:hAnsiTheme="majorBidi" w:cstheme="majorBidi"/>
          <w:color w:val="000000"/>
          <w:lang w:val="en-US"/>
        </w:rPr>
        <w:t xml:space="preserve"> on the right of access to information</w:t>
      </w:r>
      <w:r w:rsidR="00075663" w:rsidRPr="00AE03A6">
        <w:rPr>
          <w:rFonts w:asciiTheme="majorBidi" w:hAnsiTheme="majorBidi" w:cstheme="majorBidi"/>
          <w:color w:val="000000"/>
          <w:lang w:val="en-US"/>
        </w:rPr>
        <w:t xml:space="preserve"> (2018)</w:t>
      </w:r>
      <w:r w:rsidR="008E20C9" w:rsidRPr="00AE03A6">
        <w:rPr>
          <w:rStyle w:val="Appelnotedebasdep"/>
          <w:rFonts w:asciiTheme="majorBidi" w:hAnsiTheme="majorBidi" w:cstheme="majorBidi"/>
          <w:color w:val="000000"/>
          <w:lang w:val="en-US"/>
        </w:rPr>
        <w:footnoteReference w:id="7"/>
      </w:r>
      <w:r w:rsidR="008E20C9" w:rsidRPr="00AE03A6">
        <w:rPr>
          <w:rFonts w:asciiTheme="majorBidi" w:hAnsiTheme="majorBidi" w:cstheme="majorBidi"/>
          <w:color w:val="000000"/>
          <w:lang w:val="en-US"/>
        </w:rPr>
        <w:t xml:space="preserve">; </w:t>
      </w:r>
      <w:r w:rsidR="00075663" w:rsidRPr="00AE03A6">
        <w:rPr>
          <w:rFonts w:asciiTheme="majorBidi" w:hAnsiTheme="majorBidi" w:cstheme="majorBidi"/>
          <w:lang w:val="en-US"/>
        </w:rPr>
        <w:t>Law No. 43.22 on alternative sanctions (2024)</w:t>
      </w:r>
      <w:r w:rsidR="00075663" w:rsidRPr="00AE03A6">
        <w:rPr>
          <w:rFonts w:asciiTheme="majorBidi" w:hAnsiTheme="majorBidi" w:cstheme="majorBidi"/>
          <w:vertAlign w:val="superscript"/>
          <w:lang w:val="en-US"/>
        </w:rPr>
        <w:footnoteReference w:id="8"/>
      </w:r>
      <w:r w:rsidR="00075663" w:rsidRPr="00AE03A6">
        <w:rPr>
          <w:rFonts w:asciiTheme="majorBidi" w:hAnsiTheme="majorBidi" w:cstheme="majorBidi"/>
          <w:lang w:val="en-US"/>
        </w:rPr>
        <w:t xml:space="preserve">; </w:t>
      </w:r>
      <w:r w:rsidR="00EB3485" w:rsidRPr="00AE03A6">
        <w:rPr>
          <w:rFonts w:asciiTheme="majorBidi" w:hAnsiTheme="majorBidi" w:cstheme="majorBidi"/>
          <w:lang w:val="en-US"/>
        </w:rPr>
        <w:t>Law No. 103.13 on combating violence against women (2018)</w:t>
      </w:r>
      <w:r w:rsidR="00EB3485" w:rsidRPr="00AE03A6">
        <w:rPr>
          <w:rStyle w:val="Appelnotedebasdep"/>
          <w:rFonts w:asciiTheme="majorBidi" w:hAnsiTheme="majorBidi" w:cstheme="majorBidi"/>
          <w:lang w:val="en-US"/>
        </w:rPr>
        <w:footnoteReference w:id="9"/>
      </w:r>
      <w:r w:rsidR="00EB3485" w:rsidRPr="00AE03A6">
        <w:rPr>
          <w:rFonts w:asciiTheme="majorBidi" w:hAnsiTheme="majorBidi" w:cstheme="majorBidi"/>
          <w:lang w:val="en-US"/>
        </w:rPr>
        <w:t>; Law No. 10.23 concerning the organization and management of penal institutions</w:t>
      </w:r>
      <w:r w:rsidR="00EB3485" w:rsidRPr="00AE03A6">
        <w:rPr>
          <w:rStyle w:val="Appelnotedebasdep"/>
          <w:rFonts w:asciiTheme="majorBidi" w:hAnsiTheme="majorBidi" w:cstheme="majorBidi"/>
          <w:lang w:val="en-US"/>
        </w:rPr>
        <w:footnoteReference w:id="10"/>
      </w:r>
      <w:r w:rsidR="00EB3485" w:rsidRPr="00AE03A6">
        <w:rPr>
          <w:rFonts w:asciiTheme="majorBidi" w:hAnsiTheme="majorBidi" w:cstheme="majorBidi"/>
          <w:lang w:val="en-US"/>
        </w:rPr>
        <w:t xml:space="preserve">; </w:t>
      </w:r>
      <w:r w:rsidR="00075663" w:rsidRPr="00AE03A6">
        <w:rPr>
          <w:rFonts w:asciiTheme="majorBidi" w:hAnsiTheme="majorBidi" w:cstheme="majorBidi"/>
          <w:lang w:val="en-US"/>
        </w:rPr>
        <w:t>Law No.</w:t>
      </w:r>
      <w:r w:rsidR="00ED63FE" w:rsidRPr="00AE03A6">
        <w:rPr>
          <w:rFonts w:asciiTheme="majorBidi" w:hAnsiTheme="majorBidi" w:cstheme="majorBidi"/>
          <w:lang w:val="en-US"/>
        </w:rPr>
        <w:t xml:space="preserve"> </w:t>
      </w:r>
      <w:r w:rsidR="00B85D37" w:rsidRPr="00AE03A6">
        <w:rPr>
          <w:rFonts w:asciiTheme="majorBidi" w:hAnsiTheme="majorBidi" w:cstheme="majorBidi"/>
          <w:lang w:val="en-US"/>
        </w:rPr>
        <w:t>06</w:t>
      </w:r>
      <w:r w:rsidR="00CF1C06" w:rsidRPr="00AE03A6">
        <w:rPr>
          <w:rFonts w:asciiTheme="majorBidi" w:hAnsiTheme="majorBidi" w:cstheme="majorBidi"/>
          <w:lang w:val="en-US"/>
        </w:rPr>
        <w:t>.</w:t>
      </w:r>
      <w:r w:rsidR="00B85D37" w:rsidRPr="00AE03A6">
        <w:rPr>
          <w:rFonts w:asciiTheme="majorBidi" w:hAnsiTheme="majorBidi" w:cstheme="majorBidi"/>
          <w:lang w:val="en-US"/>
        </w:rPr>
        <w:t>18</w:t>
      </w:r>
      <w:r w:rsidR="00ED63FE" w:rsidRPr="00AE03A6">
        <w:rPr>
          <w:rFonts w:asciiTheme="majorBidi" w:hAnsiTheme="majorBidi" w:cstheme="majorBidi"/>
          <w:lang w:val="en-US"/>
        </w:rPr>
        <w:t xml:space="preserve"> relating to the organization of voluntary work</w:t>
      </w:r>
      <w:r w:rsidR="00075663" w:rsidRPr="00AE03A6">
        <w:rPr>
          <w:rFonts w:asciiTheme="majorBidi" w:hAnsiTheme="majorBidi" w:cstheme="majorBidi"/>
          <w:lang w:val="en-US"/>
        </w:rPr>
        <w:t xml:space="preserve"> (2021</w:t>
      </w:r>
      <w:r w:rsidR="00075663" w:rsidRPr="00AE03A6">
        <w:rPr>
          <w:rFonts w:asciiTheme="majorBidi" w:hAnsiTheme="majorBidi" w:cstheme="majorBidi"/>
          <w:color w:val="000000"/>
          <w:lang w:val="en-US"/>
        </w:rPr>
        <w:t>)</w:t>
      </w:r>
      <w:r w:rsidR="008E20C9" w:rsidRPr="00AE03A6">
        <w:rPr>
          <w:rStyle w:val="Appelnotedebasdep"/>
          <w:rFonts w:asciiTheme="majorBidi" w:hAnsiTheme="majorBidi" w:cstheme="majorBidi"/>
          <w:color w:val="000000"/>
          <w:lang w:val="en-US"/>
        </w:rPr>
        <w:footnoteReference w:id="11"/>
      </w:r>
      <w:r w:rsidR="008E20C9" w:rsidRPr="00AE03A6">
        <w:rPr>
          <w:rFonts w:asciiTheme="majorBidi" w:hAnsiTheme="majorBidi" w:cstheme="majorBidi"/>
          <w:color w:val="000000"/>
          <w:lang w:val="en-US"/>
        </w:rPr>
        <w:t>;</w:t>
      </w:r>
      <w:r w:rsidR="00383183" w:rsidRPr="00AE03A6">
        <w:rPr>
          <w:rFonts w:asciiTheme="majorBidi" w:hAnsiTheme="majorBidi" w:cstheme="majorBidi"/>
          <w:lang w:val="en-US"/>
        </w:rPr>
        <w:t xml:space="preserve"> Law No. 27-14 on the fight against human trafficking</w:t>
      </w:r>
      <w:r w:rsidR="00EB3485" w:rsidRPr="00AE03A6">
        <w:rPr>
          <w:rFonts w:asciiTheme="majorBidi" w:hAnsiTheme="majorBidi" w:cstheme="majorBidi"/>
          <w:lang w:val="en-US"/>
        </w:rPr>
        <w:t xml:space="preserve"> (2016);</w:t>
      </w:r>
      <w:r w:rsidR="00383183" w:rsidRPr="00AE03A6">
        <w:rPr>
          <w:rFonts w:asciiTheme="majorBidi" w:hAnsiTheme="majorBidi" w:cstheme="majorBidi"/>
          <w:lang w:val="en-US"/>
        </w:rPr>
        <w:t xml:space="preserve"> Law No. 19</w:t>
      </w:r>
      <w:r w:rsidR="00CF1C06" w:rsidRPr="00AE03A6">
        <w:rPr>
          <w:rFonts w:asciiTheme="majorBidi" w:hAnsiTheme="majorBidi" w:cstheme="majorBidi"/>
          <w:lang w:val="en-US"/>
        </w:rPr>
        <w:t>.</w:t>
      </w:r>
      <w:r w:rsidR="00383183" w:rsidRPr="00AE03A6">
        <w:rPr>
          <w:rFonts w:asciiTheme="majorBidi" w:hAnsiTheme="majorBidi" w:cstheme="majorBidi"/>
          <w:lang w:val="en-US"/>
        </w:rPr>
        <w:t xml:space="preserve">12 setting the working and employment conditions of domestic workers </w:t>
      </w:r>
      <w:r w:rsidR="00EB3485" w:rsidRPr="00AE03A6">
        <w:rPr>
          <w:rFonts w:asciiTheme="majorBidi" w:hAnsiTheme="majorBidi" w:cstheme="majorBidi"/>
          <w:lang w:val="en-US"/>
        </w:rPr>
        <w:t>(</w:t>
      </w:r>
      <w:r w:rsidR="00383183" w:rsidRPr="00AE03A6">
        <w:rPr>
          <w:rFonts w:asciiTheme="majorBidi" w:hAnsiTheme="majorBidi" w:cstheme="majorBidi"/>
          <w:lang w:val="en-US"/>
        </w:rPr>
        <w:t>2016</w:t>
      </w:r>
      <w:r w:rsidR="00EB3485" w:rsidRPr="00AE03A6">
        <w:rPr>
          <w:rFonts w:asciiTheme="majorBidi" w:hAnsiTheme="majorBidi" w:cstheme="majorBidi"/>
          <w:lang w:val="en-US"/>
        </w:rPr>
        <w:t>)</w:t>
      </w:r>
      <w:r w:rsidR="00383183" w:rsidRPr="00AE03A6">
        <w:rPr>
          <w:rFonts w:asciiTheme="majorBidi" w:hAnsiTheme="majorBidi" w:cstheme="majorBidi"/>
          <w:lang w:val="en-US"/>
        </w:rPr>
        <w:t>.</w:t>
      </w:r>
      <w:r w:rsidR="003E3BD8" w:rsidRPr="00AE03A6">
        <w:rPr>
          <w:rFonts w:asciiTheme="majorBidi" w:hAnsiTheme="majorBidi" w:cstheme="majorBidi"/>
          <w:lang w:val="en-US"/>
        </w:rPr>
        <w:t xml:space="preserve"> </w:t>
      </w:r>
      <w:r w:rsidR="002950EC" w:rsidRPr="00AE03A6">
        <w:rPr>
          <w:rFonts w:asciiTheme="majorBidi" w:hAnsiTheme="majorBidi" w:cstheme="majorBidi"/>
          <w:lang w:val="en-US"/>
        </w:rPr>
        <w:t xml:space="preserve">Several laws have been </w:t>
      </w:r>
      <w:r w:rsidR="00CF1C06" w:rsidRPr="00AE03A6">
        <w:rPr>
          <w:rFonts w:asciiTheme="majorBidi" w:hAnsiTheme="majorBidi" w:cstheme="majorBidi"/>
          <w:lang w:val="en-US"/>
        </w:rPr>
        <w:t xml:space="preserve">also </w:t>
      </w:r>
      <w:r w:rsidR="002950EC" w:rsidRPr="00AE03A6">
        <w:rPr>
          <w:rFonts w:asciiTheme="majorBidi" w:hAnsiTheme="majorBidi" w:cstheme="majorBidi"/>
          <w:lang w:val="en-US"/>
        </w:rPr>
        <w:t xml:space="preserve">adopted to regulate the functioning of various constitutional institutions, including the </w:t>
      </w:r>
      <w:r w:rsidR="002950EC" w:rsidRPr="00AE03A6">
        <w:rPr>
          <w:rFonts w:asciiTheme="majorBidi" w:hAnsiTheme="majorBidi" w:cstheme="majorBidi"/>
          <w:color w:val="000000"/>
          <w:lang w:val="en-US"/>
        </w:rPr>
        <w:t>Authority for Parity and against all Forms of Discrimination, Advisory Council for the Family and Children, Advisory Council for Youth and Civil Society Action and National Council for Languages and Moroccan Culture.</w:t>
      </w:r>
    </w:p>
    <w:p w14:paraId="268A6E19" w14:textId="58F9C7CA" w:rsidR="00C63626" w:rsidRPr="00AE03A6" w:rsidRDefault="00383183" w:rsidP="002950EC">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lang w:val="en-US"/>
        </w:rPr>
      </w:pPr>
      <w:r w:rsidRPr="00AE03A6">
        <w:rPr>
          <w:rFonts w:asciiTheme="majorBidi" w:hAnsiTheme="majorBidi" w:cstheme="majorBidi"/>
          <w:lang w:val="en-US"/>
        </w:rPr>
        <w:t>Morocco is currently undertaking a broad and ambitious process of legal reform</w:t>
      </w:r>
      <w:r w:rsidR="002950EC" w:rsidRPr="00AE03A6">
        <w:rPr>
          <w:rFonts w:asciiTheme="majorBidi" w:hAnsiTheme="majorBidi" w:cstheme="majorBidi"/>
          <w:lang w:val="en-US"/>
        </w:rPr>
        <w:t>s</w:t>
      </w:r>
      <w:r w:rsidRPr="00AE03A6">
        <w:rPr>
          <w:rFonts w:asciiTheme="majorBidi" w:hAnsiTheme="majorBidi" w:cstheme="majorBidi"/>
          <w:lang w:val="en-US"/>
        </w:rPr>
        <w:t xml:space="preserve"> aimed at strengthening the rule of law and aligning its legislative framework with international human rights standards, including the </w:t>
      </w:r>
      <w:r w:rsidR="002950EC" w:rsidRPr="00AE03A6">
        <w:rPr>
          <w:rFonts w:asciiTheme="majorBidi" w:hAnsiTheme="majorBidi" w:cstheme="majorBidi"/>
          <w:lang w:val="en-US"/>
        </w:rPr>
        <w:t>ICCPR</w:t>
      </w:r>
      <w:r w:rsidRPr="00AE03A6">
        <w:rPr>
          <w:rFonts w:asciiTheme="majorBidi" w:hAnsiTheme="majorBidi" w:cstheme="majorBidi"/>
          <w:lang w:val="en-US"/>
        </w:rPr>
        <w:t xml:space="preserve">. This reform agenda includes the revision of key legal instruments such as the Penal Code, the Code of </w:t>
      </w:r>
      <w:r w:rsidR="00B17F83" w:rsidRPr="00AE03A6">
        <w:rPr>
          <w:rFonts w:asciiTheme="majorBidi" w:hAnsiTheme="majorBidi" w:cstheme="majorBidi"/>
          <w:lang w:val="en-US"/>
        </w:rPr>
        <w:t xml:space="preserve">Penal </w:t>
      </w:r>
      <w:r w:rsidRPr="00AE03A6">
        <w:rPr>
          <w:rFonts w:asciiTheme="majorBidi" w:hAnsiTheme="majorBidi" w:cstheme="majorBidi"/>
          <w:lang w:val="en-US"/>
        </w:rPr>
        <w:t>Procedure,</w:t>
      </w:r>
      <w:r w:rsidR="002950EC" w:rsidRPr="00AE03A6">
        <w:rPr>
          <w:rFonts w:asciiTheme="majorBidi" w:hAnsiTheme="majorBidi" w:cstheme="majorBidi"/>
          <w:lang w:val="en-US"/>
        </w:rPr>
        <w:t xml:space="preserve"> the Code of Civil Procedure and </w:t>
      </w:r>
      <w:r w:rsidRPr="00AE03A6">
        <w:rPr>
          <w:rFonts w:asciiTheme="majorBidi" w:hAnsiTheme="majorBidi" w:cstheme="majorBidi"/>
          <w:lang w:val="en-US"/>
        </w:rPr>
        <w:t xml:space="preserve">the Family Code (Moudawana). In addition, the State is working toward the adoption of an organic law on the </w:t>
      </w:r>
      <w:r w:rsidR="00C63626" w:rsidRPr="00AE03A6">
        <w:rPr>
          <w:rFonts w:asciiTheme="majorBidi" w:hAnsiTheme="majorBidi" w:cstheme="majorBidi"/>
          <w:lang w:val="en-US"/>
        </w:rPr>
        <w:t>exception of un</w:t>
      </w:r>
      <w:r w:rsidRPr="00AE03A6">
        <w:rPr>
          <w:rFonts w:asciiTheme="majorBidi" w:hAnsiTheme="majorBidi" w:cstheme="majorBidi"/>
          <w:lang w:val="en-US"/>
        </w:rPr>
        <w:t>constitutional</w:t>
      </w:r>
      <w:r w:rsidR="00C63626" w:rsidRPr="00AE03A6">
        <w:rPr>
          <w:rFonts w:asciiTheme="majorBidi" w:hAnsiTheme="majorBidi" w:cstheme="majorBidi"/>
          <w:lang w:val="en-US"/>
        </w:rPr>
        <w:t>ity</w:t>
      </w:r>
      <w:r w:rsidRPr="00AE03A6">
        <w:rPr>
          <w:rFonts w:asciiTheme="majorBidi" w:hAnsiTheme="majorBidi" w:cstheme="majorBidi"/>
          <w:lang w:val="en-US"/>
        </w:rPr>
        <w:t xml:space="preserve">, as well as comprehensive legislative reforms related to migration and refugee protection. </w:t>
      </w:r>
      <w:r w:rsidR="003A5E40" w:rsidRPr="00AE03A6">
        <w:rPr>
          <w:rFonts w:asciiTheme="majorBidi" w:hAnsiTheme="majorBidi" w:cstheme="majorBidi"/>
          <w:lang w:val="en-US"/>
        </w:rPr>
        <w:t>To be noted that on 20 May 2025, the House of Representatives adopted by majority of votes a government bill on the penal procedure</w:t>
      </w:r>
      <w:r w:rsidR="003A5E40" w:rsidRPr="00AE03A6">
        <w:rPr>
          <w:rStyle w:val="Appelnotedebasdep"/>
          <w:rFonts w:asciiTheme="majorBidi" w:hAnsiTheme="majorBidi" w:cstheme="majorBidi"/>
          <w:lang w:val="en-US"/>
        </w:rPr>
        <w:footnoteReference w:id="12"/>
      </w:r>
      <w:r w:rsidR="003A5E40" w:rsidRPr="00AE03A6">
        <w:rPr>
          <w:rFonts w:asciiTheme="majorBidi" w:hAnsiTheme="majorBidi" w:cstheme="majorBidi"/>
          <w:lang w:val="en-US"/>
        </w:rPr>
        <w:t>.</w:t>
      </w:r>
    </w:p>
    <w:p w14:paraId="37996F95" w14:textId="56C8526E" w:rsidR="00BB4554" w:rsidRPr="00AE03A6" w:rsidRDefault="00167A43" w:rsidP="00C63626">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lang w:val="en-US"/>
        </w:rPr>
      </w:pPr>
      <w:r w:rsidRPr="00AE03A6">
        <w:rPr>
          <w:rFonts w:asciiTheme="majorBidi" w:hAnsiTheme="majorBidi" w:cstheme="majorBidi"/>
          <w:lang w:val="en-US"/>
        </w:rPr>
        <w:t>The CNDH issued opinion</w:t>
      </w:r>
      <w:r w:rsidR="00C63626" w:rsidRPr="00AE03A6">
        <w:rPr>
          <w:rFonts w:asciiTheme="majorBidi" w:hAnsiTheme="majorBidi" w:cstheme="majorBidi"/>
          <w:lang w:val="en-US"/>
        </w:rPr>
        <w:t xml:space="preserve">s and memorandums </w:t>
      </w:r>
      <w:r w:rsidR="00CF1C06" w:rsidRPr="00AE03A6">
        <w:rPr>
          <w:rFonts w:asciiTheme="majorBidi" w:hAnsiTheme="majorBidi" w:cstheme="majorBidi"/>
          <w:lang w:val="en-US"/>
        </w:rPr>
        <w:t xml:space="preserve">on several draft laws, </w:t>
      </w:r>
      <w:r w:rsidR="00C63626" w:rsidRPr="00AE03A6">
        <w:rPr>
          <w:rFonts w:asciiTheme="majorBidi" w:hAnsiTheme="majorBidi" w:cstheme="majorBidi"/>
          <w:lang w:val="en-US"/>
        </w:rPr>
        <w:t xml:space="preserve">from a human </w:t>
      </w:r>
      <w:proofErr w:type="gramStart"/>
      <w:r w:rsidR="00C63626" w:rsidRPr="00AE03A6">
        <w:rPr>
          <w:rFonts w:asciiTheme="majorBidi" w:hAnsiTheme="majorBidi" w:cstheme="majorBidi"/>
          <w:lang w:val="en-US"/>
        </w:rPr>
        <w:t>perspective</w:t>
      </w:r>
      <w:r w:rsidRPr="00AE03A6">
        <w:rPr>
          <w:rFonts w:asciiTheme="majorBidi" w:hAnsiTheme="majorBidi" w:cstheme="majorBidi"/>
          <w:lang w:val="en-US"/>
        </w:rPr>
        <w:t xml:space="preserve"> </w:t>
      </w:r>
      <w:r w:rsidR="00CC0F96" w:rsidRPr="00AE03A6">
        <w:rPr>
          <w:rFonts w:asciiTheme="majorBidi" w:hAnsiTheme="majorBidi" w:cstheme="majorBidi"/>
          <w:lang w:val="en-US"/>
        </w:rPr>
        <w:t>:</w:t>
      </w:r>
      <w:proofErr w:type="gramEnd"/>
      <w:r w:rsidRPr="00AE03A6">
        <w:rPr>
          <w:rFonts w:asciiTheme="majorBidi" w:hAnsiTheme="majorBidi" w:cstheme="majorBidi"/>
          <w:lang w:val="en-US"/>
        </w:rPr>
        <w:t xml:space="preserve"> </w:t>
      </w:r>
      <w:r w:rsidR="00C63626" w:rsidRPr="00AE03A6">
        <w:rPr>
          <w:rFonts w:asciiTheme="majorBidi" w:hAnsiTheme="majorBidi" w:cstheme="majorBidi"/>
          <w:lang w:val="en-US"/>
        </w:rPr>
        <w:t>Draft Law No. 10.16 amending and supplementing the Penal Code</w:t>
      </w:r>
      <w:r w:rsidR="00C63626" w:rsidRPr="00AE03A6">
        <w:rPr>
          <w:rStyle w:val="Appelnotedebasdep"/>
          <w:rFonts w:asciiTheme="majorBidi" w:hAnsiTheme="majorBidi" w:cstheme="majorBidi"/>
          <w:lang w:val="en-US"/>
        </w:rPr>
        <w:footnoteReference w:id="13"/>
      </w:r>
      <w:r w:rsidR="00C63626" w:rsidRPr="00AE03A6">
        <w:rPr>
          <w:rFonts w:asciiTheme="majorBidi" w:hAnsiTheme="majorBidi" w:cstheme="majorBidi"/>
          <w:lang w:val="en-US"/>
        </w:rPr>
        <w:t xml:space="preserve">, </w:t>
      </w:r>
      <w:r w:rsidRPr="00AE03A6">
        <w:rPr>
          <w:rFonts w:asciiTheme="majorBidi" w:hAnsiTheme="majorBidi" w:cstheme="majorBidi"/>
          <w:lang w:val="en-US"/>
        </w:rPr>
        <w:t xml:space="preserve">Draft Law No. 01.18 </w:t>
      </w:r>
      <w:r w:rsidRPr="00AE03A6">
        <w:rPr>
          <w:rFonts w:asciiTheme="majorBidi" w:hAnsiTheme="majorBidi" w:cstheme="majorBidi"/>
          <w:lang w:val="en-US"/>
        </w:rPr>
        <w:lastRenderedPageBreak/>
        <w:t>amending and supplemen</w:t>
      </w:r>
      <w:r w:rsidR="002950EC" w:rsidRPr="00AE03A6">
        <w:rPr>
          <w:rFonts w:asciiTheme="majorBidi" w:hAnsiTheme="majorBidi" w:cstheme="majorBidi"/>
          <w:lang w:val="en-US"/>
        </w:rPr>
        <w:t xml:space="preserve">ting Law No. 22.01 on </w:t>
      </w:r>
      <w:r w:rsidR="00B17F83" w:rsidRPr="00AE03A6">
        <w:rPr>
          <w:rFonts w:asciiTheme="majorBidi" w:hAnsiTheme="majorBidi" w:cstheme="majorBidi"/>
          <w:lang w:val="en-US"/>
        </w:rPr>
        <w:t xml:space="preserve">Penal </w:t>
      </w:r>
      <w:r w:rsidR="002950EC" w:rsidRPr="00AE03A6">
        <w:rPr>
          <w:rFonts w:asciiTheme="majorBidi" w:hAnsiTheme="majorBidi" w:cstheme="majorBidi"/>
          <w:lang w:val="en-US"/>
        </w:rPr>
        <w:t>P</w:t>
      </w:r>
      <w:r w:rsidRPr="00AE03A6">
        <w:rPr>
          <w:rFonts w:asciiTheme="majorBidi" w:hAnsiTheme="majorBidi" w:cstheme="majorBidi"/>
          <w:lang w:val="en-US"/>
        </w:rPr>
        <w:t>rocedure</w:t>
      </w:r>
      <w:r w:rsidRPr="00AE03A6">
        <w:rPr>
          <w:rFonts w:asciiTheme="majorBidi" w:hAnsiTheme="majorBidi" w:cstheme="majorBidi"/>
          <w:vertAlign w:val="superscript"/>
        </w:rPr>
        <w:footnoteReference w:id="14"/>
      </w:r>
      <w:r w:rsidR="00C63626" w:rsidRPr="00AE03A6">
        <w:rPr>
          <w:rFonts w:asciiTheme="majorBidi" w:hAnsiTheme="majorBidi" w:cstheme="majorBidi"/>
          <w:lang w:val="en-US"/>
        </w:rPr>
        <w:t xml:space="preserve">, </w:t>
      </w:r>
      <w:r w:rsidR="00AE7E7E" w:rsidRPr="00AE03A6">
        <w:rPr>
          <w:rFonts w:asciiTheme="majorBidi" w:hAnsiTheme="majorBidi" w:cstheme="majorBidi"/>
          <w:lang w:val="en-US"/>
        </w:rPr>
        <w:t>Draft Law on Civil Procedure</w:t>
      </w:r>
      <w:r w:rsidR="00F058C6" w:rsidRPr="00AE03A6">
        <w:rPr>
          <w:rStyle w:val="Appelnotedebasdep"/>
          <w:rFonts w:asciiTheme="majorBidi" w:hAnsiTheme="majorBidi" w:cstheme="majorBidi"/>
          <w:lang w:val="en-US"/>
        </w:rPr>
        <w:footnoteReference w:id="15"/>
      </w:r>
      <w:r w:rsidR="00AE7E7E" w:rsidRPr="00AE03A6">
        <w:rPr>
          <w:rFonts w:asciiTheme="majorBidi" w:hAnsiTheme="majorBidi" w:cstheme="majorBidi"/>
          <w:lang w:val="en-US"/>
        </w:rPr>
        <w:t xml:space="preserve">, </w:t>
      </w:r>
      <w:r w:rsidR="00C63626" w:rsidRPr="00AE03A6">
        <w:rPr>
          <w:rFonts w:asciiTheme="majorBidi" w:hAnsiTheme="majorBidi" w:cstheme="majorBidi"/>
          <w:color w:val="000000" w:themeColor="text1"/>
          <w:lang w:val="en-US"/>
        </w:rPr>
        <w:t>Revision of the Family Code</w:t>
      </w:r>
      <w:r w:rsidR="00C63626" w:rsidRPr="00AE03A6">
        <w:rPr>
          <w:rStyle w:val="Appelnotedebasdep"/>
          <w:rFonts w:asciiTheme="majorBidi" w:hAnsiTheme="majorBidi" w:cstheme="majorBidi"/>
          <w:color w:val="000000" w:themeColor="text1"/>
          <w:lang w:val="en-US"/>
        </w:rPr>
        <w:footnoteReference w:id="16"/>
      </w:r>
      <w:r w:rsidR="00C63626" w:rsidRPr="00AE03A6">
        <w:rPr>
          <w:rFonts w:asciiTheme="majorBidi" w:hAnsiTheme="majorBidi" w:cstheme="majorBidi"/>
          <w:lang w:val="en-US"/>
        </w:rPr>
        <w:t>, Draft Organic Law on the Exception of Unconstitutionality</w:t>
      </w:r>
      <w:r w:rsidR="00C63626" w:rsidRPr="00AE03A6">
        <w:rPr>
          <w:rStyle w:val="Appelnotedebasdep"/>
          <w:rFonts w:asciiTheme="majorBidi" w:hAnsiTheme="majorBidi" w:cstheme="majorBidi"/>
          <w:lang w:val="en-US"/>
        </w:rPr>
        <w:footnoteReference w:id="17"/>
      </w:r>
      <w:r w:rsidR="00C63626" w:rsidRPr="00AE03A6">
        <w:rPr>
          <w:rFonts w:asciiTheme="majorBidi" w:hAnsiTheme="majorBidi" w:cstheme="majorBidi"/>
          <w:lang w:val="en-US"/>
        </w:rPr>
        <w:t>. The CNDH will comment on draft laws on migration and refugees in due course.</w:t>
      </w:r>
    </w:p>
    <w:p w14:paraId="1A2A5513" w14:textId="1BA0223E" w:rsidR="00F56A91" w:rsidRPr="00AE03A6" w:rsidRDefault="00A948D7" w:rsidP="009F6E72">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 xml:space="preserve">There is no comprehensive legislation dedicated to the fight against discrimination. </w:t>
      </w:r>
      <w:r w:rsidR="003A5E40" w:rsidRPr="00AE03A6">
        <w:rPr>
          <w:rFonts w:asciiTheme="majorBidi" w:hAnsiTheme="majorBidi" w:cstheme="majorBidi"/>
          <w:color w:val="000000"/>
          <w:lang w:val="en-US"/>
        </w:rPr>
        <w:t>A k</w:t>
      </w:r>
      <w:r w:rsidRPr="00AE03A6">
        <w:rPr>
          <w:rFonts w:asciiTheme="majorBidi" w:hAnsiTheme="majorBidi" w:cstheme="majorBidi"/>
          <w:color w:val="000000"/>
          <w:lang w:val="en-US"/>
        </w:rPr>
        <w:t>ey structuring recommendation made by the CNDH in its annual report</w:t>
      </w:r>
      <w:r w:rsidR="003A5E40" w:rsidRPr="00AE03A6">
        <w:rPr>
          <w:rFonts w:asciiTheme="majorBidi" w:hAnsiTheme="majorBidi" w:cstheme="majorBidi"/>
          <w:color w:val="000000"/>
          <w:lang w:val="en-US"/>
        </w:rPr>
        <w:t>s</w:t>
      </w:r>
      <w:r w:rsidR="00F058C6" w:rsidRPr="00AE03A6">
        <w:rPr>
          <w:rStyle w:val="Appelnotedebasdep"/>
          <w:rFonts w:asciiTheme="majorBidi" w:hAnsiTheme="majorBidi" w:cstheme="majorBidi"/>
          <w:color w:val="000000"/>
          <w:lang w:val="en-US"/>
        </w:rPr>
        <w:footnoteReference w:id="18"/>
      </w:r>
      <w:r w:rsidRPr="00AE03A6">
        <w:rPr>
          <w:rFonts w:asciiTheme="majorBidi" w:hAnsiTheme="majorBidi" w:cstheme="majorBidi"/>
          <w:color w:val="000000"/>
          <w:lang w:val="en-US"/>
        </w:rPr>
        <w:t xml:space="preserve"> </w:t>
      </w:r>
      <w:r w:rsidR="00F058C6" w:rsidRPr="00AE03A6">
        <w:rPr>
          <w:rFonts w:asciiTheme="majorBidi" w:hAnsiTheme="majorBidi" w:cstheme="majorBidi"/>
          <w:color w:val="000000"/>
          <w:lang w:val="en-US"/>
        </w:rPr>
        <w:t>called on the State to</w:t>
      </w:r>
      <w:r w:rsidRPr="00AE03A6">
        <w:rPr>
          <w:rFonts w:asciiTheme="majorBidi" w:hAnsiTheme="majorBidi" w:cstheme="majorBidi"/>
          <w:color w:val="000000"/>
          <w:lang w:val="en-US"/>
        </w:rPr>
        <w:t xml:space="preserve"> </w:t>
      </w:r>
      <w:r w:rsidR="00F058C6" w:rsidRPr="00AE03A6">
        <w:rPr>
          <w:rFonts w:asciiTheme="majorBidi" w:hAnsiTheme="majorBidi" w:cstheme="majorBidi"/>
          <w:color w:val="000000"/>
          <w:lang w:val="en-US"/>
        </w:rPr>
        <w:t>develop a</w:t>
      </w:r>
      <w:r w:rsidRPr="00AE03A6">
        <w:rPr>
          <w:rFonts w:asciiTheme="majorBidi" w:hAnsiTheme="majorBidi" w:cstheme="majorBidi"/>
          <w:color w:val="000000"/>
          <w:lang w:val="en-US"/>
        </w:rPr>
        <w:t xml:space="preserve"> general legislative framework against discrimination </w:t>
      </w:r>
      <w:r w:rsidR="00F058C6" w:rsidRPr="00AE03A6">
        <w:rPr>
          <w:rFonts w:asciiTheme="majorBidi" w:hAnsiTheme="majorBidi" w:cstheme="majorBidi"/>
          <w:color w:val="000000"/>
          <w:lang w:val="en-US"/>
        </w:rPr>
        <w:t>in line</w:t>
      </w:r>
      <w:r w:rsidRPr="00AE03A6">
        <w:rPr>
          <w:rFonts w:asciiTheme="majorBidi" w:hAnsiTheme="majorBidi" w:cstheme="majorBidi"/>
          <w:color w:val="000000"/>
          <w:lang w:val="en-US"/>
        </w:rPr>
        <w:t xml:space="preserve"> with relevant international instruments. This is a necessary step, especially in light of the developments in digital space and </w:t>
      </w:r>
      <w:r w:rsidR="009F6E72" w:rsidRPr="00AE03A6">
        <w:rPr>
          <w:rFonts w:asciiTheme="majorBidi" w:hAnsiTheme="majorBidi" w:cstheme="majorBidi"/>
          <w:color w:val="000000"/>
          <w:lang w:val="en-US"/>
        </w:rPr>
        <w:t>their</w:t>
      </w:r>
      <w:r w:rsidRPr="00AE03A6">
        <w:rPr>
          <w:rFonts w:asciiTheme="majorBidi" w:hAnsiTheme="majorBidi" w:cstheme="majorBidi"/>
          <w:color w:val="000000"/>
          <w:lang w:val="en-US"/>
        </w:rPr>
        <w:t xml:space="preserve"> human rights implications.</w:t>
      </w:r>
    </w:p>
    <w:p w14:paraId="650E68CE" w14:textId="00DA2ACF" w:rsidR="00F56A91" w:rsidRPr="00AE03A6" w:rsidRDefault="00F56A91" w:rsidP="00CF1C06">
      <w:pPr>
        <w:shd w:val="clear" w:color="auto" w:fill="D9D9D9" w:themeFill="background1" w:themeFillShade="D9"/>
        <w:spacing w:before="200" w:after="120"/>
        <w:ind w:left="425"/>
        <w:jc w:val="both"/>
        <w:outlineLvl w:val="0"/>
        <w:rPr>
          <w:rFonts w:asciiTheme="majorBidi" w:hAnsiTheme="majorBidi" w:cstheme="majorBidi"/>
          <w:b/>
          <w:bCs/>
          <w:i/>
          <w:iCs/>
          <w:color w:val="000000"/>
          <w:sz w:val="22"/>
          <w:szCs w:val="22"/>
          <w:lang w:val="en-US"/>
        </w:rPr>
      </w:pPr>
      <w:r w:rsidRPr="00AE03A6">
        <w:rPr>
          <w:rFonts w:asciiTheme="majorBidi" w:hAnsiTheme="majorBidi" w:cstheme="majorBidi"/>
          <w:b/>
          <w:bCs/>
          <w:i/>
          <w:iCs/>
          <w:color w:val="000000"/>
          <w:sz w:val="22"/>
          <w:szCs w:val="22"/>
          <w:lang w:val="en-US"/>
        </w:rPr>
        <w:t xml:space="preserve">Issue </w:t>
      </w:r>
      <w:r w:rsidR="009C5737" w:rsidRPr="00AE03A6">
        <w:rPr>
          <w:rFonts w:asciiTheme="majorBidi" w:hAnsiTheme="majorBidi" w:cstheme="majorBidi"/>
          <w:b/>
          <w:bCs/>
          <w:i/>
          <w:iCs/>
          <w:color w:val="000000"/>
          <w:sz w:val="22"/>
          <w:szCs w:val="22"/>
          <w:lang w:val="en-US"/>
        </w:rPr>
        <w:t>2</w:t>
      </w:r>
      <w:r w:rsidRPr="00AE03A6">
        <w:rPr>
          <w:rFonts w:asciiTheme="majorBidi" w:hAnsiTheme="majorBidi" w:cstheme="majorBidi"/>
          <w:b/>
          <w:bCs/>
          <w:i/>
          <w:iCs/>
          <w:color w:val="000000"/>
          <w:sz w:val="22"/>
          <w:szCs w:val="22"/>
          <w:lang w:val="en-US"/>
        </w:rPr>
        <w:t>:</w:t>
      </w:r>
      <w:r w:rsidR="003A4F35" w:rsidRPr="00AE03A6">
        <w:rPr>
          <w:rFonts w:asciiTheme="majorBidi" w:hAnsiTheme="majorBidi" w:cstheme="majorBidi"/>
          <w:b/>
          <w:bCs/>
          <w:i/>
          <w:iCs/>
          <w:color w:val="000000"/>
          <w:sz w:val="22"/>
          <w:szCs w:val="22"/>
          <w:lang w:val="en-US"/>
        </w:rPr>
        <w:t xml:space="preserve"> 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to the State party:</w:t>
      </w:r>
    </w:p>
    <w:p w14:paraId="06119D2E" w14:textId="57AF7D6D" w:rsidR="00F56A91" w:rsidRPr="00AE03A6" w:rsidRDefault="00F56A91" w:rsidP="00CF1C06">
      <w:pPr>
        <w:shd w:val="clear" w:color="auto" w:fill="D9D9D9" w:themeFill="background1" w:themeFillShade="D9"/>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What steps is the State party taking to accelerate the amendment of </w:t>
      </w:r>
      <w:r w:rsidR="00CF1C06" w:rsidRPr="00AE03A6">
        <w:rPr>
          <w:rFonts w:asciiTheme="majorBidi" w:hAnsiTheme="majorBidi" w:cstheme="majorBidi"/>
          <w:i/>
          <w:iCs/>
          <w:color w:val="000000"/>
          <w:sz w:val="22"/>
          <w:szCs w:val="22"/>
          <w:lang w:val="en-US"/>
        </w:rPr>
        <w:t>the</w:t>
      </w:r>
      <w:r w:rsidRPr="00AE03A6">
        <w:rPr>
          <w:rFonts w:asciiTheme="majorBidi" w:hAnsiTheme="majorBidi" w:cstheme="majorBidi"/>
          <w:i/>
          <w:iCs/>
          <w:color w:val="000000"/>
          <w:sz w:val="22"/>
          <w:szCs w:val="22"/>
          <w:lang w:val="en-US"/>
        </w:rPr>
        <w:t xml:space="preserve"> penal </w:t>
      </w:r>
      <w:r w:rsidR="00CF1C06" w:rsidRPr="00AE03A6">
        <w:rPr>
          <w:rFonts w:asciiTheme="majorBidi" w:hAnsiTheme="majorBidi" w:cstheme="majorBidi"/>
          <w:i/>
          <w:iCs/>
          <w:color w:val="000000"/>
          <w:sz w:val="22"/>
          <w:szCs w:val="22"/>
          <w:lang w:val="en-US"/>
        </w:rPr>
        <w:t>law</w:t>
      </w:r>
      <w:r w:rsidRPr="00AE03A6">
        <w:rPr>
          <w:rFonts w:asciiTheme="majorBidi" w:hAnsiTheme="majorBidi" w:cstheme="majorBidi"/>
          <w:i/>
          <w:iCs/>
          <w:color w:val="000000"/>
          <w:sz w:val="22"/>
          <w:szCs w:val="22"/>
          <w:lang w:val="en-US"/>
        </w:rPr>
        <w:t xml:space="preserve">, </w:t>
      </w:r>
      <w:r w:rsidR="00CF1C06" w:rsidRPr="00AE03A6">
        <w:rPr>
          <w:rFonts w:asciiTheme="majorBidi" w:hAnsiTheme="majorBidi" w:cstheme="majorBidi"/>
          <w:i/>
          <w:iCs/>
          <w:color w:val="000000"/>
          <w:sz w:val="22"/>
          <w:szCs w:val="22"/>
          <w:lang w:val="en-US"/>
        </w:rPr>
        <w:t xml:space="preserve">the </w:t>
      </w:r>
      <w:r w:rsidRPr="00AE03A6">
        <w:rPr>
          <w:rFonts w:asciiTheme="majorBidi" w:hAnsiTheme="majorBidi" w:cstheme="majorBidi"/>
          <w:i/>
          <w:iCs/>
          <w:color w:val="000000"/>
          <w:sz w:val="22"/>
          <w:szCs w:val="22"/>
          <w:lang w:val="en-US"/>
        </w:rPr>
        <w:t xml:space="preserve">penal procedure </w:t>
      </w:r>
      <w:r w:rsidR="001F3DF6" w:rsidRPr="00AE03A6">
        <w:rPr>
          <w:rFonts w:asciiTheme="majorBidi" w:hAnsiTheme="majorBidi" w:cstheme="majorBidi"/>
          <w:i/>
          <w:iCs/>
          <w:color w:val="000000"/>
          <w:sz w:val="22"/>
          <w:szCs w:val="22"/>
          <w:lang w:val="en-US"/>
        </w:rPr>
        <w:t>law</w:t>
      </w:r>
      <w:r w:rsidR="00CF1C06" w:rsidRPr="00AE03A6">
        <w:rPr>
          <w:rFonts w:asciiTheme="majorBidi" w:hAnsiTheme="majorBidi" w:cstheme="majorBidi"/>
          <w:i/>
          <w:iCs/>
          <w:color w:val="000000"/>
          <w:sz w:val="22"/>
          <w:szCs w:val="22"/>
          <w:lang w:val="en-US"/>
        </w:rPr>
        <w:t xml:space="preserve"> and</w:t>
      </w:r>
      <w:r w:rsidR="001F3DF6" w:rsidRPr="00AE03A6">
        <w:rPr>
          <w:rFonts w:asciiTheme="majorBidi" w:hAnsiTheme="majorBidi" w:cstheme="majorBidi"/>
          <w:i/>
          <w:iCs/>
          <w:color w:val="000000"/>
          <w:sz w:val="22"/>
          <w:szCs w:val="22"/>
          <w:lang w:val="en-US"/>
        </w:rPr>
        <w:t xml:space="preserve"> </w:t>
      </w:r>
      <w:r w:rsidR="00CF1C06" w:rsidRPr="00AE03A6">
        <w:rPr>
          <w:rFonts w:asciiTheme="majorBidi" w:hAnsiTheme="majorBidi" w:cstheme="majorBidi"/>
          <w:i/>
          <w:iCs/>
          <w:color w:val="000000"/>
          <w:sz w:val="22"/>
          <w:szCs w:val="22"/>
          <w:lang w:val="en-US"/>
        </w:rPr>
        <w:t xml:space="preserve">the </w:t>
      </w:r>
      <w:r w:rsidR="001F3DF6" w:rsidRPr="00AE03A6">
        <w:rPr>
          <w:rFonts w:asciiTheme="majorBidi" w:hAnsiTheme="majorBidi" w:cstheme="majorBidi"/>
          <w:i/>
          <w:iCs/>
          <w:color w:val="000000"/>
          <w:sz w:val="22"/>
          <w:szCs w:val="22"/>
          <w:lang w:val="en-US"/>
        </w:rPr>
        <w:t>civil procedure law</w:t>
      </w:r>
      <w:r w:rsidR="00CF1C06" w:rsidRPr="00AE03A6">
        <w:rPr>
          <w:rFonts w:asciiTheme="majorBidi" w:hAnsiTheme="majorBidi" w:cstheme="majorBidi"/>
          <w:i/>
          <w:iCs/>
          <w:color w:val="000000"/>
          <w:sz w:val="22"/>
          <w:szCs w:val="22"/>
          <w:lang w:val="en-US"/>
        </w:rPr>
        <w:t xml:space="preserve"> as well as the adoption of</w:t>
      </w:r>
      <w:r w:rsidR="00C63626" w:rsidRPr="00AE03A6">
        <w:rPr>
          <w:rFonts w:asciiTheme="majorBidi" w:hAnsiTheme="majorBidi" w:cstheme="majorBidi"/>
          <w:i/>
          <w:iCs/>
          <w:color w:val="000000"/>
          <w:sz w:val="22"/>
          <w:szCs w:val="22"/>
          <w:lang w:val="en-US"/>
        </w:rPr>
        <w:t xml:space="preserve"> </w:t>
      </w:r>
      <w:r w:rsidR="00CF1C06" w:rsidRPr="00AE03A6">
        <w:rPr>
          <w:rFonts w:asciiTheme="majorBidi" w:hAnsiTheme="majorBidi" w:cstheme="majorBidi"/>
          <w:i/>
          <w:iCs/>
          <w:color w:val="000000"/>
          <w:sz w:val="22"/>
          <w:szCs w:val="22"/>
          <w:lang w:val="en-US"/>
        </w:rPr>
        <w:t xml:space="preserve">an </w:t>
      </w:r>
      <w:r w:rsidR="00C63626" w:rsidRPr="00AE03A6">
        <w:rPr>
          <w:rFonts w:asciiTheme="majorBidi" w:hAnsiTheme="majorBidi" w:cstheme="majorBidi"/>
          <w:i/>
          <w:iCs/>
          <w:color w:val="000000"/>
          <w:sz w:val="22"/>
          <w:szCs w:val="22"/>
          <w:lang w:val="en-US"/>
        </w:rPr>
        <w:t>organic law</w:t>
      </w:r>
      <w:r w:rsidR="00783C70" w:rsidRPr="00AE03A6">
        <w:rPr>
          <w:rFonts w:asciiTheme="majorBidi" w:hAnsiTheme="majorBidi" w:cstheme="majorBidi"/>
          <w:i/>
          <w:iCs/>
          <w:color w:val="000000"/>
          <w:sz w:val="22"/>
          <w:szCs w:val="22"/>
          <w:lang w:val="en-US"/>
        </w:rPr>
        <w:t xml:space="preserve"> relating to</w:t>
      </w:r>
      <w:r w:rsidR="00C63626" w:rsidRPr="00AE03A6">
        <w:rPr>
          <w:rFonts w:asciiTheme="majorBidi" w:hAnsiTheme="majorBidi" w:cstheme="majorBidi"/>
          <w:i/>
          <w:iCs/>
          <w:color w:val="000000"/>
          <w:sz w:val="22"/>
          <w:szCs w:val="22"/>
          <w:lang w:val="en-US"/>
        </w:rPr>
        <w:t xml:space="preserve"> the Exception of Unconstitutionality</w:t>
      </w:r>
      <w:r w:rsidR="00CF1C06" w:rsidRPr="00AE03A6">
        <w:rPr>
          <w:rFonts w:asciiTheme="majorBidi" w:hAnsiTheme="majorBidi" w:cstheme="majorBidi"/>
          <w:i/>
          <w:iCs/>
          <w:color w:val="000000"/>
          <w:sz w:val="22"/>
          <w:szCs w:val="22"/>
          <w:lang w:val="en-US"/>
        </w:rPr>
        <w:t xml:space="preserve">, a </w:t>
      </w:r>
      <w:r w:rsidRPr="00AE03A6">
        <w:rPr>
          <w:rFonts w:asciiTheme="majorBidi" w:hAnsiTheme="majorBidi" w:cstheme="majorBidi"/>
          <w:i/>
          <w:iCs/>
          <w:color w:val="000000"/>
          <w:sz w:val="22"/>
          <w:szCs w:val="22"/>
          <w:lang w:val="en-US"/>
        </w:rPr>
        <w:t>specific legislation against discrimination</w:t>
      </w:r>
      <w:r w:rsidR="00CF1C06" w:rsidRPr="00AE03A6">
        <w:rPr>
          <w:rFonts w:asciiTheme="majorBidi" w:hAnsiTheme="majorBidi" w:cstheme="majorBidi"/>
          <w:i/>
          <w:iCs/>
          <w:color w:val="000000"/>
          <w:sz w:val="22"/>
          <w:szCs w:val="22"/>
          <w:lang w:val="en-US"/>
        </w:rPr>
        <w:t xml:space="preserve">, a law </w:t>
      </w:r>
      <w:r w:rsidR="00C63626" w:rsidRPr="00AE03A6">
        <w:rPr>
          <w:rFonts w:asciiTheme="majorBidi" w:hAnsiTheme="majorBidi" w:cstheme="majorBidi"/>
          <w:i/>
          <w:iCs/>
          <w:color w:val="000000"/>
          <w:sz w:val="22"/>
          <w:szCs w:val="22"/>
          <w:lang w:val="en-US"/>
        </w:rPr>
        <w:t>on migration</w:t>
      </w:r>
      <w:r w:rsidR="00CF1C06" w:rsidRPr="00AE03A6">
        <w:rPr>
          <w:rFonts w:asciiTheme="majorBidi" w:hAnsiTheme="majorBidi" w:cstheme="majorBidi"/>
          <w:i/>
          <w:iCs/>
          <w:color w:val="000000"/>
          <w:sz w:val="22"/>
          <w:szCs w:val="22"/>
          <w:lang w:val="en-US"/>
        </w:rPr>
        <w:t xml:space="preserve"> and</w:t>
      </w:r>
      <w:r w:rsidR="00C63626" w:rsidRPr="00AE03A6">
        <w:rPr>
          <w:rFonts w:asciiTheme="majorBidi" w:hAnsiTheme="majorBidi" w:cstheme="majorBidi"/>
          <w:i/>
          <w:iCs/>
          <w:color w:val="000000"/>
          <w:sz w:val="22"/>
          <w:szCs w:val="22"/>
          <w:lang w:val="en-US"/>
        </w:rPr>
        <w:t xml:space="preserve"> </w:t>
      </w:r>
      <w:r w:rsidR="00CF1C06" w:rsidRPr="00AE03A6">
        <w:rPr>
          <w:rFonts w:asciiTheme="majorBidi" w:hAnsiTheme="majorBidi" w:cstheme="majorBidi"/>
          <w:i/>
          <w:iCs/>
          <w:color w:val="000000"/>
          <w:sz w:val="22"/>
          <w:szCs w:val="22"/>
          <w:lang w:val="en-US"/>
        </w:rPr>
        <w:t xml:space="preserve">law on </w:t>
      </w:r>
      <w:r w:rsidR="00C63626" w:rsidRPr="00AE03A6">
        <w:rPr>
          <w:rFonts w:asciiTheme="majorBidi" w:hAnsiTheme="majorBidi" w:cstheme="majorBidi"/>
          <w:i/>
          <w:iCs/>
          <w:color w:val="000000"/>
          <w:sz w:val="22"/>
          <w:szCs w:val="22"/>
          <w:lang w:val="en-US"/>
        </w:rPr>
        <w:t>refugees</w:t>
      </w:r>
      <w:r w:rsidR="00CF1C06" w:rsidRPr="00AE03A6">
        <w:rPr>
          <w:rFonts w:asciiTheme="majorBidi" w:hAnsiTheme="majorBidi" w:cstheme="majorBidi"/>
          <w:i/>
          <w:iCs/>
          <w:color w:val="000000"/>
          <w:sz w:val="22"/>
          <w:szCs w:val="22"/>
          <w:lang w:val="en-US"/>
        </w:rPr>
        <w:t xml:space="preserve">? Additionally, </w:t>
      </w:r>
      <w:r w:rsidR="001F3DF6" w:rsidRPr="00AE03A6">
        <w:rPr>
          <w:rFonts w:asciiTheme="majorBidi" w:hAnsiTheme="majorBidi" w:cstheme="majorBidi"/>
          <w:i/>
          <w:iCs/>
          <w:color w:val="000000"/>
          <w:sz w:val="22"/>
          <w:szCs w:val="22"/>
          <w:lang w:val="en-US"/>
        </w:rPr>
        <w:t>how</w:t>
      </w:r>
      <w:r w:rsidR="00F8338E" w:rsidRPr="00AE03A6">
        <w:rPr>
          <w:rFonts w:asciiTheme="majorBidi" w:hAnsiTheme="majorBidi" w:cstheme="majorBidi"/>
          <w:i/>
          <w:iCs/>
          <w:color w:val="000000"/>
          <w:sz w:val="22"/>
          <w:szCs w:val="22"/>
          <w:lang w:val="en-US"/>
        </w:rPr>
        <w:t xml:space="preserve"> do</w:t>
      </w:r>
      <w:r w:rsidR="001F3DF6" w:rsidRPr="00AE03A6">
        <w:rPr>
          <w:rFonts w:asciiTheme="majorBidi" w:hAnsiTheme="majorBidi" w:cstheme="majorBidi"/>
          <w:i/>
          <w:iCs/>
          <w:color w:val="000000"/>
          <w:sz w:val="22"/>
          <w:szCs w:val="22"/>
          <w:lang w:val="en-US"/>
        </w:rPr>
        <w:t xml:space="preserve"> the draft laws</w:t>
      </w:r>
      <w:r w:rsidR="00F8338E" w:rsidRPr="00AE03A6">
        <w:rPr>
          <w:rFonts w:asciiTheme="majorBidi" w:hAnsiTheme="majorBidi" w:cstheme="majorBidi"/>
          <w:i/>
          <w:iCs/>
          <w:color w:val="000000"/>
          <w:sz w:val="22"/>
          <w:szCs w:val="22"/>
          <w:lang w:val="en-US"/>
        </w:rPr>
        <w:t xml:space="preserve"> comply with i</w:t>
      </w:r>
      <w:r w:rsidRPr="00AE03A6">
        <w:rPr>
          <w:rFonts w:asciiTheme="majorBidi" w:hAnsiTheme="majorBidi" w:cstheme="majorBidi"/>
          <w:i/>
          <w:iCs/>
          <w:color w:val="000000"/>
          <w:sz w:val="22"/>
          <w:szCs w:val="22"/>
          <w:lang w:val="en-US"/>
        </w:rPr>
        <w:t xml:space="preserve">nternational human rights obligations, including those under the </w:t>
      </w:r>
      <w:r w:rsidR="001F3DF6" w:rsidRPr="00AE03A6">
        <w:rPr>
          <w:rFonts w:asciiTheme="majorBidi" w:hAnsiTheme="majorBidi" w:cstheme="majorBidi"/>
          <w:i/>
          <w:iCs/>
          <w:color w:val="000000"/>
          <w:sz w:val="22"/>
          <w:szCs w:val="22"/>
          <w:lang w:val="en-US"/>
        </w:rPr>
        <w:t>ICCPR</w:t>
      </w:r>
      <w:r w:rsidRPr="00AE03A6">
        <w:rPr>
          <w:rFonts w:asciiTheme="majorBidi" w:hAnsiTheme="majorBidi" w:cstheme="majorBidi"/>
          <w:i/>
          <w:iCs/>
          <w:color w:val="000000"/>
          <w:sz w:val="22"/>
          <w:szCs w:val="22"/>
          <w:lang w:val="en-US"/>
        </w:rPr>
        <w:t>?</w:t>
      </w:r>
    </w:p>
    <w:p w14:paraId="5ACD36D9" w14:textId="294763F3" w:rsidR="00310FB9" w:rsidRPr="00AE03A6" w:rsidRDefault="00310FB9" w:rsidP="00B24643">
      <w:pPr>
        <w:pStyle w:val="Paragraphedeliste"/>
        <w:numPr>
          <w:ilvl w:val="0"/>
          <w:numId w:val="5"/>
        </w:numPr>
        <w:spacing w:before="200" w:after="120" w:line="240" w:lineRule="auto"/>
        <w:contextualSpacing w:val="0"/>
        <w:jc w:val="both"/>
        <w:rPr>
          <w:rFonts w:asciiTheme="majorBidi" w:hAnsiTheme="majorBidi" w:cstheme="majorBidi"/>
          <w:b/>
          <w:bCs/>
          <w:lang w:val="en-US"/>
        </w:rPr>
      </w:pPr>
      <w:r w:rsidRPr="00AE03A6">
        <w:rPr>
          <w:rFonts w:asciiTheme="majorBidi" w:hAnsiTheme="majorBidi" w:cstheme="majorBidi"/>
          <w:b/>
          <w:bCs/>
          <w:lang w:val="en-US"/>
        </w:rPr>
        <w:t xml:space="preserve">Policy </w:t>
      </w:r>
      <w:r w:rsidR="00B24643" w:rsidRPr="00AE03A6">
        <w:rPr>
          <w:rFonts w:asciiTheme="majorBidi" w:hAnsiTheme="majorBidi" w:cstheme="majorBidi"/>
          <w:b/>
          <w:bCs/>
          <w:lang w:val="en-US"/>
        </w:rPr>
        <w:t>framework</w:t>
      </w:r>
      <w:r w:rsidRPr="00AE03A6">
        <w:rPr>
          <w:rFonts w:asciiTheme="majorBidi" w:hAnsiTheme="majorBidi" w:cstheme="majorBidi"/>
          <w:b/>
          <w:bCs/>
          <w:lang w:val="en-US"/>
        </w:rPr>
        <w:t xml:space="preserve"> </w:t>
      </w:r>
    </w:p>
    <w:p w14:paraId="0455448C" w14:textId="77777777" w:rsidR="003706BF" w:rsidRPr="00AE03A6" w:rsidRDefault="00910059" w:rsidP="003706BF">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F</w:t>
      </w:r>
      <w:r w:rsidR="00B24643" w:rsidRPr="00AE03A6">
        <w:rPr>
          <w:rFonts w:asciiTheme="majorBidi" w:hAnsiTheme="majorBidi" w:cstheme="majorBidi"/>
          <w:color w:val="000000"/>
          <w:lang w:val="en-US"/>
        </w:rPr>
        <w:t>ollowing the recommendations of the Declaration and Action Plan of the World Conference on Human Rights (Vienna, 1993), Morocco became</w:t>
      </w:r>
      <w:r w:rsidRPr="00AE03A6">
        <w:rPr>
          <w:rFonts w:asciiTheme="majorBidi" w:hAnsiTheme="majorBidi" w:cstheme="majorBidi"/>
          <w:color w:val="000000"/>
          <w:lang w:val="en-US"/>
        </w:rPr>
        <w:t xml:space="preserve"> in 2017</w:t>
      </w:r>
      <w:r w:rsidR="00B24643" w:rsidRPr="00AE03A6">
        <w:rPr>
          <w:rFonts w:asciiTheme="majorBidi" w:hAnsiTheme="majorBidi" w:cstheme="majorBidi"/>
          <w:color w:val="000000"/>
          <w:lang w:val="en-US"/>
        </w:rPr>
        <w:t xml:space="preserve"> the 39</w:t>
      </w:r>
      <w:r w:rsidR="00B24643" w:rsidRPr="00AE03A6">
        <w:rPr>
          <w:rFonts w:asciiTheme="majorBidi" w:hAnsiTheme="majorBidi" w:cstheme="majorBidi"/>
          <w:color w:val="000000"/>
          <w:vertAlign w:val="superscript"/>
          <w:lang w:val="en-US"/>
        </w:rPr>
        <w:t>th</w:t>
      </w:r>
      <w:r w:rsidR="00B24643" w:rsidRPr="00AE03A6">
        <w:rPr>
          <w:rFonts w:asciiTheme="majorBidi" w:hAnsiTheme="majorBidi" w:cstheme="majorBidi"/>
          <w:color w:val="000000"/>
          <w:lang w:val="en-US"/>
        </w:rPr>
        <w:t xml:space="preserve"> country in the world to have adopted an action plan on democracy and human rights (PANDDH)</w:t>
      </w:r>
      <w:r w:rsidR="00B24643" w:rsidRPr="00AE03A6">
        <w:rPr>
          <w:rFonts w:asciiTheme="majorBidi" w:hAnsiTheme="majorBidi" w:cstheme="majorBidi"/>
          <w:color w:val="000000"/>
          <w:vertAlign w:val="superscript"/>
        </w:rPr>
        <w:footnoteReference w:id="19"/>
      </w:r>
      <w:r w:rsidR="00B24643" w:rsidRPr="00AE03A6">
        <w:rPr>
          <w:rFonts w:asciiTheme="majorBidi" w:hAnsiTheme="majorBidi" w:cstheme="majorBidi"/>
          <w:color w:val="000000"/>
          <w:lang w:val="en-US"/>
        </w:rPr>
        <w:t>. The current Government pledged to update this plan in its government program for 2021-2026</w:t>
      </w:r>
      <w:r w:rsidR="00B24643" w:rsidRPr="00AE03A6">
        <w:rPr>
          <w:rFonts w:asciiTheme="majorBidi" w:hAnsiTheme="majorBidi" w:cstheme="majorBidi"/>
          <w:color w:val="000000"/>
          <w:vertAlign w:val="superscript"/>
        </w:rPr>
        <w:footnoteReference w:id="20"/>
      </w:r>
      <w:r w:rsidR="00B24643" w:rsidRPr="00AE03A6">
        <w:rPr>
          <w:rFonts w:asciiTheme="majorBidi" w:hAnsiTheme="majorBidi" w:cstheme="majorBidi"/>
          <w:color w:val="000000"/>
          <w:lang w:val="en-US"/>
        </w:rPr>
        <w:t>. However, this has not been fulfilled to date. Nevertheless, human rights are central in various sectorial plans, notably those concerning social security, housing and health. An updated PANDDH could contribute to a swift implementation of recommendations addressed to Morocco by international human rights mechanisms and the CNDH, including the recommendations of the Committee.</w:t>
      </w:r>
    </w:p>
    <w:p w14:paraId="6AA49D04" w14:textId="02AD7992" w:rsidR="004F5E05" w:rsidRPr="00AE03A6" w:rsidRDefault="00F56A91" w:rsidP="004F5E05">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themeColor="text1"/>
          <w:lang w:val="en-US"/>
        </w:rPr>
      </w:pPr>
      <w:r w:rsidRPr="00AE03A6">
        <w:rPr>
          <w:rFonts w:asciiTheme="majorBidi" w:hAnsiTheme="majorBidi" w:cstheme="majorBidi"/>
          <w:color w:val="000000" w:themeColor="text1"/>
          <w:lang w:val="en-US"/>
        </w:rPr>
        <w:t xml:space="preserve">Morocco has yet to adopt an action plan addressing the issues of business and human rights. This agenda is needed with a view to </w:t>
      </w:r>
      <w:r w:rsidR="00161BDF" w:rsidRPr="00AE03A6">
        <w:rPr>
          <w:rFonts w:asciiTheme="majorBidi" w:hAnsiTheme="majorBidi" w:cstheme="majorBidi"/>
          <w:color w:val="000000" w:themeColor="text1"/>
          <w:lang w:val="en-US"/>
        </w:rPr>
        <w:t>advancing</w:t>
      </w:r>
      <w:r w:rsidRPr="00AE03A6">
        <w:rPr>
          <w:rFonts w:asciiTheme="majorBidi" w:hAnsiTheme="majorBidi" w:cstheme="majorBidi"/>
          <w:color w:val="000000" w:themeColor="text1"/>
          <w:lang w:val="en-US"/>
        </w:rPr>
        <w:t>, inter alia, civil and political rights</w:t>
      </w:r>
      <w:r w:rsidR="00CF1C06" w:rsidRPr="00AE03A6">
        <w:rPr>
          <w:rFonts w:asciiTheme="majorBidi" w:hAnsiTheme="majorBidi" w:cstheme="majorBidi"/>
          <w:color w:val="000000" w:themeColor="text1"/>
          <w:lang w:val="en-US"/>
        </w:rPr>
        <w:t xml:space="preserve"> in the business context</w:t>
      </w:r>
      <w:r w:rsidRPr="00AE03A6">
        <w:rPr>
          <w:rFonts w:asciiTheme="majorBidi" w:hAnsiTheme="majorBidi" w:cstheme="majorBidi"/>
          <w:color w:val="000000" w:themeColor="text1"/>
          <w:lang w:val="en-US"/>
        </w:rPr>
        <w:t xml:space="preserve">, </w:t>
      </w:r>
      <w:r w:rsidR="00CF1C06" w:rsidRPr="00AE03A6">
        <w:rPr>
          <w:rFonts w:asciiTheme="majorBidi" w:hAnsiTheme="majorBidi" w:cstheme="majorBidi"/>
          <w:color w:val="000000" w:themeColor="text1"/>
          <w:lang w:val="en-US"/>
        </w:rPr>
        <w:t>as part of</w:t>
      </w:r>
      <w:r w:rsidRPr="00AE03A6">
        <w:rPr>
          <w:rFonts w:asciiTheme="majorBidi" w:hAnsiTheme="majorBidi" w:cstheme="majorBidi"/>
          <w:color w:val="000000" w:themeColor="text1"/>
          <w:lang w:val="en-US"/>
        </w:rPr>
        <w:t xml:space="preserve"> the preparation for and organization of major sports events, such as World Cup 2030. The CNDH has been leading promotional actions in this regard, including by the organization of an academic visit, in February 2024, for the Chairperson of the United Nations Working Grou</w:t>
      </w:r>
      <w:r w:rsidR="00161BDF" w:rsidRPr="00AE03A6">
        <w:rPr>
          <w:rFonts w:asciiTheme="majorBidi" w:hAnsiTheme="majorBidi" w:cstheme="majorBidi"/>
          <w:color w:val="000000" w:themeColor="text1"/>
          <w:lang w:val="en-US"/>
        </w:rPr>
        <w:t xml:space="preserve">p on Business and Human Rights, who </w:t>
      </w:r>
      <w:r w:rsidRPr="00AE03A6">
        <w:rPr>
          <w:rFonts w:asciiTheme="majorBidi" w:hAnsiTheme="majorBidi" w:cstheme="majorBidi"/>
          <w:color w:val="000000" w:themeColor="text1"/>
          <w:lang w:val="en-US"/>
        </w:rPr>
        <w:t>dispensed lectures and trainings for several stakeholders, including the CNDH regional human rights commissions, civil society, trade unions, association of employers, universities, media, and met with officials from both chambers of the Parliament.</w:t>
      </w:r>
    </w:p>
    <w:p w14:paraId="633FFB75" w14:textId="164652F6" w:rsidR="004F5E05" w:rsidRPr="00AE03A6" w:rsidRDefault="004F5E05" w:rsidP="00567DAD">
      <w:pPr>
        <w:pStyle w:val="Paragraphedeliste"/>
        <w:numPr>
          <w:ilvl w:val="0"/>
          <w:numId w:val="3"/>
        </w:numPr>
        <w:tabs>
          <w:tab w:val="left" w:pos="142"/>
        </w:tabs>
        <w:spacing w:before="200" w:after="120" w:line="240" w:lineRule="auto"/>
        <w:ind w:left="425" w:hanging="425"/>
        <w:contextualSpacing w:val="0"/>
        <w:jc w:val="both"/>
        <w:rPr>
          <w:lang w:val="en-US"/>
        </w:rPr>
      </w:pPr>
      <w:r w:rsidRPr="00AE03A6">
        <w:rPr>
          <w:rFonts w:asciiTheme="majorBidi" w:hAnsiTheme="majorBidi" w:cstheme="majorBidi"/>
          <w:color w:val="000000" w:themeColor="text1"/>
          <w:lang w:val="en-US"/>
        </w:rPr>
        <w:t>As part of its bid to host the FIFA World Cup 2030, Morocco presented a national human rights strategy</w:t>
      </w:r>
      <w:r w:rsidR="00567DAD" w:rsidRPr="00AE03A6">
        <w:rPr>
          <w:rStyle w:val="Appelnotedebasdep"/>
          <w:rFonts w:asciiTheme="majorBidi" w:hAnsiTheme="majorBidi" w:cstheme="majorBidi"/>
          <w:color w:val="000000" w:themeColor="text1"/>
          <w:lang w:val="en-US"/>
        </w:rPr>
        <w:footnoteReference w:id="21"/>
      </w:r>
      <w:r w:rsidRPr="00AE03A6">
        <w:rPr>
          <w:rFonts w:asciiTheme="majorBidi" w:hAnsiTheme="majorBidi" w:cstheme="majorBidi"/>
          <w:color w:val="000000" w:themeColor="text1"/>
          <w:lang w:val="en-US"/>
        </w:rPr>
        <w:t xml:space="preserve"> that emphasized its commitment to upholding and promoting a broad range of human rights, including civil and political rights. The CNDH supported this initiative and conducted a comprehensive</w:t>
      </w:r>
      <w:r w:rsidR="008727F7" w:rsidRPr="00AE03A6">
        <w:rPr>
          <w:rFonts w:asciiTheme="majorBidi" w:hAnsiTheme="majorBidi" w:cstheme="majorBidi"/>
          <w:color w:val="000000" w:themeColor="text1"/>
          <w:lang w:val="en-US"/>
        </w:rPr>
        <w:t xml:space="preserve"> and </w:t>
      </w:r>
      <w:r w:rsidR="006B1938" w:rsidRPr="00AE03A6">
        <w:rPr>
          <w:rFonts w:asciiTheme="majorBidi" w:hAnsiTheme="majorBidi" w:cstheme="majorBidi"/>
          <w:color w:val="000000" w:themeColor="text1"/>
          <w:lang w:val="en-US"/>
        </w:rPr>
        <w:t>independent</w:t>
      </w:r>
      <w:r w:rsidRPr="00AE03A6">
        <w:rPr>
          <w:rFonts w:asciiTheme="majorBidi" w:hAnsiTheme="majorBidi" w:cstheme="majorBidi"/>
          <w:color w:val="000000" w:themeColor="text1"/>
          <w:lang w:val="en-US"/>
        </w:rPr>
        <w:t xml:space="preserve"> </w:t>
      </w:r>
      <w:r w:rsidR="00C83F42" w:rsidRPr="00AE03A6">
        <w:rPr>
          <w:rFonts w:asciiTheme="majorBidi" w:hAnsiTheme="majorBidi" w:cstheme="majorBidi"/>
          <w:color w:val="000000" w:themeColor="text1"/>
          <w:lang w:val="en-US"/>
        </w:rPr>
        <w:t xml:space="preserve">analysis </w:t>
      </w:r>
      <w:r w:rsidRPr="00AE03A6">
        <w:rPr>
          <w:rFonts w:asciiTheme="majorBidi" w:hAnsiTheme="majorBidi" w:cstheme="majorBidi"/>
          <w:color w:val="000000" w:themeColor="text1"/>
          <w:lang w:val="en-US"/>
        </w:rPr>
        <w:t>study to assess the human rights context in relation to the bid</w:t>
      </w:r>
      <w:r w:rsidR="006B1938" w:rsidRPr="00AE03A6">
        <w:rPr>
          <w:rStyle w:val="Appelnotedebasdep"/>
          <w:rFonts w:asciiTheme="majorBidi" w:hAnsiTheme="majorBidi" w:cstheme="majorBidi"/>
          <w:color w:val="000000" w:themeColor="text1"/>
          <w:lang w:val="en-US"/>
        </w:rPr>
        <w:footnoteReference w:id="22"/>
      </w:r>
      <w:r w:rsidRPr="00AE03A6">
        <w:rPr>
          <w:rFonts w:asciiTheme="majorBidi" w:hAnsiTheme="majorBidi" w:cstheme="majorBidi"/>
          <w:color w:val="000000" w:themeColor="text1"/>
          <w:lang w:val="en-US"/>
        </w:rPr>
        <w:t>.</w:t>
      </w:r>
      <w:r w:rsidR="006B1938" w:rsidRPr="00AE03A6">
        <w:rPr>
          <w:rFonts w:asciiTheme="majorBidi" w:hAnsiTheme="majorBidi" w:cstheme="majorBidi"/>
          <w:color w:val="000000" w:themeColor="text1"/>
          <w:lang w:val="en-US"/>
        </w:rPr>
        <w:t xml:space="preserve"> </w:t>
      </w:r>
      <w:r w:rsidR="00567DAD" w:rsidRPr="00AE03A6">
        <w:rPr>
          <w:rFonts w:asciiTheme="majorBidi" w:hAnsiTheme="majorBidi" w:cstheme="majorBidi"/>
          <w:color w:val="000000" w:themeColor="text1"/>
          <w:lang w:val="en-US"/>
        </w:rPr>
        <w:t>T</w:t>
      </w:r>
      <w:r w:rsidR="006B1938" w:rsidRPr="00AE03A6">
        <w:rPr>
          <w:rFonts w:asciiTheme="majorBidi" w:hAnsiTheme="majorBidi" w:cstheme="majorBidi"/>
          <w:color w:val="000000" w:themeColor="text1"/>
          <w:lang w:val="en-US"/>
        </w:rPr>
        <w:t xml:space="preserve">he study includes an overview of the commendable efforts made towards protecting human rights as well as the areas where significant improvements are needed. Each chapter offers a comprehensive analysis of potential risks, challenges and implications that require particular attention. Measures to mitigate </w:t>
      </w:r>
      <w:r w:rsidR="00567DAD" w:rsidRPr="00AE03A6">
        <w:rPr>
          <w:rFonts w:asciiTheme="majorBidi" w:hAnsiTheme="majorBidi" w:cstheme="majorBidi"/>
          <w:color w:val="000000" w:themeColor="text1"/>
          <w:lang w:val="en-US"/>
        </w:rPr>
        <w:t>such risks are proposed</w:t>
      </w:r>
      <w:r w:rsidR="006B1938" w:rsidRPr="00AE03A6">
        <w:rPr>
          <w:rFonts w:asciiTheme="majorBidi" w:hAnsiTheme="majorBidi" w:cstheme="majorBidi"/>
          <w:color w:val="000000" w:themeColor="text1"/>
          <w:lang w:val="en-US"/>
        </w:rPr>
        <w:t>.</w:t>
      </w:r>
    </w:p>
    <w:p w14:paraId="6E94A60E" w14:textId="235E66D5" w:rsidR="00F56A91" w:rsidRPr="00AE03A6" w:rsidRDefault="00F56A91" w:rsidP="007B00A8">
      <w:pPr>
        <w:shd w:val="clear" w:color="auto" w:fill="D9D9D9" w:themeFill="background1" w:themeFillShade="D9"/>
        <w:spacing w:before="200" w:after="120"/>
        <w:jc w:val="both"/>
        <w:outlineLvl w:val="0"/>
        <w:rPr>
          <w:rFonts w:asciiTheme="majorBidi" w:hAnsiTheme="majorBidi" w:cstheme="majorBidi"/>
          <w:b/>
          <w:bCs/>
          <w:i/>
          <w:iCs/>
          <w:color w:val="000000"/>
          <w:sz w:val="22"/>
          <w:szCs w:val="22"/>
          <w:lang w:val="en-US"/>
        </w:rPr>
      </w:pPr>
      <w:r w:rsidRPr="00AE03A6">
        <w:rPr>
          <w:rFonts w:asciiTheme="majorBidi" w:hAnsiTheme="majorBidi" w:cstheme="majorBidi"/>
          <w:b/>
          <w:bCs/>
          <w:i/>
          <w:iCs/>
          <w:color w:val="000000"/>
          <w:sz w:val="22"/>
          <w:szCs w:val="22"/>
          <w:lang w:val="en-US"/>
        </w:rPr>
        <w:t xml:space="preserve">Issue </w:t>
      </w:r>
      <w:r w:rsidR="009C5737" w:rsidRPr="00AE03A6">
        <w:rPr>
          <w:rFonts w:asciiTheme="majorBidi" w:hAnsiTheme="majorBidi" w:cstheme="majorBidi"/>
          <w:b/>
          <w:bCs/>
          <w:i/>
          <w:iCs/>
          <w:color w:val="000000"/>
          <w:sz w:val="22"/>
          <w:szCs w:val="22"/>
          <w:lang w:val="en-US"/>
        </w:rPr>
        <w:t>3</w:t>
      </w:r>
      <w:r w:rsidRPr="00AE03A6">
        <w:rPr>
          <w:rFonts w:asciiTheme="majorBidi" w:hAnsiTheme="majorBidi" w:cstheme="majorBidi"/>
          <w:b/>
          <w:bCs/>
          <w:i/>
          <w:iCs/>
          <w:color w:val="000000"/>
          <w:sz w:val="22"/>
          <w:szCs w:val="22"/>
          <w:lang w:val="en-US"/>
        </w:rPr>
        <w:t>:</w:t>
      </w:r>
      <w:r w:rsidR="003A4F35" w:rsidRPr="00AE03A6">
        <w:rPr>
          <w:rFonts w:asciiTheme="majorBidi" w:hAnsiTheme="majorBidi" w:cstheme="majorBidi"/>
          <w:b/>
          <w:bCs/>
          <w:i/>
          <w:iCs/>
          <w:color w:val="000000"/>
          <w:sz w:val="22"/>
          <w:szCs w:val="22"/>
          <w:lang w:val="en-US"/>
        </w:rPr>
        <w:t xml:space="preserve"> 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38846531" w14:textId="3FF9A00D" w:rsidR="003A4F35" w:rsidRPr="00AE03A6" w:rsidRDefault="009C5737" w:rsidP="00460636">
      <w:pPr>
        <w:shd w:val="clear" w:color="auto" w:fill="D9D9D9" w:themeFill="background1" w:themeFillShade="D9"/>
        <w:spacing w:before="200" w:after="120"/>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lastRenderedPageBreak/>
        <w:t>Given that the State party</w:t>
      </w:r>
      <w:r w:rsidR="00CF1C06" w:rsidRPr="00AE03A6">
        <w:rPr>
          <w:rFonts w:asciiTheme="majorBidi" w:hAnsiTheme="majorBidi" w:cstheme="majorBidi"/>
          <w:i/>
          <w:iCs/>
          <w:color w:val="000000"/>
          <w:sz w:val="22"/>
          <w:szCs w:val="22"/>
          <w:lang w:val="en-US"/>
        </w:rPr>
        <w:t>’</w:t>
      </w:r>
      <w:r w:rsidRPr="00AE03A6">
        <w:rPr>
          <w:rFonts w:asciiTheme="majorBidi" w:hAnsiTheme="majorBidi" w:cstheme="majorBidi"/>
          <w:i/>
          <w:iCs/>
          <w:color w:val="000000"/>
          <w:sz w:val="22"/>
          <w:szCs w:val="22"/>
          <w:lang w:val="en-US"/>
        </w:rPr>
        <w:t xml:space="preserve">s program of action includes a commitment to update its plan of action on democracy and human rights, and considering that it has yet to adopt a national action plan on business and human rights (BHR), what steps is the government taking to implement these commitments and ensure a comprehensive policy framework for the protection of </w:t>
      </w:r>
      <w:r w:rsidR="00CF1C06" w:rsidRPr="00AE03A6">
        <w:rPr>
          <w:rFonts w:asciiTheme="majorBidi" w:hAnsiTheme="majorBidi" w:cstheme="majorBidi"/>
          <w:i/>
          <w:iCs/>
          <w:color w:val="000000"/>
          <w:sz w:val="22"/>
          <w:szCs w:val="22"/>
          <w:lang w:val="en-US"/>
        </w:rPr>
        <w:t>civil and political</w:t>
      </w:r>
      <w:r w:rsidRPr="00AE03A6">
        <w:rPr>
          <w:rFonts w:asciiTheme="majorBidi" w:hAnsiTheme="majorBidi" w:cstheme="majorBidi"/>
          <w:i/>
          <w:iCs/>
          <w:color w:val="000000"/>
          <w:sz w:val="22"/>
          <w:szCs w:val="22"/>
          <w:lang w:val="en-US"/>
        </w:rPr>
        <w:t xml:space="preserve"> rights?</w:t>
      </w:r>
    </w:p>
    <w:p w14:paraId="6EE47DD5" w14:textId="31F90011" w:rsidR="00D5754B" w:rsidRPr="00AE03A6" w:rsidRDefault="00D5754B" w:rsidP="002F310B">
      <w:pPr>
        <w:pStyle w:val="Paragraphedeliste"/>
        <w:numPr>
          <w:ilvl w:val="0"/>
          <w:numId w:val="5"/>
        </w:numPr>
        <w:spacing w:before="200" w:after="120" w:line="240" w:lineRule="auto"/>
        <w:contextualSpacing w:val="0"/>
        <w:jc w:val="both"/>
        <w:rPr>
          <w:rFonts w:asciiTheme="majorBidi" w:hAnsiTheme="majorBidi" w:cstheme="majorBidi"/>
          <w:b/>
          <w:bCs/>
          <w:color w:val="000000"/>
          <w:lang w:val="en-US"/>
        </w:rPr>
      </w:pPr>
      <w:r w:rsidRPr="00AE03A6">
        <w:rPr>
          <w:rFonts w:asciiTheme="majorBidi" w:hAnsiTheme="majorBidi" w:cstheme="majorBidi"/>
          <w:b/>
          <w:bCs/>
          <w:color w:val="000000"/>
          <w:lang w:val="en-US"/>
        </w:rPr>
        <w:t xml:space="preserve">Institutional framework: </w:t>
      </w:r>
    </w:p>
    <w:p w14:paraId="2E9D7353" w14:textId="48309D7F" w:rsidR="00310FB9" w:rsidRPr="00AE03A6" w:rsidRDefault="00310FB9" w:rsidP="0037472D">
      <w:pPr>
        <w:pStyle w:val="Paragraphedeliste"/>
        <w:numPr>
          <w:ilvl w:val="0"/>
          <w:numId w:val="3"/>
        </w:numPr>
        <w:spacing w:before="200" w:after="120" w:line="240" w:lineRule="auto"/>
        <w:ind w:left="360"/>
        <w:contextualSpacing w:val="0"/>
        <w:jc w:val="both"/>
        <w:rPr>
          <w:rFonts w:asciiTheme="majorBidi" w:hAnsiTheme="majorBidi" w:cstheme="majorBidi"/>
          <w:color w:val="000000" w:themeColor="text1"/>
          <w:lang w:val="en-US"/>
        </w:rPr>
      </w:pPr>
      <w:r w:rsidRPr="00AE03A6">
        <w:rPr>
          <w:rFonts w:asciiTheme="majorBidi" w:hAnsiTheme="majorBidi" w:cstheme="majorBidi"/>
          <w:lang w:val="en-US"/>
        </w:rPr>
        <w:t>A law 76.15 reforming the CNDH</w:t>
      </w:r>
      <w:r w:rsidRPr="00AE03A6">
        <w:rPr>
          <w:rFonts w:asciiTheme="majorBidi" w:hAnsiTheme="majorBidi" w:cstheme="majorBidi"/>
          <w:vertAlign w:val="superscript"/>
          <w:lang w:val="en-US"/>
        </w:rPr>
        <w:footnoteReference w:id="23"/>
      </w:r>
      <w:r w:rsidRPr="00AE03A6">
        <w:rPr>
          <w:rFonts w:asciiTheme="majorBidi" w:hAnsiTheme="majorBidi" w:cstheme="majorBidi"/>
          <w:lang w:val="en-US"/>
        </w:rPr>
        <w:t xml:space="preserve"> was adopted unanimously by the Parliament in February 2018. This law considerably broadens the protection mandate of the CNDH, particularly by entrusting it with the mandate of three mechanisms provided for by international human rights standards. These are the National Child Redress Mechanism, in line with General Comment 2 of the Committee on the Rights of the Child, National Monitoring Mechanism for Persons with Disabilities, in line with Article 33.2 of the Convention on the Rights of Persons with Disabilities and National Preventive Mechanism against Torture (NPM), in line with OPCAT. </w:t>
      </w:r>
    </w:p>
    <w:p w14:paraId="7D7F4916" w14:textId="77777777" w:rsidR="00CF1C06" w:rsidRPr="00AE03A6" w:rsidRDefault="00D5754B" w:rsidP="00CF1C06">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 xml:space="preserve">While the CNDH welcomes the establishment of human rights and governance institutions by virtue of laws adopted for the first time or reviewed, it notes that four institutions of these have not been operational, namely the Authority </w:t>
      </w:r>
      <w:r w:rsidR="00D0031A" w:rsidRPr="00AE03A6">
        <w:rPr>
          <w:rFonts w:asciiTheme="majorBidi" w:hAnsiTheme="majorBidi" w:cstheme="majorBidi"/>
          <w:color w:val="000000"/>
          <w:lang w:val="en-US"/>
        </w:rPr>
        <w:t xml:space="preserve">for Parity and against </w:t>
      </w:r>
      <w:r w:rsidRPr="00AE03A6">
        <w:rPr>
          <w:rFonts w:asciiTheme="majorBidi" w:hAnsiTheme="majorBidi" w:cstheme="majorBidi"/>
          <w:color w:val="000000"/>
          <w:lang w:val="en-US"/>
        </w:rPr>
        <w:t xml:space="preserve">all </w:t>
      </w:r>
      <w:r w:rsidR="00D0031A" w:rsidRPr="00AE03A6">
        <w:rPr>
          <w:rFonts w:asciiTheme="majorBidi" w:hAnsiTheme="majorBidi" w:cstheme="majorBidi"/>
          <w:color w:val="000000"/>
          <w:lang w:val="en-US"/>
        </w:rPr>
        <w:t>F</w:t>
      </w:r>
      <w:r w:rsidRPr="00AE03A6">
        <w:rPr>
          <w:rFonts w:asciiTheme="majorBidi" w:hAnsiTheme="majorBidi" w:cstheme="majorBidi"/>
          <w:color w:val="000000"/>
          <w:lang w:val="en-US"/>
        </w:rPr>
        <w:t xml:space="preserve">orms of </w:t>
      </w:r>
      <w:r w:rsidR="00D0031A" w:rsidRPr="00AE03A6">
        <w:rPr>
          <w:rFonts w:asciiTheme="majorBidi" w:hAnsiTheme="majorBidi" w:cstheme="majorBidi"/>
          <w:color w:val="000000"/>
          <w:lang w:val="en-US"/>
        </w:rPr>
        <w:t>D</w:t>
      </w:r>
      <w:r w:rsidRPr="00AE03A6">
        <w:rPr>
          <w:rFonts w:asciiTheme="majorBidi" w:hAnsiTheme="majorBidi" w:cstheme="majorBidi"/>
          <w:color w:val="000000"/>
          <w:lang w:val="en-US"/>
        </w:rPr>
        <w:t>iscrimination, Advisory Council for the Family and Children, Advisory Council for Youth and Civil Society Action and National Council for Languages and Moroccan Culture.</w:t>
      </w:r>
    </w:p>
    <w:p w14:paraId="6C82823F" w14:textId="18B65FA0" w:rsidR="0037472D" w:rsidRPr="00AE03A6" w:rsidRDefault="001D3A39" w:rsidP="00CF1C06">
      <w:pPr>
        <w:pStyle w:val="Paragraphedeliste"/>
        <w:numPr>
          <w:ilvl w:val="0"/>
          <w:numId w:val="3"/>
        </w:numPr>
        <w:tabs>
          <w:tab w:val="left" w:pos="142"/>
        </w:tabs>
        <w:spacing w:before="200" w:after="120" w:line="240" w:lineRule="auto"/>
        <w:ind w:left="425" w:hanging="425"/>
        <w:contextualSpacing w:val="0"/>
        <w:jc w:val="both"/>
        <w:rPr>
          <w:rFonts w:asciiTheme="majorBidi" w:hAnsiTheme="majorBidi" w:cstheme="majorBidi"/>
          <w:color w:val="000000"/>
          <w:lang w:val="en-US"/>
        </w:rPr>
      </w:pPr>
      <w:r w:rsidRPr="00AE03A6">
        <w:rPr>
          <w:rFonts w:asciiTheme="majorBidi" w:hAnsiTheme="majorBidi" w:cstheme="majorBidi"/>
          <w:color w:val="000000"/>
          <w:lang w:val="en-US"/>
        </w:rPr>
        <w:t>On September 14, 2022, a framework agreement</w:t>
      </w:r>
      <w:r w:rsidRPr="00AE03A6">
        <w:footnoteReference w:id="24"/>
      </w:r>
      <w:r w:rsidRPr="00AE03A6">
        <w:rPr>
          <w:rFonts w:asciiTheme="majorBidi" w:hAnsiTheme="majorBidi" w:cstheme="majorBidi"/>
          <w:color w:val="000000"/>
          <w:lang w:val="en-US"/>
        </w:rPr>
        <w:t xml:space="preserve">  for partnership and institutional cooperation was signed between the CNDH and the General Directorate of National Security (DGSN)</w:t>
      </w:r>
      <w:r w:rsidR="0037472D" w:rsidRPr="00AE03A6">
        <w:rPr>
          <w:rFonts w:asciiTheme="majorBidi" w:hAnsiTheme="majorBidi" w:cstheme="majorBidi"/>
          <w:color w:val="000000"/>
          <w:lang w:val="en-US"/>
        </w:rPr>
        <w:t>.</w:t>
      </w:r>
      <w:r w:rsidRPr="00AE03A6">
        <w:rPr>
          <w:rFonts w:asciiTheme="majorBidi" w:hAnsiTheme="majorBidi" w:cstheme="majorBidi"/>
          <w:color w:val="000000"/>
          <w:lang w:val="en-US"/>
        </w:rPr>
        <w:t xml:space="preserve"> </w:t>
      </w:r>
      <w:r w:rsidR="0037472D" w:rsidRPr="00AE03A6">
        <w:rPr>
          <w:rFonts w:asciiTheme="majorBidi" w:hAnsiTheme="majorBidi" w:cstheme="majorBidi"/>
          <w:color w:val="000000"/>
          <w:lang w:val="en-US"/>
        </w:rPr>
        <w:t xml:space="preserve">Institutional cooperation has been also developed with the Gendarmerie Royale, through an annual training program for its members. Other trainings are regularly provided to the staff of the prison administration and Royal Institute for Territorial Administration. The aim of these partnerships, which responds to several recommendations of treaty bodies, including </w:t>
      </w:r>
      <w:r w:rsidR="00CF1C06" w:rsidRPr="00AE03A6">
        <w:rPr>
          <w:rFonts w:asciiTheme="majorBidi" w:hAnsiTheme="majorBidi" w:cstheme="majorBidi"/>
          <w:color w:val="000000"/>
          <w:lang w:val="en-US"/>
        </w:rPr>
        <w:t xml:space="preserve">those </w:t>
      </w:r>
      <w:r w:rsidR="00CC0F96" w:rsidRPr="00AE03A6">
        <w:rPr>
          <w:rFonts w:asciiTheme="majorBidi" w:hAnsiTheme="majorBidi" w:cstheme="majorBidi"/>
          <w:color w:val="000000"/>
          <w:lang w:val="en-US"/>
        </w:rPr>
        <w:t>of</w:t>
      </w:r>
      <w:r w:rsidR="00CF1C06" w:rsidRPr="00AE03A6">
        <w:rPr>
          <w:rFonts w:asciiTheme="majorBidi" w:hAnsiTheme="majorBidi" w:cstheme="majorBidi"/>
          <w:color w:val="000000"/>
          <w:lang w:val="en-US"/>
        </w:rPr>
        <w:t xml:space="preserve"> </w:t>
      </w:r>
      <w:r w:rsidR="0037472D" w:rsidRPr="00AE03A6">
        <w:rPr>
          <w:rFonts w:asciiTheme="majorBidi" w:hAnsiTheme="majorBidi" w:cstheme="majorBidi"/>
          <w:color w:val="000000"/>
          <w:lang w:val="en-US"/>
        </w:rPr>
        <w:t>the Committee,</w:t>
      </w:r>
      <w:r w:rsidRPr="00AE03A6">
        <w:rPr>
          <w:rFonts w:asciiTheme="majorBidi" w:hAnsiTheme="majorBidi" w:cstheme="majorBidi"/>
          <w:color w:val="000000"/>
          <w:lang w:val="en-US"/>
        </w:rPr>
        <w:t xml:space="preserve"> </w:t>
      </w:r>
      <w:r w:rsidR="0037472D" w:rsidRPr="00AE03A6">
        <w:rPr>
          <w:rFonts w:asciiTheme="majorBidi" w:hAnsiTheme="majorBidi" w:cstheme="majorBidi"/>
          <w:color w:val="000000"/>
          <w:lang w:val="en-US"/>
        </w:rPr>
        <w:t>is to build the capacities of law enforcement officials, especially on the prevention of violations, management of migration, guarantees of fair trial, etc</w:t>
      </w:r>
      <w:r w:rsidRPr="00AE03A6">
        <w:rPr>
          <w:rFonts w:asciiTheme="majorBidi" w:hAnsiTheme="majorBidi" w:cstheme="majorBidi"/>
          <w:color w:val="000000"/>
          <w:lang w:val="en-US"/>
        </w:rPr>
        <w:t>. A series of training sessions have been so far conducted,</w:t>
      </w:r>
      <w:r w:rsidR="0037472D" w:rsidRPr="00AE03A6">
        <w:rPr>
          <w:rFonts w:asciiTheme="majorBidi" w:hAnsiTheme="majorBidi" w:cstheme="majorBidi"/>
          <w:color w:val="000000"/>
          <w:lang w:val="en-US"/>
        </w:rPr>
        <w:t xml:space="preserve"> including training of trainers</w:t>
      </w:r>
      <w:r w:rsidR="00CC0F96" w:rsidRPr="00AE03A6">
        <w:rPr>
          <w:rFonts w:asciiTheme="majorBidi" w:hAnsiTheme="majorBidi" w:cstheme="majorBidi"/>
          <w:color w:val="000000"/>
          <w:lang w:val="en-US"/>
        </w:rPr>
        <w:t xml:space="preserve">, </w:t>
      </w:r>
      <w:r w:rsidR="00CF1C06" w:rsidRPr="00AE03A6">
        <w:rPr>
          <w:rFonts w:asciiTheme="majorBidi" w:hAnsiTheme="majorBidi" w:cstheme="majorBidi"/>
          <w:color w:val="000000"/>
          <w:lang w:val="en-US"/>
        </w:rPr>
        <w:t>at the Rabat-</w:t>
      </w:r>
      <w:proofErr w:type="spellStart"/>
      <w:r w:rsidR="00CF1C06" w:rsidRPr="00AE03A6">
        <w:rPr>
          <w:rFonts w:asciiTheme="majorBidi" w:hAnsiTheme="majorBidi" w:cstheme="majorBidi"/>
          <w:color w:val="000000"/>
          <w:lang w:val="en-US"/>
        </w:rPr>
        <w:t>Driss</w:t>
      </w:r>
      <w:proofErr w:type="spellEnd"/>
      <w:r w:rsidR="00CF1C06" w:rsidRPr="00AE03A6">
        <w:rPr>
          <w:rFonts w:asciiTheme="majorBidi" w:hAnsiTheme="majorBidi" w:cstheme="majorBidi"/>
          <w:color w:val="000000"/>
          <w:lang w:val="en-US"/>
        </w:rPr>
        <w:t xml:space="preserve"> </w:t>
      </w:r>
      <w:proofErr w:type="spellStart"/>
      <w:r w:rsidR="00CF1C06" w:rsidRPr="00AE03A6">
        <w:rPr>
          <w:rFonts w:asciiTheme="majorBidi" w:hAnsiTheme="majorBidi" w:cstheme="majorBidi"/>
          <w:color w:val="000000"/>
          <w:lang w:val="en-US"/>
        </w:rPr>
        <w:t>Benzekri</w:t>
      </w:r>
      <w:proofErr w:type="spellEnd"/>
      <w:r w:rsidR="00CF1C06" w:rsidRPr="00AE03A6">
        <w:rPr>
          <w:rFonts w:asciiTheme="majorBidi" w:hAnsiTheme="majorBidi" w:cstheme="majorBidi"/>
          <w:color w:val="000000"/>
          <w:lang w:val="en-US"/>
        </w:rPr>
        <w:t xml:space="preserve"> Institute for Human Rights</w:t>
      </w:r>
      <w:r w:rsidR="00CC0F96" w:rsidRPr="00AE03A6">
        <w:rPr>
          <w:rFonts w:asciiTheme="majorBidi" w:hAnsiTheme="majorBidi" w:cstheme="majorBidi"/>
          <w:color w:val="000000"/>
          <w:lang w:val="en-US"/>
        </w:rPr>
        <w:t>.</w:t>
      </w:r>
    </w:p>
    <w:p w14:paraId="384C124C" w14:textId="2B992FD8" w:rsidR="009C5737" w:rsidRPr="00AE03A6" w:rsidRDefault="009C5737" w:rsidP="001756A1">
      <w:pPr>
        <w:shd w:val="clear" w:color="auto" w:fill="D9D9D9" w:themeFill="background1" w:themeFillShade="D9"/>
        <w:spacing w:before="200" w:after="120"/>
        <w:ind w:left="425"/>
        <w:jc w:val="both"/>
        <w:outlineLvl w:val="0"/>
        <w:rPr>
          <w:rFonts w:asciiTheme="majorBidi" w:hAnsiTheme="majorBidi" w:cstheme="majorBidi"/>
          <w:b/>
          <w:bCs/>
          <w:i/>
          <w:iCs/>
          <w:color w:val="000000"/>
          <w:lang w:val="en-US"/>
        </w:rPr>
      </w:pPr>
      <w:r w:rsidRPr="00AE03A6">
        <w:rPr>
          <w:rFonts w:asciiTheme="majorBidi" w:hAnsiTheme="majorBidi" w:cstheme="majorBidi"/>
          <w:b/>
          <w:bCs/>
          <w:i/>
          <w:iCs/>
          <w:color w:val="000000"/>
          <w:lang w:val="en-US"/>
        </w:rPr>
        <w:t>Issue 4:</w:t>
      </w:r>
      <w:r w:rsidR="003A4F35" w:rsidRPr="00AE03A6">
        <w:rPr>
          <w:rFonts w:asciiTheme="majorBidi" w:hAnsiTheme="majorBidi" w:cstheme="majorBidi"/>
          <w:b/>
          <w:bCs/>
          <w:i/>
          <w:iCs/>
          <w:color w:val="000000"/>
          <w:sz w:val="22"/>
          <w:szCs w:val="22"/>
          <w:lang w:val="en-US"/>
        </w:rPr>
        <w:t xml:space="preserve"> 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2DD04AF8" w14:textId="38C33D2E" w:rsidR="009C5737" w:rsidRPr="00AE03A6" w:rsidRDefault="009C5737" w:rsidP="001756A1">
      <w:pPr>
        <w:shd w:val="clear" w:color="auto" w:fill="D9D9D9" w:themeFill="background1" w:themeFillShade="D9"/>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What steps is the State party taking to establish the constitutional bodies, which are intended to </w:t>
      </w:r>
      <w:r w:rsidR="007F4645" w:rsidRPr="00AE03A6">
        <w:rPr>
          <w:rFonts w:asciiTheme="majorBidi" w:hAnsiTheme="majorBidi" w:cstheme="majorBidi"/>
          <w:i/>
          <w:iCs/>
          <w:color w:val="000000"/>
          <w:sz w:val="22"/>
          <w:szCs w:val="22"/>
          <w:lang w:val="en-US"/>
        </w:rPr>
        <w:t>further advance</w:t>
      </w:r>
      <w:r w:rsidRPr="00AE03A6">
        <w:rPr>
          <w:rFonts w:asciiTheme="majorBidi" w:hAnsiTheme="majorBidi" w:cstheme="majorBidi"/>
          <w:i/>
          <w:iCs/>
          <w:color w:val="000000"/>
          <w:sz w:val="22"/>
          <w:szCs w:val="22"/>
          <w:lang w:val="en-US"/>
        </w:rPr>
        <w:t xml:space="preserve"> human rights, including civil and political rights?</w:t>
      </w:r>
    </w:p>
    <w:p w14:paraId="28567D47" w14:textId="77777777" w:rsidR="007C343D" w:rsidRPr="00AE03A6" w:rsidRDefault="007C343D" w:rsidP="002F310B">
      <w:pPr>
        <w:pStyle w:val="Paragraphedeliste"/>
        <w:numPr>
          <w:ilvl w:val="0"/>
          <w:numId w:val="5"/>
        </w:numPr>
        <w:spacing w:before="200" w:after="120" w:line="240" w:lineRule="auto"/>
        <w:contextualSpacing w:val="0"/>
        <w:jc w:val="both"/>
        <w:rPr>
          <w:rFonts w:asciiTheme="majorBidi" w:hAnsiTheme="majorBidi" w:cstheme="majorBidi"/>
          <w:b/>
          <w:bCs/>
          <w:lang w:val="en-US"/>
        </w:rPr>
      </w:pPr>
      <w:r w:rsidRPr="00AE03A6">
        <w:rPr>
          <w:rFonts w:asciiTheme="majorBidi" w:hAnsiTheme="majorBidi" w:cstheme="majorBidi"/>
          <w:b/>
          <w:bCs/>
          <w:lang w:val="en-US"/>
        </w:rPr>
        <w:t>Right to life (art.6)</w:t>
      </w:r>
      <w:r w:rsidR="00167A43" w:rsidRPr="00AE03A6">
        <w:rPr>
          <w:rFonts w:asciiTheme="majorBidi" w:hAnsiTheme="majorBidi" w:cstheme="majorBidi"/>
          <w:b/>
          <w:bCs/>
          <w:lang w:val="en-US"/>
        </w:rPr>
        <w:t>:</w:t>
      </w:r>
    </w:p>
    <w:p w14:paraId="1910CB23" w14:textId="29018EAC" w:rsidR="00D2555F" w:rsidRPr="00AE03A6" w:rsidRDefault="00C27858" w:rsidP="007B00A8">
      <w:pPr>
        <w:spacing w:before="200" w:after="120"/>
        <w:ind w:left="360"/>
        <w:jc w:val="both"/>
        <w:outlineLvl w:val="0"/>
        <w:rPr>
          <w:rFonts w:asciiTheme="majorBidi" w:hAnsiTheme="majorBidi" w:cstheme="majorBidi"/>
          <w:b/>
          <w:bCs/>
          <w:sz w:val="22"/>
          <w:szCs w:val="22"/>
          <w:lang w:val="en-US"/>
        </w:rPr>
      </w:pPr>
      <w:r w:rsidRPr="00AE03A6">
        <w:rPr>
          <w:rFonts w:asciiTheme="majorBidi" w:hAnsiTheme="majorBidi" w:cstheme="majorBidi"/>
          <w:b/>
          <w:bCs/>
          <w:sz w:val="22"/>
          <w:szCs w:val="22"/>
          <w:lang w:val="en-US"/>
        </w:rPr>
        <w:t>E</w:t>
      </w:r>
      <w:r w:rsidR="000D595E" w:rsidRPr="00AE03A6">
        <w:rPr>
          <w:rFonts w:asciiTheme="majorBidi" w:hAnsiTheme="majorBidi" w:cstheme="majorBidi"/>
          <w:b/>
          <w:bCs/>
          <w:sz w:val="22"/>
          <w:szCs w:val="22"/>
          <w:lang w:val="en-US"/>
        </w:rPr>
        <w:t xml:space="preserve">.1- </w:t>
      </w:r>
      <w:r w:rsidR="00625689" w:rsidRPr="00AE03A6">
        <w:rPr>
          <w:rFonts w:asciiTheme="majorBidi" w:hAnsiTheme="majorBidi" w:cstheme="majorBidi"/>
          <w:b/>
          <w:bCs/>
          <w:sz w:val="22"/>
          <w:szCs w:val="22"/>
          <w:lang w:val="en-US"/>
        </w:rPr>
        <w:t xml:space="preserve">Abolition of death Penalty </w:t>
      </w:r>
    </w:p>
    <w:p w14:paraId="6CC83467" w14:textId="23279055" w:rsidR="00C27858" w:rsidRPr="00AE03A6" w:rsidRDefault="00074164" w:rsidP="00C27858">
      <w:pPr>
        <w:pStyle w:val="Paragraphedeliste"/>
        <w:spacing w:before="200" w:after="120" w:line="240" w:lineRule="auto"/>
        <w:ind w:left="425"/>
        <w:contextualSpacing w:val="0"/>
        <w:jc w:val="both"/>
        <w:rPr>
          <w:rFonts w:asciiTheme="majorBidi" w:hAnsiTheme="majorBidi" w:cstheme="majorBidi"/>
          <w:lang w:val="en-US"/>
        </w:rPr>
      </w:pPr>
      <w:r w:rsidRPr="00AE03A6">
        <w:rPr>
          <w:rFonts w:asciiTheme="majorBidi" w:hAnsiTheme="majorBidi" w:cstheme="majorBidi"/>
          <w:lang w:val="en-US"/>
        </w:rPr>
        <w:t>Morocco’s 2011 Constitution guarantees the right to life under Article 20</w:t>
      </w:r>
      <w:r w:rsidR="0073270F" w:rsidRPr="00AE03A6">
        <w:rPr>
          <w:rFonts w:asciiTheme="majorBidi" w:hAnsiTheme="majorBidi" w:cstheme="majorBidi"/>
          <w:lang w:val="en-US"/>
        </w:rPr>
        <w:t>. However, courts continue to render death penalty</w:t>
      </w:r>
      <w:r w:rsidR="00A3025F" w:rsidRPr="00AE03A6">
        <w:rPr>
          <w:rFonts w:asciiTheme="majorBidi" w:hAnsiTheme="majorBidi" w:cstheme="majorBidi"/>
          <w:lang w:val="en-US"/>
        </w:rPr>
        <w:t xml:space="preserve"> decisions</w:t>
      </w:r>
      <w:r w:rsidR="00C27858" w:rsidRPr="00AE03A6">
        <w:rPr>
          <w:rFonts w:asciiTheme="majorBidi" w:hAnsiTheme="majorBidi" w:cstheme="majorBidi"/>
          <w:lang w:val="en-US"/>
        </w:rPr>
        <w:t>. T</w:t>
      </w:r>
      <w:r w:rsidRPr="00AE03A6">
        <w:rPr>
          <w:rFonts w:asciiTheme="majorBidi" w:hAnsiTheme="majorBidi" w:cstheme="majorBidi"/>
          <w:lang w:val="en-US"/>
        </w:rPr>
        <w:t xml:space="preserve">he country has not carried out executions since 1982, except for one case in 1993. The </w:t>
      </w:r>
      <w:r w:rsidR="00D248BC" w:rsidRPr="00AE03A6">
        <w:rPr>
          <w:rFonts w:asciiTheme="majorBidi" w:hAnsiTheme="majorBidi" w:cstheme="majorBidi"/>
          <w:lang w:val="en-US"/>
        </w:rPr>
        <w:t>CNDH</w:t>
      </w:r>
      <w:r w:rsidRPr="00AE03A6">
        <w:rPr>
          <w:rFonts w:asciiTheme="majorBidi" w:hAnsiTheme="majorBidi" w:cstheme="majorBidi"/>
          <w:lang w:val="en-US"/>
        </w:rPr>
        <w:t xml:space="preserve"> considers this practice unconstitutional and has </w:t>
      </w:r>
      <w:r w:rsidR="00D248BC" w:rsidRPr="00AE03A6">
        <w:rPr>
          <w:rFonts w:asciiTheme="majorBidi" w:hAnsiTheme="majorBidi" w:cstheme="majorBidi"/>
          <w:lang w:val="en-US"/>
        </w:rPr>
        <w:t xml:space="preserve">constantly </w:t>
      </w:r>
      <w:r w:rsidRPr="00AE03A6">
        <w:rPr>
          <w:rFonts w:asciiTheme="majorBidi" w:hAnsiTheme="majorBidi" w:cstheme="majorBidi"/>
          <w:lang w:val="en-US"/>
        </w:rPr>
        <w:t>called for its complete abolition in both law and practice</w:t>
      </w:r>
      <w:r w:rsidR="00A2468A" w:rsidRPr="00AE03A6">
        <w:rPr>
          <w:rStyle w:val="Appelnotedebasdep"/>
          <w:rFonts w:asciiTheme="majorBidi" w:hAnsiTheme="majorBidi" w:cstheme="majorBidi"/>
          <w:lang w:val="en-US"/>
        </w:rPr>
        <w:footnoteReference w:id="25"/>
      </w:r>
      <w:r w:rsidRPr="00AE03A6">
        <w:rPr>
          <w:rFonts w:asciiTheme="majorBidi" w:hAnsiTheme="majorBidi" w:cstheme="majorBidi"/>
          <w:lang w:val="en-US"/>
        </w:rPr>
        <w:t>.</w:t>
      </w:r>
      <w:r w:rsidR="00C27858" w:rsidRPr="00AE03A6">
        <w:rPr>
          <w:rFonts w:asciiTheme="majorBidi" w:hAnsiTheme="majorBidi" w:cstheme="majorBidi"/>
          <w:lang w:val="en-US"/>
        </w:rPr>
        <w:t xml:space="preserve"> Meanwhile, the CNDH monitors the situation of death row inmates, ensuring they receive legal support, health care, and assistance with reintegration</w:t>
      </w:r>
      <w:r w:rsidR="006720C0" w:rsidRPr="00AE03A6">
        <w:rPr>
          <w:rFonts w:asciiTheme="majorBidi" w:hAnsiTheme="majorBidi" w:cstheme="majorBidi"/>
          <w:lang w:val="en-US"/>
        </w:rPr>
        <w:t xml:space="preserve"> avenues</w:t>
      </w:r>
      <w:r w:rsidR="00C27858" w:rsidRPr="00AE03A6">
        <w:rPr>
          <w:rFonts w:asciiTheme="majorBidi" w:hAnsiTheme="majorBidi" w:cstheme="majorBidi"/>
          <w:lang w:val="en-US"/>
        </w:rPr>
        <w:t xml:space="preserve"> for those who receive pardons.</w:t>
      </w:r>
    </w:p>
    <w:p w14:paraId="690F0D37" w14:textId="750B9F03" w:rsidR="003A4F35" w:rsidRPr="00AE03A6" w:rsidRDefault="00074164" w:rsidP="003C18A5">
      <w:pPr>
        <w:pStyle w:val="Paragraphedeliste"/>
        <w:numPr>
          <w:ilvl w:val="0"/>
          <w:numId w:val="3"/>
        </w:numPr>
        <w:spacing w:before="200" w:after="120" w:line="240" w:lineRule="auto"/>
        <w:ind w:left="425" w:hanging="425"/>
        <w:contextualSpacing w:val="0"/>
        <w:jc w:val="both"/>
        <w:rPr>
          <w:rFonts w:asciiTheme="majorBidi" w:hAnsiTheme="majorBidi" w:cstheme="majorBidi"/>
          <w:lang w:val="en-US"/>
        </w:rPr>
      </w:pPr>
      <w:r w:rsidRPr="00AE03A6">
        <w:rPr>
          <w:rFonts w:asciiTheme="majorBidi" w:hAnsiTheme="majorBidi" w:cstheme="majorBidi"/>
          <w:lang w:val="en-US"/>
        </w:rPr>
        <w:t>Ongoing legal reforms aim to reduce the number of crimes punishable by death in the draft Penal Code. Similarly, Law 108.13 on military justice</w:t>
      </w:r>
      <w:r w:rsidR="004F55A0" w:rsidRPr="00AE03A6">
        <w:rPr>
          <w:rStyle w:val="Appelnotedebasdep"/>
          <w:rFonts w:asciiTheme="majorBidi" w:hAnsiTheme="majorBidi" w:cstheme="majorBidi"/>
          <w:lang w:val="en-US"/>
        </w:rPr>
        <w:footnoteReference w:id="26"/>
      </w:r>
      <w:r w:rsidRPr="00AE03A6">
        <w:rPr>
          <w:rFonts w:asciiTheme="majorBidi" w:hAnsiTheme="majorBidi" w:cstheme="majorBidi"/>
          <w:lang w:val="en-US"/>
        </w:rPr>
        <w:t xml:space="preserve"> has already reduced the number of military offenses punishable by death from 16 to 5. </w:t>
      </w:r>
      <w:r w:rsidR="00C27858" w:rsidRPr="00AE03A6">
        <w:rPr>
          <w:rFonts w:asciiTheme="majorBidi" w:hAnsiTheme="majorBidi" w:cstheme="majorBidi"/>
          <w:lang w:val="en-US"/>
        </w:rPr>
        <w:t xml:space="preserve">Also, </w:t>
      </w:r>
      <w:r w:rsidRPr="00AE03A6">
        <w:rPr>
          <w:rFonts w:asciiTheme="majorBidi" w:hAnsiTheme="majorBidi" w:cstheme="majorBidi"/>
          <w:lang w:val="en-US"/>
        </w:rPr>
        <w:t>Morocco vote</w:t>
      </w:r>
      <w:r w:rsidR="00C27858" w:rsidRPr="00AE03A6">
        <w:rPr>
          <w:rFonts w:asciiTheme="majorBidi" w:hAnsiTheme="majorBidi" w:cstheme="majorBidi"/>
          <w:lang w:val="en-US"/>
        </w:rPr>
        <w:t>d</w:t>
      </w:r>
      <w:r w:rsidRPr="00AE03A6">
        <w:rPr>
          <w:rFonts w:asciiTheme="majorBidi" w:hAnsiTheme="majorBidi" w:cstheme="majorBidi"/>
          <w:lang w:val="en-US"/>
        </w:rPr>
        <w:t xml:space="preserve"> in favor of the United Nations resolution on the moratorium on </w:t>
      </w:r>
      <w:r w:rsidR="00CF1C06" w:rsidRPr="00AE03A6">
        <w:rPr>
          <w:rFonts w:asciiTheme="majorBidi" w:hAnsiTheme="majorBidi" w:cstheme="majorBidi"/>
          <w:lang w:val="en-US"/>
        </w:rPr>
        <w:t>the use of the death penalty</w:t>
      </w:r>
      <w:r w:rsidR="00A2468A" w:rsidRPr="00AE03A6">
        <w:rPr>
          <w:rFonts w:asciiTheme="majorBidi" w:hAnsiTheme="majorBidi" w:cstheme="majorBidi"/>
          <w:vertAlign w:val="superscript"/>
        </w:rPr>
        <w:footnoteReference w:id="27"/>
      </w:r>
      <w:r w:rsidR="00D248BC" w:rsidRPr="00AE03A6">
        <w:rPr>
          <w:rFonts w:asciiTheme="majorBidi" w:hAnsiTheme="majorBidi" w:cstheme="majorBidi"/>
          <w:lang w:val="en-US"/>
        </w:rPr>
        <w:t xml:space="preserve">. </w:t>
      </w:r>
      <w:r w:rsidR="00C27858" w:rsidRPr="00AE03A6">
        <w:rPr>
          <w:rFonts w:asciiTheme="majorBidi" w:hAnsiTheme="majorBidi" w:cstheme="majorBidi"/>
          <w:lang w:val="en-US"/>
        </w:rPr>
        <w:t>On</w:t>
      </w:r>
      <w:r w:rsidR="00D248BC" w:rsidRPr="00AE03A6">
        <w:rPr>
          <w:rFonts w:asciiTheme="majorBidi" w:hAnsiTheme="majorBidi" w:cstheme="majorBidi"/>
          <w:lang w:val="en-US"/>
        </w:rPr>
        <w:t xml:space="preserve"> this occasion, CNDH </w:t>
      </w:r>
      <w:r w:rsidRPr="00AE03A6">
        <w:rPr>
          <w:rFonts w:asciiTheme="majorBidi" w:hAnsiTheme="majorBidi" w:cstheme="majorBidi"/>
          <w:lang w:val="en-US"/>
        </w:rPr>
        <w:t xml:space="preserve">organized </w:t>
      </w:r>
      <w:r w:rsidRPr="00AE03A6">
        <w:rPr>
          <w:rFonts w:asciiTheme="majorBidi" w:hAnsiTheme="majorBidi" w:cstheme="majorBidi"/>
          <w:lang w:val="en-US"/>
        </w:rPr>
        <w:lastRenderedPageBreak/>
        <w:t>public events</w:t>
      </w:r>
      <w:r w:rsidR="00A2468A" w:rsidRPr="00AE03A6">
        <w:rPr>
          <w:rFonts w:asciiTheme="majorBidi" w:hAnsiTheme="majorBidi" w:cstheme="majorBidi"/>
          <w:vertAlign w:val="superscript"/>
        </w:rPr>
        <w:footnoteReference w:id="28"/>
      </w:r>
      <w:r w:rsidRPr="00AE03A6">
        <w:rPr>
          <w:rFonts w:asciiTheme="majorBidi" w:hAnsiTheme="majorBidi" w:cstheme="majorBidi"/>
          <w:lang w:val="en-US"/>
        </w:rPr>
        <w:t xml:space="preserve"> to promote this</w:t>
      </w:r>
      <w:r w:rsidR="00C27858" w:rsidRPr="00AE03A6">
        <w:rPr>
          <w:rFonts w:asciiTheme="majorBidi" w:hAnsiTheme="majorBidi" w:cstheme="majorBidi"/>
          <w:lang w:val="en-US"/>
        </w:rPr>
        <w:t xml:space="preserve"> positive</w:t>
      </w:r>
      <w:r w:rsidRPr="00AE03A6">
        <w:rPr>
          <w:rFonts w:asciiTheme="majorBidi" w:hAnsiTheme="majorBidi" w:cstheme="majorBidi"/>
          <w:lang w:val="en-US"/>
        </w:rPr>
        <w:t xml:space="preserve"> step</w:t>
      </w:r>
      <w:r w:rsidR="00D248BC" w:rsidRPr="00AE03A6">
        <w:rPr>
          <w:rFonts w:asciiTheme="majorBidi" w:hAnsiTheme="majorBidi" w:cstheme="majorBidi"/>
          <w:lang w:val="en-US"/>
        </w:rPr>
        <w:t xml:space="preserve"> and</w:t>
      </w:r>
      <w:r w:rsidRPr="00AE03A6">
        <w:rPr>
          <w:rFonts w:asciiTheme="majorBidi" w:hAnsiTheme="majorBidi" w:cstheme="majorBidi"/>
          <w:lang w:val="en-US"/>
        </w:rPr>
        <w:t xml:space="preserve"> cal</w:t>
      </w:r>
      <w:r w:rsidR="00D248BC" w:rsidRPr="00AE03A6">
        <w:rPr>
          <w:rFonts w:asciiTheme="majorBidi" w:hAnsiTheme="majorBidi" w:cstheme="majorBidi"/>
          <w:lang w:val="en-US"/>
        </w:rPr>
        <w:t>led</w:t>
      </w:r>
      <w:r w:rsidRPr="00AE03A6">
        <w:rPr>
          <w:rFonts w:asciiTheme="majorBidi" w:hAnsiTheme="majorBidi" w:cstheme="majorBidi"/>
          <w:lang w:val="en-US"/>
        </w:rPr>
        <w:t xml:space="preserve"> </w:t>
      </w:r>
      <w:r w:rsidR="00C27858" w:rsidRPr="00AE03A6">
        <w:rPr>
          <w:rFonts w:asciiTheme="majorBidi" w:hAnsiTheme="majorBidi" w:cstheme="majorBidi"/>
          <w:lang w:val="en-US"/>
        </w:rPr>
        <w:t xml:space="preserve">on </w:t>
      </w:r>
      <w:r w:rsidRPr="00AE03A6">
        <w:rPr>
          <w:rFonts w:asciiTheme="majorBidi" w:hAnsiTheme="majorBidi" w:cstheme="majorBidi"/>
          <w:lang w:val="en-US"/>
        </w:rPr>
        <w:t>the authorities to</w:t>
      </w:r>
      <w:r w:rsidR="00CF1C06" w:rsidRPr="00AE03A6">
        <w:rPr>
          <w:rFonts w:asciiTheme="majorBidi" w:hAnsiTheme="majorBidi" w:cstheme="majorBidi"/>
          <w:lang w:val="en-US"/>
        </w:rPr>
        <w:t xml:space="preserve"> launch</w:t>
      </w:r>
      <w:r w:rsidRPr="00AE03A6">
        <w:rPr>
          <w:rFonts w:asciiTheme="majorBidi" w:hAnsiTheme="majorBidi" w:cstheme="majorBidi"/>
          <w:lang w:val="en-US"/>
        </w:rPr>
        <w:t xml:space="preserve"> </w:t>
      </w:r>
      <w:r w:rsidR="00CF1C06" w:rsidRPr="00AE03A6">
        <w:rPr>
          <w:rFonts w:asciiTheme="majorBidi" w:hAnsiTheme="majorBidi" w:cstheme="majorBidi"/>
          <w:lang w:val="en-US"/>
        </w:rPr>
        <w:t xml:space="preserve">a national dialogue on the abolition of the death penalty, to </w:t>
      </w:r>
      <w:r w:rsidRPr="00AE03A6">
        <w:rPr>
          <w:rFonts w:asciiTheme="majorBidi" w:hAnsiTheme="majorBidi" w:cstheme="majorBidi"/>
          <w:lang w:val="en-US"/>
        </w:rPr>
        <w:t>move from a de facto moratorium to a legal abolition by reforming the Penal Code and ratifying the Second Optional Protocol to the International Covenant on Civil and Political Rights</w:t>
      </w:r>
      <w:r w:rsidR="00C27858" w:rsidRPr="00AE03A6">
        <w:rPr>
          <w:rFonts w:asciiTheme="majorBidi" w:hAnsiTheme="majorBidi" w:cstheme="majorBidi"/>
          <w:lang w:val="en-US"/>
        </w:rPr>
        <w:t>, aiming at the abolition of the death penalty</w:t>
      </w:r>
      <w:r w:rsidRPr="00AE03A6">
        <w:rPr>
          <w:rFonts w:asciiTheme="majorBidi" w:hAnsiTheme="majorBidi" w:cstheme="majorBidi"/>
          <w:lang w:val="en-US"/>
        </w:rPr>
        <w:t xml:space="preserve">. </w:t>
      </w:r>
    </w:p>
    <w:p w14:paraId="46B1FC46" w14:textId="2128C997" w:rsidR="00E762E2" w:rsidRPr="00AE03A6" w:rsidRDefault="00E762E2" w:rsidP="001756A1">
      <w:pPr>
        <w:shd w:val="clear" w:color="auto" w:fill="D0CECE" w:themeFill="background2" w:themeFillShade="E6"/>
        <w:spacing w:before="200" w:after="120"/>
        <w:ind w:left="425"/>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 xml:space="preserve">Issue </w:t>
      </w:r>
      <w:proofErr w:type="gramStart"/>
      <w:r w:rsidRPr="00AE03A6">
        <w:rPr>
          <w:rFonts w:asciiTheme="majorBidi" w:hAnsiTheme="majorBidi" w:cstheme="majorBidi"/>
          <w:b/>
          <w:bCs/>
          <w:i/>
          <w:iCs/>
          <w:sz w:val="22"/>
          <w:szCs w:val="22"/>
          <w:lang w:val="en-US"/>
        </w:rPr>
        <w:t xml:space="preserve">5 </w:t>
      </w:r>
      <w:r w:rsidR="00D248BC" w:rsidRPr="00AE03A6">
        <w:rPr>
          <w:rFonts w:asciiTheme="majorBidi" w:hAnsiTheme="majorBidi" w:cstheme="majorBidi"/>
          <w:b/>
          <w:bCs/>
          <w:i/>
          <w:iCs/>
          <w:sz w:val="22"/>
          <w:szCs w:val="22"/>
          <w:lang w:val="en-US"/>
        </w:rPr>
        <w:t>:</w:t>
      </w:r>
      <w:proofErr w:type="gramEnd"/>
      <w:r w:rsidR="00D248BC" w:rsidRPr="00AE03A6">
        <w:rPr>
          <w:rFonts w:asciiTheme="majorBidi" w:hAnsiTheme="majorBidi" w:cstheme="majorBidi"/>
          <w:b/>
          <w:bCs/>
          <w:i/>
          <w:iCs/>
          <w:sz w:val="22"/>
          <w:szCs w:val="22"/>
          <w:lang w:val="en-US"/>
        </w:rPr>
        <w:t xml:space="preserve">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address the following question</w:t>
      </w:r>
      <w:r w:rsidR="00CF1C06"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to the State party :</w:t>
      </w:r>
    </w:p>
    <w:p w14:paraId="14E28652" w14:textId="39C9E1C6" w:rsidR="002F310B" w:rsidRPr="00AE03A6" w:rsidRDefault="00E762E2" w:rsidP="001756A1">
      <w:pPr>
        <w:shd w:val="clear" w:color="auto" w:fill="D0CECE" w:themeFill="background2" w:themeFillShade="E6"/>
        <w:spacing w:before="200" w:after="120"/>
        <w:ind w:left="425"/>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What efforts has the State party made to implement the recommendations of the National Human Rights Council, particularly regarding the launch of a nationwide dialogue on the abolition of the death penalty? What concrete measures have been taken to move toward the abolition of the death penalty, both in law and in practice?</w:t>
      </w:r>
    </w:p>
    <w:p w14:paraId="5147B561" w14:textId="77777777" w:rsidR="008719BC" w:rsidRPr="00AE03A6" w:rsidRDefault="00063446" w:rsidP="007B00A8">
      <w:pPr>
        <w:spacing w:before="200" w:after="120"/>
        <w:ind w:left="360"/>
        <w:jc w:val="both"/>
        <w:outlineLvl w:val="0"/>
        <w:rPr>
          <w:rFonts w:asciiTheme="majorBidi" w:hAnsiTheme="majorBidi" w:cstheme="majorBidi"/>
          <w:b/>
          <w:bCs/>
          <w:sz w:val="22"/>
          <w:szCs w:val="22"/>
          <w:lang w:val="en-US"/>
        </w:rPr>
      </w:pPr>
      <w:r w:rsidRPr="00AE03A6">
        <w:rPr>
          <w:rFonts w:asciiTheme="majorBidi" w:hAnsiTheme="majorBidi" w:cstheme="majorBidi"/>
          <w:b/>
          <w:bCs/>
          <w:sz w:val="22"/>
          <w:szCs w:val="22"/>
          <w:lang w:val="en-US"/>
        </w:rPr>
        <w:t xml:space="preserve">D.2- </w:t>
      </w:r>
      <w:r w:rsidR="008719BC" w:rsidRPr="00AE03A6">
        <w:rPr>
          <w:rFonts w:asciiTheme="majorBidi" w:hAnsiTheme="majorBidi" w:cstheme="majorBidi"/>
          <w:b/>
          <w:bCs/>
          <w:sz w:val="22"/>
          <w:szCs w:val="22"/>
          <w:lang w:val="en-US"/>
        </w:rPr>
        <w:t>Voluntary termination of pregnancy</w:t>
      </w:r>
    </w:p>
    <w:p w14:paraId="47062FEA" w14:textId="6483B9C0" w:rsidR="00E15E22" w:rsidRPr="00AE03A6" w:rsidRDefault="000A1D5F" w:rsidP="003C18A5">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The phenomenon of unsafe abortion poses risks to the life as well as the physical and psychological health of women. </w:t>
      </w:r>
      <w:r w:rsidR="00954916" w:rsidRPr="00AE03A6">
        <w:rPr>
          <w:rFonts w:asciiTheme="majorBidi" w:hAnsiTheme="majorBidi" w:cstheme="majorBidi"/>
          <w:lang w:val="en-US"/>
        </w:rPr>
        <w:t>I</w:t>
      </w:r>
      <w:r w:rsidR="00FB0A28" w:rsidRPr="00AE03A6">
        <w:rPr>
          <w:rFonts w:asciiTheme="majorBidi" w:hAnsiTheme="majorBidi" w:cstheme="majorBidi"/>
          <w:lang w:val="en-US"/>
        </w:rPr>
        <w:t>n its memorandum</w:t>
      </w:r>
      <w:r w:rsidR="00A2468A" w:rsidRPr="00AE03A6">
        <w:rPr>
          <w:rStyle w:val="Appelnotedebasdep"/>
          <w:rFonts w:asciiTheme="majorBidi" w:hAnsiTheme="majorBidi" w:cstheme="majorBidi"/>
          <w:lang w:val="en-US"/>
        </w:rPr>
        <w:footnoteReference w:id="29"/>
      </w:r>
      <w:r w:rsidR="00FB0A28" w:rsidRPr="00AE03A6">
        <w:rPr>
          <w:rFonts w:asciiTheme="majorBidi" w:hAnsiTheme="majorBidi" w:cstheme="majorBidi"/>
          <w:lang w:val="en-US"/>
        </w:rPr>
        <w:t xml:space="preserve"> on Draft Law No. 10.16 amending and supplementing the Penal Code, the CNDH noted that the proposed reforms concerning abortion remain inadequate </w:t>
      </w:r>
      <w:r w:rsidR="00954916" w:rsidRPr="00AE03A6">
        <w:rPr>
          <w:rFonts w:asciiTheme="majorBidi" w:hAnsiTheme="majorBidi" w:cstheme="majorBidi"/>
          <w:lang w:val="en-US"/>
        </w:rPr>
        <w:t>and</w:t>
      </w:r>
      <w:r w:rsidR="00FB0A28" w:rsidRPr="00AE03A6">
        <w:rPr>
          <w:rFonts w:asciiTheme="majorBidi" w:hAnsiTheme="majorBidi" w:cstheme="majorBidi"/>
          <w:lang w:val="en-US"/>
        </w:rPr>
        <w:t xml:space="preserve"> do not sufficiently respond to the public health and human rights challenges arising from unsafe and clandestine abortion practices.</w:t>
      </w:r>
      <w:r w:rsidR="00954916" w:rsidRPr="00AE03A6">
        <w:rPr>
          <w:rFonts w:asciiTheme="majorBidi" w:hAnsiTheme="majorBidi" w:cstheme="majorBidi"/>
          <w:lang w:val="en-US"/>
        </w:rPr>
        <w:t xml:space="preserve"> </w:t>
      </w:r>
      <w:r w:rsidR="00FB0A28" w:rsidRPr="00AE03A6">
        <w:rPr>
          <w:rFonts w:asciiTheme="majorBidi" w:hAnsiTheme="majorBidi" w:cstheme="majorBidi"/>
          <w:lang w:val="en-US"/>
        </w:rPr>
        <w:t xml:space="preserve">In this regard, the CNDH </w:t>
      </w:r>
      <w:r w:rsidR="00CF1C06" w:rsidRPr="00AE03A6">
        <w:rPr>
          <w:rFonts w:asciiTheme="majorBidi" w:hAnsiTheme="majorBidi" w:cstheme="majorBidi"/>
          <w:lang w:val="en-US"/>
        </w:rPr>
        <w:t>reiterated</w:t>
      </w:r>
      <w:r w:rsidR="00FB0A28" w:rsidRPr="00AE03A6">
        <w:rPr>
          <w:rFonts w:asciiTheme="majorBidi" w:hAnsiTheme="majorBidi" w:cstheme="majorBidi"/>
          <w:lang w:val="en-US"/>
        </w:rPr>
        <w:t xml:space="preserve"> the recommendations made by the Human Rights Committee in 2016 and emphasized the need for the legal </w:t>
      </w:r>
      <w:r w:rsidR="003C18A5" w:rsidRPr="00AE03A6">
        <w:rPr>
          <w:rFonts w:asciiTheme="majorBidi" w:hAnsiTheme="majorBidi" w:cstheme="majorBidi"/>
          <w:lang w:val="en-US"/>
        </w:rPr>
        <w:t>provisions</w:t>
      </w:r>
      <w:r w:rsidR="00FB0A28" w:rsidRPr="00AE03A6">
        <w:rPr>
          <w:rFonts w:asciiTheme="majorBidi" w:hAnsiTheme="majorBidi" w:cstheme="majorBidi"/>
          <w:lang w:val="en-US"/>
        </w:rPr>
        <w:t xml:space="preserve"> on abortion to be grounded in the holistic definition of health set forth in the Constitution of the World Health Organization, which asserts that</w:t>
      </w:r>
      <w:r w:rsidR="00954916" w:rsidRPr="00AE03A6">
        <w:rPr>
          <w:rFonts w:asciiTheme="majorBidi" w:hAnsiTheme="majorBidi" w:cstheme="majorBidi"/>
          <w:lang w:val="en-US"/>
        </w:rPr>
        <w:t xml:space="preserve"> </w:t>
      </w:r>
      <w:r w:rsidR="006A788B" w:rsidRPr="00AE03A6">
        <w:rPr>
          <w:rFonts w:asciiTheme="majorBidi" w:hAnsiTheme="majorBidi" w:cstheme="majorBidi"/>
          <w:lang w:val="en-US"/>
        </w:rPr>
        <w:t>“</w:t>
      </w:r>
      <w:r w:rsidR="00954916" w:rsidRPr="00AE03A6">
        <w:rPr>
          <w:rFonts w:asciiTheme="majorBidi" w:hAnsiTheme="majorBidi" w:cstheme="majorBidi"/>
          <w:i/>
          <w:iCs/>
          <w:lang w:val="en-US"/>
        </w:rPr>
        <w:t>Health is a state of complete physical, mental and social well-being and not merely the absence of disease or infirmity</w:t>
      </w:r>
      <w:r w:rsidR="00954916" w:rsidRPr="00AE03A6">
        <w:rPr>
          <w:rFonts w:asciiTheme="majorBidi" w:hAnsiTheme="majorBidi" w:cstheme="majorBidi"/>
          <w:lang w:val="en-US"/>
        </w:rPr>
        <w:t>.</w:t>
      </w:r>
      <w:r w:rsidR="006A788B" w:rsidRPr="00AE03A6">
        <w:rPr>
          <w:rFonts w:asciiTheme="majorBidi" w:hAnsiTheme="majorBidi" w:cstheme="majorBidi"/>
          <w:lang w:val="en-US"/>
        </w:rPr>
        <w:t xml:space="preserve">” The CNDH recommended also that </w:t>
      </w:r>
      <w:r w:rsidR="00E15E22" w:rsidRPr="00AE03A6">
        <w:rPr>
          <w:rFonts w:asciiTheme="majorBidi" w:hAnsiTheme="majorBidi" w:cstheme="majorBidi"/>
          <w:lang w:val="en-US"/>
        </w:rPr>
        <w:t xml:space="preserve">pregnant women be guaranteed access to safe and legal abortion when </w:t>
      </w:r>
      <w:r w:rsidR="005962E7" w:rsidRPr="00AE03A6">
        <w:rPr>
          <w:rFonts w:asciiTheme="majorBidi" w:hAnsiTheme="majorBidi" w:cstheme="majorBidi"/>
          <w:lang w:val="en-US"/>
        </w:rPr>
        <w:t xml:space="preserve">the </w:t>
      </w:r>
      <w:r w:rsidR="00E15E22" w:rsidRPr="00AE03A6">
        <w:rPr>
          <w:rFonts w:asciiTheme="majorBidi" w:hAnsiTheme="majorBidi" w:cstheme="majorBidi"/>
          <w:lang w:val="en-US"/>
        </w:rPr>
        <w:t xml:space="preserve">continuation of the pregnancy poses a risk to their mental </w:t>
      </w:r>
      <w:r w:rsidR="003C18A5" w:rsidRPr="00AE03A6">
        <w:rPr>
          <w:rFonts w:asciiTheme="majorBidi" w:hAnsiTheme="majorBidi" w:cstheme="majorBidi"/>
          <w:lang w:val="en-US"/>
        </w:rPr>
        <w:t>or physical health</w:t>
      </w:r>
      <w:r w:rsidR="00E15E22" w:rsidRPr="00AE03A6">
        <w:rPr>
          <w:rFonts w:asciiTheme="majorBidi" w:hAnsiTheme="majorBidi" w:cstheme="majorBidi"/>
          <w:lang w:val="en-US"/>
        </w:rPr>
        <w:t>.</w:t>
      </w:r>
    </w:p>
    <w:p w14:paraId="336FFB7F" w14:textId="0C128943" w:rsidR="00E762E2" w:rsidRPr="00AE03A6" w:rsidRDefault="00E762E2" w:rsidP="0076768E">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With regard to pregnancies resulting from rape or incest, the CNDH </w:t>
      </w:r>
      <w:r w:rsidR="0076768E" w:rsidRPr="00AE03A6">
        <w:rPr>
          <w:rFonts w:asciiTheme="majorBidi" w:hAnsiTheme="majorBidi" w:cstheme="majorBidi"/>
          <w:lang w:val="en-US"/>
        </w:rPr>
        <w:t>joined the</w:t>
      </w:r>
      <w:r w:rsidR="00011586" w:rsidRPr="00AE03A6">
        <w:rPr>
          <w:rFonts w:asciiTheme="majorBidi" w:hAnsiTheme="majorBidi" w:cstheme="majorBidi"/>
          <w:lang w:val="en-US"/>
        </w:rPr>
        <w:t xml:space="preserve"> Committee </w:t>
      </w:r>
      <w:r w:rsidR="0076768E" w:rsidRPr="00AE03A6">
        <w:rPr>
          <w:rFonts w:asciiTheme="majorBidi" w:hAnsiTheme="majorBidi" w:cstheme="majorBidi"/>
          <w:lang w:val="en-US"/>
        </w:rPr>
        <w:t xml:space="preserve">in recommending the </w:t>
      </w:r>
      <w:r w:rsidRPr="00AE03A6">
        <w:rPr>
          <w:rFonts w:asciiTheme="majorBidi" w:hAnsiTheme="majorBidi" w:cstheme="majorBidi"/>
          <w:lang w:val="en-US"/>
        </w:rPr>
        <w:t xml:space="preserve">repeal of paragraph 3 of Article 453 of the Penal Code, which currently conditions access to legal abortion on the submission of a certificate proving that criminal proceedings have been formally initiated. This certificate is issued by the competent public prosecutor following verification of the authenticity of the complaint. The CNDH emphasized that </w:t>
      </w:r>
      <w:r w:rsidR="00327D4B" w:rsidRPr="00AE03A6">
        <w:rPr>
          <w:rFonts w:asciiTheme="majorBidi" w:hAnsiTheme="majorBidi" w:cstheme="majorBidi"/>
          <w:lang w:val="en-US"/>
        </w:rPr>
        <w:t>such a requirement imposes an undue burden on survivors of sexual violence.</w:t>
      </w:r>
    </w:p>
    <w:p w14:paraId="00AAFF4E" w14:textId="17EAB316" w:rsidR="00E15E22" w:rsidRPr="00AE03A6" w:rsidRDefault="00E15E22" w:rsidP="002F310B">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The CNDH underscored that medical termination of pregnancy should take place in conditions that prioritize the health, dignity and well-being of the woman, </w:t>
      </w:r>
      <w:r w:rsidR="005962E7" w:rsidRPr="00AE03A6">
        <w:rPr>
          <w:rFonts w:asciiTheme="majorBidi" w:hAnsiTheme="majorBidi" w:cstheme="majorBidi"/>
          <w:lang w:val="en-US"/>
        </w:rPr>
        <w:t>considering</w:t>
      </w:r>
      <w:r w:rsidRPr="00AE03A6">
        <w:rPr>
          <w:rFonts w:asciiTheme="majorBidi" w:hAnsiTheme="majorBidi" w:cstheme="majorBidi"/>
          <w:lang w:val="en-US"/>
        </w:rPr>
        <w:t xml:space="preserve"> the physical, mental, and social risks involved, in full compliance with Morocco</w:t>
      </w:r>
      <w:r w:rsidR="00CF1C06" w:rsidRPr="00AE03A6">
        <w:rPr>
          <w:rFonts w:asciiTheme="majorBidi" w:hAnsiTheme="majorBidi" w:cstheme="majorBidi"/>
          <w:lang w:val="en-US"/>
        </w:rPr>
        <w:t>’</w:t>
      </w:r>
      <w:r w:rsidRPr="00AE03A6">
        <w:rPr>
          <w:rFonts w:asciiTheme="majorBidi" w:hAnsiTheme="majorBidi" w:cstheme="majorBidi"/>
          <w:lang w:val="en-US"/>
        </w:rPr>
        <w:t>s international human rights obligations.</w:t>
      </w:r>
    </w:p>
    <w:p w14:paraId="063ECC1C" w14:textId="2E1B39D2" w:rsidR="00011586" w:rsidRPr="00AE03A6" w:rsidRDefault="00011586" w:rsidP="001756A1">
      <w:pPr>
        <w:shd w:val="clear" w:color="auto" w:fill="D0CECE" w:themeFill="background2" w:themeFillShade="E6"/>
        <w:spacing w:before="200" w:after="120"/>
        <w:ind w:left="357"/>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Issue 6</w:t>
      </w:r>
      <w:r w:rsidR="00FA07E0" w:rsidRPr="00AE03A6">
        <w:rPr>
          <w:rFonts w:asciiTheme="majorBidi" w:hAnsiTheme="majorBidi" w:cstheme="majorBidi"/>
          <w:b/>
          <w:bCs/>
          <w:i/>
          <w:iCs/>
          <w:sz w:val="22"/>
          <w:szCs w:val="22"/>
          <w:lang w:val="en-US"/>
        </w:rPr>
        <w:t xml:space="preserve">: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693F6233" w14:textId="5FDECBD1" w:rsidR="002F310B" w:rsidRPr="00AE03A6" w:rsidRDefault="006A788B" w:rsidP="001756A1">
      <w:pPr>
        <w:shd w:val="clear" w:color="auto" w:fill="D0CECE" w:themeFill="background2" w:themeFillShade="E6"/>
        <w:spacing w:before="200"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 xml:space="preserve">What measures have been </w:t>
      </w:r>
      <w:r w:rsidR="00011586" w:rsidRPr="00AE03A6">
        <w:rPr>
          <w:rFonts w:asciiTheme="majorBidi" w:hAnsiTheme="majorBidi" w:cstheme="majorBidi"/>
          <w:i/>
          <w:iCs/>
          <w:sz w:val="22"/>
          <w:szCs w:val="22"/>
          <w:lang w:val="en-US"/>
        </w:rPr>
        <w:t>taken</w:t>
      </w:r>
      <w:r w:rsidRPr="00AE03A6">
        <w:rPr>
          <w:rFonts w:asciiTheme="majorBidi" w:hAnsiTheme="majorBidi" w:cstheme="majorBidi"/>
          <w:i/>
          <w:iCs/>
          <w:sz w:val="22"/>
          <w:szCs w:val="22"/>
          <w:lang w:val="en-US"/>
        </w:rPr>
        <w:t xml:space="preserve"> to remove procedural barriers, such as the requirement to provide a certificate of judicial proceedings (Article 453, paragraph 3 of the Penal Code), that may unduly hinder timely access to abortion in cases of rape or incest</w:t>
      </w:r>
      <w:r w:rsidR="00FA07E0" w:rsidRPr="00AE03A6">
        <w:rPr>
          <w:rFonts w:asciiTheme="majorBidi" w:hAnsiTheme="majorBidi" w:cstheme="majorBidi"/>
          <w:i/>
          <w:iCs/>
          <w:sz w:val="22"/>
          <w:szCs w:val="22"/>
          <w:lang w:val="en-US"/>
        </w:rPr>
        <w:t xml:space="preserve"> and expose women and girls concerned to the risk of violation of their right to life?</w:t>
      </w:r>
    </w:p>
    <w:p w14:paraId="3FA732D1" w14:textId="6905820E" w:rsidR="00642418" w:rsidRPr="00AE03A6" w:rsidRDefault="00642418" w:rsidP="002F310B">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line="240" w:lineRule="auto"/>
        <w:ind w:left="714" w:hanging="357"/>
        <w:contextualSpacing w:val="0"/>
        <w:jc w:val="both"/>
        <w:rPr>
          <w:rFonts w:asciiTheme="majorBidi" w:hAnsiTheme="majorBidi" w:cstheme="majorBidi"/>
          <w:b/>
          <w:bCs/>
          <w:color w:val="000000"/>
          <w:lang w:val="en-US"/>
        </w:rPr>
      </w:pPr>
      <w:r w:rsidRPr="00AE03A6">
        <w:rPr>
          <w:rFonts w:asciiTheme="majorBidi" w:hAnsiTheme="majorBidi" w:cstheme="majorBidi"/>
          <w:b/>
          <w:bCs/>
          <w:lang w:val="en-US"/>
        </w:rPr>
        <w:t>Prohibition of torture (art. 7)</w:t>
      </w:r>
    </w:p>
    <w:p w14:paraId="1649E647" w14:textId="008316B0" w:rsidR="00DB1BD3" w:rsidRPr="00AE03A6" w:rsidRDefault="000B64BA" w:rsidP="00191088">
      <w:pPr>
        <w:pStyle w:val="Paragraphedeliste"/>
        <w:numPr>
          <w:ilvl w:val="0"/>
          <w:numId w:val="3"/>
        </w:numPr>
        <w:pBdr>
          <w:top w:val="nil"/>
          <w:left w:val="nil"/>
          <w:bottom w:val="nil"/>
          <w:right w:val="nil"/>
          <w:between w:val="nil"/>
        </w:pBdr>
        <w:spacing w:before="200" w:after="120" w:line="240" w:lineRule="auto"/>
        <w:ind w:left="360"/>
        <w:contextualSpacing w:val="0"/>
        <w:jc w:val="both"/>
        <w:rPr>
          <w:rFonts w:asciiTheme="majorBidi" w:hAnsiTheme="majorBidi" w:cstheme="majorBidi"/>
          <w:color w:val="000000"/>
          <w:lang w:val="en-US"/>
        </w:rPr>
      </w:pPr>
      <w:r w:rsidRPr="00AE03A6">
        <w:rPr>
          <w:rFonts w:asciiTheme="majorBidi" w:hAnsiTheme="majorBidi" w:cstheme="majorBidi"/>
          <w:lang w:val="en-US"/>
        </w:rPr>
        <w:t xml:space="preserve">In line with the Committee’s recommendation of 2016 to expedite the process of adopting a law establishing a national preventive mechanism, </w:t>
      </w:r>
      <w:r w:rsidR="00DB1BD3" w:rsidRPr="00AE03A6">
        <w:rPr>
          <w:rFonts w:asciiTheme="majorBidi" w:hAnsiTheme="majorBidi" w:cstheme="majorBidi"/>
          <w:lang w:val="en-US"/>
        </w:rPr>
        <w:t xml:space="preserve">the State party established </w:t>
      </w:r>
      <w:r w:rsidRPr="00AE03A6">
        <w:rPr>
          <w:rFonts w:asciiTheme="majorBidi" w:hAnsiTheme="majorBidi" w:cstheme="majorBidi"/>
          <w:lang w:val="en-US"/>
        </w:rPr>
        <w:t xml:space="preserve">the National Preventive Mechanism against Torture in 2018 and </w:t>
      </w:r>
      <w:r w:rsidR="00DB1BD3" w:rsidRPr="00AE03A6">
        <w:rPr>
          <w:rFonts w:asciiTheme="majorBidi" w:hAnsiTheme="majorBidi" w:cstheme="majorBidi"/>
          <w:lang w:val="en-US"/>
        </w:rPr>
        <w:t>vested the CNDH with its mandate</w:t>
      </w:r>
      <w:r w:rsidRPr="00AE03A6">
        <w:rPr>
          <w:rFonts w:asciiTheme="majorBidi" w:hAnsiTheme="majorBidi" w:cstheme="majorBidi"/>
          <w:lang w:val="en-US"/>
        </w:rPr>
        <w:t>. Accordingly, Morocco was rated “A” by the Committee for the adoption of the CNDH law, designating it as the operative body for the NPM</w:t>
      </w:r>
      <w:r w:rsidRPr="00AE03A6">
        <w:rPr>
          <w:rFonts w:asciiTheme="majorBidi" w:hAnsiTheme="majorBidi" w:cstheme="majorBidi"/>
          <w:vertAlign w:val="superscript"/>
          <w:lang w:val="en-US"/>
        </w:rPr>
        <w:footnoteReference w:id="30"/>
      </w:r>
      <w:r w:rsidRPr="00AE03A6">
        <w:rPr>
          <w:rFonts w:asciiTheme="majorBidi" w:hAnsiTheme="majorBidi" w:cstheme="majorBidi"/>
          <w:lang w:val="en-US"/>
        </w:rPr>
        <w:t xml:space="preserve">. </w:t>
      </w:r>
      <w:r w:rsidR="00DB1BD3" w:rsidRPr="00AE03A6">
        <w:rPr>
          <w:rFonts w:asciiTheme="majorBidi" w:hAnsiTheme="majorBidi" w:cstheme="majorBidi"/>
          <w:lang w:val="en-US"/>
        </w:rPr>
        <w:t>The NPM currently has a team of 20 members and staff with expertise in various fields</w:t>
      </w:r>
      <w:r w:rsidR="00680049" w:rsidRPr="00AE03A6">
        <w:rPr>
          <w:rFonts w:asciiTheme="majorBidi" w:hAnsiTheme="majorBidi" w:cstheme="majorBidi"/>
          <w:lang w:val="en-US"/>
        </w:rPr>
        <w:t>.</w:t>
      </w:r>
      <w:r w:rsidR="00EA6BF3" w:rsidRPr="00AE03A6">
        <w:rPr>
          <w:rFonts w:asciiTheme="majorBidi" w:hAnsiTheme="majorBidi" w:cstheme="majorBidi"/>
          <w:lang w:val="en-US"/>
        </w:rPr>
        <w:t xml:space="preserve"> </w:t>
      </w:r>
    </w:p>
    <w:p w14:paraId="7FE89F5D" w14:textId="577640C8" w:rsidR="00FC1248" w:rsidRPr="00AE03A6" w:rsidRDefault="00DB1BD3" w:rsidP="00DB1BD3">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lastRenderedPageBreak/>
        <w:t>The NPM</w:t>
      </w:r>
      <w:r w:rsidR="0051294B" w:rsidRPr="00AE03A6">
        <w:rPr>
          <w:rFonts w:asciiTheme="majorBidi" w:hAnsiTheme="majorBidi" w:cstheme="majorBidi"/>
          <w:lang w:val="en-US"/>
        </w:rPr>
        <w:t>/CNDH</w:t>
      </w:r>
      <w:r w:rsidRPr="00AE03A6">
        <w:rPr>
          <w:rFonts w:asciiTheme="majorBidi" w:hAnsiTheme="majorBidi" w:cstheme="majorBidi"/>
          <w:lang w:val="en-US"/>
        </w:rPr>
        <w:t xml:space="preserve"> conducted its first visit to a place of deprivation of liberty on April 23, 2020, </w:t>
      </w:r>
      <w:r w:rsidR="00CF1C06" w:rsidRPr="00AE03A6">
        <w:rPr>
          <w:rFonts w:asciiTheme="majorBidi" w:hAnsiTheme="majorBidi" w:cstheme="majorBidi"/>
          <w:lang w:val="en-US"/>
        </w:rPr>
        <w:t xml:space="preserve">during the period of </w:t>
      </w:r>
      <w:r w:rsidRPr="00AE03A6">
        <w:rPr>
          <w:rFonts w:asciiTheme="majorBidi" w:hAnsiTheme="majorBidi" w:cstheme="majorBidi"/>
          <w:lang w:val="en-US"/>
        </w:rPr>
        <w:t>the Covid-19 pandemic, and between 2020 and 2024, it carried out a total of 16</w:t>
      </w:r>
      <w:r w:rsidR="00680049" w:rsidRPr="00AE03A6">
        <w:rPr>
          <w:rFonts w:asciiTheme="majorBidi" w:hAnsiTheme="majorBidi" w:cstheme="majorBidi"/>
          <w:lang w:val="en-US"/>
        </w:rPr>
        <w:t>6</w:t>
      </w:r>
      <w:r w:rsidRPr="00AE03A6">
        <w:rPr>
          <w:rFonts w:asciiTheme="majorBidi" w:hAnsiTheme="majorBidi" w:cstheme="majorBidi"/>
          <w:lang w:val="en-US"/>
        </w:rPr>
        <w:t xml:space="preserve"> visits </w:t>
      </w:r>
      <w:r w:rsidR="00680049" w:rsidRPr="00AE03A6">
        <w:rPr>
          <w:rFonts w:asciiTheme="majorBidi" w:hAnsiTheme="majorBidi" w:cstheme="majorBidi"/>
          <w:lang w:val="en-US"/>
        </w:rPr>
        <w:t>covering the 12 regions of Morocco</w:t>
      </w:r>
      <w:r w:rsidR="0051294B" w:rsidRPr="00AE03A6">
        <w:rPr>
          <w:rFonts w:asciiTheme="majorBidi" w:hAnsiTheme="majorBidi" w:cstheme="majorBidi"/>
          <w:lang w:val="en-US"/>
        </w:rPr>
        <w:t xml:space="preserve"> </w:t>
      </w:r>
      <w:r w:rsidRPr="00AE03A6">
        <w:rPr>
          <w:rFonts w:asciiTheme="majorBidi" w:hAnsiTheme="majorBidi" w:cstheme="majorBidi"/>
          <w:lang w:val="en-US"/>
        </w:rPr>
        <w:t xml:space="preserve">to a wide range of facilities, including local and central prisons, police custody centers, Gendarmerie Royale stations, child protection centers, elder care facilities, court docks, </w:t>
      </w:r>
      <w:r w:rsidR="00EA6BF3" w:rsidRPr="00AE03A6">
        <w:rPr>
          <w:rFonts w:asciiTheme="majorBidi" w:hAnsiTheme="majorBidi" w:cstheme="majorBidi"/>
          <w:lang w:val="en-US"/>
        </w:rPr>
        <w:t>psychiatric centers</w:t>
      </w:r>
      <w:r w:rsidR="00CF1C06" w:rsidRPr="00AE03A6">
        <w:rPr>
          <w:rFonts w:asciiTheme="majorBidi" w:hAnsiTheme="majorBidi" w:cstheme="majorBidi"/>
          <w:lang w:val="en-US"/>
        </w:rPr>
        <w:t>,</w:t>
      </w:r>
      <w:r w:rsidR="00EA6BF3" w:rsidRPr="00AE03A6">
        <w:rPr>
          <w:rFonts w:asciiTheme="majorBidi" w:hAnsiTheme="majorBidi" w:cstheme="majorBidi"/>
          <w:lang w:val="en-US"/>
        </w:rPr>
        <w:t xml:space="preserve"> </w:t>
      </w:r>
      <w:r w:rsidRPr="00AE03A6">
        <w:rPr>
          <w:rFonts w:asciiTheme="majorBidi" w:hAnsiTheme="majorBidi" w:cstheme="majorBidi"/>
          <w:lang w:val="en-US"/>
        </w:rPr>
        <w:t xml:space="preserve">etc. </w:t>
      </w:r>
      <w:r w:rsidR="00FC1248" w:rsidRPr="00AE03A6">
        <w:rPr>
          <w:rFonts w:asciiTheme="majorBidi" w:hAnsiTheme="majorBidi" w:cstheme="majorBidi"/>
          <w:lang w:val="en-US"/>
        </w:rPr>
        <w:t xml:space="preserve">The visits conducted by the NPM were marked by a diversity in both the types of places of deprivation of liberty visited and their geographic distribution, reflecting a comprehensive and inclusive approach to </w:t>
      </w:r>
      <w:r w:rsidR="00DB759E" w:rsidRPr="00AE03A6">
        <w:rPr>
          <w:rFonts w:asciiTheme="majorBidi" w:hAnsiTheme="majorBidi" w:cstheme="majorBidi"/>
          <w:lang w:val="en-US"/>
        </w:rPr>
        <w:t xml:space="preserve">preventive </w:t>
      </w:r>
      <w:r w:rsidR="00FC1248" w:rsidRPr="00AE03A6">
        <w:rPr>
          <w:rFonts w:asciiTheme="majorBidi" w:hAnsiTheme="majorBidi" w:cstheme="majorBidi"/>
          <w:lang w:val="en-US"/>
        </w:rPr>
        <w:t>monitoring.</w:t>
      </w:r>
      <w:r w:rsidR="000B64BA" w:rsidRPr="00AE03A6">
        <w:rPr>
          <w:rFonts w:asciiTheme="majorBidi" w:hAnsiTheme="majorBidi" w:cstheme="majorBidi"/>
          <w:lang w:val="en-US"/>
        </w:rPr>
        <w:t xml:space="preserve"> </w:t>
      </w:r>
      <w:r w:rsidR="00FC1248" w:rsidRPr="00AE03A6">
        <w:rPr>
          <w:rFonts w:asciiTheme="majorBidi" w:hAnsiTheme="majorBidi" w:cstheme="majorBidi"/>
          <w:lang w:val="en-US"/>
        </w:rPr>
        <w:t xml:space="preserve">In accordance with the provisions of OPCAT, the visits aimed to prevent practices likely to lead directly or indirectly to any form of torture and ill-treatment and to engage in a constructive dialogue with the authorities responsible for such places. </w:t>
      </w:r>
    </w:p>
    <w:p w14:paraId="4562B9A0" w14:textId="31DDCED3" w:rsidR="008462F0" w:rsidRPr="00AE03A6" w:rsidRDefault="00DB1BD3" w:rsidP="008462F0">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visits comprise</w:t>
      </w:r>
      <w:r w:rsidR="00783709" w:rsidRPr="00AE03A6">
        <w:rPr>
          <w:rFonts w:asciiTheme="majorBidi" w:hAnsiTheme="majorBidi" w:cstheme="majorBidi"/>
          <w:lang w:val="en-US"/>
        </w:rPr>
        <w:t xml:space="preserve"> first-time</w:t>
      </w:r>
      <w:r w:rsidRPr="00AE03A6">
        <w:rPr>
          <w:rFonts w:asciiTheme="majorBidi" w:hAnsiTheme="majorBidi" w:cstheme="majorBidi"/>
          <w:lang w:val="en-US"/>
        </w:rPr>
        <w:t xml:space="preserve"> visits </w:t>
      </w:r>
      <w:r w:rsidR="00783709" w:rsidRPr="00AE03A6">
        <w:rPr>
          <w:rFonts w:asciiTheme="majorBidi" w:hAnsiTheme="majorBidi" w:cstheme="majorBidi"/>
          <w:lang w:val="en-US"/>
        </w:rPr>
        <w:t>and follow-up</w:t>
      </w:r>
      <w:r w:rsidRPr="00AE03A6">
        <w:rPr>
          <w:rFonts w:asciiTheme="majorBidi" w:hAnsiTheme="majorBidi" w:cstheme="majorBidi"/>
          <w:lang w:val="en-US"/>
        </w:rPr>
        <w:t xml:space="preserve"> inspections</w:t>
      </w:r>
      <w:r w:rsidR="00783709" w:rsidRPr="00AE03A6">
        <w:rPr>
          <w:rFonts w:asciiTheme="majorBidi" w:hAnsiTheme="majorBidi" w:cstheme="majorBidi"/>
          <w:lang w:val="en-US"/>
        </w:rPr>
        <w:t xml:space="preserve">. The follow-up visits have been instrumental in assessing the extent to which </w:t>
      </w:r>
      <w:r w:rsidRPr="00AE03A6">
        <w:rPr>
          <w:rFonts w:asciiTheme="majorBidi" w:hAnsiTheme="majorBidi" w:cstheme="majorBidi"/>
          <w:lang w:val="en-US"/>
        </w:rPr>
        <w:t>the NPM</w:t>
      </w:r>
      <w:r w:rsidR="00783709" w:rsidRPr="00AE03A6">
        <w:rPr>
          <w:rFonts w:asciiTheme="majorBidi" w:hAnsiTheme="majorBidi" w:cstheme="majorBidi"/>
          <w:lang w:val="en-US"/>
        </w:rPr>
        <w:t xml:space="preserve"> recommendations have been implemented</w:t>
      </w:r>
      <w:r w:rsidR="00FC1248" w:rsidRPr="00AE03A6">
        <w:rPr>
          <w:rFonts w:asciiTheme="majorBidi" w:hAnsiTheme="majorBidi" w:cstheme="majorBidi"/>
          <w:lang w:val="en-US"/>
        </w:rPr>
        <w:t>. Some of the recommendations have</w:t>
      </w:r>
      <w:r w:rsidR="00783709" w:rsidRPr="00AE03A6">
        <w:rPr>
          <w:rFonts w:asciiTheme="majorBidi" w:hAnsiTheme="majorBidi" w:cstheme="majorBidi"/>
          <w:lang w:val="en-US"/>
        </w:rPr>
        <w:t xml:space="preserve"> </w:t>
      </w:r>
      <w:r w:rsidR="00FC1248" w:rsidRPr="00AE03A6">
        <w:rPr>
          <w:rFonts w:asciiTheme="majorBidi" w:hAnsiTheme="majorBidi" w:cstheme="majorBidi"/>
          <w:lang w:val="en-US"/>
        </w:rPr>
        <w:t>been</w:t>
      </w:r>
      <w:r w:rsidR="00783709" w:rsidRPr="00AE03A6">
        <w:rPr>
          <w:rFonts w:asciiTheme="majorBidi" w:hAnsiTheme="majorBidi" w:cstheme="majorBidi"/>
          <w:lang w:val="en-US"/>
        </w:rPr>
        <w:t xml:space="preserve"> extended to other places of detention that were not part of the </w:t>
      </w:r>
      <w:r w:rsidR="002E7DFC" w:rsidRPr="00AE03A6">
        <w:rPr>
          <w:rFonts w:asciiTheme="majorBidi" w:hAnsiTheme="majorBidi" w:cstheme="majorBidi"/>
          <w:lang w:val="en-US"/>
        </w:rPr>
        <w:t xml:space="preserve">first-time </w:t>
      </w:r>
      <w:r w:rsidR="00783709" w:rsidRPr="00AE03A6">
        <w:rPr>
          <w:rFonts w:asciiTheme="majorBidi" w:hAnsiTheme="majorBidi" w:cstheme="majorBidi"/>
          <w:lang w:val="en-US"/>
        </w:rPr>
        <w:t xml:space="preserve">visits. </w:t>
      </w:r>
      <w:r w:rsidR="00FC1248" w:rsidRPr="00AE03A6">
        <w:rPr>
          <w:rFonts w:asciiTheme="majorBidi" w:hAnsiTheme="majorBidi" w:cstheme="majorBidi"/>
          <w:lang w:val="en-US"/>
        </w:rPr>
        <w:t>Indeed, the NPM found that 85% of its recommendations have been put into practice.</w:t>
      </w:r>
    </w:p>
    <w:p w14:paraId="2347CFCD" w14:textId="57968A06" w:rsidR="002B3102" w:rsidRPr="00AE03A6" w:rsidRDefault="000B64BA" w:rsidP="002B3102">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All visits by the NPM were followed by detailed </w:t>
      </w:r>
      <w:r w:rsidR="00783709" w:rsidRPr="00AE03A6">
        <w:rPr>
          <w:rFonts w:asciiTheme="majorBidi" w:hAnsiTheme="majorBidi" w:cstheme="majorBidi"/>
          <w:lang w:val="en-US"/>
        </w:rPr>
        <w:t xml:space="preserve">specific </w:t>
      </w:r>
      <w:r w:rsidRPr="00AE03A6">
        <w:rPr>
          <w:rFonts w:asciiTheme="majorBidi" w:hAnsiTheme="majorBidi" w:cstheme="majorBidi"/>
          <w:lang w:val="en-US"/>
        </w:rPr>
        <w:t xml:space="preserve">reports that were shared with the relevant authorities for the purpose of implementing </w:t>
      </w:r>
      <w:r w:rsidR="00DB1BD3" w:rsidRPr="00AE03A6">
        <w:rPr>
          <w:rFonts w:asciiTheme="majorBidi" w:hAnsiTheme="majorBidi" w:cstheme="majorBidi"/>
          <w:lang w:val="en-US"/>
        </w:rPr>
        <w:t xml:space="preserve">and generalizing </w:t>
      </w:r>
      <w:r w:rsidRPr="00AE03A6">
        <w:rPr>
          <w:rFonts w:asciiTheme="majorBidi" w:hAnsiTheme="majorBidi" w:cstheme="majorBidi"/>
          <w:lang w:val="en-US"/>
        </w:rPr>
        <w:t>the recommendations. Since its establishment in September 2019, the NPM has published five annual reports</w:t>
      </w:r>
      <w:r w:rsidR="00CF1C06" w:rsidRPr="00AE03A6">
        <w:rPr>
          <w:rFonts w:asciiTheme="majorBidi" w:hAnsiTheme="majorBidi" w:cstheme="majorBidi"/>
          <w:lang w:val="en-US"/>
        </w:rPr>
        <w:t xml:space="preserve"> </w:t>
      </w:r>
      <w:r w:rsidRPr="00AE03A6">
        <w:rPr>
          <w:rFonts w:asciiTheme="majorBidi" w:hAnsiTheme="majorBidi" w:cstheme="majorBidi"/>
          <w:lang w:val="en-US"/>
        </w:rPr>
        <w:t>separately and in the Official Gazette</w:t>
      </w:r>
      <w:r w:rsidR="00DB1BD3" w:rsidRPr="00AE03A6">
        <w:rPr>
          <w:rStyle w:val="Appelnotedebasdep"/>
          <w:rFonts w:asciiTheme="majorBidi" w:hAnsiTheme="majorBidi" w:cstheme="majorBidi"/>
          <w:lang w:val="en-US"/>
        </w:rPr>
        <w:footnoteReference w:id="31"/>
      </w:r>
      <w:r w:rsidRPr="00AE03A6">
        <w:rPr>
          <w:rFonts w:asciiTheme="majorBidi" w:hAnsiTheme="majorBidi" w:cstheme="majorBidi"/>
          <w:lang w:val="en-US"/>
        </w:rPr>
        <w:t>.</w:t>
      </w:r>
      <w:r w:rsidR="00680049" w:rsidRPr="00AE03A6">
        <w:rPr>
          <w:rFonts w:asciiTheme="majorBidi" w:hAnsiTheme="majorBidi" w:cstheme="majorBidi"/>
          <w:lang w:val="en-US"/>
        </w:rPr>
        <w:t xml:space="preserve"> All the five reports of the NPM are consolidated in one document and published online</w:t>
      </w:r>
      <w:r w:rsidR="00CF1C06" w:rsidRPr="00AE03A6">
        <w:rPr>
          <w:rStyle w:val="Appelnotedebasdep"/>
          <w:rFonts w:asciiTheme="majorBidi" w:hAnsiTheme="majorBidi" w:cstheme="majorBidi"/>
          <w:lang w:val="en-US"/>
        </w:rPr>
        <w:footnoteReference w:id="32"/>
      </w:r>
      <w:r w:rsidR="00680049" w:rsidRPr="00AE03A6">
        <w:rPr>
          <w:rFonts w:asciiTheme="majorBidi" w:hAnsiTheme="majorBidi" w:cstheme="majorBidi"/>
          <w:lang w:val="en-US"/>
        </w:rPr>
        <w:t>.</w:t>
      </w:r>
      <w:r w:rsidRPr="00AE03A6">
        <w:rPr>
          <w:rFonts w:asciiTheme="majorBidi" w:hAnsiTheme="majorBidi" w:cstheme="majorBidi"/>
          <w:lang w:val="en-US"/>
        </w:rPr>
        <w:t xml:space="preserve"> </w:t>
      </w:r>
      <w:r w:rsidR="00BF5949" w:rsidRPr="00AE03A6">
        <w:rPr>
          <w:rFonts w:asciiTheme="majorBidi" w:hAnsiTheme="majorBidi" w:cstheme="majorBidi"/>
          <w:lang w:val="en-US"/>
        </w:rPr>
        <w:t>The NPM/CNDH found that r</w:t>
      </w:r>
      <w:r w:rsidR="00191088" w:rsidRPr="00AE03A6">
        <w:rPr>
          <w:rFonts w:asciiTheme="majorBidi" w:hAnsiTheme="majorBidi" w:cstheme="majorBidi"/>
          <w:lang w:val="en-US"/>
        </w:rPr>
        <w:t>ecent years have seen a general trend toward improved detention conditions and procedural safeguards in custody facilities, including enhanced infrastructure in line with relevant international norms, strengthened documentation practices and increased cooperation with monitoring bodies</w:t>
      </w:r>
      <w:r w:rsidR="00191088" w:rsidRPr="00AE03A6">
        <w:rPr>
          <w:vertAlign w:val="superscript"/>
        </w:rPr>
        <w:footnoteReference w:id="33"/>
      </w:r>
      <w:r w:rsidR="00191088" w:rsidRPr="00AE03A6">
        <w:rPr>
          <w:rFonts w:asciiTheme="majorBidi" w:hAnsiTheme="majorBidi" w:cstheme="majorBidi"/>
          <w:lang w:val="en-US"/>
        </w:rPr>
        <w:t>.</w:t>
      </w:r>
      <w:r w:rsidR="00FC1248" w:rsidRPr="00AE03A6">
        <w:rPr>
          <w:rFonts w:asciiTheme="majorBidi" w:hAnsiTheme="majorBidi" w:cstheme="majorBidi"/>
          <w:lang w:val="en-US"/>
        </w:rPr>
        <w:t xml:space="preserve"> </w:t>
      </w:r>
      <w:r w:rsidR="00CF1C06" w:rsidRPr="00AE03A6">
        <w:rPr>
          <w:rFonts w:asciiTheme="majorBidi" w:hAnsiTheme="majorBidi" w:cstheme="majorBidi"/>
          <w:lang w:val="en-US"/>
        </w:rPr>
        <w:t>Based on its findings,</w:t>
      </w:r>
      <w:r w:rsidR="00FC1248" w:rsidRPr="00AE03A6">
        <w:rPr>
          <w:rFonts w:asciiTheme="majorBidi" w:hAnsiTheme="majorBidi" w:cstheme="majorBidi"/>
          <w:lang w:val="en-US"/>
        </w:rPr>
        <w:t xml:space="preserve"> it proposed to implement measures likely to achieve a better healthcare, consider the need</w:t>
      </w:r>
      <w:r w:rsidR="00F76B16" w:rsidRPr="00AE03A6">
        <w:rPr>
          <w:rFonts w:asciiTheme="majorBidi" w:hAnsiTheme="majorBidi" w:cstheme="majorBidi"/>
          <w:lang w:val="en-US"/>
        </w:rPr>
        <w:t>s of persons with disabilities</w:t>
      </w:r>
      <w:r w:rsidR="00FC1248" w:rsidRPr="00AE03A6">
        <w:rPr>
          <w:rFonts w:asciiTheme="majorBidi" w:hAnsiTheme="majorBidi" w:cstheme="majorBidi"/>
          <w:lang w:val="en-US"/>
        </w:rPr>
        <w:t xml:space="preserve">, separate the two sexes of juvenile offenders, reinforce procedural guarantees for persons in custody, build the capacities of </w:t>
      </w:r>
      <w:r w:rsidR="0022071B" w:rsidRPr="00AE03A6">
        <w:rPr>
          <w:rFonts w:asciiTheme="majorBidi" w:hAnsiTheme="majorBidi" w:cstheme="majorBidi"/>
          <w:lang w:val="en-US"/>
        </w:rPr>
        <w:t xml:space="preserve">the </w:t>
      </w:r>
      <w:r w:rsidR="00FC1248" w:rsidRPr="00AE03A6">
        <w:rPr>
          <w:rFonts w:asciiTheme="majorBidi" w:hAnsiTheme="majorBidi" w:cstheme="majorBidi"/>
          <w:lang w:val="en-US"/>
        </w:rPr>
        <w:t>staff</w:t>
      </w:r>
      <w:r w:rsidR="00B222B0" w:rsidRPr="00AE03A6">
        <w:rPr>
          <w:rFonts w:asciiTheme="majorBidi" w:hAnsiTheme="majorBidi" w:cstheme="majorBidi"/>
          <w:lang w:val="en-US"/>
        </w:rPr>
        <w:t xml:space="preserve"> of administrations responsible for places of detention</w:t>
      </w:r>
      <w:r w:rsidR="0022071B" w:rsidRPr="00AE03A6">
        <w:rPr>
          <w:rFonts w:asciiTheme="majorBidi" w:hAnsiTheme="majorBidi" w:cstheme="majorBidi"/>
          <w:lang w:val="en-US"/>
        </w:rPr>
        <w:t xml:space="preserve">, </w:t>
      </w:r>
      <w:r w:rsidR="00B7082A" w:rsidRPr="00AE03A6">
        <w:rPr>
          <w:rFonts w:asciiTheme="majorBidi" w:hAnsiTheme="majorBidi" w:cstheme="majorBidi"/>
          <w:lang w:val="en-US"/>
        </w:rPr>
        <w:t>and to propose legislative texts in line with relevant international norms</w:t>
      </w:r>
      <w:r w:rsidR="00FC1248" w:rsidRPr="00AE03A6">
        <w:rPr>
          <w:rFonts w:asciiTheme="majorBidi" w:hAnsiTheme="majorBidi" w:cstheme="majorBidi"/>
          <w:lang w:val="en-US"/>
        </w:rPr>
        <w:t>. Other recommendations relate to the right to food, light, air, sole bed, hygiene, preservation of communication with family, etc.</w:t>
      </w:r>
      <w:r w:rsidR="00B7082A" w:rsidRPr="00AE03A6">
        <w:rPr>
          <w:rFonts w:asciiTheme="majorBidi" w:hAnsiTheme="majorBidi" w:cstheme="majorBidi"/>
          <w:lang w:val="en-US"/>
        </w:rPr>
        <w:t xml:space="preserve"> </w:t>
      </w:r>
    </w:p>
    <w:p w14:paraId="21EA4BED" w14:textId="5E319467" w:rsidR="00B7082A" w:rsidRPr="00AE03A6" w:rsidRDefault="00B7082A" w:rsidP="002B3102">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For example,</w:t>
      </w:r>
      <w:r w:rsidR="000311F2" w:rsidRPr="00AE03A6">
        <w:rPr>
          <w:rFonts w:asciiTheme="majorBidi" w:hAnsiTheme="majorBidi" w:cstheme="majorBidi"/>
          <w:lang w:val="en-US"/>
        </w:rPr>
        <w:t xml:space="preserve"> in implementation of a recommendation by the CNDH/NPM,</w:t>
      </w:r>
      <w:r w:rsidR="00473BE9" w:rsidRPr="00AE03A6">
        <w:rPr>
          <w:rFonts w:asciiTheme="majorBidi" w:hAnsiTheme="majorBidi" w:cstheme="majorBidi"/>
          <w:lang w:val="en-US"/>
        </w:rPr>
        <w:t xml:space="preserve"> </w:t>
      </w:r>
      <w:r w:rsidR="00EA6BF3" w:rsidRPr="00AE03A6">
        <w:rPr>
          <w:rFonts w:asciiTheme="majorBidi" w:hAnsiTheme="majorBidi" w:cstheme="majorBidi"/>
          <w:color w:val="000000"/>
          <w:lang w:val="en-US"/>
        </w:rPr>
        <w:t>the Decree No. 2.22.222</w:t>
      </w:r>
      <w:r w:rsidR="00EA6BF3" w:rsidRPr="00AE03A6">
        <w:rPr>
          <w:rStyle w:val="Appelnotedebasdep"/>
          <w:rFonts w:asciiTheme="majorBidi" w:hAnsiTheme="majorBidi" w:cstheme="majorBidi"/>
          <w:color w:val="000000"/>
          <w:lang w:val="en-US"/>
        </w:rPr>
        <w:footnoteReference w:id="34"/>
      </w:r>
      <w:r w:rsidR="00EA6BF3" w:rsidRPr="00AE03A6">
        <w:rPr>
          <w:rFonts w:asciiTheme="majorBidi" w:hAnsiTheme="majorBidi" w:cstheme="majorBidi"/>
          <w:color w:val="000000"/>
          <w:lang w:val="en-US"/>
        </w:rPr>
        <w:t>, was adopted defin</w:t>
      </w:r>
      <w:r w:rsidR="002B3102" w:rsidRPr="00AE03A6">
        <w:rPr>
          <w:rFonts w:asciiTheme="majorBidi" w:hAnsiTheme="majorBidi" w:cstheme="majorBidi"/>
          <w:color w:val="000000"/>
          <w:lang w:val="en-US"/>
        </w:rPr>
        <w:t>ing</w:t>
      </w:r>
      <w:r w:rsidR="00EA6BF3" w:rsidRPr="00AE03A6">
        <w:rPr>
          <w:rFonts w:asciiTheme="majorBidi" w:hAnsiTheme="majorBidi" w:cstheme="majorBidi"/>
          <w:color w:val="000000"/>
          <w:lang w:val="en-US"/>
        </w:rPr>
        <w:t xml:space="preserve"> and regulat</w:t>
      </w:r>
      <w:r w:rsidR="002B3102" w:rsidRPr="00AE03A6">
        <w:rPr>
          <w:rFonts w:asciiTheme="majorBidi" w:hAnsiTheme="majorBidi" w:cstheme="majorBidi"/>
          <w:color w:val="000000"/>
          <w:lang w:val="en-US"/>
        </w:rPr>
        <w:t>ing</w:t>
      </w:r>
      <w:r w:rsidR="00EA6BF3" w:rsidRPr="00AE03A6">
        <w:rPr>
          <w:rFonts w:asciiTheme="majorBidi" w:hAnsiTheme="majorBidi" w:cstheme="majorBidi"/>
          <w:color w:val="000000"/>
          <w:lang w:val="en-US"/>
        </w:rPr>
        <w:t xml:space="preserve"> </w:t>
      </w:r>
      <w:r w:rsidR="002B3102" w:rsidRPr="00AE03A6">
        <w:rPr>
          <w:rFonts w:asciiTheme="majorBidi" w:hAnsiTheme="majorBidi" w:cstheme="majorBidi"/>
          <w:color w:val="000000"/>
          <w:lang w:val="en-US"/>
        </w:rPr>
        <w:t xml:space="preserve">the provision of </w:t>
      </w:r>
      <w:r w:rsidR="00EA6BF3" w:rsidRPr="00AE03A6">
        <w:rPr>
          <w:rFonts w:asciiTheme="majorBidi" w:hAnsiTheme="majorBidi" w:cstheme="majorBidi"/>
          <w:color w:val="000000"/>
          <w:lang w:val="en-US"/>
        </w:rPr>
        <w:t>meal</w:t>
      </w:r>
      <w:r w:rsidR="00CF1C06" w:rsidRPr="00AE03A6">
        <w:rPr>
          <w:rFonts w:asciiTheme="majorBidi" w:hAnsiTheme="majorBidi" w:cstheme="majorBidi"/>
          <w:color w:val="000000"/>
          <w:lang w:val="en-US"/>
        </w:rPr>
        <w:t>s</w:t>
      </w:r>
      <w:r w:rsidR="00EA6BF3" w:rsidRPr="00AE03A6">
        <w:rPr>
          <w:rFonts w:asciiTheme="majorBidi" w:hAnsiTheme="majorBidi" w:cstheme="majorBidi"/>
          <w:color w:val="000000"/>
          <w:lang w:val="en-US"/>
        </w:rPr>
        <w:t xml:space="preserve"> for individuals held in police custody. </w:t>
      </w:r>
      <w:r w:rsidR="00EA6BF3" w:rsidRPr="00AE03A6">
        <w:rPr>
          <w:lang w:val="en-US"/>
        </w:rPr>
        <w:t>Previously, it was the families of the detainees who were responsible for sending them meals, and at times, this matter was handled by police officers themselves at their own expenses.</w:t>
      </w:r>
      <w:r w:rsidR="00EA6BF3" w:rsidRPr="00AE03A6">
        <w:rPr>
          <w:rFonts w:asciiTheme="majorBidi" w:hAnsiTheme="majorBidi" w:cstheme="majorBidi"/>
          <w:lang w:val="en-US"/>
        </w:rPr>
        <w:t xml:space="preserve"> </w:t>
      </w:r>
      <w:r w:rsidR="00EA6BF3" w:rsidRPr="00AE03A6">
        <w:rPr>
          <w:rFonts w:asciiTheme="majorBidi" w:hAnsiTheme="majorBidi" w:cstheme="majorBidi"/>
          <w:color w:val="000000"/>
          <w:lang w:val="en-US"/>
        </w:rPr>
        <w:t xml:space="preserve">The CNDH/NPM also observed the </w:t>
      </w:r>
      <w:r w:rsidR="002B3102" w:rsidRPr="00AE03A6">
        <w:rPr>
          <w:rFonts w:asciiTheme="majorBidi" w:hAnsiTheme="majorBidi" w:cstheme="majorBidi"/>
          <w:color w:val="000000"/>
          <w:lang w:val="en-US"/>
        </w:rPr>
        <w:t>availability</w:t>
      </w:r>
      <w:r w:rsidR="00EA6BF3" w:rsidRPr="00AE03A6">
        <w:rPr>
          <w:rFonts w:asciiTheme="majorBidi" w:hAnsiTheme="majorBidi" w:cstheme="majorBidi"/>
          <w:color w:val="000000"/>
          <w:lang w:val="en-US"/>
        </w:rPr>
        <w:t xml:space="preserve"> of informational posters outlining the rights of individuals in custody, in interview rooms and outside cells</w:t>
      </w:r>
      <w:r w:rsidR="002B3102" w:rsidRPr="00AE03A6">
        <w:rPr>
          <w:rFonts w:asciiTheme="majorBidi" w:hAnsiTheme="majorBidi" w:cstheme="majorBidi"/>
          <w:color w:val="000000"/>
          <w:lang w:val="en-US"/>
        </w:rPr>
        <w:t>.</w:t>
      </w:r>
    </w:p>
    <w:p w14:paraId="4098007E" w14:textId="32F0F967" w:rsidR="00FC1248" w:rsidRPr="00AE03A6" w:rsidRDefault="00FC1248" w:rsidP="0022071B">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Overall, the NPM notes the positive </w:t>
      </w:r>
      <w:r w:rsidR="00BF5949" w:rsidRPr="00AE03A6">
        <w:rPr>
          <w:rFonts w:asciiTheme="majorBidi" w:hAnsiTheme="majorBidi" w:cstheme="majorBidi"/>
          <w:lang w:val="en-US"/>
        </w:rPr>
        <w:t>engagement</w:t>
      </w:r>
      <w:r w:rsidRPr="00AE03A6">
        <w:rPr>
          <w:rFonts w:asciiTheme="majorBidi" w:hAnsiTheme="majorBidi" w:cstheme="majorBidi"/>
          <w:lang w:val="en-US"/>
        </w:rPr>
        <w:t xml:space="preserve"> and cooperation of the administrations responsible for these places and the NPM. To be noted that the implementation of the NPM recommendations is generalized and is applied to all places of detention, </w:t>
      </w:r>
      <w:r w:rsidR="008462F0" w:rsidRPr="00AE03A6">
        <w:rPr>
          <w:lang w:val="en-US"/>
        </w:rPr>
        <w:t>especially those operating under the authority of the General Directorate for National Security (DGSN) and the Royal Gendarmerie</w:t>
      </w:r>
      <w:r w:rsidRPr="00AE03A6">
        <w:rPr>
          <w:rFonts w:asciiTheme="majorBidi" w:hAnsiTheme="majorBidi" w:cstheme="majorBidi"/>
          <w:lang w:val="en-US"/>
        </w:rPr>
        <w:t xml:space="preserve">. </w:t>
      </w:r>
    </w:p>
    <w:p w14:paraId="3A6A9289" w14:textId="77777777" w:rsidR="00191088" w:rsidRPr="00AE03A6" w:rsidRDefault="00191088" w:rsidP="00191088">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Concerning the methodology of visits, the NPM team has developed questionnaires specific to each type of the place visited in order to facilitate the collection of data. The content of this monitoring tool is based on a repository made up of relevant international, regional and national laws. Individual and group interviews were held with the staff of places of detention and residents. Also, the NPM was equipped with several technical tools, including in particular laser thermometers for measuring the temperature of people and premises, hygrometers for humidity and laser rangefinders. Specific </w:t>
      </w:r>
      <w:r w:rsidRPr="00AE03A6">
        <w:rPr>
          <w:rFonts w:asciiTheme="majorBidi" w:hAnsiTheme="majorBidi" w:cstheme="majorBidi"/>
          <w:lang w:val="en-US"/>
        </w:rPr>
        <w:lastRenderedPageBreak/>
        <w:t xml:space="preserve">vests were used by the NPM team as distinctive signs of the visiting team. The visiting teams represented different backgrounds, including medical, legal, judicial and human rights, etc. </w:t>
      </w:r>
    </w:p>
    <w:p w14:paraId="0DD8AD09" w14:textId="77777777" w:rsidR="00FC1248" w:rsidRPr="00AE03A6" w:rsidRDefault="00191088" w:rsidP="00191088">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NPM is currently conducting a study on "Women Detainees: Life Behind Bars" to examine the needs and challenges of female inmates. This study, which is being conducted in cooperation with the General Delegation for Prison Administration and Reintegration, aims to formulate recommendations for better protection of their rights and to identify any dysfunctions that could lead to human rights violations. To develop this study and collect data, the NPM conducted visits to all prisons hosting women detainees, totaling 43 prisons</w:t>
      </w:r>
      <w:r w:rsidR="00FC1248" w:rsidRPr="00AE03A6">
        <w:rPr>
          <w:rFonts w:asciiTheme="majorBidi" w:hAnsiTheme="majorBidi" w:cstheme="majorBidi"/>
          <w:lang w:val="en-US"/>
        </w:rPr>
        <w:t xml:space="preserve">. </w:t>
      </w:r>
      <w:r w:rsidRPr="00AE03A6">
        <w:rPr>
          <w:rFonts w:asciiTheme="majorBidi" w:hAnsiTheme="majorBidi" w:cstheme="majorBidi"/>
          <w:lang w:val="en-US"/>
        </w:rPr>
        <w:t>The NPM met individually or collectively, with all women inmates in Morocco, totaling 2498</w:t>
      </w:r>
      <w:r w:rsidR="00FC1248" w:rsidRPr="00AE03A6">
        <w:rPr>
          <w:rFonts w:asciiTheme="majorBidi" w:hAnsiTheme="majorBidi" w:cstheme="majorBidi"/>
          <w:lang w:val="en-US"/>
        </w:rPr>
        <w:t>.</w:t>
      </w:r>
    </w:p>
    <w:p w14:paraId="3523FE8E" w14:textId="2FC34366" w:rsidR="00762C61" w:rsidRPr="00AE03A6" w:rsidRDefault="00191088" w:rsidP="0003044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The CNDH also partnered with the United Nations High Commissioner for Human Rights (OHCHR) as well as the General Directorate of National Security (DGSN), Ministerial Delegation for Human Rights, in organizing a regional conference attended by representatives from the countries of Middle East and North Africa (Bahrain, Iraq, Saudi Arabia, Sudan, Jordan, Djibouti, Libya, Somalia, Palestine, Mauritania, Yemen, and Morocco). This conference, held from November 16 to 18, 2023, at the Royal Police Institute in the city of Kenitra, focused on the role of security institutions in preventing torture. </w:t>
      </w:r>
    </w:p>
    <w:p w14:paraId="36EA1D6A" w14:textId="36B768EA" w:rsidR="006675CC" w:rsidRPr="00AE03A6" w:rsidRDefault="00BF5949" w:rsidP="006675CC">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A Network of African National Preventive Mechanisms was established at the initiative of the National Human Rights Institutions (NHRIs) of Morocco and South Africa, with the objective of strengthening regional cooperation to prevent torture and ill-treatment. The network is currently chaired by the CNDH and operates with a permanent secretariat headquartered in Morocco. Its statutes were formally adopted in 2024. Since its creation, the network has organized two major conferences—one in Marrakech in 2023 and another in Cape Town in 2024—with the next conference scheduled to take place in Praia, Cabo Verde. The network aims to promote joint efforts among African NPMs through the exchange of knowledge, experiences, and good practices, as well as through capacity-building initiatives. Its actions will be implemented in </w:t>
      </w:r>
      <w:r w:rsidR="00762C61" w:rsidRPr="00AE03A6">
        <w:rPr>
          <w:rFonts w:asciiTheme="majorBidi" w:hAnsiTheme="majorBidi" w:cstheme="majorBidi"/>
          <w:lang w:val="en-US"/>
        </w:rPr>
        <w:t>cooperation</w:t>
      </w:r>
      <w:r w:rsidRPr="00AE03A6">
        <w:rPr>
          <w:rFonts w:asciiTheme="majorBidi" w:hAnsiTheme="majorBidi" w:cstheme="majorBidi"/>
          <w:lang w:val="en-US"/>
        </w:rPr>
        <w:t xml:space="preserve"> with regional and international mechanisms, including the United Nations Subcommittee on Prevention of Torture (SPT), to ensure a coherent and effective approach to the prevention of torture across the continent.</w:t>
      </w:r>
    </w:p>
    <w:p w14:paraId="658EE57A" w14:textId="6A1DF076" w:rsidR="000E32CB" w:rsidRPr="00AE03A6" w:rsidRDefault="000E32CB" w:rsidP="0003044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Recognizing the prevailing ambiguities regarding the definitions of torture and ill-treatment in common discourses, the CNDH took proactive measures to clarify these concepts. In its 2023 annual report, the </w:t>
      </w:r>
      <w:r w:rsidR="00030444" w:rsidRPr="00AE03A6">
        <w:rPr>
          <w:rFonts w:asciiTheme="majorBidi" w:hAnsiTheme="majorBidi" w:cstheme="majorBidi"/>
          <w:lang w:val="en-US"/>
        </w:rPr>
        <w:t>CNDH</w:t>
      </w:r>
      <w:r w:rsidRPr="00AE03A6">
        <w:rPr>
          <w:rFonts w:asciiTheme="majorBidi" w:hAnsiTheme="majorBidi" w:cstheme="majorBidi"/>
          <w:lang w:val="en-US"/>
        </w:rPr>
        <w:t xml:space="preserve"> provided clear and comprehensive definitions of torture, cruel, inhuman, and degrading treatment or punishment, drawing on international human rights standards. For example, it included the definition of cruel and inhuman treatment as outlined by the UN Human Rights Committee in its General Comment No. 20 on Article 7 of the </w:t>
      </w:r>
      <w:r w:rsidR="00030444" w:rsidRPr="00AE03A6">
        <w:rPr>
          <w:rFonts w:asciiTheme="majorBidi" w:hAnsiTheme="majorBidi" w:cstheme="majorBidi"/>
          <w:lang w:val="en-US"/>
        </w:rPr>
        <w:t>ICCPR</w:t>
      </w:r>
      <w:r w:rsidRPr="00AE03A6">
        <w:rPr>
          <w:rFonts w:asciiTheme="majorBidi" w:hAnsiTheme="majorBidi" w:cstheme="majorBidi"/>
          <w:lang w:val="en-US"/>
        </w:rPr>
        <w:t>. This effort aimed to raise awareness among the public and ensure that state authorities, law enforcement, and other stakeholders operate with a common and accurate understanding of these terms.</w:t>
      </w:r>
    </w:p>
    <w:p w14:paraId="2281B87A" w14:textId="4AC00BCE" w:rsidR="000E32CB" w:rsidRPr="00AE03A6" w:rsidRDefault="000E32CB" w:rsidP="000E32CB">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The CNDH exercises a quasi-judicial mandate that empowers it to handle individual complaints, conduct thorough investigations, and engage with competent authorities to ensure appropriate follow-up and action. This mandate reinforces its role as a national redress mechanism in the field of human rights, particularly in cases involving potential violations such as torture and ill-treatment. </w:t>
      </w:r>
      <w:r w:rsidR="00EA6BF3" w:rsidRPr="00AE03A6">
        <w:rPr>
          <w:rFonts w:asciiTheme="majorBidi" w:hAnsiTheme="majorBidi" w:cstheme="majorBidi"/>
          <w:lang w:val="en-US"/>
        </w:rPr>
        <w:t>For example, i</w:t>
      </w:r>
      <w:r w:rsidRPr="00AE03A6">
        <w:rPr>
          <w:rFonts w:asciiTheme="majorBidi" w:hAnsiTheme="majorBidi" w:cstheme="majorBidi"/>
          <w:lang w:val="en-US"/>
        </w:rPr>
        <w:t xml:space="preserve">n its 2023 the CNDH reported that it had addressed 4 cases of alleged torture and 149 cases of alleged ill-treatment. In response to these allegations, the CNDH undertook independent investigations, gathered relevant information, and actively communicated its findings and recommendations to the authorities concerned, including judicial bodies where necessary. This process reflects the institution’s commitment to ensuring accountability, promoting adherence to international human rights standards, and preventing impunity for acts of torture and other forms of ill-treatment. </w:t>
      </w:r>
    </w:p>
    <w:p w14:paraId="084B0A93" w14:textId="27193DEC" w:rsidR="003A4F35" w:rsidRPr="00AE03A6" w:rsidRDefault="00FB13D3" w:rsidP="0003044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In its various annual reports, the CNDH recommended that competent authorities should proceed to a prompt and impartial investigation, wherever there is reasonable ground to believe that an act of torture has been committed in any territory under </w:t>
      </w:r>
      <w:r w:rsidR="00030444" w:rsidRPr="00AE03A6">
        <w:rPr>
          <w:rFonts w:asciiTheme="majorBidi" w:hAnsiTheme="majorBidi" w:cstheme="majorBidi"/>
          <w:lang w:val="en-US"/>
        </w:rPr>
        <w:t>the State’s</w:t>
      </w:r>
      <w:r w:rsidRPr="00AE03A6">
        <w:rPr>
          <w:rFonts w:asciiTheme="majorBidi" w:hAnsiTheme="majorBidi" w:cstheme="majorBidi"/>
          <w:lang w:val="en-US"/>
        </w:rPr>
        <w:t xml:space="preserve"> jurisdiction. Also, the CNDH has issued </w:t>
      </w:r>
      <w:r w:rsidRPr="00AE03A6">
        <w:rPr>
          <w:rFonts w:asciiTheme="majorBidi" w:hAnsiTheme="majorBidi" w:cstheme="majorBidi"/>
          <w:lang w:val="en-US"/>
        </w:rPr>
        <w:lastRenderedPageBreak/>
        <w:t>several recommendations aimed at amending the Penal Code</w:t>
      </w:r>
      <w:r w:rsidRPr="00AE03A6">
        <w:rPr>
          <w:rStyle w:val="Appelnotedebasdep"/>
          <w:rFonts w:asciiTheme="majorBidi" w:hAnsiTheme="majorBidi" w:cstheme="majorBidi"/>
          <w:lang w:val="en-US"/>
        </w:rPr>
        <w:footnoteReference w:id="35"/>
      </w:r>
      <w:r w:rsidRPr="00AE03A6">
        <w:rPr>
          <w:rFonts w:asciiTheme="majorBidi" w:hAnsiTheme="majorBidi" w:cstheme="majorBidi"/>
          <w:lang w:val="en-US"/>
        </w:rPr>
        <w:t xml:space="preserve"> to bring it into greater alignment with international human rights standards. These include: explicitly recognizing the criminal responsibility of superiors for acts of torture committed by their subordinates when they knew or should have known about the acts and failed to prevent or punish them; ensuring that orders from superiors cannot be invoked as a justification for committing acts of torture; and stipulating that the crime of torture is not subject to any statute of limitations, in recognition of its extreme gravity under international law</w:t>
      </w:r>
      <w:r w:rsidR="00A217E1" w:rsidRPr="00AE03A6">
        <w:rPr>
          <w:rFonts w:asciiTheme="majorBidi" w:hAnsiTheme="majorBidi" w:cstheme="majorBidi"/>
          <w:lang w:val="en-US"/>
        </w:rPr>
        <w:t xml:space="preserve">. The CNDH </w:t>
      </w:r>
      <w:r w:rsidR="00030444" w:rsidRPr="00AE03A6">
        <w:rPr>
          <w:rFonts w:asciiTheme="majorBidi" w:hAnsiTheme="majorBidi" w:cstheme="majorBidi"/>
          <w:lang w:val="en-US"/>
        </w:rPr>
        <w:t xml:space="preserve">also </w:t>
      </w:r>
      <w:r w:rsidR="00A217E1" w:rsidRPr="00AE03A6">
        <w:rPr>
          <w:rFonts w:asciiTheme="majorBidi" w:hAnsiTheme="majorBidi" w:cstheme="majorBidi"/>
          <w:lang w:val="en-US"/>
        </w:rPr>
        <w:t>recommended that the legal framework be revised to ensure that the definitions of torture and ill-treatment are fully aligned with international standards.</w:t>
      </w:r>
    </w:p>
    <w:p w14:paraId="4E7735FC" w14:textId="7439BD8F" w:rsidR="006675CC" w:rsidRPr="00AE03A6" w:rsidRDefault="006675CC" w:rsidP="001756A1">
      <w:pPr>
        <w:shd w:val="clear" w:color="auto" w:fill="D0CECE" w:themeFill="background2" w:themeFillShade="E6"/>
        <w:spacing w:before="200" w:after="120"/>
        <w:ind w:left="357"/>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 xml:space="preserve">Issue 7: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address the following question</w:t>
      </w:r>
      <w:r w:rsidR="00EA6BF3"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78E8AC8E" w14:textId="77777777" w:rsidR="00C7091C" w:rsidRPr="00AE03A6" w:rsidRDefault="00C7091C" w:rsidP="001756A1">
      <w:pPr>
        <w:shd w:val="clear" w:color="auto" w:fill="D0CECE" w:themeFill="background2" w:themeFillShade="E6"/>
        <w:tabs>
          <w:tab w:val="num" w:pos="720"/>
        </w:tabs>
        <w:spacing w:before="200"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What measures has the State party adopted to ensure the full and effective implementation of the absolute prohibition of torture and other cruel, inhuman, or degrading treatment or punishment, in law and in practice?</w:t>
      </w:r>
    </w:p>
    <w:p w14:paraId="237B2F01" w14:textId="10340ADB" w:rsidR="006675CC" w:rsidRPr="00AE03A6" w:rsidRDefault="006675CC" w:rsidP="001756A1">
      <w:pPr>
        <w:shd w:val="clear" w:color="auto" w:fill="D0CECE" w:themeFill="background2" w:themeFillShade="E6"/>
        <w:tabs>
          <w:tab w:val="num" w:pos="720"/>
        </w:tabs>
        <w:spacing w:before="200"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What concrete steps has the State party taken to implement the recommendations made by its National Preventive Mechanism (NPM) following its visits to places of deprivation of liberty? How does the State party ensure that the NP</w:t>
      </w:r>
      <w:r w:rsidR="00CF1C06" w:rsidRPr="00AE03A6">
        <w:rPr>
          <w:rFonts w:asciiTheme="majorBidi" w:hAnsiTheme="majorBidi" w:cstheme="majorBidi"/>
          <w:i/>
          <w:iCs/>
          <w:sz w:val="22"/>
          <w:szCs w:val="22"/>
          <w:lang w:val="en-US"/>
        </w:rPr>
        <w:t>M’</w:t>
      </w:r>
      <w:r w:rsidRPr="00AE03A6">
        <w:rPr>
          <w:rFonts w:asciiTheme="majorBidi" w:hAnsiTheme="majorBidi" w:cstheme="majorBidi"/>
          <w:i/>
          <w:iCs/>
          <w:sz w:val="22"/>
          <w:szCs w:val="22"/>
          <w:lang w:val="en-US"/>
        </w:rPr>
        <w:t>s recommendations are systematically reviewed, acted upon, and monitored by the relevant authorities?</w:t>
      </w:r>
    </w:p>
    <w:p w14:paraId="5218DF53" w14:textId="4491C4F0" w:rsidR="00A217E1" w:rsidRPr="00AE03A6" w:rsidRDefault="00A217E1" w:rsidP="001756A1">
      <w:pPr>
        <w:shd w:val="clear" w:color="auto" w:fill="D0CECE" w:themeFill="background2" w:themeFillShade="E6"/>
        <w:tabs>
          <w:tab w:val="num" w:pos="720"/>
        </w:tabs>
        <w:spacing w:before="200"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 xml:space="preserve">Could the State party provide an update on the timeline for the </w:t>
      </w:r>
      <w:r w:rsidR="00536170" w:rsidRPr="00AE03A6">
        <w:rPr>
          <w:rFonts w:asciiTheme="majorBidi" w:hAnsiTheme="majorBidi" w:cstheme="majorBidi"/>
          <w:i/>
          <w:iCs/>
          <w:sz w:val="22"/>
          <w:szCs w:val="22"/>
          <w:lang w:val="en-US"/>
        </w:rPr>
        <w:t>amendment</w:t>
      </w:r>
      <w:r w:rsidRPr="00AE03A6">
        <w:rPr>
          <w:rFonts w:asciiTheme="majorBidi" w:hAnsiTheme="majorBidi" w:cstheme="majorBidi"/>
          <w:i/>
          <w:iCs/>
          <w:sz w:val="22"/>
          <w:szCs w:val="22"/>
          <w:lang w:val="en-US"/>
        </w:rPr>
        <w:t xml:space="preserve"> </w:t>
      </w:r>
      <w:r w:rsidR="00536170" w:rsidRPr="00AE03A6">
        <w:rPr>
          <w:rFonts w:asciiTheme="majorBidi" w:hAnsiTheme="majorBidi" w:cstheme="majorBidi"/>
          <w:i/>
          <w:iCs/>
          <w:sz w:val="22"/>
          <w:szCs w:val="22"/>
          <w:lang w:val="en-US"/>
        </w:rPr>
        <w:t>of</w:t>
      </w:r>
      <w:r w:rsidRPr="00AE03A6">
        <w:rPr>
          <w:rFonts w:asciiTheme="majorBidi" w:hAnsiTheme="majorBidi" w:cstheme="majorBidi"/>
          <w:i/>
          <w:iCs/>
          <w:sz w:val="22"/>
          <w:szCs w:val="22"/>
          <w:lang w:val="en-US"/>
        </w:rPr>
        <w:t xml:space="preserve"> the </w:t>
      </w:r>
      <w:r w:rsidR="00EA6BF3" w:rsidRPr="00AE03A6">
        <w:rPr>
          <w:rFonts w:asciiTheme="majorBidi" w:hAnsiTheme="majorBidi" w:cstheme="majorBidi"/>
          <w:i/>
          <w:iCs/>
          <w:sz w:val="22"/>
          <w:szCs w:val="22"/>
          <w:lang w:val="en-US"/>
        </w:rPr>
        <w:t>Penal</w:t>
      </w:r>
      <w:r w:rsidRPr="00AE03A6">
        <w:rPr>
          <w:rFonts w:asciiTheme="majorBidi" w:hAnsiTheme="majorBidi" w:cstheme="majorBidi"/>
          <w:i/>
          <w:iCs/>
          <w:sz w:val="22"/>
          <w:szCs w:val="22"/>
          <w:lang w:val="en-US"/>
        </w:rPr>
        <w:t xml:space="preserve"> Code</w:t>
      </w:r>
      <w:r w:rsidR="00A22B43" w:rsidRPr="00AE03A6">
        <w:rPr>
          <w:rFonts w:asciiTheme="majorBidi" w:hAnsiTheme="majorBidi" w:cstheme="majorBidi"/>
          <w:i/>
          <w:iCs/>
          <w:sz w:val="22"/>
          <w:szCs w:val="22"/>
          <w:lang w:val="en-US"/>
        </w:rPr>
        <w:t xml:space="preserve"> and Code of </w:t>
      </w:r>
      <w:r w:rsidR="00B17F83" w:rsidRPr="00AE03A6">
        <w:rPr>
          <w:rFonts w:asciiTheme="majorBidi" w:hAnsiTheme="majorBidi" w:cstheme="majorBidi"/>
          <w:i/>
          <w:iCs/>
          <w:sz w:val="22"/>
          <w:szCs w:val="22"/>
          <w:lang w:val="en-US"/>
        </w:rPr>
        <w:t xml:space="preserve">Penal </w:t>
      </w:r>
      <w:r w:rsidR="005F192B" w:rsidRPr="00AE03A6">
        <w:rPr>
          <w:rFonts w:asciiTheme="majorBidi" w:hAnsiTheme="majorBidi" w:cstheme="majorBidi"/>
          <w:i/>
          <w:iCs/>
          <w:sz w:val="22"/>
          <w:szCs w:val="22"/>
          <w:lang w:val="en-US"/>
        </w:rPr>
        <w:t>Procedure?</w:t>
      </w:r>
      <w:r w:rsidRPr="00AE03A6">
        <w:rPr>
          <w:rFonts w:asciiTheme="majorBidi" w:hAnsiTheme="majorBidi" w:cstheme="majorBidi"/>
          <w:i/>
          <w:iCs/>
          <w:sz w:val="22"/>
          <w:szCs w:val="22"/>
          <w:lang w:val="en-US"/>
        </w:rPr>
        <w:t xml:space="preserve"> To what extent do these amendments reflect relevant international human rights standards, particularly concerning the prohibition of torture and the accountability of perpetrators?</w:t>
      </w:r>
    </w:p>
    <w:p w14:paraId="3027201C" w14:textId="25B94317" w:rsidR="000E32CB" w:rsidRPr="00AE03A6" w:rsidRDefault="000E32CB" w:rsidP="000E32CB">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line="240" w:lineRule="auto"/>
        <w:ind w:left="714" w:hanging="357"/>
        <w:contextualSpacing w:val="0"/>
        <w:jc w:val="both"/>
        <w:rPr>
          <w:rFonts w:asciiTheme="majorBidi" w:hAnsiTheme="majorBidi" w:cstheme="majorBidi"/>
          <w:b/>
          <w:bCs/>
          <w:lang w:val="en-US"/>
        </w:rPr>
      </w:pPr>
      <w:r w:rsidRPr="00AE03A6">
        <w:rPr>
          <w:rFonts w:asciiTheme="majorBidi" w:hAnsiTheme="majorBidi" w:cstheme="majorBidi"/>
          <w:b/>
          <w:bCs/>
          <w:lang w:val="en-US"/>
        </w:rPr>
        <w:t>Rights of persons deprived of their liberty (art. 10</w:t>
      </w:r>
    </w:p>
    <w:p w14:paraId="5FE3E608" w14:textId="51F66A37" w:rsidR="00A217E1" w:rsidRPr="00AE03A6" w:rsidRDefault="00A217E1" w:rsidP="00E66AD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Adopted in 2024, Law No. 10.23 on the organization and management of penitentiary establishments </w:t>
      </w:r>
      <w:r w:rsidR="00E66AD4" w:rsidRPr="00AE03A6">
        <w:rPr>
          <w:rFonts w:asciiTheme="majorBidi" w:hAnsiTheme="majorBidi" w:cstheme="majorBidi"/>
          <w:lang w:val="en-US"/>
        </w:rPr>
        <w:t>comes up with</w:t>
      </w:r>
      <w:r w:rsidRPr="00AE03A6">
        <w:rPr>
          <w:rFonts w:asciiTheme="majorBidi" w:hAnsiTheme="majorBidi" w:cstheme="majorBidi"/>
          <w:lang w:val="en-US"/>
        </w:rPr>
        <w:t xml:space="preserve"> significant reforms aimed at improving the prison system. </w:t>
      </w:r>
      <w:r w:rsidR="00A22B43" w:rsidRPr="00AE03A6">
        <w:rPr>
          <w:rFonts w:asciiTheme="majorBidi" w:hAnsiTheme="majorBidi" w:cstheme="majorBidi"/>
          <w:lang w:val="en-US"/>
        </w:rPr>
        <w:t>Indeed, the</w:t>
      </w:r>
      <w:r w:rsidRPr="00AE03A6">
        <w:rPr>
          <w:rFonts w:asciiTheme="majorBidi" w:hAnsiTheme="majorBidi" w:cstheme="majorBidi"/>
          <w:lang w:val="en-US"/>
        </w:rPr>
        <w:t xml:space="preserve"> law is designed to safeguard the rights of detainees while ensuring their security and well-being. It prioritizes the enhancement of detention conditions and supports the rehabilitation and reintegration of prisoners into society. Moreover, the law places special emphasis on providing medical care, particularly for vulnerable groups. </w:t>
      </w:r>
    </w:p>
    <w:p w14:paraId="70F4F3B5" w14:textId="76BAA64C" w:rsidR="00E66AD4" w:rsidRPr="00AE03A6" w:rsidRDefault="005F192B" w:rsidP="00E66AD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In addition to the preventive visits conducted by the NPM</w:t>
      </w:r>
      <w:r w:rsidR="00CF1C06" w:rsidRPr="00AE03A6">
        <w:rPr>
          <w:rFonts w:asciiTheme="majorBidi" w:hAnsiTheme="majorBidi" w:cstheme="majorBidi"/>
          <w:lang w:val="en-US"/>
        </w:rPr>
        <w:t xml:space="preserve"> (166 visits)</w:t>
      </w:r>
      <w:r w:rsidRPr="00AE03A6">
        <w:rPr>
          <w:rFonts w:asciiTheme="majorBidi" w:hAnsiTheme="majorBidi" w:cstheme="majorBidi"/>
          <w:lang w:val="en-US"/>
        </w:rPr>
        <w:t>, t</w:t>
      </w:r>
      <w:r w:rsidR="00E66AD4" w:rsidRPr="00AE03A6">
        <w:rPr>
          <w:rFonts w:asciiTheme="majorBidi" w:hAnsiTheme="majorBidi" w:cstheme="majorBidi"/>
          <w:lang w:val="en-US"/>
        </w:rPr>
        <w:t>he CNDH conducted 814 protective visits to penitentiary institutions between 2019 and the end of 2023. These visits revealed that prison overcrowding, despite national efforts made to build and expand prisons and to implement reintegration programs, remains one of the most pressing challenges facing the prison system. Overcrowding significantly undermines the ability of incarcerated individuals to fully enjoy their rights, particularly their rights to health, hygiene and education. The CNDH has repeatedly highlighted that overcrowded conditions not only strain prison infrastructure and services but also contribute to deteriorating living standards and increased vulnerability of detainees, ultimately impeding efforts to ensure humane and dignified conditions of detention in accordance with national and international standards.</w:t>
      </w:r>
    </w:p>
    <w:p w14:paraId="44FCB3D9" w14:textId="47A958A3" w:rsidR="00A217E1" w:rsidRPr="00AE03A6" w:rsidRDefault="00CC0F96" w:rsidP="00CC0F96">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By 27 May 2025, th</w:t>
      </w:r>
      <w:r w:rsidR="00CF1C06" w:rsidRPr="00AE03A6">
        <w:rPr>
          <w:rFonts w:asciiTheme="majorBidi" w:hAnsiTheme="majorBidi" w:cstheme="majorBidi"/>
          <w:lang w:val="en-US"/>
        </w:rPr>
        <w:t>e number of prison</w:t>
      </w:r>
      <w:r w:rsidRPr="00AE03A6">
        <w:rPr>
          <w:rFonts w:asciiTheme="majorBidi" w:hAnsiTheme="majorBidi" w:cstheme="majorBidi"/>
          <w:lang w:val="en-US"/>
        </w:rPr>
        <w:t>er</w:t>
      </w:r>
      <w:r w:rsidR="00CF1C06" w:rsidRPr="00AE03A6">
        <w:rPr>
          <w:rFonts w:asciiTheme="majorBidi" w:hAnsiTheme="majorBidi" w:cstheme="majorBidi"/>
          <w:lang w:val="en-US"/>
        </w:rPr>
        <w:t xml:space="preserve">s reaches 105.911 </w:t>
      </w:r>
      <w:r w:rsidRPr="00AE03A6">
        <w:rPr>
          <w:rFonts w:asciiTheme="majorBidi" w:hAnsiTheme="majorBidi" w:cstheme="majorBidi"/>
          <w:lang w:val="en-US"/>
        </w:rPr>
        <w:t>individuals</w:t>
      </w:r>
      <w:r w:rsidR="00CF1C06" w:rsidRPr="00AE03A6">
        <w:rPr>
          <w:rFonts w:asciiTheme="majorBidi" w:hAnsiTheme="majorBidi" w:cstheme="majorBidi"/>
          <w:lang w:val="en-US"/>
        </w:rPr>
        <w:t xml:space="preserve">. This </w:t>
      </w:r>
      <w:r w:rsidRPr="00AE03A6">
        <w:rPr>
          <w:rFonts w:asciiTheme="majorBidi" w:hAnsiTheme="majorBidi" w:cstheme="majorBidi"/>
          <w:lang w:val="en-US"/>
        </w:rPr>
        <w:t>is a high</w:t>
      </w:r>
      <w:r w:rsidR="00CF1C06" w:rsidRPr="00AE03A6">
        <w:rPr>
          <w:rFonts w:asciiTheme="majorBidi" w:hAnsiTheme="majorBidi" w:cstheme="majorBidi"/>
          <w:lang w:val="en-US"/>
        </w:rPr>
        <w:t xml:space="preserve"> number relative to the capacity of the 77 existing prisons. </w:t>
      </w:r>
      <w:r w:rsidR="00A217E1" w:rsidRPr="00AE03A6">
        <w:rPr>
          <w:rFonts w:asciiTheme="majorBidi" w:hAnsiTheme="majorBidi" w:cstheme="majorBidi"/>
          <w:lang w:val="en-US"/>
        </w:rPr>
        <w:t>The recent adoption of Law No. 43.22 on alternative sanctions represents a significant step forward in addressing the persistent issue of prison overcrowding. By introducing non-custodial measures, the law provides the judiciary with practical tools to reduce reliance on short-term imprisonment for minor offenses.</w:t>
      </w:r>
      <w:r w:rsidR="007D7C92" w:rsidRPr="00AE03A6">
        <w:rPr>
          <w:rFonts w:asciiTheme="majorBidi" w:hAnsiTheme="majorBidi" w:cstheme="majorBidi"/>
          <w:lang w:val="en-US"/>
        </w:rPr>
        <w:t xml:space="preserve"> The law reflects several of the CNDH’s recommendations included in its memorandum on the draft law</w:t>
      </w:r>
      <w:r w:rsidR="007D7C92" w:rsidRPr="00AE03A6">
        <w:rPr>
          <w:rStyle w:val="Appelnotedebasdep"/>
          <w:rFonts w:asciiTheme="majorBidi" w:hAnsiTheme="majorBidi" w:cstheme="majorBidi"/>
          <w:lang w:val="en-US"/>
        </w:rPr>
        <w:footnoteReference w:id="36"/>
      </w:r>
      <w:r w:rsidR="007D7C92" w:rsidRPr="00AE03A6">
        <w:rPr>
          <w:rFonts w:asciiTheme="majorBidi" w:hAnsiTheme="majorBidi" w:cstheme="majorBidi"/>
          <w:lang w:val="en-US"/>
        </w:rPr>
        <w:t xml:space="preserve">, notably the expansion of the scope of alternative sentences and the simplification of their application procedures. </w:t>
      </w:r>
      <w:r w:rsidR="00A217E1" w:rsidRPr="00AE03A6">
        <w:rPr>
          <w:rFonts w:asciiTheme="majorBidi" w:hAnsiTheme="majorBidi" w:cstheme="majorBidi"/>
          <w:lang w:val="en-US"/>
        </w:rPr>
        <w:t xml:space="preserve">If effectively implemented, this legal reform is likely to contribute to a gradual decrease </w:t>
      </w:r>
      <w:r w:rsidR="00A217E1" w:rsidRPr="00AE03A6">
        <w:rPr>
          <w:rFonts w:asciiTheme="majorBidi" w:hAnsiTheme="majorBidi" w:cstheme="majorBidi"/>
          <w:lang w:val="en-US"/>
        </w:rPr>
        <w:lastRenderedPageBreak/>
        <w:t>in the prison population, thereby alleviating pressure on penitentiary institutions and improving conditions of detention. The CNDH has welcomed this development as a concrete measure that aligns with its recommendations and supports broader efforts to ensure respect for the rights and dignity of persons deprived of liberty. Also, the reduction of excessive pre-trial detention is also a long-standing recommendation of the CNDH.</w:t>
      </w:r>
    </w:p>
    <w:p w14:paraId="6AC11A5E" w14:textId="68E2E343" w:rsidR="007F693B" w:rsidRPr="00AE03A6" w:rsidRDefault="00EA6BF3" w:rsidP="00CF1C06">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Following its visits, the CNDH note</w:t>
      </w:r>
      <w:r w:rsidR="0016739F" w:rsidRPr="00AE03A6">
        <w:rPr>
          <w:rFonts w:asciiTheme="majorBidi" w:hAnsiTheme="majorBidi" w:cstheme="majorBidi"/>
          <w:lang w:val="en-US"/>
        </w:rPr>
        <w:t>d</w:t>
      </w:r>
      <w:r w:rsidR="00DB5F39" w:rsidRPr="00AE03A6">
        <w:rPr>
          <w:rFonts w:asciiTheme="majorBidi" w:hAnsiTheme="majorBidi" w:cstheme="majorBidi"/>
          <w:lang w:val="en-US"/>
        </w:rPr>
        <w:t xml:space="preserve"> in 2023</w:t>
      </w:r>
      <w:r w:rsidRPr="00AE03A6">
        <w:rPr>
          <w:rFonts w:asciiTheme="majorBidi" w:hAnsiTheme="majorBidi" w:cstheme="majorBidi"/>
          <w:lang w:val="en-US"/>
        </w:rPr>
        <w:t xml:space="preserve"> the prolonged detention of individuals with mental health disorders or those declared criminally irresponsible, whose number reached 12</w:t>
      </w:r>
      <w:r w:rsidR="00DB5F39" w:rsidRPr="00AE03A6">
        <w:rPr>
          <w:rFonts w:asciiTheme="majorBidi" w:hAnsiTheme="majorBidi" w:cstheme="majorBidi"/>
          <w:lang w:val="en-US"/>
        </w:rPr>
        <w:t>,</w:t>
      </w:r>
      <w:r w:rsidRPr="00AE03A6">
        <w:rPr>
          <w:rFonts w:asciiTheme="majorBidi" w:hAnsiTheme="majorBidi" w:cstheme="majorBidi"/>
          <w:lang w:val="en-US"/>
        </w:rPr>
        <w:t>105 in 2023. It called for legislative reform</w:t>
      </w:r>
      <w:r w:rsidR="0016739F" w:rsidRPr="00AE03A6">
        <w:rPr>
          <w:rFonts w:asciiTheme="majorBidi" w:hAnsiTheme="majorBidi" w:cstheme="majorBidi"/>
          <w:lang w:val="en-US"/>
        </w:rPr>
        <w:t>s</w:t>
      </w:r>
      <w:r w:rsidRPr="00AE03A6">
        <w:rPr>
          <w:rFonts w:asciiTheme="majorBidi" w:hAnsiTheme="majorBidi" w:cstheme="majorBidi"/>
          <w:lang w:val="en-US"/>
        </w:rPr>
        <w:t xml:space="preserve"> to better regulate their care and protect their rights.</w:t>
      </w:r>
      <w:r w:rsidR="00DB5F39" w:rsidRPr="00AE03A6">
        <w:rPr>
          <w:rFonts w:asciiTheme="majorBidi" w:hAnsiTheme="majorBidi" w:cstheme="majorBidi"/>
          <w:lang w:val="en-US"/>
        </w:rPr>
        <w:t xml:space="preserve"> The CNDH identified also challenges related to access to healthcare in prisons</w:t>
      </w:r>
      <w:r w:rsidR="007F693B" w:rsidRPr="00AE03A6">
        <w:rPr>
          <w:rFonts w:asciiTheme="majorBidi" w:hAnsiTheme="majorBidi" w:cstheme="majorBidi"/>
          <w:lang w:val="en-US"/>
        </w:rPr>
        <w:t xml:space="preserve"> (for example, insufficient medical services and delays in appointments with doctors)</w:t>
      </w:r>
      <w:r w:rsidR="00DB5F39" w:rsidRPr="00AE03A6">
        <w:rPr>
          <w:rFonts w:asciiTheme="majorBidi" w:hAnsiTheme="majorBidi" w:cstheme="majorBidi"/>
          <w:lang w:val="en-US"/>
        </w:rPr>
        <w:t>, despite efforts made to overcome them</w:t>
      </w:r>
      <w:r w:rsidR="00CF1C06" w:rsidRPr="00AE03A6">
        <w:rPr>
          <w:rFonts w:asciiTheme="majorBidi" w:hAnsiTheme="majorBidi" w:cstheme="majorBidi"/>
          <w:lang w:val="en-US"/>
        </w:rPr>
        <w:t>.</w:t>
      </w:r>
    </w:p>
    <w:p w14:paraId="2DC5E135" w14:textId="5BF81A3E" w:rsidR="00C7091C" w:rsidRPr="00AE03A6" w:rsidRDefault="00C7091C" w:rsidP="00C7091C">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CNDH has actively engaged with the prison administration to enhance the capacity of prison staff through various training programs aimed at improving their skills and awareness of human rights standards. Additionally, the CNDH has collaborated with the prison authorities to organize joint events across different regions of Morocco, fostering dialogue and cooperation to promote better detention conditions and respect for the rights of persons deprived of liberty.</w:t>
      </w:r>
    </w:p>
    <w:p w14:paraId="5A70C646" w14:textId="1624E9C4" w:rsidR="00C7091C" w:rsidRPr="00AE03A6" w:rsidRDefault="006675CC" w:rsidP="001756A1">
      <w:pPr>
        <w:shd w:val="clear" w:color="auto" w:fill="D0CECE" w:themeFill="background2" w:themeFillShade="E6"/>
        <w:spacing w:after="120"/>
        <w:ind w:left="357"/>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Issue 8</w:t>
      </w:r>
      <w:r w:rsidR="00642418" w:rsidRPr="00AE03A6">
        <w:rPr>
          <w:rFonts w:asciiTheme="majorBidi" w:hAnsiTheme="majorBidi" w:cstheme="majorBidi"/>
          <w:b/>
          <w:bCs/>
          <w:i/>
          <w:iCs/>
          <w:sz w:val="22"/>
          <w:szCs w:val="22"/>
          <w:lang w:val="en-US"/>
        </w:rPr>
        <w:t xml:space="preserve">: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address the following question</w:t>
      </w:r>
      <w:r w:rsidR="00CF1C06"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3ED2BDBB" w14:textId="1C1EC805" w:rsidR="00EA6BF3" w:rsidRPr="00AE03A6" w:rsidRDefault="00E66AD4" w:rsidP="001756A1">
      <w:pPr>
        <w:shd w:val="clear" w:color="auto" w:fill="D0CECE" w:themeFill="background2" w:themeFillShade="E6"/>
        <w:spacing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In addition to</w:t>
      </w:r>
      <w:r w:rsidR="00EA6BF3" w:rsidRPr="00AE03A6">
        <w:rPr>
          <w:rFonts w:asciiTheme="majorBidi" w:hAnsiTheme="majorBidi" w:cstheme="majorBidi"/>
          <w:i/>
          <w:iCs/>
          <w:sz w:val="22"/>
          <w:szCs w:val="22"/>
          <w:lang w:val="en-US"/>
        </w:rPr>
        <w:t xml:space="preserve"> alternative sanctions</w:t>
      </w:r>
      <w:r w:rsidRPr="00AE03A6">
        <w:rPr>
          <w:rFonts w:asciiTheme="majorBidi" w:hAnsiTheme="majorBidi" w:cstheme="majorBidi"/>
          <w:i/>
          <w:iCs/>
          <w:sz w:val="22"/>
          <w:szCs w:val="22"/>
          <w:lang w:val="en-US"/>
        </w:rPr>
        <w:t>, w</w:t>
      </w:r>
      <w:r w:rsidR="00A0635F" w:rsidRPr="00AE03A6">
        <w:rPr>
          <w:rFonts w:asciiTheme="majorBidi" w:hAnsiTheme="majorBidi" w:cstheme="majorBidi"/>
          <w:i/>
          <w:iCs/>
          <w:sz w:val="22"/>
          <w:szCs w:val="22"/>
          <w:lang w:val="en-US"/>
        </w:rPr>
        <w:t>hat</w:t>
      </w:r>
      <w:r w:rsidRPr="00AE03A6">
        <w:rPr>
          <w:rFonts w:asciiTheme="majorBidi" w:hAnsiTheme="majorBidi" w:cstheme="majorBidi"/>
          <w:i/>
          <w:iCs/>
          <w:sz w:val="22"/>
          <w:szCs w:val="22"/>
          <w:lang w:val="en-US"/>
        </w:rPr>
        <w:t xml:space="preserve"> other</w:t>
      </w:r>
      <w:r w:rsidR="00A0635F" w:rsidRPr="00AE03A6">
        <w:rPr>
          <w:rFonts w:asciiTheme="majorBidi" w:hAnsiTheme="majorBidi" w:cstheme="majorBidi"/>
          <w:i/>
          <w:iCs/>
          <w:sz w:val="22"/>
          <w:szCs w:val="22"/>
          <w:lang w:val="en-US"/>
        </w:rPr>
        <w:t xml:space="preserve"> concrete and measurable steps has the State party undertaken to address the persistent issue of prison overcrowding? Specifically, how is the State ensuring the effective implementation of alternative sentencing measures, improving detention conditions, and providing adequate resources for the rehabilitation and reintegration of detainees? Additionally, what monitoring and evaluation mechanisms are in place to assess the impact of these measures on reducing overcrowding and safeguarding the rights and well-being of persons deprived of liberty?</w:t>
      </w:r>
      <w:r w:rsidR="007F693B" w:rsidRPr="00AE03A6">
        <w:rPr>
          <w:rFonts w:asciiTheme="majorBidi" w:hAnsiTheme="majorBidi" w:cstheme="majorBidi"/>
          <w:i/>
          <w:iCs/>
          <w:sz w:val="22"/>
          <w:szCs w:val="22"/>
          <w:lang w:val="en-US"/>
        </w:rPr>
        <w:t xml:space="preserve"> </w:t>
      </w:r>
      <w:r w:rsidR="00EA6BF3" w:rsidRPr="00AE03A6">
        <w:rPr>
          <w:rFonts w:asciiTheme="majorBidi" w:hAnsiTheme="majorBidi" w:cstheme="majorBidi"/>
          <w:i/>
          <w:iCs/>
          <w:sz w:val="22"/>
          <w:szCs w:val="22"/>
          <w:lang w:val="en-US"/>
        </w:rPr>
        <w:t xml:space="preserve">Provide detailed information on the concrete legislative, administrative and judicial measures taken to ensure that persons with mental health conditions are not subjected to prolonged or inappropriate detention and that their placement fully respect their dignity, medical need and judicial review of their status. </w:t>
      </w:r>
    </w:p>
    <w:p w14:paraId="53F30386" w14:textId="77777777" w:rsidR="007C343D" w:rsidRPr="00AE03A6" w:rsidRDefault="00D97322" w:rsidP="00033DF5">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jc w:val="both"/>
        <w:rPr>
          <w:rFonts w:asciiTheme="majorBidi" w:hAnsiTheme="majorBidi" w:cstheme="majorBidi"/>
          <w:b/>
          <w:bCs/>
          <w:lang w:val="en-US"/>
        </w:rPr>
      </w:pPr>
      <w:r w:rsidRPr="00AE03A6">
        <w:rPr>
          <w:rFonts w:asciiTheme="majorBidi" w:hAnsiTheme="majorBidi" w:cstheme="majorBidi"/>
          <w:b/>
          <w:bCs/>
          <w:lang w:val="en-US"/>
        </w:rPr>
        <w:t>Freedom of thought, conscience and religion (art. 18)</w:t>
      </w:r>
    </w:p>
    <w:p w14:paraId="3E4052A3" w14:textId="6AF097C9" w:rsidR="00AD187D" w:rsidRPr="00AE03A6" w:rsidRDefault="00AD187D" w:rsidP="00AD187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Moroccan Constitution prohibits all forms of discrimination, including discrimination based on beliefs. It strongly affirms the pluralistic nature of Moroccan identity and promotes openness and tolerance (as stated in the Preamble). While the Constitution does declare Islam as the religion of the Moroccan State, it does not state that Islam is the religion of all Moroccan citizens, nor that this religion is imposed upon them. In November 2003, discrimination was</w:t>
      </w:r>
      <w:r w:rsidR="00CF1C06" w:rsidRPr="00AE03A6">
        <w:rPr>
          <w:rFonts w:asciiTheme="majorBidi" w:hAnsiTheme="majorBidi" w:cstheme="majorBidi"/>
          <w:lang w:val="en-US"/>
        </w:rPr>
        <w:t xml:space="preserve"> also</w:t>
      </w:r>
      <w:r w:rsidRPr="00AE03A6">
        <w:rPr>
          <w:rFonts w:asciiTheme="majorBidi" w:hAnsiTheme="majorBidi" w:cstheme="majorBidi"/>
          <w:lang w:val="en-US"/>
        </w:rPr>
        <w:t xml:space="preserve"> criminalized under Article 431-1 of the Penal Code, including discrimination based on actual or perceived affiliation or non-affiliation with a particular religion.</w:t>
      </w:r>
    </w:p>
    <w:p w14:paraId="2CDB1375" w14:textId="63EC20FC" w:rsidR="00664587" w:rsidRDefault="00710DA3" w:rsidP="00AD187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CNDH notes a significant disparity between the constitutional enshrinement of individual freedoms, both in text and spirit, and the insufficiency of the legal framework that ensures enjoyment of these freedoms in practice</w:t>
      </w:r>
      <w:r w:rsidR="000A1D5F" w:rsidRPr="00AE03A6">
        <w:rPr>
          <w:rFonts w:asciiTheme="majorBidi" w:hAnsiTheme="majorBidi" w:cstheme="majorBidi"/>
          <w:lang w:val="en-US"/>
        </w:rPr>
        <w:t xml:space="preserve">. </w:t>
      </w:r>
      <w:r w:rsidR="0013278A" w:rsidRPr="00AE03A6">
        <w:rPr>
          <w:rFonts w:asciiTheme="majorBidi" w:hAnsiTheme="majorBidi" w:cstheme="majorBidi"/>
          <w:lang w:val="en-US"/>
        </w:rPr>
        <w:t>In its</w:t>
      </w:r>
      <w:r w:rsidR="00594310" w:rsidRPr="00AE03A6">
        <w:rPr>
          <w:rFonts w:asciiTheme="majorBidi" w:hAnsiTheme="majorBidi" w:cstheme="majorBidi"/>
          <w:lang w:val="en-US"/>
        </w:rPr>
        <w:t xml:space="preserve"> memorandum</w:t>
      </w:r>
      <w:r w:rsidR="00594310" w:rsidRPr="00AE03A6">
        <w:rPr>
          <w:vertAlign w:val="superscript"/>
          <w:lang w:val="en-US"/>
        </w:rPr>
        <w:footnoteReference w:id="37"/>
      </w:r>
      <w:r w:rsidR="00594310" w:rsidRPr="00AE03A6">
        <w:rPr>
          <w:rFonts w:asciiTheme="majorBidi" w:hAnsiTheme="majorBidi" w:cstheme="majorBidi"/>
          <w:lang w:val="en-US"/>
        </w:rPr>
        <w:t xml:space="preserve"> related to the Penal Code, </w:t>
      </w:r>
      <w:r w:rsidR="0013278A" w:rsidRPr="00AE03A6">
        <w:rPr>
          <w:rFonts w:asciiTheme="majorBidi" w:hAnsiTheme="majorBidi" w:cstheme="majorBidi"/>
          <w:lang w:val="en-US"/>
        </w:rPr>
        <w:t>the CNDH</w:t>
      </w:r>
      <w:r w:rsidR="00594310" w:rsidRPr="00AE03A6">
        <w:rPr>
          <w:rFonts w:asciiTheme="majorBidi" w:hAnsiTheme="majorBidi" w:cstheme="majorBidi"/>
          <w:lang w:val="en-US"/>
        </w:rPr>
        <w:t xml:space="preserve"> recommended removing the second paragraph of Article 220 which provides protection exclusively to one religion and does not apply to others</w:t>
      </w:r>
      <w:r w:rsidR="0016739F" w:rsidRPr="00AE03A6">
        <w:rPr>
          <w:rFonts w:asciiTheme="majorBidi" w:hAnsiTheme="majorBidi" w:cstheme="majorBidi"/>
          <w:lang w:val="en-US"/>
        </w:rPr>
        <w:t xml:space="preserve"> and </w:t>
      </w:r>
      <w:r w:rsidR="004B0BCD" w:rsidRPr="00AE03A6">
        <w:rPr>
          <w:rFonts w:asciiTheme="majorBidi" w:hAnsiTheme="majorBidi" w:cstheme="majorBidi"/>
          <w:lang w:val="en-US"/>
        </w:rPr>
        <w:t>introducing a modification in such a manner as to provide</w:t>
      </w:r>
      <w:r w:rsidR="0016739F" w:rsidRPr="00AE03A6">
        <w:rPr>
          <w:rFonts w:asciiTheme="majorBidi" w:hAnsiTheme="majorBidi" w:cstheme="majorBidi"/>
          <w:lang w:val="en-US"/>
        </w:rPr>
        <w:t xml:space="preserve"> protection to all religions</w:t>
      </w:r>
      <w:r w:rsidR="00594310" w:rsidRPr="00AE03A6">
        <w:rPr>
          <w:vertAlign w:val="superscript"/>
        </w:rPr>
        <w:footnoteReference w:id="38"/>
      </w:r>
      <w:r w:rsidR="00594310" w:rsidRPr="00AE03A6">
        <w:rPr>
          <w:rFonts w:asciiTheme="majorBidi" w:hAnsiTheme="majorBidi" w:cstheme="majorBidi"/>
          <w:lang w:val="en-US"/>
        </w:rPr>
        <w:t>. Additionally, the CNDH recommend</w:t>
      </w:r>
      <w:r w:rsidR="008F3B56" w:rsidRPr="00AE03A6">
        <w:rPr>
          <w:rFonts w:asciiTheme="majorBidi" w:hAnsiTheme="majorBidi" w:cstheme="majorBidi"/>
          <w:lang w:val="en-US"/>
        </w:rPr>
        <w:t>ed</w:t>
      </w:r>
      <w:r w:rsidR="00594310" w:rsidRPr="00AE03A6">
        <w:rPr>
          <w:rFonts w:asciiTheme="majorBidi" w:hAnsiTheme="majorBidi" w:cstheme="majorBidi"/>
          <w:lang w:val="en-US"/>
        </w:rPr>
        <w:t xml:space="preserve"> abrogating Article 222 of the Penal Code</w:t>
      </w:r>
      <w:r w:rsidR="00594310" w:rsidRPr="00AE03A6">
        <w:rPr>
          <w:vertAlign w:val="superscript"/>
        </w:rPr>
        <w:footnoteReference w:id="39"/>
      </w:r>
      <w:r w:rsidR="00594310" w:rsidRPr="00AE03A6">
        <w:rPr>
          <w:rFonts w:asciiTheme="majorBidi" w:hAnsiTheme="majorBidi" w:cstheme="majorBidi"/>
          <w:lang w:val="en-US"/>
        </w:rPr>
        <w:t xml:space="preserve">, which penalizes anyone who, notoriously known for his or her belonging to the Muslim religion, ostensibly breaks the fast in public. </w:t>
      </w:r>
    </w:p>
    <w:p w14:paraId="74BA5416" w14:textId="77777777" w:rsidR="001756A1" w:rsidRPr="00AE03A6" w:rsidRDefault="001756A1" w:rsidP="001756A1">
      <w:pPr>
        <w:pStyle w:val="Paragraphedeliste"/>
        <w:spacing w:before="200" w:after="120" w:line="240" w:lineRule="auto"/>
        <w:ind w:left="357"/>
        <w:contextualSpacing w:val="0"/>
        <w:jc w:val="both"/>
        <w:rPr>
          <w:rFonts w:asciiTheme="majorBidi" w:hAnsiTheme="majorBidi" w:cstheme="majorBidi"/>
          <w:lang w:val="en-US"/>
        </w:rPr>
      </w:pPr>
    </w:p>
    <w:p w14:paraId="4CD3746A" w14:textId="6DEE3F0B" w:rsidR="007D7C92" w:rsidRPr="00AE03A6" w:rsidRDefault="007D7C92" w:rsidP="001756A1">
      <w:pPr>
        <w:shd w:val="clear" w:color="auto" w:fill="D0CECE" w:themeFill="background2" w:themeFillShade="E6"/>
        <w:spacing w:after="120"/>
        <w:ind w:left="357"/>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lastRenderedPageBreak/>
        <w:t xml:space="preserve">Issue 9: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00D584FE" w14:textId="7C779EFC" w:rsidR="000A1D5F" w:rsidRPr="00AE03A6" w:rsidRDefault="00F91AB6" w:rsidP="001756A1">
      <w:pPr>
        <w:shd w:val="clear" w:color="auto" w:fill="D0CECE" w:themeFill="background2" w:themeFillShade="E6"/>
        <w:spacing w:before="200" w:after="120"/>
        <w:ind w:left="357"/>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I</w:t>
      </w:r>
      <w:r w:rsidR="0092589E" w:rsidRPr="00AE03A6">
        <w:rPr>
          <w:rFonts w:asciiTheme="majorBidi" w:hAnsiTheme="majorBidi" w:cstheme="majorBidi"/>
          <w:i/>
          <w:iCs/>
          <w:sz w:val="22"/>
          <w:szCs w:val="22"/>
          <w:lang w:val="en-US"/>
        </w:rPr>
        <w:t>ndicate how the State</w:t>
      </w:r>
      <w:r w:rsidR="007D7C92" w:rsidRPr="00AE03A6">
        <w:rPr>
          <w:rFonts w:asciiTheme="majorBidi" w:hAnsiTheme="majorBidi" w:cstheme="majorBidi"/>
          <w:i/>
          <w:iCs/>
          <w:sz w:val="22"/>
          <w:szCs w:val="22"/>
          <w:lang w:val="en-US"/>
        </w:rPr>
        <w:t xml:space="preserve"> party</w:t>
      </w:r>
      <w:r w:rsidR="0092589E" w:rsidRPr="00AE03A6">
        <w:rPr>
          <w:rFonts w:asciiTheme="majorBidi" w:hAnsiTheme="majorBidi" w:cstheme="majorBidi"/>
          <w:i/>
          <w:iCs/>
          <w:sz w:val="22"/>
          <w:szCs w:val="22"/>
          <w:lang w:val="en-US"/>
        </w:rPr>
        <w:t xml:space="preserve"> intends to consider </w:t>
      </w:r>
      <w:r w:rsidRPr="00AE03A6">
        <w:rPr>
          <w:rFonts w:asciiTheme="majorBidi" w:hAnsiTheme="majorBidi" w:cstheme="majorBidi"/>
          <w:i/>
          <w:iCs/>
          <w:sz w:val="22"/>
          <w:szCs w:val="22"/>
          <w:lang w:val="en-US"/>
        </w:rPr>
        <w:t xml:space="preserve">the CNDH </w:t>
      </w:r>
      <w:r w:rsidR="0092589E" w:rsidRPr="00AE03A6">
        <w:rPr>
          <w:rFonts w:asciiTheme="majorBidi" w:hAnsiTheme="majorBidi" w:cstheme="majorBidi"/>
          <w:i/>
          <w:iCs/>
          <w:sz w:val="22"/>
          <w:szCs w:val="22"/>
          <w:lang w:val="en-US"/>
        </w:rPr>
        <w:t xml:space="preserve">recommendations concerning the protection of individual liberty, particularly with regard to the repeal of the second paragraph of article 220 </w:t>
      </w:r>
      <w:r w:rsidR="007D7C92" w:rsidRPr="00AE03A6">
        <w:rPr>
          <w:rFonts w:asciiTheme="majorBidi" w:hAnsiTheme="majorBidi" w:cstheme="majorBidi"/>
          <w:i/>
          <w:iCs/>
          <w:sz w:val="22"/>
          <w:szCs w:val="22"/>
          <w:lang w:val="en-US"/>
        </w:rPr>
        <w:t>and article 222</w:t>
      </w:r>
      <w:r w:rsidR="0092589E" w:rsidRPr="00AE03A6">
        <w:rPr>
          <w:rFonts w:asciiTheme="majorBidi" w:hAnsiTheme="majorBidi" w:cstheme="majorBidi"/>
          <w:i/>
          <w:iCs/>
          <w:sz w:val="22"/>
          <w:szCs w:val="22"/>
          <w:lang w:val="en-US"/>
        </w:rPr>
        <w:t xml:space="preserve">. </w:t>
      </w:r>
    </w:p>
    <w:p w14:paraId="1A5BADC9" w14:textId="77777777" w:rsidR="0065408D" w:rsidRPr="00AE03A6" w:rsidRDefault="0065408D" w:rsidP="0065408D">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jc w:val="both"/>
        <w:rPr>
          <w:rFonts w:asciiTheme="majorBidi" w:hAnsiTheme="majorBidi" w:cstheme="majorBidi"/>
          <w:b/>
          <w:bCs/>
          <w:lang w:val="en-US"/>
        </w:rPr>
      </w:pPr>
      <w:r w:rsidRPr="00AE03A6">
        <w:rPr>
          <w:rFonts w:asciiTheme="majorBidi" w:hAnsiTheme="majorBidi" w:cstheme="majorBidi"/>
          <w:b/>
          <w:bCs/>
          <w:lang w:val="en-US"/>
        </w:rPr>
        <w:t>Judicial protection (arts. 14–16)</w:t>
      </w:r>
      <w:r w:rsidR="00D06284" w:rsidRPr="00AE03A6">
        <w:rPr>
          <w:rFonts w:asciiTheme="majorBidi" w:hAnsiTheme="majorBidi" w:cstheme="majorBidi"/>
          <w:b/>
          <w:bCs/>
          <w:lang w:val="en-US"/>
        </w:rPr>
        <w:t xml:space="preserve"> </w:t>
      </w:r>
    </w:p>
    <w:p w14:paraId="70866774" w14:textId="43E945BA" w:rsidR="002957D8" w:rsidRPr="00AE03A6" w:rsidRDefault="00812376" w:rsidP="00E66AD4">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2011 Moroccan Constitution provides a</w:t>
      </w:r>
      <w:r w:rsidR="00F91AB6" w:rsidRPr="00AE03A6">
        <w:rPr>
          <w:rFonts w:asciiTheme="majorBidi" w:hAnsiTheme="majorBidi" w:cstheme="majorBidi"/>
          <w:lang w:val="en-US"/>
        </w:rPr>
        <w:t xml:space="preserve"> </w:t>
      </w:r>
      <w:r w:rsidRPr="00AE03A6">
        <w:rPr>
          <w:rFonts w:asciiTheme="majorBidi" w:hAnsiTheme="majorBidi" w:cstheme="majorBidi"/>
          <w:lang w:val="en-US"/>
        </w:rPr>
        <w:t>legal foundation for access to justice, explicitly guaranteeing key fair trial principles</w:t>
      </w:r>
      <w:r w:rsidR="002957D8" w:rsidRPr="00AE03A6">
        <w:rPr>
          <w:rFonts w:asciiTheme="majorBidi" w:hAnsiTheme="majorBidi" w:cstheme="majorBidi"/>
          <w:lang w:val="en-US"/>
        </w:rPr>
        <w:t xml:space="preserve"> </w:t>
      </w:r>
      <w:r w:rsidR="002957D8" w:rsidRPr="00AE03A6">
        <w:rPr>
          <w:rFonts w:asciiTheme="majorBidi" w:hAnsiTheme="majorBidi" w:cstheme="majorBidi"/>
          <w:color w:val="000000"/>
          <w:lang w:val="en-US"/>
        </w:rPr>
        <w:t>(Article 23).</w:t>
      </w:r>
      <w:r w:rsidR="002957D8" w:rsidRPr="00AE03A6">
        <w:rPr>
          <w:rFonts w:asciiTheme="majorBidi" w:hAnsiTheme="majorBidi" w:cstheme="majorBidi"/>
          <w:lang w:val="en-US"/>
        </w:rPr>
        <w:t xml:space="preserve"> As part of its broad human rights mandate—which includes the observation of </w:t>
      </w:r>
      <w:r w:rsidR="00E66AD4" w:rsidRPr="00AE03A6">
        <w:rPr>
          <w:rFonts w:asciiTheme="majorBidi" w:hAnsiTheme="majorBidi" w:cstheme="majorBidi"/>
          <w:lang w:val="en-US"/>
        </w:rPr>
        <w:t>trials</w:t>
      </w:r>
      <w:r w:rsidR="002957D8" w:rsidRPr="00AE03A6">
        <w:rPr>
          <w:rFonts w:asciiTheme="majorBidi" w:hAnsiTheme="majorBidi" w:cstheme="majorBidi"/>
          <w:lang w:val="en-US"/>
        </w:rPr>
        <w:t xml:space="preserve">—the CNDH and its regional commissions also monitored a range of judicial proceedings to ensure respect for fair trial guarantees. The cases monitored included those related to protests and public demonstrations, freedom of digital expression, defamation, violence against women and children, and proceedings involving migrants, persons with disabilities, and </w:t>
      </w:r>
      <w:r w:rsidR="00E66AD4" w:rsidRPr="00AE03A6">
        <w:rPr>
          <w:rFonts w:asciiTheme="majorBidi" w:hAnsiTheme="majorBidi" w:cstheme="majorBidi"/>
          <w:lang w:val="en-US"/>
        </w:rPr>
        <w:t>juvenile offenders</w:t>
      </w:r>
      <w:r w:rsidR="002957D8" w:rsidRPr="00AE03A6">
        <w:rPr>
          <w:rFonts w:asciiTheme="majorBidi" w:hAnsiTheme="majorBidi" w:cstheme="majorBidi"/>
          <w:lang w:val="en-US"/>
        </w:rPr>
        <w:t>, as well as cases that garnered significant national and international attention. This monitoring was undertaken either at the CNDH’s own initiative or in response to requests from defendants</w:t>
      </w:r>
      <w:r w:rsidR="00CF1C06" w:rsidRPr="00AE03A6">
        <w:rPr>
          <w:rFonts w:asciiTheme="majorBidi" w:hAnsiTheme="majorBidi" w:cstheme="majorBidi"/>
          <w:lang w:val="en-US"/>
        </w:rPr>
        <w:t>’</w:t>
      </w:r>
      <w:r w:rsidR="002957D8" w:rsidRPr="00AE03A6">
        <w:rPr>
          <w:rFonts w:asciiTheme="majorBidi" w:hAnsiTheme="majorBidi" w:cstheme="majorBidi"/>
          <w:lang w:val="en-US"/>
        </w:rPr>
        <w:t xml:space="preserve"> families or civil society organizations.</w:t>
      </w:r>
    </w:p>
    <w:p w14:paraId="09FF6267" w14:textId="1506134D" w:rsidR="0057744B" w:rsidRPr="00AE03A6" w:rsidRDefault="002957D8" w:rsidP="00A774E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While access to justice is guaranteed to all, the CNDH notes the persistence of several challenges. These include the absence of a comprehensive legal framework governing legal assistance that applies to all stages of litigation and all types of appeals, as well as the burden of proof placed on women survivors of violence. Cultural norms also discourage many women from reporting acts of violence to the public prosecutor. Additional challenges include the excessive length and repeated postponements of trials, raising concerns about the right to be tried within a reasonable timeframe and the resulting psychological impact on defendants and their families. Furthermore, </w:t>
      </w:r>
      <w:r w:rsidR="002E3F50" w:rsidRPr="00AE03A6">
        <w:rPr>
          <w:rFonts w:asciiTheme="majorBidi" w:hAnsiTheme="majorBidi" w:cstheme="majorBidi"/>
          <w:lang w:val="en-US"/>
        </w:rPr>
        <w:t>other challenges include</w:t>
      </w:r>
      <w:r w:rsidRPr="00AE03A6">
        <w:rPr>
          <w:rFonts w:asciiTheme="majorBidi" w:hAnsiTheme="majorBidi" w:cstheme="majorBidi"/>
          <w:lang w:val="en-US"/>
        </w:rPr>
        <w:t xml:space="preserve"> the provi</w:t>
      </w:r>
      <w:r w:rsidR="002E3F50" w:rsidRPr="00AE03A6">
        <w:rPr>
          <w:rFonts w:asciiTheme="majorBidi" w:hAnsiTheme="majorBidi" w:cstheme="majorBidi"/>
          <w:lang w:val="en-US"/>
        </w:rPr>
        <w:t>sion of interpretation services</w:t>
      </w:r>
      <w:r w:rsidR="0057744B" w:rsidRPr="00AE03A6">
        <w:rPr>
          <w:rFonts w:asciiTheme="majorBidi" w:hAnsiTheme="majorBidi" w:cstheme="majorBidi"/>
          <w:lang w:val="en-US"/>
        </w:rPr>
        <w:t xml:space="preserve"> and</w:t>
      </w:r>
      <w:r w:rsidR="002E3F50" w:rsidRPr="00AE03A6">
        <w:rPr>
          <w:rFonts w:asciiTheme="majorBidi" w:hAnsiTheme="majorBidi" w:cstheme="majorBidi"/>
          <w:lang w:val="en-US"/>
        </w:rPr>
        <w:t xml:space="preserve"> the limited access to legal aid</w:t>
      </w:r>
      <w:r w:rsidRPr="00AE03A6">
        <w:rPr>
          <w:rFonts w:asciiTheme="majorBidi" w:hAnsiTheme="majorBidi" w:cstheme="majorBidi"/>
          <w:lang w:val="en-US"/>
        </w:rPr>
        <w:t>.</w:t>
      </w:r>
      <w:r w:rsidR="0057744B" w:rsidRPr="00AE03A6">
        <w:rPr>
          <w:rFonts w:asciiTheme="majorBidi" w:hAnsiTheme="majorBidi" w:cstheme="majorBidi"/>
          <w:lang w:val="en-US"/>
        </w:rPr>
        <w:t xml:space="preserve"> There are also other challenges in the draft Code of </w:t>
      </w:r>
      <w:r w:rsidR="00B17F83" w:rsidRPr="00AE03A6">
        <w:rPr>
          <w:rFonts w:asciiTheme="majorBidi" w:hAnsiTheme="majorBidi" w:cstheme="majorBidi"/>
          <w:lang w:val="en-US"/>
        </w:rPr>
        <w:t xml:space="preserve">Penal </w:t>
      </w:r>
      <w:r w:rsidR="0057744B" w:rsidRPr="00AE03A6">
        <w:rPr>
          <w:rFonts w:asciiTheme="majorBidi" w:hAnsiTheme="majorBidi" w:cstheme="majorBidi"/>
          <w:lang w:val="en-US"/>
        </w:rPr>
        <w:t>Procedure related to the rights of the defense and the restrictions imposed on notification in cases involving public fund-related offenses.</w:t>
      </w:r>
    </w:p>
    <w:p w14:paraId="1C7BFBDB" w14:textId="77777777" w:rsidR="005C51FC" w:rsidRPr="00AE03A6" w:rsidRDefault="005C51FC" w:rsidP="00A774E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CNDH submitted a memorandum containing more than 100 recommendations concerning Draft Law No. 03.23, which aims to amend and supplement Law No. 22.01 related to the Code of Penal Procedure. The CNDH’s memorandum is based on four fundamental principles: the entrenchment of the rule of law, guarantees of a fair trial, equality and balance between the parties to the case, and consideration for vulnerable groups.</w:t>
      </w:r>
    </w:p>
    <w:p w14:paraId="6977DDDC" w14:textId="46BA3025" w:rsidR="005C51FC" w:rsidRPr="00AE03A6" w:rsidRDefault="005C51FC" w:rsidP="00A774E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 xml:space="preserve">Specifically, the CNDH’s proposals include provisions such as allowing the suspect to be heard without being placed in police custody, </w:t>
      </w:r>
      <w:r w:rsidR="000B1487" w:rsidRPr="00AE03A6">
        <w:rPr>
          <w:rFonts w:asciiTheme="majorBidi" w:hAnsiTheme="majorBidi" w:cstheme="majorBidi"/>
          <w:lang w:val="en-US"/>
        </w:rPr>
        <w:t>rei</w:t>
      </w:r>
      <w:r w:rsidR="00CC0F96" w:rsidRPr="00AE03A6">
        <w:rPr>
          <w:rFonts w:asciiTheme="majorBidi" w:hAnsiTheme="majorBidi" w:cstheme="majorBidi"/>
          <w:lang w:val="en-US"/>
        </w:rPr>
        <w:t>n</w:t>
      </w:r>
      <w:r w:rsidR="000B1487" w:rsidRPr="00AE03A6">
        <w:rPr>
          <w:rFonts w:asciiTheme="majorBidi" w:hAnsiTheme="majorBidi" w:cstheme="majorBidi"/>
          <w:lang w:val="en-US"/>
        </w:rPr>
        <w:t>forcing</w:t>
      </w:r>
      <w:r w:rsidRPr="00AE03A6">
        <w:rPr>
          <w:rFonts w:asciiTheme="majorBidi" w:hAnsiTheme="majorBidi" w:cstheme="majorBidi"/>
          <w:lang w:val="en-US"/>
        </w:rPr>
        <w:t xml:space="preserve"> the rights of the defense, establishing the suspect</w:t>
      </w:r>
      <w:r w:rsidR="00CF1C06" w:rsidRPr="00AE03A6">
        <w:rPr>
          <w:rFonts w:asciiTheme="majorBidi" w:hAnsiTheme="majorBidi" w:cstheme="majorBidi"/>
          <w:lang w:val="en-US"/>
        </w:rPr>
        <w:t>’</w:t>
      </w:r>
      <w:r w:rsidRPr="00AE03A6">
        <w:rPr>
          <w:rFonts w:asciiTheme="majorBidi" w:hAnsiTheme="majorBidi" w:cstheme="majorBidi"/>
          <w:lang w:val="en-US"/>
        </w:rPr>
        <w:t>s right to be immediately informed of the duration and formalities of police custody, and the possibility of appealing before an independent judicial body. The recommendations also include enabling the suspect to contact his/her lawyer from the moment of arrest, reducing the duration of police custody, and adopting audiovisual documentation as a procedural safeguard to protect the suspect’s rights and enhance transparency.</w:t>
      </w:r>
    </w:p>
    <w:p w14:paraId="368732F7" w14:textId="77777777" w:rsidR="005C51FC" w:rsidRPr="00AE03A6" w:rsidRDefault="005C51FC" w:rsidP="00A774E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CNDH also recommends ensuring the defense can exercise their rights equally with the prosecution and can have access to the police file referred to the public prosecutor, and enabling civil society organizations to access the judiciary without administrative restrictions—particularly by abolishing the requirement for prior authorization from the Ministry of Justice and adopting a notification system instead, thus reinforcing the independence of associations in exercising their right to litigation.</w:t>
      </w:r>
    </w:p>
    <w:p w14:paraId="56BB824B" w14:textId="0319EB28" w:rsidR="002957D8" w:rsidRPr="00AE03A6" w:rsidRDefault="005C51FC" w:rsidP="00A774ED">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To accommodate the specific social, physical, psychological, or legal conditions of individuals, the CNDH’s memorandum proposes procedural mechanisms tailored to women, children, persons with disabilities, and migrants. The recommendations in this regard aim to: consider gender aspects in cases of violence against women, implement procedural facilitation for people with disabilities, consideration of the best interest of children, and provision of interpretation services for migrants.</w:t>
      </w:r>
    </w:p>
    <w:p w14:paraId="77716DDA" w14:textId="3F350283" w:rsidR="003A4F35" w:rsidRPr="00AE03A6" w:rsidRDefault="002957D8" w:rsidP="002E3F50">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lastRenderedPageBreak/>
        <w:t>A study, carried out in January 2023 in partnership between the CNDH and the United Nations High Commissioner for Refugees, identified the challenges facing foreign litigants, including cases of lack of notification of administrative decisions, difficulties in accessing legal aid, as well as the availability of related procedures and documents in Arabic only</w:t>
      </w:r>
      <w:r w:rsidR="00FC7709" w:rsidRPr="00AE03A6">
        <w:rPr>
          <w:rFonts w:asciiTheme="majorBidi" w:hAnsiTheme="majorBidi" w:cstheme="majorBidi"/>
          <w:lang w:val="en-US"/>
        </w:rPr>
        <w:t>.</w:t>
      </w:r>
    </w:p>
    <w:p w14:paraId="6FAE2C5C" w14:textId="77777777" w:rsidR="002E3F50" w:rsidRPr="00AE03A6" w:rsidRDefault="002E3F50" w:rsidP="001756A1">
      <w:pPr>
        <w:spacing w:before="200" w:after="120"/>
        <w:ind w:left="357"/>
        <w:jc w:val="both"/>
        <w:rPr>
          <w:rFonts w:asciiTheme="majorBidi" w:hAnsiTheme="majorBidi" w:cstheme="majorBidi"/>
          <w:lang w:val="en-US"/>
        </w:rPr>
      </w:pPr>
    </w:p>
    <w:p w14:paraId="00D7207F" w14:textId="5E4F4B58" w:rsidR="00FC7709" w:rsidRPr="00AE03A6" w:rsidRDefault="00A0635F"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jc w:val="both"/>
        <w:outlineLvl w:val="0"/>
        <w:rPr>
          <w:rFonts w:asciiTheme="majorBidi" w:hAnsiTheme="majorBidi" w:cstheme="majorBidi"/>
          <w:b/>
          <w:bCs/>
          <w:i/>
          <w:iCs/>
          <w:color w:val="000000"/>
          <w:sz w:val="22"/>
          <w:szCs w:val="22"/>
          <w:lang w:val="en-US"/>
        </w:rPr>
      </w:pPr>
      <w:r w:rsidRPr="00AE03A6">
        <w:rPr>
          <w:rFonts w:asciiTheme="majorBidi" w:hAnsiTheme="majorBidi" w:cstheme="majorBidi"/>
          <w:b/>
          <w:bCs/>
          <w:i/>
          <w:iCs/>
          <w:color w:val="000000"/>
          <w:sz w:val="22"/>
          <w:szCs w:val="22"/>
          <w:lang w:val="en-US"/>
        </w:rPr>
        <w:t>Issue 10:</w:t>
      </w:r>
      <w:r w:rsidR="003A4F35" w:rsidRPr="00AE03A6">
        <w:rPr>
          <w:rFonts w:asciiTheme="majorBidi" w:hAnsiTheme="majorBidi" w:cstheme="majorBidi"/>
          <w:b/>
          <w:bCs/>
          <w:i/>
          <w:iCs/>
          <w:color w:val="000000"/>
          <w:sz w:val="22"/>
          <w:szCs w:val="22"/>
          <w:lang w:val="en-US"/>
        </w:rPr>
        <w:t xml:space="preserve"> The Committee may wish to </w:t>
      </w:r>
      <w:r w:rsidR="007B00A8" w:rsidRPr="00AE03A6">
        <w:rPr>
          <w:rFonts w:asciiTheme="majorBidi" w:hAnsiTheme="majorBidi" w:cstheme="majorBidi"/>
          <w:b/>
          <w:bCs/>
          <w:i/>
          <w:iCs/>
          <w:color w:val="000000"/>
          <w:sz w:val="22"/>
          <w:szCs w:val="22"/>
          <w:lang w:val="en-US"/>
        </w:rPr>
        <w:t>address the following question</w:t>
      </w:r>
      <w:r w:rsidR="000B1487"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5153D997" w14:textId="77777777" w:rsidR="00EC7A15" w:rsidRPr="00AE03A6" w:rsidRDefault="00EC7A15"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jc w:val="both"/>
        <w:rPr>
          <w:rFonts w:asciiTheme="majorBidi" w:hAnsiTheme="majorBidi" w:cstheme="majorBidi"/>
          <w:color w:val="000000"/>
          <w:sz w:val="22"/>
          <w:szCs w:val="22"/>
          <w:lang w:val="en-US"/>
        </w:rPr>
      </w:pPr>
    </w:p>
    <w:p w14:paraId="2467016E" w14:textId="3DD3A71B" w:rsidR="00A0635F" w:rsidRPr="00AE03A6" w:rsidRDefault="00A0635F"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Could the State party provide updated information on ongoing and planned reforms aimed at improving access to justice and strengthening judicial guarantees in both civil and criminal matters? In particular, please clarify: whether there are efforts to advance the digitalization of judicial procedures to ensure timely trials; how the judiciary is being encouraged to apply international human rights standards ratified by Morocco and uphold their constitutional primacy; what steps are being taken to simplify the legal aid system for vulnerable groups; </w:t>
      </w:r>
      <w:r w:rsidR="009417A3" w:rsidRPr="00AE03A6">
        <w:rPr>
          <w:rFonts w:asciiTheme="majorBidi" w:hAnsiTheme="majorBidi" w:cstheme="majorBidi"/>
          <w:i/>
          <w:iCs/>
          <w:color w:val="000000"/>
          <w:sz w:val="22"/>
          <w:szCs w:val="22"/>
          <w:lang w:val="en-US"/>
        </w:rPr>
        <w:t>to adopt</w:t>
      </w:r>
      <w:r w:rsidRPr="00AE03A6">
        <w:rPr>
          <w:rFonts w:asciiTheme="majorBidi" w:hAnsiTheme="majorBidi" w:cstheme="majorBidi"/>
          <w:i/>
          <w:iCs/>
          <w:color w:val="000000"/>
          <w:sz w:val="22"/>
          <w:szCs w:val="22"/>
          <w:lang w:val="en-US"/>
        </w:rPr>
        <w:t xml:space="preserve"> the draft law on the exception of the unconstitutionality? </w:t>
      </w:r>
    </w:p>
    <w:p w14:paraId="056744B2" w14:textId="02F446C6" w:rsidR="0065408D" w:rsidRPr="00AE03A6" w:rsidRDefault="00302B27" w:rsidP="003A4F35">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jc w:val="both"/>
        <w:rPr>
          <w:rFonts w:asciiTheme="majorBidi" w:hAnsiTheme="majorBidi" w:cstheme="majorBidi"/>
          <w:b/>
          <w:bCs/>
          <w:lang w:val="en-US"/>
        </w:rPr>
      </w:pPr>
      <w:r w:rsidRPr="00AE03A6">
        <w:rPr>
          <w:rFonts w:asciiTheme="majorBidi" w:hAnsiTheme="majorBidi" w:cstheme="majorBidi"/>
          <w:b/>
          <w:bCs/>
          <w:lang w:val="en-US"/>
        </w:rPr>
        <w:t>Right to privacy (art. 17</w:t>
      </w:r>
      <w:r w:rsidR="0065408D" w:rsidRPr="00AE03A6">
        <w:rPr>
          <w:rFonts w:asciiTheme="majorBidi" w:hAnsiTheme="majorBidi" w:cstheme="majorBidi"/>
          <w:b/>
          <w:bCs/>
          <w:lang w:val="en-US"/>
        </w:rPr>
        <w:t>)</w:t>
      </w:r>
    </w:p>
    <w:p w14:paraId="65C308AC" w14:textId="091A1608" w:rsidR="0065408D" w:rsidRPr="00AE03A6" w:rsidRDefault="00F10C3F" w:rsidP="00B74722">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While the C</w:t>
      </w:r>
      <w:r w:rsidR="00777D8F" w:rsidRPr="00AE03A6">
        <w:rPr>
          <w:rFonts w:asciiTheme="majorBidi" w:hAnsiTheme="majorBidi" w:cstheme="majorBidi"/>
          <w:lang w:val="en-US"/>
        </w:rPr>
        <w:t>NDH</w:t>
      </w:r>
      <w:r w:rsidRPr="00AE03A6">
        <w:rPr>
          <w:rFonts w:asciiTheme="majorBidi" w:hAnsiTheme="majorBidi" w:cstheme="majorBidi"/>
          <w:lang w:val="en-US"/>
        </w:rPr>
        <w:t xml:space="preserve"> recognizes the significant expansion of the digital space and the growing reliance on social media platforms, it remains deeply concerned by the increasing </w:t>
      </w:r>
      <w:r w:rsidR="0092589E" w:rsidRPr="00AE03A6">
        <w:rPr>
          <w:rFonts w:asciiTheme="majorBidi" w:hAnsiTheme="majorBidi" w:cstheme="majorBidi"/>
          <w:lang w:val="en-US"/>
        </w:rPr>
        <w:t>exploitation</w:t>
      </w:r>
      <w:r w:rsidRPr="00AE03A6">
        <w:rPr>
          <w:rFonts w:asciiTheme="majorBidi" w:hAnsiTheme="majorBidi" w:cstheme="majorBidi"/>
          <w:lang w:val="en-US"/>
        </w:rPr>
        <w:t xml:space="preserve"> of </w:t>
      </w:r>
      <w:r w:rsidR="00A0635F" w:rsidRPr="00AE03A6">
        <w:rPr>
          <w:rFonts w:asciiTheme="majorBidi" w:hAnsiTheme="majorBidi" w:cstheme="majorBidi"/>
          <w:lang w:val="en-US"/>
        </w:rPr>
        <w:t>th</w:t>
      </w:r>
      <w:r w:rsidR="000B1487" w:rsidRPr="00AE03A6">
        <w:rPr>
          <w:rFonts w:asciiTheme="majorBidi" w:hAnsiTheme="majorBidi" w:cstheme="majorBidi"/>
          <w:lang w:val="en-US"/>
        </w:rPr>
        <w:t>e</w:t>
      </w:r>
      <w:r w:rsidRPr="00AE03A6">
        <w:rPr>
          <w:rFonts w:asciiTheme="majorBidi" w:hAnsiTheme="majorBidi" w:cstheme="majorBidi"/>
          <w:lang w:val="en-US"/>
        </w:rPr>
        <w:t xml:space="preserve"> </w:t>
      </w:r>
      <w:r w:rsidR="0092589E" w:rsidRPr="00AE03A6">
        <w:rPr>
          <w:rFonts w:asciiTheme="majorBidi" w:hAnsiTheme="majorBidi" w:cstheme="majorBidi"/>
          <w:lang w:val="en-US"/>
        </w:rPr>
        <w:t xml:space="preserve">digital space </w:t>
      </w:r>
      <w:r w:rsidRPr="00AE03A6">
        <w:rPr>
          <w:rFonts w:asciiTheme="majorBidi" w:hAnsiTheme="majorBidi" w:cstheme="majorBidi"/>
          <w:lang w:val="en-US"/>
        </w:rPr>
        <w:t>to infringe upon individuals</w:t>
      </w:r>
      <w:r w:rsidR="00CF1C06" w:rsidRPr="00AE03A6">
        <w:rPr>
          <w:rFonts w:asciiTheme="majorBidi" w:hAnsiTheme="majorBidi" w:cstheme="majorBidi"/>
          <w:lang w:val="en-US"/>
        </w:rPr>
        <w:t>’</w:t>
      </w:r>
      <w:r w:rsidRPr="00AE03A6">
        <w:rPr>
          <w:rFonts w:asciiTheme="majorBidi" w:hAnsiTheme="majorBidi" w:cstheme="majorBidi"/>
          <w:lang w:val="en-US"/>
        </w:rPr>
        <w:t xml:space="preserve"> right to privacy. This includes the unauthorized collection, processing, and dissemination of personal data without the informed consent of the data subjects and in the absence of a clear legal basis. Such practices not only undermine the right to privacy as enshrined in </w:t>
      </w:r>
      <w:r w:rsidR="00A0635F" w:rsidRPr="00AE03A6">
        <w:rPr>
          <w:rFonts w:asciiTheme="majorBidi" w:hAnsiTheme="majorBidi" w:cstheme="majorBidi"/>
          <w:lang w:val="en-US"/>
        </w:rPr>
        <w:t xml:space="preserve">the </w:t>
      </w:r>
      <w:r w:rsidR="00B74722" w:rsidRPr="00AE03A6">
        <w:rPr>
          <w:rFonts w:asciiTheme="majorBidi" w:hAnsiTheme="majorBidi" w:cstheme="majorBidi"/>
          <w:lang w:val="en-US"/>
        </w:rPr>
        <w:t>ICCPR</w:t>
      </w:r>
      <w:r w:rsidR="00A0635F" w:rsidRPr="00AE03A6">
        <w:rPr>
          <w:rFonts w:asciiTheme="majorBidi" w:hAnsiTheme="majorBidi" w:cstheme="majorBidi"/>
          <w:lang w:val="en-US"/>
        </w:rPr>
        <w:t xml:space="preserve"> </w:t>
      </w:r>
      <w:r w:rsidRPr="00AE03A6">
        <w:rPr>
          <w:rFonts w:asciiTheme="majorBidi" w:hAnsiTheme="majorBidi" w:cstheme="majorBidi"/>
          <w:lang w:val="en-US"/>
        </w:rPr>
        <w:t>but also expose individuals to risks of reputational harm, discrimination, and other violations of their fundamental rights.</w:t>
      </w:r>
    </w:p>
    <w:p w14:paraId="0BC8D149" w14:textId="02137B57" w:rsidR="00F10C3F" w:rsidRPr="00AE03A6" w:rsidRDefault="00777D8F" w:rsidP="00A0635F">
      <w:pPr>
        <w:pStyle w:val="Paragraphedeliste"/>
        <w:numPr>
          <w:ilvl w:val="0"/>
          <w:numId w:val="3"/>
        </w:numPr>
        <w:spacing w:before="200" w:after="120" w:line="240" w:lineRule="auto"/>
        <w:ind w:left="357" w:hanging="357"/>
        <w:contextualSpacing w:val="0"/>
        <w:jc w:val="both"/>
        <w:rPr>
          <w:rFonts w:asciiTheme="majorBidi" w:hAnsiTheme="majorBidi" w:cstheme="majorBidi"/>
          <w:b/>
          <w:bCs/>
          <w:lang w:val="en-US"/>
        </w:rPr>
      </w:pPr>
      <w:r w:rsidRPr="00AE03A6">
        <w:rPr>
          <w:rFonts w:asciiTheme="majorBidi" w:hAnsiTheme="majorBidi" w:cstheme="majorBidi"/>
          <w:lang w:val="en-US"/>
        </w:rPr>
        <w:t>Based</w:t>
      </w:r>
      <w:r w:rsidR="00F10C3F" w:rsidRPr="00AE03A6">
        <w:rPr>
          <w:rFonts w:asciiTheme="majorBidi" w:hAnsiTheme="majorBidi" w:cstheme="majorBidi"/>
          <w:lang w:val="en-US"/>
        </w:rPr>
        <w:t xml:space="preserve"> on complaints received and its ongoing monitoring of digital spaces, the C</w:t>
      </w:r>
      <w:r w:rsidRPr="00AE03A6">
        <w:rPr>
          <w:rFonts w:asciiTheme="majorBidi" w:hAnsiTheme="majorBidi" w:cstheme="majorBidi"/>
          <w:lang w:val="en-US"/>
        </w:rPr>
        <w:t xml:space="preserve">NDH </w:t>
      </w:r>
      <w:r w:rsidR="00F10C3F" w:rsidRPr="00AE03A6">
        <w:rPr>
          <w:rFonts w:asciiTheme="majorBidi" w:hAnsiTheme="majorBidi" w:cstheme="majorBidi"/>
          <w:lang w:val="en-US"/>
        </w:rPr>
        <w:t>observes that numerous challenges persist with regard to the protection of privacy, particularly in the context of rapid technological developments and the acceleration of artificial intelligence. The C</w:t>
      </w:r>
      <w:r w:rsidRPr="00AE03A6">
        <w:rPr>
          <w:rFonts w:asciiTheme="majorBidi" w:hAnsiTheme="majorBidi" w:cstheme="majorBidi"/>
          <w:lang w:val="en-US"/>
        </w:rPr>
        <w:t xml:space="preserve">NDH </w:t>
      </w:r>
      <w:r w:rsidR="00F10C3F" w:rsidRPr="00AE03A6">
        <w:rPr>
          <w:rFonts w:asciiTheme="majorBidi" w:hAnsiTheme="majorBidi" w:cstheme="majorBidi"/>
          <w:lang w:val="en-US"/>
        </w:rPr>
        <w:t>further notes the continued exploitation of individuals</w:t>
      </w:r>
      <w:r w:rsidR="00CF1C06" w:rsidRPr="00AE03A6">
        <w:rPr>
          <w:rFonts w:asciiTheme="majorBidi" w:hAnsiTheme="majorBidi" w:cstheme="majorBidi"/>
          <w:lang w:val="en-US"/>
        </w:rPr>
        <w:t>’</w:t>
      </w:r>
      <w:r w:rsidR="00F10C3F" w:rsidRPr="00AE03A6">
        <w:rPr>
          <w:rFonts w:asciiTheme="majorBidi" w:hAnsiTheme="majorBidi" w:cstheme="majorBidi"/>
          <w:lang w:val="en-US"/>
        </w:rPr>
        <w:t xml:space="preserve"> personal data without their consent by internet companies and data brokers, raising serious concerns about corporate accountability and responsible business conduct. These challenges become even more complex when they affect children and women, who are especially vulnerable to the misuse of personal data or images</w:t>
      </w:r>
      <w:r w:rsidR="00EA6BF3" w:rsidRPr="00AE03A6">
        <w:rPr>
          <w:rFonts w:asciiTheme="majorBidi" w:hAnsiTheme="majorBidi" w:cstheme="majorBidi"/>
          <w:lang w:val="en-US"/>
        </w:rPr>
        <w:t>,</w:t>
      </w:r>
      <w:r w:rsidR="00B06399" w:rsidRPr="00AE03A6">
        <w:rPr>
          <w:rFonts w:asciiTheme="majorBidi" w:hAnsiTheme="majorBidi" w:cstheme="majorBidi"/>
          <w:lang w:val="en-US"/>
        </w:rPr>
        <w:t xml:space="preserve"> </w:t>
      </w:r>
      <w:r w:rsidR="00F10C3F" w:rsidRPr="00AE03A6">
        <w:rPr>
          <w:rFonts w:asciiTheme="majorBidi" w:hAnsiTheme="majorBidi" w:cstheme="majorBidi"/>
          <w:lang w:val="en-US"/>
        </w:rPr>
        <w:t>including by relatives</w:t>
      </w:r>
      <w:r w:rsidR="00EA6BF3" w:rsidRPr="00AE03A6">
        <w:rPr>
          <w:rFonts w:asciiTheme="majorBidi" w:hAnsiTheme="majorBidi" w:cstheme="majorBidi"/>
          <w:lang w:val="en-US"/>
        </w:rPr>
        <w:t xml:space="preserve">, </w:t>
      </w:r>
      <w:r w:rsidR="00F10C3F" w:rsidRPr="00AE03A6">
        <w:rPr>
          <w:rFonts w:asciiTheme="majorBidi" w:hAnsiTheme="majorBidi" w:cstheme="majorBidi"/>
          <w:lang w:val="en-US"/>
        </w:rPr>
        <w:t>often without fully understanding the long-term consequences of their online activities.</w:t>
      </w:r>
    </w:p>
    <w:p w14:paraId="321184A2" w14:textId="3E3C59F0" w:rsidR="00F10C3F" w:rsidRPr="00AE03A6" w:rsidRDefault="007D7C92" w:rsidP="00B74722">
      <w:pPr>
        <w:pStyle w:val="Paragraphedeliste"/>
        <w:numPr>
          <w:ilvl w:val="0"/>
          <w:numId w:val="3"/>
        </w:numPr>
        <w:spacing w:before="200" w:after="120" w:line="240" w:lineRule="auto"/>
        <w:ind w:left="357" w:hanging="357"/>
        <w:contextualSpacing w:val="0"/>
        <w:jc w:val="both"/>
        <w:rPr>
          <w:rFonts w:asciiTheme="majorBidi" w:hAnsiTheme="majorBidi" w:cstheme="majorBidi"/>
          <w:lang w:val="en-US"/>
        </w:rPr>
      </w:pPr>
      <w:r w:rsidRPr="00AE03A6">
        <w:rPr>
          <w:rFonts w:asciiTheme="majorBidi" w:hAnsiTheme="majorBidi" w:cstheme="majorBidi"/>
          <w:lang w:val="en-US"/>
        </w:rPr>
        <w:t>The CNDH has been</w:t>
      </w:r>
      <w:r w:rsidR="00B74722" w:rsidRPr="00AE03A6">
        <w:rPr>
          <w:rFonts w:asciiTheme="majorBidi" w:hAnsiTheme="majorBidi" w:cstheme="majorBidi"/>
          <w:lang w:val="en-US"/>
        </w:rPr>
        <w:t xml:space="preserve"> also</w:t>
      </w:r>
      <w:r w:rsidRPr="00AE03A6">
        <w:rPr>
          <w:rFonts w:asciiTheme="majorBidi" w:hAnsiTheme="majorBidi" w:cstheme="majorBidi"/>
          <w:lang w:val="en-US"/>
        </w:rPr>
        <w:t xml:space="preserve"> monitoring the issue of consensual relations outside of marriage between adults. In its memorandum on draft Law No. 10.16 amending and supplementing the Penal Code</w:t>
      </w:r>
      <w:r w:rsidR="00A0635F" w:rsidRPr="00AE03A6">
        <w:rPr>
          <w:rFonts w:asciiTheme="majorBidi" w:hAnsiTheme="majorBidi" w:cstheme="majorBidi"/>
          <w:lang w:val="en-US"/>
        </w:rPr>
        <w:t>,</w:t>
      </w:r>
      <w:r w:rsidRPr="00AE03A6">
        <w:rPr>
          <w:rFonts w:asciiTheme="majorBidi" w:hAnsiTheme="majorBidi" w:cstheme="majorBidi"/>
          <w:vertAlign w:val="superscript"/>
          <w:lang w:val="en-US"/>
        </w:rPr>
        <w:footnoteReference w:id="40"/>
      </w:r>
      <w:r w:rsidRPr="00AE03A6">
        <w:rPr>
          <w:rFonts w:asciiTheme="majorBidi" w:hAnsiTheme="majorBidi" w:cstheme="majorBidi"/>
          <w:lang w:val="en-US"/>
        </w:rPr>
        <w:t xml:space="preserve"> the CNDH pleaded for a penal code that protects freedoms and respects the principles of legality, legitimacy, necessity and proportionality. </w:t>
      </w:r>
      <w:r w:rsidR="00B74722" w:rsidRPr="00AE03A6">
        <w:rPr>
          <w:rFonts w:asciiTheme="majorBidi" w:hAnsiTheme="majorBidi" w:cstheme="majorBidi"/>
          <w:lang w:val="en-US"/>
        </w:rPr>
        <w:t>Specifically, the</w:t>
      </w:r>
      <w:r w:rsidRPr="00AE03A6">
        <w:rPr>
          <w:rFonts w:asciiTheme="majorBidi" w:hAnsiTheme="majorBidi" w:cstheme="majorBidi"/>
          <w:lang w:val="en-US"/>
        </w:rPr>
        <w:t xml:space="preserve"> CNDH memorandum identified the provisions of the Penal Code that violate or undermine the exercise of this freedom, including Articles 489 to 493, and recommended their abrogation.</w:t>
      </w:r>
    </w:p>
    <w:p w14:paraId="69712E8A" w14:textId="102C6773" w:rsidR="00A0635F" w:rsidRPr="00AE03A6" w:rsidRDefault="00A0635F"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357"/>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Issue 11</w:t>
      </w:r>
      <w:r w:rsidR="00DC791E" w:rsidRPr="00AE03A6">
        <w:rPr>
          <w:rFonts w:asciiTheme="majorBidi" w:hAnsiTheme="majorBidi" w:cstheme="majorBidi"/>
          <w:b/>
          <w:bCs/>
          <w:i/>
          <w:iCs/>
          <w:sz w:val="22"/>
          <w:szCs w:val="22"/>
          <w:lang w:val="en-US"/>
        </w:rPr>
        <w:t>:</w:t>
      </w:r>
      <w:r w:rsidR="003A4F35" w:rsidRPr="00AE03A6">
        <w:rPr>
          <w:rFonts w:asciiTheme="majorBidi" w:hAnsiTheme="majorBidi" w:cstheme="majorBidi"/>
          <w:b/>
          <w:bCs/>
          <w:i/>
          <w:iCs/>
          <w:color w:val="000000"/>
          <w:sz w:val="22"/>
          <w:szCs w:val="22"/>
          <w:lang w:val="en-US"/>
        </w:rPr>
        <w:t xml:space="preserve"> The Committee may wish to </w:t>
      </w:r>
      <w:r w:rsidR="007B00A8" w:rsidRPr="00AE03A6">
        <w:rPr>
          <w:rFonts w:asciiTheme="majorBidi" w:hAnsiTheme="majorBidi" w:cstheme="majorBidi"/>
          <w:b/>
          <w:bCs/>
          <w:i/>
          <w:iCs/>
          <w:color w:val="000000"/>
          <w:sz w:val="22"/>
          <w:szCs w:val="22"/>
          <w:lang w:val="en-US"/>
        </w:rPr>
        <w:t>address the following question</w:t>
      </w:r>
      <w:r w:rsidR="00EA6BF3"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338A6821" w14:textId="2C5F9202" w:rsidR="00DC791E" w:rsidRPr="00AE03A6" w:rsidRDefault="00777D8F"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357"/>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What are the measures </w:t>
      </w:r>
      <w:r w:rsidR="00B1659C" w:rsidRPr="00AE03A6">
        <w:rPr>
          <w:rFonts w:asciiTheme="majorBidi" w:hAnsiTheme="majorBidi" w:cstheme="majorBidi"/>
          <w:i/>
          <w:iCs/>
          <w:color w:val="000000"/>
          <w:sz w:val="22"/>
          <w:szCs w:val="22"/>
          <w:lang w:val="en-US"/>
        </w:rPr>
        <w:t>taken to ensure that data protection frameworks are effectively adapted to address the actual challenges posed by emerging technologies, especially safeguarding the right to privacy</w:t>
      </w:r>
      <w:r w:rsidR="00C6511A" w:rsidRPr="00AE03A6">
        <w:rPr>
          <w:rFonts w:asciiTheme="majorBidi" w:hAnsiTheme="majorBidi" w:cstheme="majorBidi"/>
          <w:i/>
          <w:iCs/>
          <w:color w:val="000000"/>
          <w:sz w:val="22"/>
          <w:szCs w:val="22"/>
          <w:lang w:val="en-US"/>
        </w:rPr>
        <w:t>.</w:t>
      </w:r>
      <w:r w:rsidR="00B1659C" w:rsidRPr="00AE03A6">
        <w:rPr>
          <w:rFonts w:asciiTheme="majorBidi" w:hAnsiTheme="majorBidi" w:cstheme="majorBidi"/>
          <w:i/>
          <w:iCs/>
          <w:color w:val="000000"/>
          <w:sz w:val="22"/>
          <w:szCs w:val="22"/>
          <w:lang w:val="en-US"/>
        </w:rPr>
        <w:t xml:space="preserve"> </w:t>
      </w:r>
    </w:p>
    <w:p w14:paraId="53B777FF" w14:textId="3B7E87F7" w:rsidR="00DC791E" w:rsidRPr="00AE03A6" w:rsidRDefault="000E76AF" w:rsidP="001756A1">
      <w:pPr>
        <w:shd w:val="clear" w:color="auto" w:fill="D0CECE" w:themeFill="background2" w:themeFillShade="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357"/>
        <w:jc w:val="both"/>
        <w:rPr>
          <w:rFonts w:asciiTheme="majorBidi" w:hAnsiTheme="majorBidi" w:cstheme="majorBidi"/>
          <w:i/>
          <w:iCs/>
          <w:color w:val="000000"/>
          <w:sz w:val="22"/>
          <w:szCs w:val="22"/>
          <w:lang w:val="en-US"/>
        </w:rPr>
      </w:pPr>
      <w:r w:rsidRPr="00AE03A6">
        <w:rPr>
          <w:rFonts w:asciiTheme="majorBidi" w:hAnsiTheme="majorBidi" w:cstheme="majorBidi"/>
          <w:i/>
          <w:iCs/>
          <w:color w:val="000000"/>
          <w:sz w:val="22"/>
          <w:szCs w:val="22"/>
          <w:lang w:val="en-US"/>
        </w:rPr>
        <w:t xml:space="preserve">Could the State party provide details on any steps taken or planned to repeal or amend Articles 489 to 493 of the Penal Code to ensure respect for the rights to privacy, non-discrimination, and personal autonomy as guaranteed under the </w:t>
      </w:r>
      <w:r w:rsidR="00B74722" w:rsidRPr="00AE03A6">
        <w:rPr>
          <w:rFonts w:asciiTheme="majorBidi" w:hAnsiTheme="majorBidi" w:cstheme="majorBidi"/>
          <w:i/>
          <w:iCs/>
          <w:color w:val="000000"/>
          <w:sz w:val="22"/>
          <w:szCs w:val="22"/>
          <w:lang w:val="en-US"/>
        </w:rPr>
        <w:t>ICCPR</w:t>
      </w:r>
      <w:r w:rsidRPr="00AE03A6">
        <w:rPr>
          <w:rFonts w:asciiTheme="majorBidi" w:hAnsiTheme="majorBidi" w:cstheme="majorBidi"/>
          <w:i/>
          <w:iCs/>
          <w:color w:val="000000"/>
          <w:sz w:val="22"/>
          <w:szCs w:val="22"/>
          <w:lang w:val="en-US"/>
        </w:rPr>
        <w:t>?</w:t>
      </w:r>
    </w:p>
    <w:p w14:paraId="40835584" w14:textId="77777777" w:rsidR="00A168F3" w:rsidRPr="00AE03A6" w:rsidRDefault="00302B27" w:rsidP="00115EF6">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00" w:after="120"/>
        <w:jc w:val="both"/>
        <w:rPr>
          <w:rFonts w:asciiTheme="majorBidi" w:hAnsiTheme="majorBidi" w:cstheme="majorBidi"/>
          <w:b/>
          <w:bCs/>
          <w:lang w:val="en-US"/>
        </w:rPr>
      </w:pPr>
      <w:r w:rsidRPr="00AE03A6">
        <w:rPr>
          <w:rFonts w:asciiTheme="majorBidi" w:hAnsiTheme="majorBidi" w:cstheme="majorBidi"/>
          <w:b/>
          <w:bCs/>
          <w:lang w:val="en-US"/>
        </w:rPr>
        <w:t>Freedom of opinion and expression (art. 19</w:t>
      </w:r>
      <w:r w:rsidR="0086038A" w:rsidRPr="00AE03A6">
        <w:rPr>
          <w:rFonts w:asciiTheme="majorBidi" w:hAnsiTheme="majorBidi" w:cstheme="majorBidi"/>
          <w:b/>
          <w:bCs/>
          <w:lang w:val="en-US"/>
        </w:rPr>
        <w:t>)</w:t>
      </w:r>
    </w:p>
    <w:p w14:paraId="4A08CFF4" w14:textId="77777777" w:rsidR="00A20AEC" w:rsidRPr="00AE03A6" w:rsidRDefault="00A168F3" w:rsidP="00A20AEC">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 xml:space="preserve">The right to freedom of opinion and expression is an </w:t>
      </w:r>
      <w:r w:rsidRPr="00AE03A6">
        <w:rPr>
          <w:rFonts w:asciiTheme="majorBidi" w:hAnsiTheme="majorBidi" w:cstheme="majorBidi"/>
          <w:bCs/>
          <w:color w:val="000000"/>
          <w:sz w:val="22"/>
          <w:szCs w:val="22"/>
          <w:lang w:val="en-US"/>
        </w:rPr>
        <w:t>explicit constitutional right in Morocco, guaranteed to everyone</w:t>
      </w:r>
      <w:r w:rsidRPr="00AE03A6">
        <w:rPr>
          <w:rFonts w:asciiTheme="majorBidi" w:hAnsiTheme="majorBidi" w:cstheme="majorBidi"/>
          <w:color w:val="000000"/>
          <w:sz w:val="22"/>
          <w:szCs w:val="22"/>
          <w:lang w:val="en-US"/>
        </w:rPr>
        <w:t xml:space="preserve">, with no discrimination. Protection of this right extends to different forms </w:t>
      </w:r>
      <w:r w:rsidRPr="00AE03A6">
        <w:rPr>
          <w:rFonts w:asciiTheme="majorBidi" w:hAnsiTheme="majorBidi" w:cstheme="majorBidi"/>
          <w:color w:val="000000"/>
          <w:sz w:val="22"/>
          <w:szCs w:val="22"/>
          <w:lang w:val="en-US"/>
        </w:rPr>
        <w:lastRenderedPageBreak/>
        <w:t>of expression</w:t>
      </w:r>
      <w:r w:rsidRPr="00AE03A6">
        <w:rPr>
          <w:rFonts w:asciiTheme="majorBidi" w:hAnsiTheme="majorBidi" w:cstheme="majorBidi"/>
          <w:color w:val="000000"/>
          <w:sz w:val="22"/>
          <w:szCs w:val="22"/>
          <w:vertAlign w:val="superscript"/>
        </w:rPr>
        <w:footnoteReference w:id="41"/>
      </w:r>
      <w:r w:rsidRPr="00AE03A6">
        <w:rPr>
          <w:rFonts w:asciiTheme="majorBidi" w:hAnsiTheme="majorBidi" w:cstheme="majorBidi"/>
          <w:color w:val="000000"/>
          <w:sz w:val="22"/>
          <w:szCs w:val="22"/>
          <w:lang w:val="en-US"/>
        </w:rPr>
        <w:t xml:space="preserve">. In addition, the Constitution provides for additional implicit protection of this right in several other articles, including, but not limited to, the primacy of international human rights law over national legislations. </w:t>
      </w:r>
    </w:p>
    <w:p w14:paraId="25038837" w14:textId="48CBE7C1" w:rsidR="00A20AEC" w:rsidRPr="00AE03A6" w:rsidRDefault="00A20AEC" w:rsidP="00A20AEC">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By virtue of the Press and Publishing Law 88-13 of 2016</w:t>
      </w:r>
      <w:r w:rsidRPr="00AE03A6">
        <w:rPr>
          <w:rFonts w:asciiTheme="majorBidi" w:hAnsiTheme="majorBidi" w:cstheme="majorBidi"/>
          <w:color w:val="000000"/>
          <w:sz w:val="22"/>
          <w:szCs w:val="22"/>
          <w:vertAlign w:val="superscript"/>
        </w:rPr>
        <w:footnoteReference w:id="42"/>
      </w:r>
      <w:r w:rsidRPr="00AE03A6">
        <w:rPr>
          <w:rFonts w:asciiTheme="majorBidi" w:hAnsiTheme="majorBidi" w:cstheme="majorBidi"/>
          <w:color w:val="000000"/>
          <w:sz w:val="22"/>
          <w:szCs w:val="22"/>
          <w:lang w:val="en-US"/>
        </w:rPr>
        <w:t>, which was welcomed by the Committee</w:t>
      </w:r>
      <w:r w:rsidRPr="00AE03A6">
        <w:rPr>
          <w:rStyle w:val="Appelnotedebasdep"/>
          <w:rFonts w:asciiTheme="majorBidi" w:hAnsiTheme="majorBidi" w:cstheme="majorBidi"/>
          <w:color w:val="000000"/>
          <w:sz w:val="22"/>
          <w:szCs w:val="22"/>
        </w:rPr>
        <w:footnoteReference w:id="43"/>
      </w:r>
      <w:r w:rsidRPr="00AE03A6">
        <w:rPr>
          <w:rFonts w:asciiTheme="majorBidi" w:hAnsiTheme="majorBidi" w:cstheme="majorBidi"/>
          <w:color w:val="000000"/>
          <w:sz w:val="22"/>
          <w:szCs w:val="22"/>
          <w:lang w:val="en-US"/>
        </w:rPr>
        <w:t>, press-related offences are no longer subject to custodial penalties.  This law provides significant guarantees: replacing custodial sentences with fines, legal recognition of electronic press, and the state’s commitment to protecting journalists against any aggression. It also strengthens the role of the judiciary in protecting the freedom and independence of the press, by making it the sole authority responsible for receiving declarations of publication from press firms, prohibiting the seizure of publications, blocking electronic press and permanently withdrawing press cards. In response to a request for an opinion on the reform of the Press Code from the Minister of Culture and Communication in December 2021, the CNDH published its advisory opinion</w:t>
      </w:r>
      <w:r w:rsidRPr="00AE03A6">
        <w:rPr>
          <w:rStyle w:val="Appelnotedebasdep"/>
          <w:rFonts w:asciiTheme="majorBidi" w:hAnsiTheme="majorBidi" w:cstheme="majorBidi"/>
          <w:color w:val="000000"/>
          <w:sz w:val="22"/>
          <w:szCs w:val="22"/>
        </w:rPr>
        <w:footnoteReference w:id="44"/>
      </w:r>
      <w:r w:rsidRPr="00AE03A6">
        <w:rPr>
          <w:rFonts w:asciiTheme="majorBidi" w:hAnsiTheme="majorBidi" w:cstheme="majorBidi"/>
          <w:color w:val="000000"/>
          <w:sz w:val="22"/>
          <w:szCs w:val="22"/>
          <w:lang w:val="en-US"/>
        </w:rPr>
        <w:t xml:space="preserve"> on draft law 71-17 modifying and supplementing law 88-13 related to press and publishing. In this context, the CNDH recommended to adopt a comprehensive approach to addressing emerging challenges, including online challenges.</w:t>
      </w:r>
    </w:p>
    <w:p w14:paraId="56854F03" w14:textId="1D62B637" w:rsidR="00115EF6" w:rsidRPr="00AE03A6" w:rsidRDefault="00A168F3" w:rsidP="00115EF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Morocco does not have a specific or a thorough freedom of expression legislation. Offline and online defamation remains a criminal offense. Fake news and hate speech are criminalized under the Penal Code.  While the existing laws adopted since 2016, provide, inter alia, for fundamental changes, the protection is not automatically provided for all those who engage in forms of self-publication, blogging, commenting, etc., particularly on the internet and social media platforms. In practice, there is a risk of being charged for imp</w:t>
      </w:r>
      <w:r w:rsidR="00B74722" w:rsidRPr="00AE03A6">
        <w:rPr>
          <w:rFonts w:asciiTheme="majorBidi" w:hAnsiTheme="majorBidi" w:cstheme="majorBidi"/>
          <w:color w:val="000000"/>
          <w:sz w:val="22"/>
          <w:szCs w:val="22"/>
          <w:lang w:val="en-US"/>
        </w:rPr>
        <w:t>ersonating the legal status of professional j</w:t>
      </w:r>
      <w:r w:rsidRPr="00AE03A6">
        <w:rPr>
          <w:rFonts w:asciiTheme="majorBidi" w:hAnsiTheme="majorBidi" w:cstheme="majorBidi"/>
          <w:color w:val="000000"/>
          <w:sz w:val="22"/>
          <w:szCs w:val="22"/>
          <w:lang w:val="en-US"/>
        </w:rPr>
        <w:t xml:space="preserve">ournalists in such cases. </w:t>
      </w:r>
      <w:r w:rsidR="00CC0F96" w:rsidRPr="00AE03A6">
        <w:rPr>
          <w:rFonts w:asciiTheme="majorBidi" w:hAnsiTheme="majorBidi" w:cstheme="majorBidi"/>
          <w:color w:val="000000"/>
          <w:sz w:val="22"/>
          <w:szCs w:val="22"/>
          <w:lang w:val="en-US"/>
        </w:rPr>
        <w:t>The CNDH found that</w:t>
      </w:r>
      <w:r w:rsidRPr="00AE03A6">
        <w:rPr>
          <w:rFonts w:asciiTheme="majorBidi" w:hAnsiTheme="majorBidi" w:cstheme="majorBidi"/>
          <w:color w:val="000000"/>
          <w:sz w:val="22"/>
          <w:szCs w:val="22"/>
          <w:lang w:val="en-US"/>
        </w:rPr>
        <w:t xml:space="preserve"> press-related defamation cases were registered in courts. To be noted that since the decision of the Office of the Public Prosecutor to refrain from launching prosecutions of its own motion, for the offences of insulting and defaming others, the number of cases dropped to 52 cases in 2020, of which 35 on the basis of direct complaints</w:t>
      </w:r>
      <w:r w:rsidR="00F47BE5" w:rsidRPr="00AE03A6">
        <w:rPr>
          <w:rFonts w:asciiTheme="majorBidi" w:hAnsiTheme="majorBidi" w:cstheme="majorBidi"/>
          <w:color w:val="000000"/>
          <w:sz w:val="22"/>
          <w:szCs w:val="22"/>
          <w:lang w:val="en-US"/>
        </w:rPr>
        <w:t>.</w:t>
      </w:r>
    </w:p>
    <w:p w14:paraId="3DC2D569" w14:textId="282E6DAF" w:rsidR="00420033" w:rsidRPr="00AE03A6" w:rsidRDefault="00420033" w:rsidP="00420033">
      <w:pPr>
        <w:numPr>
          <w:ilvl w:val="0"/>
          <w:numId w:val="3"/>
        </w:numPr>
        <w:pBdr>
          <w:top w:val="nil"/>
          <w:left w:val="nil"/>
          <w:bottom w:val="nil"/>
          <w:right w:val="nil"/>
          <w:between w:val="nil"/>
        </w:pBdr>
        <w:spacing w:before="200" w:after="120"/>
        <w:ind w:left="425" w:hanging="425"/>
        <w:jc w:val="both"/>
        <w:rPr>
          <w:rFonts w:asciiTheme="majorBidi" w:hAnsiTheme="majorBidi" w:cstheme="majorBidi"/>
          <w:sz w:val="22"/>
          <w:szCs w:val="22"/>
          <w:lang w:val="en-US"/>
        </w:rPr>
      </w:pPr>
      <w:r w:rsidRPr="00AE03A6">
        <w:rPr>
          <w:rFonts w:asciiTheme="majorBidi" w:hAnsiTheme="majorBidi" w:cstheme="majorBidi"/>
          <w:sz w:val="22"/>
          <w:szCs w:val="22"/>
          <w:lang w:val="en-US"/>
        </w:rPr>
        <w:t xml:space="preserve">The CNDH notes with concern the ongoing prosecution and, in some instances, the imposition of custodial sentences against individuals for content published in digital spaces. Such prosecutions often target forms of expression that do not appear to </w:t>
      </w:r>
      <w:r w:rsidR="00D63674" w:rsidRPr="00AE03A6">
        <w:rPr>
          <w:rFonts w:asciiTheme="majorBidi" w:hAnsiTheme="majorBidi" w:cstheme="majorBidi"/>
          <w:sz w:val="22"/>
          <w:szCs w:val="22"/>
          <w:lang w:val="en-US"/>
        </w:rPr>
        <w:t>be in contradiction</w:t>
      </w:r>
      <w:r w:rsidRPr="00AE03A6">
        <w:rPr>
          <w:rFonts w:asciiTheme="majorBidi" w:hAnsiTheme="majorBidi" w:cstheme="majorBidi"/>
          <w:sz w:val="22"/>
          <w:szCs w:val="22"/>
          <w:lang w:val="en-US"/>
        </w:rPr>
        <w:t xml:space="preserve"> with the democratic values ​​that freedom of expression is intended to safeguard. The CNDH emphasizes that such expression does not include prohibited content such as war propaganda, </w:t>
      </w:r>
      <w:r w:rsidR="00D63674" w:rsidRPr="00AE03A6">
        <w:rPr>
          <w:rFonts w:asciiTheme="majorBidi" w:hAnsiTheme="majorBidi" w:cstheme="majorBidi"/>
          <w:sz w:val="22"/>
          <w:szCs w:val="22"/>
          <w:lang w:val="en-US"/>
        </w:rPr>
        <w:t>call</w:t>
      </w:r>
      <w:r w:rsidRPr="00AE03A6">
        <w:rPr>
          <w:rFonts w:asciiTheme="majorBidi" w:hAnsiTheme="majorBidi" w:cstheme="majorBidi"/>
          <w:sz w:val="22"/>
          <w:szCs w:val="22"/>
          <w:lang w:val="en-US"/>
        </w:rPr>
        <w:t xml:space="preserve"> </w:t>
      </w:r>
      <w:r w:rsidR="00D63674" w:rsidRPr="00AE03A6">
        <w:rPr>
          <w:rFonts w:asciiTheme="majorBidi" w:hAnsiTheme="majorBidi" w:cstheme="majorBidi"/>
          <w:sz w:val="22"/>
          <w:szCs w:val="22"/>
          <w:lang w:val="en-US"/>
        </w:rPr>
        <w:t>for</w:t>
      </w:r>
      <w:r w:rsidRPr="00AE03A6">
        <w:rPr>
          <w:rFonts w:asciiTheme="majorBidi" w:hAnsiTheme="majorBidi" w:cstheme="majorBidi"/>
          <w:sz w:val="22"/>
          <w:szCs w:val="22"/>
          <w:lang w:val="en-US"/>
        </w:rPr>
        <w:t xml:space="preserve"> national, racial, or religious hatred constituting incitement to discrimination, hostility, or violence, the exploitation of children in pornographic materials, direct and public incitement to commit genocide, or incitement to terrorism.</w:t>
      </w:r>
    </w:p>
    <w:p w14:paraId="63A8AE42" w14:textId="0EDF553B" w:rsidR="00420033" w:rsidRPr="00AE03A6" w:rsidRDefault="00CC0F96" w:rsidP="00CC0F9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In the context of its protection mandate, the CNDH has continued to monitor efforts to promote, protect, and strengthen the exercise of the right to freedom of opinion and expression</w:t>
      </w:r>
      <w:r w:rsidRPr="00AE03A6">
        <w:rPr>
          <w:rStyle w:val="Appelnotedebasdep"/>
          <w:rFonts w:asciiTheme="majorBidi" w:hAnsiTheme="majorBidi" w:cstheme="majorBidi"/>
          <w:color w:val="000000"/>
          <w:sz w:val="22"/>
          <w:szCs w:val="22"/>
          <w:lang w:val="en-US"/>
        </w:rPr>
        <w:footnoteReference w:id="45"/>
      </w:r>
      <w:r w:rsidRPr="00AE03A6">
        <w:rPr>
          <w:rFonts w:asciiTheme="majorBidi" w:hAnsiTheme="majorBidi" w:cstheme="majorBidi"/>
          <w:color w:val="000000"/>
          <w:sz w:val="22"/>
          <w:szCs w:val="22"/>
          <w:lang w:val="en-US"/>
        </w:rPr>
        <w:t>, including all its forms and components, while also identifying the challenges and obstacles that hinder its full realization. C</w:t>
      </w:r>
      <w:r w:rsidR="00865EDB" w:rsidRPr="00AE03A6">
        <w:rPr>
          <w:rFonts w:asciiTheme="majorBidi" w:hAnsiTheme="majorBidi" w:cstheme="majorBidi"/>
          <w:color w:val="000000"/>
          <w:sz w:val="22"/>
          <w:szCs w:val="22"/>
          <w:lang w:val="en-US"/>
        </w:rPr>
        <w:t>oncerning alleged violations of the right to freedom of expression, the CNDH notes with concern the existence of legal gaps and shortcomings in the current legislative framework, which should be addressed through the anticipated legal reforms. Such reforms must ensure that any restriction on the exercise of freedom of expression is lawful, pursues a legitimate aim, and is necessary and proportionate.</w:t>
      </w:r>
    </w:p>
    <w:p w14:paraId="5E09C50D" w14:textId="41F56A81" w:rsidR="00420033" w:rsidRPr="00AE03A6" w:rsidRDefault="00420033" w:rsidP="00B74722">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 xml:space="preserve">In 2023, the Moroccan government supported the UPR </w:t>
      </w:r>
      <w:r w:rsidR="00B74722" w:rsidRPr="00AE03A6">
        <w:rPr>
          <w:rFonts w:asciiTheme="majorBidi" w:hAnsiTheme="majorBidi" w:cstheme="majorBidi"/>
          <w:color w:val="000000"/>
          <w:sz w:val="22"/>
          <w:szCs w:val="22"/>
          <w:lang w:val="en-US"/>
        </w:rPr>
        <w:t xml:space="preserve">outcome related to </w:t>
      </w:r>
      <w:r w:rsidRPr="00AE03A6">
        <w:rPr>
          <w:rFonts w:asciiTheme="majorBidi" w:hAnsiTheme="majorBidi" w:cstheme="majorBidi"/>
          <w:color w:val="000000"/>
          <w:sz w:val="22"/>
          <w:szCs w:val="22"/>
          <w:lang w:val="en-US"/>
        </w:rPr>
        <w:t>freedom of expression, including general recommendations to reform. Specifically, the set of supported recommendations included</w:t>
      </w:r>
      <w:r w:rsidR="00CC0F96" w:rsidRPr="00AE03A6">
        <w:rPr>
          <w:rFonts w:asciiTheme="majorBidi" w:hAnsiTheme="majorBidi" w:cstheme="majorBidi"/>
          <w:color w:val="000000"/>
          <w:sz w:val="22"/>
          <w:szCs w:val="22"/>
          <w:lang w:val="en-US"/>
        </w:rPr>
        <w:t xml:space="preserve"> the amendments of the</w:t>
      </w:r>
      <w:r w:rsidRPr="00AE03A6">
        <w:rPr>
          <w:rFonts w:asciiTheme="majorBidi" w:hAnsiTheme="majorBidi" w:cstheme="majorBidi"/>
          <w:color w:val="000000"/>
          <w:sz w:val="22"/>
          <w:szCs w:val="22"/>
          <w:lang w:val="en-US"/>
        </w:rPr>
        <w:t xml:space="preserve"> provisions that unduly restrict the right to freedom of expression, </w:t>
      </w:r>
      <w:r w:rsidRPr="00AE03A6">
        <w:rPr>
          <w:rFonts w:asciiTheme="majorBidi" w:hAnsiTheme="majorBidi" w:cstheme="majorBidi"/>
          <w:color w:val="000000"/>
          <w:sz w:val="22"/>
          <w:szCs w:val="22"/>
          <w:lang w:val="en-US"/>
        </w:rPr>
        <w:lastRenderedPageBreak/>
        <w:t>to bring national legislation into compliance with the ICCPR, step up efforts to fully protect freedom of expression and ensure a safe and enabling environment for journalists, guarantee full exercise of freedom of expression and of the press, in accordance with the 2011 Constitution and international human rights standards, and remove criminalization of all expression offences except as expressly provided for in the ICCPR.</w:t>
      </w:r>
    </w:p>
    <w:p w14:paraId="7D653DFA" w14:textId="3589F962" w:rsidR="005C1467" w:rsidRPr="00AE03A6" w:rsidRDefault="005C1467" w:rsidP="005C1467">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Law No. 13-31 on the right of access to information was adopted in February 2018. The right of access to information is guaranteed to nationals and foreigners legally residing in Morocco. The information covered by this right includes all data or statistics expressed in the form of figures or letters or drawings or images, or audio-visual recordings or any other form, and contained in administrative documents, reports, studies, decisions, circulars, publications, notes, databases, and other documents of a general nature produced or received by the relevant institutions or bodies in the exercise of public service missions, whether in paper or electronic format, or any other format. The institutions concerned include the parliament, public administrations, courts, local authorities, public institutions, any other public or private institution or body entrusted with a public service mission, and the institutions and bodies stipulated in Title XII of the Constitution</w:t>
      </w:r>
      <w:r w:rsidRPr="00AE03A6">
        <w:rPr>
          <w:rStyle w:val="Appelnotedebasdep"/>
          <w:rFonts w:asciiTheme="majorBidi" w:hAnsiTheme="majorBidi" w:cstheme="majorBidi"/>
          <w:color w:val="000000"/>
          <w:sz w:val="22"/>
          <w:szCs w:val="22"/>
          <w:lang w:val="en-US"/>
        </w:rPr>
        <w:footnoteReference w:id="46"/>
      </w:r>
      <w:r w:rsidRPr="00AE03A6">
        <w:rPr>
          <w:rFonts w:asciiTheme="majorBidi" w:hAnsiTheme="majorBidi" w:cstheme="majorBidi"/>
          <w:color w:val="000000"/>
          <w:sz w:val="22"/>
          <w:szCs w:val="22"/>
          <w:lang w:val="en-US"/>
        </w:rPr>
        <w:t xml:space="preserve">. Exceptions to the application of this right concern all information related to national defense, internal and external security of the State, private life, personal data, and information whose disclosure would infringe upon the fundamental freedoms and rights stipulated in the Constitution. The scope of exceptions also extends to information whose disclosure would harm relations with another state or intergovernmental organization, monetary or economic or financial policies of the state, industrial property rights or copyright. </w:t>
      </w:r>
    </w:p>
    <w:p w14:paraId="01371BDC" w14:textId="52341478" w:rsidR="00865EDB" w:rsidRPr="00AE03A6" w:rsidRDefault="00420033" w:rsidP="001756A1">
      <w:pPr>
        <w:pBdr>
          <w:top w:val="nil"/>
          <w:left w:val="nil"/>
          <w:bottom w:val="nil"/>
          <w:right w:val="nil"/>
          <w:between w:val="nil"/>
        </w:pBdr>
        <w:shd w:val="clear" w:color="auto" w:fill="D0CECE" w:themeFill="background2" w:themeFillShade="E6"/>
        <w:spacing w:before="200" w:after="120"/>
        <w:ind w:left="425"/>
        <w:jc w:val="both"/>
        <w:outlineLvl w:val="0"/>
        <w:rPr>
          <w:rFonts w:asciiTheme="majorBidi" w:hAnsiTheme="majorBidi" w:cstheme="majorBidi"/>
          <w:b/>
          <w:bCs/>
          <w:i/>
          <w:iCs/>
          <w:color w:val="000000"/>
          <w:sz w:val="22"/>
          <w:szCs w:val="22"/>
          <w:lang w:val="en-US"/>
        </w:rPr>
      </w:pPr>
      <w:r w:rsidRPr="00AE03A6">
        <w:rPr>
          <w:rFonts w:asciiTheme="majorBidi" w:hAnsiTheme="majorBidi" w:cstheme="majorBidi"/>
          <w:b/>
          <w:bCs/>
          <w:i/>
          <w:iCs/>
          <w:color w:val="000000"/>
          <w:sz w:val="22"/>
          <w:szCs w:val="22"/>
          <w:lang w:val="en-US"/>
        </w:rPr>
        <w:t>Issue 12</w:t>
      </w:r>
      <w:r w:rsidR="00865EDB"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address the following question</w:t>
      </w:r>
      <w:r w:rsidR="00EA6BF3" w:rsidRPr="00AE03A6">
        <w:rPr>
          <w:rFonts w:asciiTheme="majorBidi" w:hAnsiTheme="majorBidi" w:cstheme="majorBidi"/>
          <w:b/>
          <w:bCs/>
          <w:i/>
          <w:iCs/>
          <w:color w:val="000000"/>
          <w:sz w:val="22"/>
          <w:szCs w:val="22"/>
          <w:lang w:val="en-US"/>
        </w:rPr>
        <w:t>s</w:t>
      </w:r>
      <w:r w:rsidR="007B00A8" w:rsidRPr="00AE03A6">
        <w:rPr>
          <w:rFonts w:asciiTheme="majorBidi" w:hAnsiTheme="majorBidi" w:cstheme="majorBidi"/>
          <w:b/>
          <w:bCs/>
          <w:i/>
          <w:iCs/>
          <w:color w:val="000000"/>
          <w:sz w:val="22"/>
          <w:szCs w:val="22"/>
          <w:lang w:val="en-US"/>
        </w:rPr>
        <w:t xml:space="preserve"> </w:t>
      </w:r>
      <w:r w:rsidR="003A4F35" w:rsidRPr="00AE03A6">
        <w:rPr>
          <w:rFonts w:asciiTheme="majorBidi" w:hAnsiTheme="majorBidi" w:cstheme="majorBidi"/>
          <w:b/>
          <w:bCs/>
          <w:i/>
          <w:iCs/>
          <w:color w:val="000000"/>
          <w:sz w:val="22"/>
          <w:szCs w:val="22"/>
          <w:lang w:val="en-US"/>
        </w:rPr>
        <w:t>to the State party :</w:t>
      </w:r>
    </w:p>
    <w:p w14:paraId="0C567511" w14:textId="4E167709" w:rsidR="00F946DB" w:rsidRPr="00AE03A6" w:rsidRDefault="00F946DB" w:rsidP="001756A1">
      <w:pPr>
        <w:pBdr>
          <w:top w:val="nil"/>
          <w:left w:val="nil"/>
          <w:bottom w:val="nil"/>
          <w:right w:val="nil"/>
          <w:between w:val="nil"/>
        </w:pBdr>
        <w:shd w:val="clear" w:color="auto" w:fill="D0CECE" w:themeFill="background2" w:themeFillShade="E6"/>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sz w:val="22"/>
          <w:szCs w:val="22"/>
          <w:lang w:val="en-US"/>
        </w:rPr>
        <w:t>What measures has the State</w:t>
      </w:r>
      <w:r w:rsidR="00420033" w:rsidRPr="00AE03A6">
        <w:rPr>
          <w:rFonts w:asciiTheme="majorBidi" w:hAnsiTheme="majorBidi" w:cstheme="majorBidi"/>
          <w:i/>
          <w:iCs/>
          <w:sz w:val="22"/>
          <w:szCs w:val="22"/>
          <w:lang w:val="en-US"/>
        </w:rPr>
        <w:t xml:space="preserve"> party</w:t>
      </w:r>
      <w:r w:rsidRPr="00AE03A6">
        <w:rPr>
          <w:rFonts w:asciiTheme="majorBidi" w:hAnsiTheme="majorBidi" w:cstheme="majorBidi"/>
          <w:i/>
          <w:iCs/>
          <w:sz w:val="22"/>
          <w:szCs w:val="22"/>
          <w:lang w:val="en-US"/>
        </w:rPr>
        <w:t xml:space="preserve"> taken to ensure that individuals are not subject to criminal prosecution or custodial sentences for exercising their right to freedom of expression, </w:t>
      </w:r>
      <w:r w:rsidR="00420033" w:rsidRPr="00AE03A6">
        <w:rPr>
          <w:rFonts w:asciiTheme="majorBidi" w:hAnsiTheme="majorBidi" w:cstheme="majorBidi"/>
          <w:i/>
          <w:iCs/>
          <w:sz w:val="22"/>
          <w:szCs w:val="22"/>
          <w:lang w:val="en-US"/>
        </w:rPr>
        <w:t>including</w:t>
      </w:r>
      <w:r w:rsidRPr="00AE03A6">
        <w:rPr>
          <w:rFonts w:asciiTheme="majorBidi" w:hAnsiTheme="majorBidi" w:cstheme="majorBidi"/>
          <w:i/>
          <w:iCs/>
          <w:sz w:val="22"/>
          <w:szCs w:val="22"/>
          <w:lang w:val="en-US"/>
        </w:rPr>
        <w:t xml:space="preserve"> in digital spaces?</w:t>
      </w:r>
    </w:p>
    <w:p w14:paraId="002A70EA" w14:textId="4BAD96F4" w:rsidR="00115EF6" w:rsidRPr="00AE03A6" w:rsidRDefault="00F946DB" w:rsidP="001756A1">
      <w:pPr>
        <w:pBdr>
          <w:top w:val="nil"/>
          <w:left w:val="nil"/>
          <w:bottom w:val="nil"/>
          <w:right w:val="nil"/>
          <w:between w:val="nil"/>
        </w:pBdr>
        <w:shd w:val="clear" w:color="auto" w:fill="D0CECE" w:themeFill="background2" w:themeFillShade="E6"/>
        <w:spacing w:before="200" w:after="120"/>
        <w:ind w:left="425"/>
        <w:jc w:val="both"/>
        <w:rPr>
          <w:rFonts w:asciiTheme="majorBidi" w:hAnsiTheme="majorBidi" w:cstheme="majorBidi"/>
          <w:i/>
          <w:iCs/>
          <w:color w:val="000000"/>
          <w:sz w:val="22"/>
          <w:szCs w:val="22"/>
          <w:lang w:val="en-US"/>
        </w:rPr>
      </w:pPr>
      <w:r w:rsidRPr="00AE03A6">
        <w:rPr>
          <w:rFonts w:asciiTheme="majorBidi" w:hAnsiTheme="majorBidi" w:cstheme="majorBidi"/>
          <w:i/>
          <w:iCs/>
          <w:sz w:val="22"/>
          <w:szCs w:val="22"/>
          <w:lang w:val="en-US"/>
        </w:rPr>
        <w:t xml:space="preserve">What steps are being taken to review or amend existing legislation, policies, and judicial practices to bring them in line with Article 19 of the </w:t>
      </w:r>
      <w:r w:rsidR="00876F12" w:rsidRPr="00AE03A6">
        <w:rPr>
          <w:rFonts w:asciiTheme="majorBidi" w:hAnsiTheme="majorBidi" w:cstheme="majorBidi"/>
          <w:i/>
          <w:iCs/>
          <w:sz w:val="22"/>
          <w:szCs w:val="22"/>
          <w:lang w:val="en-US"/>
        </w:rPr>
        <w:t>ICCPR</w:t>
      </w:r>
      <w:r w:rsidRPr="00AE03A6">
        <w:rPr>
          <w:rFonts w:asciiTheme="majorBidi" w:hAnsiTheme="majorBidi" w:cstheme="majorBidi"/>
          <w:i/>
          <w:iCs/>
          <w:sz w:val="22"/>
          <w:szCs w:val="22"/>
          <w:lang w:val="en-US"/>
        </w:rPr>
        <w:t>, ensuring the protection of all forms of peaceful expression, including in digital environments?</w:t>
      </w:r>
    </w:p>
    <w:p w14:paraId="773A83C4" w14:textId="77777777" w:rsidR="00115EF6" w:rsidRPr="00AE03A6" w:rsidRDefault="00115EF6" w:rsidP="00115EF6">
      <w:pPr>
        <w:pStyle w:val="Paragraphedeliste"/>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120"/>
        <w:ind w:left="714"/>
        <w:jc w:val="both"/>
        <w:rPr>
          <w:rFonts w:asciiTheme="majorBidi" w:hAnsiTheme="majorBidi" w:cstheme="majorBidi"/>
          <w:b/>
          <w:bCs/>
          <w:lang w:val="en-US"/>
        </w:rPr>
      </w:pPr>
    </w:p>
    <w:p w14:paraId="1ADDF057" w14:textId="77777777" w:rsidR="00A75594" w:rsidRPr="00AE03A6" w:rsidRDefault="00A75594" w:rsidP="00115EF6">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120"/>
        <w:ind w:left="714" w:hanging="357"/>
        <w:jc w:val="both"/>
        <w:rPr>
          <w:rFonts w:asciiTheme="majorBidi" w:hAnsiTheme="majorBidi" w:cstheme="majorBidi"/>
          <w:b/>
          <w:bCs/>
          <w:rtl/>
          <w:lang w:val="en-US"/>
        </w:rPr>
      </w:pPr>
      <w:r w:rsidRPr="00AE03A6">
        <w:rPr>
          <w:rFonts w:asciiTheme="majorBidi" w:hAnsiTheme="majorBidi" w:cstheme="majorBidi"/>
          <w:b/>
          <w:bCs/>
          <w:lang w:val="en-US"/>
        </w:rPr>
        <w:t xml:space="preserve">Right to freedom of association (art. 22) and peaceful assembly </w:t>
      </w:r>
      <w:r w:rsidR="00302B27" w:rsidRPr="00AE03A6">
        <w:rPr>
          <w:rFonts w:asciiTheme="majorBidi" w:hAnsiTheme="majorBidi" w:cstheme="majorBidi"/>
          <w:b/>
          <w:bCs/>
          <w:lang w:val="en-US"/>
        </w:rPr>
        <w:t>(art. 21).</w:t>
      </w:r>
    </w:p>
    <w:p w14:paraId="3EFCF3C0" w14:textId="11DDED74" w:rsidR="00A20AEC" w:rsidRPr="00AE03A6" w:rsidRDefault="00A20AEC" w:rsidP="004E31A4">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Non-governmental organizations (NGOs) in Morocco play a vital role in strengthening democratic governance and promoting citizen participation. Beyond NGO election observation which is facilitated and supported by the CNDH, civil society organizations have been involved in </w:t>
      </w:r>
      <w:r w:rsidR="004E31A4" w:rsidRPr="00AE03A6">
        <w:rPr>
          <w:rFonts w:asciiTheme="majorBidi" w:hAnsiTheme="majorBidi" w:cstheme="majorBidi"/>
          <w:color w:val="000000" w:themeColor="text1"/>
          <w:sz w:val="22"/>
          <w:szCs w:val="22"/>
          <w:lang w:val="en-US"/>
        </w:rPr>
        <w:t>commenting on</w:t>
      </w:r>
      <w:r w:rsidRPr="00AE03A6">
        <w:rPr>
          <w:rFonts w:asciiTheme="majorBidi" w:hAnsiTheme="majorBidi" w:cstheme="majorBidi"/>
          <w:color w:val="000000" w:themeColor="text1"/>
          <w:sz w:val="22"/>
          <w:szCs w:val="22"/>
          <w:lang w:val="en-US"/>
        </w:rPr>
        <w:t xml:space="preserve"> laws and participating in nationwide consultations on major reforms. Their engagement has been significant in strategic projects such as the New Development Model</w:t>
      </w:r>
      <w:r w:rsidR="00CC0F96" w:rsidRPr="00AE03A6">
        <w:rPr>
          <w:rFonts w:asciiTheme="majorBidi" w:hAnsiTheme="majorBidi" w:cstheme="majorBidi"/>
          <w:color w:val="000000" w:themeColor="text1"/>
          <w:sz w:val="22"/>
          <w:szCs w:val="22"/>
          <w:lang w:val="en-US"/>
        </w:rPr>
        <w:t xml:space="preserve"> and </w:t>
      </w:r>
      <w:r w:rsidRPr="00AE03A6">
        <w:rPr>
          <w:rFonts w:asciiTheme="majorBidi" w:hAnsiTheme="majorBidi" w:cstheme="majorBidi"/>
          <w:color w:val="000000" w:themeColor="text1"/>
          <w:sz w:val="22"/>
          <w:szCs w:val="22"/>
          <w:lang w:val="en-US"/>
        </w:rPr>
        <w:t xml:space="preserve">the reform of the Family Code (Moudawana). NGOs from all 12 regions of the country are regularly included in consultation processes on these structural reforms, ensuring that diverse local perspectives and social concerns are reflected in national policy-making. </w:t>
      </w:r>
    </w:p>
    <w:p w14:paraId="315ED978" w14:textId="3C0FAC39" w:rsidR="005C1467" w:rsidRPr="00AE03A6" w:rsidRDefault="005C1467" w:rsidP="00876F12">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The legal framework related to the freedom of association establishes a “declarative regime”," whereby the founders only need to declare the creation of associations to competent authorities. This framework partly explains the dynamism and diversity of civil society, with nearly 266,000 associations </w:t>
      </w:r>
      <w:r w:rsidR="00CC0F96" w:rsidRPr="00AE03A6">
        <w:rPr>
          <w:rFonts w:asciiTheme="majorBidi" w:hAnsiTheme="majorBidi" w:cstheme="majorBidi"/>
          <w:color w:val="000000" w:themeColor="text1"/>
          <w:sz w:val="22"/>
          <w:szCs w:val="22"/>
          <w:lang w:val="en-US"/>
        </w:rPr>
        <w:t>at the end of</w:t>
      </w:r>
      <w:r w:rsidRPr="00AE03A6">
        <w:rPr>
          <w:rFonts w:asciiTheme="majorBidi" w:hAnsiTheme="majorBidi" w:cstheme="majorBidi"/>
          <w:color w:val="000000" w:themeColor="text1"/>
          <w:sz w:val="22"/>
          <w:szCs w:val="22"/>
          <w:lang w:val="en-US"/>
        </w:rPr>
        <w:t xml:space="preserve"> 2023. Associations are also represented in the constitutionally established institutions including the CNDH as well as in national and sectoral committees. </w:t>
      </w:r>
    </w:p>
    <w:p w14:paraId="4F59FE50" w14:textId="528FAC0F" w:rsidR="00115EF6" w:rsidRPr="00AE03A6" w:rsidRDefault="00A75594" w:rsidP="00115EF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Several legal developments have recently taken place in relation to civil society in Morocco. In 2021, Act No. 06.18</w:t>
      </w:r>
      <w:r w:rsidRPr="00AE03A6">
        <w:rPr>
          <w:rFonts w:asciiTheme="majorBidi" w:hAnsiTheme="majorBidi" w:cstheme="majorBidi"/>
          <w:color w:val="000000" w:themeColor="text1"/>
          <w:sz w:val="22"/>
          <w:szCs w:val="22"/>
          <w:vertAlign w:val="superscript"/>
        </w:rPr>
        <w:footnoteReference w:id="47"/>
      </w:r>
      <w:r w:rsidRPr="00AE03A6">
        <w:rPr>
          <w:rFonts w:asciiTheme="majorBidi" w:hAnsiTheme="majorBidi" w:cstheme="majorBidi"/>
          <w:color w:val="000000" w:themeColor="text1"/>
          <w:sz w:val="22"/>
          <w:szCs w:val="22"/>
          <w:lang w:val="en-US"/>
        </w:rPr>
        <w:t xml:space="preserve"> on contracted voluntary work was adopted. The Act outlines the criteria for </w:t>
      </w:r>
      <w:r w:rsidRPr="00AE03A6">
        <w:rPr>
          <w:rFonts w:asciiTheme="majorBidi" w:hAnsiTheme="majorBidi" w:cstheme="majorBidi"/>
          <w:color w:val="000000" w:themeColor="text1"/>
          <w:sz w:val="22"/>
          <w:szCs w:val="22"/>
          <w:lang w:val="en-US"/>
        </w:rPr>
        <w:lastRenderedPageBreak/>
        <w:t>issuing and acquiring voluntary work contracts, specifies regulations for organizing and overseeing these contracts, defines the rights and responsibilities of volunteers, and designates the overseeing body for such activities. Furthermore, Organic Act No. 44.14 on the right to submit petitions to the public authorities</w:t>
      </w:r>
      <w:r w:rsidRPr="00AE03A6">
        <w:rPr>
          <w:rFonts w:asciiTheme="majorBidi" w:hAnsiTheme="majorBidi" w:cstheme="majorBidi"/>
          <w:color w:val="000000" w:themeColor="text1"/>
          <w:sz w:val="22"/>
          <w:szCs w:val="22"/>
          <w:vertAlign w:val="superscript"/>
        </w:rPr>
        <w:footnoteReference w:id="48"/>
      </w:r>
      <w:r w:rsidRPr="00AE03A6">
        <w:rPr>
          <w:rFonts w:asciiTheme="majorBidi" w:hAnsiTheme="majorBidi" w:cstheme="majorBidi"/>
          <w:color w:val="000000" w:themeColor="text1"/>
          <w:sz w:val="22"/>
          <w:szCs w:val="22"/>
          <w:lang w:val="en-US"/>
        </w:rPr>
        <w:t xml:space="preserve">, was amended and supplemented, as was Organic Act No. 64.14, on the right to submit motions to the legislature. </w:t>
      </w:r>
      <w:r w:rsidR="00876F12" w:rsidRPr="00AE03A6">
        <w:rPr>
          <w:rFonts w:asciiTheme="majorBidi" w:hAnsiTheme="majorBidi" w:cstheme="majorBidi"/>
          <w:color w:val="000000" w:themeColor="text1"/>
          <w:sz w:val="22"/>
          <w:szCs w:val="22"/>
          <w:lang w:val="en-US"/>
        </w:rPr>
        <w:t>T</w:t>
      </w:r>
      <w:r w:rsidRPr="00AE03A6">
        <w:rPr>
          <w:rFonts w:asciiTheme="majorBidi" w:hAnsiTheme="majorBidi" w:cstheme="majorBidi"/>
          <w:color w:val="000000" w:themeColor="text1"/>
          <w:sz w:val="22"/>
          <w:szCs w:val="22"/>
          <w:lang w:val="en-US"/>
        </w:rPr>
        <w:t>he aim is to simplify the conditions and modalities for the exercise of these rights and to strengthen these rights by allowing citizens to use online tools to submit petitions and motions</w:t>
      </w:r>
      <w:r w:rsidRPr="00AE03A6">
        <w:rPr>
          <w:rFonts w:asciiTheme="majorBidi" w:hAnsiTheme="majorBidi" w:cstheme="majorBidi"/>
          <w:color w:val="000000" w:themeColor="text1"/>
          <w:sz w:val="22"/>
          <w:szCs w:val="22"/>
          <w:vertAlign w:val="superscript"/>
        </w:rPr>
        <w:footnoteReference w:id="49"/>
      </w:r>
      <w:r w:rsidRPr="00AE03A6">
        <w:rPr>
          <w:rFonts w:asciiTheme="majorBidi" w:hAnsiTheme="majorBidi" w:cstheme="majorBidi"/>
          <w:color w:val="000000" w:themeColor="text1"/>
          <w:sz w:val="22"/>
          <w:szCs w:val="22"/>
          <w:lang w:val="en-US"/>
        </w:rPr>
        <w:t xml:space="preserve">. </w:t>
      </w:r>
    </w:p>
    <w:p w14:paraId="7B4B86B9" w14:textId="7C362E39" w:rsidR="00A948D7" w:rsidRPr="00AE03A6" w:rsidRDefault="00A948D7" w:rsidP="00A948D7">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However, issues occasionally arise concerning the issuance of receipts when associations submit their founding documents. During the last five years, the CNDH received reports that a dozen of associations was denied their right to register. Legal remedies are available to associations through the administrative courts, who ruled in favor of associations in several instances.</w:t>
      </w:r>
    </w:p>
    <w:p w14:paraId="331C5EB0" w14:textId="57D6FBF3" w:rsidR="00A948D7" w:rsidRPr="00AE03A6" w:rsidRDefault="00A948D7" w:rsidP="008439C3">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Human and financial resources of associations also remain fragile. This is partly attributed to the lack of capacity to comply with the requirements of donors. In March 2016, the government launched an electronic portal to provide associations with information on various possibilities of public funding. The </w:t>
      </w:r>
      <w:r w:rsidR="008439C3" w:rsidRPr="00AE03A6">
        <w:rPr>
          <w:rFonts w:asciiTheme="majorBidi" w:hAnsiTheme="majorBidi" w:cstheme="majorBidi"/>
          <w:color w:val="000000" w:themeColor="text1"/>
          <w:sz w:val="22"/>
          <w:szCs w:val="22"/>
          <w:lang w:val="en-US"/>
        </w:rPr>
        <w:t>government has</w:t>
      </w:r>
      <w:r w:rsidRPr="00AE03A6">
        <w:rPr>
          <w:rFonts w:asciiTheme="majorBidi" w:hAnsiTheme="majorBidi" w:cstheme="majorBidi"/>
          <w:color w:val="000000" w:themeColor="text1"/>
          <w:sz w:val="22"/>
          <w:szCs w:val="22"/>
          <w:lang w:val="en-US"/>
        </w:rPr>
        <w:t xml:space="preserve"> support</w:t>
      </w:r>
      <w:r w:rsidR="008439C3" w:rsidRPr="00AE03A6">
        <w:rPr>
          <w:rFonts w:asciiTheme="majorBidi" w:hAnsiTheme="majorBidi" w:cstheme="majorBidi"/>
          <w:color w:val="000000" w:themeColor="text1"/>
          <w:sz w:val="22"/>
          <w:szCs w:val="22"/>
          <w:lang w:val="en-US"/>
        </w:rPr>
        <w:t>ed</w:t>
      </w:r>
      <w:r w:rsidRPr="00AE03A6">
        <w:rPr>
          <w:rFonts w:asciiTheme="majorBidi" w:hAnsiTheme="majorBidi" w:cstheme="majorBidi"/>
          <w:color w:val="000000" w:themeColor="text1"/>
          <w:sz w:val="22"/>
          <w:szCs w:val="22"/>
          <w:lang w:val="en-US"/>
        </w:rPr>
        <w:t xml:space="preserve"> the role played by civil society associations through the partnerships that it establishes with them. In 2018, it provided 3.6 billion dirhams in financial support to 22,544 associations.</w:t>
      </w:r>
    </w:p>
    <w:p w14:paraId="66665636" w14:textId="77777777" w:rsidR="00115EF6" w:rsidRPr="00AE03A6" w:rsidRDefault="00A75594" w:rsidP="00115EF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Since 1958, the right to peaceful assembly has been subject to notification rather than authorization, and any restriction on this freedom can only occur in the case of non-compliance with notification formalities or if the authorities believe it may disturb public security. In 2023, more than 11,000 demonstrations were organized in public space, indicating a growing awareness among citizens of their rights. However, the majority of these demonstrations occur spontaneously in practice, often without prior notification to the authorities, largely because the demonstrators are unaware of the legal requirements in this regard. </w:t>
      </w:r>
    </w:p>
    <w:p w14:paraId="7F0653A5" w14:textId="2F5778D2" w:rsidR="00115EF6" w:rsidRPr="00AE03A6" w:rsidRDefault="00A75594" w:rsidP="00A948D7">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These demonstrations </w:t>
      </w:r>
      <w:r w:rsidR="00CC0F96" w:rsidRPr="00AE03A6">
        <w:rPr>
          <w:rFonts w:asciiTheme="majorBidi" w:hAnsiTheme="majorBidi" w:cstheme="majorBidi"/>
          <w:color w:val="000000" w:themeColor="text1"/>
          <w:sz w:val="22"/>
          <w:szCs w:val="22"/>
          <w:lang w:val="en-US"/>
        </w:rPr>
        <w:t xml:space="preserve">monitored by the CNDH </w:t>
      </w:r>
      <w:r w:rsidRPr="00AE03A6">
        <w:rPr>
          <w:rFonts w:asciiTheme="majorBidi" w:hAnsiTheme="majorBidi" w:cstheme="majorBidi"/>
          <w:color w:val="000000" w:themeColor="text1"/>
          <w:sz w:val="22"/>
          <w:szCs w:val="22"/>
          <w:lang w:val="en-US"/>
        </w:rPr>
        <w:t xml:space="preserve">have taken place peacefully, with some cases where the CNDH noted an excessive or disproportionate use of force to disperse unauthorized peaceful gatherings, despite a circular issued by the Minister of Justice and Liberties in October 2015, specifying that intervention by order keeping forces is justified only in the case of an armed gathering and/or one likely to disturb public order. The CNDH further recommended that the right to demonstrate should not be subject to restrictions other than those authorized by the Constitution and international law, including the ICCPR. </w:t>
      </w:r>
      <w:r w:rsidR="00A948D7" w:rsidRPr="00AE03A6">
        <w:rPr>
          <w:rFonts w:asciiTheme="majorBidi" w:hAnsiTheme="majorBidi" w:cstheme="majorBidi"/>
          <w:color w:val="000000" w:themeColor="text1"/>
          <w:sz w:val="22"/>
          <w:szCs w:val="22"/>
          <w:lang w:val="en-US"/>
        </w:rPr>
        <w:t>The use of force by law enforcement officials during the management of public assemblies should be subject to effective oversight by the Public Prosecution.</w:t>
      </w:r>
    </w:p>
    <w:p w14:paraId="62DDFA00" w14:textId="41B8A598" w:rsidR="00962E6D" w:rsidRPr="00AE03A6" w:rsidRDefault="00F23E65" w:rsidP="008439C3">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themeColor="text1"/>
          <w:sz w:val="22"/>
          <w:szCs w:val="22"/>
          <w:lang w:val="en-US"/>
        </w:rPr>
        <w:t>The CNDH notes a significant development in peaceful protests in Morocco, particularly due to the growing use of social media as a space for expression and mobilization. However, it observes that the legal framework governing public assemblies has not kept pace with this evolving dynamic. The CNDH has reiterated in its various annual reports the need to revise these legal provisions so that they impose only those restrictions permitted by the Constitution, the law, and Morocco’s international commitments</w:t>
      </w:r>
      <w:r w:rsidR="00962E6D" w:rsidRPr="00AE03A6">
        <w:rPr>
          <w:rFonts w:asciiTheme="majorBidi" w:hAnsiTheme="majorBidi" w:cstheme="majorBidi"/>
          <w:color w:val="000000" w:themeColor="text1"/>
          <w:sz w:val="22"/>
          <w:szCs w:val="22"/>
          <w:lang w:val="en-US"/>
        </w:rPr>
        <w:t xml:space="preserve">, </w:t>
      </w:r>
      <w:r w:rsidRPr="00AE03A6">
        <w:rPr>
          <w:rFonts w:asciiTheme="majorBidi" w:hAnsiTheme="majorBidi" w:cstheme="majorBidi"/>
          <w:color w:val="000000" w:themeColor="text1"/>
          <w:sz w:val="22"/>
          <w:szCs w:val="22"/>
          <w:lang w:val="en-US"/>
        </w:rPr>
        <w:t xml:space="preserve">particularly the </w:t>
      </w:r>
      <w:r w:rsidR="008439C3" w:rsidRPr="00AE03A6">
        <w:rPr>
          <w:rFonts w:asciiTheme="majorBidi" w:hAnsiTheme="majorBidi" w:cstheme="majorBidi"/>
          <w:color w:val="000000" w:themeColor="text1"/>
          <w:sz w:val="22"/>
          <w:szCs w:val="22"/>
          <w:lang w:val="en-US"/>
        </w:rPr>
        <w:t>ICCPR</w:t>
      </w:r>
      <w:r w:rsidRPr="00AE03A6">
        <w:rPr>
          <w:rFonts w:asciiTheme="majorBidi" w:hAnsiTheme="majorBidi" w:cstheme="majorBidi"/>
          <w:color w:val="000000" w:themeColor="text1"/>
          <w:sz w:val="22"/>
          <w:szCs w:val="22"/>
          <w:lang w:val="en-US"/>
        </w:rPr>
        <w:t xml:space="preserve"> and General Comment No. 37 of the Human Rights Committee, which extends protection to online assemblies. </w:t>
      </w:r>
    </w:p>
    <w:p w14:paraId="78CCC2B0" w14:textId="5AFA880C" w:rsidR="00962E6D" w:rsidRPr="00AE03A6" w:rsidRDefault="00A948D7" w:rsidP="001756A1">
      <w:pPr>
        <w:pBdr>
          <w:top w:val="nil"/>
          <w:left w:val="nil"/>
          <w:bottom w:val="nil"/>
          <w:right w:val="nil"/>
          <w:between w:val="nil"/>
        </w:pBdr>
        <w:shd w:val="clear" w:color="auto" w:fill="D0CECE" w:themeFill="background2" w:themeFillShade="E6"/>
        <w:spacing w:before="200" w:after="120"/>
        <w:ind w:left="425"/>
        <w:jc w:val="both"/>
        <w:outlineLvl w:val="0"/>
        <w:rPr>
          <w:rFonts w:asciiTheme="majorBidi" w:hAnsiTheme="majorBidi" w:cstheme="majorBidi"/>
          <w:b/>
          <w:bCs/>
          <w:i/>
          <w:iCs/>
          <w:sz w:val="22"/>
          <w:szCs w:val="22"/>
          <w:lang w:val="en-US"/>
        </w:rPr>
      </w:pPr>
      <w:r w:rsidRPr="00AE03A6">
        <w:rPr>
          <w:rFonts w:asciiTheme="majorBidi" w:hAnsiTheme="majorBidi" w:cstheme="majorBidi"/>
          <w:b/>
          <w:bCs/>
          <w:i/>
          <w:iCs/>
          <w:sz w:val="22"/>
          <w:szCs w:val="22"/>
          <w:lang w:val="en-US"/>
        </w:rPr>
        <w:t>Issue 13</w:t>
      </w:r>
      <w:r w:rsidR="00962E6D" w:rsidRPr="00AE03A6">
        <w:rPr>
          <w:rFonts w:asciiTheme="majorBidi" w:hAnsiTheme="majorBidi" w:cstheme="majorBidi"/>
          <w:b/>
          <w:bCs/>
          <w:i/>
          <w:iCs/>
          <w:sz w:val="22"/>
          <w:szCs w:val="22"/>
          <w:lang w:val="en-US"/>
        </w:rPr>
        <w:t xml:space="preserve">: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3C8FFC84" w14:textId="115F08CF" w:rsidR="003C6BF9" w:rsidRPr="00AE03A6" w:rsidRDefault="00A948D7" w:rsidP="001756A1">
      <w:pPr>
        <w:pBdr>
          <w:top w:val="nil"/>
          <w:left w:val="nil"/>
          <w:bottom w:val="nil"/>
          <w:right w:val="nil"/>
          <w:between w:val="nil"/>
        </w:pBdr>
        <w:shd w:val="clear" w:color="auto" w:fill="D0CECE" w:themeFill="background2" w:themeFillShade="E6"/>
        <w:spacing w:before="200" w:after="120"/>
        <w:ind w:left="425"/>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 xml:space="preserve">What measures has the State party taken to review and amend the legal framework governing freedom of association and peaceful assembly to ensure its full alignment with the provisions of the </w:t>
      </w:r>
      <w:r w:rsidR="00CC0F96" w:rsidRPr="00AE03A6">
        <w:rPr>
          <w:rFonts w:asciiTheme="majorBidi" w:hAnsiTheme="majorBidi" w:cstheme="majorBidi"/>
          <w:i/>
          <w:iCs/>
          <w:sz w:val="22"/>
          <w:szCs w:val="22"/>
          <w:lang w:val="en-US"/>
        </w:rPr>
        <w:t>ICCPR</w:t>
      </w:r>
      <w:r w:rsidRPr="00AE03A6">
        <w:rPr>
          <w:rFonts w:asciiTheme="majorBidi" w:hAnsiTheme="majorBidi" w:cstheme="majorBidi"/>
          <w:i/>
          <w:iCs/>
          <w:sz w:val="22"/>
          <w:szCs w:val="22"/>
          <w:lang w:val="en-US"/>
        </w:rPr>
        <w:t>? In particular, how is the State addressing legal and administrative obstacles that may unduly restrict the formation, registration, and functioning of associations, as well as the organization of peaceful assemblies?</w:t>
      </w:r>
    </w:p>
    <w:p w14:paraId="087B46B9" w14:textId="2C8568CB" w:rsidR="00302B27" w:rsidRPr="00AE03A6" w:rsidRDefault="00302B27" w:rsidP="00115EF6">
      <w:pPr>
        <w:pStyle w:val="Paragraphedeliste"/>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120"/>
        <w:ind w:left="714" w:hanging="357"/>
        <w:jc w:val="both"/>
        <w:rPr>
          <w:rFonts w:asciiTheme="majorBidi" w:hAnsiTheme="majorBidi" w:cstheme="majorBidi"/>
          <w:b/>
          <w:bCs/>
          <w:lang w:val="en-US"/>
        </w:rPr>
      </w:pPr>
      <w:r w:rsidRPr="00AE03A6">
        <w:rPr>
          <w:rFonts w:asciiTheme="majorBidi" w:hAnsiTheme="majorBidi" w:cstheme="majorBidi"/>
          <w:b/>
          <w:bCs/>
          <w:lang w:val="en-US"/>
        </w:rPr>
        <w:lastRenderedPageBreak/>
        <w:t>Rights related to the family and children</w:t>
      </w:r>
      <w:r w:rsidR="00686908" w:rsidRPr="00AE03A6">
        <w:rPr>
          <w:rFonts w:asciiTheme="majorBidi" w:hAnsiTheme="majorBidi" w:cstheme="majorBidi"/>
          <w:b/>
          <w:bCs/>
          <w:lang w:val="en-US"/>
        </w:rPr>
        <w:t>, as well as political participation</w:t>
      </w:r>
      <w:r w:rsidRPr="00AE03A6">
        <w:rPr>
          <w:rFonts w:asciiTheme="majorBidi" w:hAnsiTheme="majorBidi" w:cstheme="majorBidi"/>
          <w:b/>
          <w:bCs/>
          <w:lang w:val="en-US"/>
        </w:rPr>
        <w:t xml:space="preserve"> (arts. 23–24</w:t>
      </w:r>
      <w:r w:rsidR="00686908" w:rsidRPr="00AE03A6">
        <w:rPr>
          <w:rFonts w:asciiTheme="majorBidi" w:hAnsiTheme="majorBidi" w:cstheme="majorBidi"/>
          <w:b/>
          <w:bCs/>
          <w:lang w:val="en-US"/>
        </w:rPr>
        <w:t>-25</w:t>
      </w:r>
      <w:r w:rsidR="008E41AE" w:rsidRPr="00AE03A6">
        <w:rPr>
          <w:rFonts w:asciiTheme="majorBidi" w:hAnsiTheme="majorBidi" w:cstheme="majorBidi"/>
          <w:b/>
          <w:bCs/>
          <w:lang w:val="en-US"/>
        </w:rPr>
        <w:t>)</w:t>
      </w:r>
    </w:p>
    <w:p w14:paraId="70D268C9" w14:textId="77777777" w:rsidR="00846FE5" w:rsidRPr="00AE03A6" w:rsidRDefault="008B6431" w:rsidP="00846FE5">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Moroccan Constitution provides that the State has legal, judicial, social, and economic responsibilities to protect the family. The CNDH firmly believes that family rights cannot be fully realized unless all family members, regardless of their status, enjoy their rights and freedoms. The CNDH noted with satisfaction Morocco’s commitment to advance family rights, as shown by the ongoing reform of the family law, the second of its kind after the one undertaken 20 years ago. </w:t>
      </w:r>
    </w:p>
    <w:p w14:paraId="79C0FB96" w14:textId="10108B7C" w:rsidR="00846FE5" w:rsidRPr="00AE03A6" w:rsidRDefault="00846FE5" w:rsidP="00846FE5">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On September 25, 2023, His Majesty King Mohammed VI sent a letter to the Chief of the Government to review the Family Code. A family law review commission was set up, composed of the Ministry of Justice, Ministry of Solidarity, Social Inclusion and Family, Supreme Council of the Judicial Authority and Presidency of the Public Prosecution, Supreme Council of Muslim Scholars and National Human Rights Council. This commission led a nationwide consultation with all relevant stakeholders, including civil society and human rights defenders. On December 20, 2023, the CNDH submitted its memorandum</w:t>
      </w:r>
      <w:r w:rsidRPr="00AE03A6">
        <w:rPr>
          <w:rStyle w:val="Appelnotedebasdep"/>
          <w:rFonts w:asciiTheme="majorBidi" w:hAnsiTheme="majorBidi" w:cstheme="majorBidi"/>
          <w:color w:val="000000" w:themeColor="text1"/>
          <w:sz w:val="22"/>
          <w:szCs w:val="22"/>
          <w:lang w:val="en-US"/>
        </w:rPr>
        <w:footnoteReference w:id="50"/>
      </w:r>
      <w:r w:rsidRPr="00AE03A6">
        <w:rPr>
          <w:rFonts w:asciiTheme="majorBidi" w:hAnsiTheme="majorBidi" w:cstheme="majorBidi"/>
          <w:color w:val="000000" w:themeColor="text1"/>
          <w:sz w:val="22"/>
          <w:szCs w:val="22"/>
          <w:lang w:val="en-US"/>
        </w:rPr>
        <w:t xml:space="preserve"> on the Family Law review, which included its proposals towards an effectiveness of equality and non-discrimination, respect for the best interest of the child, and the principle of expanding the will of the parties in regulating family relations.</w:t>
      </w:r>
      <w:r w:rsidR="003A5E40" w:rsidRPr="00AE03A6">
        <w:rPr>
          <w:rFonts w:asciiTheme="majorBidi" w:hAnsiTheme="majorBidi" w:cstheme="majorBidi"/>
          <w:color w:val="000000" w:themeColor="text1"/>
          <w:sz w:val="22"/>
          <w:szCs w:val="22"/>
          <w:lang w:val="en-US"/>
        </w:rPr>
        <w:t xml:space="preserve"> The CNDH has been closely following up on developments regarding the amendment of the family code. </w:t>
      </w:r>
    </w:p>
    <w:p w14:paraId="02F787C9" w14:textId="542E99DE" w:rsidR="00B92F2A" w:rsidRPr="00AE03A6" w:rsidRDefault="00B92F2A" w:rsidP="00B92F2A">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 xml:space="preserve">The CNDH also continued to monitor the phenomenon of child marriage. Official statistics confirmed a decrease in the number of marriage contracts for minors registered in courts, from 33,489 contracts in 2014 to 8452 contracts in 2023. However, serious concerns persist that these marriages take other ambiguous forms, such as </w:t>
      </w:r>
      <w:r w:rsidRPr="00AE03A6">
        <w:rPr>
          <w:rFonts w:asciiTheme="majorBidi" w:hAnsiTheme="majorBidi" w:cstheme="majorBidi"/>
          <w:i/>
          <w:color w:val="000000"/>
          <w:sz w:val="22"/>
          <w:szCs w:val="22"/>
          <w:lang w:val="en-US"/>
        </w:rPr>
        <w:t>Al-Fatiha</w:t>
      </w:r>
      <w:r w:rsidRPr="00AE03A6">
        <w:rPr>
          <w:rFonts w:asciiTheme="majorBidi" w:hAnsiTheme="majorBidi" w:cstheme="majorBidi"/>
          <w:color w:val="000000"/>
          <w:sz w:val="22"/>
          <w:szCs w:val="22"/>
          <w:lang w:val="en-US"/>
        </w:rPr>
        <w:t xml:space="preserve"> marriage</w:t>
      </w:r>
      <w:r w:rsidRPr="00AE03A6">
        <w:rPr>
          <w:rStyle w:val="Appelnotedebasdep"/>
          <w:rFonts w:asciiTheme="majorBidi" w:hAnsiTheme="majorBidi" w:cstheme="majorBidi"/>
          <w:color w:val="000000"/>
          <w:sz w:val="22"/>
          <w:szCs w:val="22"/>
          <w:lang w:val="en-US"/>
        </w:rPr>
        <w:footnoteReference w:id="51"/>
      </w:r>
      <w:r w:rsidRPr="00AE03A6">
        <w:rPr>
          <w:rFonts w:asciiTheme="majorBidi" w:hAnsiTheme="majorBidi" w:cstheme="majorBidi"/>
          <w:color w:val="000000"/>
          <w:sz w:val="22"/>
          <w:szCs w:val="22"/>
          <w:lang w:val="en-US"/>
        </w:rPr>
        <w:t>, which constitutes legal violence</w:t>
      </w:r>
      <w:r w:rsidR="003D52A6" w:rsidRPr="00AE03A6">
        <w:rPr>
          <w:rFonts w:asciiTheme="majorBidi" w:hAnsiTheme="majorBidi" w:cstheme="majorBidi"/>
          <w:color w:val="000000"/>
          <w:sz w:val="22"/>
          <w:szCs w:val="22"/>
          <w:lang w:val="en-US"/>
        </w:rPr>
        <w:t>, especially</w:t>
      </w:r>
      <w:r w:rsidRPr="00AE03A6">
        <w:rPr>
          <w:rFonts w:asciiTheme="majorBidi" w:hAnsiTheme="majorBidi" w:cstheme="majorBidi"/>
          <w:color w:val="000000"/>
          <w:sz w:val="22"/>
          <w:szCs w:val="22"/>
          <w:lang w:val="en-US"/>
        </w:rPr>
        <w:t xml:space="preserve"> against girls. The Family Law reform should be an opportunity to end child marriage.</w:t>
      </w:r>
    </w:p>
    <w:p w14:paraId="1AD1AB79" w14:textId="57C39991" w:rsidR="00B06399" w:rsidRPr="00AE03A6" w:rsidRDefault="00B06399" w:rsidP="00B06399">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sz w:val="22"/>
          <w:szCs w:val="22"/>
          <w:lang w:val="en-US"/>
        </w:rPr>
      </w:pPr>
      <w:r w:rsidRPr="00AE03A6">
        <w:rPr>
          <w:rFonts w:asciiTheme="majorBidi" w:hAnsiTheme="majorBidi" w:cstheme="majorBidi"/>
          <w:color w:val="000000"/>
          <w:sz w:val="22"/>
          <w:szCs w:val="22"/>
          <w:lang w:val="en-US"/>
        </w:rPr>
        <w:t xml:space="preserve">In 2019, the CNDH has launched a national campaign </w:t>
      </w:r>
      <w:r w:rsidR="00AE03A6">
        <w:rPr>
          <w:rFonts w:asciiTheme="majorBidi" w:hAnsiTheme="majorBidi" w:cstheme="majorBidi"/>
          <w:color w:val="000000"/>
          <w:sz w:val="22"/>
          <w:szCs w:val="22"/>
          <w:lang w:val="en-US"/>
        </w:rPr>
        <w:t>en</w:t>
      </w:r>
      <w:r w:rsidRPr="00AE03A6">
        <w:rPr>
          <w:rFonts w:asciiTheme="majorBidi" w:hAnsiTheme="majorBidi" w:cstheme="majorBidi"/>
          <w:color w:val="000000"/>
          <w:sz w:val="22"/>
          <w:szCs w:val="22"/>
          <w:lang w:val="en-US"/>
        </w:rPr>
        <w:t>titled “Marriage of Minor Girls: Abolish the Exception… Restore the Norm”, aimed at addressing the growing concern of child marriage. The campaign calls for the review of Article 20 of the Family Code, which allows judges to authorize child marriages under exceptional circumstances. An exception that, in practice, has become alarmingly common. This initiative seeks to reaffirm the legal marriage age of 18 as the standard. From March 6</w:t>
      </w:r>
      <w:r w:rsidR="00CC0F96" w:rsidRPr="00AE03A6">
        <w:rPr>
          <w:rFonts w:asciiTheme="majorBidi" w:hAnsiTheme="majorBidi" w:cstheme="majorBidi"/>
          <w:color w:val="000000"/>
          <w:sz w:val="22"/>
          <w:szCs w:val="22"/>
          <w:lang w:val="en-US"/>
        </w:rPr>
        <w:t>-</w:t>
      </w:r>
      <w:r w:rsidRPr="00AE03A6">
        <w:rPr>
          <w:rFonts w:asciiTheme="majorBidi" w:hAnsiTheme="majorBidi" w:cstheme="majorBidi"/>
          <w:color w:val="000000"/>
          <w:sz w:val="22"/>
          <w:szCs w:val="22"/>
          <w:lang w:val="en-US"/>
        </w:rPr>
        <w:t>16, 2019, the CNDH</w:t>
      </w:r>
      <w:r w:rsidR="00CF1C06" w:rsidRPr="00AE03A6">
        <w:rPr>
          <w:rFonts w:asciiTheme="majorBidi" w:hAnsiTheme="majorBidi" w:cstheme="majorBidi"/>
          <w:color w:val="000000"/>
          <w:sz w:val="22"/>
          <w:szCs w:val="22"/>
          <w:lang w:val="en-US"/>
        </w:rPr>
        <w:t>’</w:t>
      </w:r>
      <w:r w:rsidRPr="00AE03A6">
        <w:rPr>
          <w:rFonts w:asciiTheme="majorBidi" w:hAnsiTheme="majorBidi" w:cstheme="majorBidi"/>
          <w:color w:val="000000"/>
          <w:sz w:val="22"/>
          <w:szCs w:val="22"/>
          <w:lang w:val="en-US"/>
        </w:rPr>
        <w:t>s Regional Commissions hosted approximately 30 events to raise awareness, engage stakeholders, and share testimonies of affected individuals.</w:t>
      </w:r>
    </w:p>
    <w:p w14:paraId="368A51DB" w14:textId="7429E82B" w:rsidR="00B92F2A" w:rsidRPr="00AE03A6" w:rsidRDefault="008C6B91" w:rsidP="00B92F2A">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 xml:space="preserve">The CNDH encouraged the State to implement recommendations </w:t>
      </w:r>
      <w:r w:rsidR="00B92F2A" w:rsidRPr="00AE03A6">
        <w:rPr>
          <w:rFonts w:asciiTheme="majorBidi" w:hAnsiTheme="majorBidi" w:cstheme="majorBidi"/>
          <w:color w:val="000000" w:themeColor="text1"/>
          <w:sz w:val="22"/>
          <w:szCs w:val="22"/>
          <w:lang w:val="en-US"/>
        </w:rPr>
        <w:t xml:space="preserve">to </w:t>
      </w:r>
      <w:r w:rsidRPr="00AE03A6">
        <w:rPr>
          <w:rFonts w:asciiTheme="majorBidi" w:hAnsiTheme="majorBidi" w:cstheme="majorBidi"/>
          <w:color w:val="000000" w:themeColor="text1"/>
          <w:sz w:val="22"/>
          <w:szCs w:val="22"/>
          <w:lang w:val="en-US"/>
        </w:rPr>
        <w:t>criminaliz</w:t>
      </w:r>
      <w:r w:rsidR="00B92F2A" w:rsidRPr="00AE03A6">
        <w:rPr>
          <w:rFonts w:asciiTheme="majorBidi" w:hAnsiTheme="majorBidi" w:cstheme="majorBidi"/>
          <w:color w:val="000000" w:themeColor="text1"/>
          <w:sz w:val="22"/>
          <w:szCs w:val="22"/>
          <w:lang w:val="en-US"/>
        </w:rPr>
        <w:t xml:space="preserve">e </w:t>
      </w:r>
      <w:r w:rsidRPr="00AE03A6">
        <w:rPr>
          <w:rFonts w:asciiTheme="majorBidi" w:hAnsiTheme="majorBidi" w:cstheme="majorBidi"/>
          <w:color w:val="000000" w:themeColor="text1"/>
          <w:sz w:val="22"/>
          <w:szCs w:val="22"/>
          <w:lang w:val="en-US"/>
        </w:rPr>
        <w:t>marital rape</w:t>
      </w:r>
      <w:r w:rsidR="00B92F2A" w:rsidRPr="00AE03A6">
        <w:rPr>
          <w:rFonts w:asciiTheme="majorBidi" w:hAnsiTheme="majorBidi" w:cstheme="majorBidi"/>
          <w:color w:val="000000" w:themeColor="text1"/>
          <w:sz w:val="22"/>
          <w:szCs w:val="22"/>
          <w:lang w:val="en-US"/>
        </w:rPr>
        <w:t>,</w:t>
      </w:r>
      <w:r w:rsidRPr="00AE03A6">
        <w:rPr>
          <w:rFonts w:asciiTheme="majorBidi" w:hAnsiTheme="majorBidi" w:cstheme="majorBidi"/>
          <w:color w:val="000000" w:themeColor="text1"/>
          <w:sz w:val="22"/>
          <w:szCs w:val="22"/>
          <w:lang w:val="en-US"/>
        </w:rPr>
        <w:t xml:space="preserve"> repeal discriminatory provisions against women and girls in law and practice, ensur</w:t>
      </w:r>
      <w:r w:rsidR="00B92F2A" w:rsidRPr="00AE03A6">
        <w:rPr>
          <w:rFonts w:asciiTheme="majorBidi" w:hAnsiTheme="majorBidi" w:cstheme="majorBidi"/>
          <w:color w:val="000000" w:themeColor="text1"/>
          <w:sz w:val="22"/>
          <w:szCs w:val="22"/>
          <w:lang w:val="en-US"/>
        </w:rPr>
        <w:t>e</w:t>
      </w:r>
      <w:r w:rsidRPr="00AE03A6">
        <w:rPr>
          <w:rFonts w:asciiTheme="majorBidi" w:hAnsiTheme="majorBidi" w:cstheme="majorBidi"/>
          <w:color w:val="000000" w:themeColor="text1"/>
          <w:sz w:val="22"/>
          <w:szCs w:val="22"/>
          <w:lang w:val="en-US"/>
        </w:rPr>
        <w:t xml:space="preserve"> equality in matters of child custody, access to marital property, inheritance, and repeal all discriminatory provisions against single mothers and children born outside of marriage; and aboli</w:t>
      </w:r>
      <w:r w:rsidR="00B92F2A" w:rsidRPr="00AE03A6">
        <w:rPr>
          <w:rFonts w:asciiTheme="majorBidi" w:hAnsiTheme="majorBidi" w:cstheme="majorBidi"/>
          <w:color w:val="000000" w:themeColor="text1"/>
          <w:sz w:val="22"/>
          <w:szCs w:val="22"/>
          <w:lang w:val="en-US"/>
        </w:rPr>
        <w:t>sh</w:t>
      </w:r>
      <w:r w:rsidRPr="00AE03A6">
        <w:rPr>
          <w:rFonts w:asciiTheme="majorBidi" w:hAnsiTheme="majorBidi" w:cstheme="majorBidi"/>
          <w:color w:val="000000" w:themeColor="text1"/>
          <w:sz w:val="22"/>
          <w:szCs w:val="22"/>
          <w:lang w:val="en-US"/>
        </w:rPr>
        <w:t xml:space="preserve"> child marriage.</w:t>
      </w:r>
    </w:p>
    <w:p w14:paraId="1C23D132" w14:textId="77777777" w:rsidR="007058A0" w:rsidRPr="00AE03A6" w:rsidRDefault="00824FB7" w:rsidP="007058A0">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Regarding political participation, t</w:t>
      </w:r>
      <w:r w:rsidR="00686908" w:rsidRPr="00AE03A6">
        <w:rPr>
          <w:rFonts w:asciiTheme="majorBidi" w:hAnsiTheme="majorBidi" w:cstheme="majorBidi"/>
          <w:color w:val="000000" w:themeColor="text1"/>
          <w:sz w:val="22"/>
          <w:szCs w:val="22"/>
          <w:lang w:val="en-US"/>
        </w:rPr>
        <w:t>he CNDH holds a legal mandate to observe elections and chairs the Special Commission for the Accreditation of Election Observers, by virtue of Law 30-11 on the terms and conditions of the independent and impartial election observation. Thus, the CNDH coordinated the accreditation of more than 5,000 national and international observers from civil society organizations, national institutions and foreign delegations.</w:t>
      </w:r>
    </w:p>
    <w:p w14:paraId="55C8CCF9" w14:textId="20E4C79F" w:rsidR="003D52A6" w:rsidRPr="00AE03A6" w:rsidRDefault="00686908" w:rsidP="003D52A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The</w:t>
      </w:r>
      <w:r w:rsidR="003D52A6" w:rsidRPr="00AE03A6">
        <w:rPr>
          <w:rFonts w:asciiTheme="majorBidi" w:hAnsiTheme="majorBidi" w:cstheme="majorBidi"/>
          <w:color w:val="000000" w:themeColor="text1"/>
          <w:sz w:val="22"/>
          <w:szCs w:val="22"/>
          <w:lang w:val="en-US"/>
        </w:rPr>
        <w:t xml:space="preserve"> CNDH found that</w:t>
      </w:r>
      <w:r w:rsidRPr="00AE03A6">
        <w:rPr>
          <w:rFonts w:asciiTheme="majorBidi" w:hAnsiTheme="majorBidi" w:cstheme="majorBidi"/>
          <w:color w:val="000000" w:themeColor="text1"/>
          <w:sz w:val="22"/>
          <w:szCs w:val="22"/>
          <w:lang w:val="en-US"/>
        </w:rPr>
        <w:t xml:space="preserve"> 2021 elections</w:t>
      </w:r>
      <w:r w:rsidR="00824FB7" w:rsidRPr="00AE03A6">
        <w:rPr>
          <w:rFonts w:asciiTheme="majorBidi" w:hAnsiTheme="majorBidi" w:cstheme="majorBidi"/>
          <w:color w:val="000000" w:themeColor="text1"/>
          <w:sz w:val="22"/>
          <w:szCs w:val="22"/>
          <w:lang w:val="en-US"/>
        </w:rPr>
        <w:t xml:space="preserve"> took place in accordance with the procedures in force, and </w:t>
      </w:r>
      <w:r w:rsidR="003D52A6" w:rsidRPr="00AE03A6">
        <w:rPr>
          <w:rFonts w:asciiTheme="majorBidi" w:hAnsiTheme="majorBidi" w:cstheme="majorBidi"/>
          <w:color w:val="000000" w:themeColor="text1"/>
          <w:sz w:val="22"/>
          <w:szCs w:val="22"/>
          <w:lang w:val="en-US"/>
        </w:rPr>
        <w:t>its</w:t>
      </w:r>
      <w:r w:rsidR="00824FB7" w:rsidRPr="00AE03A6">
        <w:rPr>
          <w:rFonts w:asciiTheme="majorBidi" w:hAnsiTheme="majorBidi" w:cstheme="majorBidi"/>
          <w:color w:val="000000" w:themeColor="text1"/>
          <w:sz w:val="22"/>
          <w:szCs w:val="22"/>
          <w:lang w:val="en-US"/>
        </w:rPr>
        <w:t xml:space="preserve"> </w:t>
      </w:r>
      <w:r w:rsidR="00C16D62" w:rsidRPr="00AE03A6">
        <w:rPr>
          <w:rFonts w:asciiTheme="majorBidi" w:hAnsiTheme="majorBidi" w:cstheme="majorBidi"/>
          <w:color w:val="000000" w:themeColor="text1"/>
          <w:sz w:val="22"/>
          <w:szCs w:val="22"/>
          <w:lang w:val="en-US"/>
        </w:rPr>
        <w:t>findings</w:t>
      </w:r>
      <w:r w:rsidR="00824FB7" w:rsidRPr="00AE03A6">
        <w:rPr>
          <w:rFonts w:asciiTheme="majorBidi" w:hAnsiTheme="majorBidi" w:cstheme="majorBidi"/>
          <w:color w:val="000000" w:themeColor="text1"/>
          <w:sz w:val="22"/>
          <w:szCs w:val="22"/>
          <w:lang w:val="en-US"/>
        </w:rPr>
        <w:t xml:space="preserve"> </w:t>
      </w:r>
      <w:r w:rsidR="003D52A6" w:rsidRPr="00AE03A6">
        <w:rPr>
          <w:rFonts w:asciiTheme="majorBidi" w:hAnsiTheme="majorBidi" w:cstheme="majorBidi"/>
          <w:color w:val="000000" w:themeColor="text1"/>
          <w:sz w:val="22"/>
          <w:szCs w:val="22"/>
          <w:lang w:val="en-US"/>
        </w:rPr>
        <w:t>did</w:t>
      </w:r>
      <w:r w:rsidR="00824FB7" w:rsidRPr="00AE03A6">
        <w:rPr>
          <w:rFonts w:asciiTheme="majorBidi" w:hAnsiTheme="majorBidi" w:cstheme="majorBidi"/>
          <w:color w:val="000000" w:themeColor="text1"/>
          <w:sz w:val="22"/>
          <w:szCs w:val="22"/>
          <w:lang w:val="en-US"/>
        </w:rPr>
        <w:t xml:space="preserve"> not compromise, in general, the transparency indicators. Elections</w:t>
      </w:r>
      <w:r w:rsidRPr="00AE03A6">
        <w:rPr>
          <w:rFonts w:asciiTheme="majorBidi" w:hAnsiTheme="majorBidi" w:cstheme="majorBidi"/>
          <w:color w:val="000000" w:themeColor="text1"/>
          <w:sz w:val="22"/>
          <w:szCs w:val="22"/>
          <w:lang w:val="en-US"/>
        </w:rPr>
        <w:t xml:space="preserve"> were held in an exceptional context marked by deep societal changes and others resulting from the serious repercussions of the COVID-19 pandemic and their ensuing social and economic damages. </w:t>
      </w:r>
    </w:p>
    <w:p w14:paraId="66EA339C" w14:textId="77777777" w:rsidR="003D52A6" w:rsidRPr="00AE03A6" w:rsidRDefault="00824FB7" w:rsidP="003D52A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lastRenderedPageBreak/>
        <w:t>The legislative elections saw the participation of 31 political parties and bodies, which submitted a total of 1,704 lists, of which 1,472 local lists with 5,046 candidates, including 120 persons with disabilities.</w:t>
      </w:r>
    </w:p>
    <w:p w14:paraId="4732173F" w14:textId="03CAEC04" w:rsidR="00576A6A" w:rsidRPr="00AE03A6" w:rsidRDefault="00576A6A" w:rsidP="003D52A6">
      <w:pPr>
        <w:numPr>
          <w:ilvl w:val="0"/>
          <w:numId w:val="3"/>
        </w:numPr>
        <w:pBdr>
          <w:top w:val="nil"/>
          <w:left w:val="nil"/>
          <w:bottom w:val="nil"/>
          <w:right w:val="nil"/>
          <w:between w:val="nil"/>
        </w:pBdr>
        <w:spacing w:before="200" w:after="120"/>
        <w:ind w:left="425" w:hanging="425"/>
        <w:jc w:val="both"/>
        <w:rPr>
          <w:rFonts w:asciiTheme="majorBidi" w:hAnsiTheme="majorBidi" w:cstheme="majorBidi"/>
          <w:color w:val="000000" w:themeColor="text1"/>
          <w:sz w:val="22"/>
          <w:szCs w:val="22"/>
          <w:lang w:val="en-US"/>
        </w:rPr>
      </w:pPr>
      <w:r w:rsidRPr="00AE03A6">
        <w:rPr>
          <w:rFonts w:asciiTheme="majorBidi" w:hAnsiTheme="majorBidi" w:cstheme="majorBidi"/>
          <w:color w:val="000000" w:themeColor="text1"/>
          <w:sz w:val="22"/>
          <w:szCs w:val="22"/>
          <w:lang w:val="en-US"/>
        </w:rPr>
        <w:t>Concerning political participation of women, the CNDH made a gender-based observation of elections an</w:t>
      </w:r>
      <w:r w:rsidR="00846FE5" w:rsidRPr="00AE03A6">
        <w:rPr>
          <w:rFonts w:asciiTheme="majorBidi" w:hAnsiTheme="majorBidi" w:cstheme="majorBidi"/>
          <w:color w:val="000000" w:themeColor="text1"/>
          <w:sz w:val="22"/>
          <w:szCs w:val="22"/>
          <w:lang w:val="en-US"/>
        </w:rPr>
        <w:t>d published a relevant report</w:t>
      </w:r>
      <w:r w:rsidR="00846FE5" w:rsidRPr="00AE03A6">
        <w:rPr>
          <w:rStyle w:val="Appelnotedebasdep"/>
          <w:rFonts w:asciiTheme="majorBidi" w:hAnsiTheme="majorBidi" w:cstheme="majorBidi"/>
          <w:color w:val="000000" w:themeColor="text1"/>
          <w:sz w:val="22"/>
          <w:szCs w:val="22"/>
          <w:lang w:val="en-US"/>
        </w:rPr>
        <w:footnoteReference w:id="52"/>
      </w:r>
      <w:r w:rsidRPr="00AE03A6">
        <w:rPr>
          <w:rFonts w:asciiTheme="majorBidi" w:hAnsiTheme="majorBidi" w:cstheme="majorBidi"/>
          <w:color w:val="000000" w:themeColor="text1"/>
          <w:sz w:val="22"/>
          <w:szCs w:val="22"/>
          <w:lang w:val="en-US"/>
        </w:rPr>
        <w:t xml:space="preserve">. Legal developments regarding Communal, Regional and Legislative Elections of 2021 enhanced women’s political participation (allocation of regional lists to women in legislative elections, creation of lists for women and supplementary seats in communes where uninominal suffrage is applied). Statistical data also reflect the relative progress of women’s political participation. The percentage of women elected to the councils of territorial collectivities moved up from 21% in 2015 to 26% in 2021, while that of women representation in the House of Representatives increased from 20% in the legislative elections of 2016 to 24% in the legislative elections of 2021. However, this data confirms a persistent gap between legal developments and mindsets in society. This is evidenced by the weakness of women’s nominations outside the regional lists. </w:t>
      </w:r>
    </w:p>
    <w:p w14:paraId="73730909" w14:textId="7CDF0164" w:rsidR="00B92F2A" w:rsidRPr="00AE03A6" w:rsidRDefault="00B92F2A" w:rsidP="001756A1">
      <w:pPr>
        <w:pBdr>
          <w:top w:val="nil"/>
          <w:left w:val="nil"/>
          <w:bottom w:val="nil"/>
          <w:right w:val="nil"/>
          <w:between w:val="nil"/>
        </w:pBdr>
        <w:shd w:val="clear" w:color="auto" w:fill="D0CECE" w:themeFill="background2" w:themeFillShade="E6"/>
        <w:spacing w:before="200" w:after="120"/>
        <w:ind w:left="425"/>
        <w:jc w:val="both"/>
        <w:outlineLvl w:val="0"/>
        <w:rPr>
          <w:rFonts w:asciiTheme="majorBidi" w:hAnsiTheme="majorBidi" w:cstheme="majorBidi"/>
          <w:b/>
          <w:bCs/>
          <w:i/>
          <w:iCs/>
          <w:sz w:val="22"/>
          <w:szCs w:val="22"/>
          <w:lang w:val="en-US"/>
        </w:rPr>
      </w:pPr>
      <w:bookmarkStart w:id="0" w:name="_GoBack"/>
      <w:r w:rsidRPr="00AE03A6">
        <w:rPr>
          <w:rFonts w:asciiTheme="majorBidi" w:hAnsiTheme="majorBidi" w:cstheme="majorBidi"/>
          <w:b/>
          <w:bCs/>
          <w:i/>
          <w:iCs/>
          <w:sz w:val="22"/>
          <w:szCs w:val="22"/>
          <w:lang w:val="en-US"/>
        </w:rPr>
        <w:t xml:space="preserve">Issue 14: </w:t>
      </w:r>
      <w:r w:rsidR="003A4F35" w:rsidRPr="00AE03A6">
        <w:rPr>
          <w:rFonts w:asciiTheme="majorBidi" w:hAnsiTheme="majorBidi" w:cstheme="majorBidi"/>
          <w:b/>
          <w:bCs/>
          <w:i/>
          <w:iCs/>
          <w:color w:val="000000"/>
          <w:sz w:val="22"/>
          <w:szCs w:val="22"/>
          <w:lang w:val="en-US"/>
        </w:rPr>
        <w:t xml:space="preserve">The Committee may wish to </w:t>
      </w:r>
      <w:r w:rsidR="007B00A8" w:rsidRPr="00AE03A6">
        <w:rPr>
          <w:rFonts w:asciiTheme="majorBidi" w:hAnsiTheme="majorBidi" w:cstheme="majorBidi"/>
          <w:b/>
          <w:bCs/>
          <w:i/>
          <w:iCs/>
          <w:color w:val="000000"/>
          <w:sz w:val="22"/>
          <w:szCs w:val="22"/>
          <w:lang w:val="en-US"/>
        </w:rPr>
        <w:t xml:space="preserve">address the following question </w:t>
      </w:r>
      <w:r w:rsidR="003A4F35" w:rsidRPr="00AE03A6">
        <w:rPr>
          <w:rFonts w:asciiTheme="majorBidi" w:hAnsiTheme="majorBidi" w:cstheme="majorBidi"/>
          <w:b/>
          <w:bCs/>
          <w:i/>
          <w:iCs/>
          <w:color w:val="000000"/>
          <w:sz w:val="22"/>
          <w:szCs w:val="22"/>
          <w:lang w:val="en-US"/>
        </w:rPr>
        <w:t xml:space="preserve">to the State </w:t>
      </w:r>
      <w:proofErr w:type="gramStart"/>
      <w:r w:rsidR="003A4F35" w:rsidRPr="00AE03A6">
        <w:rPr>
          <w:rFonts w:asciiTheme="majorBidi" w:hAnsiTheme="majorBidi" w:cstheme="majorBidi"/>
          <w:b/>
          <w:bCs/>
          <w:i/>
          <w:iCs/>
          <w:color w:val="000000"/>
          <w:sz w:val="22"/>
          <w:szCs w:val="22"/>
          <w:lang w:val="en-US"/>
        </w:rPr>
        <w:t>party :</w:t>
      </w:r>
      <w:proofErr w:type="gramEnd"/>
    </w:p>
    <w:p w14:paraId="70B27D05" w14:textId="1E62DCDF" w:rsidR="00824FB7" w:rsidRPr="00AE03A6" w:rsidRDefault="00686908" w:rsidP="001756A1">
      <w:pPr>
        <w:pBdr>
          <w:top w:val="nil"/>
          <w:left w:val="nil"/>
          <w:bottom w:val="nil"/>
          <w:right w:val="nil"/>
          <w:between w:val="nil"/>
        </w:pBdr>
        <w:shd w:val="clear" w:color="auto" w:fill="D0CECE" w:themeFill="background2" w:themeFillShade="E6"/>
        <w:spacing w:before="200" w:after="120"/>
        <w:ind w:left="425"/>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 xml:space="preserve">Could the State party provide updated information on the status of </w:t>
      </w:r>
      <w:r w:rsidR="003D52A6" w:rsidRPr="00AE03A6">
        <w:rPr>
          <w:rFonts w:asciiTheme="majorBidi" w:hAnsiTheme="majorBidi" w:cstheme="majorBidi"/>
          <w:i/>
          <w:iCs/>
          <w:sz w:val="22"/>
          <w:szCs w:val="22"/>
          <w:lang w:val="en-US"/>
        </w:rPr>
        <w:t>reviewing</w:t>
      </w:r>
      <w:r w:rsidRPr="00AE03A6">
        <w:rPr>
          <w:rFonts w:asciiTheme="majorBidi" w:hAnsiTheme="majorBidi" w:cstheme="majorBidi"/>
          <w:i/>
          <w:iCs/>
          <w:sz w:val="22"/>
          <w:szCs w:val="22"/>
          <w:lang w:val="en-US"/>
        </w:rPr>
        <w:t xml:space="preserve"> the Family Code (Moudawana)? In particular, what measures are being considered to address persistent issues such as child marriage, the legal and social protection of single mothers and children born outside of marriage? How does the </w:t>
      </w:r>
      <w:r w:rsidR="003D52A6" w:rsidRPr="00AE03A6">
        <w:rPr>
          <w:rFonts w:asciiTheme="majorBidi" w:hAnsiTheme="majorBidi" w:cstheme="majorBidi"/>
          <w:i/>
          <w:iCs/>
          <w:sz w:val="22"/>
          <w:szCs w:val="22"/>
          <w:lang w:val="en-US"/>
        </w:rPr>
        <w:t>review</w:t>
      </w:r>
      <w:r w:rsidRPr="00AE03A6">
        <w:rPr>
          <w:rFonts w:asciiTheme="majorBidi" w:hAnsiTheme="majorBidi" w:cstheme="majorBidi"/>
          <w:i/>
          <w:iCs/>
          <w:sz w:val="22"/>
          <w:szCs w:val="22"/>
          <w:lang w:val="en-US"/>
        </w:rPr>
        <w:t xml:space="preserve"> align with the State party’s obligations under the Covenant, especially in relation to equality, non-discrimination, and the best interests of the child?</w:t>
      </w:r>
      <w:r w:rsidR="00824FB7" w:rsidRPr="00AE03A6">
        <w:rPr>
          <w:rFonts w:asciiTheme="majorBidi" w:hAnsiTheme="majorBidi" w:cstheme="majorBidi"/>
          <w:i/>
          <w:iCs/>
          <w:sz w:val="22"/>
          <w:szCs w:val="22"/>
          <w:lang w:val="en-US"/>
        </w:rPr>
        <w:t xml:space="preserve"> </w:t>
      </w:r>
    </w:p>
    <w:p w14:paraId="29EF1973" w14:textId="54203F73" w:rsidR="001F4591" w:rsidRPr="00C63626" w:rsidRDefault="00824FB7" w:rsidP="001756A1">
      <w:pPr>
        <w:pBdr>
          <w:top w:val="nil"/>
          <w:left w:val="nil"/>
          <w:bottom w:val="nil"/>
          <w:right w:val="nil"/>
          <w:between w:val="nil"/>
        </w:pBdr>
        <w:shd w:val="clear" w:color="auto" w:fill="D0CECE" w:themeFill="background2" w:themeFillShade="E6"/>
        <w:spacing w:before="200" w:after="120"/>
        <w:ind w:left="425"/>
        <w:jc w:val="both"/>
        <w:rPr>
          <w:rFonts w:asciiTheme="majorBidi" w:hAnsiTheme="majorBidi" w:cstheme="majorBidi"/>
          <w:i/>
          <w:iCs/>
          <w:sz w:val="22"/>
          <w:szCs w:val="22"/>
          <w:lang w:val="en-US"/>
        </w:rPr>
      </w:pPr>
      <w:r w:rsidRPr="00AE03A6">
        <w:rPr>
          <w:rFonts w:asciiTheme="majorBidi" w:hAnsiTheme="majorBidi" w:cstheme="majorBidi"/>
          <w:i/>
          <w:iCs/>
          <w:sz w:val="22"/>
          <w:szCs w:val="22"/>
          <w:lang w:val="en-US"/>
        </w:rPr>
        <w:t>What measures has the State party taken to promote inclusive political participation, particularly in the context of forthcoming elections? In particular, please provide information on steps adopted to ensure the effective participation of women and persons with disabilities in electoral processes, including as voters, candidates, and elected officials.</w:t>
      </w:r>
    </w:p>
    <w:bookmarkEnd w:id="0"/>
    <w:p w14:paraId="2BE973BF" w14:textId="4777A0EE" w:rsidR="00AD32D8" w:rsidRPr="00C63626" w:rsidRDefault="00AD32D8" w:rsidP="00824FB7">
      <w:pPr>
        <w:pBdr>
          <w:top w:val="nil"/>
          <w:left w:val="nil"/>
          <w:bottom w:val="nil"/>
          <w:right w:val="nil"/>
          <w:between w:val="nil"/>
        </w:pBdr>
        <w:spacing w:before="200" w:after="120"/>
        <w:jc w:val="both"/>
        <w:rPr>
          <w:rFonts w:asciiTheme="majorBidi" w:hAnsiTheme="majorBidi" w:cstheme="majorBidi"/>
          <w:color w:val="000000" w:themeColor="text1"/>
          <w:sz w:val="22"/>
          <w:szCs w:val="22"/>
          <w:lang w:val="en-US"/>
        </w:rPr>
      </w:pPr>
    </w:p>
    <w:p w14:paraId="322BBB12" w14:textId="77777777" w:rsidR="00ED63FE" w:rsidRPr="00C63626" w:rsidRDefault="00ED63FE" w:rsidP="002F310B">
      <w:pPr>
        <w:spacing w:before="200" w:after="120"/>
        <w:jc w:val="both"/>
        <w:rPr>
          <w:rFonts w:asciiTheme="majorBidi" w:hAnsiTheme="majorBidi" w:cstheme="majorBidi"/>
          <w:sz w:val="22"/>
          <w:szCs w:val="22"/>
          <w:lang w:val="en-US"/>
        </w:rPr>
      </w:pPr>
    </w:p>
    <w:p w14:paraId="52B46280" w14:textId="77777777" w:rsidR="003A22CD" w:rsidRPr="00C63626" w:rsidRDefault="003A22CD" w:rsidP="002F310B">
      <w:pPr>
        <w:spacing w:before="200" w:after="120"/>
        <w:jc w:val="both"/>
        <w:rPr>
          <w:rFonts w:asciiTheme="majorBidi" w:hAnsiTheme="majorBidi" w:cstheme="majorBidi"/>
          <w:sz w:val="22"/>
          <w:szCs w:val="22"/>
          <w:lang w:val="en-US"/>
        </w:rPr>
      </w:pPr>
    </w:p>
    <w:sectPr w:rsidR="003A22CD" w:rsidRPr="00C63626" w:rsidSect="005075FF">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60F2B" w14:textId="77777777" w:rsidR="00530F83" w:rsidRDefault="00530F83" w:rsidP="00BD5C7A">
      <w:r>
        <w:separator/>
      </w:r>
    </w:p>
  </w:endnote>
  <w:endnote w:type="continuationSeparator" w:id="0">
    <w:p w14:paraId="3C5C51D9" w14:textId="77777777" w:rsidR="00530F83" w:rsidRDefault="00530F83" w:rsidP="00BD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CDE3" w14:textId="77777777" w:rsidR="00B74722" w:rsidRDefault="00B74722">
    <w:pPr>
      <w:pStyle w:val="Pieddepage"/>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3D52A6">
      <w:rPr>
        <w:caps/>
        <w:noProof/>
        <w:color w:val="4472C4" w:themeColor="accent1"/>
      </w:rPr>
      <w:t>16</w:t>
    </w:r>
    <w:r>
      <w:rPr>
        <w:caps/>
        <w:color w:val="4472C4" w:themeColor="accent1"/>
      </w:rPr>
      <w:fldChar w:fldCharType="end"/>
    </w:r>
  </w:p>
  <w:p w14:paraId="04833417" w14:textId="77777777" w:rsidR="00B74722" w:rsidRDefault="00B7472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02681" w14:textId="77777777" w:rsidR="00530F83" w:rsidRDefault="00530F83" w:rsidP="00BD5C7A">
      <w:r>
        <w:separator/>
      </w:r>
    </w:p>
  </w:footnote>
  <w:footnote w:type="continuationSeparator" w:id="0">
    <w:p w14:paraId="2CC1D47A" w14:textId="77777777" w:rsidR="00530F83" w:rsidRDefault="00530F83" w:rsidP="00BD5C7A">
      <w:r>
        <w:continuationSeparator/>
      </w:r>
    </w:p>
  </w:footnote>
  <w:footnote w:id="1">
    <w:p w14:paraId="38563A30" w14:textId="77777777" w:rsidR="00B74722" w:rsidRPr="00C16D62" w:rsidRDefault="00B74722" w:rsidP="00473608">
      <w:pPr>
        <w:pBdr>
          <w:top w:val="nil"/>
          <w:left w:val="nil"/>
          <w:bottom w:val="nil"/>
          <w:right w:val="nil"/>
          <w:between w:val="nil"/>
        </w:pBdr>
        <w:rPr>
          <w:rFonts w:asciiTheme="majorBidi" w:hAnsiTheme="majorBidi" w:cstheme="majorBidi"/>
          <w:color w:val="000000"/>
          <w:sz w:val="16"/>
          <w:szCs w:val="16"/>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rPr>
        <w:t xml:space="preserve"> </w:t>
      </w:r>
      <w:hyperlink r:id="rId1">
        <w:r w:rsidRPr="00C16D62">
          <w:rPr>
            <w:rFonts w:asciiTheme="majorBidi" w:hAnsiTheme="majorBidi" w:cstheme="majorBidi"/>
            <w:color w:val="0563C1"/>
            <w:sz w:val="16"/>
            <w:szCs w:val="16"/>
            <w:u w:val="single"/>
          </w:rPr>
          <w:t>https://www.cndh.ma/an/rubriques/documentation/publications/annual-reports</w:t>
        </w:r>
      </w:hyperlink>
      <w:r w:rsidRPr="00C16D62">
        <w:rPr>
          <w:rFonts w:asciiTheme="majorBidi" w:hAnsiTheme="majorBidi" w:cstheme="majorBidi"/>
          <w:color w:val="000000"/>
          <w:sz w:val="16"/>
          <w:szCs w:val="16"/>
        </w:rPr>
        <w:t xml:space="preserve"> </w:t>
      </w:r>
    </w:p>
  </w:footnote>
  <w:footnote w:id="2">
    <w:p w14:paraId="5F032644" w14:textId="660C5F09" w:rsidR="00B74722" w:rsidRPr="00C16D62" w:rsidRDefault="00B74722" w:rsidP="002A32D3">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Details and number of visits for each year are available in the CNDH annual reports: </w:t>
      </w:r>
      <w:hyperlink r:id="rId2" w:history="1">
        <w:r w:rsidRPr="00C16D62">
          <w:rPr>
            <w:rStyle w:val="Lienhypertexte"/>
            <w:rFonts w:asciiTheme="majorBidi" w:hAnsiTheme="majorBidi" w:cstheme="majorBidi"/>
            <w:sz w:val="16"/>
            <w:szCs w:val="16"/>
          </w:rPr>
          <w:t>https://www.cndh.ma/en/library</w:t>
        </w:r>
      </w:hyperlink>
      <w:r w:rsidRPr="00C16D62">
        <w:rPr>
          <w:rFonts w:asciiTheme="majorBidi" w:hAnsiTheme="majorBidi" w:cstheme="majorBidi"/>
          <w:sz w:val="16"/>
          <w:szCs w:val="16"/>
        </w:rPr>
        <w:t xml:space="preserve"> </w:t>
      </w:r>
    </w:p>
  </w:footnote>
  <w:footnote w:id="3">
    <w:p w14:paraId="16DFEEF3" w14:textId="77777777" w:rsidR="00B74722" w:rsidRPr="00C16D62" w:rsidRDefault="00B74722" w:rsidP="00473608">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w:t>
      </w:r>
      <w:hyperlink r:id="rId3">
        <w:r w:rsidRPr="00C16D62">
          <w:rPr>
            <w:rFonts w:asciiTheme="majorBidi" w:hAnsiTheme="majorBidi" w:cstheme="majorBidi"/>
            <w:color w:val="0563C1"/>
            <w:sz w:val="16"/>
            <w:szCs w:val="16"/>
            <w:u w:val="single"/>
            <w:lang w:val="en-US"/>
          </w:rPr>
          <w:t>https://www.cndh.org.ma/ar/rubriques/ltwthyq/lsdrt/tqryr-snwy</w:t>
        </w:r>
      </w:hyperlink>
      <w:r w:rsidRPr="00C16D62">
        <w:rPr>
          <w:rFonts w:asciiTheme="majorBidi" w:hAnsiTheme="majorBidi" w:cstheme="majorBidi"/>
          <w:color w:val="000000"/>
          <w:sz w:val="16"/>
          <w:szCs w:val="16"/>
          <w:lang w:val="en-US"/>
        </w:rPr>
        <w:t xml:space="preserve"> </w:t>
      </w:r>
    </w:p>
  </w:footnote>
  <w:footnote w:id="4">
    <w:p w14:paraId="4FF7A6E0"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4" w:history="1">
        <w:r w:rsidRPr="00C16D62">
          <w:rPr>
            <w:rStyle w:val="Lienhypertexte"/>
            <w:rFonts w:asciiTheme="majorBidi" w:hAnsiTheme="majorBidi" w:cstheme="majorBidi"/>
            <w:sz w:val="16"/>
            <w:szCs w:val="16"/>
          </w:rPr>
          <w:t>https://treaties.un.org/Pages/showActionDetails.aspx?objid=08000002805e09f9&amp;clang=_en</w:t>
        </w:r>
      </w:hyperlink>
      <w:r w:rsidRPr="00C16D62">
        <w:rPr>
          <w:rFonts w:asciiTheme="majorBidi" w:hAnsiTheme="majorBidi" w:cstheme="majorBidi"/>
          <w:sz w:val="16"/>
          <w:szCs w:val="16"/>
        </w:rPr>
        <w:t xml:space="preserve"> </w:t>
      </w:r>
    </w:p>
  </w:footnote>
  <w:footnote w:id="5">
    <w:p w14:paraId="29772427" w14:textId="77777777" w:rsidR="00B74722" w:rsidRPr="00C16D62" w:rsidRDefault="00B74722" w:rsidP="00575C35">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5" w:history="1">
        <w:r w:rsidRPr="00C16D62">
          <w:rPr>
            <w:rStyle w:val="Lienhypertexte"/>
            <w:rFonts w:asciiTheme="majorBidi" w:hAnsiTheme="majorBidi" w:cstheme="majorBidi"/>
            <w:sz w:val="16"/>
            <w:szCs w:val="16"/>
          </w:rPr>
          <w:t>https://www.cndh.ma/en/moroccos-historic-vote-favour-universal-death-penalty-moratorium</w:t>
        </w:r>
      </w:hyperlink>
      <w:r w:rsidRPr="00C16D62">
        <w:rPr>
          <w:rFonts w:asciiTheme="majorBidi" w:hAnsiTheme="majorBidi" w:cstheme="majorBidi"/>
          <w:sz w:val="16"/>
          <w:szCs w:val="16"/>
        </w:rPr>
        <w:t xml:space="preserve"> </w:t>
      </w:r>
    </w:p>
  </w:footnote>
  <w:footnote w:id="6">
    <w:p w14:paraId="42423424" w14:textId="77777777" w:rsidR="00B74722" w:rsidRPr="00C16D62" w:rsidRDefault="00B74722" w:rsidP="00D63DC6">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6" w:history="1">
        <w:r w:rsidRPr="00C16D62">
          <w:rPr>
            <w:rStyle w:val="Lienhypertexte"/>
            <w:rFonts w:asciiTheme="majorBidi" w:hAnsiTheme="majorBidi" w:cstheme="majorBidi"/>
            <w:sz w:val="16"/>
            <w:szCs w:val="16"/>
          </w:rPr>
          <w:t>This protocol was the subject of an approval law 59.12, published in BO N. 6140, dated 4 April 2013</w:t>
        </w:r>
      </w:hyperlink>
      <w:r w:rsidRPr="00C16D62">
        <w:rPr>
          <w:rFonts w:asciiTheme="majorBidi" w:hAnsiTheme="majorBidi" w:cstheme="majorBidi"/>
          <w:sz w:val="16"/>
          <w:szCs w:val="16"/>
        </w:rPr>
        <w:t>.</w:t>
      </w:r>
    </w:p>
  </w:footnote>
  <w:footnote w:id="7">
    <w:p w14:paraId="4D8F5E28"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7" w:history="1">
        <w:r w:rsidRPr="00C16D62">
          <w:rPr>
            <w:rStyle w:val="Lienhypertexte"/>
            <w:rFonts w:asciiTheme="majorBidi" w:hAnsiTheme="majorBidi" w:cstheme="majorBidi"/>
            <w:sz w:val="16"/>
            <w:szCs w:val="16"/>
          </w:rPr>
          <w:t>https://www.sgg.gov.ma/BO/bo_fr/2018/BO_6670_Fr.pdf</w:t>
        </w:r>
      </w:hyperlink>
      <w:r w:rsidRPr="00C16D62">
        <w:rPr>
          <w:rFonts w:asciiTheme="majorBidi" w:hAnsiTheme="majorBidi" w:cstheme="majorBidi"/>
          <w:sz w:val="16"/>
          <w:szCs w:val="16"/>
        </w:rPr>
        <w:t xml:space="preserve"> </w:t>
      </w:r>
    </w:p>
  </w:footnote>
  <w:footnote w:id="8">
    <w:p w14:paraId="5EC0F97D" w14:textId="77777777" w:rsidR="00B74722" w:rsidRPr="00C16D62" w:rsidRDefault="00B74722" w:rsidP="00075663">
      <w:pPr>
        <w:pStyle w:val="Notedebasdepage"/>
        <w:jc w:val="both"/>
        <w:rPr>
          <w:rFonts w:asciiTheme="majorBidi" w:hAnsiTheme="majorBidi" w:cstheme="majorBidi"/>
          <w:sz w:val="16"/>
          <w:szCs w:val="16"/>
        </w:rPr>
      </w:pPr>
      <w:r w:rsidRPr="00C16D62">
        <w:rPr>
          <w:rStyle w:val="Appelnotedebasdep"/>
          <w:rFonts w:asciiTheme="majorBidi" w:hAnsiTheme="majorBidi" w:cstheme="majorBidi"/>
          <w:sz w:val="16"/>
          <w:szCs w:val="16"/>
        </w:rPr>
        <w:footnoteRef/>
      </w:r>
      <w:hyperlink r:id="rId8" w:history="1">
        <w:r w:rsidRPr="00C16D62">
          <w:rPr>
            <w:rStyle w:val="Lienhypertexte"/>
            <w:rFonts w:asciiTheme="majorBidi" w:hAnsiTheme="majorBidi" w:cstheme="majorBidi"/>
            <w:sz w:val="16"/>
            <w:szCs w:val="16"/>
          </w:rPr>
          <w:t>https://adala.justice.gov.ma/api/uploads/2024/09/02/</w:t>
        </w:r>
        <w:r w:rsidRPr="00C16D62">
          <w:rPr>
            <w:rStyle w:val="Lienhypertexte"/>
            <w:rFonts w:asciiTheme="majorBidi" w:hAnsiTheme="majorBidi" w:cstheme="majorBidi"/>
            <w:sz w:val="16"/>
            <w:szCs w:val="16"/>
            <w:rtl/>
          </w:rPr>
          <w:t>قانون</w:t>
        </w:r>
        <w:r w:rsidRPr="00C16D62">
          <w:rPr>
            <w:rStyle w:val="Lienhypertexte"/>
            <w:rFonts w:asciiTheme="majorBidi" w:hAnsiTheme="majorBidi" w:cstheme="majorBidi"/>
            <w:sz w:val="16"/>
            <w:szCs w:val="16"/>
          </w:rPr>
          <w:t>%20</w:t>
        </w:r>
        <w:r w:rsidRPr="00C16D62">
          <w:rPr>
            <w:rStyle w:val="Lienhypertexte"/>
            <w:rFonts w:asciiTheme="majorBidi" w:hAnsiTheme="majorBidi" w:cstheme="majorBidi"/>
            <w:sz w:val="16"/>
            <w:szCs w:val="16"/>
            <w:rtl/>
          </w:rPr>
          <w:t>المسطرة</w:t>
        </w:r>
        <w:r w:rsidRPr="00C16D62">
          <w:rPr>
            <w:rStyle w:val="Lienhypertexte"/>
            <w:rFonts w:asciiTheme="majorBidi" w:hAnsiTheme="majorBidi" w:cstheme="majorBidi"/>
            <w:sz w:val="16"/>
            <w:szCs w:val="16"/>
          </w:rPr>
          <w:t>%20</w:t>
        </w:r>
        <w:r w:rsidRPr="00C16D62">
          <w:rPr>
            <w:rStyle w:val="Lienhypertexte"/>
            <w:rFonts w:asciiTheme="majorBidi" w:hAnsiTheme="majorBidi" w:cstheme="majorBidi"/>
            <w:sz w:val="16"/>
            <w:szCs w:val="16"/>
            <w:rtl/>
          </w:rPr>
          <w:t>الجنائية</w:t>
        </w:r>
        <w:r w:rsidRPr="00C16D62">
          <w:rPr>
            <w:rStyle w:val="Lienhypertexte"/>
            <w:rFonts w:asciiTheme="majorBidi" w:hAnsiTheme="majorBidi" w:cstheme="majorBidi"/>
            <w:sz w:val="16"/>
            <w:szCs w:val="16"/>
          </w:rPr>
          <w:t>%20</w:t>
        </w:r>
        <w:r w:rsidRPr="00C16D62">
          <w:rPr>
            <w:rStyle w:val="Lienhypertexte"/>
            <w:rFonts w:asciiTheme="majorBidi" w:hAnsiTheme="majorBidi" w:cstheme="majorBidi"/>
            <w:sz w:val="16"/>
            <w:szCs w:val="16"/>
            <w:rtl/>
          </w:rPr>
          <w:t>غشت</w:t>
        </w:r>
        <w:r w:rsidRPr="00C16D62">
          <w:rPr>
            <w:rStyle w:val="Lienhypertexte"/>
            <w:rFonts w:asciiTheme="majorBidi" w:hAnsiTheme="majorBidi" w:cstheme="majorBidi"/>
            <w:sz w:val="16"/>
            <w:szCs w:val="16"/>
          </w:rPr>
          <w:t>%202024%20(1)-1725285492093.pdf</w:t>
        </w:r>
      </w:hyperlink>
    </w:p>
  </w:footnote>
  <w:footnote w:id="9">
    <w:p w14:paraId="6DDEAC38" w14:textId="77777777" w:rsidR="00B74722" w:rsidRPr="00C16D62" w:rsidRDefault="00B74722" w:rsidP="00EB3485">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9" w:history="1">
        <w:r w:rsidRPr="00C16D62">
          <w:rPr>
            <w:rStyle w:val="Lienhypertexte"/>
            <w:rFonts w:asciiTheme="majorBidi" w:hAnsiTheme="majorBidi" w:cstheme="majorBidi"/>
            <w:sz w:val="16"/>
            <w:szCs w:val="16"/>
          </w:rPr>
          <w:t>https://www.sgg.gov.ma/BO/bo_fr/2018/BO_6688_Fr.pdf</w:t>
        </w:r>
      </w:hyperlink>
      <w:r w:rsidRPr="00C16D62">
        <w:rPr>
          <w:rFonts w:asciiTheme="majorBidi" w:hAnsiTheme="majorBidi" w:cstheme="majorBidi"/>
          <w:sz w:val="16"/>
          <w:szCs w:val="16"/>
        </w:rPr>
        <w:t xml:space="preserve"> </w:t>
      </w:r>
    </w:p>
  </w:footnote>
  <w:footnote w:id="10">
    <w:p w14:paraId="34A15B35" w14:textId="77777777" w:rsidR="00B74722" w:rsidRPr="00C16D62" w:rsidRDefault="00B74722" w:rsidP="00EB3485">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10" w:history="1">
        <w:r w:rsidRPr="00C16D62">
          <w:rPr>
            <w:rStyle w:val="Lienhypertexte"/>
            <w:rFonts w:asciiTheme="majorBidi" w:hAnsiTheme="majorBidi" w:cstheme="majorBidi"/>
            <w:sz w:val="16"/>
            <w:szCs w:val="16"/>
          </w:rPr>
          <w:t>https://www.sgg.gov.ma/BO/AR/3111/2024/BO_7328_Ar.pdf</w:t>
        </w:r>
      </w:hyperlink>
      <w:r w:rsidRPr="00C16D62">
        <w:rPr>
          <w:rFonts w:asciiTheme="majorBidi" w:hAnsiTheme="majorBidi" w:cstheme="majorBidi"/>
          <w:sz w:val="16"/>
          <w:szCs w:val="16"/>
        </w:rPr>
        <w:t xml:space="preserve"> </w:t>
      </w:r>
    </w:p>
  </w:footnote>
  <w:footnote w:id="11">
    <w:p w14:paraId="101BFCBA"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11" w:history="1">
        <w:r w:rsidRPr="00C16D62">
          <w:rPr>
            <w:rStyle w:val="Lienhypertexte"/>
            <w:rFonts w:asciiTheme="majorBidi" w:hAnsiTheme="majorBidi" w:cstheme="majorBidi"/>
            <w:sz w:val="16"/>
            <w:szCs w:val="16"/>
          </w:rPr>
          <w:t>https://www.sgg.gov.ma/BO/bo_ar/2021/BO_7010_Ar.pdf</w:t>
        </w:r>
      </w:hyperlink>
      <w:r w:rsidRPr="00C16D62">
        <w:rPr>
          <w:rFonts w:asciiTheme="majorBidi" w:hAnsiTheme="majorBidi" w:cstheme="majorBidi"/>
          <w:sz w:val="16"/>
          <w:szCs w:val="16"/>
        </w:rPr>
        <w:t xml:space="preserve"> </w:t>
      </w:r>
    </w:p>
  </w:footnote>
  <w:footnote w:id="12">
    <w:p w14:paraId="1D40A4FD" w14:textId="2D469738" w:rsidR="003A5E40" w:rsidRPr="00C16D62" w:rsidRDefault="003A5E40">
      <w:pPr>
        <w:pStyle w:val="Notedebasdepage"/>
        <w:rPr>
          <w:sz w:val="16"/>
          <w:szCs w:val="16"/>
        </w:rPr>
      </w:pPr>
      <w:r w:rsidRPr="00C16D62">
        <w:rPr>
          <w:rStyle w:val="Appelnotedebasdep"/>
          <w:sz w:val="16"/>
          <w:szCs w:val="16"/>
        </w:rPr>
        <w:footnoteRef/>
      </w:r>
      <w:r w:rsidRPr="00C16D62">
        <w:rPr>
          <w:sz w:val="16"/>
          <w:szCs w:val="16"/>
        </w:rPr>
        <w:t xml:space="preserve"> According to a communiqué published by the House of </w:t>
      </w:r>
      <w:proofErr w:type="gramStart"/>
      <w:r w:rsidRPr="00C16D62">
        <w:rPr>
          <w:sz w:val="16"/>
          <w:szCs w:val="16"/>
        </w:rPr>
        <w:t>Representatives :</w:t>
      </w:r>
      <w:proofErr w:type="gramEnd"/>
      <w:r w:rsidRPr="00C16D62">
        <w:rPr>
          <w:sz w:val="16"/>
          <w:szCs w:val="16"/>
        </w:rPr>
        <w:t xml:space="preserve"> </w:t>
      </w:r>
      <w:hyperlink r:id="rId12" w:history="1">
        <w:r w:rsidRPr="00C16D62">
          <w:rPr>
            <w:rStyle w:val="Lienhypertexte"/>
            <w:sz w:val="16"/>
            <w:szCs w:val="16"/>
          </w:rPr>
          <w:t>https://www.chambredesrepresentants.ma/en/SeanceL200525</w:t>
        </w:r>
      </w:hyperlink>
    </w:p>
  </w:footnote>
  <w:footnote w:id="13">
    <w:p w14:paraId="28065FE1" w14:textId="77777777" w:rsidR="00B74722" w:rsidRPr="00C16D62" w:rsidRDefault="00B74722" w:rsidP="00C63626">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13" w:history="1">
        <w:r w:rsidRPr="00C16D62">
          <w:rPr>
            <w:rStyle w:val="Lienhypertexte"/>
            <w:rFonts w:asciiTheme="majorBidi" w:hAnsiTheme="majorBidi" w:cstheme="majorBidi"/>
            <w:sz w:val="16"/>
            <w:szCs w:val="16"/>
          </w:rPr>
          <w:t>https://www.cndh.ma/en/cndhs-memorandum-draft-law-1016-amending-and-supplementing-penal-codearabic-version</w:t>
        </w:r>
      </w:hyperlink>
      <w:r w:rsidRPr="00C16D62">
        <w:rPr>
          <w:rFonts w:asciiTheme="majorBidi" w:hAnsiTheme="majorBidi" w:cstheme="majorBidi"/>
          <w:sz w:val="16"/>
          <w:szCs w:val="16"/>
        </w:rPr>
        <w:t xml:space="preserve"> </w:t>
      </w:r>
    </w:p>
  </w:footnote>
  <w:footnote w:id="14">
    <w:p w14:paraId="30136DD2" w14:textId="2AB02361" w:rsidR="00B74722" w:rsidRPr="00C16D62" w:rsidRDefault="00B74722" w:rsidP="00167A43">
      <w:pPr>
        <w:spacing w:line="276" w:lineRule="auto"/>
        <w:jc w:val="both"/>
        <w:rPr>
          <w:rFonts w:asciiTheme="majorBidi" w:hAnsiTheme="majorBidi" w:cstheme="majorBidi"/>
          <w:color w:val="4472C4" w:themeColor="accent1"/>
          <w:sz w:val="16"/>
          <w:szCs w:val="16"/>
          <w:lang w:val="en-US"/>
        </w:rPr>
      </w:pPr>
      <w:r w:rsidRPr="00C16D62">
        <w:rPr>
          <w:rStyle w:val="Appelnotedebasdep"/>
          <w:rFonts w:asciiTheme="majorBidi" w:hAnsiTheme="majorBidi" w:cstheme="majorBidi"/>
          <w:color w:val="4472C4" w:themeColor="accent1"/>
          <w:sz w:val="16"/>
          <w:szCs w:val="16"/>
        </w:rPr>
        <w:footnoteRef/>
      </w:r>
      <w:hyperlink r:id="rId14" w:history="1">
        <w:r w:rsidR="00CF1C06" w:rsidRPr="00C16D62">
          <w:rPr>
            <w:rStyle w:val="Lienhypertexte"/>
            <w:color w:val="4472C4" w:themeColor="accent1"/>
            <w:sz w:val="16"/>
            <w:szCs w:val="16"/>
            <w:lang w:val="en-US"/>
          </w:rPr>
          <w:t>https://www.cndh.ma/sites/default/files/2024-02/cndh_-_exe_avis_procedure_penale_ar.pdf</w:t>
        </w:r>
      </w:hyperlink>
      <w:r w:rsidR="00CF1C06" w:rsidRPr="00C16D62">
        <w:rPr>
          <w:color w:val="4472C4" w:themeColor="accent1"/>
          <w:sz w:val="16"/>
          <w:szCs w:val="16"/>
          <w:lang w:val="en-US"/>
        </w:rPr>
        <w:t xml:space="preserve">   </w:t>
      </w:r>
      <w:r w:rsidRPr="00C16D62">
        <w:rPr>
          <w:color w:val="4472C4" w:themeColor="accent1"/>
          <w:sz w:val="16"/>
          <w:szCs w:val="16"/>
        </w:rPr>
        <w:fldChar w:fldCharType="begin"/>
      </w:r>
      <w:r w:rsidRPr="00C16D62">
        <w:rPr>
          <w:color w:val="4472C4" w:themeColor="accent1"/>
          <w:sz w:val="16"/>
          <w:szCs w:val="16"/>
          <w:lang w:val="en-US"/>
        </w:rPr>
        <w:instrText>https://www.cndh.ma/en/cndhs-opinion-draft-law-no-1801-amending-and-supplementing-law-no-2201-criminal-procedure-available"</w:instrText>
      </w:r>
      <w:r w:rsidRPr="00C16D62">
        <w:rPr>
          <w:color w:val="4472C4" w:themeColor="accent1"/>
          <w:sz w:val="16"/>
          <w:szCs w:val="16"/>
        </w:rPr>
        <w:fldChar w:fldCharType="separate"/>
      </w:r>
      <w:r w:rsidRPr="00C16D62">
        <w:rPr>
          <w:rStyle w:val="Lienhypertexte"/>
          <w:rFonts w:asciiTheme="majorBidi" w:hAnsiTheme="majorBidi" w:cstheme="majorBidi"/>
          <w:color w:val="4472C4" w:themeColor="accent1"/>
          <w:sz w:val="16"/>
          <w:szCs w:val="16"/>
          <w:lang w:val="en-US"/>
        </w:rPr>
        <w:t>https://www.cndh.ma/en/cndhs-opinion-draft-law-no-1801-amending-and-supplementing-law-no-2201-criminal-procedure-available</w:t>
      </w:r>
      <w:r w:rsidRPr="00C16D62">
        <w:rPr>
          <w:color w:val="4472C4" w:themeColor="accent1"/>
          <w:sz w:val="16"/>
          <w:szCs w:val="16"/>
        </w:rPr>
        <w:fldChar w:fldCharType="end"/>
      </w:r>
    </w:p>
  </w:footnote>
  <w:footnote w:id="15">
    <w:p w14:paraId="19341EE8" w14:textId="535DB1F5" w:rsidR="00B74722" w:rsidRPr="00C16D62" w:rsidRDefault="00B74722">
      <w:pPr>
        <w:pStyle w:val="Notedebasdepage"/>
        <w:rPr>
          <w:color w:val="4472C4" w:themeColor="accent1"/>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w:t>
      </w:r>
      <w:hyperlink r:id="rId15" w:history="1">
        <w:r w:rsidRPr="00C16D62">
          <w:rPr>
            <w:rStyle w:val="Lienhypertexte"/>
            <w:color w:val="4472C4" w:themeColor="accent1"/>
            <w:sz w:val="16"/>
            <w:szCs w:val="16"/>
          </w:rPr>
          <w:t>https://www.cndh.ma/sites/default/files/2024-02/-_mshrw_ry_-_mswd_mshrw_qnwn_lmstr_lmdny-_mdl_1.pdf</w:t>
        </w:r>
      </w:hyperlink>
      <w:r w:rsidRPr="00C16D62">
        <w:rPr>
          <w:color w:val="4472C4" w:themeColor="accent1"/>
          <w:sz w:val="16"/>
          <w:szCs w:val="16"/>
        </w:rPr>
        <w:t xml:space="preserve"> </w:t>
      </w:r>
    </w:p>
  </w:footnote>
  <w:footnote w:id="16">
    <w:p w14:paraId="473240A0" w14:textId="77777777" w:rsidR="00B74722" w:rsidRPr="00C16D62" w:rsidRDefault="00B74722" w:rsidP="00C63626">
      <w:pPr>
        <w:pStyle w:val="Notedebasdepage"/>
        <w:rPr>
          <w:color w:val="4472C4" w:themeColor="accent1"/>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Available </w:t>
      </w:r>
      <w:proofErr w:type="gramStart"/>
      <w:r w:rsidRPr="00C16D62">
        <w:rPr>
          <w:color w:val="4472C4" w:themeColor="accent1"/>
          <w:sz w:val="16"/>
          <w:szCs w:val="16"/>
        </w:rPr>
        <w:t>here :</w:t>
      </w:r>
      <w:proofErr w:type="gramEnd"/>
      <w:r w:rsidRPr="00C16D62">
        <w:rPr>
          <w:color w:val="4472C4" w:themeColor="accent1"/>
          <w:sz w:val="16"/>
          <w:szCs w:val="16"/>
        </w:rPr>
        <w:t xml:space="preserve"> </w:t>
      </w:r>
      <w:hyperlink r:id="rId16" w:history="1">
        <w:r w:rsidRPr="00C16D62">
          <w:rPr>
            <w:rStyle w:val="Lienhypertexte"/>
            <w:rFonts w:asciiTheme="majorBidi" w:hAnsiTheme="majorBidi" w:cstheme="majorBidi"/>
            <w:color w:val="4472C4" w:themeColor="accent1"/>
            <w:sz w:val="16"/>
            <w:szCs w:val="16"/>
          </w:rPr>
          <w:t>https://www.cndh.ma/sites/default/files/2025-05/memo_cndh_code_famille_ar_dec_2023.pdf</w:t>
        </w:r>
      </w:hyperlink>
    </w:p>
  </w:footnote>
  <w:footnote w:id="17">
    <w:p w14:paraId="4C2BCD3F" w14:textId="366100AB" w:rsidR="00B74722" w:rsidRPr="00C16D62" w:rsidRDefault="00B74722">
      <w:pPr>
        <w:pStyle w:val="Notedebasdepage"/>
        <w:rPr>
          <w:color w:val="4472C4" w:themeColor="accent1"/>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Available here : </w:t>
      </w:r>
      <w:hyperlink r:id="rId17" w:history="1">
        <w:r w:rsidRPr="00C16D62">
          <w:rPr>
            <w:rStyle w:val="Lienhypertexte"/>
            <w:color w:val="4472C4" w:themeColor="accent1"/>
            <w:sz w:val="16"/>
            <w:szCs w:val="16"/>
          </w:rPr>
          <w:t>https://www.cndh.ma/sites/default/files/2024-01/the_exception_of_unconstitutionality-_memorandum.pdf</w:t>
        </w:r>
      </w:hyperlink>
      <w:r w:rsidRPr="00C16D62">
        <w:rPr>
          <w:color w:val="4472C4" w:themeColor="accent1"/>
          <w:sz w:val="16"/>
          <w:szCs w:val="16"/>
        </w:rPr>
        <w:t xml:space="preserve"> </w:t>
      </w:r>
    </w:p>
  </w:footnote>
  <w:footnote w:id="18">
    <w:p w14:paraId="427284CC" w14:textId="59E4093A" w:rsidR="00B74722" w:rsidRPr="00C16D62" w:rsidRDefault="00B74722">
      <w:pPr>
        <w:pStyle w:val="Notedebasdepage"/>
        <w:rPr>
          <w:color w:val="4472C4" w:themeColor="accent1"/>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w:t>
      </w:r>
      <w:hyperlink r:id="rId18">
        <w:r w:rsidRPr="00C16D62">
          <w:rPr>
            <w:rFonts w:asciiTheme="majorBidi" w:hAnsiTheme="majorBidi" w:cstheme="majorBidi"/>
            <w:color w:val="4472C4" w:themeColor="accent1"/>
            <w:sz w:val="16"/>
            <w:szCs w:val="16"/>
            <w:u w:val="single"/>
          </w:rPr>
          <w:t>https://www.cndh.org.ma/sites/default/files/rapport_annuel_cndh_2022_va_-_digital_0.pdf</w:t>
        </w:r>
      </w:hyperlink>
      <w:r w:rsidRPr="00C16D62">
        <w:rPr>
          <w:rFonts w:asciiTheme="majorBidi" w:hAnsiTheme="majorBidi" w:cstheme="majorBidi"/>
          <w:color w:val="4472C4" w:themeColor="accent1"/>
          <w:sz w:val="16"/>
          <w:szCs w:val="16"/>
          <w:u w:val="single"/>
        </w:rPr>
        <w:t xml:space="preserve"> </w:t>
      </w:r>
    </w:p>
  </w:footnote>
  <w:footnote w:id="19">
    <w:p w14:paraId="5DEEDA15" w14:textId="77777777" w:rsidR="00B74722" w:rsidRPr="00C16D62" w:rsidRDefault="00B74722" w:rsidP="00B24643">
      <w:pPr>
        <w:pBdr>
          <w:top w:val="nil"/>
          <w:left w:val="nil"/>
          <w:bottom w:val="nil"/>
          <w:right w:val="nil"/>
          <w:between w:val="nil"/>
        </w:pBdr>
        <w:jc w:val="both"/>
        <w:rPr>
          <w:rFonts w:asciiTheme="majorBidi" w:hAnsiTheme="majorBidi" w:cstheme="majorBidi"/>
          <w:color w:val="4472C4" w:themeColor="accent1"/>
          <w:sz w:val="16"/>
          <w:szCs w:val="16"/>
          <w:lang w:val="en-US"/>
        </w:rPr>
      </w:pPr>
      <w:r w:rsidRPr="00C16D62">
        <w:rPr>
          <w:rFonts w:asciiTheme="majorBidi" w:hAnsiTheme="majorBidi" w:cstheme="majorBidi"/>
          <w:color w:val="4472C4" w:themeColor="accent1"/>
          <w:sz w:val="16"/>
          <w:szCs w:val="16"/>
          <w:vertAlign w:val="superscript"/>
        </w:rPr>
        <w:footnoteRef/>
      </w:r>
      <w:r w:rsidRPr="00C16D62">
        <w:rPr>
          <w:rFonts w:asciiTheme="majorBidi" w:hAnsiTheme="majorBidi" w:cstheme="majorBidi"/>
          <w:color w:val="4472C4" w:themeColor="accent1"/>
          <w:sz w:val="16"/>
          <w:szCs w:val="16"/>
          <w:lang w:val="en-US"/>
        </w:rPr>
        <w:t xml:space="preserve"> </w:t>
      </w:r>
      <w:hyperlink r:id="rId19">
        <w:r w:rsidRPr="00C16D62">
          <w:rPr>
            <w:rFonts w:asciiTheme="majorBidi" w:hAnsiTheme="majorBidi" w:cstheme="majorBidi"/>
            <w:color w:val="4472C4" w:themeColor="accent1"/>
            <w:sz w:val="16"/>
            <w:szCs w:val="16"/>
            <w:u w:val="single"/>
            <w:lang w:val="en-US"/>
          </w:rPr>
          <w:t>http://didh.gov.ma/ar/publications/khtt-alml-alwtnyt-fy-mjal-aldymqratyt-whqwq-alansan-2018-2021</w:t>
        </w:r>
      </w:hyperlink>
      <w:r w:rsidRPr="00C16D62">
        <w:rPr>
          <w:rFonts w:asciiTheme="majorBidi" w:hAnsiTheme="majorBidi" w:cstheme="majorBidi"/>
          <w:color w:val="4472C4" w:themeColor="accent1"/>
          <w:sz w:val="16"/>
          <w:szCs w:val="16"/>
          <w:lang w:val="en-US"/>
        </w:rPr>
        <w:t xml:space="preserve">   </w:t>
      </w:r>
    </w:p>
  </w:footnote>
  <w:footnote w:id="20">
    <w:p w14:paraId="2F3133B8" w14:textId="77777777" w:rsidR="00B74722" w:rsidRPr="00C16D62" w:rsidRDefault="00B74722" w:rsidP="00B24643">
      <w:pPr>
        <w:pBdr>
          <w:top w:val="nil"/>
          <w:left w:val="nil"/>
          <w:bottom w:val="nil"/>
          <w:right w:val="nil"/>
          <w:between w:val="nil"/>
        </w:pBdr>
        <w:jc w:val="both"/>
        <w:rPr>
          <w:rFonts w:asciiTheme="majorBidi" w:hAnsiTheme="majorBidi" w:cstheme="majorBidi"/>
          <w:color w:val="4472C4" w:themeColor="accent1"/>
          <w:sz w:val="16"/>
          <w:szCs w:val="16"/>
          <w:lang w:val="en-US"/>
        </w:rPr>
      </w:pPr>
      <w:r w:rsidRPr="00C16D62">
        <w:rPr>
          <w:rFonts w:asciiTheme="majorBidi" w:hAnsiTheme="majorBidi" w:cstheme="majorBidi"/>
          <w:color w:val="4472C4" w:themeColor="accent1"/>
          <w:sz w:val="16"/>
          <w:szCs w:val="16"/>
          <w:vertAlign w:val="superscript"/>
        </w:rPr>
        <w:footnoteRef/>
      </w:r>
      <w:r w:rsidRPr="00C16D62">
        <w:rPr>
          <w:rFonts w:asciiTheme="majorBidi" w:hAnsiTheme="majorBidi" w:cstheme="majorBidi"/>
          <w:color w:val="4472C4" w:themeColor="accent1"/>
          <w:sz w:val="16"/>
          <w:szCs w:val="16"/>
          <w:lang w:val="en-US"/>
        </w:rPr>
        <w:t xml:space="preserve"> See pp. 9&amp;10 of the Government Program, available </w:t>
      </w:r>
      <w:proofErr w:type="gramStart"/>
      <w:r w:rsidRPr="00C16D62">
        <w:rPr>
          <w:rFonts w:asciiTheme="majorBidi" w:hAnsiTheme="majorBidi" w:cstheme="majorBidi"/>
          <w:color w:val="4472C4" w:themeColor="accent1"/>
          <w:sz w:val="16"/>
          <w:szCs w:val="16"/>
          <w:lang w:val="en-US"/>
        </w:rPr>
        <w:t>here :</w:t>
      </w:r>
      <w:proofErr w:type="gramEnd"/>
      <w:r w:rsidRPr="00C16D62">
        <w:rPr>
          <w:rFonts w:asciiTheme="majorBidi" w:hAnsiTheme="majorBidi" w:cstheme="majorBidi"/>
          <w:color w:val="4472C4" w:themeColor="accent1"/>
          <w:sz w:val="16"/>
          <w:szCs w:val="16"/>
          <w:lang w:val="en-US"/>
        </w:rPr>
        <w:t xml:space="preserve"> </w:t>
      </w:r>
      <w:hyperlink r:id="rId20">
        <w:r w:rsidRPr="00C16D62">
          <w:rPr>
            <w:rFonts w:asciiTheme="majorBidi" w:hAnsiTheme="majorBidi" w:cstheme="majorBidi"/>
            <w:color w:val="4472C4" w:themeColor="accent1"/>
            <w:sz w:val="16"/>
            <w:szCs w:val="16"/>
            <w:u w:val="single"/>
            <w:lang w:val="en-US"/>
          </w:rPr>
          <w:t>https://social.gov.ma/programme-gouvernemental/</w:t>
        </w:r>
      </w:hyperlink>
      <w:r w:rsidRPr="00C16D62">
        <w:rPr>
          <w:rFonts w:asciiTheme="majorBidi" w:hAnsiTheme="majorBidi" w:cstheme="majorBidi"/>
          <w:color w:val="4472C4" w:themeColor="accent1"/>
          <w:sz w:val="16"/>
          <w:szCs w:val="16"/>
          <w:lang w:val="en-US"/>
        </w:rPr>
        <w:t xml:space="preserve"> </w:t>
      </w:r>
    </w:p>
  </w:footnote>
  <w:footnote w:id="21">
    <w:p w14:paraId="61071E51" w14:textId="29DC6726" w:rsidR="00B74722" w:rsidRPr="00C16D62" w:rsidRDefault="00B74722">
      <w:pPr>
        <w:pStyle w:val="Notedebasdepage"/>
        <w:rPr>
          <w:color w:val="4472C4" w:themeColor="accent1"/>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w:t>
      </w:r>
      <w:hyperlink r:id="rId21" w:history="1">
        <w:r w:rsidRPr="00C16D62">
          <w:rPr>
            <w:rStyle w:val="Lienhypertexte"/>
            <w:color w:val="4472C4" w:themeColor="accent1"/>
            <w:sz w:val="16"/>
            <w:szCs w:val="16"/>
          </w:rPr>
          <w:t>https://digitalhub.fifa.com/m/1d713bc7ba2621fe/original/FWC30-Bidbook-Yalla-Vamos.pdf</w:t>
        </w:r>
      </w:hyperlink>
      <w:r w:rsidRPr="00C16D62">
        <w:rPr>
          <w:color w:val="4472C4" w:themeColor="accent1"/>
          <w:sz w:val="16"/>
          <w:szCs w:val="16"/>
        </w:rPr>
        <w:t xml:space="preserve"> </w:t>
      </w:r>
    </w:p>
  </w:footnote>
  <w:footnote w:id="22">
    <w:p w14:paraId="342FE8FE" w14:textId="4B851D8F" w:rsidR="00B74722" w:rsidRPr="00C16D62" w:rsidRDefault="00B74722">
      <w:pPr>
        <w:pStyle w:val="Notedebasdepage"/>
        <w:rPr>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w:t>
      </w:r>
      <w:hyperlink r:id="rId22" w:history="1">
        <w:r w:rsidRPr="00C16D62">
          <w:rPr>
            <w:rStyle w:val="Lienhypertexte"/>
            <w:color w:val="4472C4" w:themeColor="accent1"/>
            <w:sz w:val="16"/>
            <w:szCs w:val="16"/>
          </w:rPr>
          <w:t>https://digitalhub.fifa.com/m/6da18ae1b346a2ba/original/Microsoft-Word-2-CLEAN-CNDH-Study-WC30-Final-25-7-docx.pdf</w:t>
        </w:r>
      </w:hyperlink>
      <w:r w:rsidRPr="00C16D62">
        <w:rPr>
          <w:color w:val="4472C4" w:themeColor="accent1"/>
          <w:sz w:val="16"/>
          <w:szCs w:val="16"/>
        </w:rPr>
        <w:t xml:space="preserve"> </w:t>
      </w:r>
    </w:p>
  </w:footnote>
  <w:footnote w:id="23">
    <w:p w14:paraId="695E00E1" w14:textId="77777777" w:rsidR="00B74722" w:rsidRPr="00C16D62" w:rsidRDefault="00B74722" w:rsidP="00310FB9">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w:t>
      </w:r>
      <w:hyperlink r:id="rId23">
        <w:r w:rsidRPr="00C16D62">
          <w:rPr>
            <w:rFonts w:asciiTheme="majorBidi" w:hAnsiTheme="majorBidi" w:cstheme="majorBidi"/>
            <w:color w:val="0563C1"/>
            <w:sz w:val="16"/>
            <w:szCs w:val="16"/>
            <w:u w:val="single"/>
            <w:lang w:val="en-US"/>
          </w:rPr>
          <w:t>https://www.cndh.org.ma/sites/default/files/loi_76-15_relative_a_la_reorganisation_du_cndh_1.pdf</w:t>
        </w:r>
      </w:hyperlink>
      <w:r w:rsidRPr="00C16D62">
        <w:rPr>
          <w:rFonts w:asciiTheme="majorBidi" w:hAnsiTheme="majorBidi" w:cstheme="majorBidi"/>
          <w:color w:val="000000"/>
          <w:sz w:val="16"/>
          <w:szCs w:val="16"/>
          <w:lang w:val="en-US"/>
        </w:rPr>
        <w:t xml:space="preserve"> </w:t>
      </w:r>
    </w:p>
  </w:footnote>
  <w:footnote w:id="24">
    <w:p w14:paraId="6C385D78" w14:textId="77777777" w:rsidR="00B74722" w:rsidRPr="00C16D62" w:rsidRDefault="00B74722" w:rsidP="001D3A39">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4" w:history="1">
        <w:r w:rsidRPr="00C16D62">
          <w:rPr>
            <w:rStyle w:val="Lienhypertexte"/>
            <w:rFonts w:asciiTheme="majorBidi" w:hAnsiTheme="majorBidi" w:cstheme="majorBidi"/>
            <w:sz w:val="16"/>
            <w:szCs w:val="16"/>
          </w:rPr>
          <w:t>https://www.cndh.ma/en/cndh-and-dgsn-sign-partnership-agreement-promote-human-rights-culture-within-police-function</w:t>
        </w:r>
      </w:hyperlink>
      <w:r w:rsidRPr="00C16D62">
        <w:rPr>
          <w:rFonts w:asciiTheme="majorBidi" w:hAnsiTheme="majorBidi" w:cstheme="majorBidi"/>
          <w:sz w:val="16"/>
          <w:szCs w:val="16"/>
        </w:rPr>
        <w:t xml:space="preserve"> </w:t>
      </w:r>
    </w:p>
  </w:footnote>
  <w:footnote w:id="25">
    <w:p w14:paraId="78B21B6A"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5" w:history="1">
        <w:r w:rsidRPr="00C16D62">
          <w:rPr>
            <w:rStyle w:val="Lienhypertexte"/>
            <w:rFonts w:asciiTheme="majorBidi" w:hAnsiTheme="majorBidi" w:cstheme="majorBidi"/>
            <w:sz w:val="16"/>
            <w:szCs w:val="16"/>
          </w:rPr>
          <w:t>https://www.cndh.ma/en/right-life-and-abolition-death-penalty</w:t>
        </w:r>
      </w:hyperlink>
      <w:r w:rsidRPr="00C16D62">
        <w:rPr>
          <w:rFonts w:asciiTheme="majorBidi" w:hAnsiTheme="majorBidi" w:cstheme="majorBidi"/>
          <w:sz w:val="16"/>
          <w:szCs w:val="16"/>
        </w:rPr>
        <w:t xml:space="preserve"> </w:t>
      </w:r>
    </w:p>
  </w:footnote>
  <w:footnote w:id="26">
    <w:p w14:paraId="63D2B0CF"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6" w:history="1">
        <w:r w:rsidRPr="00C16D62">
          <w:rPr>
            <w:rStyle w:val="Lienhypertexte"/>
            <w:rFonts w:asciiTheme="majorBidi" w:hAnsiTheme="majorBidi" w:cstheme="majorBidi"/>
            <w:sz w:val="16"/>
            <w:szCs w:val="16"/>
          </w:rPr>
          <w:t>https://www.sgg.gov.ma/BO/bo_fr/2015/BO_6410_Fr.pdf</w:t>
        </w:r>
      </w:hyperlink>
      <w:r w:rsidRPr="00C16D62">
        <w:rPr>
          <w:rFonts w:asciiTheme="majorBidi" w:hAnsiTheme="majorBidi" w:cstheme="majorBidi"/>
          <w:sz w:val="16"/>
          <w:szCs w:val="16"/>
        </w:rPr>
        <w:t xml:space="preserve"> </w:t>
      </w:r>
    </w:p>
  </w:footnote>
  <w:footnote w:id="27">
    <w:p w14:paraId="24D5E66B"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7" w:history="1">
        <w:r w:rsidRPr="00C16D62">
          <w:rPr>
            <w:rStyle w:val="Lienhypertexte"/>
            <w:rFonts w:asciiTheme="majorBidi" w:hAnsiTheme="majorBidi" w:cstheme="majorBidi"/>
            <w:sz w:val="16"/>
            <w:szCs w:val="16"/>
          </w:rPr>
          <w:t>https://digitallibrary.un.org/record/4069732?ln=en&amp;utm_source=chatgpt.com</w:t>
        </w:r>
      </w:hyperlink>
      <w:r w:rsidRPr="00C16D62">
        <w:rPr>
          <w:rFonts w:asciiTheme="majorBidi" w:hAnsiTheme="majorBidi" w:cstheme="majorBidi"/>
          <w:sz w:val="16"/>
          <w:szCs w:val="16"/>
        </w:rPr>
        <w:t xml:space="preserve"> </w:t>
      </w:r>
    </w:p>
  </w:footnote>
  <w:footnote w:id="28">
    <w:p w14:paraId="3CF55BF5"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8" w:history="1">
        <w:r w:rsidRPr="00C16D62">
          <w:rPr>
            <w:rStyle w:val="Lienhypertexte"/>
            <w:rFonts w:asciiTheme="majorBidi" w:hAnsiTheme="majorBidi" w:cstheme="majorBidi"/>
            <w:sz w:val="16"/>
            <w:szCs w:val="16"/>
          </w:rPr>
          <w:t>https://www.cndh.ma/en/moroccos-historic-vote-favour-universal-death-penalty-moratorium</w:t>
        </w:r>
      </w:hyperlink>
      <w:r w:rsidRPr="00C16D62">
        <w:rPr>
          <w:rFonts w:asciiTheme="majorBidi" w:hAnsiTheme="majorBidi" w:cstheme="majorBidi"/>
          <w:sz w:val="16"/>
          <w:szCs w:val="16"/>
        </w:rPr>
        <w:t xml:space="preserve"> </w:t>
      </w:r>
    </w:p>
  </w:footnote>
  <w:footnote w:id="29">
    <w:p w14:paraId="2BD58B9D" w14:textId="77777777"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29" w:history="1">
        <w:r w:rsidRPr="00C16D62">
          <w:rPr>
            <w:rStyle w:val="Lienhypertexte"/>
            <w:rFonts w:asciiTheme="majorBidi" w:hAnsiTheme="majorBidi" w:cstheme="majorBidi"/>
            <w:sz w:val="16"/>
            <w:szCs w:val="16"/>
          </w:rPr>
          <w:t>https://www.cndh.ma/en/cndhs-memorandum-draft-law-1016-amending-and-supplementing-penal-codearabic-version</w:t>
        </w:r>
      </w:hyperlink>
      <w:r w:rsidRPr="00C16D62">
        <w:rPr>
          <w:rFonts w:asciiTheme="majorBidi" w:hAnsiTheme="majorBidi" w:cstheme="majorBidi"/>
          <w:sz w:val="16"/>
          <w:szCs w:val="16"/>
        </w:rPr>
        <w:t xml:space="preserve"> </w:t>
      </w:r>
    </w:p>
  </w:footnote>
  <w:footnote w:id="30">
    <w:p w14:paraId="0B74E4D9" w14:textId="77777777" w:rsidR="00B74722" w:rsidRPr="00C16D62" w:rsidRDefault="00B74722" w:rsidP="000B64BA">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More information available on OHCHR website: </w:t>
      </w:r>
      <w:hyperlink r:id="rId30" w:anchor=":~:text=Morocco%20was%20rated%20'A'%20for,Council%20as%20the%20operative%20body" w:history="1">
        <w:r w:rsidRPr="00C16D62">
          <w:rPr>
            <w:rStyle w:val="Lienhypertexte"/>
            <w:rFonts w:asciiTheme="majorBidi" w:hAnsiTheme="majorBidi" w:cstheme="majorBidi"/>
            <w:sz w:val="16"/>
            <w:szCs w:val="16"/>
            <w:lang w:val="en-US"/>
          </w:rPr>
          <w:t>https://www.ohchr.org/en/stories/2019/12/human-rights-committee-gives-top-gradesfollow-five-countries#:~:text=Morocco%20was%20rated%20’A’%20for,Council%20as%20the%20operative%20body</w:t>
        </w:r>
      </w:hyperlink>
      <w:r w:rsidRPr="00C16D62">
        <w:rPr>
          <w:rFonts w:asciiTheme="majorBidi" w:hAnsiTheme="majorBidi" w:cstheme="majorBidi"/>
          <w:color w:val="000000"/>
          <w:sz w:val="16"/>
          <w:szCs w:val="16"/>
          <w:lang w:val="en-US"/>
        </w:rPr>
        <w:t xml:space="preserve"> .</w:t>
      </w:r>
    </w:p>
  </w:footnote>
  <w:footnote w:id="31">
    <w:p w14:paraId="5330FF28" w14:textId="33A36D72" w:rsidR="00B74722" w:rsidRPr="00C16D62" w:rsidRDefault="00B74722">
      <w:pPr>
        <w:pStyle w:val="Notedebasdepage"/>
        <w:rPr>
          <w:rFonts w:asciiTheme="majorBidi" w:hAnsiTheme="majorBidi" w:cstheme="majorBidi"/>
          <w:color w:val="4472C4" w:themeColor="accent1"/>
          <w:sz w:val="16"/>
          <w:szCs w:val="16"/>
          <w:lang w:bidi="ar-DZ"/>
        </w:rPr>
      </w:pPr>
      <w:r w:rsidRPr="00C16D62">
        <w:rPr>
          <w:rStyle w:val="Appelnotedebasdep"/>
          <w:rFonts w:asciiTheme="majorBidi" w:hAnsiTheme="majorBidi" w:cstheme="majorBidi"/>
          <w:color w:val="4472C4" w:themeColor="accent1"/>
          <w:sz w:val="16"/>
          <w:szCs w:val="16"/>
        </w:rPr>
        <w:footnoteRef/>
      </w:r>
      <w:r w:rsidRPr="00C16D62">
        <w:rPr>
          <w:rFonts w:asciiTheme="majorBidi" w:hAnsiTheme="majorBidi" w:cstheme="majorBidi"/>
          <w:color w:val="4472C4" w:themeColor="accent1"/>
          <w:sz w:val="16"/>
          <w:szCs w:val="16"/>
        </w:rPr>
        <w:t xml:space="preserve"> </w:t>
      </w:r>
      <w:r w:rsidRPr="00C16D62">
        <w:rPr>
          <w:rFonts w:asciiTheme="majorBidi" w:hAnsiTheme="majorBidi" w:cstheme="majorBidi"/>
          <w:color w:val="4472C4" w:themeColor="accent1"/>
          <w:sz w:val="16"/>
          <w:szCs w:val="16"/>
          <w:lang w:bidi="ar-DZ"/>
        </w:rPr>
        <w:t xml:space="preserve">The latest annual report published in the Official Gazette in 2024 is available </w:t>
      </w:r>
      <w:proofErr w:type="gramStart"/>
      <w:r w:rsidRPr="00C16D62">
        <w:rPr>
          <w:rFonts w:asciiTheme="majorBidi" w:hAnsiTheme="majorBidi" w:cstheme="majorBidi"/>
          <w:color w:val="4472C4" w:themeColor="accent1"/>
          <w:sz w:val="16"/>
          <w:szCs w:val="16"/>
          <w:lang w:bidi="ar-DZ"/>
        </w:rPr>
        <w:t>here :</w:t>
      </w:r>
      <w:proofErr w:type="gramEnd"/>
      <w:r w:rsidRPr="00C16D62">
        <w:rPr>
          <w:rFonts w:asciiTheme="majorBidi" w:hAnsiTheme="majorBidi" w:cstheme="majorBidi"/>
          <w:color w:val="4472C4" w:themeColor="accent1"/>
          <w:sz w:val="16"/>
          <w:szCs w:val="16"/>
          <w:lang w:bidi="ar-DZ"/>
        </w:rPr>
        <w:t xml:space="preserve"> </w:t>
      </w:r>
      <w:hyperlink r:id="rId31" w:history="1">
        <w:r w:rsidRPr="00C16D62">
          <w:rPr>
            <w:rStyle w:val="Lienhypertexte"/>
            <w:rFonts w:asciiTheme="majorBidi" w:hAnsiTheme="majorBidi" w:cstheme="majorBidi"/>
            <w:color w:val="4472C4" w:themeColor="accent1"/>
            <w:sz w:val="16"/>
            <w:szCs w:val="16"/>
            <w:lang w:bidi="ar-DZ"/>
          </w:rPr>
          <w:t>https://www.sgg.gov.ma/BO/AR/3111/2024/BO_7329-bis_Ar.pdf</w:t>
        </w:r>
      </w:hyperlink>
      <w:r w:rsidRPr="00C16D62">
        <w:rPr>
          <w:rFonts w:asciiTheme="majorBidi" w:hAnsiTheme="majorBidi" w:cstheme="majorBidi"/>
          <w:color w:val="4472C4" w:themeColor="accent1"/>
          <w:sz w:val="16"/>
          <w:szCs w:val="16"/>
          <w:lang w:bidi="ar-DZ"/>
        </w:rPr>
        <w:t xml:space="preserve"> </w:t>
      </w:r>
    </w:p>
  </w:footnote>
  <w:footnote w:id="32">
    <w:p w14:paraId="6B1F9E4B" w14:textId="77777777" w:rsidR="00CF1C06" w:rsidRPr="00C16D62" w:rsidRDefault="00CF1C06" w:rsidP="00CF1C06">
      <w:pPr>
        <w:pStyle w:val="Notedebasdepage"/>
        <w:rPr>
          <w:rFonts w:asciiTheme="majorBidi" w:hAnsiTheme="majorBidi" w:cstheme="majorBidi"/>
          <w:color w:val="4472C4" w:themeColor="accent1"/>
          <w:sz w:val="16"/>
          <w:szCs w:val="16"/>
        </w:rPr>
      </w:pPr>
      <w:r w:rsidRPr="00C16D62">
        <w:rPr>
          <w:rStyle w:val="Appelnotedebasdep"/>
          <w:rFonts w:asciiTheme="majorBidi" w:hAnsiTheme="majorBidi" w:cstheme="majorBidi"/>
          <w:color w:val="4472C4" w:themeColor="accent1"/>
          <w:sz w:val="16"/>
          <w:szCs w:val="16"/>
        </w:rPr>
        <w:footnoteRef/>
      </w:r>
      <w:r w:rsidRPr="00C16D62">
        <w:rPr>
          <w:rFonts w:asciiTheme="majorBidi" w:hAnsiTheme="majorBidi" w:cstheme="majorBidi"/>
          <w:color w:val="4472C4" w:themeColor="accent1"/>
          <w:sz w:val="16"/>
          <w:szCs w:val="16"/>
        </w:rPr>
        <w:t xml:space="preserve"> NPM reports 2019-2022 </w:t>
      </w:r>
      <w:hyperlink r:id="rId32" w:history="1">
        <w:r w:rsidRPr="00C16D62">
          <w:rPr>
            <w:rStyle w:val="Lienhypertexte"/>
            <w:rFonts w:asciiTheme="majorBidi" w:hAnsiTheme="majorBidi" w:cstheme="majorBidi"/>
            <w:color w:val="4472C4" w:themeColor="accent1"/>
            <w:sz w:val="16"/>
            <w:szCs w:val="16"/>
          </w:rPr>
          <w:t>https://www.ohchr.org/sites/default/files/documents/hrbodies/spt-opcat/npm/rapport-mnp-maroc-2019-2022-ar.pdf</w:t>
        </w:r>
      </w:hyperlink>
      <w:r w:rsidRPr="00C16D62">
        <w:rPr>
          <w:rFonts w:asciiTheme="majorBidi" w:hAnsiTheme="majorBidi" w:cstheme="majorBidi"/>
          <w:color w:val="4472C4" w:themeColor="accent1"/>
          <w:sz w:val="16"/>
          <w:szCs w:val="16"/>
        </w:rPr>
        <w:t xml:space="preserve">   NPM report 2023 </w:t>
      </w:r>
      <w:hyperlink r:id="rId33" w:history="1">
        <w:r w:rsidRPr="00C16D62">
          <w:rPr>
            <w:rStyle w:val="Lienhypertexte"/>
            <w:rFonts w:asciiTheme="majorBidi" w:hAnsiTheme="majorBidi" w:cstheme="majorBidi"/>
            <w:color w:val="4472C4" w:themeColor="accent1"/>
            <w:sz w:val="16"/>
            <w:szCs w:val="16"/>
          </w:rPr>
          <w:t>https://www.ohchr.org/sites/default/files/documents/hrbodies/spt-opcat/npm/rapport-annuel-mnp-maroc-2023.pdf</w:t>
        </w:r>
      </w:hyperlink>
      <w:r w:rsidRPr="00C16D62">
        <w:rPr>
          <w:rFonts w:asciiTheme="majorBidi" w:hAnsiTheme="majorBidi" w:cstheme="majorBidi"/>
          <w:color w:val="4472C4" w:themeColor="accent1"/>
          <w:sz w:val="16"/>
          <w:szCs w:val="16"/>
        </w:rPr>
        <w:t xml:space="preserve"> </w:t>
      </w:r>
    </w:p>
  </w:footnote>
  <w:footnote w:id="33">
    <w:p w14:paraId="75DF9890" w14:textId="77777777" w:rsidR="00B74722" w:rsidRPr="00C16D62" w:rsidRDefault="00B74722" w:rsidP="00191088">
      <w:pPr>
        <w:pStyle w:val="Notedebasdepage"/>
        <w:rPr>
          <w:rFonts w:asciiTheme="majorBidi" w:hAnsiTheme="majorBidi" w:cstheme="majorBidi"/>
          <w:color w:val="4472C4" w:themeColor="accent1"/>
          <w:sz w:val="16"/>
          <w:szCs w:val="16"/>
        </w:rPr>
      </w:pPr>
      <w:r w:rsidRPr="00C16D62">
        <w:rPr>
          <w:rStyle w:val="Appelnotedebasdep"/>
          <w:rFonts w:asciiTheme="majorBidi" w:hAnsiTheme="majorBidi" w:cstheme="majorBidi"/>
          <w:color w:val="4472C4" w:themeColor="accent1"/>
          <w:sz w:val="16"/>
          <w:szCs w:val="16"/>
        </w:rPr>
        <w:footnoteRef/>
      </w:r>
      <w:r w:rsidRPr="00C16D62">
        <w:rPr>
          <w:rFonts w:asciiTheme="majorBidi" w:hAnsiTheme="majorBidi" w:cstheme="majorBidi"/>
          <w:color w:val="4472C4" w:themeColor="accent1"/>
          <w:sz w:val="16"/>
          <w:szCs w:val="16"/>
        </w:rPr>
        <w:t xml:space="preserve"> Latest report of the CNDH </w:t>
      </w:r>
      <w:proofErr w:type="spellStart"/>
      <w:r w:rsidRPr="00C16D62">
        <w:rPr>
          <w:rFonts w:asciiTheme="majorBidi" w:hAnsiTheme="majorBidi" w:cstheme="majorBidi"/>
          <w:color w:val="4472C4" w:themeColor="accent1"/>
          <w:sz w:val="16"/>
          <w:szCs w:val="16"/>
        </w:rPr>
        <w:t>containg</w:t>
      </w:r>
      <w:proofErr w:type="spellEnd"/>
      <w:r w:rsidRPr="00C16D62">
        <w:rPr>
          <w:rFonts w:asciiTheme="majorBidi" w:hAnsiTheme="majorBidi" w:cstheme="majorBidi"/>
          <w:color w:val="4472C4" w:themeColor="accent1"/>
          <w:sz w:val="16"/>
          <w:szCs w:val="16"/>
        </w:rPr>
        <w:t xml:space="preserve"> relevant information : </w:t>
      </w:r>
      <w:hyperlink r:id="rId34" w:history="1">
        <w:r w:rsidRPr="00C16D62">
          <w:rPr>
            <w:rStyle w:val="Lienhypertexte"/>
            <w:rFonts w:asciiTheme="majorBidi" w:hAnsiTheme="majorBidi" w:cstheme="majorBidi"/>
            <w:color w:val="4472C4" w:themeColor="accent1"/>
            <w:sz w:val="16"/>
            <w:szCs w:val="16"/>
          </w:rPr>
          <w:t>https://www.cndh.ma/en/cndh-publishes-its-annual-report-2023-entitled-laying-foundations-national-system-protect-economic</w:t>
        </w:r>
      </w:hyperlink>
      <w:r w:rsidRPr="00C16D62">
        <w:rPr>
          <w:rFonts w:asciiTheme="majorBidi" w:hAnsiTheme="majorBidi" w:cstheme="majorBidi"/>
          <w:color w:val="4472C4" w:themeColor="accent1"/>
          <w:sz w:val="16"/>
          <w:szCs w:val="16"/>
        </w:rPr>
        <w:t xml:space="preserve"> </w:t>
      </w:r>
    </w:p>
  </w:footnote>
  <w:footnote w:id="34">
    <w:p w14:paraId="705FCCCF" w14:textId="0E9B54E9" w:rsidR="00EA6BF3" w:rsidRPr="00C16D62" w:rsidRDefault="00EA6BF3">
      <w:pPr>
        <w:pStyle w:val="Notedebasdepage"/>
        <w:rPr>
          <w:sz w:val="16"/>
          <w:szCs w:val="16"/>
        </w:rPr>
      </w:pPr>
      <w:r w:rsidRPr="00C16D62">
        <w:rPr>
          <w:rStyle w:val="Appelnotedebasdep"/>
          <w:color w:val="4472C4" w:themeColor="accent1"/>
          <w:sz w:val="16"/>
          <w:szCs w:val="16"/>
        </w:rPr>
        <w:footnoteRef/>
      </w:r>
      <w:r w:rsidRPr="00C16D62">
        <w:rPr>
          <w:color w:val="4472C4" w:themeColor="accent1"/>
          <w:sz w:val="16"/>
          <w:szCs w:val="16"/>
        </w:rPr>
        <w:t xml:space="preserve"> </w:t>
      </w:r>
      <w:hyperlink r:id="rId35" w:history="1">
        <w:r w:rsidRPr="00C16D62">
          <w:rPr>
            <w:rStyle w:val="Lienhypertexte"/>
            <w:color w:val="4472C4" w:themeColor="accent1"/>
            <w:sz w:val="16"/>
            <w:szCs w:val="16"/>
          </w:rPr>
          <w:t>https://www.sgg.gov.ma/BO/AR/3111/2022/BO_7092_Ar.pdf</w:t>
        </w:r>
      </w:hyperlink>
      <w:r w:rsidRPr="00C16D62">
        <w:rPr>
          <w:color w:val="4472C4" w:themeColor="accent1"/>
          <w:sz w:val="16"/>
          <w:szCs w:val="16"/>
        </w:rPr>
        <w:t xml:space="preserve"> </w:t>
      </w:r>
    </w:p>
  </w:footnote>
  <w:footnote w:id="35">
    <w:p w14:paraId="68C95F2B" w14:textId="7CADA9C4" w:rsidR="00B74722" w:rsidRPr="00C16D62" w:rsidRDefault="00B7472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See memorandum of the CNDH on the amendment of Penal Code, available here: </w:t>
      </w:r>
      <w:hyperlink r:id="rId36" w:history="1">
        <w:r w:rsidRPr="00C16D62">
          <w:rPr>
            <w:rStyle w:val="Lienhypertexte"/>
            <w:rFonts w:asciiTheme="majorBidi" w:hAnsiTheme="majorBidi" w:cstheme="majorBidi"/>
            <w:sz w:val="16"/>
            <w:szCs w:val="16"/>
          </w:rPr>
          <w:t>https://www.cndh.ma/sites/default/files/2024-01/memo_code_penal_vf_0.pdf</w:t>
        </w:r>
      </w:hyperlink>
      <w:r w:rsidRPr="00C16D62">
        <w:rPr>
          <w:rFonts w:asciiTheme="majorBidi" w:hAnsiTheme="majorBidi" w:cstheme="majorBidi"/>
          <w:sz w:val="16"/>
          <w:szCs w:val="16"/>
        </w:rPr>
        <w:t xml:space="preserve"> </w:t>
      </w:r>
    </w:p>
  </w:footnote>
  <w:footnote w:id="36">
    <w:p w14:paraId="48D046F1" w14:textId="77777777" w:rsidR="00B74722" w:rsidRPr="00C16D62" w:rsidRDefault="00B74722" w:rsidP="007D7C92">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37" w:history="1">
        <w:r w:rsidRPr="00C16D62">
          <w:rPr>
            <w:rStyle w:val="Lienhypertexte"/>
            <w:rFonts w:asciiTheme="majorBidi" w:hAnsiTheme="majorBidi" w:cstheme="majorBidi"/>
            <w:sz w:val="16"/>
            <w:szCs w:val="16"/>
          </w:rPr>
          <w:t>https://www.cndh.ma/sites/default/files/2024-04/cndh_-_memo_peines_alternative_1.pdf</w:t>
        </w:r>
      </w:hyperlink>
      <w:r w:rsidRPr="00C16D62">
        <w:rPr>
          <w:rFonts w:asciiTheme="majorBidi" w:hAnsiTheme="majorBidi" w:cstheme="majorBidi"/>
          <w:sz w:val="16"/>
          <w:szCs w:val="16"/>
        </w:rPr>
        <w:t xml:space="preserve"> </w:t>
      </w:r>
    </w:p>
  </w:footnote>
  <w:footnote w:id="37">
    <w:p w14:paraId="0668906B" w14:textId="77777777" w:rsidR="00B74722" w:rsidRPr="00C16D62" w:rsidRDefault="00B74722" w:rsidP="00594310">
      <w:pPr>
        <w:rPr>
          <w:rFonts w:asciiTheme="majorBidi" w:hAnsiTheme="majorBidi" w:cstheme="majorBidi"/>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sz w:val="16"/>
          <w:szCs w:val="16"/>
          <w:lang w:val="en-US"/>
        </w:rPr>
        <w:t xml:space="preserve"> </w:t>
      </w:r>
      <w:hyperlink r:id="rId38">
        <w:r w:rsidRPr="00C16D62">
          <w:rPr>
            <w:rFonts w:asciiTheme="majorBidi" w:hAnsiTheme="majorBidi" w:cstheme="majorBidi"/>
            <w:color w:val="1155CC"/>
            <w:sz w:val="16"/>
            <w:szCs w:val="16"/>
            <w:u w:val="single"/>
            <w:lang w:val="en-US"/>
          </w:rPr>
          <w:t>https://www.cndh.org.ma/sites/default/files/cndh_-_memo_code_penal_vf_5mai.pdf</w:t>
        </w:r>
      </w:hyperlink>
    </w:p>
  </w:footnote>
  <w:footnote w:id="38">
    <w:p w14:paraId="7478FF4E" w14:textId="3FB6BFC0" w:rsidR="00B74722" w:rsidRPr="00C16D62" w:rsidRDefault="00B74722" w:rsidP="00594310">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Anyone who uses means of seduction with the aim of shaking the faith of a Muslim or converting him to another religion, either by exploiting his weakness or his needs, or by using, for these purposes, educational establishments, health establishments, asylums or orphanages</w:t>
      </w:r>
      <w:r w:rsidR="004B0BCD" w:rsidRPr="00C16D62">
        <w:rPr>
          <w:rFonts w:asciiTheme="majorBidi" w:hAnsiTheme="majorBidi" w:cstheme="majorBidi"/>
          <w:sz w:val="16"/>
          <w:szCs w:val="16"/>
        </w:rPr>
        <w:t>, shall be punished</w:t>
      </w:r>
      <w:r w:rsidRPr="00C16D62">
        <w:rPr>
          <w:rFonts w:asciiTheme="majorBidi" w:hAnsiTheme="majorBidi" w:cstheme="majorBidi"/>
          <w:sz w:val="16"/>
          <w:szCs w:val="16"/>
        </w:rPr>
        <w:t>. In the event of conviction, the closure of the establishment which was used to commit the offense may be ordered, either definitively or for a period which cannot exceed three years.</w:t>
      </w:r>
    </w:p>
  </w:footnote>
  <w:footnote w:id="39">
    <w:p w14:paraId="60E75A81" w14:textId="77777777" w:rsidR="00B74722" w:rsidRPr="00C16D62" w:rsidRDefault="00B74722" w:rsidP="00594310">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Anyone who, notoriously known for belonging to the Muslim religion, ostensibly breaks the fast in a public place during the time of Ramadan, without a reason accepted by this religion, is punished by imprisonment of one to six months and a fine of 12 to 120 dirhams.</w:t>
      </w:r>
    </w:p>
  </w:footnote>
  <w:footnote w:id="40">
    <w:p w14:paraId="0E555AB5" w14:textId="77777777" w:rsidR="00B74722" w:rsidRPr="00C16D62" w:rsidRDefault="00B74722" w:rsidP="007D7C92">
      <w:pPr>
        <w:rPr>
          <w:rFonts w:asciiTheme="majorBidi" w:hAnsiTheme="majorBidi" w:cstheme="majorBidi"/>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sz w:val="16"/>
          <w:szCs w:val="16"/>
          <w:lang w:val="en-US"/>
        </w:rPr>
        <w:t xml:space="preserve"> </w:t>
      </w:r>
      <w:hyperlink r:id="rId39">
        <w:r w:rsidRPr="00C16D62">
          <w:rPr>
            <w:rFonts w:asciiTheme="majorBidi" w:hAnsiTheme="majorBidi" w:cstheme="majorBidi"/>
            <w:color w:val="1155CC"/>
            <w:sz w:val="16"/>
            <w:szCs w:val="16"/>
            <w:u w:val="single"/>
            <w:lang w:val="en-US"/>
          </w:rPr>
          <w:t>https://www.cndh.org.ma/sites/default/files/cndh_-_memo_code_penal_vf_5mai.pdf</w:t>
        </w:r>
      </w:hyperlink>
    </w:p>
  </w:footnote>
  <w:footnote w:id="41">
    <w:p w14:paraId="13CFF211" w14:textId="77777777" w:rsidR="00B74722" w:rsidRPr="00C16D62" w:rsidRDefault="00B74722" w:rsidP="00A168F3">
      <w:pPr>
        <w:pBdr>
          <w:top w:val="nil"/>
          <w:left w:val="nil"/>
          <w:bottom w:val="nil"/>
          <w:right w:val="nil"/>
          <w:between w:val="nil"/>
        </w:pBdr>
        <w:jc w:val="both"/>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Article 10 (Freedom of opinion and expression for the Opposition); Articles 25 to 28 (Freedom of opinion and expression, freedom of the press, access to information, freedom to create, artistic and academic freedom of expression (scientific research, literature, arts, etc.); Article 111, entrenching judges’ right to expression, etc.</w:t>
      </w:r>
    </w:p>
  </w:footnote>
  <w:footnote w:id="42">
    <w:p w14:paraId="138D6586" w14:textId="77777777" w:rsidR="00A20AEC" w:rsidRPr="00C16D62" w:rsidRDefault="00A20AEC" w:rsidP="00A20AEC">
      <w:pPr>
        <w:pBdr>
          <w:top w:val="nil"/>
          <w:left w:val="nil"/>
          <w:bottom w:val="nil"/>
          <w:right w:val="nil"/>
          <w:between w:val="nil"/>
        </w:pBdr>
        <w:jc w:val="both"/>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Law No. 88-13, Official Bulletin No. 6491 dated August 15, 2016.</w:t>
      </w:r>
    </w:p>
  </w:footnote>
  <w:footnote w:id="43">
    <w:p w14:paraId="327C7A5B" w14:textId="77777777" w:rsidR="00A20AEC" w:rsidRPr="00C16D62" w:rsidRDefault="00A20AEC" w:rsidP="00A20AEC">
      <w:pPr>
        <w:pStyle w:val="Notedebasdepage"/>
        <w:jc w:val="both"/>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See concluding observations on Morocco available </w:t>
      </w:r>
      <w:proofErr w:type="gramStart"/>
      <w:r w:rsidRPr="00C16D62">
        <w:rPr>
          <w:rFonts w:asciiTheme="majorBidi" w:hAnsiTheme="majorBidi" w:cstheme="majorBidi"/>
          <w:sz w:val="16"/>
          <w:szCs w:val="16"/>
        </w:rPr>
        <w:t>here :</w:t>
      </w:r>
      <w:proofErr w:type="gramEnd"/>
      <w:r w:rsidRPr="00C16D62">
        <w:rPr>
          <w:rFonts w:asciiTheme="majorBidi" w:hAnsiTheme="majorBidi" w:cstheme="majorBidi"/>
          <w:sz w:val="16"/>
          <w:szCs w:val="16"/>
        </w:rPr>
        <w:t xml:space="preserve"> </w:t>
      </w:r>
    </w:p>
    <w:p w14:paraId="6C6EC322" w14:textId="77777777" w:rsidR="00A20AEC" w:rsidRPr="00C16D62" w:rsidRDefault="00530F83" w:rsidP="00A20AEC">
      <w:pPr>
        <w:pStyle w:val="Notedebasdepage"/>
        <w:jc w:val="both"/>
        <w:rPr>
          <w:rFonts w:asciiTheme="majorBidi" w:hAnsiTheme="majorBidi" w:cstheme="majorBidi"/>
          <w:sz w:val="16"/>
          <w:szCs w:val="16"/>
        </w:rPr>
      </w:pPr>
      <w:hyperlink r:id="rId40" w:history="1">
        <w:r w:rsidR="00A20AEC" w:rsidRPr="00C16D62">
          <w:rPr>
            <w:rStyle w:val="Lienhypertexte"/>
            <w:rFonts w:asciiTheme="majorBidi" w:hAnsiTheme="majorBidi" w:cstheme="majorBidi"/>
            <w:sz w:val="16"/>
            <w:szCs w:val="16"/>
          </w:rPr>
          <w:t>https://documents.un.org/doc/undoc/gen/g16/264/99/pdf/g1626499.pdf?token=YtcMS5P1LuGfiGF0G2&amp;fe=true</w:t>
        </w:r>
      </w:hyperlink>
      <w:r w:rsidR="00A20AEC" w:rsidRPr="00C16D62">
        <w:rPr>
          <w:rFonts w:asciiTheme="majorBidi" w:hAnsiTheme="majorBidi" w:cstheme="majorBidi"/>
          <w:sz w:val="16"/>
          <w:szCs w:val="16"/>
        </w:rPr>
        <w:t xml:space="preserve"> </w:t>
      </w:r>
    </w:p>
  </w:footnote>
  <w:footnote w:id="44">
    <w:p w14:paraId="7040D387" w14:textId="77777777" w:rsidR="00A20AEC" w:rsidRPr="00C16D62" w:rsidRDefault="00A20AEC" w:rsidP="00A20AEC">
      <w:pPr>
        <w:pStyle w:val="Notedebasdepage"/>
        <w:jc w:val="both"/>
        <w:rPr>
          <w:rFonts w:asciiTheme="majorBidi" w:hAnsiTheme="majorBidi" w:cstheme="majorBidi"/>
          <w:sz w:val="16"/>
          <w:szCs w:val="16"/>
          <w:rtl/>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https://www.cndh.ma/ar/mdhkrt/ry-lmjls-lwtny-lhqwq-lnsn-bkhsws-mshrw-lqnwn-rqm-1771-ldhy-yqdy-btgyyr-wttmym-lqnwn-rqm-1388</w:t>
      </w:r>
    </w:p>
  </w:footnote>
  <w:footnote w:id="45">
    <w:p w14:paraId="702F9D03" w14:textId="77777777" w:rsidR="00CC0F96" w:rsidRPr="00C16D62" w:rsidRDefault="00CC0F96" w:rsidP="00CC0F96">
      <w:pPr>
        <w:pStyle w:val="Notedebasdepage"/>
        <w:rPr>
          <w:rFonts w:asciiTheme="majorBidi" w:hAnsiTheme="majorBidi" w:cstheme="majorBidi"/>
          <w:sz w:val="16"/>
          <w:szCs w:val="16"/>
        </w:rPr>
      </w:pPr>
      <w:r w:rsidRPr="00C16D62">
        <w:rPr>
          <w:rStyle w:val="Appelnotedebasdep"/>
          <w:rFonts w:asciiTheme="majorBidi" w:hAnsiTheme="majorBidi" w:cstheme="majorBidi"/>
          <w:sz w:val="16"/>
          <w:szCs w:val="16"/>
        </w:rPr>
        <w:footnoteRef/>
      </w:r>
      <w:r w:rsidRPr="00C16D62">
        <w:rPr>
          <w:rFonts w:asciiTheme="majorBidi" w:hAnsiTheme="majorBidi" w:cstheme="majorBidi"/>
          <w:sz w:val="16"/>
          <w:szCs w:val="16"/>
        </w:rPr>
        <w:t xml:space="preserve"> </w:t>
      </w:r>
      <w:hyperlink r:id="rId41" w:history="1">
        <w:r w:rsidRPr="00C16D62">
          <w:rPr>
            <w:rStyle w:val="Lienhypertexte"/>
            <w:rFonts w:asciiTheme="majorBidi" w:hAnsiTheme="majorBidi" w:cstheme="majorBidi"/>
            <w:sz w:val="16"/>
            <w:szCs w:val="16"/>
          </w:rPr>
          <w:t>https://www.cndh.ma/en/freedom-expression-assembly-demonstration-and-association</w:t>
        </w:r>
      </w:hyperlink>
      <w:r w:rsidRPr="00C16D62">
        <w:rPr>
          <w:rFonts w:asciiTheme="majorBidi" w:hAnsiTheme="majorBidi" w:cstheme="majorBidi"/>
          <w:sz w:val="16"/>
          <w:szCs w:val="16"/>
        </w:rPr>
        <w:t xml:space="preserve"> </w:t>
      </w:r>
    </w:p>
  </w:footnote>
  <w:footnote w:id="46">
    <w:p w14:paraId="6AC5076B" w14:textId="1DF9B07C" w:rsidR="00B74722" w:rsidRPr="00C16D62" w:rsidRDefault="00B74722">
      <w:pPr>
        <w:pStyle w:val="Notedebasdepage"/>
        <w:rPr>
          <w:sz w:val="16"/>
          <w:szCs w:val="16"/>
        </w:rPr>
      </w:pPr>
      <w:r w:rsidRPr="00C16D62">
        <w:rPr>
          <w:rStyle w:val="Appelnotedebasdep"/>
          <w:sz w:val="16"/>
          <w:szCs w:val="16"/>
        </w:rPr>
        <w:footnoteRef/>
      </w:r>
      <w:r w:rsidRPr="00C16D62">
        <w:rPr>
          <w:sz w:val="16"/>
          <w:szCs w:val="16"/>
        </w:rPr>
        <w:t xml:space="preserve"> </w:t>
      </w:r>
      <w:r w:rsidRPr="00C16D62">
        <w:rPr>
          <w:rFonts w:asciiTheme="majorBidi" w:hAnsiTheme="majorBidi" w:cstheme="majorBidi"/>
          <w:color w:val="000000"/>
          <w:sz w:val="16"/>
          <w:szCs w:val="16"/>
        </w:rPr>
        <w:t>Title XII of the constitution lists the institutions and bodies for the protection of rights and freedoms, good governance, human and sustainable development, and participatory democracy, including the CNDH, the CCME, the APALD, the HACA, etc.</w:t>
      </w:r>
    </w:p>
  </w:footnote>
  <w:footnote w:id="47">
    <w:p w14:paraId="28BC396A" w14:textId="77777777" w:rsidR="00B74722" w:rsidRPr="00C16D62" w:rsidRDefault="00B74722" w:rsidP="00A75594">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Law N. 18-06 relating to the organization of voluntary work, published in the Official Bulletin N. 7010 dated 5 August 2021.</w:t>
      </w:r>
    </w:p>
  </w:footnote>
  <w:footnote w:id="48">
    <w:p w14:paraId="57F35745" w14:textId="77777777" w:rsidR="00B74722" w:rsidRPr="00C16D62" w:rsidRDefault="00B74722" w:rsidP="00A75594">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Published in the Official Bulletin, N. 7021 dated 13 September 2021.</w:t>
      </w:r>
    </w:p>
  </w:footnote>
  <w:footnote w:id="49">
    <w:p w14:paraId="2D67E203" w14:textId="77777777" w:rsidR="00B74722" w:rsidRPr="00C16D62" w:rsidRDefault="00B74722" w:rsidP="00A75594">
      <w:pPr>
        <w:pBdr>
          <w:top w:val="nil"/>
          <w:left w:val="nil"/>
          <w:bottom w:val="nil"/>
          <w:right w:val="nil"/>
          <w:between w:val="nil"/>
        </w:pBdr>
        <w:rPr>
          <w:rFonts w:asciiTheme="majorBidi" w:hAnsiTheme="majorBidi" w:cstheme="majorBidi"/>
          <w:color w:val="000000"/>
          <w:sz w:val="16"/>
          <w:szCs w:val="16"/>
          <w:lang w:val="en-US"/>
        </w:rPr>
      </w:pPr>
      <w:r w:rsidRPr="00C16D62">
        <w:rPr>
          <w:rFonts w:asciiTheme="majorBidi" w:hAnsiTheme="majorBidi" w:cstheme="majorBidi"/>
          <w:sz w:val="16"/>
          <w:szCs w:val="16"/>
          <w:vertAlign w:val="superscript"/>
        </w:rPr>
        <w:footnoteRef/>
      </w:r>
      <w:r w:rsidRPr="00C16D62">
        <w:rPr>
          <w:rFonts w:asciiTheme="majorBidi" w:hAnsiTheme="majorBidi" w:cstheme="majorBidi"/>
          <w:color w:val="000000"/>
          <w:sz w:val="16"/>
          <w:szCs w:val="16"/>
          <w:lang w:val="en-US"/>
        </w:rPr>
        <w:t xml:space="preserve"> Published in the Official Bulletin, N. 7021 dated 13 September 2021.</w:t>
      </w:r>
    </w:p>
  </w:footnote>
  <w:footnote w:id="50">
    <w:p w14:paraId="7B223C00" w14:textId="77777777" w:rsidR="00846FE5" w:rsidRPr="00C16D62" w:rsidRDefault="00846FE5" w:rsidP="00846FE5">
      <w:pPr>
        <w:pStyle w:val="Notedebasdepage"/>
        <w:rPr>
          <w:sz w:val="16"/>
          <w:szCs w:val="16"/>
        </w:rPr>
      </w:pPr>
      <w:r w:rsidRPr="00C16D62">
        <w:rPr>
          <w:rStyle w:val="Appelnotedebasdep"/>
          <w:sz w:val="16"/>
          <w:szCs w:val="16"/>
        </w:rPr>
        <w:footnoteRef/>
      </w:r>
      <w:r w:rsidRPr="00C16D62">
        <w:rPr>
          <w:sz w:val="16"/>
          <w:szCs w:val="16"/>
        </w:rPr>
        <w:t xml:space="preserve"> Available </w:t>
      </w:r>
      <w:proofErr w:type="gramStart"/>
      <w:r w:rsidRPr="00C16D62">
        <w:rPr>
          <w:sz w:val="16"/>
          <w:szCs w:val="16"/>
        </w:rPr>
        <w:t>here :</w:t>
      </w:r>
      <w:proofErr w:type="gramEnd"/>
      <w:r w:rsidRPr="00C16D62">
        <w:rPr>
          <w:sz w:val="16"/>
          <w:szCs w:val="16"/>
        </w:rPr>
        <w:t xml:space="preserve"> </w:t>
      </w:r>
      <w:hyperlink r:id="rId42" w:history="1">
        <w:r w:rsidRPr="00C16D62">
          <w:rPr>
            <w:rStyle w:val="Lienhypertexte"/>
            <w:rFonts w:asciiTheme="majorBidi" w:hAnsiTheme="majorBidi" w:cstheme="majorBidi"/>
            <w:sz w:val="16"/>
            <w:szCs w:val="16"/>
          </w:rPr>
          <w:t>https://www.cndh.ma/sites/default/files/2025-05/memo_cndh_code_famille_ar_dec_2023.pdf</w:t>
        </w:r>
      </w:hyperlink>
    </w:p>
  </w:footnote>
  <w:footnote w:id="51">
    <w:p w14:paraId="51848775" w14:textId="6CFEA38E" w:rsidR="00B74722" w:rsidRPr="00C16D62" w:rsidRDefault="00B74722">
      <w:pPr>
        <w:pStyle w:val="Notedebasdepage"/>
        <w:rPr>
          <w:sz w:val="16"/>
          <w:szCs w:val="16"/>
        </w:rPr>
      </w:pPr>
      <w:r w:rsidRPr="00C16D62">
        <w:rPr>
          <w:rStyle w:val="Appelnotedebasdep"/>
          <w:sz w:val="16"/>
          <w:szCs w:val="16"/>
        </w:rPr>
        <w:footnoteRef/>
      </w:r>
      <w:r w:rsidRPr="00C16D62">
        <w:rPr>
          <w:sz w:val="16"/>
          <w:szCs w:val="16"/>
        </w:rPr>
        <w:t xml:space="preserve"> </w:t>
      </w:r>
      <w:r w:rsidRPr="00C16D62">
        <w:rPr>
          <w:rFonts w:asciiTheme="majorBidi" w:hAnsiTheme="majorBidi" w:cstheme="majorBidi"/>
          <w:color w:val="212529"/>
          <w:sz w:val="16"/>
          <w:szCs w:val="16"/>
          <w:highlight w:val="white"/>
        </w:rPr>
        <w:t>A religious marriage ceremony conducted without a written contract.</w:t>
      </w:r>
    </w:p>
  </w:footnote>
  <w:footnote w:id="52">
    <w:p w14:paraId="05EADA9E" w14:textId="1300D23A" w:rsidR="00846FE5" w:rsidRPr="00C16D62" w:rsidRDefault="00846FE5" w:rsidP="00B06399">
      <w:pPr>
        <w:rPr>
          <w:sz w:val="16"/>
          <w:szCs w:val="16"/>
          <w:lang w:val="en-US"/>
        </w:rPr>
      </w:pPr>
      <w:r w:rsidRPr="00C16D62">
        <w:rPr>
          <w:rStyle w:val="Appelnotedebasdep"/>
          <w:sz w:val="16"/>
          <w:szCs w:val="16"/>
        </w:rPr>
        <w:footnoteRef/>
      </w:r>
      <w:r w:rsidRPr="00C16D62">
        <w:rPr>
          <w:sz w:val="16"/>
          <w:szCs w:val="16"/>
          <w:lang w:val="en-US"/>
        </w:rPr>
        <w:t xml:space="preserve"> Report on elections available </w:t>
      </w:r>
      <w:proofErr w:type="gramStart"/>
      <w:r w:rsidRPr="00C16D62">
        <w:rPr>
          <w:sz w:val="16"/>
          <w:szCs w:val="16"/>
          <w:lang w:val="en-US"/>
        </w:rPr>
        <w:t>here :</w:t>
      </w:r>
      <w:proofErr w:type="gramEnd"/>
      <w:r w:rsidR="00B06399" w:rsidRPr="00C16D62">
        <w:rPr>
          <w:sz w:val="16"/>
          <w:szCs w:val="16"/>
          <w:lang w:val="en-US"/>
        </w:rPr>
        <w:t xml:space="preserve"> </w:t>
      </w:r>
      <w:hyperlink r:id="rId43" w:history="1">
        <w:r w:rsidR="00B06399" w:rsidRPr="00C16D62">
          <w:rPr>
            <w:rStyle w:val="Lienhypertexte"/>
            <w:sz w:val="16"/>
            <w:szCs w:val="16"/>
            <w:lang w:val="en-US"/>
          </w:rPr>
          <w:t>https://www.cndh.ma/sites/default/files/2024-01/cndh_-_exe_rapport_election_-.pdf</w:t>
        </w:r>
      </w:hyperlink>
      <w:r w:rsidR="00B06399" w:rsidRPr="00C16D62">
        <w:rPr>
          <w:sz w:val="16"/>
          <w:szCs w:val="16"/>
          <w:lang w:val="en-US"/>
        </w:rPr>
        <w:t xml:space="preserve"> </w:t>
      </w:r>
      <w:r w:rsidRPr="00C16D62">
        <w:rPr>
          <w:sz w:val="16"/>
          <w:szCs w:val="16"/>
          <w:lang w:val="en-US"/>
        </w:rPr>
        <w:t xml:space="preserve">  </w:t>
      </w:r>
    </w:p>
    <w:p w14:paraId="68A7DD49" w14:textId="1DD1864A" w:rsidR="00846FE5" w:rsidRPr="00C16D62" w:rsidRDefault="00846FE5">
      <w:pPr>
        <w:pStyle w:val="Notedebasdepage"/>
        <w:rPr>
          <w:sz w:val="16"/>
          <w:szCs w:val="16"/>
        </w:rPr>
      </w:pPr>
      <w:r w:rsidRPr="00C16D62">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22E8"/>
    <w:multiLevelType w:val="hybridMultilevel"/>
    <w:tmpl w:val="30B84806"/>
    <w:lvl w:ilvl="0" w:tplc="5DF26892">
      <w:start w:val="1"/>
      <w:numFmt w:val="decimal"/>
      <w:lvlText w:val="%1."/>
      <w:lvlJc w:val="left"/>
      <w:pPr>
        <w:ind w:left="360" w:hanging="360"/>
      </w:pPr>
      <w:rPr>
        <w:rFonts w:hint="default"/>
        <w:b w:val="0"/>
        <w:bCs w:val="0"/>
        <w:i w:val="0"/>
        <w:iCs w:val="0"/>
        <w:lang w:val="en-GB"/>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A367165"/>
    <w:multiLevelType w:val="multilevel"/>
    <w:tmpl w:val="93B04232"/>
    <w:lvl w:ilvl="0">
      <w:start w:val="1"/>
      <w:numFmt w:val="decimal"/>
      <w:lvlText w:val="%1."/>
      <w:lvlJc w:val="left"/>
      <w:pPr>
        <w:ind w:left="360" w:hanging="360"/>
      </w:pPr>
      <w:rPr>
        <w:b w:val="0"/>
        <w:i w:val="0"/>
        <w:iCs/>
        <w:lang w:val="fr-M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B1F4322"/>
    <w:multiLevelType w:val="hybridMultilevel"/>
    <w:tmpl w:val="7944C29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A7822"/>
    <w:multiLevelType w:val="multilevel"/>
    <w:tmpl w:val="0D6C6A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009D6"/>
    <w:multiLevelType w:val="hybridMultilevel"/>
    <w:tmpl w:val="C066B3BE"/>
    <w:lvl w:ilvl="0" w:tplc="33D8353C">
      <w:start w:val="8"/>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6AF78B3"/>
    <w:multiLevelType w:val="hybridMultilevel"/>
    <w:tmpl w:val="DAA0E7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D421B08"/>
    <w:multiLevelType w:val="hybridMultilevel"/>
    <w:tmpl w:val="69624A9A"/>
    <w:lvl w:ilvl="0" w:tplc="F0F448DA">
      <w:start w:val="1"/>
      <w:numFmt w:val="decimal"/>
      <w:lvlText w:val="%1."/>
      <w:lvlJc w:val="left"/>
      <w:pPr>
        <w:ind w:left="720" w:hanging="360"/>
      </w:pPr>
      <w:rPr>
        <w:rFonts w:hint="default"/>
        <w:b w:val="0"/>
        <w:bCs w:val="0"/>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D4637EA"/>
    <w:multiLevelType w:val="hybridMultilevel"/>
    <w:tmpl w:val="F97EDA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21F3B24"/>
    <w:multiLevelType w:val="hybridMultilevel"/>
    <w:tmpl w:val="43627B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B1A39"/>
    <w:multiLevelType w:val="hybridMultilevel"/>
    <w:tmpl w:val="7090CB6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926548"/>
    <w:multiLevelType w:val="hybridMultilevel"/>
    <w:tmpl w:val="FD4AA3FC"/>
    <w:lvl w:ilvl="0" w:tplc="5FFE111E">
      <w:start w:val="1"/>
      <w:numFmt w:val="decimal"/>
      <w:lvlText w:val="%1-"/>
      <w:lvlJc w:val="left"/>
      <w:pPr>
        <w:ind w:left="717" w:hanging="360"/>
      </w:pPr>
      <w:rPr>
        <w:rFonts w:hint="default"/>
      </w:rPr>
    </w:lvl>
    <w:lvl w:ilvl="1" w:tplc="040C0019" w:tentative="1">
      <w:start w:val="1"/>
      <w:numFmt w:val="lowerLetter"/>
      <w:lvlText w:val="%2."/>
      <w:lvlJc w:val="left"/>
      <w:pPr>
        <w:ind w:left="1437" w:hanging="360"/>
      </w:pPr>
    </w:lvl>
    <w:lvl w:ilvl="2" w:tplc="040C001B" w:tentative="1">
      <w:start w:val="1"/>
      <w:numFmt w:val="lowerRoman"/>
      <w:lvlText w:val="%3."/>
      <w:lvlJc w:val="right"/>
      <w:pPr>
        <w:ind w:left="2157" w:hanging="180"/>
      </w:pPr>
    </w:lvl>
    <w:lvl w:ilvl="3" w:tplc="040C000F" w:tentative="1">
      <w:start w:val="1"/>
      <w:numFmt w:val="decimal"/>
      <w:lvlText w:val="%4."/>
      <w:lvlJc w:val="left"/>
      <w:pPr>
        <w:ind w:left="2877" w:hanging="360"/>
      </w:pPr>
    </w:lvl>
    <w:lvl w:ilvl="4" w:tplc="040C0019" w:tentative="1">
      <w:start w:val="1"/>
      <w:numFmt w:val="lowerLetter"/>
      <w:lvlText w:val="%5."/>
      <w:lvlJc w:val="left"/>
      <w:pPr>
        <w:ind w:left="3597" w:hanging="360"/>
      </w:pPr>
    </w:lvl>
    <w:lvl w:ilvl="5" w:tplc="040C001B" w:tentative="1">
      <w:start w:val="1"/>
      <w:numFmt w:val="lowerRoman"/>
      <w:lvlText w:val="%6."/>
      <w:lvlJc w:val="right"/>
      <w:pPr>
        <w:ind w:left="4317" w:hanging="180"/>
      </w:pPr>
    </w:lvl>
    <w:lvl w:ilvl="6" w:tplc="040C000F" w:tentative="1">
      <w:start w:val="1"/>
      <w:numFmt w:val="decimal"/>
      <w:lvlText w:val="%7."/>
      <w:lvlJc w:val="left"/>
      <w:pPr>
        <w:ind w:left="5037" w:hanging="360"/>
      </w:pPr>
    </w:lvl>
    <w:lvl w:ilvl="7" w:tplc="040C0019" w:tentative="1">
      <w:start w:val="1"/>
      <w:numFmt w:val="lowerLetter"/>
      <w:lvlText w:val="%8."/>
      <w:lvlJc w:val="left"/>
      <w:pPr>
        <w:ind w:left="5757" w:hanging="360"/>
      </w:pPr>
    </w:lvl>
    <w:lvl w:ilvl="8" w:tplc="040C001B" w:tentative="1">
      <w:start w:val="1"/>
      <w:numFmt w:val="lowerRoman"/>
      <w:lvlText w:val="%9."/>
      <w:lvlJc w:val="right"/>
      <w:pPr>
        <w:ind w:left="6477" w:hanging="180"/>
      </w:pPr>
    </w:lvl>
  </w:abstractNum>
  <w:abstractNum w:abstractNumId="11" w15:restartNumberingAfterBreak="0">
    <w:nsid w:val="28E8799E"/>
    <w:multiLevelType w:val="hybridMultilevel"/>
    <w:tmpl w:val="84565684"/>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B3716BA"/>
    <w:multiLevelType w:val="hybridMultilevel"/>
    <w:tmpl w:val="904E807C"/>
    <w:lvl w:ilvl="0" w:tplc="FE2CA522">
      <w:start w:val="19"/>
      <w:numFmt w:val="bullet"/>
      <w:lvlText w:val="-"/>
      <w:lvlJc w:val="left"/>
      <w:pPr>
        <w:ind w:left="720" w:hanging="360"/>
      </w:pPr>
      <w:rPr>
        <w:rFonts w:ascii="Calibri Light" w:eastAsiaTheme="minorHAnsi" w:hAnsi="Calibri Ligh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B579F7"/>
    <w:multiLevelType w:val="hybridMultilevel"/>
    <w:tmpl w:val="7AE2B49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4F569E4"/>
    <w:multiLevelType w:val="hybridMultilevel"/>
    <w:tmpl w:val="21B461EE"/>
    <w:lvl w:ilvl="0" w:tplc="040C0005">
      <w:start w:val="1"/>
      <w:numFmt w:val="bullet"/>
      <w:lvlText w:val=""/>
      <w:lvlJc w:val="left"/>
      <w:pPr>
        <w:ind w:left="717" w:hanging="360"/>
      </w:pPr>
      <w:rPr>
        <w:rFonts w:ascii="Wingdings" w:hAnsi="Wingdings"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5" w15:restartNumberingAfterBreak="0">
    <w:nsid w:val="361E51A9"/>
    <w:multiLevelType w:val="hybridMultilevel"/>
    <w:tmpl w:val="01104144"/>
    <w:lvl w:ilvl="0" w:tplc="DA5E038E">
      <w:numFmt w:val="bullet"/>
      <w:lvlText w:val="-"/>
      <w:lvlJc w:val="left"/>
      <w:pPr>
        <w:ind w:left="720" w:hanging="360"/>
      </w:pPr>
      <w:rPr>
        <w:rFonts w:ascii="Avenir Book" w:eastAsia="Calibri" w:hAnsi="Avenir Book"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980446"/>
    <w:multiLevelType w:val="hybridMultilevel"/>
    <w:tmpl w:val="69624A9A"/>
    <w:lvl w:ilvl="0" w:tplc="F0F448DA">
      <w:start w:val="1"/>
      <w:numFmt w:val="decimal"/>
      <w:lvlText w:val="%1."/>
      <w:lvlJc w:val="left"/>
      <w:pPr>
        <w:ind w:left="720" w:hanging="360"/>
      </w:pPr>
      <w:rPr>
        <w:rFonts w:hint="default"/>
        <w:b w:val="0"/>
        <w:bCs w:val="0"/>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88A3C32"/>
    <w:multiLevelType w:val="hybridMultilevel"/>
    <w:tmpl w:val="883CCE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C496D69"/>
    <w:multiLevelType w:val="multilevel"/>
    <w:tmpl w:val="565464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8E6629"/>
    <w:multiLevelType w:val="multilevel"/>
    <w:tmpl w:val="1D78F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164794"/>
    <w:multiLevelType w:val="hybridMultilevel"/>
    <w:tmpl w:val="E2988D68"/>
    <w:lvl w:ilvl="0" w:tplc="68E6B63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9CD790A"/>
    <w:multiLevelType w:val="hybridMultilevel"/>
    <w:tmpl w:val="A6A0D54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4BC22046"/>
    <w:multiLevelType w:val="hybridMultilevel"/>
    <w:tmpl w:val="BEDA61CA"/>
    <w:lvl w:ilvl="0" w:tplc="040C0005">
      <w:start w:val="1"/>
      <w:numFmt w:val="bullet"/>
      <w:lvlText w:val=""/>
      <w:lvlJc w:val="left"/>
      <w:pPr>
        <w:ind w:left="717" w:hanging="360"/>
      </w:pPr>
      <w:rPr>
        <w:rFonts w:ascii="Wingdings" w:hAnsi="Wingdings"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3" w15:restartNumberingAfterBreak="0">
    <w:nsid w:val="4F29208D"/>
    <w:multiLevelType w:val="hybridMultilevel"/>
    <w:tmpl w:val="DC86B7E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F4B2F41"/>
    <w:multiLevelType w:val="multilevel"/>
    <w:tmpl w:val="3180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54011"/>
    <w:multiLevelType w:val="hybridMultilevel"/>
    <w:tmpl w:val="25DE3AF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FC3743B"/>
    <w:multiLevelType w:val="hybridMultilevel"/>
    <w:tmpl w:val="92962428"/>
    <w:lvl w:ilvl="0" w:tplc="DA5E038E">
      <w:numFmt w:val="bullet"/>
      <w:lvlText w:val="-"/>
      <w:lvlJc w:val="left"/>
      <w:pPr>
        <w:ind w:left="720" w:hanging="360"/>
      </w:pPr>
      <w:rPr>
        <w:rFonts w:ascii="Avenir Book" w:eastAsia="Calibri" w:hAnsi="Avenir Book"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2F2A25"/>
    <w:multiLevelType w:val="hybridMultilevel"/>
    <w:tmpl w:val="FD1A937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15:restartNumberingAfterBreak="0">
    <w:nsid w:val="6E865B3A"/>
    <w:multiLevelType w:val="hybridMultilevel"/>
    <w:tmpl w:val="001A5234"/>
    <w:lvl w:ilvl="0" w:tplc="A6FC927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651E70"/>
    <w:multiLevelType w:val="hybridMultilevel"/>
    <w:tmpl w:val="1C463034"/>
    <w:lvl w:ilvl="0" w:tplc="BD40EC8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4B46AB3"/>
    <w:multiLevelType w:val="hybridMultilevel"/>
    <w:tmpl w:val="58645AD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75854DAB"/>
    <w:multiLevelType w:val="hybridMultilevel"/>
    <w:tmpl w:val="5524BC7C"/>
    <w:lvl w:ilvl="0" w:tplc="8A8224C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9406477"/>
    <w:multiLevelType w:val="hybridMultilevel"/>
    <w:tmpl w:val="B0A2D2F2"/>
    <w:lvl w:ilvl="0" w:tplc="7AEAC1B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A3E70EF"/>
    <w:multiLevelType w:val="hybridMultilevel"/>
    <w:tmpl w:val="A2E80F82"/>
    <w:lvl w:ilvl="0" w:tplc="F0F448DA">
      <w:start w:val="1"/>
      <w:numFmt w:val="decimal"/>
      <w:lvlText w:val="%1."/>
      <w:lvlJc w:val="left"/>
      <w:pPr>
        <w:ind w:left="644" w:hanging="360"/>
      </w:pPr>
      <w:rPr>
        <w:rFonts w:hint="default"/>
        <w:b w:val="0"/>
        <w:bCs w:val="0"/>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C2D1E6C"/>
    <w:multiLevelType w:val="hybridMultilevel"/>
    <w:tmpl w:val="1BB08892"/>
    <w:lvl w:ilvl="0" w:tplc="CE5892B6">
      <w:start w:val="1"/>
      <w:numFmt w:val="decimal"/>
      <w:lvlText w:val="%1."/>
      <w:lvlJc w:val="left"/>
      <w:pPr>
        <w:ind w:left="360" w:hanging="360"/>
      </w:pPr>
      <w:rPr>
        <w:rFonts w:asciiTheme="majorBidi" w:hAnsiTheme="majorBidi" w:cstheme="majorBidi" w:hint="default"/>
        <w:sz w:val="22"/>
        <w:szCs w:val="2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12"/>
  </w:num>
  <w:num w:numId="2">
    <w:abstractNumId w:val="29"/>
  </w:num>
  <w:num w:numId="3">
    <w:abstractNumId w:val="33"/>
  </w:num>
  <w:num w:numId="4">
    <w:abstractNumId w:val="0"/>
  </w:num>
  <w:num w:numId="5">
    <w:abstractNumId w:val="31"/>
  </w:num>
  <w:num w:numId="6">
    <w:abstractNumId w:val="18"/>
  </w:num>
  <w:num w:numId="7">
    <w:abstractNumId w:val="1"/>
  </w:num>
  <w:num w:numId="8">
    <w:abstractNumId w:val="17"/>
  </w:num>
  <w:num w:numId="9">
    <w:abstractNumId w:val="11"/>
  </w:num>
  <w:num w:numId="10">
    <w:abstractNumId w:val="27"/>
  </w:num>
  <w:num w:numId="11">
    <w:abstractNumId w:val="2"/>
  </w:num>
  <w:num w:numId="12">
    <w:abstractNumId w:val="5"/>
  </w:num>
  <w:num w:numId="13">
    <w:abstractNumId w:val="7"/>
  </w:num>
  <w:num w:numId="14">
    <w:abstractNumId w:val="32"/>
  </w:num>
  <w:num w:numId="15">
    <w:abstractNumId w:val="20"/>
  </w:num>
  <w:num w:numId="16">
    <w:abstractNumId w:val="21"/>
  </w:num>
  <w:num w:numId="17">
    <w:abstractNumId w:val="34"/>
  </w:num>
  <w:num w:numId="18">
    <w:abstractNumId w:val="8"/>
  </w:num>
  <w:num w:numId="19">
    <w:abstractNumId w:val="30"/>
  </w:num>
  <w:num w:numId="20">
    <w:abstractNumId w:val="6"/>
  </w:num>
  <w:num w:numId="21">
    <w:abstractNumId w:val="16"/>
  </w:num>
  <w:num w:numId="22">
    <w:abstractNumId w:val="10"/>
  </w:num>
  <w:num w:numId="23">
    <w:abstractNumId w:val="14"/>
  </w:num>
  <w:num w:numId="24">
    <w:abstractNumId w:val="13"/>
  </w:num>
  <w:num w:numId="25">
    <w:abstractNumId w:val="23"/>
  </w:num>
  <w:num w:numId="26">
    <w:abstractNumId w:val="25"/>
  </w:num>
  <w:num w:numId="27">
    <w:abstractNumId w:val="4"/>
  </w:num>
  <w:num w:numId="28">
    <w:abstractNumId w:val="9"/>
  </w:num>
  <w:num w:numId="29">
    <w:abstractNumId w:val="22"/>
  </w:num>
  <w:num w:numId="30">
    <w:abstractNumId w:val="28"/>
  </w:num>
  <w:num w:numId="31">
    <w:abstractNumId w:val="26"/>
  </w:num>
  <w:num w:numId="32">
    <w:abstractNumId w:val="15"/>
  </w:num>
  <w:num w:numId="33">
    <w:abstractNumId w:val="19"/>
  </w:num>
  <w:num w:numId="34">
    <w:abstractNumId w:val="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1BA"/>
    <w:rsid w:val="00011586"/>
    <w:rsid w:val="000151BA"/>
    <w:rsid w:val="00030444"/>
    <w:rsid w:val="000311F2"/>
    <w:rsid w:val="00033DF5"/>
    <w:rsid w:val="00045028"/>
    <w:rsid w:val="00047BFF"/>
    <w:rsid w:val="00052D8A"/>
    <w:rsid w:val="00063446"/>
    <w:rsid w:val="0007174E"/>
    <w:rsid w:val="00074164"/>
    <w:rsid w:val="00075663"/>
    <w:rsid w:val="000761A3"/>
    <w:rsid w:val="00084D3D"/>
    <w:rsid w:val="00090EA9"/>
    <w:rsid w:val="000A1D5F"/>
    <w:rsid w:val="000B1487"/>
    <w:rsid w:val="000B64BA"/>
    <w:rsid w:val="000D595E"/>
    <w:rsid w:val="000E29EC"/>
    <w:rsid w:val="000E32CB"/>
    <w:rsid w:val="000E76AF"/>
    <w:rsid w:val="00115EF6"/>
    <w:rsid w:val="00121956"/>
    <w:rsid w:val="00125254"/>
    <w:rsid w:val="00130F01"/>
    <w:rsid w:val="0013278A"/>
    <w:rsid w:val="00155BED"/>
    <w:rsid w:val="00161BDF"/>
    <w:rsid w:val="0016739F"/>
    <w:rsid w:val="00167A43"/>
    <w:rsid w:val="001756A1"/>
    <w:rsid w:val="00191088"/>
    <w:rsid w:val="001C152A"/>
    <w:rsid w:val="001C249B"/>
    <w:rsid w:val="001C2C3F"/>
    <w:rsid w:val="001D3A39"/>
    <w:rsid w:val="001D6611"/>
    <w:rsid w:val="001F3DF6"/>
    <w:rsid w:val="001F4457"/>
    <w:rsid w:val="001F4591"/>
    <w:rsid w:val="001F4BD4"/>
    <w:rsid w:val="00202CBE"/>
    <w:rsid w:val="0022071B"/>
    <w:rsid w:val="0023604D"/>
    <w:rsid w:val="002414C3"/>
    <w:rsid w:val="00245474"/>
    <w:rsid w:val="00254B30"/>
    <w:rsid w:val="00257458"/>
    <w:rsid w:val="002622BD"/>
    <w:rsid w:val="00264E4F"/>
    <w:rsid w:val="002950EC"/>
    <w:rsid w:val="002957D8"/>
    <w:rsid w:val="002968A7"/>
    <w:rsid w:val="002A277B"/>
    <w:rsid w:val="002A32D3"/>
    <w:rsid w:val="002B3102"/>
    <w:rsid w:val="002B6ACC"/>
    <w:rsid w:val="002C4091"/>
    <w:rsid w:val="002C557E"/>
    <w:rsid w:val="002D10F8"/>
    <w:rsid w:val="002D1F73"/>
    <w:rsid w:val="002D4A22"/>
    <w:rsid w:val="002E21BB"/>
    <w:rsid w:val="002E3F50"/>
    <w:rsid w:val="002E7DFC"/>
    <w:rsid w:val="002F310B"/>
    <w:rsid w:val="002F4089"/>
    <w:rsid w:val="00302B27"/>
    <w:rsid w:val="00310FB9"/>
    <w:rsid w:val="00325765"/>
    <w:rsid w:val="00327D4B"/>
    <w:rsid w:val="00366B61"/>
    <w:rsid w:val="003706BF"/>
    <w:rsid w:val="0037472D"/>
    <w:rsid w:val="00382198"/>
    <w:rsid w:val="00383183"/>
    <w:rsid w:val="0039206D"/>
    <w:rsid w:val="003A22CD"/>
    <w:rsid w:val="003A4F35"/>
    <w:rsid w:val="003A5E40"/>
    <w:rsid w:val="003A6BC6"/>
    <w:rsid w:val="003C18A5"/>
    <w:rsid w:val="003C6BF9"/>
    <w:rsid w:val="003D32B8"/>
    <w:rsid w:val="003D52A6"/>
    <w:rsid w:val="003D7EFB"/>
    <w:rsid w:val="003E3BD8"/>
    <w:rsid w:val="00402DC3"/>
    <w:rsid w:val="00420033"/>
    <w:rsid w:val="00434313"/>
    <w:rsid w:val="0043570A"/>
    <w:rsid w:val="00460636"/>
    <w:rsid w:val="00462FDF"/>
    <w:rsid w:val="00473608"/>
    <w:rsid w:val="00473BE9"/>
    <w:rsid w:val="0048362F"/>
    <w:rsid w:val="004B0BCD"/>
    <w:rsid w:val="004D181A"/>
    <w:rsid w:val="004E31A4"/>
    <w:rsid w:val="004F55A0"/>
    <w:rsid w:val="004F5E05"/>
    <w:rsid w:val="005075FF"/>
    <w:rsid w:val="0051294B"/>
    <w:rsid w:val="00526CCC"/>
    <w:rsid w:val="00530F83"/>
    <w:rsid w:val="00536170"/>
    <w:rsid w:val="0054026C"/>
    <w:rsid w:val="00567DAD"/>
    <w:rsid w:val="00570F78"/>
    <w:rsid w:val="00572D4B"/>
    <w:rsid w:val="00573A26"/>
    <w:rsid w:val="00575C35"/>
    <w:rsid w:val="00576A6A"/>
    <w:rsid w:val="0057744B"/>
    <w:rsid w:val="0058057D"/>
    <w:rsid w:val="00594310"/>
    <w:rsid w:val="005962E7"/>
    <w:rsid w:val="005975DD"/>
    <w:rsid w:val="005B5562"/>
    <w:rsid w:val="005C1467"/>
    <w:rsid w:val="005C51FC"/>
    <w:rsid w:val="005D04B1"/>
    <w:rsid w:val="005F192B"/>
    <w:rsid w:val="005F4CAD"/>
    <w:rsid w:val="006013F2"/>
    <w:rsid w:val="00601764"/>
    <w:rsid w:val="00610CB7"/>
    <w:rsid w:val="00625689"/>
    <w:rsid w:val="0063516B"/>
    <w:rsid w:val="00642418"/>
    <w:rsid w:val="0065408D"/>
    <w:rsid w:val="00664587"/>
    <w:rsid w:val="006675CC"/>
    <w:rsid w:val="006720C0"/>
    <w:rsid w:val="00680049"/>
    <w:rsid w:val="006801ED"/>
    <w:rsid w:val="00686908"/>
    <w:rsid w:val="00692971"/>
    <w:rsid w:val="006A0E24"/>
    <w:rsid w:val="006A788B"/>
    <w:rsid w:val="006B1786"/>
    <w:rsid w:val="006B1938"/>
    <w:rsid w:val="006C140A"/>
    <w:rsid w:val="006D11CB"/>
    <w:rsid w:val="006D2D82"/>
    <w:rsid w:val="006F4811"/>
    <w:rsid w:val="0070004D"/>
    <w:rsid w:val="007058A0"/>
    <w:rsid w:val="00710DA3"/>
    <w:rsid w:val="00715AE4"/>
    <w:rsid w:val="00720988"/>
    <w:rsid w:val="0073270F"/>
    <w:rsid w:val="00753897"/>
    <w:rsid w:val="00762C61"/>
    <w:rsid w:val="0076768E"/>
    <w:rsid w:val="00772621"/>
    <w:rsid w:val="00775B77"/>
    <w:rsid w:val="0077644E"/>
    <w:rsid w:val="00777D8F"/>
    <w:rsid w:val="00783709"/>
    <w:rsid w:val="00783C70"/>
    <w:rsid w:val="0078743E"/>
    <w:rsid w:val="007966B2"/>
    <w:rsid w:val="007A499F"/>
    <w:rsid w:val="007A4C0A"/>
    <w:rsid w:val="007B00A8"/>
    <w:rsid w:val="007B6A8B"/>
    <w:rsid w:val="007B709A"/>
    <w:rsid w:val="007C343D"/>
    <w:rsid w:val="007C4B2E"/>
    <w:rsid w:val="007D0534"/>
    <w:rsid w:val="007D7C92"/>
    <w:rsid w:val="007E3C69"/>
    <w:rsid w:val="007F4645"/>
    <w:rsid w:val="007F693B"/>
    <w:rsid w:val="00812376"/>
    <w:rsid w:val="008146DA"/>
    <w:rsid w:val="0082355F"/>
    <w:rsid w:val="00824FB7"/>
    <w:rsid w:val="008439C3"/>
    <w:rsid w:val="008462F0"/>
    <w:rsid w:val="00846FE5"/>
    <w:rsid w:val="0086038A"/>
    <w:rsid w:val="00865EDB"/>
    <w:rsid w:val="008719BC"/>
    <w:rsid w:val="008727F7"/>
    <w:rsid w:val="00876F12"/>
    <w:rsid w:val="008B34FD"/>
    <w:rsid w:val="008B6431"/>
    <w:rsid w:val="008C1EC9"/>
    <w:rsid w:val="008C6B91"/>
    <w:rsid w:val="008E20C9"/>
    <w:rsid w:val="008E41AE"/>
    <w:rsid w:val="008F1CA2"/>
    <w:rsid w:val="008F39B3"/>
    <w:rsid w:val="008F3B56"/>
    <w:rsid w:val="00910059"/>
    <w:rsid w:val="00913115"/>
    <w:rsid w:val="00916314"/>
    <w:rsid w:val="009173D9"/>
    <w:rsid w:val="00924107"/>
    <w:rsid w:val="0092589E"/>
    <w:rsid w:val="009417A3"/>
    <w:rsid w:val="00941826"/>
    <w:rsid w:val="00946540"/>
    <w:rsid w:val="00954916"/>
    <w:rsid w:val="00962E6D"/>
    <w:rsid w:val="00967C8B"/>
    <w:rsid w:val="0098493B"/>
    <w:rsid w:val="009A188E"/>
    <w:rsid w:val="009A6F52"/>
    <w:rsid w:val="009B27CB"/>
    <w:rsid w:val="009B331D"/>
    <w:rsid w:val="009B4FD5"/>
    <w:rsid w:val="009C0FED"/>
    <w:rsid w:val="009C5737"/>
    <w:rsid w:val="009D5DC6"/>
    <w:rsid w:val="009F105C"/>
    <w:rsid w:val="009F6E72"/>
    <w:rsid w:val="009F71CE"/>
    <w:rsid w:val="00A0635F"/>
    <w:rsid w:val="00A1365D"/>
    <w:rsid w:val="00A168F3"/>
    <w:rsid w:val="00A20AEC"/>
    <w:rsid w:val="00A217E1"/>
    <w:rsid w:val="00A22B43"/>
    <w:rsid w:val="00A2468A"/>
    <w:rsid w:val="00A3025F"/>
    <w:rsid w:val="00A33D7B"/>
    <w:rsid w:val="00A564F8"/>
    <w:rsid w:val="00A60EE2"/>
    <w:rsid w:val="00A75594"/>
    <w:rsid w:val="00A774ED"/>
    <w:rsid w:val="00A81B2E"/>
    <w:rsid w:val="00A9454B"/>
    <w:rsid w:val="00A948D7"/>
    <w:rsid w:val="00AA3260"/>
    <w:rsid w:val="00AB6187"/>
    <w:rsid w:val="00AD187D"/>
    <w:rsid w:val="00AD32D8"/>
    <w:rsid w:val="00AE03A6"/>
    <w:rsid w:val="00AE75A5"/>
    <w:rsid w:val="00AE7E7E"/>
    <w:rsid w:val="00B06399"/>
    <w:rsid w:val="00B1659C"/>
    <w:rsid w:val="00B17F83"/>
    <w:rsid w:val="00B222B0"/>
    <w:rsid w:val="00B24643"/>
    <w:rsid w:val="00B35B87"/>
    <w:rsid w:val="00B3626E"/>
    <w:rsid w:val="00B41D8B"/>
    <w:rsid w:val="00B42DFA"/>
    <w:rsid w:val="00B65265"/>
    <w:rsid w:val="00B7082A"/>
    <w:rsid w:val="00B72C32"/>
    <w:rsid w:val="00B74722"/>
    <w:rsid w:val="00B7706C"/>
    <w:rsid w:val="00B85A9E"/>
    <w:rsid w:val="00B85D37"/>
    <w:rsid w:val="00B86F23"/>
    <w:rsid w:val="00B92F2A"/>
    <w:rsid w:val="00BA2930"/>
    <w:rsid w:val="00BB4554"/>
    <w:rsid w:val="00BD5C7A"/>
    <w:rsid w:val="00BF3175"/>
    <w:rsid w:val="00BF42F0"/>
    <w:rsid w:val="00BF5949"/>
    <w:rsid w:val="00C16D62"/>
    <w:rsid w:val="00C232FA"/>
    <w:rsid w:val="00C27858"/>
    <w:rsid w:val="00C341E0"/>
    <w:rsid w:val="00C353AE"/>
    <w:rsid w:val="00C63626"/>
    <w:rsid w:val="00C6511A"/>
    <w:rsid w:val="00C7091C"/>
    <w:rsid w:val="00C70BC3"/>
    <w:rsid w:val="00C75F97"/>
    <w:rsid w:val="00C811FF"/>
    <w:rsid w:val="00C83F42"/>
    <w:rsid w:val="00C904B4"/>
    <w:rsid w:val="00CA746A"/>
    <w:rsid w:val="00CC0F96"/>
    <w:rsid w:val="00CF1C06"/>
    <w:rsid w:val="00D0031A"/>
    <w:rsid w:val="00D06284"/>
    <w:rsid w:val="00D1223C"/>
    <w:rsid w:val="00D16956"/>
    <w:rsid w:val="00D248BC"/>
    <w:rsid w:val="00D2555F"/>
    <w:rsid w:val="00D455F2"/>
    <w:rsid w:val="00D46127"/>
    <w:rsid w:val="00D5754B"/>
    <w:rsid w:val="00D6150F"/>
    <w:rsid w:val="00D63674"/>
    <w:rsid w:val="00D63DC6"/>
    <w:rsid w:val="00D65167"/>
    <w:rsid w:val="00D71792"/>
    <w:rsid w:val="00D7436E"/>
    <w:rsid w:val="00D81857"/>
    <w:rsid w:val="00D940D7"/>
    <w:rsid w:val="00D97322"/>
    <w:rsid w:val="00DA6C8B"/>
    <w:rsid w:val="00DB1BD3"/>
    <w:rsid w:val="00DB5F39"/>
    <w:rsid w:val="00DB759E"/>
    <w:rsid w:val="00DC4D53"/>
    <w:rsid w:val="00DC791E"/>
    <w:rsid w:val="00DD7B91"/>
    <w:rsid w:val="00DE3BB3"/>
    <w:rsid w:val="00DF2036"/>
    <w:rsid w:val="00E06DCD"/>
    <w:rsid w:val="00E15E22"/>
    <w:rsid w:val="00E26E39"/>
    <w:rsid w:val="00E60D16"/>
    <w:rsid w:val="00E66AD4"/>
    <w:rsid w:val="00E67199"/>
    <w:rsid w:val="00E70821"/>
    <w:rsid w:val="00E739BD"/>
    <w:rsid w:val="00E762E2"/>
    <w:rsid w:val="00E82740"/>
    <w:rsid w:val="00E940C9"/>
    <w:rsid w:val="00EA0336"/>
    <w:rsid w:val="00EA6BF3"/>
    <w:rsid w:val="00EB171E"/>
    <w:rsid w:val="00EB3485"/>
    <w:rsid w:val="00EB5B2B"/>
    <w:rsid w:val="00EC04EA"/>
    <w:rsid w:val="00EC08B5"/>
    <w:rsid w:val="00EC4903"/>
    <w:rsid w:val="00EC7A15"/>
    <w:rsid w:val="00ED63FE"/>
    <w:rsid w:val="00EE3193"/>
    <w:rsid w:val="00F058C6"/>
    <w:rsid w:val="00F068A9"/>
    <w:rsid w:val="00F10C3F"/>
    <w:rsid w:val="00F154E5"/>
    <w:rsid w:val="00F17488"/>
    <w:rsid w:val="00F23E65"/>
    <w:rsid w:val="00F30405"/>
    <w:rsid w:val="00F47BE5"/>
    <w:rsid w:val="00F56A91"/>
    <w:rsid w:val="00F72D73"/>
    <w:rsid w:val="00F76B16"/>
    <w:rsid w:val="00F8338E"/>
    <w:rsid w:val="00F91AB6"/>
    <w:rsid w:val="00F946DB"/>
    <w:rsid w:val="00FA07E0"/>
    <w:rsid w:val="00FA0C95"/>
    <w:rsid w:val="00FB0A28"/>
    <w:rsid w:val="00FB13D3"/>
    <w:rsid w:val="00FB479E"/>
    <w:rsid w:val="00FC1248"/>
    <w:rsid w:val="00FC2C78"/>
    <w:rsid w:val="00FC7709"/>
    <w:rsid w:val="00FE7DD5"/>
    <w:rsid w:val="00FF0E5A"/>
  </w:rsids>
  <m:mathPr>
    <m:mathFont m:val="Cambria Math"/>
    <m:brkBin m:val="before"/>
    <m:brkBinSub m:val="--"/>
    <m:smallFrac m:val="0"/>
    <m:dispDef/>
    <m:lMargin m:val="0"/>
    <m:rMargin m:val="0"/>
    <m:defJc m:val="centerGroup"/>
    <m:wrapIndent m:val="1440"/>
    <m:intLim m:val="subSup"/>
    <m:naryLim m:val="undOvr"/>
  </m:mathPr>
  <w:themeFontLang w:val="fr-M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C805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r-MA"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6BF3"/>
    <w:rPr>
      <w:rFonts w:ascii="Times New Roman" w:eastAsia="Times New Roman" w:hAnsi="Times New Roman" w:cs="Times New Roman"/>
      <w:kern w:val="0"/>
      <w:lang w:eastAsia="fr-FR"/>
      <w14:ligatures w14:val="none"/>
    </w:rPr>
  </w:style>
  <w:style w:type="paragraph" w:styleId="Titre1">
    <w:name w:val="heading 1"/>
    <w:basedOn w:val="Normal"/>
    <w:next w:val="Normal"/>
    <w:link w:val="Titre1Car"/>
    <w:uiPriority w:val="9"/>
    <w:qFormat/>
    <w:rsid w:val="00783C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EB17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6675CC"/>
    <w:pPr>
      <w:keepNext/>
      <w:keepLines/>
      <w:spacing w:before="40"/>
      <w:outlineLvl w:val="2"/>
    </w:pPr>
    <w:rPr>
      <w:rFonts w:asciiTheme="majorHAnsi" w:eastAsiaTheme="majorEastAsia" w:hAnsiTheme="majorHAnsi" w:cstheme="majorBidi"/>
      <w:color w:val="1F3763" w:themeColor="accent1" w:themeShade="7F"/>
    </w:rPr>
  </w:style>
  <w:style w:type="paragraph" w:styleId="Titre5">
    <w:name w:val="heading 5"/>
    <w:basedOn w:val="Normal"/>
    <w:next w:val="Normal"/>
    <w:link w:val="Titre5Car"/>
    <w:uiPriority w:val="9"/>
    <w:semiHidden/>
    <w:unhideWhenUsed/>
    <w:qFormat/>
    <w:rsid w:val="00473608"/>
    <w:pPr>
      <w:keepNext/>
      <w:keepLines/>
      <w:spacing w:before="220" w:after="40"/>
      <w:outlineLvl w:val="4"/>
    </w:pPr>
    <w:rPr>
      <w:b/>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FA Fu,Footnote Text Char Char Char Char Char,Footnote Text Char Char Char Char,Footnote reference, Char,Char,ALTS FOOTNOTE,ADB,single space,fn,ft,Footnote Text Char1,Footnote Text Char Char,FOOTNOTES,Footnote Text Char2,FA,5_G"/>
    <w:basedOn w:val="Normal"/>
    <w:link w:val="NotedebasdepageCar"/>
    <w:unhideWhenUsed/>
    <w:qFormat/>
    <w:rsid w:val="00BD5C7A"/>
    <w:rPr>
      <w:sz w:val="20"/>
      <w:szCs w:val="20"/>
      <w:lang w:val="en-US"/>
    </w:rPr>
  </w:style>
  <w:style w:type="character" w:customStyle="1" w:styleId="NotedebasdepageCar">
    <w:name w:val="Note de bas de page Car"/>
    <w:aliases w:val="FA Fu Car,Footnote Text Char Char Char Char Char Car,Footnote Text Char Char Char Char Car,Footnote reference Car, Char Car,Char Car,ALTS FOOTNOTE Car,ADB Car,single space Car,fn Car,ft Car,Footnote Text Char1 Car,FOOTNOTES Car"/>
    <w:basedOn w:val="Policepardfaut"/>
    <w:link w:val="Notedebasdepage"/>
    <w:rsid w:val="00BD5C7A"/>
    <w:rPr>
      <w:kern w:val="0"/>
      <w:sz w:val="20"/>
      <w:szCs w:val="20"/>
      <w:lang w:val="en-US"/>
      <w14:ligatures w14:val="none"/>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BD5C7A"/>
    <w:rPr>
      <w:vertAlign w:val="superscript"/>
    </w:rPr>
  </w:style>
  <w:style w:type="character" w:styleId="Lienhypertexte">
    <w:name w:val="Hyperlink"/>
    <w:basedOn w:val="Policepardfaut"/>
    <w:uiPriority w:val="99"/>
    <w:unhideWhenUsed/>
    <w:rsid w:val="00BD5C7A"/>
    <w:rPr>
      <w:color w:val="0000FF"/>
      <w:u w:val="single"/>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BD5C7A"/>
    <w:pPr>
      <w:spacing w:after="200" w:line="276" w:lineRule="auto"/>
      <w:ind w:left="720"/>
      <w:contextualSpacing/>
    </w:pPr>
    <w:rPr>
      <w:sz w:val="22"/>
      <w:szCs w:val="22"/>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BD5C7A"/>
    <w:rPr>
      <w:kern w:val="0"/>
      <w:sz w:val="22"/>
      <w:szCs w:val="22"/>
      <w:lang w:val="fr-FR"/>
      <w14:ligatures w14:val="none"/>
    </w:rPr>
  </w:style>
  <w:style w:type="character" w:customStyle="1" w:styleId="Mentionnonrsolue1">
    <w:name w:val="Mention non résolue1"/>
    <w:basedOn w:val="Policepardfaut"/>
    <w:uiPriority w:val="99"/>
    <w:semiHidden/>
    <w:unhideWhenUsed/>
    <w:rsid w:val="0043570A"/>
    <w:rPr>
      <w:color w:val="605E5C"/>
      <w:shd w:val="clear" w:color="auto" w:fill="E1DFDD"/>
    </w:rPr>
  </w:style>
  <w:style w:type="character" w:customStyle="1" w:styleId="Titre5Car">
    <w:name w:val="Titre 5 Car"/>
    <w:basedOn w:val="Policepardfaut"/>
    <w:link w:val="Titre5"/>
    <w:uiPriority w:val="9"/>
    <w:semiHidden/>
    <w:rsid w:val="00473608"/>
    <w:rPr>
      <w:rFonts w:ascii="Times New Roman" w:hAnsi="Times New Roman" w:cs="Times New Roman"/>
      <w:b/>
      <w:kern w:val="0"/>
      <w:lang w:val="en-US"/>
      <w14:ligatures w14:val="none"/>
    </w:rPr>
  </w:style>
  <w:style w:type="character" w:customStyle="1" w:styleId="apple-converted-space">
    <w:name w:val="apple-converted-space"/>
    <w:basedOn w:val="Policepardfaut"/>
    <w:rsid w:val="00074164"/>
  </w:style>
  <w:style w:type="paragraph" w:styleId="NormalWeb">
    <w:name w:val="Normal (Web)"/>
    <w:basedOn w:val="Normal"/>
    <w:uiPriority w:val="99"/>
    <w:unhideWhenUsed/>
    <w:rsid w:val="007E3C69"/>
    <w:pPr>
      <w:spacing w:before="100" w:beforeAutospacing="1" w:after="100" w:afterAutospacing="1"/>
    </w:pPr>
  </w:style>
  <w:style w:type="paragraph" w:styleId="PrformatHTML">
    <w:name w:val="HTML Preformatted"/>
    <w:basedOn w:val="Normal"/>
    <w:link w:val="PrformatHTMLCar"/>
    <w:uiPriority w:val="99"/>
    <w:semiHidden/>
    <w:unhideWhenUsed/>
    <w:rsid w:val="00FB0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FB0A28"/>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FB0A28"/>
  </w:style>
  <w:style w:type="character" w:styleId="Accentuation">
    <w:name w:val="Emphasis"/>
    <w:basedOn w:val="Policepardfaut"/>
    <w:uiPriority w:val="20"/>
    <w:qFormat/>
    <w:rsid w:val="00954916"/>
    <w:rPr>
      <w:i/>
      <w:iCs/>
    </w:rPr>
  </w:style>
  <w:style w:type="paragraph" w:styleId="En-tte">
    <w:name w:val="header"/>
    <w:basedOn w:val="Normal"/>
    <w:link w:val="En-tteCar"/>
    <w:uiPriority w:val="99"/>
    <w:unhideWhenUsed/>
    <w:rsid w:val="00045028"/>
    <w:pPr>
      <w:tabs>
        <w:tab w:val="center" w:pos="4536"/>
        <w:tab w:val="right" w:pos="9072"/>
      </w:tabs>
    </w:pPr>
  </w:style>
  <w:style w:type="character" w:customStyle="1" w:styleId="En-tteCar">
    <w:name w:val="En-tête Car"/>
    <w:basedOn w:val="Policepardfaut"/>
    <w:link w:val="En-tte"/>
    <w:uiPriority w:val="99"/>
    <w:rsid w:val="00045028"/>
    <w:rPr>
      <w:lang w:val="fr-FR"/>
    </w:rPr>
  </w:style>
  <w:style w:type="paragraph" w:styleId="Pieddepage">
    <w:name w:val="footer"/>
    <w:basedOn w:val="Normal"/>
    <w:link w:val="PieddepageCar"/>
    <w:uiPriority w:val="99"/>
    <w:unhideWhenUsed/>
    <w:rsid w:val="00045028"/>
    <w:pPr>
      <w:tabs>
        <w:tab w:val="center" w:pos="4536"/>
        <w:tab w:val="right" w:pos="9072"/>
      </w:tabs>
    </w:pPr>
  </w:style>
  <w:style w:type="character" w:customStyle="1" w:styleId="PieddepageCar">
    <w:name w:val="Pied de page Car"/>
    <w:basedOn w:val="Policepardfaut"/>
    <w:link w:val="Pieddepage"/>
    <w:uiPriority w:val="99"/>
    <w:rsid w:val="00045028"/>
    <w:rPr>
      <w:lang w:val="fr-FR"/>
    </w:rPr>
  </w:style>
  <w:style w:type="character" w:customStyle="1" w:styleId="Titre2Car">
    <w:name w:val="Titre 2 Car"/>
    <w:basedOn w:val="Policepardfaut"/>
    <w:link w:val="Titre2"/>
    <w:uiPriority w:val="9"/>
    <w:semiHidden/>
    <w:rsid w:val="00EB171E"/>
    <w:rPr>
      <w:rFonts w:asciiTheme="majorHAnsi" w:eastAsiaTheme="majorEastAsia" w:hAnsiTheme="majorHAnsi" w:cstheme="majorBidi"/>
      <w:color w:val="2F5496" w:themeColor="accent1" w:themeShade="BF"/>
      <w:sz w:val="26"/>
      <w:szCs w:val="26"/>
      <w:lang w:val="fr-FR"/>
    </w:rPr>
  </w:style>
  <w:style w:type="character" w:styleId="Lienhypertextesuivivisit">
    <w:name w:val="FollowedHyperlink"/>
    <w:basedOn w:val="Policepardfaut"/>
    <w:uiPriority w:val="99"/>
    <w:semiHidden/>
    <w:unhideWhenUsed/>
    <w:rsid w:val="008F3B56"/>
    <w:rPr>
      <w:color w:val="954F72" w:themeColor="followedHyperlink"/>
      <w:u w:val="single"/>
    </w:rPr>
  </w:style>
  <w:style w:type="character" w:styleId="lev">
    <w:name w:val="Strong"/>
    <w:basedOn w:val="Policepardfaut"/>
    <w:uiPriority w:val="22"/>
    <w:qFormat/>
    <w:rsid w:val="00EC08B5"/>
    <w:rPr>
      <w:b/>
      <w:bCs/>
    </w:rPr>
  </w:style>
  <w:style w:type="character" w:customStyle="1" w:styleId="Mentionnonrsolue2">
    <w:name w:val="Mention non résolue2"/>
    <w:basedOn w:val="Policepardfaut"/>
    <w:uiPriority w:val="99"/>
    <w:rsid w:val="00BF5949"/>
    <w:rPr>
      <w:color w:val="605E5C"/>
      <w:shd w:val="clear" w:color="auto" w:fill="E1DFDD"/>
    </w:rPr>
  </w:style>
  <w:style w:type="character" w:customStyle="1" w:styleId="Titre3Car">
    <w:name w:val="Titre 3 Car"/>
    <w:basedOn w:val="Policepardfaut"/>
    <w:link w:val="Titre3"/>
    <w:uiPriority w:val="9"/>
    <w:semiHidden/>
    <w:rsid w:val="006675CC"/>
    <w:rPr>
      <w:rFonts w:asciiTheme="majorHAnsi" w:eastAsiaTheme="majorEastAsia" w:hAnsiTheme="majorHAnsi" w:cstheme="majorBidi"/>
      <w:color w:val="1F3763" w:themeColor="accent1" w:themeShade="7F"/>
      <w:lang w:val="fr-FR"/>
    </w:rPr>
  </w:style>
  <w:style w:type="character" w:styleId="Marquedecommentaire">
    <w:name w:val="annotation reference"/>
    <w:basedOn w:val="Policepardfaut"/>
    <w:uiPriority w:val="99"/>
    <w:semiHidden/>
    <w:unhideWhenUsed/>
    <w:rsid w:val="00DC4D53"/>
    <w:rPr>
      <w:sz w:val="16"/>
      <w:szCs w:val="16"/>
    </w:rPr>
  </w:style>
  <w:style w:type="paragraph" w:styleId="Commentaire">
    <w:name w:val="annotation text"/>
    <w:basedOn w:val="Normal"/>
    <w:link w:val="CommentaireCar"/>
    <w:uiPriority w:val="99"/>
    <w:semiHidden/>
    <w:unhideWhenUsed/>
    <w:rsid w:val="00DC4D53"/>
    <w:rPr>
      <w:sz w:val="20"/>
      <w:szCs w:val="20"/>
    </w:rPr>
  </w:style>
  <w:style w:type="character" w:customStyle="1" w:styleId="CommentaireCar">
    <w:name w:val="Commentaire Car"/>
    <w:basedOn w:val="Policepardfaut"/>
    <w:link w:val="Commentaire"/>
    <w:uiPriority w:val="99"/>
    <w:semiHidden/>
    <w:rsid w:val="00DC4D53"/>
    <w:rPr>
      <w:sz w:val="20"/>
      <w:szCs w:val="20"/>
      <w:lang w:val="fr-FR"/>
    </w:rPr>
  </w:style>
  <w:style w:type="paragraph" w:styleId="Objetducommentaire">
    <w:name w:val="annotation subject"/>
    <w:basedOn w:val="Commentaire"/>
    <w:next w:val="Commentaire"/>
    <w:link w:val="ObjetducommentaireCar"/>
    <w:uiPriority w:val="99"/>
    <w:semiHidden/>
    <w:unhideWhenUsed/>
    <w:rsid w:val="00DC4D53"/>
    <w:rPr>
      <w:b/>
      <w:bCs/>
    </w:rPr>
  </w:style>
  <w:style w:type="character" w:customStyle="1" w:styleId="ObjetducommentaireCar">
    <w:name w:val="Objet du commentaire Car"/>
    <w:basedOn w:val="CommentaireCar"/>
    <w:link w:val="Objetducommentaire"/>
    <w:uiPriority w:val="99"/>
    <w:semiHidden/>
    <w:rsid w:val="00DC4D53"/>
    <w:rPr>
      <w:b/>
      <w:bCs/>
      <w:sz w:val="20"/>
      <w:szCs w:val="20"/>
      <w:lang w:val="fr-FR"/>
    </w:rPr>
  </w:style>
  <w:style w:type="paragraph" w:styleId="Textedebulles">
    <w:name w:val="Balloon Text"/>
    <w:basedOn w:val="Normal"/>
    <w:link w:val="TextedebullesCar"/>
    <w:uiPriority w:val="99"/>
    <w:semiHidden/>
    <w:unhideWhenUsed/>
    <w:rsid w:val="00B3626E"/>
    <w:rPr>
      <w:sz w:val="18"/>
      <w:szCs w:val="18"/>
    </w:rPr>
  </w:style>
  <w:style w:type="character" w:customStyle="1" w:styleId="TextedebullesCar">
    <w:name w:val="Texte de bulles Car"/>
    <w:basedOn w:val="Policepardfaut"/>
    <w:link w:val="Textedebulles"/>
    <w:uiPriority w:val="99"/>
    <w:semiHidden/>
    <w:rsid w:val="00B3626E"/>
    <w:rPr>
      <w:rFonts w:ascii="Times New Roman" w:hAnsi="Times New Roman" w:cs="Times New Roman"/>
      <w:sz w:val="18"/>
      <w:szCs w:val="18"/>
      <w:lang w:val="fr-FR"/>
    </w:rPr>
  </w:style>
  <w:style w:type="character" w:customStyle="1" w:styleId="Titre1Car">
    <w:name w:val="Titre 1 Car"/>
    <w:basedOn w:val="Policepardfaut"/>
    <w:link w:val="Titre1"/>
    <w:uiPriority w:val="9"/>
    <w:rsid w:val="00783C70"/>
    <w:rPr>
      <w:rFonts w:asciiTheme="majorHAnsi" w:eastAsiaTheme="majorEastAsia" w:hAnsiTheme="majorHAnsi" w:cstheme="majorBidi"/>
      <w:color w:val="2F5496" w:themeColor="accent1" w:themeShade="BF"/>
      <w:sz w:val="32"/>
      <w:szCs w:val="32"/>
      <w:lang w:val="fr-FR"/>
    </w:rPr>
  </w:style>
  <w:style w:type="character" w:styleId="Mentionnonrsolue">
    <w:name w:val="Unresolved Mention"/>
    <w:basedOn w:val="Policepardfaut"/>
    <w:uiPriority w:val="99"/>
    <w:rsid w:val="00783C70"/>
    <w:rPr>
      <w:color w:val="605E5C"/>
      <w:shd w:val="clear" w:color="auto" w:fill="E1DFDD"/>
    </w:rPr>
  </w:style>
  <w:style w:type="paragraph" w:styleId="Rvision">
    <w:name w:val="Revision"/>
    <w:hidden/>
    <w:uiPriority w:val="99"/>
    <w:semiHidden/>
    <w:rsid w:val="00EA6BF3"/>
    <w:rPr>
      <w:rFonts w:ascii="Times New Roman" w:eastAsia="Times New Roman" w:hAnsi="Times New Roman" w:cs="Times New Roman"/>
      <w:kern w:val="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3899">
      <w:bodyDiv w:val="1"/>
      <w:marLeft w:val="0"/>
      <w:marRight w:val="0"/>
      <w:marTop w:val="0"/>
      <w:marBottom w:val="0"/>
      <w:divBdr>
        <w:top w:val="none" w:sz="0" w:space="0" w:color="auto"/>
        <w:left w:val="none" w:sz="0" w:space="0" w:color="auto"/>
        <w:bottom w:val="none" w:sz="0" w:space="0" w:color="auto"/>
        <w:right w:val="none" w:sz="0" w:space="0" w:color="auto"/>
      </w:divBdr>
      <w:divsChild>
        <w:div w:id="1860194880">
          <w:marLeft w:val="0"/>
          <w:marRight w:val="0"/>
          <w:marTop w:val="0"/>
          <w:marBottom w:val="0"/>
          <w:divBdr>
            <w:top w:val="none" w:sz="0" w:space="0" w:color="auto"/>
            <w:left w:val="none" w:sz="0" w:space="0" w:color="auto"/>
            <w:bottom w:val="none" w:sz="0" w:space="0" w:color="auto"/>
            <w:right w:val="none" w:sz="0" w:space="0" w:color="auto"/>
          </w:divBdr>
          <w:divsChild>
            <w:div w:id="1485118555">
              <w:marLeft w:val="0"/>
              <w:marRight w:val="0"/>
              <w:marTop w:val="0"/>
              <w:marBottom w:val="0"/>
              <w:divBdr>
                <w:top w:val="none" w:sz="0" w:space="0" w:color="auto"/>
                <w:left w:val="none" w:sz="0" w:space="0" w:color="auto"/>
                <w:bottom w:val="none" w:sz="0" w:space="0" w:color="auto"/>
                <w:right w:val="none" w:sz="0" w:space="0" w:color="auto"/>
              </w:divBdr>
              <w:divsChild>
                <w:div w:id="17067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8145">
      <w:bodyDiv w:val="1"/>
      <w:marLeft w:val="0"/>
      <w:marRight w:val="0"/>
      <w:marTop w:val="0"/>
      <w:marBottom w:val="0"/>
      <w:divBdr>
        <w:top w:val="none" w:sz="0" w:space="0" w:color="auto"/>
        <w:left w:val="none" w:sz="0" w:space="0" w:color="auto"/>
        <w:bottom w:val="none" w:sz="0" w:space="0" w:color="auto"/>
        <w:right w:val="none" w:sz="0" w:space="0" w:color="auto"/>
      </w:divBdr>
    </w:div>
    <w:div w:id="27679612">
      <w:bodyDiv w:val="1"/>
      <w:marLeft w:val="0"/>
      <w:marRight w:val="0"/>
      <w:marTop w:val="0"/>
      <w:marBottom w:val="0"/>
      <w:divBdr>
        <w:top w:val="none" w:sz="0" w:space="0" w:color="auto"/>
        <w:left w:val="none" w:sz="0" w:space="0" w:color="auto"/>
        <w:bottom w:val="none" w:sz="0" w:space="0" w:color="auto"/>
        <w:right w:val="none" w:sz="0" w:space="0" w:color="auto"/>
      </w:divBdr>
      <w:divsChild>
        <w:div w:id="966812205">
          <w:marLeft w:val="0"/>
          <w:marRight w:val="0"/>
          <w:marTop w:val="0"/>
          <w:marBottom w:val="0"/>
          <w:divBdr>
            <w:top w:val="none" w:sz="0" w:space="0" w:color="auto"/>
            <w:left w:val="none" w:sz="0" w:space="0" w:color="auto"/>
            <w:bottom w:val="none" w:sz="0" w:space="0" w:color="auto"/>
            <w:right w:val="none" w:sz="0" w:space="0" w:color="auto"/>
          </w:divBdr>
          <w:divsChild>
            <w:div w:id="2026713163">
              <w:marLeft w:val="0"/>
              <w:marRight w:val="0"/>
              <w:marTop w:val="0"/>
              <w:marBottom w:val="0"/>
              <w:divBdr>
                <w:top w:val="none" w:sz="0" w:space="0" w:color="auto"/>
                <w:left w:val="none" w:sz="0" w:space="0" w:color="auto"/>
                <w:bottom w:val="none" w:sz="0" w:space="0" w:color="auto"/>
                <w:right w:val="none" w:sz="0" w:space="0" w:color="auto"/>
              </w:divBdr>
              <w:divsChild>
                <w:div w:id="170952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85191">
      <w:bodyDiv w:val="1"/>
      <w:marLeft w:val="0"/>
      <w:marRight w:val="0"/>
      <w:marTop w:val="0"/>
      <w:marBottom w:val="0"/>
      <w:divBdr>
        <w:top w:val="none" w:sz="0" w:space="0" w:color="auto"/>
        <w:left w:val="none" w:sz="0" w:space="0" w:color="auto"/>
        <w:bottom w:val="none" w:sz="0" w:space="0" w:color="auto"/>
        <w:right w:val="none" w:sz="0" w:space="0" w:color="auto"/>
      </w:divBdr>
    </w:div>
    <w:div w:id="121727299">
      <w:bodyDiv w:val="1"/>
      <w:marLeft w:val="0"/>
      <w:marRight w:val="0"/>
      <w:marTop w:val="0"/>
      <w:marBottom w:val="0"/>
      <w:divBdr>
        <w:top w:val="none" w:sz="0" w:space="0" w:color="auto"/>
        <w:left w:val="none" w:sz="0" w:space="0" w:color="auto"/>
        <w:bottom w:val="none" w:sz="0" w:space="0" w:color="auto"/>
        <w:right w:val="none" w:sz="0" w:space="0" w:color="auto"/>
      </w:divBdr>
    </w:div>
    <w:div w:id="283737423">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sChild>
        <w:div w:id="1264611540">
          <w:marLeft w:val="0"/>
          <w:marRight w:val="0"/>
          <w:marTop w:val="0"/>
          <w:marBottom w:val="0"/>
          <w:divBdr>
            <w:top w:val="none" w:sz="0" w:space="0" w:color="auto"/>
            <w:left w:val="none" w:sz="0" w:space="0" w:color="auto"/>
            <w:bottom w:val="none" w:sz="0" w:space="0" w:color="auto"/>
            <w:right w:val="none" w:sz="0" w:space="0" w:color="auto"/>
          </w:divBdr>
          <w:divsChild>
            <w:div w:id="1758287870">
              <w:marLeft w:val="0"/>
              <w:marRight w:val="0"/>
              <w:marTop w:val="0"/>
              <w:marBottom w:val="0"/>
              <w:divBdr>
                <w:top w:val="none" w:sz="0" w:space="0" w:color="auto"/>
                <w:left w:val="none" w:sz="0" w:space="0" w:color="auto"/>
                <w:bottom w:val="none" w:sz="0" w:space="0" w:color="auto"/>
                <w:right w:val="none" w:sz="0" w:space="0" w:color="auto"/>
              </w:divBdr>
              <w:divsChild>
                <w:div w:id="20394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286659">
      <w:bodyDiv w:val="1"/>
      <w:marLeft w:val="0"/>
      <w:marRight w:val="0"/>
      <w:marTop w:val="0"/>
      <w:marBottom w:val="0"/>
      <w:divBdr>
        <w:top w:val="none" w:sz="0" w:space="0" w:color="auto"/>
        <w:left w:val="none" w:sz="0" w:space="0" w:color="auto"/>
        <w:bottom w:val="none" w:sz="0" w:space="0" w:color="auto"/>
        <w:right w:val="none" w:sz="0" w:space="0" w:color="auto"/>
      </w:divBdr>
    </w:div>
    <w:div w:id="346299667">
      <w:bodyDiv w:val="1"/>
      <w:marLeft w:val="0"/>
      <w:marRight w:val="0"/>
      <w:marTop w:val="0"/>
      <w:marBottom w:val="0"/>
      <w:divBdr>
        <w:top w:val="none" w:sz="0" w:space="0" w:color="auto"/>
        <w:left w:val="none" w:sz="0" w:space="0" w:color="auto"/>
        <w:bottom w:val="none" w:sz="0" w:space="0" w:color="auto"/>
        <w:right w:val="none" w:sz="0" w:space="0" w:color="auto"/>
      </w:divBdr>
    </w:div>
    <w:div w:id="366688170">
      <w:bodyDiv w:val="1"/>
      <w:marLeft w:val="0"/>
      <w:marRight w:val="0"/>
      <w:marTop w:val="0"/>
      <w:marBottom w:val="0"/>
      <w:divBdr>
        <w:top w:val="none" w:sz="0" w:space="0" w:color="auto"/>
        <w:left w:val="none" w:sz="0" w:space="0" w:color="auto"/>
        <w:bottom w:val="none" w:sz="0" w:space="0" w:color="auto"/>
        <w:right w:val="none" w:sz="0" w:space="0" w:color="auto"/>
      </w:divBdr>
    </w:div>
    <w:div w:id="384380865">
      <w:bodyDiv w:val="1"/>
      <w:marLeft w:val="0"/>
      <w:marRight w:val="0"/>
      <w:marTop w:val="0"/>
      <w:marBottom w:val="0"/>
      <w:divBdr>
        <w:top w:val="none" w:sz="0" w:space="0" w:color="auto"/>
        <w:left w:val="none" w:sz="0" w:space="0" w:color="auto"/>
        <w:bottom w:val="none" w:sz="0" w:space="0" w:color="auto"/>
        <w:right w:val="none" w:sz="0" w:space="0" w:color="auto"/>
      </w:divBdr>
    </w:div>
    <w:div w:id="397871838">
      <w:bodyDiv w:val="1"/>
      <w:marLeft w:val="0"/>
      <w:marRight w:val="0"/>
      <w:marTop w:val="0"/>
      <w:marBottom w:val="0"/>
      <w:divBdr>
        <w:top w:val="none" w:sz="0" w:space="0" w:color="auto"/>
        <w:left w:val="none" w:sz="0" w:space="0" w:color="auto"/>
        <w:bottom w:val="none" w:sz="0" w:space="0" w:color="auto"/>
        <w:right w:val="none" w:sz="0" w:space="0" w:color="auto"/>
      </w:divBdr>
    </w:div>
    <w:div w:id="512303048">
      <w:bodyDiv w:val="1"/>
      <w:marLeft w:val="0"/>
      <w:marRight w:val="0"/>
      <w:marTop w:val="0"/>
      <w:marBottom w:val="0"/>
      <w:divBdr>
        <w:top w:val="none" w:sz="0" w:space="0" w:color="auto"/>
        <w:left w:val="none" w:sz="0" w:space="0" w:color="auto"/>
        <w:bottom w:val="none" w:sz="0" w:space="0" w:color="auto"/>
        <w:right w:val="none" w:sz="0" w:space="0" w:color="auto"/>
      </w:divBdr>
      <w:divsChild>
        <w:div w:id="1246916636">
          <w:marLeft w:val="0"/>
          <w:marRight w:val="0"/>
          <w:marTop w:val="0"/>
          <w:marBottom w:val="0"/>
          <w:divBdr>
            <w:top w:val="none" w:sz="0" w:space="0" w:color="auto"/>
            <w:left w:val="none" w:sz="0" w:space="0" w:color="auto"/>
            <w:bottom w:val="none" w:sz="0" w:space="0" w:color="auto"/>
            <w:right w:val="none" w:sz="0" w:space="0" w:color="auto"/>
          </w:divBdr>
          <w:divsChild>
            <w:div w:id="1646932967">
              <w:marLeft w:val="0"/>
              <w:marRight w:val="0"/>
              <w:marTop w:val="0"/>
              <w:marBottom w:val="0"/>
              <w:divBdr>
                <w:top w:val="none" w:sz="0" w:space="0" w:color="auto"/>
                <w:left w:val="none" w:sz="0" w:space="0" w:color="auto"/>
                <w:bottom w:val="none" w:sz="0" w:space="0" w:color="auto"/>
                <w:right w:val="none" w:sz="0" w:space="0" w:color="auto"/>
              </w:divBdr>
              <w:divsChild>
                <w:div w:id="58839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070256">
      <w:bodyDiv w:val="1"/>
      <w:marLeft w:val="0"/>
      <w:marRight w:val="0"/>
      <w:marTop w:val="0"/>
      <w:marBottom w:val="0"/>
      <w:divBdr>
        <w:top w:val="none" w:sz="0" w:space="0" w:color="auto"/>
        <w:left w:val="none" w:sz="0" w:space="0" w:color="auto"/>
        <w:bottom w:val="none" w:sz="0" w:space="0" w:color="auto"/>
        <w:right w:val="none" w:sz="0" w:space="0" w:color="auto"/>
      </w:divBdr>
      <w:divsChild>
        <w:div w:id="619921366">
          <w:marLeft w:val="0"/>
          <w:marRight w:val="0"/>
          <w:marTop w:val="0"/>
          <w:marBottom w:val="0"/>
          <w:divBdr>
            <w:top w:val="none" w:sz="0" w:space="0" w:color="auto"/>
            <w:left w:val="none" w:sz="0" w:space="0" w:color="auto"/>
            <w:bottom w:val="none" w:sz="0" w:space="0" w:color="auto"/>
            <w:right w:val="none" w:sz="0" w:space="0" w:color="auto"/>
          </w:divBdr>
          <w:divsChild>
            <w:div w:id="1270891832">
              <w:marLeft w:val="0"/>
              <w:marRight w:val="0"/>
              <w:marTop w:val="0"/>
              <w:marBottom w:val="0"/>
              <w:divBdr>
                <w:top w:val="none" w:sz="0" w:space="0" w:color="auto"/>
                <w:left w:val="none" w:sz="0" w:space="0" w:color="auto"/>
                <w:bottom w:val="none" w:sz="0" w:space="0" w:color="auto"/>
                <w:right w:val="none" w:sz="0" w:space="0" w:color="auto"/>
              </w:divBdr>
              <w:divsChild>
                <w:div w:id="174537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581222">
      <w:bodyDiv w:val="1"/>
      <w:marLeft w:val="0"/>
      <w:marRight w:val="0"/>
      <w:marTop w:val="0"/>
      <w:marBottom w:val="0"/>
      <w:divBdr>
        <w:top w:val="none" w:sz="0" w:space="0" w:color="auto"/>
        <w:left w:val="none" w:sz="0" w:space="0" w:color="auto"/>
        <w:bottom w:val="none" w:sz="0" w:space="0" w:color="auto"/>
        <w:right w:val="none" w:sz="0" w:space="0" w:color="auto"/>
      </w:divBdr>
      <w:divsChild>
        <w:div w:id="79328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6694000">
      <w:bodyDiv w:val="1"/>
      <w:marLeft w:val="0"/>
      <w:marRight w:val="0"/>
      <w:marTop w:val="0"/>
      <w:marBottom w:val="0"/>
      <w:divBdr>
        <w:top w:val="none" w:sz="0" w:space="0" w:color="auto"/>
        <w:left w:val="none" w:sz="0" w:space="0" w:color="auto"/>
        <w:bottom w:val="none" w:sz="0" w:space="0" w:color="auto"/>
        <w:right w:val="none" w:sz="0" w:space="0" w:color="auto"/>
      </w:divBdr>
      <w:divsChild>
        <w:div w:id="1751073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506335">
      <w:bodyDiv w:val="1"/>
      <w:marLeft w:val="0"/>
      <w:marRight w:val="0"/>
      <w:marTop w:val="0"/>
      <w:marBottom w:val="0"/>
      <w:divBdr>
        <w:top w:val="none" w:sz="0" w:space="0" w:color="auto"/>
        <w:left w:val="none" w:sz="0" w:space="0" w:color="auto"/>
        <w:bottom w:val="none" w:sz="0" w:space="0" w:color="auto"/>
        <w:right w:val="none" w:sz="0" w:space="0" w:color="auto"/>
      </w:divBdr>
    </w:div>
    <w:div w:id="629820768">
      <w:bodyDiv w:val="1"/>
      <w:marLeft w:val="0"/>
      <w:marRight w:val="0"/>
      <w:marTop w:val="0"/>
      <w:marBottom w:val="0"/>
      <w:divBdr>
        <w:top w:val="none" w:sz="0" w:space="0" w:color="auto"/>
        <w:left w:val="none" w:sz="0" w:space="0" w:color="auto"/>
        <w:bottom w:val="none" w:sz="0" w:space="0" w:color="auto"/>
        <w:right w:val="none" w:sz="0" w:space="0" w:color="auto"/>
      </w:divBdr>
    </w:div>
    <w:div w:id="646277008">
      <w:bodyDiv w:val="1"/>
      <w:marLeft w:val="0"/>
      <w:marRight w:val="0"/>
      <w:marTop w:val="0"/>
      <w:marBottom w:val="0"/>
      <w:divBdr>
        <w:top w:val="none" w:sz="0" w:space="0" w:color="auto"/>
        <w:left w:val="none" w:sz="0" w:space="0" w:color="auto"/>
        <w:bottom w:val="none" w:sz="0" w:space="0" w:color="auto"/>
        <w:right w:val="none" w:sz="0" w:space="0" w:color="auto"/>
      </w:divBdr>
      <w:divsChild>
        <w:div w:id="669526527">
          <w:marLeft w:val="0"/>
          <w:marRight w:val="0"/>
          <w:marTop w:val="0"/>
          <w:marBottom w:val="0"/>
          <w:divBdr>
            <w:top w:val="none" w:sz="0" w:space="0" w:color="auto"/>
            <w:left w:val="none" w:sz="0" w:space="0" w:color="auto"/>
            <w:bottom w:val="none" w:sz="0" w:space="0" w:color="auto"/>
            <w:right w:val="none" w:sz="0" w:space="0" w:color="auto"/>
          </w:divBdr>
          <w:divsChild>
            <w:div w:id="987634928">
              <w:marLeft w:val="0"/>
              <w:marRight w:val="0"/>
              <w:marTop w:val="0"/>
              <w:marBottom w:val="0"/>
              <w:divBdr>
                <w:top w:val="none" w:sz="0" w:space="0" w:color="auto"/>
                <w:left w:val="none" w:sz="0" w:space="0" w:color="auto"/>
                <w:bottom w:val="none" w:sz="0" w:space="0" w:color="auto"/>
                <w:right w:val="none" w:sz="0" w:space="0" w:color="auto"/>
              </w:divBdr>
              <w:divsChild>
                <w:div w:id="65294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514">
      <w:bodyDiv w:val="1"/>
      <w:marLeft w:val="0"/>
      <w:marRight w:val="0"/>
      <w:marTop w:val="0"/>
      <w:marBottom w:val="0"/>
      <w:divBdr>
        <w:top w:val="none" w:sz="0" w:space="0" w:color="auto"/>
        <w:left w:val="none" w:sz="0" w:space="0" w:color="auto"/>
        <w:bottom w:val="none" w:sz="0" w:space="0" w:color="auto"/>
        <w:right w:val="none" w:sz="0" w:space="0" w:color="auto"/>
      </w:divBdr>
      <w:divsChild>
        <w:div w:id="1200319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0154721">
      <w:bodyDiv w:val="1"/>
      <w:marLeft w:val="0"/>
      <w:marRight w:val="0"/>
      <w:marTop w:val="0"/>
      <w:marBottom w:val="0"/>
      <w:divBdr>
        <w:top w:val="none" w:sz="0" w:space="0" w:color="auto"/>
        <w:left w:val="none" w:sz="0" w:space="0" w:color="auto"/>
        <w:bottom w:val="none" w:sz="0" w:space="0" w:color="auto"/>
        <w:right w:val="none" w:sz="0" w:space="0" w:color="auto"/>
      </w:divBdr>
      <w:divsChild>
        <w:div w:id="86851746">
          <w:marLeft w:val="0"/>
          <w:marRight w:val="0"/>
          <w:marTop w:val="0"/>
          <w:marBottom w:val="0"/>
          <w:divBdr>
            <w:top w:val="none" w:sz="0" w:space="0" w:color="auto"/>
            <w:left w:val="none" w:sz="0" w:space="0" w:color="auto"/>
            <w:bottom w:val="none" w:sz="0" w:space="0" w:color="auto"/>
            <w:right w:val="none" w:sz="0" w:space="0" w:color="auto"/>
          </w:divBdr>
          <w:divsChild>
            <w:div w:id="2049186134">
              <w:marLeft w:val="0"/>
              <w:marRight w:val="0"/>
              <w:marTop w:val="0"/>
              <w:marBottom w:val="0"/>
              <w:divBdr>
                <w:top w:val="none" w:sz="0" w:space="0" w:color="auto"/>
                <w:left w:val="none" w:sz="0" w:space="0" w:color="auto"/>
                <w:bottom w:val="none" w:sz="0" w:space="0" w:color="auto"/>
                <w:right w:val="none" w:sz="0" w:space="0" w:color="auto"/>
              </w:divBdr>
              <w:divsChild>
                <w:div w:id="85884349">
                  <w:marLeft w:val="0"/>
                  <w:marRight w:val="0"/>
                  <w:marTop w:val="0"/>
                  <w:marBottom w:val="0"/>
                  <w:divBdr>
                    <w:top w:val="none" w:sz="0" w:space="0" w:color="auto"/>
                    <w:left w:val="none" w:sz="0" w:space="0" w:color="auto"/>
                    <w:bottom w:val="none" w:sz="0" w:space="0" w:color="auto"/>
                    <w:right w:val="none" w:sz="0" w:space="0" w:color="auto"/>
                  </w:divBdr>
                  <w:divsChild>
                    <w:div w:id="75205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279101">
      <w:bodyDiv w:val="1"/>
      <w:marLeft w:val="0"/>
      <w:marRight w:val="0"/>
      <w:marTop w:val="0"/>
      <w:marBottom w:val="0"/>
      <w:divBdr>
        <w:top w:val="none" w:sz="0" w:space="0" w:color="auto"/>
        <w:left w:val="none" w:sz="0" w:space="0" w:color="auto"/>
        <w:bottom w:val="none" w:sz="0" w:space="0" w:color="auto"/>
        <w:right w:val="none" w:sz="0" w:space="0" w:color="auto"/>
      </w:divBdr>
      <w:divsChild>
        <w:div w:id="195506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444878">
      <w:bodyDiv w:val="1"/>
      <w:marLeft w:val="0"/>
      <w:marRight w:val="0"/>
      <w:marTop w:val="0"/>
      <w:marBottom w:val="0"/>
      <w:divBdr>
        <w:top w:val="none" w:sz="0" w:space="0" w:color="auto"/>
        <w:left w:val="none" w:sz="0" w:space="0" w:color="auto"/>
        <w:bottom w:val="none" w:sz="0" w:space="0" w:color="auto"/>
        <w:right w:val="none" w:sz="0" w:space="0" w:color="auto"/>
      </w:divBdr>
      <w:divsChild>
        <w:div w:id="543371018">
          <w:marLeft w:val="0"/>
          <w:marRight w:val="0"/>
          <w:marTop w:val="0"/>
          <w:marBottom w:val="0"/>
          <w:divBdr>
            <w:top w:val="none" w:sz="0" w:space="0" w:color="auto"/>
            <w:left w:val="none" w:sz="0" w:space="0" w:color="auto"/>
            <w:bottom w:val="none" w:sz="0" w:space="0" w:color="auto"/>
            <w:right w:val="none" w:sz="0" w:space="0" w:color="auto"/>
          </w:divBdr>
          <w:divsChild>
            <w:div w:id="753478470">
              <w:marLeft w:val="0"/>
              <w:marRight w:val="0"/>
              <w:marTop w:val="0"/>
              <w:marBottom w:val="0"/>
              <w:divBdr>
                <w:top w:val="none" w:sz="0" w:space="0" w:color="auto"/>
                <w:left w:val="none" w:sz="0" w:space="0" w:color="auto"/>
                <w:bottom w:val="none" w:sz="0" w:space="0" w:color="auto"/>
                <w:right w:val="none" w:sz="0" w:space="0" w:color="auto"/>
              </w:divBdr>
              <w:divsChild>
                <w:div w:id="13499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09945">
      <w:bodyDiv w:val="1"/>
      <w:marLeft w:val="0"/>
      <w:marRight w:val="0"/>
      <w:marTop w:val="0"/>
      <w:marBottom w:val="0"/>
      <w:divBdr>
        <w:top w:val="none" w:sz="0" w:space="0" w:color="auto"/>
        <w:left w:val="none" w:sz="0" w:space="0" w:color="auto"/>
        <w:bottom w:val="none" w:sz="0" w:space="0" w:color="auto"/>
        <w:right w:val="none" w:sz="0" w:space="0" w:color="auto"/>
      </w:divBdr>
    </w:div>
    <w:div w:id="870725312">
      <w:bodyDiv w:val="1"/>
      <w:marLeft w:val="0"/>
      <w:marRight w:val="0"/>
      <w:marTop w:val="0"/>
      <w:marBottom w:val="0"/>
      <w:divBdr>
        <w:top w:val="none" w:sz="0" w:space="0" w:color="auto"/>
        <w:left w:val="none" w:sz="0" w:space="0" w:color="auto"/>
        <w:bottom w:val="none" w:sz="0" w:space="0" w:color="auto"/>
        <w:right w:val="none" w:sz="0" w:space="0" w:color="auto"/>
      </w:divBdr>
    </w:div>
    <w:div w:id="875506194">
      <w:bodyDiv w:val="1"/>
      <w:marLeft w:val="0"/>
      <w:marRight w:val="0"/>
      <w:marTop w:val="0"/>
      <w:marBottom w:val="0"/>
      <w:divBdr>
        <w:top w:val="none" w:sz="0" w:space="0" w:color="auto"/>
        <w:left w:val="none" w:sz="0" w:space="0" w:color="auto"/>
        <w:bottom w:val="none" w:sz="0" w:space="0" w:color="auto"/>
        <w:right w:val="none" w:sz="0" w:space="0" w:color="auto"/>
      </w:divBdr>
    </w:div>
    <w:div w:id="881407386">
      <w:bodyDiv w:val="1"/>
      <w:marLeft w:val="0"/>
      <w:marRight w:val="0"/>
      <w:marTop w:val="0"/>
      <w:marBottom w:val="0"/>
      <w:divBdr>
        <w:top w:val="none" w:sz="0" w:space="0" w:color="auto"/>
        <w:left w:val="none" w:sz="0" w:space="0" w:color="auto"/>
        <w:bottom w:val="none" w:sz="0" w:space="0" w:color="auto"/>
        <w:right w:val="none" w:sz="0" w:space="0" w:color="auto"/>
      </w:divBdr>
    </w:div>
    <w:div w:id="907233183">
      <w:bodyDiv w:val="1"/>
      <w:marLeft w:val="0"/>
      <w:marRight w:val="0"/>
      <w:marTop w:val="0"/>
      <w:marBottom w:val="0"/>
      <w:divBdr>
        <w:top w:val="none" w:sz="0" w:space="0" w:color="auto"/>
        <w:left w:val="none" w:sz="0" w:space="0" w:color="auto"/>
        <w:bottom w:val="none" w:sz="0" w:space="0" w:color="auto"/>
        <w:right w:val="none" w:sz="0" w:space="0" w:color="auto"/>
      </w:divBdr>
    </w:div>
    <w:div w:id="928467693">
      <w:bodyDiv w:val="1"/>
      <w:marLeft w:val="0"/>
      <w:marRight w:val="0"/>
      <w:marTop w:val="0"/>
      <w:marBottom w:val="0"/>
      <w:divBdr>
        <w:top w:val="none" w:sz="0" w:space="0" w:color="auto"/>
        <w:left w:val="none" w:sz="0" w:space="0" w:color="auto"/>
        <w:bottom w:val="none" w:sz="0" w:space="0" w:color="auto"/>
        <w:right w:val="none" w:sz="0" w:space="0" w:color="auto"/>
      </w:divBdr>
    </w:div>
    <w:div w:id="939294659">
      <w:bodyDiv w:val="1"/>
      <w:marLeft w:val="0"/>
      <w:marRight w:val="0"/>
      <w:marTop w:val="0"/>
      <w:marBottom w:val="0"/>
      <w:divBdr>
        <w:top w:val="none" w:sz="0" w:space="0" w:color="auto"/>
        <w:left w:val="none" w:sz="0" w:space="0" w:color="auto"/>
        <w:bottom w:val="none" w:sz="0" w:space="0" w:color="auto"/>
        <w:right w:val="none" w:sz="0" w:space="0" w:color="auto"/>
      </w:divBdr>
    </w:div>
    <w:div w:id="946156661">
      <w:bodyDiv w:val="1"/>
      <w:marLeft w:val="0"/>
      <w:marRight w:val="0"/>
      <w:marTop w:val="0"/>
      <w:marBottom w:val="0"/>
      <w:divBdr>
        <w:top w:val="none" w:sz="0" w:space="0" w:color="auto"/>
        <w:left w:val="none" w:sz="0" w:space="0" w:color="auto"/>
        <w:bottom w:val="none" w:sz="0" w:space="0" w:color="auto"/>
        <w:right w:val="none" w:sz="0" w:space="0" w:color="auto"/>
      </w:divBdr>
    </w:div>
    <w:div w:id="993485234">
      <w:bodyDiv w:val="1"/>
      <w:marLeft w:val="0"/>
      <w:marRight w:val="0"/>
      <w:marTop w:val="0"/>
      <w:marBottom w:val="0"/>
      <w:divBdr>
        <w:top w:val="none" w:sz="0" w:space="0" w:color="auto"/>
        <w:left w:val="none" w:sz="0" w:space="0" w:color="auto"/>
        <w:bottom w:val="none" w:sz="0" w:space="0" w:color="auto"/>
        <w:right w:val="none" w:sz="0" w:space="0" w:color="auto"/>
      </w:divBdr>
    </w:div>
    <w:div w:id="1011571810">
      <w:bodyDiv w:val="1"/>
      <w:marLeft w:val="0"/>
      <w:marRight w:val="0"/>
      <w:marTop w:val="0"/>
      <w:marBottom w:val="0"/>
      <w:divBdr>
        <w:top w:val="none" w:sz="0" w:space="0" w:color="auto"/>
        <w:left w:val="none" w:sz="0" w:space="0" w:color="auto"/>
        <w:bottom w:val="none" w:sz="0" w:space="0" w:color="auto"/>
        <w:right w:val="none" w:sz="0" w:space="0" w:color="auto"/>
      </w:divBdr>
    </w:div>
    <w:div w:id="1013651944">
      <w:bodyDiv w:val="1"/>
      <w:marLeft w:val="0"/>
      <w:marRight w:val="0"/>
      <w:marTop w:val="0"/>
      <w:marBottom w:val="0"/>
      <w:divBdr>
        <w:top w:val="none" w:sz="0" w:space="0" w:color="auto"/>
        <w:left w:val="none" w:sz="0" w:space="0" w:color="auto"/>
        <w:bottom w:val="none" w:sz="0" w:space="0" w:color="auto"/>
        <w:right w:val="none" w:sz="0" w:space="0" w:color="auto"/>
      </w:divBdr>
    </w:div>
    <w:div w:id="1042942343">
      <w:bodyDiv w:val="1"/>
      <w:marLeft w:val="0"/>
      <w:marRight w:val="0"/>
      <w:marTop w:val="0"/>
      <w:marBottom w:val="0"/>
      <w:divBdr>
        <w:top w:val="none" w:sz="0" w:space="0" w:color="auto"/>
        <w:left w:val="none" w:sz="0" w:space="0" w:color="auto"/>
        <w:bottom w:val="none" w:sz="0" w:space="0" w:color="auto"/>
        <w:right w:val="none" w:sz="0" w:space="0" w:color="auto"/>
      </w:divBdr>
    </w:div>
    <w:div w:id="1093936274">
      <w:bodyDiv w:val="1"/>
      <w:marLeft w:val="0"/>
      <w:marRight w:val="0"/>
      <w:marTop w:val="0"/>
      <w:marBottom w:val="0"/>
      <w:divBdr>
        <w:top w:val="none" w:sz="0" w:space="0" w:color="auto"/>
        <w:left w:val="none" w:sz="0" w:space="0" w:color="auto"/>
        <w:bottom w:val="none" w:sz="0" w:space="0" w:color="auto"/>
        <w:right w:val="none" w:sz="0" w:space="0" w:color="auto"/>
      </w:divBdr>
    </w:div>
    <w:div w:id="1127118617">
      <w:bodyDiv w:val="1"/>
      <w:marLeft w:val="0"/>
      <w:marRight w:val="0"/>
      <w:marTop w:val="0"/>
      <w:marBottom w:val="0"/>
      <w:divBdr>
        <w:top w:val="none" w:sz="0" w:space="0" w:color="auto"/>
        <w:left w:val="none" w:sz="0" w:space="0" w:color="auto"/>
        <w:bottom w:val="none" w:sz="0" w:space="0" w:color="auto"/>
        <w:right w:val="none" w:sz="0" w:space="0" w:color="auto"/>
      </w:divBdr>
    </w:div>
    <w:div w:id="1148399855">
      <w:bodyDiv w:val="1"/>
      <w:marLeft w:val="0"/>
      <w:marRight w:val="0"/>
      <w:marTop w:val="0"/>
      <w:marBottom w:val="0"/>
      <w:divBdr>
        <w:top w:val="none" w:sz="0" w:space="0" w:color="auto"/>
        <w:left w:val="none" w:sz="0" w:space="0" w:color="auto"/>
        <w:bottom w:val="none" w:sz="0" w:space="0" w:color="auto"/>
        <w:right w:val="none" w:sz="0" w:space="0" w:color="auto"/>
      </w:divBdr>
    </w:div>
    <w:div w:id="1224683047">
      <w:bodyDiv w:val="1"/>
      <w:marLeft w:val="0"/>
      <w:marRight w:val="0"/>
      <w:marTop w:val="0"/>
      <w:marBottom w:val="0"/>
      <w:divBdr>
        <w:top w:val="none" w:sz="0" w:space="0" w:color="auto"/>
        <w:left w:val="none" w:sz="0" w:space="0" w:color="auto"/>
        <w:bottom w:val="none" w:sz="0" w:space="0" w:color="auto"/>
        <w:right w:val="none" w:sz="0" w:space="0" w:color="auto"/>
      </w:divBdr>
    </w:div>
    <w:div w:id="1253516066">
      <w:bodyDiv w:val="1"/>
      <w:marLeft w:val="0"/>
      <w:marRight w:val="0"/>
      <w:marTop w:val="0"/>
      <w:marBottom w:val="0"/>
      <w:divBdr>
        <w:top w:val="none" w:sz="0" w:space="0" w:color="auto"/>
        <w:left w:val="none" w:sz="0" w:space="0" w:color="auto"/>
        <w:bottom w:val="none" w:sz="0" w:space="0" w:color="auto"/>
        <w:right w:val="none" w:sz="0" w:space="0" w:color="auto"/>
      </w:divBdr>
    </w:div>
    <w:div w:id="1271398409">
      <w:bodyDiv w:val="1"/>
      <w:marLeft w:val="0"/>
      <w:marRight w:val="0"/>
      <w:marTop w:val="0"/>
      <w:marBottom w:val="0"/>
      <w:divBdr>
        <w:top w:val="none" w:sz="0" w:space="0" w:color="auto"/>
        <w:left w:val="none" w:sz="0" w:space="0" w:color="auto"/>
        <w:bottom w:val="none" w:sz="0" w:space="0" w:color="auto"/>
        <w:right w:val="none" w:sz="0" w:space="0" w:color="auto"/>
      </w:divBdr>
    </w:div>
    <w:div w:id="1280380547">
      <w:bodyDiv w:val="1"/>
      <w:marLeft w:val="0"/>
      <w:marRight w:val="0"/>
      <w:marTop w:val="0"/>
      <w:marBottom w:val="0"/>
      <w:divBdr>
        <w:top w:val="none" w:sz="0" w:space="0" w:color="auto"/>
        <w:left w:val="none" w:sz="0" w:space="0" w:color="auto"/>
        <w:bottom w:val="none" w:sz="0" w:space="0" w:color="auto"/>
        <w:right w:val="none" w:sz="0" w:space="0" w:color="auto"/>
      </w:divBdr>
    </w:div>
    <w:div w:id="1299915826">
      <w:bodyDiv w:val="1"/>
      <w:marLeft w:val="0"/>
      <w:marRight w:val="0"/>
      <w:marTop w:val="0"/>
      <w:marBottom w:val="0"/>
      <w:divBdr>
        <w:top w:val="none" w:sz="0" w:space="0" w:color="auto"/>
        <w:left w:val="none" w:sz="0" w:space="0" w:color="auto"/>
        <w:bottom w:val="none" w:sz="0" w:space="0" w:color="auto"/>
        <w:right w:val="none" w:sz="0" w:space="0" w:color="auto"/>
      </w:divBdr>
      <w:divsChild>
        <w:div w:id="928194821">
          <w:marLeft w:val="0"/>
          <w:marRight w:val="0"/>
          <w:marTop w:val="0"/>
          <w:marBottom w:val="0"/>
          <w:divBdr>
            <w:top w:val="none" w:sz="0" w:space="0" w:color="auto"/>
            <w:left w:val="none" w:sz="0" w:space="0" w:color="auto"/>
            <w:bottom w:val="none" w:sz="0" w:space="0" w:color="auto"/>
            <w:right w:val="none" w:sz="0" w:space="0" w:color="auto"/>
          </w:divBdr>
          <w:divsChild>
            <w:div w:id="1486970191">
              <w:marLeft w:val="0"/>
              <w:marRight w:val="0"/>
              <w:marTop w:val="0"/>
              <w:marBottom w:val="0"/>
              <w:divBdr>
                <w:top w:val="none" w:sz="0" w:space="0" w:color="auto"/>
                <w:left w:val="none" w:sz="0" w:space="0" w:color="auto"/>
                <w:bottom w:val="none" w:sz="0" w:space="0" w:color="auto"/>
                <w:right w:val="none" w:sz="0" w:space="0" w:color="auto"/>
              </w:divBdr>
              <w:divsChild>
                <w:div w:id="12559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568267">
      <w:bodyDiv w:val="1"/>
      <w:marLeft w:val="0"/>
      <w:marRight w:val="0"/>
      <w:marTop w:val="0"/>
      <w:marBottom w:val="0"/>
      <w:divBdr>
        <w:top w:val="none" w:sz="0" w:space="0" w:color="auto"/>
        <w:left w:val="none" w:sz="0" w:space="0" w:color="auto"/>
        <w:bottom w:val="none" w:sz="0" w:space="0" w:color="auto"/>
        <w:right w:val="none" w:sz="0" w:space="0" w:color="auto"/>
      </w:divBdr>
    </w:div>
    <w:div w:id="1349331883">
      <w:bodyDiv w:val="1"/>
      <w:marLeft w:val="0"/>
      <w:marRight w:val="0"/>
      <w:marTop w:val="0"/>
      <w:marBottom w:val="0"/>
      <w:divBdr>
        <w:top w:val="none" w:sz="0" w:space="0" w:color="auto"/>
        <w:left w:val="none" w:sz="0" w:space="0" w:color="auto"/>
        <w:bottom w:val="none" w:sz="0" w:space="0" w:color="auto"/>
        <w:right w:val="none" w:sz="0" w:space="0" w:color="auto"/>
      </w:divBdr>
      <w:divsChild>
        <w:div w:id="1471634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530477">
      <w:bodyDiv w:val="1"/>
      <w:marLeft w:val="0"/>
      <w:marRight w:val="0"/>
      <w:marTop w:val="0"/>
      <w:marBottom w:val="0"/>
      <w:divBdr>
        <w:top w:val="none" w:sz="0" w:space="0" w:color="auto"/>
        <w:left w:val="none" w:sz="0" w:space="0" w:color="auto"/>
        <w:bottom w:val="none" w:sz="0" w:space="0" w:color="auto"/>
        <w:right w:val="none" w:sz="0" w:space="0" w:color="auto"/>
      </w:divBdr>
      <w:divsChild>
        <w:div w:id="242379949">
          <w:marLeft w:val="0"/>
          <w:marRight w:val="0"/>
          <w:marTop w:val="0"/>
          <w:marBottom w:val="0"/>
          <w:divBdr>
            <w:top w:val="none" w:sz="0" w:space="0" w:color="auto"/>
            <w:left w:val="none" w:sz="0" w:space="0" w:color="auto"/>
            <w:bottom w:val="none" w:sz="0" w:space="0" w:color="auto"/>
            <w:right w:val="none" w:sz="0" w:space="0" w:color="auto"/>
          </w:divBdr>
          <w:divsChild>
            <w:div w:id="1636984005">
              <w:marLeft w:val="0"/>
              <w:marRight w:val="0"/>
              <w:marTop w:val="0"/>
              <w:marBottom w:val="0"/>
              <w:divBdr>
                <w:top w:val="none" w:sz="0" w:space="0" w:color="auto"/>
                <w:left w:val="none" w:sz="0" w:space="0" w:color="auto"/>
                <w:bottom w:val="none" w:sz="0" w:space="0" w:color="auto"/>
                <w:right w:val="none" w:sz="0" w:space="0" w:color="auto"/>
              </w:divBdr>
              <w:divsChild>
                <w:div w:id="37042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95622">
      <w:bodyDiv w:val="1"/>
      <w:marLeft w:val="0"/>
      <w:marRight w:val="0"/>
      <w:marTop w:val="0"/>
      <w:marBottom w:val="0"/>
      <w:divBdr>
        <w:top w:val="none" w:sz="0" w:space="0" w:color="auto"/>
        <w:left w:val="none" w:sz="0" w:space="0" w:color="auto"/>
        <w:bottom w:val="none" w:sz="0" w:space="0" w:color="auto"/>
        <w:right w:val="none" w:sz="0" w:space="0" w:color="auto"/>
      </w:divBdr>
      <w:divsChild>
        <w:div w:id="1486050606">
          <w:marLeft w:val="0"/>
          <w:marRight w:val="0"/>
          <w:marTop w:val="0"/>
          <w:marBottom w:val="0"/>
          <w:divBdr>
            <w:top w:val="none" w:sz="0" w:space="0" w:color="auto"/>
            <w:left w:val="none" w:sz="0" w:space="0" w:color="auto"/>
            <w:bottom w:val="none" w:sz="0" w:space="0" w:color="auto"/>
            <w:right w:val="none" w:sz="0" w:space="0" w:color="auto"/>
          </w:divBdr>
          <w:divsChild>
            <w:div w:id="475493283">
              <w:marLeft w:val="0"/>
              <w:marRight w:val="0"/>
              <w:marTop w:val="0"/>
              <w:marBottom w:val="0"/>
              <w:divBdr>
                <w:top w:val="none" w:sz="0" w:space="0" w:color="auto"/>
                <w:left w:val="none" w:sz="0" w:space="0" w:color="auto"/>
                <w:bottom w:val="none" w:sz="0" w:space="0" w:color="auto"/>
                <w:right w:val="none" w:sz="0" w:space="0" w:color="auto"/>
              </w:divBdr>
              <w:divsChild>
                <w:div w:id="20894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13588">
      <w:bodyDiv w:val="1"/>
      <w:marLeft w:val="0"/>
      <w:marRight w:val="0"/>
      <w:marTop w:val="0"/>
      <w:marBottom w:val="0"/>
      <w:divBdr>
        <w:top w:val="none" w:sz="0" w:space="0" w:color="auto"/>
        <w:left w:val="none" w:sz="0" w:space="0" w:color="auto"/>
        <w:bottom w:val="none" w:sz="0" w:space="0" w:color="auto"/>
        <w:right w:val="none" w:sz="0" w:space="0" w:color="auto"/>
      </w:divBdr>
    </w:div>
    <w:div w:id="1483303932">
      <w:bodyDiv w:val="1"/>
      <w:marLeft w:val="0"/>
      <w:marRight w:val="0"/>
      <w:marTop w:val="0"/>
      <w:marBottom w:val="0"/>
      <w:divBdr>
        <w:top w:val="none" w:sz="0" w:space="0" w:color="auto"/>
        <w:left w:val="none" w:sz="0" w:space="0" w:color="auto"/>
        <w:bottom w:val="none" w:sz="0" w:space="0" w:color="auto"/>
        <w:right w:val="none" w:sz="0" w:space="0" w:color="auto"/>
      </w:divBdr>
    </w:div>
    <w:div w:id="1558318529">
      <w:bodyDiv w:val="1"/>
      <w:marLeft w:val="0"/>
      <w:marRight w:val="0"/>
      <w:marTop w:val="0"/>
      <w:marBottom w:val="0"/>
      <w:divBdr>
        <w:top w:val="none" w:sz="0" w:space="0" w:color="auto"/>
        <w:left w:val="none" w:sz="0" w:space="0" w:color="auto"/>
        <w:bottom w:val="none" w:sz="0" w:space="0" w:color="auto"/>
        <w:right w:val="none" w:sz="0" w:space="0" w:color="auto"/>
      </w:divBdr>
      <w:divsChild>
        <w:div w:id="1327588865">
          <w:marLeft w:val="0"/>
          <w:marRight w:val="0"/>
          <w:marTop w:val="0"/>
          <w:marBottom w:val="0"/>
          <w:divBdr>
            <w:top w:val="none" w:sz="0" w:space="0" w:color="auto"/>
            <w:left w:val="none" w:sz="0" w:space="0" w:color="auto"/>
            <w:bottom w:val="none" w:sz="0" w:space="0" w:color="auto"/>
            <w:right w:val="none" w:sz="0" w:space="0" w:color="auto"/>
          </w:divBdr>
          <w:divsChild>
            <w:div w:id="1222056333">
              <w:marLeft w:val="0"/>
              <w:marRight w:val="0"/>
              <w:marTop w:val="0"/>
              <w:marBottom w:val="0"/>
              <w:divBdr>
                <w:top w:val="none" w:sz="0" w:space="0" w:color="auto"/>
                <w:left w:val="none" w:sz="0" w:space="0" w:color="auto"/>
                <w:bottom w:val="none" w:sz="0" w:space="0" w:color="auto"/>
                <w:right w:val="none" w:sz="0" w:space="0" w:color="auto"/>
              </w:divBdr>
              <w:divsChild>
                <w:div w:id="1445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269270">
      <w:bodyDiv w:val="1"/>
      <w:marLeft w:val="0"/>
      <w:marRight w:val="0"/>
      <w:marTop w:val="0"/>
      <w:marBottom w:val="0"/>
      <w:divBdr>
        <w:top w:val="none" w:sz="0" w:space="0" w:color="auto"/>
        <w:left w:val="none" w:sz="0" w:space="0" w:color="auto"/>
        <w:bottom w:val="none" w:sz="0" w:space="0" w:color="auto"/>
        <w:right w:val="none" w:sz="0" w:space="0" w:color="auto"/>
      </w:divBdr>
    </w:div>
    <w:div w:id="1626354414">
      <w:bodyDiv w:val="1"/>
      <w:marLeft w:val="0"/>
      <w:marRight w:val="0"/>
      <w:marTop w:val="0"/>
      <w:marBottom w:val="0"/>
      <w:divBdr>
        <w:top w:val="none" w:sz="0" w:space="0" w:color="auto"/>
        <w:left w:val="none" w:sz="0" w:space="0" w:color="auto"/>
        <w:bottom w:val="none" w:sz="0" w:space="0" w:color="auto"/>
        <w:right w:val="none" w:sz="0" w:space="0" w:color="auto"/>
      </w:divBdr>
      <w:divsChild>
        <w:div w:id="1341591402">
          <w:marLeft w:val="0"/>
          <w:marRight w:val="0"/>
          <w:marTop w:val="0"/>
          <w:marBottom w:val="0"/>
          <w:divBdr>
            <w:top w:val="none" w:sz="0" w:space="0" w:color="auto"/>
            <w:left w:val="none" w:sz="0" w:space="0" w:color="auto"/>
            <w:bottom w:val="none" w:sz="0" w:space="0" w:color="auto"/>
            <w:right w:val="none" w:sz="0" w:space="0" w:color="auto"/>
          </w:divBdr>
          <w:divsChild>
            <w:div w:id="1991909737">
              <w:marLeft w:val="0"/>
              <w:marRight w:val="0"/>
              <w:marTop w:val="0"/>
              <w:marBottom w:val="0"/>
              <w:divBdr>
                <w:top w:val="none" w:sz="0" w:space="0" w:color="auto"/>
                <w:left w:val="none" w:sz="0" w:space="0" w:color="auto"/>
                <w:bottom w:val="none" w:sz="0" w:space="0" w:color="auto"/>
                <w:right w:val="none" w:sz="0" w:space="0" w:color="auto"/>
              </w:divBdr>
              <w:divsChild>
                <w:div w:id="8296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81976">
      <w:bodyDiv w:val="1"/>
      <w:marLeft w:val="0"/>
      <w:marRight w:val="0"/>
      <w:marTop w:val="0"/>
      <w:marBottom w:val="0"/>
      <w:divBdr>
        <w:top w:val="none" w:sz="0" w:space="0" w:color="auto"/>
        <w:left w:val="none" w:sz="0" w:space="0" w:color="auto"/>
        <w:bottom w:val="none" w:sz="0" w:space="0" w:color="auto"/>
        <w:right w:val="none" w:sz="0" w:space="0" w:color="auto"/>
      </w:divBdr>
      <w:divsChild>
        <w:div w:id="1498770502">
          <w:marLeft w:val="0"/>
          <w:marRight w:val="0"/>
          <w:marTop w:val="0"/>
          <w:marBottom w:val="0"/>
          <w:divBdr>
            <w:top w:val="none" w:sz="0" w:space="0" w:color="auto"/>
            <w:left w:val="none" w:sz="0" w:space="0" w:color="auto"/>
            <w:bottom w:val="none" w:sz="0" w:space="0" w:color="auto"/>
            <w:right w:val="none" w:sz="0" w:space="0" w:color="auto"/>
          </w:divBdr>
          <w:divsChild>
            <w:div w:id="404303394">
              <w:marLeft w:val="0"/>
              <w:marRight w:val="0"/>
              <w:marTop w:val="0"/>
              <w:marBottom w:val="0"/>
              <w:divBdr>
                <w:top w:val="none" w:sz="0" w:space="0" w:color="auto"/>
                <w:left w:val="none" w:sz="0" w:space="0" w:color="auto"/>
                <w:bottom w:val="none" w:sz="0" w:space="0" w:color="auto"/>
                <w:right w:val="none" w:sz="0" w:space="0" w:color="auto"/>
              </w:divBdr>
              <w:divsChild>
                <w:div w:id="363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90977">
      <w:bodyDiv w:val="1"/>
      <w:marLeft w:val="0"/>
      <w:marRight w:val="0"/>
      <w:marTop w:val="0"/>
      <w:marBottom w:val="0"/>
      <w:divBdr>
        <w:top w:val="none" w:sz="0" w:space="0" w:color="auto"/>
        <w:left w:val="none" w:sz="0" w:space="0" w:color="auto"/>
        <w:bottom w:val="none" w:sz="0" w:space="0" w:color="auto"/>
        <w:right w:val="none" w:sz="0" w:space="0" w:color="auto"/>
      </w:divBdr>
      <w:divsChild>
        <w:div w:id="67272502">
          <w:marLeft w:val="0"/>
          <w:marRight w:val="0"/>
          <w:marTop w:val="0"/>
          <w:marBottom w:val="0"/>
          <w:divBdr>
            <w:top w:val="none" w:sz="0" w:space="0" w:color="auto"/>
            <w:left w:val="none" w:sz="0" w:space="0" w:color="auto"/>
            <w:bottom w:val="none" w:sz="0" w:space="0" w:color="auto"/>
            <w:right w:val="none" w:sz="0" w:space="0" w:color="auto"/>
          </w:divBdr>
          <w:divsChild>
            <w:div w:id="1230072149">
              <w:marLeft w:val="0"/>
              <w:marRight w:val="0"/>
              <w:marTop w:val="0"/>
              <w:marBottom w:val="0"/>
              <w:divBdr>
                <w:top w:val="none" w:sz="0" w:space="0" w:color="auto"/>
                <w:left w:val="none" w:sz="0" w:space="0" w:color="auto"/>
                <w:bottom w:val="none" w:sz="0" w:space="0" w:color="auto"/>
                <w:right w:val="none" w:sz="0" w:space="0" w:color="auto"/>
              </w:divBdr>
              <w:divsChild>
                <w:div w:id="70984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43112">
      <w:bodyDiv w:val="1"/>
      <w:marLeft w:val="0"/>
      <w:marRight w:val="0"/>
      <w:marTop w:val="0"/>
      <w:marBottom w:val="0"/>
      <w:divBdr>
        <w:top w:val="none" w:sz="0" w:space="0" w:color="auto"/>
        <w:left w:val="none" w:sz="0" w:space="0" w:color="auto"/>
        <w:bottom w:val="none" w:sz="0" w:space="0" w:color="auto"/>
        <w:right w:val="none" w:sz="0" w:space="0" w:color="auto"/>
      </w:divBdr>
      <w:divsChild>
        <w:div w:id="1774935957">
          <w:marLeft w:val="0"/>
          <w:marRight w:val="0"/>
          <w:marTop w:val="0"/>
          <w:marBottom w:val="0"/>
          <w:divBdr>
            <w:top w:val="none" w:sz="0" w:space="0" w:color="auto"/>
            <w:left w:val="none" w:sz="0" w:space="0" w:color="auto"/>
            <w:bottom w:val="none" w:sz="0" w:space="0" w:color="auto"/>
            <w:right w:val="none" w:sz="0" w:space="0" w:color="auto"/>
          </w:divBdr>
          <w:divsChild>
            <w:div w:id="748818689">
              <w:marLeft w:val="0"/>
              <w:marRight w:val="0"/>
              <w:marTop w:val="0"/>
              <w:marBottom w:val="0"/>
              <w:divBdr>
                <w:top w:val="none" w:sz="0" w:space="0" w:color="auto"/>
                <w:left w:val="none" w:sz="0" w:space="0" w:color="auto"/>
                <w:bottom w:val="none" w:sz="0" w:space="0" w:color="auto"/>
                <w:right w:val="none" w:sz="0" w:space="0" w:color="auto"/>
              </w:divBdr>
              <w:divsChild>
                <w:div w:id="131645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497706">
      <w:bodyDiv w:val="1"/>
      <w:marLeft w:val="0"/>
      <w:marRight w:val="0"/>
      <w:marTop w:val="0"/>
      <w:marBottom w:val="0"/>
      <w:divBdr>
        <w:top w:val="none" w:sz="0" w:space="0" w:color="auto"/>
        <w:left w:val="none" w:sz="0" w:space="0" w:color="auto"/>
        <w:bottom w:val="none" w:sz="0" w:space="0" w:color="auto"/>
        <w:right w:val="none" w:sz="0" w:space="0" w:color="auto"/>
      </w:divBdr>
    </w:div>
    <w:div w:id="1831672389">
      <w:bodyDiv w:val="1"/>
      <w:marLeft w:val="0"/>
      <w:marRight w:val="0"/>
      <w:marTop w:val="0"/>
      <w:marBottom w:val="0"/>
      <w:divBdr>
        <w:top w:val="none" w:sz="0" w:space="0" w:color="auto"/>
        <w:left w:val="none" w:sz="0" w:space="0" w:color="auto"/>
        <w:bottom w:val="none" w:sz="0" w:space="0" w:color="auto"/>
        <w:right w:val="none" w:sz="0" w:space="0" w:color="auto"/>
      </w:divBdr>
      <w:divsChild>
        <w:div w:id="58141592">
          <w:marLeft w:val="0"/>
          <w:marRight w:val="0"/>
          <w:marTop w:val="0"/>
          <w:marBottom w:val="0"/>
          <w:divBdr>
            <w:top w:val="none" w:sz="0" w:space="0" w:color="auto"/>
            <w:left w:val="none" w:sz="0" w:space="0" w:color="auto"/>
            <w:bottom w:val="none" w:sz="0" w:space="0" w:color="auto"/>
            <w:right w:val="none" w:sz="0" w:space="0" w:color="auto"/>
          </w:divBdr>
          <w:divsChild>
            <w:div w:id="488637614">
              <w:marLeft w:val="0"/>
              <w:marRight w:val="0"/>
              <w:marTop w:val="0"/>
              <w:marBottom w:val="0"/>
              <w:divBdr>
                <w:top w:val="none" w:sz="0" w:space="0" w:color="auto"/>
                <w:left w:val="none" w:sz="0" w:space="0" w:color="auto"/>
                <w:bottom w:val="none" w:sz="0" w:space="0" w:color="auto"/>
                <w:right w:val="none" w:sz="0" w:space="0" w:color="auto"/>
              </w:divBdr>
              <w:divsChild>
                <w:div w:id="137438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826200">
      <w:bodyDiv w:val="1"/>
      <w:marLeft w:val="0"/>
      <w:marRight w:val="0"/>
      <w:marTop w:val="0"/>
      <w:marBottom w:val="0"/>
      <w:divBdr>
        <w:top w:val="none" w:sz="0" w:space="0" w:color="auto"/>
        <w:left w:val="none" w:sz="0" w:space="0" w:color="auto"/>
        <w:bottom w:val="none" w:sz="0" w:space="0" w:color="auto"/>
        <w:right w:val="none" w:sz="0" w:space="0" w:color="auto"/>
      </w:divBdr>
      <w:divsChild>
        <w:div w:id="1761750342">
          <w:marLeft w:val="0"/>
          <w:marRight w:val="0"/>
          <w:marTop w:val="0"/>
          <w:marBottom w:val="0"/>
          <w:divBdr>
            <w:top w:val="none" w:sz="0" w:space="0" w:color="auto"/>
            <w:left w:val="none" w:sz="0" w:space="0" w:color="auto"/>
            <w:bottom w:val="none" w:sz="0" w:space="0" w:color="auto"/>
            <w:right w:val="none" w:sz="0" w:space="0" w:color="auto"/>
          </w:divBdr>
          <w:divsChild>
            <w:div w:id="140393769">
              <w:marLeft w:val="0"/>
              <w:marRight w:val="0"/>
              <w:marTop w:val="0"/>
              <w:marBottom w:val="0"/>
              <w:divBdr>
                <w:top w:val="none" w:sz="0" w:space="0" w:color="auto"/>
                <w:left w:val="none" w:sz="0" w:space="0" w:color="auto"/>
                <w:bottom w:val="none" w:sz="0" w:space="0" w:color="auto"/>
                <w:right w:val="none" w:sz="0" w:space="0" w:color="auto"/>
              </w:divBdr>
              <w:divsChild>
                <w:div w:id="9883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42668">
      <w:bodyDiv w:val="1"/>
      <w:marLeft w:val="0"/>
      <w:marRight w:val="0"/>
      <w:marTop w:val="0"/>
      <w:marBottom w:val="0"/>
      <w:divBdr>
        <w:top w:val="none" w:sz="0" w:space="0" w:color="auto"/>
        <w:left w:val="none" w:sz="0" w:space="0" w:color="auto"/>
        <w:bottom w:val="none" w:sz="0" w:space="0" w:color="auto"/>
        <w:right w:val="none" w:sz="0" w:space="0" w:color="auto"/>
      </w:divBdr>
      <w:divsChild>
        <w:div w:id="2140223648">
          <w:marLeft w:val="0"/>
          <w:marRight w:val="0"/>
          <w:marTop w:val="0"/>
          <w:marBottom w:val="0"/>
          <w:divBdr>
            <w:top w:val="none" w:sz="0" w:space="0" w:color="auto"/>
            <w:left w:val="none" w:sz="0" w:space="0" w:color="auto"/>
            <w:bottom w:val="none" w:sz="0" w:space="0" w:color="auto"/>
            <w:right w:val="none" w:sz="0" w:space="0" w:color="auto"/>
          </w:divBdr>
          <w:divsChild>
            <w:div w:id="563104193">
              <w:marLeft w:val="0"/>
              <w:marRight w:val="0"/>
              <w:marTop w:val="0"/>
              <w:marBottom w:val="0"/>
              <w:divBdr>
                <w:top w:val="none" w:sz="0" w:space="0" w:color="auto"/>
                <w:left w:val="none" w:sz="0" w:space="0" w:color="auto"/>
                <w:bottom w:val="none" w:sz="0" w:space="0" w:color="auto"/>
                <w:right w:val="none" w:sz="0" w:space="0" w:color="auto"/>
              </w:divBdr>
              <w:divsChild>
                <w:div w:id="20208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7844">
      <w:bodyDiv w:val="1"/>
      <w:marLeft w:val="0"/>
      <w:marRight w:val="0"/>
      <w:marTop w:val="0"/>
      <w:marBottom w:val="0"/>
      <w:divBdr>
        <w:top w:val="none" w:sz="0" w:space="0" w:color="auto"/>
        <w:left w:val="none" w:sz="0" w:space="0" w:color="auto"/>
        <w:bottom w:val="none" w:sz="0" w:space="0" w:color="auto"/>
        <w:right w:val="none" w:sz="0" w:space="0" w:color="auto"/>
      </w:divBdr>
    </w:div>
    <w:div w:id="1936281499">
      <w:bodyDiv w:val="1"/>
      <w:marLeft w:val="0"/>
      <w:marRight w:val="0"/>
      <w:marTop w:val="0"/>
      <w:marBottom w:val="0"/>
      <w:divBdr>
        <w:top w:val="none" w:sz="0" w:space="0" w:color="auto"/>
        <w:left w:val="none" w:sz="0" w:space="0" w:color="auto"/>
        <w:bottom w:val="none" w:sz="0" w:space="0" w:color="auto"/>
        <w:right w:val="none" w:sz="0" w:space="0" w:color="auto"/>
      </w:divBdr>
    </w:div>
    <w:div w:id="2040661525">
      <w:bodyDiv w:val="1"/>
      <w:marLeft w:val="0"/>
      <w:marRight w:val="0"/>
      <w:marTop w:val="0"/>
      <w:marBottom w:val="0"/>
      <w:divBdr>
        <w:top w:val="none" w:sz="0" w:space="0" w:color="auto"/>
        <w:left w:val="none" w:sz="0" w:space="0" w:color="auto"/>
        <w:bottom w:val="none" w:sz="0" w:space="0" w:color="auto"/>
        <w:right w:val="none" w:sz="0" w:space="0" w:color="auto"/>
      </w:divBdr>
    </w:div>
    <w:div w:id="2073846392">
      <w:bodyDiv w:val="1"/>
      <w:marLeft w:val="0"/>
      <w:marRight w:val="0"/>
      <w:marTop w:val="0"/>
      <w:marBottom w:val="0"/>
      <w:divBdr>
        <w:top w:val="none" w:sz="0" w:space="0" w:color="auto"/>
        <w:left w:val="none" w:sz="0" w:space="0" w:color="auto"/>
        <w:bottom w:val="none" w:sz="0" w:space="0" w:color="auto"/>
        <w:right w:val="none" w:sz="0" w:space="0" w:color="auto"/>
      </w:divBdr>
      <w:divsChild>
        <w:div w:id="771514808">
          <w:marLeft w:val="0"/>
          <w:marRight w:val="0"/>
          <w:marTop w:val="0"/>
          <w:marBottom w:val="0"/>
          <w:divBdr>
            <w:top w:val="none" w:sz="0" w:space="0" w:color="auto"/>
            <w:left w:val="none" w:sz="0" w:space="0" w:color="auto"/>
            <w:bottom w:val="none" w:sz="0" w:space="0" w:color="auto"/>
            <w:right w:val="none" w:sz="0" w:space="0" w:color="auto"/>
          </w:divBdr>
          <w:divsChild>
            <w:div w:id="435369495">
              <w:marLeft w:val="0"/>
              <w:marRight w:val="0"/>
              <w:marTop w:val="0"/>
              <w:marBottom w:val="0"/>
              <w:divBdr>
                <w:top w:val="none" w:sz="0" w:space="0" w:color="auto"/>
                <w:left w:val="none" w:sz="0" w:space="0" w:color="auto"/>
                <w:bottom w:val="none" w:sz="0" w:space="0" w:color="auto"/>
                <w:right w:val="none" w:sz="0" w:space="0" w:color="auto"/>
              </w:divBdr>
              <w:divsChild>
                <w:div w:id="29799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11241">
      <w:bodyDiv w:val="1"/>
      <w:marLeft w:val="0"/>
      <w:marRight w:val="0"/>
      <w:marTop w:val="0"/>
      <w:marBottom w:val="0"/>
      <w:divBdr>
        <w:top w:val="none" w:sz="0" w:space="0" w:color="auto"/>
        <w:left w:val="none" w:sz="0" w:space="0" w:color="auto"/>
        <w:bottom w:val="none" w:sz="0" w:space="0" w:color="auto"/>
        <w:right w:val="none" w:sz="0" w:space="0" w:color="auto"/>
      </w:divBdr>
    </w:div>
    <w:div w:id="2083020123">
      <w:bodyDiv w:val="1"/>
      <w:marLeft w:val="0"/>
      <w:marRight w:val="0"/>
      <w:marTop w:val="0"/>
      <w:marBottom w:val="0"/>
      <w:divBdr>
        <w:top w:val="none" w:sz="0" w:space="0" w:color="auto"/>
        <w:left w:val="none" w:sz="0" w:space="0" w:color="auto"/>
        <w:bottom w:val="none" w:sz="0" w:space="0" w:color="auto"/>
        <w:right w:val="none" w:sz="0" w:space="0" w:color="auto"/>
      </w:divBdr>
      <w:divsChild>
        <w:div w:id="1900707185">
          <w:marLeft w:val="0"/>
          <w:marRight w:val="0"/>
          <w:marTop w:val="0"/>
          <w:marBottom w:val="0"/>
          <w:divBdr>
            <w:top w:val="none" w:sz="0" w:space="0" w:color="auto"/>
            <w:left w:val="none" w:sz="0" w:space="0" w:color="auto"/>
            <w:bottom w:val="none" w:sz="0" w:space="0" w:color="auto"/>
            <w:right w:val="none" w:sz="0" w:space="0" w:color="auto"/>
          </w:divBdr>
          <w:divsChild>
            <w:div w:id="1672098045">
              <w:marLeft w:val="0"/>
              <w:marRight w:val="0"/>
              <w:marTop w:val="0"/>
              <w:marBottom w:val="0"/>
              <w:divBdr>
                <w:top w:val="none" w:sz="0" w:space="0" w:color="auto"/>
                <w:left w:val="none" w:sz="0" w:space="0" w:color="auto"/>
                <w:bottom w:val="none" w:sz="0" w:space="0" w:color="auto"/>
                <w:right w:val="none" w:sz="0" w:space="0" w:color="auto"/>
              </w:divBdr>
              <w:divsChild>
                <w:div w:id="53261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6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cndh.ma/en/cndhs-memorandum-draft-law-1016-amending-and-supplementing-penal-codearabic-version" TargetMode="External"/><Relationship Id="rId18" Type="http://schemas.openxmlformats.org/officeDocument/2006/relationships/hyperlink" Target="https://www.cndh.org.ma/sites/default/files/rapport_annuel_cndh_2022_va_-_digital_0.pdf" TargetMode="External"/><Relationship Id="rId26" Type="http://schemas.openxmlformats.org/officeDocument/2006/relationships/hyperlink" Target="https://www.sgg.gov.ma/BO/bo_fr/2015/BO_6410_Fr.pdf" TargetMode="External"/><Relationship Id="rId39" Type="http://schemas.openxmlformats.org/officeDocument/2006/relationships/hyperlink" Target="https://www.cndh.org.ma/sites/default/files/cndh_-_memo_code_penal_vf_5mai.pdf" TargetMode="External"/><Relationship Id="rId21" Type="http://schemas.openxmlformats.org/officeDocument/2006/relationships/hyperlink" Target="https://digitalhub.fifa.com/m/1d713bc7ba2621fe/original/FWC30-Bidbook-Yalla-Vamos.pdf" TargetMode="External"/><Relationship Id="rId34" Type="http://schemas.openxmlformats.org/officeDocument/2006/relationships/hyperlink" Target="https://www.cndh.ma/en/cndh-publishes-its-annual-report-2023-entitled-laying-foundations-national-system-protect-economic" TargetMode="External"/><Relationship Id="rId42" Type="http://schemas.openxmlformats.org/officeDocument/2006/relationships/hyperlink" Target="https://www.cndh.ma/sites/default/files/2025-05/memo_cndh_code_famille_ar_dec_2023.pdf" TargetMode="External"/><Relationship Id="rId7" Type="http://schemas.openxmlformats.org/officeDocument/2006/relationships/hyperlink" Target="https://www.sgg.gov.ma/BO/bo_fr/2018/BO_6670_Fr.pdf" TargetMode="External"/><Relationship Id="rId2" Type="http://schemas.openxmlformats.org/officeDocument/2006/relationships/hyperlink" Target="https://www.cndh.ma/en/library" TargetMode="External"/><Relationship Id="rId16" Type="http://schemas.openxmlformats.org/officeDocument/2006/relationships/hyperlink" Target="https://www.cndh.ma/sites/default/files/2025-05/memo_cndh_code_famille_ar_dec_2023.pdf" TargetMode="External"/><Relationship Id="rId20" Type="http://schemas.openxmlformats.org/officeDocument/2006/relationships/hyperlink" Target="https://social.gov.ma/programme-gouvernemental/" TargetMode="External"/><Relationship Id="rId29" Type="http://schemas.openxmlformats.org/officeDocument/2006/relationships/hyperlink" Target="https://www.cndh.ma/en/cndhs-memorandum-draft-law-1016-amending-and-supplementing-penal-codearabic-version" TargetMode="External"/><Relationship Id="rId41" Type="http://schemas.openxmlformats.org/officeDocument/2006/relationships/hyperlink" Target="https://www.cndh.ma/en/freedom-expression-assembly-demonstration-and-association" TargetMode="External"/><Relationship Id="rId1" Type="http://schemas.openxmlformats.org/officeDocument/2006/relationships/hyperlink" Target="https://www.cndh.ma/an/rubriques/documentation/publications/annual-reports" TargetMode="External"/><Relationship Id="rId6" Type="http://schemas.openxmlformats.org/officeDocument/2006/relationships/hyperlink" Target="https://www.sgg.gov.ma/BO/bo_fr/2013/BO_6140_Fr.pdf" TargetMode="External"/><Relationship Id="rId11" Type="http://schemas.openxmlformats.org/officeDocument/2006/relationships/hyperlink" Target="https://www.sgg.gov.ma/BO/bo_ar/2021/BO_7010_Ar.pdf" TargetMode="External"/><Relationship Id="rId24" Type="http://schemas.openxmlformats.org/officeDocument/2006/relationships/hyperlink" Target="https://www.cndh.ma/en/cndh-and-dgsn-sign-partnership-agreement-promote-human-rights-culture-within-police-function" TargetMode="External"/><Relationship Id="rId32" Type="http://schemas.openxmlformats.org/officeDocument/2006/relationships/hyperlink" Target="https://www.ohchr.org/sites/default/files/documents/hrbodies/spt-opcat/npm/rapport-mnp-maroc-2019-2022-ar.pdf" TargetMode="External"/><Relationship Id="rId37" Type="http://schemas.openxmlformats.org/officeDocument/2006/relationships/hyperlink" Target="https://www.cndh.ma/sites/default/files/2024-04/cndh_-_memo_peines_alternative_1.pdf" TargetMode="External"/><Relationship Id="rId40" Type="http://schemas.openxmlformats.org/officeDocument/2006/relationships/hyperlink" Target="https://documents.un.org/doc/undoc/gen/g16/264/99/pdf/g1626499.pdf?token=YtcMS5P1LuGfiGF0G2&amp;fe=true" TargetMode="External"/><Relationship Id="rId5" Type="http://schemas.openxmlformats.org/officeDocument/2006/relationships/hyperlink" Target="https://www.cndh.ma/en/moroccos-historic-vote-favour-universal-death-penalty-moratorium" TargetMode="External"/><Relationship Id="rId15" Type="http://schemas.openxmlformats.org/officeDocument/2006/relationships/hyperlink" Target="https://www.cndh.ma/sites/default/files/2024-02/-_mshrw_ry_-_mswd_mshrw_qnwn_lmstr_lmdny-_mdl_1.pdf" TargetMode="External"/><Relationship Id="rId23" Type="http://schemas.openxmlformats.org/officeDocument/2006/relationships/hyperlink" Target="https://www.cndh.org.ma/sites/default/files/loi_76-15_relative_a_la_reorganisation_du_cndh_1.pdf" TargetMode="External"/><Relationship Id="rId28" Type="http://schemas.openxmlformats.org/officeDocument/2006/relationships/hyperlink" Target="https://www.cndh.ma/en/moroccos-historic-vote-favour-universal-death-penalty-moratorium" TargetMode="External"/><Relationship Id="rId36" Type="http://schemas.openxmlformats.org/officeDocument/2006/relationships/hyperlink" Target="https://www.cndh.ma/sites/default/files/2024-01/memo_code_penal_vf_0.pdf" TargetMode="External"/><Relationship Id="rId10" Type="http://schemas.openxmlformats.org/officeDocument/2006/relationships/hyperlink" Target="https://www.sgg.gov.ma/BO/AR/3111/2024/BO_7328_Ar.pdf" TargetMode="External"/><Relationship Id="rId19" Type="http://schemas.openxmlformats.org/officeDocument/2006/relationships/hyperlink" Target="http://didh.gov.ma/ar/publications/khtt-alml-alwtnyt-fy-mjal-aldymqratyt-whqwq-alansan-2018-2021" TargetMode="External"/><Relationship Id="rId31" Type="http://schemas.openxmlformats.org/officeDocument/2006/relationships/hyperlink" Target="https://www.sgg.gov.ma/BO/AR/3111/2024/BO_7329-bis_Ar.pdf" TargetMode="External"/><Relationship Id="rId4" Type="http://schemas.openxmlformats.org/officeDocument/2006/relationships/hyperlink" Target="https://treaties.un.org/Pages/showActionDetails.aspx?objid=08000002805e09f9&amp;clang=_en" TargetMode="External"/><Relationship Id="rId9" Type="http://schemas.openxmlformats.org/officeDocument/2006/relationships/hyperlink" Target="https://www.sgg.gov.ma/BO/bo_fr/2018/BO_6688_Fr.pdf" TargetMode="External"/><Relationship Id="rId14" Type="http://schemas.openxmlformats.org/officeDocument/2006/relationships/hyperlink" Target="https://www.cndh.ma/sites/default/files/2024-02/cndh_-_exe_avis_procedure_penale_ar.pdf" TargetMode="External"/><Relationship Id="rId22" Type="http://schemas.openxmlformats.org/officeDocument/2006/relationships/hyperlink" Target="https://digitalhub.fifa.com/m/6da18ae1b346a2ba/original/Microsoft-Word-2-CLEAN-CNDH-Study-WC30-Final-25-7-docx.pdf" TargetMode="External"/><Relationship Id="rId27" Type="http://schemas.openxmlformats.org/officeDocument/2006/relationships/hyperlink" Target="https://digitallibrary.un.org/record/4069732?ln=en&amp;utm_source=chatgpt.com" TargetMode="External"/><Relationship Id="rId30" Type="http://schemas.openxmlformats.org/officeDocument/2006/relationships/hyperlink" Target="https://www.ohchr.org/en/stories/2019/12/human-rights-committee-gives-top-gradesfollow-five-countries" TargetMode="External"/><Relationship Id="rId35" Type="http://schemas.openxmlformats.org/officeDocument/2006/relationships/hyperlink" Target="https://www.sgg.gov.ma/BO/AR/3111/2022/BO_7092_Ar.pdf" TargetMode="External"/><Relationship Id="rId43" Type="http://schemas.openxmlformats.org/officeDocument/2006/relationships/hyperlink" Target="https://www.cndh.ma/sites/default/files/2024-01/cndh_-_exe_rapport_election_-.pdf" TargetMode="External"/><Relationship Id="rId8" Type="http://schemas.openxmlformats.org/officeDocument/2006/relationships/hyperlink" Target="https://adala.justice.gov.ma/api/uploads/2024/09/02/&#1602;&#1575;&#1606;&#1608;&#1606;%20&#1575;&#1604;&#1605;&#1587;&#1591;&#1585;&#1577;%20&#1575;&#1604;&#1580;&#1606;&#1575;&#1574;&#1610;&#1577;%20&#1594;&#1588;&#1578;%202024%20(1)-1725285492093.pdf" TargetMode="External"/><Relationship Id="rId3" Type="http://schemas.openxmlformats.org/officeDocument/2006/relationships/hyperlink" Target="https://www.cndh.org.ma/ar/rubriques/ltwthyq/lsdrt/tqryr-snwy" TargetMode="External"/><Relationship Id="rId12" Type="http://schemas.openxmlformats.org/officeDocument/2006/relationships/hyperlink" Target="https://www.chambredesrepresentants.ma/en/SeanceL200525" TargetMode="External"/><Relationship Id="rId17" Type="http://schemas.openxmlformats.org/officeDocument/2006/relationships/hyperlink" Target="https://www.cndh.ma/sites/default/files/2024-01/the_exception_of_unconstitutionality-_memorandum.pdf" TargetMode="External"/><Relationship Id="rId25" Type="http://schemas.openxmlformats.org/officeDocument/2006/relationships/hyperlink" Target="https://www.cndh.ma/en/right-life-and-abolition-death-penalty" TargetMode="External"/><Relationship Id="rId33" Type="http://schemas.openxmlformats.org/officeDocument/2006/relationships/hyperlink" Target="https://www.ohchr.org/sites/default/files/documents/hrbodies/spt-opcat/npm/rapport-annuel-mnp-maroc-2023.pdf" TargetMode="External"/><Relationship Id="rId38" Type="http://schemas.openxmlformats.org/officeDocument/2006/relationships/hyperlink" Target="https://www.cndh.org.ma/sites/default/files/cndh_-_memo_code_penal_vf_5mai.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2025-05-30T11:37:25+00:00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DE58511-D8C0-E147-AA58-F26F4469162F}">
  <ds:schemaRefs>
    <ds:schemaRef ds:uri="http://schemas.openxmlformats.org/officeDocument/2006/bibliography"/>
  </ds:schemaRefs>
</ds:datastoreItem>
</file>

<file path=customXml/itemProps2.xml><?xml version="1.0" encoding="utf-8"?>
<ds:datastoreItem xmlns:ds="http://schemas.openxmlformats.org/officeDocument/2006/customXml" ds:itemID="{73433423-637A-4909-B8ED-21050BD31FD7}"/>
</file>

<file path=customXml/itemProps3.xml><?xml version="1.0" encoding="utf-8"?>
<ds:datastoreItem xmlns:ds="http://schemas.openxmlformats.org/officeDocument/2006/customXml" ds:itemID="{4311D927-278B-4910-B99B-9FC41C8CF1A6}"/>
</file>

<file path=customXml/itemProps4.xml><?xml version="1.0" encoding="utf-8"?>
<ds:datastoreItem xmlns:ds="http://schemas.openxmlformats.org/officeDocument/2006/customXml" ds:itemID="{D67929A4-9000-425A-8800-66D3C426B6E0}"/>
</file>

<file path=docProps/app.xml><?xml version="1.0" encoding="utf-8"?>
<Properties xmlns="http://schemas.openxmlformats.org/officeDocument/2006/extended-properties" xmlns:vt="http://schemas.openxmlformats.org/officeDocument/2006/docPropsVTypes">
  <Template>Normal.dotm</Template>
  <TotalTime>0</TotalTime>
  <Pages>17</Pages>
  <Words>9327</Words>
  <Characters>51301</Characters>
  <Application>Microsoft Office Word</Application>
  <DocSecurity>0</DocSecurity>
  <Lines>427</Lines>
  <Paragraphs>121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60507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Benseghir</dc:creator>
  <cp:keywords/>
  <dc:description/>
  <cp:lastModifiedBy>Malak Benseghir</cp:lastModifiedBy>
  <cp:revision>2</cp:revision>
  <cp:lastPrinted>2025-05-23T16:46:00Z</cp:lastPrinted>
  <dcterms:created xsi:type="dcterms:W3CDTF">2025-05-29T19:50:00Z</dcterms:created>
  <dcterms:modified xsi:type="dcterms:W3CDTF">2025-05-29T19:50:00Z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