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31969921"/>
        <w:docPartObj>
          <w:docPartGallery w:val="Cover Pages"/>
          <w:docPartUnique/>
        </w:docPartObj>
      </w:sdtPr>
      <w:sdtEndPr>
        <w:rPr>
          <w:rFonts w:asciiTheme="majorHAnsi" w:hAnsiTheme="majorHAnsi" w:cstheme="majorHAnsi"/>
          <w:b/>
          <w:bCs/>
          <w:sz w:val="24"/>
          <w:szCs w:val="24"/>
          <w:shd w:val="clear" w:color="auto" w:fill="FFFFFF"/>
        </w:rPr>
      </w:sdtEndPr>
      <w:sdtContent>
        <w:p w14:paraId="183467A7" w14:textId="72AF15AF" w:rsidR="003B4661" w:rsidRDefault="003B4661">
          <w:r>
            <w:rPr>
              <w:noProof/>
            </w:rPr>
            <w:drawing>
              <wp:inline distT="0" distB="0" distL="0" distR="0" wp14:anchorId="41DFC1E7" wp14:editId="401E80FA">
                <wp:extent cx="2181225" cy="2105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2105025"/>
                        </a:xfrm>
                        <a:prstGeom prst="rect">
                          <a:avLst/>
                        </a:prstGeom>
                        <a:noFill/>
                        <a:ln>
                          <a:noFill/>
                        </a:ln>
                      </pic:spPr>
                    </pic:pic>
                  </a:graphicData>
                </a:graphic>
              </wp:inline>
            </w:drawing>
          </w:r>
        </w:p>
        <w:p w14:paraId="06C395E7" w14:textId="5E584329" w:rsidR="003B4661" w:rsidRDefault="003B4661">
          <w:pPr>
            <w:rPr>
              <w:rFonts w:asciiTheme="majorHAnsi" w:hAnsiTheme="majorHAnsi" w:cstheme="majorHAnsi"/>
              <w:b/>
              <w:bCs/>
              <w:sz w:val="24"/>
              <w:szCs w:val="24"/>
              <w:shd w:val="clear" w:color="auto" w:fill="FFFFFF"/>
            </w:rPr>
          </w:pPr>
          <w:r>
            <w:rPr>
              <w:noProof/>
            </w:rPr>
            <mc:AlternateContent>
              <mc:Choice Requires="wpg">
                <w:drawing>
                  <wp:anchor distT="0" distB="0" distL="114300" distR="114300" simplePos="0" relativeHeight="251662336" behindDoc="0" locked="0" layoutInCell="1" allowOverlap="1" wp14:anchorId="294CB248" wp14:editId="1CF36574">
                    <wp:simplePos x="0" y="0"/>
                    <wp:positionH relativeFrom="margin">
                      <wp:align>right</wp:align>
                    </wp:positionH>
                    <wp:positionV relativeFrom="paragraph">
                      <wp:posOffset>4943475</wp:posOffset>
                    </wp:positionV>
                    <wp:extent cx="3695700" cy="1000125"/>
                    <wp:effectExtent l="0" t="0" r="0" b="9525"/>
                    <wp:wrapNone/>
                    <wp:docPr id="1" name="Group 1"/>
                    <wp:cNvGraphicFramePr/>
                    <a:graphic xmlns:a="http://schemas.openxmlformats.org/drawingml/2006/main">
                      <a:graphicData uri="http://schemas.microsoft.com/office/word/2010/wordprocessingGroup">
                        <wpg:wgp>
                          <wpg:cNvGrpSpPr/>
                          <wpg:grpSpPr>
                            <a:xfrm>
                              <a:off x="0" y="0"/>
                              <a:ext cx="3695700" cy="1000125"/>
                              <a:chOff x="0" y="0"/>
                              <a:chExt cx="3695700" cy="1000125"/>
                            </a:xfrm>
                          </wpg:grpSpPr>
                          <wps:wsp>
                            <wps:cNvPr id="5" name="Text Box 5"/>
                            <wps:cNvSpPr txBox="1"/>
                            <wps:spPr>
                              <a:xfrm>
                                <a:off x="0" y="0"/>
                                <a:ext cx="3695700" cy="247650"/>
                              </a:xfrm>
                              <a:prstGeom prst="rect">
                                <a:avLst/>
                              </a:prstGeom>
                              <a:solidFill>
                                <a:sysClr val="window" lastClr="FFFFFF"/>
                              </a:solidFill>
                              <a:ln w="6350">
                                <a:noFill/>
                              </a:ln>
                            </wps:spPr>
                            <wps:txbx>
                              <w:txbxContent>
                                <w:p w14:paraId="618FB4BA" w14:textId="77777777" w:rsidR="003878C9" w:rsidRPr="003F0AA8" w:rsidRDefault="003878C9" w:rsidP="003B4661">
                                  <w:pPr>
                                    <w:jc w:val="right"/>
                                    <w:rPr>
                                      <w:rFonts w:cstheme="minorHAnsi"/>
                                      <w:b/>
                                      <w:bCs/>
                                    </w:rPr>
                                  </w:pPr>
                                  <w:r w:rsidRPr="003F0AA8">
                                    <w:rPr>
                                      <w:rFonts w:cstheme="minorHAnsi"/>
                                      <w:b/>
                                      <w:bCs/>
                                    </w:rPr>
                                    <w:t>KENYA NATIONAL COMMISSION ON HUMAN RIGHTS (KNCHR)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571625" y="381000"/>
                                <a:ext cx="2105025" cy="238125"/>
                              </a:xfrm>
                              <a:prstGeom prst="rect">
                                <a:avLst/>
                              </a:prstGeom>
                              <a:solidFill>
                                <a:sysClr val="window" lastClr="FFFFFF"/>
                              </a:solidFill>
                              <a:ln w="6350">
                                <a:noFill/>
                              </a:ln>
                            </wps:spPr>
                            <wps:txbx>
                              <w:txbxContent>
                                <w:p w14:paraId="61153F33" w14:textId="77777777" w:rsidR="003878C9" w:rsidRPr="00600A2A" w:rsidRDefault="003878C9" w:rsidP="003B4661">
                                  <w:pPr>
                                    <w:jc w:val="right"/>
                                    <w:rPr>
                                      <w:rFonts w:asciiTheme="majorHAnsi" w:eastAsiaTheme="minorEastAsia" w:hAnsiTheme="majorHAnsi" w:cstheme="majorHAnsi"/>
                                      <w:color w:val="262626" w:themeColor="text1" w:themeTint="D9"/>
                                      <w:sz w:val="20"/>
                                      <w:szCs w:val="20"/>
                                      <w:lang w:val="en-US"/>
                                    </w:rPr>
                                  </w:pPr>
                                  <w:r w:rsidRPr="00600A2A">
                                    <w:rPr>
                                      <w:rFonts w:asciiTheme="majorHAnsi" w:eastAsiaTheme="minorEastAsia" w:hAnsiTheme="majorHAnsi" w:cstheme="majorHAnsi"/>
                                      <w:color w:val="262626" w:themeColor="text1" w:themeTint="D9"/>
                                      <w:sz w:val="20"/>
                                      <w:szCs w:val="20"/>
                                      <w:lang w:val="en-US"/>
                                    </w:rPr>
                                    <w:t>P.O.BOX 74359-00200 Nairobi, Kenya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0" y="209550"/>
                                <a:ext cx="3695700" cy="238125"/>
                              </a:xfrm>
                              <a:prstGeom prst="rect">
                                <a:avLst/>
                              </a:prstGeom>
                              <a:solidFill>
                                <a:sysClr val="window" lastClr="FFFFFF"/>
                              </a:solidFill>
                              <a:ln w="6350">
                                <a:noFill/>
                              </a:ln>
                            </wps:spPr>
                            <wps:txbx>
                              <w:txbxContent>
                                <w:p w14:paraId="07267C7F" w14:textId="0BCB9789" w:rsidR="003878C9" w:rsidRPr="00600A2A" w:rsidRDefault="003878C9" w:rsidP="003B4661">
                                  <w:pPr>
                                    <w:jc w:val="right"/>
                                    <w:rPr>
                                      <w:rFonts w:asciiTheme="majorHAnsi" w:eastAsiaTheme="minorEastAsia" w:hAnsiTheme="majorHAnsi" w:cstheme="majorHAnsi"/>
                                      <w:color w:val="262626" w:themeColor="text1" w:themeTint="D9"/>
                                      <w:sz w:val="20"/>
                                      <w:szCs w:val="20"/>
                                      <w:lang w:val="en-US"/>
                                    </w:rPr>
                                  </w:pPr>
                                  <w:r>
                                    <w:rPr>
                                      <w:rFonts w:asciiTheme="majorHAnsi" w:eastAsiaTheme="minorEastAsia" w:hAnsiTheme="majorHAnsi" w:cstheme="majorHAnsi"/>
                                      <w:color w:val="262626" w:themeColor="text1" w:themeTint="D9"/>
                                      <w:sz w:val="20"/>
                                      <w:szCs w:val="20"/>
                                      <w:lang w:val="en-US"/>
                                    </w:rPr>
                                    <w:t xml:space="preserve">First Floor, CVS Plaza, </w:t>
                                  </w:r>
                                  <w:proofErr w:type="spellStart"/>
                                  <w:r>
                                    <w:rPr>
                                      <w:rFonts w:asciiTheme="majorHAnsi" w:eastAsiaTheme="minorEastAsia" w:hAnsiTheme="majorHAnsi" w:cstheme="majorHAnsi"/>
                                      <w:color w:val="262626" w:themeColor="text1" w:themeTint="D9"/>
                                      <w:sz w:val="20"/>
                                      <w:szCs w:val="20"/>
                                      <w:lang w:val="en-US"/>
                                    </w:rPr>
                                    <w:t>Kasuku</w:t>
                                  </w:r>
                                  <w:proofErr w:type="spellEnd"/>
                                  <w:r>
                                    <w:rPr>
                                      <w:rFonts w:asciiTheme="majorHAnsi" w:eastAsiaTheme="minorEastAsia" w:hAnsiTheme="majorHAnsi" w:cstheme="majorHAnsi"/>
                                      <w:color w:val="262626" w:themeColor="text1" w:themeTint="D9"/>
                                      <w:sz w:val="20"/>
                                      <w:szCs w:val="20"/>
                                      <w:lang w:val="en-US"/>
                                    </w:rPr>
                                    <w:t xml:space="preserve">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076450" y="571500"/>
                                <a:ext cx="1600200" cy="238125"/>
                              </a:xfrm>
                              <a:prstGeom prst="rect">
                                <a:avLst/>
                              </a:prstGeom>
                              <a:solidFill>
                                <a:sysClr val="window" lastClr="FFFFFF"/>
                              </a:solidFill>
                              <a:ln w="6350">
                                <a:noFill/>
                              </a:ln>
                            </wps:spPr>
                            <wps:txbx>
                              <w:txbxContent>
                                <w:p w14:paraId="338D221A" w14:textId="77777777" w:rsidR="003878C9" w:rsidRPr="00600A2A" w:rsidRDefault="003878C9" w:rsidP="003B4661">
                                  <w:pPr>
                                    <w:jc w:val="right"/>
                                    <w:rPr>
                                      <w:rFonts w:asciiTheme="majorHAnsi" w:eastAsiaTheme="minorEastAsia" w:hAnsiTheme="majorHAnsi" w:cstheme="majorHAnsi"/>
                                      <w:color w:val="262626" w:themeColor="text1" w:themeTint="D9"/>
                                      <w:sz w:val="20"/>
                                      <w:szCs w:val="20"/>
                                      <w:lang w:val="en-US"/>
                                    </w:rPr>
                                  </w:pPr>
                                  <w:r>
                                    <w:rPr>
                                      <w:rFonts w:asciiTheme="majorHAnsi" w:eastAsiaTheme="minorEastAsia" w:hAnsiTheme="majorHAnsi" w:cstheme="majorHAnsi"/>
                                      <w:color w:val="262626" w:themeColor="text1" w:themeTint="D9"/>
                                      <w:sz w:val="20"/>
                                      <w:szCs w:val="20"/>
                                      <w:lang w:val="en-US"/>
                                    </w:rPr>
                                    <w:t xml:space="preserve">Website: </w:t>
                                  </w:r>
                                  <w:hyperlink r:id="rId9" w:history="1">
                                    <w:r w:rsidRPr="00B865F7">
                                      <w:rPr>
                                        <w:rFonts w:asciiTheme="majorHAnsi" w:eastAsiaTheme="minorEastAsia" w:hAnsiTheme="majorHAnsi" w:cstheme="majorHAnsi"/>
                                        <w:sz w:val="20"/>
                                        <w:szCs w:val="20"/>
                                        <w:lang w:val="en-US"/>
                                      </w:rPr>
                                      <w:t>www.knchr.org</w:t>
                                    </w:r>
                                  </w:hyperlink>
                                  <w:r>
                                    <w:rPr>
                                      <w:rFonts w:asciiTheme="majorHAnsi" w:eastAsiaTheme="minorEastAsia" w:hAnsiTheme="majorHAnsi" w:cstheme="majorHAnsi"/>
                                      <w:color w:val="262626" w:themeColor="text1" w:themeTint="D9"/>
                                      <w:sz w:val="20"/>
                                      <w:szCs w:val="20"/>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2085975" y="762000"/>
                                <a:ext cx="1600200" cy="238125"/>
                              </a:xfrm>
                              <a:prstGeom prst="rect">
                                <a:avLst/>
                              </a:prstGeom>
                              <a:solidFill>
                                <a:sysClr val="window" lastClr="FFFFFF"/>
                              </a:solidFill>
                              <a:ln w="6350">
                                <a:noFill/>
                              </a:ln>
                            </wps:spPr>
                            <wps:txbx>
                              <w:txbxContent>
                                <w:p w14:paraId="72072A04" w14:textId="77777777" w:rsidR="003878C9" w:rsidRPr="00600A2A" w:rsidRDefault="003878C9" w:rsidP="003B4661">
                                  <w:pPr>
                                    <w:jc w:val="right"/>
                                    <w:rPr>
                                      <w:rFonts w:asciiTheme="majorHAnsi" w:eastAsiaTheme="minorEastAsia" w:hAnsiTheme="majorHAnsi" w:cstheme="majorHAnsi"/>
                                      <w:color w:val="262626" w:themeColor="text1" w:themeTint="D9"/>
                                      <w:sz w:val="20"/>
                                      <w:szCs w:val="20"/>
                                      <w:lang w:val="en-US"/>
                                    </w:rPr>
                                  </w:pPr>
                                  <w:r>
                                    <w:rPr>
                                      <w:rFonts w:asciiTheme="majorHAnsi" w:eastAsiaTheme="minorEastAsia" w:hAnsiTheme="majorHAnsi" w:cstheme="majorHAnsi"/>
                                      <w:color w:val="262626" w:themeColor="text1" w:themeTint="D9"/>
                                      <w:sz w:val="20"/>
                                      <w:szCs w:val="20"/>
                                      <w:lang w:val="en-US"/>
                                    </w:rPr>
                                    <w:t xml:space="preserve">Email: </w:t>
                                  </w:r>
                                  <w:hyperlink r:id="rId10" w:history="1">
                                    <w:r w:rsidRPr="00B865F7">
                                      <w:rPr>
                                        <w:rFonts w:asciiTheme="majorHAnsi" w:eastAsiaTheme="minorEastAsia" w:hAnsiTheme="majorHAnsi" w:cstheme="majorHAnsi"/>
                                        <w:sz w:val="20"/>
                                        <w:szCs w:val="20"/>
                                        <w:lang w:val="en-US"/>
                                      </w:rPr>
                                      <w:t>haki@knchr.org</w:t>
                                    </w:r>
                                  </w:hyperlink>
                                  <w:r>
                                    <w:rPr>
                                      <w:rFonts w:asciiTheme="majorHAnsi" w:eastAsiaTheme="minorEastAsia" w:hAnsiTheme="majorHAnsi" w:cstheme="majorHAnsi"/>
                                      <w:color w:val="262626" w:themeColor="text1" w:themeTint="D9"/>
                                      <w:sz w:val="20"/>
                                      <w:szCs w:val="20"/>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4CB248" id="Group 1" o:spid="_x0000_s1026" style="position:absolute;margin-left:239.8pt;margin-top:389.25pt;width:291pt;height:78.75pt;z-index:251662336;mso-position-horizontal:right;mso-position-horizontal-relative:margin;mso-width-relative:margin;mso-height-relative:margin" coordsize="36957,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">
                    <v:shapetype id="_x0000_t202" coordsize="21600,21600" o:spt="202" path="m,l,21600r21600,l21600,xe">
                      <v:stroke joinstyle="miter"/>
                      <v:path gradientshapeok="t" o:connecttype="rect"/>
                    </v:shapetype>
                    <v:shape id="Text Box 5" o:spid="_x0000_s1027" type="#_x0000_t202" style="position:absolute;width:3695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" fillcolor="window" stroked="f" strokeweight=".5pt">
                      <v:textbox>
                        <w:txbxContent>
                          <w:p w14:paraId="618FB4BA" w14:textId="77777777" w:rsidR="003878C9" w:rsidRPr="003F0AA8" w:rsidRDefault="003878C9" w:rsidP="003B4661">
                            <w:pPr>
                              <w:jc w:val="right"/>
                              <w:rPr>
                                <w:rFonts w:cstheme="minorHAnsi"/>
                                <w:b/>
                                <w:bCs/>
                              </w:rPr>
                            </w:pPr>
                            <w:r w:rsidRPr="003F0AA8">
                              <w:rPr>
                                <w:rFonts w:cstheme="minorHAnsi"/>
                                <w:b/>
                                <w:bCs/>
                              </w:rPr>
                              <w:t>KENYA NATIONAL COMMISSION ON HUMAN RIGHTS (KNCHR)</w:t>
                            </w:r>
                          </w:p>
                        </w:txbxContent>
                      </v:textbox>
                    </v:shape>
                    <v:shape id="Text Box 8" o:spid="_x0000_s1028" type="#_x0000_t202" style="position:absolute;left:15716;top:3810;width:2105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61153F33" w14:textId="77777777" w:rsidR="003878C9" w:rsidRPr="00600A2A" w:rsidRDefault="003878C9" w:rsidP="003B4661">
                            <w:pPr>
                              <w:jc w:val="right"/>
                              <w:rPr>
                                <w:rFonts w:asciiTheme="majorHAnsi" w:eastAsiaTheme="minorEastAsia" w:hAnsiTheme="majorHAnsi" w:cstheme="majorHAnsi"/>
                                <w:color w:val="262626" w:themeColor="text1" w:themeTint="D9"/>
                                <w:sz w:val="20"/>
                                <w:szCs w:val="20"/>
                                <w:lang w:val="en-US"/>
                              </w:rPr>
                            </w:pPr>
                            <w:r w:rsidRPr="00600A2A">
                              <w:rPr>
                                <w:rFonts w:asciiTheme="majorHAnsi" w:eastAsiaTheme="minorEastAsia" w:hAnsiTheme="majorHAnsi" w:cstheme="majorHAnsi"/>
                                <w:color w:val="262626" w:themeColor="text1" w:themeTint="D9"/>
                                <w:sz w:val="20"/>
                                <w:szCs w:val="20"/>
                                <w:lang w:val="en-US"/>
                              </w:rPr>
                              <w:t>P.O.BOX 74359-00200 Nairobi, Kenya</w:t>
                            </w:r>
                          </w:p>
                        </w:txbxContent>
                      </v:textbox>
                    </v:shape>
                    <v:shape id="Text Box 10" o:spid="_x0000_s1029" type="#_x0000_t202" style="position:absolute;top:2095;width:3695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" fillcolor="window" stroked="f" strokeweight=".5pt">
                      <v:textbox>
                        <w:txbxContent>
                          <w:p w14:paraId="07267C7F" w14:textId="0BCB9789" w:rsidR="003878C9" w:rsidRPr="00600A2A" w:rsidRDefault="003878C9" w:rsidP="003B4661">
                            <w:pPr>
                              <w:jc w:val="right"/>
                              <w:rPr>
                                <w:rFonts w:asciiTheme="majorHAnsi" w:eastAsiaTheme="minorEastAsia" w:hAnsiTheme="majorHAnsi" w:cstheme="majorHAnsi"/>
                                <w:color w:val="262626" w:themeColor="text1" w:themeTint="D9"/>
                                <w:sz w:val="20"/>
                                <w:szCs w:val="20"/>
                                <w:lang w:val="en-US"/>
                              </w:rPr>
                            </w:pPr>
                            <w:r>
                              <w:rPr>
                                <w:rFonts w:asciiTheme="majorHAnsi" w:eastAsiaTheme="minorEastAsia" w:hAnsiTheme="majorHAnsi" w:cstheme="majorHAnsi"/>
                                <w:color w:val="262626" w:themeColor="text1" w:themeTint="D9"/>
                                <w:sz w:val="20"/>
                                <w:szCs w:val="20"/>
                                <w:lang w:val="en-US"/>
                              </w:rPr>
                              <w:t xml:space="preserve">First Floor, CVS Plaza, </w:t>
                            </w:r>
                            <w:proofErr w:type="spellStart"/>
                            <w:r>
                              <w:rPr>
                                <w:rFonts w:asciiTheme="majorHAnsi" w:eastAsiaTheme="minorEastAsia" w:hAnsiTheme="majorHAnsi" w:cstheme="majorHAnsi"/>
                                <w:color w:val="262626" w:themeColor="text1" w:themeTint="D9"/>
                                <w:sz w:val="20"/>
                                <w:szCs w:val="20"/>
                                <w:lang w:val="en-US"/>
                              </w:rPr>
                              <w:t>Kasuku</w:t>
                            </w:r>
                            <w:proofErr w:type="spellEnd"/>
                            <w:r>
                              <w:rPr>
                                <w:rFonts w:asciiTheme="majorHAnsi" w:eastAsiaTheme="minorEastAsia" w:hAnsiTheme="majorHAnsi" w:cstheme="majorHAnsi"/>
                                <w:color w:val="262626" w:themeColor="text1" w:themeTint="D9"/>
                                <w:sz w:val="20"/>
                                <w:szCs w:val="20"/>
                                <w:lang w:val="en-US"/>
                              </w:rPr>
                              <w:t xml:space="preserve"> Road.</w:t>
                            </w:r>
                          </w:p>
                        </w:txbxContent>
                      </v:textbox>
                    </v:shape>
                    <v:shape id="Text Box 11" o:spid="_x0000_s1030" type="#_x0000_t202" style="position:absolute;left:20764;top:5715;width:1600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" fillcolor="window" stroked="f" strokeweight=".5pt">
                      <v:textbox>
                        <w:txbxContent>
                          <w:p w14:paraId="338D221A" w14:textId="77777777" w:rsidR="003878C9" w:rsidRPr="00600A2A" w:rsidRDefault="003878C9" w:rsidP="003B4661">
                            <w:pPr>
                              <w:jc w:val="right"/>
                              <w:rPr>
                                <w:rFonts w:asciiTheme="majorHAnsi" w:eastAsiaTheme="minorEastAsia" w:hAnsiTheme="majorHAnsi" w:cstheme="majorHAnsi"/>
                                <w:color w:val="262626" w:themeColor="text1" w:themeTint="D9"/>
                                <w:sz w:val="20"/>
                                <w:szCs w:val="20"/>
                                <w:lang w:val="en-US"/>
                              </w:rPr>
                            </w:pPr>
                            <w:r>
                              <w:rPr>
                                <w:rFonts w:asciiTheme="majorHAnsi" w:eastAsiaTheme="minorEastAsia" w:hAnsiTheme="majorHAnsi" w:cstheme="majorHAnsi"/>
                                <w:color w:val="262626" w:themeColor="text1" w:themeTint="D9"/>
                                <w:sz w:val="20"/>
                                <w:szCs w:val="20"/>
                                <w:lang w:val="en-US"/>
                              </w:rPr>
                              <w:t xml:space="preserve">Website: </w:t>
                            </w:r>
                            <w:hyperlink r:id="rId11" w:history="1">
                              <w:r w:rsidRPr="00B865F7">
                                <w:rPr>
                                  <w:rFonts w:asciiTheme="majorHAnsi" w:eastAsiaTheme="minorEastAsia" w:hAnsiTheme="majorHAnsi" w:cstheme="majorHAnsi"/>
                                  <w:sz w:val="20"/>
                                  <w:szCs w:val="20"/>
                                  <w:lang w:val="en-US"/>
                                </w:rPr>
                                <w:t>www.knchr.org</w:t>
                              </w:r>
                            </w:hyperlink>
                            <w:r>
                              <w:rPr>
                                <w:rFonts w:asciiTheme="majorHAnsi" w:eastAsiaTheme="minorEastAsia" w:hAnsiTheme="majorHAnsi" w:cstheme="majorHAnsi"/>
                                <w:color w:val="262626" w:themeColor="text1" w:themeTint="D9"/>
                                <w:sz w:val="20"/>
                                <w:szCs w:val="20"/>
                                <w:lang w:val="en-US"/>
                              </w:rPr>
                              <w:t xml:space="preserve"> </w:t>
                            </w:r>
                          </w:p>
                        </w:txbxContent>
                      </v:textbox>
                    </v:shape>
                    <v:shape id="Text Box 12" o:spid="_x0000_s1031" type="#_x0000_t202" style="position:absolute;left:20859;top:7620;width:1600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" fillcolor="window" stroked="f" strokeweight=".5pt">
                      <v:textbox>
                        <w:txbxContent>
                          <w:p w14:paraId="72072A04" w14:textId="77777777" w:rsidR="003878C9" w:rsidRPr="00600A2A" w:rsidRDefault="003878C9" w:rsidP="003B4661">
                            <w:pPr>
                              <w:jc w:val="right"/>
                              <w:rPr>
                                <w:rFonts w:asciiTheme="majorHAnsi" w:eastAsiaTheme="minorEastAsia" w:hAnsiTheme="majorHAnsi" w:cstheme="majorHAnsi"/>
                                <w:color w:val="262626" w:themeColor="text1" w:themeTint="D9"/>
                                <w:sz w:val="20"/>
                                <w:szCs w:val="20"/>
                                <w:lang w:val="en-US"/>
                              </w:rPr>
                            </w:pPr>
                            <w:r>
                              <w:rPr>
                                <w:rFonts w:asciiTheme="majorHAnsi" w:eastAsiaTheme="minorEastAsia" w:hAnsiTheme="majorHAnsi" w:cstheme="majorHAnsi"/>
                                <w:color w:val="262626" w:themeColor="text1" w:themeTint="D9"/>
                                <w:sz w:val="20"/>
                                <w:szCs w:val="20"/>
                                <w:lang w:val="en-US"/>
                              </w:rPr>
                              <w:t xml:space="preserve">Email: </w:t>
                            </w:r>
                            <w:hyperlink r:id="rId12" w:history="1">
                              <w:r w:rsidRPr="00B865F7">
                                <w:rPr>
                                  <w:rFonts w:asciiTheme="majorHAnsi" w:eastAsiaTheme="minorEastAsia" w:hAnsiTheme="majorHAnsi" w:cstheme="majorHAnsi"/>
                                  <w:sz w:val="20"/>
                                  <w:szCs w:val="20"/>
                                  <w:lang w:val="en-US"/>
                                </w:rPr>
                                <w:t>haki@knchr.org</w:t>
                              </w:r>
                            </w:hyperlink>
                            <w:r>
                              <w:rPr>
                                <w:rFonts w:asciiTheme="majorHAnsi" w:eastAsiaTheme="minorEastAsia" w:hAnsiTheme="majorHAnsi" w:cstheme="majorHAnsi"/>
                                <w:color w:val="262626" w:themeColor="text1" w:themeTint="D9"/>
                                <w:sz w:val="20"/>
                                <w:szCs w:val="20"/>
                                <w:lang w:val="en-US"/>
                              </w:rPr>
                              <w:t xml:space="preserve"> </w:t>
                            </w:r>
                          </w:p>
                        </w:txbxContent>
                      </v:textbox>
                    </v:shape>
                    <w10:wrap anchorx="margin"/>
                  </v:group>
                </w:pict>
              </mc:Fallback>
            </mc:AlternateContent>
          </w:r>
          <w:r>
            <w:rPr>
              <w:noProof/>
            </w:rPr>
            <mc:AlternateContent>
              <mc:Choice Requires="wps">
                <w:drawing>
                  <wp:anchor distT="0" distB="0" distL="114300" distR="114300" simplePos="0" relativeHeight="251660288" behindDoc="0" locked="0" layoutInCell="1" allowOverlap="1" wp14:anchorId="46FDF4B8" wp14:editId="0F69114B">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2352675"/>
                    <wp:effectExtent l="0" t="0" r="10160" b="952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2352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4AD4F" w14:textId="68235FA2" w:rsidR="003878C9" w:rsidRPr="003B4661" w:rsidRDefault="00B52A88">
                                <w:pPr>
                                  <w:pStyle w:val="NoSpacing"/>
                                  <w:jc w:val="right"/>
                                  <w:rPr>
                                    <w:b/>
                                    <w:bCs/>
                                    <w:caps/>
                                    <w:color w:val="000000" w:themeColor="text1"/>
                                    <w:sz w:val="52"/>
                                    <w:szCs w:val="52"/>
                                  </w:rPr>
                                </w:pPr>
                                <w:sdt>
                                  <w:sdtPr>
                                    <w:rPr>
                                      <w:b/>
                                      <w:bCs/>
                                      <w:caps/>
                                      <w:color w:val="000000" w:themeColor="text1"/>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3878C9">
                                      <w:rPr>
                                        <w:b/>
                                        <w:bCs/>
                                        <w:caps/>
                                        <w:color w:val="000000" w:themeColor="text1"/>
                                        <w:sz w:val="52"/>
                                        <w:szCs w:val="52"/>
                                      </w:rPr>
                                      <w:t>report to the united nations HUMAN RIGHTS committee on the implementation of the provisions of the international covenant on civil and political rights</w:t>
                                    </w:r>
                                  </w:sdtContent>
                                </w:sdt>
                              </w:p>
                              <w:sdt>
                                <w:sdtPr>
                                  <w:rPr>
                                    <w:b/>
                                    <w:bCs/>
                                    <w:smallCaps/>
                                    <w:color w:val="FFC000"/>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5897143" w14:textId="47089A85" w:rsidR="003878C9" w:rsidRPr="003B4661" w:rsidRDefault="003878C9">
                                    <w:pPr>
                                      <w:pStyle w:val="NoSpacing"/>
                                      <w:jc w:val="right"/>
                                      <w:rPr>
                                        <w:smallCaps/>
                                        <w:color w:val="FFC000"/>
                                        <w:sz w:val="36"/>
                                        <w:szCs w:val="36"/>
                                      </w:rPr>
                                    </w:pPr>
                                    <w:r w:rsidRPr="003B4661">
                                      <w:rPr>
                                        <w:b/>
                                        <w:bCs/>
                                        <w:smallCaps/>
                                        <w:color w:val="FFC000"/>
                                        <w:sz w:val="36"/>
                                        <w:szCs w:val="36"/>
                                      </w:rPr>
                                      <w:t>JULY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46FDF4B8" id="Text Box 113" o:spid="_x0000_s1032" type="#_x0000_t202" style="position:absolute;margin-left:0;margin-top:0;width:453pt;height:185.25pt;z-index:251660288;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" filled="f" stroked="f" strokeweight=".5pt">
                    <v:textbox inset="0,0,0,0">
                      <w:txbxContent>
                        <w:p w14:paraId="2254AD4F" w14:textId="68235FA2" w:rsidR="003878C9" w:rsidRPr="003B4661" w:rsidRDefault="003878C9">
                          <w:pPr>
                            <w:pStyle w:val="NoSpacing"/>
                            <w:jc w:val="right"/>
                            <w:rPr>
                              <w:b/>
                              <w:bCs/>
                              <w:caps/>
                              <w:color w:val="000000" w:themeColor="text1"/>
                              <w:sz w:val="52"/>
                              <w:szCs w:val="52"/>
                            </w:rPr>
                          </w:pPr>
                          <w:sdt>
                            <w:sdtPr>
                              <w:rPr>
                                <w:b/>
                                <w:bCs/>
                                <w:caps/>
                                <w:color w:val="000000" w:themeColor="text1"/>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b/>
                                  <w:bCs/>
                                  <w:caps/>
                                  <w:color w:val="000000" w:themeColor="text1"/>
                                  <w:sz w:val="52"/>
                                  <w:szCs w:val="52"/>
                                </w:rPr>
                                <w:t>report to the united nations HUMAN RIGHTS committee on the implementation of the provisions of the international covenant on civil and political rights</w:t>
                              </w:r>
                            </w:sdtContent>
                          </w:sdt>
                        </w:p>
                        <w:sdt>
                          <w:sdtPr>
                            <w:rPr>
                              <w:b/>
                              <w:bCs/>
                              <w:smallCaps/>
                              <w:color w:val="FFC000"/>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5897143" w14:textId="47089A85" w:rsidR="003878C9" w:rsidRPr="003B4661" w:rsidRDefault="003878C9">
                              <w:pPr>
                                <w:pStyle w:val="NoSpacing"/>
                                <w:jc w:val="right"/>
                                <w:rPr>
                                  <w:smallCaps/>
                                  <w:color w:val="FFC000"/>
                                  <w:sz w:val="36"/>
                                  <w:szCs w:val="36"/>
                                </w:rPr>
                              </w:pPr>
                              <w:r w:rsidRPr="003B4661">
                                <w:rPr>
                                  <w:b/>
                                  <w:bCs/>
                                  <w:smallCaps/>
                                  <w:color w:val="FFC000"/>
                                  <w:sz w:val="36"/>
                                  <w:szCs w:val="36"/>
                                </w:rPr>
                                <w:t>JULY 2020</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0FF08E2" wp14:editId="594D86BF">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DBCE90A"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" fillcolor="#ffc000"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" fillcolor="black [3213]" stroked="f" strokeweight="1pt">
                      <o:lock v:ext="edit" aspectratio="t"/>
                    </v:rect>
                    <w10:wrap anchorx="page" anchory="page"/>
                  </v:group>
                </w:pict>
              </mc:Fallback>
            </mc:AlternateContent>
          </w:r>
          <w:r>
            <w:rPr>
              <w:rFonts w:asciiTheme="majorHAnsi" w:hAnsiTheme="majorHAnsi" w:cstheme="majorHAnsi"/>
              <w:b/>
              <w:bCs/>
              <w:sz w:val="24"/>
              <w:szCs w:val="24"/>
              <w:shd w:val="clear" w:color="auto" w:fill="FFFFFF"/>
            </w:rPr>
            <w:br w:type="page"/>
          </w:r>
        </w:p>
      </w:sdtContent>
    </w:sdt>
    <w:p w14:paraId="1858E4E0" w14:textId="7D37DD48" w:rsidR="00E426FD" w:rsidRPr="00D2757F" w:rsidRDefault="00E426FD" w:rsidP="00DD1C9C">
      <w:pPr>
        <w:pBdr>
          <w:top w:val="single" w:sz="4" w:space="1" w:color="auto"/>
          <w:left w:val="single" w:sz="4" w:space="4" w:color="auto"/>
          <w:bottom w:val="single" w:sz="4" w:space="1" w:color="auto"/>
          <w:right w:val="single" w:sz="4" w:space="4" w:color="auto"/>
        </w:pBdr>
        <w:spacing w:before="240" w:after="960" w:line="360" w:lineRule="auto"/>
        <w:jc w:val="both"/>
        <w:rPr>
          <w:rFonts w:asciiTheme="majorHAnsi" w:hAnsiTheme="majorHAnsi" w:cstheme="majorHAnsi"/>
          <w:b/>
          <w:bCs/>
          <w:sz w:val="26"/>
          <w:szCs w:val="26"/>
          <w:shd w:val="clear" w:color="auto" w:fill="FFFFFF"/>
        </w:rPr>
      </w:pPr>
      <w:r w:rsidRPr="00D2757F">
        <w:rPr>
          <w:rFonts w:asciiTheme="majorHAnsi" w:hAnsiTheme="majorHAnsi" w:cstheme="majorHAnsi"/>
          <w:b/>
          <w:bCs/>
          <w:sz w:val="26"/>
          <w:szCs w:val="26"/>
          <w:shd w:val="clear" w:color="auto" w:fill="FFFFFF"/>
        </w:rPr>
        <w:lastRenderedPageBreak/>
        <w:t xml:space="preserve">Introduction </w:t>
      </w:r>
    </w:p>
    <w:p w14:paraId="255116D4" w14:textId="77777777" w:rsidR="00E426FD" w:rsidRPr="00D2757F" w:rsidRDefault="00E426FD" w:rsidP="00833E65">
      <w:pPr>
        <w:spacing w:before="240" w:after="240" w:line="240" w:lineRule="auto"/>
        <w:jc w:val="both"/>
        <w:rPr>
          <w:rFonts w:asciiTheme="majorHAnsi" w:hAnsiTheme="majorHAnsi" w:cstheme="majorHAnsi"/>
          <w:sz w:val="24"/>
          <w:szCs w:val="24"/>
          <w:shd w:val="clear" w:color="auto" w:fill="FFFFFF"/>
        </w:rPr>
      </w:pPr>
      <w:r w:rsidRPr="00D2757F">
        <w:rPr>
          <w:rFonts w:asciiTheme="majorHAnsi" w:hAnsiTheme="majorHAnsi" w:cstheme="majorHAnsi"/>
          <w:sz w:val="24"/>
          <w:szCs w:val="24"/>
          <w:shd w:val="clear" w:color="auto" w:fill="FFFFFF"/>
        </w:rPr>
        <w:t xml:space="preserve">The Kenya National Commission on Human Rights (KNCHR) submits this report to the Human Rights Committee to inform its review of the State’s Fourth Periodic Report under the International Covenant on Civil and Political Rights (ICCPR). </w:t>
      </w:r>
    </w:p>
    <w:p w14:paraId="3AA5893D" w14:textId="5E5E3E6C" w:rsidR="00364140" w:rsidRPr="00D2757F" w:rsidRDefault="000C421A" w:rsidP="00833E65">
      <w:pPr>
        <w:spacing w:before="240" w:after="240" w:line="240" w:lineRule="auto"/>
        <w:jc w:val="both"/>
        <w:rPr>
          <w:rFonts w:asciiTheme="majorHAnsi" w:hAnsiTheme="majorHAnsi" w:cstheme="majorHAnsi"/>
          <w:sz w:val="24"/>
          <w:szCs w:val="24"/>
          <w:shd w:val="clear" w:color="auto" w:fill="FFFFFF"/>
        </w:rPr>
      </w:pPr>
      <w:r w:rsidRPr="00D2757F">
        <w:rPr>
          <w:rFonts w:asciiTheme="majorHAnsi" w:hAnsiTheme="majorHAnsi" w:cstheme="majorHAnsi"/>
          <w:sz w:val="24"/>
          <w:szCs w:val="24"/>
          <w:shd w:val="clear" w:color="auto" w:fill="FFFFFF"/>
        </w:rPr>
        <w:t>The Kenya National Commission on Human Rights is established under Article 59 of the Constitution of Kenya, 2010 and operationalized under the Kenya National Commission on Human Rights Act 2011 (revised 2012)</w:t>
      </w:r>
      <w:r w:rsidRPr="00D2757F">
        <w:rPr>
          <w:rFonts w:asciiTheme="majorHAnsi" w:hAnsiTheme="majorHAnsi" w:cstheme="majorHAnsi"/>
          <w:sz w:val="24"/>
          <w:szCs w:val="24"/>
          <w:shd w:val="clear" w:color="auto" w:fill="FFFFFF"/>
          <w:vertAlign w:val="superscript"/>
        </w:rPr>
        <w:footnoteReference w:id="1"/>
      </w:r>
      <w:r w:rsidR="00D2757F" w:rsidRPr="00D2757F">
        <w:rPr>
          <w:rFonts w:asciiTheme="majorHAnsi" w:hAnsiTheme="majorHAnsi" w:cstheme="majorHAnsi"/>
          <w:sz w:val="24"/>
          <w:szCs w:val="24"/>
          <w:shd w:val="clear" w:color="auto" w:fill="FFFFFF"/>
        </w:rPr>
        <w:t>.</w:t>
      </w:r>
      <w:r w:rsidRPr="00D2757F">
        <w:rPr>
          <w:rFonts w:asciiTheme="majorHAnsi" w:hAnsiTheme="majorHAnsi" w:cstheme="majorHAnsi"/>
          <w:sz w:val="24"/>
          <w:szCs w:val="24"/>
          <w:shd w:val="clear" w:color="auto" w:fill="FFFFFF"/>
        </w:rPr>
        <w:t xml:space="preserve"> It is the successor to the Kenya National Commission on Human Rights established in 2003 under the Kenya National Commission on Human Rights Act 2002</w:t>
      </w:r>
      <w:r w:rsidRPr="00D2757F">
        <w:rPr>
          <w:rFonts w:asciiTheme="majorHAnsi" w:hAnsiTheme="majorHAnsi" w:cstheme="majorHAnsi"/>
          <w:sz w:val="24"/>
          <w:szCs w:val="24"/>
          <w:shd w:val="clear" w:color="auto" w:fill="FFFFFF"/>
          <w:vertAlign w:val="superscript"/>
        </w:rPr>
        <w:footnoteReference w:id="2"/>
      </w:r>
      <w:r w:rsidR="00D2757F" w:rsidRPr="00D2757F">
        <w:rPr>
          <w:rFonts w:asciiTheme="majorHAnsi" w:hAnsiTheme="majorHAnsi" w:cstheme="majorHAnsi"/>
          <w:sz w:val="24"/>
          <w:szCs w:val="24"/>
          <w:shd w:val="clear" w:color="auto" w:fill="FFFFFF"/>
        </w:rPr>
        <w:t>.</w:t>
      </w:r>
      <w:r w:rsidRPr="00D2757F">
        <w:rPr>
          <w:rFonts w:asciiTheme="majorHAnsi" w:hAnsiTheme="majorHAnsi" w:cstheme="majorHAnsi"/>
          <w:sz w:val="24"/>
          <w:szCs w:val="24"/>
          <w:shd w:val="clear" w:color="auto" w:fill="FFFFFF"/>
        </w:rPr>
        <w:t xml:space="preserve"> </w:t>
      </w:r>
      <w:r w:rsidR="00746FBB" w:rsidRPr="00D2757F">
        <w:rPr>
          <w:rFonts w:asciiTheme="majorHAnsi" w:hAnsiTheme="majorHAnsi" w:cstheme="majorHAnsi"/>
          <w:sz w:val="24"/>
          <w:szCs w:val="24"/>
          <w:shd w:val="clear" w:color="auto" w:fill="FFFFFF"/>
        </w:rPr>
        <w:t>The Commission is constitutionally mandated as the principal organ of the State in ensuring compliance with obligations under international and regional human rights treaties and conventions.  KNCHR is</w:t>
      </w:r>
      <w:r w:rsidRPr="00D2757F">
        <w:rPr>
          <w:rFonts w:asciiTheme="majorHAnsi" w:hAnsiTheme="majorHAnsi" w:cstheme="majorHAnsi"/>
          <w:sz w:val="24"/>
          <w:szCs w:val="24"/>
          <w:shd w:val="clear" w:color="auto" w:fill="FFFFFF"/>
        </w:rPr>
        <w:t xml:space="preserve"> the national monitoring agency under Article 33 (2) of the Convention on the Rights of Persons with Disabilities</w:t>
      </w:r>
      <w:r w:rsidRPr="00D2757F">
        <w:rPr>
          <w:rFonts w:asciiTheme="majorHAnsi" w:hAnsiTheme="majorHAnsi" w:cstheme="majorHAnsi"/>
          <w:sz w:val="24"/>
          <w:szCs w:val="24"/>
          <w:shd w:val="clear" w:color="auto" w:fill="FFFFFF"/>
          <w:vertAlign w:val="superscript"/>
        </w:rPr>
        <w:footnoteReference w:id="3"/>
      </w:r>
      <w:r w:rsidR="00746FBB" w:rsidRPr="00D2757F">
        <w:rPr>
          <w:rFonts w:asciiTheme="majorHAnsi" w:hAnsiTheme="majorHAnsi" w:cstheme="majorHAnsi"/>
          <w:sz w:val="24"/>
          <w:szCs w:val="24"/>
          <w:shd w:val="clear" w:color="auto" w:fill="FFFFFF"/>
        </w:rPr>
        <w:t xml:space="preserve"> and has</w:t>
      </w:r>
      <w:r w:rsidRPr="00D2757F">
        <w:rPr>
          <w:rFonts w:asciiTheme="majorHAnsi" w:hAnsiTheme="majorHAnsi" w:cstheme="majorHAnsi"/>
          <w:sz w:val="24"/>
          <w:szCs w:val="24"/>
          <w:shd w:val="clear" w:color="auto" w:fill="FFFFFF"/>
        </w:rPr>
        <w:t xml:space="preserve"> additional functions to oversight implementation of the Prevention of Torture</w:t>
      </w:r>
      <w:r w:rsidRPr="00D2757F">
        <w:rPr>
          <w:rFonts w:asciiTheme="majorHAnsi" w:hAnsiTheme="majorHAnsi" w:cstheme="majorHAnsi"/>
          <w:sz w:val="24"/>
          <w:szCs w:val="24"/>
          <w:shd w:val="clear" w:color="auto" w:fill="FFFFFF"/>
          <w:vertAlign w:val="superscript"/>
        </w:rPr>
        <w:footnoteReference w:id="4"/>
      </w:r>
      <w:r w:rsidR="00D2757F" w:rsidRPr="00D2757F">
        <w:rPr>
          <w:rFonts w:asciiTheme="majorHAnsi" w:hAnsiTheme="majorHAnsi" w:cstheme="majorHAnsi"/>
          <w:sz w:val="24"/>
          <w:szCs w:val="24"/>
          <w:shd w:val="clear" w:color="auto" w:fill="FFFFFF"/>
        </w:rPr>
        <w:t>.</w:t>
      </w:r>
      <w:r w:rsidRPr="00D2757F">
        <w:rPr>
          <w:rFonts w:asciiTheme="majorHAnsi" w:hAnsiTheme="majorHAnsi" w:cstheme="majorHAnsi"/>
          <w:sz w:val="24"/>
          <w:szCs w:val="24"/>
          <w:shd w:val="clear" w:color="auto" w:fill="FFFFFF"/>
        </w:rPr>
        <w:t xml:space="preserve">  The </w:t>
      </w:r>
      <w:r w:rsidR="00746FBB" w:rsidRPr="00D2757F">
        <w:rPr>
          <w:rFonts w:asciiTheme="majorHAnsi" w:hAnsiTheme="majorHAnsi" w:cstheme="majorHAnsi"/>
          <w:sz w:val="24"/>
          <w:szCs w:val="24"/>
          <w:shd w:val="clear" w:color="auto" w:fill="FFFFFF"/>
        </w:rPr>
        <w:t>KNCHR</w:t>
      </w:r>
      <w:r w:rsidRPr="00D2757F">
        <w:rPr>
          <w:rFonts w:asciiTheme="majorHAnsi" w:hAnsiTheme="majorHAnsi" w:cstheme="majorHAnsi"/>
          <w:sz w:val="24"/>
          <w:szCs w:val="24"/>
          <w:shd w:val="clear" w:color="auto" w:fill="FFFFFF"/>
        </w:rPr>
        <w:t xml:space="preserve"> has since 2004 enjoyed an Affiliate Status with the African Commission on Human and Peoples’ Rights</w:t>
      </w:r>
      <w:r w:rsidRPr="00D2757F">
        <w:rPr>
          <w:rFonts w:asciiTheme="majorHAnsi" w:hAnsiTheme="majorHAnsi" w:cstheme="majorHAnsi"/>
          <w:sz w:val="24"/>
          <w:szCs w:val="24"/>
          <w:shd w:val="clear" w:color="auto" w:fill="FFFFFF"/>
          <w:vertAlign w:val="superscript"/>
        </w:rPr>
        <w:footnoteReference w:id="5"/>
      </w:r>
      <w:r w:rsidR="00D2757F" w:rsidRPr="00D2757F">
        <w:rPr>
          <w:rFonts w:asciiTheme="majorHAnsi" w:hAnsiTheme="majorHAnsi" w:cstheme="majorHAnsi"/>
          <w:sz w:val="24"/>
          <w:szCs w:val="24"/>
          <w:shd w:val="clear" w:color="auto" w:fill="FFFFFF"/>
        </w:rPr>
        <w:t>.</w:t>
      </w:r>
      <w:r w:rsidRPr="00D2757F">
        <w:rPr>
          <w:rFonts w:asciiTheme="majorHAnsi" w:hAnsiTheme="majorHAnsi" w:cstheme="majorHAnsi"/>
          <w:sz w:val="24"/>
          <w:szCs w:val="24"/>
          <w:shd w:val="clear" w:color="auto" w:fill="FFFFFF"/>
        </w:rPr>
        <w:t xml:space="preserve"> The Commission is also a member of the Network of African National Human Rights Institutions (</w:t>
      </w:r>
      <w:hyperlink r:id="rId13" w:history="1">
        <w:r w:rsidRPr="00D2757F">
          <w:rPr>
            <w:rFonts w:asciiTheme="majorHAnsi" w:hAnsiTheme="majorHAnsi" w:cstheme="majorHAnsi"/>
            <w:sz w:val="24"/>
            <w:szCs w:val="24"/>
            <w:shd w:val="clear" w:color="auto" w:fill="FFFFFF"/>
          </w:rPr>
          <w:t>NANHRI</w:t>
        </w:r>
      </w:hyperlink>
      <w:r w:rsidRPr="00D2757F">
        <w:rPr>
          <w:rFonts w:asciiTheme="majorHAnsi" w:hAnsiTheme="majorHAnsi" w:cstheme="majorHAnsi"/>
          <w:sz w:val="24"/>
          <w:szCs w:val="24"/>
          <w:shd w:val="clear" w:color="auto" w:fill="FFFFFF"/>
        </w:rPr>
        <w:t>), the regional umbrella body that brings together National Human Rights Institutions in Africa.</w:t>
      </w:r>
      <w:r w:rsidR="00746FBB" w:rsidRPr="00D2757F">
        <w:rPr>
          <w:rFonts w:asciiTheme="majorHAnsi" w:hAnsiTheme="majorHAnsi" w:cstheme="majorHAnsi"/>
          <w:sz w:val="24"/>
          <w:szCs w:val="24"/>
          <w:shd w:val="clear" w:color="auto" w:fill="FFFFFF"/>
        </w:rPr>
        <w:t xml:space="preserve">  The Commission is accredited as an  ‘A’ status National Human Rights Institution  on its compliance with the </w:t>
      </w:r>
      <w:hyperlink r:id="rId14" w:history="1">
        <w:r w:rsidR="00746FBB" w:rsidRPr="00D2757F">
          <w:rPr>
            <w:rFonts w:asciiTheme="majorHAnsi" w:hAnsiTheme="majorHAnsi" w:cstheme="majorHAnsi"/>
            <w:sz w:val="24"/>
            <w:szCs w:val="24"/>
            <w:shd w:val="clear" w:color="auto" w:fill="FFFFFF"/>
          </w:rPr>
          <w:t>Paris Principles</w:t>
        </w:r>
      </w:hyperlink>
      <w:r w:rsidR="00746FBB" w:rsidRPr="00D2757F">
        <w:rPr>
          <w:rFonts w:asciiTheme="majorHAnsi" w:hAnsiTheme="majorHAnsi" w:cstheme="majorHAnsi"/>
          <w:sz w:val="24"/>
          <w:szCs w:val="24"/>
          <w:shd w:val="clear" w:color="auto" w:fill="FFFFFF"/>
        </w:rPr>
        <w:t xml:space="preserve">, by the Global Alliance of National Human Rights Institutions (GANHRI).  </w:t>
      </w:r>
    </w:p>
    <w:p w14:paraId="6EFDDE47" w14:textId="70B098EA" w:rsidR="00166E15" w:rsidRDefault="00E426FD" w:rsidP="00833E65">
      <w:pPr>
        <w:spacing w:before="240" w:after="240" w:line="240" w:lineRule="auto"/>
        <w:jc w:val="both"/>
        <w:rPr>
          <w:rFonts w:asciiTheme="majorHAnsi" w:hAnsiTheme="majorHAnsi" w:cstheme="majorHAnsi"/>
          <w:sz w:val="24"/>
          <w:szCs w:val="24"/>
          <w:shd w:val="clear" w:color="auto" w:fill="FFFFFF"/>
        </w:rPr>
      </w:pPr>
      <w:r w:rsidRPr="00D2757F">
        <w:rPr>
          <w:rFonts w:asciiTheme="majorHAnsi" w:hAnsiTheme="majorHAnsi" w:cstheme="majorHAnsi"/>
          <w:sz w:val="24"/>
          <w:szCs w:val="24"/>
          <w:shd w:val="clear" w:color="auto" w:fill="FFFFFF"/>
        </w:rPr>
        <w:t>KNCHR presents this report to the Human Rights Committee in fulfillment of its constitutional and statutory obligations,</w:t>
      </w:r>
      <w:r w:rsidR="00746FBB" w:rsidRPr="00D2757F">
        <w:rPr>
          <w:rFonts w:asciiTheme="majorHAnsi" w:hAnsiTheme="majorHAnsi" w:cstheme="majorHAnsi"/>
          <w:sz w:val="24"/>
          <w:szCs w:val="24"/>
          <w:shd w:val="clear" w:color="auto" w:fill="FFFFFF"/>
        </w:rPr>
        <w:t xml:space="preserve"> and in line with its regional and international obligations as a national human rights institution; </w:t>
      </w:r>
      <w:r w:rsidRPr="00D2757F">
        <w:rPr>
          <w:rFonts w:asciiTheme="majorHAnsi" w:hAnsiTheme="majorHAnsi" w:cstheme="majorHAnsi"/>
          <w:sz w:val="24"/>
          <w:szCs w:val="24"/>
          <w:shd w:val="clear" w:color="auto" w:fill="FFFFFF"/>
        </w:rPr>
        <w:t xml:space="preserve">in order to </w:t>
      </w:r>
      <w:r w:rsidR="00E20597" w:rsidRPr="00D2757F">
        <w:rPr>
          <w:rFonts w:asciiTheme="majorHAnsi" w:hAnsiTheme="majorHAnsi" w:cstheme="majorHAnsi"/>
          <w:sz w:val="24"/>
          <w:szCs w:val="24"/>
          <w:shd w:val="clear" w:color="auto" w:fill="FFFFFF"/>
        </w:rPr>
        <w:t>assist</w:t>
      </w:r>
      <w:r w:rsidRPr="00D2757F">
        <w:rPr>
          <w:rFonts w:asciiTheme="majorHAnsi" w:hAnsiTheme="majorHAnsi" w:cstheme="majorHAnsi"/>
          <w:sz w:val="24"/>
          <w:szCs w:val="24"/>
          <w:shd w:val="clear" w:color="auto" w:fill="FFFFFF"/>
        </w:rPr>
        <w:t xml:space="preserve"> </w:t>
      </w:r>
      <w:r w:rsidR="00E20597" w:rsidRPr="00D2757F">
        <w:rPr>
          <w:rFonts w:asciiTheme="majorHAnsi" w:hAnsiTheme="majorHAnsi" w:cstheme="majorHAnsi"/>
          <w:sz w:val="24"/>
          <w:szCs w:val="24"/>
          <w:shd w:val="clear" w:color="auto" w:fill="FFFFFF"/>
        </w:rPr>
        <w:t xml:space="preserve">and apprise the Committee on </w:t>
      </w:r>
      <w:r w:rsidRPr="00D2757F">
        <w:rPr>
          <w:rFonts w:asciiTheme="majorHAnsi" w:hAnsiTheme="majorHAnsi" w:cstheme="majorHAnsi"/>
          <w:sz w:val="24"/>
          <w:szCs w:val="24"/>
          <w:shd w:val="clear" w:color="auto" w:fill="FFFFFF"/>
        </w:rPr>
        <w:t>efforts</w:t>
      </w:r>
      <w:r w:rsidR="00E20597" w:rsidRPr="00D2757F">
        <w:rPr>
          <w:rFonts w:asciiTheme="majorHAnsi" w:hAnsiTheme="majorHAnsi" w:cstheme="majorHAnsi"/>
          <w:sz w:val="24"/>
          <w:szCs w:val="24"/>
          <w:shd w:val="clear" w:color="auto" w:fill="FFFFFF"/>
        </w:rPr>
        <w:t xml:space="preserve"> made</w:t>
      </w:r>
      <w:r w:rsidRPr="00D2757F">
        <w:rPr>
          <w:rFonts w:asciiTheme="majorHAnsi" w:hAnsiTheme="majorHAnsi" w:cstheme="majorHAnsi"/>
          <w:sz w:val="24"/>
          <w:szCs w:val="24"/>
          <w:shd w:val="clear" w:color="auto" w:fill="FFFFFF"/>
        </w:rPr>
        <w:t xml:space="preserve"> towards implementation of the provisions of ICCPR at the domestic level and highlights the key</w:t>
      </w:r>
      <w:r w:rsidR="00E20597" w:rsidRPr="00D2757F">
        <w:rPr>
          <w:rFonts w:asciiTheme="majorHAnsi" w:hAnsiTheme="majorHAnsi" w:cstheme="majorHAnsi"/>
          <w:sz w:val="24"/>
          <w:szCs w:val="24"/>
          <w:shd w:val="clear" w:color="auto" w:fill="FFFFFF"/>
        </w:rPr>
        <w:t xml:space="preserve"> achievements, </w:t>
      </w:r>
      <w:r w:rsidRPr="00D2757F">
        <w:rPr>
          <w:rFonts w:asciiTheme="majorHAnsi" w:hAnsiTheme="majorHAnsi" w:cstheme="majorHAnsi"/>
          <w:sz w:val="24"/>
          <w:szCs w:val="24"/>
          <w:shd w:val="clear" w:color="auto" w:fill="FFFFFF"/>
        </w:rPr>
        <w:t>concerns and challenges in implementing ICCPR in Kenya</w:t>
      </w:r>
      <w:r w:rsidR="00746FBB" w:rsidRPr="00D2757F">
        <w:rPr>
          <w:rFonts w:asciiTheme="majorHAnsi" w:hAnsiTheme="majorHAnsi" w:cstheme="majorHAnsi"/>
          <w:sz w:val="24"/>
          <w:szCs w:val="24"/>
          <w:shd w:val="clear" w:color="auto" w:fill="FFFFFF"/>
        </w:rPr>
        <w:t xml:space="preserve">. </w:t>
      </w:r>
    </w:p>
    <w:p w14:paraId="41E72DA3" w14:textId="5CCE9DF4" w:rsidR="00D2757F" w:rsidRDefault="00D2757F">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br w:type="page"/>
      </w:r>
    </w:p>
    <w:p w14:paraId="4B3C7E51" w14:textId="77777777" w:rsidR="003B4661" w:rsidRPr="00DD1C9C" w:rsidRDefault="003B4661" w:rsidP="00DD1C9C">
      <w:pPr>
        <w:pBdr>
          <w:top w:val="single" w:sz="4" w:space="1" w:color="auto"/>
          <w:left w:val="single" w:sz="4" w:space="4" w:color="auto"/>
          <w:bottom w:val="single" w:sz="4" w:space="1" w:color="auto"/>
          <w:right w:val="single" w:sz="4" w:space="4" w:color="auto"/>
        </w:pBdr>
        <w:spacing w:before="240" w:after="960" w:line="360" w:lineRule="auto"/>
        <w:jc w:val="both"/>
        <w:rPr>
          <w:rFonts w:asciiTheme="majorHAnsi" w:hAnsiTheme="majorHAnsi" w:cstheme="majorHAnsi"/>
          <w:b/>
          <w:bCs/>
          <w:sz w:val="24"/>
          <w:szCs w:val="24"/>
          <w:shd w:val="clear" w:color="auto" w:fill="FFFFFF"/>
        </w:rPr>
      </w:pPr>
      <w:r w:rsidRPr="00DD1C9C">
        <w:rPr>
          <w:rFonts w:asciiTheme="majorHAnsi" w:hAnsiTheme="majorHAnsi" w:cstheme="majorHAnsi"/>
          <w:b/>
          <w:bCs/>
          <w:sz w:val="24"/>
          <w:szCs w:val="24"/>
          <w:shd w:val="clear" w:color="auto" w:fill="FFFFFF"/>
        </w:rPr>
        <w:lastRenderedPageBreak/>
        <w:t>Table of Contents</w:t>
      </w:r>
    </w:p>
    <w:p w14:paraId="3E592956" w14:textId="7F62E1EC" w:rsidR="003B4661" w:rsidRDefault="003B4661" w:rsidP="003B4661">
      <w:pPr>
        <w:pStyle w:val="TOC1"/>
        <w:rPr>
          <w:rFonts w:asciiTheme="minorHAnsi" w:eastAsiaTheme="minorEastAsia" w:hAnsiTheme="minorHAnsi"/>
          <w:noProof/>
          <w:lang w:eastAsia="en-GB"/>
        </w:rPr>
      </w:pPr>
      <w:r>
        <w:rPr>
          <w:rFonts w:asciiTheme="majorHAnsi" w:hAnsiTheme="majorHAnsi" w:cstheme="majorHAnsi"/>
          <w:sz w:val="24"/>
          <w:szCs w:val="24"/>
          <w:shd w:val="clear" w:color="auto" w:fill="FFFFFF"/>
        </w:rPr>
        <w:fldChar w:fldCharType="begin"/>
      </w:r>
      <w:r>
        <w:rPr>
          <w:rFonts w:asciiTheme="majorHAnsi" w:hAnsiTheme="majorHAnsi" w:cstheme="majorHAnsi"/>
          <w:sz w:val="24"/>
          <w:szCs w:val="24"/>
          <w:shd w:val="clear" w:color="auto" w:fill="FFFFFF"/>
        </w:rPr>
        <w:instrText xml:space="preserve"> TOC \o "1-2" \f \u </w:instrText>
      </w:r>
      <w:r>
        <w:rPr>
          <w:rFonts w:asciiTheme="majorHAnsi" w:hAnsiTheme="majorHAnsi" w:cstheme="majorHAnsi"/>
          <w:sz w:val="24"/>
          <w:szCs w:val="24"/>
          <w:shd w:val="clear" w:color="auto" w:fill="FFFFFF"/>
        </w:rPr>
        <w:fldChar w:fldCharType="separate"/>
      </w:r>
      <w:r w:rsidRPr="00B25723">
        <w:rPr>
          <w:noProof/>
        </w:rPr>
        <w:t>1.</w:t>
      </w:r>
      <w:r>
        <w:rPr>
          <w:rFonts w:asciiTheme="minorHAnsi" w:eastAsiaTheme="minorEastAsia" w:hAnsiTheme="minorHAnsi"/>
          <w:noProof/>
          <w:lang w:eastAsia="en-GB"/>
        </w:rPr>
        <w:tab/>
      </w:r>
      <w:r>
        <w:rPr>
          <w:noProof/>
        </w:rPr>
        <w:t>Anti - corruption measures (arts. 2 and 25)</w:t>
      </w:r>
      <w:r>
        <w:rPr>
          <w:noProof/>
        </w:rPr>
        <w:tab/>
      </w:r>
      <w:r>
        <w:rPr>
          <w:noProof/>
        </w:rPr>
        <w:fldChar w:fldCharType="begin"/>
      </w:r>
      <w:r>
        <w:rPr>
          <w:noProof/>
        </w:rPr>
        <w:instrText xml:space="preserve"> PAGEREF _Toc50984428 \h </w:instrText>
      </w:r>
      <w:r>
        <w:rPr>
          <w:noProof/>
        </w:rPr>
      </w:r>
      <w:r>
        <w:rPr>
          <w:noProof/>
        </w:rPr>
        <w:fldChar w:fldCharType="separate"/>
      </w:r>
      <w:r w:rsidR="001C26C6">
        <w:rPr>
          <w:noProof/>
        </w:rPr>
        <w:t>4</w:t>
      </w:r>
      <w:r>
        <w:rPr>
          <w:noProof/>
        </w:rPr>
        <w:fldChar w:fldCharType="end"/>
      </w:r>
    </w:p>
    <w:p w14:paraId="7D939198" w14:textId="0DD1950B" w:rsidR="003B4661" w:rsidRDefault="003B4661" w:rsidP="003B4661">
      <w:pPr>
        <w:pStyle w:val="TOC1"/>
        <w:rPr>
          <w:rFonts w:asciiTheme="minorHAnsi" w:eastAsiaTheme="minorEastAsia" w:hAnsiTheme="minorHAnsi"/>
          <w:noProof/>
          <w:lang w:eastAsia="en-GB"/>
        </w:rPr>
      </w:pPr>
      <w:r w:rsidRPr="00B25723">
        <w:rPr>
          <w:noProof/>
        </w:rPr>
        <w:t>2.</w:t>
      </w:r>
      <w:r>
        <w:rPr>
          <w:rFonts w:asciiTheme="minorHAnsi" w:eastAsiaTheme="minorEastAsia" w:hAnsiTheme="minorHAnsi"/>
          <w:noProof/>
          <w:lang w:eastAsia="en-GB"/>
        </w:rPr>
        <w:tab/>
      </w:r>
      <w:r>
        <w:rPr>
          <w:noProof/>
        </w:rPr>
        <w:t>The fight against impunity and past human rights violations (arts. 2, 6, 7 and 14)</w:t>
      </w:r>
      <w:r>
        <w:rPr>
          <w:noProof/>
        </w:rPr>
        <w:tab/>
      </w:r>
      <w:r>
        <w:rPr>
          <w:noProof/>
        </w:rPr>
        <w:fldChar w:fldCharType="begin"/>
      </w:r>
      <w:r>
        <w:rPr>
          <w:noProof/>
        </w:rPr>
        <w:instrText xml:space="preserve"> PAGEREF _Toc50984429 \h </w:instrText>
      </w:r>
      <w:r>
        <w:rPr>
          <w:noProof/>
        </w:rPr>
      </w:r>
      <w:r>
        <w:rPr>
          <w:noProof/>
        </w:rPr>
        <w:fldChar w:fldCharType="separate"/>
      </w:r>
      <w:r w:rsidR="001C26C6">
        <w:rPr>
          <w:noProof/>
        </w:rPr>
        <w:t>6</w:t>
      </w:r>
      <w:r>
        <w:rPr>
          <w:noProof/>
        </w:rPr>
        <w:fldChar w:fldCharType="end"/>
      </w:r>
    </w:p>
    <w:p w14:paraId="21456DC1" w14:textId="50FD5B69"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A.</w:t>
      </w:r>
      <w:r>
        <w:rPr>
          <w:rFonts w:asciiTheme="minorHAnsi" w:eastAsiaTheme="minorEastAsia" w:hAnsiTheme="minorHAnsi"/>
          <w:noProof/>
          <w:lang w:eastAsia="en-GB"/>
        </w:rPr>
        <w:tab/>
      </w:r>
      <w:r>
        <w:rPr>
          <w:noProof/>
        </w:rPr>
        <w:t>Alternative justice systems</w:t>
      </w:r>
      <w:r>
        <w:rPr>
          <w:noProof/>
        </w:rPr>
        <w:tab/>
      </w:r>
      <w:r>
        <w:rPr>
          <w:noProof/>
        </w:rPr>
        <w:fldChar w:fldCharType="begin"/>
      </w:r>
      <w:r>
        <w:rPr>
          <w:noProof/>
        </w:rPr>
        <w:instrText xml:space="preserve"> PAGEREF _Toc50984430 \h </w:instrText>
      </w:r>
      <w:r>
        <w:rPr>
          <w:noProof/>
        </w:rPr>
      </w:r>
      <w:r>
        <w:rPr>
          <w:noProof/>
        </w:rPr>
        <w:fldChar w:fldCharType="separate"/>
      </w:r>
      <w:r w:rsidR="001C26C6">
        <w:rPr>
          <w:noProof/>
        </w:rPr>
        <w:t>6</w:t>
      </w:r>
      <w:r>
        <w:rPr>
          <w:noProof/>
        </w:rPr>
        <w:fldChar w:fldCharType="end"/>
      </w:r>
    </w:p>
    <w:p w14:paraId="7F905090" w14:textId="3DB0E7FC"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B.</w:t>
      </w:r>
      <w:r>
        <w:rPr>
          <w:rFonts w:asciiTheme="minorHAnsi" w:eastAsiaTheme="minorEastAsia" w:hAnsiTheme="minorHAnsi"/>
          <w:noProof/>
          <w:lang w:eastAsia="en-GB"/>
        </w:rPr>
        <w:tab/>
      </w:r>
      <w:r>
        <w:rPr>
          <w:noProof/>
        </w:rPr>
        <w:t>The Truth Justice and Reconciliation Commission</w:t>
      </w:r>
      <w:r>
        <w:rPr>
          <w:noProof/>
        </w:rPr>
        <w:tab/>
      </w:r>
      <w:r>
        <w:rPr>
          <w:noProof/>
        </w:rPr>
        <w:fldChar w:fldCharType="begin"/>
      </w:r>
      <w:r>
        <w:rPr>
          <w:noProof/>
        </w:rPr>
        <w:instrText xml:space="preserve"> PAGEREF _Toc50984431 \h </w:instrText>
      </w:r>
      <w:r>
        <w:rPr>
          <w:noProof/>
        </w:rPr>
      </w:r>
      <w:r>
        <w:rPr>
          <w:noProof/>
        </w:rPr>
        <w:fldChar w:fldCharType="separate"/>
      </w:r>
      <w:r w:rsidR="001C26C6">
        <w:rPr>
          <w:noProof/>
        </w:rPr>
        <w:t>7</w:t>
      </w:r>
      <w:r>
        <w:rPr>
          <w:noProof/>
        </w:rPr>
        <w:fldChar w:fldCharType="end"/>
      </w:r>
    </w:p>
    <w:p w14:paraId="5E6FA124" w14:textId="5FADD8A2"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C.</w:t>
      </w:r>
      <w:r>
        <w:rPr>
          <w:rFonts w:asciiTheme="minorHAnsi" w:eastAsiaTheme="minorEastAsia" w:hAnsiTheme="minorHAnsi"/>
          <w:noProof/>
          <w:lang w:eastAsia="en-GB"/>
        </w:rPr>
        <w:tab/>
      </w:r>
      <w:r>
        <w:rPr>
          <w:noProof/>
        </w:rPr>
        <w:t>Measures taken to implement effectively the Victims Protection Act 2014, including the status of the Victim Protection Trust Fund.</w:t>
      </w:r>
      <w:r>
        <w:rPr>
          <w:noProof/>
        </w:rPr>
        <w:tab/>
      </w:r>
      <w:r>
        <w:rPr>
          <w:noProof/>
        </w:rPr>
        <w:fldChar w:fldCharType="begin"/>
      </w:r>
      <w:r>
        <w:rPr>
          <w:noProof/>
        </w:rPr>
        <w:instrText xml:space="preserve"> PAGEREF _Toc50984432 \h </w:instrText>
      </w:r>
      <w:r>
        <w:rPr>
          <w:noProof/>
        </w:rPr>
      </w:r>
      <w:r>
        <w:rPr>
          <w:noProof/>
        </w:rPr>
        <w:fldChar w:fldCharType="separate"/>
      </w:r>
      <w:r w:rsidR="001C26C6">
        <w:rPr>
          <w:noProof/>
        </w:rPr>
        <w:t>7</w:t>
      </w:r>
      <w:r>
        <w:rPr>
          <w:noProof/>
        </w:rPr>
        <w:fldChar w:fldCharType="end"/>
      </w:r>
    </w:p>
    <w:p w14:paraId="7B85D397" w14:textId="1A96ED42" w:rsidR="003B4661" w:rsidRDefault="003B4661" w:rsidP="003B4661">
      <w:pPr>
        <w:pStyle w:val="TOC1"/>
        <w:rPr>
          <w:rFonts w:asciiTheme="minorHAnsi" w:eastAsiaTheme="minorEastAsia" w:hAnsiTheme="minorHAnsi"/>
          <w:noProof/>
          <w:lang w:eastAsia="en-GB"/>
        </w:rPr>
      </w:pPr>
      <w:r w:rsidRPr="00B25723">
        <w:rPr>
          <w:noProof/>
        </w:rPr>
        <w:t>3.</w:t>
      </w:r>
      <w:r>
        <w:rPr>
          <w:rFonts w:asciiTheme="minorHAnsi" w:eastAsiaTheme="minorEastAsia" w:hAnsiTheme="minorHAnsi"/>
          <w:noProof/>
          <w:lang w:eastAsia="en-GB"/>
        </w:rPr>
        <w:tab/>
      </w:r>
      <w:r>
        <w:rPr>
          <w:noProof/>
        </w:rPr>
        <w:t>Non-discrimination (arts. 2 and 26)</w:t>
      </w:r>
      <w:r>
        <w:rPr>
          <w:noProof/>
        </w:rPr>
        <w:tab/>
      </w:r>
      <w:r>
        <w:rPr>
          <w:noProof/>
        </w:rPr>
        <w:fldChar w:fldCharType="begin"/>
      </w:r>
      <w:r>
        <w:rPr>
          <w:noProof/>
        </w:rPr>
        <w:instrText xml:space="preserve"> PAGEREF _Toc50984433 \h </w:instrText>
      </w:r>
      <w:r>
        <w:rPr>
          <w:noProof/>
        </w:rPr>
      </w:r>
      <w:r>
        <w:rPr>
          <w:noProof/>
        </w:rPr>
        <w:fldChar w:fldCharType="separate"/>
      </w:r>
      <w:r w:rsidR="001C26C6">
        <w:rPr>
          <w:noProof/>
        </w:rPr>
        <w:t>8</w:t>
      </w:r>
      <w:r>
        <w:rPr>
          <w:noProof/>
        </w:rPr>
        <w:fldChar w:fldCharType="end"/>
      </w:r>
    </w:p>
    <w:p w14:paraId="58134F2D" w14:textId="716C1350"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A.</w:t>
      </w:r>
      <w:r>
        <w:rPr>
          <w:rFonts w:asciiTheme="minorHAnsi" w:eastAsiaTheme="minorEastAsia" w:hAnsiTheme="minorHAnsi"/>
          <w:noProof/>
          <w:lang w:eastAsia="en-GB"/>
        </w:rPr>
        <w:tab/>
      </w:r>
      <w:r>
        <w:rPr>
          <w:noProof/>
        </w:rPr>
        <w:t>Protection of LGBT persons</w:t>
      </w:r>
      <w:r>
        <w:rPr>
          <w:noProof/>
        </w:rPr>
        <w:tab/>
      </w:r>
      <w:r>
        <w:rPr>
          <w:noProof/>
        </w:rPr>
        <w:fldChar w:fldCharType="begin"/>
      </w:r>
      <w:r>
        <w:rPr>
          <w:noProof/>
        </w:rPr>
        <w:instrText xml:space="preserve"> PAGEREF _Toc50984434 \h </w:instrText>
      </w:r>
      <w:r>
        <w:rPr>
          <w:noProof/>
        </w:rPr>
      </w:r>
      <w:r>
        <w:rPr>
          <w:noProof/>
        </w:rPr>
        <w:fldChar w:fldCharType="separate"/>
      </w:r>
      <w:r w:rsidR="001C26C6">
        <w:rPr>
          <w:noProof/>
        </w:rPr>
        <w:t>8</w:t>
      </w:r>
      <w:r>
        <w:rPr>
          <w:noProof/>
        </w:rPr>
        <w:fldChar w:fldCharType="end"/>
      </w:r>
    </w:p>
    <w:p w14:paraId="77D14CFB" w14:textId="2BE8C9E8"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B.</w:t>
      </w:r>
      <w:r>
        <w:rPr>
          <w:rFonts w:asciiTheme="minorHAnsi" w:eastAsiaTheme="minorEastAsia" w:hAnsiTheme="minorHAnsi"/>
          <w:noProof/>
          <w:lang w:eastAsia="en-GB"/>
        </w:rPr>
        <w:tab/>
      </w:r>
      <w:r>
        <w:rPr>
          <w:noProof/>
        </w:rPr>
        <w:t>Protection of intersex persons</w:t>
      </w:r>
      <w:r>
        <w:rPr>
          <w:noProof/>
        </w:rPr>
        <w:tab/>
      </w:r>
      <w:r>
        <w:rPr>
          <w:noProof/>
        </w:rPr>
        <w:fldChar w:fldCharType="begin"/>
      </w:r>
      <w:r>
        <w:rPr>
          <w:noProof/>
        </w:rPr>
        <w:instrText xml:space="preserve"> PAGEREF _Toc50984435 \h </w:instrText>
      </w:r>
      <w:r>
        <w:rPr>
          <w:noProof/>
        </w:rPr>
      </w:r>
      <w:r>
        <w:rPr>
          <w:noProof/>
        </w:rPr>
        <w:fldChar w:fldCharType="separate"/>
      </w:r>
      <w:r w:rsidR="001C26C6">
        <w:rPr>
          <w:noProof/>
        </w:rPr>
        <w:t>9</w:t>
      </w:r>
      <w:r>
        <w:rPr>
          <w:noProof/>
        </w:rPr>
        <w:fldChar w:fldCharType="end"/>
      </w:r>
    </w:p>
    <w:p w14:paraId="33833F02" w14:textId="5570824F" w:rsidR="003B4661" w:rsidRDefault="003B4661" w:rsidP="003B4661">
      <w:pPr>
        <w:pStyle w:val="TOC1"/>
        <w:rPr>
          <w:rFonts w:asciiTheme="minorHAnsi" w:eastAsiaTheme="minorEastAsia" w:hAnsiTheme="minorHAnsi"/>
          <w:noProof/>
          <w:lang w:eastAsia="en-GB"/>
        </w:rPr>
      </w:pPr>
      <w:r w:rsidRPr="00B25723">
        <w:rPr>
          <w:noProof/>
        </w:rPr>
        <w:t>4.</w:t>
      </w:r>
      <w:r>
        <w:rPr>
          <w:rFonts w:asciiTheme="minorHAnsi" w:eastAsiaTheme="minorEastAsia" w:hAnsiTheme="minorHAnsi"/>
          <w:noProof/>
          <w:lang w:eastAsia="en-GB"/>
        </w:rPr>
        <w:tab/>
      </w:r>
      <w:r>
        <w:rPr>
          <w:noProof/>
        </w:rPr>
        <w:t>Gender equality (arts. 3 and 26)</w:t>
      </w:r>
      <w:r>
        <w:rPr>
          <w:noProof/>
        </w:rPr>
        <w:tab/>
      </w:r>
      <w:r>
        <w:rPr>
          <w:noProof/>
        </w:rPr>
        <w:fldChar w:fldCharType="begin"/>
      </w:r>
      <w:r>
        <w:rPr>
          <w:noProof/>
        </w:rPr>
        <w:instrText xml:space="preserve"> PAGEREF _Toc50984436 \h </w:instrText>
      </w:r>
      <w:r>
        <w:rPr>
          <w:noProof/>
        </w:rPr>
      </w:r>
      <w:r>
        <w:rPr>
          <w:noProof/>
        </w:rPr>
        <w:fldChar w:fldCharType="separate"/>
      </w:r>
      <w:r w:rsidR="001C26C6">
        <w:rPr>
          <w:noProof/>
        </w:rPr>
        <w:t>11</w:t>
      </w:r>
      <w:r>
        <w:rPr>
          <w:noProof/>
        </w:rPr>
        <w:fldChar w:fldCharType="end"/>
      </w:r>
    </w:p>
    <w:p w14:paraId="4D14F316" w14:textId="4360C116"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A.</w:t>
      </w:r>
      <w:r>
        <w:rPr>
          <w:rFonts w:asciiTheme="minorHAnsi" w:eastAsiaTheme="minorEastAsia" w:hAnsiTheme="minorHAnsi"/>
          <w:noProof/>
          <w:lang w:eastAsia="en-GB"/>
        </w:rPr>
        <w:tab/>
      </w:r>
      <w:r>
        <w:rPr>
          <w:noProof/>
        </w:rPr>
        <w:t>Implementation of the two-third gender principle</w:t>
      </w:r>
      <w:r>
        <w:rPr>
          <w:noProof/>
        </w:rPr>
        <w:tab/>
      </w:r>
      <w:r>
        <w:rPr>
          <w:noProof/>
        </w:rPr>
        <w:fldChar w:fldCharType="begin"/>
      </w:r>
      <w:r>
        <w:rPr>
          <w:noProof/>
        </w:rPr>
        <w:instrText xml:space="preserve"> PAGEREF _Toc50984437 \h </w:instrText>
      </w:r>
      <w:r>
        <w:rPr>
          <w:noProof/>
        </w:rPr>
      </w:r>
      <w:r>
        <w:rPr>
          <w:noProof/>
        </w:rPr>
        <w:fldChar w:fldCharType="separate"/>
      </w:r>
      <w:r w:rsidR="001C26C6">
        <w:rPr>
          <w:noProof/>
        </w:rPr>
        <w:t>11</w:t>
      </w:r>
      <w:r>
        <w:rPr>
          <w:noProof/>
        </w:rPr>
        <w:fldChar w:fldCharType="end"/>
      </w:r>
    </w:p>
    <w:p w14:paraId="37BE7825" w14:textId="28E5E399"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B.</w:t>
      </w:r>
      <w:r>
        <w:rPr>
          <w:rFonts w:asciiTheme="minorHAnsi" w:eastAsiaTheme="minorEastAsia" w:hAnsiTheme="minorHAnsi"/>
          <w:noProof/>
          <w:lang w:eastAsia="en-GB"/>
        </w:rPr>
        <w:tab/>
      </w:r>
      <w:r>
        <w:rPr>
          <w:noProof/>
        </w:rPr>
        <w:t>Participation of women in the public sector</w:t>
      </w:r>
      <w:r>
        <w:rPr>
          <w:noProof/>
        </w:rPr>
        <w:tab/>
      </w:r>
      <w:r>
        <w:rPr>
          <w:noProof/>
        </w:rPr>
        <w:fldChar w:fldCharType="begin"/>
      </w:r>
      <w:r>
        <w:rPr>
          <w:noProof/>
        </w:rPr>
        <w:instrText xml:space="preserve"> PAGEREF _Toc50984438 \h </w:instrText>
      </w:r>
      <w:r>
        <w:rPr>
          <w:noProof/>
        </w:rPr>
      </w:r>
      <w:r>
        <w:rPr>
          <w:noProof/>
        </w:rPr>
        <w:fldChar w:fldCharType="separate"/>
      </w:r>
      <w:r w:rsidR="001C26C6">
        <w:rPr>
          <w:noProof/>
        </w:rPr>
        <w:t>13</w:t>
      </w:r>
      <w:r>
        <w:rPr>
          <w:noProof/>
        </w:rPr>
        <w:fldChar w:fldCharType="end"/>
      </w:r>
    </w:p>
    <w:p w14:paraId="21140586" w14:textId="75586DF6" w:rsidR="003B4661" w:rsidRDefault="003B4661" w:rsidP="003B4661">
      <w:pPr>
        <w:pStyle w:val="TOC1"/>
        <w:rPr>
          <w:rFonts w:asciiTheme="minorHAnsi" w:eastAsiaTheme="minorEastAsia" w:hAnsiTheme="minorHAnsi"/>
          <w:noProof/>
          <w:lang w:eastAsia="en-GB"/>
        </w:rPr>
      </w:pPr>
      <w:r w:rsidRPr="00B25723">
        <w:rPr>
          <w:noProof/>
        </w:rPr>
        <w:t>5.</w:t>
      </w:r>
      <w:r>
        <w:rPr>
          <w:rFonts w:asciiTheme="minorHAnsi" w:eastAsiaTheme="minorEastAsia" w:hAnsiTheme="minorHAnsi"/>
          <w:noProof/>
          <w:lang w:eastAsia="en-GB"/>
        </w:rPr>
        <w:tab/>
      </w:r>
      <w:r>
        <w:rPr>
          <w:noProof/>
        </w:rPr>
        <w:t>Counter-terrorism measures (arts. 2, 4, 7, 9 and 14)</w:t>
      </w:r>
      <w:r>
        <w:rPr>
          <w:noProof/>
        </w:rPr>
        <w:tab/>
      </w:r>
      <w:r>
        <w:rPr>
          <w:noProof/>
        </w:rPr>
        <w:fldChar w:fldCharType="begin"/>
      </w:r>
      <w:r>
        <w:rPr>
          <w:noProof/>
        </w:rPr>
        <w:instrText xml:space="preserve"> PAGEREF _Toc50984439 \h </w:instrText>
      </w:r>
      <w:r>
        <w:rPr>
          <w:noProof/>
        </w:rPr>
      </w:r>
      <w:r>
        <w:rPr>
          <w:noProof/>
        </w:rPr>
        <w:fldChar w:fldCharType="separate"/>
      </w:r>
      <w:r w:rsidR="001C26C6">
        <w:rPr>
          <w:noProof/>
        </w:rPr>
        <w:t>14</w:t>
      </w:r>
      <w:r>
        <w:rPr>
          <w:noProof/>
        </w:rPr>
        <w:fldChar w:fldCharType="end"/>
      </w:r>
    </w:p>
    <w:p w14:paraId="1824B69B" w14:textId="1DAD368D"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A.</w:t>
      </w:r>
      <w:r>
        <w:rPr>
          <w:rFonts w:asciiTheme="minorHAnsi" w:eastAsiaTheme="minorEastAsia" w:hAnsiTheme="minorHAnsi"/>
          <w:noProof/>
          <w:lang w:eastAsia="en-GB"/>
        </w:rPr>
        <w:tab/>
      </w:r>
      <w:r w:rsidRPr="00B25723">
        <w:rPr>
          <w:noProof/>
        </w:rPr>
        <w:t>The Prevention of Terrorism Act, 2012 gives a broad definition to terrorist act.</w:t>
      </w:r>
      <w:r>
        <w:rPr>
          <w:noProof/>
        </w:rPr>
        <w:tab/>
      </w:r>
      <w:r>
        <w:rPr>
          <w:noProof/>
        </w:rPr>
        <w:fldChar w:fldCharType="begin"/>
      </w:r>
      <w:r>
        <w:rPr>
          <w:noProof/>
        </w:rPr>
        <w:instrText xml:space="preserve"> PAGEREF _Toc50984440 \h </w:instrText>
      </w:r>
      <w:r>
        <w:rPr>
          <w:noProof/>
        </w:rPr>
      </w:r>
      <w:r>
        <w:rPr>
          <w:noProof/>
        </w:rPr>
        <w:fldChar w:fldCharType="separate"/>
      </w:r>
      <w:r w:rsidR="001C26C6">
        <w:rPr>
          <w:noProof/>
        </w:rPr>
        <w:t>14</w:t>
      </w:r>
      <w:r>
        <w:rPr>
          <w:noProof/>
        </w:rPr>
        <w:fldChar w:fldCharType="end"/>
      </w:r>
    </w:p>
    <w:p w14:paraId="537E1261" w14:textId="76DD8B22" w:rsidR="003B4661" w:rsidRDefault="003B4661" w:rsidP="003B4661">
      <w:pPr>
        <w:pStyle w:val="TOC1"/>
        <w:rPr>
          <w:rFonts w:asciiTheme="minorHAnsi" w:eastAsiaTheme="minorEastAsia" w:hAnsiTheme="minorHAnsi"/>
          <w:noProof/>
          <w:lang w:eastAsia="en-GB"/>
        </w:rPr>
      </w:pPr>
      <w:r w:rsidRPr="00B25723">
        <w:rPr>
          <w:noProof/>
        </w:rPr>
        <w:t>6.</w:t>
      </w:r>
      <w:r>
        <w:rPr>
          <w:rFonts w:asciiTheme="minorHAnsi" w:eastAsiaTheme="minorEastAsia" w:hAnsiTheme="minorHAnsi"/>
          <w:noProof/>
          <w:lang w:eastAsia="en-GB"/>
        </w:rPr>
        <w:tab/>
      </w:r>
      <w:r>
        <w:rPr>
          <w:noProof/>
        </w:rPr>
        <w:t>Violence against women, including domestic violence (arts. 2, 3, 6, 7, 24 and 26)</w:t>
      </w:r>
      <w:r>
        <w:rPr>
          <w:noProof/>
        </w:rPr>
        <w:tab/>
      </w:r>
      <w:r>
        <w:rPr>
          <w:noProof/>
        </w:rPr>
        <w:fldChar w:fldCharType="begin"/>
      </w:r>
      <w:r>
        <w:rPr>
          <w:noProof/>
        </w:rPr>
        <w:instrText xml:space="preserve"> PAGEREF _Toc50984441 \h </w:instrText>
      </w:r>
      <w:r>
        <w:rPr>
          <w:noProof/>
        </w:rPr>
      </w:r>
      <w:r>
        <w:rPr>
          <w:noProof/>
        </w:rPr>
        <w:fldChar w:fldCharType="separate"/>
      </w:r>
      <w:r w:rsidR="001C26C6">
        <w:rPr>
          <w:noProof/>
        </w:rPr>
        <w:t>15</w:t>
      </w:r>
      <w:r>
        <w:rPr>
          <w:noProof/>
        </w:rPr>
        <w:fldChar w:fldCharType="end"/>
      </w:r>
    </w:p>
    <w:p w14:paraId="2693E450" w14:textId="35A878DC" w:rsidR="003B4661" w:rsidRDefault="003B4661">
      <w:pPr>
        <w:pStyle w:val="TOC2"/>
        <w:tabs>
          <w:tab w:val="left" w:pos="660"/>
          <w:tab w:val="right" w:leader="dot" w:pos="9350"/>
        </w:tabs>
        <w:rPr>
          <w:rFonts w:asciiTheme="minorHAnsi" w:eastAsiaTheme="minorEastAsia" w:hAnsiTheme="minorHAnsi"/>
          <w:noProof/>
          <w:lang w:eastAsia="en-GB"/>
        </w:rPr>
      </w:pPr>
      <w:r w:rsidRPr="00B25723">
        <w:rPr>
          <w:rFonts w:eastAsia="Calibri"/>
          <w:noProof/>
        </w:rPr>
        <w:t>A.</w:t>
      </w:r>
      <w:r>
        <w:rPr>
          <w:rFonts w:asciiTheme="minorHAnsi" w:eastAsiaTheme="minorEastAsia" w:hAnsiTheme="minorHAnsi"/>
          <w:noProof/>
          <w:lang w:eastAsia="en-GB"/>
        </w:rPr>
        <w:tab/>
      </w:r>
      <w:r w:rsidRPr="00B25723">
        <w:rPr>
          <w:rFonts w:eastAsia="Calibri"/>
          <w:noProof/>
        </w:rPr>
        <w:t>Female genital mutilation</w:t>
      </w:r>
      <w:r>
        <w:rPr>
          <w:noProof/>
        </w:rPr>
        <w:tab/>
      </w:r>
      <w:r>
        <w:rPr>
          <w:noProof/>
        </w:rPr>
        <w:fldChar w:fldCharType="begin"/>
      </w:r>
      <w:r>
        <w:rPr>
          <w:noProof/>
        </w:rPr>
        <w:instrText xml:space="preserve"> PAGEREF _Toc50984442 \h </w:instrText>
      </w:r>
      <w:r>
        <w:rPr>
          <w:noProof/>
        </w:rPr>
      </w:r>
      <w:r>
        <w:rPr>
          <w:noProof/>
        </w:rPr>
        <w:fldChar w:fldCharType="separate"/>
      </w:r>
      <w:r w:rsidR="001C26C6">
        <w:rPr>
          <w:noProof/>
        </w:rPr>
        <w:t>15</w:t>
      </w:r>
      <w:r>
        <w:rPr>
          <w:noProof/>
        </w:rPr>
        <w:fldChar w:fldCharType="end"/>
      </w:r>
    </w:p>
    <w:p w14:paraId="12AA9912" w14:textId="4E2F77FD" w:rsidR="003B4661" w:rsidRDefault="003B4661">
      <w:pPr>
        <w:pStyle w:val="TOC2"/>
        <w:tabs>
          <w:tab w:val="left" w:pos="660"/>
          <w:tab w:val="right" w:leader="dot" w:pos="9350"/>
        </w:tabs>
        <w:rPr>
          <w:rFonts w:asciiTheme="minorHAnsi" w:eastAsiaTheme="minorEastAsia" w:hAnsiTheme="minorHAnsi"/>
          <w:noProof/>
          <w:lang w:eastAsia="en-GB"/>
        </w:rPr>
      </w:pPr>
      <w:r w:rsidRPr="00B25723">
        <w:rPr>
          <w:rFonts w:eastAsia="Calibri"/>
          <w:noProof/>
        </w:rPr>
        <w:t>B.</w:t>
      </w:r>
      <w:r>
        <w:rPr>
          <w:rFonts w:asciiTheme="minorHAnsi" w:eastAsiaTheme="minorEastAsia" w:hAnsiTheme="minorHAnsi"/>
          <w:noProof/>
          <w:lang w:eastAsia="en-GB"/>
        </w:rPr>
        <w:tab/>
      </w:r>
      <w:r w:rsidRPr="00B25723">
        <w:rPr>
          <w:rFonts w:eastAsia="Calibri"/>
          <w:noProof/>
        </w:rPr>
        <w:t>Domestic violence</w:t>
      </w:r>
      <w:r>
        <w:rPr>
          <w:noProof/>
        </w:rPr>
        <w:tab/>
      </w:r>
      <w:r>
        <w:rPr>
          <w:noProof/>
        </w:rPr>
        <w:fldChar w:fldCharType="begin"/>
      </w:r>
      <w:r>
        <w:rPr>
          <w:noProof/>
        </w:rPr>
        <w:instrText xml:space="preserve"> PAGEREF _Toc50984443 \h </w:instrText>
      </w:r>
      <w:r>
        <w:rPr>
          <w:noProof/>
        </w:rPr>
      </w:r>
      <w:r>
        <w:rPr>
          <w:noProof/>
        </w:rPr>
        <w:fldChar w:fldCharType="separate"/>
      </w:r>
      <w:r w:rsidR="001C26C6">
        <w:rPr>
          <w:noProof/>
        </w:rPr>
        <w:t>16</w:t>
      </w:r>
      <w:r>
        <w:rPr>
          <w:noProof/>
        </w:rPr>
        <w:fldChar w:fldCharType="end"/>
      </w:r>
    </w:p>
    <w:p w14:paraId="35BF105F" w14:textId="402F94F1" w:rsidR="003B4661" w:rsidRDefault="003B4661" w:rsidP="003B4661">
      <w:pPr>
        <w:pStyle w:val="TOC1"/>
        <w:rPr>
          <w:rFonts w:asciiTheme="minorHAnsi" w:eastAsiaTheme="minorEastAsia" w:hAnsiTheme="minorHAnsi"/>
          <w:noProof/>
          <w:lang w:eastAsia="en-GB"/>
        </w:rPr>
      </w:pPr>
      <w:r w:rsidRPr="00B25723">
        <w:rPr>
          <w:noProof/>
        </w:rPr>
        <w:t>7.</w:t>
      </w:r>
      <w:r>
        <w:rPr>
          <w:rFonts w:asciiTheme="minorHAnsi" w:eastAsiaTheme="minorEastAsia" w:hAnsiTheme="minorHAnsi"/>
          <w:noProof/>
          <w:lang w:eastAsia="en-GB"/>
        </w:rPr>
        <w:tab/>
      </w:r>
      <w:r>
        <w:rPr>
          <w:noProof/>
        </w:rPr>
        <w:t>Voluntary termination of pregnancy and sexual and reproductive rights (arts. 6 and 17)</w:t>
      </w:r>
      <w:r>
        <w:rPr>
          <w:noProof/>
        </w:rPr>
        <w:tab/>
      </w:r>
      <w:r>
        <w:rPr>
          <w:noProof/>
        </w:rPr>
        <w:fldChar w:fldCharType="begin"/>
      </w:r>
      <w:r>
        <w:rPr>
          <w:noProof/>
        </w:rPr>
        <w:instrText xml:space="preserve"> PAGEREF _Toc50984444 \h </w:instrText>
      </w:r>
      <w:r>
        <w:rPr>
          <w:noProof/>
        </w:rPr>
      </w:r>
      <w:r>
        <w:rPr>
          <w:noProof/>
        </w:rPr>
        <w:fldChar w:fldCharType="separate"/>
      </w:r>
      <w:r w:rsidR="001C26C6">
        <w:rPr>
          <w:noProof/>
        </w:rPr>
        <w:t>17</w:t>
      </w:r>
      <w:r>
        <w:rPr>
          <w:noProof/>
        </w:rPr>
        <w:fldChar w:fldCharType="end"/>
      </w:r>
    </w:p>
    <w:p w14:paraId="7DE3D543" w14:textId="344844D1" w:rsidR="003B4661" w:rsidRDefault="003B4661" w:rsidP="003B4661">
      <w:pPr>
        <w:pStyle w:val="TOC1"/>
        <w:rPr>
          <w:rFonts w:asciiTheme="minorHAnsi" w:eastAsiaTheme="minorEastAsia" w:hAnsiTheme="minorHAnsi"/>
          <w:noProof/>
          <w:lang w:eastAsia="en-GB"/>
        </w:rPr>
      </w:pPr>
      <w:r w:rsidRPr="00B25723">
        <w:rPr>
          <w:noProof/>
        </w:rPr>
        <w:t>8.</w:t>
      </w:r>
      <w:r>
        <w:rPr>
          <w:rFonts w:asciiTheme="minorHAnsi" w:eastAsiaTheme="minorEastAsia" w:hAnsiTheme="minorHAnsi"/>
          <w:noProof/>
          <w:lang w:eastAsia="en-GB"/>
        </w:rPr>
        <w:tab/>
      </w:r>
      <w:r>
        <w:rPr>
          <w:noProof/>
        </w:rPr>
        <w:t>Right to life (art. 6)</w:t>
      </w:r>
      <w:r>
        <w:rPr>
          <w:noProof/>
        </w:rPr>
        <w:tab/>
      </w:r>
      <w:r>
        <w:rPr>
          <w:noProof/>
        </w:rPr>
        <w:fldChar w:fldCharType="begin"/>
      </w:r>
      <w:r>
        <w:rPr>
          <w:noProof/>
        </w:rPr>
        <w:instrText xml:space="preserve"> PAGEREF _Toc50984445 \h </w:instrText>
      </w:r>
      <w:r>
        <w:rPr>
          <w:noProof/>
        </w:rPr>
      </w:r>
      <w:r>
        <w:rPr>
          <w:noProof/>
        </w:rPr>
        <w:fldChar w:fldCharType="separate"/>
      </w:r>
      <w:r w:rsidR="001C26C6">
        <w:rPr>
          <w:noProof/>
        </w:rPr>
        <w:t>19</w:t>
      </w:r>
      <w:r>
        <w:rPr>
          <w:noProof/>
        </w:rPr>
        <w:fldChar w:fldCharType="end"/>
      </w:r>
    </w:p>
    <w:p w14:paraId="287979DB" w14:textId="2AF97A58" w:rsidR="003B4661" w:rsidRDefault="003B4661">
      <w:pPr>
        <w:pStyle w:val="TOC2"/>
        <w:tabs>
          <w:tab w:val="left" w:pos="660"/>
          <w:tab w:val="right" w:leader="dot" w:pos="9350"/>
        </w:tabs>
        <w:rPr>
          <w:rFonts w:asciiTheme="minorHAnsi" w:eastAsiaTheme="minorEastAsia" w:hAnsiTheme="minorHAnsi"/>
          <w:noProof/>
          <w:lang w:eastAsia="en-GB"/>
        </w:rPr>
      </w:pPr>
      <w:r w:rsidRPr="00B25723">
        <w:rPr>
          <w:rFonts w:eastAsia="Calibri"/>
          <w:noProof/>
        </w:rPr>
        <w:t>A.</w:t>
      </w:r>
      <w:r>
        <w:rPr>
          <w:rFonts w:asciiTheme="minorHAnsi" w:eastAsiaTheme="minorEastAsia" w:hAnsiTheme="minorHAnsi"/>
          <w:noProof/>
          <w:lang w:eastAsia="en-GB"/>
        </w:rPr>
        <w:tab/>
      </w:r>
      <w:r w:rsidRPr="00B25723">
        <w:rPr>
          <w:rFonts w:eastAsia="Calibri"/>
          <w:noProof/>
        </w:rPr>
        <w:t>Death penalty</w:t>
      </w:r>
      <w:r>
        <w:rPr>
          <w:noProof/>
        </w:rPr>
        <w:tab/>
      </w:r>
      <w:r>
        <w:rPr>
          <w:noProof/>
        </w:rPr>
        <w:fldChar w:fldCharType="begin"/>
      </w:r>
      <w:r>
        <w:rPr>
          <w:noProof/>
        </w:rPr>
        <w:instrText xml:space="preserve"> PAGEREF _Toc50984446 \h </w:instrText>
      </w:r>
      <w:r>
        <w:rPr>
          <w:noProof/>
        </w:rPr>
      </w:r>
      <w:r>
        <w:rPr>
          <w:noProof/>
        </w:rPr>
        <w:fldChar w:fldCharType="separate"/>
      </w:r>
      <w:r w:rsidR="001C26C6">
        <w:rPr>
          <w:noProof/>
        </w:rPr>
        <w:t>19</w:t>
      </w:r>
      <w:r>
        <w:rPr>
          <w:noProof/>
        </w:rPr>
        <w:fldChar w:fldCharType="end"/>
      </w:r>
    </w:p>
    <w:p w14:paraId="57448C9E" w14:textId="403B104A" w:rsidR="003B4661" w:rsidRDefault="003B4661">
      <w:pPr>
        <w:pStyle w:val="TOC2"/>
        <w:tabs>
          <w:tab w:val="left" w:pos="660"/>
          <w:tab w:val="right" w:leader="dot" w:pos="9350"/>
        </w:tabs>
        <w:rPr>
          <w:rFonts w:asciiTheme="minorHAnsi" w:eastAsiaTheme="minorEastAsia" w:hAnsiTheme="minorHAnsi"/>
          <w:noProof/>
          <w:lang w:eastAsia="en-GB"/>
        </w:rPr>
      </w:pPr>
      <w:r w:rsidRPr="00B25723">
        <w:rPr>
          <w:rFonts w:eastAsia="Calibri"/>
          <w:noProof/>
        </w:rPr>
        <w:t>B.</w:t>
      </w:r>
      <w:r>
        <w:rPr>
          <w:rFonts w:asciiTheme="minorHAnsi" w:eastAsiaTheme="minorEastAsia" w:hAnsiTheme="minorHAnsi"/>
          <w:noProof/>
          <w:lang w:eastAsia="en-GB"/>
        </w:rPr>
        <w:tab/>
      </w:r>
      <w:r w:rsidRPr="00B25723">
        <w:rPr>
          <w:rFonts w:eastAsia="Calibri"/>
          <w:noProof/>
        </w:rPr>
        <w:t>Enforced disappearances</w:t>
      </w:r>
      <w:r>
        <w:rPr>
          <w:noProof/>
        </w:rPr>
        <w:tab/>
      </w:r>
      <w:r>
        <w:rPr>
          <w:noProof/>
        </w:rPr>
        <w:fldChar w:fldCharType="begin"/>
      </w:r>
      <w:r>
        <w:rPr>
          <w:noProof/>
        </w:rPr>
        <w:instrText xml:space="preserve"> PAGEREF _Toc50984447 \h </w:instrText>
      </w:r>
      <w:r>
        <w:rPr>
          <w:noProof/>
        </w:rPr>
      </w:r>
      <w:r>
        <w:rPr>
          <w:noProof/>
        </w:rPr>
        <w:fldChar w:fldCharType="separate"/>
      </w:r>
      <w:r w:rsidR="001C26C6">
        <w:rPr>
          <w:noProof/>
        </w:rPr>
        <w:t>20</w:t>
      </w:r>
      <w:r>
        <w:rPr>
          <w:noProof/>
        </w:rPr>
        <w:fldChar w:fldCharType="end"/>
      </w:r>
    </w:p>
    <w:p w14:paraId="7BD35CDD" w14:textId="7AF1FC22" w:rsidR="003B4661" w:rsidRDefault="003B4661">
      <w:pPr>
        <w:pStyle w:val="TOC2"/>
        <w:tabs>
          <w:tab w:val="left" w:pos="660"/>
          <w:tab w:val="right" w:leader="dot" w:pos="9350"/>
        </w:tabs>
        <w:rPr>
          <w:rFonts w:asciiTheme="minorHAnsi" w:eastAsiaTheme="minorEastAsia" w:hAnsiTheme="minorHAnsi"/>
          <w:noProof/>
          <w:lang w:eastAsia="en-GB"/>
        </w:rPr>
      </w:pPr>
      <w:r w:rsidRPr="00B25723">
        <w:rPr>
          <w:rFonts w:eastAsia="Calibri"/>
          <w:noProof/>
        </w:rPr>
        <w:t>C.</w:t>
      </w:r>
      <w:r>
        <w:rPr>
          <w:rFonts w:asciiTheme="minorHAnsi" w:eastAsiaTheme="minorEastAsia" w:hAnsiTheme="minorHAnsi"/>
          <w:noProof/>
          <w:lang w:eastAsia="en-GB"/>
        </w:rPr>
        <w:tab/>
      </w:r>
      <w:r w:rsidRPr="00B25723">
        <w:rPr>
          <w:rFonts w:eastAsia="Calibri"/>
          <w:noProof/>
        </w:rPr>
        <w:t>Extra-judicial killings</w:t>
      </w:r>
      <w:r>
        <w:rPr>
          <w:noProof/>
        </w:rPr>
        <w:tab/>
      </w:r>
      <w:r>
        <w:rPr>
          <w:noProof/>
        </w:rPr>
        <w:fldChar w:fldCharType="begin"/>
      </w:r>
      <w:r>
        <w:rPr>
          <w:noProof/>
        </w:rPr>
        <w:instrText xml:space="preserve"> PAGEREF _Toc50984448 \h </w:instrText>
      </w:r>
      <w:r>
        <w:rPr>
          <w:noProof/>
        </w:rPr>
      </w:r>
      <w:r>
        <w:rPr>
          <w:noProof/>
        </w:rPr>
        <w:fldChar w:fldCharType="separate"/>
      </w:r>
      <w:r w:rsidR="001C26C6">
        <w:rPr>
          <w:noProof/>
        </w:rPr>
        <w:t>23</w:t>
      </w:r>
      <w:r>
        <w:rPr>
          <w:noProof/>
        </w:rPr>
        <w:fldChar w:fldCharType="end"/>
      </w:r>
    </w:p>
    <w:p w14:paraId="769E97D2" w14:textId="51D43E67" w:rsidR="003B4661" w:rsidRDefault="003B4661" w:rsidP="003B4661">
      <w:pPr>
        <w:pStyle w:val="TOC1"/>
        <w:rPr>
          <w:rFonts w:asciiTheme="minorHAnsi" w:eastAsiaTheme="minorEastAsia" w:hAnsiTheme="minorHAnsi"/>
          <w:noProof/>
          <w:lang w:eastAsia="en-GB"/>
        </w:rPr>
      </w:pPr>
      <w:r w:rsidRPr="00B25723">
        <w:rPr>
          <w:noProof/>
        </w:rPr>
        <w:t>9.</w:t>
      </w:r>
      <w:r>
        <w:rPr>
          <w:rFonts w:asciiTheme="minorHAnsi" w:eastAsiaTheme="minorEastAsia" w:hAnsiTheme="minorHAnsi"/>
          <w:noProof/>
          <w:lang w:eastAsia="en-GB"/>
        </w:rPr>
        <w:tab/>
      </w:r>
      <w:r>
        <w:rPr>
          <w:noProof/>
        </w:rPr>
        <w:t>Prohibition of torture and other cruel, inhuman or degrading treatment or punishment and treatment of persons deprived of their liberty (arts. 7 and 10)</w:t>
      </w:r>
      <w:r>
        <w:rPr>
          <w:noProof/>
        </w:rPr>
        <w:tab/>
      </w:r>
      <w:r>
        <w:rPr>
          <w:noProof/>
        </w:rPr>
        <w:fldChar w:fldCharType="begin"/>
      </w:r>
      <w:r>
        <w:rPr>
          <w:noProof/>
        </w:rPr>
        <w:instrText xml:space="preserve"> PAGEREF _Toc50984449 \h </w:instrText>
      </w:r>
      <w:r>
        <w:rPr>
          <w:noProof/>
        </w:rPr>
      </w:r>
      <w:r>
        <w:rPr>
          <w:noProof/>
        </w:rPr>
        <w:fldChar w:fldCharType="separate"/>
      </w:r>
      <w:r w:rsidR="001C26C6">
        <w:rPr>
          <w:noProof/>
        </w:rPr>
        <w:t>24</w:t>
      </w:r>
      <w:r>
        <w:rPr>
          <w:noProof/>
        </w:rPr>
        <w:fldChar w:fldCharType="end"/>
      </w:r>
    </w:p>
    <w:p w14:paraId="3D335823" w14:textId="5CA0717F" w:rsidR="003B4661" w:rsidRDefault="003B4661">
      <w:pPr>
        <w:pStyle w:val="TOC2"/>
        <w:tabs>
          <w:tab w:val="left" w:pos="660"/>
          <w:tab w:val="right" w:leader="dot" w:pos="9350"/>
        </w:tabs>
        <w:rPr>
          <w:rFonts w:asciiTheme="minorHAnsi" w:eastAsiaTheme="minorEastAsia" w:hAnsiTheme="minorHAnsi"/>
          <w:noProof/>
          <w:lang w:eastAsia="en-GB"/>
        </w:rPr>
      </w:pPr>
      <w:r w:rsidRPr="00B25723">
        <w:rPr>
          <w:noProof/>
        </w:rPr>
        <w:t>A.</w:t>
      </w:r>
      <w:r>
        <w:rPr>
          <w:rFonts w:asciiTheme="minorHAnsi" w:eastAsiaTheme="minorEastAsia" w:hAnsiTheme="minorHAnsi"/>
          <w:noProof/>
          <w:lang w:eastAsia="en-GB"/>
        </w:rPr>
        <w:tab/>
      </w:r>
      <w:r>
        <w:rPr>
          <w:noProof/>
        </w:rPr>
        <w:t>Prevention of torture</w:t>
      </w:r>
      <w:r>
        <w:rPr>
          <w:noProof/>
        </w:rPr>
        <w:tab/>
      </w:r>
      <w:r>
        <w:rPr>
          <w:noProof/>
        </w:rPr>
        <w:fldChar w:fldCharType="begin"/>
      </w:r>
      <w:r>
        <w:rPr>
          <w:noProof/>
        </w:rPr>
        <w:instrText xml:space="preserve"> PAGEREF _Toc50984450 \h </w:instrText>
      </w:r>
      <w:r>
        <w:rPr>
          <w:noProof/>
        </w:rPr>
      </w:r>
      <w:r>
        <w:rPr>
          <w:noProof/>
        </w:rPr>
        <w:fldChar w:fldCharType="separate"/>
      </w:r>
      <w:r w:rsidR="001C26C6">
        <w:rPr>
          <w:noProof/>
        </w:rPr>
        <w:t>24</w:t>
      </w:r>
      <w:r>
        <w:rPr>
          <w:noProof/>
        </w:rPr>
        <w:fldChar w:fldCharType="end"/>
      </w:r>
    </w:p>
    <w:p w14:paraId="75C91280" w14:textId="31F0EC30" w:rsidR="003B4661" w:rsidRDefault="003B4661">
      <w:pPr>
        <w:pStyle w:val="TOC2"/>
        <w:tabs>
          <w:tab w:val="left" w:pos="660"/>
          <w:tab w:val="right" w:leader="dot" w:pos="9350"/>
        </w:tabs>
        <w:rPr>
          <w:rFonts w:asciiTheme="minorHAnsi" w:eastAsiaTheme="minorEastAsia" w:hAnsiTheme="minorHAnsi"/>
          <w:noProof/>
          <w:lang w:eastAsia="en-GB"/>
        </w:rPr>
      </w:pPr>
      <w:r w:rsidRPr="00B25723">
        <w:rPr>
          <w:rFonts w:eastAsia="Calibri"/>
          <w:noProof/>
        </w:rPr>
        <w:t>B.</w:t>
      </w:r>
      <w:r>
        <w:rPr>
          <w:rFonts w:asciiTheme="minorHAnsi" w:eastAsiaTheme="minorEastAsia" w:hAnsiTheme="minorHAnsi"/>
          <w:noProof/>
          <w:lang w:eastAsia="en-GB"/>
        </w:rPr>
        <w:tab/>
      </w:r>
      <w:r w:rsidRPr="00B25723">
        <w:rPr>
          <w:rFonts w:eastAsia="Calibri"/>
          <w:noProof/>
        </w:rPr>
        <w:t>Measures to reduce over-crowding in prisons</w:t>
      </w:r>
      <w:r>
        <w:rPr>
          <w:noProof/>
        </w:rPr>
        <w:tab/>
      </w:r>
      <w:r>
        <w:rPr>
          <w:noProof/>
        </w:rPr>
        <w:fldChar w:fldCharType="begin"/>
      </w:r>
      <w:r>
        <w:rPr>
          <w:noProof/>
        </w:rPr>
        <w:instrText xml:space="preserve"> PAGEREF _Toc50984451 \h </w:instrText>
      </w:r>
      <w:r>
        <w:rPr>
          <w:noProof/>
        </w:rPr>
      </w:r>
      <w:r>
        <w:rPr>
          <w:noProof/>
        </w:rPr>
        <w:fldChar w:fldCharType="separate"/>
      </w:r>
      <w:r w:rsidR="001C26C6">
        <w:rPr>
          <w:noProof/>
        </w:rPr>
        <w:t>25</w:t>
      </w:r>
      <w:r>
        <w:rPr>
          <w:noProof/>
        </w:rPr>
        <w:fldChar w:fldCharType="end"/>
      </w:r>
    </w:p>
    <w:p w14:paraId="3DD7A5E5" w14:textId="0ECF155D" w:rsidR="003B4661" w:rsidRDefault="003B4661" w:rsidP="003B4661">
      <w:pPr>
        <w:pStyle w:val="TOC1"/>
        <w:rPr>
          <w:rFonts w:asciiTheme="minorHAnsi" w:eastAsiaTheme="minorEastAsia" w:hAnsiTheme="minorHAnsi"/>
          <w:noProof/>
          <w:lang w:eastAsia="en-GB"/>
        </w:rPr>
      </w:pPr>
      <w:r w:rsidRPr="00B25723">
        <w:rPr>
          <w:noProof/>
        </w:rPr>
        <w:t>10.</w:t>
      </w:r>
      <w:r>
        <w:rPr>
          <w:rFonts w:asciiTheme="minorHAnsi" w:eastAsiaTheme="minorEastAsia" w:hAnsiTheme="minorHAnsi"/>
          <w:noProof/>
          <w:lang w:eastAsia="en-GB"/>
        </w:rPr>
        <w:tab/>
      </w:r>
      <w:r>
        <w:rPr>
          <w:noProof/>
        </w:rPr>
        <w:t>Liberty and security of person (art. 9)</w:t>
      </w:r>
      <w:r>
        <w:rPr>
          <w:noProof/>
        </w:rPr>
        <w:tab/>
      </w:r>
      <w:r>
        <w:rPr>
          <w:noProof/>
        </w:rPr>
        <w:fldChar w:fldCharType="begin"/>
      </w:r>
      <w:r>
        <w:rPr>
          <w:noProof/>
        </w:rPr>
        <w:instrText xml:space="preserve"> PAGEREF _Toc50984452 \h </w:instrText>
      </w:r>
      <w:r>
        <w:rPr>
          <w:noProof/>
        </w:rPr>
      </w:r>
      <w:r>
        <w:rPr>
          <w:noProof/>
        </w:rPr>
        <w:fldChar w:fldCharType="separate"/>
      </w:r>
      <w:r w:rsidR="001C26C6">
        <w:rPr>
          <w:noProof/>
        </w:rPr>
        <w:t>26</w:t>
      </w:r>
      <w:r>
        <w:rPr>
          <w:noProof/>
        </w:rPr>
        <w:fldChar w:fldCharType="end"/>
      </w:r>
    </w:p>
    <w:p w14:paraId="15042387" w14:textId="159E8C10" w:rsidR="003B4661" w:rsidRDefault="003B4661" w:rsidP="003B4661">
      <w:pPr>
        <w:pStyle w:val="TOC1"/>
        <w:rPr>
          <w:rFonts w:asciiTheme="minorHAnsi" w:eastAsiaTheme="minorEastAsia" w:hAnsiTheme="minorHAnsi"/>
          <w:noProof/>
          <w:lang w:eastAsia="en-GB"/>
        </w:rPr>
      </w:pPr>
      <w:r w:rsidRPr="00B25723">
        <w:rPr>
          <w:noProof/>
        </w:rPr>
        <w:t>11.</w:t>
      </w:r>
      <w:r>
        <w:rPr>
          <w:rFonts w:asciiTheme="minorHAnsi" w:eastAsiaTheme="minorEastAsia" w:hAnsiTheme="minorHAnsi"/>
          <w:noProof/>
          <w:lang w:eastAsia="en-GB"/>
        </w:rPr>
        <w:tab/>
      </w:r>
      <w:r>
        <w:rPr>
          <w:noProof/>
        </w:rPr>
        <w:t>Elimination of slavery, servitude and trafficking in persons (arts. 2, 6, 7, 8, 24 and 26)</w:t>
      </w:r>
      <w:r>
        <w:rPr>
          <w:noProof/>
        </w:rPr>
        <w:tab/>
      </w:r>
      <w:r>
        <w:rPr>
          <w:noProof/>
        </w:rPr>
        <w:fldChar w:fldCharType="begin"/>
      </w:r>
      <w:r>
        <w:rPr>
          <w:noProof/>
        </w:rPr>
        <w:instrText xml:space="preserve"> PAGEREF _Toc50984453 \h </w:instrText>
      </w:r>
      <w:r>
        <w:rPr>
          <w:noProof/>
        </w:rPr>
      </w:r>
      <w:r>
        <w:rPr>
          <w:noProof/>
        </w:rPr>
        <w:fldChar w:fldCharType="separate"/>
      </w:r>
      <w:r w:rsidR="001C26C6">
        <w:rPr>
          <w:noProof/>
        </w:rPr>
        <w:t>27</w:t>
      </w:r>
      <w:r>
        <w:rPr>
          <w:noProof/>
        </w:rPr>
        <w:fldChar w:fldCharType="end"/>
      </w:r>
    </w:p>
    <w:p w14:paraId="5AD3A3A5" w14:textId="27CBAD70" w:rsidR="003B4661" w:rsidRDefault="003B4661" w:rsidP="003B4661">
      <w:pPr>
        <w:pStyle w:val="TOC1"/>
        <w:rPr>
          <w:rFonts w:asciiTheme="minorHAnsi" w:eastAsiaTheme="minorEastAsia" w:hAnsiTheme="minorHAnsi"/>
          <w:noProof/>
          <w:lang w:eastAsia="en-GB"/>
        </w:rPr>
      </w:pPr>
      <w:r w:rsidRPr="00B25723">
        <w:rPr>
          <w:noProof/>
        </w:rPr>
        <w:t>12.</w:t>
      </w:r>
      <w:r>
        <w:rPr>
          <w:rFonts w:asciiTheme="minorHAnsi" w:eastAsiaTheme="minorEastAsia" w:hAnsiTheme="minorHAnsi"/>
          <w:noProof/>
          <w:lang w:eastAsia="en-GB"/>
        </w:rPr>
        <w:tab/>
      </w:r>
      <w:r>
        <w:rPr>
          <w:noProof/>
        </w:rPr>
        <w:t>Treatment of aliens, including refugees, asylum seekers and migrants, and population displacement (arts. 2, 6, 7, 9, 13 and 26)</w:t>
      </w:r>
      <w:r>
        <w:rPr>
          <w:noProof/>
        </w:rPr>
        <w:tab/>
      </w:r>
      <w:r>
        <w:rPr>
          <w:noProof/>
        </w:rPr>
        <w:fldChar w:fldCharType="begin"/>
      </w:r>
      <w:r>
        <w:rPr>
          <w:noProof/>
        </w:rPr>
        <w:instrText xml:space="preserve"> PAGEREF _Toc50984454 \h </w:instrText>
      </w:r>
      <w:r>
        <w:rPr>
          <w:noProof/>
        </w:rPr>
      </w:r>
      <w:r>
        <w:rPr>
          <w:noProof/>
        </w:rPr>
        <w:fldChar w:fldCharType="separate"/>
      </w:r>
      <w:r w:rsidR="001C26C6">
        <w:rPr>
          <w:noProof/>
        </w:rPr>
        <w:t>29</w:t>
      </w:r>
      <w:r>
        <w:rPr>
          <w:noProof/>
        </w:rPr>
        <w:fldChar w:fldCharType="end"/>
      </w:r>
    </w:p>
    <w:p w14:paraId="0439D43A" w14:textId="070B6FF7" w:rsidR="003B4661" w:rsidRDefault="003B4661">
      <w:pPr>
        <w:pStyle w:val="TOC2"/>
        <w:tabs>
          <w:tab w:val="left" w:pos="660"/>
          <w:tab w:val="right" w:leader="dot" w:pos="9350"/>
        </w:tabs>
        <w:rPr>
          <w:rFonts w:asciiTheme="minorHAnsi" w:eastAsiaTheme="minorEastAsia" w:hAnsiTheme="minorHAnsi"/>
          <w:noProof/>
          <w:lang w:eastAsia="en-GB"/>
        </w:rPr>
      </w:pPr>
      <w:r w:rsidRPr="00B25723">
        <w:rPr>
          <w:rFonts w:eastAsia="Calibri"/>
          <w:noProof/>
        </w:rPr>
        <w:lastRenderedPageBreak/>
        <w:t>A.</w:t>
      </w:r>
      <w:r>
        <w:rPr>
          <w:rFonts w:asciiTheme="minorHAnsi" w:eastAsiaTheme="minorEastAsia" w:hAnsiTheme="minorHAnsi"/>
          <w:noProof/>
          <w:lang w:eastAsia="en-GB"/>
        </w:rPr>
        <w:tab/>
      </w:r>
      <w:r w:rsidRPr="00B25723">
        <w:rPr>
          <w:rFonts w:eastAsia="Calibri"/>
          <w:noProof/>
        </w:rPr>
        <w:t>Protection of refugees, asylum seekers and migrants</w:t>
      </w:r>
      <w:r>
        <w:rPr>
          <w:noProof/>
        </w:rPr>
        <w:tab/>
      </w:r>
      <w:r>
        <w:rPr>
          <w:noProof/>
        </w:rPr>
        <w:fldChar w:fldCharType="begin"/>
      </w:r>
      <w:r>
        <w:rPr>
          <w:noProof/>
        </w:rPr>
        <w:instrText xml:space="preserve"> PAGEREF _Toc50984455 \h </w:instrText>
      </w:r>
      <w:r>
        <w:rPr>
          <w:noProof/>
        </w:rPr>
      </w:r>
      <w:r>
        <w:rPr>
          <w:noProof/>
        </w:rPr>
        <w:fldChar w:fldCharType="separate"/>
      </w:r>
      <w:r w:rsidR="001C26C6">
        <w:rPr>
          <w:noProof/>
        </w:rPr>
        <w:t>29</w:t>
      </w:r>
      <w:r>
        <w:rPr>
          <w:noProof/>
        </w:rPr>
        <w:fldChar w:fldCharType="end"/>
      </w:r>
    </w:p>
    <w:p w14:paraId="398F5C09" w14:textId="29748B52" w:rsidR="003B4661" w:rsidRDefault="003B4661">
      <w:pPr>
        <w:pStyle w:val="TOC2"/>
        <w:tabs>
          <w:tab w:val="left" w:pos="660"/>
          <w:tab w:val="right" w:leader="dot" w:pos="9350"/>
        </w:tabs>
        <w:rPr>
          <w:rFonts w:asciiTheme="minorHAnsi" w:eastAsiaTheme="minorEastAsia" w:hAnsiTheme="minorHAnsi"/>
          <w:noProof/>
          <w:lang w:eastAsia="en-GB"/>
        </w:rPr>
      </w:pPr>
      <w:r w:rsidRPr="00B25723">
        <w:rPr>
          <w:rFonts w:eastAsia="Calibri"/>
          <w:noProof/>
        </w:rPr>
        <w:t>B.</w:t>
      </w:r>
      <w:r>
        <w:rPr>
          <w:rFonts w:asciiTheme="minorHAnsi" w:eastAsiaTheme="minorEastAsia" w:hAnsiTheme="minorHAnsi"/>
          <w:noProof/>
          <w:lang w:eastAsia="en-GB"/>
        </w:rPr>
        <w:tab/>
      </w:r>
      <w:r w:rsidRPr="00B25723">
        <w:rPr>
          <w:rFonts w:eastAsia="Calibri"/>
          <w:noProof/>
        </w:rPr>
        <w:t>Protection of internally displaced persons</w:t>
      </w:r>
      <w:r>
        <w:rPr>
          <w:noProof/>
        </w:rPr>
        <w:tab/>
      </w:r>
      <w:r>
        <w:rPr>
          <w:noProof/>
        </w:rPr>
        <w:fldChar w:fldCharType="begin"/>
      </w:r>
      <w:r>
        <w:rPr>
          <w:noProof/>
        </w:rPr>
        <w:instrText xml:space="preserve"> PAGEREF _Toc50984456 \h </w:instrText>
      </w:r>
      <w:r>
        <w:rPr>
          <w:noProof/>
        </w:rPr>
      </w:r>
      <w:r>
        <w:rPr>
          <w:noProof/>
        </w:rPr>
        <w:fldChar w:fldCharType="separate"/>
      </w:r>
      <w:r w:rsidR="001C26C6">
        <w:rPr>
          <w:noProof/>
        </w:rPr>
        <w:t>30</w:t>
      </w:r>
      <w:r>
        <w:rPr>
          <w:noProof/>
        </w:rPr>
        <w:fldChar w:fldCharType="end"/>
      </w:r>
    </w:p>
    <w:p w14:paraId="4BCA8A21" w14:textId="78FADEC8" w:rsidR="003B4661" w:rsidRDefault="003B4661" w:rsidP="003B4661">
      <w:pPr>
        <w:pStyle w:val="TOC1"/>
        <w:rPr>
          <w:rFonts w:asciiTheme="minorHAnsi" w:eastAsiaTheme="minorEastAsia" w:hAnsiTheme="minorHAnsi"/>
          <w:noProof/>
          <w:lang w:eastAsia="en-GB"/>
        </w:rPr>
      </w:pPr>
      <w:r w:rsidRPr="00B25723">
        <w:rPr>
          <w:noProof/>
        </w:rPr>
        <w:t>13.</w:t>
      </w:r>
      <w:r>
        <w:rPr>
          <w:rFonts w:asciiTheme="minorHAnsi" w:eastAsiaTheme="minorEastAsia" w:hAnsiTheme="minorHAnsi"/>
          <w:noProof/>
          <w:lang w:eastAsia="en-GB"/>
        </w:rPr>
        <w:tab/>
      </w:r>
      <w:r>
        <w:rPr>
          <w:noProof/>
        </w:rPr>
        <w:t>Forced eviction (arts. 7, 12, 17, 26 and 27)</w:t>
      </w:r>
      <w:r>
        <w:rPr>
          <w:noProof/>
        </w:rPr>
        <w:tab/>
      </w:r>
      <w:r>
        <w:rPr>
          <w:noProof/>
        </w:rPr>
        <w:fldChar w:fldCharType="begin"/>
      </w:r>
      <w:r>
        <w:rPr>
          <w:noProof/>
        </w:rPr>
        <w:instrText xml:space="preserve"> PAGEREF _Toc50984457 \h </w:instrText>
      </w:r>
      <w:r>
        <w:rPr>
          <w:noProof/>
        </w:rPr>
      </w:r>
      <w:r>
        <w:rPr>
          <w:noProof/>
        </w:rPr>
        <w:fldChar w:fldCharType="separate"/>
      </w:r>
      <w:r w:rsidR="001C26C6">
        <w:rPr>
          <w:noProof/>
        </w:rPr>
        <w:t>31</w:t>
      </w:r>
      <w:r>
        <w:rPr>
          <w:noProof/>
        </w:rPr>
        <w:fldChar w:fldCharType="end"/>
      </w:r>
    </w:p>
    <w:p w14:paraId="3421EB0E" w14:textId="2C5ED35D" w:rsidR="003B4661" w:rsidRDefault="003B4661" w:rsidP="003B4661">
      <w:pPr>
        <w:pStyle w:val="TOC1"/>
        <w:rPr>
          <w:rFonts w:asciiTheme="minorHAnsi" w:eastAsiaTheme="minorEastAsia" w:hAnsiTheme="minorHAnsi"/>
          <w:noProof/>
          <w:lang w:eastAsia="en-GB"/>
        </w:rPr>
      </w:pPr>
      <w:r w:rsidRPr="00B25723">
        <w:rPr>
          <w:noProof/>
        </w:rPr>
        <w:t>14.</w:t>
      </w:r>
      <w:r>
        <w:rPr>
          <w:rFonts w:asciiTheme="minorHAnsi" w:eastAsiaTheme="minorEastAsia" w:hAnsiTheme="minorHAnsi"/>
          <w:noProof/>
          <w:lang w:eastAsia="en-GB"/>
        </w:rPr>
        <w:tab/>
      </w:r>
      <w:r>
        <w:rPr>
          <w:noProof/>
        </w:rPr>
        <w:t>Freedom of expression (arts. 19 and 20)</w:t>
      </w:r>
      <w:r>
        <w:rPr>
          <w:noProof/>
        </w:rPr>
        <w:tab/>
      </w:r>
      <w:r>
        <w:rPr>
          <w:noProof/>
        </w:rPr>
        <w:fldChar w:fldCharType="begin"/>
      </w:r>
      <w:r>
        <w:rPr>
          <w:noProof/>
        </w:rPr>
        <w:instrText xml:space="preserve"> PAGEREF _Toc50984458 \h </w:instrText>
      </w:r>
      <w:r>
        <w:rPr>
          <w:noProof/>
        </w:rPr>
      </w:r>
      <w:r>
        <w:rPr>
          <w:noProof/>
        </w:rPr>
        <w:fldChar w:fldCharType="separate"/>
      </w:r>
      <w:r w:rsidR="001C26C6">
        <w:rPr>
          <w:noProof/>
        </w:rPr>
        <w:t>31</w:t>
      </w:r>
      <w:r>
        <w:rPr>
          <w:noProof/>
        </w:rPr>
        <w:fldChar w:fldCharType="end"/>
      </w:r>
    </w:p>
    <w:p w14:paraId="1443547A" w14:textId="31E527D3" w:rsidR="003B4661" w:rsidRDefault="003B4661" w:rsidP="003B4661">
      <w:pPr>
        <w:pStyle w:val="TOC1"/>
        <w:rPr>
          <w:rFonts w:asciiTheme="minorHAnsi" w:eastAsiaTheme="minorEastAsia" w:hAnsiTheme="minorHAnsi"/>
          <w:noProof/>
          <w:lang w:eastAsia="en-GB"/>
        </w:rPr>
      </w:pPr>
      <w:r w:rsidRPr="00B25723">
        <w:rPr>
          <w:noProof/>
        </w:rPr>
        <w:t>15.</w:t>
      </w:r>
      <w:r>
        <w:rPr>
          <w:rFonts w:asciiTheme="minorHAnsi" w:eastAsiaTheme="minorEastAsia" w:hAnsiTheme="minorHAnsi"/>
          <w:noProof/>
          <w:lang w:eastAsia="en-GB"/>
        </w:rPr>
        <w:tab/>
      </w:r>
      <w:r>
        <w:rPr>
          <w:noProof/>
        </w:rPr>
        <w:t>Freedom of assembly (arts. 19 and 21)</w:t>
      </w:r>
      <w:r>
        <w:rPr>
          <w:noProof/>
        </w:rPr>
        <w:tab/>
      </w:r>
      <w:r>
        <w:rPr>
          <w:noProof/>
        </w:rPr>
        <w:fldChar w:fldCharType="begin"/>
      </w:r>
      <w:r>
        <w:rPr>
          <w:noProof/>
        </w:rPr>
        <w:instrText xml:space="preserve"> PAGEREF _Toc50984459 \h </w:instrText>
      </w:r>
      <w:r>
        <w:rPr>
          <w:noProof/>
        </w:rPr>
      </w:r>
      <w:r>
        <w:rPr>
          <w:noProof/>
        </w:rPr>
        <w:fldChar w:fldCharType="separate"/>
      </w:r>
      <w:r w:rsidR="001C26C6">
        <w:rPr>
          <w:noProof/>
        </w:rPr>
        <w:t>33</w:t>
      </w:r>
      <w:r>
        <w:rPr>
          <w:noProof/>
        </w:rPr>
        <w:fldChar w:fldCharType="end"/>
      </w:r>
    </w:p>
    <w:p w14:paraId="760C7E5F" w14:textId="07AE4BDF" w:rsidR="003B4661" w:rsidRDefault="003B4661" w:rsidP="003B4661">
      <w:pPr>
        <w:pStyle w:val="TOC1"/>
        <w:rPr>
          <w:rFonts w:asciiTheme="minorHAnsi" w:eastAsiaTheme="minorEastAsia" w:hAnsiTheme="minorHAnsi"/>
          <w:noProof/>
          <w:lang w:eastAsia="en-GB"/>
        </w:rPr>
      </w:pPr>
      <w:r w:rsidRPr="00B25723">
        <w:rPr>
          <w:noProof/>
        </w:rPr>
        <w:t>16.</w:t>
      </w:r>
      <w:r>
        <w:rPr>
          <w:rFonts w:asciiTheme="minorHAnsi" w:eastAsiaTheme="minorEastAsia" w:hAnsiTheme="minorHAnsi"/>
          <w:noProof/>
          <w:lang w:eastAsia="en-GB"/>
        </w:rPr>
        <w:tab/>
      </w:r>
      <w:r>
        <w:rPr>
          <w:noProof/>
        </w:rPr>
        <w:t>Rights of the child (arts. 23, 24 and 26)</w:t>
      </w:r>
      <w:r>
        <w:rPr>
          <w:noProof/>
        </w:rPr>
        <w:tab/>
      </w:r>
      <w:r>
        <w:rPr>
          <w:noProof/>
        </w:rPr>
        <w:fldChar w:fldCharType="begin"/>
      </w:r>
      <w:r>
        <w:rPr>
          <w:noProof/>
        </w:rPr>
        <w:instrText xml:space="preserve"> PAGEREF _Toc50984460 \h </w:instrText>
      </w:r>
      <w:r>
        <w:rPr>
          <w:noProof/>
        </w:rPr>
      </w:r>
      <w:r>
        <w:rPr>
          <w:noProof/>
        </w:rPr>
        <w:fldChar w:fldCharType="separate"/>
      </w:r>
      <w:r w:rsidR="001C26C6">
        <w:rPr>
          <w:noProof/>
        </w:rPr>
        <w:t>35</w:t>
      </w:r>
      <w:r>
        <w:rPr>
          <w:noProof/>
        </w:rPr>
        <w:fldChar w:fldCharType="end"/>
      </w:r>
    </w:p>
    <w:p w14:paraId="5858E93D" w14:textId="7E866AD4" w:rsidR="003B4661" w:rsidRDefault="003B4661" w:rsidP="003B4661">
      <w:pPr>
        <w:pStyle w:val="TOC1"/>
        <w:rPr>
          <w:rFonts w:asciiTheme="minorHAnsi" w:eastAsiaTheme="minorEastAsia" w:hAnsiTheme="minorHAnsi"/>
          <w:noProof/>
          <w:lang w:eastAsia="en-GB"/>
        </w:rPr>
      </w:pPr>
      <w:r w:rsidRPr="00B25723">
        <w:rPr>
          <w:noProof/>
        </w:rPr>
        <w:t>17.</w:t>
      </w:r>
      <w:r>
        <w:rPr>
          <w:rFonts w:asciiTheme="minorHAnsi" w:eastAsiaTheme="minorEastAsia" w:hAnsiTheme="minorHAnsi"/>
          <w:noProof/>
          <w:lang w:eastAsia="en-GB"/>
        </w:rPr>
        <w:tab/>
      </w:r>
      <w:r>
        <w:rPr>
          <w:noProof/>
        </w:rPr>
        <w:t>Participation in public affairs (arts. 7, 14, 25 and 26)</w:t>
      </w:r>
      <w:r>
        <w:rPr>
          <w:noProof/>
        </w:rPr>
        <w:tab/>
      </w:r>
      <w:r>
        <w:rPr>
          <w:noProof/>
        </w:rPr>
        <w:fldChar w:fldCharType="begin"/>
      </w:r>
      <w:r>
        <w:rPr>
          <w:noProof/>
        </w:rPr>
        <w:instrText xml:space="preserve"> PAGEREF _Toc50984461 \h </w:instrText>
      </w:r>
      <w:r>
        <w:rPr>
          <w:noProof/>
        </w:rPr>
      </w:r>
      <w:r>
        <w:rPr>
          <w:noProof/>
        </w:rPr>
        <w:fldChar w:fldCharType="separate"/>
      </w:r>
      <w:r w:rsidR="001C26C6">
        <w:rPr>
          <w:noProof/>
        </w:rPr>
        <w:t>35</w:t>
      </w:r>
      <w:r>
        <w:rPr>
          <w:noProof/>
        </w:rPr>
        <w:fldChar w:fldCharType="end"/>
      </w:r>
    </w:p>
    <w:p w14:paraId="65F8A432" w14:textId="4753F8AF" w:rsidR="003B4661" w:rsidRDefault="003B4661" w:rsidP="003B4661">
      <w:pPr>
        <w:pStyle w:val="TOC1"/>
        <w:rPr>
          <w:rFonts w:asciiTheme="minorHAnsi" w:eastAsiaTheme="minorEastAsia" w:hAnsiTheme="minorHAnsi"/>
          <w:noProof/>
          <w:lang w:eastAsia="en-GB"/>
        </w:rPr>
      </w:pPr>
      <w:r w:rsidRPr="00B25723">
        <w:rPr>
          <w:noProof/>
        </w:rPr>
        <w:t>18.</w:t>
      </w:r>
      <w:r>
        <w:rPr>
          <w:rFonts w:asciiTheme="minorHAnsi" w:eastAsiaTheme="minorEastAsia" w:hAnsiTheme="minorHAnsi"/>
          <w:noProof/>
          <w:lang w:eastAsia="en-GB"/>
        </w:rPr>
        <w:tab/>
      </w:r>
      <w:r>
        <w:rPr>
          <w:noProof/>
        </w:rPr>
        <w:t>Indigenous peoples (arts. 2, 25, 26 and 27)</w:t>
      </w:r>
      <w:r>
        <w:rPr>
          <w:noProof/>
        </w:rPr>
        <w:tab/>
      </w:r>
      <w:r>
        <w:rPr>
          <w:noProof/>
        </w:rPr>
        <w:fldChar w:fldCharType="begin"/>
      </w:r>
      <w:r>
        <w:rPr>
          <w:noProof/>
        </w:rPr>
        <w:instrText xml:space="preserve"> PAGEREF _Toc50984462 \h </w:instrText>
      </w:r>
      <w:r>
        <w:rPr>
          <w:noProof/>
        </w:rPr>
      </w:r>
      <w:r>
        <w:rPr>
          <w:noProof/>
        </w:rPr>
        <w:fldChar w:fldCharType="separate"/>
      </w:r>
      <w:r w:rsidR="001C26C6">
        <w:rPr>
          <w:noProof/>
        </w:rPr>
        <w:t>36</w:t>
      </w:r>
      <w:r>
        <w:rPr>
          <w:noProof/>
        </w:rPr>
        <w:fldChar w:fldCharType="end"/>
      </w:r>
    </w:p>
    <w:p w14:paraId="1CACA14A" w14:textId="0EC0069B" w:rsidR="00E426FD" w:rsidRPr="00D2757F" w:rsidRDefault="003B4661" w:rsidP="00D2757F">
      <w:pPr>
        <w:spacing w:before="240" w:after="240" w:line="360"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fldChar w:fldCharType="end"/>
      </w:r>
    </w:p>
    <w:p w14:paraId="25B45A64" w14:textId="77777777" w:rsidR="00E426FD" w:rsidRPr="00D2757F" w:rsidRDefault="00E426FD" w:rsidP="00D2757F">
      <w:pPr>
        <w:spacing w:before="240" w:after="240" w:line="360" w:lineRule="auto"/>
        <w:jc w:val="both"/>
        <w:rPr>
          <w:rFonts w:asciiTheme="majorHAnsi" w:hAnsiTheme="majorHAnsi" w:cstheme="majorHAnsi"/>
          <w:sz w:val="24"/>
          <w:szCs w:val="24"/>
          <w:shd w:val="clear" w:color="auto" w:fill="FFFFFF"/>
        </w:rPr>
      </w:pPr>
    </w:p>
    <w:p w14:paraId="12FC853F" w14:textId="77777777" w:rsidR="00BE0180" w:rsidRPr="00D2757F" w:rsidRDefault="00BE0180" w:rsidP="00D2757F">
      <w:pPr>
        <w:spacing w:before="240" w:after="240" w:line="360" w:lineRule="auto"/>
        <w:jc w:val="both"/>
        <w:rPr>
          <w:rFonts w:asciiTheme="majorHAnsi" w:hAnsiTheme="majorHAnsi" w:cstheme="majorHAnsi"/>
          <w:sz w:val="24"/>
          <w:szCs w:val="24"/>
          <w:shd w:val="clear" w:color="auto" w:fill="FFFFFF"/>
        </w:rPr>
      </w:pPr>
    </w:p>
    <w:p w14:paraId="6D0AF4AB" w14:textId="77777777" w:rsidR="00BE0180" w:rsidRPr="003B4661" w:rsidRDefault="00BE0180" w:rsidP="003B4661">
      <w:pPr>
        <w:spacing w:before="240" w:after="240" w:line="360" w:lineRule="auto"/>
        <w:jc w:val="both"/>
        <w:rPr>
          <w:rFonts w:asciiTheme="majorHAnsi" w:hAnsiTheme="majorHAnsi" w:cstheme="majorHAnsi"/>
          <w:sz w:val="24"/>
          <w:szCs w:val="24"/>
          <w:shd w:val="clear" w:color="auto" w:fill="FFFFFF"/>
        </w:rPr>
      </w:pPr>
    </w:p>
    <w:p w14:paraId="5859333D" w14:textId="77777777" w:rsidR="00BE0180" w:rsidRPr="003B4661" w:rsidRDefault="00BE0180" w:rsidP="003B4661">
      <w:pPr>
        <w:spacing w:before="240" w:after="240" w:line="360" w:lineRule="auto"/>
        <w:jc w:val="both"/>
        <w:rPr>
          <w:rFonts w:asciiTheme="majorHAnsi" w:hAnsiTheme="majorHAnsi" w:cstheme="majorHAnsi"/>
          <w:sz w:val="24"/>
          <w:szCs w:val="24"/>
          <w:shd w:val="clear" w:color="auto" w:fill="FFFFFF"/>
        </w:rPr>
      </w:pPr>
    </w:p>
    <w:p w14:paraId="710F9362" w14:textId="77777777" w:rsidR="00BE0180" w:rsidRPr="003B4661" w:rsidRDefault="00BE0180" w:rsidP="003B4661">
      <w:pPr>
        <w:spacing w:before="240" w:after="240" w:line="360" w:lineRule="auto"/>
        <w:jc w:val="both"/>
        <w:rPr>
          <w:rFonts w:asciiTheme="majorHAnsi" w:hAnsiTheme="majorHAnsi" w:cstheme="majorHAnsi"/>
          <w:sz w:val="24"/>
          <w:szCs w:val="24"/>
          <w:shd w:val="clear" w:color="auto" w:fill="FFFFFF"/>
        </w:rPr>
      </w:pPr>
    </w:p>
    <w:p w14:paraId="7D9609D6" w14:textId="6CB6FB66" w:rsidR="00166E15" w:rsidRPr="003B4661" w:rsidRDefault="00166E15" w:rsidP="003B4661">
      <w:pPr>
        <w:spacing w:before="240" w:after="240" w:line="360" w:lineRule="auto"/>
        <w:jc w:val="both"/>
        <w:rPr>
          <w:rFonts w:asciiTheme="majorHAnsi" w:hAnsiTheme="majorHAnsi" w:cstheme="majorHAnsi"/>
          <w:sz w:val="24"/>
          <w:szCs w:val="24"/>
          <w:shd w:val="clear" w:color="auto" w:fill="FFFFFF"/>
        </w:rPr>
      </w:pPr>
      <w:r w:rsidRPr="003B4661">
        <w:rPr>
          <w:rFonts w:asciiTheme="majorHAnsi" w:hAnsiTheme="majorHAnsi" w:cstheme="majorHAnsi"/>
          <w:sz w:val="24"/>
          <w:szCs w:val="24"/>
          <w:shd w:val="clear" w:color="auto" w:fill="FFFFFF"/>
        </w:rPr>
        <w:br w:type="page"/>
      </w:r>
    </w:p>
    <w:p w14:paraId="4F669FF9" w14:textId="77777777" w:rsidR="005C1F7A" w:rsidRPr="00833E65" w:rsidRDefault="005C1F7A" w:rsidP="00166E15">
      <w:pPr>
        <w:pBdr>
          <w:top w:val="single" w:sz="2" w:space="1" w:color="auto"/>
          <w:left w:val="single" w:sz="2" w:space="4" w:color="auto"/>
          <w:bottom w:val="single" w:sz="2" w:space="1" w:color="auto"/>
          <w:right w:val="single" w:sz="2" w:space="4" w:color="auto"/>
        </w:pBdr>
        <w:spacing w:after="840"/>
        <w:rPr>
          <w:rFonts w:asciiTheme="majorHAnsi" w:eastAsiaTheme="minorEastAsia" w:hAnsiTheme="majorHAnsi" w:cstheme="majorHAnsi"/>
          <w:b/>
          <w:color w:val="595959" w:themeColor="text1" w:themeTint="A6"/>
          <w:spacing w:val="15"/>
        </w:rPr>
      </w:pPr>
      <w:r w:rsidRPr="00833E65">
        <w:rPr>
          <w:rFonts w:asciiTheme="majorHAnsi" w:eastAsiaTheme="minorEastAsia" w:hAnsiTheme="majorHAnsi" w:cstheme="majorHAnsi"/>
          <w:b/>
          <w:color w:val="595959" w:themeColor="text1" w:themeTint="A6"/>
          <w:spacing w:val="15"/>
        </w:rPr>
        <w:lastRenderedPageBreak/>
        <w:t>Specific information on the implementation of articles 1 to 27 of the Covenant, including with regard to additional previous recommendations</w:t>
      </w:r>
    </w:p>
    <w:p w14:paraId="00046509" w14:textId="7949DDDC" w:rsidR="00E426FD" w:rsidRPr="000A5015" w:rsidRDefault="00E426FD" w:rsidP="00A939CF">
      <w:pPr>
        <w:pStyle w:val="Heading1"/>
        <w:numPr>
          <w:ilvl w:val="0"/>
          <w:numId w:val="23"/>
        </w:numPr>
      </w:pPr>
      <w:bookmarkStart w:id="0" w:name="_Toc50984428"/>
      <w:r w:rsidRPr="000A5015">
        <w:t>Anti</w:t>
      </w:r>
      <w:r w:rsidR="00166E15" w:rsidRPr="000A5015">
        <w:t xml:space="preserve"> - </w:t>
      </w:r>
      <w:r w:rsidRPr="000A5015">
        <w:t>corruption measures (</w:t>
      </w:r>
      <w:r w:rsidR="00166E15" w:rsidRPr="000A5015">
        <w:t>a</w:t>
      </w:r>
      <w:r w:rsidRPr="000A5015">
        <w:t>rts. 2 and 25)</w:t>
      </w:r>
      <w:bookmarkEnd w:id="0"/>
    </w:p>
    <w:p w14:paraId="43A4BB59" w14:textId="0ABE733D" w:rsidR="0058227E" w:rsidRPr="000A5015" w:rsidRDefault="009A3291" w:rsidP="000A5015">
      <w:pPr>
        <w:spacing w:before="240" w:after="240" w:line="360" w:lineRule="auto"/>
        <w:jc w:val="both"/>
        <w:rPr>
          <w:rFonts w:asciiTheme="majorHAnsi" w:hAnsiTheme="majorHAnsi" w:cstheme="majorHAnsi"/>
          <w:sz w:val="24"/>
          <w:szCs w:val="24"/>
          <w:shd w:val="clear" w:color="auto" w:fill="FFFFFF"/>
        </w:rPr>
      </w:pPr>
      <w:r w:rsidRPr="000A5015">
        <w:rPr>
          <w:rFonts w:asciiTheme="majorHAnsi" w:hAnsiTheme="majorHAnsi" w:cstheme="majorHAnsi"/>
          <w:sz w:val="24"/>
          <w:szCs w:val="24"/>
          <w:shd w:val="clear" w:color="auto" w:fill="FFFFFF"/>
        </w:rPr>
        <w:t>The Ethics and Anti-corruption Com</w:t>
      </w:r>
      <w:r w:rsidR="0058227E" w:rsidRPr="000A5015">
        <w:rPr>
          <w:rFonts w:asciiTheme="majorHAnsi" w:hAnsiTheme="majorHAnsi" w:cstheme="majorHAnsi"/>
          <w:sz w:val="24"/>
          <w:szCs w:val="24"/>
          <w:shd w:val="clear" w:color="auto" w:fill="FFFFFF"/>
        </w:rPr>
        <w:t>mission</w:t>
      </w:r>
      <w:r w:rsidR="005C1F7A" w:rsidRPr="000A5015">
        <w:rPr>
          <w:rFonts w:asciiTheme="majorHAnsi" w:hAnsiTheme="majorHAnsi" w:cstheme="majorHAnsi"/>
          <w:sz w:val="24"/>
          <w:szCs w:val="24"/>
          <w:shd w:val="clear" w:color="auto" w:fill="FFFFFF"/>
        </w:rPr>
        <w:t xml:space="preserve"> (EACC)</w:t>
      </w:r>
      <w:r w:rsidR="000F0119" w:rsidRPr="000A5015">
        <w:rPr>
          <w:rFonts w:asciiTheme="majorHAnsi" w:hAnsiTheme="majorHAnsi" w:cstheme="majorHAnsi"/>
          <w:sz w:val="24"/>
          <w:szCs w:val="24"/>
          <w:shd w:val="clear" w:color="auto" w:fill="FFFFFF"/>
          <w:vertAlign w:val="superscript"/>
        </w:rPr>
        <w:footnoteReference w:id="6"/>
      </w:r>
      <w:r w:rsidR="0058227E" w:rsidRPr="000A5015">
        <w:rPr>
          <w:rFonts w:asciiTheme="majorHAnsi" w:hAnsiTheme="majorHAnsi" w:cstheme="majorHAnsi"/>
          <w:sz w:val="24"/>
          <w:szCs w:val="24"/>
          <w:shd w:val="clear" w:color="auto" w:fill="FFFFFF"/>
        </w:rPr>
        <w:t xml:space="preserve"> has, between the year 2003 and November 2019 handled 554 court cases. Out of these, 289 were the convictions; 223 acquittals; and 42 cases were discharged/ withdrawn.</w:t>
      </w:r>
      <w:r w:rsidR="0058227E" w:rsidRPr="000A5015">
        <w:rPr>
          <w:rFonts w:asciiTheme="majorHAnsi" w:hAnsiTheme="majorHAnsi" w:cstheme="majorHAnsi"/>
          <w:sz w:val="24"/>
          <w:szCs w:val="24"/>
          <w:shd w:val="clear" w:color="auto" w:fill="FFFFFF"/>
          <w:vertAlign w:val="superscript"/>
        </w:rPr>
        <w:footnoteReference w:id="7"/>
      </w:r>
      <w:r w:rsidR="00B92E72" w:rsidRPr="000A5015">
        <w:rPr>
          <w:rFonts w:asciiTheme="majorHAnsi" w:hAnsiTheme="majorHAnsi" w:cstheme="majorHAnsi"/>
          <w:sz w:val="24"/>
          <w:szCs w:val="24"/>
          <w:shd w:val="clear" w:color="auto" w:fill="FFFFFF"/>
        </w:rPr>
        <w:t xml:space="preserve"> </w:t>
      </w:r>
      <w:r w:rsidR="007C04D8" w:rsidRPr="000A5015">
        <w:rPr>
          <w:rFonts w:asciiTheme="majorHAnsi" w:hAnsiTheme="majorHAnsi" w:cstheme="majorHAnsi"/>
          <w:sz w:val="24"/>
          <w:szCs w:val="24"/>
          <w:shd w:val="clear" w:color="auto" w:fill="FFFFFF"/>
        </w:rPr>
        <w:t xml:space="preserve">The </w:t>
      </w:r>
      <w:r w:rsidR="005C1F7A" w:rsidRPr="000A5015">
        <w:rPr>
          <w:rFonts w:asciiTheme="majorHAnsi" w:hAnsiTheme="majorHAnsi" w:cstheme="majorHAnsi"/>
          <w:sz w:val="24"/>
          <w:szCs w:val="24"/>
          <w:shd w:val="clear" w:color="auto" w:fill="FFFFFF"/>
        </w:rPr>
        <w:t>EACC</w:t>
      </w:r>
      <w:r w:rsidR="007C04D8" w:rsidRPr="000A5015">
        <w:rPr>
          <w:rFonts w:asciiTheme="majorHAnsi" w:hAnsiTheme="majorHAnsi" w:cstheme="majorHAnsi"/>
          <w:sz w:val="24"/>
          <w:szCs w:val="24"/>
          <w:shd w:val="clear" w:color="auto" w:fill="FFFFFF"/>
        </w:rPr>
        <w:t xml:space="preserve"> has also recovered assets both cash and immovable property worth Kshs. 22,563,424,709.</w:t>
      </w:r>
      <w:r w:rsidR="007C04D8" w:rsidRPr="000A5015">
        <w:rPr>
          <w:rFonts w:asciiTheme="majorHAnsi" w:hAnsiTheme="majorHAnsi" w:cstheme="majorHAnsi"/>
          <w:sz w:val="24"/>
          <w:szCs w:val="24"/>
          <w:shd w:val="clear" w:color="auto" w:fill="FFFFFF"/>
          <w:vertAlign w:val="superscript"/>
        </w:rPr>
        <w:footnoteReference w:id="8"/>
      </w:r>
    </w:p>
    <w:p w14:paraId="605768C9" w14:textId="4757A049" w:rsidR="000770C6" w:rsidRPr="000A5015" w:rsidRDefault="000770C6" w:rsidP="000A5015">
      <w:pPr>
        <w:spacing w:before="240" w:after="240" w:line="360" w:lineRule="auto"/>
        <w:jc w:val="both"/>
        <w:rPr>
          <w:rFonts w:asciiTheme="majorHAnsi" w:hAnsiTheme="majorHAnsi" w:cstheme="majorHAnsi"/>
          <w:sz w:val="24"/>
          <w:szCs w:val="24"/>
          <w:shd w:val="clear" w:color="auto" w:fill="FFFFFF"/>
        </w:rPr>
      </w:pPr>
      <w:r w:rsidRPr="000A5015">
        <w:rPr>
          <w:rFonts w:asciiTheme="majorHAnsi" w:hAnsiTheme="majorHAnsi" w:cstheme="majorHAnsi"/>
          <w:sz w:val="24"/>
          <w:szCs w:val="24"/>
          <w:shd w:val="clear" w:color="auto" w:fill="FFFFFF"/>
        </w:rPr>
        <w:t>The Proceeds of Crime and Anti-money Laundering Act, 2009 creates the offence of money laundering and introduces measures for combating the offence, the identification, tracing, freezing, seizure and confiscation of the proceeds of crime. The Act complements the functions of the Anti-corruption Act where money acquired through corruption has often been channeled to suspicious ventures as a way to ‘sanitize’ the said cash.</w:t>
      </w:r>
    </w:p>
    <w:p w14:paraId="019359B3" w14:textId="3498F166" w:rsidR="00747430" w:rsidRPr="000A5015" w:rsidRDefault="00476CEB" w:rsidP="000A5015">
      <w:pPr>
        <w:spacing w:before="240" w:after="240" w:line="360" w:lineRule="auto"/>
        <w:jc w:val="both"/>
        <w:rPr>
          <w:rFonts w:asciiTheme="majorHAnsi" w:hAnsiTheme="majorHAnsi" w:cstheme="majorHAnsi"/>
          <w:sz w:val="24"/>
          <w:szCs w:val="24"/>
          <w:shd w:val="clear" w:color="auto" w:fill="FFFFFF"/>
        </w:rPr>
      </w:pPr>
      <w:r w:rsidRPr="000A5015">
        <w:rPr>
          <w:rFonts w:asciiTheme="majorHAnsi" w:hAnsiTheme="majorHAnsi" w:cstheme="majorHAnsi"/>
          <w:sz w:val="24"/>
          <w:szCs w:val="24"/>
          <w:shd w:val="clear" w:color="auto" w:fill="FFFFFF"/>
        </w:rPr>
        <w:t xml:space="preserve">Despite the  existent of a robust legal framework to curb corruption in the country beginning with the Constitution of Kenya 2010 </w:t>
      </w:r>
      <w:r w:rsidR="00427D6D" w:rsidRPr="000A5015">
        <w:rPr>
          <w:rFonts w:asciiTheme="majorHAnsi" w:hAnsiTheme="majorHAnsi" w:cstheme="majorHAnsi"/>
          <w:sz w:val="24"/>
          <w:szCs w:val="24"/>
          <w:shd w:val="clear" w:color="auto" w:fill="FFFFFF"/>
        </w:rPr>
        <w:t>which contains</w:t>
      </w:r>
      <w:r w:rsidRPr="000A5015">
        <w:rPr>
          <w:rFonts w:asciiTheme="majorHAnsi" w:hAnsiTheme="majorHAnsi" w:cstheme="majorHAnsi"/>
          <w:sz w:val="24"/>
          <w:szCs w:val="24"/>
          <w:shd w:val="clear" w:color="auto" w:fill="FFFFFF"/>
        </w:rPr>
        <w:t xml:space="preserve"> a full chapter dedicated to leadership and integrity</w:t>
      </w:r>
      <w:r w:rsidR="00D40B23" w:rsidRPr="000A5015">
        <w:rPr>
          <w:rFonts w:asciiTheme="majorHAnsi" w:hAnsiTheme="majorHAnsi" w:cstheme="majorHAnsi"/>
          <w:sz w:val="24"/>
          <w:szCs w:val="24"/>
          <w:shd w:val="clear" w:color="auto" w:fill="FFFFFF"/>
          <w:vertAlign w:val="superscript"/>
        </w:rPr>
        <w:footnoteReference w:id="9"/>
      </w:r>
      <w:r w:rsidRPr="000A5015">
        <w:rPr>
          <w:rFonts w:asciiTheme="majorHAnsi" w:hAnsiTheme="majorHAnsi" w:cstheme="majorHAnsi"/>
          <w:sz w:val="24"/>
          <w:szCs w:val="24"/>
          <w:shd w:val="clear" w:color="auto" w:fill="FFFFFF"/>
        </w:rPr>
        <w:t xml:space="preserve">; </w:t>
      </w:r>
      <w:r w:rsidR="001577FC" w:rsidRPr="000A5015">
        <w:rPr>
          <w:rFonts w:asciiTheme="majorHAnsi" w:hAnsiTheme="majorHAnsi" w:cstheme="majorHAnsi"/>
          <w:sz w:val="24"/>
          <w:szCs w:val="24"/>
          <w:shd w:val="clear" w:color="auto" w:fill="FFFFFF"/>
          <w:vertAlign w:val="superscript"/>
        </w:rPr>
        <w:footnoteReference w:id="10"/>
      </w:r>
      <w:r w:rsidR="001577FC" w:rsidRPr="000A5015">
        <w:rPr>
          <w:rFonts w:asciiTheme="majorHAnsi" w:hAnsiTheme="majorHAnsi" w:cstheme="majorHAnsi"/>
          <w:sz w:val="24"/>
          <w:szCs w:val="24"/>
          <w:shd w:val="clear" w:color="auto" w:fill="FFFFFF"/>
        </w:rPr>
        <w:t xml:space="preserve">  the Anti-Corruption and Economic Crimes Act 2003, </w:t>
      </w:r>
      <w:r w:rsidRPr="000A5015">
        <w:rPr>
          <w:rFonts w:asciiTheme="majorHAnsi" w:hAnsiTheme="majorHAnsi" w:cstheme="majorHAnsi"/>
          <w:sz w:val="24"/>
          <w:szCs w:val="24"/>
          <w:shd w:val="clear" w:color="auto" w:fill="FFFFFF"/>
        </w:rPr>
        <w:t xml:space="preserve">the  </w:t>
      </w:r>
      <w:r w:rsidR="001577FC" w:rsidRPr="000A5015">
        <w:rPr>
          <w:rFonts w:asciiTheme="majorHAnsi" w:hAnsiTheme="majorHAnsi" w:cstheme="majorHAnsi"/>
          <w:sz w:val="24"/>
          <w:szCs w:val="24"/>
          <w:shd w:val="clear" w:color="auto" w:fill="FFFFFF"/>
        </w:rPr>
        <w:t xml:space="preserve">Ethics and Anti-Corruption Act 2011, </w:t>
      </w:r>
      <w:r w:rsidRPr="000A5015">
        <w:rPr>
          <w:rFonts w:asciiTheme="majorHAnsi" w:hAnsiTheme="majorHAnsi" w:cstheme="majorHAnsi"/>
          <w:sz w:val="24"/>
          <w:szCs w:val="24"/>
          <w:shd w:val="clear" w:color="auto" w:fill="FFFFFF"/>
        </w:rPr>
        <w:t xml:space="preserve">Leadership and Integrity Act and the </w:t>
      </w:r>
      <w:r w:rsidR="001577FC" w:rsidRPr="000A5015">
        <w:rPr>
          <w:rFonts w:asciiTheme="majorHAnsi" w:hAnsiTheme="majorHAnsi" w:cstheme="majorHAnsi"/>
          <w:sz w:val="24"/>
          <w:szCs w:val="24"/>
          <w:shd w:val="clear" w:color="auto" w:fill="FFFFFF"/>
        </w:rPr>
        <w:t>Public Service (Values and Principles) Act; the Bribery Act; Mutual Legal Assistance Act,2011; the Public Officer Ethics Act, 2003</w:t>
      </w:r>
      <w:r w:rsidR="00746FBB" w:rsidRPr="000A5015">
        <w:rPr>
          <w:rFonts w:asciiTheme="majorHAnsi" w:hAnsiTheme="majorHAnsi" w:cstheme="majorHAnsi"/>
          <w:sz w:val="24"/>
          <w:szCs w:val="24"/>
          <w:shd w:val="clear" w:color="auto" w:fill="FFFFFF"/>
        </w:rPr>
        <w:t xml:space="preserve">, the </w:t>
      </w:r>
      <w:r w:rsidR="001577FC" w:rsidRPr="000A5015">
        <w:rPr>
          <w:rFonts w:asciiTheme="majorHAnsi" w:hAnsiTheme="majorHAnsi" w:cstheme="majorHAnsi"/>
          <w:sz w:val="24"/>
          <w:szCs w:val="24"/>
          <w:shd w:val="clear" w:color="auto" w:fill="FFFFFF"/>
        </w:rPr>
        <w:t>Public Finance Management Act,2012</w:t>
      </w:r>
      <w:r w:rsidR="00ED07F0" w:rsidRPr="000A5015">
        <w:rPr>
          <w:rFonts w:asciiTheme="majorHAnsi" w:hAnsiTheme="majorHAnsi" w:cstheme="majorHAnsi"/>
          <w:sz w:val="24"/>
          <w:szCs w:val="24"/>
          <w:shd w:val="clear" w:color="auto" w:fill="FFFFFF"/>
        </w:rPr>
        <w:t xml:space="preserve"> </w:t>
      </w:r>
      <w:r w:rsidR="001577FC" w:rsidRPr="000A5015">
        <w:rPr>
          <w:rFonts w:asciiTheme="majorHAnsi" w:hAnsiTheme="majorHAnsi" w:cstheme="majorHAnsi"/>
          <w:sz w:val="24"/>
          <w:szCs w:val="24"/>
          <w:shd w:val="clear" w:color="auto" w:fill="FFFFFF"/>
        </w:rPr>
        <w:t xml:space="preserve">and the Public Procurement and Asset Disposal Act,  </w:t>
      </w:r>
      <w:r w:rsidRPr="000A5015">
        <w:rPr>
          <w:rFonts w:asciiTheme="majorHAnsi" w:hAnsiTheme="majorHAnsi" w:cstheme="majorHAnsi"/>
          <w:sz w:val="24"/>
          <w:szCs w:val="24"/>
          <w:shd w:val="clear" w:color="auto" w:fill="FFFFFF"/>
        </w:rPr>
        <w:t>corruption remains one of the major</w:t>
      </w:r>
      <w:r w:rsidR="00156B63" w:rsidRPr="000A5015">
        <w:rPr>
          <w:rFonts w:asciiTheme="majorHAnsi" w:hAnsiTheme="majorHAnsi" w:cstheme="majorHAnsi"/>
          <w:sz w:val="24"/>
          <w:szCs w:val="24"/>
          <w:shd w:val="clear" w:color="auto" w:fill="FFFFFF"/>
        </w:rPr>
        <w:t xml:space="preserve"> </w:t>
      </w:r>
      <w:r w:rsidR="00E20597" w:rsidRPr="000A5015">
        <w:rPr>
          <w:rFonts w:asciiTheme="majorHAnsi" w:hAnsiTheme="majorHAnsi" w:cstheme="majorHAnsi"/>
          <w:sz w:val="24"/>
          <w:szCs w:val="24"/>
          <w:shd w:val="clear" w:color="auto" w:fill="FFFFFF"/>
        </w:rPr>
        <w:t>push back to</w:t>
      </w:r>
      <w:r w:rsidR="00156B63" w:rsidRPr="000A5015">
        <w:rPr>
          <w:rFonts w:asciiTheme="majorHAnsi" w:hAnsiTheme="majorHAnsi" w:cstheme="majorHAnsi"/>
          <w:sz w:val="24"/>
          <w:szCs w:val="24"/>
          <w:shd w:val="clear" w:color="auto" w:fill="FFFFFF"/>
        </w:rPr>
        <w:t xml:space="preserve"> </w:t>
      </w:r>
      <w:r w:rsidR="00E20597" w:rsidRPr="000A5015">
        <w:rPr>
          <w:rFonts w:asciiTheme="majorHAnsi" w:hAnsiTheme="majorHAnsi" w:cstheme="majorHAnsi"/>
          <w:sz w:val="24"/>
          <w:szCs w:val="24"/>
          <w:shd w:val="clear" w:color="auto" w:fill="FFFFFF"/>
        </w:rPr>
        <w:t>enjoyment of human rights</w:t>
      </w:r>
      <w:r w:rsidR="000519A5" w:rsidRPr="000A5015">
        <w:rPr>
          <w:rFonts w:asciiTheme="majorHAnsi" w:hAnsiTheme="majorHAnsi" w:cstheme="majorHAnsi"/>
          <w:sz w:val="24"/>
          <w:szCs w:val="24"/>
          <w:shd w:val="clear" w:color="auto" w:fill="FFFFFF"/>
        </w:rPr>
        <w:t>.</w:t>
      </w:r>
      <w:r w:rsidR="00E20597" w:rsidRPr="000A5015">
        <w:rPr>
          <w:rFonts w:asciiTheme="majorHAnsi" w:hAnsiTheme="majorHAnsi" w:cstheme="majorHAnsi"/>
          <w:sz w:val="24"/>
          <w:szCs w:val="24"/>
          <w:shd w:val="clear" w:color="auto" w:fill="FFFFFF"/>
        </w:rPr>
        <w:t xml:space="preserve"> </w:t>
      </w:r>
      <w:r w:rsidR="00747430" w:rsidRPr="000A5015">
        <w:rPr>
          <w:rFonts w:asciiTheme="majorHAnsi" w:hAnsiTheme="majorHAnsi" w:cstheme="majorHAnsi"/>
          <w:sz w:val="24"/>
          <w:szCs w:val="24"/>
          <w:shd w:val="clear" w:color="auto" w:fill="FFFFFF"/>
        </w:rPr>
        <w:t xml:space="preserve">The gap therefore is not </w:t>
      </w:r>
      <w:r w:rsidR="00E20597" w:rsidRPr="000A5015">
        <w:rPr>
          <w:rFonts w:asciiTheme="majorHAnsi" w:hAnsiTheme="majorHAnsi" w:cstheme="majorHAnsi"/>
          <w:sz w:val="24"/>
          <w:szCs w:val="24"/>
          <w:shd w:val="clear" w:color="auto" w:fill="FFFFFF"/>
        </w:rPr>
        <w:t xml:space="preserve">for </w:t>
      </w:r>
      <w:r w:rsidR="00E20597" w:rsidRPr="000A5015">
        <w:rPr>
          <w:rFonts w:asciiTheme="majorHAnsi" w:hAnsiTheme="majorHAnsi" w:cstheme="majorHAnsi"/>
          <w:sz w:val="24"/>
          <w:szCs w:val="24"/>
          <w:shd w:val="clear" w:color="auto" w:fill="FFFFFF"/>
        </w:rPr>
        <w:lastRenderedPageBreak/>
        <w:t>dearth of r</w:t>
      </w:r>
      <w:r w:rsidR="00747430" w:rsidRPr="000A5015">
        <w:rPr>
          <w:rFonts w:asciiTheme="majorHAnsi" w:hAnsiTheme="majorHAnsi" w:cstheme="majorHAnsi"/>
          <w:sz w:val="24"/>
          <w:szCs w:val="24"/>
          <w:shd w:val="clear" w:color="auto" w:fill="FFFFFF"/>
        </w:rPr>
        <w:t xml:space="preserve">elevant laws and policies but the </w:t>
      </w:r>
      <w:r w:rsidR="00746FBB" w:rsidRPr="000A5015">
        <w:rPr>
          <w:rFonts w:asciiTheme="majorHAnsi" w:hAnsiTheme="majorHAnsi" w:cstheme="majorHAnsi"/>
          <w:sz w:val="24"/>
          <w:szCs w:val="24"/>
          <w:shd w:val="clear" w:color="auto" w:fill="FFFFFF"/>
        </w:rPr>
        <w:t>want in the</w:t>
      </w:r>
      <w:r w:rsidR="00747430" w:rsidRPr="000A5015">
        <w:rPr>
          <w:rFonts w:asciiTheme="majorHAnsi" w:hAnsiTheme="majorHAnsi" w:cstheme="majorHAnsi"/>
          <w:sz w:val="24"/>
          <w:szCs w:val="24"/>
          <w:shd w:val="clear" w:color="auto" w:fill="FFFFFF"/>
        </w:rPr>
        <w:t xml:space="preserve"> implement</w:t>
      </w:r>
      <w:r w:rsidR="00746FBB" w:rsidRPr="000A5015">
        <w:rPr>
          <w:rFonts w:asciiTheme="majorHAnsi" w:hAnsiTheme="majorHAnsi" w:cstheme="majorHAnsi"/>
          <w:sz w:val="24"/>
          <w:szCs w:val="24"/>
          <w:shd w:val="clear" w:color="auto" w:fill="FFFFFF"/>
        </w:rPr>
        <w:t>ation of</w:t>
      </w:r>
      <w:r w:rsidR="00747430" w:rsidRPr="000A5015">
        <w:rPr>
          <w:rFonts w:asciiTheme="majorHAnsi" w:hAnsiTheme="majorHAnsi" w:cstheme="majorHAnsi"/>
          <w:sz w:val="24"/>
          <w:szCs w:val="24"/>
          <w:shd w:val="clear" w:color="auto" w:fill="FFFFFF"/>
        </w:rPr>
        <w:t xml:space="preserve"> the provisions to the letter. </w:t>
      </w:r>
      <w:r w:rsidR="001577FC" w:rsidRPr="000A5015">
        <w:rPr>
          <w:rFonts w:asciiTheme="majorHAnsi" w:hAnsiTheme="majorHAnsi" w:cstheme="majorHAnsi"/>
          <w:sz w:val="24"/>
          <w:szCs w:val="24"/>
          <w:shd w:val="clear" w:color="auto" w:fill="FFFFFF"/>
        </w:rPr>
        <w:t xml:space="preserve">Indeed, </w:t>
      </w:r>
      <w:r w:rsidR="00747430" w:rsidRPr="000A5015">
        <w:rPr>
          <w:rFonts w:asciiTheme="majorHAnsi" w:hAnsiTheme="majorHAnsi" w:cstheme="majorHAnsi"/>
          <w:sz w:val="24"/>
          <w:szCs w:val="24"/>
          <w:shd w:val="clear" w:color="auto" w:fill="FFFFFF"/>
        </w:rPr>
        <w:t xml:space="preserve">the Report of </w:t>
      </w:r>
      <w:r w:rsidR="000519A5" w:rsidRPr="000A5015">
        <w:rPr>
          <w:rFonts w:asciiTheme="majorHAnsi" w:hAnsiTheme="majorHAnsi" w:cstheme="majorHAnsi"/>
          <w:sz w:val="24"/>
          <w:szCs w:val="24"/>
          <w:shd w:val="clear" w:color="auto" w:fill="FFFFFF"/>
        </w:rPr>
        <w:t>t</w:t>
      </w:r>
      <w:r w:rsidR="00747430" w:rsidRPr="000A5015">
        <w:rPr>
          <w:rFonts w:asciiTheme="majorHAnsi" w:hAnsiTheme="majorHAnsi" w:cstheme="majorHAnsi"/>
          <w:sz w:val="24"/>
          <w:szCs w:val="24"/>
          <w:shd w:val="clear" w:color="auto" w:fill="FFFFFF"/>
        </w:rPr>
        <w:t xml:space="preserve">he Task Force on </w:t>
      </w:r>
      <w:r w:rsidR="00CD5F6C" w:rsidRPr="000A5015">
        <w:rPr>
          <w:rFonts w:asciiTheme="majorHAnsi" w:hAnsiTheme="majorHAnsi" w:cstheme="majorHAnsi"/>
          <w:sz w:val="24"/>
          <w:szCs w:val="24"/>
          <w:shd w:val="clear" w:color="auto" w:fill="FFFFFF"/>
        </w:rPr>
        <w:t>t</w:t>
      </w:r>
      <w:r w:rsidR="00747430" w:rsidRPr="000A5015">
        <w:rPr>
          <w:rFonts w:asciiTheme="majorHAnsi" w:hAnsiTheme="majorHAnsi" w:cstheme="majorHAnsi"/>
          <w:sz w:val="24"/>
          <w:szCs w:val="24"/>
          <w:shd w:val="clear" w:color="auto" w:fill="FFFFFF"/>
        </w:rPr>
        <w:t xml:space="preserve">he Review </w:t>
      </w:r>
      <w:r w:rsidR="000519A5" w:rsidRPr="000A5015">
        <w:rPr>
          <w:rFonts w:asciiTheme="majorHAnsi" w:hAnsiTheme="majorHAnsi" w:cstheme="majorHAnsi"/>
          <w:sz w:val="24"/>
          <w:szCs w:val="24"/>
          <w:shd w:val="clear" w:color="auto" w:fill="FFFFFF"/>
        </w:rPr>
        <w:t>of</w:t>
      </w:r>
      <w:r w:rsidR="00747430" w:rsidRPr="000A5015">
        <w:rPr>
          <w:rFonts w:asciiTheme="majorHAnsi" w:hAnsiTheme="majorHAnsi" w:cstheme="majorHAnsi"/>
          <w:sz w:val="24"/>
          <w:szCs w:val="24"/>
          <w:shd w:val="clear" w:color="auto" w:fill="FFFFFF"/>
        </w:rPr>
        <w:t xml:space="preserve"> The Legal, Policy And Institutional Framework </w:t>
      </w:r>
      <w:r w:rsidR="00CD5F6C" w:rsidRPr="000A5015">
        <w:rPr>
          <w:rFonts w:asciiTheme="majorHAnsi" w:hAnsiTheme="majorHAnsi" w:cstheme="majorHAnsi"/>
          <w:sz w:val="24"/>
          <w:szCs w:val="24"/>
          <w:shd w:val="clear" w:color="auto" w:fill="FFFFFF"/>
        </w:rPr>
        <w:t>f</w:t>
      </w:r>
      <w:r w:rsidR="00747430" w:rsidRPr="000A5015">
        <w:rPr>
          <w:rFonts w:asciiTheme="majorHAnsi" w:hAnsiTheme="majorHAnsi" w:cstheme="majorHAnsi"/>
          <w:sz w:val="24"/>
          <w:szCs w:val="24"/>
          <w:shd w:val="clear" w:color="auto" w:fill="FFFFFF"/>
        </w:rPr>
        <w:t xml:space="preserve">or Fighting Corruption </w:t>
      </w:r>
      <w:r w:rsidR="00CD5F6C" w:rsidRPr="000A5015">
        <w:rPr>
          <w:rFonts w:asciiTheme="majorHAnsi" w:hAnsiTheme="majorHAnsi" w:cstheme="majorHAnsi"/>
          <w:sz w:val="24"/>
          <w:szCs w:val="24"/>
          <w:shd w:val="clear" w:color="auto" w:fill="FFFFFF"/>
        </w:rPr>
        <w:t>i</w:t>
      </w:r>
      <w:r w:rsidR="00747430" w:rsidRPr="000A5015">
        <w:rPr>
          <w:rFonts w:asciiTheme="majorHAnsi" w:hAnsiTheme="majorHAnsi" w:cstheme="majorHAnsi"/>
          <w:sz w:val="24"/>
          <w:szCs w:val="24"/>
          <w:shd w:val="clear" w:color="auto" w:fill="FFFFFF"/>
        </w:rPr>
        <w:t xml:space="preserve">n Kenya dated October, 2015 found that, ‘Kenya’s anti-corruption regime compares favourably with the best anti-corruption models in the world’ and that ‘ Kenya has most of laws required for effective onslaught on corruption but their enforcement has been somewhat </w:t>
      </w:r>
      <w:r w:rsidR="005E1C15" w:rsidRPr="000A5015">
        <w:rPr>
          <w:rFonts w:asciiTheme="majorHAnsi" w:hAnsiTheme="majorHAnsi" w:cstheme="majorHAnsi"/>
          <w:sz w:val="24"/>
          <w:szCs w:val="24"/>
          <w:shd w:val="clear" w:color="auto" w:fill="FFFFFF"/>
        </w:rPr>
        <w:t>lackluster</w:t>
      </w:r>
      <w:r w:rsidR="00747430" w:rsidRPr="000A5015">
        <w:rPr>
          <w:rFonts w:asciiTheme="majorHAnsi" w:hAnsiTheme="majorHAnsi" w:cstheme="majorHAnsi"/>
          <w:sz w:val="24"/>
          <w:szCs w:val="24"/>
          <w:shd w:val="clear" w:color="auto" w:fill="FFFFFF"/>
        </w:rPr>
        <w:t xml:space="preserve">. </w:t>
      </w:r>
    </w:p>
    <w:p w14:paraId="7B263678" w14:textId="7B499F07" w:rsidR="00105289" w:rsidRPr="000A5015" w:rsidRDefault="00476CEB" w:rsidP="000A5015">
      <w:pPr>
        <w:spacing w:before="240" w:after="240" w:line="360" w:lineRule="auto"/>
        <w:jc w:val="both"/>
        <w:rPr>
          <w:rFonts w:asciiTheme="majorHAnsi" w:hAnsiTheme="majorHAnsi" w:cstheme="majorHAnsi"/>
          <w:sz w:val="24"/>
          <w:szCs w:val="24"/>
          <w:shd w:val="clear" w:color="auto" w:fill="FFFFFF"/>
        </w:rPr>
      </w:pPr>
      <w:r w:rsidRPr="000A5015">
        <w:rPr>
          <w:rFonts w:asciiTheme="majorHAnsi" w:hAnsiTheme="majorHAnsi" w:cstheme="majorHAnsi"/>
          <w:sz w:val="24"/>
          <w:szCs w:val="24"/>
          <w:shd w:val="clear" w:color="auto" w:fill="FFFFFF"/>
        </w:rPr>
        <w:t>According to</w:t>
      </w:r>
      <w:r w:rsidR="00156B63" w:rsidRPr="000A5015">
        <w:rPr>
          <w:rFonts w:asciiTheme="majorHAnsi" w:hAnsiTheme="majorHAnsi" w:cstheme="majorHAnsi"/>
          <w:sz w:val="24"/>
          <w:szCs w:val="24"/>
          <w:shd w:val="clear" w:color="auto" w:fill="FFFFFF"/>
        </w:rPr>
        <w:t xml:space="preserve"> two surveys carried out in 2018 and 2020</w:t>
      </w:r>
      <w:r w:rsidR="005E1C15" w:rsidRPr="000A5015">
        <w:rPr>
          <w:rFonts w:asciiTheme="majorHAnsi" w:hAnsiTheme="majorHAnsi" w:cstheme="majorHAnsi"/>
          <w:sz w:val="24"/>
          <w:szCs w:val="24"/>
          <w:shd w:val="clear" w:color="auto" w:fill="FFFFFF"/>
          <w:vertAlign w:val="superscript"/>
        </w:rPr>
        <w:footnoteReference w:id="11"/>
      </w:r>
      <w:r w:rsidR="00156B63" w:rsidRPr="000A5015">
        <w:rPr>
          <w:rFonts w:asciiTheme="majorHAnsi" w:hAnsiTheme="majorHAnsi" w:cstheme="majorHAnsi"/>
          <w:sz w:val="24"/>
          <w:szCs w:val="24"/>
          <w:shd w:val="clear" w:color="auto" w:fill="FFFFFF"/>
        </w:rPr>
        <w:t xml:space="preserve">; </w:t>
      </w:r>
      <w:r w:rsidR="005E1C15" w:rsidRPr="000A5015">
        <w:rPr>
          <w:rFonts w:asciiTheme="majorHAnsi" w:hAnsiTheme="majorHAnsi" w:cstheme="majorHAnsi"/>
          <w:sz w:val="24"/>
          <w:szCs w:val="24"/>
          <w:shd w:val="clear" w:color="auto" w:fill="FFFFFF"/>
        </w:rPr>
        <w:t xml:space="preserve">majority of </w:t>
      </w:r>
      <w:r w:rsidR="00156B63" w:rsidRPr="000A5015">
        <w:rPr>
          <w:rFonts w:asciiTheme="majorHAnsi" w:hAnsiTheme="majorHAnsi" w:cstheme="majorHAnsi"/>
          <w:sz w:val="24"/>
          <w:szCs w:val="24"/>
          <w:shd w:val="clear" w:color="auto" w:fill="FFFFFF"/>
        </w:rPr>
        <w:t xml:space="preserve">Kenyans identify corruption </w:t>
      </w:r>
      <w:r w:rsidR="005E1C15" w:rsidRPr="000A5015">
        <w:rPr>
          <w:rFonts w:asciiTheme="majorHAnsi" w:hAnsiTheme="majorHAnsi" w:cstheme="majorHAnsi"/>
          <w:sz w:val="24"/>
          <w:szCs w:val="24"/>
          <w:shd w:val="clear" w:color="auto" w:fill="FFFFFF"/>
        </w:rPr>
        <w:t xml:space="preserve">and impunity </w:t>
      </w:r>
      <w:r w:rsidR="00156B63" w:rsidRPr="000A5015">
        <w:rPr>
          <w:rFonts w:asciiTheme="majorHAnsi" w:hAnsiTheme="majorHAnsi" w:cstheme="majorHAnsi"/>
          <w:sz w:val="24"/>
          <w:szCs w:val="24"/>
          <w:shd w:val="clear" w:color="auto" w:fill="FFFFFF"/>
        </w:rPr>
        <w:t xml:space="preserve">as </w:t>
      </w:r>
      <w:r w:rsidR="00427D6D" w:rsidRPr="000A5015">
        <w:rPr>
          <w:rFonts w:asciiTheme="majorHAnsi" w:hAnsiTheme="majorHAnsi" w:cstheme="majorHAnsi"/>
          <w:sz w:val="24"/>
          <w:szCs w:val="24"/>
          <w:shd w:val="clear" w:color="auto" w:fill="FFFFFF"/>
        </w:rPr>
        <w:t xml:space="preserve">the greatest </w:t>
      </w:r>
      <w:r w:rsidR="005E1C15" w:rsidRPr="000A5015">
        <w:rPr>
          <w:rFonts w:asciiTheme="majorHAnsi" w:hAnsiTheme="majorHAnsi" w:cstheme="majorHAnsi"/>
          <w:sz w:val="24"/>
          <w:szCs w:val="24"/>
          <w:shd w:val="clear" w:color="auto" w:fill="FFFFFF"/>
        </w:rPr>
        <w:t>hindrances</w:t>
      </w:r>
      <w:r w:rsidR="00427D6D" w:rsidRPr="000A5015">
        <w:rPr>
          <w:rFonts w:asciiTheme="majorHAnsi" w:hAnsiTheme="majorHAnsi" w:cstheme="majorHAnsi"/>
          <w:sz w:val="24"/>
          <w:szCs w:val="24"/>
          <w:shd w:val="clear" w:color="auto" w:fill="FFFFFF"/>
        </w:rPr>
        <w:t xml:space="preserve"> to realisation of the Bill of rights and fuel to exacerbating inequalities between the wealthy and the poor even in access to justice.  This </w:t>
      </w:r>
      <w:r w:rsidR="005F683C" w:rsidRPr="000A5015">
        <w:rPr>
          <w:rFonts w:asciiTheme="majorHAnsi" w:hAnsiTheme="majorHAnsi" w:cstheme="majorHAnsi"/>
          <w:sz w:val="24"/>
          <w:szCs w:val="24"/>
          <w:shd w:val="clear" w:color="auto" w:fill="FFFFFF"/>
        </w:rPr>
        <w:t xml:space="preserve">appears to </w:t>
      </w:r>
      <w:r w:rsidR="00427D6D" w:rsidRPr="000A5015">
        <w:rPr>
          <w:rFonts w:asciiTheme="majorHAnsi" w:hAnsiTheme="majorHAnsi" w:cstheme="majorHAnsi"/>
          <w:sz w:val="24"/>
          <w:szCs w:val="24"/>
          <w:shd w:val="clear" w:color="auto" w:fill="FFFFFF"/>
        </w:rPr>
        <w:t xml:space="preserve">corroborate the 2019 </w:t>
      </w:r>
      <w:r w:rsidRPr="000A5015">
        <w:rPr>
          <w:rFonts w:asciiTheme="majorHAnsi" w:hAnsiTheme="majorHAnsi" w:cstheme="majorHAnsi"/>
          <w:sz w:val="24"/>
          <w:szCs w:val="24"/>
          <w:shd w:val="clear" w:color="auto" w:fill="FFFFFF"/>
        </w:rPr>
        <w:t>CPI index</w:t>
      </w:r>
      <w:r w:rsidR="00427D6D" w:rsidRPr="000A5015">
        <w:rPr>
          <w:rFonts w:asciiTheme="majorHAnsi" w:hAnsiTheme="majorHAnsi" w:cstheme="majorHAnsi"/>
          <w:sz w:val="24"/>
          <w:szCs w:val="24"/>
          <w:shd w:val="clear" w:color="auto" w:fill="FFFFFF"/>
        </w:rPr>
        <w:t xml:space="preserve"> by Transparency International</w:t>
      </w:r>
      <w:r w:rsidR="00427D6D" w:rsidRPr="000A5015">
        <w:rPr>
          <w:rFonts w:asciiTheme="majorHAnsi" w:hAnsiTheme="majorHAnsi" w:cstheme="majorHAnsi"/>
          <w:sz w:val="24"/>
          <w:szCs w:val="24"/>
          <w:shd w:val="clear" w:color="auto" w:fill="FFFFFF"/>
          <w:vertAlign w:val="superscript"/>
        </w:rPr>
        <w:footnoteReference w:id="12"/>
      </w:r>
      <w:r w:rsidR="00427D6D" w:rsidRPr="000A5015">
        <w:rPr>
          <w:rFonts w:asciiTheme="majorHAnsi" w:hAnsiTheme="majorHAnsi" w:cstheme="majorHAnsi"/>
          <w:sz w:val="24"/>
          <w:szCs w:val="24"/>
          <w:shd w:val="clear" w:color="auto" w:fill="FFFFFF"/>
        </w:rPr>
        <w:t xml:space="preserve"> which shows the Republic of Kenya still in the red zone with a paltry score of 28% at No. 137. </w:t>
      </w:r>
    </w:p>
    <w:p w14:paraId="528ED99D" w14:textId="60C8A228" w:rsidR="00A355D6" w:rsidRPr="000A5015" w:rsidRDefault="00105289" w:rsidP="000A5015">
      <w:pPr>
        <w:spacing w:before="240" w:after="240" w:line="360" w:lineRule="auto"/>
        <w:jc w:val="both"/>
        <w:rPr>
          <w:rFonts w:asciiTheme="majorHAnsi" w:hAnsiTheme="majorHAnsi" w:cstheme="majorHAnsi"/>
          <w:sz w:val="24"/>
          <w:szCs w:val="24"/>
          <w:shd w:val="clear" w:color="auto" w:fill="FFFFFF"/>
        </w:rPr>
      </w:pPr>
      <w:r w:rsidRPr="000A5015">
        <w:rPr>
          <w:rFonts w:asciiTheme="majorHAnsi" w:hAnsiTheme="majorHAnsi" w:cstheme="majorHAnsi"/>
          <w:sz w:val="24"/>
          <w:szCs w:val="24"/>
          <w:shd w:val="clear" w:color="auto" w:fill="FFFFFF"/>
        </w:rPr>
        <w:t>The elimination of systematic corruption</w:t>
      </w:r>
      <w:r w:rsidR="00B349E8" w:rsidRPr="000A5015">
        <w:rPr>
          <w:rFonts w:asciiTheme="majorHAnsi" w:hAnsiTheme="majorHAnsi" w:cstheme="majorHAnsi"/>
          <w:sz w:val="24"/>
          <w:szCs w:val="24"/>
          <w:shd w:val="clear" w:color="auto" w:fill="FFFFFF"/>
        </w:rPr>
        <w:t>, unjust enrichment</w:t>
      </w:r>
      <w:r w:rsidRPr="000A5015">
        <w:rPr>
          <w:rFonts w:asciiTheme="majorHAnsi" w:hAnsiTheme="majorHAnsi" w:cstheme="majorHAnsi"/>
          <w:sz w:val="24"/>
          <w:szCs w:val="24"/>
          <w:shd w:val="clear" w:color="auto" w:fill="FFFFFF"/>
        </w:rPr>
        <w:t xml:space="preserve"> and instilling of accountability at both national and county levels is the sine qu</w:t>
      </w:r>
      <w:r w:rsidR="009F686E">
        <w:rPr>
          <w:rFonts w:asciiTheme="majorHAnsi" w:hAnsiTheme="majorHAnsi" w:cstheme="majorHAnsi"/>
          <w:sz w:val="24"/>
          <w:szCs w:val="24"/>
          <w:shd w:val="clear" w:color="auto" w:fill="FFFFFF"/>
        </w:rPr>
        <w:t>a</w:t>
      </w:r>
      <w:r w:rsidRPr="000A5015">
        <w:rPr>
          <w:rFonts w:asciiTheme="majorHAnsi" w:hAnsiTheme="majorHAnsi" w:cstheme="majorHAnsi"/>
          <w:sz w:val="24"/>
          <w:szCs w:val="24"/>
          <w:shd w:val="clear" w:color="auto" w:fill="FFFFFF"/>
        </w:rPr>
        <w:t xml:space="preserve"> non to realisation of the </w:t>
      </w:r>
      <w:r w:rsidR="00CD5F6C" w:rsidRPr="000A5015">
        <w:rPr>
          <w:rFonts w:asciiTheme="majorHAnsi" w:hAnsiTheme="majorHAnsi" w:cstheme="majorHAnsi"/>
          <w:sz w:val="24"/>
          <w:szCs w:val="24"/>
          <w:shd w:val="clear" w:color="auto" w:fill="FFFFFF"/>
        </w:rPr>
        <w:t xml:space="preserve">human </w:t>
      </w:r>
      <w:r w:rsidRPr="000A5015">
        <w:rPr>
          <w:rFonts w:asciiTheme="majorHAnsi" w:hAnsiTheme="majorHAnsi" w:cstheme="majorHAnsi"/>
          <w:sz w:val="24"/>
          <w:szCs w:val="24"/>
          <w:shd w:val="clear" w:color="auto" w:fill="FFFFFF"/>
        </w:rPr>
        <w:t>rights and fundamental freedoms including socio-economic rights safeguarded under Article 43 of the Constitution and realisation of SDG Agenda 2030 on leaving no one behind.</w:t>
      </w:r>
    </w:p>
    <w:p w14:paraId="55499A15" w14:textId="376B44A2" w:rsidR="006D5451" w:rsidRPr="000A5015" w:rsidRDefault="00A355D6" w:rsidP="000A5015">
      <w:pPr>
        <w:spacing w:before="240" w:after="240" w:line="360" w:lineRule="auto"/>
        <w:jc w:val="both"/>
        <w:rPr>
          <w:rFonts w:asciiTheme="majorHAnsi" w:hAnsiTheme="majorHAnsi" w:cstheme="majorHAnsi"/>
          <w:sz w:val="24"/>
          <w:szCs w:val="24"/>
          <w:shd w:val="clear" w:color="auto" w:fill="FFFFFF"/>
        </w:rPr>
      </w:pPr>
      <w:r w:rsidRPr="000A5015">
        <w:rPr>
          <w:rFonts w:asciiTheme="majorHAnsi" w:hAnsiTheme="majorHAnsi" w:cstheme="majorHAnsi"/>
          <w:sz w:val="24"/>
          <w:szCs w:val="24"/>
          <w:shd w:val="clear" w:color="auto" w:fill="FFFFFF"/>
        </w:rPr>
        <w:t>In order to fight graft, it is pertinent that t</w:t>
      </w:r>
      <w:r w:rsidR="00CD4AEF" w:rsidRPr="000A5015">
        <w:rPr>
          <w:rFonts w:asciiTheme="majorHAnsi" w:hAnsiTheme="majorHAnsi" w:cstheme="majorHAnsi"/>
          <w:sz w:val="24"/>
          <w:szCs w:val="24"/>
          <w:shd w:val="clear" w:color="auto" w:fill="FFFFFF"/>
        </w:rPr>
        <w:t>he</w:t>
      </w:r>
      <w:r w:rsidR="00105289" w:rsidRPr="000A5015">
        <w:rPr>
          <w:rFonts w:asciiTheme="majorHAnsi" w:hAnsiTheme="majorHAnsi" w:cstheme="majorHAnsi"/>
          <w:sz w:val="24"/>
          <w:szCs w:val="24"/>
          <w:shd w:val="clear" w:color="auto" w:fill="FFFFFF"/>
        </w:rPr>
        <w:t xml:space="preserve"> Institutions involved in the fight against graft </w:t>
      </w:r>
      <w:r w:rsidR="00B349E8" w:rsidRPr="000A5015">
        <w:rPr>
          <w:rFonts w:asciiTheme="majorHAnsi" w:hAnsiTheme="majorHAnsi" w:cstheme="majorHAnsi"/>
          <w:sz w:val="24"/>
          <w:szCs w:val="24"/>
          <w:shd w:val="clear" w:color="auto" w:fill="FFFFFF"/>
        </w:rPr>
        <w:t xml:space="preserve">must </w:t>
      </w:r>
      <w:r w:rsidR="00105289" w:rsidRPr="000A5015">
        <w:rPr>
          <w:rFonts w:asciiTheme="majorHAnsi" w:hAnsiTheme="majorHAnsi" w:cstheme="majorHAnsi"/>
          <w:sz w:val="24"/>
          <w:szCs w:val="24"/>
          <w:shd w:val="clear" w:color="auto" w:fill="FFFFFF"/>
        </w:rPr>
        <w:t>intensify efforts to promptly investigate, prosecute and recover proceeds of corruption without discrimination</w:t>
      </w:r>
      <w:r w:rsidRPr="000A5015">
        <w:rPr>
          <w:rFonts w:asciiTheme="majorHAnsi" w:hAnsiTheme="majorHAnsi" w:cstheme="majorHAnsi"/>
          <w:sz w:val="24"/>
          <w:szCs w:val="24"/>
          <w:shd w:val="clear" w:color="auto" w:fill="FFFFFF"/>
        </w:rPr>
        <w:t xml:space="preserve">; </w:t>
      </w:r>
      <w:r w:rsidR="00B349E8" w:rsidRPr="000A5015">
        <w:rPr>
          <w:rFonts w:asciiTheme="majorHAnsi" w:hAnsiTheme="majorHAnsi" w:cstheme="majorHAnsi"/>
          <w:sz w:val="24"/>
          <w:szCs w:val="24"/>
          <w:shd w:val="clear" w:color="auto" w:fill="FFFFFF"/>
        </w:rPr>
        <w:t>Public officers</w:t>
      </w:r>
      <w:r w:rsidR="00D72DBD" w:rsidRPr="000A5015">
        <w:rPr>
          <w:rFonts w:asciiTheme="majorHAnsi" w:hAnsiTheme="majorHAnsi" w:cstheme="majorHAnsi"/>
          <w:sz w:val="24"/>
          <w:szCs w:val="24"/>
          <w:shd w:val="clear" w:color="auto" w:fill="FFFFFF"/>
        </w:rPr>
        <w:t xml:space="preserve"> and state officers implicated</w:t>
      </w:r>
      <w:r w:rsidR="00B349E8" w:rsidRPr="000A5015">
        <w:rPr>
          <w:rFonts w:asciiTheme="majorHAnsi" w:hAnsiTheme="majorHAnsi" w:cstheme="majorHAnsi"/>
          <w:sz w:val="24"/>
          <w:szCs w:val="24"/>
          <w:shd w:val="clear" w:color="auto" w:fill="FFFFFF"/>
        </w:rPr>
        <w:t xml:space="preserve"> in corruption must not be allowed to continue to serve under any public office</w:t>
      </w:r>
      <w:r w:rsidR="00D72DBD" w:rsidRPr="000A5015">
        <w:rPr>
          <w:rFonts w:asciiTheme="majorHAnsi" w:hAnsiTheme="majorHAnsi" w:cstheme="majorHAnsi"/>
          <w:sz w:val="24"/>
          <w:szCs w:val="24"/>
          <w:shd w:val="clear" w:color="auto" w:fill="FFFFFF"/>
        </w:rPr>
        <w:t xml:space="preserve"> in line with the Judgment of the High Court in </w:t>
      </w:r>
      <w:hyperlink r:id="rId15" w:history="1">
        <w:r w:rsidR="00D72DBD" w:rsidRPr="000A5015">
          <w:rPr>
            <w:rFonts w:asciiTheme="majorHAnsi" w:hAnsiTheme="majorHAnsi" w:cstheme="majorHAnsi"/>
            <w:sz w:val="24"/>
            <w:szCs w:val="24"/>
            <w:shd w:val="clear" w:color="auto" w:fill="FFFFFF"/>
          </w:rPr>
          <w:t>Moses Kasaine Lenolkulal v Director of Public Prosecutions</w:t>
        </w:r>
      </w:hyperlink>
      <w:r w:rsidR="00D72DBD" w:rsidRPr="000A5015">
        <w:rPr>
          <w:rFonts w:asciiTheme="majorHAnsi" w:hAnsiTheme="majorHAnsi" w:cstheme="majorHAnsi"/>
          <w:sz w:val="24"/>
          <w:szCs w:val="24"/>
          <w:shd w:val="clear" w:color="auto" w:fill="FFFFFF"/>
        </w:rPr>
        <w:t>.</w:t>
      </w:r>
      <w:r w:rsidR="00D72DBD" w:rsidRPr="000A5015">
        <w:rPr>
          <w:rFonts w:asciiTheme="majorHAnsi" w:hAnsiTheme="majorHAnsi" w:cstheme="majorHAnsi"/>
          <w:sz w:val="24"/>
          <w:szCs w:val="24"/>
          <w:shd w:val="clear" w:color="auto" w:fill="FFFFFF"/>
          <w:vertAlign w:val="superscript"/>
        </w:rPr>
        <w:footnoteReference w:id="13"/>
      </w:r>
      <w:r w:rsidRPr="000A5015">
        <w:rPr>
          <w:rFonts w:asciiTheme="majorHAnsi" w:hAnsiTheme="majorHAnsi" w:cstheme="majorHAnsi"/>
          <w:sz w:val="24"/>
          <w:szCs w:val="24"/>
          <w:shd w:val="clear" w:color="auto" w:fill="FFFFFF"/>
        </w:rPr>
        <w:t xml:space="preserve"> </w:t>
      </w:r>
      <w:r w:rsidR="00105289" w:rsidRPr="000A5015">
        <w:rPr>
          <w:rFonts w:asciiTheme="majorHAnsi" w:hAnsiTheme="majorHAnsi" w:cstheme="majorHAnsi"/>
          <w:sz w:val="24"/>
          <w:szCs w:val="24"/>
          <w:shd w:val="clear" w:color="auto" w:fill="FFFFFF"/>
        </w:rPr>
        <w:t xml:space="preserve">Sustained inculcation of values and </w:t>
      </w:r>
      <w:r w:rsidR="00105289" w:rsidRPr="000A5015">
        <w:rPr>
          <w:rFonts w:asciiTheme="majorHAnsi" w:hAnsiTheme="majorHAnsi" w:cstheme="majorHAnsi"/>
          <w:sz w:val="24"/>
          <w:szCs w:val="24"/>
          <w:shd w:val="clear" w:color="auto" w:fill="FFFFFF"/>
        </w:rPr>
        <w:lastRenderedPageBreak/>
        <w:t xml:space="preserve">principles at family, community and school-based levels key to prevention and shift of attitude towards </w:t>
      </w:r>
      <w:r w:rsidR="00B349E8" w:rsidRPr="000A5015">
        <w:rPr>
          <w:rFonts w:asciiTheme="majorHAnsi" w:hAnsiTheme="majorHAnsi" w:cstheme="majorHAnsi"/>
          <w:sz w:val="24"/>
          <w:szCs w:val="24"/>
          <w:shd w:val="clear" w:color="auto" w:fill="FFFFFF"/>
        </w:rPr>
        <w:t>the vice that is theft of public resources.</w:t>
      </w:r>
    </w:p>
    <w:p w14:paraId="4D98E9EB" w14:textId="11FD4092" w:rsidR="00657A91" w:rsidRPr="000A5015" w:rsidRDefault="006B28CF" w:rsidP="00A939CF">
      <w:pPr>
        <w:pStyle w:val="Heading1"/>
      </w:pPr>
      <w:bookmarkStart w:id="1" w:name="_Toc50984429"/>
      <w:r w:rsidRPr="000A5015">
        <w:t>The fight against impunity and past human rights violations (arts. 2, 6, 7 and 14)</w:t>
      </w:r>
      <w:bookmarkEnd w:id="1"/>
    </w:p>
    <w:p w14:paraId="47F96B97" w14:textId="5E7D109B" w:rsidR="009C3061" w:rsidRPr="000A5015" w:rsidRDefault="00657A91" w:rsidP="00A939CF">
      <w:pPr>
        <w:pStyle w:val="Heading2"/>
      </w:pPr>
      <w:bookmarkStart w:id="2" w:name="_Toc50984430"/>
      <w:r w:rsidRPr="000A5015">
        <w:t>Alternative justice systems</w:t>
      </w:r>
      <w:bookmarkEnd w:id="2"/>
    </w:p>
    <w:p w14:paraId="670340F5" w14:textId="79EC445E" w:rsidR="00977CD6" w:rsidRPr="00A939CF" w:rsidRDefault="0070018C" w:rsidP="000A5015">
      <w:pPr>
        <w:spacing w:before="240" w:after="240" w:line="360" w:lineRule="auto"/>
        <w:jc w:val="both"/>
        <w:rPr>
          <w:rFonts w:asciiTheme="majorHAnsi" w:hAnsiTheme="majorHAnsi" w:cstheme="majorHAnsi"/>
          <w:sz w:val="24"/>
          <w:szCs w:val="24"/>
          <w:shd w:val="clear" w:color="auto" w:fill="FFFFFF"/>
        </w:rPr>
      </w:pPr>
      <w:r w:rsidRPr="000A5015">
        <w:rPr>
          <w:rFonts w:asciiTheme="majorHAnsi" w:hAnsiTheme="majorHAnsi" w:cstheme="majorHAnsi"/>
          <w:sz w:val="24"/>
          <w:szCs w:val="24"/>
          <w:shd w:val="clear" w:color="auto" w:fill="FFFFFF"/>
        </w:rPr>
        <w:t>The Taskforce on Alternative Justice Systems was a</w:t>
      </w:r>
      <w:r w:rsidR="00307815" w:rsidRPr="000A5015">
        <w:rPr>
          <w:rFonts w:asciiTheme="majorHAnsi" w:hAnsiTheme="majorHAnsi" w:cstheme="majorHAnsi"/>
          <w:sz w:val="24"/>
          <w:szCs w:val="24"/>
          <w:shd w:val="clear" w:color="auto" w:fill="FFFFFF"/>
        </w:rPr>
        <w:t xml:space="preserve">ppointed </w:t>
      </w:r>
      <w:r w:rsidR="00307ECF" w:rsidRPr="000A5015">
        <w:rPr>
          <w:rFonts w:asciiTheme="majorHAnsi" w:hAnsiTheme="majorHAnsi" w:cstheme="majorHAnsi"/>
          <w:sz w:val="24"/>
          <w:szCs w:val="24"/>
          <w:shd w:val="clear" w:color="auto" w:fill="FFFFFF"/>
        </w:rPr>
        <w:t xml:space="preserve">in March 2016 </w:t>
      </w:r>
      <w:r w:rsidR="00307815" w:rsidRPr="000A5015">
        <w:rPr>
          <w:rFonts w:asciiTheme="majorHAnsi" w:hAnsiTheme="majorHAnsi" w:cstheme="majorHAnsi"/>
          <w:sz w:val="24"/>
          <w:szCs w:val="24"/>
          <w:shd w:val="clear" w:color="auto" w:fill="FFFFFF"/>
        </w:rPr>
        <w:t>to look at the various traditional, informal and other mechanisms used to access j</w:t>
      </w:r>
      <w:r w:rsidRPr="000A5015">
        <w:rPr>
          <w:rFonts w:asciiTheme="majorHAnsi" w:hAnsiTheme="majorHAnsi" w:cstheme="majorHAnsi"/>
          <w:sz w:val="24"/>
          <w:szCs w:val="24"/>
          <w:shd w:val="clear" w:color="auto" w:fill="FFFFFF"/>
        </w:rPr>
        <w:t>ustice in Kenya</w:t>
      </w:r>
      <w:r w:rsidR="00502FA2" w:rsidRPr="000A5015">
        <w:rPr>
          <w:rFonts w:asciiTheme="majorHAnsi" w:hAnsiTheme="majorHAnsi" w:cstheme="majorHAnsi"/>
          <w:sz w:val="24"/>
          <w:szCs w:val="24"/>
          <w:shd w:val="clear" w:color="auto" w:fill="FFFFFF"/>
        </w:rPr>
        <w:t xml:space="preserve"> (Alternative Justice Systems).</w:t>
      </w:r>
      <w:r w:rsidR="00502FA2" w:rsidRPr="000A5015">
        <w:rPr>
          <w:rFonts w:asciiTheme="majorHAnsi" w:hAnsiTheme="majorHAnsi" w:cstheme="majorHAnsi"/>
          <w:sz w:val="24"/>
          <w:szCs w:val="24"/>
          <w:shd w:val="clear" w:color="auto" w:fill="FFFFFF"/>
          <w:vertAlign w:val="superscript"/>
        </w:rPr>
        <w:footnoteReference w:id="14"/>
      </w:r>
      <w:r w:rsidR="00502FA2" w:rsidRPr="000A5015">
        <w:rPr>
          <w:rFonts w:asciiTheme="majorHAnsi" w:hAnsiTheme="majorHAnsi" w:cstheme="majorHAnsi"/>
          <w:sz w:val="24"/>
          <w:szCs w:val="24"/>
          <w:shd w:val="clear" w:color="auto" w:fill="FFFFFF"/>
        </w:rPr>
        <w:t xml:space="preserve"> The taskforce has developed the alternative justice systems baseline policy and policy framework which allow for the development of alternative approaches and interpretations that will open space for challenges to cultural beliefs.</w:t>
      </w:r>
      <w:r w:rsidR="00502FA2" w:rsidRPr="000A5015">
        <w:rPr>
          <w:rFonts w:asciiTheme="majorHAnsi" w:hAnsiTheme="majorHAnsi" w:cstheme="majorHAnsi"/>
          <w:sz w:val="24"/>
          <w:szCs w:val="24"/>
          <w:shd w:val="clear" w:color="auto" w:fill="FFFFFF"/>
          <w:vertAlign w:val="superscript"/>
        </w:rPr>
        <w:footnoteReference w:id="15"/>
      </w:r>
      <w:r w:rsidR="00D72DBD" w:rsidRPr="000A5015">
        <w:rPr>
          <w:rFonts w:asciiTheme="majorHAnsi" w:hAnsiTheme="majorHAnsi" w:cstheme="majorHAnsi"/>
          <w:sz w:val="24"/>
          <w:szCs w:val="24"/>
          <w:shd w:val="clear" w:color="auto" w:fill="FFFFFF"/>
        </w:rPr>
        <w:t xml:space="preserve">  The Commission commends the progressive move at </w:t>
      </w:r>
      <w:r w:rsidR="00977CD6" w:rsidRPr="000A5015">
        <w:rPr>
          <w:rFonts w:asciiTheme="majorHAnsi" w:hAnsiTheme="majorHAnsi" w:cstheme="majorHAnsi"/>
          <w:sz w:val="24"/>
          <w:szCs w:val="24"/>
          <w:shd w:val="clear" w:color="auto" w:fill="FFFFFF"/>
        </w:rPr>
        <w:t>the launch</w:t>
      </w:r>
      <w:r w:rsidR="00D72DBD" w:rsidRPr="000A5015">
        <w:rPr>
          <w:rFonts w:asciiTheme="majorHAnsi" w:hAnsiTheme="majorHAnsi" w:cstheme="majorHAnsi"/>
          <w:sz w:val="24"/>
          <w:szCs w:val="24"/>
          <w:shd w:val="clear" w:color="auto" w:fill="FFFFFF"/>
        </w:rPr>
        <w:t xml:space="preserve"> of the court-annexed mediation project</w:t>
      </w:r>
      <w:r w:rsidR="00977CD6" w:rsidRPr="000A5015">
        <w:rPr>
          <w:rFonts w:asciiTheme="majorHAnsi" w:hAnsiTheme="majorHAnsi" w:cstheme="majorHAnsi"/>
          <w:sz w:val="24"/>
          <w:szCs w:val="24"/>
          <w:shd w:val="clear" w:color="auto" w:fill="FFFFFF"/>
        </w:rPr>
        <w:t xml:space="preserve"> in 2016 </w:t>
      </w:r>
      <w:r w:rsidR="00D72DBD" w:rsidRPr="000A5015">
        <w:rPr>
          <w:rFonts w:asciiTheme="majorHAnsi" w:hAnsiTheme="majorHAnsi" w:cstheme="majorHAnsi"/>
          <w:sz w:val="24"/>
          <w:szCs w:val="24"/>
          <w:shd w:val="clear" w:color="auto" w:fill="FFFFFF"/>
        </w:rPr>
        <w:t xml:space="preserve"> at the Judiciary as well as the ongoing efforts at enactment of the Mediation Bill.</w:t>
      </w:r>
      <w:r w:rsidR="00977CD6" w:rsidRPr="000A5015">
        <w:rPr>
          <w:rFonts w:asciiTheme="majorHAnsi" w:hAnsiTheme="majorHAnsi" w:cstheme="majorHAnsi"/>
          <w:sz w:val="24"/>
          <w:szCs w:val="24"/>
          <w:shd w:val="clear" w:color="auto" w:fill="FFFFFF"/>
        </w:rPr>
        <w:t xml:space="preserve"> As at May 2019, court annexed mediation had been rolled out in </w:t>
      </w:r>
      <w:r w:rsidR="00E20597" w:rsidRPr="000A5015">
        <w:rPr>
          <w:rFonts w:asciiTheme="majorHAnsi" w:hAnsiTheme="majorHAnsi" w:cstheme="majorHAnsi"/>
          <w:sz w:val="24"/>
          <w:szCs w:val="24"/>
          <w:shd w:val="clear" w:color="auto" w:fill="FFFFFF"/>
        </w:rPr>
        <w:t>eleven (</w:t>
      </w:r>
      <w:r w:rsidR="00977CD6" w:rsidRPr="000A5015">
        <w:rPr>
          <w:rFonts w:asciiTheme="majorHAnsi" w:hAnsiTheme="majorHAnsi" w:cstheme="majorHAnsi"/>
          <w:sz w:val="24"/>
          <w:szCs w:val="24"/>
          <w:shd w:val="clear" w:color="auto" w:fill="FFFFFF"/>
        </w:rPr>
        <w:t>11</w:t>
      </w:r>
      <w:r w:rsidR="00E20597" w:rsidRPr="000A5015">
        <w:rPr>
          <w:rFonts w:asciiTheme="majorHAnsi" w:hAnsiTheme="majorHAnsi" w:cstheme="majorHAnsi"/>
          <w:sz w:val="24"/>
          <w:szCs w:val="24"/>
          <w:shd w:val="clear" w:color="auto" w:fill="FFFFFF"/>
        </w:rPr>
        <w:t xml:space="preserve">) </w:t>
      </w:r>
      <w:r w:rsidR="00977CD6" w:rsidRPr="000A5015">
        <w:rPr>
          <w:rFonts w:asciiTheme="majorHAnsi" w:hAnsiTheme="majorHAnsi" w:cstheme="majorHAnsi"/>
          <w:sz w:val="24"/>
          <w:szCs w:val="24"/>
          <w:shd w:val="clear" w:color="auto" w:fill="FFFFFF"/>
        </w:rPr>
        <w:t xml:space="preserve">counties. About 3517 matters had been referred to Mediation, 2593 concluded, with 1279 settled successfully at a settlement rate of 50 per cent. About </w:t>
      </w:r>
      <w:r w:rsidR="00E20597" w:rsidRPr="000A5015">
        <w:rPr>
          <w:rFonts w:asciiTheme="majorHAnsi" w:hAnsiTheme="majorHAnsi" w:cstheme="majorHAnsi"/>
          <w:sz w:val="24"/>
          <w:szCs w:val="24"/>
          <w:shd w:val="clear" w:color="auto" w:fill="FFFFFF"/>
        </w:rPr>
        <w:t>K</w:t>
      </w:r>
      <w:r w:rsidR="00977CD6" w:rsidRPr="000A5015">
        <w:rPr>
          <w:rFonts w:asciiTheme="majorHAnsi" w:hAnsiTheme="majorHAnsi" w:cstheme="majorHAnsi"/>
          <w:sz w:val="24"/>
          <w:szCs w:val="24"/>
          <w:shd w:val="clear" w:color="auto" w:fill="FFFFFF"/>
        </w:rPr>
        <w:t>Sh7.2 billion that had been held in litigation has been released through Court Annexed Mediation during the 2018/2029 financial year.</w:t>
      </w:r>
      <w:r w:rsidR="00977CD6" w:rsidRPr="000A5015">
        <w:rPr>
          <w:rFonts w:asciiTheme="majorHAnsi" w:hAnsiTheme="majorHAnsi" w:cstheme="majorHAnsi"/>
          <w:sz w:val="24"/>
          <w:szCs w:val="24"/>
          <w:shd w:val="clear" w:color="auto" w:fill="FFFFFF"/>
          <w:vertAlign w:val="superscript"/>
        </w:rPr>
        <w:footnoteReference w:id="16"/>
      </w:r>
      <w:r w:rsidR="00977CD6" w:rsidRPr="000A5015">
        <w:rPr>
          <w:rFonts w:asciiTheme="majorHAnsi" w:hAnsiTheme="majorHAnsi" w:cstheme="majorHAnsi"/>
          <w:sz w:val="24"/>
          <w:szCs w:val="24"/>
          <w:shd w:val="clear" w:color="auto" w:fill="FFFFFF"/>
        </w:rPr>
        <w:t xml:space="preserve"> Despite the progressive move at the alternative justice system, more still needs to be done to sensitise and encourage the uptake of this mode of dispute settlement. Furthermore, case backlog continues to bite. At the end of the 2018/2019 period, case backlog stood at 341,056 cases.</w:t>
      </w:r>
      <w:r w:rsidR="00977CD6" w:rsidRPr="000A5015">
        <w:rPr>
          <w:rFonts w:asciiTheme="majorHAnsi" w:hAnsiTheme="majorHAnsi" w:cstheme="majorHAnsi"/>
          <w:sz w:val="24"/>
          <w:szCs w:val="24"/>
          <w:shd w:val="clear" w:color="auto" w:fill="FFFFFF"/>
          <w:vertAlign w:val="superscript"/>
        </w:rPr>
        <w:footnoteReference w:id="17"/>
      </w:r>
      <w:r w:rsidR="00975FCB" w:rsidRPr="000A5015">
        <w:rPr>
          <w:rFonts w:asciiTheme="majorHAnsi" w:hAnsiTheme="majorHAnsi" w:cstheme="majorHAnsi"/>
          <w:sz w:val="24"/>
          <w:szCs w:val="24"/>
          <w:shd w:val="clear" w:color="auto" w:fill="FFFFFF"/>
        </w:rPr>
        <w:t xml:space="preserve">The perennial disobedience of court orders by the government continues to be a </w:t>
      </w:r>
      <w:r w:rsidR="00975FCB" w:rsidRPr="00A939CF">
        <w:rPr>
          <w:rFonts w:asciiTheme="majorHAnsi" w:hAnsiTheme="majorHAnsi" w:cstheme="majorHAnsi"/>
          <w:sz w:val="24"/>
          <w:szCs w:val="24"/>
          <w:shd w:val="clear" w:color="auto" w:fill="FFFFFF"/>
        </w:rPr>
        <w:t>major hindrance to access to justice.</w:t>
      </w:r>
    </w:p>
    <w:p w14:paraId="50F35E4B" w14:textId="77777777" w:rsidR="00657A91" w:rsidRPr="00A939CF" w:rsidRDefault="00657A91" w:rsidP="00A939CF">
      <w:pPr>
        <w:pStyle w:val="Heading2"/>
      </w:pPr>
      <w:bookmarkStart w:id="3" w:name="_Toc50984431"/>
      <w:r w:rsidRPr="00A939CF">
        <w:lastRenderedPageBreak/>
        <w:t>The Truth Justice and Reconciliation Commission</w:t>
      </w:r>
      <w:bookmarkEnd w:id="3"/>
    </w:p>
    <w:p w14:paraId="23754B19" w14:textId="2440751C" w:rsidR="00CD7681" w:rsidRPr="00A939CF" w:rsidRDefault="00556E07"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The Truth Justice and Reconciliation Commission was established after the 2007 General election following the post-election violence that marred the country at the time. The core mandate of the Commission was to look into cases of human rights violations in the country between 1963 and 2008.</w:t>
      </w:r>
      <w:r w:rsidRPr="00A939CF">
        <w:rPr>
          <w:rFonts w:asciiTheme="majorHAnsi" w:hAnsiTheme="majorHAnsi" w:cstheme="majorHAnsi"/>
          <w:sz w:val="24"/>
          <w:szCs w:val="24"/>
          <w:shd w:val="clear" w:color="auto" w:fill="FFFFFF"/>
          <w:vertAlign w:val="superscript"/>
        </w:rPr>
        <w:footnoteReference w:id="18"/>
      </w:r>
      <w:r w:rsidR="00CD7681" w:rsidRPr="00A939CF">
        <w:rPr>
          <w:rFonts w:asciiTheme="majorHAnsi" w:hAnsiTheme="majorHAnsi" w:cstheme="majorHAnsi"/>
          <w:sz w:val="24"/>
          <w:szCs w:val="24"/>
          <w:shd w:val="clear" w:color="auto" w:fill="FFFFFF"/>
        </w:rPr>
        <w:t xml:space="preserve"> The TJRC report recommended the setting up of a </w:t>
      </w:r>
      <w:r w:rsidR="0077645E" w:rsidRPr="00A939CF">
        <w:rPr>
          <w:rFonts w:asciiTheme="majorHAnsi" w:hAnsiTheme="majorHAnsi" w:cstheme="majorHAnsi"/>
          <w:sz w:val="24"/>
          <w:szCs w:val="24"/>
          <w:shd w:val="clear" w:color="auto" w:fill="FFFFFF"/>
        </w:rPr>
        <w:t>reparations mechanism</w:t>
      </w:r>
      <w:r w:rsidR="00CD7681" w:rsidRPr="00A939CF">
        <w:rPr>
          <w:rFonts w:asciiTheme="majorHAnsi" w:hAnsiTheme="majorHAnsi" w:cstheme="majorHAnsi"/>
          <w:sz w:val="24"/>
          <w:szCs w:val="24"/>
          <w:shd w:val="clear" w:color="auto" w:fill="FFFFFF"/>
        </w:rPr>
        <w:t xml:space="preserve"> for which the state shall be responsible. Further, it recommends the following forms of reparations to be provided to victims of historical injustices: </w:t>
      </w:r>
      <w:r w:rsidR="00502FA2" w:rsidRPr="00A939CF">
        <w:rPr>
          <w:rFonts w:asciiTheme="majorHAnsi" w:hAnsiTheme="majorHAnsi" w:cstheme="majorHAnsi"/>
          <w:sz w:val="24"/>
          <w:szCs w:val="24"/>
          <w:shd w:val="clear" w:color="auto" w:fill="FFFFFF"/>
        </w:rPr>
        <w:t>restitution, c</w:t>
      </w:r>
      <w:r w:rsidR="00CD5567" w:rsidRPr="00A939CF">
        <w:rPr>
          <w:rFonts w:asciiTheme="majorHAnsi" w:hAnsiTheme="majorHAnsi" w:cstheme="majorHAnsi"/>
          <w:sz w:val="24"/>
          <w:szCs w:val="24"/>
          <w:shd w:val="clear" w:color="auto" w:fill="FFFFFF"/>
        </w:rPr>
        <w:t>ompensation, rehabilitation, s</w:t>
      </w:r>
      <w:r w:rsidR="00CD7681" w:rsidRPr="00A939CF">
        <w:rPr>
          <w:rFonts w:asciiTheme="majorHAnsi" w:hAnsiTheme="majorHAnsi" w:cstheme="majorHAnsi"/>
          <w:sz w:val="24"/>
          <w:szCs w:val="24"/>
          <w:shd w:val="clear" w:color="auto" w:fill="FFFFFF"/>
        </w:rPr>
        <w:t>atisfaction which includes official</w:t>
      </w:r>
      <w:r w:rsidR="002338BA" w:rsidRPr="00A939CF">
        <w:rPr>
          <w:rFonts w:asciiTheme="majorHAnsi" w:hAnsiTheme="majorHAnsi" w:cstheme="majorHAnsi"/>
          <w:sz w:val="24"/>
          <w:szCs w:val="24"/>
          <w:shd w:val="clear" w:color="auto" w:fill="FFFFFF"/>
        </w:rPr>
        <w:t xml:space="preserve"> </w:t>
      </w:r>
      <w:r w:rsidR="00CD7681" w:rsidRPr="00A939CF">
        <w:rPr>
          <w:rFonts w:asciiTheme="majorHAnsi" w:hAnsiTheme="majorHAnsi" w:cstheme="majorHAnsi"/>
          <w:sz w:val="24"/>
          <w:szCs w:val="24"/>
          <w:shd w:val="clear" w:color="auto" w:fill="FFFFFF"/>
        </w:rPr>
        <w:t>declarations restoring dignity</w:t>
      </w:r>
      <w:r w:rsidR="002338BA" w:rsidRPr="00A939CF">
        <w:rPr>
          <w:rFonts w:asciiTheme="majorHAnsi" w:hAnsiTheme="majorHAnsi" w:cstheme="majorHAnsi"/>
          <w:sz w:val="24"/>
          <w:szCs w:val="24"/>
          <w:shd w:val="clear" w:color="auto" w:fill="FFFFFF"/>
        </w:rPr>
        <w:t xml:space="preserve"> </w:t>
      </w:r>
      <w:r w:rsidR="00CD7681" w:rsidRPr="00A939CF">
        <w:rPr>
          <w:rFonts w:asciiTheme="majorHAnsi" w:hAnsiTheme="majorHAnsi" w:cstheme="majorHAnsi"/>
          <w:sz w:val="24"/>
          <w:szCs w:val="24"/>
          <w:shd w:val="clear" w:color="auto" w:fill="FFFFFF"/>
        </w:rPr>
        <w:t xml:space="preserve">and reputation, public apology, commemoration and tributes; and </w:t>
      </w:r>
      <w:r w:rsidR="00CD5567" w:rsidRPr="00A939CF">
        <w:rPr>
          <w:rFonts w:asciiTheme="majorHAnsi" w:hAnsiTheme="majorHAnsi" w:cstheme="majorHAnsi"/>
          <w:sz w:val="24"/>
          <w:szCs w:val="24"/>
          <w:shd w:val="clear" w:color="auto" w:fill="FFFFFF"/>
        </w:rPr>
        <w:t>Guarantees of Non-repetition.</w:t>
      </w:r>
    </w:p>
    <w:p w14:paraId="65CECE7A" w14:textId="77777777" w:rsidR="000E7344" w:rsidRPr="00A939CF" w:rsidRDefault="00CD7681"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The President offered a public apology on behalf of the government for all past human rights violations and other historical injustices. He also instructed the National Treasury to establish the Restorative Justice Fund. The purpose of the fund is to offer relief to the victims and survivors of past human rights violations and other historical injustices.</w:t>
      </w:r>
      <w:r w:rsidRPr="00833E65">
        <w:rPr>
          <w:rFonts w:asciiTheme="majorHAnsi" w:hAnsiTheme="majorHAnsi" w:cstheme="majorHAnsi"/>
          <w:sz w:val="24"/>
          <w:szCs w:val="24"/>
          <w:shd w:val="clear" w:color="auto" w:fill="FFFFFF"/>
          <w:vertAlign w:val="superscript"/>
        </w:rPr>
        <w:footnoteReference w:id="19"/>
      </w:r>
    </w:p>
    <w:p w14:paraId="49D41AB3" w14:textId="6A56BAC2" w:rsidR="00B51A93" w:rsidRPr="00A939CF" w:rsidRDefault="00B13D05" w:rsidP="00833E65">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The State, in partnership with the Commission and the International </w:t>
      </w:r>
      <w:proofErr w:type="spellStart"/>
      <w:r w:rsidRPr="00A939CF">
        <w:rPr>
          <w:rFonts w:asciiTheme="majorHAnsi" w:hAnsiTheme="majorHAnsi" w:cstheme="majorHAnsi"/>
          <w:sz w:val="24"/>
          <w:szCs w:val="24"/>
          <w:shd w:val="clear" w:color="auto" w:fill="FFFFFF"/>
        </w:rPr>
        <w:t>Center</w:t>
      </w:r>
      <w:proofErr w:type="spellEnd"/>
      <w:r w:rsidRPr="00A939CF">
        <w:rPr>
          <w:rFonts w:asciiTheme="majorHAnsi" w:hAnsiTheme="majorHAnsi" w:cstheme="majorHAnsi"/>
          <w:sz w:val="24"/>
          <w:szCs w:val="24"/>
          <w:shd w:val="clear" w:color="auto" w:fill="FFFFFF"/>
        </w:rPr>
        <w:t xml:space="preserve"> for Transitional Justice (ICTJ)</w:t>
      </w:r>
      <w:r w:rsidR="00307815" w:rsidRPr="00A939CF">
        <w:rPr>
          <w:rFonts w:asciiTheme="majorHAnsi" w:hAnsiTheme="majorHAnsi" w:cstheme="majorHAnsi"/>
          <w:sz w:val="24"/>
          <w:szCs w:val="24"/>
          <w:shd w:val="clear" w:color="auto" w:fill="FFFFFF"/>
        </w:rPr>
        <w:t xml:space="preserve"> </w:t>
      </w:r>
      <w:r w:rsidRPr="00A939CF">
        <w:rPr>
          <w:rFonts w:asciiTheme="majorHAnsi" w:hAnsiTheme="majorHAnsi" w:cstheme="majorHAnsi"/>
          <w:sz w:val="24"/>
          <w:szCs w:val="24"/>
          <w:shd w:val="clear" w:color="auto" w:fill="FFFFFF"/>
        </w:rPr>
        <w:t xml:space="preserve">developed the draft Public Finance Management (Reparations for Historical Injustices Fund) Regulations, 2017. The purpose of these Regulations </w:t>
      </w:r>
      <w:r w:rsidR="00853343" w:rsidRPr="00A939CF">
        <w:rPr>
          <w:rFonts w:asciiTheme="majorHAnsi" w:hAnsiTheme="majorHAnsi" w:cstheme="majorHAnsi"/>
          <w:sz w:val="24"/>
          <w:szCs w:val="24"/>
          <w:shd w:val="clear" w:color="auto" w:fill="FFFFFF"/>
        </w:rPr>
        <w:t>was</w:t>
      </w:r>
      <w:r w:rsidRPr="00A939CF">
        <w:rPr>
          <w:rFonts w:asciiTheme="majorHAnsi" w:hAnsiTheme="majorHAnsi" w:cstheme="majorHAnsi"/>
          <w:sz w:val="24"/>
          <w:szCs w:val="24"/>
          <w:shd w:val="clear" w:color="auto" w:fill="FFFFFF"/>
        </w:rPr>
        <w:t xml:space="preserve"> to provide a framework for the establishment and operationalization of a reparations program. </w:t>
      </w:r>
      <w:r w:rsidR="00EB6A63" w:rsidRPr="00A939CF">
        <w:rPr>
          <w:rFonts w:asciiTheme="majorHAnsi" w:hAnsiTheme="majorHAnsi" w:cstheme="majorHAnsi"/>
          <w:sz w:val="24"/>
          <w:szCs w:val="24"/>
          <w:shd w:val="clear" w:color="auto" w:fill="FFFFFF"/>
        </w:rPr>
        <w:t>As at the time of reporting, t</w:t>
      </w:r>
      <w:r w:rsidR="00E20597" w:rsidRPr="00A939CF">
        <w:rPr>
          <w:rFonts w:asciiTheme="majorHAnsi" w:hAnsiTheme="majorHAnsi" w:cstheme="majorHAnsi"/>
          <w:sz w:val="24"/>
          <w:szCs w:val="24"/>
          <w:shd w:val="clear" w:color="auto" w:fill="FFFFFF"/>
        </w:rPr>
        <w:t>he</w:t>
      </w:r>
      <w:r w:rsidR="00EB6A63" w:rsidRPr="00A939CF">
        <w:rPr>
          <w:rFonts w:asciiTheme="majorHAnsi" w:hAnsiTheme="majorHAnsi" w:cstheme="majorHAnsi"/>
          <w:sz w:val="24"/>
          <w:szCs w:val="24"/>
          <w:shd w:val="clear" w:color="auto" w:fill="FFFFFF"/>
        </w:rPr>
        <w:t xml:space="preserve"> mechanism was yet to be </w:t>
      </w:r>
      <w:r w:rsidR="00853343" w:rsidRPr="00A939CF">
        <w:rPr>
          <w:rFonts w:asciiTheme="majorHAnsi" w:hAnsiTheme="majorHAnsi" w:cstheme="majorHAnsi"/>
          <w:sz w:val="24"/>
          <w:szCs w:val="24"/>
          <w:shd w:val="clear" w:color="auto" w:fill="FFFFFF"/>
        </w:rPr>
        <w:t>formalised and adopted by the State</w:t>
      </w:r>
      <w:r w:rsidR="00EB6A63" w:rsidRPr="00A939CF">
        <w:rPr>
          <w:rFonts w:asciiTheme="majorHAnsi" w:hAnsiTheme="majorHAnsi" w:cstheme="majorHAnsi"/>
          <w:sz w:val="24"/>
          <w:szCs w:val="24"/>
          <w:shd w:val="clear" w:color="auto" w:fill="FFFFFF"/>
        </w:rPr>
        <w:t>.</w:t>
      </w:r>
    </w:p>
    <w:p w14:paraId="7618C981" w14:textId="386E94DE" w:rsidR="00F33025" w:rsidRPr="00A939CF" w:rsidRDefault="00F33025" w:rsidP="00A939CF">
      <w:pPr>
        <w:pStyle w:val="Heading2"/>
      </w:pPr>
      <w:bookmarkStart w:id="4" w:name="_Toc50984432"/>
      <w:r w:rsidRPr="00A939CF">
        <w:t>Measures taken to implement effectively the Victims Protection Act 2014, including the status of the Victim Protection Trust Fund.</w:t>
      </w:r>
      <w:bookmarkEnd w:id="4"/>
    </w:p>
    <w:p w14:paraId="0551D155" w14:textId="575D0620" w:rsidR="0030277A" w:rsidRPr="00A939CF" w:rsidRDefault="0030277A"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The Victim Protection Trust Fund is yet to be operational. The Commission continues to press for the fast-tracking of the regulations to operationalise the</w:t>
      </w:r>
      <w:r w:rsidR="00EC554F" w:rsidRPr="00A939CF">
        <w:rPr>
          <w:rFonts w:asciiTheme="majorHAnsi" w:hAnsiTheme="majorHAnsi" w:cstheme="majorHAnsi"/>
          <w:sz w:val="24"/>
          <w:szCs w:val="24"/>
          <w:shd w:val="clear" w:color="auto" w:fill="FFFFFF"/>
        </w:rPr>
        <w:t xml:space="preserve"> Victim Protection Trust Fund</w:t>
      </w:r>
      <w:r w:rsidRPr="00A939CF">
        <w:rPr>
          <w:rFonts w:asciiTheme="majorHAnsi" w:hAnsiTheme="majorHAnsi" w:cstheme="majorHAnsi"/>
          <w:sz w:val="24"/>
          <w:szCs w:val="24"/>
          <w:shd w:val="clear" w:color="auto" w:fill="FFFFFF"/>
        </w:rPr>
        <w:t>. The</w:t>
      </w:r>
      <w:r w:rsidR="00EC554F" w:rsidRPr="00A939CF">
        <w:rPr>
          <w:rFonts w:asciiTheme="majorHAnsi" w:hAnsiTheme="majorHAnsi" w:cstheme="majorHAnsi"/>
          <w:sz w:val="24"/>
          <w:szCs w:val="24"/>
          <w:shd w:val="clear" w:color="auto" w:fill="FFFFFF"/>
        </w:rPr>
        <w:t xml:space="preserve"> </w:t>
      </w:r>
      <w:r w:rsidR="00EC554F" w:rsidRPr="00A939CF">
        <w:rPr>
          <w:rFonts w:asciiTheme="majorHAnsi" w:hAnsiTheme="majorHAnsi" w:cstheme="majorHAnsi"/>
          <w:sz w:val="24"/>
          <w:szCs w:val="24"/>
          <w:shd w:val="clear" w:color="auto" w:fill="FFFFFF"/>
        </w:rPr>
        <w:lastRenderedPageBreak/>
        <w:t>regulations</w:t>
      </w:r>
      <w:r w:rsidRPr="00A939CF">
        <w:rPr>
          <w:rFonts w:asciiTheme="majorHAnsi" w:hAnsiTheme="majorHAnsi" w:cstheme="majorHAnsi"/>
          <w:sz w:val="24"/>
          <w:szCs w:val="24"/>
          <w:shd w:val="clear" w:color="auto" w:fill="FFFFFF"/>
        </w:rPr>
        <w:t xml:space="preserve"> are key to the operationalisation of various laws including the Victim Protection Act and the Prevention of Torture Act, 20</w:t>
      </w:r>
      <w:r w:rsidR="00387F2A" w:rsidRPr="00A939CF">
        <w:rPr>
          <w:rFonts w:asciiTheme="majorHAnsi" w:hAnsiTheme="majorHAnsi" w:cstheme="majorHAnsi"/>
          <w:sz w:val="24"/>
          <w:szCs w:val="24"/>
          <w:shd w:val="clear" w:color="auto" w:fill="FFFFFF"/>
        </w:rPr>
        <w:t>17</w:t>
      </w:r>
      <w:r w:rsidRPr="00A939CF">
        <w:rPr>
          <w:rFonts w:asciiTheme="majorHAnsi" w:hAnsiTheme="majorHAnsi" w:cstheme="majorHAnsi"/>
          <w:sz w:val="24"/>
          <w:szCs w:val="24"/>
          <w:shd w:val="clear" w:color="auto" w:fill="FFFFFF"/>
        </w:rPr>
        <w:t>.</w:t>
      </w:r>
    </w:p>
    <w:p w14:paraId="691132F2" w14:textId="77777777" w:rsidR="006E4C12" w:rsidRPr="00A939CF" w:rsidRDefault="006E4C12" w:rsidP="00A939CF">
      <w:pPr>
        <w:pStyle w:val="Heading1"/>
      </w:pPr>
      <w:bookmarkStart w:id="5" w:name="_Toc50984433"/>
      <w:r w:rsidRPr="00A939CF">
        <w:t>Non-discrimination (arts. 2 and 2</w:t>
      </w:r>
      <w:bookmarkStart w:id="6" w:name="art4"/>
      <w:bookmarkStart w:id="7" w:name="art15"/>
      <w:bookmarkStart w:id="8" w:name="art16"/>
      <w:bookmarkStart w:id="9" w:name="art17"/>
      <w:bookmarkStart w:id="10" w:name="art18"/>
      <w:bookmarkEnd w:id="6"/>
      <w:bookmarkEnd w:id="7"/>
      <w:bookmarkEnd w:id="8"/>
      <w:bookmarkEnd w:id="9"/>
      <w:bookmarkEnd w:id="10"/>
      <w:r w:rsidRPr="00A939CF">
        <w:t>6)</w:t>
      </w:r>
      <w:bookmarkEnd w:id="5"/>
    </w:p>
    <w:p w14:paraId="53DC59A9" w14:textId="770E645B" w:rsidR="00645644" w:rsidRPr="00A939CF" w:rsidRDefault="006E4C12"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Article 27 (4) of the Constitution states that every person is equal before the law and has the right to equal protection and equal benefit of the law. In addition, it protects any person from discrimination either directly or indirectly</w:t>
      </w:r>
      <w:r w:rsidR="00CD5567" w:rsidRPr="00A939CF">
        <w:rPr>
          <w:rFonts w:asciiTheme="majorHAnsi" w:hAnsiTheme="majorHAnsi" w:cstheme="majorHAnsi"/>
          <w:sz w:val="24"/>
          <w:szCs w:val="24"/>
          <w:shd w:val="clear" w:color="auto" w:fill="FFFFFF"/>
        </w:rPr>
        <w:t>.</w:t>
      </w:r>
      <w:r w:rsidR="00975FCB" w:rsidRPr="00A939CF">
        <w:rPr>
          <w:rFonts w:asciiTheme="majorHAnsi" w:hAnsiTheme="majorHAnsi" w:cstheme="majorHAnsi"/>
          <w:sz w:val="24"/>
          <w:szCs w:val="24"/>
          <w:shd w:val="clear" w:color="auto" w:fill="FFFFFF"/>
        </w:rPr>
        <w:t xml:space="preserve"> T</w:t>
      </w:r>
      <w:r w:rsidR="00645644" w:rsidRPr="00A939CF">
        <w:rPr>
          <w:rFonts w:asciiTheme="majorHAnsi" w:hAnsiTheme="majorHAnsi" w:cstheme="majorHAnsi"/>
          <w:sz w:val="24"/>
          <w:szCs w:val="24"/>
          <w:shd w:val="clear" w:color="auto" w:fill="FFFFFF"/>
        </w:rPr>
        <w:t xml:space="preserve">he State is yet to enact the equality and non-discrimination law in line with Article 27 of the Constitution. </w:t>
      </w:r>
    </w:p>
    <w:p w14:paraId="476889E0" w14:textId="77777777" w:rsidR="00307815" w:rsidRPr="00A939CF" w:rsidRDefault="00307815" w:rsidP="00A939CF">
      <w:pPr>
        <w:pStyle w:val="Heading2"/>
        <w:numPr>
          <w:ilvl w:val="0"/>
          <w:numId w:val="24"/>
        </w:numPr>
      </w:pPr>
      <w:bookmarkStart w:id="11" w:name="_Toc50984434"/>
      <w:r w:rsidRPr="00A939CF">
        <w:t>Protection of LGBT persons</w:t>
      </w:r>
      <w:bookmarkEnd w:id="11"/>
      <w:r w:rsidRPr="00A939CF">
        <w:t xml:space="preserve"> </w:t>
      </w:r>
    </w:p>
    <w:p w14:paraId="107E3C48" w14:textId="21667BF7" w:rsidR="0063433F" w:rsidRPr="00A939CF" w:rsidRDefault="0063433F"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Consensual adult private sexual conduct between persons of the same sex is a crime in Kenya as provided in section 162 (a) and (c), section 163 and section 165 of the Penal Code.</w:t>
      </w:r>
      <w:r w:rsidRPr="00A939CF">
        <w:rPr>
          <w:rFonts w:asciiTheme="majorHAnsi" w:hAnsiTheme="majorHAnsi" w:cstheme="majorHAnsi"/>
          <w:sz w:val="24"/>
          <w:szCs w:val="24"/>
          <w:shd w:val="clear" w:color="auto" w:fill="FFFFFF"/>
          <w:vertAlign w:val="superscript"/>
        </w:rPr>
        <w:footnoteReference w:id="20"/>
      </w:r>
      <w:r w:rsidRPr="00A939CF">
        <w:rPr>
          <w:rFonts w:asciiTheme="majorHAnsi" w:hAnsiTheme="majorHAnsi" w:cstheme="majorHAnsi"/>
          <w:sz w:val="24"/>
          <w:szCs w:val="24"/>
          <w:shd w:val="clear" w:color="auto" w:fill="FFFFFF"/>
        </w:rPr>
        <w:t xml:space="preserve"> As at the time of reporting, a petition filed in the </w:t>
      </w:r>
      <w:r w:rsidR="00EB6A63" w:rsidRPr="00A939CF">
        <w:rPr>
          <w:rFonts w:asciiTheme="majorHAnsi" w:hAnsiTheme="majorHAnsi" w:cstheme="majorHAnsi"/>
          <w:sz w:val="24"/>
          <w:szCs w:val="24"/>
          <w:shd w:val="clear" w:color="auto" w:fill="FFFFFF"/>
        </w:rPr>
        <w:t>H</w:t>
      </w:r>
      <w:r w:rsidRPr="00A939CF">
        <w:rPr>
          <w:rFonts w:asciiTheme="majorHAnsi" w:hAnsiTheme="majorHAnsi" w:cstheme="majorHAnsi"/>
          <w:sz w:val="24"/>
          <w:szCs w:val="24"/>
          <w:shd w:val="clear" w:color="auto" w:fill="FFFFFF"/>
        </w:rPr>
        <w:t xml:space="preserve">igh </w:t>
      </w:r>
      <w:r w:rsidR="00EB6A63" w:rsidRPr="00A939CF">
        <w:rPr>
          <w:rFonts w:asciiTheme="majorHAnsi" w:hAnsiTheme="majorHAnsi" w:cstheme="majorHAnsi"/>
          <w:sz w:val="24"/>
          <w:szCs w:val="24"/>
          <w:shd w:val="clear" w:color="auto" w:fill="FFFFFF"/>
        </w:rPr>
        <w:t>C</w:t>
      </w:r>
      <w:r w:rsidRPr="00A939CF">
        <w:rPr>
          <w:rFonts w:asciiTheme="majorHAnsi" w:hAnsiTheme="majorHAnsi" w:cstheme="majorHAnsi"/>
          <w:sz w:val="24"/>
          <w:szCs w:val="24"/>
          <w:shd w:val="clear" w:color="auto" w:fill="FFFFFF"/>
        </w:rPr>
        <w:t>ourt challenging the constitutionality of sections 162 (a) and (c), 163 and 165 of the Penal Code was unsuccessful.</w:t>
      </w:r>
      <w:r w:rsidRPr="00A939CF">
        <w:rPr>
          <w:rFonts w:asciiTheme="majorHAnsi" w:hAnsiTheme="majorHAnsi" w:cstheme="majorHAnsi"/>
          <w:sz w:val="24"/>
          <w:szCs w:val="24"/>
          <w:shd w:val="clear" w:color="auto" w:fill="FFFFFF"/>
          <w:vertAlign w:val="superscript"/>
        </w:rPr>
        <w:footnoteReference w:id="21"/>
      </w:r>
    </w:p>
    <w:p w14:paraId="55DB4AD4" w14:textId="18046D76" w:rsidR="0063433F" w:rsidRPr="00A939CF" w:rsidRDefault="0063433F"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Persons of diverse sexual orientation and gender identity face challenges including killings, physical violence, stigma and exclusion from family, expulsion for workplaces, learning institutions, blackmail, extortion, denial of work, housing and poor access to healthcare.</w:t>
      </w:r>
      <w:r w:rsidRPr="00A939CF">
        <w:rPr>
          <w:rFonts w:asciiTheme="majorHAnsi" w:hAnsiTheme="majorHAnsi" w:cstheme="majorHAnsi"/>
          <w:sz w:val="24"/>
          <w:szCs w:val="24"/>
          <w:shd w:val="clear" w:color="auto" w:fill="FFFFFF"/>
          <w:vertAlign w:val="superscript"/>
        </w:rPr>
        <w:footnoteReference w:id="22"/>
      </w:r>
      <w:r w:rsidRPr="00A939CF">
        <w:rPr>
          <w:rFonts w:asciiTheme="majorHAnsi" w:hAnsiTheme="majorHAnsi" w:cstheme="majorHAnsi"/>
          <w:sz w:val="24"/>
          <w:szCs w:val="24"/>
          <w:shd w:val="clear" w:color="auto" w:fill="FFFFFF"/>
        </w:rPr>
        <w:t xml:space="preserve"> Furthermore, there exists legal and policy gaps providing recognition for persons whose gender identity does not conform to the sex assigned during birth and for those who wish to change their gender markers in government issued documentation contributing to discrimination and ill treatment of sexual and gender minorities.</w:t>
      </w:r>
      <w:r w:rsidRPr="00A939CF">
        <w:rPr>
          <w:rFonts w:asciiTheme="majorHAnsi" w:hAnsiTheme="majorHAnsi" w:cstheme="majorHAnsi"/>
          <w:sz w:val="24"/>
          <w:szCs w:val="24"/>
          <w:shd w:val="clear" w:color="auto" w:fill="FFFFFF"/>
          <w:vertAlign w:val="superscript"/>
        </w:rPr>
        <w:footnoteReference w:id="23"/>
      </w:r>
    </w:p>
    <w:p w14:paraId="58D29B74" w14:textId="7CE818F0" w:rsidR="0063433F" w:rsidRPr="00A939CF" w:rsidRDefault="0063433F"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lastRenderedPageBreak/>
        <w:t>The reporting period has seen to the courts making progressive pronouncements protecting the rights of persons of diverse sexual orientation and gender identity Kenya:</w:t>
      </w:r>
    </w:p>
    <w:p w14:paraId="22A29552" w14:textId="2264A349" w:rsidR="0063433F" w:rsidRPr="00A939CF" w:rsidRDefault="0063433F" w:rsidP="00A939CF">
      <w:pPr>
        <w:pStyle w:val="ListParagraph"/>
        <w:numPr>
          <w:ilvl w:val="0"/>
          <w:numId w:val="25"/>
        </w:num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COI &amp; another versus Chief Magistrate </w:t>
      </w:r>
      <w:proofErr w:type="spellStart"/>
      <w:r w:rsidRPr="00A939CF">
        <w:rPr>
          <w:rFonts w:asciiTheme="majorHAnsi" w:hAnsiTheme="majorHAnsi" w:cstheme="majorHAnsi"/>
          <w:sz w:val="24"/>
          <w:szCs w:val="24"/>
          <w:shd w:val="clear" w:color="auto" w:fill="FFFFFF"/>
        </w:rPr>
        <w:t>Ukunda</w:t>
      </w:r>
      <w:proofErr w:type="spellEnd"/>
      <w:r w:rsidRPr="00A939CF">
        <w:rPr>
          <w:rFonts w:asciiTheme="majorHAnsi" w:hAnsiTheme="majorHAnsi" w:cstheme="majorHAnsi"/>
          <w:sz w:val="24"/>
          <w:szCs w:val="24"/>
          <w:shd w:val="clear" w:color="auto" w:fill="FFFFFF"/>
        </w:rPr>
        <w:t xml:space="preserve"> Laws Courts and 4 Others</w:t>
      </w:r>
      <w:r w:rsidRPr="00A939CF">
        <w:rPr>
          <w:rFonts w:asciiTheme="majorHAnsi" w:hAnsiTheme="majorHAnsi" w:cstheme="majorHAnsi"/>
          <w:sz w:val="24"/>
          <w:szCs w:val="24"/>
          <w:shd w:val="clear" w:color="auto" w:fill="FFFFFF"/>
          <w:vertAlign w:val="superscript"/>
        </w:rPr>
        <w:footnoteReference w:id="24"/>
      </w:r>
      <w:r w:rsidR="002338BA" w:rsidRPr="00A939CF">
        <w:rPr>
          <w:rFonts w:asciiTheme="majorHAnsi" w:hAnsiTheme="majorHAnsi" w:cstheme="majorHAnsi"/>
          <w:sz w:val="24"/>
          <w:szCs w:val="24"/>
          <w:shd w:val="clear" w:color="auto" w:fill="FFFFFF"/>
        </w:rPr>
        <w:t>.</w:t>
      </w:r>
      <w:r w:rsidRPr="00A939CF">
        <w:rPr>
          <w:rFonts w:asciiTheme="majorHAnsi" w:hAnsiTheme="majorHAnsi" w:cstheme="majorHAnsi"/>
          <w:sz w:val="24"/>
          <w:szCs w:val="24"/>
          <w:shd w:val="clear" w:color="auto" w:fill="FFFFFF"/>
        </w:rPr>
        <w:t xml:space="preserve"> The Court of Appeal in Mombasa declared forced anal examination as unconstitutional on account that its amounts to torture and violates the rule against self-incrimination</w:t>
      </w:r>
      <w:r w:rsidR="00FA1A45" w:rsidRPr="00A939CF">
        <w:rPr>
          <w:rFonts w:asciiTheme="majorHAnsi" w:hAnsiTheme="majorHAnsi" w:cstheme="majorHAnsi"/>
          <w:sz w:val="24"/>
          <w:szCs w:val="24"/>
          <w:shd w:val="clear" w:color="auto" w:fill="FFFFFF"/>
        </w:rPr>
        <w:t>;</w:t>
      </w:r>
    </w:p>
    <w:p w14:paraId="52473F02" w14:textId="37031B9C" w:rsidR="0063433F" w:rsidRPr="00A939CF" w:rsidRDefault="0063433F" w:rsidP="00A939CF">
      <w:pPr>
        <w:pStyle w:val="ListParagraph"/>
        <w:numPr>
          <w:ilvl w:val="0"/>
          <w:numId w:val="25"/>
        </w:num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Eric </w:t>
      </w:r>
      <w:proofErr w:type="spellStart"/>
      <w:r w:rsidRPr="00A939CF">
        <w:rPr>
          <w:rFonts w:asciiTheme="majorHAnsi" w:hAnsiTheme="majorHAnsi" w:cstheme="majorHAnsi"/>
          <w:sz w:val="24"/>
          <w:szCs w:val="24"/>
          <w:shd w:val="clear" w:color="auto" w:fill="FFFFFF"/>
        </w:rPr>
        <w:t>Gitari</w:t>
      </w:r>
      <w:proofErr w:type="spellEnd"/>
      <w:r w:rsidRPr="00A939CF">
        <w:rPr>
          <w:rFonts w:asciiTheme="majorHAnsi" w:hAnsiTheme="majorHAnsi" w:cstheme="majorHAnsi"/>
          <w:sz w:val="24"/>
          <w:szCs w:val="24"/>
          <w:shd w:val="clear" w:color="auto" w:fill="FFFFFF"/>
        </w:rPr>
        <w:t xml:space="preserve"> versus the Non-Governmental Organizations Co-ordination Board &amp; 4 Others</w:t>
      </w:r>
      <w:r w:rsidRPr="00A939CF">
        <w:rPr>
          <w:rFonts w:asciiTheme="majorHAnsi" w:hAnsiTheme="majorHAnsi" w:cstheme="majorHAnsi"/>
          <w:sz w:val="24"/>
          <w:szCs w:val="24"/>
          <w:shd w:val="clear" w:color="auto" w:fill="FFFFFF"/>
          <w:vertAlign w:val="superscript"/>
        </w:rPr>
        <w:footnoteReference w:id="25"/>
      </w:r>
      <w:r w:rsidR="002338BA" w:rsidRPr="00A939CF">
        <w:rPr>
          <w:rFonts w:asciiTheme="majorHAnsi" w:hAnsiTheme="majorHAnsi" w:cstheme="majorHAnsi"/>
          <w:sz w:val="24"/>
          <w:szCs w:val="24"/>
          <w:shd w:val="clear" w:color="auto" w:fill="FFFFFF"/>
        </w:rPr>
        <w:t>.</w:t>
      </w:r>
      <w:r w:rsidRPr="00A939CF">
        <w:rPr>
          <w:rFonts w:asciiTheme="majorHAnsi" w:hAnsiTheme="majorHAnsi" w:cstheme="majorHAnsi"/>
          <w:sz w:val="24"/>
          <w:szCs w:val="24"/>
          <w:shd w:val="clear" w:color="auto" w:fill="FFFFFF"/>
        </w:rPr>
        <w:t xml:space="preserve"> The High Court quashed a decision by NGO Coordination Board which rejected an application for registration of an NGO named Gay and Lesbian Human Rights Commission on account that the Penal Code criminalizes same sex conduct. The decision of the high court was upheld by the Court of Appeal.</w:t>
      </w:r>
      <w:r w:rsidRPr="00A939CF">
        <w:rPr>
          <w:rFonts w:asciiTheme="majorHAnsi" w:hAnsiTheme="majorHAnsi" w:cstheme="majorHAnsi"/>
          <w:sz w:val="24"/>
          <w:szCs w:val="24"/>
          <w:shd w:val="clear" w:color="auto" w:fill="FFFFFF"/>
          <w:vertAlign w:val="superscript"/>
        </w:rPr>
        <w:footnoteReference w:id="26"/>
      </w:r>
    </w:p>
    <w:p w14:paraId="12490FDD" w14:textId="78C63DF3" w:rsidR="0063433F" w:rsidRPr="00A939CF" w:rsidRDefault="0063433F" w:rsidP="00A939CF">
      <w:pPr>
        <w:pStyle w:val="ListParagraph"/>
        <w:numPr>
          <w:ilvl w:val="0"/>
          <w:numId w:val="25"/>
        </w:num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Republic versus Kenya National Examinations Council and another </w:t>
      </w:r>
      <w:proofErr w:type="spellStart"/>
      <w:r w:rsidRPr="00D2757F">
        <w:rPr>
          <w:rFonts w:asciiTheme="majorHAnsi" w:hAnsiTheme="majorHAnsi" w:cstheme="majorHAnsi"/>
          <w:i/>
          <w:iCs/>
          <w:sz w:val="24"/>
          <w:szCs w:val="24"/>
          <w:shd w:val="clear" w:color="auto" w:fill="FFFFFF"/>
        </w:rPr>
        <w:t>exparte</w:t>
      </w:r>
      <w:proofErr w:type="spellEnd"/>
      <w:r w:rsidRPr="00A939CF">
        <w:rPr>
          <w:rFonts w:asciiTheme="majorHAnsi" w:hAnsiTheme="majorHAnsi" w:cstheme="majorHAnsi"/>
          <w:sz w:val="24"/>
          <w:szCs w:val="24"/>
          <w:shd w:val="clear" w:color="auto" w:fill="FFFFFF"/>
        </w:rPr>
        <w:t xml:space="preserve"> Audrey Mbugua </w:t>
      </w:r>
      <w:proofErr w:type="spellStart"/>
      <w:r w:rsidRPr="00A939CF">
        <w:rPr>
          <w:rFonts w:asciiTheme="majorHAnsi" w:hAnsiTheme="majorHAnsi" w:cstheme="majorHAnsi"/>
          <w:sz w:val="24"/>
          <w:szCs w:val="24"/>
          <w:shd w:val="clear" w:color="auto" w:fill="FFFFFF"/>
        </w:rPr>
        <w:t>Ithibu</w:t>
      </w:r>
      <w:proofErr w:type="spellEnd"/>
      <w:r w:rsidRPr="00A939CF">
        <w:rPr>
          <w:rFonts w:asciiTheme="majorHAnsi" w:hAnsiTheme="majorHAnsi" w:cstheme="majorHAnsi"/>
          <w:sz w:val="24"/>
          <w:szCs w:val="24"/>
          <w:shd w:val="clear" w:color="auto" w:fill="FFFFFF"/>
          <w:vertAlign w:val="superscript"/>
        </w:rPr>
        <w:footnoteReference w:id="27"/>
      </w:r>
      <w:r w:rsidR="002338BA" w:rsidRPr="00A939CF">
        <w:rPr>
          <w:rFonts w:asciiTheme="majorHAnsi" w:hAnsiTheme="majorHAnsi" w:cstheme="majorHAnsi"/>
          <w:sz w:val="24"/>
          <w:szCs w:val="24"/>
          <w:shd w:val="clear" w:color="auto" w:fill="FFFFFF"/>
        </w:rPr>
        <w:t xml:space="preserve">. </w:t>
      </w:r>
      <w:r w:rsidRPr="00A939CF">
        <w:rPr>
          <w:rFonts w:asciiTheme="majorHAnsi" w:hAnsiTheme="majorHAnsi" w:cstheme="majorHAnsi"/>
          <w:sz w:val="24"/>
          <w:szCs w:val="24"/>
          <w:shd w:val="clear" w:color="auto" w:fill="FFFFFF"/>
        </w:rPr>
        <w:t xml:space="preserve">The court upheld the right of transgender persons to government issued documentation that bore their desired name with the gender marker removed. </w:t>
      </w:r>
    </w:p>
    <w:p w14:paraId="17F2467D" w14:textId="77777777" w:rsidR="00307815" w:rsidRPr="00A939CF" w:rsidRDefault="00307815" w:rsidP="00A939CF">
      <w:pPr>
        <w:pStyle w:val="Heading2"/>
      </w:pPr>
      <w:bookmarkStart w:id="12" w:name="_Toc50984435"/>
      <w:r w:rsidRPr="00A939CF">
        <w:t>Protection of intersex persons</w:t>
      </w:r>
      <w:bookmarkEnd w:id="12"/>
    </w:p>
    <w:p w14:paraId="4486DB8A" w14:textId="6371561B" w:rsidR="000F7A27" w:rsidRPr="00A939CF" w:rsidRDefault="000F7A27"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The law in Kenya recognizes only two sex dichotomies-that is male and female.</w:t>
      </w:r>
      <w:r w:rsidRPr="00A939CF">
        <w:rPr>
          <w:rFonts w:asciiTheme="majorHAnsi" w:hAnsiTheme="majorHAnsi" w:cstheme="majorHAnsi"/>
          <w:sz w:val="24"/>
          <w:szCs w:val="24"/>
          <w:shd w:val="clear" w:color="auto" w:fill="FFFFFF"/>
          <w:vertAlign w:val="superscript"/>
        </w:rPr>
        <w:footnoteReference w:id="28"/>
      </w:r>
      <w:r w:rsidRPr="00A939CF">
        <w:rPr>
          <w:rFonts w:asciiTheme="majorHAnsi" w:hAnsiTheme="majorHAnsi" w:cstheme="majorHAnsi"/>
          <w:sz w:val="24"/>
          <w:szCs w:val="24"/>
          <w:shd w:val="clear" w:color="auto" w:fill="FFFFFF"/>
        </w:rPr>
        <w:t xml:space="preserve"> </w:t>
      </w:r>
      <w:r w:rsidR="00FA1A45" w:rsidRPr="00A939CF">
        <w:rPr>
          <w:rFonts w:asciiTheme="majorHAnsi" w:hAnsiTheme="majorHAnsi" w:cstheme="majorHAnsi"/>
          <w:sz w:val="24"/>
          <w:szCs w:val="24"/>
          <w:shd w:val="clear" w:color="auto" w:fill="FFFFFF"/>
        </w:rPr>
        <w:t xml:space="preserve">This </w:t>
      </w:r>
      <w:r w:rsidRPr="00A939CF">
        <w:rPr>
          <w:rFonts w:asciiTheme="majorHAnsi" w:hAnsiTheme="majorHAnsi" w:cstheme="majorHAnsi"/>
          <w:sz w:val="24"/>
          <w:szCs w:val="24"/>
          <w:shd w:val="clear" w:color="auto" w:fill="FFFFFF"/>
        </w:rPr>
        <w:t xml:space="preserve">has led to discrimination of </w:t>
      </w:r>
      <w:r w:rsidR="00FA1A45" w:rsidRPr="00A939CF">
        <w:rPr>
          <w:rFonts w:asciiTheme="majorHAnsi" w:hAnsiTheme="majorHAnsi" w:cstheme="majorHAnsi"/>
          <w:sz w:val="24"/>
          <w:szCs w:val="24"/>
          <w:shd w:val="clear" w:color="auto" w:fill="FFFFFF"/>
        </w:rPr>
        <w:t xml:space="preserve">intersex children and adults whose </w:t>
      </w:r>
      <w:proofErr w:type="gramStart"/>
      <w:r w:rsidR="00FA1A45" w:rsidRPr="00A939CF">
        <w:rPr>
          <w:rFonts w:asciiTheme="majorHAnsi" w:hAnsiTheme="majorHAnsi" w:cstheme="majorHAnsi"/>
          <w:sz w:val="24"/>
          <w:szCs w:val="24"/>
          <w:shd w:val="clear" w:color="auto" w:fill="FFFFFF"/>
        </w:rPr>
        <w:t>sex</w:t>
      </w:r>
      <w:r w:rsidR="00A0078F" w:rsidRPr="00A939CF">
        <w:rPr>
          <w:rFonts w:asciiTheme="majorHAnsi" w:hAnsiTheme="majorHAnsi" w:cstheme="majorHAnsi"/>
          <w:sz w:val="24"/>
          <w:szCs w:val="24"/>
          <w:shd w:val="clear" w:color="auto" w:fill="FFFFFF"/>
        </w:rPr>
        <w:t>,</w:t>
      </w:r>
      <w:proofErr w:type="gramEnd"/>
      <w:r w:rsidR="00FA1A45" w:rsidRPr="00A939CF">
        <w:rPr>
          <w:rFonts w:asciiTheme="majorHAnsi" w:hAnsiTheme="majorHAnsi" w:cstheme="majorHAnsi"/>
          <w:sz w:val="24"/>
          <w:szCs w:val="24"/>
          <w:shd w:val="clear" w:color="auto" w:fill="FFFFFF"/>
        </w:rPr>
        <w:t xml:space="preserve"> gonadal </w:t>
      </w:r>
      <w:r w:rsidR="00A0078F" w:rsidRPr="00A939CF">
        <w:rPr>
          <w:rFonts w:asciiTheme="majorHAnsi" w:hAnsiTheme="majorHAnsi" w:cstheme="majorHAnsi"/>
          <w:sz w:val="24"/>
          <w:szCs w:val="24"/>
          <w:shd w:val="clear" w:color="auto" w:fill="FFFFFF"/>
        </w:rPr>
        <w:t xml:space="preserve">and hormonal </w:t>
      </w:r>
      <w:r w:rsidR="00FA1A45" w:rsidRPr="00A939CF">
        <w:rPr>
          <w:rFonts w:asciiTheme="majorHAnsi" w:hAnsiTheme="majorHAnsi" w:cstheme="majorHAnsi"/>
          <w:sz w:val="24"/>
          <w:szCs w:val="24"/>
          <w:shd w:val="clear" w:color="auto" w:fill="FFFFFF"/>
        </w:rPr>
        <w:t xml:space="preserve">characteristics do not conform to the binary male and female. </w:t>
      </w:r>
      <w:r w:rsidR="00A0078F" w:rsidRPr="00A939CF">
        <w:rPr>
          <w:rFonts w:asciiTheme="majorHAnsi" w:hAnsiTheme="majorHAnsi" w:cstheme="majorHAnsi"/>
          <w:sz w:val="24"/>
          <w:szCs w:val="24"/>
          <w:shd w:val="clear" w:color="auto" w:fill="FFFFFF"/>
        </w:rPr>
        <w:t>They have been</w:t>
      </w:r>
      <w:r w:rsidRPr="00A939CF">
        <w:rPr>
          <w:rFonts w:asciiTheme="majorHAnsi" w:hAnsiTheme="majorHAnsi" w:cstheme="majorHAnsi"/>
          <w:sz w:val="24"/>
          <w:szCs w:val="24"/>
          <w:shd w:val="clear" w:color="auto" w:fill="FFFFFF"/>
        </w:rPr>
        <w:t xml:space="preserve"> locked out of acquiring and accessing certain basic needs.</w:t>
      </w:r>
      <w:r w:rsidRPr="00A939CF">
        <w:rPr>
          <w:rFonts w:asciiTheme="majorHAnsi" w:hAnsiTheme="majorHAnsi" w:cstheme="majorHAnsi"/>
          <w:sz w:val="24"/>
          <w:szCs w:val="24"/>
          <w:shd w:val="clear" w:color="auto" w:fill="FFFFFF"/>
          <w:vertAlign w:val="superscript"/>
        </w:rPr>
        <w:footnoteReference w:id="29"/>
      </w:r>
    </w:p>
    <w:p w14:paraId="04A10478" w14:textId="4B8D3CED" w:rsidR="000F7A27" w:rsidRPr="00A939CF" w:rsidRDefault="000F7A27"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The Persons Deprived of Liberty Act recognizes intersex persons </w:t>
      </w:r>
      <w:r w:rsidR="00E03A83" w:rsidRPr="00A939CF">
        <w:rPr>
          <w:rFonts w:asciiTheme="majorHAnsi" w:hAnsiTheme="majorHAnsi" w:cstheme="majorHAnsi"/>
          <w:sz w:val="24"/>
          <w:szCs w:val="24"/>
          <w:shd w:val="clear" w:color="auto" w:fill="FFFFFF"/>
        </w:rPr>
        <w:t>and f</w:t>
      </w:r>
      <w:r w:rsidRPr="00A939CF">
        <w:rPr>
          <w:rFonts w:asciiTheme="majorHAnsi" w:hAnsiTheme="majorHAnsi" w:cstheme="majorHAnsi"/>
          <w:sz w:val="24"/>
          <w:szCs w:val="24"/>
          <w:shd w:val="clear" w:color="auto" w:fill="FFFFFF"/>
        </w:rPr>
        <w:t>urther</w:t>
      </w:r>
      <w:r w:rsidR="00E03A83" w:rsidRPr="00A939CF">
        <w:rPr>
          <w:rFonts w:asciiTheme="majorHAnsi" w:hAnsiTheme="majorHAnsi" w:cstheme="majorHAnsi"/>
          <w:sz w:val="24"/>
          <w:szCs w:val="24"/>
          <w:shd w:val="clear" w:color="auto" w:fill="FFFFFF"/>
        </w:rPr>
        <w:t xml:space="preserve"> </w:t>
      </w:r>
      <w:r w:rsidRPr="00A939CF">
        <w:rPr>
          <w:rFonts w:asciiTheme="majorHAnsi" w:hAnsiTheme="majorHAnsi" w:cstheme="majorHAnsi"/>
          <w:sz w:val="24"/>
          <w:szCs w:val="24"/>
          <w:shd w:val="clear" w:color="auto" w:fill="FFFFFF"/>
        </w:rPr>
        <w:t xml:space="preserve"> gives an intersex person the right to decide the sex of the person by whom they should be searched.</w:t>
      </w:r>
      <w:r w:rsidR="00E03A83" w:rsidRPr="00A939CF">
        <w:rPr>
          <w:rFonts w:asciiTheme="majorHAnsi" w:hAnsiTheme="majorHAnsi" w:cstheme="majorHAnsi"/>
          <w:sz w:val="24"/>
          <w:szCs w:val="24"/>
          <w:shd w:val="clear" w:color="auto" w:fill="FFFFFF"/>
        </w:rPr>
        <w:t xml:space="preserve"> Intersex Persons have also been recongised in the </w:t>
      </w:r>
      <w:r w:rsidR="00C46827" w:rsidRPr="00A939CF">
        <w:rPr>
          <w:rFonts w:asciiTheme="majorHAnsi" w:hAnsiTheme="majorHAnsi" w:cstheme="majorHAnsi"/>
          <w:sz w:val="24"/>
          <w:szCs w:val="24"/>
          <w:shd w:val="clear" w:color="auto" w:fill="FFFFFF"/>
        </w:rPr>
        <w:t xml:space="preserve">National </w:t>
      </w:r>
      <w:r w:rsidR="00E03A83" w:rsidRPr="00A939CF">
        <w:rPr>
          <w:rFonts w:asciiTheme="majorHAnsi" w:hAnsiTheme="majorHAnsi" w:cstheme="majorHAnsi"/>
          <w:sz w:val="24"/>
          <w:szCs w:val="24"/>
          <w:shd w:val="clear" w:color="auto" w:fill="FFFFFF"/>
        </w:rPr>
        <w:t>Police Service Standing Orders</w:t>
      </w:r>
      <w:r w:rsidR="00365FCE" w:rsidRPr="00A939CF">
        <w:rPr>
          <w:rFonts w:asciiTheme="majorHAnsi" w:hAnsiTheme="majorHAnsi" w:cstheme="majorHAnsi"/>
          <w:sz w:val="24"/>
          <w:szCs w:val="24"/>
          <w:shd w:val="clear" w:color="auto" w:fill="FFFFFF"/>
        </w:rPr>
        <w:t xml:space="preserve"> under Chapter </w:t>
      </w:r>
      <w:r w:rsidR="00365FCE" w:rsidRPr="00A939CF">
        <w:rPr>
          <w:rFonts w:asciiTheme="majorHAnsi" w:hAnsiTheme="majorHAnsi" w:cstheme="majorHAnsi"/>
          <w:sz w:val="24"/>
          <w:szCs w:val="24"/>
          <w:shd w:val="clear" w:color="auto" w:fill="FFFFFF"/>
        </w:rPr>
        <w:lastRenderedPageBreak/>
        <w:t xml:space="preserve">15 </w:t>
      </w:r>
      <w:r w:rsidR="00C46827" w:rsidRPr="00A939CF">
        <w:rPr>
          <w:rFonts w:asciiTheme="majorHAnsi" w:hAnsiTheme="majorHAnsi" w:cstheme="majorHAnsi"/>
          <w:sz w:val="24"/>
          <w:szCs w:val="24"/>
          <w:shd w:val="clear" w:color="auto" w:fill="FFFFFF"/>
        </w:rPr>
        <w:t>which provides</w:t>
      </w:r>
      <w:r w:rsidR="00365FCE" w:rsidRPr="00A939CF">
        <w:rPr>
          <w:rFonts w:asciiTheme="majorHAnsi" w:hAnsiTheme="majorHAnsi" w:cstheme="majorHAnsi"/>
          <w:sz w:val="24"/>
          <w:szCs w:val="24"/>
          <w:shd w:val="clear" w:color="auto" w:fill="FFFFFF"/>
        </w:rPr>
        <w:t xml:space="preserve"> that intersex persons shall choose the sex of the officer to conduct any body searches and shall be confined separately from the male and female inmates.</w:t>
      </w:r>
    </w:p>
    <w:p w14:paraId="30352013" w14:textId="7027DFFC" w:rsidR="000F7A27" w:rsidRPr="00A939CF" w:rsidRDefault="005E37A2"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The High Court in the </w:t>
      </w:r>
      <w:r w:rsidR="00913B04" w:rsidRPr="00A939CF">
        <w:rPr>
          <w:rFonts w:asciiTheme="majorHAnsi" w:hAnsiTheme="majorHAnsi" w:cstheme="majorHAnsi"/>
          <w:sz w:val="24"/>
          <w:szCs w:val="24"/>
          <w:shd w:val="clear" w:color="auto" w:fill="FFFFFF"/>
        </w:rPr>
        <w:t xml:space="preserve">R.M </w:t>
      </w:r>
      <w:r w:rsidR="00365FCE" w:rsidRPr="00A939CF">
        <w:rPr>
          <w:rFonts w:asciiTheme="majorHAnsi" w:hAnsiTheme="majorHAnsi" w:cstheme="majorHAnsi"/>
          <w:sz w:val="24"/>
          <w:szCs w:val="24"/>
          <w:shd w:val="clear" w:color="auto" w:fill="FFFFFF"/>
        </w:rPr>
        <w:t xml:space="preserve">case </w:t>
      </w:r>
      <w:r w:rsidRPr="00A939CF">
        <w:rPr>
          <w:rFonts w:asciiTheme="majorHAnsi" w:hAnsiTheme="majorHAnsi" w:cstheme="majorHAnsi"/>
          <w:sz w:val="24"/>
          <w:szCs w:val="24"/>
          <w:shd w:val="clear" w:color="auto" w:fill="FFFFFF"/>
        </w:rPr>
        <w:t>and Baby ‘A</w:t>
      </w:r>
      <w:r w:rsidR="009D1B0D" w:rsidRPr="00A939CF">
        <w:rPr>
          <w:rFonts w:asciiTheme="majorHAnsi" w:hAnsiTheme="majorHAnsi" w:cstheme="majorHAnsi"/>
          <w:sz w:val="24"/>
          <w:szCs w:val="24"/>
          <w:shd w:val="clear" w:color="auto" w:fill="FFFFFF"/>
        </w:rPr>
        <w:t>’ case</w:t>
      </w:r>
      <w:r w:rsidRPr="00A939CF">
        <w:rPr>
          <w:rFonts w:asciiTheme="majorHAnsi" w:hAnsiTheme="majorHAnsi" w:cstheme="majorHAnsi"/>
          <w:sz w:val="24"/>
          <w:szCs w:val="24"/>
          <w:shd w:val="clear" w:color="auto" w:fill="FFFFFF"/>
          <w:vertAlign w:val="superscript"/>
        </w:rPr>
        <w:footnoteReference w:id="30"/>
      </w:r>
      <w:r w:rsidRPr="00A939CF">
        <w:rPr>
          <w:rFonts w:asciiTheme="majorHAnsi" w:hAnsiTheme="majorHAnsi" w:cstheme="majorHAnsi"/>
          <w:sz w:val="24"/>
          <w:szCs w:val="24"/>
          <w:shd w:val="clear" w:color="auto" w:fill="FFFFFF"/>
        </w:rPr>
        <w:t xml:space="preserve">, upheld the rights of intersex persons to non- discrimination and affirmed their right to protection from torture, cruel, inhuman and degrading treatment by holding that intersex persons are protected under Article 27 (4) of the Constitution. The Court also underscored the need for empirical data on intersex persons in Kenya to inform relevant reforms to address challenges faced by intersex persons as a marginalised </w:t>
      </w:r>
      <w:r w:rsidR="000A5015" w:rsidRPr="00A939CF">
        <w:rPr>
          <w:rFonts w:asciiTheme="majorHAnsi" w:hAnsiTheme="majorHAnsi" w:cstheme="majorHAnsi"/>
          <w:sz w:val="24"/>
          <w:szCs w:val="24"/>
          <w:shd w:val="clear" w:color="auto" w:fill="FFFFFF"/>
        </w:rPr>
        <w:t>group.</w:t>
      </w:r>
    </w:p>
    <w:p w14:paraId="011C4063" w14:textId="40525385" w:rsidR="000F7A27" w:rsidRPr="00A939CF" w:rsidRDefault="004F7504"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A progressive move towards the</w:t>
      </w:r>
      <w:r w:rsidR="00C46827" w:rsidRPr="00A939CF">
        <w:rPr>
          <w:rFonts w:asciiTheme="majorHAnsi" w:hAnsiTheme="majorHAnsi" w:cstheme="majorHAnsi"/>
          <w:sz w:val="24"/>
          <w:szCs w:val="24"/>
          <w:shd w:val="clear" w:color="auto" w:fill="FFFFFF"/>
        </w:rPr>
        <w:t xml:space="preserve"> protection of rights of intersex persons is</w:t>
      </w:r>
      <w:r w:rsidRPr="00A939CF">
        <w:rPr>
          <w:rFonts w:asciiTheme="majorHAnsi" w:hAnsiTheme="majorHAnsi" w:cstheme="majorHAnsi"/>
          <w:sz w:val="24"/>
          <w:szCs w:val="24"/>
          <w:shd w:val="clear" w:color="auto" w:fill="FFFFFF"/>
        </w:rPr>
        <w:t xml:space="preserve"> </w:t>
      </w:r>
      <w:r w:rsidR="00C46827" w:rsidRPr="00A939CF">
        <w:rPr>
          <w:rFonts w:asciiTheme="majorHAnsi" w:hAnsiTheme="majorHAnsi" w:cstheme="majorHAnsi"/>
          <w:sz w:val="24"/>
          <w:szCs w:val="24"/>
          <w:shd w:val="clear" w:color="auto" w:fill="FFFFFF"/>
        </w:rPr>
        <w:t>the establishment by the Attorney General of</w:t>
      </w:r>
      <w:r w:rsidR="000F7A27" w:rsidRPr="00A939CF">
        <w:rPr>
          <w:rFonts w:asciiTheme="majorHAnsi" w:hAnsiTheme="majorHAnsi" w:cstheme="majorHAnsi"/>
          <w:sz w:val="24"/>
          <w:szCs w:val="24"/>
          <w:shd w:val="clear" w:color="auto" w:fill="FFFFFF"/>
        </w:rPr>
        <w:t xml:space="preserve"> </w:t>
      </w:r>
      <w:r w:rsidR="00C46827" w:rsidRPr="00A939CF">
        <w:rPr>
          <w:rFonts w:asciiTheme="majorHAnsi" w:hAnsiTheme="majorHAnsi" w:cstheme="majorHAnsi"/>
          <w:sz w:val="24"/>
          <w:szCs w:val="24"/>
          <w:shd w:val="clear" w:color="auto" w:fill="FFFFFF"/>
        </w:rPr>
        <w:t>t</w:t>
      </w:r>
      <w:r w:rsidR="00E03A83" w:rsidRPr="00A939CF">
        <w:rPr>
          <w:rFonts w:asciiTheme="majorHAnsi" w:hAnsiTheme="majorHAnsi" w:cstheme="majorHAnsi"/>
          <w:sz w:val="24"/>
          <w:szCs w:val="24"/>
          <w:shd w:val="clear" w:color="auto" w:fill="FFFFFF"/>
        </w:rPr>
        <w:t>he Taskforce on Policy, Legal, Institutional and Administrative Reforms Regarding Intersex Persons in Kenya</w:t>
      </w:r>
      <w:r w:rsidR="0018640B" w:rsidRPr="00A939CF">
        <w:rPr>
          <w:rFonts w:asciiTheme="majorHAnsi" w:hAnsiTheme="majorHAnsi" w:cstheme="majorHAnsi"/>
          <w:sz w:val="24"/>
          <w:szCs w:val="24"/>
          <w:shd w:val="clear" w:color="auto" w:fill="FFFFFF"/>
        </w:rPr>
        <w:t>.</w:t>
      </w:r>
      <w:r w:rsidR="000F7A27" w:rsidRPr="00A939CF">
        <w:rPr>
          <w:rFonts w:asciiTheme="majorHAnsi" w:hAnsiTheme="majorHAnsi" w:cstheme="majorHAnsi"/>
          <w:sz w:val="24"/>
          <w:szCs w:val="24"/>
          <w:shd w:val="clear" w:color="auto" w:fill="FFFFFF"/>
          <w:vertAlign w:val="superscript"/>
        </w:rPr>
        <w:footnoteReference w:id="31"/>
      </w:r>
      <w:r w:rsidR="0018640B" w:rsidRPr="00A939CF">
        <w:rPr>
          <w:rFonts w:asciiTheme="majorHAnsi" w:hAnsiTheme="majorHAnsi" w:cstheme="majorHAnsi"/>
          <w:sz w:val="24"/>
          <w:szCs w:val="24"/>
          <w:shd w:val="clear" w:color="auto" w:fill="FFFFFF"/>
        </w:rPr>
        <w:t xml:space="preserve"> </w:t>
      </w:r>
      <w:r w:rsidR="00E03A83" w:rsidRPr="00A939CF">
        <w:rPr>
          <w:rFonts w:asciiTheme="majorHAnsi" w:hAnsiTheme="majorHAnsi" w:cstheme="majorHAnsi"/>
          <w:sz w:val="24"/>
          <w:szCs w:val="24"/>
          <w:shd w:val="clear" w:color="auto" w:fill="FFFFFF"/>
        </w:rPr>
        <w:t>The</w:t>
      </w:r>
      <w:r w:rsidR="000F7A27" w:rsidRPr="00A939CF">
        <w:rPr>
          <w:rFonts w:asciiTheme="majorHAnsi" w:hAnsiTheme="majorHAnsi" w:cstheme="majorHAnsi"/>
          <w:sz w:val="24"/>
          <w:szCs w:val="24"/>
          <w:shd w:val="clear" w:color="auto" w:fill="FFFFFF"/>
        </w:rPr>
        <w:t xml:space="preserve"> Taskforce found out that </w:t>
      </w:r>
      <w:r w:rsidR="00C46827" w:rsidRPr="00A939CF">
        <w:rPr>
          <w:rFonts w:asciiTheme="majorHAnsi" w:hAnsiTheme="majorHAnsi" w:cstheme="majorHAnsi"/>
          <w:sz w:val="24"/>
          <w:szCs w:val="24"/>
          <w:shd w:val="clear" w:color="auto" w:fill="FFFFFF"/>
        </w:rPr>
        <w:t>for</w:t>
      </w:r>
      <w:r w:rsidR="00E03A83" w:rsidRPr="00A939CF">
        <w:rPr>
          <w:rFonts w:asciiTheme="majorHAnsi" w:hAnsiTheme="majorHAnsi" w:cstheme="majorHAnsi"/>
          <w:sz w:val="24"/>
          <w:szCs w:val="24"/>
          <w:shd w:val="clear" w:color="auto" w:fill="FFFFFF"/>
        </w:rPr>
        <w:t xml:space="preserve"> </w:t>
      </w:r>
      <w:r w:rsidR="000F7A27" w:rsidRPr="00A939CF">
        <w:rPr>
          <w:rFonts w:asciiTheme="majorHAnsi" w:hAnsiTheme="majorHAnsi" w:cstheme="majorHAnsi"/>
          <w:sz w:val="24"/>
          <w:szCs w:val="24"/>
          <w:shd w:val="clear" w:color="auto" w:fill="FFFFFF"/>
        </w:rPr>
        <w:t>a majority of the intersex persons the recorded sex conflicts with the self- recognized sex. The birth certificates make it difficult for intersex persons to acquire Identity cards (ID)</w:t>
      </w:r>
      <w:r w:rsidR="000F7A27" w:rsidRPr="00A939CF">
        <w:rPr>
          <w:rFonts w:asciiTheme="majorHAnsi" w:hAnsiTheme="majorHAnsi" w:cstheme="majorHAnsi"/>
          <w:sz w:val="24"/>
          <w:szCs w:val="24"/>
          <w:shd w:val="clear" w:color="auto" w:fill="FFFFFF"/>
          <w:vertAlign w:val="superscript"/>
        </w:rPr>
        <w:footnoteReference w:id="32"/>
      </w:r>
      <w:r w:rsidR="000A5015" w:rsidRPr="00A939CF">
        <w:rPr>
          <w:rFonts w:asciiTheme="majorHAnsi" w:hAnsiTheme="majorHAnsi" w:cstheme="majorHAnsi"/>
          <w:sz w:val="24"/>
          <w:szCs w:val="24"/>
          <w:shd w:val="clear" w:color="auto" w:fill="FFFFFF"/>
        </w:rPr>
        <w:t>.</w:t>
      </w:r>
      <w:r w:rsidR="00E03A83" w:rsidRPr="00A939CF">
        <w:rPr>
          <w:rFonts w:asciiTheme="majorHAnsi" w:hAnsiTheme="majorHAnsi" w:cstheme="majorHAnsi"/>
          <w:sz w:val="24"/>
          <w:szCs w:val="24"/>
          <w:shd w:val="clear" w:color="auto" w:fill="FFFFFF"/>
        </w:rPr>
        <w:t xml:space="preserve">  Due to this, intersex persons continue to face discrimination in health, education, social and economic sectors.</w:t>
      </w:r>
    </w:p>
    <w:p w14:paraId="768B00FC" w14:textId="0016DE4C" w:rsidR="00E03A83" w:rsidRPr="00A939CF" w:rsidRDefault="00B22E04"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In 2017, the 11th Parliament in through t</w:t>
      </w:r>
      <w:r w:rsidR="000F7A27" w:rsidRPr="00A939CF">
        <w:rPr>
          <w:rFonts w:asciiTheme="majorHAnsi" w:hAnsiTheme="majorHAnsi" w:cstheme="majorHAnsi"/>
          <w:sz w:val="24"/>
          <w:szCs w:val="24"/>
          <w:shd w:val="clear" w:color="auto" w:fill="FFFFFF"/>
        </w:rPr>
        <w:t xml:space="preserve">he National Assembly Committee on Administration and National Security deliberated on a petition filed by concerned citizens regarding the recognition of intersex </w:t>
      </w:r>
      <w:r w:rsidRPr="00A939CF">
        <w:rPr>
          <w:rFonts w:asciiTheme="majorHAnsi" w:hAnsiTheme="majorHAnsi" w:cstheme="majorHAnsi"/>
          <w:sz w:val="24"/>
          <w:szCs w:val="24"/>
          <w:shd w:val="clear" w:color="auto" w:fill="FFFFFF"/>
        </w:rPr>
        <w:t xml:space="preserve">persons. and </w:t>
      </w:r>
      <w:r w:rsidR="00E03A83" w:rsidRPr="00A939CF">
        <w:rPr>
          <w:rFonts w:asciiTheme="majorHAnsi" w:hAnsiTheme="majorHAnsi" w:cstheme="majorHAnsi"/>
          <w:sz w:val="24"/>
          <w:szCs w:val="24"/>
          <w:shd w:val="clear" w:color="auto" w:fill="FFFFFF"/>
        </w:rPr>
        <w:t>directed t</w:t>
      </w:r>
      <w:r w:rsidR="000F7A27" w:rsidRPr="00A939CF">
        <w:rPr>
          <w:rFonts w:asciiTheme="majorHAnsi" w:hAnsiTheme="majorHAnsi" w:cstheme="majorHAnsi"/>
          <w:sz w:val="24"/>
          <w:szCs w:val="24"/>
          <w:shd w:val="clear" w:color="auto" w:fill="FFFFFF"/>
        </w:rPr>
        <w:t>he Registrar of persons, the Kenya National Bureau of Statistics (KNBS) and the Ministry of Health to provide statistics for all the intersex persons by ensuring that such statistics are captured in the national census and other socioeconomic surveys to facilitate planning.</w:t>
      </w:r>
      <w:r w:rsidR="000F7A27" w:rsidRPr="00A939CF">
        <w:rPr>
          <w:rFonts w:asciiTheme="majorHAnsi" w:hAnsiTheme="majorHAnsi" w:cstheme="majorHAnsi"/>
          <w:sz w:val="24"/>
          <w:szCs w:val="24"/>
          <w:shd w:val="clear" w:color="auto" w:fill="FFFFFF"/>
          <w:vertAlign w:val="superscript"/>
        </w:rPr>
        <w:footnoteReference w:id="33"/>
      </w:r>
    </w:p>
    <w:p w14:paraId="33DED462" w14:textId="4475CECA" w:rsidR="000F7A27" w:rsidRPr="00A939CF" w:rsidRDefault="000F7A27"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lastRenderedPageBreak/>
        <w:t>The KNBS, through continuous interventions from the Commission included the sex marker “I” to cater for intersex persons during the 2019 Kenya Population and Housing Census which indicated that Kenya has a population of 1524 intersex persons.</w:t>
      </w:r>
      <w:r w:rsidRPr="00A939CF">
        <w:rPr>
          <w:rFonts w:asciiTheme="majorHAnsi" w:hAnsiTheme="majorHAnsi" w:cstheme="majorHAnsi"/>
          <w:sz w:val="24"/>
          <w:szCs w:val="24"/>
          <w:shd w:val="clear" w:color="auto" w:fill="FFFFFF"/>
          <w:vertAlign w:val="superscript"/>
        </w:rPr>
        <w:footnoteReference w:id="34"/>
      </w:r>
    </w:p>
    <w:p w14:paraId="068672D9" w14:textId="77777777" w:rsidR="00645B81" w:rsidRPr="00A939CF" w:rsidRDefault="00645B81" w:rsidP="00A939CF">
      <w:pPr>
        <w:pStyle w:val="Heading1"/>
      </w:pPr>
      <w:bookmarkStart w:id="13" w:name="_Toc50984436"/>
      <w:r w:rsidRPr="00A939CF">
        <w:t>Gender equality (arts. 3 and 26)</w:t>
      </w:r>
      <w:bookmarkEnd w:id="13"/>
    </w:p>
    <w:p w14:paraId="505B5FBD" w14:textId="59189BB5" w:rsidR="008E3B55" w:rsidRPr="00A939CF" w:rsidRDefault="004E07E6"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Following the 2017 general election, representation of women in parliament has increased as compared to the representation after the 2013 general election. The current representation stands at 3 out of 47 Governors are women; 3 out of 47 Senators are women; 23 out of 290 Members of Parliament are women and 96 out of 1450 Members of County Assembly are women</w:t>
      </w:r>
      <w:r w:rsidRPr="00A939CF">
        <w:rPr>
          <w:rFonts w:asciiTheme="majorHAnsi" w:hAnsiTheme="majorHAnsi" w:cstheme="majorHAnsi"/>
          <w:sz w:val="24"/>
          <w:szCs w:val="24"/>
          <w:shd w:val="clear" w:color="auto" w:fill="FFFFFF"/>
          <w:vertAlign w:val="superscript"/>
        </w:rPr>
        <w:footnoteReference w:id="35"/>
      </w:r>
      <w:r w:rsidR="00A939CF">
        <w:rPr>
          <w:rFonts w:asciiTheme="majorHAnsi" w:hAnsiTheme="majorHAnsi" w:cstheme="majorHAnsi"/>
          <w:sz w:val="24"/>
          <w:szCs w:val="24"/>
          <w:shd w:val="clear" w:color="auto" w:fill="FFFFFF"/>
        </w:rPr>
        <w:t xml:space="preserve">. </w:t>
      </w:r>
      <w:r w:rsidR="008E3B55" w:rsidRPr="00A939CF">
        <w:rPr>
          <w:rFonts w:asciiTheme="majorHAnsi" w:hAnsiTheme="majorHAnsi" w:cstheme="majorHAnsi"/>
          <w:sz w:val="24"/>
          <w:szCs w:val="24"/>
          <w:shd w:val="clear" w:color="auto" w:fill="FFFFFF"/>
        </w:rPr>
        <w:t>This means that the composition of the 12th Parliament still falls below the constitutional threshold that would require at least 117 women in the National Assembly and 23 women in the Senate</w:t>
      </w:r>
      <w:r w:rsidR="00EB6A63" w:rsidRPr="00A939CF">
        <w:rPr>
          <w:rFonts w:asciiTheme="majorHAnsi" w:hAnsiTheme="majorHAnsi" w:cstheme="majorHAnsi"/>
          <w:sz w:val="24"/>
          <w:szCs w:val="24"/>
          <w:shd w:val="clear" w:color="auto" w:fill="FFFFFF"/>
          <w:vertAlign w:val="superscript"/>
        </w:rPr>
        <w:footnoteReference w:id="36"/>
      </w:r>
      <w:r w:rsidR="00A939CF">
        <w:rPr>
          <w:rFonts w:asciiTheme="majorHAnsi" w:hAnsiTheme="majorHAnsi" w:cstheme="majorHAnsi"/>
          <w:sz w:val="24"/>
          <w:szCs w:val="24"/>
          <w:shd w:val="clear" w:color="auto" w:fill="FFFFFF"/>
        </w:rPr>
        <w:t>.</w:t>
      </w:r>
      <w:r w:rsidR="008E3B55" w:rsidRPr="00A939CF">
        <w:rPr>
          <w:rFonts w:asciiTheme="majorHAnsi" w:hAnsiTheme="majorHAnsi" w:cstheme="majorHAnsi"/>
          <w:sz w:val="24"/>
          <w:szCs w:val="24"/>
          <w:shd w:val="clear" w:color="auto" w:fill="FFFFFF"/>
        </w:rPr>
        <w:t xml:space="preserve"> </w:t>
      </w:r>
    </w:p>
    <w:p w14:paraId="1E496C90" w14:textId="3BADB233" w:rsidR="00BE0180" w:rsidRPr="00A939CF" w:rsidRDefault="00BE0180" w:rsidP="00A939CF">
      <w:pPr>
        <w:pStyle w:val="Heading2"/>
        <w:numPr>
          <w:ilvl w:val="0"/>
          <w:numId w:val="26"/>
        </w:numPr>
      </w:pPr>
      <w:bookmarkStart w:id="14" w:name="_Toc50984437"/>
      <w:r w:rsidRPr="00A939CF">
        <w:t>Implementation of the two-third gender principle</w:t>
      </w:r>
      <w:bookmarkEnd w:id="14"/>
    </w:p>
    <w:p w14:paraId="01D68D15" w14:textId="1C478D87" w:rsidR="004E07E6" w:rsidRPr="00A939CF" w:rsidRDefault="004E07E6"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The Constitution of Kenya in article 81 (b) provides that not more than two-thirds of the members of elective public bodies shall be of the same gender. </w:t>
      </w:r>
      <w:r w:rsidR="00F310C1" w:rsidRPr="00A939CF">
        <w:rPr>
          <w:rFonts w:asciiTheme="majorHAnsi" w:hAnsiTheme="majorHAnsi" w:cstheme="majorHAnsi"/>
          <w:sz w:val="24"/>
          <w:szCs w:val="24"/>
          <w:shd w:val="clear" w:color="auto" w:fill="FFFFFF"/>
        </w:rPr>
        <w:t xml:space="preserve">The Constitution in Article 100 further provides that Parliament shall enact legislation to promote representation in parliament of women, persons with disabilities, ethnic minorities and marginalized communities. </w:t>
      </w:r>
      <w:r w:rsidRPr="00A939CF">
        <w:rPr>
          <w:rFonts w:asciiTheme="majorHAnsi" w:hAnsiTheme="majorHAnsi" w:cstheme="majorHAnsi"/>
          <w:sz w:val="24"/>
          <w:szCs w:val="24"/>
          <w:shd w:val="clear" w:color="auto" w:fill="FFFFFF"/>
        </w:rPr>
        <w:t xml:space="preserve">Before the </w:t>
      </w:r>
      <w:r w:rsidR="00EB6A63" w:rsidRPr="00A939CF">
        <w:rPr>
          <w:rFonts w:asciiTheme="majorHAnsi" w:hAnsiTheme="majorHAnsi" w:cstheme="majorHAnsi"/>
          <w:sz w:val="24"/>
          <w:szCs w:val="24"/>
          <w:shd w:val="clear" w:color="auto" w:fill="FFFFFF"/>
        </w:rPr>
        <w:t xml:space="preserve">first  </w:t>
      </w:r>
      <w:r w:rsidRPr="00A939CF">
        <w:rPr>
          <w:rFonts w:asciiTheme="majorHAnsi" w:hAnsiTheme="majorHAnsi" w:cstheme="majorHAnsi"/>
          <w:sz w:val="24"/>
          <w:szCs w:val="24"/>
          <w:shd w:val="clear" w:color="auto" w:fill="FFFFFF"/>
        </w:rPr>
        <w:t>general election</w:t>
      </w:r>
      <w:r w:rsidR="00EB6A63" w:rsidRPr="00A939CF">
        <w:rPr>
          <w:rFonts w:asciiTheme="majorHAnsi" w:hAnsiTheme="majorHAnsi" w:cstheme="majorHAnsi"/>
          <w:sz w:val="24"/>
          <w:szCs w:val="24"/>
          <w:shd w:val="clear" w:color="auto" w:fill="FFFFFF"/>
        </w:rPr>
        <w:t xml:space="preserve"> under the Constitution of Kenya 2010,</w:t>
      </w:r>
      <w:r w:rsidRPr="00A939CF">
        <w:rPr>
          <w:rFonts w:asciiTheme="majorHAnsi" w:hAnsiTheme="majorHAnsi" w:cstheme="majorHAnsi"/>
          <w:sz w:val="24"/>
          <w:szCs w:val="24"/>
          <w:shd w:val="clear" w:color="auto" w:fill="FFFFFF"/>
        </w:rPr>
        <w:t xml:space="preserve"> the Supreme Court in </w:t>
      </w:r>
      <w:hyperlink r:id="rId16" w:history="1">
        <w:r w:rsidRPr="00A939CF">
          <w:rPr>
            <w:rFonts w:asciiTheme="majorHAnsi" w:hAnsiTheme="majorHAnsi" w:cstheme="majorHAnsi"/>
            <w:sz w:val="24"/>
            <w:szCs w:val="24"/>
            <w:shd w:val="clear" w:color="auto" w:fill="FFFFFF"/>
          </w:rPr>
          <w:t>The matter of the Principle of Gender representation</w:t>
        </w:r>
      </w:hyperlink>
      <w:r w:rsidR="00EB6A63" w:rsidRPr="00A939CF">
        <w:rPr>
          <w:rFonts w:asciiTheme="majorHAnsi" w:hAnsiTheme="majorHAnsi" w:cstheme="majorHAnsi"/>
          <w:sz w:val="24"/>
          <w:szCs w:val="24"/>
          <w:shd w:val="clear" w:color="auto" w:fill="FFFFFF"/>
          <w:vertAlign w:val="superscript"/>
        </w:rPr>
        <w:footnoteReference w:id="37"/>
      </w:r>
      <w:r w:rsidRPr="00A939CF">
        <w:rPr>
          <w:rFonts w:asciiTheme="majorHAnsi" w:hAnsiTheme="majorHAnsi" w:cstheme="majorHAnsi"/>
          <w:sz w:val="24"/>
          <w:szCs w:val="24"/>
          <w:shd w:val="clear" w:color="auto" w:fill="FFFFFF"/>
        </w:rPr>
        <w:t xml:space="preserve">held that the provisions of Article 81(b) would not apply in the 2013 elections </w:t>
      </w:r>
      <w:r w:rsidR="00EB6A63" w:rsidRPr="00A939CF">
        <w:rPr>
          <w:rFonts w:asciiTheme="majorHAnsi" w:hAnsiTheme="majorHAnsi" w:cstheme="majorHAnsi"/>
          <w:sz w:val="24"/>
          <w:szCs w:val="24"/>
          <w:shd w:val="clear" w:color="auto" w:fill="FFFFFF"/>
        </w:rPr>
        <w:t>but</w:t>
      </w:r>
      <w:r w:rsidRPr="00A939CF">
        <w:rPr>
          <w:rFonts w:asciiTheme="majorHAnsi" w:hAnsiTheme="majorHAnsi" w:cstheme="majorHAnsi"/>
          <w:sz w:val="24"/>
          <w:szCs w:val="24"/>
          <w:shd w:val="clear" w:color="auto" w:fill="FFFFFF"/>
        </w:rPr>
        <w:t xml:space="preserve"> that </w:t>
      </w:r>
      <w:r w:rsidR="00EB6A63" w:rsidRPr="00A939CF">
        <w:rPr>
          <w:rFonts w:asciiTheme="majorHAnsi" w:hAnsiTheme="majorHAnsi" w:cstheme="majorHAnsi"/>
          <w:sz w:val="24"/>
          <w:szCs w:val="24"/>
          <w:shd w:val="clear" w:color="auto" w:fill="FFFFFF"/>
        </w:rPr>
        <w:t xml:space="preserve">Parliament </w:t>
      </w:r>
      <w:r w:rsidRPr="00A939CF">
        <w:rPr>
          <w:rFonts w:asciiTheme="majorHAnsi" w:hAnsiTheme="majorHAnsi" w:cstheme="majorHAnsi"/>
          <w:sz w:val="24"/>
          <w:szCs w:val="24"/>
          <w:shd w:val="clear" w:color="auto" w:fill="FFFFFF"/>
        </w:rPr>
        <w:t xml:space="preserve"> </w:t>
      </w:r>
      <w:r w:rsidR="00EB6A63" w:rsidRPr="00A939CF">
        <w:rPr>
          <w:rFonts w:asciiTheme="majorHAnsi" w:hAnsiTheme="majorHAnsi" w:cstheme="majorHAnsi"/>
          <w:sz w:val="24"/>
          <w:szCs w:val="24"/>
          <w:shd w:val="clear" w:color="auto" w:fill="FFFFFF"/>
        </w:rPr>
        <w:t xml:space="preserve">was </w:t>
      </w:r>
      <w:r w:rsidRPr="00A939CF">
        <w:rPr>
          <w:rFonts w:asciiTheme="majorHAnsi" w:hAnsiTheme="majorHAnsi" w:cstheme="majorHAnsi"/>
          <w:sz w:val="24"/>
          <w:szCs w:val="24"/>
          <w:shd w:val="clear" w:color="auto" w:fill="FFFFFF"/>
        </w:rPr>
        <w:t xml:space="preserve">obliged to enact a legislation to give effect to the </w:t>
      </w:r>
      <w:r w:rsidRPr="00A939CF">
        <w:rPr>
          <w:rFonts w:asciiTheme="majorHAnsi" w:hAnsiTheme="majorHAnsi" w:cstheme="majorHAnsi"/>
          <w:sz w:val="24"/>
          <w:szCs w:val="24"/>
          <w:shd w:val="clear" w:color="auto" w:fill="FFFFFF"/>
        </w:rPr>
        <w:lastRenderedPageBreak/>
        <w:t xml:space="preserve">provisions of Article 81(b) of the Constitution. Despite the Supreme </w:t>
      </w:r>
      <w:r w:rsidR="00EB6A63" w:rsidRPr="00A939CF">
        <w:rPr>
          <w:rFonts w:asciiTheme="majorHAnsi" w:hAnsiTheme="majorHAnsi" w:cstheme="majorHAnsi"/>
          <w:sz w:val="24"/>
          <w:szCs w:val="24"/>
          <w:shd w:val="clear" w:color="auto" w:fill="FFFFFF"/>
        </w:rPr>
        <w:t>Order</w:t>
      </w:r>
      <w:r w:rsidRPr="00A939CF">
        <w:rPr>
          <w:rFonts w:asciiTheme="majorHAnsi" w:hAnsiTheme="majorHAnsi" w:cstheme="majorHAnsi"/>
          <w:sz w:val="24"/>
          <w:szCs w:val="24"/>
          <w:shd w:val="clear" w:color="auto" w:fill="FFFFFF"/>
        </w:rPr>
        <w:t xml:space="preserve">, the National Assembly and Senate failed to enact the legislation as contemplated in Article 81(b) of the Constitution. </w:t>
      </w:r>
    </w:p>
    <w:p w14:paraId="1EEF1E05" w14:textId="2C233819" w:rsidR="004E07E6" w:rsidRPr="00A939CF" w:rsidRDefault="004E07E6"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KNCHR and others in </w:t>
      </w:r>
      <w:hyperlink r:id="rId17" w:history="1">
        <w:r w:rsidRPr="00A939CF">
          <w:rPr>
            <w:rFonts w:asciiTheme="majorHAnsi" w:hAnsiTheme="majorHAnsi" w:cstheme="majorHAnsi"/>
            <w:sz w:val="24"/>
            <w:szCs w:val="24"/>
            <w:shd w:val="clear" w:color="auto" w:fill="FFFFFF"/>
          </w:rPr>
          <w:t>Centre for Rights Education and Awareness</w:t>
        </w:r>
        <w:r w:rsidR="000A5015" w:rsidRPr="00A939CF">
          <w:rPr>
            <w:rFonts w:asciiTheme="majorHAnsi" w:hAnsiTheme="majorHAnsi" w:cstheme="majorHAnsi"/>
            <w:sz w:val="24"/>
            <w:szCs w:val="24"/>
            <w:shd w:val="clear" w:color="auto" w:fill="FFFFFF"/>
          </w:rPr>
          <w:t xml:space="preserve"> </w:t>
        </w:r>
        <w:r w:rsidRPr="00A939CF">
          <w:rPr>
            <w:rFonts w:asciiTheme="majorHAnsi" w:hAnsiTheme="majorHAnsi" w:cstheme="majorHAnsi"/>
            <w:sz w:val="24"/>
            <w:szCs w:val="24"/>
            <w:shd w:val="clear" w:color="auto" w:fill="FFFFFF"/>
          </w:rPr>
          <w:t>&amp;</w:t>
        </w:r>
        <w:r w:rsidR="00A939CF">
          <w:rPr>
            <w:rFonts w:asciiTheme="majorHAnsi" w:hAnsiTheme="majorHAnsi" w:cstheme="majorHAnsi"/>
            <w:sz w:val="24"/>
            <w:szCs w:val="24"/>
            <w:shd w:val="clear" w:color="auto" w:fill="FFFFFF"/>
          </w:rPr>
          <w:t xml:space="preserve"> </w:t>
        </w:r>
        <w:r w:rsidRPr="00A939CF">
          <w:rPr>
            <w:rFonts w:asciiTheme="majorHAnsi" w:hAnsiTheme="majorHAnsi" w:cstheme="majorHAnsi"/>
            <w:sz w:val="24"/>
            <w:szCs w:val="24"/>
            <w:shd w:val="clear" w:color="auto" w:fill="FFFFFF"/>
          </w:rPr>
          <w:t>2 others</w:t>
        </w:r>
      </w:hyperlink>
      <w:r w:rsidR="00EB6A63" w:rsidRPr="00A939CF">
        <w:rPr>
          <w:rFonts w:asciiTheme="majorHAnsi" w:hAnsiTheme="majorHAnsi" w:cstheme="majorHAnsi"/>
          <w:sz w:val="24"/>
          <w:szCs w:val="24"/>
          <w:shd w:val="clear" w:color="auto" w:fill="FFFFFF"/>
          <w:vertAlign w:val="superscript"/>
        </w:rPr>
        <w:footnoteReference w:id="38"/>
      </w:r>
      <w:r w:rsidRPr="00A939CF">
        <w:rPr>
          <w:rFonts w:asciiTheme="majorHAnsi" w:hAnsiTheme="majorHAnsi" w:cstheme="majorHAnsi"/>
          <w:sz w:val="24"/>
          <w:szCs w:val="24"/>
          <w:shd w:val="clear" w:color="auto" w:fill="FFFFFF"/>
        </w:rPr>
        <w:t xml:space="preserve"> filed a suit compelling Parliament to put in place legislative measures within 60 days that will enhance the realization of the two- thirds principle. However, this is yet to be actualized.</w:t>
      </w:r>
    </w:p>
    <w:p w14:paraId="565F72EB" w14:textId="0F52D5A5" w:rsidR="004E07E6" w:rsidRPr="00A939CF" w:rsidRDefault="004E07E6"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 xml:space="preserve">The Political Parties (Amendment) Act 2016 provides that not more than two-thirds of the membership of </w:t>
      </w:r>
      <w:r w:rsidR="000A5015" w:rsidRPr="00A939CF">
        <w:rPr>
          <w:rFonts w:asciiTheme="majorHAnsi" w:hAnsiTheme="majorHAnsi" w:cstheme="majorHAnsi"/>
          <w:sz w:val="24"/>
          <w:szCs w:val="24"/>
          <w:shd w:val="clear" w:color="auto" w:fill="FFFFFF"/>
        </w:rPr>
        <w:t>all-party</w:t>
      </w:r>
      <w:r w:rsidRPr="00A939CF">
        <w:rPr>
          <w:rFonts w:asciiTheme="majorHAnsi" w:hAnsiTheme="majorHAnsi" w:cstheme="majorHAnsi"/>
          <w:sz w:val="24"/>
          <w:szCs w:val="24"/>
          <w:shd w:val="clear" w:color="auto" w:fill="FFFFFF"/>
        </w:rPr>
        <w:t xml:space="preserve"> organs, bodies and committees, in aggregate, are of the same gender. Further, the Registrar of political parties shall not register a group unless it complies with the principles of good governance and it respects and protects the rights of minorities and marginalized groups.</w:t>
      </w:r>
      <w:r w:rsidRPr="00A939CF">
        <w:rPr>
          <w:rFonts w:asciiTheme="majorHAnsi" w:hAnsiTheme="majorHAnsi" w:cstheme="majorHAnsi"/>
          <w:sz w:val="24"/>
          <w:szCs w:val="24"/>
          <w:shd w:val="clear" w:color="auto" w:fill="FFFFFF"/>
          <w:vertAlign w:val="superscript"/>
        </w:rPr>
        <w:footnoteReference w:id="39"/>
      </w:r>
    </w:p>
    <w:p w14:paraId="26C88EB1" w14:textId="77777777" w:rsidR="004E07E6" w:rsidRPr="00A939CF" w:rsidRDefault="004E07E6" w:rsidP="00A939CF">
      <w:p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Despite the numerous Court judgments on the issue and progressive provisions of our Constitution, no law has been enacted to implement the two thirds gender rule principle. Nonetheless, there have been some shy attempts in the legislative front as summarized below:</w:t>
      </w:r>
    </w:p>
    <w:p w14:paraId="7716F6A9" w14:textId="6C180A1D" w:rsidR="004E07E6" w:rsidRPr="00A939CF" w:rsidRDefault="004E07E6" w:rsidP="00A939CF">
      <w:pPr>
        <w:pStyle w:val="ListParagraph"/>
        <w:numPr>
          <w:ilvl w:val="0"/>
          <w:numId w:val="27"/>
        </w:num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Representation of Special Interest Groups Laws (Amendment) Bill 2019</w:t>
      </w:r>
      <w:r w:rsidR="004C2D75" w:rsidRPr="004B35A0">
        <w:rPr>
          <w:rFonts w:asciiTheme="majorHAnsi" w:hAnsiTheme="majorHAnsi" w:cstheme="majorHAnsi"/>
          <w:sz w:val="24"/>
          <w:szCs w:val="24"/>
          <w:shd w:val="clear" w:color="auto" w:fill="FFFFFF"/>
          <w:vertAlign w:val="superscript"/>
        </w:rPr>
        <w:footnoteReference w:id="40"/>
      </w:r>
      <w:r w:rsidRPr="00A939CF">
        <w:rPr>
          <w:rFonts w:asciiTheme="majorHAnsi" w:hAnsiTheme="majorHAnsi" w:cstheme="majorHAnsi"/>
          <w:sz w:val="24"/>
          <w:szCs w:val="24"/>
          <w:shd w:val="clear" w:color="auto" w:fill="FFFFFF"/>
        </w:rPr>
        <w:t xml:space="preserve"> sought to amend various existing laws in order to give further effect to Article 100 of the Constitution.</w:t>
      </w:r>
      <w:r w:rsidRPr="004B35A0">
        <w:rPr>
          <w:rFonts w:asciiTheme="majorHAnsi" w:hAnsiTheme="majorHAnsi" w:cstheme="majorHAnsi"/>
          <w:sz w:val="24"/>
          <w:szCs w:val="24"/>
          <w:shd w:val="clear" w:color="auto" w:fill="FFFFFF"/>
          <w:vertAlign w:val="superscript"/>
        </w:rPr>
        <w:footnoteReference w:id="41"/>
      </w:r>
      <w:r w:rsidRPr="00A939CF">
        <w:rPr>
          <w:rFonts w:asciiTheme="majorHAnsi" w:hAnsiTheme="majorHAnsi" w:cstheme="majorHAnsi"/>
          <w:sz w:val="24"/>
          <w:szCs w:val="24"/>
          <w:shd w:val="clear" w:color="auto" w:fill="FFFFFF"/>
        </w:rPr>
        <w:t xml:space="preserve"> </w:t>
      </w:r>
    </w:p>
    <w:p w14:paraId="275D4873" w14:textId="315DBB8A" w:rsidR="00D10276" w:rsidRPr="00A939CF" w:rsidRDefault="004E07E6" w:rsidP="00A939CF">
      <w:pPr>
        <w:pStyle w:val="ListParagraph"/>
        <w:numPr>
          <w:ilvl w:val="0"/>
          <w:numId w:val="27"/>
        </w:num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The Constitution of Kenya (Amendment) Bill, 2018</w:t>
      </w:r>
      <w:r w:rsidR="0043460D" w:rsidRPr="004B35A0">
        <w:rPr>
          <w:rFonts w:asciiTheme="majorHAnsi" w:hAnsiTheme="majorHAnsi" w:cstheme="majorHAnsi"/>
          <w:sz w:val="24"/>
          <w:szCs w:val="24"/>
          <w:shd w:val="clear" w:color="auto" w:fill="FFFFFF"/>
          <w:vertAlign w:val="superscript"/>
        </w:rPr>
        <w:footnoteReference w:id="42"/>
      </w:r>
      <w:r w:rsidRPr="00A939CF">
        <w:rPr>
          <w:rFonts w:asciiTheme="majorHAnsi" w:hAnsiTheme="majorHAnsi" w:cstheme="majorHAnsi"/>
          <w:sz w:val="24"/>
          <w:szCs w:val="24"/>
          <w:shd w:val="clear" w:color="auto" w:fill="FFFFFF"/>
        </w:rPr>
        <w:t xml:space="preserve">. </w:t>
      </w:r>
      <w:r w:rsidR="008E3B55" w:rsidRPr="00A939CF">
        <w:rPr>
          <w:rFonts w:asciiTheme="majorHAnsi" w:hAnsiTheme="majorHAnsi" w:cstheme="majorHAnsi"/>
          <w:sz w:val="24"/>
          <w:szCs w:val="24"/>
          <w:shd w:val="clear" w:color="auto" w:fill="FFFFFF"/>
        </w:rPr>
        <w:t xml:space="preserve"> which </w:t>
      </w:r>
      <w:r w:rsidRPr="00A939CF">
        <w:rPr>
          <w:rFonts w:asciiTheme="majorHAnsi" w:hAnsiTheme="majorHAnsi" w:cstheme="majorHAnsi"/>
          <w:sz w:val="24"/>
          <w:szCs w:val="24"/>
          <w:shd w:val="clear" w:color="auto" w:fill="FFFFFF"/>
        </w:rPr>
        <w:t xml:space="preserve">seeks to give effect to the two-thirds gender principle through the creation of special seats. That will ensure that the </w:t>
      </w:r>
      <w:r w:rsidRPr="00A939CF">
        <w:rPr>
          <w:rFonts w:asciiTheme="majorHAnsi" w:hAnsiTheme="majorHAnsi" w:cstheme="majorHAnsi"/>
          <w:sz w:val="24"/>
          <w:szCs w:val="24"/>
          <w:shd w:val="clear" w:color="auto" w:fill="FFFFFF"/>
        </w:rPr>
        <w:lastRenderedPageBreak/>
        <w:t xml:space="preserve">gender principle is realized in Parliament over a period of twenty years from the next general election, in this case 2022. </w:t>
      </w:r>
      <w:r w:rsidR="00D10276" w:rsidRPr="00A939CF">
        <w:rPr>
          <w:rFonts w:asciiTheme="majorHAnsi" w:hAnsiTheme="majorHAnsi" w:cstheme="majorHAnsi"/>
          <w:sz w:val="24"/>
          <w:szCs w:val="24"/>
          <w:shd w:val="clear" w:color="auto" w:fill="FFFFFF"/>
        </w:rPr>
        <w:t xml:space="preserve">As at reporting, the Bill </w:t>
      </w:r>
      <w:r w:rsidR="003B6F8C" w:rsidRPr="00A939CF">
        <w:rPr>
          <w:rFonts w:asciiTheme="majorHAnsi" w:hAnsiTheme="majorHAnsi" w:cstheme="majorHAnsi"/>
          <w:sz w:val="24"/>
          <w:szCs w:val="24"/>
          <w:shd w:val="clear" w:color="auto" w:fill="FFFFFF"/>
        </w:rPr>
        <w:t>was lost at 2nd reading.</w:t>
      </w:r>
    </w:p>
    <w:p w14:paraId="6A480B8F" w14:textId="2B0A1E49" w:rsidR="003B6F8C" w:rsidRPr="00A939CF" w:rsidRDefault="003B6F8C" w:rsidP="00A939CF">
      <w:pPr>
        <w:pStyle w:val="ListParagraph"/>
        <w:numPr>
          <w:ilvl w:val="0"/>
          <w:numId w:val="27"/>
        </w:numPr>
        <w:spacing w:before="240" w:after="240" w:line="360" w:lineRule="auto"/>
        <w:jc w:val="both"/>
        <w:rPr>
          <w:rFonts w:asciiTheme="majorHAnsi" w:hAnsiTheme="majorHAnsi" w:cstheme="majorHAnsi"/>
          <w:sz w:val="24"/>
          <w:szCs w:val="24"/>
          <w:shd w:val="clear" w:color="auto" w:fill="FFFFFF"/>
        </w:rPr>
      </w:pPr>
      <w:r w:rsidRPr="00A939CF">
        <w:rPr>
          <w:rFonts w:asciiTheme="majorHAnsi" w:hAnsiTheme="majorHAnsi" w:cstheme="majorHAnsi"/>
          <w:sz w:val="24"/>
          <w:szCs w:val="24"/>
          <w:shd w:val="clear" w:color="auto" w:fill="FFFFFF"/>
        </w:rPr>
        <w:t>The Constitution of Kenya (Amendment) Bill 2019</w:t>
      </w:r>
      <w:r w:rsidR="00F15061" w:rsidRPr="00A939CF">
        <w:rPr>
          <w:rFonts w:asciiTheme="majorHAnsi" w:hAnsiTheme="majorHAnsi" w:cstheme="majorHAnsi"/>
          <w:sz w:val="24"/>
          <w:szCs w:val="24"/>
          <w:shd w:val="clear" w:color="auto" w:fill="FFFFFF"/>
        </w:rPr>
        <w:t>.</w:t>
      </w:r>
      <w:r w:rsidRPr="004B35A0">
        <w:rPr>
          <w:rFonts w:asciiTheme="majorHAnsi" w:hAnsiTheme="majorHAnsi" w:cstheme="majorHAnsi"/>
          <w:sz w:val="24"/>
          <w:szCs w:val="24"/>
          <w:shd w:val="clear" w:color="auto" w:fill="FFFFFF"/>
          <w:vertAlign w:val="superscript"/>
        </w:rPr>
        <w:footnoteReference w:id="43"/>
      </w:r>
      <w:r w:rsidR="00F15061" w:rsidRPr="00A939CF">
        <w:rPr>
          <w:rFonts w:asciiTheme="majorHAnsi" w:hAnsiTheme="majorHAnsi" w:cstheme="majorHAnsi"/>
          <w:sz w:val="24"/>
          <w:szCs w:val="24"/>
          <w:shd w:val="clear" w:color="auto" w:fill="FFFFFF"/>
        </w:rPr>
        <w:t xml:space="preserve"> The Bill seeks to amend the Constitution by parliamentary initiative in terms of Article 256 of the Constitution</w:t>
      </w:r>
      <w:r w:rsidR="00F310C1" w:rsidRPr="00A939CF">
        <w:rPr>
          <w:rFonts w:asciiTheme="majorHAnsi" w:hAnsiTheme="majorHAnsi" w:cstheme="majorHAnsi"/>
          <w:sz w:val="24"/>
          <w:szCs w:val="24"/>
          <w:shd w:val="clear" w:color="auto" w:fill="FFFFFF"/>
        </w:rPr>
        <w:t xml:space="preserve"> </w:t>
      </w:r>
      <w:r w:rsidR="00F15061" w:rsidRPr="00A939CF">
        <w:rPr>
          <w:rFonts w:asciiTheme="majorHAnsi" w:hAnsiTheme="majorHAnsi" w:cstheme="majorHAnsi"/>
          <w:sz w:val="24"/>
          <w:szCs w:val="24"/>
          <w:shd w:val="clear" w:color="auto" w:fill="FFFFFF"/>
        </w:rPr>
        <w:t xml:space="preserve">in order to ensure that the number of Members of Parliament reflect the requirement of Article 27 (8) that not more than two-thirds of the members of elective or appointive bodies shall be of the same gender. As at reporting, the Bill had undergone 1st reading at the National Assembly. </w:t>
      </w:r>
    </w:p>
    <w:p w14:paraId="68F068E1" w14:textId="77777777" w:rsidR="00BE0180" w:rsidRPr="004B35A0" w:rsidRDefault="00BE0180" w:rsidP="004B35A0">
      <w:pPr>
        <w:pStyle w:val="Heading2"/>
      </w:pPr>
      <w:bookmarkStart w:id="15" w:name="_Toc50984438"/>
      <w:r w:rsidRPr="004B35A0">
        <w:t>Participation of women in the public sector</w:t>
      </w:r>
      <w:bookmarkEnd w:id="15"/>
    </w:p>
    <w:p w14:paraId="69F46A36" w14:textId="07999580" w:rsidR="008F66CA" w:rsidRPr="004B35A0" w:rsidRDefault="008E3B55"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 xml:space="preserve">The levels of representation remain low in both the cabinet as well as Boards of state corporations. Compared to its East African neighbours, Kenyan women’s representation in Parliament still lags behind. </w:t>
      </w:r>
      <w:r w:rsidR="008F66CA" w:rsidRPr="004B35A0">
        <w:rPr>
          <w:rFonts w:asciiTheme="majorHAnsi" w:hAnsiTheme="majorHAnsi" w:cstheme="majorHAnsi"/>
          <w:sz w:val="24"/>
          <w:szCs w:val="24"/>
          <w:shd w:val="clear" w:color="auto" w:fill="FFFFFF"/>
        </w:rPr>
        <w:t xml:space="preserve">In an effort to ensure that women participate effectively in the private sector, the President launched the </w:t>
      </w:r>
      <w:proofErr w:type="spellStart"/>
      <w:r w:rsidR="008F66CA" w:rsidRPr="004B35A0">
        <w:rPr>
          <w:rFonts w:asciiTheme="majorHAnsi" w:hAnsiTheme="majorHAnsi" w:cstheme="majorHAnsi"/>
          <w:sz w:val="24"/>
          <w:szCs w:val="24"/>
          <w:shd w:val="clear" w:color="auto" w:fill="FFFFFF"/>
        </w:rPr>
        <w:t>Uwezo</w:t>
      </w:r>
      <w:proofErr w:type="spellEnd"/>
      <w:r w:rsidR="008F66CA" w:rsidRPr="004B35A0">
        <w:rPr>
          <w:rFonts w:asciiTheme="majorHAnsi" w:hAnsiTheme="majorHAnsi" w:cstheme="majorHAnsi"/>
          <w:sz w:val="24"/>
          <w:szCs w:val="24"/>
          <w:shd w:val="clear" w:color="auto" w:fill="FFFFFF"/>
        </w:rPr>
        <w:t xml:space="preserve"> Fund</w:t>
      </w:r>
      <w:r w:rsidR="00CD5567" w:rsidRPr="004B35A0">
        <w:rPr>
          <w:rFonts w:asciiTheme="majorHAnsi" w:hAnsiTheme="majorHAnsi" w:cstheme="majorHAnsi"/>
          <w:sz w:val="24"/>
          <w:szCs w:val="24"/>
          <w:shd w:val="clear" w:color="auto" w:fill="FFFFFF"/>
          <w:vertAlign w:val="superscript"/>
        </w:rPr>
        <w:footnoteReference w:id="44"/>
      </w:r>
      <w:r w:rsidR="00CD5567" w:rsidRPr="004B35A0">
        <w:rPr>
          <w:rFonts w:asciiTheme="majorHAnsi" w:hAnsiTheme="majorHAnsi" w:cstheme="majorHAnsi"/>
          <w:sz w:val="24"/>
          <w:szCs w:val="24"/>
          <w:shd w:val="clear" w:color="auto" w:fill="FFFFFF"/>
        </w:rPr>
        <w:t xml:space="preserve"> which </w:t>
      </w:r>
      <w:r w:rsidR="008F66CA" w:rsidRPr="004B35A0">
        <w:rPr>
          <w:rFonts w:asciiTheme="majorHAnsi" w:hAnsiTheme="majorHAnsi" w:cstheme="majorHAnsi"/>
          <w:sz w:val="24"/>
          <w:szCs w:val="24"/>
          <w:shd w:val="clear" w:color="auto" w:fill="FFFFFF"/>
        </w:rPr>
        <w:t>seeks to expand access to finances and promote women, youth and persons with disability led enterprises at the constituency level</w:t>
      </w:r>
      <w:r w:rsidR="008F66CA" w:rsidRPr="004B35A0">
        <w:rPr>
          <w:rFonts w:asciiTheme="majorHAnsi" w:hAnsiTheme="majorHAnsi" w:cstheme="majorHAnsi"/>
          <w:sz w:val="24"/>
          <w:szCs w:val="24"/>
          <w:shd w:val="clear" w:color="auto" w:fill="FFFFFF"/>
          <w:vertAlign w:val="superscript"/>
        </w:rPr>
        <w:footnoteReference w:id="45"/>
      </w:r>
      <w:r w:rsidR="008F66CA" w:rsidRPr="004B35A0">
        <w:rPr>
          <w:rFonts w:asciiTheme="majorHAnsi" w:hAnsiTheme="majorHAnsi" w:cstheme="majorHAnsi"/>
          <w:sz w:val="24"/>
          <w:szCs w:val="24"/>
          <w:shd w:val="clear" w:color="auto" w:fill="FFFFFF"/>
        </w:rPr>
        <w:t>.</w:t>
      </w:r>
    </w:p>
    <w:p w14:paraId="609B77BA" w14:textId="01F3971E" w:rsidR="008F66CA" w:rsidRPr="004B35A0" w:rsidRDefault="008F66CA"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The government, in August 2007 established the Women Enterpris</w:t>
      </w:r>
      <w:r w:rsidR="00CD5567" w:rsidRPr="004B35A0">
        <w:rPr>
          <w:rFonts w:asciiTheme="majorHAnsi" w:hAnsiTheme="majorHAnsi" w:cstheme="majorHAnsi"/>
          <w:sz w:val="24"/>
          <w:szCs w:val="24"/>
          <w:shd w:val="clear" w:color="auto" w:fill="FFFFFF"/>
        </w:rPr>
        <w:t>e Fund</w:t>
      </w:r>
      <w:r w:rsidR="00CD5567" w:rsidRPr="004B35A0">
        <w:rPr>
          <w:rFonts w:asciiTheme="majorHAnsi" w:hAnsiTheme="majorHAnsi" w:cstheme="majorHAnsi"/>
          <w:sz w:val="24"/>
          <w:szCs w:val="24"/>
          <w:shd w:val="clear" w:color="auto" w:fill="FFFFFF"/>
          <w:vertAlign w:val="superscript"/>
        </w:rPr>
        <w:footnoteReference w:id="46"/>
      </w:r>
      <w:r w:rsidRPr="004B35A0">
        <w:rPr>
          <w:rFonts w:asciiTheme="majorHAnsi" w:hAnsiTheme="majorHAnsi" w:cstheme="majorHAnsi"/>
          <w:sz w:val="24"/>
          <w:szCs w:val="24"/>
          <w:shd w:val="clear" w:color="auto" w:fill="FFFFFF"/>
        </w:rPr>
        <w:t xml:space="preserve"> to provide accessible and affordable credit to support women start and/or expand business</w:t>
      </w:r>
      <w:r w:rsidR="002F4036" w:rsidRPr="004B35A0">
        <w:rPr>
          <w:rFonts w:asciiTheme="majorHAnsi" w:hAnsiTheme="majorHAnsi" w:cstheme="majorHAnsi"/>
          <w:sz w:val="24"/>
          <w:szCs w:val="24"/>
          <w:shd w:val="clear" w:color="auto" w:fill="FFFFFF"/>
        </w:rPr>
        <w:t>es</w:t>
      </w:r>
      <w:r w:rsidRPr="004B35A0">
        <w:rPr>
          <w:rFonts w:asciiTheme="majorHAnsi" w:hAnsiTheme="majorHAnsi" w:cstheme="majorHAnsi"/>
          <w:sz w:val="24"/>
          <w:szCs w:val="24"/>
          <w:shd w:val="clear" w:color="auto" w:fill="FFFFFF"/>
        </w:rPr>
        <w:t xml:space="preserve"> for wealth and employment creation.</w:t>
      </w:r>
      <w:r w:rsidRPr="004B35A0">
        <w:rPr>
          <w:rFonts w:asciiTheme="majorHAnsi" w:hAnsiTheme="majorHAnsi" w:cstheme="majorHAnsi"/>
          <w:sz w:val="24"/>
          <w:szCs w:val="24"/>
          <w:shd w:val="clear" w:color="auto" w:fill="FFFFFF"/>
          <w:vertAlign w:val="superscript"/>
        </w:rPr>
        <w:footnoteReference w:id="47"/>
      </w:r>
      <w:r w:rsidRPr="004B35A0">
        <w:rPr>
          <w:rFonts w:asciiTheme="majorHAnsi" w:hAnsiTheme="majorHAnsi" w:cstheme="majorHAnsi"/>
          <w:sz w:val="24"/>
          <w:szCs w:val="24"/>
          <w:shd w:val="clear" w:color="auto" w:fill="FFFFFF"/>
        </w:rPr>
        <w:t xml:space="preserve">  To-date, 1,143,156 women have undergone various training; 26,114 women have been sensitized on SACCO </w:t>
      </w:r>
      <w:r w:rsidR="004B35A0" w:rsidRPr="004B35A0">
        <w:rPr>
          <w:rFonts w:asciiTheme="majorHAnsi" w:hAnsiTheme="majorHAnsi" w:cstheme="majorHAnsi"/>
          <w:sz w:val="24"/>
          <w:szCs w:val="24"/>
          <w:shd w:val="clear" w:color="auto" w:fill="FFFFFF"/>
        </w:rPr>
        <w:t>formation; 8</w:t>
      </w:r>
      <w:r w:rsidRPr="004B35A0">
        <w:rPr>
          <w:rFonts w:asciiTheme="majorHAnsi" w:hAnsiTheme="majorHAnsi" w:cstheme="majorHAnsi"/>
          <w:sz w:val="24"/>
          <w:szCs w:val="24"/>
          <w:shd w:val="clear" w:color="auto" w:fill="FFFFFF"/>
        </w:rPr>
        <w:t xml:space="preserve"> SACCOs qualified for funding and Kshs. 45 Million has been disbursed.</w:t>
      </w:r>
      <w:r w:rsidRPr="004B35A0">
        <w:rPr>
          <w:rFonts w:asciiTheme="majorHAnsi" w:hAnsiTheme="majorHAnsi" w:cstheme="majorHAnsi"/>
          <w:sz w:val="24"/>
          <w:szCs w:val="24"/>
          <w:shd w:val="clear" w:color="auto" w:fill="FFFFFF"/>
          <w:vertAlign w:val="superscript"/>
        </w:rPr>
        <w:footnoteReference w:id="48"/>
      </w:r>
    </w:p>
    <w:p w14:paraId="474CF9CE" w14:textId="77777777" w:rsidR="008F66CA" w:rsidRPr="004B35A0" w:rsidRDefault="008F66CA" w:rsidP="004B35A0">
      <w:pPr>
        <w:pStyle w:val="Heading1"/>
      </w:pPr>
      <w:bookmarkStart w:id="16" w:name="_Toc50984439"/>
      <w:r w:rsidRPr="004B35A0">
        <w:lastRenderedPageBreak/>
        <w:t>Counter-terrorism measures (arts. 2, 4, 7, 9 and 14)</w:t>
      </w:r>
      <w:bookmarkEnd w:id="16"/>
    </w:p>
    <w:p w14:paraId="6F182881" w14:textId="615EFC15" w:rsidR="003604F8" w:rsidRPr="004B35A0" w:rsidRDefault="003604F8" w:rsidP="004B35A0">
      <w:pPr>
        <w:pStyle w:val="Heading2"/>
        <w:numPr>
          <w:ilvl w:val="0"/>
          <w:numId w:val="28"/>
        </w:numPr>
        <w:rPr>
          <w:rFonts w:eastAsiaTheme="minorHAnsi"/>
        </w:rPr>
      </w:pPr>
      <w:bookmarkStart w:id="17" w:name="_Toc50984440"/>
      <w:r w:rsidRPr="004B35A0">
        <w:rPr>
          <w:rFonts w:eastAsiaTheme="minorHAnsi"/>
        </w:rPr>
        <w:t>The Prevention of Terrorism Act</w:t>
      </w:r>
      <w:r w:rsidR="001B6A17" w:rsidRPr="004B35A0">
        <w:rPr>
          <w:rFonts w:eastAsiaTheme="minorHAnsi"/>
        </w:rPr>
        <w:t>, 2012</w:t>
      </w:r>
      <w:r w:rsidR="001B6A17" w:rsidRPr="004B35A0">
        <w:rPr>
          <w:rFonts w:eastAsiaTheme="minorHAnsi"/>
          <w:b w:val="0"/>
          <w:bCs/>
          <w:vertAlign w:val="superscript"/>
        </w:rPr>
        <w:footnoteReference w:id="49"/>
      </w:r>
      <w:r w:rsidRPr="004B35A0">
        <w:rPr>
          <w:rFonts w:eastAsiaTheme="minorHAnsi"/>
        </w:rPr>
        <w:t xml:space="preserve"> gives a broad definition to terrorist act</w:t>
      </w:r>
      <w:r w:rsidR="001B6A17" w:rsidRPr="004B35A0">
        <w:rPr>
          <w:rFonts w:eastAsiaTheme="minorHAnsi"/>
        </w:rPr>
        <w:t>.</w:t>
      </w:r>
      <w:bookmarkEnd w:id="17"/>
      <w:r w:rsidRPr="004B35A0">
        <w:rPr>
          <w:rFonts w:eastAsiaTheme="minorHAnsi"/>
        </w:rPr>
        <w:t xml:space="preserve"> </w:t>
      </w:r>
    </w:p>
    <w:p w14:paraId="25A19854" w14:textId="02A38CAF" w:rsidR="00A805A4" w:rsidRPr="004B35A0" w:rsidRDefault="003B7853"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In the wake of the terrorist attacks in Kenya in the last months of 2014, the State enacted the Security Laws</w:t>
      </w:r>
      <w:r w:rsidR="00886C12" w:rsidRPr="004B35A0">
        <w:rPr>
          <w:rFonts w:asciiTheme="majorHAnsi" w:hAnsiTheme="majorHAnsi" w:cstheme="majorHAnsi"/>
          <w:sz w:val="24"/>
          <w:szCs w:val="24"/>
          <w:shd w:val="clear" w:color="auto" w:fill="FFFFFF"/>
        </w:rPr>
        <w:t xml:space="preserve"> (Amendment) Act (SLAA</w:t>
      </w:r>
      <w:r w:rsidR="001B6A17" w:rsidRPr="004B35A0">
        <w:rPr>
          <w:rFonts w:asciiTheme="majorHAnsi" w:hAnsiTheme="majorHAnsi" w:cstheme="majorHAnsi"/>
          <w:sz w:val="24"/>
          <w:szCs w:val="24"/>
          <w:shd w:val="clear" w:color="auto" w:fill="FFFFFF"/>
        </w:rPr>
        <w:t xml:space="preserve">). </w:t>
      </w:r>
      <w:r w:rsidR="002A2F1A" w:rsidRPr="004B35A0">
        <w:rPr>
          <w:rFonts w:asciiTheme="majorHAnsi" w:hAnsiTheme="majorHAnsi" w:cstheme="majorHAnsi"/>
          <w:sz w:val="24"/>
          <w:szCs w:val="24"/>
          <w:shd w:val="clear" w:color="auto" w:fill="FFFFFF"/>
        </w:rPr>
        <w:t>The court in</w:t>
      </w:r>
      <w:r w:rsidR="00264DCF" w:rsidRPr="004B35A0">
        <w:rPr>
          <w:rFonts w:asciiTheme="majorHAnsi" w:hAnsiTheme="majorHAnsi" w:cstheme="majorHAnsi"/>
          <w:sz w:val="24"/>
          <w:szCs w:val="24"/>
          <w:shd w:val="clear" w:color="auto" w:fill="FFFFFF"/>
        </w:rPr>
        <w:t xml:space="preserve"> </w:t>
      </w:r>
      <w:r w:rsidR="002A2F1A" w:rsidRPr="004B35A0">
        <w:rPr>
          <w:rFonts w:asciiTheme="majorHAnsi" w:hAnsiTheme="majorHAnsi" w:cstheme="majorHAnsi"/>
          <w:sz w:val="24"/>
          <w:szCs w:val="24"/>
          <w:shd w:val="clear" w:color="auto" w:fill="FFFFFF"/>
        </w:rPr>
        <w:t xml:space="preserve"> </w:t>
      </w:r>
      <w:hyperlink r:id="rId18" w:history="1">
        <w:r w:rsidR="002A2F1A" w:rsidRPr="004B35A0">
          <w:rPr>
            <w:rFonts w:asciiTheme="majorHAnsi" w:hAnsiTheme="majorHAnsi" w:cstheme="majorHAnsi"/>
            <w:sz w:val="24"/>
            <w:szCs w:val="24"/>
            <w:shd w:val="clear" w:color="auto" w:fill="FFFFFF"/>
          </w:rPr>
          <w:t>Coalition for Reform and Democracy (CORD)</w:t>
        </w:r>
      </w:hyperlink>
      <w:r w:rsidR="00264DCF" w:rsidRPr="004B35A0">
        <w:rPr>
          <w:rFonts w:asciiTheme="majorHAnsi" w:hAnsiTheme="majorHAnsi" w:cstheme="majorHAnsi"/>
          <w:sz w:val="24"/>
          <w:szCs w:val="24"/>
          <w:shd w:val="clear" w:color="auto" w:fill="FFFFFF"/>
        </w:rPr>
        <w:t xml:space="preserve"> case</w:t>
      </w:r>
      <w:r w:rsidR="00264DCF" w:rsidRPr="004B35A0">
        <w:rPr>
          <w:rFonts w:asciiTheme="majorHAnsi" w:hAnsiTheme="majorHAnsi" w:cstheme="majorHAnsi"/>
          <w:sz w:val="24"/>
          <w:szCs w:val="24"/>
          <w:shd w:val="clear" w:color="auto" w:fill="FFFFFF"/>
          <w:vertAlign w:val="superscript"/>
        </w:rPr>
        <w:footnoteReference w:id="50"/>
      </w:r>
      <w:r w:rsidR="002A2F1A" w:rsidRPr="004B35A0">
        <w:rPr>
          <w:rFonts w:asciiTheme="majorHAnsi" w:hAnsiTheme="majorHAnsi" w:cstheme="majorHAnsi"/>
          <w:sz w:val="24"/>
          <w:szCs w:val="24"/>
          <w:shd w:val="clear" w:color="auto" w:fill="FFFFFF"/>
        </w:rPr>
        <w:t xml:space="preserve">declared </w:t>
      </w:r>
      <w:r w:rsidR="00A2496E" w:rsidRPr="004B35A0">
        <w:rPr>
          <w:rFonts w:asciiTheme="majorHAnsi" w:hAnsiTheme="majorHAnsi" w:cstheme="majorHAnsi"/>
          <w:sz w:val="24"/>
          <w:szCs w:val="24"/>
          <w:shd w:val="clear" w:color="auto" w:fill="FFFFFF"/>
        </w:rPr>
        <w:t xml:space="preserve"> several sections as unconstitutional for infringing on the bill of rights. For instance, </w:t>
      </w:r>
      <w:r w:rsidR="002A2F1A" w:rsidRPr="004B35A0">
        <w:rPr>
          <w:rFonts w:asciiTheme="majorHAnsi" w:hAnsiTheme="majorHAnsi" w:cstheme="majorHAnsi"/>
          <w:sz w:val="24"/>
          <w:szCs w:val="24"/>
          <w:shd w:val="clear" w:color="auto" w:fill="FFFFFF"/>
        </w:rPr>
        <w:t>Section</w:t>
      </w:r>
      <w:r w:rsidR="00A2496E" w:rsidRPr="004B35A0">
        <w:rPr>
          <w:rFonts w:asciiTheme="majorHAnsi" w:hAnsiTheme="majorHAnsi" w:cstheme="majorHAnsi"/>
          <w:sz w:val="24"/>
          <w:szCs w:val="24"/>
          <w:shd w:val="clear" w:color="auto" w:fill="FFFFFF"/>
        </w:rPr>
        <w:t>s 12 and</w:t>
      </w:r>
      <w:r w:rsidR="002A2F1A" w:rsidRPr="004B35A0">
        <w:rPr>
          <w:rFonts w:asciiTheme="majorHAnsi" w:hAnsiTheme="majorHAnsi" w:cstheme="majorHAnsi"/>
          <w:sz w:val="24"/>
          <w:szCs w:val="24"/>
          <w:shd w:val="clear" w:color="auto" w:fill="FFFFFF"/>
        </w:rPr>
        <w:t xml:space="preserve"> 64 of Security Laws (Amendment) Act </w:t>
      </w:r>
      <w:r w:rsidR="00A2496E" w:rsidRPr="004B35A0">
        <w:rPr>
          <w:rFonts w:asciiTheme="majorHAnsi" w:hAnsiTheme="majorHAnsi" w:cstheme="majorHAnsi"/>
          <w:sz w:val="24"/>
          <w:szCs w:val="24"/>
          <w:shd w:val="clear" w:color="auto" w:fill="FFFFFF"/>
        </w:rPr>
        <w:t xml:space="preserve">were unconstitutional for violating </w:t>
      </w:r>
      <w:r w:rsidR="002A2F1A" w:rsidRPr="004B35A0">
        <w:rPr>
          <w:rFonts w:asciiTheme="majorHAnsi" w:hAnsiTheme="majorHAnsi" w:cstheme="majorHAnsi"/>
          <w:sz w:val="24"/>
          <w:szCs w:val="24"/>
          <w:shd w:val="clear" w:color="auto" w:fill="FFFFFF"/>
        </w:rPr>
        <w:t xml:space="preserve"> the freedom of expression and the media guaranteed under Articles 33 and 34 of the Constitution.</w:t>
      </w:r>
      <w:r w:rsidR="002A2F1A" w:rsidRPr="004B35A0">
        <w:rPr>
          <w:rFonts w:asciiTheme="majorHAnsi" w:hAnsiTheme="majorHAnsi" w:cstheme="majorHAnsi"/>
          <w:sz w:val="24"/>
          <w:szCs w:val="24"/>
          <w:shd w:val="clear" w:color="auto" w:fill="FFFFFF"/>
          <w:vertAlign w:val="superscript"/>
        </w:rPr>
        <w:footnoteReference w:id="51"/>
      </w:r>
      <w:r w:rsidR="002A2F1A" w:rsidRPr="004B35A0">
        <w:rPr>
          <w:rFonts w:asciiTheme="majorHAnsi" w:hAnsiTheme="majorHAnsi" w:cstheme="majorHAnsi"/>
          <w:sz w:val="24"/>
          <w:szCs w:val="24"/>
          <w:shd w:val="clear" w:color="auto" w:fill="FFFFFF"/>
        </w:rPr>
        <w:t xml:space="preserve"> </w:t>
      </w:r>
      <w:r w:rsidR="00F97D34" w:rsidRPr="004B35A0">
        <w:rPr>
          <w:rFonts w:asciiTheme="majorHAnsi" w:hAnsiTheme="majorHAnsi" w:cstheme="majorHAnsi"/>
          <w:sz w:val="24"/>
          <w:szCs w:val="24"/>
          <w:shd w:val="clear" w:color="auto" w:fill="FFFFFF"/>
        </w:rPr>
        <w:t xml:space="preserve">On the other hand, the court upheld the interception of communication in order </w:t>
      </w:r>
      <w:r w:rsidR="002A2F1A" w:rsidRPr="004B35A0">
        <w:rPr>
          <w:rFonts w:asciiTheme="majorHAnsi" w:hAnsiTheme="majorHAnsi" w:cstheme="majorHAnsi"/>
          <w:sz w:val="24"/>
          <w:szCs w:val="24"/>
          <w:shd w:val="clear" w:color="auto" w:fill="FFFFFF"/>
        </w:rPr>
        <w:t xml:space="preserve">to enhance national security </w:t>
      </w:r>
      <w:r w:rsidR="00322E94" w:rsidRPr="004B35A0">
        <w:rPr>
          <w:rFonts w:asciiTheme="majorHAnsi" w:hAnsiTheme="majorHAnsi" w:cstheme="majorHAnsi"/>
          <w:sz w:val="24"/>
          <w:szCs w:val="24"/>
          <w:shd w:val="clear" w:color="auto" w:fill="FFFFFF"/>
        </w:rPr>
        <w:t>a</w:t>
      </w:r>
      <w:r w:rsidR="0073364F" w:rsidRPr="004B35A0">
        <w:rPr>
          <w:rFonts w:asciiTheme="majorHAnsi" w:hAnsiTheme="majorHAnsi" w:cstheme="majorHAnsi"/>
          <w:sz w:val="24"/>
          <w:szCs w:val="24"/>
          <w:shd w:val="clear" w:color="auto" w:fill="FFFFFF"/>
        </w:rPr>
        <w:t xml:space="preserve">s </w:t>
      </w:r>
      <w:r w:rsidR="00322E94" w:rsidRPr="004B35A0">
        <w:rPr>
          <w:rFonts w:asciiTheme="majorHAnsi" w:hAnsiTheme="majorHAnsi" w:cstheme="majorHAnsi"/>
          <w:sz w:val="24"/>
          <w:szCs w:val="24"/>
          <w:shd w:val="clear" w:color="auto" w:fill="FFFFFF"/>
        </w:rPr>
        <w:t xml:space="preserve">a </w:t>
      </w:r>
      <w:r w:rsidR="0073364F" w:rsidRPr="004B35A0">
        <w:rPr>
          <w:rFonts w:asciiTheme="majorHAnsi" w:hAnsiTheme="majorHAnsi" w:cstheme="majorHAnsi"/>
          <w:sz w:val="24"/>
          <w:szCs w:val="24"/>
          <w:shd w:val="clear" w:color="auto" w:fill="FFFFFF"/>
        </w:rPr>
        <w:t>justifiable limitation to the right to privacy, recognised the world over.</w:t>
      </w:r>
      <w:r w:rsidR="0073364F" w:rsidRPr="004B35A0">
        <w:rPr>
          <w:rFonts w:asciiTheme="majorHAnsi" w:hAnsiTheme="majorHAnsi" w:cstheme="majorHAnsi"/>
          <w:sz w:val="24"/>
          <w:szCs w:val="24"/>
          <w:shd w:val="clear" w:color="auto" w:fill="FFFFFF"/>
          <w:vertAlign w:val="superscript"/>
        </w:rPr>
        <w:footnoteReference w:id="52"/>
      </w:r>
    </w:p>
    <w:p w14:paraId="435D89DC" w14:textId="3B0ED052" w:rsidR="00F97D34" w:rsidRPr="004B35A0" w:rsidRDefault="00843FB2"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In the period under review, the national security forces have responded to the attacks in a manner that has occasioned grave human rights violations for which the Commission has recorded in its various reports.</w:t>
      </w:r>
      <w:r w:rsidRPr="004B35A0">
        <w:rPr>
          <w:rFonts w:asciiTheme="majorHAnsi" w:hAnsiTheme="majorHAnsi" w:cstheme="majorHAnsi"/>
          <w:sz w:val="24"/>
          <w:szCs w:val="24"/>
          <w:shd w:val="clear" w:color="auto" w:fill="FFFFFF"/>
          <w:vertAlign w:val="superscript"/>
        </w:rPr>
        <w:footnoteReference w:id="53"/>
      </w:r>
      <w:r w:rsidRPr="004B35A0">
        <w:rPr>
          <w:rFonts w:asciiTheme="majorHAnsi" w:hAnsiTheme="majorHAnsi" w:cstheme="majorHAnsi"/>
          <w:sz w:val="24"/>
          <w:szCs w:val="24"/>
          <w:shd w:val="clear" w:color="auto" w:fill="FFFFFF"/>
        </w:rPr>
        <w:t xml:space="preserve"> </w:t>
      </w:r>
      <w:r w:rsidR="00F97D34" w:rsidRPr="004B35A0">
        <w:rPr>
          <w:rFonts w:asciiTheme="majorHAnsi" w:hAnsiTheme="majorHAnsi" w:cstheme="majorHAnsi"/>
          <w:sz w:val="24"/>
          <w:szCs w:val="24"/>
          <w:shd w:val="clear" w:color="auto" w:fill="FFFFFF"/>
        </w:rPr>
        <w:t xml:space="preserve">In a security operation dubbed Operation </w:t>
      </w:r>
      <w:proofErr w:type="spellStart"/>
      <w:r w:rsidR="00F97D34" w:rsidRPr="004B35A0">
        <w:rPr>
          <w:rFonts w:asciiTheme="majorHAnsi" w:hAnsiTheme="majorHAnsi" w:cstheme="majorHAnsi"/>
          <w:sz w:val="24"/>
          <w:szCs w:val="24"/>
          <w:shd w:val="clear" w:color="auto" w:fill="FFFFFF"/>
        </w:rPr>
        <w:t>Usalama</w:t>
      </w:r>
      <w:proofErr w:type="spellEnd"/>
      <w:r w:rsidR="00F97D34" w:rsidRPr="004B35A0">
        <w:rPr>
          <w:rFonts w:asciiTheme="majorHAnsi" w:hAnsiTheme="majorHAnsi" w:cstheme="majorHAnsi"/>
          <w:sz w:val="24"/>
          <w:szCs w:val="24"/>
          <w:shd w:val="clear" w:color="auto" w:fill="FFFFFF"/>
        </w:rPr>
        <w:t xml:space="preserve"> Watch in April 2014 aimed at flushing out foreigners linked to terrorism in Nairobi and Mombasa, for instance, the Commission documented multiple human rights violations and breaches of the law targeting members of the Somali Community.</w:t>
      </w:r>
      <w:r w:rsidR="00F97D34" w:rsidRPr="004B35A0">
        <w:rPr>
          <w:rFonts w:asciiTheme="majorHAnsi" w:hAnsiTheme="majorHAnsi" w:cstheme="majorHAnsi"/>
          <w:sz w:val="24"/>
          <w:szCs w:val="24"/>
          <w:shd w:val="clear" w:color="auto" w:fill="FFFFFF"/>
          <w:vertAlign w:val="superscript"/>
        </w:rPr>
        <w:footnoteReference w:id="54"/>
      </w:r>
      <w:r w:rsidR="00F97D34" w:rsidRPr="004B35A0">
        <w:rPr>
          <w:rFonts w:asciiTheme="majorHAnsi" w:hAnsiTheme="majorHAnsi" w:cstheme="majorHAnsi"/>
          <w:sz w:val="24"/>
          <w:szCs w:val="24"/>
          <w:shd w:val="clear" w:color="auto" w:fill="FFFFFF"/>
        </w:rPr>
        <w:t xml:space="preserve"> </w:t>
      </w:r>
    </w:p>
    <w:p w14:paraId="767E915D" w14:textId="77777777" w:rsidR="000F7A27" w:rsidRPr="004B35A0" w:rsidRDefault="001D0A06" w:rsidP="004B35A0">
      <w:pPr>
        <w:pStyle w:val="Heading1"/>
      </w:pPr>
      <w:bookmarkStart w:id="18" w:name="_Toc50984441"/>
      <w:r w:rsidRPr="004B35A0">
        <w:lastRenderedPageBreak/>
        <w:t xml:space="preserve">Violence against women, including domestic violence (arts. 2, 3, </w:t>
      </w:r>
      <w:r w:rsidR="00535AC1" w:rsidRPr="004B35A0">
        <w:t>6, 7, 24 and 26)</w:t>
      </w:r>
      <w:bookmarkEnd w:id="18"/>
    </w:p>
    <w:p w14:paraId="709B91D2" w14:textId="10DE0D54" w:rsidR="00BE0180" w:rsidRPr="004B35A0" w:rsidRDefault="00BE0180" w:rsidP="004B35A0">
      <w:pPr>
        <w:pStyle w:val="Heading2"/>
        <w:numPr>
          <w:ilvl w:val="0"/>
          <w:numId w:val="29"/>
        </w:numPr>
        <w:rPr>
          <w:rFonts w:eastAsia="Calibri"/>
        </w:rPr>
      </w:pPr>
      <w:bookmarkStart w:id="19" w:name="_Toc50984442"/>
      <w:r w:rsidRPr="004B35A0">
        <w:rPr>
          <w:rFonts w:eastAsia="Calibri"/>
        </w:rPr>
        <w:t>Female genital mutilation</w:t>
      </w:r>
      <w:bookmarkEnd w:id="19"/>
      <w:r w:rsidRPr="004B35A0">
        <w:rPr>
          <w:rFonts w:eastAsia="Calibri"/>
        </w:rPr>
        <w:t xml:space="preserve"> </w:t>
      </w:r>
    </w:p>
    <w:p w14:paraId="1B361B01" w14:textId="77777777" w:rsidR="00A71BDE" w:rsidRPr="004B35A0" w:rsidRDefault="00A71BDE"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 xml:space="preserve">The Prohibition of Female Genital Mutilation Act establishes the anti –FGM Board which has the mandate to formulate policies, mobilize resources, design and co-ordinate public awareness programs against FGM and advice the government on matters concerning FGM. The Director of Public Prosecutions in April 2014 established the Anti-FGM Unit in order to streamline </w:t>
      </w:r>
      <w:r w:rsidR="000156BC" w:rsidRPr="004B35A0">
        <w:rPr>
          <w:rFonts w:asciiTheme="majorHAnsi" w:hAnsiTheme="majorHAnsi" w:cstheme="majorHAnsi"/>
          <w:sz w:val="24"/>
          <w:szCs w:val="24"/>
          <w:shd w:val="clear" w:color="auto" w:fill="FFFFFF"/>
        </w:rPr>
        <w:t>the prosecution of FGM.</w:t>
      </w:r>
    </w:p>
    <w:p w14:paraId="4D88F9FB" w14:textId="0728C8EA" w:rsidR="00A57FE3" w:rsidRPr="004B35A0" w:rsidRDefault="00A57FE3"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The Kenya Demographic Health Survey 2014</w:t>
      </w:r>
      <w:r w:rsidRPr="00F16ECA">
        <w:rPr>
          <w:rFonts w:asciiTheme="majorHAnsi" w:hAnsiTheme="majorHAnsi" w:cstheme="majorHAnsi"/>
          <w:sz w:val="24"/>
          <w:szCs w:val="24"/>
          <w:shd w:val="clear" w:color="auto" w:fill="FFFFFF"/>
          <w:vertAlign w:val="superscript"/>
        </w:rPr>
        <w:footnoteReference w:id="55"/>
      </w:r>
      <w:r w:rsidRPr="004B35A0">
        <w:rPr>
          <w:rFonts w:asciiTheme="majorHAnsi" w:hAnsiTheme="majorHAnsi" w:cstheme="majorHAnsi"/>
          <w:sz w:val="24"/>
          <w:szCs w:val="24"/>
          <w:shd w:val="clear" w:color="auto" w:fill="FFFFFF"/>
        </w:rPr>
        <w:t xml:space="preserve"> indicates that the prevalence of FGM stands at 21% compared to 27% as documented in 2008. The prevalence rate of FGM in the North Eastern area stands at 97.5% compared to 8% in Nairobi. The percentage of women aged 15-49 circumcised by ethnic group stands at 94% in Somali community, 86% in Samburu, 84% in </w:t>
      </w:r>
      <w:proofErr w:type="spellStart"/>
      <w:r w:rsidRPr="004B35A0">
        <w:rPr>
          <w:rFonts w:asciiTheme="majorHAnsi" w:hAnsiTheme="majorHAnsi" w:cstheme="majorHAnsi"/>
          <w:sz w:val="24"/>
          <w:szCs w:val="24"/>
          <w:shd w:val="clear" w:color="auto" w:fill="FFFFFF"/>
        </w:rPr>
        <w:t>Kisii</w:t>
      </w:r>
      <w:proofErr w:type="spellEnd"/>
      <w:r w:rsidRPr="004B35A0">
        <w:rPr>
          <w:rFonts w:asciiTheme="majorHAnsi" w:hAnsiTheme="majorHAnsi" w:cstheme="majorHAnsi"/>
          <w:sz w:val="24"/>
          <w:szCs w:val="24"/>
          <w:shd w:val="clear" w:color="auto" w:fill="FFFFFF"/>
        </w:rPr>
        <w:t>, and 78%</w:t>
      </w:r>
      <w:r w:rsidR="00D1257A" w:rsidRPr="004B35A0">
        <w:rPr>
          <w:rFonts w:asciiTheme="majorHAnsi" w:hAnsiTheme="majorHAnsi" w:cstheme="majorHAnsi"/>
          <w:sz w:val="24"/>
          <w:szCs w:val="24"/>
          <w:shd w:val="clear" w:color="auto" w:fill="FFFFFF"/>
        </w:rPr>
        <w:t xml:space="preserve"> amongst the Maasai community. </w:t>
      </w:r>
      <w:r w:rsidR="007D68E4" w:rsidRPr="004B35A0">
        <w:rPr>
          <w:rFonts w:asciiTheme="majorHAnsi" w:hAnsiTheme="majorHAnsi" w:cstheme="majorHAnsi"/>
          <w:sz w:val="24"/>
          <w:szCs w:val="24"/>
          <w:shd w:val="clear" w:color="auto" w:fill="FFFFFF"/>
        </w:rPr>
        <w:t>In August 2016, the Anti-FGM board reported that a total of 363 girls from the Maasai community were saved from undergoing female genital mutilation. Instead, the girls went through an alternative rites of passage ceremony that initiated them into womanhood. Further, 137 boys were sensitized on the effects of stigma towards girls who did not undergo the traditional cut and were urged to be ambassadors of anti</w:t>
      </w:r>
      <w:r w:rsidR="00F16ECA">
        <w:rPr>
          <w:rFonts w:asciiTheme="majorHAnsi" w:hAnsiTheme="majorHAnsi" w:cstheme="majorHAnsi"/>
          <w:sz w:val="24"/>
          <w:szCs w:val="24"/>
          <w:shd w:val="clear" w:color="auto" w:fill="FFFFFF"/>
        </w:rPr>
        <w:t xml:space="preserve"> - </w:t>
      </w:r>
      <w:r w:rsidR="007D68E4" w:rsidRPr="004B35A0">
        <w:rPr>
          <w:rFonts w:asciiTheme="majorHAnsi" w:hAnsiTheme="majorHAnsi" w:cstheme="majorHAnsi"/>
          <w:sz w:val="24"/>
          <w:szCs w:val="24"/>
          <w:shd w:val="clear" w:color="auto" w:fill="FFFFFF"/>
        </w:rPr>
        <w:t>FGM.</w:t>
      </w:r>
      <w:r w:rsidR="007D68E4" w:rsidRPr="00F16ECA">
        <w:rPr>
          <w:rFonts w:asciiTheme="majorHAnsi" w:hAnsiTheme="majorHAnsi" w:cstheme="majorHAnsi"/>
          <w:sz w:val="24"/>
          <w:szCs w:val="24"/>
          <w:shd w:val="clear" w:color="auto" w:fill="FFFFFF"/>
          <w:vertAlign w:val="superscript"/>
        </w:rPr>
        <w:footnoteReference w:id="56"/>
      </w:r>
    </w:p>
    <w:p w14:paraId="1AEAF491" w14:textId="4D6407F2" w:rsidR="00DE609B" w:rsidRPr="004B35A0" w:rsidRDefault="00A57FE3"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The State has adopted the revised National Policy on the Eradication of Female Genital Mutilation sessional paper no 3 of 2019. The Policy has five core objectives namely</w:t>
      </w:r>
      <w:r w:rsidRPr="00F16ECA">
        <w:rPr>
          <w:rFonts w:asciiTheme="majorHAnsi" w:hAnsiTheme="majorHAnsi" w:cstheme="majorHAnsi"/>
          <w:sz w:val="24"/>
          <w:szCs w:val="24"/>
          <w:shd w:val="clear" w:color="auto" w:fill="FFFFFF"/>
          <w:vertAlign w:val="superscript"/>
        </w:rPr>
        <w:footnoteReference w:id="57"/>
      </w:r>
      <w:r w:rsidR="00CA42B1" w:rsidRPr="004B35A0">
        <w:rPr>
          <w:rFonts w:asciiTheme="majorHAnsi" w:hAnsiTheme="majorHAnsi" w:cstheme="majorHAnsi"/>
          <w:sz w:val="24"/>
          <w:szCs w:val="24"/>
          <w:shd w:val="clear" w:color="auto" w:fill="FFFFFF"/>
        </w:rPr>
        <w:t xml:space="preserve"> t</w:t>
      </w:r>
      <w:r w:rsidRPr="004B35A0">
        <w:rPr>
          <w:rFonts w:asciiTheme="majorHAnsi" w:hAnsiTheme="majorHAnsi" w:cstheme="majorHAnsi"/>
          <w:sz w:val="24"/>
          <w:szCs w:val="24"/>
          <w:shd w:val="clear" w:color="auto" w:fill="FFFFFF"/>
        </w:rPr>
        <w:t xml:space="preserve">o accelerate </w:t>
      </w:r>
      <w:r w:rsidR="00CA42B1" w:rsidRPr="004B35A0">
        <w:rPr>
          <w:rFonts w:asciiTheme="majorHAnsi" w:hAnsiTheme="majorHAnsi" w:cstheme="majorHAnsi"/>
          <w:sz w:val="24"/>
          <w:szCs w:val="24"/>
          <w:shd w:val="clear" w:color="auto" w:fill="FFFFFF"/>
        </w:rPr>
        <w:t>the eradication of FGM in Kenya; t</w:t>
      </w:r>
      <w:r w:rsidRPr="004B35A0">
        <w:rPr>
          <w:rFonts w:asciiTheme="majorHAnsi" w:hAnsiTheme="majorHAnsi" w:cstheme="majorHAnsi"/>
          <w:sz w:val="24"/>
          <w:szCs w:val="24"/>
          <w:shd w:val="clear" w:color="auto" w:fill="FFFFFF"/>
        </w:rPr>
        <w:t>o strengthen multi-sectoral coordination and networking, partnership and community participa</w:t>
      </w:r>
      <w:r w:rsidR="00CA42B1" w:rsidRPr="004B35A0">
        <w:rPr>
          <w:rFonts w:asciiTheme="majorHAnsi" w:hAnsiTheme="majorHAnsi" w:cstheme="majorHAnsi"/>
          <w:sz w:val="24"/>
          <w:szCs w:val="24"/>
          <w:shd w:val="clear" w:color="auto" w:fill="FFFFFF"/>
        </w:rPr>
        <w:t>tion towards eradication of FGM; t</w:t>
      </w:r>
      <w:r w:rsidRPr="004B35A0">
        <w:rPr>
          <w:rFonts w:asciiTheme="majorHAnsi" w:hAnsiTheme="majorHAnsi" w:cstheme="majorHAnsi"/>
          <w:sz w:val="24"/>
          <w:szCs w:val="24"/>
          <w:shd w:val="clear" w:color="auto" w:fill="FFFFFF"/>
        </w:rPr>
        <w:t>o address emerging trends and practices aimed at ci</w:t>
      </w:r>
      <w:r w:rsidR="00CA42B1" w:rsidRPr="004B35A0">
        <w:rPr>
          <w:rFonts w:asciiTheme="majorHAnsi" w:hAnsiTheme="majorHAnsi" w:cstheme="majorHAnsi"/>
          <w:sz w:val="24"/>
          <w:szCs w:val="24"/>
          <w:shd w:val="clear" w:color="auto" w:fill="FFFFFF"/>
        </w:rPr>
        <w:t xml:space="preserve">rcumventing the legal framework; </w:t>
      </w:r>
      <w:r w:rsidRPr="004B35A0">
        <w:rPr>
          <w:rFonts w:asciiTheme="majorHAnsi" w:hAnsiTheme="majorHAnsi" w:cstheme="majorHAnsi"/>
          <w:sz w:val="24"/>
          <w:szCs w:val="24"/>
          <w:shd w:val="clear" w:color="auto" w:fill="FFFFFF"/>
        </w:rPr>
        <w:t>promoting the</w:t>
      </w:r>
      <w:r w:rsidR="00CA42B1" w:rsidRPr="004B35A0">
        <w:rPr>
          <w:rFonts w:asciiTheme="majorHAnsi" w:hAnsiTheme="majorHAnsi" w:cstheme="majorHAnsi"/>
          <w:sz w:val="24"/>
          <w:szCs w:val="24"/>
          <w:shd w:val="clear" w:color="auto" w:fill="FFFFFF"/>
        </w:rPr>
        <w:t xml:space="preserve"> empowerment of girls and women; and t</w:t>
      </w:r>
      <w:r w:rsidRPr="004B35A0">
        <w:rPr>
          <w:rFonts w:asciiTheme="majorHAnsi" w:hAnsiTheme="majorHAnsi" w:cstheme="majorHAnsi"/>
          <w:sz w:val="24"/>
          <w:szCs w:val="24"/>
          <w:shd w:val="clear" w:color="auto" w:fill="FFFFFF"/>
        </w:rPr>
        <w:t>o strengthen data collection, infor</w:t>
      </w:r>
      <w:r w:rsidR="00D1257A" w:rsidRPr="004B35A0">
        <w:rPr>
          <w:rFonts w:asciiTheme="majorHAnsi" w:hAnsiTheme="majorHAnsi" w:cstheme="majorHAnsi"/>
          <w:sz w:val="24"/>
          <w:szCs w:val="24"/>
          <w:shd w:val="clear" w:color="auto" w:fill="FFFFFF"/>
        </w:rPr>
        <w:t>mation and knowledge management.</w:t>
      </w:r>
    </w:p>
    <w:p w14:paraId="42B5251C" w14:textId="77777777" w:rsidR="00BE0180" w:rsidRPr="004B35A0" w:rsidRDefault="00BE0180" w:rsidP="00F16ECA">
      <w:pPr>
        <w:pStyle w:val="Heading2"/>
        <w:rPr>
          <w:rFonts w:eastAsia="Calibri"/>
        </w:rPr>
      </w:pPr>
      <w:bookmarkStart w:id="20" w:name="_Toc50984443"/>
      <w:r w:rsidRPr="004B35A0">
        <w:rPr>
          <w:rFonts w:eastAsia="Calibri"/>
        </w:rPr>
        <w:lastRenderedPageBreak/>
        <w:t>Domestic violence</w:t>
      </w:r>
      <w:bookmarkEnd w:id="20"/>
    </w:p>
    <w:p w14:paraId="3A5D731F" w14:textId="77777777" w:rsidR="00DE609B" w:rsidRPr="004B35A0" w:rsidRDefault="00DE609B"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The protection Against Domestic Violence Act</w:t>
      </w:r>
      <w:r w:rsidRPr="00F16ECA">
        <w:rPr>
          <w:rFonts w:asciiTheme="majorHAnsi" w:hAnsiTheme="majorHAnsi" w:cstheme="majorHAnsi"/>
          <w:sz w:val="24"/>
          <w:szCs w:val="24"/>
          <w:shd w:val="clear" w:color="auto" w:fill="FFFFFF"/>
          <w:vertAlign w:val="superscript"/>
        </w:rPr>
        <w:footnoteReference w:id="58"/>
      </w:r>
      <w:r w:rsidRPr="004B35A0">
        <w:rPr>
          <w:rFonts w:asciiTheme="majorHAnsi" w:hAnsiTheme="majorHAnsi" w:cstheme="majorHAnsi"/>
          <w:sz w:val="24"/>
          <w:szCs w:val="24"/>
          <w:shd w:val="clear" w:color="auto" w:fill="FFFFFF"/>
        </w:rPr>
        <w:t xml:space="preserve"> provides for the protection and relief of victims of domestic violence and for the protection of a spouse and any children or other dependent persons. The Act provides that a survivor may apply for a protection order against a perpetrator. Children may apply through their parent(s) or guardian, through a probation officer among other authorized officials.</w:t>
      </w:r>
    </w:p>
    <w:p w14:paraId="2E163ED6" w14:textId="77777777" w:rsidR="00DE609B" w:rsidRPr="004B35A0" w:rsidRDefault="00DE609B"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The Vic</w:t>
      </w:r>
      <w:r w:rsidR="00D8687F" w:rsidRPr="004B35A0">
        <w:rPr>
          <w:rFonts w:asciiTheme="majorHAnsi" w:hAnsiTheme="majorHAnsi" w:cstheme="majorHAnsi"/>
          <w:sz w:val="24"/>
          <w:szCs w:val="24"/>
          <w:shd w:val="clear" w:color="auto" w:fill="FFFFFF"/>
        </w:rPr>
        <w:t xml:space="preserve">tim Protection Act </w:t>
      </w:r>
      <w:r w:rsidRPr="004B35A0">
        <w:rPr>
          <w:rFonts w:asciiTheme="majorHAnsi" w:hAnsiTheme="majorHAnsi" w:cstheme="majorHAnsi"/>
          <w:sz w:val="24"/>
          <w:szCs w:val="24"/>
          <w:shd w:val="clear" w:color="auto" w:fill="FFFFFF"/>
        </w:rPr>
        <w:t>provides for protection of victims of crime and abuse of power, and to provide them with better information and support services to provide for reparation and compensation to victims and to provide special protection for vulnerable victims.</w:t>
      </w:r>
    </w:p>
    <w:p w14:paraId="267551AA" w14:textId="7ED6303E" w:rsidR="00DE609B" w:rsidRPr="004B35A0" w:rsidRDefault="00DE609B"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 xml:space="preserve">The National Gender and Equality Commission has formulated a model policy framework on sexual and </w:t>
      </w:r>
      <w:r w:rsidR="007D68E4" w:rsidRPr="004B35A0">
        <w:rPr>
          <w:rFonts w:asciiTheme="majorHAnsi" w:hAnsiTheme="majorHAnsi" w:cstheme="majorHAnsi"/>
          <w:sz w:val="24"/>
          <w:szCs w:val="24"/>
          <w:shd w:val="clear" w:color="auto" w:fill="FFFFFF"/>
        </w:rPr>
        <w:t>gender-based</w:t>
      </w:r>
      <w:r w:rsidRPr="004B35A0">
        <w:rPr>
          <w:rFonts w:asciiTheme="majorHAnsi" w:hAnsiTheme="majorHAnsi" w:cstheme="majorHAnsi"/>
          <w:sz w:val="24"/>
          <w:szCs w:val="24"/>
          <w:shd w:val="clear" w:color="auto" w:fill="FFFFFF"/>
        </w:rPr>
        <w:t xml:space="preserve"> violence.</w:t>
      </w:r>
      <w:r w:rsidRPr="00F16ECA">
        <w:rPr>
          <w:rFonts w:asciiTheme="majorHAnsi" w:hAnsiTheme="majorHAnsi" w:cstheme="majorHAnsi"/>
          <w:sz w:val="24"/>
          <w:szCs w:val="24"/>
          <w:shd w:val="clear" w:color="auto" w:fill="FFFFFF"/>
          <w:vertAlign w:val="superscript"/>
        </w:rPr>
        <w:footnoteReference w:id="59"/>
      </w:r>
      <w:r w:rsidRPr="004B35A0">
        <w:rPr>
          <w:rFonts w:asciiTheme="majorHAnsi" w:hAnsiTheme="majorHAnsi" w:cstheme="majorHAnsi"/>
          <w:sz w:val="24"/>
          <w:szCs w:val="24"/>
          <w:shd w:val="clear" w:color="auto" w:fill="FFFFFF"/>
        </w:rPr>
        <w:t xml:space="preserve"> The policy is aimed at providing guidance to the County Governments on critical elements and considerations for policy on SGBV. County Governments should customize the policy according to their county needs and sufficient resources (financial and human) should be allocated to ensure the fight against domestic vio</w:t>
      </w:r>
      <w:r w:rsidR="00CA42B1" w:rsidRPr="004B35A0">
        <w:rPr>
          <w:rFonts w:asciiTheme="majorHAnsi" w:hAnsiTheme="majorHAnsi" w:cstheme="majorHAnsi"/>
          <w:sz w:val="24"/>
          <w:szCs w:val="24"/>
          <w:shd w:val="clear" w:color="auto" w:fill="FFFFFF"/>
        </w:rPr>
        <w:t>lence is a long term programme.</w:t>
      </w:r>
    </w:p>
    <w:p w14:paraId="7DCAA9E4" w14:textId="1BBCF4FA" w:rsidR="00DE609B" w:rsidRPr="004B35A0" w:rsidRDefault="00DE609B"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 xml:space="preserve">In addition to the above, the Gender Commission has been conducting a campaign under the theme “Keeping </w:t>
      </w:r>
      <w:r w:rsidR="00364140" w:rsidRPr="004B35A0">
        <w:rPr>
          <w:rFonts w:asciiTheme="majorHAnsi" w:hAnsiTheme="majorHAnsi" w:cstheme="majorHAnsi"/>
          <w:sz w:val="24"/>
          <w:szCs w:val="24"/>
          <w:shd w:val="clear" w:color="auto" w:fill="FFFFFF"/>
        </w:rPr>
        <w:t>the</w:t>
      </w:r>
      <w:r w:rsidRPr="004B35A0">
        <w:rPr>
          <w:rFonts w:asciiTheme="majorHAnsi" w:hAnsiTheme="majorHAnsi" w:cstheme="majorHAnsi"/>
          <w:sz w:val="24"/>
          <w:szCs w:val="24"/>
          <w:shd w:val="clear" w:color="auto" w:fill="FFFFFF"/>
        </w:rPr>
        <w:t xml:space="preserve"> Promise End Gender Based Violence”. The campaign seeks to provoke and sustain a transformative shift in perceptions towards Gender Based Violence from a culture of tolerance and normalization of Gender Based Violence to a new orientation that affirms accountability and sustainable remedies. This has resulted in the publication of a duty bearers’ handbook that seeks to clarify the roles of the various duty bearers in relation to Gender Based Violence.</w:t>
      </w:r>
      <w:r w:rsidRPr="00F16ECA">
        <w:rPr>
          <w:rFonts w:asciiTheme="majorHAnsi" w:hAnsiTheme="majorHAnsi" w:cstheme="majorHAnsi"/>
          <w:sz w:val="24"/>
          <w:szCs w:val="24"/>
          <w:shd w:val="clear" w:color="auto" w:fill="FFFFFF"/>
          <w:vertAlign w:val="superscript"/>
        </w:rPr>
        <w:footnoteReference w:id="60"/>
      </w:r>
    </w:p>
    <w:p w14:paraId="62E48670" w14:textId="77777777" w:rsidR="00DE609B" w:rsidRPr="004B35A0" w:rsidRDefault="00DE609B"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 xml:space="preserve">The State through the National Police Service has unveiled Standard Operating Procedures for Prevention and Response to Gender Based Violence. The SOPs are geared towards inculcating </w:t>
      </w:r>
      <w:r w:rsidRPr="004B35A0">
        <w:rPr>
          <w:rFonts w:asciiTheme="majorHAnsi" w:hAnsiTheme="majorHAnsi" w:cstheme="majorHAnsi"/>
          <w:sz w:val="24"/>
          <w:szCs w:val="24"/>
          <w:shd w:val="clear" w:color="auto" w:fill="FFFFFF"/>
        </w:rPr>
        <w:lastRenderedPageBreak/>
        <w:t>gender sensitive behavior and attitude among officers, improving their capacity to effectively respond to Gender Based crimes and enhance a collective and sustained effort in the prevention of GBV across all communities in Kenya.</w:t>
      </w:r>
      <w:r w:rsidRPr="00F16ECA">
        <w:rPr>
          <w:rFonts w:asciiTheme="majorHAnsi" w:hAnsiTheme="majorHAnsi" w:cstheme="majorHAnsi"/>
          <w:sz w:val="24"/>
          <w:szCs w:val="24"/>
          <w:shd w:val="clear" w:color="auto" w:fill="FFFFFF"/>
          <w:vertAlign w:val="superscript"/>
        </w:rPr>
        <w:footnoteReference w:id="61"/>
      </w:r>
    </w:p>
    <w:p w14:paraId="34657906" w14:textId="7FF6E0F0" w:rsidR="00DE609B" w:rsidRPr="00F16ECA" w:rsidRDefault="00DE609B" w:rsidP="004B35A0">
      <w:pPr>
        <w:spacing w:before="240" w:after="240" w:line="360" w:lineRule="auto"/>
        <w:jc w:val="both"/>
        <w:rPr>
          <w:rFonts w:asciiTheme="majorHAnsi" w:hAnsiTheme="majorHAnsi" w:cstheme="majorHAnsi"/>
          <w:sz w:val="24"/>
          <w:szCs w:val="24"/>
          <w:shd w:val="clear" w:color="auto" w:fill="FFFFFF"/>
        </w:rPr>
      </w:pPr>
      <w:r w:rsidRPr="004B35A0">
        <w:rPr>
          <w:rFonts w:asciiTheme="majorHAnsi" w:hAnsiTheme="majorHAnsi" w:cstheme="majorHAnsi"/>
          <w:sz w:val="24"/>
          <w:szCs w:val="24"/>
          <w:shd w:val="clear" w:color="auto" w:fill="FFFFFF"/>
        </w:rPr>
        <w:t xml:space="preserve">In order to curb cases of </w:t>
      </w:r>
      <w:r w:rsidR="0028353F" w:rsidRPr="004B35A0">
        <w:rPr>
          <w:rFonts w:asciiTheme="majorHAnsi" w:hAnsiTheme="majorHAnsi" w:cstheme="majorHAnsi"/>
          <w:sz w:val="24"/>
          <w:szCs w:val="24"/>
          <w:shd w:val="clear" w:color="auto" w:fill="FFFFFF"/>
        </w:rPr>
        <w:t>gender-based</w:t>
      </w:r>
      <w:r w:rsidRPr="004B35A0">
        <w:rPr>
          <w:rFonts w:asciiTheme="majorHAnsi" w:hAnsiTheme="majorHAnsi" w:cstheme="majorHAnsi"/>
          <w:sz w:val="24"/>
          <w:szCs w:val="24"/>
          <w:shd w:val="clear" w:color="auto" w:fill="FFFFFF"/>
        </w:rPr>
        <w:t xml:space="preserve"> violence, police stations have gender desks which are for reporting specific cases of </w:t>
      </w:r>
      <w:r w:rsidR="00364140" w:rsidRPr="004B35A0">
        <w:rPr>
          <w:rFonts w:asciiTheme="majorHAnsi" w:hAnsiTheme="majorHAnsi" w:cstheme="majorHAnsi"/>
          <w:sz w:val="24"/>
          <w:szCs w:val="24"/>
          <w:shd w:val="clear" w:color="auto" w:fill="FFFFFF"/>
        </w:rPr>
        <w:t>gender-based</w:t>
      </w:r>
      <w:r w:rsidRPr="004B35A0">
        <w:rPr>
          <w:rFonts w:asciiTheme="majorHAnsi" w:hAnsiTheme="majorHAnsi" w:cstheme="majorHAnsi"/>
          <w:sz w:val="24"/>
          <w:szCs w:val="24"/>
          <w:shd w:val="clear" w:color="auto" w:fill="FFFFFF"/>
        </w:rPr>
        <w:t xml:space="preserve"> violence. The victims are also given basic psychosocial support before being referred to a medical practitioner. </w:t>
      </w:r>
      <w:r w:rsidR="00364140" w:rsidRPr="004B35A0">
        <w:rPr>
          <w:rFonts w:asciiTheme="majorHAnsi" w:hAnsiTheme="majorHAnsi" w:cstheme="majorHAnsi"/>
          <w:sz w:val="24"/>
          <w:szCs w:val="24"/>
          <w:shd w:val="clear" w:color="auto" w:fill="FFFFFF"/>
        </w:rPr>
        <w:t>However,</w:t>
      </w:r>
      <w:r w:rsidRPr="004B35A0">
        <w:rPr>
          <w:rFonts w:asciiTheme="majorHAnsi" w:hAnsiTheme="majorHAnsi" w:cstheme="majorHAnsi"/>
          <w:sz w:val="24"/>
          <w:szCs w:val="24"/>
          <w:shd w:val="clear" w:color="auto" w:fill="FFFFFF"/>
        </w:rPr>
        <w:t xml:space="preserve"> some of the police officers in charge of the gender desks are not properly trained on how to deal with a survivor of </w:t>
      </w:r>
      <w:r w:rsidR="00364140" w:rsidRPr="004B35A0">
        <w:rPr>
          <w:rFonts w:asciiTheme="majorHAnsi" w:hAnsiTheme="majorHAnsi" w:cstheme="majorHAnsi"/>
          <w:sz w:val="24"/>
          <w:szCs w:val="24"/>
          <w:shd w:val="clear" w:color="auto" w:fill="FFFFFF"/>
        </w:rPr>
        <w:t>gender-</w:t>
      </w:r>
      <w:r w:rsidR="00364140" w:rsidRPr="00F16ECA">
        <w:rPr>
          <w:rFonts w:asciiTheme="majorHAnsi" w:hAnsiTheme="majorHAnsi" w:cstheme="majorHAnsi"/>
          <w:sz w:val="24"/>
          <w:szCs w:val="24"/>
          <w:shd w:val="clear" w:color="auto" w:fill="FFFFFF"/>
        </w:rPr>
        <w:t>based</w:t>
      </w:r>
      <w:r w:rsidRPr="00F16ECA">
        <w:rPr>
          <w:rFonts w:asciiTheme="majorHAnsi" w:hAnsiTheme="majorHAnsi" w:cstheme="majorHAnsi"/>
          <w:sz w:val="24"/>
          <w:szCs w:val="24"/>
          <w:shd w:val="clear" w:color="auto" w:fill="FFFFFF"/>
        </w:rPr>
        <w:t xml:space="preserve"> violence. </w:t>
      </w:r>
    </w:p>
    <w:p w14:paraId="7156B23B" w14:textId="42A3A6C4" w:rsidR="00AD6C11" w:rsidRPr="00F16ECA" w:rsidRDefault="00DE609B" w:rsidP="00F16ECA">
      <w:pPr>
        <w:pStyle w:val="Heading1"/>
      </w:pPr>
      <w:bookmarkStart w:id="21" w:name="_Toc50984444"/>
      <w:r w:rsidRPr="00F16ECA">
        <w:t>Voluntary termination of pregnancy and sexual and reproductive rights (arts. 6 and 17)</w:t>
      </w:r>
      <w:bookmarkEnd w:id="21"/>
    </w:p>
    <w:p w14:paraId="7B4D2D17" w14:textId="4A961C0C" w:rsidR="007D68E4" w:rsidRPr="00F16ECA" w:rsidRDefault="00AD6C11"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Unsafe abortion remains a leading cause of maternal morbidity and mortality in Kenya</w:t>
      </w:r>
      <w:r w:rsidRPr="00F16ECA">
        <w:rPr>
          <w:rFonts w:asciiTheme="majorHAnsi" w:hAnsiTheme="majorHAnsi" w:cstheme="majorHAnsi"/>
          <w:sz w:val="24"/>
          <w:szCs w:val="24"/>
          <w:shd w:val="clear" w:color="auto" w:fill="FFFFFF"/>
          <w:vertAlign w:val="superscript"/>
        </w:rPr>
        <w:footnoteReference w:id="62"/>
      </w:r>
      <w:r w:rsidR="007D68E4" w:rsidRPr="00F16ECA">
        <w:rPr>
          <w:rFonts w:asciiTheme="majorHAnsi" w:hAnsiTheme="majorHAnsi" w:cstheme="majorHAnsi"/>
          <w:sz w:val="24"/>
          <w:szCs w:val="24"/>
          <w:shd w:val="clear" w:color="auto" w:fill="FFFFFF"/>
        </w:rPr>
        <w:t>. According to the Annual Crime Situation Report 2015, there were 851 reported cases of rape in 2015 which was a decline from 893 reported in 2014 and 336 reported cases of incest reported in 2015 an increase from 240 reported in 2014</w:t>
      </w:r>
      <w:r w:rsidR="007D68E4" w:rsidRPr="00F16ECA">
        <w:rPr>
          <w:rFonts w:asciiTheme="majorHAnsi" w:hAnsiTheme="majorHAnsi" w:cstheme="majorHAnsi"/>
          <w:sz w:val="24"/>
          <w:szCs w:val="24"/>
          <w:shd w:val="clear" w:color="auto" w:fill="FFFFFF"/>
          <w:vertAlign w:val="superscript"/>
        </w:rPr>
        <w:footnoteReference w:id="63"/>
      </w:r>
      <w:r w:rsidR="007D68E4" w:rsidRPr="00F16ECA">
        <w:rPr>
          <w:rFonts w:asciiTheme="majorHAnsi" w:hAnsiTheme="majorHAnsi" w:cstheme="majorHAnsi"/>
          <w:sz w:val="24"/>
          <w:szCs w:val="24"/>
          <w:shd w:val="clear" w:color="auto" w:fill="FFFFFF"/>
        </w:rPr>
        <w:t xml:space="preserve">. </w:t>
      </w:r>
    </w:p>
    <w:p w14:paraId="4AC77DF1" w14:textId="5AC7C57D" w:rsidR="00DE609B" w:rsidRPr="00F16ECA" w:rsidRDefault="00DE609B"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Abortion is permissive in Kenya by dint of Article 26(4) of the Constitution, it is however limited to instances when there is need for an emergency or when the life of the mother is in danger or permitted by written law. The National Guidelines on Management of Sexual Violence in Kenya provides that should a woman become pregnant as a result of rape they are allowed to access safe termination and post abortion care.</w:t>
      </w:r>
      <w:r w:rsidRPr="00F16ECA">
        <w:rPr>
          <w:rFonts w:asciiTheme="majorHAnsi" w:hAnsiTheme="majorHAnsi" w:cstheme="majorHAnsi"/>
          <w:sz w:val="24"/>
          <w:szCs w:val="24"/>
          <w:shd w:val="clear" w:color="auto" w:fill="FFFFFF"/>
          <w:vertAlign w:val="superscript"/>
        </w:rPr>
        <w:footnoteReference w:id="64"/>
      </w:r>
      <w:r w:rsidRPr="00F16ECA">
        <w:rPr>
          <w:rFonts w:asciiTheme="majorHAnsi" w:hAnsiTheme="majorHAnsi" w:cstheme="majorHAnsi"/>
          <w:sz w:val="24"/>
          <w:szCs w:val="24"/>
          <w:shd w:val="clear" w:color="auto" w:fill="FFFFFF"/>
        </w:rPr>
        <w:t xml:space="preserve"> Further, Section 35 (2) of the Se</w:t>
      </w:r>
      <w:r w:rsidR="00D1257A" w:rsidRPr="00F16ECA">
        <w:rPr>
          <w:rFonts w:asciiTheme="majorHAnsi" w:hAnsiTheme="majorHAnsi" w:cstheme="majorHAnsi"/>
          <w:sz w:val="24"/>
          <w:szCs w:val="24"/>
          <w:shd w:val="clear" w:color="auto" w:fill="FFFFFF"/>
        </w:rPr>
        <w:t xml:space="preserve">xual Offences Act </w:t>
      </w:r>
      <w:r w:rsidRPr="00F16ECA">
        <w:rPr>
          <w:rFonts w:asciiTheme="majorHAnsi" w:hAnsiTheme="majorHAnsi" w:cstheme="majorHAnsi"/>
          <w:sz w:val="24"/>
          <w:szCs w:val="24"/>
          <w:shd w:val="clear" w:color="auto" w:fill="FFFFFF"/>
        </w:rPr>
        <w:t>provides that a trial court may, at the request of a victim of sexual offence or their intermediary, grant an order for their treatment as a result of the sexual offence- this may be interpreted to include access to safe abortion that may have been as result of the offence.</w:t>
      </w:r>
    </w:p>
    <w:p w14:paraId="62376389" w14:textId="1732698B" w:rsidR="00DE609B" w:rsidRPr="00F16ECA" w:rsidRDefault="00DE609B"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lastRenderedPageBreak/>
        <w:t>Despite there being such progressive laws in terms of access to safe abortion</w:t>
      </w:r>
      <w:r w:rsidR="007D68E4" w:rsidRPr="00F16ECA">
        <w:rPr>
          <w:rFonts w:asciiTheme="majorHAnsi" w:hAnsiTheme="majorHAnsi" w:cstheme="majorHAnsi"/>
          <w:sz w:val="24"/>
          <w:szCs w:val="24"/>
          <w:shd w:val="clear" w:color="auto" w:fill="FFFFFF"/>
        </w:rPr>
        <w:t>,</w:t>
      </w:r>
      <w:r w:rsidRPr="00F16ECA">
        <w:rPr>
          <w:rFonts w:asciiTheme="majorHAnsi" w:hAnsiTheme="majorHAnsi" w:cstheme="majorHAnsi"/>
          <w:sz w:val="24"/>
          <w:szCs w:val="24"/>
          <w:shd w:val="clear" w:color="auto" w:fill="FFFFFF"/>
        </w:rPr>
        <w:t xml:space="preserve"> there remains barriers in terms of access to safe abortion with punitive laws. The Penal Code section 158-160, 228 and 240 make it illegal to procure abortion and to supply instruments to be used to procure abortion. The police use this section to harass and extort money from medical providers willing to give abortion services. </w:t>
      </w:r>
    </w:p>
    <w:p w14:paraId="5D001C95" w14:textId="77777777" w:rsidR="00F16ECA" w:rsidRDefault="0044017E"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In September 2012, Ministry of Medical Services published the Standards and Guidelines for Reducing Morbidity and Mortality from Unsafe Abortion in Kenya</w:t>
      </w:r>
      <w:r w:rsidRPr="00F16ECA">
        <w:rPr>
          <w:rFonts w:asciiTheme="majorHAnsi" w:hAnsiTheme="majorHAnsi" w:cstheme="majorHAnsi"/>
          <w:sz w:val="24"/>
          <w:szCs w:val="24"/>
          <w:shd w:val="clear" w:color="auto" w:fill="FFFFFF"/>
          <w:vertAlign w:val="superscript"/>
        </w:rPr>
        <w:footnoteReference w:id="65"/>
      </w:r>
      <w:r w:rsidRPr="00F16ECA">
        <w:rPr>
          <w:rFonts w:asciiTheme="majorHAnsi" w:hAnsiTheme="majorHAnsi" w:cstheme="majorHAnsi"/>
          <w:sz w:val="24"/>
          <w:szCs w:val="24"/>
          <w:shd w:val="clear" w:color="auto" w:fill="FFFFFF"/>
        </w:rPr>
        <w:t xml:space="preserve">but in December 2013, the Director of Medical Services withdrew the Standards and Guidelines </w:t>
      </w:r>
      <w:r w:rsidR="00DE609B" w:rsidRPr="00F16ECA">
        <w:rPr>
          <w:rFonts w:asciiTheme="majorHAnsi" w:hAnsiTheme="majorHAnsi" w:cstheme="majorHAnsi"/>
          <w:sz w:val="24"/>
          <w:szCs w:val="24"/>
          <w:shd w:val="clear" w:color="auto" w:fill="FFFFFF"/>
        </w:rPr>
        <w:t>and the “</w:t>
      </w:r>
      <w:r w:rsidR="00DE609B" w:rsidRPr="00F16ECA">
        <w:rPr>
          <w:rFonts w:asciiTheme="majorHAnsi" w:hAnsiTheme="majorHAnsi" w:cstheme="majorHAnsi"/>
          <w:i/>
          <w:iCs/>
          <w:sz w:val="24"/>
          <w:szCs w:val="24"/>
          <w:shd w:val="clear" w:color="auto" w:fill="FFFFFF"/>
        </w:rPr>
        <w:t>National Training Curriculum for the Management of Unintended, risky and unplanned pregnancies</w:t>
      </w:r>
      <w:r w:rsidR="00DE609B" w:rsidRPr="00F16ECA">
        <w:rPr>
          <w:rFonts w:asciiTheme="majorHAnsi" w:hAnsiTheme="majorHAnsi" w:cstheme="majorHAnsi"/>
          <w:sz w:val="24"/>
          <w:szCs w:val="24"/>
          <w:shd w:val="clear" w:color="auto" w:fill="FFFFFF"/>
        </w:rPr>
        <w:t xml:space="preserve">.” This has led to great confusion as to when legal abortions can be provided. </w:t>
      </w:r>
    </w:p>
    <w:p w14:paraId="12E63F68" w14:textId="4D2631B7" w:rsidR="00387F2A" w:rsidRPr="00F16ECA" w:rsidRDefault="00A2496E"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I</w:t>
      </w:r>
      <w:r w:rsidR="00DE609B" w:rsidRPr="00F16ECA">
        <w:rPr>
          <w:rFonts w:asciiTheme="majorHAnsi" w:hAnsiTheme="majorHAnsi" w:cstheme="majorHAnsi"/>
          <w:sz w:val="24"/>
          <w:szCs w:val="24"/>
          <w:shd w:val="clear" w:color="auto" w:fill="FFFFFF"/>
        </w:rPr>
        <w:t xml:space="preserve">n </w:t>
      </w:r>
      <w:hyperlink r:id="rId19" w:history="1">
        <w:proofErr w:type="spellStart"/>
        <w:r w:rsidR="00DE609B" w:rsidRPr="00F16ECA">
          <w:rPr>
            <w:rFonts w:asciiTheme="majorHAnsi" w:hAnsiTheme="majorHAnsi" w:cstheme="majorHAnsi"/>
            <w:sz w:val="24"/>
            <w:szCs w:val="24"/>
            <w:shd w:val="clear" w:color="auto" w:fill="FFFFFF"/>
          </w:rPr>
          <w:t>Fida</w:t>
        </w:r>
        <w:proofErr w:type="spellEnd"/>
        <w:r w:rsidR="00DE609B" w:rsidRPr="00F16ECA">
          <w:rPr>
            <w:rFonts w:asciiTheme="majorHAnsi" w:hAnsiTheme="majorHAnsi" w:cstheme="majorHAnsi"/>
            <w:sz w:val="24"/>
            <w:szCs w:val="24"/>
            <w:shd w:val="clear" w:color="auto" w:fill="FFFFFF"/>
          </w:rPr>
          <w:t xml:space="preserve">-Kenya </w:t>
        </w:r>
        <w:r w:rsidR="00853CB9" w:rsidRPr="00F16ECA">
          <w:rPr>
            <w:rFonts w:asciiTheme="majorHAnsi" w:hAnsiTheme="majorHAnsi" w:cstheme="majorHAnsi"/>
            <w:sz w:val="24"/>
            <w:szCs w:val="24"/>
            <w:shd w:val="clear" w:color="auto" w:fill="FFFFFF"/>
          </w:rPr>
          <w:t>case</w:t>
        </w:r>
      </w:hyperlink>
      <w:r w:rsidR="0044017E" w:rsidRPr="00F16ECA">
        <w:rPr>
          <w:rFonts w:asciiTheme="majorHAnsi" w:hAnsiTheme="majorHAnsi" w:cstheme="majorHAnsi"/>
          <w:sz w:val="24"/>
          <w:szCs w:val="24"/>
          <w:shd w:val="clear" w:color="auto" w:fill="FFFFFF"/>
          <w:vertAlign w:val="superscript"/>
        </w:rPr>
        <w:footnoteReference w:id="66"/>
      </w:r>
      <w:r w:rsidRPr="00F16ECA">
        <w:rPr>
          <w:rFonts w:asciiTheme="majorHAnsi" w:hAnsiTheme="majorHAnsi" w:cstheme="majorHAnsi"/>
          <w:sz w:val="24"/>
          <w:szCs w:val="24"/>
          <w:shd w:val="clear" w:color="auto" w:fill="FFFFFF"/>
        </w:rPr>
        <w:t xml:space="preserve">, the Federation of Women Lawyers </w:t>
      </w:r>
      <w:r w:rsidR="00DE609B" w:rsidRPr="00F16ECA">
        <w:rPr>
          <w:rFonts w:asciiTheme="majorHAnsi" w:hAnsiTheme="majorHAnsi" w:cstheme="majorHAnsi"/>
          <w:sz w:val="24"/>
          <w:szCs w:val="24"/>
          <w:shd w:val="clear" w:color="auto" w:fill="FFFFFF"/>
        </w:rPr>
        <w:t>filed a suit challenging the withdrawal of the above stated guidelines and training of health care workers. The</w:t>
      </w:r>
      <w:r w:rsidR="00853CB9" w:rsidRPr="00F16ECA">
        <w:rPr>
          <w:rFonts w:asciiTheme="majorHAnsi" w:hAnsiTheme="majorHAnsi" w:cstheme="majorHAnsi"/>
          <w:sz w:val="24"/>
          <w:szCs w:val="24"/>
          <w:shd w:val="clear" w:color="auto" w:fill="FFFFFF"/>
        </w:rPr>
        <w:t xml:space="preserve"> High</w:t>
      </w:r>
      <w:r w:rsidR="00DE609B" w:rsidRPr="00F16ECA">
        <w:rPr>
          <w:rFonts w:asciiTheme="majorHAnsi" w:hAnsiTheme="majorHAnsi" w:cstheme="majorHAnsi"/>
          <w:sz w:val="24"/>
          <w:szCs w:val="24"/>
          <w:shd w:val="clear" w:color="auto" w:fill="FFFFFF"/>
        </w:rPr>
        <w:t xml:space="preserve"> </w:t>
      </w:r>
      <w:r w:rsidR="00853CB9" w:rsidRPr="00F16ECA">
        <w:rPr>
          <w:rFonts w:asciiTheme="majorHAnsi" w:hAnsiTheme="majorHAnsi" w:cstheme="majorHAnsi"/>
          <w:sz w:val="24"/>
          <w:szCs w:val="24"/>
          <w:shd w:val="clear" w:color="auto" w:fill="FFFFFF"/>
        </w:rPr>
        <w:t>C</w:t>
      </w:r>
      <w:r w:rsidR="00DE609B" w:rsidRPr="00F16ECA">
        <w:rPr>
          <w:rFonts w:asciiTheme="majorHAnsi" w:hAnsiTheme="majorHAnsi" w:cstheme="majorHAnsi"/>
          <w:sz w:val="24"/>
          <w:szCs w:val="24"/>
          <w:shd w:val="clear" w:color="auto" w:fill="FFFFFF"/>
        </w:rPr>
        <w:t>ourt held that</w:t>
      </w:r>
      <w:r w:rsidR="00B01052" w:rsidRPr="00F16ECA">
        <w:rPr>
          <w:rFonts w:asciiTheme="majorHAnsi" w:hAnsiTheme="majorHAnsi" w:cstheme="majorHAnsi"/>
          <w:sz w:val="24"/>
          <w:szCs w:val="24"/>
          <w:shd w:val="clear" w:color="auto" w:fill="FFFFFF"/>
        </w:rPr>
        <w:t xml:space="preserve"> </w:t>
      </w:r>
      <w:r w:rsidR="00DE609B" w:rsidRPr="00F16ECA">
        <w:rPr>
          <w:rFonts w:asciiTheme="majorHAnsi" w:hAnsiTheme="majorHAnsi" w:cstheme="majorHAnsi"/>
          <w:sz w:val="24"/>
          <w:szCs w:val="24"/>
          <w:shd w:val="clear" w:color="auto" w:fill="FFFFFF"/>
        </w:rPr>
        <w:t xml:space="preserve">victims of </w:t>
      </w:r>
      <w:r w:rsidR="00D049DE" w:rsidRPr="00F16ECA">
        <w:rPr>
          <w:rFonts w:asciiTheme="majorHAnsi" w:hAnsiTheme="majorHAnsi" w:cstheme="majorHAnsi"/>
          <w:sz w:val="24"/>
          <w:szCs w:val="24"/>
          <w:shd w:val="clear" w:color="auto" w:fill="FFFFFF"/>
        </w:rPr>
        <w:t xml:space="preserve">rape and </w:t>
      </w:r>
      <w:r w:rsidR="00364140" w:rsidRPr="00F16ECA">
        <w:rPr>
          <w:rFonts w:asciiTheme="majorHAnsi" w:hAnsiTheme="majorHAnsi" w:cstheme="majorHAnsi"/>
          <w:sz w:val="24"/>
          <w:szCs w:val="24"/>
          <w:shd w:val="clear" w:color="auto" w:fill="FFFFFF"/>
        </w:rPr>
        <w:t>defilement have</w:t>
      </w:r>
      <w:r w:rsidR="00DE609B" w:rsidRPr="00F16ECA">
        <w:rPr>
          <w:rFonts w:asciiTheme="majorHAnsi" w:hAnsiTheme="majorHAnsi" w:cstheme="majorHAnsi"/>
          <w:sz w:val="24"/>
          <w:szCs w:val="24"/>
          <w:shd w:val="clear" w:color="auto" w:fill="FFFFFF"/>
        </w:rPr>
        <w:t xml:space="preserve"> a right to terminate a pregnancy </w:t>
      </w:r>
      <w:r w:rsidR="00D049DE" w:rsidRPr="00F16ECA">
        <w:rPr>
          <w:rFonts w:asciiTheme="majorHAnsi" w:hAnsiTheme="majorHAnsi" w:cstheme="majorHAnsi"/>
          <w:sz w:val="24"/>
          <w:szCs w:val="24"/>
        </w:rPr>
        <w:t xml:space="preserve">if in the opinion of a trained health professional, poses a danger to the life </w:t>
      </w:r>
      <w:r w:rsidR="00364140" w:rsidRPr="00F16ECA">
        <w:rPr>
          <w:rFonts w:asciiTheme="majorHAnsi" w:hAnsiTheme="majorHAnsi" w:cstheme="majorHAnsi"/>
          <w:sz w:val="24"/>
          <w:szCs w:val="24"/>
        </w:rPr>
        <w:t>or the</w:t>
      </w:r>
      <w:r w:rsidR="00D049DE" w:rsidRPr="00F16ECA">
        <w:rPr>
          <w:rFonts w:asciiTheme="majorHAnsi" w:hAnsiTheme="majorHAnsi" w:cstheme="majorHAnsi"/>
          <w:sz w:val="24"/>
          <w:szCs w:val="24"/>
        </w:rPr>
        <w:t xml:space="preserve"> health </w:t>
      </w:r>
      <w:r w:rsidR="00923D5B" w:rsidRPr="00F16ECA">
        <w:rPr>
          <w:rFonts w:asciiTheme="majorHAnsi" w:hAnsiTheme="majorHAnsi" w:cstheme="majorHAnsi"/>
          <w:sz w:val="24"/>
          <w:szCs w:val="24"/>
        </w:rPr>
        <w:t xml:space="preserve">whether </w:t>
      </w:r>
      <w:r w:rsidR="00D049DE" w:rsidRPr="00F16ECA">
        <w:rPr>
          <w:rFonts w:asciiTheme="majorHAnsi" w:hAnsiTheme="majorHAnsi" w:cstheme="majorHAnsi"/>
          <w:sz w:val="24"/>
          <w:szCs w:val="24"/>
        </w:rPr>
        <w:t xml:space="preserve">physical, mental </w:t>
      </w:r>
      <w:r w:rsidR="00923D5B" w:rsidRPr="00F16ECA">
        <w:rPr>
          <w:rFonts w:asciiTheme="majorHAnsi" w:hAnsiTheme="majorHAnsi" w:cstheme="majorHAnsi"/>
          <w:sz w:val="24"/>
          <w:szCs w:val="24"/>
        </w:rPr>
        <w:t>or</w:t>
      </w:r>
      <w:r w:rsidR="00D049DE" w:rsidRPr="00F16ECA">
        <w:rPr>
          <w:rFonts w:asciiTheme="majorHAnsi" w:hAnsiTheme="majorHAnsi" w:cstheme="majorHAnsi"/>
          <w:sz w:val="24"/>
          <w:szCs w:val="24"/>
        </w:rPr>
        <w:t xml:space="preserve"> social well-being of the mother</w:t>
      </w:r>
      <w:r w:rsidR="00DE609B" w:rsidRPr="00F16ECA">
        <w:rPr>
          <w:rFonts w:asciiTheme="majorHAnsi" w:hAnsiTheme="majorHAnsi" w:cstheme="majorHAnsi"/>
          <w:sz w:val="24"/>
          <w:szCs w:val="24"/>
          <w:shd w:val="clear" w:color="auto" w:fill="FFFFFF"/>
        </w:rPr>
        <w:t xml:space="preserve">. </w:t>
      </w:r>
      <w:r w:rsidR="00D049DE" w:rsidRPr="00F16ECA">
        <w:rPr>
          <w:rFonts w:asciiTheme="majorHAnsi" w:hAnsiTheme="majorHAnsi" w:cstheme="majorHAnsi"/>
          <w:sz w:val="24"/>
          <w:szCs w:val="24"/>
          <w:shd w:val="clear" w:color="auto" w:fill="FFFFFF"/>
        </w:rPr>
        <w:t xml:space="preserve">The Ministry’s withdrawal of the </w:t>
      </w:r>
      <w:r w:rsidR="00F16ECA">
        <w:rPr>
          <w:rFonts w:asciiTheme="majorHAnsi" w:hAnsiTheme="majorHAnsi" w:cstheme="majorHAnsi"/>
          <w:sz w:val="24"/>
          <w:szCs w:val="24"/>
          <w:shd w:val="clear" w:color="auto" w:fill="FFFFFF"/>
        </w:rPr>
        <w:t>g</w:t>
      </w:r>
      <w:r w:rsidR="00D049DE" w:rsidRPr="00F16ECA">
        <w:rPr>
          <w:rFonts w:asciiTheme="majorHAnsi" w:hAnsiTheme="majorHAnsi" w:cstheme="majorHAnsi"/>
          <w:sz w:val="24"/>
          <w:szCs w:val="24"/>
          <w:shd w:val="clear" w:color="auto" w:fill="FFFFFF"/>
        </w:rPr>
        <w:t xml:space="preserve">uidelines and the </w:t>
      </w:r>
      <w:r w:rsidR="008E5FAE" w:rsidRPr="00F16ECA">
        <w:rPr>
          <w:rFonts w:asciiTheme="majorHAnsi" w:hAnsiTheme="majorHAnsi" w:cstheme="majorHAnsi"/>
          <w:sz w:val="24"/>
          <w:szCs w:val="24"/>
          <w:shd w:val="clear" w:color="auto" w:fill="FFFFFF"/>
        </w:rPr>
        <w:t>training</w:t>
      </w:r>
      <w:r w:rsidR="00D049DE" w:rsidRPr="00F16ECA">
        <w:rPr>
          <w:rFonts w:asciiTheme="majorHAnsi" w:hAnsiTheme="majorHAnsi" w:cstheme="majorHAnsi"/>
          <w:sz w:val="24"/>
          <w:szCs w:val="24"/>
          <w:shd w:val="clear" w:color="auto" w:fill="FFFFFF"/>
        </w:rPr>
        <w:t xml:space="preserve"> curriculum for health professionals violated</w:t>
      </w:r>
      <w:r w:rsidR="00F16ECA">
        <w:rPr>
          <w:rFonts w:asciiTheme="majorHAnsi" w:hAnsiTheme="majorHAnsi" w:cstheme="majorHAnsi"/>
          <w:sz w:val="24"/>
          <w:szCs w:val="24"/>
          <w:shd w:val="clear" w:color="auto" w:fill="FFFFFF"/>
        </w:rPr>
        <w:t xml:space="preserve"> </w:t>
      </w:r>
      <w:r w:rsidR="004C258D" w:rsidRPr="00F16ECA">
        <w:rPr>
          <w:rFonts w:asciiTheme="majorHAnsi" w:hAnsiTheme="majorHAnsi" w:cstheme="majorHAnsi"/>
          <w:sz w:val="24"/>
          <w:szCs w:val="24"/>
        </w:rPr>
        <w:t>the highest attainable standard of health, right to non-discrimination, right to information, consumer rights, and right to benefit from scientific progress of women of reproductive age</w:t>
      </w:r>
      <w:r w:rsidR="006D41F3" w:rsidRPr="00F16ECA">
        <w:rPr>
          <w:rFonts w:asciiTheme="majorHAnsi" w:hAnsiTheme="majorHAnsi" w:cstheme="majorHAnsi"/>
          <w:sz w:val="24"/>
          <w:szCs w:val="24"/>
        </w:rPr>
        <w:t>.</w:t>
      </w:r>
    </w:p>
    <w:p w14:paraId="091FCAFF" w14:textId="1334ACD1" w:rsidR="00783084" w:rsidRPr="00F16ECA" w:rsidRDefault="00C13579"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rPr>
        <w:t>Notwithstanding, it is concerning that the Republic of Kenya did not support an express recommendation to implement the High Court’s judgment during the third cycle review under the Universal Periodic Review in January 2020.</w:t>
      </w:r>
      <w:r w:rsidR="00783084" w:rsidRPr="00F16ECA">
        <w:rPr>
          <w:rFonts w:asciiTheme="majorHAnsi" w:hAnsiTheme="majorHAnsi" w:cstheme="majorHAnsi"/>
          <w:sz w:val="24"/>
          <w:szCs w:val="24"/>
        </w:rPr>
        <w:t xml:space="preserve"> Th recommendation called upon the State to, </w:t>
      </w:r>
      <w:r w:rsidR="00F16ECA">
        <w:rPr>
          <w:rFonts w:asciiTheme="majorHAnsi" w:hAnsiTheme="majorHAnsi" w:cstheme="majorHAnsi"/>
          <w:sz w:val="24"/>
          <w:szCs w:val="24"/>
        </w:rPr>
        <w:t>“</w:t>
      </w:r>
      <w:r w:rsidR="00783084" w:rsidRPr="00F16ECA">
        <w:rPr>
          <w:rFonts w:asciiTheme="majorHAnsi" w:hAnsiTheme="majorHAnsi" w:cstheme="majorHAnsi"/>
          <w:i/>
          <w:iCs/>
          <w:sz w:val="24"/>
          <w:szCs w:val="24"/>
          <w:shd w:val="clear" w:color="auto" w:fill="FFFFFF"/>
        </w:rPr>
        <w:t xml:space="preserve">Immediately implement the High Court judgement in Petition No. 266 of 2015 by reinstating the </w:t>
      </w:r>
      <w:r w:rsidR="00783084" w:rsidRPr="00F16ECA">
        <w:rPr>
          <w:rFonts w:asciiTheme="majorHAnsi" w:hAnsiTheme="majorHAnsi" w:cstheme="majorHAnsi"/>
          <w:i/>
          <w:iCs/>
          <w:sz w:val="24"/>
          <w:szCs w:val="24"/>
          <w:shd w:val="clear" w:color="auto" w:fill="FFFFFF"/>
        </w:rPr>
        <w:lastRenderedPageBreak/>
        <w:t xml:space="preserve">Standards and Guidelines on Reducing Maternal Mortality and Morbidity related to unsafe abortion and the Training Curriculum for medical professionals in public </w:t>
      </w:r>
      <w:r w:rsidR="00F16ECA" w:rsidRPr="00F16ECA">
        <w:rPr>
          <w:rFonts w:asciiTheme="majorHAnsi" w:hAnsiTheme="majorHAnsi" w:cstheme="majorHAnsi"/>
          <w:i/>
          <w:iCs/>
          <w:sz w:val="24"/>
          <w:szCs w:val="24"/>
          <w:shd w:val="clear" w:color="auto" w:fill="FFFFFF"/>
        </w:rPr>
        <w:t>hospitals</w:t>
      </w:r>
      <w:r w:rsidR="00F16ECA">
        <w:rPr>
          <w:rFonts w:asciiTheme="majorHAnsi" w:hAnsiTheme="majorHAnsi" w:cstheme="majorHAnsi"/>
          <w:sz w:val="24"/>
          <w:szCs w:val="24"/>
          <w:shd w:val="clear" w:color="auto" w:fill="FFFFFF"/>
        </w:rPr>
        <w:t>”</w:t>
      </w:r>
      <w:r w:rsidR="00783084" w:rsidRPr="00F16ECA">
        <w:rPr>
          <w:rFonts w:asciiTheme="majorHAnsi" w:hAnsiTheme="majorHAnsi" w:cstheme="majorHAnsi"/>
          <w:sz w:val="24"/>
          <w:szCs w:val="24"/>
          <w:shd w:val="clear" w:color="auto" w:fill="FFFFFF"/>
        </w:rPr>
        <w:t xml:space="preserve">. </w:t>
      </w:r>
    </w:p>
    <w:p w14:paraId="4C35A8D7" w14:textId="77777777" w:rsidR="001D70A5" w:rsidRPr="00F16ECA" w:rsidRDefault="00DE609B" w:rsidP="00F16ECA">
      <w:pPr>
        <w:pStyle w:val="Heading1"/>
      </w:pPr>
      <w:bookmarkStart w:id="22" w:name="_Toc50984445"/>
      <w:r w:rsidRPr="00F16ECA">
        <w:t>Right to life (art. 6)</w:t>
      </w:r>
      <w:bookmarkEnd w:id="22"/>
    </w:p>
    <w:p w14:paraId="419B13F3" w14:textId="3B835C99" w:rsidR="00D8687F" w:rsidRPr="00F16ECA" w:rsidRDefault="00D8687F" w:rsidP="00F16ECA">
      <w:pPr>
        <w:pStyle w:val="Heading2"/>
        <w:numPr>
          <w:ilvl w:val="0"/>
          <w:numId w:val="30"/>
        </w:numPr>
        <w:rPr>
          <w:rFonts w:eastAsia="Calibri"/>
        </w:rPr>
      </w:pPr>
      <w:bookmarkStart w:id="23" w:name="_Toc50984446"/>
      <w:r w:rsidRPr="00F16ECA">
        <w:rPr>
          <w:rFonts w:eastAsia="Calibri"/>
        </w:rPr>
        <w:t>Death penalty</w:t>
      </w:r>
      <w:bookmarkEnd w:id="23"/>
      <w:r w:rsidRPr="00F16ECA">
        <w:rPr>
          <w:rFonts w:eastAsia="Calibri"/>
        </w:rPr>
        <w:t xml:space="preserve"> </w:t>
      </w:r>
    </w:p>
    <w:p w14:paraId="7D16BD2D" w14:textId="3152DBEA"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The Constitution of Kenya in Article 26 protects the right to life with the limitation as authorized by the Constitution o</w:t>
      </w:r>
      <w:r w:rsidR="00D8687F" w:rsidRPr="00F16ECA">
        <w:rPr>
          <w:rFonts w:asciiTheme="majorHAnsi" w:hAnsiTheme="majorHAnsi" w:cstheme="majorHAnsi"/>
          <w:sz w:val="24"/>
          <w:szCs w:val="24"/>
          <w:shd w:val="clear" w:color="auto" w:fill="FFFFFF"/>
        </w:rPr>
        <w:t xml:space="preserve">r other written law. </w:t>
      </w:r>
      <w:r w:rsidRPr="00F16ECA">
        <w:rPr>
          <w:rFonts w:asciiTheme="majorHAnsi" w:hAnsiTheme="majorHAnsi" w:cstheme="majorHAnsi"/>
          <w:sz w:val="24"/>
          <w:szCs w:val="24"/>
          <w:shd w:val="clear" w:color="auto" w:fill="FFFFFF"/>
        </w:rPr>
        <w:t xml:space="preserve">The Commission, jointly with other civil society organizations, was enjoined as amicus curiae in </w:t>
      </w:r>
      <w:hyperlink r:id="rId20" w:history="1">
        <w:r w:rsidR="007D68E4" w:rsidRPr="00F16ECA">
          <w:rPr>
            <w:rFonts w:asciiTheme="majorHAnsi" w:hAnsiTheme="majorHAnsi" w:cstheme="majorHAnsi"/>
            <w:sz w:val="24"/>
            <w:szCs w:val="24"/>
            <w:shd w:val="clear" w:color="auto" w:fill="FFFFFF"/>
          </w:rPr>
          <w:t xml:space="preserve">Francis </w:t>
        </w:r>
        <w:proofErr w:type="spellStart"/>
        <w:r w:rsidR="007D68E4" w:rsidRPr="00F16ECA">
          <w:rPr>
            <w:rFonts w:asciiTheme="majorHAnsi" w:hAnsiTheme="majorHAnsi" w:cstheme="majorHAnsi"/>
            <w:sz w:val="24"/>
            <w:szCs w:val="24"/>
            <w:shd w:val="clear" w:color="auto" w:fill="FFFFFF"/>
          </w:rPr>
          <w:t>Muruatetu</w:t>
        </w:r>
        <w:proofErr w:type="spellEnd"/>
        <w:r w:rsidR="007D68E4" w:rsidRPr="00F16ECA">
          <w:rPr>
            <w:rFonts w:asciiTheme="majorHAnsi" w:hAnsiTheme="majorHAnsi" w:cstheme="majorHAnsi"/>
            <w:sz w:val="24"/>
            <w:szCs w:val="24"/>
            <w:shd w:val="clear" w:color="auto" w:fill="FFFFFF"/>
          </w:rPr>
          <w:t xml:space="preserve"> case</w:t>
        </w:r>
      </w:hyperlink>
      <w:r w:rsidR="007D68E4" w:rsidRPr="00F16ECA">
        <w:rPr>
          <w:rFonts w:asciiTheme="majorHAnsi" w:hAnsiTheme="majorHAnsi" w:cstheme="majorHAnsi"/>
          <w:sz w:val="24"/>
          <w:szCs w:val="24"/>
          <w:shd w:val="clear" w:color="auto" w:fill="FFFFFF"/>
          <w:vertAlign w:val="superscript"/>
        </w:rPr>
        <w:footnoteReference w:id="67"/>
      </w:r>
      <w:r w:rsidR="00F16ECA">
        <w:rPr>
          <w:rFonts w:asciiTheme="majorHAnsi" w:hAnsiTheme="majorHAnsi" w:cstheme="majorHAnsi"/>
          <w:sz w:val="24"/>
          <w:szCs w:val="24"/>
          <w:shd w:val="clear" w:color="auto" w:fill="FFFFFF"/>
        </w:rPr>
        <w:t>,</w:t>
      </w:r>
      <w:r w:rsidR="007D68E4" w:rsidRPr="00F16ECA">
        <w:rPr>
          <w:rFonts w:asciiTheme="majorHAnsi" w:hAnsiTheme="majorHAnsi" w:cstheme="majorHAnsi"/>
          <w:sz w:val="24"/>
          <w:szCs w:val="24"/>
          <w:shd w:val="clear" w:color="auto" w:fill="FFFFFF"/>
        </w:rPr>
        <w:t xml:space="preserve"> </w:t>
      </w:r>
      <w:r w:rsidRPr="00F16ECA">
        <w:rPr>
          <w:rFonts w:asciiTheme="majorHAnsi" w:hAnsiTheme="majorHAnsi" w:cstheme="majorHAnsi"/>
          <w:sz w:val="24"/>
          <w:szCs w:val="24"/>
          <w:shd w:val="clear" w:color="auto" w:fill="FFFFFF"/>
        </w:rPr>
        <w:t>a petition that sought to challenge the death penalty.</w:t>
      </w:r>
      <w:r w:rsidR="00B41190" w:rsidRPr="00F16ECA">
        <w:rPr>
          <w:rFonts w:asciiTheme="majorHAnsi" w:hAnsiTheme="majorHAnsi" w:cstheme="majorHAnsi"/>
          <w:sz w:val="24"/>
          <w:szCs w:val="24"/>
          <w:shd w:val="clear" w:color="auto" w:fill="FFFFFF"/>
        </w:rPr>
        <w:t xml:space="preserve"> The case went all the way to the  highest court of the land whereupon </w:t>
      </w:r>
      <w:r w:rsidRPr="00F16ECA">
        <w:rPr>
          <w:rFonts w:asciiTheme="majorHAnsi" w:hAnsiTheme="majorHAnsi" w:cstheme="majorHAnsi"/>
          <w:sz w:val="24"/>
          <w:szCs w:val="24"/>
          <w:shd w:val="clear" w:color="auto" w:fill="FFFFFF"/>
        </w:rPr>
        <w:t xml:space="preserve"> the </w:t>
      </w:r>
      <w:hyperlink r:id="rId21" w:history="1">
        <w:r w:rsidRPr="00F16ECA">
          <w:rPr>
            <w:rFonts w:asciiTheme="majorHAnsi" w:hAnsiTheme="majorHAnsi" w:cstheme="majorHAnsi"/>
            <w:sz w:val="24"/>
            <w:szCs w:val="24"/>
            <w:shd w:val="clear" w:color="auto" w:fill="FFFFFF"/>
          </w:rPr>
          <w:t>Supreme Court</w:t>
        </w:r>
      </w:hyperlink>
      <w:r w:rsidR="00783084" w:rsidRPr="00F16ECA">
        <w:rPr>
          <w:rFonts w:asciiTheme="majorHAnsi" w:hAnsiTheme="majorHAnsi" w:cstheme="majorHAnsi"/>
          <w:sz w:val="24"/>
          <w:szCs w:val="24"/>
          <w:shd w:val="clear" w:color="auto" w:fill="FFFFFF"/>
          <w:vertAlign w:val="superscript"/>
        </w:rPr>
        <w:footnoteReference w:id="68"/>
      </w:r>
      <w:r w:rsidR="00F16ECA">
        <w:rPr>
          <w:rFonts w:asciiTheme="majorHAnsi" w:hAnsiTheme="majorHAnsi" w:cstheme="majorHAnsi"/>
          <w:sz w:val="24"/>
          <w:szCs w:val="24"/>
          <w:shd w:val="clear" w:color="auto" w:fill="FFFFFF"/>
        </w:rPr>
        <w:t>,</w:t>
      </w:r>
      <w:r w:rsidR="00B41190" w:rsidRPr="00F16ECA">
        <w:rPr>
          <w:rFonts w:asciiTheme="majorHAnsi" w:hAnsiTheme="majorHAnsi" w:cstheme="majorHAnsi"/>
          <w:sz w:val="24"/>
          <w:szCs w:val="24"/>
          <w:shd w:val="clear" w:color="auto" w:fill="FFFFFF"/>
        </w:rPr>
        <w:t xml:space="preserve"> </w:t>
      </w:r>
      <w:r w:rsidRPr="00F16ECA">
        <w:rPr>
          <w:rFonts w:asciiTheme="majorHAnsi" w:hAnsiTheme="majorHAnsi" w:cstheme="majorHAnsi"/>
          <w:sz w:val="24"/>
          <w:szCs w:val="24"/>
          <w:shd w:val="clear" w:color="auto" w:fill="FFFFFF"/>
        </w:rPr>
        <w:t xml:space="preserve">declared the mandatory death sentence unconstitutional as relates to the offence of murder as prescribed in Section 204 of the Penal Code. This means that the death penalty is not per se </w:t>
      </w:r>
      <w:r w:rsidR="00F16ECA" w:rsidRPr="00F16ECA">
        <w:rPr>
          <w:rFonts w:asciiTheme="majorHAnsi" w:hAnsiTheme="majorHAnsi" w:cstheme="majorHAnsi"/>
          <w:sz w:val="24"/>
          <w:szCs w:val="24"/>
          <w:shd w:val="clear" w:color="auto" w:fill="FFFFFF"/>
        </w:rPr>
        <w:t>unconstitutional but</w:t>
      </w:r>
      <w:r w:rsidRPr="00F16ECA">
        <w:rPr>
          <w:rFonts w:asciiTheme="majorHAnsi" w:hAnsiTheme="majorHAnsi" w:cstheme="majorHAnsi"/>
          <w:sz w:val="24"/>
          <w:szCs w:val="24"/>
          <w:shd w:val="clear" w:color="auto" w:fill="FFFFFF"/>
        </w:rPr>
        <w:t xml:space="preserve"> the mandatory nature of it as couched in section 204 of the Penal Code did not allow for mitigating circumstances and therefore violated the right to a fair trial which is a non-</w:t>
      </w:r>
      <w:proofErr w:type="spellStart"/>
      <w:r w:rsidRPr="00F16ECA">
        <w:rPr>
          <w:rFonts w:asciiTheme="majorHAnsi" w:hAnsiTheme="majorHAnsi" w:cstheme="majorHAnsi"/>
          <w:sz w:val="24"/>
          <w:szCs w:val="24"/>
          <w:shd w:val="clear" w:color="auto" w:fill="FFFFFF"/>
        </w:rPr>
        <w:t>derogable</w:t>
      </w:r>
      <w:proofErr w:type="spellEnd"/>
      <w:r w:rsidRPr="00F16ECA">
        <w:rPr>
          <w:rFonts w:asciiTheme="majorHAnsi" w:hAnsiTheme="majorHAnsi" w:cstheme="majorHAnsi"/>
          <w:sz w:val="24"/>
          <w:szCs w:val="24"/>
          <w:shd w:val="clear" w:color="auto" w:fill="FFFFFF"/>
        </w:rPr>
        <w:t xml:space="preserve"> right.  The Supreme Court categorically noted in part that, “</w:t>
      </w:r>
      <w:r w:rsidRPr="00F16ECA">
        <w:rPr>
          <w:rFonts w:asciiTheme="majorHAnsi" w:hAnsiTheme="majorHAnsi" w:cstheme="majorHAnsi"/>
          <w:i/>
          <w:iCs/>
          <w:sz w:val="24"/>
          <w:szCs w:val="24"/>
          <w:shd w:val="clear" w:color="auto" w:fill="FFFFFF"/>
        </w:rPr>
        <w:t xml:space="preserve">Section 204 of the Penal Code deprives the Court of the use of judicial discretion </w:t>
      </w:r>
      <w:r w:rsidR="00482F94" w:rsidRPr="00F16ECA">
        <w:rPr>
          <w:rFonts w:asciiTheme="majorHAnsi" w:hAnsiTheme="majorHAnsi" w:cstheme="majorHAnsi"/>
          <w:i/>
          <w:iCs/>
          <w:sz w:val="24"/>
          <w:szCs w:val="24"/>
          <w:shd w:val="clear" w:color="auto" w:fill="FFFFFF"/>
        </w:rPr>
        <w:t>in a matter of life and death</w:t>
      </w:r>
      <w:r w:rsidR="00482F94" w:rsidRPr="00F16ECA">
        <w:rPr>
          <w:rFonts w:asciiTheme="majorHAnsi" w:hAnsiTheme="majorHAnsi" w:cstheme="majorHAnsi"/>
          <w:sz w:val="24"/>
          <w:szCs w:val="24"/>
          <w:shd w:val="clear" w:color="auto" w:fill="FFFFFF"/>
        </w:rPr>
        <w:t>.</w:t>
      </w:r>
      <w:r w:rsidRPr="00F16ECA">
        <w:rPr>
          <w:rFonts w:asciiTheme="majorHAnsi" w:hAnsiTheme="majorHAnsi" w:cstheme="majorHAnsi"/>
          <w:sz w:val="24"/>
          <w:szCs w:val="24"/>
          <w:shd w:val="clear" w:color="auto" w:fill="FFFFFF"/>
        </w:rPr>
        <w:t>”</w:t>
      </w:r>
      <w:r w:rsidRPr="00F16ECA">
        <w:rPr>
          <w:rFonts w:asciiTheme="majorHAnsi" w:hAnsiTheme="majorHAnsi" w:cstheme="majorHAnsi"/>
          <w:sz w:val="24"/>
          <w:szCs w:val="24"/>
          <w:shd w:val="clear" w:color="auto" w:fill="FFFFFF"/>
          <w:vertAlign w:val="superscript"/>
        </w:rPr>
        <w:footnoteReference w:id="69"/>
      </w:r>
      <w:r w:rsidRPr="00F16ECA">
        <w:rPr>
          <w:rFonts w:asciiTheme="majorHAnsi" w:hAnsiTheme="majorHAnsi" w:cstheme="majorHAnsi"/>
          <w:sz w:val="24"/>
          <w:szCs w:val="24"/>
          <w:shd w:val="clear" w:color="auto" w:fill="FFFFFF"/>
        </w:rPr>
        <w:t xml:space="preserve"> </w:t>
      </w:r>
    </w:p>
    <w:p w14:paraId="6C646DB1" w14:textId="29FA1494"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 xml:space="preserve">The Taskforce </w:t>
      </w:r>
      <w:r w:rsidR="00B41190" w:rsidRPr="00F16ECA">
        <w:rPr>
          <w:rFonts w:asciiTheme="majorHAnsi" w:hAnsiTheme="majorHAnsi" w:cstheme="majorHAnsi"/>
          <w:sz w:val="24"/>
          <w:szCs w:val="24"/>
          <w:shd w:val="clear" w:color="auto" w:fill="FFFFFF"/>
        </w:rPr>
        <w:t xml:space="preserve">on the Implementation of the Supreme Court Ruling on the Death Penalty established pursuant to this judgment </w:t>
      </w:r>
      <w:r w:rsidRPr="00F16ECA">
        <w:rPr>
          <w:rFonts w:asciiTheme="majorHAnsi" w:hAnsiTheme="majorHAnsi" w:cstheme="majorHAnsi"/>
          <w:sz w:val="24"/>
          <w:szCs w:val="24"/>
          <w:shd w:val="clear" w:color="auto" w:fill="FFFFFF"/>
        </w:rPr>
        <w:t>conducted various stakeholder engagements and has requested for submissions on the recommendations on review of the mandatory death penalty</w:t>
      </w:r>
      <w:r w:rsidRPr="00F16ECA">
        <w:rPr>
          <w:rFonts w:asciiTheme="majorHAnsi" w:hAnsiTheme="majorHAnsi" w:cstheme="majorHAnsi"/>
          <w:sz w:val="24"/>
          <w:szCs w:val="24"/>
          <w:shd w:val="clear" w:color="auto" w:fill="FFFFFF"/>
          <w:vertAlign w:val="superscript"/>
        </w:rPr>
        <w:footnoteReference w:id="70"/>
      </w:r>
      <w:r w:rsidR="00F16ECA">
        <w:rPr>
          <w:rFonts w:asciiTheme="majorHAnsi" w:hAnsiTheme="majorHAnsi" w:cstheme="majorHAnsi"/>
          <w:sz w:val="24"/>
          <w:szCs w:val="24"/>
          <w:shd w:val="clear" w:color="auto" w:fill="FFFFFF"/>
        </w:rPr>
        <w:t>.</w:t>
      </w:r>
      <w:r w:rsidRPr="00F16ECA">
        <w:rPr>
          <w:rFonts w:asciiTheme="majorHAnsi" w:hAnsiTheme="majorHAnsi" w:cstheme="majorHAnsi"/>
          <w:sz w:val="24"/>
          <w:szCs w:val="24"/>
          <w:shd w:val="clear" w:color="auto" w:fill="FFFFFF"/>
        </w:rPr>
        <w:t xml:space="preserve"> Some of the recommendations made include that the National Council on Administrative Justice set up a multi-sectoral sub-committee that will oversee the resentencing process.</w:t>
      </w:r>
    </w:p>
    <w:p w14:paraId="66E0BE8F" w14:textId="77777777"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lastRenderedPageBreak/>
        <w:t xml:space="preserve">Article 133 (2) of the Constitution establishes the power of mercy advisory committee whose core mandate is to advise the President on the exercise of the power of mercy. In line with its functions, The Power of Mercy advisory committee in conjunction with KNCHR conducted a survey on Kenya’s perception on the abolition of the death penalty. The report summarizes the data collected by the Task Force in an audit of the prison population of capital offenders conducted in February 2019; including the finding that there are currently slightly over 4800 offenders who are eligible for resentence hearing in accordance with the </w:t>
      </w:r>
      <w:proofErr w:type="spellStart"/>
      <w:r w:rsidRPr="00F16ECA">
        <w:rPr>
          <w:rFonts w:asciiTheme="majorHAnsi" w:hAnsiTheme="majorHAnsi" w:cstheme="majorHAnsi"/>
          <w:sz w:val="24"/>
          <w:szCs w:val="24"/>
          <w:shd w:val="clear" w:color="auto" w:fill="FFFFFF"/>
        </w:rPr>
        <w:t>Muruatetu</w:t>
      </w:r>
      <w:proofErr w:type="spellEnd"/>
      <w:r w:rsidRPr="00F16ECA">
        <w:rPr>
          <w:rFonts w:asciiTheme="majorHAnsi" w:hAnsiTheme="majorHAnsi" w:cstheme="majorHAnsi"/>
          <w:sz w:val="24"/>
          <w:szCs w:val="24"/>
          <w:shd w:val="clear" w:color="auto" w:fill="FFFFFF"/>
        </w:rPr>
        <w:t xml:space="preserve"> judgment. It also provides recommendations for implementation of its recommendations regarding resentence hearing, including a framework for resentencing hearings to be conducted in prisons over the course of approximately three months</w:t>
      </w:r>
      <w:r w:rsidRPr="00F16ECA">
        <w:rPr>
          <w:rFonts w:asciiTheme="majorHAnsi" w:hAnsiTheme="majorHAnsi" w:cstheme="majorHAnsi"/>
          <w:sz w:val="24"/>
          <w:szCs w:val="24"/>
          <w:shd w:val="clear" w:color="auto" w:fill="FFFFFF"/>
          <w:vertAlign w:val="superscript"/>
        </w:rPr>
        <w:footnoteReference w:id="71"/>
      </w:r>
      <w:r w:rsidRPr="00F16ECA">
        <w:rPr>
          <w:rFonts w:asciiTheme="majorHAnsi" w:hAnsiTheme="majorHAnsi" w:cstheme="majorHAnsi"/>
          <w:sz w:val="24"/>
          <w:szCs w:val="24"/>
          <w:shd w:val="clear" w:color="auto" w:fill="FFFFFF"/>
        </w:rPr>
        <w:t>.</w:t>
      </w:r>
    </w:p>
    <w:p w14:paraId="052E4A2B" w14:textId="732921EF"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On 24th October 2016, President Uhuru Kenyatta commuted 2,747 (2655 men and 92 women) death sentences to life imprisonment. He further signed pardons releasing 102 long term convicts who had been thoroughly vetted and recommended for release by the power of mercy advisory committee.</w:t>
      </w:r>
    </w:p>
    <w:p w14:paraId="3488F293" w14:textId="2FD19ECF" w:rsidR="0012582D" w:rsidRPr="00F16ECA" w:rsidRDefault="00D57618"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 xml:space="preserve">While acknowledging the above progressive steps towards the abolition of the death penalty, the Commission notes with concern that the </w:t>
      </w:r>
      <w:r w:rsidR="0012582D" w:rsidRPr="00F16ECA">
        <w:rPr>
          <w:rFonts w:asciiTheme="majorHAnsi" w:hAnsiTheme="majorHAnsi" w:cstheme="majorHAnsi"/>
          <w:sz w:val="24"/>
          <w:szCs w:val="24"/>
          <w:shd w:val="clear" w:color="auto" w:fill="FFFFFF"/>
        </w:rPr>
        <w:t>Republic of Kenya has consistently noted (not supported) recommendations to accede to the Second Optional Protocol to the Covenant on Civil and Political Rights over the successful cycles (1st, 2nd and 3rd cycles) under the Universal Periodic Review.</w:t>
      </w:r>
    </w:p>
    <w:p w14:paraId="642195BA" w14:textId="77777777" w:rsidR="001D70A5" w:rsidRPr="00F16ECA" w:rsidRDefault="001D70A5" w:rsidP="00F16ECA">
      <w:pPr>
        <w:pStyle w:val="Heading2"/>
        <w:rPr>
          <w:rFonts w:eastAsia="Calibri"/>
        </w:rPr>
      </w:pPr>
      <w:bookmarkStart w:id="24" w:name="_Toc50984447"/>
      <w:r w:rsidRPr="00F16ECA">
        <w:rPr>
          <w:rFonts w:eastAsia="Calibri"/>
        </w:rPr>
        <w:t>Enforced disappearances</w:t>
      </w:r>
      <w:bookmarkEnd w:id="24"/>
    </w:p>
    <w:p w14:paraId="7779E499" w14:textId="473E9E22"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Enforced disappearance is not defined as a distinct criminal offence within the statute books outside the realm of international crimes. This makes it impossible to prosecute law enforcement officials for their role in effecting enforced disappearances. Enforced disappearance is criminalized as a crime against humanity when committed as part of a widespread or systemic attack directed against a civilian population in the International Crimes Act</w:t>
      </w:r>
      <w:r w:rsidRPr="00C95471">
        <w:rPr>
          <w:rFonts w:asciiTheme="majorHAnsi" w:hAnsiTheme="majorHAnsi" w:cstheme="majorHAnsi"/>
          <w:sz w:val="24"/>
          <w:szCs w:val="24"/>
          <w:shd w:val="clear" w:color="auto" w:fill="FFFFFF"/>
          <w:vertAlign w:val="superscript"/>
        </w:rPr>
        <w:footnoteReference w:id="72"/>
      </w:r>
      <w:r w:rsidR="00C95471">
        <w:rPr>
          <w:rFonts w:asciiTheme="majorHAnsi" w:hAnsiTheme="majorHAnsi" w:cstheme="majorHAnsi"/>
          <w:sz w:val="24"/>
          <w:szCs w:val="24"/>
          <w:shd w:val="clear" w:color="auto" w:fill="FFFFFF"/>
        </w:rPr>
        <w:t>.</w:t>
      </w:r>
      <w:r w:rsidRPr="00F16ECA">
        <w:rPr>
          <w:rFonts w:asciiTheme="majorHAnsi" w:hAnsiTheme="majorHAnsi" w:cstheme="majorHAnsi"/>
          <w:sz w:val="24"/>
          <w:szCs w:val="24"/>
          <w:shd w:val="clear" w:color="auto" w:fill="FFFFFF"/>
        </w:rPr>
        <w:t xml:space="preserve"> The effect of this is that many </w:t>
      </w:r>
      <w:r w:rsidRPr="00F16ECA">
        <w:rPr>
          <w:rFonts w:asciiTheme="majorHAnsi" w:hAnsiTheme="majorHAnsi" w:cstheme="majorHAnsi"/>
          <w:sz w:val="24"/>
          <w:szCs w:val="24"/>
          <w:shd w:val="clear" w:color="auto" w:fill="FFFFFF"/>
        </w:rPr>
        <w:lastRenderedPageBreak/>
        <w:t xml:space="preserve">isolated acts of enforced disappearance and not necessarily occurring as part of systemic or widespread attack against civilians will remain outside the scope of domestic criminal law or the jurisdiction of national courts. </w:t>
      </w:r>
    </w:p>
    <w:p w14:paraId="1A43AE3B" w14:textId="47AAE1DE"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The closest definition of enforced disappearance can be found in chapter 25 of the Penal Code which provides for offences against liberty such as kidnapping</w:t>
      </w:r>
      <w:r w:rsidRPr="00C95471">
        <w:rPr>
          <w:rFonts w:asciiTheme="majorHAnsi" w:hAnsiTheme="majorHAnsi" w:cstheme="majorHAnsi"/>
          <w:sz w:val="24"/>
          <w:szCs w:val="24"/>
          <w:shd w:val="clear" w:color="auto" w:fill="FFFFFF"/>
          <w:vertAlign w:val="superscript"/>
        </w:rPr>
        <w:footnoteReference w:id="73"/>
      </w:r>
      <w:r w:rsidR="00C95471">
        <w:rPr>
          <w:rFonts w:asciiTheme="majorHAnsi" w:hAnsiTheme="majorHAnsi" w:cstheme="majorHAnsi"/>
          <w:sz w:val="24"/>
          <w:szCs w:val="24"/>
          <w:shd w:val="clear" w:color="auto" w:fill="FFFFFF"/>
        </w:rPr>
        <w:t>,</w:t>
      </w:r>
      <w:r w:rsidRPr="00F16ECA">
        <w:rPr>
          <w:rFonts w:asciiTheme="majorHAnsi" w:hAnsiTheme="majorHAnsi" w:cstheme="majorHAnsi"/>
          <w:sz w:val="24"/>
          <w:szCs w:val="24"/>
          <w:shd w:val="clear" w:color="auto" w:fill="FFFFFF"/>
        </w:rPr>
        <w:t xml:space="preserve"> abduction, and wrongful concealing or keeping in confinement kidnapped or abducted persons. However, the Working Group on Enforced Disappearances has pointed out that using the term kidnapping alone is inappropriate in defining enforced disappearances as it ‘</w:t>
      </w:r>
      <w:r w:rsidRPr="00C95471">
        <w:rPr>
          <w:rFonts w:asciiTheme="majorHAnsi" w:hAnsiTheme="majorHAnsi" w:cstheme="majorHAnsi"/>
          <w:i/>
          <w:iCs/>
          <w:sz w:val="24"/>
          <w:szCs w:val="24"/>
          <w:shd w:val="clear" w:color="auto" w:fill="FFFFFF"/>
        </w:rPr>
        <w:t>does not mirror the complexity and the particular serious nature of enforced disappearances</w:t>
      </w:r>
      <w:r w:rsidRPr="00F16ECA">
        <w:rPr>
          <w:rFonts w:asciiTheme="majorHAnsi" w:hAnsiTheme="majorHAnsi" w:cstheme="majorHAnsi"/>
          <w:sz w:val="24"/>
          <w:szCs w:val="24"/>
          <w:shd w:val="clear" w:color="auto" w:fill="FFFFFF"/>
        </w:rPr>
        <w:t>.’</w:t>
      </w:r>
      <w:r w:rsidRPr="00C95471">
        <w:rPr>
          <w:rFonts w:asciiTheme="majorHAnsi" w:hAnsiTheme="majorHAnsi" w:cstheme="majorHAnsi"/>
          <w:sz w:val="24"/>
          <w:szCs w:val="24"/>
          <w:shd w:val="clear" w:color="auto" w:fill="FFFFFF"/>
          <w:vertAlign w:val="superscript"/>
        </w:rPr>
        <w:footnoteReference w:id="74"/>
      </w:r>
      <w:r w:rsidRPr="00F16ECA">
        <w:rPr>
          <w:rFonts w:asciiTheme="majorHAnsi" w:hAnsiTheme="majorHAnsi" w:cstheme="majorHAnsi"/>
          <w:sz w:val="24"/>
          <w:szCs w:val="24"/>
          <w:shd w:val="clear" w:color="auto" w:fill="FFFFFF"/>
        </w:rPr>
        <w:t xml:space="preserve"> The offences against liberty defined in Chapter 25 of the Penal Code do not cover with sufficiency all the elements of enforced disappearances which are: ‘</w:t>
      </w:r>
      <w:r w:rsidRPr="00C95471">
        <w:rPr>
          <w:rFonts w:asciiTheme="majorHAnsi" w:hAnsiTheme="majorHAnsi" w:cstheme="majorHAnsi"/>
          <w:i/>
          <w:iCs/>
          <w:sz w:val="24"/>
          <w:szCs w:val="24"/>
          <w:shd w:val="clear" w:color="auto" w:fill="FFFFFF"/>
        </w:rPr>
        <w:t>deprivation of liberty against the will of the person concerned; involvement of a government official or indirectly through acquiescence; and refusal to disclose the fate and whereabouts or the person concerned</w:t>
      </w:r>
      <w:r w:rsidRPr="00F16ECA">
        <w:rPr>
          <w:rFonts w:asciiTheme="majorHAnsi" w:hAnsiTheme="majorHAnsi" w:cstheme="majorHAnsi"/>
          <w:sz w:val="24"/>
          <w:szCs w:val="24"/>
          <w:shd w:val="clear" w:color="auto" w:fill="FFFFFF"/>
        </w:rPr>
        <w:t>.’</w:t>
      </w:r>
      <w:r w:rsidRPr="00C95471">
        <w:rPr>
          <w:rFonts w:asciiTheme="majorHAnsi" w:hAnsiTheme="majorHAnsi" w:cstheme="majorHAnsi"/>
          <w:sz w:val="24"/>
          <w:szCs w:val="24"/>
          <w:shd w:val="clear" w:color="auto" w:fill="FFFFFF"/>
          <w:vertAlign w:val="superscript"/>
        </w:rPr>
        <w:footnoteReference w:id="75"/>
      </w:r>
      <w:r w:rsidR="00C95471">
        <w:rPr>
          <w:rFonts w:asciiTheme="majorHAnsi" w:hAnsiTheme="majorHAnsi" w:cstheme="majorHAnsi"/>
          <w:sz w:val="24"/>
          <w:szCs w:val="24"/>
          <w:shd w:val="clear" w:color="auto" w:fill="FFFFFF"/>
        </w:rPr>
        <w:t xml:space="preserve"> </w:t>
      </w:r>
      <w:r w:rsidRPr="00F16ECA">
        <w:rPr>
          <w:rFonts w:asciiTheme="majorHAnsi" w:hAnsiTheme="majorHAnsi" w:cstheme="majorHAnsi"/>
          <w:sz w:val="24"/>
          <w:szCs w:val="24"/>
          <w:shd w:val="clear" w:color="auto" w:fill="FFFFFF"/>
        </w:rPr>
        <w:t>The sanctions listed for offences against liberty do not take into account the gravity of enforced disappearances therefore fall short of providing comprehensive protection.</w:t>
      </w:r>
    </w:p>
    <w:p w14:paraId="317FCF99" w14:textId="669F9173"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The lack of distinct definition of enforced disappearance as criminal offence outside the scope of crimes against humanity comes in the backdrop of about 81 complaints of enforced disappearances that have b</w:t>
      </w:r>
      <w:r w:rsidR="00D8687F" w:rsidRPr="00F16ECA">
        <w:rPr>
          <w:rFonts w:asciiTheme="majorHAnsi" w:hAnsiTheme="majorHAnsi" w:cstheme="majorHAnsi"/>
          <w:sz w:val="24"/>
          <w:szCs w:val="24"/>
          <w:shd w:val="clear" w:color="auto" w:fill="FFFFFF"/>
        </w:rPr>
        <w:t xml:space="preserve">een documented by KNCHR </w:t>
      </w:r>
      <w:r w:rsidRPr="00F16ECA">
        <w:rPr>
          <w:rFonts w:asciiTheme="majorHAnsi" w:hAnsiTheme="majorHAnsi" w:cstheme="majorHAnsi"/>
          <w:sz w:val="24"/>
          <w:szCs w:val="24"/>
          <w:shd w:val="clear" w:color="auto" w:fill="FFFFFF"/>
        </w:rPr>
        <w:t>in the fight against terrorism</w:t>
      </w:r>
      <w:r w:rsidRPr="00C95471">
        <w:rPr>
          <w:rFonts w:asciiTheme="majorHAnsi" w:hAnsiTheme="majorHAnsi" w:cstheme="majorHAnsi"/>
          <w:sz w:val="24"/>
          <w:szCs w:val="24"/>
          <w:shd w:val="clear" w:color="auto" w:fill="FFFFFF"/>
          <w:vertAlign w:val="superscript"/>
        </w:rPr>
        <w:footnoteReference w:id="76"/>
      </w:r>
      <w:r w:rsidR="00C95471">
        <w:rPr>
          <w:rFonts w:asciiTheme="majorHAnsi" w:hAnsiTheme="majorHAnsi" w:cstheme="majorHAnsi"/>
          <w:sz w:val="24"/>
          <w:szCs w:val="24"/>
          <w:shd w:val="clear" w:color="auto" w:fill="FFFFFF"/>
        </w:rPr>
        <w:t xml:space="preserve">. </w:t>
      </w:r>
      <w:r w:rsidRPr="00F16ECA">
        <w:rPr>
          <w:rFonts w:asciiTheme="majorHAnsi" w:hAnsiTheme="majorHAnsi" w:cstheme="majorHAnsi"/>
          <w:sz w:val="24"/>
          <w:szCs w:val="24"/>
          <w:shd w:val="clear" w:color="auto" w:fill="FFFFFF"/>
        </w:rPr>
        <w:t xml:space="preserve">Of Concern are reports of persons who have been held in military facilities which are not recognised as places of detention for civilians therefore placing the affected individuals outside the protection of the law. Of further concern is that KNCHR has been denied access to these facilities while carrying out </w:t>
      </w:r>
      <w:r w:rsidRPr="00F16ECA">
        <w:rPr>
          <w:rFonts w:asciiTheme="majorHAnsi" w:hAnsiTheme="majorHAnsi" w:cstheme="majorHAnsi"/>
          <w:sz w:val="24"/>
          <w:szCs w:val="24"/>
          <w:shd w:val="clear" w:color="auto" w:fill="FFFFFF"/>
        </w:rPr>
        <w:lastRenderedPageBreak/>
        <w:t xml:space="preserve">investigations into allegations of torture and ill-treatment as well as detention of persons within military facilities. </w:t>
      </w:r>
    </w:p>
    <w:p w14:paraId="0F4BE2F9" w14:textId="77777777"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In addition, complaints of enforced disappearances documented earlier</w:t>
      </w:r>
      <w:r w:rsidRPr="00C95471">
        <w:rPr>
          <w:rFonts w:asciiTheme="majorHAnsi" w:hAnsiTheme="majorHAnsi" w:cstheme="majorHAnsi"/>
          <w:sz w:val="24"/>
          <w:szCs w:val="24"/>
          <w:shd w:val="clear" w:color="auto" w:fill="FFFFFF"/>
          <w:vertAlign w:val="superscript"/>
        </w:rPr>
        <w:footnoteReference w:id="77"/>
      </w:r>
      <w:r w:rsidRPr="00F16ECA">
        <w:rPr>
          <w:rFonts w:asciiTheme="majorHAnsi" w:hAnsiTheme="majorHAnsi" w:cstheme="majorHAnsi"/>
          <w:sz w:val="24"/>
          <w:szCs w:val="24"/>
          <w:shd w:val="clear" w:color="auto" w:fill="FFFFFF"/>
        </w:rPr>
        <w:t xml:space="preserve"> during military operations in Mt. Elgon have yet to be redressed. In the year 2016, a Constitutional petition was instituted in the High Court seeking compensation for the victims. The Commission is an interested party.</w:t>
      </w:r>
      <w:r w:rsidRPr="00C95471">
        <w:rPr>
          <w:rFonts w:asciiTheme="majorHAnsi" w:hAnsiTheme="majorHAnsi" w:cstheme="majorHAnsi"/>
          <w:sz w:val="24"/>
          <w:szCs w:val="24"/>
          <w:shd w:val="clear" w:color="auto" w:fill="FFFFFF"/>
          <w:vertAlign w:val="superscript"/>
        </w:rPr>
        <w:footnoteReference w:id="78"/>
      </w:r>
    </w:p>
    <w:p w14:paraId="6D4F1B62" w14:textId="63144764"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The only recourse for victims and families of disappeared persons is an order of habeas corpus or an inquiry. The non-</w:t>
      </w:r>
      <w:proofErr w:type="spellStart"/>
      <w:r w:rsidRPr="00F16ECA">
        <w:rPr>
          <w:rFonts w:asciiTheme="majorHAnsi" w:hAnsiTheme="majorHAnsi" w:cstheme="majorHAnsi"/>
          <w:sz w:val="24"/>
          <w:szCs w:val="24"/>
          <w:shd w:val="clear" w:color="auto" w:fill="FFFFFF"/>
        </w:rPr>
        <w:t>derogable</w:t>
      </w:r>
      <w:proofErr w:type="spellEnd"/>
      <w:r w:rsidRPr="00F16ECA">
        <w:rPr>
          <w:rFonts w:asciiTheme="majorHAnsi" w:hAnsiTheme="majorHAnsi" w:cstheme="majorHAnsi"/>
          <w:sz w:val="24"/>
          <w:szCs w:val="24"/>
          <w:shd w:val="clear" w:color="auto" w:fill="FFFFFF"/>
        </w:rPr>
        <w:t xml:space="preserve"> right to habeas corpus petition to determine the legality of detention is provided for under Article 51(2) as read with Article 25 (d) of the Constitution of Kenya</w:t>
      </w:r>
      <w:r w:rsidR="00D8687F" w:rsidRPr="00F16ECA">
        <w:rPr>
          <w:rFonts w:asciiTheme="majorHAnsi" w:hAnsiTheme="majorHAnsi" w:cstheme="majorHAnsi"/>
          <w:sz w:val="24"/>
          <w:szCs w:val="24"/>
          <w:shd w:val="clear" w:color="auto" w:fill="FFFFFF"/>
        </w:rPr>
        <w:t xml:space="preserve">. Despite the </w:t>
      </w:r>
      <w:r w:rsidRPr="00F16ECA">
        <w:rPr>
          <w:rFonts w:asciiTheme="majorHAnsi" w:hAnsiTheme="majorHAnsi" w:cstheme="majorHAnsi"/>
          <w:sz w:val="24"/>
          <w:szCs w:val="24"/>
          <w:shd w:val="clear" w:color="auto" w:fill="FFFFFF"/>
        </w:rPr>
        <w:t>Constitution</w:t>
      </w:r>
      <w:r w:rsidR="00D8687F" w:rsidRPr="00F16ECA">
        <w:rPr>
          <w:rFonts w:asciiTheme="majorHAnsi" w:hAnsiTheme="majorHAnsi" w:cstheme="majorHAnsi"/>
          <w:sz w:val="24"/>
          <w:szCs w:val="24"/>
          <w:shd w:val="clear" w:color="auto" w:fill="FFFFFF"/>
        </w:rPr>
        <w:t>al provisions</w:t>
      </w:r>
      <w:r w:rsidRPr="00F16ECA">
        <w:rPr>
          <w:rFonts w:asciiTheme="majorHAnsi" w:hAnsiTheme="majorHAnsi" w:cstheme="majorHAnsi"/>
          <w:sz w:val="24"/>
          <w:szCs w:val="24"/>
          <w:shd w:val="clear" w:color="auto" w:fill="FFFFFF"/>
        </w:rPr>
        <w:t xml:space="preserve">, the effectiveness of order of habeas has been called into question especially in the context of the fight against terrorism. In the case of Masoud Salim </w:t>
      </w:r>
      <w:proofErr w:type="spellStart"/>
      <w:r w:rsidRPr="00F16ECA">
        <w:rPr>
          <w:rFonts w:asciiTheme="majorHAnsi" w:hAnsiTheme="majorHAnsi" w:cstheme="majorHAnsi"/>
          <w:sz w:val="24"/>
          <w:szCs w:val="24"/>
          <w:shd w:val="clear" w:color="auto" w:fill="FFFFFF"/>
        </w:rPr>
        <w:t>Hemed</w:t>
      </w:r>
      <w:proofErr w:type="spellEnd"/>
      <w:r w:rsidR="00D91D7B" w:rsidRPr="00F16ECA">
        <w:rPr>
          <w:rFonts w:asciiTheme="majorHAnsi" w:hAnsiTheme="majorHAnsi" w:cstheme="majorHAnsi"/>
          <w:sz w:val="24"/>
          <w:szCs w:val="24"/>
          <w:shd w:val="clear" w:color="auto" w:fill="FFFFFF"/>
        </w:rPr>
        <w:t xml:space="preserve"> case</w:t>
      </w:r>
      <w:r w:rsidRPr="00C95471">
        <w:rPr>
          <w:rFonts w:asciiTheme="majorHAnsi" w:hAnsiTheme="majorHAnsi" w:cstheme="majorHAnsi"/>
          <w:sz w:val="24"/>
          <w:szCs w:val="24"/>
          <w:shd w:val="clear" w:color="auto" w:fill="FFFFFF"/>
          <w:vertAlign w:val="superscript"/>
        </w:rPr>
        <w:footnoteReference w:id="79"/>
      </w:r>
      <w:r w:rsidR="00C95471">
        <w:rPr>
          <w:rFonts w:asciiTheme="majorHAnsi" w:hAnsiTheme="majorHAnsi" w:cstheme="majorHAnsi"/>
          <w:sz w:val="24"/>
          <w:szCs w:val="24"/>
          <w:shd w:val="clear" w:color="auto" w:fill="FFFFFF"/>
        </w:rPr>
        <w:t>,</w:t>
      </w:r>
      <w:r w:rsidRPr="00F16ECA">
        <w:rPr>
          <w:rFonts w:asciiTheme="majorHAnsi" w:hAnsiTheme="majorHAnsi" w:cstheme="majorHAnsi"/>
          <w:sz w:val="24"/>
          <w:szCs w:val="24"/>
          <w:shd w:val="clear" w:color="auto" w:fill="FFFFFF"/>
        </w:rPr>
        <w:t xml:space="preserve"> the </w:t>
      </w:r>
      <w:r w:rsidR="00D91D7B" w:rsidRPr="00F16ECA">
        <w:rPr>
          <w:rFonts w:asciiTheme="majorHAnsi" w:hAnsiTheme="majorHAnsi" w:cstheme="majorHAnsi"/>
          <w:sz w:val="24"/>
          <w:szCs w:val="24"/>
          <w:shd w:val="clear" w:color="auto" w:fill="FFFFFF"/>
        </w:rPr>
        <w:t>C</w:t>
      </w:r>
      <w:r w:rsidRPr="00F16ECA">
        <w:rPr>
          <w:rFonts w:asciiTheme="majorHAnsi" w:hAnsiTheme="majorHAnsi" w:cstheme="majorHAnsi"/>
          <w:sz w:val="24"/>
          <w:szCs w:val="24"/>
          <w:shd w:val="clear" w:color="auto" w:fill="FFFFFF"/>
        </w:rPr>
        <w:t xml:space="preserve">ourt declined to grant an order of habeas despite glaring evidence that Salim </w:t>
      </w:r>
      <w:proofErr w:type="spellStart"/>
      <w:r w:rsidRPr="00F16ECA">
        <w:rPr>
          <w:rFonts w:asciiTheme="majorHAnsi" w:hAnsiTheme="majorHAnsi" w:cstheme="majorHAnsi"/>
          <w:sz w:val="24"/>
          <w:szCs w:val="24"/>
          <w:shd w:val="clear" w:color="auto" w:fill="FFFFFF"/>
        </w:rPr>
        <w:t>Hemed</w:t>
      </w:r>
      <w:proofErr w:type="spellEnd"/>
      <w:r w:rsidRPr="00F16ECA">
        <w:rPr>
          <w:rFonts w:asciiTheme="majorHAnsi" w:hAnsiTheme="majorHAnsi" w:cstheme="majorHAnsi"/>
          <w:sz w:val="24"/>
          <w:szCs w:val="24"/>
          <w:shd w:val="clear" w:color="auto" w:fill="FFFFFF"/>
        </w:rPr>
        <w:t xml:space="preserve"> had disappeared in the hands of the police during the raid of Masjid Musa on 2nd February 2014. Instead, the court went ahead to declare Salim as missing but believed to be dead and ordered for further investigations into his disappearance by the Criminal Investigations Department to be carried out contemporaneously with an inquiry/inquest by the Chief Magistrates court. </w:t>
      </w:r>
    </w:p>
    <w:p w14:paraId="0EDA6FE5" w14:textId="1906A5D2"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 xml:space="preserve">Despite the Commission’s efforts and correspondence to engage the CID as directed by the court in the </w:t>
      </w:r>
      <w:proofErr w:type="spellStart"/>
      <w:r w:rsidRPr="00F16ECA">
        <w:rPr>
          <w:rFonts w:asciiTheme="majorHAnsi" w:hAnsiTheme="majorHAnsi" w:cstheme="majorHAnsi"/>
          <w:sz w:val="24"/>
          <w:szCs w:val="24"/>
          <w:shd w:val="clear" w:color="auto" w:fill="FFFFFF"/>
        </w:rPr>
        <w:t>Hemed</w:t>
      </w:r>
      <w:proofErr w:type="spellEnd"/>
      <w:r w:rsidRPr="00F16ECA">
        <w:rPr>
          <w:rFonts w:asciiTheme="majorHAnsi" w:hAnsiTheme="majorHAnsi" w:cstheme="majorHAnsi"/>
          <w:sz w:val="24"/>
          <w:szCs w:val="24"/>
          <w:shd w:val="clear" w:color="auto" w:fill="FFFFFF"/>
        </w:rPr>
        <w:t xml:space="preserve"> case above, no joint investigations have been launched nor a report filed back in court. The family or the representatives of the disappeared have not been informed of the steps taken by the State. </w:t>
      </w:r>
    </w:p>
    <w:p w14:paraId="2F143784" w14:textId="77777777" w:rsidR="00364140" w:rsidRPr="00F16ECA" w:rsidRDefault="00364140" w:rsidP="00F16ECA">
      <w:pPr>
        <w:spacing w:before="240" w:after="240" w:line="360" w:lineRule="auto"/>
        <w:jc w:val="both"/>
        <w:rPr>
          <w:rFonts w:asciiTheme="majorHAnsi" w:hAnsiTheme="majorHAnsi" w:cstheme="majorHAnsi"/>
          <w:sz w:val="24"/>
          <w:szCs w:val="24"/>
          <w:shd w:val="clear" w:color="auto" w:fill="FFFFFF"/>
        </w:rPr>
      </w:pPr>
    </w:p>
    <w:p w14:paraId="6D03703E" w14:textId="77777777" w:rsidR="001D70A5" w:rsidRPr="00F16ECA" w:rsidRDefault="00CA799D" w:rsidP="00C95471">
      <w:pPr>
        <w:pStyle w:val="Heading2"/>
        <w:rPr>
          <w:rFonts w:eastAsia="Calibri"/>
        </w:rPr>
      </w:pPr>
      <w:bookmarkStart w:id="25" w:name="_Toc50984448"/>
      <w:r w:rsidRPr="00F16ECA">
        <w:rPr>
          <w:rFonts w:eastAsia="Calibri"/>
        </w:rPr>
        <w:lastRenderedPageBreak/>
        <w:t>Extra-judicial killings</w:t>
      </w:r>
      <w:bookmarkEnd w:id="25"/>
    </w:p>
    <w:p w14:paraId="37F5E260" w14:textId="00B0BFF4" w:rsidR="001D70A5" w:rsidRPr="00F16ECA" w:rsidRDefault="001D70A5" w:rsidP="00F16ECA">
      <w:pPr>
        <w:spacing w:before="240" w:after="240" w:line="360" w:lineRule="auto"/>
        <w:jc w:val="both"/>
        <w:rPr>
          <w:rFonts w:asciiTheme="majorHAnsi" w:hAnsiTheme="majorHAnsi" w:cstheme="majorHAnsi"/>
          <w:sz w:val="24"/>
          <w:szCs w:val="24"/>
          <w:shd w:val="clear" w:color="auto" w:fill="FFFFFF"/>
        </w:rPr>
      </w:pPr>
      <w:r w:rsidRPr="00F16ECA">
        <w:rPr>
          <w:rFonts w:asciiTheme="majorHAnsi" w:hAnsiTheme="majorHAnsi" w:cstheme="majorHAnsi"/>
          <w:sz w:val="24"/>
          <w:szCs w:val="24"/>
          <w:shd w:val="clear" w:color="auto" w:fill="FFFFFF"/>
        </w:rPr>
        <w:t xml:space="preserve">During the reporting period, </w:t>
      </w:r>
      <w:r w:rsidR="00FE2A3F" w:rsidRPr="00F16ECA">
        <w:rPr>
          <w:rFonts w:asciiTheme="majorHAnsi" w:hAnsiTheme="majorHAnsi" w:cstheme="majorHAnsi"/>
          <w:sz w:val="24"/>
          <w:szCs w:val="24"/>
          <w:shd w:val="clear" w:color="auto" w:fill="FFFFFF"/>
        </w:rPr>
        <w:t>t</w:t>
      </w:r>
      <w:r w:rsidRPr="00F16ECA">
        <w:rPr>
          <w:rFonts w:asciiTheme="majorHAnsi" w:hAnsiTheme="majorHAnsi" w:cstheme="majorHAnsi"/>
          <w:sz w:val="24"/>
          <w:szCs w:val="24"/>
          <w:shd w:val="clear" w:color="auto" w:fill="FFFFFF"/>
        </w:rPr>
        <w:t>he Independent Policing Oversight Authority in exercise of its mandate to provide civilian oversight to the work of the Police, has investigated and forwarded 103 files to office of the Director of Public Prosecutions for further action for the period between 2012 -2018</w:t>
      </w:r>
      <w:r w:rsidRPr="00C95471">
        <w:rPr>
          <w:rFonts w:asciiTheme="majorHAnsi" w:hAnsiTheme="majorHAnsi" w:cstheme="majorHAnsi"/>
          <w:sz w:val="24"/>
          <w:szCs w:val="24"/>
          <w:shd w:val="clear" w:color="auto" w:fill="FFFFFF"/>
          <w:vertAlign w:val="superscript"/>
        </w:rPr>
        <w:footnoteReference w:id="80"/>
      </w:r>
      <w:r w:rsidR="00C95471">
        <w:rPr>
          <w:rFonts w:asciiTheme="majorHAnsi" w:hAnsiTheme="majorHAnsi" w:cstheme="majorHAnsi"/>
          <w:sz w:val="24"/>
          <w:szCs w:val="24"/>
          <w:shd w:val="clear" w:color="auto" w:fill="FFFFFF"/>
        </w:rPr>
        <w:t>.</w:t>
      </w:r>
      <w:r w:rsidRPr="00F16ECA">
        <w:rPr>
          <w:rFonts w:asciiTheme="majorHAnsi" w:hAnsiTheme="majorHAnsi" w:cstheme="majorHAnsi"/>
          <w:sz w:val="24"/>
          <w:szCs w:val="24"/>
          <w:shd w:val="clear" w:color="auto" w:fill="FFFFFF"/>
        </w:rPr>
        <w:t xml:space="preserve"> As a result of its work, IPOA has secured conviction of 6 police officers for excessive use of force and extra-judicial killings. The cases are:</w:t>
      </w:r>
    </w:p>
    <w:p w14:paraId="6EFA4D6C" w14:textId="02886CF0" w:rsidR="001D70A5" w:rsidRPr="00C95471" w:rsidRDefault="001D70A5" w:rsidP="00C95471">
      <w:pPr>
        <w:pStyle w:val="ListParagraph"/>
        <w:numPr>
          <w:ilvl w:val="0"/>
          <w:numId w:val="31"/>
        </w:num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Republic versus IP </w:t>
      </w:r>
      <w:proofErr w:type="spellStart"/>
      <w:r w:rsidRPr="00C95471">
        <w:rPr>
          <w:rFonts w:asciiTheme="majorHAnsi" w:hAnsiTheme="majorHAnsi" w:cstheme="majorHAnsi"/>
          <w:sz w:val="24"/>
          <w:szCs w:val="24"/>
          <w:shd w:val="clear" w:color="auto" w:fill="FFFFFF"/>
        </w:rPr>
        <w:t>Veronicah</w:t>
      </w:r>
      <w:proofErr w:type="spellEnd"/>
      <w:r w:rsidRPr="00C95471">
        <w:rPr>
          <w:rFonts w:asciiTheme="majorHAnsi" w:hAnsiTheme="majorHAnsi" w:cstheme="majorHAnsi"/>
          <w:sz w:val="24"/>
          <w:szCs w:val="24"/>
          <w:shd w:val="clear" w:color="auto" w:fill="FFFFFF"/>
        </w:rPr>
        <w:t xml:space="preserve"> </w:t>
      </w:r>
      <w:proofErr w:type="spellStart"/>
      <w:r w:rsidRPr="00C95471">
        <w:rPr>
          <w:rFonts w:asciiTheme="majorHAnsi" w:hAnsiTheme="majorHAnsi" w:cstheme="majorHAnsi"/>
          <w:sz w:val="24"/>
          <w:szCs w:val="24"/>
          <w:shd w:val="clear" w:color="auto" w:fill="FFFFFF"/>
        </w:rPr>
        <w:t>Gitahi</w:t>
      </w:r>
      <w:proofErr w:type="spellEnd"/>
      <w:r w:rsidRPr="00C95471">
        <w:rPr>
          <w:rFonts w:asciiTheme="majorHAnsi" w:hAnsiTheme="majorHAnsi" w:cstheme="majorHAnsi"/>
          <w:sz w:val="24"/>
          <w:szCs w:val="24"/>
          <w:shd w:val="clear" w:color="auto" w:fill="FFFFFF"/>
        </w:rPr>
        <w:t xml:space="preserve"> and PC Issa </w:t>
      </w:r>
      <w:proofErr w:type="spellStart"/>
      <w:r w:rsidRPr="00C95471">
        <w:rPr>
          <w:rFonts w:asciiTheme="majorHAnsi" w:hAnsiTheme="majorHAnsi" w:cstheme="majorHAnsi"/>
          <w:sz w:val="24"/>
          <w:szCs w:val="24"/>
          <w:shd w:val="clear" w:color="auto" w:fill="FFFFFF"/>
        </w:rPr>
        <w:t>Mzee</w:t>
      </w:r>
      <w:proofErr w:type="spellEnd"/>
      <w:r w:rsidRPr="00C95471">
        <w:rPr>
          <w:rFonts w:asciiTheme="majorHAnsi" w:hAnsiTheme="majorHAnsi" w:cstheme="majorHAnsi"/>
          <w:sz w:val="24"/>
          <w:szCs w:val="24"/>
          <w:shd w:val="clear" w:color="auto" w:fill="FFFFFF"/>
          <w:vertAlign w:val="superscript"/>
        </w:rPr>
        <w:footnoteReference w:id="81"/>
      </w:r>
      <w:r w:rsidRPr="00C95471">
        <w:rPr>
          <w:rFonts w:asciiTheme="majorHAnsi" w:hAnsiTheme="majorHAnsi" w:cstheme="majorHAnsi"/>
          <w:sz w:val="24"/>
          <w:szCs w:val="24"/>
          <w:shd w:val="clear" w:color="auto" w:fill="FFFFFF"/>
        </w:rPr>
        <w:t xml:space="preserve"> - Involved the shooting of </w:t>
      </w:r>
      <w:r w:rsidR="00C95471" w:rsidRPr="00C95471">
        <w:rPr>
          <w:rFonts w:asciiTheme="majorHAnsi" w:hAnsiTheme="majorHAnsi" w:cstheme="majorHAnsi"/>
          <w:sz w:val="24"/>
          <w:szCs w:val="24"/>
          <w:shd w:val="clear" w:color="auto" w:fill="FFFFFF"/>
        </w:rPr>
        <w:t>14-year-old</w:t>
      </w:r>
      <w:r w:rsidRPr="00C95471">
        <w:rPr>
          <w:rFonts w:asciiTheme="majorHAnsi" w:hAnsiTheme="majorHAnsi" w:cstheme="majorHAnsi"/>
          <w:sz w:val="24"/>
          <w:szCs w:val="24"/>
          <w:shd w:val="clear" w:color="auto" w:fill="FFFFFF"/>
        </w:rPr>
        <w:t xml:space="preserve"> girl in Kwale who died after being shot by Police. The accused were found guilty of the offence of manslaughter contrary to section 202 of the Penal Code and sentenced to 7 years imprisonment.</w:t>
      </w:r>
    </w:p>
    <w:p w14:paraId="13790C31" w14:textId="687302EF" w:rsidR="001D70A5" w:rsidRPr="00C95471" w:rsidRDefault="001D70A5" w:rsidP="00C95471">
      <w:pPr>
        <w:pStyle w:val="ListParagraph"/>
        <w:numPr>
          <w:ilvl w:val="0"/>
          <w:numId w:val="31"/>
        </w:num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Republic versus PC Titus </w:t>
      </w:r>
      <w:proofErr w:type="spellStart"/>
      <w:r w:rsidRPr="00C95471">
        <w:rPr>
          <w:rFonts w:asciiTheme="majorHAnsi" w:hAnsiTheme="majorHAnsi" w:cstheme="majorHAnsi"/>
          <w:sz w:val="24"/>
          <w:szCs w:val="24"/>
          <w:shd w:val="clear" w:color="auto" w:fill="FFFFFF"/>
        </w:rPr>
        <w:t>Ngamua</w:t>
      </w:r>
      <w:proofErr w:type="spellEnd"/>
      <w:r w:rsidRPr="00C95471">
        <w:rPr>
          <w:rFonts w:asciiTheme="majorHAnsi" w:hAnsiTheme="majorHAnsi" w:cstheme="majorHAnsi"/>
          <w:sz w:val="24"/>
          <w:szCs w:val="24"/>
          <w:shd w:val="clear" w:color="auto" w:fill="FFFFFF"/>
        </w:rPr>
        <w:t xml:space="preserve"> </w:t>
      </w:r>
      <w:proofErr w:type="spellStart"/>
      <w:r w:rsidRPr="00C95471">
        <w:rPr>
          <w:rFonts w:asciiTheme="majorHAnsi" w:hAnsiTheme="majorHAnsi" w:cstheme="majorHAnsi"/>
          <w:sz w:val="24"/>
          <w:szCs w:val="24"/>
          <w:shd w:val="clear" w:color="auto" w:fill="FFFFFF"/>
        </w:rPr>
        <w:t>Musila</w:t>
      </w:r>
      <w:proofErr w:type="spellEnd"/>
      <w:r w:rsidRPr="00C95471">
        <w:rPr>
          <w:rFonts w:asciiTheme="majorHAnsi" w:hAnsiTheme="majorHAnsi" w:cstheme="majorHAnsi"/>
          <w:sz w:val="24"/>
          <w:szCs w:val="24"/>
          <w:shd w:val="clear" w:color="auto" w:fill="FFFFFF"/>
          <w:vertAlign w:val="superscript"/>
        </w:rPr>
        <w:footnoteReference w:id="82"/>
      </w:r>
      <w:r w:rsidRPr="00C95471">
        <w:rPr>
          <w:rFonts w:asciiTheme="majorHAnsi" w:hAnsiTheme="majorHAnsi" w:cstheme="majorHAnsi"/>
          <w:sz w:val="24"/>
          <w:szCs w:val="24"/>
          <w:shd w:val="clear" w:color="auto" w:fill="FFFFFF"/>
        </w:rPr>
        <w:t xml:space="preserve">- Involved the shooting of a </w:t>
      </w:r>
      <w:r w:rsidR="00C95471" w:rsidRPr="00C95471">
        <w:rPr>
          <w:rFonts w:asciiTheme="majorHAnsi" w:hAnsiTheme="majorHAnsi" w:cstheme="majorHAnsi"/>
          <w:sz w:val="24"/>
          <w:szCs w:val="24"/>
          <w:shd w:val="clear" w:color="auto" w:fill="FFFFFF"/>
        </w:rPr>
        <w:t>26-year-old</w:t>
      </w:r>
      <w:r w:rsidRPr="00C95471">
        <w:rPr>
          <w:rFonts w:asciiTheme="majorHAnsi" w:hAnsiTheme="majorHAnsi" w:cstheme="majorHAnsi"/>
          <w:sz w:val="24"/>
          <w:szCs w:val="24"/>
          <w:shd w:val="clear" w:color="auto" w:fill="FFFFFF"/>
        </w:rPr>
        <w:t xml:space="preserve"> male at </w:t>
      </w:r>
      <w:proofErr w:type="spellStart"/>
      <w:r w:rsidRPr="00C95471">
        <w:rPr>
          <w:rFonts w:asciiTheme="majorHAnsi" w:hAnsiTheme="majorHAnsi" w:cstheme="majorHAnsi"/>
          <w:sz w:val="24"/>
          <w:szCs w:val="24"/>
          <w:shd w:val="clear" w:color="auto" w:fill="FFFFFF"/>
        </w:rPr>
        <w:t>Githurai</w:t>
      </w:r>
      <w:proofErr w:type="spellEnd"/>
      <w:r w:rsidRPr="00C95471">
        <w:rPr>
          <w:rFonts w:asciiTheme="majorHAnsi" w:hAnsiTheme="majorHAnsi" w:cstheme="majorHAnsi"/>
          <w:sz w:val="24"/>
          <w:szCs w:val="24"/>
          <w:shd w:val="clear" w:color="auto" w:fill="FFFFFF"/>
        </w:rPr>
        <w:t xml:space="preserve"> 45 bus station, Kiambu by Police. The accused persons </w:t>
      </w:r>
      <w:r w:rsidR="00C95471" w:rsidRPr="00C95471">
        <w:rPr>
          <w:rFonts w:asciiTheme="majorHAnsi" w:hAnsiTheme="majorHAnsi" w:cstheme="majorHAnsi"/>
          <w:sz w:val="24"/>
          <w:szCs w:val="24"/>
          <w:shd w:val="clear" w:color="auto" w:fill="FFFFFF"/>
        </w:rPr>
        <w:t>were</w:t>
      </w:r>
      <w:r w:rsidRPr="00C95471">
        <w:rPr>
          <w:rFonts w:asciiTheme="majorHAnsi" w:hAnsiTheme="majorHAnsi" w:cstheme="majorHAnsi"/>
          <w:sz w:val="24"/>
          <w:szCs w:val="24"/>
          <w:shd w:val="clear" w:color="auto" w:fill="FFFFFF"/>
        </w:rPr>
        <w:t xml:space="preserve"> found guilty of the offence of murder contrary to section 203 as read with section 204 of the Penal Code and was sentenced to death.</w:t>
      </w:r>
    </w:p>
    <w:p w14:paraId="25D57344" w14:textId="77777777" w:rsidR="001D70A5" w:rsidRPr="00C95471" w:rsidRDefault="001D70A5" w:rsidP="00C95471">
      <w:pPr>
        <w:pStyle w:val="ListParagraph"/>
        <w:numPr>
          <w:ilvl w:val="0"/>
          <w:numId w:val="31"/>
        </w:num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Republic versus PC </w:t>
      </w:r>
      <w:proofErr w:type="spellStart"/>
      <w:r w:rsidRPr="00C95471">
        <w:rPr>
          <w:rFonts w:asciiTheme="majorHAnsi" w:hAnsiTheme="majorHAnsi" w:cstheme="majorHAnsi"/>
          <w:sz w:val="24"/>
          <w:szCs w:val="24"/>
          <w:shd w:val="clear" w:color="auto" w:fill="FFFFFF"/>
        </w:rPr>
        <w:t>Banjamin</w:t>
      </w:r>
      <w:proofErr w:type="spellEnd"/>
      <w:r w:rsidRPr="00C95471">
        <w:rPr>
          <w:rFonts w:asciiTheme="majorHAnsi" w:hAnsiTheme="majorHAnsi" w:cstheme="majorHAnsi"/>
          <w:sz w:val="24"/>
          <w:szCs w:val="24"/>
          <w:shd w:val="clear" w:color="auto" w:fill="FFFFFF"/>
        </w:rPr>
        <w:t xml:space="preserve"> </w:t>
      </w:r>
      <w:proofErr w:type="spellStart"/>
      <w:r w:rsidRPr="00C95471">
        <w:rPr>
          <w:rFonts w:asciiTheme="majorHAnsi" w:hAnsiTheme="majorHAnsi" w:cstheme="majorHAnsi"/>
          <w:sz w:val="24"/>
          <w:szCs w:val="24"/>
          <w:shd w:val="clear" w:color="auto" w:fill="FFFFFF"/>
        </w:rPr>
        <w:t>Kahindi</w:t>
      </w:r>
      <w:proofErr w:type="spellEnd"/>
      <w:r w:rsidRPr="00C95471">
        <w:rPr>
          <w:rFonts w:asciiTheme="majorHAnsi" w:hAnsiTheme="majorHAnsi" w:cstheme="majorHAnsi"/>
          <w:sz w:val="24"/>
          <w:szCs w:val="24"/>
          <w:shd w:val="clear" w:color="auto" w:fill="FFFFFF"/>
        </w:rPr>
        <w:t xml:space="preserve"> and PC </w:t>
      </w:r>
      <w:proofErr w:type="spellStart"/>
      <w:r w:rsidRPr="00C95471">
        <w:rPr>
          <w:rFonts w:asciiTheme="majorHAnsi" w:hAnsiTheme="majorHAnsi" w:cstheme="majorHAnsi"/>
          <w:sz w:val="24"/>
          <w:szCs w:val="24"/>
          <w:shd w:val="clear" w:color="auto" w:fill="FFFFFF"/>
        </w:rPr>
        <w:t>Stanely</w:t>
      </w:r>
      <w:proofErr w:type="spellEnd"/>
      <w:r w:rsidRPr="00C95471">
        <w:rPr>
          <w:rFonts w:asciiTheme="majorHAnsi" w:hAnsiTheme="majorHAnsi" w:cstheme="majorHAnsi"/>
          <w:sz w:val="24"/>
          <w:szCs w:val="24"/>
          <w:shd w:val="clear" w:color="auto" w:fill="FFFFFF"/>
        </w:rPr>
        <w:t xml:space="preserve"> </w:t>
      </w:r>
      <w:proofErr w:type="spellStart"/>
      <w:r w:rsidRPr="00C95471">
        <w:rPr>
          <w:rFonts w:asciiTheme="majorHAnsi" w:hAnsiTheme="majorHAnsi" w:cstheme="majorHAnsi"/>
          <w:sz w:val="24"/>
          <w:szCs w:val="24"/>
          <w:shd w:val="clear" w:color="auto" w:fill="FFFFFF"/>
        </w:rPr>
        <w:t>Okoti</w:t>
      </w:r>
      <w:proofErr w:type="spellEnd"/>
      <w:r w:rsidRPr="00C95471">
        <w:rPr>
          <w:rFonts w:asciiTheme="majorHAnsi" w:hAnsiTheme="majorHAnsi" w:cstheme="majorHAnsi"/>
          <w:sz w:val="24"/>
          <w:szCs w:val="24"/>
          <w:shd w:val="clear" w:color="auto" w:fill="FFFFFF"/>
          <w:vertAlign w:val="superscript"/>
        </w:rPr>
        <w:footnoteReference w:id="83"/>
      </w:r>
      <w:r w:rsidRPr="00C95471">
        <w:rPr>
          <w:rFonts w:asciiTheme="majorHAnsi" w:hAnsiTheme="majorHAnsi" w:cstheme="majorHAnsi"/>
          <w:sz w:val="24"/>
          <w:szCs w:val="24"/>
          <w:shd w:val="clear" w:color="auto" w:fill="FFFFFF"/>
        </w:rPr>
        <w:t xml:space="preserve">- Involved the shooting of Geoffrey </w:t>
      </w:r>
      <w:proofErr w:type="spellStart"/>
      <w:r w:rsidRPr="00C95471">
        <w:rPr>
          <w:rFonts w:asciiTheme="majorHAnsi" w:hAnsiTheme="majorHAnsi" w:cstheme="majorHAnsi"/>
          <w:sz w:val="24"/>
          <w:szCs w:val="24"/>
          <w:shd w:val="clear" w:color="auto" w:fill="FFFFFF"/>
        </w:rPr>
        <w:t>Mogoi</w:t>
      </w:r>
      <w:proofErr w:type="spellEnd"/>
      <w:r w:rsidRPr="00C95471">
        <w:rPr>
          <w:rFonts w:asciiTheme="majorHAnsi" w:hAnsiTheme="majorHAnsi" w:cstheme="majorHAnsi"/>
          <w:sz w:val="24"/>
          <w:szCs w:val="24"/>
          <w:shd w:val="clear" w:color="auto" w:fill="FFFFFF"/>
        </w:rPr>
        <w:t xml:space="preserve">, Amos </w:t>
      </w:r>
      <w:proofErr w:type="spellStart"/>
      <w:r w:rsidRPr="00C95471">
        <w:rPr>
          <w:rFonts w:asciiTheme="majorHAnsi" w:hAnsiTheme="majorHAnsi" w:cstheme="majorHAnsi"/>
          <w:sz w:val="24"/>
          <w:szCs w:val="24"/>
          <w:shd w:val="clear" w:color="auto" w:fill="FFFFFF"/>
        </w:rPr>
        <w:t>Makori</w:t>
      </w:r>
      <w:proofErr w:type="spellEnd"/>
      <w:r w:rsidRPr="00C95471">
        <w:rPr>
          <w:rFonts w:asciiTheme="majorHAnsi" w:hAnsiTheme="majorHAnsi" w:cstheme="majorHAnsi"/>
          <w:sz w:val="24"/>
          <w:szCs w:val="24"/>
          <w:shd w:val="clear" w:color="auto" w:fill="FFFFFF"/>
        </w:rPr>
        <w:t xml:space="preserve"> and Joseph </w:t>
      </w:r>
      <w:proofErr w:type="spellStart"/>
      <w:r w:rsidRPr="00C95471">
        <w:rPr>
          <w:rFonts w:asciiTheme="majorHAnsi" w:hAnsiTheme="majorHAnsi" w:cstheme="majorHAnsi"/>
          <w:sz w:val="24"/>
          <w:szCs w:val="24"/>
          <w:shd w:val="clear" w:color="auto" w:fill="FFFFFF"/>
        </w:rPr>
        <w:t>Onchuru</w:t>
      </w:r>
      <w:proofErr w:type="spellEnd"/>
      <w:r w:rsidRPr="00C95471">
        <w:rPr>
          <w:rFonts w:asciiTheme="majorHAnsi" w:hAnsiTheme="majorHAnsi" w:cstheme="majorHAnsi"/>
          <w:sz w:val="24"/>
          <w:szCs w:val="24"/>
          <w:shd w:val="clear" w:color="auto" w:fill="FFFFFF"/>
        </w:rPr>
        <w:t xml:space="preserve"> in </w:t>
      </w:r>
      <w:proofErr w:type="spellStart"/>
      <w:r w:rsidRPr="00C95471">
        <w:rPr>
          <w:rFonts w:asciiTheme="majorHAnsi" w:hAnsiTheme="majorHAnsi" w:cstheme="majorHAnsi"/>
          <w:sz w:val="24"/>
          <w:szCs w:val="24"/>
          <w:shd w:val="clear" w:color="auto" w:fill="FFFFFF"/>
        </w:rPr>
        <w:t>Kangemi</w:t>
      </w:r>
      <w:proofErr w:type="spellEnd"/>
      <w:r w:rsidRPr="00C95471">
        <w:rPr>
          <w:rFonts w:asciiTheme="majorHAnsi" w:hAnsiTheme="majorHAnsi" w:cstheme="majorHAnsi"/>
          <w:sz w:val="24"/>
          <w:szCs w:val="24"/>
          <w:shd w:val="clear" w:color="auto" w:fill="FFFFFF"/>
        </w:rPr>
        <w:t>, Nairobi by Police. The accused persons were charged and convicted with three counts of murder under section 203 as read with section 204 Penal Code. The three officers were sentenced to death.</w:t>
      </w:r>
    </w:p>
    <w:p w14:paraId="08B3CBC7" w14:textId="77777777" w:rsidR="001D70A5" w:rsidRPr="00C95471" w:rsidRDefault="001D70A5" w:rsidP="00C95471">
      <w:pPr>
        <w:pStyle w:val="ListParagraph"/>
        <w:numPr>
          <w:ilvl w:val="0"/>
          <w:numId w:val="31"/>
        </w:num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Republic versus CIP </w:t>
      </w:r>
      <w:proofErr w:type="spellStart"/>
      <w:r w:rsidRPr="00C95471">
        <w:rPr>
          <w:rFonts w:asciiTheme="majorHAnsi" w:hAnsiTheme="majorHAnsi" w:cstheme="majorHAnsi"/>
          <w:sz w:val="24"/>
          <w:szCs w:val="24"/>
          <w:shd w:val="clear" w:color="auto" w:fill="FFFFFF"/>
        </w:rPr>
        <w:t>Nahashon</w:t>
      </w:r>
      <w:proofErr w:type="spellEnd"/>
      <w:r w:rsidRPr="00C95471">
        <w:rPr>
          <w:rFonts w:asciiTheme="majorHAnsi" w:hAnsiTheme="majorHAnsi" w:cstheme="majorHAnsi"/>
          <w:sz w:val="24"/>
          <w:szCs w:val="24"/>
          <w:shd w:val="clear" w:color="auto" w:fill="FFFFFF"/>
        </w:rPr>
        <w:t xml:space="preserve"> Mutua</w:t>
      </w:r>
      <w:r w:rsidRPr="00C95471">
        <w:rPr>
          <w:rFonts w:asciiTheme="majorHAnsi" w:hAnsiTheme="majorHAnsi" w:cstheme="majorHAnsi"/>
          <w:sz w:val="24"/>
          <w:szCs w:val="24"/>
          <w:shd w:val="clear" w:color="auto" w:fill="FFFFFF"/>
          <w:vertAlign w:val="superscript"/>
        </w:rPr>
        <w:footnoteReference w:id="84"/>
      </w:r>
      <w:r w:rsidRPr="00C95471">
        <w:rPr>
          <w:rFonts w:asciiTheme="majorHAnsi" w:hAnsiTheme="majorHAnsi" w:cstheme="majorHAnsi"/>
          <w:sz w:val="24"/>
          <w:szCs w:val="24"/>
          <w:shd w:val="clear" w:color="auto" w:fill="FFFFFF"/>
        </w:rPr>
        <w:t xml:space="preserve">- Involved the killing of Martin </w:t>
      </w:r>
      <w:proofErr w:type="spellStart"/>
      <w:r w:rsidRPr="00C95471">
        <w:rPr>
          <w:rFonts w:asciiTheme="majorHAnsi" w:hAnsiTheme="majorHAnsi" w:cstheme="majorHAnsi"/>
          <w:sz w:val="24"/>
          <w:szCs w:val="24"/>
          <w:shd w:val="clear" w:color="auto" w:fill="FFFFFF"/>
        </w:rPr>
        <w:t>Koome</w:t>
      </w:r>
      <w:proofErr w:type="spellEnd"/>
      <w:r w:rsidRPr="00C95471">
        <w:rPr>
          <w:rFonts w:asciiTheme="majorHAnsi" w:hAnsiTheme="majorHAnsi" w:cstheme="majorHAnsi"/>
          <w:sz w:val="24"/>
          <w:szCs w:val="24"/>
          <w:shd w:val="clear" w:color="auto" w:fill="FFFFFF"/>
        </w:rPr>
        <w:t xml:space="preserve"> while he was detained in custody at </w:t>
      </w:r>
      <w:proofErr w:type="spellStart"/>
      <w:r w:rsidRPr="00C95471">
        <w:rPr>
          <w:rFonts w:asciiTheme="majorHAnsi" w:hAnsiTheme="majorHAnsi" w:cstheme="majorHAnsi"/>
          <w:sz w:val="24"/>
          <w:szCs w:val="24"/>
          <w:shd w:val="clear" w:color="auto" w:fill="FFFFFF"/>
        </w:rPr>
        <w:t>Ruaraka</w:t>
      </w:r>
      <w:proofErr w:type="spellEnd"/>
      <w:r w:rsidRPr="00C95471">
        <w:rPr>
          <w:rFonts w:asciiTheme="majorHAnsi" w:hAnsiTheme="majorHAnsi" w:cstheme="majorHAnsi"/>
          <w:sz w:val="24"/>
          <w:szCs w:val="24"/>
          <w:shd w:val="clear" w:color="auto" w:fill="FFFFFF"/>
        </w:rPr>
        <w:t xml:space="preserve"> Police Station, Nairobi. The accused was charged and convicted for the offence of murder contrary to section 203 as read with 204 of the Penal Code. The officer was sentenced to death.</w:t>
      </w:r>
    </w:p>
    <w:p w14:paraId="4EAACAA4" w14:textId="5D1E90CB" w:rsidR="00545E9D" w:rsidRPr="00C95471" w:rsidRDefault="00545E9D"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The Court in a case involving the death of a 6 months old child (Baby Samantha </w:t>
      </w:r>
      <w:proofErr w:type="spellStart"/>
      <w:r w:rsidRPr="00C95471">
        <w:rPr>
          <w:rFonts w:asciiTheme="majorHAnsi" w:hAnsiTheme="majorHAnsi" w:cstheme="majorHAnsi"/>
          <w:sz w:val="24"/>
          <w:szCs w:val="24"/>
          <w:shd w:val="clear" w:color="auto" w:fill="FFFFFF"/>
        </w:rPr>
        <w:t>Pendo</w:t>
      </w:r>
      <w:proofErr w:type="spellEnd"/>
      <w:r w:rsidRPr="00C95471">
        <w:rPr>
          <w:rFonts w:asciiTheme="majorHAnsi" w:hAnsiTheme="majorHAnsi" w:cstheme="majorHAnsi"/>
          <w:sz w:val="24"/>
          <w:szCs w:val="24"/>
          <w:shd w:val="clear" w:color="auto" w:fill="FFFFFF"/>
        </w:rPr>
        <w:t xml:space="preserve">) established in Kisumu Chief Magistrate’s Court Inquest No. 6 of 2017 that members of the National Police </w:t>
      </w:r>
      <w:r w:rsidRPr="00C95471">
        <w:rPr>
          <w:rFonts w:asciiTheme="majorHAnsi" w:hAnsiTheme="majorHAnsi" w:cstheme="majorHAnsi"/>
          <w:sz w:val="24"/>
          <w:szCs w:val="24"/>
          <w:shd w:val="clear" w:color="auto" w:fill="FFFFFF"/>
        </w:rPr>
        <w:lastRenderedPageBreak/>
        <w:t xml:space="preserve">Service were culpable in the death of Baby </w:t>
      </w:r>
      <w:proofErr w:type="spellStart"/>
      <w:r w:rsidRPr="00C95471">
        <w:rPr>
          <w:rFonts w:asciiTheme="majorHAnsi" w:hAnsiTheme="majorHAnsi" w:cstheme="majorHAnsi"/>
          <w:sz w:val="24"/>
          <w:szCs w:val="24"/>
          <w:shd w:val="clear" w:color="auto" w:fill="FFFFFF"/>
        </w:rPr>
        <w:t>Pendo</w:t>
      </w:r>
      <w:proofErr w:type="spellEnd"/>
      <w:r w:rsidRPr="00C95471">
        <w:rPr>
          <w:rFonts w:asciiTheme="majorHAnsi" w:hAnsiTheme="majorHAnsi" w:cstheme="majorHAnsi"/>
          <w:sz w:val="24"/>
          <w:szCs w:val="24"/>
          <w:shd w:val="clear" w:color="auto" w:fill="FFFFFF"/>
        </w:rPr>
        <w:t>. In addition, the Court established that under the doctrine of command responsibility, the respective commanders failed to take reasonable measures to prevent the criminal action of killing of a baby. The ODPP is working at implementing the inquest findings.</w:t>
      </w:r>
    </w:p>
    <w:p w14:paraId="749D3D20" w14:textId="37E1AF34" w:rsidR="003222B3" w:rsidRPr="00C95471" w:rsidRDefault="001D70A5"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The Commission in the reporting period (excluding the period of the 2017 General Election) has received 54</w:t>
      </w:r>
      <w:r w:rsidR="00D91D7B" w:rsidRPr="00C95471">
        <w:rPr>
          <w:rFonts w:asciiTheme="majorHAnsi" w:hAnsiTheme="majorHAnsi" w:cstheme="majorHAnsi"/>
          <w:sz w:val="24"/>
          <w:szCs w:val="24"/>
          <w:shd w:val="clear" w:color="auto" w:fill="FFFFFF"/>
        </w:rPr>
        <w:t xml:space="preserve"> </w:t>
      </w:r>
      <w:r w:rsidRPr="00C95471">
        <w:rPr>
          <w:rFonts w:asciiTheme="majorHAnsi" w:hAnsiTheme="majorHAnsi" w:cstheme="majorHAnsi"/>
          <w:sz w:val="24"/>
          <w:szCs w:val="24"/>
          <w:shd w:val="clear" w:color="auto" w:fill="FFFFFF"/>
        </w:rPr>
        <w:t>complaints of non-fatal police shooting, 32 complaints of fatal police shooting, 28 complaints of death in police custody, 123 cases of extra-judicial executions, 45 cases of shooting by other armed services/forces and 2 cases of death in prison custody. The top government agency against whom complaints were made against was the Kenya Police Service (146 complaints) and the Kenya Wildlife Services (38 complaints).</w:t>
      </w:r>
      <w:r w:rsidR="00322E94" w:rsidRPr="00C95471">
        <w:rPr>
          <w:rFonts w:asciiTheme="majorHAnsi" w:hAnsiTheme="majorHAnsi" w:cstheme="majorHAnsi"/>
          <w:sz w:val="24"/>
          <w:szCs w:val="24"/>
          <w:shd w:val="clear" w:color="auto" w:fill="FFFFFF"/>
        </w:rPr>
        <w:t xml:space="preserve"> The Commission </w:t>
      </w:r>
      <w:r w:rsidR="00364140" w:rsidRPr="00C95471">
        <w:rPr>
          <w:rFonts w:asciiTheme="majorHAnsi" w:hAnsiTheme="majorHAnsi" w:cstheme="majorHAnsi"/>
          <w:sz w:val="24"/>
          <w:szCs w:val="24"/>
          <w:shd w:val="clear" w:color="auto" w:fill="FFFFFF"/>
        </w:rPr>
        <w:t>remains concerned</w:t>
      </w:r>
      <w:r w:rsidR="00322E94" w:rsidRPr="00C95471">
        <w:rPr>
          <w:rFonts w:asciiTheme="majorHAnsi" w:hAnsiTheme="majorHAnsi" w:cstheme="majorHAnsi"/>
          <w:sz w:val="24"/>
          <w:szCs w:val="24"/>
          <w:shd w:val="clear" w:color="auto" w:fill="FFFFFF"/>
        </w:rPr>
        <w:t xml:space="preserve"> over the low rate of prosecution of security officers for extra-judicial killings and excessive use of force.</w:t>
      </w:r>
    </w:p>
    <w:p w14:paraId="4F3ED86E" w14:textId="77777777" w:rsidR="003222B3" w:rsidRPr="00C95471" w:rsidRDefault="003222B3" w:rsidP="00C95471">
      <w:pPr>
        <w:pStyle w:val="Heading1"/>
      </w:pPr>
      <w:bookmarkStart w:id="26" w:name="_Toc50984449"/>
      <w:r w:rsidRPr="00C95471">
        <w:t>Prohibition of torture and other cruel, inhuman or degrading treatment or punishment and treatment of persons deprived of their liberty (arts. 7 and 10)</w:t>
      </w:r>
      <w:bookmarkEnd w:id="26"/>
    </w:p>
    <w:p w14:paraId="3901CBB4" w14:textId="572D14D1" w:rsidR="00FE2644" w:rsidRPr="00C95471" w:rsidRDefault="00FE2644" w:rsidP="00C95471">
      <w:pPr>
        <w:pStyle w:val="Heading2"/>
        <w:numPr>
          <w:ilvl w:val="0"/>
          <w:numId w:val="32"/>
        </w:numPr>
        <w:rPr>
          <w:rFonts w:eastAsiaTheme="minorHAnsi"/>
        </w:rPr>
      </w:pPr>
      <w:bookmarkStart w:id="27" w:name="_Toc50984450"/>
      <w:r w:rsidRPr="00C95471">
        <w:t>Prevention of torture</w:t>
      </w:r>
      <w:bookmarkEnd w:id="27"/>
    </w:p>
    <w:p w14:paraId="68B7D63F" w14:textId="7A9BCFB1" w:rsidR="00121316" w:rsidRPr="00C95471" w:rsidRDefault="000F6E0D"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Prosecution under t</w:t>
      </w:r>
      <w:r w:rsidR="00536BF1" w:rsidRPr="00C95471">
        <w:rPr>
          <w:rFonts w:asciiTheme="majorHAnsi" w:hAnsiTheme="majorHAnsi" w:cstheme="majorHAnsi"/>
          <w:sz w:val="24"/>
          <w:szCs w:val="24"/>
          <w:shd w:val="clear" w:color="auto" w:fill="FFFFFF"/>
        </w:rPr>
        <w:t>he Prevention of Torture Act</w:t>
      </w:r>
      <w:r w:rsidR="00256398" w:rsidRPr="00C95471">
        <w:rPr>
          <w:rFonts w:asciiTheme="majorHAnsi" w:hAnsiTheme="majorHAnsi" w:cstheme="majorHAnsi"/>
          <w:sz w:val="24"/>
          <w:szCs w:val="24"/>
          <w:shd w:val="clear" w:color="auto" w:fill="FFFFFF"/>
        </w:rPr>
        <w:t xml:space="preserve">, </w:t>
      </w:r>
      <w:r w:rsidR="00364140" w:rsidRPr="00C95471">
        <w:rPr>
          <w:rFonts w:asciiTheme="majorHAnsi" w:hAnsiTheme="majorHAnsi" w:cstheme="majorHAnsi"/>
          <w:sz w:val="24"/>
          <w:szCs w:val="24"/>
          <w:shd w:val="clear" w:color="auto" w:fill="FFFFFF"/>
        </w:rPr>
        <w:t>2017 remains</w:t>
      </w:r>
      <w:r w:rsidRPr="00C95471">
        <w:rPr>
          <w:rFonts w:asciiTheme="majorHAnsi" w:hAnsiTheme="majorHAnsi" w:cstheme="majorHAnsi"/>
          <w:sz w:val="24"/>
          <w:szCs w:val="24"/>
          <w:shd w:val="clear" w:color="auto" w:fill="FFFFFF"/>
        </w:rPr>
        <w:t xml:space="preserve"> </w:t>
      </w:r>
      <w:r w:rsidR="00121316" w:rsidRPr="00C95471">
        <w:rPr>
          <w:rFonts w:asciiTheme="majorHAnsi" w:hAnsiTheme="majorHAnsi" w:cstheme="majorHAnsi"/>
          <w:sz w:val="24"/>
          <w:szCs w:val="24"/>
          <w:shd w:val="clear" w:color="auto" w:fill="FFFFFF"/>
        </w:rPr>
        <w:t>minimal</w:t>
      </w:r>
      <w:r w:rsidRPr="00C95471">
        <w:rPr>
          <w:rFonts w:asciiTheme="majorHAnsi" w:hAnsiTheme="majorHAnsi" w:cstheme="majorHAnsi"/>
          <w:sz w:val="24"/>
          <w:szCs w:val="24"/>
          <w:shd w:val="clear" w:color="auto" w:fill="FFFFFF"/>
        </w:rPr>
        <w:t>, with preference being made under the Penal Code instead</w:t>
      </w:r>
      <w:r w:rsidR="00121316" w:rsidRPr="00C95471">
        <w:rPr>
          <w:rFonts w:asciiTheme="majorHAnsi" w:hAnsiTheme="majorHAnsi" w:cstheme="majorHAnsi"/>
          <w:sz w:val="24"/>
          <w:szCs w:val="24"/>
          <w:shd w:val="clear" w:color="auto" w:fill="FFFFFF"/>
        </w:rPr>
        <w:t xml:space="preserve"> of the Prevention of Torture Act</w:t>
      </w:r>
      <w:r w:rsidRPr="00C95471">
        <w:rPr>
          <w:rFonts w:asciiTheme="majorHAnsi" w:hAnsiTheme="majorHAnsi" w:cstheme="majorHAnsi"/>
          <w:sz w:val="24"/>
          <w:szCs w:val="24"/>
          <w:shd w:val="clear" w:color="auto" w:fill="FFFFFF"/>
        </w:rPr>
        <w:t xml:space="preserve">. </w:t>
      </w:r>
      <w:r w:rsidR="00121316" w:rsidRPr="00C95471">
        <w:rPr>
          <w:rFonts w:asciiTheme="majorHAnsi" w:hAnsiTheme="majorHAnsi" w:cstheme="majorHAnsi"/>
          <w:sz w:val="24"/>
          <w:szCs w:val="24"/>
          <w:shd w:val="clear" w:color="auto" w:fill="FFFFFF"/>
        </w:rPr>
        <w:t xml:space="preserve">Some of the challenges have included limited awareness among the justice actors including the police, the judiciary and even members of public; multiple investigative agencies under the Act </w:t>
      </w:r>
      <w:r w:rsidR="00D326A1" w:rsidRPr="00C95471">
        <w:rPr>
          <w:rFonts w:asciiTheme="majorHAnsi" w:hAnsiTheme="majorHAnsi" w:cstheme="majorHAnsi"/>
          <w:sz w:val="24"/>
          <w:szCs w:val="24"/>
          <w:shd w:val="clear" w:color="auto" w:fill="FFFFFF"/>
        </w:rPr>
        <w:t xml:space="preserve">(section 13) </w:t>
      </w:r>
      <w:r w:rsidR="00121316" w:rsidRPr="00C95471">
        <w:rPr>
          <w:rFonts w:asciiTheme="majorHAnsi" w:hAnsiTheme="majorHAnsi" w:cstheme="majorHAnsi"/>
          <w:sz w:val="24"/>
          <w:szCs w:val="24"/>
          <w:shd w:val="clear" w:color="auto" w:fill="FFFFFF"/>
        </w:rPr>
        <w:t xml:space="preserve">which further conflates the investigative processes. </w:t>
      </w:r>
      <w:r w:rsidR="00D326A1" w:rsidRPr="00C95471">
        <w:rPr>
          <w:rFonts w:asciiTheme="majorHAnsi" w:hAnsiTheme="majorHAnsi" w:cstheme="majorHAnsi"/>
          <w:sz w:val="24"/>
          <w:szCs w:val="24"/>
          <w:shd w:val="clear" w:color="auto" w:fill="FFFFFF"/>
        </w:rPr>
        <w:t xml:space="preserve">The KNCHR has oversight mandate under section 12 of the Act. However, the Commission has faced various challenges in the oversight role including </w:t>
      </w:r>
      <w:r w:rsidR="00AC47A6" w:rsidRPr="00C95471">
        <w:rPr>
          <w:rFonts w:asciiTheme="majorHAnsi" w:hAnsiTheme="majorHAnsi" w:cstheme="majorHAnsi"/>
          <w:sz w:val="24"/>
          <w:szCs w:val="24"/>
          <w:shd w:val="clear" w:color="auto" w:fill="FFFFFF"/>
        </w:rPr>
        <w:t>limited funding, limited access to places of detention as well as the challenge of Coordination of the investigative and prosecution powers amongst the relevant agencies; under section 13(2)(6) of the Act, KNCHR would still forward the matter to the police for investigations and investigation procedures under the National Police Service Act and the Independent Policing Oversight Authority to apply</w:t>
      </w:r>
      <w:r w:rsidR="003C22ED" w:rsidRPr="00C95471">
        <w:rPr>
          <w:rFonts w:asciiTheme="majorHAnsi" w:hAnsiTheme="majorHAnsi" w:cstheme="majorHAnsi"/>
          <w:sz w:val="24"/>
          <w:szCs w:val="24"/>
          <w:shd w:val="clear" w:color="auto" w:fill="FFFFFF"/>
        </w:rPr>
        <w:t xml:space="preserve">.  In view of these </w:t>
      </w:r>
      <w:r w:rsidR="00322E94" w:rsidRPr="00C95471">
        <w:rPr>
          <w:rFonts w:asciiTheme="majorHAnsi" w:hAnsiTheme="majorHAnsi" w:cstheme="majorHAnsi"/>
          <w:sz w:val="24"/>
          <w:szCs w:val="24"/>
          <w:shd w:val="clear" w:color="auto" w:fill="FFFFFF"/>
        </w:rPr>
        <w:t>bottlenecks</w:t>
      </w:r>
      <w:r w:rsidR="003C22ED" w:rsidRPr="00C95471">
        <w:rPr>
          <w:rFonts w:asciiTheme="majorHAnsi" w:hAnsiTheme="majorHAnsi" w:cstheme="majorHAnsi"/>
          <w:sz w:val="24"/>
          <w:szCs w:val="24"/>
          <w:shd w:val="clear" w:color="auto" w:fill="FFFFFF"/>
        </w:rPr>
        <w:t>, the Commission has engaged with the Office of the Attorney General and Department of Justice, IPOA</w:t>
      </w:r>
      <w:r w:rsidR="00322E94" w:rsidRPr="00C95471">
        <w:rPr>
          <w:rFonts w:asciiTheme="majorHAnsi" w:hAnsiTheme="majorHAnsi" w:cstheme="majorHAnsi"/>
          <w:sz w:val="24"/>
          <w:szCs w:val="24"/>
          <w:shd w:val="clear" w:color="auto" w:fill="FFFFFF"/>
        </w:rPr>
        <w:t>, DPP</w:t>
      </w:r>
      <w:r w:rsidR="003C22ED" w:rsidRPr="00C95471">
        <w:rPr>
          <w:rFonts w:asciiTheme="majorHAnsi" w:hAnsiTheme="majorHAnsi" w:cstheme="majorHAnsi"/>
          <w:sz w:val="24"/>
          <w:szCs w:val="24"/>
          <w:shd w:val="clear" w:color="auto" w:fill="FFFFFF"/>
        </w:rPr>
        <w:t xml:space="preserve"> and other stakeholders on ways to effectively ensure implementation of the Act.</w:t>
      </w:r>
    </w:p>
    <w:p w14:paraId="22AB92DD" w14:textId="61AA94B2" w:rsidR="00505D9F" w:rsidRPr="00C95471" w:rsidRDefault="00505D9F"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lastRenderedPageBreak/>
        <w:t xml:space="preserve">In terms of reparations, </w:t>
      </w:r>
      <w:r w:rsidR="00F253F0" w:rsidRPr="00C95471">
        <w:rPr>
          <w:rFonts w:asciiTheme="majorHAnsi" w:hAnsiTheme="majorHAnsi" w:cstheme="majorHAnsi"/>
          <w:sz w:val="24"/>
          <w:szCs w:val="24"/>
          <w:shd w:val="clear" w:color="auto" w:fill="FFFFFF"/>
        </w:rPr>
        <w:t xml:space="preserve">the formulation </w:t>
      </w:r>
      <w:r w:rsidR="00D73128" w:rsidRPr="00C95471">
        <w:rPr>
          <w:rFonts w:asciiTheme="majorHAnsi" w:hAnsiTheme="majorHAnsi" w:cstheme="majorHAnsi"/>
          <w:sz w:val="24"/>
          <w:szCs w:val="24"/>
          <w:shd w:val="clear" w:color="auto" w:fill="FFFFFF"/>
        </w:rPr>
        <w:t>of the</w:t>
      </w:r>
      <w:r w:rsidR="00F253F0" w:rsidRPr="00C95471">
        <w:rPr>
          <w:rFonts w:asciiTheme="majorHAnsi" w:hAnsiTheme="majorHAnsi" w:cstheme="majorHAnsi"/>
          <w:sz w:val="24"/>
          <w:szCs w:val="24"/>
          <w:shd w:val="clear" w:color="auto" w:fill="FFFFFF"/>
        </w:rPr>
        <w:t xml:space="preserve"> Victim Protection Trust Fund Regulations is yet to be finalised so as </w:t>
      </w:r>
      <w:r w:rsidR="00D326A1" w:rsidRPr="00C95471">
        <w:rPr>
          <w:rFonts w:asciiTheme="majorHAnsi" w:hAnsiTheme="majorHAnsi" w:cstheme="majorHAnsi"/>
          <w:sz w:val="24"/>
          <w:szCs w:val="24"/>
          <w:shd w:val="clear" w:color="auto" w:fill="FFFFFF"/>
        </w:rPr>
        <w:t>to pave</w:t>
      </w:r>
      <w:r w:rsidR="00F253F0" w:rsidRPr="00C95471">
        <w:rPr>
          <w:rFonts w:asciiTheme="majorHAnsi" w:hAnsiTheme="majorHAnsi" w:cstheme="majorHAnsi"/>
          <w:sz w:val="24"/>
          <w:szCs w:val="24"/>
          <w:shd w:val="clear" w:color="auto" w:fill="FFFFFF"/>
        </w:rPr>
        <w:t xml:space="preserve"> way for compensation. The Commission continues to urge for the fast-tracking of these regulations.</w:t>
      </w:r>
    </w:p>
    <w:p w14:paraId="6A6EE6E4" w14:textId="6CFABD06" w:rsidR="00AC6394" w:rsidRPr="00C95471" w:rsidRDefault="00EF3F08"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The National Coroners Service Act</w:t>
      </w:r>
      <w:r w:rsidR="0051465C" w:rsidRPr="00C95471">
        <w:rPr>
          <w:rFonts w:asciiTheme="majorHAnsi" w:hAnsiTheme="majorHAnsi" w:cstheme="majorHAnsi"/>
          <w:sz w:val="24"/>
          <w:szCs w:val="24"/>
          <w:shd w:val="clear" w:color="auto" w:fill="FFFFFF"/>
        </w:rPr>
        <w:t xml:space="preserve">, 2017 </w:t>
      </w:r>
      <w:r w:rsidRPr="00C95471">
        <w:rPr>
          <w:rFonts w:asciiTheme="majorHAnsi" w:hAnsiTheme="majorHAnsi" w:cstheme="majorHAnsi"/>
          <w:sz w:val="24"/>
          <w:szCs w:val="24"/>
          <w:shd w:val="clear" w:color="auto" w:fill="FFFFFF"/>
        </w:rPr>
        <w:t xml:space="preserve">provides for a coroner’s office to conduct independent investigations into the cause of suspicious deaths in the country. Despite the robust law, the same is yet to be </w:t>
      </w:r>
      <w:r w:rsidR="000F6E0D" w:rsidRPr="00C95471">
        <w:rPr>
          <w:rFonts w:asciiTheme="majorHAnsi" w:hAnsiTheme="majorHAnsi" w:cstheme="majorHAnsi"/>
          <w:sz w:val="24"/>
          <w:szCs w:val="24"/>
          <w:shd w:val="clear" w:color="auto" w:fill="FFFFFF"/>
        </w:rPr>
        <w:t xml:space="preserve">operationalised. The appointment of the coroner is yet to be made. </w:t>
      </w:r>
      <w:r w:rsidR="0051465C" w:rsidRPr="00C95471">
        <w:rPr>
          <w:rFonts w:asciiTheme="majorHAnsi" w:hAnsiTheme="majorHAnsi" w:cstheme="majorHAnsi"/>
          <w:sz w:val="24"/>
          <w:szCs w:val="24"/>
          <w:shd w:val="clear" w:color="auto" w:fill="FFFFFF"/>
        </w:rPr>
        <w:t xml:space="preserve">The judgment of the Court in George </w:t>
      </w:r>
      <w:proofErr w:type="spellStart"/>
      <w:r w:rsidR="0051465C" w:rsidRPr="00C95471">
        <w:rPr>
          <w:rFonts w:asciiTheme="majorHAnsi" w:hAnsiTheme="majorHAnsi" w:cstheme="majorHAnsi"/>
          <w:sz w:val="24"/>
          <w:szCs w:val="24"/>
          <w:shd w:val="clear" w:color="auto" w:fill="FFFFFF"/>
        </w:rPr>
        <w:t>Baala</w:t>
      </w:r>
      <w:proofErr w:type="spellEnd"/>
      <w:r w:rsidR="0051465C" w:rsidRPr="00C95471">
        <w:rPr>
          <w:rFonts w:asciiTheme="majorHAnsi" w:hAnsiTheme="majorHAnsi" w:cstheme="majorHAnsi"/>
          <w:sz w:val="24"/>
          <w:szCs w:val="24"/>
          <w:shd w:val="clear" w:color="auto" w:fill="FFFFFF"/>
        </w:rPr>
        <w:t xml:space="preserve"> </w:t>
      </w:r>
      <w:r w:rsidR="00322E94" w:rsidRPr="00C95471">
        <w:rPr>
          <w:rFonts w:asciiTheme="majorHAnsi" w:hAnsiTheme="majorHAnsi" w:cstheme="majorHAnsi"/>
          <w:sz w:val="24"/>
          <w:szCs w:val="24"/>
          <w:shd w:val="clear" w:color="auto" w:fill="FFFFFF"/>
        </w:rPr>
        <w:t>case</w:t>
      </w:r>
      <w:r w:rsidR="00322E94" w:rsidRPr="00C95471">
        <w:rPr>
          <w:rFonts w:asciiTheme="majorHAnsi" w:hAnsiTheme="majorHAnsi" w:cstheme="majorHAnsi"/>
          <w:sz w:val="24"/>
          <w:szCs w:val="24"/>
          <w:shd w:val="clear" w:color="auto" w:fill="FFFFFF"/>
          <w:vertAlign w:val="superscript"/>
        </w:rPr>
        <w:footnoteReference w:id="85"/>
      </w:r>
      <w:r w:rsidR="00322E94" w:rsidRPr="00C95471">
        <w:rPr>
          <w:rFonts w:asciiTheme="majorHAnsi" w:hAnsiTheme="majorHAnsi" w:cstheme="majorHAnsi"/>
          <w:sz w:val="24"/>
          <w:szCs w:val="24"/>
          <w:shd w:val="clear" w:color="auto" w:fill="FFFFFF"/>
        </w:rPr>
        <w:t xml:space="preserve"> </w:t>
      </w:r>
      <w:r w:rsidR="00364140" w:rsidRPr="00C95471">
        <w:rPr>
          <w:rFonts w:asciiTheme="majorHAnsi" w:hAnsiTheme="majorHAnsi" w:cstheme="majorHAnsi"/>
          <w:sz w:val="24"/>
          <w:szCs w:val="24"/>
          <w:shd w:val="clear" w:color="auto" w:fill="FFFFFF"/>
        </w:rPr>
        <w:t>of 23</w:t>
      </w:r>
      <w:r w:rsidR="0051465C" w:rsidRPr="00C95471">
        <w:rPr>
          <w:rFonts w:asciiTheme="majorHAnsi" w:hAnsiTheme="majorHAnsi" w:cstheme="majorHAnsi"/>
          <w:sz w:val="24"/>
          <w:szCs w:val="24"/>
          <w:shd w:val="clear" w:color="auto" w:fill="FFFFFF"/>
        </w:rPr>
        <w:t>rd January 2017 stated that the Attorney General was not a cabinet secretary. This has implication on operationalisation of several Acts including the National Coroners Service</w:t>
      </w:r>
      <w:r w:rsidR="00322E94" w:rsidRPr="00C95471">
        <w:rPr>
          <w:rFonts w:asciiTheme="majorHAnsi" w:hAnsiTheme="majorHAnsi" w:cstheme="majorHAnsi"/>
          <w:sz w:val="24"/>
          <w:szCs w:val="24"/>
          <w:shd w:val="clear" w:color="auto" w:fill="FFFFFF"/>
        </w:rPr>
        <w:t xml:space="preserve"> in as far as appointment of the coroner general is concerned.</w:t>
      </w:r>
    </w:p>
    <w:p w14:paraId="52F9DC4D" w14:textId="381F4F36" w:rsidR="00EE1216" w:rsidRPr="00C95471" w:rsidRDefault="00EE1216"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With regards to awareness raising on the provisions of the Acts, the Commission has developed an abridged version of the Prevention of Torture Act and the National Coroners Service Act</w:t>
      </w:r>
      <w:r w:rsidR="00322E94" w:rsidRPr="00C95471">
        <w:rPr>
          <w:rFonts w:asciiTheme="majorHAnsi" w:hAnsiTheme="majorHAnsi" w:cstheme="majorHAnsi"/>
          <w:sz w:val="24"/>
          <w:szCs w:val="24"/>
          <w:shd w:val="clear" w:color="auto" w:fill="FFFFFF"/>
          <w:vertAlign w:val="superscript"/>
        </w:rPr>
        <w:footnoteReference w:id="86"/>
      </w:r>
      <w:r w:rsidR="00C95471">
        <w:rPr>
          <w:rFonts w:asciiTheme="majorHAnsi" w:hAnsiTheme="majorHAnsi" w:cstheme="majorHAnsi"/>
          <w:sz w:val="24"/>
          <w:szCs w:val="24"/>
          <w:shd w:val="clear" w:color="auto" w:fill="FFFFFF"/>
        </w:rPr>
        <w:t>.</w:t>
      </w:r>
      <w:r w:rsidRPr="00C95471">
        <w:rPr>
          <w:rFonts w:asciiTheme="majorHAnsi" w:hAnsiTheme="majorHAnsi" w:cstheme="majorHAnsi"/>
          <w:sz w:val="24"/>
          <w:szCs w:val="24"/>
          <w:shd w:val="clear" w:color="auto" w:fill="FFFFFF"/>
        </w:rPr>
        <w:t xml:space="preserve"> The Commission has further collaborated with the Kenya School of Government has developed a manual for training of public officers on the provisions of the Prevention of Torture Act.</w:t>
      </w:r>
    </w:p>
    <w:p w14:paraId="093A99CF" w14:textId="08558481" w:rsidR="0051465C" w:rsidRPr="00C95471" w:rsidRDefault="0051465C"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In the third cycle of the review of Republic of </w:t>
      </w:r>
      <w:r w:rsidR="00DE2A4D" w:rsidRPr="00C95471">
        <w:rPr>
          <w:rFonts w:asciiTheme="majorHAnsi" w:hAnsiTheme="majorHAnsi" w:cstheme="majorHAnsi"/>
          <w:sz w:val="24"/>
          <w:szCs w:val="24"/>
          <w:shd w:val="clear" w:color="auto" w:fill="FFFFFF"/>
        </w:rPr>
        <w:t xml:space="preserve">Kenya, similar to the previous cycles, </w:t>
      </w:r>
      <w:r w:rsidRPr="00C95471">
        <w:rPr>
          <w:rFonts w:asciiTheme="majorHAnsi" w:hAnsiTheme="majorHAnsi" w:cstheme="majorHAnsi"/>
          <w:sz w:val="24"/>
          <w:szCs w:val="24"/>
          <w:shd w:val="clear" w:color="auto" w:fill="FFFFFF"/>
        </w:rPr>
        <w:t>the State noted recommendations to accede to the Optional Protocol to the Convention against Torture and Other Cruel, Inhuman or Degrading Treatment or Punishment.</w:t>
      </w:r>
    </w:p>
    <w:p w14:paraId="3B9CA2ED" w14:textId="77777777" w:rsidR="002737E6" w:rsidRPr="00C95471" w:rsidRDefault="002737E6" w:rsidP="00C95471">
      <w:pPr>
        <w:pStyle w:val="Heading2"/>
        <w:rPr>
          <w:rFonts w:eastAsia="Calibri"/>
        </w:rPr>
      </w:pPr>
      <w:bookmarkStart w:id="28" w:name="_Toc50984451"/>
      <w:r w:rsidRPr="00C95471">
        <w:rPr>
          <w:rFonts w:eastAsia="Calibri"/>
        </w:rPr>
        <w:t>Measures to reduce over-crowding in prisons</w:t>
      </w:r>
      <w:bookmarkEnd w:id="28"/>
    </w:p>
    <w:p w14:paraId="634B13CE" w14:textId="242EA07D" w:rsidR="00BD1E99" w:rsidRPr="00C95471" w:rsidRDefault="00BD1E99"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An audit of the criminal justice system published in 2016</w:t>
      </w:r>
      <w:r w:rsidRPr="00C95471">
        <w:rPr>
          <w:rFonts w:asciiTheme="majorHAnsi" w:hAnsiTheme="majorHAnsi" w:cstheme="majorHAnsi"/>
          <w:sz w:val="24"/>
          <w:szCs w:val="24"/>
          <w:shd w:val="clear" w:color="auto" w:fill="FFFFFF"/>
          <w:vertAlign w:val="superscript"/>
        </w:rPr>
        <w:footnoteReference w:id="87"/>
      </w:r>
      <w:r w:rsidRPr="00C95471">
        <w:rPr>
          <w:rFonts w:asciiTheme="majorHAnsi" w:hAnsiTheme="majorHAnsi" w:cstheme="majorHAnsi"/>
          <w:sz w:val="24"/>
          <w:szCs w:val="24"/>
          <w:shd w:val="clear" w:color="auto" w:fill="FFFFFF"/>
        </w:rPr>
        <w:t xml:space="preserve"> revealed among other things that 70% of the charges in court were petty offenses.  Further, that ‘</w:t>
      </w:r>
      <w:r w:rsidRPr="00C95471">
        <w:rPr>
          <w:rFonts w:asciiTheme="majorHAnsi" w:hAnsiTheme="majorHAnsi" w:cstheme="majorHAnsi"/>
          <w:i/>
          <w:iCs/>
          <w:sz w:val="24"/>
          <w:szCs w:val="24"/>
          <w:shd w:val="clear" w:color="auto" w:fill="FFFFFF"/>
        </w:rPr>
        <w:t>facilities holding persons deprived of their liberty are generally old, limited in space and dilapidated and majority of them were constructed during colonial time</w:t>
      </w:r>
      <w:r w:rsidRPr="00C95471">
        <w:rPr>
          <w:rFonts w:asciiTheme="majorHAnsi" w:hAnsiTheme="majorHAnsi" w:cstheme="majorHAnsi"/>
          <w:sz w:val="24"/>
          <w:szCs w:val="24"/>
          <w:shd w:val="clear" w:color="auto" w:fill="FFFFFF"/>
        </w:rPr>
        <w:t xml:space="preserve">’. </w:t>
      </w:r>
    </w:p>
    <w:p w14:paraId="03233FBC" w14:textId="4050431C" w:rsidR="00EF3F08" w:rsidRPr="00C95471" w:rsidRDefault="00EF3F08"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lastRenderedPageBreak/>
        <w:t>During the reporting period, actors within the Criminal Justice Sector coordinated under the National Council on Administration of Justice have come up with measures towards addressing overcrowding</w:t>
      </w:r>
      <w:r w:rsidR="00BD1E99" w:rsidRPr="00C95471">
        <w:rPr>
          <w:rFonts w:asciiTheme="majorHAnsi" w:hAnsiTheme="majorHAnsi" w:cstheme="majorHAnsi"/>
          <w:sz w:val="24"/>
          <w:szCs w:val="24"/>
          <w:shd w:val="clear" w:color="auto" w:fill="FFFFFF"/>
        </w:rPr>
        <w:t xml:space="preserve">, including </w:t>
      </w:r>
      <w:r w:rsidRPr="00C95471">
        <w:rPr>
          <w:rFonts w:asciiTheme="majorHAnsi" w:hAnsiTheme="majorHAnsi" w:cstheme="majorHAnsi"/>
          <w:sz w:val="24"/>
          <w:szCs w:val="24"/>
          <w:shd w:val="clear" w:color="auto" w:fill="FFFFFF"/>
        </w:rPr>
        <w:t>construction of new prisons and detention facilities;</w:t>
      </w:r>
      <w:r w:rsidR="002737E6" w:rsidRPr="00C95471">
        <w:rPr>
          <w:rFonts w:asciiTheme="majorHAnsi" w:hAnsiTheme="majorHAnsi" w:cstheme="majorHAnsi"/>
          <w:sz w:val="24"/>
          <w:szCs w:val="24"/>
          <w:shd w:val="clear" w:color="auto" w:fill="FFFFFF"/>
        </w:rPr>
        <w:t xml:space="preserve"> implementation of the Bail and Bond Policy; formation of the National Committee on Criminal Justice Reforms; and implementation of the sentencing policy through the use of non-custodial measures such as community service orders.</w:t>
      </w:r>
    </w:p>
    <w:p w14:paraId="7A50B668" w14:textId="3A8419A0" w:rsidR="002737E6" w:rsidRPr="00C95471" w:rsidRDefault="002737E6"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In the State of Judiciary and Administration of Justice Report (2016-2017), it was reported that a total of 11,011 probation investigations were made and 6910 offenders were placed on probation orders. On community service orders a total of 34,665 cases were referred for community service pre-sentence reports out of which 33,486 offenders were found suitable to serve their sentence under Community Service Orders. </w:t>
      </w:r>
    </w:p>
    <w:p w14:paraId="0572ACF2" w14:textId="55343F23" w:rsidR="002737E6" w:rsidRPr="00C95471" w:rsidRDefault="002737E6"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However, the probation and aftercare service department reported that most offenders were placed on one day community service orders thus not putting enough time to work. Additionally, the department recorded cases where offenders absconded in totality</w:t>
      </w:r>
      <w:r w:rsidRPr="00C95471">
        <w:rPr>
          <w:rFonts w:asciiTheme="majorHAnsi" w:hAnsiTheme="majorHAnsi" w:cstheme="majorHAnsi"/>
          <w:sz w:val="24"/>
          <w:szCs w:val="24"/>
          <w:shd w:val="clear" w:color="auto" w:fill="FFFFFF"/>
          <w:vertAlign w:val="superscript"/>
        </w:rPr>
        <w:footnoteReference w:id="88"/>
      </w:r>
      <w:r w:rsidR="00C95471">
        <w:rPr>
          <w:rFonts w:asciiTheme="majorHAnsi" w:hAnsiTheme="majorHAnsi" w:cstheme="majorHAnsi"/>
          <w:sz w:val="24"/>
          <w:szCs w:val="24"/>
          <w:shd w:val="clear" w:color="auto" w:fill="FFFFFF"/>
        </w:rPr>
        <w:t>.</w:t>
      </w:r>
    </w:p>
    <w:p w14:paraId="1B617F62" w14:textId="77777777" w:rsidR="00AC6394" w:rsidRPr="00D2757F" w:rsidRDefault="00AC6394" w:rsidP="00D2757F">
      <w:pPr>
        <w:pStyle w:val="Heading1"/>
      </w:pPr>
      <w:bookmarkStart w:id="29" w:name="_Toc50984452"/>
      <w:r w:rsidRPr="00D2757F">
        <w:t>Liberty and security of person (art. 9)</w:t>
      </w:r>
      <w:bookmarkEnd w:id="29"/>
    </w:p>
    <w:p w14:paraId="34F0AA1A" w14:textId="77777777" w:rsidR="00C95471" w:rsidRDefault="00FF279F"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The punishment of petty offences through arbitrary arrests has not only violated the freedom and security of the person but also created a panacea for the violation of human rights of especially the poor, marginalized and vulnerable people. They seem to punish the status of the person. The National Committee on Criminal Justice Reforms has in the period prepared policy briefs recommending review, amendment or repeal of the laws and policies. The legislation that requires various amendments include: </w:t>
      </w:r>
      <w:r w:rsidR="00C95471" w:rsidRPr="00C95471">
        <w:rPr>
          <w:rFonts w:asciiTheme="majorHAnsi" w:hAnsiTheme="majorHAnsi" w:cstheme="majorHAnsi"/>
          <w:sz w:val="24"/>
          <w:szCs w:val="24"/>
          <w:shd w:val="clear" w:color="auto" w:fill="FFFFFF"/>
        </w:rPr>
        <w:t>The</w:t>
      </w:r>
      <w:r w:rsidRPr="00C95471">
        <w:rPr>
          <w:rFonts w:asciiTheme="majorHAnsi" w:hAnsiTheme="majorHAnsi" w:cstheme="majorHAnsi"/>
          <w:sz w:val="24"/>
          <w:szCs w:val="24"/>
          <w:shd w:val="clear" w:color="auto" w:fill="FFFFFF"/>
        </w:rPr>
        <w:t xml:space="preserve"> Penal Code, The Narcotics and Psychotropic Substances (Control) Act, Kisumu, Mombasa and Nairobi Counties’ By-Laws, among others. Notably petty </w:t>
      </w:r>
      <w:r w:rsidRPr="00C95471">
        <w:rPr>
          <w:rFonts w:asciiTheme="majorHAnsi" w:hAnsiTheme="majorHAnsi" w:cstheme="majorHAnsi"/>
          <w:sz w:val="24"/>
          <w:szCs w:val="24"/>
          <w:shd w:val="clear" w:color="auto" w:fill="FFFFFF"/>
        </w:rPr>
        <w:lastRenderedPageBreak/>
        <w:t>offences are linked to socio-economic issues thus need for an integrated societal approach towards tackling the issue.</w:t>
      </w:r>
    </w:p>
    <w:p w14:paraId="3F2728E5" w14:textId="761CEF13" w:rsidR="00AC6394" w:rsidRPr="00C95471" w:rsidRDefault="00AC6394" w:rsidP="009A092F">
      <w:pPr>
        <w:pStyle w:val="Heading1"/>
      </w:pPr>
      <w:bookmarkStart w:id="30" w:name="_Toc50984453"/>
      <w:r w:rsidRPr="00C95471">
        <w:t>Elimination of slavery, servitude and trafficking in persons (arts. 2, 6, 7, 8, 24 and 26)</w:t>
      </w:r>
      <w:bookmarkEnd w:id="30"/>
    </w:p>
    <w:p w14:paraId="5C58BCFF" w14:textId="7ABBB41B" w:rsidR="00C309C4" w:rsidRPr="00C95471" w:rsidRDefault="00AC6394"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Following the enactment of the Counter-Trafficking in Persons Act, 2010, the government constituted and launched the Counter-Trafficking in Persons Advis</w:t>
      </w:r>
      <w:r w:rsidR="00C309C4" w:rsidRPr="00C95471">
        <w:rPr>
          <w:rFonts w:asciiTheme="majorHAnsi" w:hAnsiTheme="majorHAnsi" w:cstheme="majorHAnsi"/>
          <w:sz w:val="24"/>
          <w:szCs w:val="24"/>
          <w:shd w:val="clear" w:color="auto" w:fill="FFFFFF"/>
        </w:rPr>
        <w:t>ory Committee which</w:t>
      </w:r>
      <w:r w:rsidRPr="00C95471">
        <w:rPr>
          <w:rFonts w:asciiTheme="majorHAnsi" w:hAnsiTheme="majorHAnsi" w:cstheme="majorHAnsi"/>
          <w:sz w:val="24"/>
          <w:szCs w:val="24"/>
          <w:shd w:val="clear" w:color="auto" w:fill="FFFFFF"/>
        </w:rPr>
        <w:t xml:space="preserve"> has spearheaded the development of the National Plan of Action for Combatting Human Trafficking 2013-2017</w:t>
      </w:r>
      <w:r w:rsidR="00C309C4" w:rsidRPr="00C95471">
        <w:rPr>
          <w:rFonts w:asciiTheme="majorHAnsi" w:hAnsiTheme="majorHAnsi" w:cstheme="majorHAnsi"/>
          <w:sz w:val="24"/>
          <w:szCs w:val="24"/>
          <w:shd w:val="clear" w:color="auto" w:fill="FFFFFF"/>
        </w:rPr>
        <w:t>.</w:t>
      </w:r>
    </w:p>
    <w:p w14:paraId="5933099D" w14:textId="3642B052" w:rsidR="00AC6394" w:rsidRPr="00C95471" w:rsidRDefault="00C309C4"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The Advisory Committee has</w:t>
      </w:r>
      <w:r w:rsidR="00AC6394" w:rsidRPr="00C95471">
        <w:rPr>
          <w:rFonts w:asciiTheme="majorHAnsi" w:hAnsiTheme="majorHAnsi" w:cstheme="majorHAnsi"/>
          <w:sz w:val="24"/>
          <w:szCs w:val="24"/>
          <w:shd w:val="clear" w:color="auto" w:fill="FFFFFF"/>
        </w:rPr>
        <w:t xml:space="preserve"> put in place a data collection mechanism to improve tracking of anti-trafficking initiatives across all 47 counties. The r</w:t>
      </w:r>
      <w:r w:rsidRPr="00C95471">
        <w:rPr>
          <w:rFonts w:asciiTheme="majorHAnsi" w:hAnsiTheme="majorHAnsi" w:cstheme="majorHAnsi"/>
          <w:sz w:val="24"/>
          <w:szCs w:val="24"/>
          <w:shd w:val="clear" w:color="auto" w:fill="FFFFFF"/>
        </w:rPr>
        <w:t>eporting period has also seen</w:t>
      </w:r>
      <w:r w:rsidR="00AC6394" w:rsidRPr="00C95471">
        <w:rPr>
          <w:rFonts w:asciiTheme="majorHAnsi" w:hAnsiTheme="majorHAnsi" w:cstheme="majorHAnsi"/>
          <w:sz w:val="24"/>
          <w:szCs w:val="24"/>
          <w:shd w:val="clear" w:color="auto" w:fill="FFFFFF"/>
        </w:rPr>
        <w:t xml:space="preserve"> the development of new policies by the Ministry of Labour for persons seeking employment opportunities abroad to ensure that their work contracts meet minimum standards set out by the </w:t>
      </w:r>
      <w:r w:rsidR="00E438CD" w:rsidRPr="00C95471">
        <w:rPr>
          <w:rFonts w:asciiTheme="majorHAnsi" w:hAnsiTheme="majorHAnsi" w:cstheme="majorHAnsi"/>
          <w:sz w:val="24"/>
          <w:szCs w:val="24"/>
          <w:shd w:val="clear" w:color="auto" w:fill="FFFFFF"/>
        </w:rPr>
        <w:t>M</w:t>
      </w:r>
      <w:r w:rsidR="00AC6394" w:rsidRPr="00C95471">
        <w:rPr>
          <w:rFonts w:asciiTheme="majorHAnsi" w:hAnsiTheme="majorHAnsi" w:cstheme="majorHAnsi"/>
          <w:sz w:val="24"/>
          <w:szCs w:val="24"/>
          <w:shd w:val="clear" w:color="auto" w:fill="FFFFFF"/>
        </w:rPr>
        <w:t xml:space="preserve">inistry. The impact of this policy is yet to </w:t>
      </w:r>
      <w:r w:rsidR="005E6DE7" w:rsidRPr="00C95471">
        <w:rPr>
          <w:rFonts w:asciiTheme="majorHAnsi" w:hAnsiTheme="majorHAnsi" w:cstheme="majorHAnsi"/>
          <w:sz w:val="24"/>
          <w:szCs w:val="24"/>
          <w:shd w:val="clear" w:color="auto" w:fill="FFFFFF"/>
        </w:rPr>
        <w:t>be seen;</w:t>
      </w:r>
      <w:r w:rsidR="00AC6394" w:rsidRPr="00C95471">
        <w:rPr>
          <w:rFonts w:asciiTheme="majorHAnsi" w:hAnsiTheme="majorHAnsi" w:cstheme="majorHAnsi"/>
          <w:sz w:val="24"/>
          <w:szCs w:val="24"/>
          <w:shd w:val="clear" w:color="auto" w:fill="FFFFFF"/>
        </w:rPr>
        <w:t xml:space="preserve"> however, this marks an important step towards preventing trafficking of persons in Kenya overseas. In January 2020 the States of East and Horn of Africa discussed on Priority actions for effective Labour Migration Policy Development and Drafting, Negotiating and Implementation of Bilateral Labour Migration Agreements</w:t>
      </w:r>
      <w:r w:rsidR="00AC6394" w:rsidRPr="009A092F">
        <w:rPr>
          <w:rFonts w:asciiTheme="majorHAnsi" w:hAnsiTheme="majorHAnsi" w:cstheme="majorHAnsi"/>
          <w:sz w:val="24"/>
          <w:szCs w:val="24"/>
          <w:shd w:val="clear" w:color="auto" w:fill="FFFFFF"/>
          <w:vertAlign w:val="superscript"/>
        </w:rPr>
        <w:footnoteReference w:id="89"/>
      </w:r>
      <w:r w:rsidR="009A092F">
        <w:rPr>
          <w:rFonts w:asciiTheme="majorHAnsi" w:hAnsiTheme="majorHAnsi" w:cstheme="majorHAnsi"/>
          <w:sz w:val="24"/>
          <w:szCs w:val="24"/>
          <w:shd w:val="clear" w:color="auto" w:fill="FFFFFF"/>
        </w:rPr>
        <w:t>.</w:t>
      </w:r>
      <w:r w:rsidR="00AC6394" w:rsidRPr="00C95471">
        <w:rPr>
          <w:rFonts w:asciiTheme="majorHAnsi" w:hAnsiTheme="majorHAnsi" w:cstheme="majorHAnsi"/>
          <w:sz w:val="24"/>
          <w:szCs w:val="24"/>
          <w:shd w:val="clear" w:color="auto" w:fill="FFFFFF"/>
        </w:rPr>
        <w:t xml:space="preserve"> In addition, the National Employment Authority has a list of the recently accredited recruitment agencies; this ensures that those seeking employment abroad go through genuine agents</w:t>
      </w:r>
      <w:r w:rsidR="00AC6394" w:rsidRPr="009A092F">
        <w:rPr>
          <w:rFonts w:asciiTheme="majorHAnsi" w:hAnsiTheme="majorHAnsi" w:cstheme="majorHAnsi"/>
          <w:sz w:val="24"/>
          <w:szCs w:val="24"/>
          <w:shd w:val="clear" w:color="auto" w:fill="FFFFFF"/>
          <w:vertAlign w:val="superscript"/>
        </w:rPr>
        <w:footnoteReference w:id="90"/>
      </w:r>
      <w:r w:rsidR="009A092F">
        <w:rPr>
          <w:rFonts w:asciiTheme="majorHAnsi" w:hAnsiTheme="majorHAnsi" w:cstheme="majorHAnsi"/>
          <w:sz w:val="24"/>
          <w:szCs w:val="24"/>
          <w:shd w:val="clear" w:color="auto" w:fill="FFFFFF"/>
        </w:rPr>
        <w:t>.</w:t>
      </w:r>
    </w:p>
    <w:p w14:paraId="4B56944E" w14:textId="454FE548" w:rsidR="00AC6394" w:rsidRPr="00C95471" w:rsidRDefault="00AC6394"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 xml:space="preserve">The government has developed the national referral mechanism guidelines to assist stakeholders in referring victims of trafficking to assistance. In addition, the government for the first time allocated seven million shillings (USD 70,000) in the 2015/16 </w:t>
      </w:r>
      <w:r w:rsidR="004577EE" w:rsidRPr="00C95471">
        <w:rPr>
          <w:rFonts w:asciiTheme="majorHAnsi" w:hAnsiTheme="majorHAnsi" w:cstheme="majorHAnsi"/>
          <w:sz w:val="24"/>
          <w:szCs w:val="24"/>
          <w:shd w:val="clear" w:color="auto" w:fill="FFFFFF"/>
        </w:rPr>
        <w:t xml:space="preserve">financial year </w:t>
      </w:r>
      <w:r w:rsidRPr="00C95471">
        <w:rPr>
          <w:rFonts w:asciiTheme="majorHAnsi" w:hAnsiTheme="majorHAnsi" w:cstheme="majorHAnsi"/>
          <w:sz w:val="24"/>
          <w:szCs w:val="24"/>
          <w:shd w:val="clear" w:color="auto" w:fill="FFFFFF"/>
        </w:rPr>
        <w:t>towards the direct assistance of victims of trafficking through the Victims Assistance Fund. Given the magnitude of the problem in Kenya, more resources need to be allocated towards protection and assista</w:t>
      </w:r>
      <w:r w:rsidR="00FE2644" w:rsidRPr="00C95471">
        <w:rPr>
          <w:rFonts w:asciiTheme="majorHAnsi" w:hAnsiTheme="majorHAnsi" w:cstheme="majorHAnsi"/>
          <w:sz w:val="24"/>
          <w:szCs w:val="24"/>
          <w:shd w:val="clear" w:color="auto" w:fill="FFFFFF"/>
        </w:rPr>
        <w:t xml:space="preserve">nce of victims of trafficking. </w:t>
      </w:r>
    </w:p>
    <w:p w14:paraId="16E2D893" w14:textId="37D67F39" w:rsidR="00AC6394" w:rsidRPr="00C95471" w:rsidRDefault="00AC6394"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lastRenderedPageBreak/>
        <w:t xml:space="preserve">Prevention </w:t>
      </w:r>
      <w:r w:rsidR="004577EE" w:rsidRPr="00C95471">
        <w:rPr>
          <w:rFonts w:asciiTheme="majorHAnsi" w:hAnsiTheme="majorHAnsi" w:cstheme="majorHAnsi"/>
          <w:sz w:val="24"/>
          <w:szCs w:val="24"/>
          <w:shd w:val="clear" w:color="auto" w:fill="FFFFFF"/>
        </w:rPr>
        <w:t xml:space="preserve">efforts </w:t>
      </w:r>
      <w:r w:rsidRPr="00C95471">
        <w:rPr>
          <w:rFonts w:asciiTheme="majorHAnsi" w:hAnsiTheme="majorHAnsi" w:cstheme="majorHAnsi"/>
          <w:sz w:val="24"/>
          <w:szCs w:val="24"/>
          <w:shd w:val="clear" w:color="auto" w:fill="FFFFFF"/>
        </w:rPr>
        <w:t>have culminated in the development of standard operating procedures for prosecutors and training of approximately 50 trainers from key anti-trafficking officials. An immediate outcome of this initiative has been the increase in the number of prosecutions, approximately 762 prosecutions and 456 convictions. Through the activities of the Advisory Committee on Counter trafficking in persons in Kenya and the adherence to the National Plan of Action on Countering Human Trafficking, Kenya has improved from Tier 2 Watch List to Tier 2</w:t>
      </w:r>
      <w:r w:rsidRPr="009A092F">
        <w:rPr>
          <w:rFonts w:asciiTheme="majorHAnsi" w:hAnsiTheme="majorHAnsi" w:cstheme="majorHAnsi"/>
          <w:sz w:val="24"/>
          <w:szCs w:val="24"/>
          <w:shd w:val="clear" w:color="auto" w:fill="FFFFFF"/>
          <w:vertAlign w:val="superscript"/>
        </w:rPr>
        <w:footnoteReference w:id="91"/>
      </w:r>
      <w:r w:rsidR="009A092F">
        <w:rPr>
          <w:rFonts w:asciiTheme="majorHAnsi" w:hAnsiTheme="majorHAnsi" w:cstheme="majorHAnsi"/>
          <w:sz w:val="24"/>
          <w:szCs w:val="24"/>
          <w:shd w:val="clear" w:color="auto" w:fill="FFFFFF"/>
        </w:rPr>
        <w:t>.</w:t>
      </w:r>
      <w:r w:rsidRPr="00C95471">
        <w:rPr>
          <w:rFonts w:asciiTheme="majorHAnsi" w:hAnsiTheme="majorHAnsi" w:cstheme="majorHAnsi"/>
          <w:sz w:val="24"/>
          <w:szCs w:val="24"/>
          <w:shd w:val="clear" w:color="auto" w:fill="FFFFFF"/>
        </w:rPr>
        <w:t xml:space="preserve"> Nonetheless, reports of human trafficking cases are still rife.</w:t>
      </w:r>
    </w:p>
    <w:p w14:paraId="36ED7F91" w14:textId="1993CA65" w:rsidR="00AC6394" w:rsidRDefault="00AC6394" w:rsidP="00C95471">
      <w:pPr>
        <w:spacing w:before="240" w:after="240" w:line="360" w:lineRule="auto"/>
        <w:jc w:val="both"/>
        <w:rPr>
          <w:rFonts w:asciiTheme="majorHAnsi" w:hAnsiTheme="majorHAnsi" w:cstheme="majorHAnsi"/>
          <w:sz w:val="24"/>
          <w:szCs w:val="24"/>
          <w:shd w:val="clear" w:color="auto" w:fill="FFFFFF"/>
        </w:rPr>
      </w:pPr>
      <w:r w:rsidRPr="00C95471">
        <w:rPr>
          <w:rFonts w:asciiTheme="majorHAnsi" w:hAnsiTheme="majorHAnsi" w:cstheme="majorHAnsi"/>
          <w:sz w:val="24"/>
          <w:szCs w:val="24"/>
          <w:shd w:val="clear" w:color="auto" w:fill="FFFFFF"/>
        </w:rPr>
        <w:t>There are no specific measures put in place to protect persons with albinism from abduction, human trafficking and other discriminatory practices that jeopardise their life. Persons with albinism are protected like other members of the public by security agencies and the provisions of the Sexual Offences Act, Criminal Procedure Code (the framework for arrests and prosecutions) and Counter-Trafficking in Persons Act</w:t>
      </w:r>
      <w:r w:rsidRPr="009A092F">
        <w:rPr>
          <w:rFonts w:asciiTheme="majorHAnsi" w:hAnsiTheme="majorHAnsi" w:cstheme="majorHAnsi"/>
          <w:sz w:val="24"/>
          <w:szCs w:val="24"/>
          <w:shd w:val="clear" w:color="auto" w:fill="FFFFFF"/>
          <w:vertAlign w:val="superscript"/>
        </w:rPr>
        <w:footnoteReference w:id="92"/>
      </w:r>
      <w:r w:rsidR="009A092F">
        <w:rPr>
          <w:rFonts w:asciiTheme="majorHAnsi" w:hAnsiTheme="majorHAnsi" w:cstheme="majorHAnsi"/>
          <w:sz w:val="24"/>
          <w:szCs w:val="24"/>
          <w:shd w:val="clear" w:color="auto" w:fill="FFFFFF"/>
        </w:rPr>
        <w:t>.</w:t>
      </w:r>
      <w:r w:rsidRPr="00C95471">
        <w:rPr>
          <w:rFonts w:asciiTheme="majorHAnsi" w:hAnsiTheme="majorHAnsi" w:cstheme="majorHAnsi"/>
          <w:sz w:val="24"/>
          <w:szCs w:val="24"/>
          <w:shd w:val="clear" w:color="auto" w:fill="FFFFFF"/>
        </w:rPr>
        <w:t xml:space="preserve"> The Committee on the Rights of Persons with Disability in considering the initial report of Kenya has expressed concern on the different forms of violence against persons with albinism in particular girls and the absence of measures to protect, prosecute and convict perpetrators</w:t>
      </w:r>
      <w:r w:rsidRPr="009A092F">
        <w:rPr>
          <w:rFonts w:asciiTheme="majorHAnsi" w:hAnsiTheme="majorHAnsi" w:cstheme="majorHAnsi"/>
          <w:sz w:val="24"/>
          <w:szCs w:val="24"/>
          <w:shd w:val="clear" w:color="auto" w:fill="FFFFFF"/>
          <w:vertAlign w:val="superscript"/>
        </w:rPr>
        <w:footnoteReference w:id="93"/>
      </w:r>
      <w:r w:rsidR="009A092F">
        <w:rPr>
          <w:rFonts w:asciiTheme="majorHAnsi" w:hAnsiTheme="majorHAnsi" w:cstheme="majorHAnsi"/>
          <w:sz w:val="24"/>
          <w:szCs w:val="24"/>
          <w:shd w:val="clear" w:color="auto" w:fill="FFFFFF"/>
        </w:rPr>
        <w:t>.</w:t>
      </w:r>
    </w:p>
    <w:p w14:paraId="55C851CB" w14:textId="00F6AF11" w:rsidR="009A092F" w:rsidRDefault="009A092F" w:rsidP="00C95471">
      <w:pPr>
        <w:spacing w:before="240" w:after="240" w:line="360" w:lineRule="auto"/>
        <w:jc w:val="both"/>
        <w:rPr>
          <w:rFonts w:asciiTheme="majorHAnsi" w:hAnsiTheme="majorHAnsi" w:cstheme="majorHAnsi"/>
          <w:sz w:val="24"/>
          <w:szCs w:val="24"/>
          <w:shd w:val="clear" w:color="auto" w:fill="FFFFFF"/>
        </w:rPr>
      </w:pPr>
    </w:p>
    <w:p w14:paraId="12A6DC3F" w14:textId="77777777" w:rsidR="009A092F" w:rsidRPr="00C95471" w:rsidRDefault="009A092F" w:rsidP="00C95471">
      <w:pPr>
        <w:spacing w:before="240" w:after="240" w:line="360" w:lineRule="auto"/>
        <w:jc w:val="both"/>
        <w:rPr>
          <w:rFonts w:asciiTheme="majorHAnsi" w:hAnsiTheme="majorHAnsi" w:cstheme="majorHAnsi"/>
          <w:sz w:val="24"/>
          <w:szCs w:val="24"/>
          <w:shd w:val="clear" w:color="auto" w:fill="FFFFFF"/>
        </w:rPr>
      </w:pPr>
    </w:p>
    <w:p w14:paraId="51628EEF" w14:textId="77777777" w:rsidR="007F235D" w:rsidRPr="009A092F" w:rsidRDefault="007F235D" w:rsidP="009A092F">
      <w:pPr>
        <w:pStyle w:val="Heading1"/>
      </w:pPr>
      <w:bookmarkStart w:id="31" w:name="_Toc50984454"/>
      <w:r w:rsidRPr="009A092F">
        <w:lastRenderedPageBreak/>
        <w:t>Treatment of aliens, including refugees, asylum seekers and migrants, and population displacement (arts. 2, 6, 7, 9, 13 and 26)</w:t>
      </w:r>
      <w:bookmarkEnd w:id="31"/>
    </w:p>
    <w:p w14:paraId="51C8BA19" w14:textId="77777777" w:rsidR="007F235D" w:rsidRPr="009A092F" w:rsidRDefault="007F235D" w:rsidP="009A092F">
      <w:pPr>
        <w:pStyle w:val="Heading2"/>
        <w:numPr>
          <w:ilvl w:val="0"/>
          <w:numId w:val="33"/>
        </w:numPr>
        <w:rPr>
          <w:rFonts w:eastAsia="Calibri"/>
        </w:rPr>
      </w:pPr>
      <w:bookmarkStart w:id="32" w:name="_Toc50984455"/>
      <w:r w:rsidRPr="009A092F">
        <w:rPr>
          <w:rFonts w:eastAsia="Calibri"/>
        </w:rPr>
        <w:t>Protection of refugees, asylum seekers and migrants</w:t>
      </w:r>
      <w:bookmarkEnd w:id="32"/>
      <w:r w:rsidRPr="009A092F">
        <w:rPr>
          <w:rFonts w:eastAsia="Calibri"/>
        </w:rPr>
        <w:t xml:space="preserve"> </w:t>
      </w:r>
    </w:p>
    <w:p w14:paraId="1C9841B4" w14:textId="7BC111C2" w:rsidR="00BE44F3" w:rsidRPr="009A092F" w:rsidRDefault="00E0402A"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Parliament introduced the Refugees Bill, 2019</w:t>
      </w:r>
      <w:r w:rsidR="00317853" w:rsidRPr="009A092F">
        <w:rPr>
          <w:rFonts w:asciiTheme="majorHAnsi" w:hAnsiTheme="majorHAnsi" w:cstheme="majorHAnsi"/>
          <w:sz w:val="24"/>
          <w:szCs w:val="24"/>
          <w:shd w:val="clear" w:color="auto" w:fill="FFFFFF"/>
          <w:vertAlign w:val="superscript"/>
        </w:rPr>
        <w:footnoteReference w:id="94"/>
      </w:r>
      <w:r w:rsidRPr="009A092F">
        <w:rPr>
          <w:rFonts w:asciiTheme="majorHAnsi" w:hAnsiTheme="majorHAnsi" w:cstheme="majorHAnsi"/>
          <w:sz w:val="24"/>
          <w:szCs w:val="24"/>
          <w:shd w:val="clear" w:color="auto" w:fill="FFFFFF"/>
        </w:rPr>
        <w:t xml:space="preserve"> whose principal object is to provide for the recognition, protect</w:t>
      </w:r>
      <w:r w:rsidR="00C309C4" w:rsidRPr="009A092F">
        <w:rPr>
          <w:rFonts w:asciiTheme="majorHAnsi" w:hAnsiTheme="majorHAnsi" w:cstheme="majorHAnsi"/>
          <w:sz w:val="24"/>
          <w:szCs w:val="24"/>
          <w:shd w:val="clear" w:color="auto" w:fill="FFFFFF"/>
        </w:rPr>
        <w:t xml:space="preserve">ion and management of refugees. </w:t>
      </w:r>
      <w:r w:rsidRPr="009A092F">
        <w:rPr>
          <w:rFonts w:asciiTheme="majorHAnsi" w:hAnsiTheme="majorHAnsi" w:cstheme="majorHAnsi"/>
          <w:sz w:val="24"/>
          <w:szCs w:val="24"/>
          <w:shd w:val="clear" w:color="auto" w:fill="FFFFFF"/>
        </w:rPr>
        <w:t>The Commission noted that whilst the proposed law is an improvement in some respects from the current form, it is inadequate to comprehensively solve the gaps in the extant refugee law. Notably, any legal framework should address the key concerns of the Comprehensive Refugee Response Fram</w:t>
      </w:r>
      <w:r w:rsidR="00BE44F3" w:rsidRPr="009A092F">
        <w:rPr>
          <w:rFonts w:asciiTheme="majorHAnsi" w:hAnsiTheme="majorHAnsi" w:cstheme="majorHAnsi"/>
          <w:sz w:val="24"/>
          <w:szCs w:val="24"/>
          <w:shd w:val="clear" w:color="auto" w:fill="FFFFFF"/>
        </w:rPr>
        <w:t>ework (CRRF).</w:t>
      </w:r>
    </w:p>
    <w:p w14:paraId="181D4A18" w14:textId="7A6444AB" w:rsidR="00E0402A" w:rsidRPr="009A092F" w:rsidRDefault="00E0402A"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In October 2018, the Commission was petitioned by a Non-Governmental Institution (NGO) offering humanitarian support to refugees (requested to remain anonymous) over reported incidences of human rights violations on the refugees and asylum community members both at Kakuma and Dadaab Refugee camps. The KNCHR was informed that among other things refugees and asylum seekers were denied registration and those who have applied were taken through slow process of refugee status determination (RSD) and that the government had issued an ultimatum to relocate minorities and close Dadaab camp which was going to result into forceful repatriation of refugees.</w:t>
      </w:r>
      <w:r w:rsidR="00C309C4" w:rsidRPr="009A092F">
        <w:rPr>
          <w:rFonts w:asciiTheme="majorHAnsi" w:hAnsiTheme="majorHAnsi" w:cstheme="majorHAnsi"/>
          <w:sz w:val="24"/>
          <w:szCs w:val="24"/>
          <w:shd w:val="clear" w:color="auto" w:fill="FFFFFF"/>
        </w:rPr>
        <w:t xml:space="preserve"> </w:t>
      </w:r>
      <w:r w:rsidRPr="009A092F">
        <w:rPr>
          <w:rFonts w:asciiTheme="majorHAnsi" w:hAnsiTheme="majorHAnsi" w:cstheme="majorHAnsi"/>
          <w:sz w:val="24"/>
          <w:szCs w:val="24"/>
          <w:shd w:val="clear" w:color="auto" w:fill="FFFFFF"/>
        </w:rPr>
        <w:t>In its report, the Commission found inter alia that there was lack of consultation and/or</w:t>
      </w:r>
      <w:r w:rsidR="009A092F" w:rsidRPr="009A092F">
        <w:rPr>
          <w:rFonts w:asciiTheme="majorHAnsi" w:hAnsiTheme="majorHAnsi" w:cstheme="majorHAnsi"/>
          <w:sz w:val="24"/>
          <w:szCs w:val="24"/>
          <w:shd w:val="clear" w:color="auto" w:fill="FFFFFF"/>
        </w:rPr>
        <w:t xml:space="preserve"> </w:t>
      </w:r>
      <w:r w:rsidRPr="009A092F">
        <w:rPr>
          <w:rFonts w:asciiTheme="majorHAnsi" w:hAnsiTheme="majorHAnsi" w:cstheme="majorHAnsi"/>
          <w:sz w:val="24"/>
          <w:szCs w:val="24"/>
          <w:shd w:val="clear" w:color="auto" w:fill="FFFFFF"/>
        </w:rPr>
        <w:t xml:space="preserve">participation in the </w:t>
      </w:r>
      <w:r w:rsidR="00AB7C08" w:rsidRPr="009A092F">
        <w:rPr>
          <w:rFonts w:asciiTheme="majorHAnsi" w:hAnsiTheme="majorHAnsi" w:cstheme="majorHAnsi"/>
          <w:sz w:val="24"/>
          <w:szCs w:val="24"/>
          <w:shd w:val="clear" w:color="auto" w:fill="FFFFFF"/>
        </w:rPr>
        <w:t>decision-making</w:t>
      </w:r>
      <w:r w:rsidRPr="009A092F">
        <w:rPr>
          <w:rFonts w:asciiTheme="majorHAnsi" w:hAnsiTheme="majorHAnsi" w:cstheme="majorHAnsi"/>
          <w:sz w:val="24"/>
          <w:szCs w:val="24"/>
          <w:shd w:val="clear" w:color="auto" w:fill="FFFFFF"/>
        </w:rPr>
        <w:t xml:space="preserve"> process by those targ</w:t>
      </w:r>
      <w:r w:rsidR="00C309C4" w:rsidRPr="009A092F">
        <w:rPr>
          <w:rFonts w:asciiTheme="majorHAnsi" w:hAnsiTheme="majorHAnsi" w:cstheme="majorHAnsi"/>
          <w:sz w:val="24"/>
          <w:szCs w:val="24"/>
          <w:shd w:val="clear" w:color="auto" w:fill="FFFFFF"/>
        </w:rPr>
        <w:t>eted in the movement/relocation</w:t>
      </w:r>
      <w:r w:rsidRPr="009A092F">
        <w:rPr>
          <w:rFonts w:asciiTheme="majorHAnsi" w:hAnsiTheme="majorHAnsi" w:cstheme="majorHAnsi"/>
          <w:sz w:val="24"/>
          <w:szCs w:val="24"/>
          <w:shd w:val="clear" w:color="auto" w:fill="FFFFFF"/>
        </w:rPr>
        <w:t>. The report was tabled to the National Assembly for debate.</w:t>
      </w:r>
    </w:p>
    <w:p w14:paraId="6F136403" w14:textId="5595E9F9" w:rsidR="00022BA5" w:rsidRPr="009A092F" w:rsidRDefault="00522990"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A recent</w:t>
      </w:r>
      <w:r w:rsidR="00022BA5" w:rsidRPr="009A092F">
        <w:rPr>
          <w:rFonts w:asciiTheme="majorHAnsi" w:hAnsiTheme="majorHAnsi" w:cstheme="majorHAnsi"/>
          <w:sz w:val="24"/>
          <w:szCs w:val="24"/>
          <w:shd w:val="clear" w:color="auto" w:fill="FFFFFF"/>
        </w:rPr>
        <w:t xml:space="preserve"> study conducted by KNCHR on the status of migrants in Kenya’s places of detention and holding facilities reveals that a third of the migrants have been detained for being in the country without proper documentation. This comes at a huge cost to the individual, their families as well as the state. The study also discovered that it costs the Kenyan government approximately Kshs 2 Billion annually to process migrants through the criminal justice system and afterwards repatriate them to their countries of origin.</w:t>
      </w:r>
    </w:p>
    <w:p w14:paraId="36B03AEF" w14:textId="77D01BA8" w:rsidR="00BE44F3" w:rsidRPr="009A092F" w:rsidRDefault="00BE44F3" w:rsidP="009A092F">
      <w:pPr>
        <w:pStyle w:val="Heading2"/>
        <w:rPr>
          <w:rFonts w:eastAsia="Calibri"/>
        </w:rPr>
      </w:pPr>
      <w:bookmarkStart w:id="33" w:name="_Toc50984456"/>
      <w:r w:rsidRPr="009A092F">
        <w:rPr>
          <w:rFonts w:eastAsia="Calibri"/>
        </w:rPr>
        <w:lastRenderedPageBreak/>
        <w:t>Protection of internally displaced persons</w:t>
      </w:r>
      <w:bookmarkEnd w:id="33"/>
      <w:r w:rsidRPr="009A092F">
        <w:rPr>
          <w:rFonts w:eastAsia="Calibri"/>
        </w:rPr>
        <w:t xml:space="preserve"> </w:t>
      </w:r>
    </w:p>
    <w:p w14:paraId="21D1AFDA" w14:textId="51C0408D" w:rsidR="00E0402A" w:rsidRPr="009A092F" w:rsidRDefault="00BE44F3"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T</w:t>
      </w:r>
      <w:r w:rsidR="00E0402A" w:rsidRPr="009A092F">
        <w:rPr>
          <w:rFonts w:asciiTheme="majorHAnsi" w:hAnsiTheme="majorHAnsi" w:cstheme="majorHAnsi"/>
          <w:sz w:val="24"/>
          <w:szCs w:val="24"/>
          <w:shd w:val="clear" w:color="auto" w:fill="FFFFFF"/>
        </w:rPr>
        <w:t>he Prevention, Protection and Assistance to Internally Displaced Persons and Communit</w:t>
      </w:r>
      <w:r w:rsidR="00664135" w:rsidRPr="009A092F">
        <w:rPr>
          <w:rFonts w:asciiTheme="majorHAnsi" w:hAnsiTheme="majorHAnsi" w:cstheme="majorHAnsi"/>
          <w:sz w:val="24"/>
          <w:szCs w:val="24"/>
          <w:shd w:val="clear" w:color="auto" w:fill="FFFFFF"/>
        </w:rPr>
        <w:t>ies Act</w:t>
      </w:r>
      <w:r w:rsidR="00AB7C08" w:rsidRPr="009A092F">
        <w:rPr>
          <w:rFonts w:asciiTheme="majorHAnsi" w:hAnsiTheme="majorHAnsi" w:cstheme="majorHAnsi"/>
          <w:sz w:val="24"/>
          <w:szCs w:val="24"/>
          <w:shd w:val="clear" w:color="auto" w:fill="FFFFFF"/>
          <w:vertAlign w:val="superscript"/>
        </w:rPr>
        <w:footnoteReference w:id="95"/>
      </w:r>
      <w:r w:rsidR="00E438CD" w:rsidRPr="009A092F">
        <w:rPr>
          <w:rFonts w:asciiTheme="majorHAnsi" w:hAnsiTheme="majorHAnsi" w:cstheme="majorHAnsi"/>
          <w:sz w:val="24"/>
          <w:szCs w:val="24"/>
          <w:shd w:val="clear" w:color="auto" w:fill="FFFFFF"/>
        </w:rPr>
        <w:t xml:space="preserve"> </w:t>
      </w:r>
      <w:r w:rsidR="00E0402A" w:rsidRPr="009A092F">
        <w:rPr>
          <w:rFonts w:asciiTheme="majorHAnsi" w:hAnsiTheme="majorHAnsi" w:cstheme="majorHAnsi"/>
          <w:sz w:val="24"/>
          <w:szCs w:val="24"/>
          <w:shd w:val="clear" w:color="auto" w:fill="FFFFFF"/>
        </w:rPr>
        <w:t>provides for the prevention, protection and provision of assistance to internally displaced persons and communities and it gives effect to the Great Lakes Protocol on the protection and assistance to internally displaced persons and the United Nations guiding principles on internal displacement</w:t>
      </w:r>
      <w:r w:rsidR="00E0402A" w:rsidRPr="009A092F">
        <w:rPr>
          <w:rFonts w:asciiTheme="majorHAnsi" w:hAnsiTheme="majorHAnsi" w:cstheme="majorHAnsi"/>
          <w:sz w:val="24"/>
          <w:szCs w:val="24"/>
          <w:shd w:val="clear" w:color="auto" w:fill="FFFFFF"/>
          <w:vertAlign w:val="superscript"/>
        </w:rPr>
        <w:footnoteReference w:id="96"/>
      </w:r>
      <w:r w:rsidR="009A092F">
        <w:rPr>
          <w:rFonts w:asciiTheme="majorHAnsi" w:hAnsiTheme="majorHAnsi" w:cstheme="majorHAnsi"/>
          <w:sz w:val="24"/>
          <w:szCs w:val="24"/>
          <w:shd w:val="clear" w:color="auto" w:fill="FFFFFF"/>
        </w:rPr>
        <w:t>.</w:t>
      </w:r>
      <w:r w:rsidR="00664135" w:rsidRPr="009A092F">
        <w:rPr>
          <w:rFonts w:asciiTheme="majorHAnsi" w:hAnsiTheme="majorHAnsi" w:cstheme="majorHAnsi"/>
          <w:sz w:val="24"/>
          <w:szCs w:val="24"/>
          <w:shd w:val="clear" w:color="auto" w:fill="FFFFFF"/>
        </w:rPr>
        <w:t xml:space="preserve"> The Act creates an IDP fund, to cater for the capital and recurrent expenditure relating to protection and assistance to internally displaced persons and communities and the provision</w:t>
      </w:r>
      <w:r w:rsidR="00A05A52" w:rsidRPr="009A092F">
        <w:rPr>
          <w:rFonts w:asciiTheme="majorHAnsi" w:hAnsiTheme="majorHAnsi" w:cstheme="majorHAnsi"/>
          <w:sz w:val="24"/>
          <w:szCs w:val="24"/>
          <w:shd w:val="clear" w:color="auto" w:fill="FFFFFF"/>
        </w:rPr>
        <w:t xml:space="preserve"> of a durable solution to them.</w:t>
      </w:r>
    </w:p>
    <w:p w14:paraId="04540D8C" w14:textId="3FF6D374" w:rsidR="00E0402A" w:rsidRPr="009A092F" w:rsidRDefault="00E0402A"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The Act outlines the procedures to be followed in the event of development induced displacements and it shall ensure that the displacement is carried out in a manner that is respectful of the human rights of those affected, taking in particular into account the protection of community land and the special needs of women, children and persons with special needs. However, this has not been adhered to as evidenced by the number of suits filed a</w:t>
      </w:r>
      <w:r w:rsidR="00BE44F3" w:rsidRPr="009A092F">
        <w:rPr>
          <w:rFonts w:asciiTheme="majorHAnsi" w:hAnsiTheme="majorHAnsi" w:cstheme="majorHAnsi"/>
          <w:sz w:val="24"/>
          <w:szCs w:val="24"/>
          <w:shd w:val="clear" w:color="auto" w:fill="FFFFFF"/>
        </w:rPr>
        <w:t xml:space="preserve">gainst various State agencies. </w:t>
      </w:r>
    </w:p>
    <w:p w14:paraId="2798750C" w14:textId="45FA76B7" w:rsidR="00E0402A" w:rsidRPr="009A092F" w:rsidRDefault="00A05A52"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I</w:t>
      </w:r>
      <w:r w:rsidR="00E0402A" w:rsidRPr="009A092F">
        <w:rPr>
          <w:rFonts w:asciiTheme="majorHAnsi" w:hAnsiTheme="majorHAnsi" w:cstheme="majorHAnsi"/>
          <w:sz w:val="24"/>
          <w:szCs w:val="24"/>
          <w:shd w:val="clear" w:color="auto" w:fill="FFFFFF"/>
        </w:rPr>
        <w:t>n Republic v Cabinet Secretary Ministry of Transport and Infrastructure &amp; 3 others</w:t>
      </w:r>
      <w:r w:rsidR="00AB7C08" w:rsidRPr="009A092F">
        <w:rPr>
          <w:rFonts w:asciiTheme="majorHAnsi" w:hAnsiTheme="majorHAnsi" w:cstheme="majorHAnsi"/>
          <w:sz w:val="24"/>
          <w:szCs w:val="24"/>
          <w:shd w:val="clear" w:color="auto" w:fill="FFFFFF"/>
          <w:vertAlign w:val="superscript"/>
        </w:rPr>
        <w:footnoteReference w:id="97"/>
      </w:r>
      <w:r w:rsidR="00E0402A" w:rsidRPr="009A092F">
        <w:rPr>
          <w:rFonts w:asciiTheme="majorHAnsi" w:hAnsiTheme="majorHAnsi" w:cstheme="majorHAnsi"/>
          <w:sz w:val="24"/>
          <w:szCs w:val="24"/>
          <w:shd w:val="clear" w:color="auto" w:fill="FFFFFF"/>
        </w:rPr>
        <w:t xml:space="preserve"> </w:t>
      </w:r>
      <w:r w:rsidR="00C309C4" w:rsidRPr="009A092F">
        <w:rPr>
          <w:rFonts w:asciiTheme="majorHAnsi" w:hAnsiTheme="majorHAnsi" w:cstheme="majorHAnsi"/>
          <w:sz w:val="24"/>
          <w:szCs w:val="24"/>
          <w:shd w:val="clear" w:color="auto" w:fill="FFFFFF"/>
        </w:rPr>
        <w:t>t</w:t>
      </w:r>
      <w:r w:rsidR="00E0402A" w:rsidRPr="009A092F">
        <w:rPr>
          <w:rFonts w:asciiTheme="majorHAnsi" w:hAnsiTheme="majorHAnsi" w:cstheme="majorHAnsi"/>
          <w:sz w:val="24"/>
          <w:szCs w:val="24"/>
          <w:shd w:val="clear" w:color="auto" w:fill="FFFFFF"/>
        </w:rPr>
        <w:t>he court held inter alia that the respondents while undertaking their project should ensure that there is compliance with the right to human dignity, life and security of the evictees. The evictions must not be conducted at night, in bad weather, during festivals or holidays or during school examination periods</w:t>
      </w:r>
      <w:r w:rsidR="00364140" w:rsidRPr="009A092F">
        <w:rPr>
          <w:rFonts w:asciiTheme="majorHAnsi" w:hAnsiTheme="majorHAnsi" w:cstheme="majorHAnsi"/>
          <w:sz w:val="24"/>
          <w:szCs w:val="24"/>
          <w:shd w:val="clear" w:color="auto" w:fill="FFFFFF"/>
        </w:rPr>
        <w:t>.</w:t>
      </w:r>
    </w:p>
    <w:p w14:paraId="1ECF2840" w14:textId="0BDEDF28" w:rsidR="007F235D" w:rsidRPr="009A092F" w:rsidRDefault="00E0402A" w:rsidP="009A092F">
      <w:pPr>
        <w:pStyle w:val="Heading1"/>
      </w:pPr>
      <w:bookmarkStart w:id="34" w:name="_Toc50984457"/>
      <w:r w:rsidRPr="009A092F">
        <w:lastRenderedPageBreak/>
        <w:t>Forced eviction (arts. 7, 12, 17, 26 and 27)</w:t>
      </w:r>
      <w:bookmarkEnd w:id="34"/>
    </w:p>
    <w:p w14:paraId="01A00543" w14:textId="5E58303D" w:rsidR="00F46A2B" w:rsidRPr="009A092F" w:rsidRDefault="00CD6448"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Force</w:t>
      </w:r>
      <w:r w:rsidR="00F46A2B" w:rsidRPr="009A092F">
        <w:rPr>
          <w:rFonts w:asciiTheme="majorHAnsi" w:hAnsiTheme="majorHAnsi" w:cstheme="majorHAnsi"/>
          <w:sz w:val="24"/>
          <w:szCs w:val="24"/>
          <w:shd w:val="clear" w:color="auto" w:fill="FFFFFF"/>
        </w:rPr>
        <w:t xml:space="preserve">ful </w:t>
      </w:r>
      <w:r w:rsidRPr="009A092F">
        <w:rPr>
          <w:rFonts w:asciiTheme="majorHAnsi" w:hAnsiTheme="majorHAnsi" w:cstheme="majorHAnsi"/>
          <w:sz w:val="24"/>
          <w:szCs w:val="24"/>
          <w:shd w:val="clear" w:color="auto" w:fill="FFFFFF"/>
        </w:rPr>
        <w:t xml:space="preserve"> evictions</w:t>
      </w:r>
      <w:r w:rsidR="00F46A2B" w:rsidRPr="009A092F">
        <w:rPr>
          <w:rFonts w:asciiTheme="majorHAnsi" w:hAnsiTheme="majorHAnsi" w:cstheme="majorHAnsi"/>
          <w:sz w:val="24"/>
          <w:szCs w:val="24"/>
          <w:shd w:val="clear" w:color="auto" w:fill="FFFFFF"/>
        </w:rPr>
        <w:t xml:space="preserve"> persist  in disregard of the procedures for effecting evictions contained in the Land Laws(Amendment) Act,2016 (</w:t>
      </w:r>
      <w:hyperlink r:id="rId22" w:history="1">
        <w:r w:rsidR="00F46A2B" w:rsidRPr="009A092F">
          <w:rPr>
            <w:shd w:val="clear" w:color="auto" w:fill="FFFFFF"/>
          </w:rPr>
          <w:t>No. 28 of 2016</w:t>
        </w:r>
      </w:hyperlink>
      <w:r w:rsidR="00F46A2B" w:rsidRPr="009A092F">
        <w:rPr>
          <w:rFonts w:asciiTheme="majorHAnsi" w:hAnsiTheme="majorHAnsi" w:cstheme="majorHAnsi"/>
          <w:sz w:val="24"/>
          <w:szCs w:val="24"/>
          <w:shd w:val="clear" w:color="auto" w:fill="FFFFFF"/>
        </w:rPr>
        <w:t xml:space="preserve">). This has impacted negatively on other socio-economic rights including health, food, education and reasonable standards of sanitation. </w:t>
      </w:r>
    </w:p>
    <w:p w14:paraId="0C47DF64" w14:textId="361AF446" w:rsidR="004126FA" w:rsidRPr="009A092F" w:rsidRDefault="00CD6448"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The</w:t>
      </w:r>
      <w:r w:rsidR="004126FA" w:rsidRPr="009A092F">
        <w:rPr>
          <w:rFonts w:asciiTheme="majorHAnsi" w:hAnsiTheme="majorHAnsi" w:cstheme="majorHAnsi"/>
          <w:sz w:val="24"/>
          <w:szCs w:val="24"/>
          <w:shd w:val="clear" w:color="auto" w:fill="FFFFFF"/>
        </w:rPr>
        <w:t xml:space="preserve"> Commission noted in its fourth state of human rights report that in the course of implementation of LAPSSET project in </w:t>
      </w:r>
      <w:proofErr w:type="spellStart"/>
      <w:r w:rsidR="004126FA" w:rsidRPr="009A092F">
        <w:rPr>
          <w:rFonts w:asciiTheme="majorHAnsi" w:hAnsiTheme="majorHAnsi" w:cstheme="majorHAnsi"/>
          <w:sz w:val="24"/>
          <w:szCs w:val="24"/>
          <w:shd w:val="clear" w:color="auto" w:fill="FFFFFF"/>
        </w:rPr>
        <w:t>Lamu</w:t>
      </w:r>
      <w:proofErr w:type="spellEnd"/>
      <w:r w:rsidR="004126FA" w:rsidRPr="009A092F">
        <w:rPr>
          <w:rFonts w:asciiTheme="majorHAnsi" w:hAnsiTheme="majorHAnsi" w:cstheme="majorHAnsi"/>
          <w:sz w:val="24"/>
          <w:szCs w:val="24"/>
          <w:shd w:val="clear" w:color="auto" w:fill="FFFFFF"/>
        </w:rPr>
        <w:t xml:space="preserve"> county, </w:t>
      </w:r>
      <w:proofErr w:type="spellStart"/>
      <w:r w:rsidR="004126FA" w:rsidRPr="009A092F">
        <w:rPr>
          <w:rFonts w:asciiTheme="majorHAnsi" w:hAnsiTheme="majorHAnsi" w:cstheme="majorHAnsi"/>
          <w:sz w:val="24"/>
          <w:szCs w:val="24"/>
          <w:shd w:val="clear" w:color="auto" w:fill="FFFFFF"/>
        </w:rPr>
        <w:t>Aweer</w:t>
      </w:r>
      <w:proofErr w:type="spellEnd"/>
      <w:r w:rsidR="004126FA" w:rsidRPr="009A092F">
        <w:rPr>
          <w:rFonts w:asciiTheme="majorHAnsi" w:hAnsiTheme="majorHAnsi" w:cstheme="majorHAnsi"/>
          <w:sz w:val="24"/>
          <w:szCs w:val="24"/>
          <w:shd w:val="clear" w:color="auto" w:fill="FFFFFF"/>
        </w:rPr>
        <w:t xml:space="preserve"> (</w:t>
      </w:r>
      <w:proofErr w:type="spellStart"/>
      <w:r w:rsidR="004126FA" w:rsidRPr="009A092F">
        <w:rPr>
          <w:rFonts w:asciiTheme="majorHAnsi" w:hAnsiTheme="majorHAnsi" w:cstheme="majorHAnsi"/>
          <w:sz w:val="24"/>
          <w:szCs w:val="24"/>
          <w:shd w:val="clear" w:color="auto" w:fill="FFFFFF"/>
        </w:rPr>
        <w:t>Boni</w:t>
      </w:r>
      <w:proofErr w:type="spellEnd"/>
      <w:r w:rsidR="004126FA" w:rsidRPr="009A092F">
        <w:rPr>
          <w:rFonts w:asciiTheme="majorHAnsi" w:hAnsiTheme="majorHAnsi" w:cstheme="majorHAnsi"/>
          <w:sz w:val="24"/>
          <w:szCs w:val="24"/>
          <w:shd w:val="clear" w:color="auto" w:fill="FFFFFF"/>
        </w:rPr>
        <w:t>) community decried lack of public participation and inadequate compensation to deserving dispossessed proprietors. In 2012, residents of Kibera slum were unsatisfied with the compensation by the Kenya Railways Corporation which sought to build a railway line along the railway reserve in the slum area.</w:t>
      </w:r>
    </w:p>
    <w:p w14:paraId="3C51C563" w14:textId="0A30EEDA" w:rsidR="00CD6448" w:rsidRPr="009A092F" w:rsidRDefault="00CD6448"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In</w:t>
      </w:r>
      <w:r w:rsidR="004126FA" w:rsidRPr="009A092F">
        <w:rPr>
          <w:rFonts w:asciiTheme="majorHAnsi" w:hAnsiTheme="majorHAnsi" w:cstheme="majorHAnsi"/>
          <w:sz w:val="24"/>
          <w:szCs w:val="24"/>
          <w:shd w:val="clear" w:color="auto" w:fill="FFFFFF"/>
        </w:rPr>
        <w:t xml:space="preserve"> its COVID 19 Situational Report No. 1 of 2020, KNCHR took note of increased num</w:t>
      </w:r>
      <w:r w:rsidRPr="009A092F">
        <w:rPr>
          <w:rFonts w:asciiTheme="majorHAnsi" w:hAnsiTheme="majorHAnsi" w:cstheme="majorHAnsi"/>
          <w:sz w:val="24"/>
          <w:szCs w:val="24"/>
          <w:shd w:val="clear" w:color="auto" w:fill="FFFFFF"/>
        </w:rPr>
        <w:t>ber of evictions and demolition</w:t>
      </w:r>
      <w:r w:rsidR="004126FA" w:rsidRPr="009A092F">
        <w:rPr>
          <w:rFonts w:asciiTheme="majorHAnsi" w:hAnsiTheme="majorHAnsi" w:cstheme="majorHAnsi"/>
          <w:sz w:val="24"/>
          <w:szCs w:val="24"/>
          <w:shd w:val="clear" w:color="auto" w:fill="FFFFFF"/>
        </w:rPr>
        <w:t xml:space="preserve"> of houses especially for the poor people who were either squatters on government land or who have been conned into buying land belonging to the government and issued with fake title deeds. Forceful evictions during the Covid-19 pandemic period occurred in </w:t>
      </w:r>
      <w:proofErr w:type="spellStart"/>
      <w:r w:rsidR="004126FA" w:rsidRPr="009A092F">
        <w:rPr>
          <w:rFonts w:asciiTheme="majorHAnsi" w:hAnsiTheme="majorHAnsi" w:cstheme="majorHAnsi"/>
          <w:sz w:val="24"/>
          <w:szCs w:val="24"/>
          <w:shd w:val="clear" w:color="auto" w:fill="FFFFFF"/>
        </w:rPr>
        <w:t>Kariobangi</w:t>
      </w:r>
      <w:proofErr w:type="spellEnd"/>
      <w:r w:rsidR="004126FA" w:rsidRPr="009A092F">
        <w:rPr>
          <w:rFonts w:asciiTheme="majorHAnsi" w:hAnsiTheme="majorHAnsi" w:cstheme="majorHAnsi"/>
          <w:sz w:val="24"/>
          <w:szCs w:val="24"/>
          <w:shd w:val="clear" w:color="auto" w:fill="FFFFFF"/>
        </w:rPr>
        <w:t xml:space="preserve"> and </w:t>
      </w:r>
      <w:proofErr w:type="spellStart"/>
      <w:r w:rsidR="004126FA" w:rsidRPr="009A092F">
        <w:rPr>
          <w:rFonts w:asciiTheme="majorHAnsi" w:hAnsiTheme="majorHAnsi" w:cstheme="majorHAnsi"/>
          <w:sz w:val="24"/>
          <w:szCs w:val="24"/>
          <w:shd w:val="clear" w:color="auto" w:fill="FFFFFF"/>
        </w:rPr>
        <w:t>Ruai</w:t>
      </w:r>
      <w:proofErr w:type="spellEnd"/>
      <w:r w:rsidR="004126FA" w:rsidRPr="009A092F">
        <w:rPr>
          <w:rFonts w:asciiTheme="majorHAnsi" w:hAnsiTheme="majorHAnsi" w:cstheme="majorHAnsi"/>
          <w:sz w:val="24"/>
          <w:szCs w:val="24"/>
          <w:shd w:val="clear" w:color="auto" w:fill="FFFFFF"/>
        </w:rPr>
        <w:t xml:space="preserve"> where families were left in the cold after demolition of their houses despite the inherent dangers of the pandemic and existence of an interim court order</w:t>
      </w:r>
      <w:r w:rsidR="004126FA" w:rsidRPr="009A092F">
        <w:rPr>
          <w:rFonts w:asciiTheme="majorHAnsi" w:hAnsiTheme="majorHAnsi" w:cstheme="majorHAnsi"/>
          <w:sz w:val="24"/>
          <w:szCs w:val="24"/>
          <w:shd w:val="clear" w:color="auto" w:fill="FFFFFF"/>
          <w:vertAlign w:val="superscript"/>
        </w:rPr>
        <w:footnoteReference w:id="98"/>
      </w:r>
      <w:r w:rsidR="009A092F">
        <w:rPr>
          <w:rFonts w:asciiTheme="majorHAnsi" w:hAnsiTheme="majorHAnsi" w:cstheme="majorHAnsi"/>
          <w:sz w:val="24"/>
          <w:szCs w:val="24"/>
          <w:shd w:val="clear" w:color="auto" w:fill="FFFFFF"/>
        </w:rPr>
        <w:t>.</w:t>
      </w:r>
    </w:p>
    <w:p w14:paraId="2D629684" w14:textId="77777777" w:rsidR="00880591" w:rsidRPr="009A092F" w:rsidRDefault="00880591" w:rsidP="009A092F">
      <w:pPr>
        <w:pStyle w:val="Heading1"/>
      </w:pPr>
      <w:bookmarkStart w:id="35" w:name="_Toc50984458"/>
      <w:r w:rsidRPr="009A092F">
        <w:t>Freedom of expression (arts. 19 and 20)</w:t>
      </w:r>
      <w:bookmarkEnd w:id="35"/>
    </w:p>
    <w:p w14:paraId="3A3504AB" w14:textId="2247822E" w:rsidR="005831E0" w:rsidRPr="009A092F" w:rsidRDefault="005831E0"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There is a thin line between the freedom of expression and the offence of criminal defamation as per Kenyan criminal law. The case of Jacqueline </w:t>
      </w:r>
      <w:proofErr w:type="spellStart"/>
      <w:r w:rsidRPr="009A092F">
        <w:rPr>
          <w:rFonts w:asciiTheme="majorHAnsi" w:hAnsiTheme="majorHAnsi" w:cstheme="majorHAnsi"/>
          <w:sz w:val="24"/>
          <w:szCs w:val="24"/>
          <w:shd w:val="clear" w:color="auto" w:fill="FFFFFF"/>
        </w:rPr>
        <w:t>Okuta</w:t>
      </w:r>
      <w:proofErr w:type="spellEnd"/>
      <w:r w:rsidRPr="009A092F">
        <w:rPr>
          <w:rFonts w:asciiTheme="majorHAnsi" w:hAnsiTheme="majorHAnsi" w:cstheme="majorHAnsi"/>
          <w:sz w:val="24"/>
          <w:szCs w:val="24"/>
          <w:shd w:val="clear" w:color="auto" w:fill="FFFFFF"/>
        </w:rPr>
        <w:t xml:space="preserve"> </w:t>
      </w:r>
      <w:r w:rsidR="007A2FCD" w:rsidRPr="009A092F">
        <w:rPr>
          <w:rFonts w:asciiTheme="majorHAnsi" w:hAnsiTheme="majorHAnsi" w:cstheme="majorHAnsi"/>
          <w:sz w:val="24"/>
          <w:szCs w:val="24"/>
          <w:shd w:val="clear" w:color="auto" w:fill="FFFFFF"/>
        </w:rPr>
        <w:t>case</w:t>
      </w:r>
      <w:r w:rsidR="00BC0AFB" w:rsidRPr="009A092F">
        <w:rPr>
          <w:rFonts w:asciiTheme="majorHAnsi" w:hAnsiTheme="majorHAnsi" w:cstheme="majorHAnsi"/>
          <w:sz w:val="24"/>
          <w:szCs w:val="24"/>
          <w:shd w:val="clear" w:color="auto" w:fill="FFFFFF"/>
          <w:vertAlign w:val="superscript"/>
        </w:rPr>
        <w:footnoteReference w:id="99"/>
      </w:r>
      <w:r w:rsidRPr="009A092F">
        <w:rPr>
          <w:rFonts w:asciiTheme="majorHAnsi" w:hAnsiTheme="majorHAnsi" w:cstheme="majorHAnsi"/>
          <w:sz w:val="24"/>
          <w:szCs w:val="24"/>
          <w:shd w:val="clear" w:color="auto" w:fill="FFFFFF"/>
        </w:rPr>
        <w:t xml:space="preserve"> brings into sharp focus the constitutionality of the offence of criminal libel as provided for under sect</w:t>
      </w:r>
      <w:r w:rsidR="00BF55D6" w:rsidRPr="009A092F">
        <w:rPr>
          <w:rFonts w:asciiTheme="majorHAnsi" w:hAnsiTheme="majorHAnsi" w:cstheme="majorHAnsi"/>
          <w:sz w:val="24"/>
          <w:szCs w:val="24"/>
          <w:shd w:val="clear" w:color="auto" w:fill="FFFFFF"/>
        </w:rPr>
        <w:t>ion 197 of the Penal Code</w:t>
      </w:r>
      <w:r w:rsidRPr="009A092F">
        <w:rPr>
          <w:rFonts w:asciiTheme="majorHAnsi" w:hAnsiTheme="majorHAnsi" w:cstheme="majorHAnsi"/>
          <w:sz w:val="24"/>
          <w:szCs w:val="24"/>
          <w:shd w:val="clear" w:color="auto" w:fill="FFFFFF"/>
        </w:rPr>
        <w:t>.</w:t>
      </w:r>
      <w:r w:rsidR="00BF55D6" w:rsidRPr="009A092F">
        <w:rPr>
          <w:rFonts w:asciiTheme="majorHAnsi" w:hAnsiTheme="majorHAnsi" w:cstheme="majorHAnsi"/>
          <w:sz w:val="24"/>
          <w:szCs w:val="24"/>
          <w:shd w:val="clear" w:color="auto" w:fill="FFFFFF"/>
        </w:rPr>
        <w:t xml:space="preserve"> The</w:t>
      </w:r>
      <w:r w:rsidRPr="009A092F">
        <w:rPr>
          <w:rFonts w:asciiTheme="majorHAnsi" w:hAnsiTheme="majorHAnsi" w:cstheme="majorHAnsi"/>
          <w:sz w:val="24"/>
          <w:szCs w:val="24"/>
          <w:shd w:val="clear" w:color="auto" w:fill="FFFFFF"/>
        </w:rPr>
        <w:t xml:space="preserve"> court declared the offence of criminal defamation as unconstitutional citing that there is an appropriate and satisfactory alternative civil remedy that is available to combat the mischief of defamation. The offence of criminal defamation constitutes a disproportionate instrument for </w:t>
      </w:r>
      <w:r w:rsidRPr="009A092F">
        <w:rPr>
          <w:rFonts w:asciiTheme="majorHAnsi" w:hAnsiTheme="majorHAnsi" w:cstheme="majorHAnsi"/>
          <w:sz w:val="24"/>
          <w:szCs w:val="24"/>
          <w:shd w:val="clear" w:color="auto" w:fill="FFFFFF"/>
        </w:rPr>
        <w:lastRenderedPageBreak/>
        <w:t xml:space="preserve">achieving the intended objective of protecting the reputations, rights and freedoms of other persons. </w:t>
      </w:r>
      <w:r w:rsidR="009A092F" w:rsidRPr="009A092F">
        <w:rPr>
          <w:rFonts w:asciiTheme="majorHAnsi" w:hAnsiTheme="majorHAnsi" w:cstheme="majorHAnsi"/>
          <w:sz w:val="24"/>
          <w:szCs w:val="24"/>
          <w:shd w:val="clear" w:color="auto" w:fill="FFFFFF"/>
        </w:rPr>
        <w:t>Thus, the</w:t>
      </w:r>
      <w:r w:rsidRPr="009A092F">
        <w:rPr>
          <w:rFonts w:asciiTheme="majorHAnsi" w:hAnsiTheme="majorHAnsi" w:cstheme="majorHAnsi"/>
          <w:sz w:val="24"/>
          <w:szCs w:val="24"/>
          <w:shd w:val="clear" w:color="auto" w:fill="FFFFFF"/>
        </w:rPr>
        <w:t xml:space="preserve"> offence of criminal defamation is not reasonably justifiable in a democratic society, hence criminal sanctions on speech ought to be reserved for the most serious cases as envisaged under Article 33 (2) of the Constitution.</w:t>
      </w:r>
    </w:p>
    <w:p w14:paraId="1F00EF3C" w14:textId="014CBBC6" w:rsidR="00BC0AFB" w:rsidRPr="009A092F" w:rsidRDefault="00BC0AFB"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Freedom of expression and media freedom was threatened in various instances through both laws and practice. The Security Laws Amendment Act (SLAA), for instance sought to amend various Acts in an effort to combat terrorism in the country. In Coalition for Reform and Democracy (CORD) </w:t>
      </w:r>
      <w:r w:rsidR="007A2FCD" w:rsidRPr="009A092F">
        <w:rPr>
          <w:rFonts w:asciiTheme="majorHAnsi" w:hAnsiTheme="majorHAnsi" w:cstheme="majorHAnsi"/>
          <w:sz w:val="24"/>
          <w:szCs w:val="24"/>
          <w:shd w:val="clear" w:color="auto" w:fill="FFFFFF"/>
        </w:rPr>
        <w:t>case</w:t>
      </w:r>
      <w:r w:rsidR="007A2FCD" w:rsidRPr="009A092F">
        <w:rPr>
          <w:rFonts w:asciiTheme="majorHAnsi" w:hAnsiTheme="majorHAnsi" w:cstheme="majorHAnsi"/>
          <w:sz w:val="24"/>
          <w:szCs w:val="24"/>
          <w:shd w:val="clear" w:color="auto" w:fill="FFFFFF"/>
          <w:vertAlign w:val="superscript"/>
        </w:rPr>
        <w:footnoteReference w:id="100"/>
      </w:r>
      <w:r w:rsidR="009A092F">
        <w:rPr>
          <w:rFonts w:asciiTheme="majorHAnsi" w:hAnsiTheme="majorHAnsi" w:cstheme="majorHAnsi"/>
          <w:sz w:val="24"/>
          <w:szCs w:val="24"/>
          <w:shd w:val="clear" w:color="auto" w:fill="FFFFFF"/>
        </w:rPr>
        <w:t xml:space="preserve">, </w:t>
      </w:r>
      <w:r w:rsidR="00AB7C08" w:rsidRPr="009A092F">
        <w:rPr>
          <w:rFonts w:asciiTheme="majorHAnsi" w:hAnsiTheme="majorHAnsi" w:cstheme="majorHAnsi"/>
          <w:sz w:val="24"/>
          <w:szCs w:val="24"/>
          <w:shd w:val="clear" w:color="auto" w:fill="FFFFFF"/>
        </w:rPr>
        <w:t>t</w:t>
      </w:r>
      <w:r w:rsidRPr="009A092F">
        <w:rPr>
          <w:rFonts w:asciiTheme="majorHAnsi" w:hAnsiTheme="majorHAnsi" w:cstheme="majorHAnsi"/>
          <w:sz w:val="24"/>
          <w:szCs w:val="24"/>
          <w:shd w:val="clear" w:color="auto" w:fill="FFFFFF"/>
        </w:rPr>
        <w:t xml:space="preserve">he court held Section 64 of SLAA which introduced Sections 30A and 30F to the Prevention of Terrorism Act </w:t>
      </w:r>
      <w:r w:rsidR="00AB7C08" w:rsidRPr="009A092F">
        <w:rPr>
          <w:rFonts w:asciiTheme="majorHAnsi" w:hAnsiTheme="majorHAnsi" w:cstheme="majorHAnsi"/>
          <w:sz w:val="24"/>
          <w:szCs w:val="24"/>
          <w:shd w:val="clear" w:color="auto" w:fill="FFFFFF"/>
        </w:rPr>
        <w:t xml:space="preserve">as </w:t>
      </w:r>
      <w:r w:rsidRPr="009A092F">
        <w:rPr>
          <w:rFonts w:asciiTheme="majorHAnsi" w:hAnsiTheme="majorHAnsi" w:cstheme="majorHAnsi"/>
          <w:sz w:val="24"/>
          <w:szCs w:val="24"/>
          <w:shd w:val="clear" w:color="auto" w:fill="FFFFFF"/>
        </w:rPr>
        <w:t>unconstitutional for violating the freedom of expression and the media.</w:t>
      </w:r>
    </w:p>
    <w:p w14:paraId="01E6A5D8" w14:textId="75D44756" w:rsidR="000800A4" w:rsidRPr="009A092F" w:rsidRDefault="000800A4"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During the 2017 general elections period, the Communications Authority of Kenya (CA) switched off the signals of four privately owned national TV stations over the stations’ decision to air live the Opposition leader </w:t>
      </w:r>
      <w:proofErr w:type="spellStart"/>
      <w:r w:rsidRPr="009A092F">
        <w:rPr>
          <w:rFonts w:asciiTheme="majorHAnsi" w:hAnsiTheme="majorHAnsi" w:cstheme="majorHAnsi"/>
          <w:sz w:val="24"/>
          <w:szCs w:val="24"/>
          <w:shd w:val="clear" w:color="auto" w:fill="FFFFFF"/>
        </w:rPr>
        <w:t>Raila</w:t>
      </w:r>
      <w:proofErr w:type="spellEnd"/>
      <w:r w:rsidRPr="009A092F">
        <w:rPr>
          <w:rFonts w:asciiTheme="majorHAnsi" w:hAnsiTheme="majorHAnsi" w:cstheme="majorHAnsi"/>
          <w:sz w:val="24"/>
          <w:szCs w:val="24"/>
          <w:shd w:val="clear" w:color="auto" w:fill="FFFFFF"/>
        </w:rPr>
        <w:t xml:space="preserve"> Odinga’s ‘Swearing in Ceremony’ at Uhuru Park. Despite a court order to reinstate the TV stations</w:t>
      </w:r>
      <w:r w:rsidRPr="009A092F">
        <w:rPr>
          <w:rFonts w:asciiTheme="majorHAnsi" w:hAnsiTheme="majorHAnsi" w:cstheme="majorHAnsi"/>
          <w:sz w:val="24"/>
          <w:szCs w:val="24"/>
          <w:shd w:val="clear" w:color="auto" w:fill="FFFFFF"/>
          <w:vertAlign w:val="superscript"/>
        </w:rPr>
        <w:footnoteReference w:id="101"/>
      </w:r>
      <w:r w:rsidR="009A092F">
        <w:rPr>
          <w:rFonts w:asciiTheme="majorHAnsi" w:hAnsiTheme="majorHAnsi" w:cstheme="majorHAnsi"/>
          <w:sz w:val="24"/>
          <w:szCs w:val="24"/>
          <w:shd w:val="clear" w:color="auto" w:fill="FFFFFF"/>
        </w:rPr>
        <w:t>,</w:t>
      </w:r>
      <w:r w:rsidRPr="009A092F">
        <w:rPr>
          <w:rFonts w:asciiTheme="majorHAnsi" w:hAnsiTheme="majorHAnsi" w:cstheme="majorHAnsi"/>
          <w:sz w:val="24"/>
          <w:szCs w:val="24"/>
          <w:shd w:val="clear" w:color="auto" w:fill="FFFFFF"/>
        </w:rPr>
        <w:t xml:space="preserve"> the same was not adhered to immediately. The TV stations were switched back on after 10</w:t>
      </w:r>
      <w:r w:rsidR="009A092F">
        <w:rPr>
          <w:rFonts w:asciiTheme="majorHAnsi" w:hAnsiTheme="majorHAnsi" w:cstheme="majorHAnsi"/>
          <w:sz w:val="24"/>
          <w:szCs w:val="24"/>
          <w:shd w:val="clear" w:color="auto" w:fill="FFFFFF"/>
        </w:rPr>
        <w:t xml:space="preserve"> </w:t>
      </w:r>
      <w:r w:rsidRPr="009A092F">
        <w:rPr>
          <w:rFonts w:asciiTheme="majorHAnsi" w:hAnsiTheme="majorHAnsi" w:cstheme="majorHAnsi"/>
          <w:sz w:val="24"/>
          <w:szCs w:val="24"/>
          <w:shd w:val="clear" w:color="auto" w:fill="FFFFFF"/>
        </w:rPr>
        <w:t>days, with no explanation from the Communications Authority of Kenya.</w:t>
      </w:r>
    </w:p>
    <w:p w14:paraId="0875092B" w14:textId="7FDB2255" w:rsidR="005831E0" w:rsidRPr="009A092F" w:rsidRDefault="005831E0"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In Geoffrey </w:t>
      </w:r>
      <w:proofErr w:type="spellStart"/>
      <w:r w:rsidRPr="009A092F">
        <w:rPr>
          <w:rFonts w:asciiTheme="majorHAnsi" w:hAnsiTheme="majorHAnsi" w:cstheme="majorHAnsi"/>
          <w:sz w:val="24"/>
          <w:szCs w:val="24"/>
          <w:shd w:val="clear" w:color="auto" w:fill="FFFFFF"/>
        </w:rPr>
        <w:t>Andare</w:t>
      </w:r>
      <w:proofErr w:type="spellEnd"/>
      <w:r w:rsidRPr="009A092F">
        <w:rPr>
          <w:rFonts w:asciiTheme="majorHAnsi" w:hAnsiTheme="majorHAnsi" w:cstheme="majorHAnsi"/>
          <w:sz w:val="24"/>
          <w:szCs w:val="24"/>
          <w:shd w:val="clear" w:color="auto" w:fill="FFFFFF"/>
        </w:rPr>
        <w:t xml:space="preserve"> </w:t>
      </w:r>
      <w:r w:rsidR="007A2FCD" w:rsidRPr="009A092F">
        <w:rPr>
          <w:rFonts w:asciiTheme="majorHAnsi" w:hAnsiTheme="majorHAnsi" w:cstheme="majorHAnsi"/>
          <w:sz w:val="24"/>
          <w:szCs w:val="24"/>
          <w:shd w:val="clear" w:color="auto" w:fill="FFFFFF"/>
        </w:rPr>
        <w:t>case</w:t>
      </w:r>
      <w:r w:rsidR="007A2FCD" w:rsidRPr="009A092F">
        <w:rPr>
          <w:rFonts w:asciiTheme="majorHAnsi" w:hAnsiTheme="majorHAnsi" w:cstheme="majorHAnsi"/>
          <w:sz w:val="24"/>
          <w:szCs w:val="24"/>
          <w:shd w:val="clear" w:color="auto" w:fill="FFFFFF"/>
          <w:vertAlign w:val="superscript"/>
        </w:rPr>
        <w:footnoteReference w:id="102"/>
      </w:r>
      <w:r w:rsidR="009A092F">
        <w:rPr>
          <w:rFonts w:asciiTheme="majorHAnsi" w:hAnsiTheme="majorHAnsi" w:cstheme="majorHAnsi"/>
          <w:sz w:val="24"/>
          <w:szCs w:val="24"/>
          <w:shd w:val="clear" w:color="auto" w:fill="FFFFFF"/>
        </w:rPr>
        <w:t>,</w:t>
      </w:r>
      <w:r w:rsidRPr="009A092F">
        <w:rPr>
          <w:rFonts w:asciiTheme="majorHAnsi" w:hAnsiTheme="majorHAnsi" w:cstheme="majorHAnsi"/>
          <w:sz w:val="24"/>
          <w:szCs w:val="24"/>
          <w:shd w:val="clear" w:color="auto" w:fill="FFFFFF"/>
        </w:rPr>
        <w:t xml:space="preserve"> the petitioner challenged the constitutionality of section 29 of the Kenya Information and Communication Act, Cap 411A</w:t>
      </w:r>
      <w:r w:rsidR="00BC0AFB" w:rsidRPr="009A092F">
        <w:rPr>
          <w:rFonts w:asciiTheme="majorHAnsi" w:hAnsiTheme="majorHAnsi" w:cstheme="majorHAnsi"/>
          <w:sz w:val="24"/>
          <w:szCs w:val="24"/>
          <w:shd w:val="clear" w:color="auto" w:fill="FFFFFF"/>
        </w:rPr>
        <w:t> on</w:t>
      </w:r>
      <w:r w:rsidRPr="009A092F">
        <w:rPr>
          <w:rFonts w:asciiTheme="majorHAnsi" w:hAnsiTheme="majorHAnsi" w:cstheme="majorHAnsi"/>
          <w:sz w:val="24"/>
          <w:szCs w:val="24"/>
          <w:shd w:val="clear" w:color="auto" w:fill="FFFFFF"/>
        </w:rPr>
        <w:t xml:space="preserve"> the grounds that it criminalises publication of certain information in vague and overbroad terms, has a chilling effect on the guarantee to freedom of expression, and creates an offence </w:t>
      </w:r>
      <w:r w:rsidRPr="009F686E">
        <w:rPr>
          <w:rFonts w:asciiTheme="majorHAnsi" w:hAnsiTheme="majorHAnsi" w:cstheme="majorHAnsi"/>
          <w:sz w:val="24"/>
          <w:szCs w:val="24"/>
          <w:shd w:val="clear" w:color="auto" w:fill="FFFFFF"/>
        </w:rPr>
        <w:t>without creating the </w:t>
      </w:r>
      <w:proofErr w:type="spellStart"/>
      <w:r w:rsidRPr="009F686E">
        <w:rPr>
          <w:rFonts w:asciiTheme="majorHAnsi" w:hAnsiTheme="majorHAnsi" w:cstheme="majorHAnsi"/>
          <w:sz w:val="24"/>
          <w:szCs w:val="24"/>
          <w:shd w:val="clear" w:color="auto" w:fill="FFFFFF"/>
        </w:rPr>
        <w:t>mens</w:t>
      </w:r>
      <w:proofErr w:type="spellEnd"/>
      <w:r w:rsidRPr="009F686E">
        <w:rPr>
          <w:rFonts w:asciiTheme="majorHAnsi" w:hAnsiTheme="majorHAnsi" w:cstheme="majorHAnsi"/>
          <w:sz w:val="24"/>
          <w:szCs w:val="24"/>
          <w:shd w:val="clear" w:color="auto" w:fill="FFFFFF"/>
        </w:rPr>
        <w:t xml:space="preserve"> rea element on the part of the accused person. The court declared section 29 unconstitutional for being couched in overbroad and vague terms that violate or threaten the</w:t>
      </w:r>
      <w:r w:rsidRPr="009A092F">
        <w:rPr>
          <w:rFonts w:asciiTheme="majorHAnsi" w:hAnsiTheme="majorHAnsi" w:cstheme="majorHAnsi"/>
          <w:sz w:val="24"/>
          <w:szCs w:val="24"/>
          <w:shd w:val="clear" w:color="auto" w:fill="FFFFFF"/>
        </w:rPr>
        <w:t xml:space="preserve"> right to freedom of association guaranteed under Article 33 of the Constitution</w:t>
      </w:r>
      <w:r w:rsidR="007A2FCD" w:rsidRPr="009A092F">
        <w:rPr>
          <w:rFonts w:asciiTheme="majorHAnsi" w:hAnsiTheme="majorHAnsi" w:cstheme="majorHAnsi"/>
          <w:sz w:val="24"/>
          <w:szCs w:val="24"/>
          <w:shd w:val="clear" w:color="auto" w:fill="FFFFFF"/>
        </w:rPr>
        <w:t>. </w:t>
      </w:r>
    </w:p>
    <w:p w14:paraId="0CED64DC" w14:textId="697FD31A" w:rsidR="000800A4" w:rsidRPr="009A092F" w:rsidRDefault="000800A4"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lastRenderedPageBreak/>
        <w:t>During the COVID-19 Pandemic, the Commission noted the positive aspect of enhancing media freedom by listing media services as essential services and this enhanced media coverage on the pandemic and access to information. However, there were reported cases that threatened media freedom in the course of covering and reporting the COVID-19 pandemic across the country. The</w:t>
      </w:r>
      <w:r w:rsidR="005B4A1F" w:rsidRPr="009A092F">
        <w:rPr>
          <w:rFonts w:asciiTheme="majorHAnsi" w:hAnsiTheme="majorHAnsi" w:cstheme="majorHAnsi"/>
          <w:sz w:val="24"/>
          <w:szCs w:val="24"/>
          <w:shd w:val="clear" w:color="auto" w:fill="FFFFFF"/>
        </w:rPr>
        <w:t xml:space="preserve">re were documented instances </w:t>
      </w:r>
      <w:r w:rsidR="00364140" w:rsidRPr="009A092F">
        <w:rPr>
          <w:rFonts w:asciiTheme="majorHAnsi" w:hAnsiTheme="majorHAnsi" w:cstheme="majorHAnsi"/>
          <w:sz w:val="24"/>
          <w:szCs w:val="24"/>
          <w:shd w:val="clear" w:color="auto" w:fill="FFFFFF"/>
        </w:rPr>
        <w:t>of harassment</w:t>
      </w:r>
      <w:r w:rsidRPr="009A092F">
        <w:rPr>
          <w:rFonts w:asciiTheme="majorHAnsi" w:hAnsiTheme="majorHAnsi" w:cstheme="majorHAnsi"/>
          <w:sz w:val="24"/>
          <w:szCs w:val="24"/>
          <w:shd w:val="clear" w:color="auto" w:fill="FFFFFF"/>
        </w:rPr>
        <w:t xml:space="preserve"> and intimidation of journalists by law enforcement officers;</w:t>
      </w:r>
      <w:r w:rsidR="00022BA5" w:rsidRPr="009A092F">
        <w:rPr>
          <w:rFonts w:asciiTheme="majorHAnsi" w:hAnsiTheme="majorHAnsi" w:cstheme="majorHAnsi"/>
          <w:sz w:val="24"/>
          <w:szCs w:val="24"/>
          <w:shd w:val="clear" w:color="auto" w:fill="FFFFFF"/>
        </w:rPr>
        <w:t xml:space="preserve"> including </w:t>
      </w:r>
      <w:r w:rsidRPr="009A092F">
        <w:rPr>
          <w:rFonts w:asciiTheme="majorHAnsi" w:hAnsiTheme="majorHAnsi" w:cstheme="majorHAnsi"/>
          <w:sz w:val="24"/>
          <w:szCs w:val="24"/>
          <w:shd w:val="clear" w:color="auto" w:fill="FFFFFF"/>
        </w:rPr>
        <w:t>the assault of an NTV journalist in Mombasa; harassment of a WERU TV journalist in Meru, arrest of Citizen TV journalists in Eldoret and harassment of two Standard Media Group journalists in Nakuru. KNCHR issued a terse statement on the harassment of journalists and called to action the need for duty bearers to support media freedom during COVID-19 pandemic coverage and reporting</w:t>
      </w:r>
      <w:r w:rsidRPr="009A092F">
        <w:rPr>
          <w:rFonts w:asciiTheme="majorHAnsi" w:hAnsiTheme="majorHAnsi" w:cstheme="majorHAnsi"/>
          <w:sz w:val="24"/>
          <w:szCs w:val="24"/>
          <w:shd w:val="clear" w:color="auto" w:fill="FFFFFF"/>
          <w:vertAlign w:val="superscript"/>
        </w:rPr>
        <w:footnoteReference w:id="103"/>
      </w:r>
      <w:r w:rsidR="009A092F" w:rsidRPr="009A092F">
        <w:rPr>
          <w:rFonts w:asciiTheme="majorHAnsi" w:hAnsiTheme="majorHAnsi" w:cstheme="majorHAnsi"/>
          <w:sz w:val="24"/>
          <w:szCs w:val="24"/>
          <w:shd w:val="clear" w:color="auto" w:fill="FFFFFF"/>
        </w:rPr>
        <w:t>.</w:t>
      </w:r>
    </w:p>
    <w:p w14:paraId="509EBE07" w14:textId="7C39DA87" w:rsidR="005B4A1F" w:rsidRPr="009A092F" w:rsidRDefault="00864956" w:rsidP="009A092F">
      <w:pPr>
        <w:pStyle w:val="Heading1"/>
      </w:pPr>
      <w:bookmarkStart w:id="36" w:name="_Toc50984459"/>
      <w:r w:rsidRPr="009A092F">
        <w:t>Freedom of assembly (arts. 19 and 21)</w:t>
      </w:r>
      <w:bookmarkEnd w:id="36"/>
    </w:p>
    <w:p w14:paraId="45697778" w14:textId="02205C95" w:rsidR="00363BA2" w:rsidRPr="009A092F" w:rsidRDefault="00363BA2"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The Constitution under Article 37 provides that every person has the right, peaceably and unarmed, to assemble, to demonstrate, to picket, and to present pe</w:t>
      </w:r>
      <w:r w:rsidR="000800A4" w:rsidRPr="009A092F">
        <w:rPr>
          <w:rFonts w:asciiTheme="majorHAnsi" w:hAnsiTheme="majorHAnsi" w:cstheme="majorHAnsi"/>
          <w:sz w:val="24"/>
          <w:szCs w:val="24"/>
          <w:shd w:val="clear" w:color="auto" w:fill="FFFFFF"/>
        </w:rPr>
        <w:t xml:space="preserve">titions to public authorities. </w:t>
      </w:r>
      <w:r w:rsidRPr="009A092F">
        <w:rPr>
          <w:rFonts w:asciiTheme="majorHAnsi" w:hAnsiTheme="majorHAnsi" w:cstheme="majorHAnsi"/>
          <w:sz w:val="24"/>
          <w:szCs w:val="24"/>
          <w:shd w:val="clear" w:color="auto" w:fill="FFFFFF"/>
        </w:rPr>
        <w:t xml:space="preserve">Section 78 of the Penal Code creates the offence of unlawful assembly and riot which constitutes the act of three or more people coming together with the intent of committing an offence or when their conduct indicated that they are likely to cause a breach of peace to those around them. Unlawful assembly is considered a misdemeanor and is punishable by </w:t>
      </w:r>
      <w:r w:rsidR="009A092F" w:rsidRPr="009A092F">
        <w:rPr>
          <w:rFonts w:asciiTheme="majorHAnsi" w:hAnsiTheme="majorHAnsi" w:cstheme="majorHAnsi"/>
          <w:sz w:val="24"/>
          <w:szCs w:val="24"/>
          <w:shd w:val="clear" w:color="auto" w:fill="FFFFFF"/>
        </w:rPr>
        <w:t>1-year</w:t>
      </w:r>
      <w:r w:rsidRPr="009A092F">
        <w:rPr>
          <w:rFonts w:asciiTheme="majorHAnsi" w:hAnsiTheme="majorHAnsi" w:cstheme="majorHAnsi"/>
          <w:sz w:val="24"/>
          <w:szCs w:val="24"/>
          <w:shd w:val="clear" w:color="auto" w:fill="FFFFFF"/>
        </w:rPr>
        <w:t xml:space="preserve"> imprisonment upon conviction.</w:t>
      </w:r>
    </w:p>
    <w:p w14:paraId="7A191717" w14:textId="0F68766D" w:rsidR="00363BA2" w:rsidRPr="009A092F" w:rsidRDefault="00022BA5"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In </w:t>
      </w:r>
      <w:r w:rsidR="00363BA2" w:rsidRPr="009A092F">
        <w:rPr>
          <w:rFonts w:asciiTheme="majorHAnsi" w:hAnsiTheme="majorHAnsi" w:cstheme="majorHAnsi"/>
          <w:sz w:val="24"/>
          <w:szCs w:val="24"/>
          <w:shd w:val="clear" w:color="auto" w:fill="FFFFFF"/>
        </w:rPr>
        <w:t xml:space="preserve">the run up to the 2017 general elections, there were a number of demonstrations organized by various political parties’ supporters. Through analysis of information collected shortly before, during and after fresh presidential elections, the commission established that various human rights were violated. such rights </w:t>
      </w:r>
      <w:r w:rsidR="009A092F" w:rsidRPr="009A092F">
        <w:rPr>
          <w:rFonts w:asciiTheme="majorHAnsi" w:hAnsiTheme="majorHAnsi" w:cstheme="majorHAnsi"/>
          <w:sz w:val="24"/>
          <w:szCs w:val="24"/>
          <w:shd w:val="clear" w:color="auto" w:fill="FFFFFF"/>
        </w:rPr>
        <w:t>include</w:t>
      </w:r>
      <w:r w:rsidR="00363BA2" w:rsidRPr="009A092F">
        <w:rPr>
          <w:rFonts w:asciiTheme="majorHAnsi" w:hAnsiTheme="majorHAnsi" w:cstheme="majorHAnsi"/>
          <w:sz w:val="24"/>
          <w:szCs w:val="24"/>
          <w:shd w:val="clear" w:color="auto" w:fill="FFFFFF"/>
        </w:rPr>
        <w:t xml:space="preserve">; the right to security, the right to fair electoral campaign opportunities and practices, the right to assembly and peaceful demonstrations, prisoners right to </w:t>
      </w:r>
      <w:r w:rsidR="00363BA2" w:rsidRPr="009A092F">
        <w:rPr>
          <w:rFonts w:asciiTheme="majorHAnsi" w:hAnsiTheme="majorHAnsi" w:cstheme="majorHAnsi"/>
          <w:sz w:val="24"/>
          <w:szCs w:val="24"/>
          <w:shd w:val="clear" w:color="auto" w:fill="FFFFFF"/>
        </w:rPr>
        <w:lastRenderedPageBreak/>
        <w:t>political participation, right to property, right to vote and right to run for office (to be voted for) among others</w:t>
      </w:r>
      <w:r w:rsidR="00363BA2" w:rsidRPr="009A092F">
        <w:rPr>
          <w:rFonts w:asciiTheme="majorHAnsi" w:hAnsiTheme="majorHAnsi" w:cstheme="majorHAnsi"/>
          <w:sz w:val="24"/>
          <w:szCs w:val="24"/>
          <w:shd w:val="clear" w:color="auto" w:fill="FFFFFF"/>
          <w:vertAlign w:val="superscript"/>
        </w:rPr>
        <w:footnoteReference w:id="104"/>
      </w:r>
      <w:r w:rsidR="009A092F">
        <w:rPr>
          <w:rFonts w:asciiTheme="majorHAnsi" w:hAnsiTheme="majorHAnsi" w:cstheme="majorHAnsi"/>
          <w:sz w:val="24"/>
          <w:szCs w:val="24"/>
          <w:shd w:val="clear" w:color="auto" w:fill="FFFFFF"/>
        </w:rPr>
        <w:t>.</w:t>
      </w:r>
    </w:p>
    <w:p w14:paraId="2F97BC7A" w14:textId="0EDBC5C9" w:rsidR="00363BA2" w:rsidRPr="009A092F" w:rsidRDefault="00363BA2"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In this respect, several human rights defenders filed a suit</w:t>
      </w:r>
      <w:r w:rsidR="00E068E5" w:rsidRPr="009A092F">
        <w:rPr>
          <w:rFonts w:asciiTheme="majorHAnsi" w:hAnsiTheme="majorHAnsi" w:cstheme="majorHAnsi"/>
          <w:sz w:val="24"/>
          <w:szCs w:val="24"/>
          <w:shd w:val="clear" w:color="auto" w:fill="FFFFFF"/>
        </w:rPr>
        <w:t xml:space="preserve">, Wilfred </w:t>
      </w:r>
      <w:proofErr w:type="spellStart"/>
      <w:r w:rsidR="00E068E5" w:rsidRPr="009A092F">
        <w:rPr>
          <w:rFonts w:asciiTheme="majorHAnsi" w:hAnsiTheme="majorHAnsi" w:cstheme="majorHAnsi"/>
          <w:sz w:val="24"/>
          <w:szCs w:val="24"/>
          <w:shd w:val="clear" w:color="auto" w:fill="FFFFFF"/>
        </w:rPr>
        <w:t>Olal</w:t>
      </w:r>
      <w:proofErr w:type="spellEnd"/>
      <w:r w:rsidR="00E068E5" w:rsidRPr="009A092F">
        <w:rPr>
          <w:rFonts w:asciiTheme="majorHAnsi" w:hAnsiTheme="majorHAnsi" w:cstheme="majorHAnsi"/>
          <w:sz w:val="24"/>
          <w:szCs w:val="24"/>
          <w:shd w:val="clear" w:color="auto" w:fill="FFFFFF"/>
        </w:rPr>
        <w:t xml:space="preserve"> &amp; 5 others</w:t>
      </w:r>
      <w:r w:rsidR="0074733F" w:rsidRPr="00D2757F">
        <w:rPr>
          <w:rFonts w:asciiTheme="majorHAnsi" w:hAnsiTheme="majorHAnsi" w:cstheme="majorHAnsi"/>
          <w:sz w:val="24"/>
          <w:szCs w:val="24"/>
          <w:shd w:val="clear" w:color="auto" w:fill="FFFFFF"/>
          <w:vertAlign w:val="superscript"/>
        </w:rPr>
        <w:footnoteReference w:id="105"/>
      </w:r>
      <w:r w:rsidRPr="009A092F">
        <w:rPr>
          <w:rFonts w:asciiTheme="majorHAnsi" w:hAnsiTheme="majorHAnsi" w:cstheme="majorHAnsi"/>
          <w:sz w:val="24"/>
          <w:szCs w:val="24"/>
          <w:shd w:val="clear" w:color="auto" w:fill="FFFFFF"/>
        </w:rPr>
        <w:t>with regard to the freedom of expression versus their right to demonstrate.</w:t>
      </w:r>
      <w:r w:rsidR="00E068E5" w:rsidRPr="009A092F">
        <w:rPr>
          <w:rFonts w:asciiTheme="majorHAnsi" w:hAnsiTheme="majorHAnsi" w:cstheme="majorHAnsi"/>
          <w:sz w:val="24"/>
          <w:szCs w:val="24"/>
          <w:shd w:val="clear" w:color="auto" w:fill="FFFFFF"/>
        </w:rPr>
        <w:t xml:space="preserve"> </w:t>
      </w:r>
      <w:r w:rsidRPr="009A092F">
        <w:rPr>
          <w:rFonts w:asciiTheme="majorHAnsi" w:hAnsiTheme="majorHAnsi" w:cstheme="majorHAnsi"/>
          <w:sz w:val="24"/>
          <w:szCs w:val="24"/>
          <w:shd w:val="clear" w:color="auto" w:fill="FFFFFF"/>
        </w:rPr>
        <w:t xml:space="preserve">The petition invites a candid discussion of the citizens Fundamental Right to demonstrate, picket and present petitions to public authorities and the importance of the exercise of the freedom of expression which is closely connected to the Freedom to demonstrate. In the judgment, the court gave </w:t>
      </w:r>
      <w:r w:rsidR="0074733F" w:rsidRPr="009A092F">
        <w:rPr>
          <w:rFonts w:asciiTheme="majorHAnsi" w:hAnsiTheme="majorHAnsi" w:cstheme="majorHAnsi"/>
          <w:sz w:val="24"/>
          <w:szCs w:val="24"/>
          <w:shd w:val="clear" w:color="auto" w:fill="FFFFFF"/>
        </w:rPr>
        <w:t xml:space="preserve">three </w:t>
      </w:r>
      <w:r w:rsidRPr="009A092F">
        <w:rPr>
          <w:rFonts w:asciiTheme="majorHAnsi" w:hAnsiTheme="majorHAnsi" w:cstheme="majorHAnsi"/>
          <w:sz w:val="24"/>
          <w:szCs w:val="24"/>
          <w:shd w:val="clear" w:color="auto" w:fill="FFFFFF"/>
        </w:rPr>
        <w:t xml:space="preserve">tests for any limitation on the right to </w:t>
      </w:r>
      <w:r w:rsidR="009A092F" w:rsidRPr="009A092F">
        <w:rPr>
          <w:rFonts w:asciiTheme="majorHAnsi" w:hAnsiTheme="majorHAnsi" w:cstheme="majorHAnsi"/>
          <w:sz w:val="24"/>
          <w:szCs w:val="24"/>
          <w:shd w:val="clear" w:color="auto" w:fill="FFFFFF"/>
        </w:rPr>
        <w:t>demonstrate: -</w:t>
      </w:r>
      <w:r w:rsidRPr="009A092F">
        <w:rPr>
          <w:rFonts w:asciiTheme="majorHAnsi" w:hAnsiTheme="majorHAnsi" w:cstheme="majorHAnsi"/>
          <w:sz w:val="24"/>
          <w:szCs w:val="24"/>
          <w:shd w:val="clear" w:color="auto" w:fill="FFFFFF"/>
        </w:rPr>
        <w:t xml:space="preserve"> that the limitation is acceptable if limited by </w:t>
      </w:r>
      <w:r w:rsidR="009A092F" w:rsidRPr="009A092F">
        <w:rPr>
          <w:rFonts w:asciiTheme="majorHAnsi" w:hAnsiTheme="majorHAnsi" w:cstheme="majorHAnsi"/>
          <w:sz w:val="24"/>
          <w:szCs w:val="24"/>
          <w:shd w:val="clear" w:color="auto" w:fill="FFFFFF"/>
        </w:rPr>
        <w:t>law;</w:t>
      </w:r>
      <w:r w:rsidRPr="009A092F">
        <w:rPr>
          <w:rFonts w:asciiTheme="majorHAnsi" w:hAnsiTheme="majorHAnsi" w:cstheme="majorHAnsi"/>
          <w:sz w:val="24"/>
          <w:szCs w:val="24"/>
          <w:shd w:val="clear" w:color="auto" w:fill="FFFFFF"/>
        </w:rPr>
        <w:t xml:space="preserve"> the limitation is necessary and </w:t>
      </w:r>
      <w:r w:rsidR="009A092F" w:rsidRPr="009A092F">
        <w:rPr>
          <w:rFonts w:asciiTheme="majorHAnsi" w:hAnsiTheme="majorHAnsi" w:cstheme="majorHAnsi"/>
          <w:sz w:val="24"/>
          <w:szCs w:val="24"/>
          <w:shd w:val="clear" w:color="auto" w:fill="FFFFFF"/>
        </w:rPr>
        <w:t>proportionate;</w:t>
      </w:r>
      <w:r w:rsidRPr="009A092F">
        <w:rPr>
          <w:rFonts w:asciiTheme="majorHAnsi" w:hAnsiTheme="majorHAnsi" w:cstheme="majorHAnsi"/>
          <w:sz w:val="24"/>
          <w:szCs w:val="24"/>
          <w:shd w:val="clear" w:color="auto" w:fill="FFFFFF"/>
        </w:rPr>
        <w:t xml:space="preserve"> the limitation pursues a legitimate aim </w:t>
      </w:r>
      <w:r w:rsidR="00D2757F" w:rsidRPr="009A092F">
        <w:rPr>
          <w:rFonts w:asciiTheme="majorHAnsi" w:hAnsiTheme="majorHAnsi" w:cstheme="majorHAnsi"/>
          <w:sz w:val="24"/>
          <w:szCs w:val="24"/>
          <w:shd w:val="clear" w:color="auto" w:fill="FFFFFF"/>
        </w:rPr>
        <w:t>i.e.</w:t>
      </w:r>
      <w:r w:rsidRPr="009A092F">
        <w:rPr>
          <w:rFonts w:asciiTheme="majorHAnsi" w:hAnsiTheme="majorHAnsi" w:cstheme="majorHAnsi"/>
          <w:sz w:val="24"/>
          <w:szCs w:val="24"/>
          <w:shd w:val="clear" w:color="auto" w:fill="FFFFFF"/>
        </w:rPr>
        <w:t xml:space="preserve"> national security or public safety</w:t>
      </w:r>
      <w:r w:rsidR="009A092F">
        <w:rPr>
          <w:rFonts w:asciiTheme="majorHAnsi" w:hAnsiTheme="majorHAnsi" w:cstheme="majorHAnsi"/>
          <w:sz w:val="24"/>
          <w:szCs w:val="24"/>
          <w:shd w:val="clear" w:color="auto" w:fill="FFFFFF"/>
        </w:rPr>
        <w:t>.</w:t>
      </w:r>
    </w:p>
    <w:p w14:paraId="6B26562E" w14:textId="72A66699" w:rsidR="00363BA2" w:rsidRPr="009A092F" w:rsidRDefault="00363BA2"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Parliament introduced the Public Order Amendment Bill, 2019 that proposes to amend the Public Order Act so as to make organizers of public meetings or public processions leading to loss of property, life or earnings liable for the loss and compensate the affected </w:t>
      </w:r>
      <w:r w:rsidR="0074733F" w:rsidRPr="009A092F">
        <w:rPr>
          <w:rFonts w:asciiTheme="majorHAnsi" w:hAnsiTheme="majorHAnsi" w:cstheme="majorHAnsi"/>
          <w:sz w:val="24"/>
          <w:szCs w:val="24"/>
          <w:shd w:val="clear" w:color="auto" w:fill="FFFFFF"/>
        </w:rPr>
        <w:t xml:space="preserve">persons. In its advisory, the Commission advised </w:t>
      </w:r>
      <w:r w:rsidR="005B4A1F" w:rsidRPr="009A092F">
        <w:rPr>
          <w:rFonts w:asciiTheme="majorHAnsi" w:hAnsiTheme="majorHAnsi" w:cstheme="majorHAnsi"/>
          <w:sz w:val="24"/>
          <w:szCs w:val="24"/>
          <w:shd w:val="clear" w:color="auto" w:fill="FFFFFF"/>
        </w:rPr>
        <w:t>against</w:t>
      </w:r>
      <w:r w:rsidR="0074733F" w:rsidRPr="009A092F">
        <w:rPr>
          <w:rFonts w:asciiTheme="majorHAnsi" w:hAnsiTheme="majorHAnsi" w:cstheme="majorHAnsi"/>
          <w:sz w:val="24"/>
          <w:szCs w:val="24"/>
          <w:shd w:val="clear" w:color="auto" w:fill="FFFFFF"/>
        </w:rPr>
        <w:t xml:space="preserve"> such an amendment </w:t>
      </w:r>
      <w:r w:rsidR="005B4A1F" w:rsidRPr="009A092F">
        <w:rPr>
          <w:rFonts w:asciiTheme="majorHAnsi" w:hAnsiTheme="majorHAnsi" w:cstheme="majorHAnsi"/>
          <w:sz w:val="24"/>
          <w:szCs w:val="24"/>
          <w:shd w:val="clear" w:color="auto" w:fill="FFFFFF"/>
        </w:rPr>
        <w:t xml:space="preserve">as it </w:t>
      </w:r>
      <w:r w:rsidR="0074733F" w:rsidRPr="009A092F">
        <w:rPr>
          <w:rFonts w:asciiTheme="majorHAnsi" w:hAnsiTheme="majorHAnsi" w:cstheme="majorHAnsi"/>
          <w:sz w:val="24"/>
          <w:szCs w:val="24"/>
          <w:shd w:val="clear" w:color="auto" w:fill="FFFFFF"/>
        </w:rPr>
        <w:t xml:space="preserve">threatened the freedom of assembly and was unjustifiable in an open and democratic </w:t>
      </w:r>
      <w:r w:rsidR="00D2757F" w:rsidRPr="009A092F">
        <w:rPr>
          <w:rFonts w:asciiTheme="majorHAnsi" w:hAnsiTheme="majorHAnsi" w:cstheme="majorHAnsi"/>
          <w:sz w:val="24"/>
          <w:szCs w:val="24"/>
          <w:shd w:val="clear" w:color="auto" w:fill="FFFFFF"/>
        </w:rPr>
        <w:t>society.</w:t>
      </w:r>
      <w:r w:rsidRPr="009A092F">
        <w:rPr>
          <w:rFonts w:asciiTheme="majorHAnsi" w:hAnsiTheme="majorHAnsi" w:cstheme="majorHAnsi"/>
          <w:sz w:val="24"/>
          <w:szCs w:val="24"/>
          <w:shd w:val="clear" w:color="auto" w:fill="FFFFFF"/>
        </w:rPr>
        <w:t xml:space="preserve"> The Bill is yet to undergo the second hearing in Parliament.</w:t>
      </w:r>
    </w:p>
    <w:p w14:paraId="38C515F4" w14:textId="10C44D1A" w:rsidR="00363BA2" w:rsidRPr="009A092F" w:rsidRDefault="00363BA2"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The National Police Service in partnership with the KNCHR formulated the draft National Police Service (Operational Standards for Public Order Policing) Regulations 2016 which aim to provide guidance on the procedure of maintaining public order and management of demonstrations and </w:t>
      </w:r>
      <w:r w:rsidR="00364140" w:rsidRPr="009A092F">
        <w:rPr>
          <w:rFonts w:asciiTheme="majorHAnsi" w:hAnsiTheme="majorHAnsi" w:cstheme="majorHAnsi"/>
          <w:sz w:val="24"/>
          <w:szCs w:val="24"/>
          <w:shd w:val="clear" w:color="auto" w:fill="FFFFFF"/>
        </w:rPr>
        <w:t>large-scale</w:t>
      </w:r>
      <w:r w:rsidRPr="009A092F">
        <w:rPr>
          <w:rFonts w:asciiTheme="majorHAnsi" w:hAnsiTheme="majorHAnsi" w:cstheme="majorHAnsi"/>
          <w:sz w:val="24"/>
          <w:szCs w:val="24"/>
          <w:shd w:val="clear" w:color="auto" w:fill="FFFFFF"/>
        </w:rPr>
        <w:t xml:space="preserve"> disturbances by the police. However, they are yet to be adopted.</w:t>
      </w:r>
    </w:p>
    <w:p w14:paraId="30D90127" w14:textId="77777777" w:rsidR="003B55E4" w:rsidRPr="009A092F" w:rsidRDefault="003B55E4" w:rsidP="009A092F">
      <w:pPr>
        <w:spacing w:before="240" w:after="240" w:line="360" w:lineRule="auto"/>
        <w:jc w:val="both"/>
        <w:rPr>
          <w:rFonts w:asciiTheme="majorHAnsi" w:hAnsiTheme="majorHAnsi" w:cstheme="majorHAnsi"/>
          <w:sz w:val="24"/>
          <w:szCs w:val="24"/>
          <w:shd w:val="clear" w:color="auto" w:fill="FFFFFF"/>
        </w:rPr>
      </w:pPr>
    </w:p>
    <w:p w14:paraId="7BE7F333" w14:textId="77777777" w:rsidR="00363BA2" w:rsidRPr="009A092F" w:rsidRDefault="00363BA2" w:rsidP="00D2757F">
      <w:pPr>
        <w:pStyle w:val="Heading1"/>
      </w:pPr>
      <w:bookmarkStart w:id="37" w:name="_Toc50984460"/>
      <w:r w:rsidRPr="009A092F">
        <w:lastRenderedPageBreak/>
        <w:t>Rights of the child (arts. 23, 24 and 26)</w:t>
      </w:r>
      <w:bookmarkEnd w:id="37"/>
    </w:p>
    <w:p w14:paraId="0C69E943" w14:textId="0562CA0B" w:rsidR="00363BA2" w:rsidRPr="009A092F" w:rsidRDefault="00363BA2"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The age of criminal responsibility in Kenya is</w:t>
      </w:r>
      <w:r w:rsidR="003B55E4" w:rsidRPr="009A092F">
        <w:rPr>
          <w:rFonts w:asciiTheme="majorHAnsi" w:hAnsiTheme="majorHAnsi" w:cstheme="majorHAnsi"/>
          <w:sz w:val="24"/>
          <w:szCs w:val="24"/>
          <w:shd w:val="clear" w:color="auto" w:fill="FFFFFF"/>
        </w:rPr>
        <w:t xml:space="preserve"> still</w:t>
      </w:r>
      <w:r w:rsidRPr="009A092F">
        <w:rPr>
          <w:rFonts w:asciiTheme="majorHAnsi" w:hAnsiTheme="majorHAnsi" w:cstheme="majorHAnsi"/>
          <w:sz w:val="24"/>
          <w:szCs w:val="24"/>
          <w:shd w:val="clear" w:color="auto" w:fill="FFFFFF"/>
        </w:rPr>
        <w:t xml:space="preserve"> eight (8) years. </w:t>
      </w:r>
      <w:r w:rsidR="00B27138" w:rsidRPr="009A092F">
        <w:rPr>
          <w:rFonts w:asciiTheme="majorHAnsi" w:hAnsiTheme="majorHAnsi" w:cstheme="majorHAnsi"/>
          <w:sz w:val="24"/>
          <w:szCs w:val="24"/>
          <w:shd w:val="clear" w:color="auto" w:fill="FFFFFF"/>
        </w:rPr>
        <w:t xml:space="preserve">The Children Bill proposes to raise the age of Criminal Responsibility to 12 years. </w:t>
      </w:r>
      <w:r w:rsidR="005B4A1F" w:rsidRPr="009A092F">
        <w:rPr>
          <w:rFonts w:asciiTheme="majorHAnsi" w:hAnsiTheme="majorHAnsi" w:cstheme="majorHAnsi"/>
          <w:sz w:val="24"/>
          <w:szCs w:val="24"/>
          <w:shd w:val="clear" w:color="auto" w:fill="FFFFFF"/>
        </w:rPr>
        <w:t>The National Council on Children Services developed the draft Children Bill, 2017</w:t>
      </w:r>
      <w:r w:rsidR="00022BA5" w:rsidRPr="009A092F">
        <w:rPr>
          <w:rFonts w:asciiTheme="majorHAnsi" w:hAnsiTheme="majorHAnsi" w:cstheme="majorHAnsi"/>
          <w:sz w:val="24"/>
          <w:szCs w:val="24"/>
          <w:shd w:val="clear" w:color="auto" w:fill="FFFFFF"/>
        </w:rPr>
        <w:t xml:space="preserve"> but it</w:t>
      </w:r>
      <w:r w:rsidR="005B4A1F" w:rsidRPr="009A092F">
        <w:rPr>
          <w:rFonts w:asciiTheme="majorHAnsi" w:hAnsiTheme="majorHAnsi" w:cstheme="majorHAnsi"/>
          <w:sz w:val="24"/>
          <w:szCs w:val="24"/>
          <w:shd w:val="clear" w:color="auto" w:fill="FFFFFF"/>
        </w:rPr>
        <w:t xml:space="preserve"> is yet to be introduced in Parliament for further debate. </w:t>
      </w:r>
      <w:r w:rsidRPr="009A092F">
        <w:rPr>
          <w:rFonts w:asciiTheme="majorHAnsi" w:hAnsiTheme="majorHAnsi" w:cstheme="majorHAnsi"/>
          <w:sz w:val="24"/>
          <w:szCs w:val="24"/>
          <w:shd w:val="clear" w:color="auto" w:fill="FFFFFF"/>
        </w:rPr>
        <w:t>The Penal Code goes further to say that if the child is between the ages of eight (8) and twelve (12) years of age, and commits a criminal offence, then before prosecution, the court must establish whether the child understood the consequences of his/her actions. If not, then the child will not be prosecuted, but if it comes out that the child understood, then he/she will be prosecuted.</w:t>
      </w:r>
    </w:p>
    <w:p w14:paraId="56265B06" w14:textId="77777777" w:rsidR="00363BA2" w:rsidRPr="009A092F" w:rsidRDefault="00363BA2"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Further, the Act states that male children below the age of twelve (12) years are incapable of committing an offence associated with carnal knowledge or sexual intercourse.</w:t>
      </w:r>
    </w:p>
    <w:p w14:paraId="187ECB0D" w14:textId="77777777" w:rsidR="007974A0" w:rsidRPr="009A092F" w:rsidRDefault="007974A0"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In the case of juvenile offenders, Section 191 (1) of the Children Act provides a variety of ways in which a trial court may deal with the minor with the aim of rehabilitating him as opposed to punishing him for the offence committed. </w:t>
      </w:r>
    </w:p>
    <w:p w14:paraId="53406B57" w14:textId="3FF2CC5C" w:rsidR="00BA3131" w:rsidRPr="009A092F" w:rsidRDefault="00BA3131"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The N</w:t>
      </w:r>
      <w:r w:rsidR="00CC6053" w:rsidRPr="009A092F">
        <w:rPr>
          <w:rFonts w:asciiTheme="majorHAnsi" w:hAnsiTheme="majorHAnsi" w:cstheme="majorHAnsi"/>
          <w:sz w:val="24"/>
          <w:szCs w:val="24"/>
          <w:shd w:val="clear" w:color="auto" w:fill="FFFFFF"/>
        </w:rPr>
        <w:t xml:space="preserve">ational </w:t>
      </w:r>
      <w:r w:rsidRPr="009A092F">
        <w:rPr>
          <w:rFonts w:asciiTheme="majorHAnsi" w:hAnsiTheme="majorHAnsi" w:cstheme="majorHAnsi"/>
          <w:sz w:val="24"/>
          <w:szCs w:val="24"/>
          <w:shd w:val="clear" w:color="auto" w:fill="FFFFFF"/>
        </w:rPr>
        <w:t>C</w:t>
      </w:r>
      <w:r w:rsidR="00CC6053" w:rsidRPr="009A092F">
        <w:rPr>
          <w:rFonts w:asciiTheme="majorHAnsi" w:hAnsiTheme="majorHAnsi" w:cstheme="majorHAnsi"/>
          <w:sz w:val="24"/>
          <w:szCs w:val="24"/>
          <w:shd w:val="clear" w:color="auto" w:fill="FFFFFF"/>
        </w:rPr>
        <w:t xml:space="preserve">ouncil on the </w:t>
      </w:r>
      <w:r w:rsidRPr="009A092F">
        <w:rPr>
          <w:rFonts w:asciiTheme="majorHAnsi" w:hAnsiTheme="majorHAnsi" w:cstheme="majorHAnsi"/>
          <w:sz w:val="24"/>
          <w:szCs w:val="24"/>
          <w:shd w:val="clear" w:color="auto" w:fill="FFFFFF"/>
        </w:rPr>
        <w:t>A</w:t>
      </w:r>
      <w:r w:rsidR="00CC6053" w:rsidRPr="009A092F">
        <w:rPr>
          <w:rFonts w:asciiTheme="majorHAnsi" w:hAnsiTheme="majorHAnsi" w:cstheme="majorHAnsi"/>
          <w:sz w:val="24"/>
          <w:szCs w:val="24"/>
          <w:shd w:val="clear" w:color="auto" w:fill="FFFFFF"/>
        </w:rPr>
        <w:t xml:space="preserve">dministration of </w:t>
      </w:r>
      <w:r w:rsidRPr="009A092F">
        <w:rPr>
          <w:rFonts w:asciiTheme="majorHAnsi" w:hAnsiTheme="majorHAnsi" w:cstheme="majorHAnsi"/>
          <w:sz w:val="24"/>
          <w:szCs w:val="24"/>
          <w:shd w:val="clear" w:color="auto" w:fill="FFFFFF"/>
        </w:rPr>
        <w:t>J</w:t>
      </w:r>
      <w:r w:rsidR="00CC6053" w:rsidRPr="009A092F">
        <w:rPr>
          <w:rFonts w:asciiTheme="majorHAnsi" w:hAnsiTheme="majorHAnsi" w:cstheme="majorHAnsi"/>
          <w:sz w:val="24"/>
          <w:szCs w:val="24"/>
          <w:shd w:val="clear" w:color="auto" w:fill="FFFFFF"/>
        </w:rPr>
        <w:t>ustice</w:t>
      </w:r>
      <w:r w:rsidRPr="009A092F">
        <w:rPr>
          <w:rFonts w:asciiTheme="majorHAnsi" w:hAnsiTheme="majorHAnsi" w:cstheme="majorHAnsi"/>
          <w:sz w:val="24"/>
          <w:szCs w:val="24"/>
          <w:shd w:val="clear" w:color="auto" w:fill="FFFFFF"/>
        </w:rPr>
        <w:t xml:space="preserve"> Special Taskforce on Children Matters was appointed by the Hon. Chief Justice vide Gazette Notice No. 369 of 29th January 2016 with a mandate to address gaps regarding the administration of</w:t>
      </w:r>
      <w:r w:rsidR="00CC6053" w:rsidRPr="009A092F">
        <w:rPr>
          <w:rFonts w:asciiTheme="majorHAnsi" w:hAnsiTheme="majorHAnsi" w:cstheme="majorHAnsi"/>
          <w:sz w:val="24"/>
          <w:szCs w:val="24"/>
          <w:shd w:val="clear" w:color="auto" w:fill="FFFFFF"/>
        </w:rPr>
        <w:t xml:space="preserve"> justice with regard to children</w:t>
      </w:r>
      <w:r w:rsidR="00CC6053" w:rsidRPr="00D2757F">
        <w:rPr>
          <w:rFonts w:asciiTheme="majorHAnsi" w:hAnsiTheme="majorHAnsi" w:cstheme="majorHAnsi"/>
          <w:sz w:val="24"/>
          <w:szCs w:val="24"/>
          <w:shd w:val="clear" w:color="auto" w:fill="FFFFFF"/>
          <w:vertAlign w:val="superscript"/>
        </w:rPr>
        <w:footnoteReference w:id="106"/>
      </w:r>
      <w:r w:rsidR="00D2757F">
        <w:rPr>
          <w:rFonts w:asciiTheme="majorHAnsi" w:hAnsiTheme="majorHAnsi" w:cstheme="majorHAnsi"/>
          <w:sz w:val="24"/>
          <w:szCs w:val="24"/>
          <w:shd w:val="clear" w:color="auto" w:fill="FFFFFF"/>
        </w:rPr>
        <w:t>.</w:t>
      </w:r>
      <w:r w:rsidR="00B27138" w:rsidRPr="009A092F">
        <w:rPr>
          <w:rFonts w:asciiTheme="majorHAnsi" w:hAnsiTheme="majorHAnsi" w:cstheme="majorHAnsi"/>
          <w:sz w:val="24"/>
          <w:szCs w:val="24"/>
          <w:shd w:val="clear" w:color="auto" w:fill="FFFFFF"/>
        </w:rPr>
        <w:t xml:space="preserve"> </w:t>
      </w:r>
    </w:p>
    <w:p w14:paraId="10B593F4" w14:textId="77777777" w:rsidR="00CC6053" w:rsidRPr="009A092F" w:rsidRDefault="00CC6053" w:rsidP="00D2757F">
      <w:pPr>
        <w:pStyle w:val="Heading1"/>
      </w:pPr>
      <w:bookmarkStart w:id="38" w:name="_Toc50984461"/>
      <w:r w:rsidRPr="009A092F">
        <w:t>Participation in public affairs (arts. 7, 14, 25 and 26)</w:t>
      </w:r>
      <w:bookmarkEnd w:id="38"/>
    </w:p>
    <w:p w14:paraId="20F9BE3A" w14:textId="16EF613E" w:rsidR="009E10EA" w:rsidRPr="009A092F" w:rsidRDefault="009C4F6C"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During the 2017 general election, there were reported cases of violence across the country and this prompted the Commission to conduct a status of human rights during that period. Some of t</w:t>
      </w:r>
      <w:r w:rsidR="009E10EA" w:rsidRPr="009A092F">
        <w:rPr>
          <w:rFonts w:asciiTheme="majorHAnsi" w:hAnsiTheme="majorHAnsi" w:cstheme="majorHAnsi"/>
          <w:sz w:val="24"/>
          <w:szCs w:val="24"/>
          <w:shd w:val="clear" w:color="auto" w:fill="FFFFFF"/>
        </w:rPr>
        <w:t>he grave injuries</w:t>
      </w:r>
      <w:r w:rsidRPr="009A092F">
        <w:rPr>
          <w:rFonts w:asciiTheme="majorHAnsi" w:hAnsiTheme="majorHAnsi" w:cstheme="majorHAnsi"/>
          <w:sz w:val="24"/>
          <w:szCs w:val="24"/>
          <w:shd w:val="clear" w:color="auto" w:fill="FFFFFF"/>
        </w:rPr>
        <w:t xml:space="preserve"> reported</w:t>
      </w:r>
      <w:r w:rsidR="009E10EA" w:rsidRPr="009A092F">
        <w:rPr>
          <w:rFonts w:asciiTheme="majorHAnsi" w:hAnsiTheme="majorHAnsi" w:cstheme="majorHAnsi"/>
          <w:sz w:val="24"/>
          <w:szCs w:val="24"/>
          <w:shd w:val="clear" w:color="auto" w:fill="FFFFFF"/>
        </w:rPr>
        <w:t xml:space="preserve"> include gunshot wounds and broken ribs caused by blunt objects. The injuries point to the use of excessive force that did not comply with the principles of necessity and proportionality as per the Sixth Schedule of the National Police Service Act. Out of the 126 documented cases, only 3 constituted cases of civilian-to-civilian confrontation. Further, there </w:t>
      </w:r>
      <w:r w:rsidR="009E10EA" w:rsidRPr="009A092F">
        <w:rPr>
          <w:rFonts w:asciiTheme="majorHAnsi" w:hAnsiTheme="majorHAnsi" w:cstheme="majorHAnsi"/>
          <w:sz w:val="24"/>
          <w:szCs w:val="24"/>
          <w:shd w:val="clear" w:color="auto" w:fill="FFFFFF"/>
        </w:rPr>
        <w:lastRenderedPageBreak/>
        <w:t>were 6 reported cases of sexual violence against women and girls including rape which were perpetrated by civilians and police. Cases of physical injuries were also meted on the elderly, youth and children. Thirty-one cases of physical injuries involved females and 95 involved males</w:t>
      </w:r>
      <w:r w:rsidR="009E10EA" w:rsidRPr="00D2757F">
        <w:rPr>
          <w:rFonts w:asciiTheme="majorHAnsi" w:hAnsiTheme="majorHAnsi" w:cstheme="majorHAnsi"/>
          <w:sz w:val="24"/>
          <w:szCs w:val="24"/>
          <w:shd w:val="clear" w:color="auto" w:fill="FFFFFF"/>
          <w:vertAlign w:val="superscript"/>
        </w:rPr>
        <w:footnoteReference w:id="107"/>
      </w:r>
      <w:r w:rsidR="00D2757F">
        <w:rPr>
          <w:rFonts w:asciiTheme="majorHAnsi" w:hAnsiTheme="majorHAnsi" w:cstheme="majorHAnsi"/>
          <w:sz w:val="24"/>
          <w:szCs w:val="24"/>
          <w:shd w:val="clear" w:color="auto" w:fill="FFFFFF"/>
        </w:rPr>
        <w:t>.</w:t>
      </w:r>
    </w:p>
    <w:p w14:paraId="28036E98" w14:textId="50E9A533" w:rsidR="009E10EA" w:rsidRPr="009A092F" w:rsidRDefault="009E10EA"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The Commission’s findings indicate that majority of the survivors come from informal settlements where fierce protests were witnessed. </w:t>
      </w:r>
      <w:r w:rsidR="00B27138" w:rsidRPr="009A092F">
        <w:rPr>
          <w:rFonts w:asciiTheme="majorHAnsi" w:hAnsiTheme="majorHAnsi" w:cstheme="majorHAnsi"/>
          <w:sz w:val="24"/>
          <w:szCs w:val="24"/>
          <w:shd w:val="clear" w:color="auto" w:fill="FFFFFF"/>
        </w:rPr>
        <w:t>The</w:t>
      </w:r>
      <w:r w:rsidRPr="009A092F">
        <w:rPr>
          <w:rFonts w:asciiTheme="majorHAnsi" w:hAnsiTheme="majorHAnsi" w:cstheme="majorHAnsi"/>
          <w:sz w:val="24"/>
          <w:szCs w:val="24"/>
          <w:shd w:val="clear" w:color="auto" w:fill="FFFFFF"/>
        </w:rPr>
        <w:t xml:space="preserve"> KNCHR’s findings recorded cases in nine (9) counties of Nairobi, Kisumu, </w:t>
      </w:r>
      <w:proofErr w:type="spellStart"/>
      <w:r w:rsidRPr="009A092F">
        <w:rPr>
          <w:rFonts w:asciiTheme="majorHAnsi" w:hAnsiTheme="majorHAnsi" w:cstheme="majorHAnsi"/>
          <w:sz w:val="24"/>
          <w:szCs w:val="24"/>
          <w:shd w:val="clear" w:color="auto" w:fill="FFFFFF"/>
        </w:rPr>
        <w:t>Vihiga</w:t>
      </w:r>
      <w:proofErr w:type="spellEnd"/>
      <w:r w:rsidRPr="009A092F">
        <w:rPr>
          <w:rFonts w:asciiTheme="majorHAnsi" w:hAnsiTheme="majorHAnsi" w:cstheme="majorHAnsi"/>
          <w:sz w:val="24"/>
          <w:szCs w:val="24"/>
          <w:shd w:val="clear" w:color="auto" w:fill="FFFFFF"/>
        </w:rPr>
        <w:t xml:space="preserve">, Kakamega, Migori, Siaya, Busia, </w:t>
      </w:r>
      <w:proofErr w:type="spellStart"/>
      <w:r w:rsidRPr="009A092F">
        <w:rPr>
          <w:rFonts w:asciiTheme="majorHAnsi" w:hAnsiTheme="majorHAnsi" w:cstheme="majorHAnsi"/>
          <w:sz w:val="24"/>
          <w:szCs w:val="24"/>
          <w:shd w:val="clear" w:color="auto" w:fill="FFFFFF"/>
        </w:rPr>
        <w:t>Homa</w:t>
      </w:r>
      <w:proofErr w:type="spellEnd"/>
      <w:r w:rsidR="00D2757F">
        <w:rPr>
          <w:rFonts w:asciiTheme="majorHAnsi" w:hAnsiTheme="majorHAnsi" w:cstheme="majorHAnsi"/>
          <w:sz w:val="24"/>
          <w:szCs w:val="24"/>
          <w:shd w:val="clear" w:color="auto" w:fill="FFFFFF"/>
        </w:rPr>
        <w:t xml:space="preserve"> </w:t>
      </w:r>
      <w:r w:rsidRPr="009A092F">
        <w:rPr>
          <w:rFonts w:asciiTheme="majorHAnsi" w:hAnsiTheme="majorHAnsi" w:cstheme="majorHAnsi"/>
          <w:sz w:val="24"/>
          <w:szCs w:val="24"/>
          <w:shd w:val="clear" w:color="auto" w:fill="FFFFFF"/>
        </w:rPr>
        <w:t xml:space="preserve">Bay and Bungoma and one (1) case each in the Machakos and </w:t>
      </w:r>
      <w:proofErr w:type="spellStart"/>
      <w:r w:rsidRPr="009A092F">
        <w:rPr>
          <w:rFonts w:asciiTheme="majorHAnsi" w:hAnsiTheme="majorHAnsi" w:cstheme="majorHAnsi"/>
          <w:sz w:val="24"/>
          <w:szCs w:val="24"/>
          <w:shd w:val="clear" w:color="auto" w:fill="FFFFFF"/>
        </w:rPr>
        <w:t>Uasin</w:t>
      </w:r>
      <w:proofErr w:type="spellEnd"/>
      <w:r w:rsidRPr="009A092F">
        <w:rPr>
          <w:rFonts w:asciiTheme="majorHAnsi" w:hAnsiTheme="majorHAnsi" w:cstheme="majorHAnsi"/>
          <w:sz w:val="24"/>
          <w:szCs w:val="24"/>
          <w:shd w:val="clear" w:color="auto" w:fill="FFFFFF"/>
        </w:rPr>
        <w:t xml:space="preserve"> Gishu Counties. It is noteworthy that the 201 sexual violence cases are not conclusive and are a record of survivors who courageously came out to the KNCHR to share their ordeals. The most affected were women at 96.26% while men were at 3.74%. Demoralizingly, older persons were not spared with the eldest survivors being a 70-years-old female and a 68-years-old male </w:t>
      </w:r>
      <w:r w:rsidR="00022BA5" w:rsidRPr="009A092F">
        <w:rPr>
          <w:rFonts w:asciiTheme="majorHAnsi" w:hAnsiTheme="majorHAnsi" w:cstheme="majorHAnsi"/>
          <w:sz w:val="24"/>
          <w:szCs w:val="24"/>
          <w:shd w:val="clear" w:color="auto" w:fill="FFFFFF"/>
        </w:rPr>
        <w:t>and</w:t>
      </w:r>
      <w:r w:rsidR="00B27138" w:rsidRPr="009A092F">
        <w:rPr>
          <w:rFonts w:asciiTheme="majorHAnsi" w:hAnsiTheme="majorHAnsi" w:cstheme="majorHAnsi"/>
          <w:sz w:val="24"/>
          <w:szCs w:val="24"/>
          <w:shd w:val="clear" w:color="auto" w:fill="FFFFFF"/>
        </w:rPr>
        <w:t xml:space="preserve"> </w:t>
      </w:r>
      <w:r w:rsidRPr="009A092F">
        <w:rPr>
          <w:rFonts w:asciiTheme="majorHAnsi" w:hAnsiTheme="majorHAnsi" w:cstheme="majorHAnsi"/>
          <w:sz w:val="24"/>
          <w:szCs w:val="24"/>
          <w:shd w:val="clear" w:color="auto" w:fill="FFFFFF"/>
        </w:rPr>
        <w:t xml:space="preserve">young </w:t>
      </w:r>
      <w:r w:rsidR="00D2757F" w:rsidRPr="009A092F">
        <w:rPr>
          <w:rFonts w:asciiTheme="majorHAnsi" w:hAnsiTheme="majorHAnsi" w:cstheme="majorHAnsi"/>
          <w:sz w:val="24"/>
          <w:szCs w:val="24"/>
          <w:shd w:val="clear" w:color="auto" w:fill="FFFFFF"/>
        </w:rPr>
        <w:t>children as</w:t>
      </w:r>
      <w:r w:rsidR="00022BA5" w:rsidRPr="009A092F">
        <w:rPr>
          <w:rFonts w:asciiTheme="majorHAnsi" w:hAnsiTheme="majorHAnsi" w:cstheme="majorHAnsi"/>
          <w:sz w:val="24"/>
          <w:szCs w:val="24"/>
          <w:shd w:val="clear" w:color="auto" w:fill="FFFFFF"/>
        </w:rPr>
        <w:t xml:space="preserve"> young as</w:t>
      </w:r>
      <w:r w:rsidRPr="009A092F">
        <w:rPr>
          <w:rFonts w:asciiTheme="majorHAnsi" w:hAnsiTheme="majorHAnsi" w:cstheme="majorHAnsi"/>
          <w:sz w:val="24"/>
          <w:szCs w:val="24"/>
          <w:shd w:val="clear" w:color="auto" w:fill="FFFFFF"/>
        </w:rPr>
        <w:t xml:space="preserve"> seven (7) years old</w:t>
      </w:r>
      <w:r w:rsidRPr="00D2757F">
        <w:rPr>
          <w:rFonts w:asciiTheme="majorHAnsi" w:hAnsiTheme="majorHAnsi" w:cstheme="majorHAnsi"/>
          <w:sz w:val="24"/>
          <w:szCs w:val="24"/>
          <w:shd w:val="clear" w:color="auto" w:fill="FFFFFF"/>
          <w:vertAlign w:val="superscript"/>
        </w:rPr>
        <w:footnoteReference w:id="108"/>
      </w:r>
      <w:r w:rsidR="00D2757F">
        <w:rPr>
          <w:rFonts w:asciiTheme="majorHAnsi" w:hAnsiTheme="majorHAnsi" w:cstheme="majorHAnsi"/>
          <w:sz w:val="24"/>
          <w:szCs w:val="24"/>
          <w:shd w:val="clear" w:color="auto" w:fill="FFFFFF"/>
        </w:rPr>
        <w:t>.</w:t>
      </w:r>
    </w:p>
    <w:p w14:paraId="26B6878D" w14:textId="77777777" w:rsidR="009E10EA" w:rsidRPr="009A092F" w:rsidRDefault="009E10EA" w:rsidP="00D2757F">
      <w:pPr>
        <w:pStyle w:val="Heading1"/>
      </w:pPr>
      <w:bookmarkStart w:id="39" w:name="_Toc50984462"/>
      <w:r w:rsidRPr="009A092F">
        <w:t>Indigenous peoples (arts. 2, 25, 26 and 27)</w:t>
      </w:r>
      <w:bookmarkEnd w:id="39"/>
    </w:p>
    <w:p w14:paraId="437AE6E4" w14:textId="762A7BC4" w:rsidR="009E10EA" w:rsidRPr="009A092F" w:rsidRDefault="009C4F6C"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The Community Land Act</w:t>
      </w:r>
      <w:r w:rsidR="005B4A1F" w:rsidRPr="00D2757F">
        <w:rPr>
          <w:rFonts w:asciiTheme="majorHAnsi" w:hAnsiTheme="majorHAnsi" w:cstheme="majorHAnsi"/>
          <w:sz w:val="24"/>
          <w:szCs w:val="24"/>
          <w:shd w:val="clear" w:color="auto" w:fill="FFFFFF"/>
          <w:vertAlign w:val="superscript"/>
        </w:rPr>
        <w:footnoteReference w:id="109"/>
      </w:r>
      <w:r w:rsidR="009E10EA" w:rsidRPr="009A092F">
        <w:rPr>
          <w:rFonts w:asciiTheme="majorHAnsi" w:hAnsiTheme="majorHAnsi" w:cstheme="majorHAnsi"/>
          <w:sz w:val="24"/>
          <w:szCs w:val="24"/>
          <w:shd w:val="clear" w:color="auto" w:fill="FFFFFF"/>
        </w:rPr>
        <w:t xml:space="preserve"> provides for the recognition, protection and registration of community land rights; management and administration of community land; the role of county governments in relation to unregistered community. </w:t>
      </w:r>
    </w:p>
    <w:p w14:paraId="5CF89B48" w14:textId="77777777" w:rsidR="009E10EA" w:rsidRPr="009A092F" w:rsidRDefault="009E10EA"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Parliament enacted the Forest Conservat</w:t>
      </w:r>
      <w:r w:rsidR="00A15C81" w:rsidRPr="009A092F">
        <w:rPr>
          <w:rFonts w:asciiTheme="majorHAnsi" w:hAnsiTheme="majorHAnsi" w:cstheme="majorHAnsi"/>
          <w:sz w:val="24"/>
          <w:szCs w:val="24"/>
          <w:shd w:val="clear" w:color="auto" w:fill="FFFFFF"/>
        </w:rPr>
        <w:t>ion and Management Act which</w:t>
      </w:r>
      <w:r w:rsidRPr="009A092F">
        <w:rPr>
          <w:rFonts w:asciiTheme="majorHAnsi" w:hAnsiTheme="majorHAnsi" w:cstheme="majorHAnsi"/>
          <w:sz w:val="24"/>
          <w:szCs w:val="24"/>
          <w:shd w:val="clear" w:color="auto" w:fill="FFFFFF"/>
        </w:rPr>
        <w:t xml:space="preserve"> provides for the development and sustainable management, including conservation and rational utilization of all forest resources for the socio-economic development of the country. It also recognizes community participation in conservation efforts through the registration of community forest associations whose conduct shall be guided by the provisions of the Act.</w:t>
      </w:r>
    </w:p>
    <w:p w14:paraId="486A0CEC" w14:textId="1C144B60" w:rsidR="009E10EA" w:rsidRPr="009A092F" w:rsidRDefault="009E10EA"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lastRenderedPageBreak/>
        <w:t xml:space="preserve">The </w:t>
      </w:r>
      <w:proofErr w:type="spellStart"/>
      <w:r w:rsidRPr="009A092F">
        <w:rPr>
          <w:rFonts w:asciiTheme="majorHAnsi" w:hAnsiTheme="majorHAnsi" w:cstheme="majorHAnsi"/>
          <w:sz w:val="24"/>
          <w:szCs w:val="24"/>
          <w:shd w:val="clear" w:color="auto" w:fill="FFFFFF"/>
        </w:rPr>
        <w:t>Ogiek</w:t>
      </w:r>
      <w:proofErr w:type="spellEnd"/>
      <w:r w:rsidRPr="009A092F">
        <w:rPr>
          <w:rFonts w:asciiTheme="majorHAnsi" w:hAnsiTheme="majorHAnsi" w:cstheme="majorHAnsi"/>
          <w:sz w:val="24"/>
          <w:szCs w:val="24"/>
          <w:shd w:val="clear" w:color="auto" w:fill="FFFFFF"/>
        </w:rPr>
        <w:t xml:space="preserve"> community in African Commission on Human and Peoples’ Rights vs Republic of Kenya Application No. 006/2012 won the case in the African Court on Human and People’s Rights where the Kenya government was ordered to recognize and implement the decision which conferred upon the community their rights to land ownership situated in the Mau forest. </w:t>
      </w:r>
      <w:r w:rsidR="005E6DE7" w:rsidRPr="009A092F">
        <w:rPr>
          <w:rFonts w:asciiTheme="majorHAnsi" w:hAnsiTheme="majorHAnsi" w:cstheme="majorHAnsi"/>
          <w:sz w:val="24"/>
          <w:szCs w:val="24"/>
          <w:shd w:val="clear" w:color="auto" w:fill="FFFFFF"/>
        </w:rPr>
        <w:t xml:space="preserve">A </w:t>
      </w:r>
      <w:r w:rsidRPr="009A092F">
        <w:rPr>
          <w:rFonts w:asciiTheme="majorHAnsi" w:hAnsiTheme="majorHAnsi" w:cstheme="majorHAnsi"/>
          <w:sz w:val="24"/>
          <w:szCs w:val="24"/>
          <w:shd w:val="clear" w:color="auto" w:fill="FFFFFF"/>
        </w:rPr>
        <w:t>Taskforce was appointed</w:t>
      </w:r>
      <w:r w:rsidR="005E6DE7" w:rsidRPr="009A092F">
        <w:rPr>
          <w:rFonts w:asciiTheme="majorHAnsi" w:hAnsiTheme="majorHAnsi" w:cstheme="majorHAnsi"/>
          <w:sz w:val="24"/>
          <w:szCs w:val="24"/>
          <w:shd w:val="clear" w:color="auto" w:fill="FFFFFF"/>
        </w:rPr>
        <w:t xml:space="preserve"> in 2017</w:t>
      </w:r>
      <w:r w:rsidRPr="009A092F">
        <w:rPr>
          <w:rFonts w:asciiTheme="majorHAnsi" w:hAnsiTheme="majorHAnsi" w:cstheme="majorHAnsi"/>
          <w:sz w:val="24"/>
          <w:szCs w:val="24"/>
          <w:shd w:val="clear" w:color="auto" w:fill="FFFFFF"/>
        </w:rPr>
        <w:t xml:space="preserve"> by the Cabinet Secretary, Ministry of Environment and Forestry to advi</w:t>
      </w:r>
      <w:r w:rsidR="005E6DE7" w:rsidRPr="009A092F">
        <w:rPr>
          <w:rFonts w:asciiTheme="majorHAnsi" w:hAnsiTheme="majorHAnsi" w:cstheme="majorHAnsi"/>
          <w:sz w:val="24"/>
          <w:szCs w:val="24"/>
          <w:shd w:val="clear" w:color="auto" w:fill="FFFFFF"/>
        </w:rPr>
        <w:t>s</w:t>
      </w:r>
      <w:r w:rsidRPr="009A092F">
        <w:rPr>
          <w:rFonts w:asciiTheme="majorHAnsi" w:hAnsiTheme="majorHAnsi" w:cstheme="majorHAnsi"/>
          <w:sz w:val="24"/>
          <w:szCs w:val="24"/>
          <w:shd w:val="clear" w:color="auto" w:fill="FFFFFF"/>
        </w:rPr>
        <w:t xml:space="preserve">e on the implementation of the said decision of the African Court on Human and People’s Rights. The Taskforce held public hearings in June 2019 and visited the Mau Complex, </w:t>
      </w:r>
      <w:proofErr w:type="spellStart"/>
      <w:r w:rsidRPr="009A092F">
        <w:rPr>
          <w:rFonts w:asciiTheme="majorHAnsi" w:hAnsiTheme="majorHAnsi" w:cstheme="majorHAnsi"/>
          <w:sz w:val="24"/>
          <w:szCs w:val="24"/>
          <w:shd w:val="clear" w:color="auto" w:fill="FFFFFF"/>
        </w:rPr>
        <w:t>Serengonik</w:t>
      </w:r>
      <w:proofErr w:type="spellEnd"/>
      <w:r w:rsidRPr="009A092F">
        <w:rPr>
          <w:rFonts w:asciiTheme="majorHAnsi" w:hAnsiTheme="majorHAnsi" w:cstheme="majorHAnsi"/>
          <w:sz w:val="24"/>
          <w:szCs w:val="24"/>
          <w:shd w:val="clear" w:color="auto" w:fill="FFFFFF"/>
        </w:rPr>
        <w:t xml:space="preserve">, </w:t>
      </w:r>
      <w:proofErr w:type="spellStart"/>
      <w:r w:rsidRPr="009A092F">
        <w:rPr>
          <w:rFonts w:asciiTheme="majorHAnsi" w:hAnsiTheme="majorHAnsi" w:cstheme="majorHAnsi"/>
          <w:sz w:val="24"/>
          <w:szCs w:val="24"/>
          <w:shd w:val="clear" w:color="auto" w:fill="FFFFFF"/>
        </w:rPr>
        <w:t>Chepkitale</w:t>
      </w:r>
      <w:proofErr w:type="spellEnd"/>
      <w:r w:rsidRPr="009A092F">
        <w:rPr>
          <w:rFonts w:asciiTheme="majorHAnsi" w:hAnsiTheme="majorHAnsi" w:cstheme="majorHAnsi"/>
          <w:sz w:val="24"/>
          <w:szCs w:val="24"/>
          <w:shd w:val="clear" w:color="auto" w:fill="FFFFFF"/>
        </w:rPr>
        <w:t xml:space="preserve">, </w:t>
      </w:r>
      <w:proofErr w:type="spellStart"/>
      <w:r w:rsidRPr="009A092F">
        <w:rPr>
          <w:rFonts w:asciiTheme="majorHAnsi" w:hAnsiTheme="majorHAnsi" w:cstheme="majorHAnsi"/>
          <w:sz w:val="24"/>
          <w:szCs w:val="24"/>
          <w:shd w:val="clear" w:color="auto" w:fill="FFFFFF"/>
        </w:rPr>
        <w:t>Sossio</w:t>
      </w:r>
      <w:proofErr w:type="spellEnd"/>
      <w:r w:rsidRPr="009A092F">
        <w:rPr>
          <w:rFonts w:asciiTheme="majorHAnsi" w:hAnsiTheme="majorHAnsi" w:cstheme="majorHAnsi"/>
          <w:sz w:val="24"/>
          <w:szCs w:val="24"/>
          <w:shd w:val="clear" w:color="auto" w:fill="FFFFFF"/>
        </w:rPr>
        <w:t xml:space="preserve">, </w:t>
      </w:r>
      <w:proofErr w:type="spellStart"/>
      <w:r w:rsidRPr="009A092F">
        <w:rPr>
          <w:rFonts w:asciiTheme="majorHAnsi" w:hAnsiTheme="majorHAnsi" w:cstheme="majorHAnsi"/>
          <w:sz w:val="24"/>
          <w:szCs w:val="24"/>
          <w:shd w:val="clear" w:color="auto" w:fill="FFFFFF"/>
        </w:rPr>
        <w:t>Kapolet</w:t>
      </w:r>
      <w:proofErr w:type="spellEnd"/>
      <w:r w:rsidRPr="009A092F">
        <w:rPr>
          <w:rFonts w:asciiTheme="majorHAnsi" w:hAnsiTheme="majorHAnsi" w:cstheme="majorHAnsi"/>
          <w:sz w:val="24"/>
          <w:szCs w:val="24"/>
          <w:shd w:val="clear" w:color="auto" w:fill="FFFFFF"/>
        </w:rPr>
        <w:t xml:space="preserve"> and </w:t>
      </w:r>
      <w:proofErr w:type="spellStart"/>
      <w:r w:rsidRPr="009A092F">
        <w:rPr>
          <w:rFonts w:asciiTheme="majorHAnsi" w:hAnsiTheme="majorHAnsi" w:cstheme="majorHAnsi"/>
          <w:sz w:val="24"/>
          <w:szCs w:val="24"/>
          <w:shd w:val="clear" w:color="auto" w:fill="FFFFFF"/>
        </w:rPr>
        <w:t>Mukogodo</w:t>
      </w:r>
      <w:proofErr w:type="spellEnd"/>
      <w:r w:rsidRPr="009A092F">
        <w:rPr>
          <w:rFonts w:asciiTheme="majorHAnsi" w:hAnsiTheme="majorHAnsi" w:cstheme="majorHAnsi"/>
          <w:sz w:val="24"/>
          <w:szCs w:val="24"/>
          <w:shd w:val="clear" w:color="auto" w:fill="FFFFFF"/>
        </w:rPr>
        <w:t xml:space="preserve"> forests and received submissions from the </w:t>
      </w:r>
      <w:proofErr w:type="spellStart"/>
      <w:r w:rsidRPr="009A092F">
        <w:rPr>
          <w:rFonts w:asciiTheme="majorHAnsi" w:hAnsiTheme="majorHAnsi" w:cstheme="majorHAnsi"/>
          <w:sz w:val="24"/>
          <w:szCs w:val="24"/>
          <w:shd w:val="clear" w:color="auto" w:fill="FFFFFF"/>
        </w:rPr>
        <w:t>Ogiek</w:t>
      </w:r>
      <w:proofErr w:type="spellEnd"/>
      <w:r w:rsidRPr="009A092F">
        <w:rPr>
          <w:rFonts w:asciiTheme="majorHAnsi" w:hAnsiTheme="majorHAnsi" w:cstheme="majorHAnsi"/>
          <w:sz w:val="24"/>
          <w:szCs w:val="24"/>
          <w:shd w:val="clear" w:color="auto" w:fill="FFFFFF"/>
        </w:rPr>
        <w:t xml:space="preserve">, </w:t>
      </w:r>
      <w:proofErr w:type="spellStart"/>
      <w:r w:rsidRPr="009A092F">
        <w:rPr>
          <w:rFonts w:asciiTheme="majorHAnsi" w:hAnsiTheme="majorHAnsi" w:cstheme="majorHAnsi"/>
          <w:sz w:val="24"/>
          <w:szCs w:val="24"/>
          <w:shd w:val="clear" w:color="auto" w:fill="FFFFFF"/>
        </w:rPr>
        <w:t>Sengwer</w:t>
      </w:r>
      <w:proofErr w:type="spellEnd"/>
      <w:r w:rsidRPr="009A092F">
        <w:rPr>
          <w:rFonts w:asciiTheme="majorHAnsi" w:hAnsiTheme="majorHAnsi" w:cstheme="majorHAnsi"/>
          <w:sz w:val="24"/>
          <w:szCs w:val="24"/>
          <w:shd w:val="clear" w:color="auto" w:fill="FFFFFF"/>
        </w:rPr>
        <w:t xml:space="preserve">, </w:t>
      </w:r>
      <w:proofErr w:type="spellStart"/>
      <w:r w:rsidRPr="009A092F">
        <w:rPr>
          <w:rFonts w:asciiTheme="majorHAnsi" w:hAnsiTheme="majorHAnsi" w:cstheme="majorHAnsi"/>
          <w:sz w:val="24"/>
          <w:szCs w:val="24"/>
          <w:shd w:val="clear" w:color="auto" w:fill="FFFFFF"/>
        </w:rPr>
        <w:t>Yaaku</w:t>
      </w:r>
      <w:proofErr w:type="spellEnd"/>
      <w:r w:rsidRPr="009A092F">
        <w:rPr>
          <w:rFonts w:asciiTheme="majorHAnsi" w:hAnsiTheme="majorHAnsi" w:cstheme="majorHAnsi"/>
          <w:sz w:val="24"/>
          <w:szCs w:val="24"/>
          <w:shd w:val="clear" w:color="auto" w:fill="FFFFFF"/>
        </w:rPr>
        <w:t xml:space="preserve"> and other communities</w:t>
      </w:r>
      <w:r w:rsidRPr="00D2757F">
        <w:rPr>
          <w:rFonts w:asciiTheme="majorHAnsi" w:hAnsiTheme="majorHAnsi" w:cstheme="majorHAnsi"/>
          <w:sz w:val="24"/>
          <w:szCs w:val="24"/>
          <w:shd w:val="clear" w:color="auto" w:fill="FFFFFF"/>
          <w:vertAlign w:val="superscript"/>
        </w:rPr>
        <w:footnoteReference w:id="110"/>
      </w:r>
      <w:r w:rsidR="00D2757F">
        <w:rPr>
          <w:rFonts w:asciiTheme="majorHAnsi" w:hAnsiTheme="majorHAnsi" w:cstheme="majorHAnsi"/>
          <w:sz w:val="24"/>
          <w:szCs w:val="24"/>
          <w:shd w:val="clear" w:color="auto" w:fill="FFFFFF"/>
        </w:rPr>
        <w:t>.</w:t>
      </w:r>
    </w:p>
    <w:p w14:paraId="277E8590" w14:textId="52C02572" w:rsidR="00E426FD" w:rsidRPr="009A092F" w:rsidRDefault="009E10EA"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The Taskforce has </w:t>
      </w:r>
      <w:r w:rsidR="005E6DE7" w:rsidRPr="009A092F">
        <w:rPr>
          <w:rFonts w:asciiTheme="majorHAnsi" w:hAnsiTheme="majorHAnsi" w:cstheme="majorHAnsi"/>
          <w:sz w:val="24"/>
          <w:szCs w:val="24"/>
          <w:shd w:val="clear" w:color="auto" w:fill="FFFFFF"/>
        </w:rPr>
        <w:t xml:space="preserve">also </w:t>
      </w:r>
      <w:r w:rsidRPr="009A092F">
        <w:rPr>
          <w:rFonts w:asciiTheme="majorHAnsi" w:hAnsiTheme="majorHAnsi" w:cstheme="majorHAnsi"/>
          <w:sz w:val="24"/>
          <w:szCs w:val="24"/>
          <w:shd w:val="clear" w:color="auto" w:fill="FFFFFF"/>
        </w:rPr>
        <w:t xml:space="preserve">conducted public participation </w:t>
      </w:r>
      <w:r w:rsidR="005E6DE7" w:rsidRPr="009A092F">
        <w:rPr>
          <w:rFonts w:asciiTheme="majorHAnsi" w:hAnsiTheme="majorHAnsi" w:cstheme="majorHAnsi"/>
          <w:sz w:val="24"/>
          <w:szCs w:val="24"/>
          <w:shd w:val="clear" w:color="auto" w:fill="FFFFFF"/>
        </w:rPr>
        <w:t>hearings in</w:t>
      </w:r>
      <w:r w:rsidRPr="009A092F">
        <w:rPr>
          <w:rFonts w:asciiTheme="majorHAnsi" w:hAnsiTheme="majorHAnsi" w:cstheme="majorHAnsi"/>
          <w:sz w:val="24"/>
          <w:szCs w:val="24"/>
          <w:shd w:val="clear" w:color="auto" w:fill="FFFFFF"/>
        </w:rPr>
        <w:t xml:space="preserve"> the Mau Complex on 6th February 2019</w:t>
      </w:r>
      <w:r w:rsidR="005E6DE7" w:rsidRPr="009A092F">
        <w:rPr>
          <w:rFonts w:asciiTheme="majorHAnsi" w:hAnsiTheme="majorHAnsi" w:cstheme="majorHAnsi"/>
          <w:sz w:val="24"/>
          <w:szCs w:val="24"/>
          <w:shd w:val="clear" w:color="auto" w:fill="FFFFFF"/>
        </w:rPr>
        <w:t xml:space="preserve"> and </w:t>
      </w:r>
      <w:proofErr w:type="spellStart"/>
      <w:r w:rsidRPr="009A092F">
        <w:rPr>
          <w:rFonts w:asciiTheme="majorHAnsi" w:hAnsiTheme="majorHAnsi" w:cstheme="majorHAnsi"/>
          <w:sz w:val="24"/>
          <w:szCs w:val="24"/>
          <w:shd w:val="clear" w:color="auto" w:fill="FFFFFF"/>
        </w:rPr>
        <w:t>Embobut</w:t>
      </w:r>
      <w:proofErr w:type="spellEnd"/>
      <w:r w:rsidRPr="009A092F">
        <w:rPr>
          <w:rFonts w:asciiTheme="majorHAnsi" w:hAnsiTheme="majorHAnsi" w:cstheme="majorHAnsi"/>
          <w:sz w:val="24"/>
          <w:szCs w:val="24"/>
          <w:shd w:val="clear" w:color="auto" w:fill="FFFFFF"/>
        </w:rPr>
        <w:t xml:space="preserve"> Forest on 3rd April 2019</w:t>
      </w:r>
      <w:r w:rsidR="005E6DE7" w:rsidRPr="009A092F">
        <w:rPr>
          <w:rFonts w:asciiTheme="majorHAnsi" w:hAnsiTheme="majorHAnsi" w:cstheme="majorHAnsi"/>
          <w:sz w:val="24"/>
          <w:szCs w:val="24"/>
          <w:shd w:val="clear" w:color="auto" w:fill="FFFFFF"/>
        </w:rPr>
        <w:t>.</w:t>
      </w:r>
      <w:r w:rsidRPr="009A092F">
        <w:rPr>
          <w:rFonts w:asciiTheme="majorHAnsi" w:hAnsiTheme="majorHAnsi" w:cstheme="majorHAnsi"/>
          <w:sz w:val="24"/>
          <w:szCs w:val="24"/>
          <w:shd w:val="clear" w:color="auto" w:fill="FFFFFF"/>
        </w:rPr>
        <w:t xml:space="preserve"> A stakeholder’s forum was held at the Kenya Meteorological Department Offices in Nairobi on 9th April 2019 during which different stakeholders shared their views on how best the Judgment of the African Court on Human and Peoples Rights can be implemented. As at the time of conclusion of this Report, the Taskforce had submitted its report to the Ministry of Environment a</w:t>
      </w:r>
      <w:r w:rsidR="009C4F6C" w:rsidRPr="009A092F">
        <w:rPr>
          <w:rFonts w:asciiTheme="majorHAnsi" w:hAnsiTheme="majorHAnsi" w:cstheme="majorHAnsi"/>
          <w:sz w:val="24"/>
          <w:szCs w:val="24"/>
          <w:shd w:val="clear" w:color="auto" w:fill="FFFFFF"/>
        </w:rPr>
        <w:t xml:space="preserve">nd Forestry for consideration. </w:t>
      </w:r>
    </w:p>
    <w:p w14:paraId="75B14CFF" w14:textId="0C01BDEA" w:rsidR="000C0509" w:rsidRPr="009A092F" w:rsidRDefault="000C0509" w:rsidP="009A092F">
      <w:pPr>
        <w:spacing w:before="240" w:after="240" w:line="360" w:lineRule="auto"/>
        <w:jc w:val="both"/>
        <w:rPr>
          <w:rFonts w:asciiTheme="majorHAnsi" w:hAnsiTheme="majorHAnsi" w:cstheme="majorHAnsi"/>
          <w:sz w:val="24"/>
          <w:szCs w:val="24"/>
          <w:shd w:val="clear" w:color="auto" w:fill="FFFFFF"/>
        </w:rPr>
      </w:pPr>
      <w:r w:rsidRPr="009A092F">
        <w:rPr>
          <w:rFonts w:asciiTheme="majorHAnsi" w:hAnsiTheme="majorHAnsi" w:cstheme="majorHAnsi"/>
          <w:sz w:val="24"/>
          <w:szCs w:val="24"/>
          <w:shd w:val="clear" w:color="auto" w:fill="FFFFFF"/>
        </w:rPr>
        <w:t xml:space="preserve">The Commission </w:t>
      </w:r>
      <w:r w:rsidR="00FC0F00" w:rsidRPr="009A092F">
        <w:rPr>
          <w:rFonts w:asciiTheme="majorHAnsi" w:hAnsiTheme="majorHAnsi" w:cstheme="majorHAnsi"/>
          <w:sz w:val="24"/>
          <w:szCs w:val="24"/>
          <w:shd w:val="clear" w:color="auto" w:fill="FFFFFF"/>
        </w:rPr>
        <w:t xml:space="preserve">has </w:t>
      </w:r>
      <w:r w:rsidRPr="009A092F">
        <w:rPr>
          <w:rFonts w:asciiTheme="majorHAnsi" w:hAnsiTheme="majorHAnsi" w:cstheme="majorHAnsi"/>
          <w:sz w:val="24"/>
          <w:szCs w:val="24"/>
          <w:shd w:val="clear" w:color="auto" w:fill="FFFFFF"/>
        </w:rPr>
        <w:t xml:space="preserve">pursuant to its constitutional and statutory mandate carried out investigations and documented human rights violation committed against </w:t>
      </w:r>
      <w:proofErr w:type="spellStart"/>
      <w:r w:rsidRPr="009A092F">
        <w:rPr>
          <w:rFonts w:asciiTheme="majorHAnsi" w:hAnsiTheme="majorHAnsi" w:cstheme="majorHAnsi"/>
          <w:sz w:val="24"/>
          <w:szCs w:val="24"/>
          <w:shd w:val="clear" w:color="auto" w:fill="FFFFFF"/>
        </w:rPr>
        <w:t>Sengwer</w:t>
      </w:r>
      <w:proofErr w:type="spellEnd"/>
      <w:r w:rsidRPr="009A092F">
        <w:rPr>
          <w:rFonts w:asciiTheme="majorHAnsi" w:hAnsiTheme="majorHAnsi" w:cstheme="majorHAnsi"/>
          <w:sz w:val="24"/>
          <w:szCs w:val="24"/>
          <w:shd w:val="clear" w:color="auto" w:fill="FFFFFF"/>
        </w:rPr>
        <w:t xml:space="preserve"> Community who live in </w:t>
      </w:r>
      <w:proofErr w:type="spellStart"/>
      <w:r w:rsidRPr="009A092F">
        <w:rPr>
          <w:rFonts w:asciiTheme="majorHAnsi" w:hAnsiTheme="majorHAnsi" w:cstheme="majorHAnsi"/>
          <w:sz w:val="24"/>
          <w:szCs w:val="24"/>
          <w:shd w:val="clear" w:color="auto" w:fill="FFFFFF"/>
        </w:rPr>
        <w:t>Embobut</w:t>
      </w:r>
      <w:proofErr w:type="spellEnd"/>
      <w:r w:rsidRPr="009A092F">
        <w:rPr>
          <w:rFonts w:asciiTheme="majorHAnsi" w:hAnsiTheme="majorHAnsi" w:cstheme="majorHAnsi"/>
          <w:sz w:val="24"/>
          <w:szCs w:val="24"/>
          <w:shd w:val="clear" w:color="auto" w:fill="FFFFFF"/>
        </w:rPr>
        <w:t xml:space="preserve"> Forest and prepared a report</w:t>
      </w:r>
      <w:r w:rsidRPr="00D2757F">
        <w:rPr>
          <w:rFonts w:asciiTheme="majorHAnsi" w:hAnsiTheme="majorHAnsi" w:cstheme="majorHAnsi"/>
          <w:sz w:val="24"/>
          <w:szCs w:val="24"/>
          <w:shd w:val="clear" w:color="auto" w:fill="FFFFFF"/>
          <w:vertAlign w:val="superscript"/>
        </w:rPr>
        <w:footnoteReference w:id="111"/>
      </w:r>
      <w:r w:rsidRPr="009A092F">
        <w:rPr>
          <w:rFonts w:asciiTheme="majorHAnsi" w:hAnsiTheme="majorHAnsi" w:cstheme="majorHAnsi"/>
          <w:sz w:val="24"/>
          <w:szCs w:val="24"/>
          <w:shd w:val="clear" w:color="auto" w:fill="FFFFFF"/>
        </w:rPr>
        <w:t>. The report and recommendations contained therein were shared by the Commission with the Ministry of Environment and Forestry and the Kenya Forestry Services.</w:t>
      </w:r>
    </w:p>
    <w:p w14:paraId="669393A9" w14:textId="5B509D9F" w:rsidR="00364140" w:rsidRDefault="00364140" w:rsidP="000C0509">
      <w:pPr>
        <w:spacing w:line="276" w:lineRule="auto"/>
        <w:jc w:val="both"/>
        <w:rPr>
          <w:rFonts w:asciiTheme="majorHAnsi" w:hAnsiTheme="majorHAnsi" w:cstheme="majorHAnsi"/>
          <w:sz w:val="24"/>
          <w:szCs w:val="24"/>
        </w:rPr>
      </w:pPr>
    </w:p>
    <w:p w14:paraId="3EBBD6BF" w14:textId="472A2C23" w:rsidR="00364140" w:rsidRDefault="00364140" w:rsidP="000C0509">
      <w:pPr>
        <w:spacing w:line="276" w:lineRule="auto"/>
        <w:jc w:val="both"/>
        <w:rPr>
          <w:rFonts w:asciiTheme="majorHAnsi" w:hAnsiTheme="majorHAnsi" w:cstheme="majorHAnsi"/>
          <w:sz w:val="24"/>
          <w:szCs w:val="24"/>
        </w:rPr>
      </w:pPr>
    </w:p>
    <w:p w14:paraId="37EC10E2" w14:textId="79229415" w:rsidR="00364140" w:rsidRPr="00364140" w:rsidRDefault="00364140" w:rsidP="00364140">
      <w:pPr>
        <w:spacing w:line="276" w:lineRule="auto"/>
        <w:jc w:val="center"/>
        <w:rPr>
          <w:rFonts w:asciiTheme="majorHAnsi" w:hAnsiTheme="majorHAnsi" w:cstheme="majorHAnsi"/>
          <w:sz w:val="24"/>
          <w:szCs w:val="24"/>
        </w:rPr>
      </w:pPr>
      <w:r>
        <w:rPr>
          <w:rFonts w:asciiTheme="majorHAnsi" w:hAnsiTheme="majorHAnsi" w:cstheme="majorHAnsi"/>
          <w:sz w:val="24"/>
          <w:szCs w:val="24"/>
        </w:rPr>
        <w:t>_____</w:t>
      </w:r>
      <w:r w:rsidR="00D2757F" w:rsidRPr="00D2757F">
        <w:rPr>
          <w:rFonts w:asciiTheme="majorHAnsi" w:hAnsiTheme="majorHAnsi" w:cstheme="majorHAnsi"/>
          <w:b/>
          <w:bCs/>
          <w:sz w:val="24"/>
          <w:szCs w:val="24"/>
        </w:rPr>
        <w:t>End</w:t>
      </w:r>
      <w:r>
        <w:rPr>
          <w:rFonts w:asciiTheme="majorHAnsi" w:hAnsiTheme="majorHAnsi" w:cstheme="majorHAnsi"/>
          <w:sz w:val="24"/>
          <w:szCs w:val="24"/>
        </w:rPr>
        <w:t>_____</w:t>
      </w:r>
    </w:p>
    <w:sectPr w:rsidR="00364140" w:rsidRPr="00364140" w:rsidSect="003B4661">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248EE0" w14:textId="77777777" w:rsidR="00B52A88" w:rsidRDefault="00B52A88" w:rsidP="000E7344">
      <w:pPr>
        <w:spacing w:after="0" w:line="240" w:lineRule="auto"/>
      </w:pPr>
      <w:r>
        <w:separator/>
      </w:r>
    </w:p>
  </w:endnote>
  <w:endnote w:type="continuationSeparator" w:id="0">
    <w:p w14:paraId="62EE8244" w14:textId="77777777" w:rsidR="00B52A88" w:rsidRDefault="00B52A88" w:rsidP="000E7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686600"/>
      <w:docPartObj>
        <w:docPartGallery w:val="Page Numbers (Bottom of Page)"/>
        <w:docPartUnique/>
      </w:docPartObj>
    </w:sdtPr>
    <w:sdtEndPr>
      <w:rPr>
        <w:noProof/>
      </w:rPr>
    </w:sdtEndPr>
    <w:sdtContent>
      <w:p w14:paraId="276CBDEB" w14:textId="5AE0F379" w:rsidR="003878C9" w:rsidRDefault="003878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46FF4" w14:textId="77777777" w:rsidR="003878C9" w:rsidRDefault="00387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DC6102" w14:textId="77777777" w:rsidR="00B52A88" w:rsidRDefault="00B52A88" w:rsidP="000E7344">
      <w:pPr>
        <w:spacing w:after="0" w:line="240" w:lineRule="auto"/>
      </w:pPr>
      <w:r>
        <w:separator/>
      </w:r>
    </w:p>
  </w:footnote>
  <w:footnote w:type="continuationSeparator" w:id="0">
    <w:p w14:paraId="287FC8D6" w14:textId="77777777" w:rsidR="00B52A88" w:rsidRDefault="00B52A88" w:rsidP="000E7344">
      <w:pPr>
        <w:spacing w:after="0" w:line="240" w:lineRule="auto"/>
      </w:pPr>
      <w:r>
        <w:continuationSeparator/>
      </w:r>
    </w:p>
  </w:footnote>
  <w:footnote w:id="1">
    <w:p w14:paraId="5D772BE3" w14:textId="77777777" w:rsidR="003878C9" w:rsidRPr="00D2757F" w:rsidRDefault="003878C9" w:rsidP="00D2757F">
      <w:pPr>
        <w:pStyle w:val="FootnoteText"/>
        <w:rPr>
          <w:rFonts w:asciiTheme="majorHAnsi" w:hAnsiTheme="majorHAnsi" w:cstheme="majorHAnsi"/>
          <w:lang w:val="en-US"/>
        </w:rPr>
      </w:pPr>
      <w:r w:rsidRPr="00D2757F">
        <w:rPr>
          <w:rStyle w:val="FootnoteReference"/>
          <w:rFonts w:asciiTheme="majorHAnsi" w:hAnsiTheme="majorHAnsi" w:cstheme="majorHAnsi"/>
        </w:rPr>
        <w:footnoteRef/>
      </w:r>
      <w:r w:rsidRPr="00D2757F">
        <w:rPr>
          <w:rFonts w:asciiTheme="majorHAnsi" w:hAnsiTheme="majorHAnsi" w:cstheme="majorHAnsi"/>
        </w:rPr>
        <w:t xml:space="preserve"> </w:t>
      </w:r>
      <w:r w:rsidRPr="00D2757F">
        <w:rPr>
          <w:rFonts w:asciiTheme="majorHAnsi" w:hAnsiTheme="majorHAnsi" w:cstheme="majorHAnsi"/>
          <w:lang w:val="en-US"/>
        </w:rPr>
        <w:t xml:space="preserve">Act No 14 of 2011 available at </w:t>
      </w:r>
      <w:hyperlink r:id="rId1" w:history="1">
        <w:r w:rsidRPr="00D2757F">
          <w:rPr>
            <w:rStyle w:val="Hyperlink"/>
            <w:rFonts w:asciiTheme="majorHAnsi" w:hAnsiTheme="majorHAnsi" w:cstheme="majorHAnsi"/>
            <w:lang w:val="en-US"/>
          </w:rPr>
          <w:t>http://www.kenyalaw.org/lex//actview.xql?actid=No.%2014%20of%202011</w:t>
        </w:r>
      </w:hyperlink>
      <w:r w:rsidRPr="00D2757F">
        <w:rPr>
          <w:rFonts w:asciiTheme="majorHAnsi" w:hAnsiTheme="majorHAnsi" w:cstheme="majorHAnsi"/>
          <w:lang w:val="en-US"/>
        </w:rPr>
        <w:t>.</w:t>
      </w:r>
    </w:p>
  </w:footnote>
  <w:footnote w:id="2">
    <w:p w14:paraId="3FDB9415" w14:textId="77777777" w:rsidR="003878C9" w:rsidRPr="00D2757F" w:rsidRDefault="003878C9" w:rsidP="00D2757F">
      <w:pPr>
        <w:spacing w:after="0" w:line="240" w:lineRule="auto"/>
        <w:textAlignment w:val="baseline"/>
        <w:rPr>
          <w:rFonts w:asciiTheme="majorHAnsi" w:hAnsiTheme="majorHAnsi" w:cstheme="majorHAnsi"/>
          <w:sz w:val="20"/>
          <w:szCs w:val="20"/>
        </w:rPr>
      </w:pPr>
      <w:r w:rsidRPr="00D2757F">
        <w:rPr>
          <w:rStyle w:val="FootnoteReference"/>
          <w:rFonts w:asciiTheme="majorHAnsi" w:hAnsiTheme="majorHAnsi" w:cstheme="majorHAnsi"/>
          <w:sz w:val="20"/>
          <w:szCs w:val="20"/>
        </w:rPr>
        <w:footnoteRef/>
      </w:r>
      <w:r w:rsidRPr="00D2757F">
        <w:rPr>
          <w:rFonts w:asciiTheme="majorHAnsi" w:hAnsiTheme="majorHAnsi" w:cstheme="majorHAnsi"/>
          <w:sz w:val="20"/>
          <w:szCs w:val="20"/>
        </w:rPr>
        <w:t xml:space="preserve"> Act No 9 of 2002 (repealed). The History of the institution however dates further back in 1996 when the then His Excellency President Moi set up a </w:t>
      </w:r>
      <w:r w:rsidRPr="00D2757F">
        <w:rPr>
          <w:rFonts w:asciiTheme="majorHAnsi" w:eastAsiaTheme="minorEastAsia" w:hAnsiTheme="majorHAnsi" w:cstheme="majorHAnsi"/>
          <w:kern w:val="24"/>
          <w:sz w:val="20"/>
          <w:szCs w:val="20"/>
        </w:rPr>
        <w:t>Standing Committee on Human Rights (SCHR</w:t>
      </w:r>
      <w:r w:rsidRPr="00D2757F">
        <w:rPr>
          <w:rFonts w:asciiTheme="majorHAnsi" w:hAnsiTheme="majorHAnsi" w:cstheme="majorHAnsi"/>
          <w:sz w:val="20"/>
          <w:szCs w:val="20"/>
        </w:rPr>
        <w:t xml:space="preserve">) </w:t>
      </w:r>
      <w:r w:rsidRPr="00D2757F">
        <w:rPr>
          <w:rFonts w:asciiTheme="majorHAnsi" w:eastAsiaTheme="minorEastAsia" w:hAnsiTheme="majorHAnsi" w:cstheme="majorHAnsi"/>
          <w:kern w:val="24"/>
          <w:sz w:val="20"/>
          <w:szCs w:val="20"/>
        </w:rPr>
        <w:t>vide</w:t>
      </w:r>
      <w:r w:rsidRPr="00D2757F">
        <w:rPr>
          <w:rFonts w:asciiTheme="majorHAnsi" w:hAnsiTheme="majorHAnsi" w:cstheme="majorHAnsi"/>
          <w:sz w:val="20"/>
          <w:szCs w:val="20"/>
        </w:rPr>
        <w:t xml:space="preserve"> a gazette notice</w:t>
      </w:r>
      <w:r w:rsidRPr="00D2757F">
        <w:rPr>
          <w:rFonts w:asciiTheme="majorHAnsi" w:eastAsiaTheme="minorEastAsia" w:hAnsiTheme="majorHAnsi" w:cstheme="majorHAnsi"/>
          <w:kern w:val="24"/>
          <w:sz w:val="20"/>
          <w:szCs w:val="20"/>
        </w:rPr>
        <w:t xml:space="preserve"> </w:t>
      </w:r>
      <w:r w:rsidRPr="00D2757F">
        <w:rPr>
          <w:rFonts w:asciiTheme="majorHAnsi" w:hAnsiTheme="majorHAnsi" w:cstheme="majorHAnsi"/>
          <w:sz w:val="20"/>
          <w:szCs w:val="20"/>
        </w:rPr>
        <w:t>of June 1996.</w:t>
      </w:r>
    </w:p>
  </w:footnote>
  <w:footnote w:id="3">
    <w:p w14:paraId="65CCC3B1" w14:textId="77777777" w:rsidR="003878C9" w:rsidRPr="00D2757F" w:rsidRDefault="003878C9" w:rsidP="00D2757F">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Letter from the Hon Attorney General to the Secretariat of the Committee on the Rights of Persons with Disabilities referenced DOJ/COM/8/21/TY (97) dated 9</w:t>
      </w:r>
      <w:r w:rsidRPr="00D2757F">
        <w:rPr>
          <w:rFonts w:asciiTheme="majorHAnsi" w:hAnsiTheme="majorHAnsi" w:cstheme="majorHAnsi"/>
          <w:vertAlign w:val="superscript"/>
        </w:rPr>
        <w:t>th</w:t>
      </w:r>
      <w:r w:rsidRPr="00D2757F">
        <w:rPr>
          <w:rFonts w:asciiTheme="majorHAnsi" w:hAnsiTheme="majorHAnsi" w:cstheme="majorHAnsi"/>
        </w:rPr>
        <w:t xml:space="preserve"> June 2017 nominating the Kenya National Commission on Human Rights as the Monitoring Agency under the United Nations Convention on the Rights of Persons with Disabilities. </w:t>
      </w:r>
    </w:p>
  </w:footnote>
  <w:footnote w:id="4">
    <w:p w14:paraId="7B7C43E0" w14:textId="77777777" w:rsidR="003878C9" w:rsidRPr="00D2757F" w:rsidRDefault="003878C9" w:rsidP="00D2757F">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 xml:space="preserve"> Act No 12 of 2017 available at </w:t>
      </w:r>
      <w:hyperlink r:id="rId2" w:history="1">
        <w:r w:rsidRPr="00D2757F">
          <w:rPr>
            <w:rStyle w:val="Hyperlink"/>
            <w:rFonts w:asciiTheme="majorHAnsi" w:hAnsiTheme="majorHAnsi" w:cstheme="majorHAnsi"/>
          </w:rPr>
          <w:t>http://www.kenyalaw.org/lex//actview.xql?actid=No.%2012%20of%202017</w:t>
        </w:r>
      </w:hyperlink>
      <w:r w:rsidRPr="00D2757F">
        <w:rPr>
          <w:rFonts w:asciiTheme="majorHAnsi" w:hAnsiTheme="majorHAnsi" w:cstheme="majorHAnsi"/>
        </w:rPr>
        <w:t>.</w:t>
      </w:r>
    </w:p>
  </w:footnote>
  <w:footnote w:id="5">
    <w:p w14:paraId="6944DBC3" w14:textId="77777777" w:rsidR="003878C9" w:rsidRPr="00D2757F" w:rsidRDefault="003878C9" w:rsidP="00D2757F">
      <w:pPr>
        <w:spacing w:after="0" w:line="240" w:lineRule="auto"/>
        <w:rPr>
          <w:rFonts w:asciiTheme="majorHAnsi" w:hAnsiTheme="majorHAnsi" w:cstheme="majorHAnsi"/>
          <w:bCs/>
          <w:sz w:val="20"/>
          <w:szCs w:val="20"/>
        </w:rPr>
      </w:pPr>
      <w:r w:rsidRPr="00D2757F">
        <w:rPr>
          <w:rStyle w:val="FootnoteReference"/>
          <w:rFonts w:asciiTheme="majorHAnsi" w:hAnsiTheme="majorHAnsi" w:cstheme="majorHAnsi"/>
          <w:sz w:val="20"/>
          <w:szCs w:val="20"/>
        </w:rPr>
        <w:footnoteRef/>
      </w:r>
      <w:r w:rsidRPr="00D2757F">
        <w:rPr>
          <w:rFonts w:asciiTheme="majorHAnsi" w:hAnsiTheme="majorHAnsi" w:cstheme="majorHAnsi"/>
          <w:sz w:val="20"/>
          <w:szCs w:val="20"/>
        </w:rPr>
        <w:t xml:space="preserve"> Status granted during the </w:t>
      </w:r>
      <w:hyperlink r:id="rId3" w:history="1">
        <w:r w:rsidRPr="00D2757F">
          <w:rPr>
            <w:rStyle w:val="Hyperlink"/>
            <w:rFonts w:asciiTheme="majorHAnsi" w:eastAsia="Arial Unicode MS" w:hAnsiTheme="majorHAnsi" w:cstheme="majorHAnsi"/>
            <w:sz w:val="20"/>
            <w:szCs w:val="20"/>
          </w:rPr>
          <w:t>36th Ordinary Session</w:t>
        </w:r>
      </w:hyperlink>
      <w:r w:rsidRPr="00D2757F">
        <w:rPr>
          <w:rFonts w:asciiTheme="majorHAnsi" w:hAnsiTheme="majorHAnsi" w:cstheme="majorHAnsi"/>
          <w:sz w:val="20"/>
          <w:szCs w:val="20"/>
        </w:rPr>
        <w:t xml:space="preserve"> of the African Commission on Human and Peoples’ Rights held in Dakar Senegal between 23</w:t>
      </w:r>
      <w:r w:rsidRPr="00D2757F">
        <w:rPr>
          <w:rFonts w:asciiTheme="majorHAnsi" w:hAnsiTheme="majorHAnsi" w:cstheme="majorHAnsi"/>
          <w:sz w:val="20"/>
          <w:szCs w:val="20"/>
          <w:vertAlign w:val="superscript"/>
        </w:rPr>
        <w:t>rd</w:t>
      </w:r>
      <w:r w:rsidRPr="00D2757F">
        <w:rPr>
          <w:rFonts w:asciiTheme="majorHAnsi" w:hAnsiTheme="majorHAnsi" w:cstheme="majorHAnsi"/>
          <w:sz w:val="20"/>
          <w:szCs w:val="20"/>
        </w:rPr>
        <w:t xml:space="preserve"> November and 7</w:t>
      </w:r>
      <w:r w:rsidRPr="00D2757F">
        <w:rPr>
          <w:rFonts w:asciiTheme="majorHAnsi" w:hAnsiTheme="majorHAnsi" w:cstheme="majorHAnsi"/>
          <w:sz w:val="20"/>
          <w:szCs w:val="20"/>
          <w:vertAlign w:val="superscript"/>
        </w:rPr>
        <w:t>th</w:t>
      </w:r>
      <w:r w:rsidRPr="00D2757F">
        <w:rPr>
          <w:rFonts w:asciiTheme="majorHAnsi" w:hAnsiTheme="majorHAnsi" w:cstheme="majorHAnsi"/>
          <w:sz w:val="20"/>
          <w:szCs w:val="20"/>
        </w:rPr>
        <w:t xml:space="preserve"> December 2004. This is in line with the Resolution on the Granting of Affiliate Status to National Human Rights Institutions and Specialized Human Rights Institutions in Africa - ACHPR/Res. 370 (lx) 2017, available at </w:t>
      </w:r>
      <w:hyperlink r:id="rId4" w:history="1">
        <w:r w:rsidRPr="00D2757F">
          <w:rPr>
            <w:rStyle w:val="Hyperlink"/>
            <w:rFonts w:asciiTheme="majorHAnsi" w:eastAsia="Arial Unicode MS" w:hAnsiTheme="majorHAnsi" w:cstheme="majorHAnsi"/>
            <w:sz w:val="20"/>
            <w:szCs w:val="20"/>
          </w:rPr>
          <w:t>http://www.achpr.org/sessions/60th/resolutions/370/</w:t>
        </w:r>
      </w:hyperlink>
      <w:r w:rsidRPr="00D2757F">
        <w:rPr>
          <w:rFonts w:asciiTheme="majorHAnsi" w:hAnsiTheme="majorHAnsi" w:cstheme="majorHAnsi"/>
          <w:bCs/>
          <w:sz w:val="20"/>
          <w:szCs w:val="20"/>
        </w:rPr>
        <w:t xml:space="preserve"> .</w:t>
      </w:r>
    </w:p>
  </w:footnote>
  <w:footnote w:id="6">
    <w:p w14:paraId="38C132E7" w14:textId="77777777" w:rsidR="003878C9" w:rsidRPr="000A5015" w:rsidRDefault="003878C9" w:rsidP="00746FBB">
      <w:pPr>
        <w:pStyle w:val="FootnoteText"/>
        <w:rPr>
          <w:rFonts w:asciiTheme="majorHAnsi" w:hAnsiTheme="majorHAnsi" w:cstheme="majorHAnsi"/>
        </w:rPr>
      </w:pPr>
      <w:r w:rsidRPr="000A5015">
        <w:rPr>
          <w:rStyle w:val="FootnoteReference"/>
          <w:rFonts w:asciiTheme="majorHAnsi" w:hAnsiTheme="majorHAnsi" w:cstheme="majorHAnsi"/>
        </w:rPr>
        <w:footnoteRef/>
      </w:r>
      <w:r w:rsidRPr="000A5015">
        <w:rPr>
          <w:rFonts w:asciiTheme="majorHAnsi" w:hAnsiTheme="majorHAnsi" w:cstheme="majorHAnsi"/>
        </w:rPr>
        <w:t xml:space="preserve"> Established by section 3 of the Ethics and Anti-Corruption Act available at </w:t>
      </w:r>
      <w:hyperlink r:id="rId5" w:history="1">
        <w:r w:rsidRPr="000A5015">
          <w:rPr>
            <w:rStyle w:val="Hyperlink"/>
            <w:rFonts w:asciiTheme="majorHAnsi" w:hAnsiTheme="majorHAnsi" w:cstheme="majorHAnsi"/>
          </w:rPr>
          <w:t>http://kenyalaw.org:8181/exist/kenyalex/actview.xql?actid=No.%2022%20of%202011</w:t>
        </w:r>
      </w:hyperlink>
    </w:p>
  </w:footnote>
  <w:footnote w:id="7">
    <w:p w14:paraId="66CA9804" w14:textId="77777777" w:rsidR="003878C9" w:rsidRPr="000A5015" w:rsidRDefault="003878C9" w:rsidP="00746FBB">
      <w:pPr>
        <w:pStyle w:val="FootnoteText"/>
        <w:rPr>
          <w:rFonts w:asciiTheme="majorHAnsi" w:hAnsiTheme="majorHAnsi" w:cstheme="majorHAnsi"/>
        </w:rPr>
      </w:pPr>
      <w:r w:rsidRPr="000A5015">
        <w:rPr>
          <w:rStyle w:val="FootnoteReference"/>
          <w:rFonts w:asciiTheme="majorHAnsi" w:hAnsiTheme="majorHAnsi" w:cstheme="majorHAnsi"/>
        </w:rPr>
        <w:footnoteRef/>
      </w:r>
      <w:r w:rsidRPr="000A5015">
        <w:rPr>
          <w:rFonts w:asciiTheme="majorHAnsi" w:hAnsiTheme="majorHAnsi" w:cstheme="majorHAnsi"/>
        </w:rPr>
        <w:t xml:space="preserve"> EACC Convictions report available at </w:t>
      </w:r>
      <w:hyperlink r:id="rId6" w:history="1">
        <w:r w:rsidRPr="000A5015">
          <w:rPr>
            <w:rStyle w:val="Hyperlink"/>
            <w:rFonts w:asciiTheme="majorHAnsi" w:hAnsiTheme="majorHAnsi" w:cstheme="majorHAnsi"/>
          </w:rPr>
          <w:t>https://eacc.go.ke/default/wp-content/uploads/2019/12/Convictions-since-2003.pdf</w:t>
        </w:r>
      </w:hyperlink>
    </w:p>
  </w:footnote>
  <w:footnote w:id="8">
    <w:p w14:paraId="0536B1F7" w14:textId="77777777" w:rsidR="003878C9" w:rsidRPr="000A5015" w:rsidRDefault="003878C9" w:rsidP="00746FBB">
      <w:pPr>
        <w:pStyle w:val="FootnoteText"/>
        <w:rPr>
          <w:rFonts w:asciiTheme="majorHAnsi" w:hAnsiTheme="majorHAnsi" w:cstheme="majorHAnsi"/>
        </w:rPr>
      </w:pPr>
      <w:r w:rsidRPr="000A5015">
        <w:rPr>
          <w:rStyle w:val="FootnoteReference"/>
          <w:rFonts w:asciiTheme="majorHAnsi" w:hAnsiTheme="majorHAnsi" w:cstheme="majorHAnsi"/>
        </w:rPr>
        <w:footnoteRef/>
      </w:r>
      <w:r w:rsidRPr="000A5015">
        <w:rPr>
          <w:rFonts w:asciiTheme="majorHAnsi" w:hAnsiTheme="majorHAnsi" w:cstheme="majorHAnsi"/>
        </w:rPr>
        <w:t xml:space="preserve"> Recovered public assets made by the EACC available at</w:t>
      </w:r>
      <w:r w:rsidRPr="000A5015">
        <w:rPr>
          <w:rFonts w:asciiTheme="majorHAnsi" w:eastAsiaTheme="minorHAnsi" w:hAnsiTheme="majorHAnsi" w:cstheme="majorHAnsi"/>
        </w:rPr>
        <w:t xml:space="preserve"> </w:t>
      </w:r>
      <w:hyperlink r:id="rId7" w:history="1">
        <w:r w:rsidRPr="000A5015">
          <w:rPr>
            <w:rStyle w:val="Hyperlink"/>
            <w:rFonts w:asciiTheme="majorHAnsi" w:hAnsiTheme="majorHAnsi" w:cstheme="majorHAnsi"/>
          </w:rPr>
          <w:t>https://eacc.go.ke/default/wpcontent/uploads/2019/12/ASSETS-RECOVERED-BETWEEN-2003-AND-2019..pdf</w:t>
        </w:r>
      </w:hyperlink>
      <w:r w:rsidRPr="000A5015">
        <w:rPr>
          <w:rFonts w:asciiTheme="majorHAnsi" w:hAnsiTheme="majorHAnsi" w:cstheme="majorHAnsi"/>
        </w:rPr>
        <w:t xml:space="preserve"> </w:t>
      </w:r>
    </w:p>
  </w:footnote>
  <w:footnote w:id="9">
    <w:p w14:paraId="2DCD569F" w14:textId="1A09ECD6" w:rsidR="003878C9" w:rsidRPr="000A5015" w:rsidRDefault="003878C9" w:rsidP="00746FBB">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sidRPr="000A5015">
        <w:rPr>
          <w:rFonts w:asciiTheme="majorHAnsi" w:hAnsiTheme="majorHAnsi" w:cstheme="majorHAnsi"/>
        </w:rPr>
        <w:t xml:space="preserve"> </w:t>
      </w:r>
      <w:r w:rsidRPr="000A5015">
        <w:rPr>
          <w:rFonts w:asciiTheme="majorHAnsi" w:hAnsiTheme="majorHAnsi" w:cstheme="majorHAnsi"/>
          <w:lang w:val="en-US"/>
        </w:rPr>
        <w:t xml:space="preserve">Chapter 6 of the Constitution of Kenya 2010, Articles 73 to 80 underscore integrity, honesty, impartiality and accountability in the conduct of the affairs of State </w:t>
      </w:r>
      <w:proofErr w:type="gramStart"/>
      <w:r w:rsidRPr="000A5015">
        <w:rPr>
          <w:rFonts w:asciiTheme="majorHAnsi" w:hAnsiTheme="majorHAnsi" w:cstheme="majorHAnsi"/>
          <w:lang w:val="en-US"/>
        </w:rPr>
        <w:t>officers</w:t>
      </w:r>
      <w:proofErr w:type="gramEnd"/>
      <w:r w:rsidRPr="000A5015">
        <w:rPr>
          <w:rFonts w:asciiTheme="majorHAnsi" w:hAnsiTheme="majorHAnsi" w:cstheme="majorHAnsi"/>
          <w:lang w:val="en-US"/>
        </w:rPr>
        <w:t xml:space="preserve"> public office being a public trust and a responsibility to serve rather than to rule.</w:t>
      </w:r>
    </w:p>
  </w:footnote>
  <w:footnote w:id="10">
    <w:p w14:paraId="6E851582" w14:textId="77777777" w:rsidR="003878C9" w:rsidRPr="000A5015" w:rsidRDefault="003878C9" w:rsidP="00746FBB">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sidRPr="000A5015">
        <w:rPr>
          <w:rFonts w:asciiTheme="majorHAnsi" w:hAnsiTheme="majorHAnsi" w:cstheme="majorHAnsi"/>
        </w:rPr>
        <w:t xml:space="preserve">  </w:t>
      </w:r>
      <w:r w:rsidRPr="000A5015">
        <w:rPr>
          <w:rFonts w:asciiTheme="majorHAnsi" w:eastAsia="Times New Roman" w:hAnsiTheme="majorHAnsi" w:cstheme="majorHAnsi"/>
        </w:rPr>
        <w:t xml:space="preserve">Act No. 9 of 2009 as amended over the years; </w:t>
      </w:r>
      <w:r w:rsidRPr="000A5015">
        <w:rPr>
          <w:rFonts w:asciiTheme="majorHAnsi" w:hAnsiTheme="majorHAnsi" w:cstheme="majorHAnsi"/>
        </w:rPr>
        <w:t xml:space="preserve">available at </w:t>
      </w:r>
      <w:hyperlink r:id="rId8" w:history="1">
        <w:r w:rsidRPr="000A5015">
          <w:rPr>
            <w:rStyle w:val="Hyperlink"/>
            <w:rFonts w:asciiTheme="majorHAnsi" w:hAnsiTheme="majorHAnsi" w:cstheme="majorHAnsi"/>
          </w:rPr>
          <w:t>http://kenyalaw.org:8181/exist/kenyalex/actview.xql?actid=No.%209%20of%202009</w:t>
        </w:r>
      </w:hyperlink>
      <w:r w:rsidRPr="000A5015">
        <w:rPr>
          <w:rFonts w:asciiTheme="majorHAnsi" w:hAnsiTheme="majorHAnsi" w:cstheme="majorHAnsi"/>
        </w:rPr>
        <w:t xml:space="preserve"> .</w:t>
      </w:r>
    </w:p>
  </w:footnote>
  <w:footnote w:id="11">
    <w:p w14:paraId="4D536508" w14:textId="620F3ECD" w:rsidR="003878C9" w:rsidRPr="009C3061" w:rsidRDefault="003878C9" w:rsidP="00166E15">
      <w:pPr>
        <w:pStyle w:val="FootnoteText"/>
        <w:rPr>
          <w:rFonts w:asciiTheme="majorHAnsi" w:hAnsiTheme="majorHAnsi" w:cstheme="majorHAnsi"/>
          <w:u w:val="single"/>
        </w:rPr>
      </w:pPr>
      <w:r w:rsidRPr="009C3061">
        <w:rPr>
          <w:rStyle w:val="FootnoteReference"/>
          <w:rFonts w:asciiTheme="majorHAnsi" w:hAnsiTheme="majorHAnsi" w:cstheme="majorHAnsi"/>
        </w:rPr>
        <w:footnoteRef/>
      </w:r>
      <w:r w:rsidRPr="009C3061">
        <w:rPr>
          <w:rFonts w:asciiTheme="majorHAnsi" w:hAnsiTheme="majorHAnsi" w:cstheme="majorHAnsi"/>
        </w:rPr>
        <w:t xml:space="preserve"> Better but still unequal: The State of Human Rights in Kenya An Opinion Poll on the 70th Anniversary of the Universal Declaration of Human Rights (December 2018) </w:t>
      </w:r>
      <w:hyperlink r:id="rId9" w:history="1">
        <w:r w:rsidRPr="009C3061">
          <w:rPr>
            <w:rStyle w:val="Hyperlink"/>
            <w:rFonts w:asciiTheme="majorHAnsi" w:hAnsiTheme="majorHAnsi" w:cstheme="majorHAnsi"/>
          </w:rPr>
          <w:t>https://icj-kenya.org/publications/send/3-publications/234-better-but-still-unequal-the-state-of-human-rights-in-kenya</w:t>
        </w:r>
      </w:hyperlink>
      <w:r w:rsidRPr="009C3061">
        <w:rPr>
          <w:rStyle w:val="Hyperlink"/>
          <w:rFonts w:asciiTheme="majorHAnsi" w:hAnsiTheme="majorHAnsi" w:cstheme="majorHAnsi"/>
          <w:color w:val="auto"/>
        </w:rPr>
        <w:t xml:space="preserve">; </w:t>
      </w:r>
      <w:r w:rsidRPr="009C3061">
        <w:rPr>
          <w:rStyle w:val="Hyperlink"/>
          <w:rFonts w:asciiTheme="majorHAnsi" w:hAnsiTheme="majorHAnsi" w:cstheme="majorHAnsi"/>
          <w:color w:val="auto"/>
          <w:u w:val="none"/>
        </w:rPr>
        <w:t xml:space="preserve">Amnesty International-Kenya, Katiba at Ten: Distressed Yet Defiant:   </w:t>
      </w:r>
      <w:r w:rsidRPr="009C3061">
        <w:rPr>
          <w:rFonts w:asciiTheme="majorHAnsi" w:hAnsiTheme="majorHAnsi" w:cstheme="majorHAnsi"/>
        </w:rPr>
        <w:t xml:space="preserve">A Citizens’ Scorecard On The First Decade(Opinion Poll 2020); </w:t>
      </w:r>
      <w:r w:rsidRPr="009C3061">
        <w:rPr>
          <w:rStyle w:val="Hyperlink"/>
          <w:rFonts w:asciiTheme="majorHAnsi" w:hAnsiTheme="majorHAnsi" w:cstheme="majorHAnsi"/>
          <w:color w:val="auto"/>
          <w:u w:val="none"/>
        </w:rPr>
        <w:t xml:space="preserve">Available at </w:t>
      </w:r>
      <w:hyperlink r:id="rId10" w:history="1">
        <w:r w:rsidRPr="009C3061">
          <w:rPr>
            <w:rStyle w:val="Hyperlink"/>
            <w:rFonts w:asciiTheme="majorHAnsi" w:hAnsiTheme="majorHAnsi" w:cstheme="majorHAnsi"/>
          </w:rPr>
          <w:t>https://www.amnestykenya.org/katiba-at-10-distressed-yet-defiant/</w:t>
        </w:r>
      </w:hyperlink>
    </w:p>
  </w:footnote>
  <w:footnote w:id="12">
    <w:p w14:paraId="7A5EFF86" w14:textId="35F3B6BE" w:rsidR="003878C9" w:rsidRPr="009C3061" w:rsidRDefault="003878C9" w:rsidP="00166E15">
      <w:pPr>
        <w:pStyle w:val="FootnoteText"/>
        <w:rPr>
          <w:rFonts w:asciiTheme="majorHAnsi" w:hAnsiTheme="majorHAnsi" w:cstheme="majorHAnsi"/>
          <w:lang w:val="en-US"/>
        </w:rPr>
      </w:pPr>
      <w:r w:rsidRPr="009C3061">
        <w:rPr>
          <w:rStyle w:val="FootnoteReference"/>
          <w:rFonts w:asciiTheme="majorHAnsi" w:hAnsiTheme="majorHAnsi" w:cstheme="majorHAnsi"/>
        </w:rPr>
        <w:footnoteRef/>
      </w:r>
      <w:r w:rsidRPr="009C3061">
        <w:rPr>
          <w:rFonts w:asciiTheme="majorHAnsi" w:hAnsiTheme="majorHAnsi" w:cstheme="majorHAnsi"/>
        </w:rPr>
        <w:t xml:space="preserve">  Transparency International (2020), ‘Corruption Perceptions Index 2019’ available at https://www.transparency.org/files/content/pages/2019_CPI_Report_EN.pdf.</w:t>
      </w:r>
    </w:p>
  </w:footnote>
  <w:footnote w:id="13">
    <w:p w14:paraId="29961AE6" w14:textId="249AE692" w:rsidR="003878C9" w:rsidRPr="009C3061" w:rsidRDefault="003878C9" w:rsidP="00166E15">
      <w:pPr>
        <w:spacing w:after="0" w:line="240" w:lineRule="auto"/>
        <w:rPr>
          <w:rFonts w:asciiTheme="majorHAnsi" w:eastAsia="Times New Roman" w:hAnsiTheme="majorHAnsi" w:cstheme="majorHAnsi"/>
          <w:sz w:val="20"/>
          <w:szCs w:val="20"/>
        </w:rPr>
      </w:pPr>
      <w:r w:rsidRPr="009C3061">
        <w:rPr>
          <w:rStyle w:val="FootnoteReference"/>
          <w:rFonts w:asciiTheme="majorHAnsi" w:hAnsiTheme="majorHAnsi" w:cstheme="majorHAnsi"/>
          <w:sz w:val="20"/>
          <w:szCs w:val="20"/>
        </w:rPr>
        <w:footnoteRef/>
      </w:r>
      <w:r w:rsidRPr="009C3061">
        <w:rPr>
          <w:rFonts w:asciiTheme="majorHAnsi" w:hAnsiTheme="majorHAnsi" w:cstheme="majorHAnsi"/>
          <w:sz w:val="20"/>
          <w:szCs w:val="20"/>
        </w:rPr>
        <w:t xml:space="preserve"> </w:t>
      </w:r>
      <w:hyperlink r:id="rId11" w:history="1">
        <w:r w:rsidRPr="009C3061">
          <w:rPr>
            <w:rStyle w:val="Hyperlink"/>
            <w:rFonts w:asciiTheme="majorHAnsi" w:hAnsiTheme="majorHAnsi" w:cstheme="majorHAnsi"/>
            <w:i/>
            <w:iCs/>
            <w:sz w:val="20"/>
            <w:szCs w:val="20"/>
            <w:shd w:val="clear" w:color="auto" w:fill="FFFFFF"/>
          </w:rPr>
          <w:t>Moses Kasaine Lenolkulal v Director of Public Prosecutions</w:t>
        </w:r>
      </w:hyperlink>
      <w:r w:rsidRPr="009C3061">
        <w:rPr>
          <w:rFonts w:asciiTheme="majorHAnsi" w:hAnsiTheme="majorHAnsi" w:cstheme="majorHAnsi"/>
          <w:color w:val="990000"/>
          <w:sz w:val="20"/>
          <w:szCs w:val="20"/>
          <w:shd w:val="clear" w:color="auto" w:fill="FFFFFF"/>
        </w:rPr>
        <w:t xml:space="preserve"> [</w:t>
      </w:r>
      <w:r w:rsidRPr="009C3061">
        <w:rPr>
          <w:rFonts w:asciiTheme="majorHAnsi" w:hAnsiTheme="majorHAnsi" w:cstheme="majorHAnsi"/>
          <w:sz w:val="20"/>
          <w:szCs w:val="20"/>
          <w:shd w:val="clear" w:color="auto" w:fill="FFFFFF"/>
        </w:rPr>
        <w:t xml:space="preserve">2019] </w:t>
      </w:r>
      <w:proofErr w:type="spellStart"/>
      <w:r w:rsidRPr="009C3061">
        <w:rPr>
          <w:rFonts w:asciiTheme="majorHAnsi" w:hAnsiTheme="majorHAnsi" w:cstheme="majorHAnsi"/>
          <w:sz w:val="20"/>
          <w:szCs w:val="20"/>
          <w:shd w:val="clear" w:color="auto" w:fill="FFFFFF"/>
        </w:rPr>
        <w:t>eKLR</w:t>
      </w:r>
      <w:proofErr w:type="spellEnd"/>
      <w:r w:rsidRPr="009C3061">
        <w:rPr>
          <w:rFonts w:asciiTheme="majorHAnsi" w:hAnsiTheme="majorHAnsi" w:cstheme="majorHAnsi"/>
          <w:sz w:val="20"/>
          <w:szCs w:val="20"/>
          <w:shd w:val="clear" w:color="auto" w:fill="FFFFFF"/>
        </w:rPr>
        <w:t xml:space="preserve">; available at </w:t>
      </w:r>
      <w:hyperlink r:id="rId12" w:history="1">
        <w:r w:rsidRPr="009C3061">
          <w:rPr>
            <w:rStyle w:val="Hyperlink"/>
            <w:rFonts w:asciiTheme="majorHAnsi" w:hAnsiTheme="majorHAnsi" w:cstheme="majorHAnsi"/>
            <w:sz w:val="20"/>
            <w:szCs w:val="20"/>
            <w:shd w:val="clear" w:color="auto" w:fill="FFFFFF"/>
          </w:rPr>
          <w:t>http://kenyalaw.org/caselaw/cases/view/178331/</w:t>
        </w:r>
      </w:hyperlink>
      <w:r w:rsidRPr="009C3061">
        <w:rPr>
          <w:rFonts w:asciiTheme="majorHAnsi" w:hAnsiTheme="majorHAnsi" w:cstheme="majorHAnsi"/>
          <w:color w:val="990000"/>
          <w:sz w:val="20"/>
          <w:szCs w:val="20"/>
          <w:shd w:val="clear" w:color="auto" w:fill="FFFFFF"/>
        </w:rPr>
        <w:t xml:space="preserve"> .</w:t>
      </w:r>
    </w:p>
  </w:footnote>
  <w:footnote w:id="14">
    <w:p w14:paraId="1E560269" w14:textId="77777777" w:rsidR="003878C9" w:rsidRPr="009C3061" w:rsidRDefault="003878C9" w:rsidP="00166E15">
      <w:pPr>
        <w:pStyle w:val="FootnoteText"/>
        <w:rPr>
          <w:rFonts w:asciiTheme="majorHAnsi" w:hAnsiTheme="majorHAnsi" w:cstheme="majorHAnsi"/>
        </w:rPr>
      </w:pPr>
      <w:r w:rsidRPr="009C3061">
        <w:rPr>
          <w:rStyle w:val="FootnoteReference"/>
          <w:rFonts w:asciiTheme="majorHAnsi" w:hAnsiTheme="majorHAnsi" w:cstheme="majorHAnsi"/>
        </w:rPr>
        <w:footnoteRef/>
      </w:r>
      <w:r w:rsidRPr="009C3061">
        <w:rPr>
          <w:rFonts w:asciiTheme="majorHAnsi" w:hAnsiTheme="majorHAnsi" w:cstheme="majorHAnsi"/>
        </w:rPr>
        <w:t xml:space="preserve"> Gazette notice establishing the AJS Taskforce available at </w:t>
      </w:r>
      <w:hyperlink r:id="rId13" w:history="1">
        <w:r w:rsidRPr="009C3061">
          <w:rPr>
            <w:rStyle w:val="Hyperlink"/>
            <w:rFonts w:asciiTheme="majorHAnsi" w:hAnsiTheme="majorHAnsi" w:cstheme="majorHAnsi"/>
          </w:rPr>
          <w:t>http://kenyalaw.org/kenya_gazette/gazette/volume/MTI5MQ--/Vol.CXVIII-No.21</w:t>
        </w:r>
      </w:hyperlink>
    </w:p>
  </w:footnote>
  <w:footnote w:id="15">
    <w:p w14:paraId="64A73A07" w14:textId="77777777" w:rsidR="003878C9" w:rsidRPr="002338BA" w:rsidRDefault="003878C9" w:rsidP="00E20597">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 The taskforce on alternative justice systems policy and framework available at </w:t>
      </w:r>
      <w:hyperlink r:id="rId14" w:history="1">
        <w:r w:rsidRPr="002338BA">
          <w:rPr>
            <w:rStyle w:val="Hyperlink"/>
            <w:rFonts w:asciiTheme="majorHAnsi" w:hAnsiTheme="majorHAnsi" w:cstheme="majorHAnsi"/>
          </w:rPr>
          <w:t>https://www.judiciary.go.ke/download/alternative-justice-systems-baseline-policy-and-policy-framework/</w:t>
        </w:r>
      </w:hyperlink>
    </w:p>
  </w:footnote>
  <w:footnote w:id="16">
    <w:p w14:paraId="24446A64" w14:textId="77777777" w:rsidR="003878C9" w:rsidRPr="002338BA" w:rsidRDefault="003878C9" w:rsidP="00E20597">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 State of the Judiciary and the Administration of Justice Annual Report 2018/2019 available at </w:t>
      </w:r>
      <w:hyperlink r:id="rId15" w:history="1">
        <w:r w:rsidRPr="002338BA">
          <w:rPr>
            <w:rStyle w:val="Hyperlink"/>
            <w:rFonts w:asciiTheme="majorHAnsi" w:hAnsiTheme="majorHAnsi" w:cstheme="majorHAnsi"/>
          </w:rPr>
          <w:t>https://www.judiciary.go.ke/download/sojar-report/</w:t>
        </w:r>
      </w:hyperlink>
    </w:p>
  </w:footnote>
  <w:footnote w:id="17">
    <w:p w14:paraId="5FCEBAF7" w14:textId="77777777" w:rsidR="003878C9" w:rsidRPr="002338BA" w:rsidRDefault="003878C9" w:rsidP="00E20597">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 State of the Judiciary and the Administration of Justice Annual Report 2018/2019, available at </w:t>
      </w:r>
      <w:hyperlink r:id="rId16" w:history="1">
        <w:r w:rsidRPr="002338BA">
          <w:rPr>
            <w:rStyle w:val="Hyperlink"/>
            <w:rFonts w:asciiTheme="majorHAnsi" w:hAnsiTheme="majorHAnsi" w:cstheme="majorHAnsi"/>
          </w:rPr>
          <w:t>https://www.judiciary.go.ke/download/sojar-report/</w:t>
        </w:r>
      </w:hyperlink>
      <w:r w:rsidRPr="002338BA">
        <w:rPr>
          <w:rStyle w:val="Hyperlink"/>
          <w:rFonts w:asciiTheme="majorHAnsi" w:hAnsiTheme="majorHAnsi" w:cstheme="majorHAnsi"/>
        </w:rPr>
        <w:t>pg 24</w:t>
      </w:r>
    </w:p>
  </w:footnote>
  <w:footnote w:id="18">
    <w:p w14:paraId="7E6A0E1C" w14:textId="77777777" w:rsidR="003878C9" w:rsidRPr="002338BA" w:rsidRDefault="003878C9" w:rsidP="00EB6A63">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 TJRC Act section 5 available at </w:t>
      </w:r>
      <w:hyperlink r:id="rId17" w:history="1">
        <w:r w:rsidRPr="002338BA">
          <w:rPr>
            <w:rStyle w:val="Hyperlink"/>
            <w:rFonts w:asciiTheme="majorHAnsi" w:hAnsiTheme="majorHAnsi" w:cstheme="majorHAnsi"/>
          </w:rPr>
          <w:t>http://kenyalaw.org:8181/exist/kenyalex/actview.xql?actid=No.%206%20of%202008</w:t>
        </w:r>
      </w:hyperlink>
    </w:p>
  </w:footnote>
  <w:footnote w:id="19">
    <w:p w14:paraId="45AC33C5" w14:textId="77777777" w:rsidR="003878C9" w:rsidRPr="00364140" w:rsidRDefault="003878C9" w:rsidP="00EB6A63">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 State of the Nation Address by President Uhuru Kenyatta delivered on 26</w:t>
      </w:r>
      <w:r w:rsidRPr="002338BA">
        <w:rPr>
          <w:rFonts w:asciiTheme="majorHAnsi" w:hAnsiTheme="majorHAnsi" w:cstheme="majorHAnsi"/>
          <w:vertAlign w:val="superscript"/>
        </w:rPr>
        <w:t>th</w:t>
      </w:r>
      <w:r w:rsidRPr="002338BA">
        <w:rPr>
          <w:rFonts w:asciiTheme="majorHAnsi" w:hAnsiTheme="majorHAnsi" w:cstheme="majorHAnsi"/>
        </w:rPr>
        <w:t xml:space="preserve"> March 2015 available at </w:t>
      </w:r>
      <w:hyperlink r:id="rId18" w:history="1">
        <w:r w:rsidRPr="002338BA">
          <w:rPr>
            <w:rStyle w:val="Hyperlink"/>
            <w:rFonts w:asciiTheme="majorHAnsi" w:hAnsiTheme="majorHAnsi" w:cstheme="majorHAnsi"/>
          </w:rPr>
          <w:t>https://www.president.go.ke/2015/03/26/speech-by-his-excellency-hon-uhuru-kenyatta-c-g-h-president-and-commander-in-chief-of-the-defence-forces-of-the-republic-of-kenya-during-the-state-of-the-nation-address-at-parliament-buildings-na/</w:t>
        </w:r>
      </w:hyperlink>
    </w:p>
  </w:footnote>
  <w:footnote w:id="20">
    <w:p w14:paraId="25848052" w14:textId="77777777" w:rsidR="003878C9" w:rsidRPr="002338BA" w:rsidRDefault="003878C9" w:rsidP="002338BA">
      <w:pPr>
        <w:pStyle w:val="FootnoteText"/>
        <w:rPr>
          <w:rFonts w:asciiTheme="majorHAnsi" w:hAnsiTheme="majorHAnsi" w:cstheme="majorHAnsi"/>
          <w:b/>
          <w:lang w:val="en-US"/>
        </w:rPr>
      </w:pPr>
      <w:r w:rsidRPr="002338BA">
        <w:rPr>
          <w:rStyle w:val="FootnoteReference"/>
          <w:rFonts w:asciiTheme="majorHAnsi" w:hAnsiTheme="majorHAnsi" w:cstheme="majorHAnsi"/>
        </w:rPr>
        <w:footnoteRef/>
      </w:r>
      <w:r w:rsidRPr="002338BA">
        <w:rPr>
          <w:rFonts w:asciiTheme="majorHAnsi" w:hAnsiTheme="majorHAnsi" w:cstheme="majorHAnsi"/>
        </w:rPr>
        <w:t xml:space="preserve"> Cap 63 Laws of Kenya available at </w:t>
      </w:r>
      <w:hyperlink r:id="rId19" w:history="1">
        <w:r w:rsidRPr="002338BA">
          <w:rPr>
            <w:rStyle w:val="Hyperlink"/>
            <w:rFonts w:asciiTheme="majorHAnsi" w:hAnsiTheme="majorHAnsi" w:cstheme="majorHAnsi"/>
          </w:rPr>
          <w:t>http://www.kenyalaw.org/lex//actview.xql?actid=CAP.%2063</w:t>
        </w:r>
      </w:hyperlink>
      <w:r w:rsidRPr="002338BA">
        <w:rPr>
          <w:rStyle w:val="Hyperlink"/>
          <w:rFonts w:asciiTheme="majorHAnsi" w:hAnsiTheme="majorHAnsi" w:cstheme="majorHAnsi"/>
        </w:rPr>
        <w:t>.</w:t>
      </w:r>
    </w:p>
  </w:footnote>
  <w:footnote w:id="21">
    <w:p w14:paraId="673B7DDD" w14:textId="77777777" w:rsidR="003878C9" w:rsidRPr="002338BA" w:rsidRDefault="003878C9" w:rsidP="002338BA">
      <w:pPr>
        <w:pStyle w:val="FootnoteText"/>
        <w:rPr>
          <w:rFonts w:asciiTheme="majorHAnsi" w:hAnsiTheme="majorHAnsi" w:cstheme="majorHAnsi"/>
          <w:lang w:val="en-US"/>
        </w:rPr>
      </w:pPr>
      <w:r w:rsidRPr="002338BA">
        <w:rPr>
          <w:rStyle w:val="FootnoteReference"/>
          <w:rFonts w:asciiTheme="majorHAnsi" w:hAnsiTheme="majorHAnsi" w:cstheme="majorHAnsi"/>
        </w:rPr>
        <w:footnoteRef/>
      </w:r>
      <w:r w:rsidRPr="002338BA">
        <w:rPr>
          <w:rFonts w:asciiTheme="majorHAnsi" w:hAnsiTheme="majorHAnsi" w:cstheme="majorHAnsi"/>
          <w:lang w:val="en-US"/>
        </w:rPr>
        <w:t xml:space="preserve">EG &amp; 7 Others versus Attorney General Petition 150 and 234 of 2016 (Consolidated) available at </w:t>
      </w:r>
      <w:hyperlink r:id="rId20" w:history="1">
        <w:r w:rsidRPr="002338BA">
          <w:rPr>
            <w:rStyle w:val="Hyperlink"/>
            <w:rFonts w:asciiTheme="majorHAnsi" w:hAnsiTheme="majorHAnsi" w:cstheme="majorHAnsi"/>
            <w:lang w:val="en-US"/>
          </w:rPr>
          <w:t>http://kenyalaw.org/caselaw/cases/view/173946/</w:t>
        </w:r>
      </w:hyperlink>
      <w:r w:rsidRPr="002338BA">
        <w:rPr>
          <w:rFonts w:asciiTheme="majorHAnsi" w:hAnsiTheme="majorHAnsi" w:cstheme="majorHAnsi"/>
        </w:rPr>
        <w:t xml:space="preserve"> .</w:t>
      </w:r>
    </w:p>
  </w:footnote>
  <w:footnote w:id="22">
    <w:p w14:paraId="70586A56" w14:textId="77777777" w:rsidR="003878C9" w:rsidRPr="002338BA" w:rsidRDefault="003878C9" w:rsidP="002338BA">
      <w:pPr>
        <w:pStyle w:val="FootnoteText"/>
        <w:rPr>
          <w:rFonts w:asciiTheme="majorHAnsi" w:hAnsiTheme="majorHAnsi" w:cstheme="majorHAnsi"/>
          <w:lang w:val="en-US"/>
        </w:rPr>
      </w:pPr>
      <w:r w:rsidRPr="002338BA">
        <w:rPr>
          <w:rStyle w:val="FootnoteReference"/>
          <w:rFonts w:asciiTheme="majorHAnsi" w:hAnsiTheme="majorHAnsi" w:cstheme="majorHAnsi"/>
        </w:rPr>
        <w:footnoteRef/>
      </w:r>
      <w:r w:rsidRPr="002338BA">
        <w:rPr>
          <w:rFonts w:asciiTheme="majorHAnsi" w:hAnsiTheme="majorHAnsi" w:cstheme="majorHAnsi"/>
          <w:lang w:val="en-US"/>
        </w:rPr>
        <w:t>Kenya National Commission on Human Rights ‘Press Release on International Day against Homophobia, Biphobia, and Transphobia (IDAHOBIT) released on 17</w:t>
      </w:r>
      <w:r w:rsidRPr="002338BA">
        <w:rPr>
          <w:rFonts w:asciiTheme="majorHAnsi" w:hAnsiTheme="majorHAnsi" w:cstheme="majorHAnsi"/>
          <w:vertAlign w:val="superscript"/>
          <w:lang w:val="en-US"/>
        </w:rPr>
        <w:t>th</w:t>
      </w:r>
      <w:r w:rsidRPr="002338BA">
        <w:rPr>
          <w:rFonts w:asciiTheme="majorHAnsi" w:hAnsiTheme="majorHAnsi" w:cstheme="majorHAnsi"/>
          <w:lang w:val="en-US"/>
        </w:rPr>
        <w:t xml:space="preserve"> May 2018’ available at </w:t>
      </w:r>
      <w:hyperlink r:id="rId21" w:history="1">
        <w:r w:rsidRPr="002338BA">
          <w:rPr>
            <w:rStyle w:val="Hyperlink"/>
            <w:rFonts w:asciiTheme="majorHAnsi" w:hAnsiTheme="majorHAnsi" w:cstheme="majorHAnsi"/>
            <w:lang w:val="en-US"/>
          </w:rPr>
          <w:t>http://www.knchr.org/Portals/0/Statements/KNCHR%20IDAHOBIT%20statement.pdf?ver=2018-05-17-131148-583</w:t>
        </w:r>
      </w:hyperlink>
    </w:p>
  </w:footnote>
  <w:footnote w:id="23">
    <w:p w14:paraId="0AF46A65" w14:textId="527032F2" w:rsidR="003878C9" w:rsidRPr="000A5015" w:rsidRDefault="003878C9" w:rsidP="000A5015">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sidRPr="000A5015">
        <w:rPr>
          <w:rFonts w:asciiTheme="majorHAnsi" w:hAnsiTheme="majorHAnsi" w:cstheme="majorHAnsi"/>
          <w:lang w:val="en-US"/>
        </w:rPr>
        <w:t xml:space="preserve"> Kenya Human Rights Commission ‘Submissions to the Independent Expert on Protection against Violence and Discrimination based on Sexual Orientation and Gender Identity submitted on 5</w:t>
      </w:r>
      <w:r w:rsidRPr="000A5015">
        <w:rPr>
          <w:rFonts w:asciiTheme="majorHAnsi" w:hAnsiTheme="majorHAnsi" w:cstheme="majorHAnsi"/>
          <w:vertAlign w:val="superscript"/>
          <w:lang w:val="en-US"/>
        </w:rPr>
        <w:t>th</w:t>
      </w:r>
      <w:r w:rsidRPr="000A5015">
        <w:rPr>
          <w:rFonts w:asciiTheme="majorHAnsi" w:hAnsiTheme="majorHAnsi" w:cstheme="majorHAnsi"/>
          <w:lang w:val="en-US"/>
        </w:rPr>
        <w:t xml:space="preserve"> June 2017’ available at </w:t>
      </w:r>
      <w:hyperlink r:id="rId22" w:history="1">
        <w:r w:rsidRPr="000A5015">
          <w:rPr>
            <w:rStyle w:val="Hyperlink"/>
            <w:rFonts w:asciiTheme="majorHAnsi" w:hAnsiTheme="majorHAnsi" w:cstheme="majorHAnsi"/>
            <w:lang w:val="en-US"/>
          </w:rPr>
          <w:t>https://www.khrc.or.ke/publications/178-the-human-rights-situation-case-law-and-research-on-protections-on-grounds-of-sexual-orientation-gender-identity-and-expression-in-the-republic-of-kenya/file.html</w:t>
        </w:r>
      </w:hyperlink>
    </w:p>
  </w:footnote>
  <w:footnote w:id="24">
    <w:p w14:paraId="5DA24FA0" w14:textId="4EF61AD5" w:rsidR="003878C9" w:rsidRPr="000A5015" w:rsidRDefault="003878C9" w:rsidP="000A5015">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sidRPr="000A5015">
        <w:rPr>
          <w:rFonts w:asciiTheme="majorHAnsi" w:hAnsiTheme="majorHAnsi" w:cstheme="majorHAnsi"/>
          <w:lang w:val="en-US"/>
        </w:rPr>
        <w:t xml:space="preserve"> (2018) e KLR available at </w:t>
      </w:r>
      <w:hyperlink r:id="rId23" w:history="1">
        <w:r w:rsidRPr="000A5015">
          <w:rPr>
            <w:rStyle w:val="Hyperlink"/>
            <w:rFonts w:asciiTheme="majorHAnsi" w:hAnsiTheme="majorHAnsi" w:cstheme="majorHAnsi"/>
            <w:lang w:val="en-US"/>
          </w:rPr>
          <w:t>http://kenyalaw.org/caselaw/cases/view/150781/</w:t>
        </w:r>
      </w:hyperlink>
    </w:p>
  </w:footnote>
  <w:footnote w:id="25">
    <w:p w14:paraId="36D58A09" w14:textId="291969A1" w:rsidR="003878C9" w:rsidRPr="000A5015" w:rsidRDefault="003878C9" w:rsidP="000A5015">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sidRPr="000A5015">
        <w:rPr>
          <w:rFonts w:asciiTheme="majorHAnsi" w:hAnsiTheme="majorHAnsi" w:cstheme="majorHAnsi"/>
          <w:lang w:val="en-US"/>
        </w:rPr>
        <w:t xml:space="preserve"> (2015) e KLR available at </w:t>
      </w:r>
      <w:hyperlink r:id="rId24" w:history="1">
        <w:r w:rsidRPr="000A5015">
          <w:rPr>
            <w:rStyle w:val="Hyperlink"/>
            <w:rFonts w:asciiTheme="majorHAnsi" w:hAnsiTheme="majorHAnsi" w:cstheme="majorHAnsi"/>
            <w:lang w:val="en-US"/>
          </w:rPr>
          <w:t>http://kenyalaw.org/caselaw/cases/view/108412/</w:t>
        </w:r>
      </w:hyperlink>
    </w:p>
  </w:footnote>
  <w:footnote w:id="26">
    <w:p w14:paraId="391D5E1A" w14:textId="63B81C0F" w:rsidR="003878C9" w:rsidRPr="000A5015" w:rsidRDefault="003878C9" w:rsidP="000A5015">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sidRPr="000A5015">
        <w:rPr>
          <w:rFonts w:asciiTheme="majorHAnsi" w:hAnsiTheme="majorHAnsi" w:cstheme="majorHAnsi"/>
          <w:lang w:val="en-US"/>
        </w:rPr>
        <w:t xml:space="preserve"> Non-Governmental Organizations Co-ordination Board versus EG &amp; 5 Others [2019] e KLR available at </w:t>
      </w:r>
      <w:hyperlink r:id="rId25" w:history="1">
        <w:r w:rsidRPr="000A5015">
          <w:rPr>
            <w:rStyle w:val="Hyperlink"/>
            <w:rFonts w:asciiTheme="majorHAnsi" w:hAnsiTheme="majorHAnsi" w:cstheme="majorHAnsi"/>
            <w:lang w:val="en-US"/>
          </w:rPr>
          <w:t>http://kenyalaw.org/caselaw/cases/view/170057/</w:t>
        </w:r>
      </w:hyperlink>
      <w:r w:rsidRPr="000A5015">
        <w:rPr>
          <w:rFonts w:asciiTheme="majorHAnsi" w:hAnsiTheme="majorHAnsi" w:cstheme="majorHAnsi"/>
        </w:rPr>
        <w:t>.</w:t>
      </w:r>
    </w:p>
  </w:footnote>
  <w:footnote w:id="27">
    <w:p w14:paraId="36AFD553" w14:textId="39174E2F" w:rsidR="003878C9" w:rsidRPr="000A5015" w:rsidRDefault="003878C9" w:rsidP="000A5015">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Pr>
          <w:rFonts w:asciiTheme="majorHAnsi" w:hAnsiTheme="majorHAnsi" w:cstheme="majorHAnsi"/>
          <w:lang w:val="en-US"/>
        </w:rPr>
        <w:t xml:space="preserve"> </w:t>
      </w:r>
      <w:r w:rsidRPr="000A5015">
        <w:rPr>
          <w:rFonts w:asciiTheme="majorHAnsi" w:hAnsiTheme="majorHAnsi" w:cstheme="majorHAnsi"/>
          <w:lang w:val="en-US"/>
        </w:rPr>
        <w:t xml:space="preserve">(2014) e KLR available at </w:t>
      </w:r>
      <w:hyperlink r:id="rId26" w:history="1">
        <w:r w:rsidRPr="000A5015">
          <w:rPr>
            <w:rStyle w:val="Hyperlink"/>
            <w:rFonts w:asciiTheme="majorHAnsi" w:hAnsiTheme="majorHAnsi" w:cstheme="majorHAnsi"/>
            <w:lang w:val="en-US"/>
          </w:rPr>
          <w:t>http://kenyalaw.org/caselaw/cases/view/101979/</w:t>
        </w:r>
      </w:hyperlink>
      <w:r w:rsidRPr="000A5015">
        <w:rPr>
          <w:rFonts w:asciiTheme="majorHAnsi" w:hAnsiTheme="majorHAnsi" w:cstheme="majorHAnsi"/>
        </w:rPr>
        <w:t>.</w:t>
      </w:r>
    </w:p>
  </w:footnote>
  <w:footnote w:id="28">
    <w:p w14:paraId="1297AEBE" w14:textId="44C8C4E0" w:rsidR="003878C9" w:rsidRPr="000A5015" w:rsidRDefault="003878C9" w:rsidP="000A5015">
      <w:pPr>
        <w:pStyle w:val="FootnoteText"/>
        <w:rPr>
          <w:rFonts w:asciiTheme="majorHAnsi" w:hAnsiTheme="majorHAnsi" w:cstheme="majorHAnsi"/>
        </w:rPr>
      </w:pPr>
      <w:r w:rsidRPr="000A5015">
        <w:rPr>
          <w:rStyle w:val="FootnoteReference"/>
          <w:rFonts w:asciiTheme="majorHAnsi" w:hAnsiTheme="majorHAnsi" w:cstheme="majorHAnsi"/>
        </w:rPr>
        <w:footnoteRef/>
      </w:r>
      <w:r w:rsidRPr="000A5015">
        <w:rPr>
          <w:rFonts w:asciiTheme="majorHAnsi" w:hAnsiTheme="majorHAnsi" w:cstheme="majorHAnsi"/>
        </w:rPr>
        <w:t xml:space="preserve"> See The Births and Deaths Registration Act, CAP </w:t>
      </w:r>
      <w:proofErr w:type="gramStart"/>
      <w:r w:rsidRPr="000A5015">
        <w:rPr>
          <w:rFonts w:asciiTheme="majorHAnsi" w:hAnsiTheme="majorHAnsi" w:cstheme="majorHAnsi"/>
        </w:rPr>
        <w:t>149,S.</w:t>
      </w:r>
      <w:proofErr w:type="gramEnd"/>
      <w:r w:rsidRPr="000A5015">
        <w:rPr>
          <w:rFonts w:asciiTheme="majorHAnsi" w:hAnsiTheme="majorHAnsi" w:cstheme="majorHAnsi"/>
        </w:rPr>
        <w:t>7</w:t>
      </w:r>
    </w:p>
  </w:footnote>
  <w:footnote w:id="29">
    <w:p w14:paraId="60175D7A" w14:textId="7A383368" w:rsidR="003878C9" w:rsidRPr="000A5015" w:rsidRDefault="003878C9" w:rsidP="000A5015">
      <w:pPr>
        <w:pStyle w:val="FootnoteText"/>
        <w:rPr>
          <w:rFonts w:asciiTheme="majorHAnsi" w:hAnsiTheme="majorHAnsi" w:cstheme="majorHAnsi"/>
        </w:rPr>
      </w:pPr>
      <w:r w:rsidRPr="000A5015">
        <w:rPr>
          <w:rStyle w:val="FootnoteReference"/>
          <w:rFonts w:asciiTheme="majorHAnsi" w:hAnsiTheme="majorHAnsi" w:cstheme="majorHAnsi"/>
        </w:rPr>
        <w:footnoteRef/>
      </w:r>
      <w:r w:rsidRPr="000A5015">
        <w:rPr>
          <w:rFonts w:asciiTheme="majorHAnsi" w:hAnsiTheme="majorHAnsi" w:cstheme="majorHAnsi"/>
        </w:rPr>
        <w:t xml:space="preserve"> An intersex </w:t>
      </w:r>
    </w:p>
  </w:footnote>
  <w:footnote w:id="30">
    <w:p w14:paraId="334338A3" w14:textId="71B67A03" w:rsidR="003878C9" w:rsidRPr="002338BA" w:rsidRDefault="003878C9" w:rsidP="00364140">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 Baby ‘A’ (Suing through the Mother E A) &amp; another v Attorney General &amp; 6 others [2014], </w:t>
      </w:r>
      <w:proofErr w:type="spellStart"/>
      <w:r w:rsidRPr="002338BA">
        <w:rPr>
          <w:rFonts w:asciiTheme="majorHAnsi" w:hAnsiTheme="majorHAnsi" w:cstheme="majorHAnsi"/>
        </w:rPr>
        <w:t>eKLR</w:t>
      </w:r>
      <w:proofErr w:type="spellEnd"/>
      <w:r w:rsidRPr="002338BA">
        <w:rPr>
          <w:rFonts w:asciiTheme="majorHAnsi" w:hAnsiTheme="majorHAnsi" w:cstheme="majorHAnsi"/>
        </w:rPr>
        <w:t>)</w:t>
      </w:r>
      <w:r w:rsidRPr="002338BA">
        <w:rPr>
          <w:rFonts w:asciiTheme="majorHAnsi" w:hAnsiTheme="majorHAnsi" w:cstheme="majorHAnsi"/>
          <w:color w:val="282828"/>
          <w:vertAlign w:val="superscript"/>
          <w:lang w:val="en-US"/>
        </w:rPr>
        <w:t xml:space="preserve"> </w:t>
      </w:r>
      <w:r w:rsidRPr="002338BA">
        <w:rPr>
          <w:rFonts w:asciiTheme="majorHAnsi" w:hAnsiTheme="majorHAnsi" w:cstheme="majorHAnsi"/>
        </w:rPr>
        <w:t xml:space="preserve">available at </w:t>
      </w:r>
      <w:hyperlink r:id="rId27" w:history="1">
        <w:r w:rsidRPr="002338BA">
          <w:rPr>
            <w:rStyle w:val="Hyperlink"/>
            <w:rFonts w:asciiTheme="majorHAnsi" w:hAnsiTheme="majorHAnsi" w:cstheme="majorHAnsi"/>
            <w:lang w:val="en-US"/>
          </w:rPr>
          <w:t>http://kenyalaw.org/caselaw/cases/view/104234/</w:t>
        </w:r>
      </w:hyperlink>
      <w:r w:rsidRPr="002338BA">
        <w:rPr>
          <w:rFonts w:asciiTheme="majorHAnsi" w:hAnsiTheme="majorHAnsi" w:cstheme="majorHAnsi"/>
        </w:rPr>
        <w:t xml:space="preserve">. </w:t>
      </w:r>
    </w:p>
  </w:footnote>
  <w:footnote w:id="31">
    <w:p w14:paraId="2CFBACB3" w14:textId="59190CDF" w:rsidR="003878C9" w:rsidRPr="002338BA" w:rsidRDefault="003878C9" w:rsidP="00364140">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Intersex Taskforce formed on 26th May 2017 </w:t>
      </w:r>
      <w:r w:rsidRPr="002338BA">
        <w:rPr>
          <w:rFonts w:asciiTheme="majorHAnsi" w:hAnsiTheme="majorHAnsi" w:cstheme="majorHAnsi"/>
          <w:lang w:val="en-US"/>
        </w:rPr>
        <w:t xml:space="preserve">vide Gazette Notice No. 4904 of 2017; </w:t>
      </w:r>
      <w:r w:rsidRPr="002338BA">
        <w:rPr>
          <w:rFonts w:asciiTheme="majorHAnsi" w:hAnsiTheme="majorHAnsi" w:cstheme="majorHAnsi"/>
        </w:rPr>
        <w:t xml:space="preserve">Term further extended vide Kenya Gazette Vol CXIX-No. 165 Notice No. 10810 of 2018. </w:t>
      </w:r>
    </w:p>
  </w:footnote>
  <w:footnote w:id="32">
    <w:p w14:paraId="4E1D2AAA" w14:textId="77777777" w:rsidR="003878C9" w:rsidRPr="002338BA" w:rsidRDefault="003878C9" w:rsidP="00364140">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The Intersex Taskforce Report available at </w:t>
      </w:r>
      <w:hyperlink r:id="rId28" w:history="1">
        <w:r w:rsidRPr="002338BA">
          <w:rPr>
            <w:rStyle w:val="Hyperlink"/>
            <w:rFonts w:asciiTheme="majorHAnsi" w:hAnsiTheme="majorHAnsi" w:cstheme="majorHAnsi"/>
          </w:rPr>
          <w:t>https://www.knchr.org/Portals/0/FINAL%20INTERSEX%20TASKFORCE%20REPORT.pdf</w:t>
        </w:r>
      </w:hyperlink>
      <w:r w:rsidRPr="002338BA">
        <w:rPr>
          <w:rFonts w:asciiTheme="majorHAnsi" w:hAnsiTheme="majorHAnsi" w:cstheme="majorHAnsi"/>
        </w:rPr>
        <w:t xml:space="preserve">. </w:t>
      </w:r>
    </w:p>
  </w:footnote>
  <w:footnote w:id="33">
    <w:p w14:paraId="4FFA9B37" w14:textId="04939B70" w:rsidR="003878C9" w:rsidRPr="002338BA" w:rsidRDefault="003878C9" w:rsidP="00364140">
      <w:pPr>
        <w:pStyle w:val="FootnoteText"/>
        <w:rPr>
          <w:rFonts w:asciiTheme="majorHAnsi" w:hAnsiTheme="majorHAnsi" w:cstheme="majorHAnsi"/>
        </w:rPr>
      </w:pPr>
      <w:r w:rsidRPr="002338BA">
        <w:rPr>
          <w:rStyle w:val="FootnoteReference"/>
          <w:rFonts w:asciiTheme="majorHAnsi" w:hAnsiTheme="majorHAnsi" w:cstheme="majorHAnsi"/>
        </w:rPr>
        <w:footnoteRef/>
      </w:r>
      <w:r w:rsidRPr="002338BA">
        <w:rPr>
          <w:rFonts w:asciiTheme="majorHAnsi" w:hAnsiTheme="majorHAnsi" w:cstheme="majorHAnsi"/>
        </w:rPr>
        <w:t xml:space="preserve"> Report on the Consideration of a Petition filed by concerned citizens Regarding Recognition of Persons with Gender Disorder Conditions (National Assembly, May 2007)</w:t>
      </w:r>
    </w:p>
  </w:footnote>
  <w:footnote w:id="34">
    <w:p w14:paraId="5C21768E" w14:textId="77777777" w:rsidR="003878C9" w:rsidRPr="002338BA" w:rsidRDefault="003878C9" w:rsidP="00364140">
      <w:pPr>
        <w:pStyle w:val="FootnoteText"/>
        <w:rPr>
          <w:rFonts w:asciiTheme="majorHAnsi" w:hAnsiTheme="majorHAnsi" w:cstheme="majorHAnsi"/>
        </w:rPr>
      </w:pPr>
      <w:r w:rsidRPr="002338BA">
        <w:rPr>
          <w:rStyle w:val="FootnoteReference"/>
          <w:rFonts w:asciiTheme="majorHAnsi" w:hAnsiTheme="majorHAnsi" w:cstheme="majorHAnsi"/>
        </w:rPr>
        <w:footnoteRef/>
      </w:r>
      <w:hyperlink r:id="rId29" w:history="1">
        <w:r w:rsidRPr="002338BA">
          <w:rPr>
            <w:rStyle w:val="Hyperlink"/>
            <w:rFonts w:asciiTheme="majorHAnsi" w:hAnsiTheme="majorHAnsi" w:cstheme="majorHAnsi"/>
            <w:lang w:val="en-US"/>
          </w:rPr>
          <w:t>https://www.knbs.or.ke/?wpdmpro=2019-kenya-population-and-housing-census-volume-i-population-by-county-and-sub-county</w:t>
        </w:r>
      </w:hyperlink>
      <w:r w:rsidRPr="002338BA">
        <w:rPr>
          <w:rStyle w:val="Hyperlink"/>
          <w:rFonts w:asciiTheme="majorHAnsi" w:hAnsiTheme="majorHAnsi" w:cstheme="majorHAnsi"/>
          <w:lang w:val="en-US"/>
        </w:rPr>
        <w:t>.</w:t>
      </w:r>
    </w:p>
  </w:footnote>
  <w:footnote w:id="35">
    <w:p w14:paraId="0ACDFCCE" w14:textId="3632CF7C" w:rsidR="003878C9" w:rsidRPr="000A5015" w:rsidRDefault="003878C9" w:rsidP="00364140">
      <w:pPr>
        <w:pStyle w:val="FootnoteText"/>
        <w:rPr>
          <w:rFonts w:asciiTheme="majorHAnsi" w:hAnsiTheme="majorHAnsi" w:cstheme="majorHAnsi"/>
        </w:rPr>
      </w:pPr>
      <w:r w:rsidRPr="000A5015">
        <w:rPr>
          <w:rStyle w:val="FootnoteReference"/>
          <w:rFonts w:asciiTheme="majorHAnsi" w:hAnsiTheme="majorHAnsi" w:cstheme="majorHAnsi"/>
        </w:rPr>
        <w:footnoteRef/>
      </w:r>
      <w:r w:rsidRPr="000A5015">
        <w:rPr>
          <w:rFonts w:asciiTheme="majorHAnsi" w:hAnsiTheme="majorHAnsi" w:cstheme="majorHAnsi"/>
        </w:rPr>
        <w:t xml:space="preserve"> National Gender and Equality Commission: General Elections 2017- Statement on participation of special interest groups available at </w:t>
      </w:r>
      <w:hyperlink r:id="rId30" w:history="1">
        <w:r w:rsidRPr="0057759E">
          <w:rPr>
            <w:rStyle w:val="Hyperlink"/>
            <w:rFonts w:asciiTheme="majorHAnsi" w:hAnsiTheme="majorHAnsi" w:cstheme="majorHAnsi"/>
          </w:rPr>
          <w:t>http://www.ngeckenya.org/news/7189/general-elections-2017-statement-on-participation-of-special-interest-groups</w:t>
        </w:r>
      </w:hyperlink>
      <w:r w:rsidRPr="000A5015">
        <w:rPr>
          <w:rFonts w:asciiTheme="majorHAnsi" w:hAnsiTheme="majorHAnsi" w:cstheme="majorHAnsi"/>
        </w:rPr>
        <w:t>.</w:t>
      </w:r>
      <w:r>
        <w:rPr>
          <w:rFonts w:asciiTheme="majorHAnsi" w:hAnsiTheme="majorHAnsi" w:cstheme="majorHAnsi"/>
        </w:rPr>
        <w:t xml:space="preserve"> </w:t>
      </w:r>
    </w:p>
  </w:footnote>
  <w:footnote w:id="36">
    <w:p w14:paraId="3051EDCA" w14:textId="55234C5B" w:rsidR="003878C9" w:rsidRPr="000A5015" w:rsidRDefault="003878C9">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sidRPr="000A5015">
        <w:rPr>
          <w:rFonts w:asciiTheme="majorHAnsi" w:hAnsiTheme="majorHAnsi" w:cstheme="majorHAnsi"/>
        </w:rPr>
        <w:t xml:space="preserve"> There are 23 women elected to single constituency sit, 47 elected as county women representatives and six women nominated by political parties bringing the tally to 76 and a deficit of 47. Senate has three women elected and 18 women nominated by political parties bringing the tally to 21 women and deficit of two (2).</w:t>
      </w:r>
    </w:p>
  </w:footnote>
  <w:footnote w:id="37">
    <w:p w14:paraId="1106FD22" w14:textId="7F532FFA" w:rsidR="003878C9" w:rsidRPr="000A5015" w:rsidRDefault="003878C9">
      <w:pPr>
        <w:pStyle w:val="FootnoteText"/>
        <w:rPr>
          <w:rFonts w:asciiTheme="majorHAnsi" w:hAnsiTheme="majorHAnsi" w:cstheme="majorHAnsi"/>
          <w:lang w:val="en-US"/>
        </w:rPr>
      </w:pPr>
      <w:r w:rsidRPr="000A5015">
        <w:rPr>
          <w:rStyle w:val="FootnoteReference"/>
          <w:rFonts w:asciiTheme="majorHAnsi" w:hAnsiTheme="majorHAnsi" w:cstheme="majorHAnsi"/>
        </w:rPr>
        <w:footnoteRef/>
      </w:r>
      <w:r w:rsidRPr="000A5015">
        <w:rPr>
          <w:rFonts w:asciiTheme="majorHAnsi" w:hAnsiTheme="majorHAnsi" w:cstheme="majorHAnsi"/>
        </w:rPr>
        <w:t xml:space="preserve"> I</w:t>
      </w:r>
      <w:r w:rsidRPr="000A5015">
        <w:rPr>
          <w:rFonts w:asciiTheme="majorHAnsi" w:hAnsiTheme="majorHAnsi" w:cstheme="majorHAnsi"/>
          <w:shd w:val="clear" w:color="auto" w:fill="FFFFFF"/>
        </w:rPr>
        <w:t>n the Matter of the Principle of Gender Representation in the National Assembly and the Senate [2012]</w:t>
      </w:r>
      <w:r>
        <w:rPr>
          <w:rFonts w:asciiTheme="majorHAnsi" w:hAnsiTheme="majorHAnsi" w:cstheme="majorHAnsi"/>
          <w:shd w:val="clear" w:color="auto" w:fill="FFFFFF"/>
        </w:rPr>
        <w:t xml:space="preserve"> </w:t>
      </w:r>
      <w:proofErr w:type="spellStart"/>
      <w:r w:rsidRPr="000A5015">
        <w:rPr>
          <w:rFonts w:asciiTheme="majorHAnsi" w:hAnsiTheme="majorHAnsi" w:cstheme="majorHAnsi"/>
          <w:shd w:val="clear" w:color="auto" w:fill="FFFFFF"/>
        </w:rPr>
        <w:t>eKLR</w:t>
      </w:r>
      <w:proofErr w:type="spellEnd"/>
      <w:r w:rsidRPr="000A5015">
        <w:rPr>
          <w:rFonts w:asciiTheme="majorHAnsi" w:hAnsiTheme="majorHAnsi" w:cstheme="majorHAnsi"/>
          <w:shd w:val="clear" w:color="auto" w:fill="FFFFFF"/>
        </w:rPr>
        <w:t xml:space="preserve"> available at </w:t>
      </w:r>
      <w:hyperlink r:id="rId31" w:history="1">
        <w:r w:rsidRPr="0057759E">
          <w:rPr>
            <w:rStyle w:val="Hyperlink"/>
            <w:rFonts w:asciiTheme="majorHAnsi" w:hAnsiTheme="majorHAnsi" w:cstheme="majorHAnsi"/>
            <w:shd w:val="clear" w:color="auto" w:fill="FFFFFF"/>
          </w:rPr>
          <w:t>http://kenyalaw.org/caselaw/cases/view/85286</w:t>
        </w:r>
      </w:hyperlink>
      <w:r>
        <w:rPr>
          <w:rFonts w:asciiTheme="majorHAnsi" w:hAnsiTheme="majorHAnsi" w:cstheme="majorHAnsi"/>
          <w:shd w:val="clear" w:color="auto" w:fill="FFFFFF"/>
        </w:rPr>
        <w:t xml:space="preserve"> </w:t>
      </w:r>
    </w:p>
  </w:footnote>
  <w:footnote w:id="38">
    <w:p w14:paraId="1C623D5B" w14:textId="1850E9E3" w:rsidR="003878C9" w:rsidRPr="004B35A0" w:rsidRDefault="003878C9" w:rsidP="004B35A0">
      <w:pPr>
        <w:pStyle w:val="FootnoteText"/>
        <w:rPr>
          <w:rFonts w:asciiTheme="majorHAnsi" w:hAnsiTheme="majorHAnsi" w:cstheme="majorHAnsi"/>
          <w:lang w:val="en-US"/>
        </w:rPr>
      </w:pPr>
      <w:r w:rsidRPr="004B35A0">
        <w:rPr>
          <w:rStyle w:val="FootnoteReference"/>
          <w:rFonts w:asciiTheme="majorHAnsi" w:hAnsiTheme="majorHAnsi" w:cstheme="majorHAnsi"/>
        </w:rPr>
        <w:footnoteRef/>
      </w:r>
      <w:r w:rsidRPr="004B35A0">
        <w:rPr>
          <w:rFonts w:asciiTheme="majorHAnsi" w:hAnsiTheme="majorHAnsi" w:cstheme="majorHAnsi"/>
        </w:rPr>
        <w:t xml:space="preserve"> </w:t>
      </w:r>
      <w:r w:rsidRPr="004B35A0">
        <w:rPr>
          <w:rFonts w:asciiTheme="majorHAnsi" w:hAnsiTheme="majorHAnsi" w:cstheme="majorHAnsi"/>
          <w:bCs/>
          <w:color w:val="282828"/>
          <w:lang w:val="en-US"/>
        </w:rPr>
        <w:t xml:space="preserve">Centre for Rights Education and Awareness &amp; 2 others v Speaker others of the National Assembly &amp; 6 others </w:t>
      </w:r>
      <w:r w:rsidRPr="004B35A0">
        <w:rPr>
          <w:rFonts w:asciiTheme="majorHAnsi" w:hAnsiTheme="majorHAnsi" w:cstheme="majorHAnsi"/>
        </w:rPr>
        <w:t xml:space="preserve">(2017) </w:t>
      </w:r>
      <w:proofErr w:type="spellStart"/>
      <w:r w:rsidRPr="004B35A0">
        <w:rPr>
          <w:rFonts w:asciiTheme="majorHAnsi" w:hAnsiTheme="majorHAnsi" w:cstheme="majorHAnsi"/>
        </w:rPr>
        <w:t>eKLR</w:t>
      </w:r>
      <w:proofErr w:type="spellEnd"/>
      <w:r w:rsidRPr="004B35A0">
        <w:rPr>
          <w:rFonts w:asciiTheme="majorHAnsi" w:hAnsiTheme="majorHAnsi" w:cstheme="majorHAnsi"/>
        </w:rPr>
        <w:t xml:space="preserve"> </w:t>
      </w:r>
      <w:r w:rsidRPr="004B35A0">
        <w:rPr>
          <w:rFonts w:asciiTheme="majorHAnsi" w:hAnsiTheme="majorHAnsi" w:cstheme="majorHAnsi"/>
          <w:bCs/>
          <w:color w:val="282828"/>
          <w:lang w:val="en-US"/>
        </w:rPr>
        <w:t>petition No. 371 of 2016 available at http://kenyalaw.org/caselaw/cases/view/133439/</w:t>
      </w:r>
    </w:p>
  </w:footnote>
  <w:footnote w:id="39">
    <w:p w14:paraId="1B682ECC" w14:textId="77777777" w:rsidR="003878C9" w:rsidRPr="004B35A0" w:rsidRDefault="003878C9" w:rsidP="004B35A0">
      <w:pPr>
        <w:pStyle w:val="FootnoteText"/>
        <w:rPr>
          <w:rFonts w:asciiTheme="majorHAnsi" w:hAnsiTheme="majorHAnsi" w:cstheme="majorHAnsi"/>
        </w:rPr>
      </w:pPr>
      <w:r w:rsidRPr="004B35A0">
        <w:rPr>
          <w:rStyle w:val="FootnoteReference"/>
          <w:rFonts w:asciiTheme="majorHAnsi" w:hAnsiTheme="majorHAnsi" w:cstheme="majorHAnsi"/>
        </w:rPr>
        <w:footnoteRef/>
      </w:r>
      <w:r w:rsidRPr="004B35A0">
        <w:rPr>
          <w:rFonts w:asciiTheme="majorHAnsi" w:hAnsiTheme="majorHAnsi" w:cstheme="majorHAnsi"/>
        </w:rPr>
        <w:t xml:space="preserve"> Sections 4, 7 (2) (c) Political Parties Act available at </w:t>
      </w:r>
      <w:hyperlink r:id="rId32" w:history="1">
        <w:r w:rsidRPr="004B35A0">
          <w:rPr>
            <w:rStyle w:val="Hyperlink"/>
            <w:rFonts w:asciiTheme="majorHAnsi" w:hAnsiTheme="majorHAnsi" w:cstheme="majorHAnsi"/>
          </w:rPr>
          <w:t>http://www.kenyalaw.org/lex//actview.xql?actid=No.%2011%20of%202011</w:t>
        </w:r>
      </w:hyperlink>
      <w:r w:rsidRPr="004B35A0">
        <w:rPr>
          <w:rFonts w:asciiTheme="majorHAnsi" w:hAnsiTheme="majorHAnsi" w:cstheme="majorHAnsi"/>
        </w:rPr>
        <w:t xml:space="preserve">. </w:t>
      </w:r>
    </w:p>
  </w:footnote>
  <w:footnote w:id="40">
    <w:p w14:paraId="06D81849" w14:textId="77777777" w:rsidR="003878C9" w:rsidRPr="004B35A0" w:rsidRDefault="003878C9" w:rsidP="004B35A0">
      <w:pPr>
        <w:pStyle w:val="FootnoteText"/>
        <w:rPr>
          <w:rFonts w:asciiTheme="majorHAnsi" w:hAnsiTheme="majorHAnsi" w:cstheme="majorHAnsi"/>
        </w:rPr>
      </w:pPr>
      <w:r w:rsidRPr="004B35A0">
        <w:rPr>
          <w:rStyle w:val="FootnoteReference"/>
          <w:rFonts w:asciiTheme="majorHAnsi" w:hAnsiTheme="majorHAnsi" w:cstheme="majorHAnsi"/>
        </w:rPr>
        <w:footnoteRef/>
      </w:r>
      <w:r w:rsidRPr="004B35A0">
        <w:rPr>
          <w:rFonts w:asciiTheme="majorHAnsi" w:hAnsiTheme="majorHAnsi" w:cstheme="majorHAnsi"/>
        </w:rPr>
        <w:t xml:space="preserve"> Kenya Gazette Supplement No. 107 </w:t>
      </w:r>
      <w:r w:rsidRPr="004B35A0">
        <w:rPr>
          <w:rFonts w:asciiTheme="majorHAnsi" w:hAnsiTheme="majorHAnsi" w:cstheme="majorHAnsi"/>
          <w:lang w:val="en-US"/>
        </w:rPr>
        <w:t>National Assembly Bill No. 52 of 2019</w:t>
      </w:r>
      <w:r w:rsidRPr="004B35A0">
        <w:rPr>
          <w:rFonts w:asciiTheme="majorHAnsi" w:hAnsiTheme="majorHAnsi" w:cstheme="majorHAnsi"/>
          <w:i/>
          <w:lang w:val="en-US"/>
        </w:rPr>
        <w:t xml:space="preserve"> </w:t>
      </w:r>
      <w:r w:rsidRPr="004B35A0">
        <w:rPr>
          <w:rFonts w:asciiTheme="majorHAnsi" w:hAnsiTheme="majorHAnsi" w:cstheme="majorHAnsi"/>
          <w:lang w:val="en-US"/>
        </w:rPr>
        <w:t>dated 3</w:t>
      </w:r>
      <w:r w:rsidRPr="004B35A0">
        <w:rPr>
          <w:rFonts w:asciiTheme="majorHAnsi" w:hAnsiTheme="majorHAnsi" w:cstheme="majorHAnsi"/>
          <w:vertAlign w:val="superscript"/>
          <w:lang w:val="en-US"/>
        </w:rPr>
        <w:t>rd</w:t>
      </w:r>
      <w:r w:rsidRPr="004B35A0">
        <w:rPr>
          <w:rFonts w:asciiTheme="majorHAnsi" w:hAnsiTheme="majorHAnsi" w:cstheme="majorHAnsi"/>
          <w:lang w:val="en-US"/>
        </w:rPr>
        <w:t xml:space="preserve"> July 2019 available at </w:t>
      </w:r>
      <w:hyperlink r:id="rId33" w:history="1">
        <w:r w:rsidRPr="004B35A0">
          <w:rPr>
            <w:rStyle w:val="Hyperlink"/>
            <w:rFonts w:asciiTheme="majorHAnsi" w:hAnsiTheme="majorHAnsi" w:cstheme="majorHAnsi"/>
          </w:rPr>
          <w:t>http://www.parliament.go.ke/sites/default/files/2019-07/The%20Representation%20of%20Special%20Interest%20Groups%20Laws%20%28Amendment%29%20Bill%2C%202019.pdf</w:t>
        </w:r>
      </w:hyperlink>
    </w:p>
  </w:footnote>
  <w:footnote w:id="41">
    <w:p w14:paraId="2B2869A2" w14:textId="77777777" w:rsidR="003878C9" w:rsidRPr="004B35A0" w:rsidRDefault="003878C9" w:rsidP="004B35A0">
      <w:pPr>
        <w:pStyle w:val="FootnoteText"/>
        <w:jc w:val="both"/>
        <w:rPr>
          <w:rFonts w:asciiTheme="majorHAnsi" w:hAnsiTheme="majorHAnsi" w:cstheme="majorHAnsi"/>
        </w:rPr>
      </w:pPr>
      <w:r w:rsidRPr="004B35A0">
        <w:rPr>
          <w:rStyle w:val="FootnoteReference"/>
          <w:rFonts w:asciiTheme="majorHAnsi" w:hAnsiTheme="majorHAnsi" w:cstheme="majorHAnsi"/>
        </w:rPr>
        <w:footnoteRef/>
      </w:r>
      <w:r w:rsidRPr="004B35A0">
        <w:rPr>
          <w:rFonts w:asciiTheme="majorHAnsi" w:hAnsiTheme="majorHAnsi" w:cstheme="majorHAnsi"/>
        </w:rPr>
        <w:t xml:space="preserve"> The Bill sought to amend the Persons with Disabilities Act No. 14 of 2003; the Independent Electoral and Boundaries Commission Act No. 9 of 2011; the Political Parties Act No. 11 of 2011; the National Gender and Equality Commission Act No. 15 of 2011; the Elections Act No. 24 of 2011; the Election Campaign Financing Act No. 42 of 2013 and the Election Offences Act No. 37 of 2016.</w:t>
      </w:r>
    </w:p>
  </w:footnote>
  <w:footnote w:id="42">
    <w:p w14:paraId="48693FC5" w14:textId="77777777" w:rsidR="003878C9" w:rsidRPr="004B35A0" w:rsidRDefault="003878C9" w:rsidP="004B35A0">
      <w:pPr>
        <w:pStyle w:val="FootnoteText"/>
        <w:rPr>
          <w:rFonts w:asciiTheme="majorHAnsi" w:hAnsiTheme="majorHAnsi" w:cstheme="majorHAnsi"/>
        </w:rPr>
      </w:pPr>
      <w:r w:rsidRPr="004B35A0">
        <w:rPr>
          <w:rStyle w:val="FootnoteReference"/>
          <w:rFonts w:asciiTheme="majorHAnsi" w:hAnsiTheme="majorHAnsi" w:cstheme="majorHAnsi"/>
        </w:rPr>
        <w:footnoteRef/>
      </w:r>
      <w:r w:rsidRPr="004B35A0">
        <w:rPr>
          <w:rFonts w:asciiTheme="majorHAnsi" w:hAnsiTheme="majorHAnsi" w:cstheme="majorHAnsi"/>
        </w:rPr>
        <w:t xml:space="preserve">Kenya Gazette Supplement No.10 </w:t>
      </w:r>
      <w:r w:rsidRPr="004B35A0">
        <w:rPr>
          <w:rFonts w:asciiTheme="majorHAnsi" w:hAnsiTheme="majorHAnsi" w:cstheme="majorHAnsi"/>
          <w:bCs/>
        </w:rPr>
        <w:t>National Assembly Bill No. 4 of 2018 dated 12</w:t>
      </w:r>
      <w:r w:rsidRPr="004B35A0">
        <w:rPr>
          <w:rFonts w:asciiTheme="majorHAnsi" w:hAnsiTheme="majorHAnsi" w:cstheme="majorHAnsi"/>
          <w:bCs/>
          <w:vertAlign w:val="superscript"/>
        </w:rPr>
        <w:t>th</w:t>
      </w:r>
      <w:r w:rsidRPr="004B35A0">
        <w:rPr>
          <w:rFonts w:asciiTheme="majorHAnsi" w:hAnsiTheme="majorHAnsi" w:cstheme="majorHAnsi"/>
          <w:bCs/>
        </w:rPr>
        <w:t xml:space="preserve"> February 2018 available at </w:t>
      </w:r>
      <w:hyperlink r:id="rId34" w:history="1">
        <w:r w:rsidRPr="004B35A0">
          <w:rPr>
            <w:rStyle w:val="Hyperlink"/>
            <w:rFonts w:asciiTheme="majorHAnsi" w:hAnsiTheme="majorHAnsi" w:cstheme="majorHAnsi"/>
            <w:bCs/>
          </w:rPr>
          <w:t>http://www.parliament.go.ke/sites/default/files/201705/The_Constitution_of_Kenya__Amendment_Bill_2018.pdf</w:t>
        </w:r>
      </w:hyperlink>
    </w:p>
  </w:footnote>
  <w:footnote w:id="43">
    <w:p w14:paraId="08C05331" w14:textId="77777777" w:rsidR="003878C9" w:rsidRPr="00364140" w:rsidRDefault="003878C9" w:rsidP="00EB6A63">
      <w:pPr>
        <w:pStyle w:val="FootnoteText"/>
        <w:rPr>
          <w:rFonts w:asciiTheme="majorHAnsi" w:hAnsiTheme="majorHAnsi" w:cstheme="majorHAnsi"/>
        </w:rPr>
      </w:pPr>
      <w:r w:rsidRPr="00364140">
        <w:rPr>
          <w:rStyle w:val="FootnoteReference"/>
          <w:rFonts w:asciiTheme="majorHAnsi" w:hAnsiTheme="majorHAnsi" w:cstheme="majorHAnsi"/>
        </w:rPr>
        <w:footnoteRef/>
      </w:r>
      <w:r w:rsidRPr="00364140">
        <w:rPr>
          <w:rFonts w:asciiTheme="majorHAnsi" w:hAnsiTheme="majorHAnsi" w:cstheme="majorHAnsi"/>
        </w:rPr>
        <w:t xml:space="preserve"> Kenya Gazette Supplement No. 108 National Assembly Bill No. 53 of 2019 dated 4</w:t>
      </w:r>
      <w:r w:rsidRPr="00364140">
        <w:rPr>
          <w:rFonts w:asciiTheme="majorHAnsi" w:hAnsiTheme="majorHAnsi" w:cstheme="majorHAnsi"/>
          <w:vertAlign w:val="superscript"/>
        </w:rPr>
        <w:t>th</w:t>
      </w:r>
      <w:r w:rsidRPr="00364140">
        <w:rPr>
          <w:rFonts w:asciiTheme="majorHAnsi" w:hAnsiTheme="majorHAnsi" w:cstheme="majorHAnsi"/>
        </w:rPr>
        <w:t xml:space="preserve"> July 2019 available at </w:t>
      </w:r>
      <w:hyperlink r:id="rId35" w:history="1">
        <w:r w:rsidRPr="00364140">
          <w:rPr>
            <w:rStyle w:val="Hyperlink"/>
            <w:rFonts w:asciiTheme="majorHAnsi" w:hAnsiTheme="majorHAnsi" w:cstheme="majorHAnsi"/>
          </w:rPr>
          <w:t>http://kenyalaw.org/kl/fileadmin/pdfdownloads/bills/2019/The_Constitution_of_Kenya__Amendment__Bill__2019.PDF</w:t>
        </w:r>
      </w:hyperlink>
    </w:p>
  </w:footnote>
  <w:footnote w:id="44">
    <w:p w14:paraId="5544447C" w14:textId="77777777" w:rsidR="003878C9" w:rsidRPr="00364140" w:rsidRDefault="003878C9" w:rsidP="00322E94">
      <w:pPr>
        <w:pStyle w:val="FootnoteText"/>
        <w:rPr>
          <w:rFonts w:asciiTheme="majorHAnsi" w:hAnsiTheme="majorHAnsi" w:cstheme="majorHAnsi"/>
        </w:rPr>
      </w:pPr>
      <w:r w:rsidRPr="00364140">
        <w:rPr>
          <w:rStyle w:val="FootnoteReference"/>
          <w:rFonts w:asciiTheme="majorHAnsi" w:hAnsiTheme="majorHAnsi" w:cstheme="majorHAnsi"/>
        </w:rPr>
        <w:footnoteRef/>
      </w:r>
      <w:r w:rsidRPr="00364140">
        <w:rPr>
          <w:rFonts w:asciiTheme="majorHAnsi" w:hAnsiTheme="majorHAnsi" w:cstheme="majorHAnsi"/>
        </w:rPr>
        <w:t xml:space="preserve"> Launched </w:t>
      </w:r>
      <w:r w:rsidRPr="00364140">
        <w:rPr>
          <w:rFonts w:asciiTheme="majorHAnsi" w:hAnsiTheme="majorHAnsi" w:cstheme="majorHAnsi"/>
          <w:bCs/>
          <w:lang w:val="en-US"/>
        </w:rPr>
        <w:t>on 8th September 2013 and enacted through a Legal Notice No. 21 of the Public Finance Management Act, 2014, and published on 21st February, 2014</w:t>
      </w:r>
    </w:p>
  </w:footnote>
  <w:footnote w:id="45">
    <w:p w14:paraId="3704200A" w14:textId="77777777" w:rsidR="003878C9" w:rsidRPr="00364140" w:rsidRDefault="003878C9" w:rsidP="00322E94">
      <w:pPr>
        <w:pStyle w:val="FootnoteText"/>
        <w:rPr>
          <w:rFonts w:asciiTheme="majorHAnsi" w:hAnsiTheme="majorHAnsi" w:cstheme="majorHAnsi"/>
        </w:rPr>
      </w:pPr>
      <w:r w:rsidRPr="00364140">
        <w:rPr>
          <w:rStyle w:val="FootnoteReference"/>
          <w:rFonts w:asciiTheme="majorHAnsi" w:hAnsiTheme="majorHAnsi" w:cstheme="majorHAnsi"/>
        </w:rPr>
        <w:footnoteRef/>
      </w:r>
      <w:hyperlink r:id="rId36" w:history="1">
        <w:r w:rsidRPr="00364140">
          <w:rPr>
            <w:rStyle w:val="Hyperlink"/>
            <w:rFonts w:asciiTheme="majorHAnsi" w:hAnsiTheme="majorHAnsi" w:cstheme="majorHAnsi"/>
          </w:rPr>
          <w:t>http://www.uwezo.go.ke/</w:t>
        </w:r>
      </w:hyperlink>
      <w:r w:rsidRPr="00364140">
        <w:rPr>
          <w:rFonts w:asciiTheme="majorHAnsi" w:hAnsiTheme="majorHAnsi" w:cstheme="majorHAnsi"/>
        </w:rPr>
        <w:t xml:space="preserve">. </w:t>
      </w:r>
    </w:p>
  </w:footnote>
  <w:footnote w:id="46">
    <w:p w14:paraId="344DF50D" w14:textId="77777777" w:rsidR="003878C9" w:rsidRPr="00364140" w:rsidRDefault="003878C9" w:rsidP="00522990">
      <w:pPr>
        <w:pStyle w:val="FootnoteText"/>
        <w:rPr>
          <w:rFonts w:asciiTheme="majorHAnsi" w:hAnsiTheme="majorHAnsi" w:cstheme="majorHAnsi"/>
        </w:rPr>
      </w:pPr>
      <w:r w:rsidRPr="00364140">
        <w:rPr>
          <w:rStyle w:val="FootnoteReference"/>
          <w:rFonts w:asciiTheme="majorHAnsi" w:hAnsiTheme="majorHAnsi" w:cstheme="majorHAnsi"/>
        </w:rPr>
        <w:footnoteRef/>
      </w:r>
      <w:r w:rsidRPr="00364140">
        <w:rPr>
          <w:rFonts w:asciiTheme="majorHAnsi" w:hAnsiTheme="majorHAnsi" w:cstheme="majorHAnsi"/>
        </w:rPr>
        <w:t xml:space="preserve"> </w:t>
      </w:r>
      <w:r w:rsidRPr="00364140">
        <w:rPr>
          <w:rFonts w:asciiTheme="majorHAnsi" w:hAnsiTheme="majorHAnsi" w:cstheme="majorHAnsi"/>
          <w:bCs/>
        </w:rPr>
        <w:t>A Semi-Autonomous Government Agency in the Ministry of Public Service, Youth &amp; Gender Affairs</w:t>
      </w:r>
    </w:p>
  </w:footnote>
  <w:footnote w:id="47">
    <w:p w14:paraId="2DBED043" w14:textId="77777777" w:rsidR="003878C9" w:rsidRPr="00364140" w:rsidRDefault="003878C9" w:rsidP="00022BA5">
      <w:pPr>
        <w:pStyle w:val="FootnoteText"/>
        <w:rPr>
          <w:rFonts w:asciiTheme="majorHAnsi" w:hAnsiTheme="majorHAnsi" w:cstheme="majorHAnsi"/>
        </w:rPr>
      </w:pPr>
      <w:r w:rsidRPr="00364140">
        <w:rPr>
          <w:rStyle w:val="FootnoteReference"/>
          <w:rFonts w:asciiTheme="majorHAnsi" w:hAnsiTheme="majorHAnsi" w:cstheme="majorHAnsi"/>
        </w:rPr>
        <w:footnoteRef/>
      </w:r>
      <w:hyperlink r:id="rId37" w:history="1">
        <w:r w:rsidRPr="00364140">
          <w:rPr>
            <w:rStyle w:val="Hyperlink"/>
            <w:rFonts w:asciiTheme="majorHAnsi" w:hAnsiTheme="majorHAnsi" w:cstheme="majorHAnsi"/>
          </w:rPr>
          <w:t>https://www.wef.co.ke/</w:t>
        </w:r>
      </w:hyperlink>
      <w:r w:rsidRPr="00364140">
        <w:rPr>
          <w:rFonts w:asciiTheme="majorHAnsi" w:hAnsiTheme="majorHAnsi" w:cstheme="majorHAnsi"/>
        </w:rPr>
        <w:t xml:space="preserve">. </w:t>
      </w:r>
    </w:p>
  </w:footnote>
  <w:footnote w:id="48">
    <w:p w14:paraId="0C485A55" w14:textId="77777777" w:rsidR="003878C9" w:rsidRPr="00364140" w:rsidRDefault="003878C9" w:rsidP="00022BA5">
      <w:pPr>
        <w:pStyle w:val="FootnoteText"/>
        <w:rPr>
          <w:rFonts w:asciiTheme="majorHAnsi" w:hAnsiTheme="majorHAnsi" w:cstheme="majorHAnsi"/>
        </w:rPr>
      </w:pPr>
      <w:r w:rsidRPr="00364140">
        <w:rPr>
          <w:rStyle w:val="FootnoteReference"/>
          <w:rFonts w:asciiTheme="majorHAnsi" w:hAnsiTheme="majorHAnsi" w:cstheme="majorHAnsi"/>
        </w:rPr>
        <w:footnoteRef/>
      </w:r>
      <w:r w:rsidRPr="00364140">
        <w:rPr>
          <w:rFonts w:asciiTheme="majorHAnsi" w:hAnsiTheme="majorHAnsi" w:cstheme="majorHAnsi"/>
        </w:rPr>
        <w:t xml:space="preserve"> </w:t>
      </w:r>
      <w:r w:rsidRPr="00364140">
        <w:rPr>
          <w:rFonts w:asciiTheme="majorHAnsi" w:hAnsiTheme="majorHAnsi" w:cstheme="majorHAnsi"/>
          <w:lang w:val="en-US"/>
        </w:rPr>
        <w:t xml:space="preserve">The National Treasury and Planning, State Department for Planning ,Social and Governance Department; Report of the pilot assessment on the implementation status and impact of affirmative action funds in Kenya- May 2019 available at </w:t>
      </w:r>
      <w:hyperlink r:id="rId38" w:history="1">
        <w:r w:rsidRPr="00364140">
          <w:rPr>
            <w:rStyle w:val="Hyperlink"/>
            <w:rFonts w:asciiTheme="majorHAnsi" w:hAnsiTheme="majorHAnsi" w:cstheme="majorHAnsi"/>
            <w:lang w:val="en-US"/>
          </w:rPr>
          <w:t>https://www.wef.co.ke/index.php/2016-04-22-06-22-35/reports-publications/send/7-reports-and-publications/74-assesmentwef-ngaaf</w:t>
        </w:r>
      </w:hyperlink>
      <w:r w:rsidRPr="00364140">
        <w:rPr>
          <w:rFonts w:asciiTheme="majorHAnsi" w:hAnsiTheme="majorHAnsi" w:cstheme="majorHAnsi"/>
          <w:lang w:val="en-US"/>
        </w:rPr>
        <w:t>.</w:t>
      </w:r>
    </w:p>
  </w:footnote>
  <w:footnote w:id="49">
    <w:p w14:paraId="65C392A0" w14:textId="5B0014D8" w:rsidR="003878C9" w:rsidRPr="004B35A0" w:rsidRDefault="003878C9" w:rsidP="004B35A0">
      <w:pPr>
        <w:pStyle w:val="FootnoteText"/>
        <w:contextualSpacing/>
        <w:rPr>
          <w:rFonts w:asciiTheme="majorHAnsi" w:hAnsiTheme="majorHAnsi" w:cstheme="majorHAnsi"/>
          <w:lang w:val="en-US"/>
        </w:rPr>
      </w:pPr>
      <w:r w:rsidRPr="004B35A0">
        <w:rPr>
          <w:rStyle w:val="FootnoteReference"/>
          <w:rFonts w:asciiTheme="majorHAnsi" w:hAnsiTheme="majorHAnsi" w:cstheme="majorHAnsi"/>
        </w:rPr>
        <w:footnoteRef/>
      </w:r>
      <w:r w:rsidRPr="004B35A0">
        <w:rPr>
          <w:rFonts w:asciiTheme="majorHAnsi" w:hAnsiTheme="majorHAnsi" w:cstheme="majorHAnsi"/>
        </w:rPr>
        <w:t xml:space="preserve"> </w:t>
      </w:r>
      <w:r w:rsidRPr="004B35A0">
        <w:rPr>
          <w:rFonts w:asciiTheme="majorHAnsi" w:hAnsiTheme="majorHAnsi" w:cstheme="majorHAnsi"/>
          <w:color w:val="282828"/>
        </w:rPr>
        <w:t xml:space="preserve">The Prevention of Terrorism Act, 2012 (No. 30 of 2012), available at </w:t>
      </w:r>
      <w:hyperlink r:id="rId39" w:history="1">
        <w:r w:rsidRPr="0057759E">
          <w:rPr>
            <w:rStyle w:val="Hyperlink"/>
            <w:rFonts w:asciiTheme="majorHAnsi" w:hAnsiTheme="majorHAnsi" w:cstheme="majorHAnsi"/>
          </w:rPr>
          <w:t>http://kenyalaw.org:8181/exist/kenyalex/actview.xql?actid=No.%2030%20of%202012</w:t>
        </w:r>
      </w:hyperlink>
      <w:r w:rsidRPr="004B35A0">
        <w:rPr>
          <w:rFonts w:asciiTheme="majorHAnsi" w:hAnsiTheme="majorHAnsi" w:cstheme="majorHAnsi"/>
          <w:color w:val="282828"/>
        </w:rPr>
        <w:t>.</w:t>
      </w:r>
      <w:r>
        <w:rPr>
          <w:rFonts w:asciiTheme="majorHAnsi" w:hAnsiTheme="majorHAnsi" w:cstheme="majorHAnsi"/>
          <w:color w:val="282828"/>
        </w:rPr>
        <w:t xml:space="preserve"> </w:t>
      </w:r>
    </w:p>
  </w:footnote>
  <w:footnote w:id="50">
    <w:p w14:paraId="183898FF" w14:textId="62A3AEB7" w:rsidR="003878C9" w:rsidRPr="004B35A0" w:rsidRDefault="003878C9" w:rsidP="004B35A0">
      <w:pPr>
        <w:pStyle w:val="Heading3"/>
        <w:shd w:val="clear" w:color="auto" w:fill="FFFFFF"/>
        <w:spacing w:before="0" w:beforeAutospacing="0" w:after="0" w:afterAutospacing="0"/>
        <w:contextualSpacing/>
        <w:rPr>
          <w:rFonts w:asciiTheme="majorHAnsi" w:hAnsiTheme="majorHAnsi" w:cstheme="majorHAnsi"/>
          <w:color w:val="922B2C"/>
          <w:sz w:val="20"/>
          <w:szCs w:val="20"/>
        </w:rPr>
      </w:pPr>
      <w:r w:rsidRPr="004B35A0">
        <w:rPr>
          <w:rStyle w:val="FootnoteReference"/>
          <w:rFonts w:asciiTheme="majorHAnsi" w:hAnsiTheme="majorHAnsi" w:cstheme="majorHAnsi"/>
          <w:sz w:val="20"/>
          <w:szCs w:val="20"/>
        </w:rPr>
        <w:footnoteRef/>
      </w:r>
      <w:r w:rsidRPr="004B35A0">
        <w:rPr>
          <w:rFonts w:asciiTheme="majorHAnsi" w:hAnsiTheme="majorHAnsi" w:cstheme="majorHAnsi"/>
          <w:sz w:val="20"/>
          <w:szCs w:val="20"/>
        </w:rPr>
        <w:t xml:space="preserve"> </w:t>
      </w:r>
      <w:r w:rsidRPr="004B35A0">
        <w:rPr>
          <w:rFonts w:asciiTheme="majorHAnsi" w:hAnsiTheme="majorHAnsi" w:cstheme="majorHAnsi"/>
          <w:b w:val="0"/>
          <w:bCs w:val="0"/>
          <w:sz w:val="20"/>
          <w:szCs w:val="20"/>
          <w:shd w:val="clear" w:color="auto" w:fill="FFFFFF"/>
        </w:rPr>
        <w:t xml:space="preserve">Coalition for Reform and Democracy (CORD) &amp; 2 others v Republic of Kenya &amp;10; others [2015] </w:t>
      </w:r>
      <w:proofErr w:type="spellStart"/>
      <w:r w:rsidRPr="004B35A0">
        <w:rPr>
          <w:rFonts w:asciiTheme="majorHAnsi" w:hAnsiTheme="majorHAnsi" w:cstheme="majorHAnsi"/>
          <w:b w:val="0"/>
          <w:bCs w:val="0"/>
          <w:sz w:val="20"/>
          <w:szCs w:val="20"/>
          <w:shd w:val="clear" w:color="auto" w:fill="FFFFFF"/>
        </w:rPr>
        <w:t>eKLR</w:t>
      </w:r>
      <w:proofErr w:type="spellEnd"/>
      <w:r w:rsidRPr="004B35A0">
        <w:rPr>
          <w:rFonts w:asciiTheme="majorHAnsi" w:hAnsiTheme="majorHAnsi" w:cstheme="majorHAnsi"/>
          <w:b w:val="0"/>
          <w:bCs w:val="0"/>
          <w:sz w:val="20"/>
          <w:szCs w:val="20"/>
          <w:shd w:val="clear" w:color="auto" w:fill="FFFFFF"/>
        </w:rPr>
        <w:t>;</w:t>
      </w:r>
      <w:r w:rsidRPr="004B35A0">
        <w:rPr>
          <w:rFonts w:asciiTheme="majorHAnsi" w:hAnsiTheme="majorHAnsi" w:cstheme="majorHAnsi"/>
          <w:b w:val="0"/>
          <w:bCs w:val="0"/>
          <w:sz w:val="20"/>
          <w:szCs w:val="20"/>
        </w:rPr>
        <w:t xml:space="preserve"> available at </w:t>
      </w:r>
      <w:hyperlink r:id="rId40" w:history="1">
        <w:r w:rsidRPr="0057759E">
          <w:rPr>
            <w:rStyle w:val="Hyperlink"/>
            <w:rFonts w:asciiTheme="majorHAnsi" w:hAnsiTheme="majorHAnsi" w:cstheme="majorHAnsi"/>
            <w:b w:val="0"/>
            <w:bCs w:val="0"/>
            <w:sz w:val="20"/>
            <w:szCs w:val="20"/>
          </w:rPr>
          <w:t>http://kenyalaw.org/caselaw/cases/view/106083/</w:t>
        </w:r>
      </w:hyperlink>
      <w:r w:rsidRPr="004B35A0">
        <w:rPr>
          <w:rFonts w:asciiTheme="majorHAnsi" w:hAnsiTheme="majorHAnsi" w:cstheme="majorHAnsi"/>
          <w:b w:val="0"/>
          <w:bCs w:val="0"/>
          <w:sz w:val="20"/>
          <w:szCs w:val="20"/>
        </w:rPr>
        <w:t>.</w:t>
      </w:r>
      <w:r>
        <w:rPr>
          <w:rFonts w:asciiTheme="majorHAnsi" w:hAnsiTheme="majorHAnsi" w:cstheme="majorHAnsi"/>
          <w:b w:val="0"/>
          <w:bCs w:val="0"/>
          <w:sz w:val="20"/>
          <w:szCs w:val="20"/>
        </w:rPr>
        <w:t xml:space="preserve"> </w:t>
      </w:r>
      <w:r w:rsidRPr="004B35A0">
        <w:rPr>
          <w:rFonts w:asciiTheme="majorHAnsi" w:hAnsiTheme="majorHAnsi" w:cstheme="majorHAnsi"/>
          <w:b w:val="0"/>
          <w:bCs w:val="0"/>
          <w:sz w:val="20"/>
          <w:szCs w:val="20"/>
        </w:rPr>
        <w:t xml:space="preserve"> </w:t>
      </w:r>
      <w:r>
        <w:rPr>
          <w:rFonts w:asciiTheme="majorHAnsi" w:hAnsiTheme="majorHAnsi" w:cstheme="majorHAnsi"/>
          <w:b w:val="0"/>
          <w:bCs w:val="0"/>
          <w:sz w:val="20"/>
          <w:szCs w:val="20"/>
        </w:rPr>
        <w:t xml:space="preserve"> </w:t>
      </w:r>
    </w:p>
  </w:footnote>
  <w:footnote w:id="51">
    <w:p w14:paraId="4EBE2700" w14:textId="24E97C1A" w:rsidR="003878C9" w:rsidRPr="004B35A0" w:rsidRDefault="003878C9" w:rsidP="004B35A0">
      <w:pPr>
        <w:pStyle w:val="FootnoteText"/>
        <w:contextualSpacing/>
        <w:rPr>
          <w:rFonts w:asciiTheme="majorHAnsi" w:hAnsiTheme="majorHAnsi" w:cstheme="majorHAnsi"/>
        </w:rPr>
      </w:pPr>
      <w:r w:rsidRPr="004B35A0">
        <w:rPr>
          <w:rStyle w:val="FootnoteReference"/>
          <w:rFonts w:asciiTheme="majorHAnsi" w:hAnsiTheme="majorHAnsi" w:cstheme="majorHAnsi"/>
        </w:rPr>
        <w:footnoteRef/>
      </w:r>
      <w:r w:rsidRPr="004B35A0">
        <w:rPr>
          <w:rFonts w:asciiTheme="majorHAnsi" w:hAnsiTheme="majorHAnsi" w:cstheme="majorHAnsi"/>
        </w:rPr>
        <w:t xml:space="preserve"> CORD case paras 463, 464. </w:t>
      </w:r>
    </w:p>
  </w:footnote>
  <w:footnote w:id="52">
    <w:p w14:paraId="4F2B1875" w14:textId="5F075E22" w:rsidR="003878C9" w:rsidRPr="004B35A0" w:rsidRDefault="003878C9" w:rsidP="004B35A0">
      <w:pPr>
        <w:pStyle w:val="FootnoteText"/>
        <w:contextualSpacing/>
        <w:rPr>
          <w:rFonts w:asciiTheme="majorHAnsi" w:hAnsiTheme="majorHAnsi" w:cstheme="majorHAnsi"/>
          <w:lang w:val="en-US"/>
        </w:rPr>
      </w:pPr>
      <w:r w:rsidRPr="004B35A0">
        <w:rPr>
          <w:rStyle w:val="FootnoteReference"/>
          <w:rFonts w:asciiTheme="majorHAnsi" w:hAnsiTheme="majorHAnsi" w:cstheme="majorHAnsi"/>
        </w:rPr>
        <w:footnoteRef/>
      </w:r>
      <w:r w:rsidRPr="004B35A0">
        <w:rPr>
          <w:rFonts w:asciiTheme="majorHAnsi" w:hAnsiTheme="majorHAnsi" w:cstheme="majorHAnsi"/>
        </w:rPr>
        <w:t xml:space="preserve"> </w:t>
      </w:r>
      <w:r w:rsidRPr="004B35A0">
        <w:rPr>
          <w:rFonts w:asciiTheme="majorHAnsi" w:hAnsiTheme="majorHAnsi" w:cstheme="majorHAnsi"/>
          <w:lang w:val="en-US"/>
        </w:rPr>
        <w:t>Para 300, CORD case.</w:t>
      </w:r>
    </w:p>
  </w:footnote>
  <w:footnote w:id="53">
    <w:p w14:paraId="5824E326" w14:textId="77777777" w:rsidR="003878C9" w:rsidRPr="004B35A0" w:rsidRDefault="003878C9" w:rsidP="004B35A0">
      <w:pPr>
        <w:spacing w:after="0" w:line="240" w:lineRule="auto"/>
        <w:contextualSpacing/>
        <w:rPr>
          <w:rFonts w:asciiTheme="majorHAnsi" w:hAnsiTheme="majorHAnsi" w:cstheme="majorHAnsi"/>
          <w:bCs/>
          <w:sz w:val="20"/>
          <w:szCs w:val="20"/>
        </w:rPr>
      </w:pPr>
      <w:r w:rsidRPr="004B35A0">
        <w:rPr>
          <w:rStyle w:val="FootnoteReference"/>
          <w:rFonts w:asciiTheme="majorHAnsi" w:hAnsiTheme="majorHAnsi" w:cstheme="majorHAnsi"/>
          <w:sz w:val="20"/>
          <w:szCs w:val="20"/>
        </w:rPr>
        <w:footnoteRef/>
      </w:r>
      <w:r w:rsidRPr="004B35A0">
        <w:rPr>
          <w:rFonts w:asciiTheme="majorHAnsi" w:hAnsiTheme="majorHAnsi" w:cstheme="majorHAnsi"/>
          <w:sz w:val="20"/>
          <w:szCs w:val="20"/>
        </w:rPr>
        <w:t xml:space="preserve"> KNCHR(2014), A Country Under Siege: The State of Security In Kenya(2014); </w:t>
      </w:r>
      <w:hyperlink r:id="rId41" w:history="1">
        <w:r w:rsidRPr="004B35A0">
          <w:rPr>
            <w:rStyle w:val="Hyperlink"/>
            <w:rFonts w:asciiTheme="majorHAnsi" w:hAnsiTheme="majorHAnsi" w:cstheme="majorHAnsi"/>
            <w:sz w:val="20"/>
            <w:szCs w:val="20"/>
          </w:rPr>
          <w:t>http://www.knchr.org/Portals/0/CivilAndPoliticalReports/The%20State%20of%20Security%20in%20Kenya.pdf</w:t>
        </w:r>
      </w:hyperlink>
      <w:r w:rsidRPr="004B35A0">
        <w:rPr>
          <w:rFonts w:asciiTheme="majorHAnsi" w:hAnsiTheme="majorHAnsi" w:cstheme="majorHAnsi"/>
          <w:sz w:val="20"/>
          <w:szCs w:val="20"/>
        </w:rPr>
        <w:t xml:space="preserve">; Solders of Justice: A Case for Increased Citizen Participation in Promoting Security within Kisumu County (2015) </w:t>
      </w:r>
      <w:hyperlink r:id="rId42" w:history="1">
        <w:r w:rsidRPr="004B35A0">
          <w:rPr>
            <w:rStyle w:val="Hyperlink"/>
            <w:rFonts w:asciiTheme="majorHAnsi" w:hAnsiTheme="majorHAnsi" w:cstheme="majorHAnsi"/>
            <w:sz w:val="20"/>
            <w:szCs w:val="20"/>
          </w:rPr>
          <w:t>https://www.knchr.org/Portals/0/CivilAndPoliticalReports/Soldiers%20of%20Justice.pdf?ver=2018-06-06-201902-103</w:t>
        </w:r>
      </w:hyperlink>
      <w:r w:rsidRPr="004B35A0">
        <w:rPr>
          <w:rFonts w:asciiTheme="majorHAnsi" w:hAnsiTheme="majorHAnsi" w:cstheme="majorHAnsi"/>
          <w:sz w:val="20"/>
          <w:szCs w:val="20"/>
        </w:rPr>
        <w:t xml:space="preserve">; KNCHR “The Error of Fighting Terror with Terror”: Preliminary Report of KNCHR Investigations on Human Rights Abuses in the Ongoing Crackdown against Terrorism(2015) </w:t>
      </w:r>
      <w:hyperlink r:id="rId43" w:history="1">
        <w:r w:rsidRPr="004B35A0">
          <w:rPr>
            <w:rStyle w:val="Hyperlink"/>
            <w:rFonts w:asciiTheme="majorHAnsi" w:hAnsiTheme="majorHAnsi" w:cstheme="majorHAnsi"/>
            <w:sz w:val="20"/>
            <w:szCs w:val="20"/>
          </w:rPr>
          <w:t>https://www.knchr.org/Portals/0/CivilAndPoliticalReports/The%20Error%20of%20Fighting%20Terror%20With%20Terror.pdf?ver=2018-06-06-200137-237</w:t>
        </w:r>
      </w:hyperlink>
      <w:r w:rsidRPr="004B35A0">
        <w:rPr>
          <w:rFonts w:asciiTheme="majorHAnsi" w:hAnsiTheme="majorHAnsi" w:cstheme="majorHAnsi"/>
          <w:sz w:val="20"/>
          <w:szCs w:val="20"/>
        </w:rPr>
        <w:t xml:space="preserve"> and  KNCHR(2016) </w:t>
      </w:r>
      <w:r w:rsidRPr="004B35A0">
        <w:rPr>
          <w:rStyle w:val="Strong"/>
          <w:rFonts w:asciiTheme="majorHAnsi" w:hAnsiTheme="majorHAnsi" w:cstheme="majorHAnsi"/>
          <w:b w:val="0"/>
          <w:sz w:val="20"/>
          <w:szCs w:val="20"/>
        </w:rPr>
        <w:t>Securing National Security &amp; Protection of Human Rights: A Comparative Analysis Of The Efficacy Of Counter Terrorism: Legislation and Policy.</w:t>
      </w:r>
      <w:hyperlink r:id="rId44" w:history="1">
        <w:r w:rsidRPr="004B35A0">
          <w:rPr>
            <w:rStyle w:val="Hyperlink"/>
            <w:rFonts w:asciiTheme="majorHAnsi" w:hAnsiTheme="majorHAnsi" w:cstheme="majorHAnsi"/>
            <w:sz w:val="20"/>
            <w:szCs w:val="20"/>
          </w:rPr>
          <w:t>https://www.knchr.org/Portals/0/CivilAndPoliticalReports/Securing%20National%20Security%20and%20Protection%20of%20Human%20Rights_1.pdf?ver=2018-06-06-202730-197</w:t>
        </w:r>
      </w:hyperlink>
    </w:p>
  </w:footnote>
  <w:footnote w:id="54">
    <w:p w14:paraId="6FEB06B6" w14:textId="316E879F" w:rsidR="003878C9" w:rsidRPr="00364140" w:rsidRDefault="003878C9" w:rsidP="004B35A0">
      <w:pPr>
        <w:pStyle w:val="FootnoteText"/>
        <w:contextualSpacing/>
        <w:rPr>
          <w:rFonts w:asciiTheme="majorHAnsi" w:hAnsiTheme="majorHAnsi" w:cstheme="majorHAnsi"/>
          <w:lang w:val="en-US"/>
        </w:rPr>
      </w:pPr>
      <w:r w:rsidRPr="004B35A0">
        <w:rPr>
          <w:rStyle w:val="FootnoteReference"/>
          <w:rFonts w:asciiTheme="majorHAnsi" w:hAnsiTheme="majorHAnsi" w:cstheme="majorHAnsi"/>
        </w:rPr>
        <w:footnoteRef/>
      </w:r>
      <w:r>
        <w:rPr>
          <w:rFonts w:asciiTheme="majorHAnsi" w:hAnsiTheme="majorHAnsi" w:cstheme="majorHAnsi"/>
          <w:lang w:val="en-US"/>
        </w:rPr>
        <w:t xml:space="preserve"> </w:t>
      </w:r>
      <w:r w:rsidRPr="004B35A0">
        <w:rPr>
          <w:rFonts w:asciiTheme="majorHAnsi" w:hAnsiTheme="majorHAnsi" w:cstheme="majorHAnsi"/>
          <w:lang w:val="en-US"/>
        </w:rPr>
        <w:t xml:space="preserve">KNCHR,  ‘Return of the Gulag: Report of KNCHR Investigations on Operation </w:t>
      </w:r>
      <w:proofErr w:type="spellStart"/>
      <w:r w:rsidRPr="004B35A0">
        <w:rPr>
          <w:rFonts w:asciiTheme="majorHAnsi" w:hAnsiTheme="majorHAnsi" w:cstheme="majorHAnsi"/>
          <w:lang w:val="en-US"/>
        </w:rPr>
        <w:t>Usalama</w:t>
      </w:r>
      <w:proofErr w:type="spellEnd"/>
      <w:r w:rsidRPr="004B35A0">
        <w:rPr>
          <w:rFonts w:asciiTheme="majorHAnsi" w:hAnsiTheme="majorHAnsi" w:cstheme="majorHAnsi"/>
          <w:lang w:val="en-US"/>
        </w:rPr>
        <w:t xml:space="preserve"> Watch’ (July 2014) available at </w:t>
      </w:r>
      <w:hyperlink r:id="rId45" w:history="1">
        <w:r w:rsidRPr="004B35A0">
          <w:rPr>
            <w:rStyle w:val="Hyperlink"/>
            <w:rFonts w:asciiTheme="majorHAnsi" w:hAnsiTheme="majorHAnsi" w:cstheme="majorHAnsi"/>
            <w:lang w:val="en-US"/>
          </w:rPr>
          <w:t>http://www.knchr.org/Portals/0/CivilAndPoliticalReports/Report%20of%20KNCHR%20investigations%20on%20Operation%20Usalama%20Watch.pdf?ver=2018-06-06-194906-830</w:t>
        </w:r>
      </w:hyperlink>
    </w:p>
  </w:footnote>
  <w:footnote w:id="55">
    <w:p w14:paraId="07E82CEA" w14:textId="77777777" w:rsidR="003878C9" w:rsidRPr="00F16ECA" w:rsidRDefault="003878C9" w:rsidP="00EB6A63">
      <w:pPr>
        <w:pStyle w:val="FootnoteText"/>
        <w:jc w:val="both"/>
        <w:rPr>
          <w:rFonts w:asciiTheme="majorHAnsi" w:hAnsiTheme="majorHAnsi" w:cstheme="majorHAnsi"/>
        </w:rPr>
      </w:pPr>
      <w:r w:rsidRPr="00F16ECA">
        <w:rPr>
          <w:rStyle w:val="FootnoteReference"/>
          <w:rFonts w:asciiTheme="majorHAnsi" w:hAnsiTheme="majorHAnsi" w:cstheme="majorHAnsi"/>
        </w:rPr>
        <w:footnoteRef/>
      </w:r>
      <w:r w:rsidRPr="00F16ECA">
        <w:rPr>
          <w:rFonts w:asciiTheme="majorHAnsi" w:hAnsiTheme="majorHAnsi" w:cstheme="majorHAnsi"/>
        </w:rPr>
        <w:t xml:space="preserve"> Ministry of Health and the Kenya National Bureau of Statistics ‘Kenya Demographic Health Survey’ (2014)  available at </w:t>
      </w:r>
      <w:hyperlink r:id="rId46" w:history="1">
        <w:r w:rsidRPr="00F16ECA">
          <w:rPr>
            <w:rStyle w:val="Hyperlink"/>
            <w:rFonts w:asciiTheme="majorHAnsi" w:hAnsiTheme="majorHAnsi" w:cstheme="majorHAnsi"/>
          </w:rPr>
          <w:t>https://dhsprogram.com/pubs/pdf/fr308/fr308.pdf</w:t>
        </w:r>
      </w:hyperlink>
    </w:p>
  </w:footnote>
  <w:footnote w:id="56">
    <w:p w14:paraId="630347B6" w14:textId="77777777" w:rsidR="003878C9" w:rsidRPr="00F16ECA" w:rsidRDefault="003878C9" w:rsidP="00EB6A63">
      <w:pPr>
        <w:pStyle w:val="FootnoteText"/>
        <w:rPr>
          <w:rFonts w:asciiTheme="majorHAnsi" w:hAnsiTheme="majorHAnsi" w:cstheme="majorHAnsi"/>
        </w:rPr>
      </w:pPr>
      <w:r w:rsidRPr="00F16ECA">
        <w:rPr>
          <w:rStyle w:val="FootnoteReference"/>
          <w:rFonts w:asciiTheme="majorHAnsi" w:hAnsiTheme="majorHAnsi" w:cstheme="majorHAnsi"/>
        </w:rPr>
        <w:footnoteRef/>
      </w:r>
      <w:r w:rsidRPr="00F16ECA">
        <w:rPr>
          <w:rFonts w:asciiTheme="majorHAnsi" w:hAnsiTheme="majorHAnsi" w:cstheme="majorHAnsi"/>
        </w:rPr>
        <w:t xml:space="preserve"> As reported by the Anti-FGM Board available at </w:t>
      </w:r>
      <w:hyperlink r:id="rId47" w:history="1">
        <w:r w:rsidRPr="00F16ECA">
          <w:rPr>
            <w:rStyle w:val="Hyperlink"/>
            <w:rFonts w:asciiTheme="majorHAnsi" w:hAnsiTheme="majorHAnsi" w:cstheme="majorHAnsi"/>
          </w:rPr>
          <w:t>http://antifgmboard.go.ke/hello-world/</w:t>
        </w:r>
      </w:hyperlink>
      <w:r w:rsidRPr="00F16ECA">
        <w:rPr>
          <w:rFonts w:asciiTheme="majorHAnsi" w:hAnsiTheme="majorHAnsi" w:cstheme="majorHAnsi"/>
        </w:rPr>
        <w:t xml:space="preserve">. </w:t>
      </w:r>
    </w:p>
  </w:footnote>
  <w:footnote w:id="57">
    <w:p w14:paraId="710FCC78" w14:textId="77777777" w:rsidR="003878C9" w:rsidRPr="00364140" w:rsidRDefault="003878C9" w:rsidP="00EB6A63">
      <w:pPr>
        <w:pStyle w:val="FootnoteText"/>
        <w:rPr>
          <w:rFonts w:asciiTheme="majorHAnsi" w:hAnsiTheme="majorHAnsi" w:cstheme="majorHAnsi"/>
        </w:rPr>
      </w:pPr>
      <w:r w:rsidRPr="00F16ECA">
        <w:rPr>
          <w:rStyle w:val="FootnoteReference"/>
          <w:rFonts w:asciiTheme="majorHAnsi" w:hAnsiTheme="majorHAnsi" w:cstheme="majorHAnsi"/>
        </w:rPr>
        <w:footnoteRef/>
      </w:r>
      <w:r w:rsidRPr="00F16ECA">
        <w:rPr>
          <w:rFonts w:asciiTheme="majorHAnsi" w:hAnsiTheme="majorHAnsi" w:cstheme="majorHAnsi"/>
        </w:rPr>
        <w:t xml:space="preserve"> Sessional paper No. 3 of 2019 available at </w:t>
      </w:r>
      <w:hyperlink r:id="rId48" w:history="1">
        <w:r w:rsidRPr="00F16ECA">
          <w:rPr>
            <w:rStyle w:val="Hyperlink"/>
            <w:rFonts w:asciiTheme="majorHAnsi" w:hAnsiTheme="majorHAnsi" w:cstheme="majorHAnsi"/>
            <w:lang w:val="en-US"/>
          </w:rPr>
          <w:t>https://gender.go.ke/wp-content/uploads/2019/10/NATIONAL-POLICY-FOR-THE-ERADICATION-OF-FEMALE-GENITAL-MUTILATION-.pdf</w:t>
        </w:r>
      </w:hyperlink>
    </w:p>
  </w:footnote>
  <w:footnote w:id="58">
    <w:p w14:paraId="06241208" w14:textId="77777777" w:rsidR="003878C9" w:rsidRPr="00F16ECA" w:rsidRDefault="003878C9" w:rsidP="00EB6A63">
      <w:pPr>
        <w:pStyle w:val="FootnoteText"/>
        <w:rPr>
          <w:rFonts w:asciiTheme="majorHAnsi" w:hAnsiTheme="majorHAnsi" w:cstheme="majorHAnsi"/>
        </w:rPr>
      </w:pPr>
      <w:r w:rsidRPr="00F16ECA">
        <w:rPr>
          <w:rStyle w:val="FootnoteReference"/>
          <w:rFonts w:asciiTheme="majorHAnsi" w:hAnsiTheme="majorHAnsi" w:cstheme="majorHAnsi"/>
        </w:rPr>
        <w:footnoteRef/>
      </w:r>
      <w:r w:rsidRPr="00F16ECA">
        <w:rPr>
          <w:rFonts w:asciiTheme="majorHAnsi" w:hAnsiTheme="majorHAnsi" w:cstheme="majorHAnsi"/>
        </w:rPr>
        <w:t xml:space="preserve"> Act no 2 of 2015, commenced operation on 4</w:t>
      </w:r>
      <w:r w:rsidRPr="00F16ECA">
        <w:rPr>
          <w:rFonts w:asciiTheme="majorHAnsi" w:hAnsiTheme="majorHAnsi" w:cstheme="majorHAnsi"/>
          <w:vertAlign w:val="superscript"/>
        </w:rPr>
        <w:t>th</w:t>
      </w:r>
      <w:r w:rsidRPr="00F16ECA">
        <w:rPr>
          <w:rFonts w:asciiTheme="majorHAnsi" w:hAnsiTheme="majorHAnsi" w:cstheme="majorHAnsi"/>
        </w:rPr>
        <w:t xml:space="preserve"> June 2015. </w:t>
      </w:r>
    </w:p>
  </w:footnote>
  <w:footnote w:id="59">
    <w:p w14:paraId="30D468E4" w14:textId="77777777" w:rsidR="003878C9" w:rsidRPr="00F16ECA" w:rsidRDefault="003878C9" w:rsidP="00EB6A63">
      <w:pPr>
        <w:pStyle w:val="FootnoteText"/>
        <w:rPr>
          <w:rFonts w:asciiTheme="majorHAnsi" w:hAnsiTheme="majorHAnsi" w:cstheme="majorHAnsi"/>
        </w:rPr>
      </w:pPr>
      <w:r w:rsidRPr="00F16ECA">
        <w:rPr>
          <w:rStyle w:val="FootnoteReference"/>
          <w:rFonts w:asciiTheme="majorHAnsi" w:hAnsiTheme="majorHAnsi" w:cstheme="majorHAnsi"/>
        </w:rPr>
        <w:footnoteRef/>
      </w:r>
      <w:r w:rsidRPr="00F16ECA">
        <w:rPr>
          <w:rFonts w:asciiTheme="majorHAnsi" w:hAnsiTheme="majorHAnsi" w:cstheme="majorHAnsi"/>
        </w:rPr>
        <w:t xml:space="preserve"> National Gender and Equality Commission, County Government Policy on Sexual and Gender Based Violence 2017.</w:t>
      </w:r>
    </w:p>
  </w:footnote>
  <w:footnote w:id="60">
    <w:p w14:paraId="5FC8BE34" w14:textId="77777777" w:rsidR="003878C9" w:rsidRPr="00F16ECA" w:rsidRDefault="003878C9" w:rsidP="00322E94">
      <w:pPr>
        <w:pStyle w:val="FootnoteText"/>
        <w:rPr>
          <w:rFonts w:asciiTheme="majorHAnsi" w:hAnsiTheme="majorHAnsi" w:cstheme="majorHAnsi"/>
        </w:rPr>
      </w:pPr>
      <w:r w:rsidRPr="00F16ECA">
        <w:rPr>
          <w:rStyle w:val="FootnoteReference"/>
          <w:rFonts w:asciiTheme="majorHAnsi" w:hAnsiTheme="majorHAnsi" w:cstheme="majorHAnsi"/>
        </w:rPr>
        <w:footnoteRef/>
      </w:r>
      <w:hyperlink r:id="rId49" w:history="1">
        <w:r w:rsidRPr="00F16ECA">
          <w:rPr>
            <w:rStyle w:val="Hyperlink"/>
            <w:rFonts w:asciiTheme="majorHAnsi" w:hAnsiTheme="majorHAnsi" w:cstheme="majorHAnsi"/>
          </w:rPr>
          <w:t>https://www.ngeckenya.org/Downloads/Duty%20Bearers%27%20Handbook%20Second%20Edition.pdf</w:t>
        </w:r>
      </w:hyperlink>
      <w:r w:rsidRPr="00F16ECA">
        <w:rPr>
          <w:rFonts w:asciiTheme="majorHAnsi" w:hAnsiTheme="majorHAnsi" w:cstheme="majorHAnsi"/>
        </w:rPr>
        <w:t xml:space="preserve">. </w:t>
      </w:r>
    </w:p>
  </w:footnote>
  <w:footnote w:id="61">
    <w:p w14:paraId="3335C6C1" w14:textId="58627665" w:rsidR="003878C9" w:rsidRPr="00F16ECA" w:rsidRDefault="003878C9" w:rsidP="00322E94">
      <w:pPr>
        <w:pStyle w:val="FootnoteText"/>
        <w:rPr>
          <w:rFonts w:asciiTheme="majorHAnsi" w:hAnsiTheme="majorHAnsi" w:cstheme="majorHAnsi"/>
        </w:rPr>
      </w:pPr>
      <w:r w:rsidRPr="00F16ECA">
        <w:rPr>
          <w:rStyle w:val="FootnoteReference"/>
          <w:rFonts w:asciiTheme="majorHAnsi" w:hAnsiTheme="majorHAnsi" w:cstheme="majorHAnsi"/>
        </w:rPr>
        <w:footnoteRef/>
      </w:r>
      <w:r>
        <w:rPr>
          <w:rFonts w:asciiTheme="majorHAnsi" w:hAnsiTheme="majorHAnsi" w:cstheme="majorHAnsi"/>
        </w:rPr>
        <w:t xml:space="preserve"> </w:t>
      </w:r>
      <w:hyperlink r:id="rId50" w:history="1">
        <w:r w:rsidRPr="0057759E">
          <w:rPr>
            <w:rStyle w:val="Hyperlink"/>
            <w:rFonts w:asciiTheme="majorHAnsi" w:hAnsiTheme="majorHAnsi" w:cstheme="majorHAnsi"/>
          </w:rPr>
          <w:t>http://www.nationalpolice.go.ke/2015-09-08-17-56-33/news/271-nps-unveils-standard-operating-procedures-for-prevention-and-response-to-gender-based-violence.html</w:t>
        </w:r>
      </w:hyperlink>
      <w:r w:rsidRPr="00F16ECA">
        <w:rPr>
          <w:rFonts w:asciiTheme="majorHAnsi" w:hAnsiTheme="majorHAnsi" w:cstheme="majorHAnsi"/>
        </w:rPr>
        <w:t xml:space="preserve">. </w:t>
      </w:r>
    </w:p>
  </w:footnote>
  <w:footnote w:id="62">
    <w:p w14:paraId="6B15B700" w14:textId="77777777" w:rsidR="003878C9" w:rsidRPr="00F16ECA" w:rsidRDefault="003878C9" w:rsidP="00322E94">
      <w:pPr>
        <w:pStyle w:val="FootnoteText"/>
        <w:rPr>
          <w:rFonts w:asciiTheme="majorHAnsi" w:hAnsiTheme="majorHAnsi" w:cstheme="majorHAnsi"/>
          <w:lang w:val="en-US"/>
        </w:rPr>
      </w:pPr>
      <w:r w:rsidRPr="00F16ECA">
        <w:rPr>
          <w:rStyle w:val="FootnoteReference"/>
          <w:rFonts w:asciiTheme="majorHAnsi" w:hAnsiTheme="majorHAnsi" w:cstheme="majorHAnsi"/>
        </w:rPr>
        <w:footnoteRef/>
      </w:r>
      <w:r w:rsidRPr="00F16ECA">
        <w:rPr>
          <w:rFonts w:asciiTheme="majorHAnsi" w:hAnsiTheme="majorHAnsi" w:cstheme="majorHAnsi"/>
        </w:rPr>
        <w:t xml:space="preserve"> </w:t>
      </w:r>
      <w:r w:rsidRPr="00F16ECA">
        <w:rPr>
          <w:rFonts w:asciiTheme="majorHAnsi" w:hAnsiTheme="majorHAnsi" w:cstheme="majorHAnsi"/>
          <w:lang w:val="en-US"/>
        </w:rPr>
        <w:t>Ministry of Health (Kenya), ‘Incidence and Complications of Unsafe Abortion in Kenya: Key Findings of a National Survey (August 2013).</w:t>
      </w:r>
    </w:p>
  </w:footnote>
  <w:footnote w:id="63">
    <w:p w14:paraId="3CF0293F" w14:textId="77777777" w:rsidR="003878C9" w:rsidRPr="00F16ECA" w:rsidRDefault="003878C9" w:rsidP="00322E94">
      <w:pPr>
        <w:pStyle w:val="FootnoteText"/>
        <w:rPr>
          <w:rFonts w:asciiTheme="majorHAnsi" w:hAnsiTheme="majorHAnsi" w:cstheme="majorHAnsi"/>
        </w:rPr>
      </w:pPr>
      <w:r w:rsidRPr="00F16ECA">
        <w:rPr>
          <w:rStyle w:val="FootnoteReference"/>
          <w:rFonts w:asciiTheme="majorHAnsi" w:hAnsiTheme="majorHAnsi" w:cstheme="majorHAnsi"/>
        </w:rPr>
        <w:footnoteRef/>
      </w:r>
      <w:r w:rsidRPr="00F16ECA">
        <w:rPr>
          <w:rFonts w:asciiTheme="majorHAnsi" w:hAnsiTheme="majorHAnsi" w:cstheme="majorHAnsi"/>
        </w:rPr>
        <w:t xml:space="preserve"> Appendix 6 Annual Crime Situation Report available at </w:t>
      </w:r>
      <w:hyperlink r:id="rId51" w:history="1">
        <w:r w:rsidRPr="00F16ECA">
          <w:rPr>
            <w:rStyle w:val="Hyperlink"/>
            <w:rFonts w:asciiTheme="majorHAnsi" w:hAnsiTheme="majorHAnsi" w:cstheme="majorHAnsi"/>
            <w:lang w:val="en-US"/>
          </w:rPr>
          <w:t>http://www.nationalpolice.go.ke/crime-statistics.html</w:t>
        </w:r>
      </w:hyperlink>
      <w:r w:rsidRPr="00F16ECA">
        <w:rPr>
          <w:rFonts w:asciiTheme="majorHAnsi" w:hAnsiTheme="majorHAnsi" w:cstheme="majorHAnsi"/>
        </w:rPr>
        <w:t xml:space="preserve">. </w:t>
      </w:r>
    </w:p>
  </w:footnote>
  <w:footnote w:id="64">
    <w:p w14:paraId="3116A93D" w14:textId="77777777" w:rsidR="003878C9" w:rsidRPr="00F16ECA" w:rsidRDefault="003878C9" w:rsidP="00322E94">
      <w:pPr>
        <w:pStyle w:val="FootnoteText"/>
        <w:rPr>
          <w:rFonts w:asciiTheme="majorHAnsi" w:hAnsiTheme="majorHAnsi" w:cstheme="majorHAnsi"/>
        </w:rPr>
      </w:pPr>
      <w:r w:rsidRPr="00F16ECA">
        <w:rPr>
          <w:rStyle w:val="FootnoteReference"/>
          <w:rFonts w:asciiTheme="majorHAnsi" w:hAnsiTheme="majorHAnsi" w:cstheme="majorHAnsi"/>
        </w:rPr>
        <w:footnoteRef/>
      </w:r>
      <w:r w:rsidRPr="00F16ECA">
        <w:rPr>
          <w:rFonts w:asciiTheme="majorHAnsi" w:hAnsiTheme="majorHAnsi" w:cstheme="majorHAnsi"/>
        </w:rPr>
        <w:t xml:space="preserve"> Ministry of Health: National Guidelines on Management of Sexual Violence in Kenya, 2014 Edition.</w:t>
      </w:r>
    </w:p>
  </w:footnote>
  <w:footnote w:id="65">
    <w:p w14:paraId="7FAC30F8" w14:textId="1996313F" w:rsidR="003878C9" w:rsidRPr="00F16ECA" w:rsidRDefault="003878C9" w:rsidP="00F16ECA">
      <w:pPr>
        <w:pStyle w:val="FootnoteText"/>
        <w:contextualSpacing/>
        <w:rPr>
          <w:rFonts w:asciiTheme="majorHAnsi" w:hAnsiTheme="majorHAnsi" w:cstheme="majorHAnsi"/>
          <w:lang w:val="en-US"/>
        </w:rPr>
      </w:pPr>
      <w:r w:rsidRPr="00F16ECA">
        <w:rPr>
          <w:rStyle w:val="FootnoteReference"/>
          <w:rFonts w:asciiTheme="majorHAnsi" w:hAnsiTheme="majorHAnsi" w:cstheme="majorHAnsi"/>
        </w:rPr>
        <w:footnoteRef/>
      </w:r>
      <w:r w:rsidRPr="00F16ECA">
        <w:rPr>
          <w:rFonts w:asciiTheme="majorHAnsi" w:hAnsiTheme="majorHAnsi" w:cstheme="majorHAnsi"/>
        </w:rPr>
        <w:t xml:space="preserve"> Standards and Guidelines for Reducing Morbidity and Mortality from Unsafe Abortion in Kenya available at </w:t>
      </w:r>
      <w:hyperlink r:id="rId52" w:history="1">
        <w:r w:rsidRPr="00F16ECA">
          <w:rPr>
            <w:rStyle w:val="Hyperlink"/>
            <w:rFonts w:asciiTheme="majorHAnsi" w:hAnsiTheme="majorHAnsi" w:cstheme="majorHAnsi"/>
          </w:rPr>
          <w:t>https://www.safeabortionwomensright.org/wp-content/uploads/2018/02/Standards-Guidelines-for-the-Reduction-of-Morbidity-and-Mortality-from-Unsafe-Abortion.pdf</w:t>
        </w:r>
      </w:hyperlink>
    </w:p>
  </w:footnote>
  <w:footnote w:id="66">
    <w:p w14:paraId="6A35660A" w14:textId="730F3000" w:rsidR="003878C9" w:rsidRPr="00F16ECA" w:rsidRDefault="003878C9" w:rsidP="00F16ECA">
      <w:pPr>
        <w:pStyle w:val="submeta"/>
        <w:shd w:val="clear" w:color="auto" w:fill="FFFFFF"/>
        <w:spacing w:before="0" w:beforeAutospacing="0" w:after="0" w:afterAutospacing="0"/>
        <w:contextualSpacing/>
        <w:rPr>
          <w:rFonts w:asciiTheme="majorHAnsi" w:hAnsiTheme="majorHAnsi" w:cstheme="majorHAnsi"/>
          <w:color w:val="990000"/>
          <w:sz w:val="20"/>
          <w:szCs w:val="20"/>
        </w:rPr>
      </w:pPr>
      <w:r w:rsidRPr="00F16ECA">
        <w:rPr>
          <w:rStyle w:val="FootnoteReference"/>
          <w:rFonts w:asciiTheme="majorHAnsi" w:hAnsiTheme="majorHAnsi" w:cstheme="majorHAnsi"/>
          <w:sz w:val="20"/>
          <w:szCs w:val="20"/>
        </w:rPr>
        <w:footnoteRef/>
      </w:r>
      <w:r w:rsidRPr="00F16ECA">
        <w:rPr>
          <w:rFonts w:asciiTheme="majorHAnsi" w:hAnsiTheme="majorHAnsi" w:cstheme="majorHAnsi"/>
          <w:sz w:val="20"/>
          <w:szCs w:val="20"/>
        </w:rPr>
        <w:t xml:space="preserve"> Federation of Women Lawyers (</w:t>
      </w:r>
      <w:proofErr w:type="spellStart"/>
      <w:r w:rsidRPr="00F16ECA">
        <w:rPr>
          <w:rFonts w:asciiTheme="majorHAnsi" w:hAnsiTheme="majorHAnsi" w:cstheme="majorHAnsi"/>
          <w:sz w:val="20"/>
          <w:szCs w:val="20"/>
        </w:rPr>
        <w:t>Fida</w:t>
      </w:r>
      <w:proofErr w:type="spellEnd"/>
      <w:r w:rsidRPr="00F16ECA">
        <w:rPr>
          <w:rFonts w:asciiTheme="majorHAnsi" w:hAnsiTheme="majorHAnsi" w:cstheme="majorHAnsi"/>
          <w:sz w:val="20"/>
          <w:szCs w:val="20"/>
        </w:rPr>
        <w:t xml:space="preserve"> – Kenya) &amp; 3 others v Attorney General &amp; 2 others; East Africa Center for Law &amp; Justice &amp; 6 others (Interested Party) &amp; Women’s Link Worldwide &amp; 2 others (Amicus Curiae) [2019] </w:t>
      </w:r>
      <w:proofErr w:type="spellStart"/>
      <w:r w:rsidRPr="00F16ECA">
        <w:rPr>
          <w:rFonts w:asciiTheme="majorHAnsi" w:hAnsiTheme="majorHAnsi" w:cstheme="majorHAnsi"/>
          <w:sz w:val="20"/>
          <w:szCs w:val="20"/>
        </w:rPr>
        <w:t>eKLR</w:t>
      </w:r>
      <w:proofErr w:type="spellEnd"/>
      <w:r w:rsidRPr="00F16ECA">
        <w:rPr>
          <w:rFonts w:asciiTheme="majorHAnsi" w:hAnsiTheme="majorHAnsi" w:cstheme="majorHAnsi"/>
          <w:sz w:val="20"/>
          <w:szCs w:val="20"/>
        </w:rPr>
        <w:t xml:space="preserve"> available at http://kenyalaw.org/caselaw/cases/view/175490/.</w:t>
      </w:r>
    </w:p>
  </w:footnote>
  <w:footnote w:id="67">
    <w:p w14:paraId="45DAB46D" w14:textId="77777777" w:rsidR="003878C9" w:rsidRPr="00F16ECA" w:rsidRDefault="003878C9" w:rsidP="00F16ECA">
      <w:pPr>
        <w:pStyle w:val="FootnoteText"/>
        <w:rPr>
          <w:rFonts w:asciiTheme="majorHAnsi" w:hAnsiTheme="majorHAnsi" w:cstheme="majorHAnsi"/>
        </w:rPr>
      </w:pPr>
      <w:r w:rsidRPr="00F16ECA">
        <w:rPr>
          <w:rStyle w:val="FootnoteReference"/>
          <w:rFonts w:asciiTheme="majorHAnsi" w:hAnsiTheme="majorHAnsi" w:cstheme="majorHAnsi"/>
        </w:rPr>
        <w:footnoteRef/>
      </w:r>
      <w:r w:rsidRPr="00F16ECA">
        <w:rPr>
          <w:rFonts w:asciiTheme="majorHAnsi" w:hAnsiTheme="majorHAnsi" w:cstheme="majorHAnsi"/>
        </w:rPr>
        <w:t xml:space="preserve"> Francis </w:t>
      </w:r>
      <w:proofErr w:type="spellStart"/>
      <w:r w:rsidRPr="00F16ECA">
        <w:rPr>
          <w:rFonts w:asciiTheme="majorHAnsi" w:hAnsiTheme="majorHAnsi" w:cstheme="majorHAnsi"/>
        </w:rPr>
        <w:t>Muruatetu</w:t>
      </w:r>
      <w:proofErr w:type="spellEnd"/>
      <w:r w:rsidRPr="00F16ECA">
        <w:rPr>
          <w:rFonts w:asciiTheme="majorHAnsi" w:hAnsiTheme="majorHAnsi" w:cstheme="majorHAnsi"/>
        </w:rPr>
        <w:t xml:space="preserve"> &amp; another vs Republic Supreme Court of Kenya Petition No. 15 of 2015 available at </w:t>
      </w:r>
    </w:p>
    <w:p w14:paraId="724898AE" w14:textId="77777777" w:rsidR="003878C9" w:rsidRPr="00F16ECA" w:rsidRDefault="003878C9" w:rsidP="00F16ECA">
      <w:pPr>
        <w:pStyle w:val="FootnoteText"/>
        <w:rPr>
          <w:rFonts w:asciiTheme="majorHAnsi" w:hAnsiTheme="majorHAnsi" w:cstheme="majorHAnsi"/>
        </w:rPr>
      </w:pPr>
      <w:r w:rsidRPr="00F16ECA">
        <w:rPr>
          <w:rFonts w:asciiTheme="majorHAnsi" w:hAnsiTheme="majorHAnsi" w:cstheme="majorHAnsi"/>
        </w:rPr>
        <w:t>http://kenyalaw.org/caselaw/cases/view/145193/.</w:t>
      </w:r>
    </w:p>
  </w:footnote>
  <w:footnote w:id="68">
    <w:p w14:paraId="1DD90D00" w14:textId="7FC88CBA" w:rsidR="003878C9" w:rsidRPr="00F16ECA" w:rsidRDefault="003878C9" w:rsidP="00F16ECA">
      <w:pPr>
        <w:pStyle w:val="Heading3"/>
        <w:shd w:val="clear" w:color="auto" w:fill="FFFFFF"/>
        <w:spacing w:before="0" w:beforeAutospacing="0" w:after="0" w:afterAutospacing="0"/>
        <w:rPr>
          <w:rFonts w:asciiTheme="majorHAnsi" w:hAnsiTheme="majorHAnsi" w:cstheme="majorHAnsi"/>
          <w:sz w:val="20"/>
          <w:szCs w:val="20"/>
        </w:rPr>
      </w:pPr>
      <w:r w:rsidRPr="00F16ECA">
        <w:rPr>
          <w:rStyle w:val="FootnoteReference"/>
          <w:rFonts w:asciiTheme="majorHAnsi" w:hAnsiTheme="majorHAnsi" w:cstheme="majorHAnsi"/>
          <w:sz w:val="20"/>
          <w:szCs w:val="20"/>
        </w:rPr>
        <w:footnoteRef/>
      </w:r>
      <w:r w:rsidRPr="00F16ECA">
        <w:rPr>
          <w:rFonts w:asciiTheme="majorHAnsi" w:hAnsiTheme="majorHAnsi" w:cstheme="majorHAnsi"/>
          <w:sz w:val="20"/>
          <w:szCs w:val="20"/>
        </w:rPr>
        <w:t xml:space="preserve"> </w:t>
      </w:r>
      <w:r w:rsidRPr="00F16ECA">
        <w:rPr>
          <w:rFonts w:asciiTheme="majorHAnsi" w:hAnsiTheme="majorHAnsi" w:cstheme="majorHAnsi"/>
          <w:b w:val="0"/>
          <w:bCs w:val="0"/>
          <w:sz w:val="20"/>
          <w:szCs w:val="20"/>
          <w:shd w:val="clear" w:color="auto" w:fill="FFFFFF"/>
        </w:rPr>
        <w:t xml:space="preserve">Francis </w:t>
      </w:r>
      <w:proofErr w:type="spellStart"/>
      <w:r w:rsidRPr="00F16ECA">
        <w:rPr>
          <w:rFonts w:asciiTheme="majorHAnsi" w:hAnsiTheme="majorHAnsi" w:cstheme="majorHAnsi"/>
          <w:b w:val="0"/>
          <w:bCs w:val="0"/>
          <w:sz w:val="20"/>
          <w:szCs w:val="20"/>
          <w:shd w:val="clear" w:color="auto" w:fill="FFFFFF"/>
        </w:rPr>
        <w:t>Karioko</w:t>
      </w:r>
      <w:proofErr w:type="spellEnd"/>
      <w:r w:rsidRPr="00F16ECA">
        <w:rPr>
          <w:rFonts w:asciiTheme="majorHAnsi" w:hAnsiTheme="majorHAnsi" w:cstheme="majorHAnsi"/>
          <w:b w:val="0"/>
          <w:bCs w:val="0"/>
          <w:sz w:val="20"/>
          <w:szCs w:val="20"/>
          <w:shd w:val="clear" w:color="auto" w:fill="FFFFFF"/>
        </w:rPr>
        <w:t xml:space="preserve"> </w:t>
      </w:r>
      <w:proofErr w:type="spellStart"/>
      <w:r w:rsidRPr="00F16ECA">
        <w:rPr>
          <w:rFonts w:asciiTheme="majorHAnsi" w:hAnsiTheme="majorHAnsi" w:cstheme="majorHAnsi"/>
          <w:b w:val="0"/>
          <w:bCs w:val="0"/>
          <w:sz w:val="20"/>
          <w:szCs w:val="20"/>
          <w:shd w:val="clear" w:color="auto" w:fill="FFFFFF"/>
        </w:rPr>
        <w:t>Muruatetu</w:t>
      </w:r>
      <w:proofErr w:type="spellEnd"/>
      <w:r w:rsidRPr="00F16ECA">
        <w:rPr>
          <w:rFonts w:asciiTheme="majorHAnsi" w:hAnsiTheme="majorHAnsi" w:cstheme="majorHAnsi"/>
          <w:b w:val="0"/>
          <w:bCs w:val="0"/>
          <w:sz w:val="20"/>
          <w:szCs w:val="20"/>
          <w:shd w:val="clear" w:color="auto" w:fill="FFFFFF"/>
        </w:rPr>
        <w:t xml:space="preserve"> &amp; another v Republic [2017] </w:t>
      </w:r>
      <w:proofErr w:type="spellStart"/>
      <w:r w:rsidRPr="00F16ECA">
        <w:rPr>
          <w:rFonts w:asciiTheme="majorHAnsi" w:hAnsiTheme="majorHAnsi" w:cstheme="majorHAnsi"/>
          <w:b w:val="0"/>
          <w:bCs w:val="0"/>
          <w:sz w:val="20"/>
          <w:szCs w:val="20"/>
          <w:shd w:val="clear" w:color="auto" w:fill="FFFFFF"/>
        </w:rPr>
        <w:t>eKLR</w:t>
      </w:r>
      <w:proofErr w:type="spellEnd"/>
      <w:r w:rsidRPr="00F16ECA">
        <w:rPr>
          <w:rFonts w:asciiTheme="majorHAnsi" w:hAnsiTheme="majorHAnsi" w:cstheme="majorHAnsi"/>
          <w:b w:val="0"/>
          <w:bCs w:val="0"/>
          <w:sz w:val="20"/>
          <w:szCs w:val="20"/>
          <w:shd w:val="clear" w:color="auto" w:fill="FFFFFF"/>
        </w:rPr>
        <w:t xml:space="preserve">; </w:t>
      </w:r>
      <w:r w:rsidRPr="00F16ECA">
        <w:rPr>
          <w:rFonts w:asciiTheme="majorHAnsi" w:hAnsiTheme="majorHAnsi" w:cstheme="majorHAnsi"/>
          <w:b w:val="0"/>
          <w:bCs w:val="0"/>
          <w:sz w:val="20"/>
          <w:szCs w:val="20"/>
        </w:rPr>
        <w:t>Petition 15 &amp; 16 of 2015 (Consolidated) available at http://kenyalaw.org/caselaw/cases/view/145193/.</w:t>
      </w:r>
    </w:p>
  </w:footnote>
  <w:footnote w:id="69">
    <w:p w14:paraId="4E405E46" w14:textId="6FAB73F7" w:rsidR="003878C9" w:rsidRPr="00F16ECA" w:rsidRDefault="003878C9" w:rsidP="00F16ECA">
      <w:pPr>
        <w:spacing w:after="0" w:line="240" w:lineRule="auto"/>
        <w:rPr>
          <w:rFonts w:asciiTheme="majorHAnsi" w:hAnsiTheme="majorHAnsi" w:cstheme="majorHAnsi"/>
          <w:color w:val="282828"/>
          <w:sz w:val="20"/>
          <w:szCs w:val="20"/>
        </w:rPr>
      </w:pPr>
      <w:r w:rsidRPr="00F16ECA">
        <w:rPr>
          <w:rStyle w:val="FootnoteReference"/>
          <w:rFonts w:asciiTheme="majorHAnsi" w:hAnsiTheme="majorHAnsi" w:cstheme="majorHAnsi"/>
          <w:sz w:val="20"/>
          <w:szCs w:val="20"/>
        </w:rPr>
        <w:footnoteRef/>
      </w:r>
      <w:r w:rsidRPr="00F16ECA">
        <w:rPr>
          <w:rFonts w:asciiTheme="majorHAnsi" w:hAnsiTheme="majorHAnsi" w:cstheme="majorHAnsi"/>
          <w:sz w:val="20"/>
          <w:szCs w:val="20"/>
        </w:rPr>
        <w:t xml:space="preserve"> See also </w:t>
      </w:r>
      <w:r w:rsidRPr="00F16ECA">
        <w:rPr>
          <w:rFonts w:asciiTheme="majorHAnsi" w:hAnsiTheme="majorHAnsi" w:cstheme="majorHAnsi"/>
          <w:bCs/>
          <w:sz w:val="20"/>
          <w:szCs w:val="20"/>
        </w:rPr>
        <w:t xml:space="preserve">Report of The Task Force on Review Of The Mandatory Death Sentence Under Section 204 of The Penal Code (October, 2019) </w:t>
      </w:r>
      <w:r w:rsidRPr="00F16ECA">
        <w:rPr>
          <w:rFonts w:asciiTheme="majorHAnsi" w:hAnsiTheme="majorHAnsi" w:cstheme="majorHAnsi"/>
          <w:sz w:val="20"/>
          <w:szCs w:val="20"/>
        </w:rPr>
        <w:t xml:space="preserve">page 66 accessible at </w:t>
      </w:r>
      <w:hyperlink r:id="rId53" w:history="1">
        <w:r w:rsidRPr="00F16ECA">
          <w:rPr>
            <w:rStyle w:val="Hyperlink"/>
            <w:rFonts w:asciiTheme="majorHAnsi" w:hAnsiTheme="majorHAnsi" w:cstheme="majorHAnsi"/>
            <w:sz w:val="20"/>
            <w:szCs w:val="20"/>
          </w:rPr>
          <w:t>https://www.statelaw.go.ke/wp-content/uploads/2019/11/EDITED-Final-Nov-5th-DPTF-REPORT.pdf</w:t>
        </w:r>
      </w:hyperlink>
      <w:r w:rsidRPr="00F16ECA">
        <w:rPr>
          <w:rFonts w:asciiTheme="majorHAnsi" w:hAnsiTheme="majorHAnsi" w:cstheme="majorHAnsi"/>
          <w:sz w:val="20"/>
          <w:szCs w:val="20"/>
        </w:rPr>
        <w:t>) .</w:t>
      </w:r>
    </w:p>
  </w:footnote>
  <w:footnote w:id="70">
    <w:p w14:paraId="166D8510" w14:textId="2EE07A6A" w:rsidR="003878C9" w:rsidRPr="00F16ECA" w:rsidRDefault="003878C9" w:rsidP="00F16ECA">
      <w:pPr>
        <w:pStyle w:val="FootnoteText"/>
        <w:rPr>
          <w:rFonts w:asciiTheme="majorHAnsi" w:hAnsiTheme="majorHAnsi" w:cstheme="majorHAnsi"/>
        </w:rPr>
      </w:pPr>
      <w:r w:rsidRPr="00F16ECA">
        <w:rPr>
          <w:rStyle w:val="FootnoteReference"/>
          <w:rFonts w:asciiTheme="majorHAnsi" w:hAnsiTheme="majorHAnsi" w:cstheme="majorHAnsi"/>
        </w:rPr>
        <w:footnoteRef/>
      </w:r>
      <w:r>
        <w:rPr>
          <w:rFonts w:asciiTheme="majorHAnsi" w:hAnsiTheme="majorHAnsi" w:cstheme="majorHAnsi"/>
        </w:rPr>
        <w:t xml:space="preserve"> </w:t>
      </w:r>
      <w:hyperlink r:id="rId54" w:history="1">
        <w:r w:rsidRPr="0057759E">
          <w:rPr>
            <w:rStyle w:val="Hyperlink"/>
            <w:rFonts w:asciiTheme="majorHAnsi" w:hAnsiTheme="majorHAnsi" w:cstheme="majorHAnsi"/>
          </w:rPr>
          <w:t>http://www.statelaw.go.ke/wp-content/uploads/2018/10/RECOMMENDATIONS-OF-THE-TASK-FORCE-ON-THE-REVIEW-OF-THE-MANDATORY-DEATH-PENALTY-3OCT2018.pdf</w:t>
        </w:r>
      </w:hyperlink>
      <w:r>
        <w:rPr>
          <w:rFonts w:asciiTheme="majorHAnsi" w:hAnsiTheme="majorHAnsi" w:cstheme="majorHAnsi"/>
        </w:rPr>
        <w:t xml:space="preserve"> </w:t>
      </w:r>
    </w:p>
  </w:footnote>
  <w:footnote w:id="71">
    <w:p w14:paraId="0296844B" w14:textId="77777777" w:rsidR="003878C9" w:rsidRPr="00C95471" w:rsidRDefault="003878C9" w:rsidP="00C95471">
      <w:pPr>
        <w:pStyle w:val="FootnoteText"/>
        <w:rPr>
          <w:rFonts w:asciiTheme="majorHAnsi" w:hAnsiTheme="majorHAnsi" w:cstheme="majorHAnsi"/>
        </w:rPr>
      </w:pPr>
      <w:r w:rsidRPr="00C95471">
        <w:rPr>
          <w:rStyle w:val="FootnoteReference"/>
          <w:rFonts w:asciiTheme="majorHAnsi" w:hAnsiTheme="majorHAnsi" w:cstheme="majorHAnsi"/>
        </w:rPr>
        <w:footnoteRef/>
      </w:r>
      <w:r w:rsidRPr="00C95471">
        <w:rPr>
          <w:rFonts w:asciiTheme="majorHAnsi" w:hAnsiTheme="majorHAnsi" w:cstheme="majorHAnsi"/>
        </w:rPr>
        <w:t xml:space="preserve"> Report of the Taskforce on review of the mandatory death sentence available at </w:t>
      </w:r>
      <w:hyperlink r:id="rId55" w:history="1">
        <w:r w:rsidRPr="00C95471">
          <w:rPr>
            <w:rStyle w:val="Hyperlink"/>
            <w:rFonts w:asciiTheme="majorHAnsi" w:hAnsiTheme="majorHAnsi" w:cstheme="majorHAnsi"/>
            <w:lang w:val="en-US"/>
          </w:rPr>
          <w:t>https://www.statelaw.go.ke/death-sentenced-offenders-records-audit-report-30-may2019/</w:t>
        </w:r>
      </w:hyperlink>
      <w:r w:rsidRPr="00C95471">
        <w:rPr>
          <w:rFonts w:asciiTheme="majorHAnsi" w:hAnsiTheme="majorHAnsi" w:cstheme="majorHAnsi"/>
        </w:rPr>
        <w:t xml:space="preserve">. </w:t>
      </w:r>
    </w:p>
  </w:footnote>
  <w:footnote w:id="72">
    <w:p w14:paraId="635DDDAD" w14:textId="77777777" w:rsidR="003878C9" w:rsidRPr="00C95471" w:rsidRDefault="003878C9" w:rsidP="00C95471">
      <w:pPr>
        <w:pStyle w:val="FootnoteText"/>
        <w:rPr>
          <w:rFonts w:asciiTheme="majorHAnsi" w:hAnsiTheme="majorHAnsi" w:cstheme="majorHAnsi"/>
        </w:rPr>
      </w:pPr>
      <w:r w:rsidRPr="00C95471">
        <w:rPr>
          <w:rStyle w:val="FootnoteReference"/>
          <w:rFonts w:asciiTheme="majorHAnsi" w:hAnsiTheme="majorHAnsi" w:cstheme="majorHAnsi"/>
        </w:rPr>
        <w:footnoteRef/>
      </w:r>
      <w:r w:rsidRPr="00C95471">
        <w:rPr>
          <w:rFonts w:asciiTheme="majorHAnsi" w:hAnsiTheme="majorHAnsi" w:cstheme="majorHAnsi"/>
        </w:rPr>
        <w:t xml:space="preserve"> Section 6 (4) International Crimes Act available at </w:t>
      </w:r>
      <w:hyperlink r:id="rId56" w:history="1">
        <w:r w:rsidRPr="00C95471">
          <w:rPr>
            <w:rStyle w:val="Hyperlink"/>
            <w:rFonts w:asciiTheme="majorHAnsi" w:hAnsiTheme="majorHAnsi" w:cstheme="majorHAnsi"/>
          </w:rPr>
          <w:t>http://www.kenyalaw.org/lex//actview.xql?actid=No.%2016%20of%202008</w:t>
        </w:r>
      </w:hyperlink>
      <w:r w:rsidRPr="00C95471">
        <w:rPr>
          <w:rFonts w:asciiTheme="majorHAnsi" w:hAnsiTheme="majorHAnsi" w:cstheme="majorHAnsi"/>
        </w:rPr>
        <w:t xml:space="preserve"> (accessed on 19</w:t>
      </w:r>
      <w:r w:rsidRPr="00C95471">
        <w:rPr>
          <w:rFonts w:asciiTheme="majorHAnsi" w:hAnsiTheme="majorHAnsi" w:cstheme="majorHAnsi"/>
          <w:vertAlign w:val="superscript"/>
        </w:rPr>
        <w:t>th</w:t>
      </w:r>
      <w:r w:rsidRPr="00C95471">
        <w:rPr>
          <w:rFonts w:asciiTheme="majorHAnsi" w:hAnsiTheme="majorHAnsi" w:cstheme="majorHAnsi"/>
        </w:rPr>
        <w:t xml:space="preserve"> February 2017) </w:t>
      </w:r>
    </w:p>
  </w:footnote>
  <w:footnote w:id="73">
    <w:p w14:paraId="230E2B0A" w14:textId="77777777" w:rsidR="003878C9" w:rsidRPr="00C95471" w:rsidRDefault="003878C9" w:rsidP="00C95471">
      <w:pPr>
        <w:pStyle w:val="FootnoteText"/>
        <w:rPr>
          <w:rFonts w:asciiTheme="majorHAnsi" w:hAnsiTheme="majorHAnsi" w:cstheme="majorHAnsi"/>
        </w:rPr>
      </w:pPr>
      <w:r w:rsidRPr="00C95471">
        <w:rPr>
          <w:rStyle w:val="FootnoteReference"/>
          <w:rFonts w:asciiTheme="majorHAnsi" w:hAnsiTheme="majorHAnsi" w:cstheme="majorHAnsi"/>
        </w:rPr>
        <w:footnoteRef/>
      </w:r>
      <w:r w:rsidRPr="00C95471">
        <w:rPr>
          <w:rFonts w:asciiTheme="majorHAnsi" w:hAnsiTheme="majorHAnsi" w:cstheme="majorHAnsi"/>
        </w:rPr>
        <w:t xml:space="preserve"> Section 254 as read with section 257 Penal Code which define kidnapping as unlawfully conveying a person beyond the limits of Kenya without the consent of the person or person legally authorised to consent on behalf of that person. The penalty for kidnapping is seven years. </w:t>
      </w:r>
    </w:p>
  </w:footnote>
  <w:footnote w:id="74">
    <w:p w14:paraId="7195EC68" w14:textId="77777777" w:rsidR="003878C9" w:rsidRPr="00C95471" w:rsidRDefault="003878C9" w:rsidP="00C95471">
      <w:pPr>
        <w:pStyle w:val="FootnoteText"/>
        <w:rPr>
          <w:rFonts w:asciiTheme="majorHAnsi" w:hAnsiTheme="majorHAnsi" w:cstheme="majorHAnsi"/>
        </w:rPr>
      </w:pPr>
      <w:r w:rsidRPr="00C95471">
        <w:rPr>
          <w:rStyle w:val="FootnoteReference"/>
          <w:rFonts w:asciiTheme="majorHAnsi" w:hAnsiTheme="majorHAnsi" w:cstheme="majorHAnsi"/>
        </w:rPr>
        <w:footnoteRef/>
      </w:r>
      <w:r w:rsidRPr="00C95471">
        <w:rPr>
          <w:rFonts w:asciiTheme="majorHAnsi" w:hAnsiTheme="majorHAnsi" w:cstheme="majorHAnsi"/>
        </w:rPr>
        <w:t xml:space="preserve"> Human Rights Council ‘</w:t>
      </w:r>
      <w:r w:rsidRPr="00C95471">
        <w:rPr>
          <w:rFonts w:asciiTheme="majorHAnsi" w:hAnsiTheme="majorHAnsi" w:cstheme="majorHAnsi"/>
          <w:i/>
        </w:rPr>
        <w:t>Report of the Working Group on Enforced Disappearances: Best Practices on Enforced Disappearances in Criminal Legislation</w:t>
      </w:r>
      <w:r w:rsidRPr="00C95471">
        <w:rPr>
          <w:rFonts w:asciiTheme="majorHAnsi" w:hAnsiTheme="majorHAnsi" w:cstheme="majorHAnsi"/>
        </w:rPr>
        <w:t xml:space="preserve"> A/HRC/16/48/Add.3’ ( 28</w:t>
      </w:r>
      <w:r w:rsidRPr="00C95471">
        <w:rPr>
          <w:rFonts w:asciiTheme="majorHAnsi" w:hAnsiTheme="majorHAnsi" w:cstheme="majorHAnsi"/>
          <w:vertAlign w:val="superscript"/>
        </w:rPr>
        <w:t>th</w:t>
      </w:r>
      <w:r w:rsidRPr="00C95471">
        <w:rPr>
          <w:rFonts w:asciiTheme="majorHAnsi" w:hAnsiTheme="majorHAnsi" w:cstheme="majorHAnsi"/>
        </w:rPr>
        <w:t xml:space="preserve"> December 2010) available at </w:t>
      </w:r>
      <w:hyperlink r:id="rId57" w:history="1">
        <w:r w:rsidRPr="00C95471">
          <w:rPr>
            <w:rStyle w:val="Hyperlink"/>
            <w:rFonts w:asciiTheme="majorHAnsi" w:hAnsiTheme="majorHAnsi" w:cstheme="majorHAnsi"/>
          </w:rPr>
          <w:t>https://documents-dds-ny.un.org/doc/UNDOC/GEN/G10/179/54/PDF/G1017954.pdf?OpenElement</w:t>
        </w:r>
      </w:hyperlink>
      <w:r w:rsidRPr="00C95471">
        <w:rPr>
          <w:rFonts w:asciiTheme="majorHAnsi" w:hAnsiTheme="majorHAnsi" w:cstheme="majorHAnsi"/>
        </w:rPr>
        <w:t xml:space="preserve"> accessed on 19</w:t>
      </w:r>
      <w:r w:rsidRPr="00C95471">
        <w:rPr>
          <w:rFonts w:asciiTheme="majorHAnsi" w:hAnsiTheme="majorHAnsi" w:cstheme="majorHAnsi"/>
          <w:vertAlign w:val="superscript"/>
        </w:rPr>
        <w:t>th</w:t>
      </w:r>
      <w:r w:rsidRPr="00C95471">
        <w:rPr>
          <w:rFonts w:asciiTheme="majorHAnsi" w:hAnsiTheme="majorHAnsi" w:cstheme="majorHAnsi"/>
        </w:rPr>
        <w:t xml:space="preserve"> February 2017).</w:t>
      </w:r>
    </w:p>
  </w:footnote>
  <w:footnote w:id="75">
    <w:p w14:paraId="1F9B4074" w14:textId="77777777" w:rsidR="003878C9" w:rsidRPr="00C95471" w:rsidRDefault="003878C9" w:rsidP="00C95471">
      <w:pPr>
        <w:pStyle w:val="FootnoteText"/>
        <w:rPr>
          <w:rFonts w:asciiTheme="majorHAnsi" w:hAnsiTheme="majorHAnsi" w:cstheme="majorHAnsi"/>
        </w:rPr>
      </w:pPr>
      <w:r w:rsidRPr="00C95471">
        <w:rPr>
          <w:rStyle w:val="FootnoteReference"/>
          <w:rFonts w:asciiTheme="majorHAnsi" w:hAnsiTheme="majorHAnsi" w:cstheme="majorHAnsi"/>
        </w:rPr>
        <w:footnoteRef/>
      </w:r>
      <w:r w:rsidRPr="00C95471">
        <w:rPr>
          <w:rFonts w:asciiTheme="majorHAnsi" w:hAnsiTheme="majorHAnsi" w:cstheme="majorHAnsi"/>
        </w:rPr>
        <w:t xml:space="preserve"> Ibid.</w:t>
      </w:r>
    </w:p>
  </w:footnote>
  <w:footnote w:id="76">
    <w:p w14:paraId="2204608F" w14:textId="67E9D53E" w:rsidR="003878C9" w:rsidRPr="00C95471" w:rsidRDefault="003878C9" w:rsidP="00C95471">
      <w:pPr>
        <w:pStyle w:val="FootnoteText"/>
        <w:rPr>
          <w:rFonts w:asciiTheme="majorHAnsi" w:hAnsiTheme="majorHAnsi" w:cstheme="majorHAnsi"/>
        </w:rPr>
      </w:pPr>
      <w:r w:rsidRPr="00C95471">
        <w:rPr>
          <w:rStyle w:val="FootnoteReference"/>
          <w:rFonts w:asciiTheme="majorHAnsi" w:hAnsiTheme="majorHAnsi" w:cstheme="majorHAnsi"/>
        </w:rPr>
        <w:footnoteRef/>
      </w:r>
      <w:r w:rsidRPr="00C95471">
        <w:rPr>
          <w:rFonts w:asciiTheme="majorHAnsi" w:hAnsiTheme="majorHAnsi" w:cstheme="majorHAnsi"/>
        </w:rPr>
        <w:t xml:space="preserve"> KNCHR’s report titled ‘Error of Fighting Terror with Terror report’ (n 7) available at</w:t>
      </w:r>
      <w:r w:rsidRPr="00C95471">
        <w:rPr>
          <w:rFonts w:asciiTheme="majorHAnsi" w:hAnsiTheme="majorHAnsi" w:cstheme="majorHAnsi"/>
          <w:lang w:val="en-US"/>
        </w:rPr>
        <w:t xml:space="preserve"> </w:t>
      </w:r>
      <w:hyperlink r:id="rId58" w:history="1">
        <w:r w:rsidRPr="00C95471">
          <w:rPr>
            <w:rStyle w:val="Hyperlink"/>
            <w:rFonts w:asciiTheme="majorHAnsi" w:hAnsiTheme="majorHAnsi" w:cstheme="majorHAnsi"/>
            <w:lang w:val="en-US"/>
          </w:rPr>
          <w:t>https://www.knchr.org/Publications/Thematic-Reports/Civil-and-Political-Rights/Torture-Extrajudicial-Executions-Enforced-Disappearance</w:t>
        </w:r>
      </w:hyperlink>
      <w:r w:rsidRPr="00C95471">
        <w:rPr>
          <w:rFonts w:asciiTheme="majorHAnsi" w:hAnsiTheme="majorHAnsi" w:cstheme="majorHAnsi"/>
        </w:rPr>
        <w:t>.</w:t>
      </w:r>
    </w:p>
  </w:footnote>
  <w:footnote w:id="77">
    <w:p w14:paraId="1CF90D31" w14:textId="77777777" w:rsidR="003878C9" w:rsidRPr="00C95471" w:rsidRDefault="003878C9" w:rsidP="00C95471">
      <w:pPr>
        <w:pStyle w:val="FootnoteText"/>
        <w:rPr>
          <w:rFonts w:asciiTheme="majorHAnsi" w:hAnsiTheme="majorHAnsi" w:cstheme="majorHAnsi"/>
          <w:lang w:val="en-US"/>
        </w:rPr>
      </w:pPr>
      <w:r w:rsidRPr="00C95471">
        <w:rPr>
          <w:rStyle w:val="FootnoteReference"/>
          <w:rFonts w:asciiTheme="majorHAnsi" w:hAnsiTheme="majorHAnsi" w:cstheme="majorHAnsi"/>
        </w:rPr>
        <w:footnoteRef/>
      </w:r>
      <w:r w:rsidRPr="00C95471">
        <w:rPr>
          <w:rFonts w:asciiTheme="majorHAnsi" w:hAnsiTheme="majorHAnsi" w:cstheme="majorHAnsi"/>
        </w:rPr>
        <w:t xml:space="preserve"> KNCHR report titled ‘</w:t>
      </w:r>
      <w:r w:rsidRPr="00C95471">
        <w:rPr>
          <w:rFonts w:asciiTheme="majorHAnsi" w:hAnsiTheme="majorHAnsi" w:cstheme="majorHAnsi"/>
          <w:i/>
        </w:rPr>
        <w:t>Mountain of Terror: A Report on the Investigations of torture by the Military at Mt. Elgon</w:t>
      </w:r>
      <w:r w:rsidRPr="00C95471">
        <w:rPr>
          <w:rFonts w:asciiTheme="majorHAnsi" w:hAnsiTheme="majorHAnsi" w:cstheme="majorHAnsi"/>
        </w:rPr>
        <w:t xml:space="preserve"> in May 2008 available at </w:t>
      </w:r>
      <w:hyperlink r:id="rId59" w:history="1">
        <w:r w:rsidRPr="00C95471">
          <w:rPr>
            <w:rStyle w:val="Hyperlink"/>
            <w:rFonts w:asciiTheme="majorHAnsi" w:hAnsiTheme="majorHAnsi" w:cstheme="majorHAnsi"/>
            <w:lang w:val="en-US"/>
          </w:rPr>
          <w:t>https://www.knchr.org/Publications/Thematic-Reports/Civil-and-Political-Rights/Torture-Extrajudicial-Executions-Enforced-Disappearance</w:t>
        </w:r>
      </w:hyperlink>
      <w:r w:rsidRPr="00C95471">
        <w:rPr>
          <w:rFonts w:asciiTheme="majorHAnsi" w:hAnsiTheme="majorHAnsi" w:cstheme="majorHAnsi"/>
        </w:rPr>
        <w:t xml:space="preserve">. </w:t>
      </w:r>
    </w:p>
  </w:footnote>
  <w:footnote w:id="78">
    <w:p w14:paraId="197BCFF8" w14:textId="43378856" w:rsidR="003878C9" w:rsidRPr="00C95471" w:rsidRDefault="003878C9" w:rsidP="00C95471">
      <w:pPr>
        <w:pStyle w:val="FootnoteText"/>
        <w:rPr>
          <w:rFonts w:asciiTheme="majorHAnsi" w:hAnsiTheme="majorHAnsi" w:cstheme="majorHAnsi"/>
          <w:lang w:val="en-US"/>
        </w:rPr>
      </w:pPr>
      <w:r w:rsidRPr="00C95471">
        <w:rPr>
          <w:rStyle w:val="FootnoteReference"/>
          <w:rFonts w:asciiTheme="majorHAnsi" w:hAnsiTheme="majorHAnsi" w:cstheme="majorHAnsi"/>
        </w:rPr>
        <w:footnoteRef/>
      </w:r>
      <w:r w:rsidRPr="00C95471">
        <w:rPr>
          <w:rFonts w:asciiTheme="majorHAnsi" w:hAnsiTheme="majorHAnsi" w:cstheme="majorHAnsi"/>
          <w:lang w:val="en-US"/>
        </w:rPr>
        <w:t xml:space="preserve"> Phyllis </w:t>
      </w:r>
      <w:proofErr w:type="spellStart"/>
      <w:r w:rsidRPr="00C95471">
        <w:rPr>
          <w:rFonts w:asciiTheme="majorHAnsi" w:hAnsiTheme="majorHAnsi" w:cstheme="majorHAnsi"/>
          <w:lang w:val="en-US"/>
        </w:rPr>
        <w:t>Tamnai</w:t>
      </w:r>
      <w:proofErr w:type="spellEnd"/>
      <w:r w:rsidRPr="00C95471">
        <w:rPr>
          <w:rFonts w:asciiTheme="majorHAnsi" w:hAnsiTheme="majorHAnsi" w:cstheme="majorHAnsi"/>
          <w:lang w:val="en-US"/>
        </w:rPr>
        <w:t xml:space="preserve"> &amp; 17 others v KDF &amp; the AG [HC PET No. 1 of 2016].</w:t>
      </w:r>
    </w:p>
  </w:footnote>
  <w:footnote w:id="79">
    <w:p w14:paraId="3DE6154A" w14:textId="2C4AA96B" w:rsidR="003878C9" w:rsidRPr="00C95471" w:rsidRDefault="003878C9" w:rsidP="00C95471">
      <w:pPr>
        <w:pStyle w:val="FootnoteText"/>
        <w:rPr>
          <w:rFonts w:asciiTheme="majorHAnsi" w:hAnsiTheme="majorHAnsi" w:cstheme="majorHAnsi"/>
        </w:rPr>
      </w:pPr>
      <w:r w:rsidRPr="00C95471">
        <w:rPr>
          <w:rStyle w:val="FootnoteReference"/>
          <w:rFonts w:asciiTheme="majorHAnsi" w:hAnsiTheme="majorHAnsi" w:cstheme="majorHAnsi"/>
        </w:rPr>
        <w:footnoteRef/>
      </w:r>
      <w:r w:rsidRPr="00C95471">
        <w:rPr>
          <w:rFonts w:asciiTheme="majorHAnsi" w:hAnsiTheme="majorHAnsi" w:cstheme="majorHAnsi"/>
        </w:rPr>
        <w:t xml:space="preserve"> </w:t>
      </w:r>
      <w:r w:rsidRPr="00C95471">
        <w:rPr>
          <w:rFonts w:asciiTheme="majorHAnsi" w:hAnsiTheme="majorHAnsi" w:cstheme="majorHAnsi"/>
          <w:color w:val="282828"/>
        </w:rPr>
        <w:t xml:space="preserve">Masoud Salim </w:t>
      </w:r>
      <w:proofErr w:type="spellStart"/>
      <w:r w:rsidRPr="00C95471">
        <w:rPr>
          <w:rFonts w:asciiTheme="majorHAnsi" w:hAnsiTheme="majorHAnsi" w:cstheme="majorHAnsi"/>
          <w:color w:val="282828"/>
        </w:rPr>
        <w:t>Hemed</w:t>
      </w:r>
      <w:proofErr w:type="spellEnd"/>
      <w:r w:rsidRPr="00C95471">
        <w:rPr>
          <w:rFonts w:asciiTheme="majorHAnsi" w:hAnsiTheme="majorHAnsi" w:cstheme="majorHAnsi"/>
          <w:color w:val="282828"/>
        </w:rPr>
        <w:t xml:space="preserve"> and another versus Director of Public Prosecution and 3 others (2014) </w:t>
      </w:r>
      <w:proofErr w:type="spellStart"/>
      <w:r w:rsidRPr="00C95471">
        <w:rPr>
          <w:rFonts w:asciiTheme="majorHAnsi" w:hAnsiTheme="majorHAnsi" w:cstheme="majorHAnsi"/>
          <w:color w:val="282828"/>
        </w:rPr>
        <w:t>eKLR</w:t>
      </w:r>
      <w:proofErr w:type="spellEnd"/>
      <w:r w:rsidRPr="00C95471" w:rsidDel="00D91D7B">
        <w:rPr>
          <w:rFonts w:asciiTheme="majorHAnsi" w:hAnsiTheme="majorHAnsi" w:cstheme="majorHAnsi"/>
        </w:rPr>
        <w:t xml:space="preserve"> </w:t>
      </w:r>
      <w:r w:rsidRPr="00C95471">
        <w:rPr>
          <w:rFonts w:asciiTheme="majorHAnsi" w:hAnsiTheme="majorHAnsi" w:cstheme="majorHAnsi"/>
        </w:rPr>
        <w:t xml:space="preserve">available at </w:t>
      </w:r>
      <w:hyperlink r:id="rId60" w:history="1">
        <w:r w:rsidRPr="00C95471">
          <w:rPr>
            <w:rStyle w:val="Hyperlink"/>
            <w:rFonts w:asciiTheme="majorHAnsi" w:hAnsiTheme="majorHAnsi" w:cstheme="majorHAnsi"/>
          </w:rPr>
          <w:t>http://kenyalaw.org/caselaw/cases/view/100914/</w:t>
        </w:r>
      </w:hyperlink>
      <w:r w:rsidRPr="00C95471">
        <w:rPr>
          <w:rFonts w:asciiTheme="majorHAnsi" w:hAnsiTheme="majorHAnsi" w:cstheme="majorHAnsi"/>
        </w:rPr>
        <w:t xml:space="preserve"> (accessed on the 19</w:t>
      </w:r>
      <w:r w:rsidRPr="00C95471">
        <w:rPr>
          <w:rFonts w:asciiTheme="majorHAnsi" w:hAnsiTheme="majorHAnsi" w:cstheme="majorHAnsi"/>
          <w:vertAlign w:val="superscript"/>
        </w:rPr>
        <w:t>th</w:t>
      </w:r>
      <w:r w:rsidRPr="00C95471">
        <w:rPr>
          <w:rFonts w:asciiTheme="majorHAnsi" w:hAnsiTheme="majorHAnsi" w:cstheme="majorHAnsi"/>
        </w:rPr>
        <w:t xml:space="preserve"> February 2017)</w:t>
      </w:r>
    </w:p>
  </w:footnote>
  <w:footnote w:id="80">
    <w:p w14:paraId="3ECB9A90" w14:textId="055136BA" w:rsidR="003878C9" w:rsidRPr="00C95471" w:rsidRDefault="003878C9" w:rsidP="00EB6A63">
      <w:pPr>
        <w:pStyle w:val="FootnoteText"/>
        <w:rPr>
          <w:rFonts w:asciiTheme="majorHAnsi" w:hAnsiTheme="majorHAnsi" w:cstheme="majorHAnsi"/>
          <w:lang w:val="en-US"/>
        </w:rPr>
      </w:pPr>
      <w:r w:rsidRPr="00C95471">
        <w:rPr>
          <w:rStyle w:val="FootnoteReference"/>
          <w:rFonts w:asciiTheme="majorHAnsi" w:hAnsiTheme="majorHAnsi" w:cstheme="majorHAnsi"/>
        </w:rPr>
        <w:footnoteRef/>
      </w:r>
      <w:r>
        <w:rPr>
          <w:rFonts w:asciiTheme="majorHAnsi" w:hAnsiTheme="majorHAnsi" w:cstheme="majorHAnsi"/>
          <w:lang w:val="en-US"/>
        </w:rPr>
        <w:t xml:space="preserve"> </w:t>
      </w:r>
      <w:r w:rsidRPr="00C95471">
        <w:rPr>
          <w:rFonts w:asciiTheme="majorHAnsi" w:hAnsiTheme="majorHAnsi" w:cstheme="majorHAnsi"/>
          <w:lang w:val="en-US"/>
        </w:rPr>
        <w:t xml:space="preserve">Independent Policing Oversight Authority ‘End-Term Board Report 2012-2018’ available at </w:t>
      </w:r>
      <w:hyperlink r:id="rId61" w:history="1">
        <w:r w:rsidRPr="00C95471">
          <w:rPr>
            <w:rStyle w:val="Hyperlink"/>
            <w:rFonts w:asciiTheme="majorHAnsi" w:hAnsiTheme="majorHAnsi" w:cstheme="majorHAnsi"/>
            <w:lang w:val="en-US"/>
          </w:rPr>
          <w:t>http://www.ipoa.go.ke/wp-content/uploads/2018/05/IPOA-BOARD-END-TERM-REPORT-2012-2018-for-website.pdf</w:t>
        </w:r>
      </w:hyperlink>
    </w:p>
  </w:footnote>
  <w:footnote w:id="81">
    <w:p w14:paraId="23F5689F" w14:textId="77777777" w:rsidR="003878C9" w:rsidRPr="00C95471" w:rsidRDefault="003878C9" w:rsidP="00EB6A63">
      <w:pPr>
        <w:pStyle w:val="FootnoteText"/>
        <w:jc w:val="both"/>
        <w:rPr>
          <w:rFonts w:asciiTheme="majorHAnsi" w:hAnsiTheme="majorHAnsi" w:cstheme="majorHAnsi"/>
          <w:lang w:val="en-US"/>
        </w:rPr>
      </w:pPr>
      <w:r w:rsidRPr="00C95471">
        <w:rPr>
          <w:rStyle w:val="FootnoteReference"/>
          <w:rFonts w:asciiTheme="majorHAnsi" w:hAnsiTheme="majorHAnsi" w:cstheme="majorHAnsi"/>
        </w:rPr>
        <w:footnoteRef/>
      </w:r>
      <w:r w:rsidRPr="00C95471">
        <w:rPr>
          <w:rFonts w:asciiTheme="majorHAnsi" w:hAnsiTheme="majorHAnsi" w:cstheme="majorHAnsi"/>
        </w:rPr>
        <w:t xml:space="preserve"> </w:t>
      </w:r>
      <w:r w:rsidRPr="00C95471">
        <w:rPr>
          <w:rFonts w:asciiTheme="majorHAnsi" w:hAnsiTheme="majorHAnsi" w:cstheme="majorHAnsi"/>
          <w:lang w:val="en-US"/>
        </w:rPr>
        <w:t xml:space="preserve">[2016] e KLR available at </w:t>
      </w:r>
      <w:hyperlink r:id="rId62" w:history="1">
        <w:r w:rsidRPr="00C95471">
          <w:rPr>
            <w:rStyle w:val="Hyperlink"/>
            <w:rFonts w:asciiTheme="majorHAnsi" w:hAnsiTheme="majorHAnsi" w:cstheme="majorHAnsi"/>
            <w:lang w:val="en-US"/>
          </w:rPr>
          <w:t>http://kenyalaw.org/caselaw/cases/view/118626</w:t>
        </w:r>
      </w:hyperlink>
      <w:r w:rsidRPr="00C95471">
        <w:rPr>
          <w:rFonts w:asciiTheme="majorHAnsi" w:hAnsiTheme="majorHAnsi" w:cstheme="majorHAnsi"/>
          <w:lang w:val="en-US"/>
        </w:rPr>
        <w:t xml:space="preserve"> </w:t>
      </w:r>
    </w:p>
  </w:footnote>
  <w:footnote w:id="82">
    <w:p w14:paraId="18BB5B3B" w14:textId="77777777" w:rsidR="003878C9" w:rsidRPr="00C95471" w:rsidRDefault="003878C9" w:rsidP="00322E94">
      <w:pPr>
        <w:pStyle w:val="FootnoteText"/>
        <w:jc w:val="both"/>
        <w:rPr>
          <w:rFonts w:asciiTheme="majorHAnsi" w:hAnsiTheme="majorHAnsi" w:cstheme="majorHAnsi"/>
          <w:lang w:val="en-US"/>
        </w:rPr>
      </w:pPr>
      <w:r w:rsidRPr="00C95471">
        <w:rPr>
          <w:rStyle w:val="FootnoteReference"/>
          <w:rFonts w:asciiTheme="majorHAnsi" w:hAnsiTheme="majorHAnsi" w:cstheme="majorHAnsi"/>
        </w:rPr>
        <w:footnoteRef/>
      </w:r>
      <w:r w:rsidRPr="00C95471">
        <w:rPr>
          <w:rFonts w:asciiTheme="majorHAnsi" w:hAnsiTheme="majorHAnsi" w:cstheme="majorHAnsi"/>
        </w:rPr>
        <w:t xml:space="preserve"> [</w:t>
      </w:r>
      <w:r w:rsidRPr="00C95471">
        <w:rPr>
          <w:rFonts w:asciiTheme="majorHAnsi" w:hAnsiTheme="majorHAnsi" w:cstheme="majorHAnsi"/>
          <w:lang w:val="en-US"/>
        </w:rPr>
        <w:t xml:space="preserve">2018] e KLR available at </w:t>
      </w:r>
      <w:hyperlink r:id="rId63" w:history="1">
        <w:r w:rsidRPr="00C95471">
          <w:rPr>
            <w:rStyle w:val="Hyperlink"/>
            <w:rFonts w:asciiTheme="majorHAnsi" w:hAnsiTheme="majorHAnsi" w:cstheme="majorHAnsi"/>
            <w:lang w:val="en-US"/>
          </w:rPr>
          <w:t>http://kenyalaw.org/caselaw/cases/view/149253/</w:t>
        </w:r>
      </w:hyperlink>
      <w:r w:rsidRPr="00C95471">
        <w:rPr>
          <w:rFonts w:asciiTheme="majorHAnsi" w:hAnsiTheme="majorHAnsi" w:cstheme="majorHAnsi"/>
          <w:lang w:val="en-US"/>
        </w:rPr>
        <w:t xml:space="preserve"> </w:t>
      </w:r>
    </w:p>
  </w:footnote>
  <w:footnote w:id="83">
    <w:p w14:paraId="66A79423" w14:textId="77777777" w:rsidR="003878C9" w:rsidRPr="00C95471" w:rsidRDefault="003878C9" w:rsidP="00322E94">
      <w:pPr>
        <w:pStyle w:val="FootnoteText"/>
        <w:jc w:val="both"/>
        <w:rPr>
          <w:rFonts w:asciiTheme="majorHAnsi" w:hAnsiTheme="majorHAnsi" w:cstheme="majorHAnsi"/>
          <w:lang w:val="en-US"/>
        </w:rPr>
      </w:pPr>
      <w:r w:rsidRPr="00C95471">
        <w:rPr>
          <w:rStyle w:val="FootnoteReference"/>
          <w:rFonts w:asciiTheme="majorHAnsi" w:hAnsiTheme="majorHAnsi" w:cstheme="majorHAnsi"/>
        </w:rPr>
        <w:footnoteRef/>
      </w:r>
      <w:r w:rsidRPr="00C95471">
        <w:rPr>
          <w:rFonts w:asciiTheme="majorHAnsi" w:hAnsiTheme="majorHAnsi" w:cstheme="majorHAnsi"/>
        </w:rPr>
        <w:t xml:space="preserve"> </w:t>
      </w:r>
      <w:r w:rsidRPr="00C95471">
        <w:rPr>
          <w:rFonts w:asciiTheme="majorHAnsi" w:hAnsiTheme="majorHAnsi" w:cstheme="majorHAnsi"/>
          <w:lang w:val="en-US"/>
        </w:rPr>
        <w:t xml:space="preserve">[2018] e KLR available at </w:t>
      </w:r>
      <w:hyperlink r:id="rId64" w:history="1">
        <w:r w:rsidRPr="00C95471">
          <w:rPr>
            <w:rStyle w:val="Hyperlink"/>
            <w:rFonts w:asciiTheme="majorHAnsi" w:hAnsiTheme="majorHAnsi" w:cstheme="majorHAnsi"/>
            <w:lang w:val="en-US"/>
          </w:rPr>
          <w:t>http://kenyalaw.org/caselaw/cases/view/168360/</w:t>
        </w:r>
      </w:hyperlink>
      <w:r w:rsidRPr="00C95471">
        <w:rPr>
          <w:rFonts w:asciiTheme="majorHAnsi" w:hAnsiTheme="majorHAnsi" w:cstheme="majorHAnsi"/>
          <w:lang w:val="en-US"/>
        </w:rPr>
        <w:t xml:space="preserve"> </w:t>
      </w:r>
    </w:p>
  </w:footnote>
  <w:footnote w:id="84">
    <w:p w14:paraId="45EAFB46" w14:textId="77777777" w:rsidR="003878C9" w:rsidRPr="00C95471" w:rsidRDefault="003878C9" w:rsidP="00322E94">
      <w:pPr>
        <w:pStyle w:val="FootnoteText"/>
        <w:jc w:val="both"/>
        <w:rPr>
          <w:rFonts w:asciiTheme="majorHAnsi" w:hAnsiTheme="majorHAnsi" w:cstheme="majorHAnsi"/>
          <w:lang w:val="en-US"/>
        </w:rPr>
      </w:pPr>
      <w:r w:rsidRPr="00C95471">
        <w:rPr>
          <w:rStyle w:val="FootnoteReference"/>
          <w:rFonts w:asciiTheme="majorHAnsi" w:hAnsiTheme="majorHAnsi" w:cstheme="majorHAnsi"/>
        </w:rPr>
        <w:footnoteRef/>
      </w:r>
      <w:r w:rsidRPr="00C95471">
        <w:rPr>
          <w:rFonts w:asciiTheme="majorHAnsi" w:hAnsiTheme="majorHAnsi" w:cstheme="majorHAnsi"/>
        </w:rPr>
        <w:t xml:space="preserve"> </w:t>
      </w:r>
      <w:r w:rsidRPr="00C95471">
        <w:rPr>
          <w:rFonts w:asciiTheme="majorHAnsi" w:hAnsiTheme="majorHAnsi" w:cstheme="majorHAnsi"/>
          <w:lang w:val="en-US"/>
        </w:rPr>
        <w:t xml:space="preserve">[2019] e KLR available at </w:t>
      </w:r>
      <w:hyperlink r:id="rId65" w:history="1">
        <w:r w:rsidRPr="00C95471">
          <w:rPr>
            <w:rStyle w:val="Hyperlink"/>
            <w:rFonts w:asciiTheme="majorHAnsi" w:hAnsiTheme="majorHAnsi" w:cstheme="majorHAnsi"/>
            <w:lang w:val="en-US"/>
          </w:rPr>
          <w:t>http://kenyalaw.org/caselaw/cases/view/169489/</w:t>
        </w:r>
      </w:hyperlink>
      <w:r w:rsidRPr="00C95471">
        <w:rPr>
          <w:rFonts w:asciiTheme="majorHAnsi" w:hAnsiTheme="majorHAnsi" w:cstheme="majorHAnsi"/>
          <w:lang w:val="en-US"/>
        </w:rPr>
        <w:t xml:space="preserve"> </w:t>
      </w:r>
    </w:p>
  </w:footnote>
  <w:footnote w:id="85">
    <w:p w14:paraId="485FB574" w14:textId="054A8C80" w:rsidR="003878C9" w:rsidRPr="00C95471" w:rsidRDefault="003878C9" w:rsidP="00C95471">
      <w:pPr>
        <w:pStyle w:val="FootnoteText"/>
        <w:contextualSpacing/>
        <w:rPr>
          <w:rFonts w:asciiTheme="majorHAnsi" w:hAnsiTheme="majorHAnsi" w:cstheme="majorHAnsi"/>
          <w:lang w:val="en-US"/>
        </w:rPr>
      </w:pPr>
      <w:r w:rsidRPr="00C95471">
        <w:rPr>
          <w:rStyle w:val="FootnoteReference"/>
          <w:rFonts w:asciiTheme="majorHAnsi" w:hAnsiTheme="majorHAnsi" w:cstheme="majorHAnsi"/>
        </w:rPr>
        <w:footnoteRef/>
      </w:r>
      <w:r w:rsidRPr="00C95471">
        <w:rPr>
          <w:rFonts w:asciiTheme="majorHAnsi" w:hAnsiTheme="majorHAnsi" w:cstheme="majorHAnsi"/>
        </w:rPr>
        <w:t xml:space="preserve"> </w:t>
      </w:r>
      <w:hyperlink r:id="rId66" w:history="1">
        <w:r w:rsidRPr="00C95471">
          <w:rPr>
            <w:rStyle w:val="Hyperlink"/>
            <w:rFonts w:asciiTheme="majorHAnsi" w:hAnsiTheme="majorHAnsi" w:cstheme="majorHAnsi"/>
          </w:rPr>
          <w:t>George Baala case</w:t>
        </w:r>
        <w:r w:rsidRPr="00C95471">
          <w:rPr>
            <w:rFonts w:asciiTheme="majorHAnsi" w:hAnsiTheme="majorHAnsi" w:cstheme="majorHAnsi"/>
            <w:color w:val="0000FF"/>
            <w:u w:val="single"/>
          </w:rPr>
          <w:t xml:space="preserve"> </w:t>
        </w:r>
        <w:r w:rsidRPr="00C95471">
          <w:rPr>
            <w:rStyle w:val="Hyperlink"/>
            <w:rFonts w:asciiTheme="majorHAnsi" w:hAnsiTheme="majorHAnsi" w:cstheme="majorHAnsi"/>
          </w:rPr>
          <w:t>v Attorney General [2017] eKLR</w:t>
        </w:r>
      </w:hyperlink>
      <w:r w:rsidRPr="00C95471">
        <w:rPr>
          <w:rFonts w:asciiTheme="majorHAnsi" w:hAnsiTheme="majorHAnsi" w:cstheme="majorHAnsi"/>
        </w:rPr>
        <w:t xml:space="preserve"> available at http://kenyalaw.org/caselaw/cases/view/130164/</w:t>
      </w:r>
    </w:p>
  </w:footnote>
  <w:footnote w:id="86">
    <w:p w14:paraId="112D2082" w14:textId="0C399B47" w:rsidR="003878C9" w:rsidRPr="00C95471" w:rsidRDefault="003878C9" w:rsidP="00C95471">
      <w:pPr>
        <w:spacing w:after="0" w:line="240" w:lineRule="auto"/>
        <w:contextualSpacing/>
        <w:rPr>
          <w:rFonts w:asciiTheme="majorHAnsi" w:hAnsiTheme="majorHAnsi" w:cstheme="majorHAnsi"/>
          <w:sz w:val="20"/>
          <w:szCs w:val="20"/>
        </w:rPr>
      </w:pPr>
      <w:r w:rsidRPr="00C95471">
        <w:rPr>
          <w:rStyle w:val="FootnoteReference"/>
          <w:rFonts w:asciiTheme="majorHAnsi" w:hAnsiTheme="majorHAnsi" w:cstheme="majorHAnsi"/>
          <w:sz w:val="20"/>
          <w:szCs w:val="20"/>
        </w:rPr>
        <w:footnoteRef/>
      </w:r>
      <w:r w:rsidRPr="00C95471">
        <w:rPr>
          <w:rFonts w:asciiTheme="majorHAnsi" w:hAnsiTheme="majorHAnsi" w:cstheme="majorHAnsi"/>
          <w:sz w:val="20"/>
          <w:szCs w:val="20"/>
        </w:rPr>
        <w:t xml:space="preserve"> Handbook on the National Coroners Service Act available at </w:t>
      </w:r>
      <w:hyperlink r:id="rId67" w:history="1">
        <w:r w:rsidRPr="00C95471">
          <w:rPr>
            <w:rStyle w:val="Hyperlink"/>
            <w:rFonts w:asciiTheme="majorHAnsi" w:hAnsiTheme="majorHAnsi" w:cstheme="majorHAnsi"/>
            <w:sz w:val="20"/>
            <w:szCs w:val="20"/>
          </w:rPr>
          <w:t>https://www.knchr.org/Portals/0/Handbook%20On%20The%20National%20Coroners%20Service%20Act%2C%202017_2018.pdf</w:t>
        </w:r>
      </w:hyperlink>
    </w:p>
  </w:footnote>
  <w:footnote w:id="87">
    <w:p w14:paraId="081D9857" w14:textId="2EE37FC2" w:rsidR="003878C9" w:rsidRPr="00C95471" w:rsidRDefault="003878C9" w:rsidP="00C95471">
      <w:pPr>
        <w:pStyle w:val="FootnoteText"/>
        <w:contextualSpacing/>
        <w:rPr>
          <w:rFonts w:asciiTheme="majorHAnsi" w:hAnsiTheme="majorHAnsi" w:cstheme="majorHAnsi"/>
          <w:lang w:val="en-US"/>
        </w:rPr>
      </w:pPr>
      <w:r w:rsidRPr="00C95471">
        <w:rPr>
          <w:rStyle w:val="FootnoteReference"/>
          <w:rFonts w:asciiTheme="majorHAnsi" w:hAnsiTheme="majorHAnsi" w:cstheme="majorHAnsi"/>
        </w:rPr>
        <w:footnoteRef/>
      </w:r>
      <w:r>
        <w:rPr>
          <w:rFonts w:asciiTheme="majorHAnsi" w:hAnsiTheme="majorHAnsi" w:cstheme="majorHAnsi"/>
        </w:rPr>
        <w:t xml:space="preserve"> </w:t>
      </w:r>
      <w:r w:rsidRPr="00C95471">
        <w:rPr>
          <w:rFonts w:asciiTheme="majorHAnsi" w:hAnsiTheme="majorHAnsi" w:cstheme="majorHAnsi"/>
          <w:lang w:val="en-US"/>
        </w:rPr>
        <w:t xml:space="preserve">National Council on the Administrative of Justice; Legal Resources Foundation and </w:t>
      </w:r>
      <w:r w:rsidRPr="00C95471">
        <w:rPr>
          <w:rFonts w:asciiTheme="majorHAnsi" w:hAnsiTheme="majorHAnsi" w:cstheme="majorHAnsi"/>
        </w:rPr>
        <w:t>Resource Oriented Development Initiatives</w:t>
      </w:r>
      <w:r w:rsidRPr="00C95471">
        <w:rPr>
          <w:rFonts w:asciiTheme="majorHAnsi" w:hAnsiTheme="majorHAnsi" w:cstheme="majorHAnsi"/>
          <w:lang w:val="en-US"/>
        </w:rPr>
        <w:t xml:space="preserve">; ‘Criminal Justice System in Kenya: An Audit’; Available at </w:t>
      </w:r>
      <w:hyperlink r:id="rId68" w:history="1">
        <w:r w:rsidRPr="0057759E">
          <w:rPr>
            <w:rStyle w:val="Hyperlink"/>
            <w:rFonts w:asciiTheme="majorHAnsi" w:hAnsiTheme="majorHAnsi" w:cstheme="majorHAnsi"/>
            <w:lang w:val="en-US"/>
          </w:rPr>
          <w:t>http://kenyalaw.org/kenyalawblog/wp-content/uploads/2017/01/Criminal_Justice_Report.pdf</w:t>
        </w:r>
      </w:hyperlink>
      <w:r w:rsidRPr="00C95471">
        <w:rPr>
          <w:rFonts w:asciiTheme="majorHAnsi" w:hAnsiTheme="majorHAnsi" w:cstheme="majorHAnsi"/>
          <w:lang w:val="en-US"/>
        </w:rPr>
        <w:t>.</w:t>
      </w:r>
      <w:r>
        <w:rPr>
          <w:rFonts w:asciiTheme="majorHAnsi" w:hAnsiTheme="majorHAnsi" w:cstheme="majorHAnsi"/>
          <w:lang w:val="en-US"/>
        </w:rPr>
        <w:t xml:space="preserve"> </w:t>
      </w:r>
    </w:p>
  </w:footnote>
  <w:footnote w:id="88">
    <w:p w14:paraId="62B6903B" w14:textId="77777777" w:rsidR="003878C9" w:rsidRPr="00C95471" w:rsidRDefault="003878C9" w:rsidP="00322E94">
      <w:pPr>
        <w:pStyle w:val="FootnoteText"/>
        <w:rPr>
          <w:rFonts w:asciiTheme="majorHAnsi" w:hAnsiTheme="majorHAnsi" w:cstheme="majorHAnsi"/>
        </w:rPr>
      </w:pPr>
      <w:r w:rsidRPr="00C95471">
        <w:rPr>
          <w:rStyle w:val="FootnoteReference"/>
          <w:rFonts w:asciiTheme="majorHAnsi" w:hAnsiTheme="majorHAnsi" w:cstheme="majorHAnsi"/>
        </w:rPr>
        <w:footnoteRef/>
      </w:r>
      <w:r w:rsidRPr="00C95471">
        <w:rPr>
          <w:rFonts w:asciiTheme="majorHAnsi" w:hAnsiTheme="majorHAnsi" w:cstheme="majorHAnsi"/>
        </w:rPr>
        <w:t xml:space="preserve"> The Judiciary State of Judiciary and Administration of Justice Report 2016-2017 available </w:t>
      </w:r>
      <w:hyperlink r:id="rId69" w:history="1">
        <w:r w:rsidRPr="00C95471">
          <w:rPr>
            <w:rStyle w:val="Hyperlink"/>
            <w:rFonts w:asciiTheme="majorHAnsi" w:hAnsiTheme="majorHAnsi" w:cstheme="majorHAnsi"/>
          </w:rPr>
          <w:t>https://www.judiciary.go.ke/download/state-of-the-judiciary-and-the-administration-of-justice-report-2016-2017/</w:t>
        </w:r>
      </w:hyperlink>
      <w:r w:rsidRPr="00C95471">
        <w:rPr>
          <w:rFonts w:asciiTheme="majorHAnsi" w:hAnsiTheme="majorHAnsi" w:cstheme="majorHAnsi"/>
        </w:rPr>
        <w:t xml:space="preserve"> page 216</w:t>
      </w:r>
    </w:p>
  </w:footnote>
  <w:footnote w:id="89">
    <w:p w14:paraId="10C8258B" w14:textId="47523BA6" w:rsidR="003878C9" w:rsidRPr="009A092F" w:rsidRDefault="003878C9" w:rsidP="00322E94">
      <w:pPr>
        <w:pStyle w:val="FootnoteText"/>
        <w:rPr>
          <w:rFonts w:asciiTheme="majorHAnsi" w:hAnsiTheme="majorHAnsi" w:cstheme="majorHAnsi"/>
        </w:rPr>
      </w:pPr>
      <w:r w:rsidRPr="009A092F">
        <w:rPr>
          <w:rStyle w:val="FootnoteReference"/>
          <w:rFonts w:asciiTheme="majorHAnsi" w:hAnsiTheme="majorHAnsi" w:cstheme="majorHAnsi"/>
        </w:rPr>
        <w:footnoteRef/>
      </w:r>
      <w:r w:rsidRPr="009A092F">
        <w:rPr>
          <w:rFonts w:asciiTheme="majorHAnsi" w:hAnsiTheme="majorHAnsi" w:cstheme="majorHAnsi"/>
        </w:rPr>
        <w:t xml:space="preserve"> </w:t>
      </w:r>
      <w:r w:rsidRPr="009A092F">
        <w:rPr>
          <w:rFonts w:asciiTheme="majorHAnsi" w:hAnsiTheme="majorHAnsi" w:cstheme="majorHAnsi"/>
          <w:lang w:val="en-US"/>
        </w:rPr>
        <w:t xml:space="preserve">The signed communique available at </w:t>
      </w:r>
      <w:hyperlink r:id="rId70" w:history="1">
        <w:r w:rsidRPr="009A092F">
          <w:rPr>
            <w:rStyle w:val="Hyperlink"/>
            <w:rFonts w:asciiTheme="majorHAnsi" w:hAnsiTheme="majorHAnsi" w:cstheme="majorHAnsi"/>
            <w:lang w:val="en-US"/>
          </w:rPr>
          <w:t>https://nea.go.ke/web/wp-content/uploads/2020/02/SIGNED-COMMUNIQUE-HLMM-JAN-21-2020-compressed.pdf</w:t>
        </w:r>
      </w:hyperlink>
    </w:p>
  </w:footnote>
  <w:footnote w:id="90">
    <w:p w14:paraId="6954ED81" w14:textId="77777777" w:rsidR="003878C9" w:rsidRPr="00364140" w:rsidRDefault="003878C9" w:rsidP="00322E94">
      <w:pPr>
        <w:pStyle w:val="FootnoteText"/>
        <w:rPr>
          <w:rFonts w:asciiTheme="majorHAnsi" w:hAnsiTheme="majorHAnsi" w:cstheme="majorHAnsi"/>
        </w:rPr>
      </w:pPr>
      <w:r w:rsidRPr="009A092F">
        <w:rPr>
          <w:rStyle w:val="FootnoteReference"/>
          <w:rFonts w:asciiTheme="majorHAnsi" w:hAnsiTheme="majorHAnsi" w:cstheme="majorHAnsi"/>
        </w:rPr>
        <w:footnoteRef/>
      </w:r>
      <w:r w:rsidRPr="009A092F">
        <w:rPr>
          <w:rFonts w:asciiTheme="majorHAnsi" w:hAnsiTheme="majorHAnsi" w:cstheme="majorHAnsi"/>
        </w:rPr>
        <w:t xml:space="preserve"> List of accredited recruitment agencies available at </w:t>
      </w:r>
      <w:hyperlink r:id="rId71" w:history="1">
        <w:r w:rsidRPr="009A092F">
          <w:rPr>
            <w:rStyle w:val="Hyperlink"/>
            <w:rFonts w:asciiTheme="majorHAnsi" w:hAnsiTheme="majorHAnsi" w:cstheme="majorHAnsi"/>
            <w:lang w:val="en-US"/>
          </w:rPr>
          <w:t>https://nea.go.ke/web/wp-content/uploads/2020/03/List-of-Accredited-Recruitment-Agencies-12.03.2020.pdf</w:t>
        </w:r>
      </w:hyperlink>
    </w:p>
  </w:footnote>
  <w:footnote w:id="91">
    <w:p w14:paraId="7A286DEA" w14:textId="6AAD29E8" w:rsidR="003878C9" w:rsidRPr="009A092F" w:rsidRDefault="003878C9" w:rsidP="009A092F">
      <w:pPr>
        <w:pStyle w:val="FootnoteText"/>
        <w:rPr>
          <w:rFonts w:asciiTheme="majorHAnsi" w:hAnsiTheme="majorHAnsi" w:cstheme="majorHAnsi"/>
          <w:lang w:val="en-US"/>
        </w:rPr>
      </w:pPr>
      <w:r w:rsidRPr="009A092F">
        <w:rPr>
          <w:rStyle w:val="FootnoteReference"/>
          <w:rFonts w:asciiTheme="majorHAnsi" w:hAnsiTheme="majorHAnsi" w:cstheme="majorHAnsi"/>
        </w:rPr>
        <w:footnoteRef/>
      </w:r>
      <w:r w:rsidRPr="009A092F">
        <w:rPr>
          <w:rFonts w:asciiTheme="majorHAnsi" w:hAnsiTheme="majorHAnsi" w:cstheme="majorHAnsi"/>
        </w:rPr>
        <w:t xml:space="preserve">As per the US State Department Report on Human Trafficking 2016 Accessible on </w:t>
      </w:r>
      <w:hyperlink r:id="rId72" w:history="1">
        <w:r w:rsidRPr="009A092F">
          <w:rPr>
            <w:rStyle w:val="Hyperlink"/>
            <w:rFonts w:asciiTheme="majorHAnsi" w:hAnsiTheme="majorHAnsi" w:cstheme="majorHAnsi"/>
          </w:rPr>
          <w:t>https://www.state.gov/j/tip/rls/tiprpt/2016</w:t>
        </w:r>
      </w:hyperlink>
      <w:r w:rsidRPr="009A092F">
        <w:rPr>
          <w:rFonts w:asciiTheme="majorHAnsi" w:hAnsiTheme="majorHAnsi" w:cstheme="majorHAnsi"/>
          <w:color w:val="4472C4"/>
          <w:u w:val="single"/>
        </w:rPr>
        <w:t xml:space="preserve">. This status has been maintained as per the 2019 Trafficking in Persons report accessible at </w:t>
      </w:r>
      <w:hyperlink r:id="rId73" w:history="1">
        <w:r w:rsidRPr="009A092F">
          <w:rPr>
            <w:rStyle w:val="Hyperlink"/>
            <w:rFonts w:asciiTheme="majorHAnsi" w:hAnsiTheme="majorHAnsi" w:cstheme="majorHAnsi"/>
          </w:rPr>
          <w:t>https://www.state.gov/wp-content/uploads/2019/06/2019-Trafficking-in-Persons-Report.pdf</w:t>
        </w:r>
      </w:hyperlink>
    </w:p>
  </w:footnote>
  <w:footnote w:id="92">
    <w:p w14:paraId="7C0D941A" w14:textId="77777777" w:rsidR="003878C9" w:rsidRPr="009A092F" w:rsidRDefault="003878C9" w:rsidP="009A092F">
      <w:pPr>
        <w:pStyle w:val="FootnoteText"/>
        <w:rPr>
          <w:rFonts w:asciiTheme="majorHAnsi" w:hAnsiTheme="majorHAnsi" w:cstheme="majorHAnsi"/>
          <w:lang w:val="en-US"/>
        </w:rPr>
      </w:pPr>
      <w:r w:rsidRPr="009A092F">
        <w:rPr>
          <w:rStyle w:val="FootnoteReference"/>
          <w:rFonts w:asciiTheme="majorHAnsi" w:hAnsiTheme="majorHAnsi" w:cstheme="majorHAnsi"/>
        </w:rPr>
        <w:footnoteRef/>
      </w:r>
      <w:r w:rsidRPr="009A092F">
        <w:rPr>
          <w:rFonts w:asciiTheme="majorHAnsi" w:hAnsiTheme="majorHAnsi" w:cstheme="majorHAnsi"/>
        </w:rPr>
        <w:t xml:space="preserve"> Kenya National Commission on Human Rights ‘Compendium on Submissions to Committee on Rights of Persons with Disabilities: Response of the Kenya National Commission on Human Rights on the List of Issues on Kenya’s Initial Report on Implementation of the Convention on the Rights of Persons with Disabilities Submitted on 30</w:t>
      </w:r>
      <w:r w:rsidRPr="009A092F">
        <w:rPr>
          <w:rFonts w:asciiTheme="majorHAnsi" w:hAnsiTheme="majorHAnsi" w:cstheme="majorHAnsi"/>
          <w:vertAlign w:val="superscript"/>
        </w:rPr>
        <w:t>th</w:t>
      </w:r>
      <w:r w:rsidRPr="009A092F">
        <w:rPr>
          <w:rFonts w:asciiTheme="majorHAnsi" w:hAnsiTheme="majorHAnsi" w:cstheme="majorHAnsi"/>
        </w:rPr>
        <w:t xml:space="preserve"> July 2015’ (2016) available at </w:t>
      </w:r>
      <w:hyperlink r:id="rId74" w:history="1">
        <w:r w:rsidRPr="009A092F">
          <w:rPr>
            <w:rStyle w:val="Hyperlink"/>
            <w:rFonts w:asciiTheme="majorHAnsi" w:hAnsiTheme="majorHAnsi" w:cstheme="majorHAnsi"/>
          </w:rPr>
          <w:t>http://www.knchr.org/Publications/InternationalObligation.aspx</w:t>
        </w:r>
      </w:hyperlink>
      <w:r w:rsidRPr="009A092F">
        <w:rPr>
          <w:rFonts w:asciiTheme="majorHAnsi" w:hAnsiTheme="majorHAnsi" w:cstheme="majorHAnsi"/>
        </w:rPr>
        <w:t xml:space="preserve"> (accessed on 29th January 2017) </w:t>
      </w:r>
    </w:p>
  </w:footnote>
  <w:footnote w:id="93">
    <w:p w14:paraId="2FF7B171" w14:textId="77777777" w:rsidR="003878C9" w:rsidRPr="009A092F" w:rsidRDefault="003878C9" w:rsidP="009A092F">
      <w:pPr>
        <w:pStyle w:val="FootnoteText"/>
        <w:rPr>
          <w:rFonts w:asciiTheme="majorHAnsi" w:hAnsiTheme="majorHAnsi" w:cstheme="majorHAnsi"/>
        </w:rPr>
      </w:pPr>
      <w:r w:rsidRPr="009A092F">
        <w:rPr>
          <w:rStyle w:val="FootnoteReference"/>
          <w:rFonts w:asciiTheme="majorHAnsi" w:hAnsiTheme="majorHAnsi" w:cstheme="majorHAnsi"/>
        </w:rPr>
        <w:footnoteRef/>
      </w:r>
      <w:r w:rsidRPr="009A092F">
        <w:rPr>
          <w:rFonts w:asciiTheme="majorHAnsi" w:hAnsiTheme="majorHAnsi" w:cstheme="majorHAnsi"/>
        </w:rPr>
        <w:t xml:space="preserve"> Committee on the Rights of Persons with Disabilities ‘Concluding Observations on the Initial Report of Kenya’ (CRPD/C/KEN/CO/1 adopted on 28</w:t>
      </w:r>
      <w:r w:rsidRPr="009A092F">
        <w:rPr>
          <w:rFonts w:asciiTheme="majorHAnsi" w:hAnsiTheme="majorHAnsi" w:cstheme="majorHAnsi"/>
          <w:vertAlign w:val="superscript"/>
        </w:rPr>
        <w:t>th</w:t>
      </w:r>
      <w:r w:rsidRPr="009A092F">
        <w:rPr>
          <w:rFonts w:asciiTheme="majorHAnsi" w:hAnsiTheme="majorHAnsi" w:cstheme="majorHAnsi"/>
        </w:rPr>
        <w:t xml:space="preserve"> August 2015) </w:t>
      </w:r>
    </w:p>
  </w:footnote>
  <w:footnote w:id="94">
    <w:p w14:paraId="4C5F099A" w14:textId="77777777" w:rsidR="003878C9" w:rsidRPr="009A092F" w:rsidRDefault="003878C9" w:rsidP="00322E94">
      <w:pPr>
        <w:pStyle w:val="FootnoteText"/>
        <w:rPr>
          <w:rFonts w:asciiTheme="majorHAnsi" w:hAnsiTheme="majorHAnsi" w:cstheme="majorHAnsi"/>
        </w:rPr>
      </w:pPr>
      <w:r w:rsidRPr="009A092F">
        <w:rPr>
          <w:rStyle w:val="FootnoteReference"/>
          <w:rFonts w:asciiTheme="majorHAnsi" w:hAnsiTheme="majorHAnsi" w:cstheme="majorHAnsi"/>
        </w:rPr>
        <w:footnoteRef/>
      </w:r>
      <w:r w:rsidRPr="009A092F">
        <w:rPr>
          <w:rFonts w:asciiTheme="majorHAnsi" w:hAnsiTheme="majorHAnsi" w:cstheme="majorHAnsi"/>
        </w:rPr>
        <w:t xml:space="preserve">Kenya Gazette Supplement No.126 </w:t>
      </w:r>
      <w:r w:rsidRPr="009A092F">
        <w:rPr>
          <w:rFonts w:asciiTheme="majorHAnsi" w:hAnsiTheme="majorHAnsi" w:cstheme="majorHAnsi"/>
          <w:lang w:val="en-US"/>
        </w:rPr>
        <w:t>National Assembly Bill No. 62 of 2019 dated 26</w:t>
      </w:r>
      <w:r w:rsidRPr="009A092F">
        <w:rPr>
          <w:rFonts w:asciiTheme="majorHAnsi" w:hAnsiTheme="majorHAnsi" w:cstheme="majorHAnsi"/>
          <w:vertAlign w:val="superscript"/>
          <w:lang w:val="en-US"/>
        </w:rPr>
        <w:t>th</w:t>
      </w:r>
      <w:r w:rsidRPr="009A092F">
        <w:rPr>
          <w:rFonts w:asciiTheme="majorHAnsi" w:hAnsiTheme="majorHAnsi" w:cstheme="majorHAnsi"/>
          <w:lang w:val="en-US"/>
        </w:rPr>
        <w:t xml:space="preserve"> July 2019 available at</w:t>
      </w:r>
      <w:r w:rsidRPr="009A092F">
        <w:rPr>
          <w:rFonts w:asciiTheme="majorHAnsi" w:eastAsiaTheme="minorHAnsi" w:hAnsiTheme="majorHAnsi" w:cstheme="majorHAnsi"/>
        </w:rPr>
        <w:t xml:space="preserve"> </w:t>
      </w:r>
      <w:hyperlink r:id="rId75" w:history="1">
        <w:r w:rsidRPr="009A092F">
          <w:rPr>
            <w:rStyle w:val="Hyperlink"/>
            <w:rFonts w:asciiTheme="majorHAnsi" w:hAnsiTheme="majorHAnsi" w:cstheme="majorHAnsi"/>
          </w:rPr>
          <w:t>http://kenyalaw.org/kl/fileadmin/pdfdownloads/bills/2019/The_Refugees_Bill__2019.pdf</w:t>
        </w:r>
      </w:hyperlink>
      <w:r w:rsidRPr="009A092F">
        <w:rPr>
          <w:rFonts w:asciiTheme="majorHAnsi" w:hAnsiTheme="majorHAnsi" w:cstheme="majorHAnsi"/>
          <w:lang w:val="en-US"/>
        </w:rPr>
        <w:t xml:space="preserve"> </w:t>
      </w:r>
    </w:p>
  </w:footnote>
  <w:footnote w:id="95">
    <w:p w14:paraId="070A4910" w14:textId="13FB68F1" w:rsidR="003878C9" w:rsidRPr="009A092F" w:rsidRDefault="003878C9" w:rsidP="00322E94">
      <w:pPr>
        <w:pStyle w:val="FootnoteText"/>
        <w:rPr>
          <w:rFonts w:asciiTheme="majorHAnsi" w:hAnsiTheme="majorHAnsi" w:cstheme="majorHAnsi"/>
          <w:lang w:val="en-US"/>
        </w:rPr>
      </w:pPr>
      <w:r w:rsidRPr="009A092F">
        <w:rPr>
          <w:rStyle w:val="FootnoteReference"/>
          <w:rFonts w:asciiTheme="majorHAnsi" w:hAnsiTheme="majorHAnsi" w:cstheme="majorHAnsi"/>
        </w:rPr>
        <w:footnoteRef/>
      </w:r>
      <w:r w:rsidRPr="009A092F">
        <w:rPr>
          <w:rFonts w:asciiTheme="majorHAnsi" w:hAnsiTheme="majorHAnsi" w:cstheme="majorHAnsi"/>
        </w:rPr>
        <w:t xml:space="preserve"> Act </w:t>
      </w:r>
      <w:r w:rsidRPr="009A092F">
        <w:rPr>
          <w:rFonts w:asciiTheme="majorHAnsi" w:hAnsiTheme="majorHAnsi" w:cstheme="majorHAnsi"/>
          <w:color w:val="282828"/>
          <w:lang w:val="en-US"/>
        </w:rPr>
        <w:t>No. 56 of 2012.</w:t>
      </w:r>
      <w:r>
        <w:rPr>
          <w:rFonts w:asciiTheme="majorHAnsi" w:hAnsiTheme="majorHAnsi" w:cstheme="majorHAnsi"/>
          <w:color w:val="282828"/>
          <w:lang w:val="en-US"/>
        </w:rPr>
        <w:t xml:space="preserve"> </w:t>
      </w:r>
    </w:p>
  </w:footnote>
  <w:footnote w:id="96">
    <w:p w14:paraId="750032B5" w14:textId="4D1A9A20" w:rsidR="003878C9" w:rsidRPr="009A092F" w:rsidRDefault="003878C9" w:rsidP="00322E94">
      <w:pPr>
        <w:pStyle w:val="FootnoteText"/>
        <w:jc w:val="both"/>
        <w:rPr>
          <w:rFonts w:asciiTheme="majorHAnsi" w:hAnsiTheme="majorHAnsi" w:cstheme="majorHAnsi"/>
        </w:rPr>
      </w:pPr>
      <w:r w:rsidRPr="009A092F">
        <w:rPr>
          <w:rStyle w:val="FootnoteReference"/>
          <w:rFonts w:asciiTheme="majorHAnsi" w:hAnsiTheme="majorHAnsi" w:cstheme="majorHAnsi"/>
        </w:rPr>
        <w:footnoteRef/>
      </w:r>
      <w:r>
        <w:rPr>
          <w:rFonts w:asciiTheme="majorHAnsi" w:hAnsiTheme="majorHAnsi" w:cstheme="majorHAnsi"/>
        </w:rPr>
        <w:t xml:space="preserve"> </w:t>
      </w:r>
      <w:hyperlink r:id="rId76" w:history="1">
        <w:r w:rsidRPr="0057759E">
          <w:rPr>
            <w:rStyle w:val="Hyperlink"/>
            <w:rFonts w:asciiTheme="majorHAnsi" w:hAnsiTheme="majorHAnsi" w:cstheme="majorHAnsi"/>
          </w:rPr>
          <w:t>http://www.unhcr.org/protection/idps/43ce1cff2/guiding-principles-internal-displacement.html</w:t>
        </w:r>
      </w:hyperlink>
      <w:r>
        <w:rPr>
          <w:rFonts w:asciiTheme="majorHAnsi" w:hAnsiTheme="majorHAnsi" w:cstheme="majorHAnsi"/>
        </w:rPr>
        <w:t xml:space="preserve"> </w:t>
      </w:r>
    </w:p>
  </w:footnote>
  <w:footnote w:id="97">
    <w:p w14:paraId="4ABDB744" w14:textId="603E53D3" w:rsidR="003878C9" w:rsidRPr="009A092F" w:rsidRDefault="003878C9" w:rsidP="00322E94">
      <w:pPr>
        <w:pStyle w:val="FootnoteText"/>
        <w:rPr>
          <w:rFonts w:asciiTheme="majorHAnsi" w:hAnsiTheme="majorHAnsi" w:cstheme="majorHAnsi"/>
          <w:lang w:val="en-US"/>
        </w:rPr>
      </w:pPr>
      <w:r w:rsidRPr="009A092F">
        <w:rPr>
          <w:rStyle w:val="FootnoteReference"/>
          <w:rFonts w:asciiTheme="majorHAnsi" w:hAnsiTheme="majorHAnsi" w:cstheme="majorHAnsi"/>
        </w:rPr>
        <w:footnoteRef/>
      </w:r>
      <w:r w:rsidRPr="009A092F">
        <w:rPr>
          <w:rFonts w:asciiTheme="majorHAnsi" w:hAnsiTheme="majorHAnsi" w:cstheme="majorHAnsi"/>
        </w:rPr>
        <w:t xml:space="preserve"> </w:t>
      </w:r>
      <w:r w:rsidRPr="009A092F">
        <w:rPr>
          <w:rFonts w:asciiTheme="majorHAnsi" w:hAnsiTheme="majorHAnsi" w:cstheme="majorHAnsi"/>
          <w:color w:val="282828"/>
          <w:lang w:val="en-US"/>
        </w:rPr>
        <w:t xml:space="preserve">Republic v Cabinet Secretary Ministry of Transport and Infrastructure &amp; 3 others ex </w:t>
      </w:r>
      <w:proofErr w:type="spellStart"/>
      <w:r w:rsidRPr="009A092F">
        <w:rPr>
          <w:rFonts w:asciiTheme="majorHAnsi" w:hAnsiTheme="majorHAnsi" w:cstheme="majorHAnsi"/>
          <w:color w:val="282828"/>
          <w:lang w:val="en-US"/>
        </w:rPr>
        <w:t>parte</w:t>
      </w:r>
      <w:proofErr w:type="spellEnd"/>
      <w:r w:rsidRPr="009A092F">
        <w:rPr>
          <w:rFonts w:asciiTheme="majorHAnsi" w:hAnsiTheme="majorHAnsi" w:cstheme="majorHAnsi"/>
          <w:color w:val="282828"/>
          <w:lang w:val="en-US"/>
        </w:rPr>
        <w:t xml:space="preserve"> Francis N. </w:t>
      </w:r>
      <w:proofErr w:type="spellStart"/>
      <w:r w:rsidRPr="009A092F">
        <w:rPr>
          <w:rFonts w:asciiTheme="majorHAnsi" w:hAnsiTheme="majorHAnsi" w:cstheme="majorHAnsi"/>
          <w:color w:val="282828"/>
          <w:lang w:val="en-US"/>
        </w:rPr>
        <w:t>Kiboro</w:t>
      </w:r>
      <w:proofErr w:type="spellEnd"/>
      <w:r w:rsidRPr="009A092F">
        <w:rPr>
          <w:rFonts w:asciiTheme="majorHAnsi" w:hAnsiTheme="majorHAnsi" w:cstheme="majorHAnsi"/>
          <w:color w:val="282828"/>
          <w:lang w:val="en-US"/>
        </w:rPr>
        <w:t xml:space="preserve"> &amp; 198 Others [2015] </w:t>
      </w:r>
      <w:proofErr w:type="spellStart"/>
      <w:r w:rsidRPr="009A092F">
        <w:rPr>
          <w:rFonts w:asciiTheme="majorHAnsi" w:hAnsiTheme="majorHAnsi" w:cstheme="majorHAnsi"/>
          <w:color w:val="282828"/>
          <w:lang w:val="en-US"/>
        </w:rPr>
        <w:t>eKLR</w:t>
      </w:r>
      <w:proofErr w:type="spellEnd"/>
      <w:r w:rsidRPr="009A092F">
        <w:rPr>
          <w:rFonts w:asciiTheme="majorHAnsi" w:hAnsiTheme="majorHAnsi" w:cstheme="majorHAnsi"/>
        </w:rPr>
        <w:t xml:space="preserve"> available at </w:t>
      </w:r>
      <w:hyperlink r:id="rId77" w:history="1">
        <w:r w:rsidRPr="009A092F">
          <w:rPr>
            <w:rStyle w:val="Hyperlink"/>
            <w:rFonts w:asciiTheme="majorHAnsi" w:hAnsiTheme="majorHAnsi" w:cstheme="majorHAnsi"/>
            <w:lang w:val="en-US"/>
          </w:rPr>
          <w:t>http://kenyalaw.org/caselaw/cases/view/112131</w:t>
        </w:r>
      </w:hyperlink>
      <w:r w:rsidRPr="009A092F">
        <w:rPr>
          <w:rFonts w:asciiTheme="majorHAnsi" w:hAnsiTheme="majorHAnsi" w:cstheme="majorHAnsi"/>
        </w:rPr>
        <w:t>.</w:t>
      </w:r>
    </w:p>
  </w:footnote>
  <w:footnote w:id="98">
    <w:p w14:paraId="3B2B67E0" w14:textId="5BC52F9C" w:rsidR="003878C9" w:rsidRPr="009A092F" w:rsidRDefault="003878C9" w:rsidP="009A092F">
      <w:pPr>
        <w:pStyle w:val="FootnoteText"/>
        <w:rPr>
          <w:rFonts w:asciiTheme="majorHAnsi" w:hAnsiTheme="majorHAnsi" w:cstheme="majorHAnsi"/>
          <w:lang w:val="en-US"/>
        </w:rPr>
      </w:pPr>
      <w:r w:rsidRPr="009A092F">
        <w:rPr>
          <w:rStyle w:val="FootnoteReference"/>
          <w:rFonts w:asciiTheme="majorHAnsi" w:hAnsiTheme="majorHAnsi" w:cstheme="majorHAnsi"/>
        </w:rPr>
        <w:footnoteRef/>
      </w:r>
      <w:r>
        <w:rPr>
          <w:rFonts w:asciiTheme="majorHAnsi" w:hAnsiTheme="majorHAnsi" w:cstheme="majorHAnsi"/>
          <w:lang w:val="en-US"/>
        </w:rPr>
        <w:t xml:space="preserve"> </w:t>
      </w:r>
      <w:r w:rsidRPr="009A092F">
        <w:rPr>
          <w:rFonts w:asciiTheme="majorHAnsi" w:hAnsiTheme="majorHAnsi" w:cstheme="majorHAnsi"/>
          <w:lang w:val="en-US"/>
        </w:rPr>
        <w:t xml:space="preserve">KNCHR, ‘Pain and Pandemic Report: </w:t>
      </w:r>
      <w:r w:rsidRPr="009A092F">
        <w:rPr>
          <w:rFonts w:asciiTheme="majorHAnsi" w:hAnsiTheme="majorHAnsi" w:cstheme="majorHAnsi"/>
        </w:rPr>
        <w:t>Unmasking the State of Human Rights in Kenya in Containment of the Covid-19 Pandemic-</w:t>
      </w:r>
      <w:r w:rsidRPr="009A092F">
        <w:rPr>
          <w:rFonts w:asciiTheme="majorHAnsi" w:hAnsiTheme="majorHAnsi" w:cstheme="majorHAnsi"/>
          <w:lang w:val="en-US"/>
        </w:rPr>
        <w:t xml:space="preserve">Situational Report No. 1 of 2020,’ (June 2020) available at </w:t>
      </w:r>
      <w:hyperlink r:id="rId78" w:history="1">
        <w:r w:rsidRPr="009A092F">
          <w:rPr>
            <w:rStyle w:val="Hyperlink"/>
            <w:rFonts w:asciiTheme="majorHAnsi" w:hAnsiTheme="majorHAnsi" w:cstheme="majorHAnsi"/>
          </w:rPr>
          <w:t>https://www.knchr.org/Portals/0/Final%20KNCHR%20COVID%2019%20Situational%20Report%20June%202020-%20Incorporated%20Recommendations_1.pdf</w:t>
        </w:r>
      </w:hyperlink>
      <w:r w:rsidRPr="009A092F">
        <w:rPr>
          <w:rFonts w:asciiTheme="majorHAnsi" w:hAnsiTheme="majorHAnsi" w:cstheme="majorHAnsi"/>
        </w:rPr>
        <w:t xml:space="preserve"> </w:t>
      </w:r>
      <w:proofErr w:type="spellStart"/>
      <w:r w:rsidRPr="009A092F">
        <w:rPr>
          <w:rFonts w:asciiTheme="majorHAnsi" w:hAnsiTheme="majorHAnsi" w:cstheme="majorHAnsi"/>
        </w:rPr>
        <w:t>pg</w:t>
      </w:r>
      <w:proofErr w:type="spellEnd"/>
      <w:r w:rsidRPr="009A092F">
        <w:rPr>
          <w:rFonts w:asciiTheme="majorHAnsi" w:hAnsiTheme="majorHAnsi" w:cstheme="majorHAnsi"/>
        </w:rPr>
        <w:t xml:space="preserve"> 33</w:t>
      </w:r>
    </w:p>
  </w:footnote>
  <w:footnote w:id="99">
    <w:p w14:paraId="37323651" w14:textId="3C95EC8F" w:rsidR="003878C9" w:rsidRPr="009A092F" w:rsidRDefault="003878C9" w:rsidP="009A092F">
      <w:pPr>
        <w:pStyle w:val="FootnoteText"/>
        <w:rPr>
          <w:rFonts w:asciiTheme="majorHAnsi" w:hAnsiTheme="majorHAnsi" w:cstheme="majorHAnsi"/>
        </w:rPr>
      </w:pPr>
      <w:r w:rsidRPr="009A092F">
        <w:rPr>
          <w:rStyle w:val="FootnoteReference"/>
          <w:rFonts w:asciiTheme="majorHAnsi" w:hAnsiTheme="majorHAnsi" w:cstheme="majorHAnsi"/>
        </w:rPr>
        <w:footnoteRef/>
      </w:r>
      <w:r w:rsidRPr="009A092F">
        <w:rPr>
          <w:rFonts w:asciiTheme="majorHAnsi" w:hAnsiTheme="majorHAnsi" w:cstheme="majorHAnsi"/>
        </w:rPr>
        <w:t xml:space="preserve"> </w:t>
      </w:r>
      <w:r w:rsidRPr="009A092F">
        <w:rPr>
          <w:rFonts w:asciiTheme="majorHAnsi" w:hAnsiTheme="majorHAnsi" w:cstheme="majorHAnsi"/>
          <w:color w:val="282828"/>
          <w:lang w:val="en-US"/>
        </w:rPr>
        <w:t xml:space="preserve">Jacqueline </w:t>
      </w:r>
      <w:proofErr w:type="spellStart"/>
      <w:r w:rsidRPr="009A092F">
        <w:rPr>
          <w:rFonts w:asciiTheme="majorHAnsi" w:hAnsiTheme="majorHAnsi" w:cstheme="majorHAnsi"/>
          <w:color w:val="282828"/>
          <w:lang w:val="en-US"/>
        </w:rPr>
        <w:t>Okuta</w:t>
      </w:r>
      <w:proofErr w:type="spellEnd"/>
      <w:r w:rsidRPr="009A092F">
        <w:rPr>
          <w:rFonts w:asciiTheme="majorHAnsi" w:hAnsiTheme="majorHAnsi" w:cstheme="majorHAnsi"/>
          <w:color w:val="282828"/>
          <w:lang w:val="en-US"/>
        </w:rPr>
        <w:t xml:space="preserve"> &amp; another v Attorney General &amp; 2 others [2017] </w:t>
      </w:r>
      <w:proofErr w:type="spellStart"/>
      <w:r w:rsidRPr="009A092F">
        <w:rPr>
          <w:rFonts w:asciiTheme="majorHAnsi" w:hAnsiTheme="majorHAnsi" w:cstheme="majorHAnsi"/>
          <w:color w:val="282828"/>
          <w:lang w:val="en-US"/>
        </w:rPr>
        <w:t>eKLR</w:t>
      </w:r>
      <w:proofErr w:type="spellEnd"/>
      <w:r w:rsidRPr="009A092F" w:rsidDel="007A2FCD">
        <w:rPr>
          <w:rFonts w:asciiTheme="majorHAnsi" w:hAnsiTheme="majorHAnsi" w:cstheme="majorHAnsi"/>
        </w:rPr>
        <w:t xml:space="preserve"> </w:t>
      </w:r>
      <w:r w:rsidRPr="009A092F">
        <w:rPr>
          <w:rFonts w:asciiTheme="majorHAnsi" w:hAnsiTheme="majorHAnsi" w:cstheme="majorHAnsi"/>
        </w:rPr>
        <w:t xml:space="preserve">available at </w:t>
      </w:r>
      <w:hyperlink r:id="rId79" w:history="1">
        <w:r w:rsidRPr="009A092F">
          <w:rPr>
            <w:rStyle w:val="Hyperlink"/>
            <w:rFonts w:asciiTheme="majorHAnsi" w:hAnsiTheme="majorHAnsi" w:cstheme="majorHAnsi"/>
          </w:rPr>
          <w:t>http://kenyalaw.org/caselaw/cases/view/130781/</w:t>
        </w:r>
      </w:hyperlink>
    </w:p>
  </w:footnote>
  <w:footnote w:id="100">
    <w:p w14:paraId="4EE3B033" w14:textId="65E9E9FF" w:rsidR="003878C9" w:rsidRPr="009A092F" w:rsidRDefault="003878C9" w:rsidP="009A092F">
      <w:pPr>
        <w:pStyle w:val="FootnoteText"/>
        <w:rPr>
          <w:rFonts w:asciiTheme="majorHAnsi" w:hAnsiTheme="majorHAnsi" w:cstheme="majorHAnsi"/>
          <w:lang w:val="en-US"/>
        </w:rPr>
      </w:pPr>
      <w:r w:rsidRPr="009A092F">
        <w:rPr>
          <w:rStyle w:val="FootnoteReference"/>
          <w:rFonts w:asciiTheme="majorHAnsi" w:hAnsiTheme="majorHAnsi" w:cstheme="majorHAnsi"/>
        </w:rPr>
        <w:footnoteRef/>
      </w:r>
      <w:r w:rsidRPr="009A092F">
        <w:rPr>
          <w:rFonts w:asciiTheme="majorHAnsi" w:hAnsiTheme="majorHAnsi" w:cstheme="majorHAnsi"/>
        </w:rPr>
        <w:t xml:space="preserve"> </w:t>
      </w:r>
      <w:r w:rsidRPr="009A092F">
        <w:rPr>
          <w:rFonts w:asciiTheme="majorHAnsi" w:hAnsiTheme="majorHAnsi" w:cstheme="majorHAnsi"/>
          <w:color w:val="282828"/>
        </w:rPr>
        <w:t xml:space="preserve">Coalition for Reform and Democracy (CORD) &amp; 2 others v Republic of Kenya &amp;10 others [2015]  </w:t>
      </w:r>
      <w:proofErr w:type="spellStart"/>
      <w:r w:rsidRPr="009A092F">
        <w:rPr>
          <w:rFonts w:asciiTheme="majorHAnsi" w:hAnsiTheme="majorHAnsi" w:cstheme="majorHAnsi"/>
          <w:color w:val="282828"/>
        </w:rPr>
        <w:t>eKLR</w:t>
      </w:r>
      <w:proofErr w:type="spellEnd"/>
      <w:r w:rsidRPr="009A092F">
        <w:rPr>
          <w:rFonts w:asciiTheme="majorHAnsi" w:hAnsiTheme="majorHAnsi" w:cstheme="majorHAnsi"/>
          <w:color w:val="282828"/>
        </w:rPr>
        <w:t xml:space="preserve"> </w:t>
      </w:r>
      <w:hyperlink r:id="rId80" w:history="1">
        <w:r w:rsidRPr="0057759E">
          <w:rPr>
            <w:rStyle w:val="Hyperlink"/>
            <w:rFonts w:asciiTheme="majorHAnsi" w:hAnsiTheme="majorHAnsi" w:cstheme="majorHAnsi"/>
          </w:rPr>
          <w:t>http://kenyalaw.org/caselaw/cases/view/106083/</w:t>
        </w:r>
      </w:hyperlink>
      <w:r>
        <w:rPr>
          <w:rFonts w:asciiTheme="majorHAnsi" w:hAnsiTheme="majorHAnsi" w:cstheme="majorHAnsi"/>
          <w:color w:val="282828"/>
        </w:rPr>
        <w:t xml:space="preserve"> </w:t>
      </w:r>
    </w:p>
  </w:footnote>
  <w:footnote w:id="101">
    <w:p w14:paraId="5C146516" w14:textId="3E35ABED" w:rsidR="003878C9" w:rsidRPr="009A092F" w:rsidRDefault="003878C9" w:rsidP="009A092F">
      <w:pPr>
        <w:spacing w:after="0" w:line="240" w:lineRule="auto"/>
        <w:rPr>
          <w:rFonts w:asciiTheme="majorHAnsi" w:hAnsiTheme="majorHAnsi" w:cstheme="majorHAnsi"/>
          <w:sz w:val="20"/>
          <w:szCs w:val="20"/>
        </w:rPr>
      </w:pPr>
      <w:r w:rsidRPr="009A092F">
        <w:rPr>
          <w:rStyle w:val="FootnoteReference"/>
          <w:rFonts w:asciiTheme="majorHAnsi" w:hAnsiTheme="majorHAnsi" w:cstheme="majorHAnsi"/>
          <w:sz w:val="20"/>
          <w:szCs w:val="20"/>
        </w:rPr>
        <w:footnoteRef/>
      </w:r>
      <w:r>
        <w:rPr>
          <w:rFonts w:asciiTheme="majorHAnsi" w:hAnsiTheme="majorHAnsi" w:cstheme="majorHAnsi"/>
          <w:bCs/>
          <w:sz w:val="20"/>
          <w:szCs w:val="20"/>
        </w:rPr>
        <w:t xml:space="preserve"> </w:t>
      </w:r>
      <w:r w:rsidRPr="009A092F">
        <w:rPr>
          <w:rFonts w:asciiTheme="majorHAnsi" w:hAnsiTheme="majorHAnsi" w:cstheme="majorHAnsi"/>
          <w:bCs/>
          <w:sz w:val="20"/>
          <w:szCs w:val="20"/>
        </w:rPr>
        <w:t xml:space="preserve">Okiya </w:t>
      </w:r>
      <w:proofErr w:type="spellStart"/>
      <w:r w:rsidRPr="009A092F">
        <w:rPr>
          <w:rFonts w:asciiTheme="majorHAnsi" w:hAnsiTheme="majorHAnsi" w:cstheme="majorHAnsi"/>
          <w:bCs/>
          <w:sz w:val="20"/>
          <w:szCs w:val="20"/>
        </w:rPr>
        <w:t>Omtatah</w:t>
      </w:r>
      <w:proofErr w:type="spellEnd"/>
      <w:r w:rsidRPr="009A092F">
        <w:rPr>
          <w:rFonts w:asciiTheme="majorHAnsi" w:hAnsiTheme="majorHAnsi" w:cstheme="majorHAnsi"/>
          <w:bCs/>
          <w:sz w:val="20"/>
          <w:szCs w:val="20"/>
        </w:rPr>
        <w:t xml:space="preserve"> </w:t>
      </w:r>
      <w:proofErr w:type="spellStart"/>
      <w:r w:rsidRPr="009A092F">
        <w:rPr>
          <w:rFonts w:asciiTheme="majorHAnsi" w:hAnsiTheme="majorHAnsi" w:cstheme="majorHAnsi"/>
          <w:bCs/>
          <w:sz w:val="20"/>
          <w:szCs w:val="20"/>
        </w:rPr>
        <w:t>Okoiti</w:t>
      </w:r>
      <w:proofErr w:type="spellEnd"/>
      <w:r w:rsidRPr="009A092F">
        <w:rPr>
          <w:rFonts w:asciiTheme="majorHAnsi" w:hAnsiTheme="majorHAnsi" w:cstheme="majorHAnsi"/>
          <w:bCs/>
          <w:sz w:val="20"/>
          <w:szCs w:val="20"/>
        </w:rPr>
        <w:t xml:space="preserve"> v Communication Authority of Kenya &amp; 8 others [2018] </w:t>
      </w:r>
      <w:proofErr w:type="spellStart"/>
      <w:r w:rsidRPr="009A092F">
        <w:rPr>
          <w:rFonts w:asciiTheme="majorHAnsi" w:hAnsiTheme="majorHAnsi" w:cstheme="majorHAnsi"/>
          <w:bCs/>
          <w:sz w:val="20"/>
          <w:szCs w:val="20"/>
        </w:rPr>
        <w:t>eKLR</w:t>
      </w:r>
      <w:proofErr w:type="spellEnd"/>
      <w:r w:rsidRPr="009A092F">
        <w:rPr>
          <w:rFonts w:asciiTheme="majorHAnsi" w:hAnsiTheme="majorHAnsi" w:cstheme="majorHAnsi"/>
          <w:bCs/>
          <w:sz w:val="20"/>
          <w:szCs w:val="20"/>
        </w:rPr>
        <w:t xml:space="preserve"> available at </w:t>
      </w:r>
      <w:hyperlink r:id="rId81" w:history="1">
        <w:r w:rsidRPr="009A092F">
          <w:rPr>
            <w:rStyle w:val="Hyperlink"/>
            <w:rFonts w:asciiTheme="majorHAnsi" w:hAnsiTheme="majorHAnsi" w:cstheme="majorHAnsi"/>
            <w:bCs/>
            <w:sz w:val="20"/>
            <w:szCs w:val="20"/>
          </w:rPr>
          <w:t>http://kenyalaw.org/caselaw/cases/view/151117/</w:t>
        </w:r>
      </w:hyperlink>
    </w:p>
  </w:footnote>
  <w:footnote w:id="102">
    <w:p w14:paraId="19961F26" w14:textId="14CE5E1F" w:rsidR="003878C9" w:rsidRPr="009A092F" w:rsidRDefault="003878C9" w:rsidP="009A092F">
      <w:pPr>
        <w:pStyle w:val="FootnoteText"/>
        <w:rPr>
          <w:rFonts w:asciiTheme="majorHAnsi" w:hAnsiTheme="majorHAnsi" w:cstheme="majorHAnsi"/>
          <w:lang w:val="en-US"/>
        </w:rPr>
      </w:pPr>
      <w:r w:rsidRPr="009A092F">
        <w:rPr>
          <w:rStyle w:val="FootnoteReference"/>
          <w:rFonts w:asciiTheme="majorHAnsi" w:hAnsiTheme="majorHAnsi" w:cstheme="majorHAnsi"/>
        </w:rPr>
        <w:footnoteRef/>
      </w:r>
      <w:r w:rsidRPr="009A092F">
        <w:rPr>
          <w:rFonts w:asciiTheme="majorHAnsi" w:hAnsiTheme="majorHAnsi" w:cstheme="majorHAnsi"/>
        </w:rPr>
        <w:t xml:space="preserve"> </w:t>
      </w:r>
      <w:r w:rsidRPr="009A092F">
        <w:rPr>
          <w:rFonts w:asciiTheme="majorHAnsi" w:hAnsiTheme="majorHAnsi" w:cstheme="majorHAnsi"/>
          <w:color w:val="282828"/>
          <w:lang w:val="en-US"/>
        </w:rPr>
        <w:t xml:space="preserve">Geoffrey </w:t>
      </w:r>
      <w:proofErr w:type="spellStart"/>
      <w:r w:rsidRPr="009A092F">
        <w:rPr>
          <w:rFonts w:asciiTheme="majorHAnsi" w:hAnsiTheme="majorHAnsi" w:cstheme="majorHAnsi"/>
          <w:color w:val="282828"/>
          <w:lang w:val="en-US"/>
        </w:rPr>
        <w:t>Andare</w:t>
      </w:r>
      <w:proofErr w:type="spellEnd"/>
      <w:r w:rsidRPr="009A092F">
        <w:rPr>
          <w:rFonts w:asciiTheme="majorHAnsi" w:hAnsiTheme="majorHAnsi" w:cstheme="majorHAnsi"/>
          <w:color w:val="282828"/>
          <w:lang w:val="en-US"/>
        </w:rPr>
        <w:t xml:space="preserve"> v Attorney General &amp; 2 others [2016] </w:t>
      </w:r>
      <w:proofErr w:type="spellStart"/>
      <w:r w:rsidRPr="009A092F">
        <w:rPr>
          <w:rFonts w:asciiTheme="majorHAnsi" w:hAnsiTheme="majorHAnsi" w:cstheme="majorHAnsi"/>
          <w:color w:val="282828"/>
          <w:lang w:val="en-US"/>
        </w:rPr>
        <w:t>eKLR</w:t>
      </w:r>
      <w:proofErr w:type="spellEnd"/>
      <w:r w:rsidRPr="009A092F">
        <w:rPr>
          <w:rFonts w:asciiTheme="majorHAnsi" w:hAnsiTheme="majorHAnsi" w:cstheme="majorHAnsi"/>
        </w:rPr>
        <w:t xml:space="preserve"> available at </w:t>
      </w:r>
      <w:hyperlink r:id="rId82" w:history="1">
        <w:r w:rsidRPr="009A092F">
          <w:rPr>
            <w:rStyle w:val="Hyperlink"/>
            <w:rFonts w:asciiTheme="majorHAnsi" w:hAnsiTheme="majorHAnsi" w:cstheme="majorHAnsi"/>
            <w:lang w:val="en-US"/>
          </w:rPr>
          <w:t>http://kenyalaw.org/caselaw/cases/view/121033/</w:t>
        </w:r>
      </w:hyperlink>
    </w:p>
  </w:footnote>
  <w:footnote w:id="103">
    <w:p w14:paraId="0F9D2732" w14:textId="77777777" w:rsidR="003878C9" w:rsidRPr="00364140" w:rsidRDefault="003878C9" w:rsidP="00EB6A63">
      <w:pPr>
        <w:pStyle w:val="FootnoteText"/>
        <w:rPr>
          <w:rFonts w:asciiTheme="majorHAnsi" w:hAnsiTheme="majorHAnsi" w:cstheme="majorHAnsi"/>
        </w:rPr>
      </w:pPr>
      <w:r w:rsidRPr="00364140">
        <w:rPr>
          <w:rStyle w:val="FootnoteReference"/>
          <w:rFonts w:asciiTheme="majorHAnsi" w:hAnsiTheme="majorHAnsi" w:cstheme="majorHAnsi"/>
        </w:rPr>
        <w:footnoteRef/>
      </w:r>
      <w:r w:rsidRPr="00364140">
        <w:rPr>
          <w:rFonts w:asciiTheme="majorHAnsi" w:hAnsiTheme="majorHAnsi" w:cstheme="majorHAnsi"/>
        </w:rPr>
        <w:t xml:space="preserve"> KNCHR Report, ‘Pain and Pandemic: Unmasking the state of human rights in Kenya in containment of the COVID-19 Pandemic,’ available at </w:t>
      </w:r>
      <w:hyperlink r:id="rId83" w:history="1">
        <w:r w:rsidRPr="00364140">
          <w:rPr>
            <w:rStyle w:val="Hyperlink"/>
            <w:rFonts w:asciiTheme="majorHAnsi" w:hAnsiTheme="majorHAnsi" w:cstheme="majorHAnsi"/>
          </w:rPr>
          <w:t>https://www.knchr.org/Articles/ArtMID/2432/ArticleID/1104/Pain-and-Pandemic-Unmasking-the-State-of-Human-Rights-in-Kenya-in-Containment-of-the-COVID-19-Pandemic</w:t>
        </w:r>
      </w:hyperlink>
    </w:p>
  </w:footnote>
  <w:footnote w:id="104">
    <w:p w14:paraId="1AF55945" w14:textId="77777777" w:rsidR="003878C9" w:rsidRPr="00D2757F" w:rsidRDefault="003878C9" w:rsidP="00D2757F">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 xml:space="preserve"> Still a Mirage at Dusk; A Human Rights Account of the 2017 fresh presidential elections available at </w:t>
      </w:r>
      <w:hyperlink r:id="rId84" w:history="1">
        <w:r w:rsidRPr="00D2757F">
          <w:rPr>
            <w:rStyle w:val="Hyperlink"/>
            <w:rFonts w:asciiTheme="majorHAnsi" w:hAnsiTheme="majorHAnsi" w:cstheme="majorHAnsi"/>
            <w:lang w:val="en-US"/>
          </w:rPr>
          <w:t>https://www.knchr.org/Portals/0/CivilAndPoliticalReports/Still-a-Mirage-at-Dusk.pdf?ver=2018-05-23-123451-723</w:t>
        </w:r>
      </w:hyperlink>
    </w:p>
  </w:footnote>
  <w:footnote w:id="105">
    <w:p w14:paraId="7DA48B6E" w14:textId="5A039282" w:rsidR="003878C9" w:rsidRPr="00D2757F" w:rsidRDefault="003878C9" w:rsidP="00D2757F">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 xml:space="preserve"> </w:t>
      </w:r>
      <w:r w:rsidRPr="00D2757F">
        <w:rPr>
          <w:rFonts w:asciiTheme="majorHAnsi" w:hAnsiTheme="majorHAnsi" w:cstheme="majorHAnsi"/>
          <w:color w:val="282828"/>
          <w:lang w:val="en-US"/>
        </w:rPr>
        <w:t xml:space="preserve">Wilfred </w:t>
      </w:r>
      <w:proofErr w:type="spellStart"/>
      <w:r w:rsidRPr="00D2757F">
        <w:rPr>
          <w:rFonts w:asciiTheme="majorHAnsi" w:hAnsiTheme="majorHAnsi" w:cstheme="majorHAnsi"/>
          <w:color w:val="282828"/>
          <w:lang w:val="en-US"/>
        </w:rPr>
        <w:t>Olal</w:t>
      </w:r>
      <w:proofErr w:type="spellEnd"/>
      <w:r w:rsidRPr="00D2757F">
        <w:rPr>
          <w:rFonts w:asciiTheme="majorHAnsi" w:hAnsiTheme="majorHAnsi" w:cstheme="majorHAnsi"/>
          <w:color w:val="282828"/>
          <w:lang w:val="en-US"/>
        </w:rPr>
        <w:t xml:space="preserve"> &amp; 5 others v Attorney General &amp; 2 others [2017] </w:t>
      </w:r>
      <w:proofErr w:type="spellStart"/>
      <w:r w:rsidRPr="00D2757F">
        <w:rPr>
          <w:rFonts w:asciiTheme="majorHAnsi" w:hAnsiTheme="majorHAnsi" w:cstheme="majorHAnsi"/>
          <w:color w:val="282828"/>
          <w:lang w:val="en-US"/>
        </w:rPr>
        <w:t>eKLR</w:t>
      </w:r>
      <w:proofErr w:type="spellEnd"/>
      <w:r w:rsidRPr="00D2757F">
        <w:rPr>
          <w:rFonts w:asciiTheme="majorHAnsi" w:hAnsiTheme="majorHAnsi" w:cstheme="majorHAnsi"/>
          <w:color w:val="282828"/>
          <w:lang w:val="en-US"/>
        </w:rPr>
        <w:t xml:space="preserve"> </w:t>
      </w:r>
      <w:r w:rsidRPr="00D2757F">
        <w:rPr>
          <w:rFonts w:asciiTheme="majorHAnsi" w:hAnsiTheme="majorHAnsi" w:cstheme="majorHAnsi"/>
        </w:rPr>
        <w:t xml:space="preserve">available at </w:t>
      </w:r>
      <w:hyperlink r:id="rId85" w:history="1">
        <w:r w:rsidRPr="00D2757F">
          <w:rPr>
            <w:rStyle w:val="Hyperlink"/>
            <w:rFonts w:asciiTheme="majorHAnsi" w:hAnsiTheme="majorHAnsi" w:cstheme="majorHAnsi"/>
            <w:lang w:val="en-US"/>
          </w:rPr>
          <w:t>http://kenyalaw.org/caselaw/cases/view/137643/</w:t>
        </w:r>
      </w:hyperlink>
      <w:r w:rsidRPr="00D2757F">
        <w:rPr>
          <w:rFonts w:asciiTheme="majorHAnsi" w:hAnsiTheme="majorHAnsi" w:cstheme="majorHAnsi"/>
        </w:rPr>
        <w:t xml:space="preserve">. </w:t>
      </w:r>
    </w:p>
  </w:footnote>
  <w:footnote w:id="106">
    <w:p w14:paraId="15DAC090" w14:textId="77777777" w:rsidR="003878C9" w:rsidRPr="00D2757F" w:rsidRDefault="003878C9" w:rsidP="00EB6A63">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 xml:space="preserve"> More information on the Taskforce is available at </w:t>
      </w:r>
      <w:hyperlink r:id="rId86" w:history="1">
        <w:r w:rsidRPr="00D2757F">
          <w:rPr>
            <w:rStyle w:val="Hyperlink"/>
            <w:rFonts w:asciiTheme="majorHAnsi" w:hAnsiTheme="majorHAnsi" w:cstheme="majorHAnsi"/>
          </w:rPr>
          <w:t>https://ncaj.go.ke/committees/special-taskforce-on-children-matters/</w:t>
        </w:r>
      </w:hyperlink>
    </w:p>
  </w:footnote>
  <w:footnote w:id="107">
    <w:p w14:paraId="041A11AF" w14:textId="77777777" w:rsidR="003878C9" w:rsidRPr="00D2757F" w:rsidRDefault="003878C9" w:rsidP="00EB6A63">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 xml:space="preserve"> KNCHR Report, Mirage at Dust available at </w:t>
      </w:r>
      <w:hyperlink r:id="rId87" w:history="1">
        <w:r w:rsidRPr="00D2757F">
          <w:rPr>
            <w:rStyle w:val="Hyperlink"/>
            <w:rFonts w:asciiTheme="majorHAnsi" w:hAnsiTheme="majorHAnsi" w:cstheme="majorHAnsi"/>
          </w:rPr>
          <w:t>https://www.knchr.org/Portals/0/CivilAndPoliticalReports/Mirage%20at%20Dusk_B5_210518_2215.pdf?ver=2018-05-23-125203-263</w:t>
        </w:r>
      </w:hyperlink>
    </w:p>
  </w:footnote>
  <w:footnote w:id="108">
    <w:p w14:paraId="772510FB" w14:textId="77777777" w:rsidR="003878C9" w:rsidRPr="00D2757F" w:rsidRDefault="003878C9" w:rsidP="00322E94">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 xml:space="preserve"> KNCHR Report, Silhouettes of Brutality available at  </w:t>
      </w:r>
      <w:hyperlink r:id="rId88" w:history="1">
        <w:r w:rsidRPr="00D2757F">
          <w:rPr>
            <w:rStyle w:val="Hyperlink"/>
            <w:rFonts w:asciiTheme="majorHAnsi" w:hAnsiTheme="majorHAnsi" w:cstheme="majorHAnsi"/>
          </w:rPr>
          <w:t>https://www.knchr.org/Portals/0/KNCHR_Silhouettes_of_Brutality.pdf</w:t>
        </w:r>
      </w:hyperlink>
    </w:p>
  </w:footnote>
  <w:footnote w:id="109">
    <w:p w14:paraId="56DB0FD4" w14:textId="73B8A7FF" w:rsidR="003878C9" w:rsidRPr="00D2757F" w:rsidRDefault="003878C9" w:rsidP="00322E94">
      <w:pPr>
        <w:pStyle w:val="FootnoteText"/>
        <w:rPr>
          <w:rFonts w:asciiTheme="majorHAnsi" w:hAnsiTheme="majorHAnsi" w:cstheme="majorHAnsi"/>
          <w:lang w:val="en-US"/>
        </w:rPr>
      </w:pPr>
      <w:r w:rsidRPr="00D2757F">
        <w:rPr>
          <w:rStyle w:val="FootnoteReference"/>
          <w:rFonts w:asciiTheme="majorHAnsi" w:hAnsiTheme="majorHAnsi" w:cstheme="majorHAnsi"/>
        </w:rPr>
        <w:footnoteRef/>
      </w:r>
      <w:r w:rsidRPr="00D2757F">
        <w:rPr>
          <w:rFonts w:asciiTheme="majorHAnsi" w:hAnsiTheme="majorHAnsi" w:cstheme="majorHAnsi"/>
        </w:rPr>
        <w:t xml:space="preserve"> </w:t>
      </w:r>
      <w:r w:rsidRPr="00D2757F">
        <w:rPr>
          <w:rFonts w:asciiTheme="majorHAnsi" w:hAnsiTheme="majorHAnsi" w:cstheme="majorHAnsi"/>
          <w:lang w:val="en-US"/>
        </w:rPr>
        <w:t xml:space="preserve">Community Land Act, No 27 of 2016 available at </w:t>
      </w:r>
      <w:hyperlink r:id="rId89" w:history="1">
        <w:r w:rsidRPr="0057759E">
          <w:rPr>
            <w:rStyle w:val="Hyperlink"/>
            <w:rFonts w:asciiTheme="majorHAnsi" w:hAnsiTheme="majorHAnsi" w:cstheme="majorHAnsi"/>
            <w:lang w:val="en-US"/>
          </w:rPr>
          <w:t>http://kenyalaw.org:8181/exist/kenyalex/actview.xql?actid=No.%2027%20of%202016</w:t>
        </w:r>
      </w:hyperlink>
      <w:r>
        <w:rPr>
          <w:rFonts w:asciiTheme="majorHAnsi" w:hAnsiTheme="majorHAnsi" w:cstheme="majorHAnsi"/>
          <w:lang w:val="en-US"/>
        </w:rPr>
        <w:t xml:space="preserve"> </w:t>
      </w:r>
    </w:p>
  </w:footnote>
  <w:footnote w:id="110">
    <w:p w14:paraId="6409660B" w14:textId="77777777" w:rsidR="003878C9" w:rsidRPr="00D2757F" w:rsidRDefault="003878C9" w:rsidP="00D2757F">
      <w:pPr>
        <w:pStyle w:val="FootnoteText"/>
        <w:rPr>
          <w:rFonts w:asciiTheme="majorHAnsi" w:hAnsiTheme="majorHAnsi" w:cstheme="majorHAnsi"/>
        </w:rPr>
      </w:pPr>
      <w:r w:rsidRPr="00364140">
        <w:rPr>
          <w:rStyle w:val="FootnoteReference"/>
          <w:rFonts w:asciiTheme="majorHAnsi" w:hAnsiTheme="majorHAnsi" w:cstheme="majorHAnsi"/>
        </w:rPr>
        <w:footnoteRef/>
      </w:r>
      <w:r w:rsidRPr="00364140">
        <w:rPr>
          <w:rFonts w:asciiTheme="majorHAnsi" w:hAnsiTheme="majorHAnsi" w:cstheme="majorHAnsi"/>
        </w:rPr>
        <w:t xml:space="preserve"> </w:t>
      </w:r>
      <w:proofErr w:type="spellStart"/>
      <w:r w:rsidRPr="00364140">
        <w:rPr>
          <w:rFonts w:asciiTheme="majorHAnsi" w:hAnsiTheme="majorHAnsi" w:cstheme="majorHAnsi"/>
        </w:rPr>
        <w:t>Ogiek</w:t>
      </w:r>
      <w:proofErr w:type="spellEnd"/>
      <w:r w:rsidRPr="00364140">
        <w:rPr>
          <w:rFonts w:asciiTheme="majorHAnsi" w:hAnsiTheme="majorHAnsi" w:cstheme="majorHAnsi"/>
        </w:rPr>
        <w:t xml:space="preserve"> case available at</w:t>
      </w:r>
      <w:r w:rsidRPr="00364140">
        <w:rPr>
          <w:rFonts w:asciiTheme="majorHAnsi" w:eastAsiaTheme="minorHAnsi" w:hAnsiTheme="majorHAnsi" w:cstheme="majorHAnsi"/>
          <w:lang w:val="en-US"/>
        </w:rPr>
        <w:t xml:space="preserve"> </w:t>
      </w:r>
      <w:hyperlink r:id="rId90" w:history="1">
        <w:r w:rsidRPr="00D2757F">
          <w:rPr>
            <w:rStyle w:val="Hyperlink"/>
            <w:rFonts w:asciiTheme="majorHAnsi" w:hAnsiTheme="majorHAnsi" w:cstheme="majorHAnsi"/>
            <w:lang w:val="en-US"/>
          </w:rPr>
          <w:t>https://www.african-court.org/en/index.php/56-pending-cases-details/864-app-no-006-2012-african-commission-on-human-and-peoples-rights-v-republic-of-kenya-details</w:t>
        </w:r>
      </w:hyperlink>
      <w:r w:rsidRPr="00D2757F">
        <w:rPr>
          <w:rFonts w:asciiTheme="majorHAnsi" w:hAnsiTheme="majorHAnsi" w:cstheme="majorHAnsi"/>
        </w:rPr>
        <w:t xml:space="preserve"> </w:t>
      </w:r>
    </w:p>
  </w:footnote>
  <w:footnote w:id="111">
    <w:p w14:paraId="3F2F2202" w14:textId="00C5A315" w:rsidR="003878C9" w:rsidRPr="00D2757F" w:rsidRDefault="003878C9" w:rsidP="00D2757F">
      <w:pPr>
        <w:spacing w:after="0" w:line="240" w:lineRule="auto"/>
        <w:rPr>
          <w:rFonts w:asciiTheme="majorHAnsi" w:hAnsiTheme="majorHAnsi" w:cstheme="majorHAnsi"/>
          <w:sz w:val="20"/>
          <w:szCs w:val="20"/>
        </w:rPr>
      </w:pPr>
      <w:r w:rsidRPr="00D2757F">
        <w:rPr>
          <w:rStyle w:val="FootnoteReference"/>
          <w:rFonts w:asciiTheme="majorHAnsi" w:hAnsiTheme="majorHAnsi" w:cstheme="majorHAnsi"/>
          <w:sz w:val="20"/>
          <w:szCs w:val="20"/>
        </w:rPr>
        <w:footnoteRef/>
      </w:r>
      <w:r w:rsidRPr="00D2757F">
        <w:rPr>
          <w:rFonts w:asciiTheme="majorHAnsi" w:hAnsiTheme="majorHAnsi" w:cstheme="majorHAnsi"/>
          <w:sz w:val="20"/>
          <w:szCs w:val="20"/>
        </w:rPr>
        <w:t xml:space="preserve"> The Report of the High-Level Fact-Finding Mission to </w:t>
      </w:r>
      <w:proofErr w:type="spellStart"/>
      <w:r w:rsidRPr="00D2757F">
        <w:rPr>
          <w:rFonts w:asciiTheme="majorHAnsi" w:hAnsiTheme="majorHAnsi" w:cstheme="majorHAnsi"/>
          <w:sz w:val="20"/>
          <w:szCs w:val="20"/>
        </w:rPr>
        <w:t>Embobut</w:t>
      </w:r>
      <w:proofErr w:type="spellEnd"/>
      <w:r w:rsidRPr="00D2757F">
        <w:rPr>
          <w:rFonts w:asciiTheme="majorHAnsi" w:hAnsiTheme="majorHAnsi" w:cstheme="majorHAnsi"/>
          <w:sz w:val="20"/>
          <w:szCs w:val="20"/>
        </w:rPr>
        <w:t xml:space="preserve"> Forest in </w:t>
      </w:r>
      <w:proofErr w:type="spellStart"/>
      <w:r w:rsidRPr="00D2757F">
        <w:rPr>
          <w:rFonts w:asciiTheme="majorHAnsi" w:hAnsiTheme="majorHAnsi" w:cstheme="majorHAnsi"/>
          <w:sz w:val="20"/>
          <w:szCs w:val="20"/>
        </w:rPr>
        <w:t>ElgeyoMarakwet</w:t>
      </w:r>
      <w:proofErr w:type="spellEnd"/>
      <w:r w:rsidRPr="00D2757F">
        <w:rPr>
          <w:rFonts w:asciiTheme="majorHAnsi" w:hAnsiTheme="majorHAnsi" w:cstheme="majorHAnsi"/>
          <w:sz w:val="20"/>
          <w:szCs w:val="20"/>
        </w:rPr>
        <w:t xml:space="preserve"> County </w:t>
      </w:r>
    </w:p>
    <w:p w14:paraId="4A10686B" w14:textId="0E386C7D" w:rsidR="003878C9" w:rsidRPr="00D2757F" w:rsidRDefault="00B52A88" w:rsidP="00D2757F">
      <w:pPr>
        <w:pStyle w:val="FootnoteText"/>
        <w:rPr>
          <w:rFonts w:asciiTheme="majorHAnsi" w:hAnsiTheme="majorHAnsi" w:cstheme="majorHAnsi"/>
          <w:lang w:val="en-US"/>
        </w:rPr>
      </w:pPr>
      <w:hyperlink r:id="rId91" w:history="1">
        <w:r w:rsidR="003878C9" w:rsidRPr="00D2757F">
          <w:rPr>
            <w:rStyle w:val="Hyperlink"/>
            <w:rFonts w:asciiTheme="majorHAnsi" w:hAnsiTheme="majorHAnsi" w:cstheme="majorHAnsi"/>
          </w:rPr>
          <w:t>https://www.knchr.org/portals/0/grouprightsreports/KNCHR-Fact_Finding_Mission_to_Embobut_Forest.pdf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07E72"/>
    <w:multiLevelType w:val="hybridMultilevel"/>
    <w:tmpl w:val="465A72E0"/>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16C67091"/>
    <w:multiLevelType w:val="hybridMultilevel"/>
    <w:tmpl w:val="B9466A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C6264A"/>
    <w:multiLevelType w:val="hybridMultilevel"/>
    <w:tmpl w:val="61A800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D50E7"/>
    <w:multiLevelType w:val="hybridMultilevel"/>
    <w:tmpl w:val="91F604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807F17"/>
    <w:multiLevelType w:val="hybridMultilevel"/>
    <w:tmpl w:val="2C4CDF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B63C52"/>
    <w:multiLevelType w:val="hybridMultilevel"/>
    <w:tmpl w:val="88E2E692"/>
    <w:lvl w:ilvl="0" w:tplc="AE9E8D30">
      <w:start w:val="1"/>
      <w:numFmt w:val="lowerRoman"/>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B36881"/>
    <w:multiLevelType w:val="hybridMultilevel"/>
    <w:tmpl w:val="7A8CF4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5A385B"/>
    <w:multiLevelType w:val="hybridMultilevel"/>
    <w:tmpl w:val="DC30AF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BE633F"/>
    <w:multiLevelType w:val="hybridMultilevel"/>
    <w:tmpl w:val="C22E02D8"/>
    <w:lvl w:ilvl="0" w:tplc="65F8746A">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3A7159"/>
    <w:multiLevelType w:val="hybridMultilevel"/>
    <w:tmpl w:val="408217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A864CF"/>
    <w:multiLevelType w:val="hybridMultilevel"/>
    <w:tmpl w:val="F4306E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52226F"/>
    <w:multiLevelType w:val="hybridMultilevel"/>
    <w:tmpl w:val="6C848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A276D"/>
    <w:multiLevelType w:val="multilevel"/>
    <w:tmpl w:val="B8A89C4A"/>
    <w:lvl w:ilvl="0">
      <w:start w:val="1"/>
      <w:numFmt w:val="decimal"/>
      <w:lvlText w:val="%1."/>
      <w:lvlJc w:val="left"/>
      <w:pPr>
        <w:ind w:left="360" w:hanging="360"/>
      </w:pPr>
      <w:rPr>
        <w:b/>
      </w:rPr>
    </w:lvl>
    <w:lvl w:ilvl="1">
      <w:start w:val="1"/>
      <w:numFmt w:val="decimal"/>
      <w:isLgl/>
      <w:lvlText w:val="%1.%2"/>
      <w:lvlJc w:val="left"/>
      <w:pPr>
        <w:ind w:left="378"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3BB25531"/>
    <w:multiLevelType w:val="hybridMultilevel"/>
    <w:tmpl w:val="16B80266"/>
    <w:lvl w:ilvl="0" w:tplc="AE9E8D30">
      <w:start w:val="1"/>
      <w:numFmt w:val="lowerRoman"/>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494104"/>
    <w:multiLevelType w:val="hybridMultilevel"/>
    <w:tmpl w:val="C8E0B598"/>
    <w:lvl w:ilvl="0" w:tplc="1640DAD4">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BA5C79"/>
    <w:multiLevelType w:val="hybridMultilevel"/>
    <w:tmpl w:val="B858A57C"/>
    <w:lvl w:ilvl="0" w:tplc="AE9E8D30">
      <w:start w:val="1"/>
      <w:numFmt w:val="lowerRoman"/>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1B3181"/>
    <w:multiLevelType w:val="hybridMultilevel"/>
    <w:tmpl w:val="54FCD2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095F1E"/>
    <w:multiLevelType w:val="hybridMultilevel"/>
    <w:tmpl w:val="9740DC9A"/>
    <w:lvl w:ilvl="0" w:tplc="AE9E8D30">
      <w:start w:val="1"/>
      <w:numFmt w:val="lowerRoman"/>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74DD6"/>
    <w:multiLevelType w:val="hybridMultilevel"/>
    <w:tmpl w:val="97867BC2"/>
    <w:lvl w:ilvl="0" w:tplc="AE9E8D30">
      <w:start w:val="1"/>
      <w:numFmt w:val="lowerRoman"/>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B8819BD"/>
    <w:multiLevelType w:val="hybridMultilevel"/>
    <w:tmpl w:val="AADC6096"/>
    <w:lvl w:ilvl="0" w:tplc="C772E256">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E412C2"/>
    <w:multiLevelType w:val="hybridMultilevel"/>
    <w:tmpl w:val="BB5A1CFC"/>
    <w:lvl w:ilvl="0" w:tplc="AE9E8D30">
      <w:start w:val="1"/>
      <w:numFmt w:val="lowerRoman"/>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8"/>
  </w:num>
  <w:num w:numId="3">
    <w:abstractNumId w:val="10"/>
  </w:num>
  <w:num w:numId="4">
    <w:abstractNumId w:val="1"/>
  </w:num>
  <w:num w:numId="5">
    <w:abstractNumId w:val="7"/>
  </w:num>
  <w:num w:numId="6">
    <w:abstractNumId w:val="4"/>
  </w:num>
  <w:num w:numId="7">
    <w:abstractNumId w:val="9"/>
  </w:num>
  <w:num w:numId="8">
    <w:abstractNumId w:val="3"/>
  </w:num>
  <w:num w:numId="9">
    <w:abstractNumId w:val="0"/>
  </w:num>
  <w:num w:numId="10">
    <w:abstractNumId w:val="16"/>
  </w:num>
  <w:num w:numId="11">
    <w:abstractNumId w:val="6"/>
  </w:num>
  <w:num w:numId="12">
    <w:abstractNumId w:val="2"/>
  </w:num>
  <w:num w:numId="13">
    <w:abstractNumId w:val="12"/>
  </w:num>
  <w:num w:numId="14">
    <w:abstractNumId w:val="11"/>
  </w:num>
  <w:num w:numId="15">
    <w:abstractNumId w:val="14"/>
  </w:num>
  <w:num w:numId="16">
    <w:abstractNumId w:val="14"/>
    <w:lvlOverride w:ilvl="0">
      <w:startOverride w:val="1"/>
    </w:lvlOverride>
  </w:num>
  <w:num w:numId="17">
    <w:abstractNumId w:val="19"/>
  </w:num>
  <w:num w:numId="18">
    <w:abstractNumId w:val="19"/>
    <w:lvlOverride w:ilvl="0">
      <w:startOverride w:val="1"/>
    </w:lvlOverride>
  </w:num>
  <w:num w:numId="19">
    <w:abstractNumId w:val="20"/>
  </w:num>
  <w:num w:numId="20">
    <w:abstractNumId w:val="19"/>
  </w:num>
  <w:num w:numId="21">
    <w:abstractNumId w:val="19"/>
    <w:lvlOverride w:ilvl="0">
      <w:startOverride w:val="1"/>
    </w:lvlOverride>
  </w:num>
  <w:num w:numId="22">
    <w:abstractNumId w:val="5"/>
  </w:num>
  <w:num w:numId="23">
    <w:abstractNumId w:val="14"/>
    <w:lvlOverride w:ilvl="0">
      <w:startOverride w:val="1"/>
    </w:lvlOverride>
  </w:num>
  <w:num w:numId="24">
    <w:abstractNumId w:val="19"/>
    <w:lvlOverride w:ilvl="0">
      <w:startOverride w:val="1"/>
    </w:lvlOverride>
  </w:num>
  <w:num w:numId="25">
    <w:abstractNumId w:val="17"/>
  </w:num>
  <w:num w:numId="26">
    <w:abstractNumId w:val="19"/>
    <w:lvlOverride w:ilvl="0">
      <w:startOverride w:val="1"/>
    </w:lvlOverride>
  </w:num>
  <w:num w:numId="27">
    <w:abstractNumId w:val="15"/>
  </w:num>
  <w:num w:numId="28">
    <w:abstractNumId w:val="19"/>
    <w:lvlOverride w:ilvl="0">
      <w:startOverride w:val="1"/>
    </w:lvlOverride>
  </w:num>
  <w:num w:numId="29">
    <w:abstractNumId w:val="19"/>
    <w:lvlOverride w:ilvl="0">
      <w:startOverride w:val="1"/>
    </w:lvlOverride>
  </w:num>
  <w:num w:numId="30">
    <w:abstractNumId w:val="19"/>
    <w:lvlOverride w:ilvl="0">
      <w:startOverride w:val="1"/>
    </w:lvlOverride>
  </w:num>
  <w:num w:numId="31">
    <w:abstractNumId w:val="13"/>
  </w:num>
  <w:num w:numId="32">
    <w:abstractNumId w:val="19"/>
    <w:lvlOverride w:ilvl="0">
      <w:startOverride w:val="1"/>
    </w:lvlOverride>
  </w:num>
  <w:num w:numId="33">
    <w:abstractNumId w:val="19"/>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6FD"/>
    <w:rsid w:val="000156BC"/>
    <w:rsid w:val="00022BA5"/>
    <w:rsid w:val="0003451F"/>
    <w:rsid w:val="00045EE5"/>
    <w:rsid w:val="0004642D"/>
    <w:rsid w:val="000501FA"/>
    <w:rsid w:val="000519A5"/>
    <w:rsid w:val="000770C6"/>
    <w:rsid w:val="000800A4"/>
    <w:rsid w:val="00094C03"/>
    <w:rsid w:val="000A5015"/>
    <w:rsid w:val="000C0509"/>
    <w:rsid w:val="000C421A"/>
    <w:rsid w:val="000E1A2A"/>
    <w:rsid w:val="000E7344"/>
    <w:rsid w:val="000F0119"/>
    <w:rsid w:val="000F6E0D"/>
    <w:rsid w:val="000F7A27"/>
    <w:rsid w:val="00105289"/>
    <w:rsid w:val="00121316"/>
    <w:rsid w:val="0012582D"/>
    <w:rsid w:val="00156B63"/>
    <w:rsid w:val="00156EC8"/>
    <w:rsid w:val="001577FC"/>
    <w:rsid w:val="00166E15"/>
    <w:rsid w:val="00170D9F"/>
    <w:rsid w:val="00173F39"/>
    <w:rsid w:val="001773D6"/>
    <w:rsid w:val="001841C5"/>
    <w:rsid w:val="0018640B"/>
    <w:rsid w:val="001B20AC"/>
    <w:rsid w:val="001B6A17"/>
    <w:rsid w:val="001C26C6"/>
    <w:rsid w:val="001D0A06"/>
    <w:rsid w:val="001D70A5"/>
    <w:rsid w:val="002203FB"/>
    <w:rsid w:val="00225B41"/>
    <w:rsid w:val="0023014F"/>
    <w:rsid w:val="002338BA"/>
    <w:rsid w:val="00245CA6"/>
    <w:rsid w:val="00255FA9"/>
    <w:rsid w:val="00256398"/>
    <w:rsid w:val="00264DCF"/>
    <w:rsid w:val="002737E6"/>
    <w:rsid w:val="00274AAD"/>
    <w:rsid w:val="00280C1D"/>
    <w:rsid w:val="0028353F"/>
    <w:rsid w:val="002A2F1A"/>
    <w:rsid w:val="002A66D8"/>
    <w:rsid w:val="002B4AC2"/>
    <w:rsid w:val="002C0807"/>
    <w:rsid w:val="002C6393"/>
    <w:rsid w:val="002D4337"/>
    <w:rsid w:val="002E3FCC"/>
    <w:rsid w:val="002F0848"/>
    <w:rsid w:val="002F4036"/>
    <w:rsid w:val="0030277A"/>
    <w:rsid w:val="00302CAF"/>
    <w:rsid w:val="00307815"/>
    <w:rsid w:val="00307ECF"/>
    <w:rsid w:val="003108D6"/>
    <w:rsid w:val="00317853"/>
    <w:rsid w:val="003222B3"/>
    <w:rsid w:val="00322E94"/>
    <w:rsid w:val="003300CC"/>
    <w:rsid w:val="00341CC1"/>
    <w:rsid w:val="00350F90"/>
    <w:rsid w:val="003604F8"/>
    <w:rsid w:val="00360C9B"/>
    <w:rsid w:val="00363417"/>
    <w:rsid w:val="00363BA2"/>
    <w:rsid w:val="00364140"/>
    <w:rsid w:val="00365FCE"/>
    <w:rsid w:val="003878C9"/>
    <w:rsid w:val="00387F2A"/>
    <w:rsid w:val="003B4661"/>
    <w:rsid w:val="003B55E4"/>
    <w:rsid w:val="003B6F8C"/>
    <w:rsid w:val="003B7853"/>
    <w:rsid w:val="003C22ED"/>
    <w:rsid w:val="003C4246"/>
    <w:rsid w:val="003C625A"/>
    <w:rsid w:val="003D19D4"/>
    <w:rsid w:val="003E72CF"/>
    <w:rsid w:val="003F0AA8"/>
    <w:rsid w:val="004036F2"/>
    <w:rsid w:val="004126FA"/>
    <w:rsid w:val="00427D6D"/>
    <w:rsid w:val="0043460D"/>
    <w:rsid w:val="0044017E"/>
    <w:rsid w:val="00454B2F"/>
    <w:rsid w:val="004577EE"/>
    <w:rsid w:val="0046406A"/>
    <w:rsid w:val="004742B8"/>
    <w:rsid w:val="00476CEB"/>
    <w:rsid w:val="00482F94"/>
    <w:rsid w:val="00487454"/>
    <w:rsid w:val="004B35A0"/>
    <w:rsid w:val="004C258D"/>
    <w:rsid w:val="004C2D75"/>
    <w:rsid w:val="004C4168"/>
    <w:rsid w:val="004C521B"/>
    <w:rsid w:val="004E07E6"/>
    <w:rsid w:val="004F346D"/>
    <w:rsid w:val="004F7504"/>
    <w:rsid w:val="00502FA2"/>
    <w:rsid w:val="00505D9F"/>
    <w:rsid w:val="0051465C"/>
    <w:rsid w:val="00516FDF"/>
    <w:rsid w:val="00522990"/>
    <w:rsid w:val="00530376"/>
    <w:rsid w:val="00535AC1"/>
    <w:rsid w:val="00536BF1"/>
    <w:rsid w:val="00545E9D"/>
    <w:rsid w:val="00556E07"/>
    <w:rsid w:val="0057033A"/>
    <w:rsid w:val="0058227E"/>
    <w:rsid w:val="005831E0"/>
    <w:rsid w:val="005A5006"/>
    <w:rsid w:val="005B4A1F"/>
    <w:rsid w:val="005C1F7A"/>
    <w:rsid w:val="005E1C15"/>
    <w:rsid w:val="005E2ACF"/>
    <w:rsid w:val="005E37A2"/>
    <w:rsid w:val="005E6DE7"/>
    <w:rsid w:val="005F683C"/>
    <w:rsid w:val="006076FF"/>
    <w:rsid w:val="0063433F"/>
    <w:rsid w:val="00635B79"/>
    <w:rsid w:val="00635D9A"/>
    <w:rsid w:val="00645644"/>
    <w:rsid w:val="00645B81"/>
    <w:rsid w:val="00647C80"/>
    <w:rsid w:val="00657A91"/>
    <w:rsid w:val="00664135"/>
    <w:rsid w:val="006A0433"/>
    <w:rsid w:val="006B28CF"/>
    <w:rsid w:val="006B5BC2"/>
    <w:rsid w:val="006C4728"/>
    <w:rsid w:val="006D41F3"/>
    <w:rsid w:val="006D5451"/>
    <w:rsid w:val="006E4C12"/>
    <w:rsid w:val="0070018C"/>
    <w:rsid w:val="007107AE"/>
    <w:rsid w:val="00715529"/>
    <w:rsid w:val="00717615"/>
    <w:rsid w:val="00717FE6"/>
    <w:rsid w:val="007239BF"/>
    <w:rsid w:val="0073364F"/>
    <w:rsid w:val="00736D61"/>
    <w:rsid w:val="00746FBB"/>
    <w:rsid w:val="0074733F"/>
    <w:rsid w:val="00747430"/>
    <w:rsid w:val="00773FC6"/>
    <w:rsid w:val="0077645E"/>
    <w:rsid w:val="00782994"/>
    <w:rsid w:val="00783084"/>
    <w:rsid w:val="00796796"/>
    <w:rsid w:val="007974A0"/>
    <w:rsid w:val="007A2FCD"/>
    <w:rsid w:val="007B64ED"/>
    <w:rsid w:val="007C04D8"/>
    <w:rsid w:val="007D68E4"/>
    <w:rsid w:val="007E7610"/>
    <w:rsid w:val="007F235D"/>
    <w:rsid w:val="00802114"/>
    <w:rsid w:val="00833E65"/>
    <w:rsid w:val="00843FB2"/>
    <w:rsid w:val="00853343"/>
    <w:rsid w:val="00853CB9"/>
    <w:rsid w:val="00864956"/>
    <w:rsid w:val="00880591"/>
    <w:rsid w:val="00882224"/>
    <w:rsid w:val="00886C12"/>
    <w:rsid w:val="008A1B43"/>
    <w:rsid w:val="008E3B55"/>
    <w:rsid w:val="008E5FAE"/>
    <w:rsid w:val="008F66CA"/>
    <w:rsid w:val="00913B04"/>
    <w:rsid w:val="00923D5B"/>
    <w:rsid w:val="009243BA"/>
    <w:rsid w:val="00943891"/>
    <w:rsid w:val="00975FCB"/>
    <w:rsid w:val="00977CD6"/>
    <w:rsid w:val="009A092F"/>
    <w:rsid w:val="009A3291"/>
    <w:rsid w:val="009A6829"/>
    <w:rsid w:val="009A6FE2"/>
    <w:rsid w:val="009C3061"/>
    <w:rsid w:val="009C4F6C"/>
    <w:rsid w:val="009D1B0D"/>
    <w:rsid w:val="009E10EA"/>
    <w:rsid w:val="009F686E"/>
    <w:rsid w:val="00A0078F"/>
    <w:rsid w:val="00A05A52"/>
    <w:rsid w:val="00A06B13"/>
    <w:rsid w:val="00A15C81"/>
    <w:rsid w:val="00A2496E"/>
    <w:rsid w:val="00A355D6"/>
    <w:rsid w:val="00A525CC"/>
    <w:rsid w:val="00A55857"/>
    <w:rsid w:val="00A57FE3"/>
    <w:rsid w:val="00A71BDE"/>
    <w:rsid w:val="00A750F6"/>
    <w:rsid w:val="00A805A4"/>
    <w:rsid w:val="00A939CF"/>
    <w:rsid w:val="00AB7C08"/>
    <w:rsid w:val="00AC47A6"/>
    <w:rsid w:val="00AC6394"/>
    <w:rsid w:val="00AD6C11"/>
    <w:rsid w:val="00B01052"/>
    <w:rsid w:val="00B13D05"/>
    <w:rsid w:val="00B22E04"/>
    <w:rsid w:val="00B27138"/>
    <w:rsid w:val="00B349E8"/>
    <w:rsid w:val="00B37209"/>
    <w:rsid w:val="00B41190"/>
    <w:rsid w:val="00B45850"/>
    <w:rsid w:val="00B51A93"/>
    <w:rsid w:val="00B52A88"/>
    <w:rsid w:val="00B553BB"/>
    <w:rsid w:val="00B92E72"/>
    <w:rsid w:val="00B94EDF"/>
    <w:rsid w:val="00BA3131"/>
    <w:rsid w:val="00BC0AFB"/>
    <w:rsid w:val="00BC5040"/>
    <w:rsid w:val="00BD1E99"/>
    <w:rsid w:val="00BD521B"/>
    <w:rsid w:val="00BE0180"/>
    <w:rsid w:val="00BE44F3"/>
    <w:rsid w:val="00BF55D6"/>
    <w:rsid w:val="00C13579"/>
    <w:rsid w:val="00C309C4"/>
    <w:rsid w:val="00C3252D"/>
    <w:rsid w:val="00C46827"/>
    <w:rsid w:val="00C95471"/>
    <w:rsid w:val="00CA42B1"/>
    <w:rsid w:val="00CA799D"/>
    <w:rsid w:val="00CC5E0C"/>
    <w:rsid w:val="00CC6053"/>
    <w:rsid w:val="00CD4AEF"/>
    <w:rsid w:val="00CD5567"/>
    <w:rsid w:val="00CD5F6C"/>
    <w:rsid w:val="00CD6448"/>
    <w:rsid w:val="00CD7681"/>
    <w:rsid w:val="00CE438B"/>
    <w:rsid w:val="00D049DE"/>
    <w:rsid w:val="00D10276"/>
    <w:rsid w:val="00D1257A"/>
    <w:rsid w:val="00D20878"/>
    <w:rsid w:val="00D2757F"/>
    <w:rsid w:val="00D326A1"/>
    <w:rsid w:val="00D40B23"/>
    <w:rsid w:val="00D42FA9"/>
    <w:rsid w:val="00D57618"/>
    <w:rsid w:val="00D72DBD"/>
    <w:rsid w:val="00D73128"/>
    <w:rsid w:val="00D74D02"/>
    <w:rsid w:val="00D8359A"/>
    <w:rsid w:val="00D8687F"/>
    <w:rsid w:val="00D91D7B"/>
    <w:rsid w:val="00DD1C9C"/>
    <w:rsid w:val="00DE2A4D"/>
    <w:rsid w:val="00DE609B"/>
    <w:rsid w:val="00E03A83"/>
    <w:rsid w:val="00E0402A"/>
    <w:rsid w:val="00E05EC9"/>
    <w:rsid w:val="00E068E5"/>
    <w:rsid w:val="00E20597"/>
    <w:rsid w:val="00E426FD"/>
    <w:rsid w:val="00E438CD"/>
    <w:rsid w:val="00EB6A63"/>
    <w:rsid w:val="00EB7A09"/>
    <w:rsid w:val="00EB7A9D"/>
    <w:rsid w:val="00EC554F"/>
    <w:rsid w:val="00ED07F0"/>
    <w:rsid w:val="00ED2AE3"/>
    <w:rsid w:val="00EE1216"/>
    <w:rsid w:val="00EF3F08"/>
    <w:rsid w:val="00F0128C"/>
    <w:rsid w:val="00F15061"/>
    <w:rsid w:val="00F16ECA"/>
    <w:rsid w:val="00F209B8"/>
    <w:rsid w:val="00F253F0"/>
    <w:rsid w:val="00F310C1"/>
    <w:rsid w:val="00F33025"/>
    <w:rsid w:val="00F46A2B"/>
    <w:rsid w:val="00F97D34"/>
    <w:rsid w:val="00FA1A45"/>
    <w:rsid w:val="00FA54EF"/>
    <w:rsid w:val="00FB0614"/>
    <w:rsid w:val="00FB6F99"/>
    <w:rsid w:val="00FC0F00"/>
    <w:rsid w:val="00FE1D2E"/>
    <w:rsid w:val="00FE2644"/>
    <w:rsid w:val="00FE2A3F"/>
    <w:rsid w:val="00FF19A0"/>
    <w:rsid w:val="00FF2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A6C8E"/>
  <w15:chartTrackingRefBased/>
  <w15:docId w15:val="{D27625BF-5B08-49A1-A04B-0F39C7A8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2757F"/>
    <w:pPr>
      <w:keepNext/>
      <w:keepLines/>
      <w:numPr>
        <w:numId w:val="15"/>
      </w:numPr>
      <w:pBdr>
        <w:top w:val="single" w:sz="4" w:space="1" w:color="auto"/>
        <w:left w:val="single" w:sz="4" w:space="4" w:color="auto"/>
        <w:bottom w:val="single" w:sz="4" w:space="1" w:color="auto"/>
        <w:right w:val="single" w:sz="4" w:space="4" w:color="auto"/>
      </w:pBdr>
      <w:spacing w:before="480" w:after="360"/>
      <w:outlineLvl w:val="0"/>
    </w:pPr>
    <w:rPr>
      <w:rFonts w:asciiTheme="majorHAnsi" w:eastAsia="Calibri" w:hAnsiTheme="majorHAnsi" w:cstheme="majorHAnsi"/>
      <w:b/>
      <w:sz w:val="24"/>
      <w:szCs w:val="24"/>
      <w:shd w:val="clear" w:color="auto" w:fill="FFFFFF"/>
    </w:rPr>
  </w:style>
  <w:style w:type="paragraph" w:styleId="Heading2">
    <w:name w:val="heading 2"/>
    <w:basedOn w:val="Normal"/>
    <w:next w:val="Normal"/>
    <w:link w:val="Heading2Char"/>
    <w:uiPriority w:val="9"/>
    <w:unhideWhenUsed/>
    <w:qFormat/>
    <w:rsid w:val="00A939CF"/>
    <w:pPr>
      <w:keepNext/>
      <w:keepLines/>
      <w:numPr>
        <w:numId w:val="17"/>
      </w:numPr>
      <w:spacing w:before="320" w:after="240"/>
      <w:jc w:val="both"/>
      <w:outlineLvl w:val="1"/>
    </w:pPr>
    <w:rPr>
      <w:rFonts w:asciiTheme="majorHAnsi" w:eastAsiaTheme="majorEastAsia" w:hAnsiTheme="majorHAnsi" w:cstheme="majorHAnsi"/>
      <w:b/>
      <w:sz w:val="24"/>
      <w:szCs w:val="24"/>
      <w:shd w:val="clear" w:color="auto" w:fill="FFFFFF"/>
    </w:rPr>
  </w:style>
  <w:style w:type="paragraph" w:styleId="Heading3">
    <w:name w:val="heading 3"/>
    <w:basedOn w:val="Normal"/>
    <w:link w:val="Heading3Char"/>
    <w:uiPriority w:val="9"/>
    <w:qFormat/>
    <w:rsid w:val="00264DC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0E7344"/>
    <w:pPr>
      <w:spacing w:after="0" w:line="240" w:lineRule="auto"/>
    </w:pPr>
    <w:rPr>
      <w:rFonts w:ascii="Calibri" w:eastAsia="Calibri" w:hAnsi="Calibri" w:cs="Times New Roman"/>
      <w:sz w:val="20"/>
      <w:szCs w:val="20"/>
    </w:rPr>
  </w:style>
  <w:style w:type="character" w:customStyle="1" w:styleId="FootnoteTextChar">
    <w:name w:val="Footnote Text Char"/>
    <w:aliases w:val="5_G Char"/>
    <w:basedOn w:val="DefaultParagraphFont"/>
    <w:link w:val="FootnoteText"/>
    <w:uiPriority w:val="99"/>
    <w:rsid w:val="000E7344"/>
    <w:rPr>
      <w:rFonts w:ascii="Calibri" w:eastAsia="Calibri" w:hAnsi="Calibri" w:cs="Times New Roman"/>
      <w:sz w:val="20"/>
      <w:szCs w:val="20"/>
      <w:lang w:val="en-GB"/>
    </w:rPr>
  </w:style>
  <w:style w:type="character" w:styleId="FootnoteReference">
    <w:name w:val="footnote reference"/>
    <w:aliases w:val="4_G, BVI fnr,BVI fnr,ftref,Char Char,Footnote Text Char1,Footnote Text1 Char Char1,Char Char1,fn Char2,f Char1,Geneva 9 Char1,Font: Geneva 9 Char1,Boston 10 Char1,Footnote text Char1,Footnote Char1,FOOTNOTES Char2,single space Char2"/>
    <w:uiPriority w:val="99"/>
    <w:unhideWhenUsed/>
    <w:qFormat/>
    <w:rsid w:val="000E7344"/>
    <w:rPr>
      <w:vertAlign w:val="superscript"/>
    </w:rPr>
  </w:style>
  <w:style w:type="character" w:styleId="Hyperlink">
    <w:name w:val="Hyperlink"/>
    <w:uiPriority w:val="99"/>
    <w:unhideWhenUsed/>
    <w:rsid w:val="000E7344"/>
    <w:rPr>
      <w:color w:val="0000FF"/>
      <w:u w:val="single"/>
    </w:rPr>
  </w:style>
  <w:style w:type="paragraph" w:styleId="ListParagraph">
    <w:name w:val="List Paragraph"/>
    <w:basedOn w:val="Normal"/>
    <w:uiPriority w:val="34"/>
    <w:qFormat/>
    <w:rsid w:val="00094C03"/>
    <w:pPr>
      <w:ind w:left="720"/>
      <w:contextualSpacing/>
    </w:pPr>
  </w:style>
  <w:style w:type="paragraph" w:styleId="Header">
    <w:name w:val="header"/>
    <w:basedOn w:val="Normal"/>
    <w:link w:val="HeaderChar"/>
    <w:uiPriority w:val="99"/>
    <w:unhideWhenUsed/>
    <w:rsid w:val="00BF55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55D6"/>
    <w:rPr>
      <w:lang w:val="en-GB"/>
    </w:rPr>
  </w:style>
  <w:style w:type="paragraph" w:styleId="Footer">
    <w:name w:val="footer"/>
    <w:basedOn w:val="Normal"/>
    <w:link w:val="FooterChar"/>
    <w:uiPriority w:val="99"/>
    <w:unhideWhenUsed/>
    <w:rsid w:val="00BF5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5D6"/>
    <w:rPr>
      <w:lang w:val="en-GB"/>
    </w:rPr>
  </w:style>
  <w:style w:type="paragraph" w:styleId="NoSpacing">
    <w:name w:val="No Spacing"/>
    <w:link w:val="NoSpacingChar"/>
    <w:uiPriority w:val="1"/>
    <w:qFormat/>
    <w:rsid w:val="00BE0180"/>
    <w:pPr>
      <w:spacing w:after="0" w:line="240" w:lineRule="auto"/>
    </w:pPr>
    <w:rPr>
      <w:lang w:val="en-GB"/>
    </w:rPr>
  </w:style>
  <w:style w:type="character" w:customStyle="1" w:styleId="Heading1Char">
    <w:name w:val="Heading 1 Char"/>
    <w:basedOn w:val="DefaultParagraphFont"/>
    <w:link w:val="Heading1"/>
    <w:uiPriority w:val="9"/>
    <w:rsid w:val="00D2757F"/>
    <w:rPr>
      <w:rFonts w:asciiTheme="majorHAnsi" w:eastAsia="Calibri" w:hAnsiTheme="majorHAnsi" w:cstheme="majorHAnsi"/>
      <w:b/>
      <w:sz w:val="24"/>
      <w:szCs w:val="24"/>
      <w:lang w:val="en-GB"/>
    </w:rPr>
  </w:style>
  <w:style w:type="character" w:customStyle="1" w:styleId="Heading2Char">
    <w:name w:val="Heading 2 Char"/>
    <w:basedOn w:val="DefaultParagraphFont"/>
    <w:link w:val="Heading2"/>
    <w:uiPriority w:val="9"/>
    <w:rsid w:val="00A939CF"/>
    <w:rPr>
      <w:rFonts w:asciiTheme="majorHAnsi" w:eastAsiaTheme="majorEastAsia" w:hAnsiTheme="majorHAnsi" w:cstheme="majorHAnsi"/>
      <w:b/>
      <w:sz w:val="24"/>
      <w:szCs w:val="24"/>
      <w:lang w:val="en-GB"/>
    </w:rPr>
  </w:style>
  <w:style w:type="paragraph" w:styleId="TOCHeading">
    <w:name w:val="TOC Heading"/>
    <w:basedOn w:val="Heading1"/>
    <w:next w:val="Normal"/>
    <w:uiPriority w:val="39"/>
    <w:unhideWhenUsed/>
    <w:qFormat/>
    <w:rsid w:val="0046406A"/>
    <w:pPr>
      <w:outlineLvl w:val="9"/>
    </w:pPr>
    <w:rPr>
      <w:lang w:val="en-US"/>
    </w:rPr>
  </w:style>
  <w:style w:type="paragraph" w:styleId="TOC1">
    <w:name w:val="toc 1"/>
    <w:basedOn w:val="Normal"/>
    <w:next w:val="Normal"/>
    <w:autoRedefine/>
    <w:uiPriority w:val="39"/>
    <w:unhideWhenUsed/>
    <w:rsid w:val="003B4661"/>
    <w:pPr>
      <w:tabs>
        <w:tab w:val="left" w:pos="450"/>
        <w:tab w:val="right" w:leader="dot" w:pos="9350"/>
      </w:tabs>
      <w:spacing w:after="100"/>
    </w:pPr>
    <w:rPr>
      <w:rFonts w:ascii="Calibri Light" w:hAnsi="Calibri Light"/>
      <w:b/>
    </w:rPr>
  </w:style>
  <w:style w:type="paragraph" w:styleId="TOC2">
    <w:name w:val="toc 2"/>
    <w:basedOn w:val="Normal"/>
    <w:next w:val="Normal"/>
    <w:autoRedefine/>
    <w:uiPriority w:val="39"/>
    <w:unhideWhenUsed/>
    <w:rsid w:val="003B4661"/>
    <w:pPr>
      <w:spacing w:after="100"/>
      <w:ind w:left="220"/>
    </w:pPr>
    <w:rPr>
      <w:rFonts w:ascii="Calibri Light" w:hAnsi="Calibri Light"/>
    </w:rPr>
  </w:style>
  <w:style w:type="paragraph" w:styleId="BalloonText">
    <w:name w:val="Balloon Text"/>
    <w:basedOn w:val="Normal"/>
    <w:link w:val="BalloonTextChar"/>
    <w:uiPriority w:val="99"/>
    <w:semiHidden/>
    <w:unhideWhenUsed/>
    <w:rsid w:val="005C1F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1F7A"/>
    <w:rPr>
      <w:rFonts w:ascii="Segoe UI" w:hAnsi="Segoe UI" w:cs="Segoe UI"/>
      <w:sz w:val="18"/>
      <w:szCs w:val="18"/>
      <w:lang w:val="en-GB"/>
    </w:rPr>
  </w:style>
  <w:style w:type="paragraph" w:customStyle="1" w:styleId="H1G">
    <w:name w:val="_ H_1_G"/>
    <w:basedOn w:val="Normal"/>
    <w:next w:val="Normal"/>
    <w:qFormat/>
    <w:rsid w:val="005C1F7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character" w:styleId="UnresolvedMention">
    <w:name w:val="Unresolved Mention"/>
    <w:basedOn w:val="DefaultParagraphFont"/>
    <w:uiPriority w:val="99"/>
    <w:semiHidden/>
    <w:unhideWhenUsed/>
    <w:rsid w:val="00635B79"/>
    <w:rPr>
      <w:color w:val="605E5C"/>
      <w:shd w:val="clear" w:color="auto" w:fill="E1DFDD"/>
    </w:rPr>
  </w:style>
  <w:style w:type="paragraph" w:customStyle="1" w:styleId="Default">
    <w:name w:val="Default"/>
    <w:rsid w:val="00747430"/>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975FCB"/>
    <w:rPr>
      <w:sz w:val="16"/>
      <w:szCs w:val="16"/>
    </w:rPr>
  </w:style>
  <w:style w:type="paragraph" w:styleId="CommentText">
    <w:name w:val="annotation text"/>
    <w:basedOn w:val="Normal"/>
    <w:link w:val="CommentTextChar"/>
    <w:uiPriority w:val="99"/>
    <w:semiHidden/>
    <w:unhideWhenUsed/>
    <w:rsid w:val="00975FCB"/>
    <w:pPr>
      <w:spacing w:line="240" w:lineRule="auto"/>
    </w:pPr>
    <w:rPr>
      <w:sz w:val="20"/>
      <w:szCs w:val="20"/>
    </w:rPr>
  </w:style>
  <w:style w:type="character" w:customStyle="1" w:styleId="CommentTextChar">
    <w:name w:val="Comment Text Char"/>
    <w:basedOn w:val="DefaultParagraphFont"/>
    <w:link w:val="CommentText"/>
    <w:uiPriority w:val="99"/>
    <w:semiHidden/>
    <w:rsid w:val="00975FCB"/>
    <w:rPr>
      <w:sz w:val="20"/>
      <w:szCs w:val="20"/>
      <w:lang w:val="en-GB"/>
    </w:rPr>
  </w:style>
  <w:style w:type="paragraph" w:styleId="CommentSubject">
    <w:name w:val="annotation subject"/>
    <w:basedOn w:val="CommentText"/>
    <w:next w:val="CommentText"/>
    <w:link w:val="CommentSubjectChar"/>
    <w:uiPriority w:val="99"/>
    <w:semiHidden/>
    <w:unhideWhenUsed/>
    <w:rsid w:val="00975FCB"/>
    <w:rPr>
      <w:b/>
      <w:bCs/>
    </w:rPr>
  </w:style>
  <w:style w:type="character" w:customStyle="1" w:styleId="CommentSubjectChar">
    <w:name w:val="Comment Subject Char"/>
    <w:basedOn w:val="CommentTextChar"/>
    <w:link w:val="CommentSubject"/>
    <w:uiPriority w:val="99"/>
    <w:semiHidden/>
    <w:rsid w:val="00975FCB"/>
    <w:rPr>
      <w:b/>
      <w:bCs/>
      <w:sz w:val="20"/>
      <w:szCs w:val="20"/>
      <w:lang w:val="en-GB"/>
    </w:rPr>
  </w:style>
  <w:style w:type="character" w:styleId="FollowedHyperlink">
    <w:name w:val="FollowedHyperlink"/>
    <w:basedOn w:val="DefaultParagraphFont"/>
    <w:uiPriority w:val="99"/>
    <w:semiHidden/>
    <w:unhideWhenUsed/>
    <w:rsid w:val="00264DCF"/>
    <w:rPr>
      <w:color w:val="954F72" w:themeColor="followedHyperlink"/>
      <w:u w:val="single"/>
    </w:rPr>
  </w:style>
  <w:style w:type="character" w:customStyle="1" w:styleId="Heading3Char">
    <w:name w:val="Heading 3 Char"/>
    <w:basedOn w:val="DefaultParagraphFont"/>
    <w:link w:val="Heading3"/>
    <w:uiPriority w:val="9"/>
    <w:rsid w:val="00264DCF"/>
    <w:rPr>
      <w:rFonts w:ascii="Times New Roman" w:eastAsia="Times New Roman" w:hAnsi="Times New Roman" w:cs="Times New Roman"/>
      <w:b/>
      <w:bCs/>
      <w:sz w:val="27"/>
      <w:szCs w:val="27"/>
    </w:rPr>
  </w:style>
  <w:style w:type="character" w:styleId="Strong">
    <w:name w:val="Strong"/>
    <w:basedOn w:val="DefaultParagraphFont"/>
    <w:uiPriority w:val="22"/>
    <w:qFormat/>
    <w:rsid w:val="00843FB2"/>
    <w:rPr>
      <w:b/>
      <w:bCs/>
    </w:rPr>
  </w:style>
  <w:style w:type="paragraph" w:customStyle="1" w:styleId="submeta">
    <w:name w:val="sub_meta"/>
    <w:basedOn w:val="Normal"/>
    <w:rsid w:val="00853CB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4017E"/>
    <w:rPr>
      <w:i/>
      <w:iCs/>
    </w:rPr>
  </w:style>
  <w:style w:type="table" w:styleId="TableGrid">
    <w:name w:val="Table Grid"/>
    <w:basedOn w:val="TableNormal"/>
    <w:uiPriority w:val="39"/>
    <w:rsid w:val="000C0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3B466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120260">
      <w:bodyDiv w:val="1"/>
      <w:marLeft w:val="0"/>
      <w:marRight w:val="0"/>
      <w:marTop w:val="0"/>
      <w:marBottom w:val="0"/>
      <w:divBdr>
        <w:top w:val="none" w:sz="0" w:space="0" w:color="auto"/>
        <w:left w:val="none" w:sz="0" w:space="0" w:color="auto"/>
        <w:bottom w:val="none" w:sz="0" w:space="0" w:color="auto"/>
        <w:right w:val="none" w:sz="0" w:space="0" w:color="auto"/>
      </w:divBdr>
    </w:div>
    <w:div w:id="321085060">
      <w:bodyDiv w:val="1"/>
      <w:marLeft w:val="0"/>
      <w:marRight w:val="0"/>
      <w:marTop w:val="0"/>
      <w:marBottom w:val="0"/>
      <w:divBdr>
        <w:top w:val="none" w:sz="0" w:space="0" w:color="auto"/>
        <w:left w:val="none" w:sz="0" w:space="0" w:color="auto"/>
        <w:bottom w:val="none" w:sz="0" w:space="0" w:color="auto"/>
        <w:right w:val="none" w:sz="0" w:space="0" w:color="auto"/>
      </w:divBdr>
    </w:div>
    <w:div w:id="576400807">
      <w:bodyDiv w:val="1"/>
      <w:marLeft w:val="0"/>
      <w:marRight w:val="0"/>
      <w:marTop w:val="0"/>
      <w:marBottom w:val="0"/>
      <w:divBdr>
        <w:top w:val="none" w:sz="0" w:space="0" w:color="auto"/>
        <w:left w:val="none" w:sz="0" w:space="0" w:color="auto"/>
        <w:bottom w:val="none" w:sz="0" w:space="0" w:color="auto"/>
        <w:right w:val="none" w:sz="0" w:space="0" w:color="auto"/>
      </w:divBdr>
    </w:div>
    <w:div w:id="715547552">
      <w:bodyDiv w:val="1"/>
      <w:marLeft w:val="0"/>
      <w:marRight w:val="0"/>
      <w:marTop w:val="0"/>
      <w:marBottom w:val="0"/>
      <w:divBdr>
        <w:top w:val="none" w:sz="0" w:space="0" w:color="auto"/>
        <w:left w:val="none" w:sz="0" w:space="0" w:color="auto"/>
        <w:bottom w:val="none" w:sz="0" w:space="0" w:color="auto"/>
        <w:right w:val="none" w:sz="0" w:space="0" w:color="auto"/>
      </w:divBdr>
    </w:div>
    <w:div w:id="927009400">
      <w:bodyDiv w:val="1"/>
      <w:marLeft w:val="0"/>
      <w:marRight w:val="0"/>
      <w:marTop w:val="0"/>
      <w:marBottom w:val="0"/>
      <w:divBdr>
        <w:top w:val="none" w:sz="0" w:space="0" w:color="auto"/>
        <w:left w:val="none" w:sz="0" w:space="0" w:color="auto"/>
        <w:bottom w:val="none" w:sz="0" w:space="0" w:color="auto"/>
        <w:right w:val="none" w:sz="0" w:space="0" w:color="auto"/>
      </w:divBdr>
      <w:divsChild>
        <w:div w:id="1445612343">
          <w:marLeft w:val="0"/>
          <w:marRight w:val="0"/>
          <w:marTop w:val="75"/>
          <w:marBottom w:val="0"/>
          <w:divBdr>
            <w:top w:val="none" w:sz="0" w:space="0" w:color="auto"/>
            <w:left w:val="none" w:sz="0" w:space="0" w:color="auto"/>
            <w:bottom w:val="none" w:sz="0" w:space="0" w:color="auto"/>
            <w:right w:val="none" w:sz="0" w:space="0" w:color="auto"/>
          </w:divBdr>
        </w:div>
        <w:div w:id="2084332511">
          <w:marLeft w:val="0"/>
          <w:marRight w:val="0"/>
          <w:marTop w:val="75"/>
          <w:marBottom w:val="0"/>
          <w:divBdr>
            <w:top w:val="none" w:sz="0" w:space="0" w:color="auto"/>
            <w:left w:val="none" w:sz="0" w:space="0" w:color="auto"/>
            <w:bottom w:val="none" w:sz="0" w:space="0" w:color="auto"/>
            <w:right w:val="none" w:sz="0" w:space="0" w:color="auto"/>
          </w:divBdr>
        </w:div>
        <w:div w:id="1009796334">
          <w:marLeft w:val="0"/>
          <w:marRight w:val="0"/>
          <w:marTop w:val="75"/>
          <w:marBottom w:val="0"/>
          <w:divBdr>
            <w:top w:val="none" w:sz="0" w:space="0" w:color="auto"/>
            <w:left w:val="none" w:sz="0" w:space="0" w:color="auto"/>
            <w:bottom w:val="none" w:sz="0" w:space="0" w:color="auto"/>
            <w:right w:val="none" w:sz="0" w:space="0" w:color="auto"/>
          </w:divBdr>
        </w:div>
      </w:divsChild>
    </w:div>
    <w:div w:id="193130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anhri.org/" TargetMode="External"/><Relationship Id="rId18" Type="http://schemas.openxmlformats.org/officeDocument/2006/relationships/hyperlink" Target="http://kenyalaw.org/caselaw/cases/view/106083/"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kenyalaw.org/caselaw/cases/view/145193/" TargetMode="External"/><Relationship Id="rId7" Type="http://schemas.openxmlformats.org/officeDocument/2006/relationships/endnotes" Target="endnotes.xml"/><Relationship Id="rId12" Type="http://schemas.openxmlformats.org/officeDocument/2006/relationships/hyperlink" Target="mailto:haki@knchr.org" TargetMode="External"/><Relationship Id="rId17" Type="http://schemas.openxmlformats.org/officeDocument/2006/relationships/hyperlink" Target="http://kenyalaw.org/caselaw/cases/view/13343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kenyalaw.org/caselaw/cases/view/85286" TargetMode="External"/><Relationship Id="rId20" Type="http://schemas.openxmlformats.org/officeDocument/2006/relationships/hyperlink" Target="http://kenyalaw.org/caselaw/cases/view/145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nchr.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kenyalaw.org/caselaw/cases/view/178331/"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mailto:haki@knchr.org" TargetMode="External"/><Relationship Id="rId19" Type="http://schemas.openxmlformats.org/officeDocument/2006/relationships/hyperlink" Target="http://kenyalaw.org/caselaw/cases/view/175490/" TargetMode="External"/><Relationship Id="rId4" Type="http://schemas.openxmlformats.org/officeDocument/2006/relationships/settings" Target="settings.xml"/><Relationship Id="rId9" Type="http://schemas.openxmlformats.org/officeDocument/2006/relationships/hyperlink" Target="http://www.knchr.org" TargetMode="External"/><Relationship Id="rId14" Type="http://schemas.openxmlformats.org/officeDocument/2006/relationships/hyperlink" Target="https://nhri.ohchr.org/EN/AboutUs/Pages/ParisPrinciples.aspx" TargetMode="External"/><Relationship Id="rId22" Type="http://schemas.openxmlformats.org/officeDocument/2006/relationships/hyperlink" Target="http://kenyalaw.org/kl/fileadmin/pdfdownloads/AmendmentActs/2016/LandLaws_Amendment_Act_28of2016.pdf" TargetMode="Externa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kenyalaw.org/caselaw/cases/view/101979/" TargetMode="External"/><Relationship Id="rId21" Type="http://schemas.openxmlformats.org/officeDocument/2006/relationships/hyperlink" Target="http://www.knchr.org/Portals/0/Statements/KNCHR%20IDAHOBIT%20statement.pdf?ver=2018-05-17-131148-583" TargetMode="External"/><Relationship Id="rId42" Type="http://schemas.openxmlformats.org/officeDocument/2006/relationships/hyperlink" Target="https://www.knchr.org/Portals/0/CivilAndPoliticalReports/Soldiers%20of%20Justice.pdf?ver=2018-06-06-201902-103" TargetMode="External"/><Relationship Id="rId47" Type="http://schemas.openxmlformats.org/officeDocument/2006/relationships/hyperlink" Target="http://antifgmboard.go.ke/hello-world/" TargetMode="External"/><Relationship Id="rId63" Type="http://schemas.openxmlformats.org/officeDocument/2006/relationships/hyperlink" Target="http://kenyalaw.org/caselaw/cases/view/149253/" TargetMode="External"/><Relationship Id="rId68" Type="http://schemas.openxmlformats.org/officeDocument/2006/relationships/hyperlink" Target="http://kenyalaw.org/kenyalawblog/wp-content/uploads/2017/01/Criminal_Justice_Report.pdf" TargetMode="External"/><Relationship Id="rId84" Type="http://schemas.openxmlformats.org/officeDocument/2006/relationships/hyperlink" Target="https://www.knchr.org/Portals/0/CivilAndPoliticalReports/Still-a-Mirage-at-Dusk.pdf?ver=2018-05-23-123451-723" TargetMode="External"/><Relationship Id="rId89" Type="http://schemas.openxmlformats.org/officeDocument/2006/relationships/hyperlink" Target="http://kenyalaw.org:8181/exist/kenyalex/actview.xql?actid=No.%2027%20of%202016" TargetMode="External"/><Relationship Id="rId16" Type="http://schemas.openxmlformats.org/officeDocument/2006/relationships/hyperlink" Target="https://www.judiciary.go.ke/download/sojar-report/" TargetMode="External"/><Relationship Id="rId11" Type="http://schemas.openxmlformats.org/officeDocument/2006/relationships/hyperlink" Target="http://kenyalaw.org/caselaw/cases/view/178331/" TargetMode="External"/><Relationship Id="rId32" Type="http://schemas.openxmlformats.org/officeDocument/2006/relationships/hyperlink" Target="http://www.kenyalaw.org/lex//actview.xql?actid=No.%2011%20of%202011" TargetMode="External"/><Relationship Id="rId37" Type="http://schemas.openxmlformats.org/officeDocument/2006/relationships/hyperlink" Target="https://www.wef.co.ke/" TargetMode="External"/><Relationship Id="rId53" Type="http://schemas.openxmlformats.org/officeDocument/2006/relationships/hyperlink" Target="https://www.statelaw.go.ke/wp-content/uploads/2019/11/EDITED-Final-Nov-5th-DPTF-REPORT.pdf" TargetMode="External"/><Relationship Id="rId58" Type="http://schemas.openxmlformats.org/officeDocument/2006/relationships/hyperlink" Target="https://www.knchr.org/Publications/Thematic-Reports/Civil-and-Political-Rights/Torture-Extrajudicial-Executions-Enforced-Disappearance" TargetMode="External"/><Relationship Id="rId74" Type="http://schemas.openxmlformats.org/officeDocument/2006/relationships/hyperlink" Target="http://www.knchr.org/Publications/InternationalObligation.aspx" TargetMode="External"/><Relationship Id="rId79" Type="http://schemas.openxmlformats.org/officeDocument/2006/relationships/hyperlink" Target="http://kenyalaw.org/caselaw/cases/view/130781/" TargetMode="External"/><Relationship Id="rId5" Type="http://schemas.openxmlformats.org/officeDocument/2006/relationships/hyperlink" Target="http://kenyalaw.org:8181/exist/kenyalex/actview.xql?actid=No.%2022%20of%202011" TargetMode="External"/><Relationship Id="rId90" Type="http://schemas.openxmlformats.org/officeDocument/2006/relationships/hyperlink" Target="https://www.african-court.org/en/index.php/56-pending-cases-details/864-app-no-006-2012-african-commission-on-human-and-peoples-rights-v-republic-of-kenya-details" TargetMode="External"/><Relationship Id="rId14" Type="http://schemas.openxmlformats.org/officeDocument/2006/relationships/hyperlink" Target="https://www.judiciary.go.ke/download/alternative-justice-systems-baseline-policy-and-policy-framework/" TargetMode="External"/><Relationship Id="rId22" Type="http://schemas.openxmlformats.org/officeDocument/2006/relationships/hyperlink" Target="https://www.khrc.or.ke/publications/178-the-human-rights-situation-case-law-and-research-on-protections-on-grounds-of-sexual-orientation-gender-identity-and-expression-in-the-republic-of-kenya/file.html" TargetMode="External"/><Relationship Id="rId27" Type="http://schemas.openxmlformats.org/officeDocument/2006/relationships/hyperlink" Target="http://kenyalaw.org/caselaw/cases/view/104234/" TargetMode="External"/><Relationship Id="rId30" Type="http://schemas.openxmlformats.org/officeDocument/2006/relationships/hyperlink" Target="http://www.ngeckenya.org/news/7189/general-elections-2017-statement-on-participation-of-special-interest-groups" TargetMode="External"/><Relationship Id="rId35" Type="http://schemas.openxmlformats.org/officeDocument/2006/relationships/hyperlink" Target="http://kenyalaw.org/kl/fileadmin/pdfdownloads/bills/2019/The_Constitution_of_Kenya__Amendment__Bill__2019.PDF" TargetMode="External"/><Relationship Id="rId43" Type="http://schemas.openxmlformats.org/officeDocument/2006/relationships/hyperlink" Target="https://www.knchr.org/Portals/0/CivilAndPoliticalReports/The%20Error%20of%20Fighting%20Terror%20With%20Terror.pdf?ver=2018-06-06-200137-237" TargetMode="External"/><Relationship Id="rId48" Type="http://schemas.openxmlformats.org/officeDocument/2006/relationships/hyperlink" Target="https://gender.go.ke/wp-content/uploads/2019/10/NATIONAL-POLICY-FOR-THE-ERADICATION-OF-FEMALE-GENITAL-MUTILATION-.pdf" TargetMode="External"/><Relationship Id="rId56" Type="http://schemas.openxmlformats.org/officeDocument/2006/relationships/hyperlink" Target="http://www.kenyalaw.org/lex//actview.xql?actid=No.%2016%20of%202008" TargetMode="External"/><Relationship Id="rId64" Type="http://schemas.openxmlformats.org/officeDocument/2006/relationships/hyperlink" Target="http://kenyalaw.org/caselaw/cases/view/168360/" TargetMode="External"/><Relationship Id="rId69" Type="http://schemas.openxmlformats.org/officeDocument/2006/relationships/hyperlink" Target="https://www.judiciary.go.ke/download/state-of-the-judiciary-and-the-administration-of-justice-report-2016-2017/" TargetMode="External"/><Relationship Id="rId77" Type="http://schemas.openxmlformats.org/officeDocument/2006/relationships/hyperlink" Target="http://kenyalaw.org/caselaw/cases/view/112131" TargetMode="External"/><Relationship Id="rId8" Type="http://schemas.openxmlformats.org/officeDocument/2006/relationships/hyperlink" Target="http://kenyalaw.org:8181/exist/kenyalex/actview.xql?actid=No.%209%20of%202009" TargetMode="External"/><Relationship Id="rId51" Type="http://schemas.openxmlformats.org/officeDocument/2006/relationships/hyperlink" Target="http://www.nationalpolice.go.ke/crime-statistics.html" TargetMode="External"/><Relationship Id="rId72" Type="http://schemas.openxmlformats.org/officeDocument/2006/relationships/hyperlink" Target="https://www.state.gov/j/tip/rls/tiprpt/2016" TargetMode="External"/><Relationship Id="rId80" Type="http://schemas.openxmlformats.org/officeDocument/2006/relationships/hyperlink" Target="http://kenyalaw.org/caselaw/cases/view/106083/" TargetMode="External"/><Relationship Id="rId85" Type="http://schemas.openxmlformats.org/officeDocument/2006/relationships/hyperlink" Target="http://kenyalaw.org/caselaw/cases/view/137643/" TargetMode="External"/><Relationship Id="rId3" Type="http://schemas.openxmlformats.org/officeDocument/2006/relationships/hyperlink" Target="http://www.achpr.org/sessions/36th/" TargetMode="External"/><Relationship Id="rId12" Type="http://schemas.openxmlformats.org/officeDocument/2006/relationships/hyperlink" Target="http://kenyalaw.org/caselaw/cases/view/178331/" TargetMode="External"/><Relationship Id="rId17" Type="http://schemas.openxmlformats.org/officeDocument/2006/relationships/hyperlink" Target="http://kenyalaw.org:8181/exist/kenyalex/actview.xql?actid=No.%206%20of%202008" TargetMode="External"/><Relationship Id="rId25" Type="http://schemas.openxmlformats.org/officeDocument/2006/relationships/hyperlink" Target="http://kenyalaw.org/caselaw/cases/view/170057/" TargetMode="External"/><Relationship Id="rId33" Type="http://schemas.openxmlformats.org/officeDocument/2006/relationships/hyperlink" Target="http://www.parliament.go.ke/sites/default/files/2019-07/The%20Representation%20of%20Special%20Interest%20Groups%20Laws%20%28Amendment%29%20Bill%2C%202019.pdf" TargetMode="External"/><Relationship Id="rId38" Type="http://schemas.openxmlformats.org/officeDocument/2006/relationships/hyperlink" Target="https://www.wef.co.ke/index.php/2016-04-22-06-22-35/reports-publications/send/7-reports-and-publications/74-assesmentwef-ngaaf" TargetMode="External"/><Relationship Id="rId46" Type="http://schemas.openxmlformats.org/officeDocument/2006/relationships/hyperlink" Target="https://dhsprogram.com/pubs/pdf/fr308/fr308.pdf" TargetMode="External"/><Relationship Id="rId59" Type="http://schemas.openxmlformats.org/officeDocument/2006/relationships/hyperlink" Target="https://www.knchr.org/Publications/Thematic-Reports/Civil-and-Political-Rights/Torture-Extrajudicial-Executions-Enforced-Disappearance" TargetMode="External"/><Relationship Id="rId67" Type="http://schemas.openxmlformats.org/officeDocument/2006/relationships/hyperlink" Target="https://www.knchr.org/Portals/0/Handbook%20On%20The%20National%20Coroners%20Service%20Act%2C%202017_2018.pdf" TargetMode="External"/><Relationship Id="rId20" Type="http://schemas.openxmlformats.org/officeDocument/2006/relationships/hyperlink" Target="http://kenyalaw.org/caselaw/cases/view/173946/" TargetMode="External"/><Relationship Id="rId41" Type="http://schemas.openxmlformats.org/officeDocument/2006/relationships/hyperlink" Target="http://www.knchr.org/Portals/0/CivilAndPoliticalReports/The%20State%20of%20Security%20in%20Kenya.pdf" TargetMode="External"/><Relationship Id="rId54" Type="http://schemas.openxmlformats.org/officeDocument/2006/relationships/hyperlink" Target="http://www.statelaw.go.ke/wp-content/uploads/2018/10/RECOMMENDATIONS-OF-THE-TASK-FORCE-ON-THE-REVIEW-OF-THE-MANDATORY-DEATH-PENALTY-3OCT2018.pdf" TargetMode="External"/><Relationship Id="rId62" Type="http://schemas.openxmlformats.org/officeDocument/2006/relationships/hyperlink" Target="http://kenyalaw.org/caselaw/cases/view/118626" TargetMode="External"/><Relationship Id="rId70" Type="http://schemas.openxmlformats.org/officeDocument/2006/relationships/hyperlink" Target="https://nea.go.ke/web/wp-content/uploads/2020/02/SIGNED-COMMUNIQUE-HLMM-JAN-21-2020-compressed.pdf" TargetMode="External"/><Relationship Id="rId75" Type="http://schemas.openxmlformats.org/officeDocument/2006/relationships/hyperlink" Target="http://kenyalaw.org/kl/fileadmin/pdfdownloads/bills/2019/The_Refugees_Bill__2019.pdf" TargetMode="External"/><Relationship Id="rId83" Type="http://schemas.openxmlformats.org/officeDocument/2006/relationships/hyperlink" Target="https://www.knchr.org/Articles/ArtMID/2432/ArticleID/1104/Pain-and-Pandemic-Unmasking-the-State-of-Human-Rights-in-Kenya-in-Containment-of-the-COVID-19-Pandemic" TargetMode="External"/><Relationship Id="rId88" Type="http://schemas.openxmlformats.org/officeDocument/2006/relationships/hyperlink" Target="https://www.knchr.org/Portals/0/KNCHR_Silhouettes_of_Brutality.pdf" TargetMode="External"/><Relationship Id="rId91" Type="http://schemas.openxmlformats.org/officeDocument/2006/relationships/hyperlink" Target="https://www.knchr.org/portals/0/grouprightsreports/KNCHR-Fact_Finding_Mission_to_Embobut_Forest.pdf" TargetMode="External"/><Relationship Id="rId1" Type="http://schemas.openxmlformats.org/officeDocument/2006/relationships/hyperlink" Target="http://www.kenyalaw.org/lex//actview.xql?actid=No.%2014%20of%202011" TargetMode="External"/><Relationship Id="rId6" Type="http://schemas.openxmlformats.org/officeDocument/2006/relationships/hyperlink" Target="https://eacc.go.ke/default/wp-content/uploads/2019/12/Convictions-since-2003.pdf" TargetMode="External"/><Relationship Id="rId15" Type="http://schemas.openxmlformats.org/officeDocument/2006/relationships/hyperlink" Target="https://www.judiciary.go.ke/download/sojar-report/" TargetMode="External"/><Relationship Id="rId23" Type="http://schemas.openxmlformats.org/officeDocument/2006/relationships/hyperlink" Target="http://kenyalaw.org/caselaw/cases/view/150781/" TargetMode="External"/><Relationship Id="rId28" Type="http://schemas.openxmlformats.org/officeDocument/2006/relationships/hyperlink" Target="https://www.knchr.org/Portals/0/FINAL%20INTERSEX%20TASKFORCE%20REPORT.pdf" TargetMode="External"/><Relationship Id="rId36" Type="http://schemas.openxmlformats.org/officeDocument/2006/relationships/hyperlink" Target="http://www.uwezo.go.ke/" TargetMode="External"/><Relationship Id="rId49" Type="http://schemas.openxmlformats.org/officeDocument/2006/relationships/hyperlink" Target="https://www.ngeckenya.org/Downloads/Duty%20Bearers%27%20Handbook%20Second%20Edition.pdf" TargetMode="External"/><Relationship Id="rId57" Type="http://schemas.openxmlformats.org/officeDocument/2006/relationships/hyperlink" Target="https://documents-dds-ny.un.org/doc/UNDOC/GEN/G10/179/54/PDF/G1017954.pdf?OpenElement" TargetMode="External"/><Relationship Id="rId10" Type="http://schemas.openxmlformats.org/officeDocument/2006/relationships/hyperlink" Target="https://www.amnestykenya.org/katiba-at-10-distressed-yet-defiant/" TargetMode="External"/><Relationship Id="rId31" Type="http://schemas.openxmlformats.org/officeDocument/2006/relationships/hyperlink" Target="http://kenyalaw.org/caselaw/cases/view/85286" TargetMode="External"/><Relationship Id="rId44" Type="http://schemas.openxmlformats.org/officeDocument/2006/relationships/hyperlink" Target="https://www.knchr.org/Portals/0/CivilAndPoliticalReports/Securing%20National%20Security%20and%20Protection%20of%20Human%20Rights_1.pdf?ver=2018-06-06-202730-197" TargetMode="External"/><Relationship Id="rId52" Type="http://schemas.openxmlformats.org/officeDocument/2006/relationships/hyperlink" Target="https://www.safeabortionwomensright.org/wp-content/uploads/2018/02/Standards-Guidelines-for-the-Reduction-of-Morbidity-and-Mortality-from-Unsafe-Abortion.pdf" TargetMode="External"/><Relationship Id="rId60" Type="http://schemas.openxmlformats.org/officeDocument/2006/relationships/hyperlink" Target="http://kenyalaw.org/caselaw/cases/view/100914/" TargetMode="External"/><Relationship Id="rId65" Type="http://schemas.openxmlformats.org/officeDocument/2006/relationships/hyperlink" Target="http://kenyalaw.org/caselaw/cases/view/169489/" TargetMode="External"/><Relationship Id="rId73" Type="http://schemas.openxmlformats.org/officeDocument/2006/relationships/hyperlink" Target="https://www.state.gov/wp-content/uploads/2019/06/2019-Trafficking-in-Persons-Report.pdf" TargetMode="External"/><Relationship Id="rId78" Type="http://schemas.openxmlformats.org/officeDocument/2006/relationships/hyperlink" Target="https://www.knchr.org/Portals/0/Final%20KNCHR%20COVID%2019%20Situational%20Report%20June%202020-%20Incorporated%20Recommendations_1.pdf" TargetMode="External"/><Relationship Id="rId81" Type="http://schemas.openxmlformats.org/officeDocument/2006/relationships/hyperlink" Target="http://kenyalaw.org/caselaw/cases/view/151117/" TargetMode="External"/><Relationship Id="rId86" Type="http://schemas.openxmlformats.org/officeDocument/2006/relationships/hyperlink" Target="https://ncaj.go.ke/committees/special-taskforce-on-children-matters/" TargetMode="External"/><Relationship Id="rId4" Type="http://schemas.openxmlformats.org/officeDocument/2006/relationships/hyperlink" Target="http://www.achpr.org/sessions/60th/resolutions/370/" TargetMode="External"/><Relationship Id="rId9" Type="http://schemas.openxmlformats.org/officeDocument/2006/relationships/hyperlink" Target="https://icj-kenya.org/publications/send/3-publications/234-better-but-still-unequal-the-state-of-human-rights-in-kenya" TargetMode="External"/><Relationship Id="rId13" Type="http://schemas.openxmlformats.org/officeDocument/2006/relationships/hyperlink" Target="http://kenyalaw.org/kenya_gazette/gazette/volume/MTI5MQ--/Vol.CXVIII-No.21" TargetMode="External"/><Relationship Id="rId18" Type="http://schemas.openxmlformats.org/officeDocument/2006/relationships/hyperlink" Target="https://www.president.go.ke/2015/03/26/speech-by-his-excellency-hon-uhuru-kenyatta-c-g-h-president-and-commander-in-chief-of-the-defence-forces-of-the-republic-of-kenya-during-the-state-of-the-nation-address-at-parliament-buildings-na/" TargetMode="External"/><Relationship Id="rId39" Type="http://schemas.openxmlformats.org/officeDocument/2006/relationships/hyperlink" Target="http://kenyalaw.org:8181/exist/kenyalex/actview.xql?actid=No.%2030%20of%202012" TargetMode="External"/><Relationship Id="rId34" Type="http://schemas.openxmlformats.org/officeDocument/2006/relationships/hyperlink" Target="http://www.parliament.go.ke/sites/default/files/201705/The_Constitution_of_Kenya__Amendment_Bill_2018.pdf" TargetMode="External"/><Relationship Id="rId50" Type="http://schemas.openxmlformats.org/officeDocument/2006/relationships/hyperlink" Target="http://www.nationalpolice.go.ke/2015-09-08-17-56-33/news/271-nps-unveils-standard-operating-procedures-for-prevention-and-response-to-gender-based-violence.html" TargetMode="External"/><Relationship Id="rId55" Type="http://schemas.openxmlformats.org/officeDocument/2006/relationships/hyperlink" Target="https://www.statelaw.go.ke/death-sentenced-offenders-records-audit-report-30-may2019/" TargetMode="External"/><Relationship Id="rId76" Type="http://schemas.openxmlformats.org/officeDocument/2006/relationships/hyperlink" Target="http://www.unhcr.org/protection/idps/43ce1cff2/guiding-principles-internal-displacement.html" TargetMode="External"/><Relationship Id="rId7" Type="http://schemas.openxmlformats.org/officeDocument/2006/relationships/hyperlink" Target="https://eacc.go.ke/default/wpcontent/uploads/2019/12/ASSETS-RECOVERED-BETWEEN-2003-AND-2019..pdf" TargetMode="External"/><Relationship Id="rId71" Type="http://schemas.openxmlformats.org/officeDocument/2006/relationships/hyperlink" Target="https://nea.go.ke/web/wp-content/uploads/2020/03/List-of-Accredited-Recruitment-Agencies-12.03.2020.pdf" TargetMode="External"/><Relationship Id="rId2" Type="http://schemas.openxmlformats.org/officeDocument/2006/relationships/hyperlink" Target="http://www.kenyalaw.org/lex//actview.xql?actid=No.%2012%20of%202017" TargetMode="External"/><Relationship Id="rId29" Type="http://schemas.openxmlformats.org/officeDocument/2006/relationships/hyperlink" Target="https://www.knbs.or.ke/?wpdmpro=2019-kenya-population-and-housing-census-volume-i-population-by-county-and-sub-county" TargetMode="External"/><Relationship Id="rId24" Type="http://schemas.openxmlformats.org/officeDocument/2006/relationships/hyperlink" Target="http://kenyalaw.org/caselaw/cases/view/108412/" TargetMode="External"/><Relationship Id="rId40" Type="http://schemas.openxmlformats.org/officeDocument/2006/relationships/hyperlink" Target="http://kenyalaw.org/caselaw/cases/view/106083/" TargetMode="External"/><Relationship Id="rId45" Type="http://schemas.openxmlformats.org/officeDocument/2006/relationships/hyperlink" Target="http://www.knchr.org/Portals/0/CivilAndPoliticalReports/Report%20of%20KNCHR%20investigations%20on%20Operation%20Usalama%20Watch.pdf?ver=2018-06-06-194906-830" TargetMode="External"/><Relationship Id="rId66" Type="http://schemas.openxmlformats.org/officeDocument/2006/relationships/hyperlink" Target="http://kenyalaw.org/caselaw/cases/view/130164/" TargetMode="External"/><Relationship Id="rId87" Type="http://schemas.openxmlformats.org/officeDocument/2006/relationships/hyperlink" Target="https://www.knchr.org/Portals/0/CivilAndPoliticalReports/Mirage%20at%20Dusk_B5_210518_2215.pdf?ver=2018-05-23-125203-263" TargetMode="External"/><Relationship Id="rId61" Type="http://schemas.openxmlformats.org/officeDocument/2006/relationships/hyperlink" Target="http://www.ipoa.go.ke/wp-content/uploads/2018/05/IPOA-BOARD-END-TERM-REPORT-2012-2018-for-website.pdf" TargetMode="External"/><Relationship Id="rId82" Type="http://schemas.openxmlformats.org/officeDocument/2006/relationships/hyperlink" Target="http://kenyalaw.org/caselaw/cases/view/121033/" TargetMode="External"/><Relationship Id="rId19" Type="http://schemas.openxmlformats.org/officeDocument/2006/relationships/hyperlink" Target="http://www.kenyalaw.org/lex/actview.xql?actid=CAP.%20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041F1E-5834-AD44-9D13-4F2FDB36717F}">
  <ds:schemaRefs>
    <ds:schemaRef ds:uri="http://schemas.openxmlformats.org/officeDocument/2006/bibliography"/>
  </ds:schemaRefs>
</ds:datastoreItem>
</file>

<file path=customXml/itemProps2.xml><?xml version="1.0" encoding="utf-8"?>
<ds:datastoreItem xmlns:ds="http://schemas.openxmlformats.org/officeDocument/2006/customXml" ds:itemID="{F8697731-2F8C-4C16-957A-597D1FE99B01}"/>
</file>

<file path=customXml/itemProps3.xml><?xml version="1.0" encoding="utf-8"?>
<ds:datastoreItem xmlns:ds="http://schemas.openxmlformats.org/officeDocument/2006/customXml" ds:itemID="{52BE3186-83FD-4808-8AEA-DA7F075ADCD9}"/>
</file>

<file path=customXml/itemProps4.xml><?xml version="1.0" encoding="utf-8"?>
<ds:datastoreItem xmlns:ds="http://schemas.openxmlformats.org/officeDocument/2006/customXml" ds:itemID="{2C623D48-4A9C-4256-A5D0-87AB8322E8D7}"/>
</file>

<file path=docProps/app.xml><?xml version="1.0" encoding="utf-8"?>
<Properties xmlns="http://schemas.openxmlformats.org/officeDocument/2006/extended-properties" xmlns:vt="http://schemas.openxmlformats.org/officeDocument/2006/docPropsVTypes">
  <Template>Normal</Template>
  <TotalTime>2</TotalTime>
  <Pages>38</Pages>
  <Words>9816</Words>
  <Characters>55955</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report to the united nations HUMAN RIGHTS committee on the implementation of the provisions of the international covenant on civil and political rights</vt:lpstr>
    </vt:vector>
  </TitlesOfParts>
  <Company/>
  <LinksUpToDate>false</LinksUpToDate>
  <CharactersWithSpaces>65640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to the united nations HUMAN RIGHTS committee on the implementation of the provisions of the international covenant on civil and political rights</dc:title>
  <dc:subject>JULY 2020</dc:subject>
  <dc:creator>Janet Kabaya</dc:creator>
  <cp:keywords/>
  <dc:description/>
  <cp:lastModifiedBy>Spectre</cp:lastModifiedBy>
  <cp:revision>3</cp:revision>
  <cp:lastPrinted>2020-09-14T12:55:00Z</cp:lastPrinted>
  <dcterms:created xsi:type="dcterms:W3CDTF">2020-09-14T12:55:00Z</dcterms:created>
  <dcterms:modified xsi:type="dcterms:W3CDTF">2020-09-14T12:56:00Z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