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76C45C" w14:textId="452EF427" w:rsidR="004F12D2" w:rsidRDefault="004F12D2" w:rsidP="00DE304E">
      <w:bookmarkStart w:id="0" w:name="_GoBack"/>
      <w:bookmarkEnd w:id="0"/>
    </w:p>
    <w:p w14:paraId="5BF5BE5D" w14:textId="219DB12D" w:rsidR="004F12D2" w:rsidRPr="00C60115" w:rsidRDefault="0086100C" w:rsidP="00437B1F">
      <w:pPr>
        <w:pStyle w:val="Heading1"/>
        <w:spacing w:line="276" w:lineRule="auto"/>
        <w:jc w:val="center"/>
        <w:rPr>
          <w:color w:val="3405DF"/>
        </w:rPr>
      </w:pPr>
      <w:bookmarkStart w:id="1" w:name="_Toc12626226"/>
      <w:bookmarkStart w:id="2" w:name="_Toc23330162"/>
      <w:r>
        <w:rPr>
          <w:color w:val="3405DF"/>
        </w:rPr>
        <w:t>Luxembourg</w:t>
      </w:r>
      <w:r w:rsidR="000E2144">
        <w:rPr>
          <w:color w:val="3405DF"/>
        </w:rPr>
        <w:t xml:space="preserve">: </w:t>
      </w:r>
      <w:r w:rsidR="00A30864">
        <w:rPr>
          <w:color w:val="3405DF"/>
        </w:rPr>
        <w:t xml:space="preserve">A Brief </w:t>
      </w:r>
      <w:r w:rsidR="00F42DA9">
        <w:rPr>
          <w:color w:val="3405DF"/>
        </w:rPr>
        <w:t xml:space="preserve">on </w:t>
      </w:r>
      <w:r w:rsidR="004C2CBC">
        <w:rPr>
          <w:color w:val="3405DF"/>
        </w:rPr>
        <w:t xml:space="preserve">Constitutional and Legal </w:t>
      </w:r>
      <w:r w:rsidR="004F12D2" w:rsidRPr="00C60115">
        <w:rPr>
          <w:color w:val="3405DF"/>
        </w:rPr>
        <w:t>Guarantees to Non-Discrimination</w:t>
      </w:r>
      <w:r w:rsidR="00D361AD">
        <w:rPr>
          <w:color w:val="3405DF"/>
        </w:rPr>
        <w:t>,</w:t>
      </w:r>
      <w:r w:rsidR="004F12D2" w:rsidRPr="00C60115">
        <w:rPr>
          <w:color w:val="3405DF"/>
        </w:rPr>
        <w:t xml:space="preserve"> </w:t>
      </w:r>
      <w:bookmarkEnd w:id="1"/>
      <w:bookmarkEnd w:id="2"/>
      <w:r w:rsidR="00F42DA9">
        <w:rPr>
          <w:color w:val="3405DF"/>
        </w:rPr>
        <w:t>Equality</w:t>
      </w:r>
      <w:r w:rsidR="00565144">
        <w:rPr>
          <w:color w:val="3405DF"/>
        </w:rPr>
        <w:t>,</w:t>
      </w:r>
      <w:r w:rsidR="00D361AD">
        <w:rPr>
          <w:color w:val="3405DF"/>
        </w:rPr>
        <w:t xml:space="preserve"> and Education</w:t>
      </w:r>
    </w:p>
    <w:p w14:paraId="7D94D936" w14:textId="77777777" w:rsidR="004F12D2" w:rsidRPr="00C60115" w:rsidRDefault="004F12D2" w:rsidP="00437B1F">
      <w:pPr>
        <w:spacing w:line="276" w:lineRule="auto"/>
        <w:rPr>
          <w:color w:val="3405DF"/>
        </w:rPr>
      </w:pPr>
    </w:p>
    <w:p w14:paraId="525DEE3E" w14:textId="33D816DB" w:rsidR="004F12D2" w:rsidRPr="00C60115" w:rsidRDefault="004F12D2" w:rsidP="00437B1F">
      <w:pPr>
        <w:pStyle w:val="Heading1"/>
        <w:spacing w:before="0" w:line="276" w:lineRule="auto"/>
        <w:jc w:val="center"/>
        <w:rPr>
          <w:i/>
          <w:iCs/>
          <w:color w:val="3405DF"/>
          <w:sz w:val="24"/>
          <w:szCs w:val="24"/>
        </w:rPr>
      </w:pPr>
      <w:bookmarkStart w:id="3" w:name="_Toc12626227"/>
      <w:bookmarkStart w:id="4" w:name="_Toc23330163"/>
      <w:r w:rsidRPr="00C60115">
        <w:rPr>
          <w:i/>
          <w:iCs/>
          <w:color w:val="3405DF"/>
          <w:sz w:val="24"/>
          <w:szCs w:val="24"/>
        </w:rPr>
        <w:t xml:space="preserve">Information for the Committee on </w:t>
      </w:r>
      <w:r w:rsidR="00A30864">
        <w:rPr>
          <w:i/>
          <w:iCs/>
          <w:color w:val="3405DF"/>
          <w:sz w:val="24"/>
          <w:szCs w:val="24"/>
        </w:rPr>
        <w:t>Economic, Social, and Cultural Rights</w:t>
      </w:r>
      <w:bookmarkEnd w:id="3"/>
      <w:bookmarkEnd w:id="4"/>
    </w:p>
    <w:p w14:paraId="7889A3A7" w14:textId="71324857" w:rsidR="004F12D2" w:rsidRPr="00C60115" w:rsidRDefault="004F1A2B" w:rsidP="00437B1F">
      <w:pPr>
        <w:pStyle w:val="Heading1"/>
        <w:spacing w:before="0" w:line="276" w:lineRule="auto"/>
        <w:jc w:val="center"/>
        <w:rPr>
          <w:i/>
          <w:iCs/>
          <w:color w:val="3405DF"/>
          <w:sz w:val="24"/>
          <w:szCs w:val="24"/>
        </w:rPr>
      </w:pPr>
      <w:bookmarkStart w:id="5" w:name="_Toc12626228"/>
      <w:bookmarkStart w:id="6" w:name="_Toc23330164"/>
      <w:r>
        <w:rPr>
          <w:i/>
          <w:iCs/>
          <w:color w:val="3405DF"/>
          <w:sz w:val="24"/>
          <w:szCs w:val="24"/>
        </w:rPr>
        <w:t>67</w:t>
      </w:r>
      <w:r w:rsidR="004F12D2" w:rsidRPr="00C60115">
        <w:rPr>
          <w:i/>
          <w:iCs/>
          <w:color w:val="3405DF"/>
          <w:sz w:val="24"/>
          <w:szCs w:val="24"/>
          <w:vertAlign w:val="superscript"/>
        </w:rPr>
        <w:t>h</w:t>
      </w:r>
      <w:r w:rsidR="004F12D2" w:rsidRPr="00C60115">
        <w:rPr>
          <w:i/>
          <w:iCs/>
          <w:color w:val="3405DF"/>
          <w:sz w:val="24"/>
          <w:szCs w:val="24"/>
        </w:rPr>
        <w:t xml:space="preserve"> Pre-Session</w:t>
      </w:r>
      <w:r w:rsidR="00D361AD">
        <w:rPr>
          <w:i/>
          <w:iCs/>
          <w:color w:val="3405DF"/>
          <w:sz w:val="24"/>
          <w:szCs w:val="24"/>
        </w:rPr>
        <w:t>al</w:t>
      </w:r>
      <w:r w:rsidR="004F12D2" w:rsidRPr="00C60115">
        <w:rPr>
          <w:i/>
          <w:iCs/>
          <w:color w:val="3405DF"/>
          <w:sz w:val="24"/>
          <w:szCs w:val="24"/>
        </w:rPr>
        <w:t xml:space="preserve"> Working Group, </w:t>
      </w:r>
      <w:r w:rsidRPr="004F1A2B">
        <w:rPr>
          <w:i/>
          <w:iCs/>
          <w:color w:val="3405DF"/>
          <w:sz w:val="24"/>
          <w:szCs w:val="24"/>
        </w:rPr>
        <w:t>October</w:t>
      </w:r>
      <w:r w:rsidR="004F12D2" w:rsidRPr="004F1A2B">
        <w:rPr>
          <w:i/>
          <w:iCs/>
          <w:color w:val="3405DF"/>
          <w:sz w:val="24"/>
          <w:szCs w:val="24"/>
        </w:rPr>
        <w:t xml:space="preserve"> </w:t>
      </w:r>
      <w:bookmarkEnd w:id="5"/>
      <w:bookmarkEnd w:id="6"/>
      <w:r w:rsidR="000E2144">
        <w:rPr>
          <w:i/>
          <w:iCs/>
          <w:color w:val="3405DF"/>
          <w:sz w:val="24"/>
          <w:szCs w:val="24"/>
        </w:rPr>
        <w:t>2020</w:t>
      </w:r>
    </w:p>
    <w:p w14:paraId="6119804D" w14:textId="77777777" w:rsidR="004F12D2" w:rsidRPr="00C60115" w:rsidRDefault="004F12D2" w:rsidP="00437B1F">
      <w:pPr>
        <w:spacing w:line="276" w:lineRule="auto"/>
        <w:rPr>
          <w:color w:val="3405DF"/>
        </w:rPr>
      </w:pPr>
    </w:p>
    <w:p w14:paraId="54454E93" w14:textId="1007B1E7" w:rsidR="00EC2807" w:rsidRDefault="00EC2807" w:rsidP="003F1428"/>
    <w:p w14:paraId="3C21ECEA" w14:textId="77777777" w:rsidR="00EC2807" w:rsidRPr="000B3F32" w:rsidRDefault="00EC2807" w:rsidP="00EC2807">
      <w:pPr>
        <w:pStyle w:val="TOCHeading"/>
        <w:rPr>
          <w:rFonts w:ascii="Calibri" w:hAnsi="Calibri" w:cs="Calibri"/>
          <w:color w:val="3405DF"/>
        </w:rPr>
      </w:pPr>
      <w:r w:rsidRPr="000B3F32">
        <w:rPr>
          <w:rFonts w:ascii="Calibri" w:hAnsi="Calibri" w:cs="Calibri"/>
          <w:color w:val="3405DF"/>
        </w:rPr>
        <w:t>Table of Contents</w:t>
      </w:r>
    </w:p>
    <w:p w14:paraId="7C8AA4AC" w14:textId="77777777" w:rsidR="00EC2807" w:rsidRDefault="00EC2807" w:rsidP="00EC2807">
      <w:pPr>
        <w:spacing w:line="276" w:lineRule="auto"/>
      </w:pPr>
    </w:p>
    <w:p w14:paraId="6DDC4840" w14:textId="77777777" w:rsidR="00EC2807" w:rsidRPr="000B5F58" w:rsidRDefault="00EC2807" w:rsidP="000B5F58">
      <w:pPr>
        <w:pStyle w:val="TOC1"/>
        <w:rPr>
          <w:b/>
          <w:bCs w:val="0"/>
        </w:rPr>
      </w:pPr>
      <w:r w:rsidRPr="000B5F58">
        <w:rPr>
          <w:b/>
          <w:bCs w:val="0"/>
        </w:rPr>
        <w:t>Executive Summary</w:t>
      </w:r>
      <w:r w:rsidRPr="000B5F58">
        <w:rPr>
          <w:b/>
          <w:bCs w:val="0"/>
        </w:rPr>
        <w:ptab w:relativeTo="margin" w:alignment="right" w:leader="dot"/>
      </w:r>
      <w:r w:rsidRPr="000B5F58">
        <w:rPr>
          <w:b/>
          <w:bCs w:val="0"/>
        </w:rPr>
        <w:t>2</w:t>
      </w:r>
    </w:p>
    <w:p w14:paraId="10964625" w14:textId="2096A50D" w:rsidR="00033457" w:rsidRDefault="00FD1DC9" w:rsidP="00033457">
      <w:pPr>
        <w:pStyle w:val="TOC2"/>
        <w:ind w:left="216"/>
      </w:pPr>
      <w:r>
        <w:t>E</w:t>
      </w:r>
      <w:r w:rsidR="00033457">
        <w:t xml:space="preserve">quality and </w:t>
      </w:r>
      <w:r w:rsidR="000B5F58">
        <w:t>n</w:t>
      </w:r>
      <w:r w:rsidR="00033457">
        <w:t>on-</w:t>
      </w:r>
      <w:r w:rsidR="000B5F58">
        <w:t>d</w:t>
      </w:r>
      <w:r w:rsidR="00033457">
        <w:t>iscrimination</w:t>
      </w:r>
      <w:r w:rsidR="00033457">
        <w:ptab w:relativeTo="margin" w:alignment="right" w:leader="dot"/>
      </w:r>
      <w:r w:rsidR="008F6256">
        <w:t>2</w:t>
      </w:r>
    </w:p>
    <w:p w14:paraId="4445085B" w14:textId="04D5B4B2" w:rsidR="00033457" w:rsidRDefault="00033457" w:rsidP="00033457">
      <w:pPr>
        <w:ind w:firstLine="216"/>
      </w:pPr>
      <w:r>
        <w:t>Non-</w:t>
      </w:r>
      <w:r w:rsidR="000B5F58">
        <w:t>d</w:t>
      </w:r>
      <w:r>
        <w:t>iscrimination</w:t>
      </w:r>
      <w:r w:rsidR="004A09E4">
        <w:t xml:space="preserve"> in</w:t>
      </w:r>
      <w:r>
        <w:t xml:space="preserve"> </w:t>
      </w:r>
      <w:r w:rsidR="000B5F58">
        <w:t>w</w:t>
      </w:r>
      <w:r>
        <w:t xml:space="preserve">ork and </w:t>
      </w:r>
      <w:r w:rsidR="000B5F58">
        <w:t>e</w:t>
      </w:r>
      <w:r>
        <w:t>mployment</w:t>
      </w:r>
      <w:r>
        <w:ptab w:relativeTo="margin" w:alignment="right" w:leader="dot"/>
      </w:r>
      <w:r w:rsidR="008F6256">
        <w:t>3</w:t>
      </w:r>
    </w:p>
    <w:p w14:paraId="002E860D" w14:textId="2DAA921F" w:rsidR="00033457" w:rsidRPr="000B5F58" w:rsidRDefault="00033457" w:rsidP="000B5F58">
      <w:pPr>
        <w:pStyle w:val="TOC1"/>
        <w:ind w:hanging="54"/>
      </w:pPr>
      <w:r w:rsidRPr="000B5F58">
        <w:t xml:space="preserve">Free and </w:t>
      </w:r>
      <w:r w:rsidR="000B5F58">
        <w:t>c</w:t>
      </w:r>
      <w:r w:rsidRPr="000B5F58">
        <w:t xml:space="preserve">ompulsory </w:t>
      </w:r>
      <w:r w:rsidR="000B5F58">
        <w:t>e</w:t>
      </w:r>
      <w:r w:rsidRPr="000B5F58">
        <w:t>ducation</w:t>
      </w:r>
      <w:r w:rsidRPr="000B5F58">
        <w:ptab w:relativeTo="margin" w:alignment="right" w:leader="dot"/>
      </w:r>
      <w:r w:rsidR="008F6256">
        <w:t>4</w:t>
      </w:r>
    </w:p>
    <w:p w14:paraId="085983ED" w14:textId="77777777" w:rsidR="00033457" w:rsidRDefault="00033457" w:rsidP="000B5F58">
      <w:pPr>
        <w:pStyle w:val="TOC1"/>
      </w:pPr>
    </w:p>
    <w:p w14:paraId="36CCC380" w14:textId="2A942E78" w:rsidR="00EC2807" w:rsidRPr="00033457" w:rsidRDefault="00EC2807" w:rsidP="000B5F58">
      <w:pPr>
        <w:pStyle w:val="TOC1"/>
        <w:rPr>
          <w:b/>
        </w:rPr>
      </w:pPr>
      <w:r w:rsidRPr="00033457">
        <w:rPr>
          <w:b/>
        </w:rPr>
        <w:t>Detail</w:t>
      </w:r>
      <w:r w:rsidR="004A09E4" w:rsidRPr="000B5F58">
        <w:rPr>
          <w:b/>
          <w:bCs w:val="0"/>
        </w:rPr>
        <w:ptab w:relativeTo="margin" w:alignment="right" w:leader="dot"/>
      </w:r>
      <w:r w:rsidR="007B3AA3">
        <w:rPr>
          <w:b/>
          <w:bCs w:val="0"/>
        </w:rPr>
        <w:t>4</w:t>
      </w:r>
    </w:p>
    <w:p w14:paraId="6874CFE7" w14:textId="2E908925" w:rsidR="00EC2807" w:rsidRDefault="0053321F" w:rsidP="00EC2807">
      <w:pPr>
        <w:pStyle w:val="TOC2"/>
        <w:ind w:left="216"/>
      </w:pPr>
      <w:r>
        <w:t>E</w:t>
      </w:r>
      <w:r w:rsidR="000B5F58">
        <w:t>quality</w:t>
      </w:r>
      <w:r>
        <w:t xml:space="preserve"> and</w:t>
      </w:r>
      <w:r w:rsidR="000B5F58">
        <w:t xml:space="preserve"> n</w:t>
      </w:r>
      <w:r w:rsidR="00EC2807">
        <w:t>on-</w:t>
      </w:r>
      <w:r w:rsidR="000B5F58">
        <w:t>d</w:t>
      </w:r>
      <w:r w:rsidR="00EC2807">
        <w:t>iscrimination</w:t>
      </w:r>
      <w:r w:rsidR="00EC2807">
        <w:ptab w:relativeTo="margin" w:alignment="right" w:leader="dot"/>
      </w:r>
      <w:r w:rsidR="007B3AA3">
        <w:t>4</w:t>
      </w:r>
    </w:p>
    <w:p w14:paraId="6458B8EB" w14:textId="236B4B9D" w:rsidR="00EC2807" w:rsidRDefault="00EC2807" w:rsidP="00EC2807">
      <w:pPr>
        <w:ind w:firstLine="216"/>
      </w:pPr>
      <w:r>
        <w:t>Non-</w:t>
      </w:r>
      <w:r w:rsidR="000B5F58">
        <w:t>d</w:t>
      </w:r>
      <w:r>
        <w:t xml:space="preserve">iscrimination </w:t>
      </w:r>
      <w:r w:rsidR="0053321F">
        <w:t xml:space="preserve">in </w:t>
      </w:r>
      <w:r w:rsidR="000B5F58">
        <w:t>w</w:t>
      </w:r>
      <w:r>
        <w:t xml:space="preserve">ork and </w:t>
      </w:r>
      <w:r w:rsidR="000B5F58">
        <w:t>e</w:t>
      </w:r>
      <w:r>
        <w:t>mployment</w:t>
      </w:r>
      <w:r>
        <w:ptab w:relativeTo="margin" w:alignment="right" w:leader="dot"/>
      </w:r>
      <w:r w:rsidR="007B3AA3">
        <w:t>5</w:t>
      </w:r>
    </w:p>
    <w:p w14:paraId="568D57B6" w14:textId="7A8C8357" w:rsidR="00EC2807" w:rsidRDefault="00EC2807" w:rsidP="00EC2807">
      <w:pPr>
        <w:ind w:firstLine="216"/>
      </w:pPr>
      <w:r>
        <w:t xml:space="preserve">Free and </w:t>
      </w:r>
      <w:r w:rsidR="000B5F58">
        <w:t>c</w:t>
      </w:r>
      <w:r>
        <w:t xml:space="preserve">ompulsory </w:t>
      </w:r>
      <w:r w:rsidR="000B5F58">
        <w:t>e</w:t>
      </w:r>
      <w:r>
        <w:t>ducation</w:t>
      </w:r>
      <w:r>
        <w:ptab w:relativeTo="margin" w:alignment="right" w:leader="dot"/>
      </w:r>
      <w:r>
        <w:t>8</w:t>
      </w:r>
    </w:p>
    <w:p w14:paraId="033D7ADA" w14:textId="77777777" w:rsidR="000B5F58" w:rsidRDefault="000B5F58" w:rsidP="00EC2807">
      <w:pPr>
        <w:rPr>
          <w:b/>
          <w:bCs/>
        </w:rPr>
      </w:pPr>
    </w:p>
    <w:p w14:paraId="30553262" w14:textId="48050E89" w:rsidR="00EC2807" w:rsidRDefault="00EC2807" w:rsidP="00EC2807">
      <w:r w:rsidRPr="00033457">
        <w:rPr>
          <w:b/>
          <w:bCs/>
        </w:rPr>
        <w:t>Reference Sheet</w:t>
      </w:r>
      <w:r>
        <w:t xml:space="preserve">: </w:t>
      </w:r>
      <w:r w:rsidRPr="00033457">
        <w:rPr>
          <w:b/>
          <w:bCs/>
        </w:rPr>
        <w:t>Recommended Questions</w:t>
      </w:r>
      <w:r>
        <w:t xml:space="preserve"> </w:t>
      </w:r>
      <w:r w:rsidRPr="00033457">
        <w:rPr>
          <w:b/>
          <w:bCs/>
        </w:rPr>
        <w:t>for List of Issues</w:t>
      </w:r>
      <w:r>
        <w:ptab w:relativeTo="margin" w:alignment="right" w:leader="dot"/>
      </w:r>
      <w:r w:rsidR="007B3AA3">
        <w:t>9</w:t>
      </w:r>
    </w:p>
    <w:p w14:paraId="4F7AB7C9" w14:textId="6174E44F" w:rsidR="00EC2807" w:rsidRDefault="00EC2807" w:rsidP="00EC2807">
      <w:pPr>
        <w:sectPr w:rsidR="00EC2807">
          <w:headerReference w:type="default" r:id="rId8"/>
          <w:footerReference w:type="default" r:id="rId9"/>
          <w:pgSz w:w="12240" w:h="15840"/>
          <w:pgMar w:top="1440" w:right="1440" w:bottom="1440" w:left="1440" w:header="720" w:footer="720" w:gutter="0"/>
          <w:cols w:space="720"/>
          <w:docGrid w:linePitch="360"/>
        </w:sectPr>
      </w:pPr>
      <w:r w:rsidRPr="00033457">
        <w:rPr>
          <w:b/>
          <w:bCs/>
        </w:rPr>
        <w:t>Reference Sheet: Recommended Concluding</w:t>
      </w:r>
      <w:r>
        <w:t xml:space="preserve"> </w:t>
      </w:r>
      <w:r w:rsidRPr="00033457">
        <w:rPr>
          <w:b/>
          <w:bCs/>
        </w:rPr>
        <w:t>Observations</w:t>
      </w:r>
      <w:r>
        <w:ptab w:relativeTo="margin" w:alignment="right" w:leader="dot"/>
      </w:r>
      <w:r w:rsidR="007B3AA3">
        <w:t>9</w:t>
      </w:r>
    </w:p>
    <w:p w14:paraId="13BA50EA" w14:textId="4E20C84A" w:rsidR="004B412B" w:rsidRPr="00D23173" w:rsidRDefault="004B412B" w:rsidP="004B412B">
      <w:pPr>
        <w:pBdr>
          <w:top w:val="single" w:sz="24" w:space="0" w:color="4F81BD"/>
          <w:left w:val="single" w:sz="24" w:space="0" w:color="4F81BD"/>
          <w:bottom w:val="single" w:sz="24" w:space="0" w:color="4F81BD"/>
          <w:right w:val="single" w:sz="24" w:space="0" w:color="4F81BD"/>
        </w:pBdr>
        <w:shd w:val="clear" w:color="auto" w:fill="4F81BD"/>
        <w:spacing w:before="200" w:after="200" w:line="276" w:lineRule="auto"/>
        <w:outlineLvl w:val="0"/>
        <w:rPr>
          <w:rFonts w:asciiTheme="majorHAnsi" w:eastAsia="Times New Roman" w:hAnsiTheme="majorHAnsi" w:cs="Times New Roman"/>
          <w:b/>
          <w:bCs/>
          <w:caps/>
          <w:color w:val="FFFFFF"/>
          <w:spacing w:val="15"/>
        </w:rPr>
      </w:pPr>
      <w:bookmarkStart w:id="7" w:name="_Toc23330165"/>
      <w:r w:rsidRPr="00D23173">
        <w:rPr>
          <w:rFonts w:asciiTheme="majorHAnsi" w:eastAsia="Times New Roman" w:hAnsiTheme="majorHAnsi" w:cs="Times New Roman"/>
          <w:b/>
          <w:bCs/>
          <w:caps/>
          <w:color w:val="FFFFFF"/>
          <w:spacing w:val="15"/>
        </w:rPr>
        <w:lastRenderedPageBreak/>
        <w:t>e</w:t>
      </w:r>
      <w:r>
        <w:rPr>
          <w:rFonts w:asciiTheme="majorHAnsi" w:eastAsia="Times New Roman" w:hAnsiTheme="majorHAnsi" w:cs="Times New Roman"/>
          <w:b/>
          <w:bCs/>
          <w:caps/>
          <w:color w:val="FFFFFF"/>
          <w:spacing w:val="15"/>
        </w:rPr>
        <w:t>X</w:t>
      </w:r>
      <w:r w:rsidR="00D57D26">
        <w:rPr>
          <w:rFonts w:asciiTheme="majorHAnsi" w:eastAsia="Times New Roman" w:hAnsiTheme="majorHAnsi" w:cs="Times New Roman"/>
          <w:b/>
          <w:bCs/>
          <w:caps/>
          <w:color w:val="FFFFFF"/>
          <w:spacing w:val="15"/>
        </w:rPr>
        <w:t>E</w:t>
      </w:r>
      <w:r w:rsidRPr="00D23173">
        <w:rPr>
          <w:rFonts w:asciiTheme="majorHAnsi" w:eastAsia="Times New Roman" w:hAnsiTheme="majorHAnsi" w:cs="Times New Roman"/>
          <w:b/>
          <w:bCs/>
          <w:caps/>
          <w:color w:val="FFFFFF"/>
          <w:spacing w:val="15"/>
        </w:rPr>
        <w:t>cutive Summary</w:t>
      </w:r>
      <w:bookmarkEnd w:id="7"/>
    </w:p>
    <w:p w14:paraId="0BE67B93" w14:textId="7515582D" w:rsidR="00437B1F" w:rsidRDefault="00437B1F" w:rsidP="00437B1F">
      <w:pPr>
        <w:spacing w:line="276" w:lineRule="auto"/>
      </w:pPr>
      <w:r w:rsidRPr="003F1428">
        <w:t xml:space="preserve">The WORLD Policy Analysis Center, based at the University of California, Los Angeles, captures </w:t>
      </w:r>
      <w:r w:rsidRPr="003F1428">
        <w:rPr>
          <w:rFonts w:ascii="Calibri" w:hAnsi="Calibri"/>
        </w:rPr>
        <w:t>quantitative policy data on more than 2,000 indicators that matter to equality, health, and well-being. We</w:t>
      </w:r>
      <w:r w:rsidRPr="003F1428">
        <w:t xml:space="preserve"> strive to improve the quantity and quality of globally comparative data available to policymakers, citizens, national governments, intergovernmental organizations, civil society, and researchers for all 193 UN member states.</w:t>
      </w:r>
      <w:r w:rsidR="004B412B">
        <w:t xml:space="preserve"> We submit the following brief in advance of the </w:t>
      </w:r>
      <w:r w:rsidR="004C2CBC" w:rsidRPr="004C2CBC">
        <w:t>67</w:t>
      </w:r>
      <w:r w:rsidR="004B412B" w:rsidRPr="004C2CBC">
        <w:rPr>
          <w:vertAlign w:val="superscript"/>
        </w:rPr>
        <w:t>th</w:t>
      </w:r>
      <w:r w:rsidR="004B412B">
        <w:t xml:space="preserve"> Pre-Sessional Working Group of the Committee on </w:t>
      </w:r>
      <w:r w:rsidR="0008349B">
        <w:t>Economic, Social, and Cultural Rights</w:t>
      </w:r>
      <w:r w:rsidR="004B412B">
        <w:t xml:space="preserve">. </w:t>
      </w:r>
    </w:p>
    <w:p w14:paraId="207E3061" w14:textId="77777777" w:rsidR="0008349B" w:rsidRDefault="0008349B" w:rsidP="0008349B">
      <w:pPr>
        <w:spacing w:line="276" w:lineRule="auto"/>
      </w:pPr>
      <w:r>
        <w:t>This brief will focu</w:t>
      </w:r>
      <w:r w:rsidRPr="00FB6EC9">
        <w:t xml:space="preserve">s on </w:t>
      </w:r>
      <w:r>
        <w:t>the following three</w:t>
      </w:r>
      <w:r w:rsidRPr="00FB6EC9">
        <w:t xml:space="preserve"> are</w:t>
      </w:r>
      <w:r>
        <w:t>as:</w:t>
      </w:r>
    </w:p>
    <w:p w14:paraId="26E95DE6" w14:textId="76D7C394" w:rsidR="0008349B" w:rsidRPr="00076E69" w:rsidRDefault="004A09E4" w:rsidP="0008349B">
      <w:pPr>
        <w:pStyle w:val="ListParagraph"/>
        <w:numPr>
          <w:ilvl w:val="0"/>
          <w:numId w:val="26"/>
        </w:numPr>
        <w:spacing w:line="276" w:lineRule="auto"/>
      </w:pPr>
      <w:r>
        <w:rPr>
          <w:rFonts w:ascii="Calibri" w:hAnsi="Calibri" w:cs="Calibri"/>
        </w:rPr>
        <w:t>E</w:t>
      </w:r>
      <w:r w:rsidR="0008349B" w:rsidRPr="00076E69">
        <w:rPr>
          <w:rFonts w:ascii="Calibri" w:hAnsi="Calibri" w:cs="Calibri"/>
        </w:rPr>
        <w:t xml:space="preserve">quality </w:t>
      </w:r>
      <w:r w:rsidR="006E4A65">
        <w:rPr>
          <w:rFonts w:ascii="Calibri" w:hAnsi="Calibri" w:cs="Calibri"/>
        </w:rPr>
        <w:t>and non-discrimination (Article</w:t>
      </w:r>
      <w:r w:rsidR="0008349B" w:rsidRPr="00076E69">
        <w:rPr>
          <w:rFonts w:ascii="Calibri" w:hAnsi="Calibri" w:cs="Calibri"/>
        </w:rPr>
        <w:t xml:space="preserve"> 2, General Comment No. 5) </w:t>
      </w:r>
    </w:p>
    <w:p w14:paraId="7D3BC852" w14:textId="77777777" w:rsidR="0008349B" w:rsidRPr="0008349B" w:rsidRDefault="0008349B" w:rsidP="0008349B">
      <w:pPr>
        <w:pStyle w:val="ListParagraph"/>
        <w:numPr>
          <w:ilvl w:val="0"/>
          <w:numId w:val="26"/>
        </w:numPr>
        <w:spacing w:line="276" w:lineRule="auto"/>
        <w:rPr>
          <w:color w:val="000000" w:themeColor="text1"/>
        </w:rPr>
      </w:pPr>
      <w:r w:rsidRPr="0008349B">
        <w:rPr>
          <w:color w:val="000000" w:themeColor="text1"/>
        </w:rPr>
        <w:t>Non-discrimination in work and employment (Article 7)</w:t>
      </w:r>
    </w:p>
    <w:p w14:paraId="63F2C1E2" w14:textId="24359B69" w:rsidR="0008349B" w:rsidRPr="0008349B" w:rsidRDefault="0008349B" w:rsidP="0008349B">
      <w:pPr>
        <w:pStyle w:val="ListParagraph"/>
        <w:numPr>
          <w:ilvl w:val="0"/>
          <w:numId w:val="26"/>
        </w:numPr>
        <w:spacing w:line="276" w:lineRule="auto"/>
        <w:rPr>
          <w:color w:val="000000" w:themeColor="text1"/>
        </w:rPr>
      </w:pPr>
      <w:r w:rsidRPr="0008349B">
        <w:rPr>
          <w:color w:val="000000" w:themeColor="text1"/>
        </w:rPr>
        <w:t>Free an</w:t>
      </w:r>
      <w:r w:rsidR="003D4BA1">
        <w:rPr>
          <w:color w:val="000000" w:themeColor="text1"/>
        </w:rPr>
        <w:t>d compulsory education (Article</w:t>
      </w:r>
      <w:r w:rsidRPr="0008349B">
        <w:rPr>
          <w:color w:val="000000" w:themeColor="text1"/>
        </w:rPr>
        <w:t xml:space="preserve"> 13)</w:t>
      </w:r>
    </w:p>
    <w:p w14:paraId="229E1957" w14:textId="77777777" w:rsidR="00F42DA9" w:rsidRDefault="00F42DA9" w:rsidP="00F42DA9">
      <w:pPr>
        <w:spacing w:line="276" w:lineRule="auto"/>
      </w:pPr>
      <w:r>
        <w:t>We have</w:t>
      </w:r>
      <w:r w:rsidRPr="00806DB5">
        <w:t xml:space="preserve"> collected and analyzed information on rights, laws, and policies in</w:t>
      </w:r>
      <w:r>
        <w:t xml:space="preserve"> these areas for</w:t>
      </w:r>
      <w:r w:rsidRPr="00806DB5">
        <w:t xml:space="preserve"> all 193 UN member states</w:t>
      </w:r>
      <w:r>
        <w:t xml:space="preserve"> using a variety of sources, including </w:t>
      </w:r>
      <w:r w:rsidRPr="00697643">
        <w:t xml:space="preserve">primary national legal sources (e.g. </w:t>
      </w:r>
      <w:r>
        <w:t>original legislation and constitutions)</w:t>
      </w:r>
      <w:r w:rsidRPr="00697643">
        <w:t xml:space="preserve">, national reports on policies and laws to the United Nations and official global and regional bodies, </w:t>
      </w:r>
      <w:r>
        <w:t xml:space="preserve">and secondary sources where clarification or corroboration of primary data is needed. Using a rigorous double-coding process, we create original databases which distill thousands of pages of text to highlight the </w:t>
      </w:r>
      <w:r w:rsidRPr="00697643">
        <w:t>essential features of each right, law, or policy.</w:t>
      </w:r>
      <w:r>
        <w:t xml:space="preserve"> These original databases are the reference for the following brief. When drafting each brief, we perform a series of additional verifications to ensure the data provided reflects the current constitutional and legal landscape of a country. </w:t>
      </w:r>
    </w:p>
    <w:p w14:paraId="289070FC" w14:textId="0F71F7CB" w:rsidR="00076E69" w:rsidRDefault="00F42DA9" w:rsidP="00437B1F">
      <w:pPr>
        <w:spacing w:line="276" w:lineRule="auto"/>
      </w:pPr>
      <w:r>
        <w:t xml:space="preserve">In this executive summary, we provide our findings and suggestions for questions the committee may ask regarding areas that may have not been covered. Finally, we suggest topics to be addressed by the committee in concluding observations. </w:t>
      </w:r>
      <w:r w:rsidRPr="00495DF4">
        <w:t xml:space="preserve">We hope the Committee will recommend that </w:t>
      </w:r>
      <w:r>
        <w:t xml:space="preserve">the </w:t>
      </w:r>
      <w:r w:rsidR="0086100C">
        <w:t>Luxembourg</w:t>
      </w:r>
      <w:r w:rsidRPr="00495DF4">
        <w:t xml:space="preserve"> address any gaps in consultation and collaboration with relevant stakeholders, including civil society organizations.  </w:t>
      </w:r>
    </w:p>
    <w:p w14:paraId="1F9B2E00" w14:textId="12FC71CE" w:rsidR="00D133B4" w:rsidRPr="000676FE" w:rsidRDefault="00D262AA" w:rsidP="00D133B4">
      <w:pPr>
        <w:spacing w:line="276" w:lineRule="auto"/>
      </w:pPr>
      <w:r>
        <w:t xml:space="preserve">The WORLD Policy Analysis Center’s examination of </w:t>
      </w:r>
      <w:r w:rsidR="0086100C">
        <w:t>Luxembourg</w:t>
      </w:r>
      <w:r w:rsidRPr="000E2144">
        <w:t>’</w:t>
      </w:r>
      <w:r>
        <w:t>s constitutional provisions</w:t>
      </w:r>
      <w:r w:rsidR="00BE75A0">
        <w:t xml:space="preserve"> and legislation</w:t>
      </w:r>
      <w:r>
        <w:t xml:space="preserve"> vis à vis the com</w:t>
      </w:r>
      <w:r w:rsidR="00A0398B">
        <w:t>mitments it has made through its</w:t>
      </w:r>
      <w:r>
        <w:t xml:space="preserve"> ratification of </w:t>
      </w:r>
      <w:r w:rsidR="00CC706A">
        <w:t xml:space="preserve">the </w:t>
      </w:r>
      <w:r w:rsidR="00F93A51">
        <w:t>I</w:t>
      </w:r>
      <w:r w:rsidR="00EC2807">
        <w:t>CESCR</w:t>
      </w:r>
      <w:r>
        <w:t xml:space="preserve"> </w:t>
      </w:r>
      <w:r w:rsidR="00CD071B">
        <w:t>i</w:t>
      </w:r>
      <w:r w:rsidR="0048479D">
        <w:t>s focused in the following a</w:t>
      </w:r>
      <w:r w:rsidR="00D133B4">
        <w:t>r</w:t>
      </w:r>
      <w:r w:rsidR="0048479D">
        <w:t xml:space="preserve">eas: </w:t>
      </w:r>
    </w:p>
    <w:p w14:paraId="4F17AD8D" w14:textId="796FD648" w:rsidR="00BC0D20" w:rsidRDefault="00BC0D20" w:rsidP="00BC0D20">
      <w:pPr>
        <w:pBdr>
          <w:bottom w:val="single" w:sz="6" w:space="1" w:color="auto"/>
        </w:pBdr>
        <w:spacing w:line="276" w:lineRule="auto"/>
        <w:rPr>
          <w:b/>
          <w:i/>
        </w:rPr>
      </w:pPr>
      <w:r>
        <w:rPr>
          <w:b/>
          <w:i/>
        </w:rPr>
        <w:t>Areas where</w:t>
      </w:r>
      <w:r w:rsidRPr="00F51489">
        <w:rPr>
          <w:b/>
          <w:i/>
        </w:rPr>
        <w:t xml:space="preserve"> </w:t>
      </w:r>
      <w:r w:rsidR="0086100C">
        <w:rPr>
          <w:b/>
          <w:i/>
        </w:rPr>
        <w:t>Luxembourg</w:t>
      </w:r>
      <w:r w:rsidRPr="00F51489">
        <w:rPr>
          <w:b/>
          <w:i/>
        </w:rPr>
        <w:t xml:space="preserve"> has provisions in place</w:t>
      </w:r>
      <w:r>
        <w:rPr>
          <w:b/>
          <w:i/>
        </w:rPr>
        <w:t>,</w:t>
      </w:r>
      <w:r w:rsidRPr="00F51489">
        <w:rPr>
          <w:b/>
          <w:i/>
        </w:rPr>
        <w:t xml:space="preserve"> but where </w:t>
      </w:r>
      <w:r>
        <w:rPr>
          <w:b/>
          <w:i/>
        </w:rPr>
        <w:t>these provisions do not appear to fully address the commitments</w:t>
      </w:r>
      <w:r w:rsidR="000E2144">
        <w:rPr>
          <w:b/>
          <w:i/>
        </w:rPr>
        <w:t xml:space="preserve"> </w:t>
      </w:r>
      <w:r w:rsidR="0086100C">
        <w:rPr>
          <w:b/>
          <w:i/>
        </w:rPr>
        <w:t>Luxembourg</w:t>
      </w:r>
      <w:r>
        <w:rPr>
          <w:b/>
          <w:i/>
        </w:rPr>
        <w:t xml:space="preserve"> has made through its ratification </w:t>
      </w:r>
      <w:r w:rsidR="00F42DA9">
        <w:rPr>
          <w:b/>
          <w:i/>
        </w:rPr>
        <w:t>of the Covenant</w:t>
      </w:r>
      <w:r w:rsidRPr="00F51489">
        <w:rPr>
          <w:b/>
          <w:i/>
        </w:rPr>
        <w:t>:</w:t>
      </w:r>
    </w:p>
    <w:p w14:paraId="199BD853" w14:textId="0E4E6480" w:rsidR="00913FDE" w:rsidRDefault="00913FDE" w:rsidP="00913FDE">
      <w:pPr>
        <w:pStyle w:val="ListParagraph"/>
        <w:numPr>
          <w:ilvl w:val="0"/>
          <w:numId w:val="23"/>
        </w:numPr>
        <w:ind w:left="360"/>
        <w:rPr>
          <w:rFonts w:ascii="Calibri" w:eastAsiaTheme="majorEastAsia" w:hAnsi="Calibri" w:cs="Calibri"/>
          <w:color w:val="3405DF"/>
          <w:sz w:val="26"/>
          <w:szCs w:val="26"/>
        </w:rPr>
      </w:pPr>
      <w:r w:rsidRPr="00913FDE">
        <w:rPr>
          <w:rFonts w:ascii="Calibri" w:eastAsiaTheme="majorEastAsia" w:hAnsi="Calibri" w:cs="Calibri"/>
          <w:color w:val="3405DF"/>
          <w:sz w:val="26"/>
          <w:szCs w:val="26"/>
        </w:rPr>
        <w:t xml:space="preserve">Equality </w:t>
      </w:r>
      <w:r w:rsidR="006E4A65">
        <w:rPr>
          <w:rFonts w:ascii="Calibri" w:eastAsiaTheme="majorEastAsia" w:hAnsi="Calibri" w:cs="Calibri"/>
          <w:color w:val="3405DF"/>
          <w:sz w:val="26"/>
          <w:szCs w:val="26"/>
        </w:rPr>
        <w:t>and non-discrimination (Article</w:t>
      </w:r>
      <w:r w:rsidRPr="00913FDE">
        <w:rPr>
          <w:rFonts w:ascii="Calibri" w:eastAsiaTheme="majorEastAsia" w:hAnsi="Calibri" w:cs="Calibri"/>
          <w:color w:val="3405DF"/>
          <w:sz w:val="26"/>
          <w:szCs w:val="26"/>
        </w:rPr>
        <w:t xml:space="preserve"> 2, General Comment No. 5) </w:t>
      </w:r>
    </w:p>
    <w:p w14:paraId="15D98940" w14:textId="11F2BB4D" w:rsidR="00913FDE" w:rsidRDefault="00913FDE" w:rsidP="00D57D26">
      <w:pPr>
        <w:pStyle w:val="NoSpacing"/>
        <w:spacing w:line="276" w:lineRule="auto"/>
      </w:pPr>
      <w:r w:rsidRPr="003B316F">
        <w:t>Based on our review of full-text national constitutions,</w:t>
      </w:r>
      <w:r>
        <w:t xml:space="preserve"> Luxembourg’s constitution </w:t>
      </w:r>
      <w:r w:rsidRPr="004A09E4">
        <w:rPr>
          <w:b/>
        </w:rPr>
        <w:t>gu</w:t>
      </w:r>
      <w:r w:rsidRPr="008E4F40">
        <w:rPr>
          <w:b/>
          <w:bCs/>
        </w:rPr>
        <w:t>arantees equal rights between men and women</w:t>
      </w:r>
      <w:r>
        <w:t xml:space="preserve">. However, other characteristics protected by Article 2 and General Comment No. 5 of ICESCR are </w:t>
      </w:r>
      <w:r w:rsidRPr="008E4F40">
        <w:rPr>
          <w:b/>
          <w:bCs/>
        </w:rPr>
        <w:t>not guaranteed equal rights in Luxembourg’s constitution, including those persons facing discrimination based race, colour, language, religion, political or other opinion, national or social origin, birth status, and disability status</w:t>
      </w:r>
      <w:r>
        <w:t>.</w:t>
      </w:r>
    </w:p>
    <w:p w14:paraId="3BA7B34D" w14:textId="77777777" w:rsidR="00913FDE" w:rsidRDefault="00913FDE" w:rsidP="00913FDE">
      <w:pPr>
        <w:pStyle w:val="NoSpacing"/>
      </w:pPr>
    </w:p>
    <w:p w14:paraId="2B966797" w14:textId="77777777" w:rsidR="00913FDE" w:rsidRDefault="00913FDE" w:rsidP="00913FDE">
      <w:pPr>
        <w:rPr>
          <w:b/>
          <w:bCs/>
        </w:rPr>
      </w:pPr>
      <w:r w:rsidRPr="002B153F">
        <w:rPr>
          <w:b/>
          <w:bCs/>
        </w:rPr>
        <w:t>We hope the Committee will:</w:t>
      </w:r>
    </w:p>
    <w:p w14:paraId="0935BD9A" w14:textId="660C1769" w:rsidR="00913FDE" w:rsidRPr="00913FDE" w:rsidRDefault="00913FDE" w:rsidP="004A338D">
      <w:pPr>
        <w:pStyle w:val="ListParagraph"/>
        <w:numPr>
          <w:ilvl w:val="0"/>
          <w:numId w:val="29"/>
        </w:numPr>
        <w:spacing w:line="276" w:lineRule="auto"/>
        <w:rPr>
          <w:b/>
          <w:bCs/>
        </w:rPr>
      </w:pPr>
      <w:bookmarkStart w:id="8" w:name="_Hlk48729580"/>
      <w:r>
        <w:t xml:space="preserve">Recommend in its concluding observations that Luxembourg consider amending </w:t>
      </w:r>
      <w:r w:rsidR="00DE304E">
        <w:t xml:space="preserve">its </w:t>
      </w:r>
      <w:r>
        <w:t>constitution to add explicit guarantees of equality and non-discrimination for all persons regardless of race, colour, language, religion, political or other opinion, national or social origin, property, birth status, and disability status, consistent with ICESCR commitments.</w:t>
      </w:r>
    </w:p>
    <w:bookmarkEnd w:id="8"/>
    <w:p w14:paraId="359311DD" w14:textId="36D7A084" w:rsidR="002B153F" w:rsidRPr="002B153F" w:rsidRDefault="002B153F" w:rsidP="002B153F">
      <w:pPr>
        <w:keepNext/>
        <w:keepLines/>
        <w:numPr>
          <w:ilvl w:val="0"/>
          <w:numId w:val="23"/>
        </w:numPr>
        <w:spacing w:before="40" w:after="0"/>
        <w:ind w:left="360"/>
        <w:outlineLvl w:val="1"/>
        <w:rPr>
          <w:rFonts w:ascii="Calibri" w:eastAsiaTheme="majorEastAsia" w:hAnsi="Calibri" w:cs="Calibri"/>
          <w:color w:val="3405DF"/>
          <w:sz w:val="26"/>
          <w:szCs w:val="26"/>
        </w:rPr>
      </w:pPr>
      <w:r w:rsidRPr="002B153F">
        <w:rPr>
          <w:rFonts w:ascii="Calibri" w:eastAsiaTheme="majorEastAsia" w:hAnsi="Calibri" w:cs="Calibri"/>
          <w:color w:val="3405DF"/>
          <w:sz w:val="26"/>
          <w:szCs w:val="26"/>
        </w:rPr>
        <w:t>Non-discrimination in work and employment (Article 7)</w:t>
      </w:r>
    </w:p>
    <w:p w14:paraId="03B9E352" w14:textId="77777777" w:rsidR="00327AF4" w:rsidRDefault="00327AF4" w:rsidP="00BA282F">
      <w:pPr>
        <w:pStyle w:val="NoSpacing"/>
      </w:pPr>
    </w:p>
    <w:p w14:paraId="3A69FF07" w14:textId="649E1088" w:rsidR="00913FDE" w:rsidRPr="00EE4A43" w:rsidRDefault="0011357E" w:rsidP="00DE304E">
      <w:pPr>
        <w:pStyle w:val="NoSpacing"/>
        <w:spacing w:line="276" w:lineRule="auto"/>
      </w:pPr>
      <w:bookmarkStart w:id="9" w:name="_Hlk45558348"/>
      <w:r>
        <w:t>O</w:t>
      </w:r>
      <w:r w:rsidRPr="0011357E">
        <w:t xml:space="preserve">ur systematic review of national legislation shows that </w:t>
      </w:r>
      <w:r w:rsidR="0086100C">
        <w:t>Luxembourg</w:t>
      </w:r>
      <w:r w:rsidRPr="0011357E">
        <w:t xml:space="preserve"> </w:t>
      </w:r>
      <w:r w:rsidRPr="00433BE4">
        <w:t>does not consistently and explicitly protect all workers from workplace discrimination</w:t>
      </w:r>
      <w:r w:rsidR="00652999">
        <w:t>.</w:t>
      </w:r>
      <w:r w:rsidR="00652999" w:rsidRPr="00652999">
        <w:rPr>
          <w:iCs/>
        </w:rPr>
        <w:t xml:space="preserve"> </w:t>
      </w:r>
      <w:r w:rsidR="00777FB9">
        <w:rPr>
          <w:iCs/>
        </w:rPr>
        <w:t xml:space="preserve">The </w:t>
      </w:r>
      <w:r w:rsidR="006E3849" w:rsidRPr="00DE304E">
        <w:rPr>
          <w:b/>
          <w:i/>
        </w:rPr>
        <w:t>Code du Travail</w:t>
      </w:r>
      <w:r w:rsidR="00652999" w:rsidRPr="00DE304E">
        <w:rPr>
          <w:b/>
        </w:rPr>
        <w:t xml:space="preserve">  </w:t>
      </w:r>
      <w:r w:rsidR="00652999" w:rsidRPr="006E3849">
        <w:rPr>
          <w:b/>
          <w:bCs/>
        </w:rPr>
        <w:t xml:space="preserve">guarantees non-discrimination </w:t>
      </w:r>
      <w:r w:rsidR="006E3849" w:rsidRPr="006E3849">
        <w:rPr>
          <w:b/>
          <w:bCs/>
        </w:rPr>
        <w:t>to workers regardless of</w:t>
      </w:r>
      <w:r w:rsidR="00652999" w:rsidRPr="006E3849">
        <w:rPr>
          <w:b/>
          <w:bCs/>
        </w:rPr>
        <w:t xml:space="preserve"> </w:t>
      </w:r>
      <w:r w:rsidR="006E3849" w:rsidRPr="006E3849">
        <w:rPr>
          <w:b/>
          <w:bCs/>
        </w:rPr>
        <w:t xml:space="preserve">race, sex, religion, and disability status </w:t>
      </w:r>
      <w:r w:rsidR="00652999" w:rsidRPr="006E3849">
        <w:rPr>
          <w:b/>
          <w:bCs/>
        </w:rPr>
        <w:t xml:space="preserve">across </w:t>
      </w:r>
      <w:r w:rsidR="00652999" w:rsidRPr="00C50D44">
        <w:rPr>
          <w:b/>
          <w:bCs/>
        </w:rPr>
        <w:t>four</w:t>
      </w:r>
      <w:r w:rsidR="00454A19" w:rsidRPr="00C50D44">
        <w:rPr>
          <w:b/>
          <w:bCs/>
        </w:rPr>
        <w:t xml:space="preserve"> key</w:t>
      </w:r>
      <w:r w:rsidR="00652999" w:rsidRPr="00C50D44">
        <w:rPr>
          <w:b/>
          <w:bCs/>
        </w:rPr>
        <w:t xml:space="preserve"> areas of employment</w:t>
      </w:r>
      <w:r w:rsidR="00454A19" w:rsidRPr="00C50D44">
        <w:rPr>
          <w:b/>
          <w:bCs/>
        </w:rPr>
        <w:t xml:space="preserve"> including: employment opportunities or hiring, equal remuneration, promotions and demotions, and dismissals</w:t>
      </w:r>
      <w:r w:rsidR="00454A19">
        <w:t>.</w:t>
      </w:r>
      <w:r w:rsidR="00F4454A">
        <w:t xml:space="preserve"> </w:t>
      </w:r>
      <w:r w:rsidR="00682F30">
        <w:t xml:space="preserve">Despite Luxembourg’s commitment to guaranteeing </w:t>
      </w:r>
      <w:r w:rsidR="002E7913">
        <w:t>the</w:t>
      </w:r>
      <w:r w:rsidR="002367F5">
        <w:t xml:space="preserve"> stronger protection of </w:t>
      </w:r>
      <w:r w:rsidR="00075A46">
        <w:t xml:space="preserve">equal </w:t>
      </w:r>
      <w:r w:rsidR="00783854">
        <w:t xml:space="preserve">remuneration </w:t>
      </w:r>
      <w:r w:rsidR="00075A46">
        <w:t>for work of equal value without any distinction th</w:t>
      </w:r>
      <w:r w:rsidR="00FD1DC9">
        <w:t>rough Article 7 of the Covenant</w:t>
      </w:r>
      <w:r w:rsidR="00075A46">
        <w:t xml:space="preserve">, </w:t>
      </w:r>
      <w:r w:rsidR="00FD1DC9" w:rsidRPr="00FD1DC9">
        <w:rPr>
          <w:b/>
        </w:rPr>
        <w:t>Luxembourg’s</w:t>
      </w:r>
      <w:r w:rsidR="00FD1DC9">
        <w:t xml:space="preserve"> </w:t>
      </w:r>
      <w:r w:rsidR="00075A46" w:rsidRPr="00682F30">
        <w:rPr>
          <w:b/>
          <w:bCs/>
        </w:rPr>
        <w:t xml:space="preserve">law only addresses equal </w:t>
      </w:r>
      <w:r w:rsidR="0051778E">
        <w:rPr>
          <w:b/>
          <w:bCs/>
        </w:rPr>
        <w:t xml:space="preserve">remuneration </w:t>
      </w:r>
      <w:r w:rsidR="00075A46" w:rsidRPr="00682F30">
        <w:rPr>
          <w:b/>
          <w:bCs/>
        </w:rPr>
        <w:t>for work of equal value between men and women</w:t>
      </w:r>
      <w:r w:rsidR="00FD1DC9">
        <w:t>. Luxembourg’s law</w:t>
      </w:r>
      <w:r w:rsidR="00075A46">
        <w:t xml:space="preserve"> </w:t>
      </w:r>
      <w:r w:rsidR="00075A46" w:rsidRPr="00682F30">
        <w:rPr>
          <w:b/>
          <w:bCs/>
        </w:rPr>
        <w:t>does not guarantee th</w:t>
      </w:r>
      <w:r w:rsidR="00682F30" w:rsidRPr="00682F30">
        <w:rPr>
          <w:b/>
          <w:bCs/>
        </w:rPr>
        <w:t xml:space="preserve">is stronger level </w:t>
      </w:r>
      <w:r w:rsidR="00075A46" w:rsidRPr="00682F30">
        <w:rPr>
          <w:b/>
          <w:bCs/>
        </w:rPr>
        <w:t xml:space="preserve">of protection between workers </w:t>
      </w:r>
      <w:r w:rsidR="006D756B">
        <w:rPr>
          <w:b/>
          <w:bCs/>
        </w:rPr>
        <w:t>with</w:t>
      </w:r>
      <w:r w:rsidR="006D756B" w:rsidRPr="00682F30">
        <w:rPr>
          <w:b/>
          <w:bCs/>
        </w:rPr>
        <w:t xml:space="preserve"> </w:t>
      </w:r>
      <w:r w:rsidR="00075A46" w:rsidRPr="00682F30">
        <w:rPr>
          <w:b/>
          <w:bCs/>
        </w:rPr>
        <w:t>other characteristics</w:t>
      </w:r>
      <w:r w:rsidR="006E3849" w:rsidRPr="006E3849">
        <w:rPr>
          <w:b/>
          <w:bCs/>
        </w:rPr>
        <w:t xml:space="preserve"> covered through ICESCR commitments</w:t>
      </w:r>
      <w:r w:rsidR="00652999" w:rsidRPr="006E3849">
        <w:rPr>
          <w:b/>
          <w:bCs/>
        </w:rPr>
        <w:t>.</w:t>
      </w:r>
      <w:r w:rsidR="00777FB9">
        <w:rPr>
          <w:b/>
          <w:bCs/>
        </w:rPr>
        <w:t xml:space="preserve"> </w:t>
      </w:r>
    </w:p>
    <w:p w14:paraId="5DABB313" w14:textId="77777777" w:rsidR="00913FDE" w:rsidRPr="00652999" w:rsidRDefault="00913FDE" w:rsidP="00913FDE">
      <w:pPr>
        <w:pStyle w:val="NoSpacing"/>
      </w:pPr>
    </w:p>
    <w:tbl>
      <w:tblPr>
        <w:tblStyle w:val="TableGrid"/>
        <w:tblW w:w="10075" w:type="dxa"/>
        <w:jc w:val="center"/>
        <w:tblLook w:val="04A0" w:firstRow="1" w:lastRow="0" w:firstColumn="1" w:lastColumn="0" w:noHBand="0" w:noVBand="1"/>
      </w:tblPr>
      <w:tblGrid>
        <w:gridCol w:w="1710"/>
        <w:gridCol w:w="2155"/>
        <w:gridCol w:w="2160"/>
        <w:gridCol w:w="2070"/>
        <w:gridCol w:w="1980"/>
      </w:tblGrid>
      <w:tr w:rsidR="00263F9D" w14:paraId="2FE78CC9" w14:textId="77777777" w:rsidTr="00CE074A">
        <w:trPr>
          <w:jc w:val="center"/>
        </w:trPr>
        <w:tc>
          <w:tcPr>
            <w:tcW w:w="10075" w:type="dxa"/>
            <w:gridSpan w:val="5"/>
          </w:tcPr>
          <w:bookmarkEnd w:id="9"/>
          <w:p w14:paraId="44FCC392" w14:textId="39492F96" w:rsidR="00263F9D" w:rsidRPr="007C47D4" w:rsidRDefault="00263F9D" w:rsidP="008E469F">
            <w:pPr>
              <w:pStyle w:val="NoSpacing"/>
              <w:rPr>
                <w:b/>
              </w:rPr>
            </w:pPr>
            <w:r w:rsidRPr="007C47D4">
              <w:rPr>
                <w:b/>
              </w:rPr>
              <w:t xml:space="preserve">Table 1. </w:t>
            </w:r>
            <w:r w:rsidR="002E7913" w:rsidRPr="007C47D4">
              <w:rPr>
                <w:b/>
              </w:rPr>
              <w:t>Guaranteed p</w:t>
            </w:r>
            <w:r w:rsidR="002E7913">
              <w:rPr>
                <w:b/>
              </w:rPr>
              <w:t>rovisions</w:t>
            </w:r>
            <w:r w:rsidR="002E7913" w:rsidRPr="007C47D4">
              <w:rPr>
                <w:b/>
              </w:rPr>
              <w:t xml:space="preserve"> of non-discrimination across four key areas of employment </w:t>
            </w:r>
            <w:r w:rsidR="002E7913">
              <w:rPr>
                <w:b/>
              </w:rPr>
              <w:t>for personal characteristics covered by the Covenant</w:t>
            </w:r>
          </w:p>
        </w:tc>
      </w:tr>
      <w:tr w:rsidR="00263F9D" w14:paraId="64590CB7" w14:textId="77777777" w:rsidTr="002E7913">
        <w:trPr>
          <w:jc w:val="center"/>
        </w:trPr>
        <w:tc>
          <w:tcPr>
            <w:tcW w:w="1710" w:type="dxa"/>
          </w:tcPr>
          <w:p w14:paraId="6110BF34" w14:textId="77777777" w:rsidR="00263F9D" w:rsidRDefault="00263F9D" w:rsidP="00CE074A">
            <w:pPr>
              <w:pStyle w:val="NoSpacing"/>
            </w:pPr>
          </w:p>
        </w:tc>
        <w:tc>
          <w:tcPr>
            <w:tcW w:w="2155" w:type="dxa"/>
            <w:shd w:val="clear" w:color="auto" w:fill="auto"/>
          </w:tcPr>
          <w:p w14:paraId="5A8412F8" w14:textId="77777777" w:rsidR="00263F9D" w:rsidRPr="007C47D4" w:rsidRDefault="00263F9D" w:rsidP="00CE074A">
            <w:pPr>
              <w:pStyle w:val="NoSpacing"/>
              <w:jc w:val="center"/>
              <w:rPr>
                <w:sz w:val="20"/>
                <w:szCs w:val="20"/>
              </w:rPr>
            </w:pPr>
            <w:r w:rsidRPr="007C47D4">
              <w:rPr>
                <w:sz w:val="20"/>
                <w:szCs w:val="20"/>
              </w:rPr>
              <w:t>Employment Opportunities or hiring</w:t>
            </w:r>
          </w:p>
        </w:tc>
        <w:tc>
          <w:tcPr>
            <w:tcW w:w="2160" w:type="dxa"/>
            <w:shd w:val="clear" w:color="auto" w:fill="auto"/>
          </w:tcPr>
          <w:p w14:paraId="17D88F36" w14:textId="58B6FB1B" w:rsidR="00263F9D" w:rsidRPr="007C47D4" w:rsidRDefault="00263F9D" w:rsidP="00CE074A">
            <w:pPr>
              <w:pStyle w:val="NoSpacing"/>
              <w:jc w:val="center"/>
              <w:rPr>
                <w:sz w:val="20"/>
                <w:szCs w:val="20"/>
              </w:rPr>
            </w:pPr>
            <w:r w:rsidRPr="007C47D4">
              <w:rPr>
                <w:sz w:val="20"/>
                <w:szCs w:val="20"/>
              </w:rPr>
              <w:t>Equal remuneration</w:t>
            </w:r>
          </w:p>
        </w:tc>
        <w:tc>
          <w:tcPr>
            <w:tcW w:w="2070" w:type="dxa"/>
            <w:shd w:val="clear" w:color="auto" w:fill="auto"/>
          </w:tcPr>
          <w:p w14:paraId="69FAB94C" w14:textId="77777777" w:rsidR="00263F9D" w:rsidRPr="007C47D4" w:rsidRDefault="00263F9D" w:rsidP="00CE074A">
            <w:pPr>
              <w:pStyle w:val="NoSpacing"/>
              <w:jc w:val="center"/>
              <w:rPr>
                <w:sz w:val="20"/>
                <w:szCs w:val="20"/>
              </w:rPr>
            </w:pPr>
            <w:r w:rsidRPr="007C47D4">
              <w:rPr>
                <w:sz w:val="20"/>
                <w:szCs w:val="20"/>
              </w:rPr>
              <w:t>Promotions and demotions</w:t>
            </w:r>
          </w:p>
        </w:tc>
        <w:tc>
          <w:tcPr>
            <w:tcW w:w="1980" w:type="dxa"/>
            <w:shd w:val="clear" w:color="auto" w:fill="auto"/>
          </w:tcPr>
          <w:p w14:paraId="52A378AB" w14:textId="77777777" w:rsidR="00263F9D" w:rsidRPr="007C47D4" w:rsidRDefault="00263F9D" w:rsidP="00CE074A">
            <w:pPr>
              <w:pStyle w:val="NoSpacing"/>
              <w:jc w:val="center"/>
              <w:rPr>
                <w:sz w:val="20"/>
                <w:szCs w:val="20"/>
              </w:rPr>
            </w:pPr>
            <w:r w:rsidRPr="007C47D4">
              <w:rPr>
                <w:sz w:val="20"/>
                <w:szCs w:val="20"/>
              </w:rPr>
              <w:t xml:space="preserve">Dismissals </w:t>
            </w:r>
          </w:p>
        </w:tc>
      </w:tr>
      <w:tr w:rsidR="00263F9D" w14:paraId="68CBF23C" w14:textId="77777777" w:rsidTr="00CE074A">
        <w:trPr>
          <w:jc w:val="center"/>
        </w:trPr>
        <w:tc>
          <w:tcPr>
            <w:tcW w:w="1710" w:type="dxa"/>
          </w:tcPr>
          <w:p w14:paraId="4749A517" w14:textId="77777777" w:rsidR="00263F9D" w:rsidRPr="007C47D4" w:rsidRDefault="00263F9D" w:rsidP="00CE074A">
            <w:pPr>
              <w:pStyle w:val="NoSpacing"/>
              <w:rPr>
                <w:sz w:val="20"/>
                <w:szCs w:val="20"/>
              </w:rPr>
            </w:pPr>
            <w:r w:rsidRPr="007C47D4">
              <w:rPr>
                <w:sz w:val="20"/>
                <w:szCs w:val="20"/>
              </w:rPr>
              <w:t>Race and colour</w:t>
            </w:r>
          </w:p>
        </w:tc>
        <w:tc>
          <w:tcPr>
            <w:tcW w:w="2155" w:type="dxa"/>
            <w:vAlign w:val="center"/>
          </w:tcPr>
          <w:p w14:paraId="6F4F50AC" w14:textId="4BA4C386" w:rsidR="00263F9D" w:rsidRDefault="00913FDE" w:rsidP="00CE074A">
            <w:pPr>
              <w:pStyle w:val="NoSpacing"/>
              <w:jc w:val="center"/>
            </w:pPr>
            <w:r>
              <w:sym w:font="Wingdings" w:char="F0FC"/>
            </w:r>
          </w:p>
        </w:tc>
        <w:tc>
          <w:tcPr>
            <w:tcW w:w="2160" w:type="dxa"/>
            <w:vAlign w:val="center"/>
          </w:tcPr>
          <w:p w14:paraId="50D6D736" w14:textId="5A5B71EF" w:rsidR="00263F9D" w:rsidRDefault="00913FDE" w:rsidP="00CE074A">
            <w:pPr>
              <w:pStyle w:val="NoSpacing"/>
              <w:jc w:val="center"/>
            </w:pPr>
            <w:r>
              <w:sym w:font="Wingdings" w:char="F0FC"/>
            </w:r>
          </w:p>
        </w:tc>
        <w:tc>
          <w:tcPr>
            <w:tcW w:w="2070" w:type="dxa"/>
            <w:vAlign w:val="center"/>
          </w:tcPr>
          <w:p w14:paraId="5D0B0EDA" w14:textId="1C2FD390" w:rsidR="00263F9D" w:rsidRDefault="00913FDE" w:rsidP="00CE074A">
            <w:pPr>
              <w:pStyle w:val="NoSpacing"/>
              <w:jc w:val="center"/>
            </w:pPr>
            <w:r>
              <w:sym w:font="Wingdings" w:char="F0FC"/>
            </w:r>
          </w:p>
        </w:tc>
        <w:tc>
          <w:tcPr>
            <w:tcW w:w="1980" w:type="dxa"/>
            <w:vAlign w:val="center"/>
          </w:tcPr>
          <w:p w14:paraId="0C45B20A" w14:textId="5EE3C3BD" w:rsidR="00263F9D" w:rsidRDefault="00913FDE" w:rsidP="00CE074A">
            <w:pPr>
              <w:pStyle w:val="NoSpacing"/>
              <w:jc w:val="center"/>
            </w:pPr>
            <w:r>
              <w:sym w:font="Wingdings" w:char="F0FC"/>
            </w:r>
          </w:p>
        </w:tc>
      </w:tr>
      <w:tr w:rsidR="00263F9D" w14:paraId="53165BBD" w14:textId="77777777" w:rsidTr="00CE074A">
        <w:trPr>
          <w:jc w:val="center"/>
        </w:trPr>
        <w:tc>
          <w:tcPr>
            <w:tcW w:w="1710" w:type="dxa"/>
          </w:tcPr>
          <w:p w14:paraId="7318E85F" w14:textId="77777777" w:rsidR="00263F9D" w:rsidRPr="007C47D4" w:rsidRDefault="00263F9D" w:rsidP="00CE074A">
            <w:pPr>
              <w:pStyle w:val="NoSpacing"/>
              <w:rPr>
                <w:sz w:val="20"/>
                <w:szCs w:val="20"/>
              </w:rPr>
            </w:pPr>
            <w:r w:rsidRPr="007C47D4">
              <w:rPr>
                <w:sz w:val="20"/>
                <w:szCs w:val="20"/>
              </w:rPr>
              <w:t>Sex</w:t>
            </w:r>
          </w:p>
        </w:tc>
        <w:tc>
          <w:tcPr>
            <w:tcW w:w="2155" w:type="dxa"/>
            <w:vAlign w:val="center"/>
          </w:tcPr>
          <w:p w14:paraId="1D977907" w14:textId="0AEDD110" w:rsidR="00263F9D" w:rsidRDefault="00913FDE" w:rsidP="00CE074A">
            <w:pPr>
              <w:pStyle w:val="NoSpacing"/>
              <w:jc w:val="center"/>
            </w:pPr>
            <w:r>
              <w:sym w:font="Wingdings" w:char="F0FC"/>
            </w:r>
          </w:p>
        </w:tc>
        <w:tc>
          <w:tcPr>
            <w:tcW w:w="2160" w:type="dxa"/>
            <w:vAlign w:val="center"/>
          </w:tcPr>
          <w:p w14:paraId="570AC667" w14:textId="68B0259C" w:rsidR="00263F9D" w:rsidRDefault="00913FDE" w:rsidP="00CE074A">
            <w:pPr>
              <w:pStyle w:val="NoSpacing"/>
              <w:jc w:val="center"/>
            </w:pPr>
            <w:r>
              <w:sym w:font="Wingdings" w:char="F0FC"/>
            </w:r>
            <w:r w:rsidR="00671D20">
              <w:t>*</w:t>
            </w:r>
          </w:p>
        </w:tc>
        <w:tc>
          <w:tcPr>
            <w:tcW w:w="2070" w:type="dxa"/>
            <w:vAlign w:val="center"/>
          </w:tcPr>
          <w:p w14:paraId="536A347C" w14:textId="71D405CA" w:rsidR="00263F9D" w:rsidRDefault="00913FDE" w:rsidP="00CE074A">
            <w:pPr>
              <w:pStyle w:val="NoSpacing"/>
              <w:jc w:val="center"/>
            </w:pPr>
            <w:r>
              <w:sym w:font="Wingdings" w:char="F0FC"/>
            </w:r>
          </w:p>
        </w:tc>
        <w:tc>
          <w:tcPr>
            <w:tcW w:w="1980" w:type="dxa"/>
            <w:vAlign w:val="center"/>
          </w:tcPr>
          <w:p w14:paraId="2C6C556F" w14:textId="62D917A7" w:rsidR="00263F9D" w:rsidRDefault="00913FDE" w:rsidP="00CE074A">
            <w:pPr>
              <w:pStyle w:val="NoSpacing"/>
              <w:jc w:val="center"/>
            </w:pPr>
            <w:r>
              <w:sym w:font="Wingdings" w:char="F0FC"/>
            </w:r>
          </w:p>
        </w:tc>
      </w:tr>
      <w:tr w:rsidR="00D57D26" w14:paraId="30FBFE6A" w14:textId="77777777" w:rsidTr="00DE304E">
        <w:trPr>
          <w:jc w:val="center"/>
        </w:trPr>
        <w:tc>
          <w:tcPr>
            <w:tcW w:w="1710" w:type="dxa"/>
          </w:tcPr>
          <w:p w14:paraId="1BCA4864" w14:textId="77777777" w:rsidR="00D57D26" w:rsidRPr="007C47D4" w:rsidRDefault="00D57D26" w:rsidP="00D57D26">
            <w:pPr>
              <w:pStyle w:val="NoSpacing"/>
              <w:rPr>
                <w:sz w:val="20"/>
                <w:szCs w:val="20"/>
              </w:rPr>
            </w:pPr>
            <w:r w:rsidRPr="007C47D4">
              <w:rPr>
                <w:sz w:val="20"/>
                <w:szCs w:val="20"/>
              </w:rPr>
              <w:t>Language</w:t>
            </w:r>
          </w:p>
        </w:tc>
        <w:tc>
          <w:tcPr>
            <w:tcW w:w="2155" w:type="dxa"/>
            <w:vAlign w:val="center"/>
          </w:tcPr>
          <w:p w14:paraId="3A47D8EE" w14:textId="56F9E2DA" w:rsidR="00D57D26" w:rsidRPr="00DE304E" w:rsidRDefault="00D57D26" w:rsidP="00D57D26">
            <w:pPr>
              <w:pStyle w:val="NoSpacing"/>
              <w:jc w:val="center"/>
              <w:rPr>
                <w:sz w:val="20"/>
                <w:szCs w:val="20"/>
              </w:rPr>
            </w:pPr>
          </w:p>
        </w:tc>
        <w:tc>
          <w:tcPr>
            <w:tcW w:w="2160" w:type="dxa"/>
          </w:tcPr>
          <w:p w14:paraId="7159E991" w14:textId="2AF10957" w:rsidR="00D57D26" w:rsidRPr="00DE304E" w:rsidRDefault="00D57D26" w:rsidP="00D57D26">
            <w:pPr>
              <w:pStyle w:val="NoSpacing"/>
              <w:jc w:val="center"/>
              <w:rPr>
                <w:sz w:val="20"/>
                <w:szCs w:val="20"/>
              </w:rPr>
            </w:pPr>
          </w:p>
        </w:tc>
        <w:tc>
          <w:tcPr>
            <w:tcW w:w="2070" w:type="dxa"/>
          </w:tcPr>
          <w:p w14:paraId="216247FA" w14:textId="2A60EBC9" w:rsidR="00D57D26" w:rsidRPr="00DE304E" w:rsidRDefault="00D57D26" w:rsidP="00D57D26">
            <w:pPr>
              <w:pStyle w:val="NoSpacing"/>
              <w:jc w:val="center"/>
              <w:rPr>
                <w:sz w:val="20"/>
                <w:szCs w:val="20"/>
              </w:rPr>
            </w:pPr>
          </w:p>
        </w:tc>
        <w:tc>
          <w:tcPr>
            <w:tcW w:w="1980" w:type="dxa"/>
          </w:tcPr>
          <w:p w14:paraId="527015AA" w14:textId="6CA57E1E" w:rsidR="00D57D26" w:rsidRPr="00DE304E" w:rsidRDefault="00D57D26" w:rsidP="00D57D26">
            <w:pPr>
              <w:pStyle w:val="NoSpacing"/>
              <w:jc w:val="center"/>
              <w:rPr>
                <w:sz w:val="20"/>
                <w:szCs w:val="20"/>
              </w:rPr>
            </w:pPr>
          </w:p>
        </w:tc>
      </w:tr>
      <w:tr w:rsidR="00263F9D" w14:paraId="26458F6C" w14:textId="77777777" w:rsidTr="00CE074A">
        <w:trPr>
          <w:jc w:val="center"/>
        </w:trPr>
        <w:tc>
          <w:tcPr>
            <w:tcW w:w="1710" w:type="dxa"/>
          </w:tcPr>
          <w:p w14:paraId="4E5BF250" w14:textId="77777777" w:rsidR="00263F9D" w:rsidRPr="007C47D4" w:rsidRDefault="00263F9D" w:rsidP="00CE074A">
            <w:pPr>
              <w:pStyle w:val="NoSpacing"/>
              <w:rPr>
                <w:sz w:val="20"/>
                <w:szCs w:val="20"/>
              </w:rPr>
            </w:pPr>
            <w:r w:rsidRPr="007C47D4">
              <w:rPr>
                <w:sz w:val="20"/>
                <w:szCs w:val="20"/>
              </w:rPr>
              <w:t>Religion</w:t>
            </w:r>
          </w:p>
        </w:tc>
        <w:tc>
          <w:tcPr>
            <w:tcW w:w="2155" w:type="dxa"/>
            <w:vAlign w:val="center"/>
          </w:tcPr>
          <w:p w14:paraId="386BBDAE" w14:textId="6079FD12" w:rsidR="00263F9D" w:rsidRDefault="00913FDE" w:rsidP="00CE074A">
            <w:pPr>
              <w:pStyle w:val="NoSpacing"/>
              <w:jc w:val="center"/>
            </w:pPr>
            <w:r>
              <w:sym w:font="Wingdings" w:char="F0FC"/>
            </w:r>
          </w:p>
        </w:tc>
        <w:tc>
          <w:tcPr>
            <w:tcW w:w="2160" w:type="dxa"/>
            <w:vAlign w:val="center"/>
          </w:tcPr>
          <w:p w14:paraId="18589527" w14:textId="79821854" w:rsidR="00263F9D" w:rsidRDefault="00913FDE" w:rsidP="00CE074A">
            <w:pPr>
              <w:pStyle w:val="NoSpacing"/>
              <w:jc w:val="center"/>
            </w:pPr>
            <w:r>
              <w:sym w:font="Wingdings" w:char="F0FC"/>
            </w:r>
          </w:p>
        </w:tc>
        <w:tc>
          <w:tcPr>
            <w:tcW w:w="2070" w:type="dxa"/>
            <w:vAlign w:val="center"/>
          </w:tcPr>
          <w:p w14:paraId="195EC3F3" w14:textId="6DEF0559" w:rsidR="00263F9D" w:rsidRDefault="00913FDE" w:rsidP="00CE074A">
            <w:pPr>
              <w:pStyle w:val="NoSpacing"/>
              <w:jc w:val="center"/>
            </w:pPr>
            <w:r>
              <w:sym w:font="Wingdings" w:char="F0FC"/>
            </w:r>
          </w:p>
        </w:tc>
        <w:tc>
          <w:tcPr>
            <w:tcW w:w="1980" w:type="dxa"/>
            <w:vAlign w:val="center"/>
          </w:tcPr>
          <w:p w14:paraId="638FFF64" w14:textId="3D6D5462" w:rsidR="00263F9D" w:rsidRDefault="00913FDE" w:rsidP="00CE074A">
            <w:pPr>
              <w:pStyle w:val="NoSpacing"/>
              <w:jc w:val="center"/>
            </w:pPr>
            <w:r>
              <w:sym w:font="Wingdings" w:char="F0FC"/>
            </w:r>
          </w:p>
        </w:tc>
      </w:tr>
      <w:tr w:rsidR="00D57D26" w14:paraId="5D78BB51" w14:textId="77777777" w:rsidTr="00DE304E">
        <w:trPr>
          <w:jc w:val="center"/>
        </w:trPr>
        <w:tc>
          <w:tcPr>
            <w:tcW w:w="1710" w:type="dxa"/>
          </w:tcPr>
          <w:p w14:paraId="559BF1E2" w14:textId="77777777" w:rsidR="00D57D26" w:rsidRPr="007C47D4" w:rsidRDefault="00D57D26" w:rsidP="00D57D26">
            <w:pPr>
              <w:pStyle w:val="NoSpacing"/>
              <w:rPr>
                <w:sz w:val="20"/>
                <w:szCs w:val="20"/>
              </w:rPr>
            </w:pPr>
            <w:r w:rsidRPr="007C47D4">
              <w:rPr>
                <w:sz w:val="20"/>
                <w:szCs w:val="20"/>
              </w:rPr>
              <w:t>Political opinion</w:t>
            </w:r>
          </w:p>
        </w:tc>
        <w:tc>
          <w:tcPr>
            <w:tcW w:w="2155" w:type="dxa"/>
          </w:tcPr>
          <w:p w14:paraId="5A9B4829" w14:textId="1E3A65FE" w:rsidR="00D57D26" w:rsidRPr="00DE304E" w:rsidRDefault="00D57D26" w:rsidP="00D57D26">
            <w:pPr>
              <w:pStyle w:val="NoSpacing"/>
              <w:jc w:val="center"/>
              <w:rPr>
                <w:sz w:val="20"/>
                <w:szCs w:val="20"/>
              </w:rPr>
            </w:pPr>
          </w:p>
        </w:tc>
        <w:tc>
          <w:tcPr>
            <w:tcW w:w="2160" w:type="dxa"/>
          </w:tcPr>
          <w:p w14:paraId="122C3DAA" w14:textId="7C002A04" w:rsidR="00D57D26" w:rsidRPr="00DE304E" w:rsidRDefault="00D57D26" w:rsidP="00D57D26">
            <w:pPr>
              <w:pStyle w:val="NoSpacing"/>
              <w:jc w:val="center"/>
              <w:rPr>
                <w:sz w:val="20"/>
                <w:szCs w:val="20"/>
              </w:rPr>
            </w:pPr>
          </w:p>
        </w:tc>
        <w:tc>
          <w:tcPr>
            <w:tcW w:w="2070" w:type="dxa"/>
          </w:tcPr>
          <w:p w14:paraId="46466465" w14:textId="7E1E1F0C" w:rsidR="00D57D26" w:rsidRPr="00DE304E" w:rsidRDefault="00D57D26" w:rsidP="00D57D26">
            <w:pPr>
              <w:pStyle w:val="NoSpacing"/>
              <w:jc w:val="center"/>
              <w:rPr>
                <w:sz w:val="20"/>
                <w:szCs w:val="20"/>
              </w:rPr>
            </w:pPr>
          </w:p>
        </w:tc>
        <w:tc>
          <w:tcPr>
            <w:tcW w:w="1980" w:type="dxa"/>
          </w:tcPr>
          <w:p w14:paraId="15865507" w14:textId="23E444E1" w:rsidR="00D57D26" w:rsidRPr="00DE304E" w:rsidRDefault="00D57D26" w:rsidP="00D57D26">
            <w:pPr>
              <w:pStyle w:val="NoSpacing"/>
              <w:jc w:val="center"/>
              <w:rPr>
                <w:sz w:val="20"/>
                <w:szCs w:val="20"/>
              </w:rPr>
            </w:pPr>
          </w:p>
        </w:tc>
      </w:tr>
      <w:tr w:rsidR="00D57D26" w14:paraId="347B47F3" w14:textId="77777777" w:rsidTr="00DE304E">
        <w:trPr>
          <w:jc w:val="center"/>
        </w:trPr>
        <w:tc>
          <w:tcPr>
            <w:tcW w:w="1710" w:type="dxa"/>
          </w:tcPr>
          <w:p w14:paraId="7BB70117" w14:textId="77777777" w:rsidR="00D57D26" w:rsidRPr="007C47D4" w:rsidRDefault="00D57D26" w:rsidP="00D57D26">
            <w:pPr>
              <w:pStyle w:val="NoSpacing"/>
              <w:rPr>
                <w:sz w:val="20"/>
                <w:szCs w:val="20"/>
              </w:rPr>
            </w:pPr>
            <w:r w:rsidRPr="007C47D4">
              <w:rPr>
                <w:sz w:val="20"/>
                <w:szCs w:val="20"/>
              </w:rPr>
              <w:t>National origin</w:t>
            </w:r>
          </w:p>
        </w:tc>
        <w:tc>
          <w:tcPr>
            <w:tcW w:w="2155" w:type="dxa"/>
          </w:tcPr>
          <w:p w14:paraId="36B1DA6C" w14:textId="4167951E" w:rsidR="00D57D26" w:rsidRPr="00DE304E" w:rsidRDefault="00D57D26" w:rsidP="00D57D26">
            <w:pPr>
              <w:pStyle w:val="NoSpacing"/>
              <w:jc w:val="center"/>
              <w:rPr>
                <w:sz w:val="20"/>
                <w:szCs w:val="20"/>
              </w:rPr>
            </w:pPr>
          </w:p>
        </w:tc>
        <w:tc>
          <w:tcPr>
            <w:tcW w:w="2160" w:type="dxa"/>
          </w:tcPr>
          <w:p w14:paraId="60153FDE" w14:textId="2D58CC5F" w:rsidR="00D57D26" w:rsidRPr="00DE304E" w:rsidRDefault="00D57D26" w:rsidP="00D57D26">
            <w:pPr>
              <w:pStyle w:val="NoSpacing"/>
              <w:jc w:val="center"/>
              <w:rPr>
                <w:sz w:val="20"/>
                <w:szCs w:val="20"/>
              </w:rPr>
            </w:pPr>
          </w:p>
        </w:tc>
        <w:tc>
          <w:tcPr>
            <w:tcW w:w="2070" w:type="dxa"/>
          </w:tcPr>
          <w:p w14:paraId="2A40114D" w14:textId="6499FE07" w:rsidR="00D57D26" w:rsidRPr="00DE304E" w:rsidRDefault="00D57D26" w:rsidP="00D57D26">
            <w:pPr>
              <w:pStyle w:val="NoSpacing"/>
              <w:jc w:val="center"/>
              <w:rPr>
                <w:sz w:val="20"/>
                <w:szCs w:val="20"/>
              </w:rPr>
            </w:pPr>
          </w:p>
        </w:tc>
        <w:tc>
          <w:tcPr>
            <w:tcW w:w="1980" w:type="dxa"/>
          </w:tcPr>
          <w:p w14:paraId="76E46ECB" w14:textId="07332882" w:rsidR="00D57D26" w:rsidRPr="00DE304E" w:rsidRDefault="00D57D26" w:rsidP="00D57D26">
            <w:pPr>
              <w:pStyle w:val="NoSpacing"/>
              <w:jc w:val="center"/>
              <w:rPr>
                <w:sz w:val="20"/>
                <w:szCs w:val="20"/>
              </w:rPr>
            </w:pPr>
          </w:p>
        </w:tc>
      </w:tr>
      <w:tr w:rsidR="00D57D26" w14:paraId="32729DAD" w14:textId="77777777" w:rsidTr="00DE304E">
        <w:trPr>
          <w:jc w:val="center"/>
        </w:trPr>
        <w:tc>
          <w:tcPr>
            <w:tcW w:w="1710" w:type="dxa"/>
          </w:tcPr>
          <w:p w14:paraId="788405D2" w14:textId="77777777" w:rsidR="00D57D26" w:rsidRPr="007C47D4" w:rsidRDefault="00D57D26" w:rsidP="00D57D26">
            <w:pPr>
              <w:pStyle w:val="NoSpacing"/>
              <w:rPr>
                <w:sz w:val="20"/>
                <w:szCs w:val="20"/>
              </w:rPr>
            </w:pPr>
            <w:r w:rsidRPr="007C47D4">
              <w:rPr>
                <w:sz w:val="20"/>
                <w:szCs w:val="20"/>
              </w:rPr>
              <w:t>Social origin</w:t>
            </w:r>
          </w:p>
        </w:tc>
        <w:tc>
          <w:tcPr>
            <w:tcW w:w="2155" w:type="dxa"/>
          </w:tcPr>
          <w:p w14:paraId="7BE0539A" w14:textId="3DD0838E" w:rsidR="00D57D26" w:rsidRPr="00DE304E" w:rsidRDefault="00D57D26" w:rsidP="00D57D26">
            <w:pPr>
              <w:pStyle w:val="NoSpacing"/>
              <w:jc w:val="center"/>
              <w:rPr>
                <w:sz w:val="20"/>
                <w:szCs w:val="20"/>
              </w:rPr>
            </w:pPr>
          </w:p>
        </w:tc>
        <w:tc>
          <w:tcPr>
            <w:tcW w:w="2160" w:type="dxa"/>
          </w:tcPr>
          <w:p w14:paraId="67F44722" w14:textId="42A52829" w:rsidR="00D57D26" w:rsidRPr="00DE304E" w:rsidRDefault="00D57D26" w:rsidP="00D57D26">
            <w:pPr>
              <w:pStyle w:val="NoSpacing"/>
              <w:jc w:val="center"/>
              <w:rPr>
                <w:sz w:val="20"/>
                <w:szCs w:val="20"/>
              </w:rPr>
            </w:pPr>
          </w:p>
        </w:tc>
        <w:tc>
          <w:tcPr>
            <w:tcW w:w="2070" w:type="dxa"/>
          </w:tcPr>
          <w:p w14:paraId="2159DDDD" w14:textId="02B33753" w:rsidR="00D57D26" w:rsidRPr="00DE304E" w:rsidRDefault="00D57D26" w:rsidP="00D57D26">
            <w:pPr>
              <w:pStyle w:val="NoSpacing"/>
              <w:jc w:val="center"/>
              <w:rPr>
                <w:sz w:val="20"/>
                <w:szCs w:val="20"/>
              </w:rPr>
            </w:pPr>
          </w:p>
        </w:tc>
        <w:tc>
          <w:tcPr>
            <w:tcW w:w="1980" w:type="dxa"/>
          </w:tcPr>
          <w:p w14:paraId="0FA11A17" w14:textId="50A5C29D" w:rsidR="00D57D26" w:rsidRPr="00DE304E" w:rsidRDefault="00D57D26" w:rsidP="00D57D26">
            <w:pPr>
              <w:pStyle w:val="NoSpacing"/>
              <w:jc w:val="center"/>
              <w:rPr>
                <w:sz w:val="20"/>
                <w:szCs w:val="20"/>
              </w:rPr>
            </w:pPr>
          </w:p>
        </w:tc>
      </w:tr>
      <w:tr w:rsidR="00D57D26" w14:paraId="55AE880A" w14:textId="77777777" w:rsidTr="00DE304E">
        <w:trPr>
          <w:jc w:val="center"/>
        </w:trPr>
        <w:tc>
          <w:tcPr>
            <w:tcW w:w="1710" w:type="dxa"/>
          </w:tcPr>
          <w:p w14:paraId="7217CDF6" w14:textId="77777777" w:rsidR="00D57D26" w:rsidRPr="007C47D4" w:rsidRDefault="00D57D26" w:rsidP="00D57D26">
            <w:pPr>
              <w:pStyle w:val="NoSpacing"/>
              <w:rPr>
                <w:sz w:val="20"/>
                <w:szCs w:val="20"/>
              </w:rPr>
            </w:pPr>
            <w:r w:rsidRPr="007C47D4">
              <w:rPr>
                <w:sz w:val="20"/>
                <w:szCs w:val="20"/>
              </w:rPr>
              <w:t>Property status</w:t>
            </w:r>
          </w:p>
        </w:tc>
        <w:tc>
          <w:tcPr>
            <w:tcW w:w="2155" w:type="dxa"/>
          </w:tcPr>
          <w:p w14:paraId="16454796" w14:textId="3B6FDAF2" w:rsidR="00D57D26" w:rsidRPr="00DE304E" w:rsidRDefault="00D57D26" w:rsidP="00D57D26">
            <w:pPr>
              <w:pStyle w:val="NoSpacing"/>
              <w:jc w:val="center"/>
              <w:rPr>
                <w:sz w:val="20"/>
                <w:szCs w:val="20"/>
              </w:rPr>
            </w:pPr>
          </w:p>
        </w:tc>
        <w:tc>
          <w:tcPr>
            <w:tcW w:w="2160" w:type="dxa"/>
          </w:tcPr>
          <w:p w14:paraId="7AD80AA6" w14:textId="550289F4" w:rsidR="00D57D26" w:rsidRPr="00DE304E" w:rsidRDefault="00D57D26" w:rsidP="00D57D26">
            <w:pPr>
              <w:pStyle w:val="NoSpacing"/>
              <w:jc w:val="center"/>
              <w:rPr>
                <w:sz w:val="20"/>
                <w:szCs w:val="20"/>
              </w:rPr>
            </w:pPr>
          </w:p>
        </w:tc>
        <w:tc>
          <w:tcPr>
            <w:tcW w:w="2070" w:type="dxa"/>
          </w:tcPr>
          <w:p w14:paraId="4D1D753F" w14:textId="305E2A65" w:rsidR="00D57D26" w:rsidRPr="00DE304E" w:rsidRDefault="00D57D26" w:rsidP="00D57D26">
            <w:pPr>
              <w:pStyle w:val="NoSpacing"/>
              <w:jc w:val="center"/>
              <w:rPr>
                <w:sz w:val="20"/>
                <w:szCs w:val="20"/>
              </w:rPr>
            </w:pPr>
          </w:p>
        </w:tc>
        <w:tc>
          <w:tcPr>
            <w:tcW w:w="1980" w:type="dxa"/>
          </w:tcPr>
          <w:p w14:paraId="7E27BDEF" w14:textId="0227F481" w:rsidR="00D57D26" w:rsidRPr="00DE304E" w:rsidRDefault="00D57D26" w:rsidP="00D57D26">
            <w:pPr>
              <w:pStyle w:val="NoSpacing"/>
              <w:jc w:val="center"/>
              <w:rPr>
                <w:sz w:val="20"/>
                <w:szCs w:val="20"/>
              </w:rPr>
            </w:pPr>
          </w:p>
        </w:tc>
      </w:tr>
      <w:tr w:rsidR="00D57D26" w14:paraId="3F9A85A0" w14:textId="77777777" w:rsidTr="00DE304E">
        <w:trPr>
          <w:jc w:val="center"/>
        </w:trPr>
        <w:tc>
          <w:tcPr>
            <w:tcW w:w="1710" w:type="dxa"/>
          </w:tcPr>
          <w:p w14:paraId="23A5B82F" w14:textId="77777777" w:rsidR="00D57D26" w:rsidRPr="007C47D4" w:rsidRDefault="00D57D26" w:rsidP="00D57D26">
            <w:pPr>
              <w:pStyle w:val="NoSpacing"/>
              <w:rPr>
                <w:sz w:val="20"/>
                <w:szCs w:val="20"/>
              </w:rPr>
            </w:pPr>
            <w:r w:rsidRPr="007C47D4">
              <w:rPr>
                <w:sz w:val="20"/>
                <w:szCs w:val="20"/>
              </w:rPr>
              <w:t>Birth status</w:t>
            </w:r>
          </w:p>
        </w:tc>
        <w:tc>
          <w:tcPr>
            <w:tcW w:w="2155" w:type="dxa"/>
          </w:tcPr>
          <w:p w14:paraId="2797A0AB" w14:textId="4D2F4EDB" w:rsidR="00D57D26" w:rsidRPr="00DE304E" w:rsidRDefault="00D57D26" w:rsidP="00D57D26">
            <w:pPr>
              <w:pStyle w:val="NoSpacing"/>
              <w:jc w:val="center"/>
              <w:rPr>
                <w:sz w:val="20"/>
                <w:szCs w:val="20"/>
              </w:rPr>
            </w:pPr>
          </w:p>
        </w:tc>
        <w:tc>
          <w:tcPr>
            <w:tcW w:w="2160" w:type="dxa"/>
          </w:tcPr>
          <w:p w14:paraId="7EFB7F6F" w14:textId="5D734668" w:rsidR="00D57D26" w:rsidRPr="00DE304E" w:rsidRDefault="00D57D26" w:rsidP="00D57D26">
            <w:pPr>
              <w:pStyle w:val="NoSpacing"/>
              <w:jc w:val="center"/>
              <w:rPr>
                <w:sz w:val="20"/>
                <w:szCs w:val="20"/>
              </w:rPr>
            </w:pPr>
          </w:p>
        </w:tc>
        <w:tc>
          <w:tcPr>
            <w:tcW w:w="2070" w:type="dxa"/>
          </w:tcPr>
          <w:p w14:paraId="1154B1D3" w14:textId="278D23DC" w:rsidR="00D57D26" w:rsidRPr="00DE304E" w:rsidRDefault="00D57D26" w:rsidP="00D57D26">
            <w:pPr>
              <w:pStyle w:val="NoSpacing"/>
              <w:jc w:val="center"/>
              <w:rPr>
                <w:sz w:val="20"/>
                <w:szCs w:val="20"/>
              </w:rPr>
            </w:pPr>
          </w:p>
        </w:tc>
        <w:tc>
          <w:tcPr>
            <w:tcW w:w="1980" w:type="dxa"/>
          </w:tcPr>
          <w:p w14:paraId="79369FB9" w14:textId="51DBA8D1" w:rsidR="00D57D26" w:rsidRPr="00DE304E" w:rsidRDefault="00D57D26" w:rsidP="00D57D26">
            <w:pPr>
              <w:pStyle w:val="NoSpacing"/>
              <w:jc w:val="center"/>
              <w:rPr>
                <w:sz w:val="20"/>
                <w:szCs w:val="20"/>
              </w:rPr>
            </w:pPr>
          </w:p>
        </w:tc>
      </w:tr>
      <w:tr w:rsidR="00263F9D" w14:paraId="6950574F" w14:textId="77777777" w:rsidTr="00CE074A">
        <w:trPr>
          <w:jc w:val="center"/>
        </w:trPr>
        <w:tc>
          <w:tcPr>
            <w:tcW w:w="1710" w:type="dxa"/>
          </w:tcPr>
          <w:p w14:paraId="26052A10" w14:textId="77777777" w:rsidR="00263F9D" w:rsidRPr="007C47D4" w:rsidRDefault="00263F9D" w:rsidP="00CE074A">
            <w:pPr>
              <w:pStyle w:val="NoSpacing"/>
              <w:rPr>
                <w:sz w:val="20"/>
                <w:szCs w:val="20"/>
              </w:rPr>
            </w:pPr>
            <w:r w:rsidRPr="007C47D4">
              <w:rPr>
                <w:sz w:val="20"/>
                <w:szCs w:val="20"/>
              </w:rPr>
              <w:t>Disability</w:t>
            </w:r>
          </w:p>
        </w:tc>
        <w:tc>
          <w:tcPr>
            <w:tcW w:w="2155" w:type="dxa"/>
            <w:vAlign w:val="center"/>
          </w:tcPr>
          <w:p w14:paraId="2F2B609C" w14:textId="42EE8676" w:rsidR="00263F9D" w:rsidRDefault="00913FDE" w:rsidP="00CE074A">
            <w:pPr>
              <w:pStyle w:val="NoSpacing"/>
              <w:jc w:val="center"/>
            </w:pPr>
            <w:r>
              <w:sym w:font="Wingdings" w:char="F0FC"/>
            </w:r>
          </w:p>
        </w:tc>
        <w:tc>
          <w:tcPr>
            <w:tcW w:w="2160" w:type="dxa"/>
            <w:vAlign w:val="center"/>
          </w:tcPr>
          <w:p w14:paraId="2E260E60" w14:textId="0EEC5970" w:rsidR="00263F9D" w:rsidRDefault="00913FDE" w:rsidP="00CE074A">
            <w:pPr>
              <w:pStyle w:val="NoSpacing"/>
              <w:jc w:val="center"/>
            </w:pPr>
            <w:r>
              <w:sym w:font="Wingdings" w:char="F0FC"/>
            </w:r>
          </w:p>
        </w:tc>
        <w:tc>
          <w:tcPr>
            <w:tcW w:w="2070" w:type="dxa"/>
            <w:vAlign w:val="center"/>
          </w:tcPr>
          <w:p w14:paraId="05023A37" w14:textId="05AD27FD" w:rsidR="00263F9D" w:rsidRDefault="00913FDE" w:rsidP="00CE074A">
            <w:pPr>
              <w:pStyle w:val="NoSpacing"/>
              <w:jc w:val="center"/>
            </w:pPr>
            <w:r>
              <w:sym w:font="Wingdings" w:char="F0FC"/>
            </w:r>
          </w:p>
        </w:tc>
        <w:tc>
          <w:tcPr>
            <w:tcW w:w="1980" w:type="dxa"/>
            <w:vAlign w:val="center"/>
          </w:tcPr>
          <w:p w14:paraId="41801271" w14:textId="1AD1DAE7" w:rsidR="00263F9D" w:rsidRDefault="00BA282F" w:rsidP="00CE074A">
            <w:pPr>
              <w:pStyle w:val="NoSpacing"/>
              <w:jc w:val="center"/>
            </w:pPr>
            <w:r>
              <w:sym w:font="Wingdings" w:char="F0FC"/>
            </w:r>
          </w:p>
        </w:tc>
      </w:tr>
      <w:tr w:rsidR="00783854" w14:paraId="1922AB0F" w14:textId="77777777" w:rsidTr="00D2577A">
        <w:trPr>
          <w:jc w:val="center"/>
        </w:trPr>
        <w:tc>
          <w:tcPr>
            <w:tcW w:w="10075" w:type="dxa"/>
            <w:gridSpan w:val="5"/>
          </w:tcPr>
          <w:p w14:paraId="19AEC58D" w14:textId="77777777" w:rsidR="00783854" w:rsidRDefault="00783854" w:rsidP="00783854">
            <w:pPr>
              <w:pStyle w:val="NoSpacing"/>
              <w:rPr>
                <w:i/>
                <w:sz w:val="20"/>
                <w:szCs w:val="20"/>
              </w:rPr>
            </w:pPr>
            <w:r w:rsidRPr="004A09E4">
              <w:rPr>
                <w:i/>
                <w:sz w:val="20"/>
                <w:szCs w:val="20"/>
              </w:rPr>
              <w:t>Note: An empty cell</w:t>
            </w:r>
            <w:r w:rsidR="002367F5" w:rsidRPr="004A09E4">
              <w:rPr>
                <w:i/>
                <w:sz w:val="20"/>
                <w:szCs w:val="20"/>
              </w:rPr>
              <w:t xml:space="preserve"> indicates </w:t>
            </w:r>
            <w:r w:rsidR="00367DF6" w:rsidRPr="004A09E4">
              <w:rPr>
                <w:i/>
                <w:sz w:val="20"/>
                <w:szCs w:val="20"/>
              </w:rPr>
              <w:t xml:space="preserve">no relevant provisions were found. </w:t>
            </w:r>
          </w:p>
          <w:p w14:paraId="1660C2ED" w14:textId="688E576C" w:rsidR="00671D20" w:rsidRPr="00671D20" w:rsidRDefault="00671D20" w:rsidP="00783854">
            <w:pPr>
              <w:pStyle w:val="NoSpacing"/>
              <w:rPr>
                <w:i/>
                <w:sz w:val="20"/>
                <w:szCs w:val="20"/>
              </w:rPr>
            </w:pPr>
            <w:r w:rsidRPr="00671D20">
              <w:rPr>
                <w:i/>
                <w:sz w:val="20"/>
                <w:szCs w:val="20"/>
              </w:rPr>
              <w:t>*Also guarantees equal</w:t>
            </w:r>
            <w:r w:rsidR="001919B9">
              <w:rPr>
                <w:i/>
                <w:sz w:val="20"/>
                <w:szCs w:val="20"/>
              </w:rPr>
              <w:t xml:space="preserve"> remuneration</w:t>
            </w:r>
            <w:r w:rsidRPr="00671D20">
              <w:rPr>
                <w:i/>
                <w:sz w:val="20"/>
                <w:szCs w:val="20"/>
              </w:rPr>
              <w:t xml:space="preserve"> for work of equal value</w:t>
            </w:r>
          </w:p>
        </w:tc>
      </w:tr>
    </w:tbl>
    <w:p w14:paraId="7264F17D" w14:textId="52570550" w:rsidR="00263F9D" w:rsidRDefault="00263F9D" w:rsidP="00437B1F">
      <w:pPr>
        <w:spacing w:line="276" w:lineRule="auto"/>
      </w:pPr>
    </w:p>
    <w:p w14:paraId="6F764B08" w14:textId="25F1477C" w:rsidR="004F1A2B" w:rsidRPr="004F1A2B" w:rsidRDefault="004F1A2B" w:rsidP="004F1A2B">
      <w:pPr>
        <w:spacing w:afterLines="100" w:after="240" w:line="276" w:lineRule="auto"/>
        <w:contextualSpacing/>
        <w:rPr>
          <w:rFonts w:ascii="Calibri" w:eastAsia="Calibri" w:hAnsi="Calibri" w:cs="Times New Roman"/>
          <w:b/>
        </w:rPr>
      </w:pPr>
      <w:bookmarkStart w:id="10" w:name="_Hlk48729617"/>
      <w:r w:rsidRPr="004F1A2B">
        <w:rPr>
          <w:rFonts w:ascii="Calibri" w:eastAsia="Calibri" w:hAnsi="Calibri" w:cs="Times New Roman"/>
          <w:b/>
        </w:rPr>
        <w:t>We hope the Committee will:</w:t>
      </w:r>
    </w:p>
    <w:p w14:paraId="4B4F6570" w14:textId="075A61A5" w:rsidR="001E3383" w:rsidRPr="001E3383" w:rsidRDefault="001E3383" w:rsidP="001E3383">
      <w:pPr>
        <w:numPr>
          <w:ilvl w:val="0"/>
          <w:numId w:val="19"/>
        </w:numPr>
        <w:spacing w:afterLines="100" w:after="240" w:line="276" w:lineRule="auto"/>
        <w:ind w:left="720"/>
        <w:contextualSpacing/>
        <w:rPr>
          <w:rFonts w:ascii="Calibri" w:eastAsia="Calibri" w:hAnsi="Calibri" w:cs="Times New Roman"/>
          <w:b/>
        </w:rPr>
      </w:pPr>
      <w:r w:rsidRPr="001E3383">
        <w:rPr>
          <w:rFonts w:ascii="Calibri" w:eastAsia="Calibri" w:hAnsi="Calibri" w:cs="Times New Roman"/>
        </w:rPr>
        <w:t xml:space="preserve">In its list of issues, ask </w:t>
      </w:r>
      <w:r w:rsidR="0086100C">
        <w:rPr>
          <w:rFonts w:ascii="Calibri" w:eastAsia="Calibri" w:hAnsi="Calibri" w:cs="Times New Roman"/>
          <w:color w:val="000000"/>
        </w:rPr>
        <w:t>Luxembourg</w:t>
      </w:r>
      <w:r w:rsidRPr="001E3383">
        <w:rPr>
          <w:rFonts w:ascii="Calibri" w:eastAsia="Calibri" w:hAnsi="Calibri" w:cs="Times New Roman"/>
        </w:rPr>
        <w:t>:</w:t>
      </w:r>
      <w:r w:rsidRPr="001E3383">
        <w:rPr>
          <w:rFonts w:ascii="Calibri" w:eastAsia="Calibri" w:hAnsi="Calibri" w:cs="Times New Roman"/>
          <w:b/>
        </w:rPr>
        <w:t xml:space="preserve"> </w:t>
      </w:r>
      <w:r w:rsidR="00BA7582">
        <w:rPr>
          <w:rFonts w:ascii="Calibri" w:eastAsia="Calibri" w:hAnsi="Calibri" w:cs="Times New Roman"/>
        </w:rPr>
        <w:t xml:space="preserve">Can </w:t>
      </w:r>
      <w:r w:rsidR="0086100C">
        <w:rPr>
          <w:rFonts w:ascii="Calibri" w:eastAsia="Calibri" w:hAnsi="Calibri" w:cs="Times New Roman"/>
        </w:rPr>
        <w:t>Luxembourg</w:t>
      </w:r>
      <w:r w:rsidRPr="001E3383">
        <w:rPr>
          <w:rFonts w:ascii="Calibri" w:eastAsia="Calibri" w:hAnsi="Calibri" w:cs="Times New Roman"/>
        </w:rPr>
        <w:t xml:space="preserve"> outline any concrete, near-term plans to pass legislation prohibiting all forms of workplace discrimination on the basis of language, political opinion, national or social origin, property</w:t>
      </w:r>
      <w:r w:rsidR="006E3849">
        <w:rPr>
          <w:rFonts w:ascii="Calibri" w:eastAsia="Calibri" w:hAnsi="Calibri" w:cs="Times New Roman"/>
        </w:rPr>
        <w:t xml:space="preserve"> status, and birth</w:t>
      </w:r>
      <w:r w:rsidRPr="001E3383">
        <w:rPr>
          <w:rFonts w:ascii="Calibri" w:eastAsia="Calibri" w:hAnsi="Calibri" w:cs="Times New Roman"/>
        </w:rPr>
        <w:t xml:space="preserve"> status?</w:t>
      </w:r>
    </w:p>
    <w:p w14:paraId="3FF35613" w14:textId="4BAB16EF" w:rsidR="001E3383" w:rsidRPr="001E3383" w:rsidRDefault="001E3383" w:rsidP="001E3383">
      <w:pPr>
        <w:numPr>
          <w:ilvl w:val="1"/>
          <w:numId w:val="19"/>
        </w:numPr>
        <w:spacing w:afterLines="100" w:after="240" w:line="276" w:lineRule="auto"/>
        <w:contextualSpacing/>
        <w:rPr>
          <w:rFonts w:ascii="Calibri" w:eastAsia="Calibri" w:hAnsi="Calibri" w:cs="Times New Roman"/>
          <w:b/>
        </w:rPr>
      </w:pPr>
      <w:r w:rsidRPr="001E3383">
        <w:rPr>
          <w:rFonts w:ascii="Calibri" w:eastAsia="Calibri" w:hAnsi="Calibri" w:cs="Times New Roman"/>
        </w:rPr>
        <w:t xml:space="preserve">If </w:t>
      </w:r>
      <w:r w:rsidR="0086100C">
        <w:rPr>
          <w:rFonts w:ascii="Calibri" w:eastAsia="Calibri" w:hAnsi="Calibri" w:cs="Times New Roman"/>
        </w:rPr>
        <w:t>Luxembourg</w:t>
      </w:r>
      <w:r w:rsidRPr="001E3383">
        <w:rPr>
          <w:rFonts w:ascii="Calibri" w:eastAsia="Calibri" w:hAnsi="Calibri" w:cs="Times New Roman"/>
        </w:rPr>
        <w:t xml:space="preserve"> does not have concrete, near-term plans to pass and implement such legislation, recommend in its concluding observations that </w:t>
      </w:r>
      <w:r w:rsidR="0086100C">
        <w:rPr>
          <w:rFonts w:ascii="Calibri" w:eastAsia="Calibri" w:hAnsi="Calibri" w:cs="Times New Roman"/>
        </w:rPr>
        <w:t>Luxembourg</w:t>
      </w:r>
      <w:r w:rsidRPr="001E3383">
        <w:rPr>
          <w:rFonts w:ascii="Calibri" w:eastAsia="Calibri" w:hAnsi="Calibri" w:cs="Times New Roman"/>
        </w:rPr>
        <w:t xml:space="preserve"> pass and implement legislation that explicitly protects </w:t>
      </w:r>
      <w:r w:rsidR="00FD1DC9">
        <w:rPr>
          <w:rFonts w:ascii="Calibri" w:eastAsia="Calibri" w:hAnsi="Calibri" w:cs="Times New Roman"/>
        </w:rPr>
        <w:t>all</w:t>
      </w:r>
      <w:r w:rsidR="002A50F2">
        <w:rPr>
          <w:rFonts w:ascii="Calibri" w:eastAsia="Calibri" w:hAnsi="Calibri" w:cs="Times New Roman"/>
        </w:rPr>
        <w:t xml:space="preserve"> </w:t>
      </w:r>
      <w:r w:rsidR="00497858">
        <w:rPr>
          <w:rFonts w:ascii="Calibri" w:eastAsia="Calibri" w:hAnsi="Calibri" w:cs="Times New Roman"/>
        </w:rPr>
        <w:t>characteristics</w:t>
      </w:r>
      <w:r w:rsidRPr="001E3383">
        <w:rPr>
          <w:rFonts w:ascii="Calibri" w:eastAsia="Calibri" w:hAnsi="Calibri" w:cs="Times New Roman"/>
        </w:rPr>
        <w:t xml:space="preserve"> covered in Article 2 and General Comment 5 of the ICESCR from workplace discrimination, particularly in:</w:t>
      </w:r>
    </w:p>
    <w:p w14:paraId="7539EF51" w14:textId="77777777" w:rsidR="001E3383" w:rsidRPr="001E3383" w:rsidRDefault="001E3383" w:rsidP="001E3383">
      <w:pPr>
        <w:numPr>
          <w:ilvl w:val="2"/>
          <w:numId w:val="19"/>
        </w:numPr>
        <w:spacing w:line="276" w:lineRule="auto"/>
        <w:ind w:left="1980"/>
        <w:contextualSpacing/>
        <w:rPr>
          <w:rFonts w:ascii="Calibri" w:eastAsia="Calibri" w:hAnsi="Calibri" w:cs="Times New Roman"/>
        </w:rPr>
      </w:pPr>
      <w:r w:rsidRPr="001E3383">
        <w:rPr>
          <w:rFonts w:ascii="Calibri" w:eastAsia="Calibri" w:hAnsi="Calibri" w:cs="Times New Roman"/>
        </w:rPr>
        <w:lastRenderedPageBreak/>
        <w:t>employment opportunities or hiring</w:t>
      </w:r>
    </w:p>
    <w:p w14:paraId="4A9EDD27" w14:textId="77777777" w:rsidR="001E3383" w:rsidRPr="001E3383" w:rsidRDefault="001E3383" w:rsidP="001E3383">
      <w:pPr>
        <w:numPr>
          <w:ilvl w:val="2"/>
          <w:numId w:val="19"/>
        </w:numPr>
        <w:spacing w:line="276" w:lineRule="auto"/>
        <w:ind w:left="1980"/>
        <w:contextualSpacing/>
        <w:rPr>
          <w:rFonts w:ascii="Calibri" w:eastAsia="Calibri" w:hAnsi="Calibri" w:cs="Times New Roman"/>
        </w:rPr>
      </w:pPr>
      <w:r w:rsidRPr="001E3383">
        <w:rPr>
          <w:rFonts w:ascii="Calibri" w:eastAsia="Calibri" w:hAnsi="Calibri" w:cs="Times New Roman"/>
        </w:rPr>
        <w:t>equal remuneration for work of equal value</w:t>
      </w:r>
    </w:p>
    <w:p w14:paraId="4B96FC35" w14:textId="77777777" w:rsidR="001E3383" w:rsidRPr="001E3383" w:rsidRDefault="001E3383" w:rsidP="001E3383">
      <w:pPr>
        <w:numPr>
          <w:ilvl w:val="2"/>
          <w:numId w:val="19"/>
        </w:numPr>
        <w:spacing w:line="276" w:lineRule="auto"/>
        <w:ind w:left="1980"/>
        <w:contextualSpacing/>
        <w:rPr>
          <w:rFonts w:ascii="Calibri" w:eastAsia="Calibri" w:hAnsi="Calibri" w:cs="Times New Roman"/>
        </w:rPr>
      </w:pPr>
      <w:r w:rsidRPr="001E3383">
        <w:rPr>
          <w:rFonts w:ascii="Calibri" w:eastAsia="Calibri" w:hAnsi="Calibri" w:cs="Times New Roman"/>
        </w:rPr>
        <w:t>promotions and demotions</w:t>
      </w:r>
    </w:p>
    <w:p w14:paraId="7A564B53" w14:textId="7C46ACDD" w:rsidR="001E3383" w:rsidRDefault="001E3383" w:rsidP="001E3383">
      <w:pPr>
        <w:numPr>
          <w:ilvl w:val="2"/>
          <w:numId w:val="19"/>
        </w:numPr>
        <w:spacing w:line="276" w:lineRule="auto"/>
        <w:ind w:left="1980"/>
        <w:contextualSpacing/>
        <w:rPr>
          <w:rFonts w:ascii="Calibri" w:eastAsia="Calibri" w:hAnsi="Calibri" w:cs="Times New Roman"/>
        </w:rPr>
      </w:pPr>
      <w:r w:rsidRPr="001E3383">
        <w:rPr>
          <w:rFonts w:ascii="Calibri" w:eastAsia="Calibri" w:hAnsi="Calibri" w:cs="Times New Roman"/>
        </w:rPr>
        <w:t>dismissals or terminations</w:t>
      </w:r>
    </w:p>
    <w:p w14:paraId="180BC787" w14:textId="234EDEA8" w:rsidR="002B185D" w:rsidRPr="002A50F2" w:rsidRDefault="002B185D" w:rsidP="002B185D">
      <w:pPr>
        <w:numPr>
          <w:ilvl w:val="0"/>
          <w:numId w:val="19"/>
        </w:numPr>
        <w:spacing w:afterLines="100" w:after="240" w:line="276" w:lineRule="auto"/>
        <w:contextualSpacing/>
        <w:rPr>
          <w:rFonts w:ascii="Calibri" w:eastAsia="Calibri" w:hAnsi="Calibri" w:cs="Times New Roman"/>
          <w:bCs/>
        </w:rPr>
      </w:pPr>
      <w:r w:rsidRPr="002A50F2">
        <w:rPr>
          <w:rFonts w:ascii="Calibri" w:eastAsia="Calibri" w:hAnsi="Calibri" w:cs="Times New Roman"/>
          <w:bCs/>
        </w:rPr>
        <w:t>In its list of issues, ask Luxembourg: Can Luxembourg outline how it is enfo</w:t>
      </w:r>
      <w:r w:rsidR="004A09E4">
        <w:rPr>
          <w:rFonts w:ascii="Calibri" w:eastAsia="Calibri" w:hAnsi="Calibri" w:cs="Times New Roman"/>
          <w:bCs/>
        </w:rPr>
        <w:t xml:space="preserve">rcing existing prohibitions of </w:t>
      </w:r>
      <w:r w:rsidRPr="002A50F2">
        <w:rPr>
          <w:rFonts w:ascii="Calibri" w:eastAsia="Calibri" w:hAnsi="Calibri" w:cs="Times New Roman"/>
          <w:bCs/>
        </w:rPr>
        <w:t>workplace discrimination</w:t>
      </w:r>
      <w:r w:rsidR="001F2297">
        <w:rPr>
          <w:rFonts w:ascii="Calibri" w:eastAsia="Calibri" w:hAnsi="Calibri" w:cs="Times New Roman"/>
          <w:bCs/>
        </w:rPr>
        <w:t xml:space="preserve"> based on </w:t>
      </w:r>
      <w:r w:rsidR="001F2297" w:rsidRPr="001F2297">
        <w:t>race, sex, religion, and disability status</w:t>
      </w:r>
      <w:r w:rsidRPr="002A50F2">
        <w:rPr>
          <w:rFonts w:ascii="Calibri" w:eastAsia="Calibri" w:hAnsi="Calibri" w:cs="Times New Roman"/>
          <w:bCs/>
        </w:rPr>
        <w:t>?</w:t>
      </w:r>
    </w:p>
    <w:p w14:paraId="4F806075" w14:textId="72C4B931" w:rsidR="001E3383" w:rsidRDefault="002B185D" w:rsidP="00437B1F">
      <w:pPr>
        <w:numPr>
          <w:ilvl w:val="1"/>
          <w:numId w:val="19"/>
        </w:numPr>
        <w:spacing w:afterLines="100" w:after="240" w:line="276" w:lineRule="auto"/>
        <w:contextualSpacing/>
        <w:rPr>
          <w:rFonts w:ascii="Calibri" w:eastAsia="Calibri" w:hAnsi="Calibri" w:cs="Times New Roman"/>
          <w:bCs/>
        </w:rPr>
      </w:pPr>
      <w:r w:rsidRPr="002A50F2">
        <w:rPr>
          <w:rFonts w:ascii="Calibri" w:eastAsia="Calibri" w:hAnsi="Calibri" w:cs="Times New Roman"/>
          <w:bCs/>
        </w:rPr>
        <w:t>Where Luxembourg is not fully implementing these provisions, recommend in its concluding observations that Luxembourg explore how to implement these provisions fully and effectively.</w:t>
      </w:r>
    </w:p>
    <w:bookmarkEnd w:id="10"/>
    <w:p w14:paraId="00016EA9" w14:textId="77777777" w:rsidR="002B185D" w:rsidRPr="002B185D" w:rsidRDefault="002B185D" w:rsidP="002B185D">
      <w:pPr>
        <w:spacing w:afterLines="100" w:after="240" w:line="276" w:lineRule="auto"/>
        <w:ind w:left="1485"/>
        <w:contextualSpacing/>
        <w:rPr>
          <w:rFonts w:ascii="Calibri" w:eastAsia="Calibri" w:hAnsi="Calibri" w:cs="Times New Roman"/>
          <w:bCs/>
        </w:rPr>
      </w:pPr>
    </w:p>
    <w:p w14:paraId="02209073" w14:textId="3C0F0B79" w:rsidR="00BC0D20" w:rsidRDefault="00F42DA9" w:rsidP="00BC0D20">
      <w:pPr>
        <w:pBdr>
          <w:bottom w:val="single" w:sz="6" w:space="1" w:color="auto"/>
        </w:pBdr>
        <w:spacing w:line="276" w:lineRule="auto"/>
        <w:rPr>
          <w:b/>
        </w:rPr>
      </w:pPr>
      <w:r>
        <w:rPr>
          <w:b/>
          <w:i/>
        </w:rPr>
        <w:t>Areas w</w:t>
      </w:r>
      <w:r w:rsidR="00BC0D20" w:rsidRPr="00F51489">
        <w:rPr>
          <w:b/>
          <w:i/>
        </w:rPr>
        <w:t xml:space="preserve">here </w:t>
      </w:r>
      <w:r w:rsidR="0086100C">
        <w:rPr>
          <w:b/>
          <w:i/>
        </w:rPr>
        <w:t>Luxembourg</w:t>
      </w:r>
      <w:r w:rsidR="00BC0D20" w:rsidRPr="00F51489">
        <w:rPr>
          <w:b/>
          <w:i/>
        </w:rPr>
        <w:t>’s</w:t>
      </w:r>
      <w:r w:rsidR="00BC0D20">
        <w:rPr>
          <w:b/>
          <w:i/>
        </w:rPr>
        <w:t xml:space="preserve"> provisions</w:t>
      </w:r>
      <w:r w:rsidR="00BC0D20" w:rsidRPr="00F51489">
        <w:rPr>
          <w:b/>
          <w:i/>
        </w:rPr>
        <w:t xml:space="preserve"> are consistent with or directly support the </w:t>
      </w:r>
      <w:r w:rsidR="00F93A51">
        <w:rPr>
          <w:b/>
          <w:i/>
        </w:rPr>
        <w:t>Covenant</w:t>
      </w:r>
      <w:r w:rsidR="00BC0D20" w:rsidRPr="00F51489">
        <w:rPr>
          <w:b/>
          <w:i/>
        </w:rPr>
        <w:t>:</w:t>
      </w:r>
      <w:r w:rsidR="00BC0D20" w:rsidRPr="00F51489">
        <w:rPr>
          <w:b/>
        </w:rPr>
        <w:t xml:space="preserve"> </w:t>
      </w:r>
    </w:p>
    <w:p w14:paraId="227E537E" w14:textId="0510D78C" w:rsidR="000676FE" w:rsidRPr="000676FE" w:rsidRDefault="000676FE" w:rsidP="000676FE">
      <w:pPr>
        <w:pStyle w:val="NoSpacing"/>
      </w:pPr>
    </w:p>
    <w:p w14:paraId="779AB8EC" w14:textId="2E9C0006" w:rsidR="00231FF8" w:rsidRPr="003F1607" w:rsidRDefault="00231FF8" w:rsidP="003F1607">
      <w:pPr>
        <w:spacing w:line="276" w:lineRule="auto"/>
        <w:rPr>
          <w:rFonts w:ascii="Calibri" w:eastAsiaTheme="majorEastAsia" w:hAnsi="Calibri" w:cs="Calibri"/>
          <w:color w:val="3405DF"/>
          <w:sz w:val="26"/>
          <w:szCs w:val="26"/>
        </w:rPr>
      </w:pPr>
      <w:r w:rsidRPr="003F1607">
        <w:rPr>
          <w:rFonts w:ascii="Calibri" w:eastAsiaTheme="majorEastAsia" w:hAnsi="Calibri" w:cs="Calibri"/>
          <w:color w:val="3405DF"/>
          <w:sz w:val="26"/>
          <w:szCs w:val="26"/>
        </w:rPr>
        <w:t>Free and compulsory education (Article 13)</w:t>
      </w:r>
    </w:p>
    <w:p w14:paraId="02F28F23" w14:textId="554CE329" w:rsidR="00B95DA6" w:rsidRDefault="00141A40" w:rsidP="00B95DA6">
      <w:pPr>
        <w:spacing w:afterLines="100" w:after="240" w:line="276" w:lineRule="auto"/>
      </w:pPr>
      <w:r w:rsidRPr="00125039">
        <w:t>Based on our</w:t>
      </w:r>
      <w:r>
        <w:t xml:space="preserve"> systematic</w:t>
      </w:r>
      <w:r w:rsidRPr="00125039">
        <w:t xml:space="preserve"> review of </w:t>
      </w:r>
      <w:r>
        <w:t xml:space="preserve">legislation, </w:t>
      </w:r>
      <w:r w:rsidR="0086100C">
        <w:t>Luxembourg</w:t>
      </w:r>
      <w:r w:rsidRPr="00F67273">
        <w:rPr>
          <w:b/>
        </w:rPr>
        <w:t xml:space="preserve"> g</w:t>
      </w:r>
      <w:r w:rsidRPr="008E4F40">
        <w:rPr>
          <w:b/>
          <w:bCs/>
        </w:rPr>
        <w:t>uarantees</w:t>
      </w:r>
      <w:r w:rsidR="00B95DA6" w:rsidRPr="008E4F40">
        <w:rPr>
          <w:b/>
          <w:bCs/>
        </w:rPr>
        <w:t xml:space="preserve"> </w:t>
      </w:r>
      <w:r w:rsidR="004E2E24" w:rsidRPr="008E4F40">
        <w:rPr>
          <w:b/>
          <w:bCs/>
        </w:rPr>
        <w:t>twelve</w:t>
      </w:r>
      <w:r w:rsidR="00B95DA6" w:rsidRPr="008E4F40">
        <w:rPr>
          <w:b/>
          <w:bCs/>
        </w:rPr>
        <w:t xml:space="preserve"> years of free and compulsory education for all children</w:t>
      </w:r>
      <w:r w:rsidR="00B95DA6">
        <w:t xml:space="preserve">. This is a positive and important </w:t>
      </w:r>
      <w:r w:rsidR="00327AF4">
        <w:t>provision</w:t>
      </w:r>
      <w:r w:rsidR="00B95DA6">
        <w:t xml:space="preserve"> to have in place, and while th</w:t>
      </w:r>
      <w:r w:rsidR="00327AF4">
        <w:t>is</w:t>
      </w:r>
      <w:r w:rsidR="00B95DA6">
        <w:t xml:space="preserve"> legislative guarantee </w:t>
      </w:r>
      <w:r w:rsidR="00327AF4">
        <w:t>is</w:t>
      </w:r>
      <w:r w:rsidR="00B95DA6">
        <w:t xml:space="preserve"> essential, so too </w:t>
      </w:r>
      <w:r w:rsidR="00327AF4">
        <w:t>is its</w:t>
      </w:r>
      <w:r w:rsidR="00B95DA6">
        <w:t xml:space="preserve"> implementation. </w:t>
      </w:r>
    </w:p>
    <w:p w14:paraId="548D27B7" w14:textId="79A6B796" w:rsidR="003862E3" w:rsidRPr="003F1428" w:rsidRDefault="003862E3" w:rsidP="003F1428">
      <w:pPr>
        <w:spacing w:after="0" w:line="276" w:lineRule="auto"/>
        <w:rPr>
          <w:b/>
          <w:i/>
        </w:rPr>
      </w:pPr>
    </w:p>
    <w:p w14:paraId="24D48308" w14:textId="7E3510D6" w:rsidR="00263795" w:rsidRPr="00D23173" w:rsidRDefault="00263795" w:rsidP="00437B1F">
      <w:pPr>
        <w:pBdr>
          <w:top w:val="single" w:sz="24" w:space="0" w:color="4F81BD"/>
          <w:left w:val="single" w:sz="24" w:space="0" w:color="4F81BD"/>
          <w:bottom w:val="single" w:sz="24" w:space="0" w:color="4F81BD"/>
          <w:right w:val="single" w:sz="24" w:space="0" w:color="4F81BD"/>
        </w:pBdr>
        <w:shd w:val="clear" w:color="auto" w:fill="4F81BD"/>
        <w:spacing w:before="200" w:after="200" w:line="276" w:lineRule="auto"/>
        <w:outlineLvl w:val="0"/>
        <w:rPr>
          <w:rFonts w:asciiTheme="majorHAnsi" w:eastAsia="Times New Roman" w:hAnsiTheme="majorHAnsi" w:cs="Times New Roman"/>
          <w:b/>
          <w:bCs/>
          <w:caps/>
          <w:color w:val="FFFFFF"/>
          <w:spacing w:val="15"/>
        </w:rPr>
      </w:pPr>
      <w:bookmarkStart w:id="11" w:name="_Toc23330169"/>
      <w:r w:rsidRPr="00D23173">
        <w:rPr>
          <w:rFonts w:asciiTheme="majorHAnsi" w:eastAsia="Times New Roman" w:hAnsiTheme="majorHAnsi" w:cs="Times New Roman"/>
          <w:b/>
          <w:bCs/>
          <w:caps/>
          <w:color w:val="FFFFFF"/>
          <w:spacing w:val="15"/>
        </w:rPr>
        <w:t>Detail</w:t>
      </w:r>
      <w:bookmarkEnd w:id="11"/>
    </w:p>
    <w:p w14:paraId="579A45CC" w14:textId="70724C4D" w:rsidR="00BE1C81" w:rsidRPr="0071584C" w:rsidRDefault="00BE1C81" w:rsidP="003F1428">
      <w:pPr>
        <w:pStyle w:val="Heading2"/>
        <w:numPr>
          <w:ilvl w:val="0"/>
          <w:numId w:val="15"/>
        </w:numPr>
        <w:pBdr>
          <w:bottom w:val="single" w:sz="4" w:space="1" w:color="auto"/>
        </w:pBdr>
        <w:spacing w:line="276" w:lineRule="auto"/>
        <w:ind w:left="360"/>
        <w:rPr>
          <w:b/>
        </w:rPr>
      </w:pPr>
      <w:bookmarkStart w:id="12" w:name="_Toc23330170"/>
      <w:r w:rsidRPr="00C60115">
        <w:rPr>
          <w:b/>
          <w:color w:val="3405DF"/>
        </w:rPr>
        <w:t xml:space="preserve">Equality and </w:t>
      </w:r>
      <w:r w:rsidR="00B009FE" w:rsidRPr="00C60115">
        <w:rPr>
          <w:b/>
          <w:color w:val="3405DF"/>
        </w:rPr>
        <w:t>Non-Discrimination (Article</w:t>
      </w:r>
      <w:r w:rsidR="0041722A" w:rsidRPr="00C60115">
        <w:rPr>
          <w:b/>
          <w:color w:val="3405DF"/>
        </w:rPr>
        <w:t xml:space="preserve"> </w:t>
      </w:r>
      <w:r w:rsidR="00270D67">
        <w:rPr>
          <w:b/>
          <w:color w:val="3405DF"/>
        </w:rPr>
        <w:t>2</w:t>
      </w:r>
      <w:r w:rsidR="000E5FB7">
        <w:rPr>
          <w:b/>
          <w:color w:val="3405DF"/>
        </w:rPr>
        <w:t>, General Comment No. 5</w:t>
      </w:r>
      <w:r w:rsidR="0041722A" w:rsidRPr="00585DF5">
        <w:rPr>
          <w:b/>
        </w:rPr>
        <w:t>)</w:t>
      </w:r>
      <w:bookmarkEnd w:id="12"/>
    </w:p>
    <w:p w14:paraId="0B30000B" w14:textId="77777777" w:rsidR="003F7B4B" w:rsidRDefault="003F7B4B" w:rsidP="003F1428">
      <w:pPr>
        <w:pStyle w:val="NoSpacing"/>
      </w:pPr>
    </w:p>
    <w:p w14:paraId="404E8F87" w14:textId="4DC69F3C" w:rsidR="00C22851" w:rsidRDefault="00C22851" w:rsidP="00231FF8">
      <w:pPr>
        <w:pStyle w:val="NoSpacing"/>
      </w:pPr>
      <w:r>
        <w:t xml:space="preserve">Article </w:t>
      </w:r>
      <w:r w:rsidR="004A2C19">
        <w:t>2</w:t>
      </w:r>
      <w:r w:rsidR="000E5FB7">
        <w:t xml:space="preserve"> (2)</w:t>
      </w:r>
      <w:r w:rsidR="004A2C19">
        <w:t xml:space="preserve"> </w:t>
      </w:r>
      <w:r w:rsidR="00D23173">
        <w:t xml:space="preserve">of </w:t>
      </w:r>
      <w:r w:rsidR="00573459">
        <w:t xml:space="preserve">The </w:t>
      </w:r>
      <w:r w:rsidR="00F93A51">
        <w:t xml:space="preserve">Covenant </w:t>
      </w:r>
      <w:r w:rsidR="00D23173">
        <w:t>states that:</w:t>
      </w:r>
    </w:p>
    <w:p w14:paraId="51A69113" w14:textId="77777777" w:rsidR="00231FF8" w:rsidRDefault="00231FF8" w:rsidP="00231FF8">
      <w:pPr>
        <w:pStyle w:val="NoSpacing"/>
        <w:ind w:left="720"/>
        <w:rPr>
          <w:i/>
        </w:rPr>
      </w:pPr>
    </w:p>
    <w:p w14:paraId="71429B93" w14:textId="2DB3468E" w:rsidR="004A2C19" w:rsidRDefault="004A2C19" w:rsidP="00231FF8">
      <w:pPr>
        <w:pStyle w:val="NoSpacing"/>
        <w:ind w:left="720"/>
        <w:rPr>
          <w:i/>
        </w:rPr>
      </w:pPr>
      <w:r w:rsidRPr="004A2C19">
        <w:rPr>
          <w:i/>
        </w:rPr>
        <w:t>The States Parties to the present Covenant undertake to guarantee that the rights enunciated in the present Covenant will be exercised without discrimination of any kind as to race, colour, sex, language, religion, political or other opinion, national or social origin, property, birth or other status.</w:t>
      </w:r>
    </w:p>
    <w:p w14:paraId="7C6B18CD" w14:textId="77777777" w:rsidR="00231FF8" w:rsidRDefault="00231FF8" w:rsidP="00231FF8">
      <w:pPr>
        <w:pStyle w:val="NoSpacing"/>
        <w:rPr>
          <w:i/>
        </w:rPr>
      </w:pPr>
    </w:p>
    <w:p w14:paraId="74B3E534" w14:textId="1A05B708" w:rsidR="00231FF8" w:rsidRDefault="000E5FB7" w:rsidP="00231FF8">
      <w:pPr>
        <w:pStyle w:val="NoSpacing"/>
      </w:pPr>
      <w:r>
        <w:t xml:space="preserve">Furthermore, General Comment No. 5, explicitly addresses non-discrimination of persons with disabilities by stating: </w:t>
      </w:r>
    </w:p>
    <w:p w14:paraId="44FEF10F" w14:textId="77777777" w:rsidR="00CD587B" w:rsidRDefault="00CD587B" w:rsidP="00F42DA9">
      <w:pPr>
        <w:spacing w:after="0" w:line="276" w:lineRule="auto"/>
        <w:ind w:left="720"/>
        <w:rPr>
          <w:i/>
        </w:rPr>
      </w:pPr>
    </w:p>
    <w:p w14:paraId="3A7C7758" w14:textId="0A003507" w:rsidR="00270D67" w:rsidRDefault="000E5FB7" w:rsidP="00F42DA9">
      <w:pPr>
        <w:spacing w:after="0" w:line="276" w:lineRule="auto"/>
        <w:ind w:left="720"/>
        <w:rPr>
          <w:i/>
        </w:rPr>
      </w:pPr>
      <w:r w:rsidRPr="000E5FB7">
        <w:rPr>
          <w:i/>
        </w:rPr>
        <w:t>[…] the requirement contained in article 2 (2) of the Covenant that the rights “enunciated ... will be exercised without discrimination of any kind” based on certain specified grounds “or other status” clearly applies to discrimination on the grounds of disability.</w:t>
      </w:r>
    </w:p>
    <w:p w14:paraId="7E09EDF9" w14:textId="77777777" w:rsidR="00F42DA9" w:rsidRPr="00F42DA9" w:rsidRDefault="00F42DA9" w:rsidP="00F42DA9">
      <w:pPr>
        <w:pStyle w:val="NoSpacing"/>
      </w:pPr>
    </w:p>
    <w:p w14:paraId="60F1F016" w14:textId="4450581D" w:rsidR="00CD587B" w:rsidRDefault="00033457" w:rsidP="001919B9">
      <w:pPr>
        <w:spacing w:line="276" w:lineRule="auto"/>
      </w:pPr>
      <w:r>
        <w:t>We reviewed full text constitutions for all 193 UN member states available from official government sources to determine whether the constitution took any approach to equality across the grounds listed in Article 2.2 and General Comment No. 5 of the ICESCR by prohibiting discrimination, guaranteeing equal rights, guaranteeing equality before the law, or guaranteeing overall equality or equal opportunities</w:t>
      </w:r>
      <w:r w:rsidR="00CD587B">
        <w:t xml:space="preserve"> based on each specific characteristics.</w:t>
      </w:r>
    </w:p>
    <w:p w14:paraId="7C7F8A7B" w14:textId="493D3C91" w:rsidR="00004C6B" w:rsidRPr="00327AF4" w:rsidRDefault="0086100C" w:rsidP="00EE3467">
      <w:pPr>
        <w:pStyle w:val="Heading2"/>
        <w:rPr>
          <w:color w:val="3405DF"/>
          <w:sz w:val="22"/>
        </w:rPr>
      </w:pPr>
      <w:bookmarkStart w:id="13" w:name="_Toc23330171"/>
      <w:r>
        <w:rPr>
          <w:i/>
          <w:iCs/>
          <w:color w:val="3405DF"/>
          <w:sz w:val="22"/>
        </w:rPr>
        <w:lastRenderedPageBreak/>
        <w:t>LUXEMBOURG</w:t>
      </w:r>
      <w:r w:rsidR="00E766E1" w:rsidRPr="0069373E">
        <w:rPr>
          <w:i/>
          <w:iCs/>
          <w:color w:val="3405DF"/>
          <w:sz w:val="22"/>
        </w:rPr>
        <w:t>’S CONSTITUTION</w:t>
      </w:r>
      <w:bookmarkEnd w:id="13"/>
      <w:r w:rsidR="002646F9">
        <w:rPr>
          <w:i/>
          <w:iCs/>
          <w:color w:val="3405DF"/>
          <w:sz w:val="22"/>
        </w:rPr>
        <w:t>AL PROVISIONS</w:t>
      </w:r>
      <w:r w:rsidR="00033457" w:rsidRPr="0069373E">
        <w:rPr>
          <w:i/>
          <w:iCs/>
          <w:color w:val="3405DF"/>
          <w:sz w:val="22"/>
        </w:rPr>
        <w:t>:</w:t>
      </w:r>
      <w:r w:rsidR="00033457" w:rsidRPr="00327AF4">
        <w:rPr>
          <w:color w:val="3405DF"/>
          <w:sz w:val="22"/>
        </w:rPr>
        <w:t xml:space="preserve"> </w:t>
      </w:r>
      <w:r w:rsidR="00327AF4" w:rsidRPr="00327AF4">
        <w:rPr>
          <w:i/>
          <w:iCs/>
          <w:color w:val="3405DF"/>
          <w:sz w:val="22"/>
        </w:rPr>
        <w:t>MISSING EXPLICIT GUARANTEES OF</w:t>
      </w:r>
      <w:r w:rsidR="00327AF4">
        <w:rPr>
          <w:i/>
          <w:iCs/>
          <w:color w:val="3405DF"/>
          <w:sz w:val="22"/>
        </w:rPr>
        <w:t xml:space="preserve"> EQUALITY AND NON-DISCRIMINATION </w:t>
      </w:r>
    </w:p>
    <w:p w14:paraId="0FEF3F23" w14:textId="77777777" w:rsidR="0069373E" w:rsidRPr="00327AF4" w:rsidRDefault="0069373E" w:rsidP="003F1428">
      <w:pPr>
        <w:pStyle w:val="NoSpacing"/>
      </w:pPr>
    </w:p>
    <w:p w14:paraId="3FE36A58" w14:textId="2B782911" w:rsidR="0069373E" w:rsidRDefault="0086100C" w:rsidP="00F67273">
      <w:pPr>
        <w:pStyle w:val="NoSpacing"/>
        <w:spacing w:line="276" w:lineRule="auto"/>
      </w:pPr>
      <w:r>
        <w:t xml:space="preserve">Article 11 of </w:t>
      </w:r>
      <w:r w:rsidRPr="0086100C">
        <w:t xml:space="preserve">Luxembourg’s constitution </w:t>
      </w:r>
      <w:r w:rsidR="005C0AB9">
        <w:t>guarantees equal rights between men and women</w:t>
      </w:r>
      <w:r>
        <w:t>.</w:t>
      </w:r>
      <w:r w:rsidRPr="0086100C">
        <w:t xml:space="preserve"> However, </w:t>
      </w:r>
      <w:r w:rsidR="005C0AB9">
        <w:t xml:space="preserve">the constitution does not guarantee equality or non-discrimination </w:t>
      </w:r>
      <w:r w:rsidR="00D57D26">
        <w:t>for</w:t>
      </w:r>
      <w:r w:rsidR="005C0AB9">
        <w:t xml:space="preserve"> </w:t>
      </w:r>
      <w:r w:rsidRPr="0086100C">
        <w:t xml:space="preserve">other </w:t>
      </w:r>
      <w:r w:rsidR="005C0AB9">
        <w:t>characteristics protected</w:t>
      </w:r>
      <w:r>
        <w:t xml:space="preserve"> in</w:t>
      </w:r>
      <w:r w:rsidR="005C0AB9">
        <w:t xml:space="preserve"> Article 2 and General Comment No. 5 of</w:t>
      </w:r>
      <w:r>
        <w:t xml:space="preserve"> </w:t>
      </w:r>
      <w:r w:rsidR="00D57D26">
        <w:t>the Covenant</w:t>
      </w:r>
      <w:r w:rsidR="005C0AB9">
        <w:t xml:space="preserve">, including persons facing discrimination based on race, colour, language, religion, political or other opinion, national or social origin, birth status, and disability status. </w:t>
      </w:r>
    </w:p>
    <w:p w14:paraId="5AD673AA" w14:textId="70203A10" w:rsidR="005C0AB9" w:rsidRDefault="005C0AB9" w:rsidP="0069373E">
      <w:pPr>
        <w:pStyle w:val="NoSpacing"/>
      </w:pPr>
    </w:p>
    <w:p w14:paraId="5D2DC858" w14:textId="77777777" w:rsidR="005C0AB9" w:rsidRPr="005C0AB9" w:rsidRDefault="005C0AB9" w:rsidP="005C0AB9">
      <w:pPr>
        <w:pStyle w:val="NoSpacing"/>
        <w:ind w:left="720"/>
        <w:rPr>
          <w:i/>
          <w:iCs/>
          <w:lang w:val="fr-CM"/>
        </w:rPr>
      </w:pPr>
      <w:r w:rsidRPr="005C0AB9">
        <w:rPr>
          <w:i/>
          <w:iCs/>
          <w:lang w:val="fr-CM"/>
        </w:rPr>
        <w:t>Art. 11.</w:t>
      </w:r>
    </w:p>
    <w:p w14:paraId="01E9BD56" w14:textId="1C43A9A8" w:rsidR="005C0AB9" w:rsidRPr="005C0AB9" w:rsidRDefault="005C0AB9" w:rsidP="005C0AB9">
      <w:pPr>
        <w:pStyle w:val="NoSpacing"/>
        <w:ind w:left="720"/>
        <w:rPr>
          <w:i/>
          <w:iCs/>
          <w:lang w:val="fr-CM"/>
        </w:rPr>
      </w:pPr>
      <w:r w:rsidRPr="005C0AB9">
        <w:rPr>
          <w:i/>
          <w:iCs/>
          <w:lang w:val="fr-CM"/>
        </w:rPr>
        <w:t>(1) L’Etat garantit les droits naturels de la personne humaine et de la famille.</w:t>
      </w:r>
    </w:p>
    <w:p w14:paraId="7F113ED1" w14:textId="446CC529" w:rsidR="005C0AB9" w:rsidRPr="005C0AB9" w:rsidRDefault="005C0AB9" w:rsidP="005C0AB9">
      <w:pPr>
        <w:pStyle w:val="NoSpacing"/>
        <w:ind w:left="720"/>
        <w:rPr>
          <w:i/>
          <w:iCs/>
          <w:lang w:val="fr-CM"/>
        </w:rPr>
      </w:pPr>
      <w:r w:rsidRPr="005C0AB9">
        <w:rPr>
          <w:i/>
          <w:iCs/>
          <w:lang w:val="fr-CM"/>
        </w:rPr>
        <w:t>(2) Les femmes et les hommes sont égaux en droits et en devoirs.</w:t>
      </w:r>
    </w:p>
    <w:p w14:paraId="2FE9FB4D" w14:textId="3C22B286" w:rsidR="005C0AB9" w:rsidRPr="005C0AB9" w:rsidRDefault="005C0AB9" w:rsidP="005C0AB9">
      <w:pPr>
        <w:pStyle w:val="NoSpacing"/>
        <w:ind w:left="720"/>
        <w:rPr>
          <w:i/>
          <w:iCs/>
          <w:lang w:val="fr-CM"/>
        </w:rPr>
      </w:pPr>
      <w:r w:rsidRPr="005C0AB9">
        <w:rPr>
          <w:i/>
          <w:iCs/>
          <w:lang w:val="fr-CM"/>
        </w:rPr>
        <w:t>L’Etat veille à promouvoir activement l’élimination des entraves pouvant exister en matière d’égalité entre femmes et hommes.</w:t>
      </w:r>
    </w:p>
    <w:p w14:paraId="558B4411" w14:textId="77777777" w:rsidR="0086100C" w:rsidRPr="002F744F" w:rsidRDefault="0086100C" w:rsidP="0069373E">
      <w:pPr>
        <w:pStyle w:val="NoSpacing"/>
        <w:rPr>
          <w:lang w:val="fr-CM"/>
        </w:rPr>
      </w:pPr>
    </w:p>
    <w:p w14:paraId="27BB936B" w14:textId="77777777" w:rsidR="00F42DA9" w:rsidRPr="0069373E" w:rsidRDefault="00F42DA9" w:rsidP="00F42DA9">
      <w:pPr>
        <w:pStyle w:val="Heading2"/>
        <w:rPr>
          <w:i/>
          <w:iCs/>
          <w:color w:val="3405DF"/>
          <w:sz w:val="22"/>
        </w:rPr>
      </w:pPr>
      <w:r w:rsidRPr="0069373E">
        <w:rPr>
          <w:i/>
          <w:iCs/>
          <w:color w:val="3405DF"/>
          <w:sz w:val="22"/>
        </w:rPr>
        <w:t>WHY CONSTITUTIONS MATTER</w:t>
      </w:r>
    </w:p>
    <w:p w14:paraId="1636BCDD" w14:textId="77777777" w:rsidR="00F42DA9" w:rsidRDefault="00F42DA9" w:rsidP="00DE304E">
      <w:pPr>
        <w:pStyle w:val="NoSpacing"/>
      </w:pPr>
    </w:p>
    <w:p w14:paraId="6B071E3B" w14:textId="62133720" w:rsidR="00F42DA9" w:rsidRPr="00F42DA9" w:rsidRDefault="00F42DA9" w:rsidP="00F67273">
      <w:pPr>
        <w:spacing w:line="276" w:lineRule="auto"/>
        <w:rPr>
          <w:color w:val="3405DF"/>
        </w:rPr>
      </w:pPr>
      <w:r w:rsidRPr="00F42DA9">
        <w:t>Constitutions state the values of a country, describe the rights of people living within the country, and profoundly influence norms and practice. In nearly all countries, constitutions take precedence over other sources of law—making them critical tools for delineating and implementing equal rights. New constitutions and new rights guaranteed in constitutions can be used to overturn discriminatory laws as well as to legislate non-discrimination guarantees. Moreover, constitutions can offer protection against policy and legal changes during periods of social and political shifts that may seek to undermine equal rights. For these reasons and others, as the foundational document setting out the rights of all human beings in a country, a constitution and the rights contained therein are essential to realizing equal rights.</w:t>
      </w:r>
    </w:p>
    <w:p w14:paraId="3F1259C0" w14:textId="105992F2" w:rsidR="001F6FEE" w:rsidRDefault="001F6FEE" w:rsidP="00437B1F">
      <w:pPr>
        <w:spacing w:line="276" w:lineRule="auto"/>
      </w:pPr>
    </w:p>
    <w:p w14:paraId="25CF8AB0" w14:textId="2F25BAB9" w:rsidR="001F6FEE" w:rsidRPr="00C60115" w:rsidRDefault="001F6FEE" w:rsidP="001F6FEE">
      <w:pPr>
        <w:pStyle w:val="Heading2"/>
        <w:numPr>
          <w:ilvl w:val="0"/>
          <w:numId w:val="15"/>
        </w:numPr>
        <w:pBdr>
          <w:bottom w:val="single" w:sz="4" w:space="1" w:color="auto"/>
        </w:pBdr>
        <w:spacing w:line="276" w:lineRule="auto"/>
        <w:ind w:left="360"/>
        <w:rPr>
          <w:b/>
          <w:color w:val="3405DF"/>
        </w:rPr>
      </w:pPr>
      <w:bookmarkStart w:id="14" w:name="_Toc23330172"/>
      <w:r w:rsidRPr="00C60115">
        <w:rPr>
          <w:b/>
          <w:color w:val="3405DF"/>
        </w:rPr>
        <w:t xml:space="preserve">Work and Employment (Article </w:t>
      </w:r>
      <w:r>
        <w:rPr>
          <w:b/>
          <w:color w:val="3405DF"/>
        </w:rPr>
        <w:t>7</w:t>
      </w:r>
      <w:r w:rsidRPr="00C60115">
        <w:rPr>
          <w:b/>
          <w:color w:val="3405DF"/>
        </w:rPr>
        <w:t>)</w:t>
      </w:r>
      <w:bookmarkEnd w:id="14"/>
    </w:p>
    <w:p w14:paraId="26084659" w14:textId="77777777" w:rsidR="001F6FEE" w:rsidRDefault="001F6FEE" w:rsidP="001F6FEE">
      <w:pPr>
        <w:pStyle w:val="NoSpacing"/>
      </w:pPr>
    </w:p>
    <w:p w14:paraId="267F97F4" w14:textId="09CCA7E6" w:rsidR="001F6FEE" w:rsidRDefault="001F6FEE" w:rsidP="001F6FEE">
      <w:pPr>
        <w:spacing w:line="276" w:lineRule="auto"/>
      </w:pPr>
      <w:r>
        <w:t xml:space="preserve">In addition to Article 2(2) and General Comment No. 5 of the </w:t>
      </w:r>
      <w:r w:rsidR="00F93A51">
        <w:t>Covenant</w:t>
      </w:r>
      <w:r w:rsidR="00B40702">
        <w:t>,</w:t>
      </w:r>
      <w:r w:rsidR="00F93A51">
        <w:t xml:space="preserve"> </w:t>
      </w:r>
      <w:r>
        <w:t>which guarantees equal rights regardless of race, colour, sex, language, religion, political or other opinion, national or social origin, property, birth or other status, and disability status, Article 7 of t</w:t>
      </w:r>
      <w:r w:rsidRPr="00370962">
        <w:t xml:space="preserve">he </w:t>
      </w:r>
      <w:r w:rsidR="00F93A51">
        <w:t xml:space="preserve">Covenant </w:t>
      </w:r>
      <w:r>
        <w:t xml:space="preserve">outlines a number of specific measures States Parties shall undertake in order to eliminate discrimination in the field of employment:  </w:t>
      </w:r>
    </w:p>
    <w:p w14:paraId="07F53A65" w14:textId="77777777" w:rsidR="001F6FEE" w:rsidRPr="00033457" w:rsidRDefault="001F6FEE" w:rsidP="00033457">
      <w:pPr>
        <w:ind w:left="720"/>
        <w:rPr>
          <w:i/>
          <w:iCs/>
        </w:rPr>
      </w:pPr>
      <w:r w:rsidRPr="00033457">
        <w:rPr>
          <w:i/>
          <w:iCs/>
        </w:rPr>
        <w:t>The States Parties to the present Covenant recognize the right of everyone to the enjoyment of just and favourable conditions of work which ensure, in particular:</w:t>
      </w:r>
    </w:p>
    <w:p w14:paraId="65CDE47E" w14:textId="77777777" w:rsidR="001F6FEE" w:rsidRPr="00033457" w:rsidRDefault="001F6FEE" w:rsidP="00033457">
      <w:pPr>
        <w:ind w:left="720"/>
        <w:rPr>
          <w:i/>
          <w:iCs/>
        </w:rPr>
      </w:pPr>
      <w:r w:rsidRPr="00033457">
        <w:rPr>
          <w:i/>
          <w:iCs/>
        </w:rPr>
        <w:t>(a) Remuneration which provides all workers, as a minimum, with:</w:t>
      </w:r>
    </w:p>
    <w:p w14:paraId="26C3B1A2" w14:textId="431FC6F0" w:rsidR="001F6FEE" w:rsidRPr="00033457" w:rsidRDefault="001F6FEE" w:rsidP="00033457">
      <w:pPr>
        <w:ind w:left="720"/>
        <w:rPr>
          <w:i/>
          <w:iCs/>
        </w:rPr>
      </w:pPr>
      <w:r w:rsidRPr="00033457">
        <w:rPr>
          <w:i/>
          <w:iCs/>
        </w:rPr>
        <w:t>(i) Fair wages and equal remuneration for work of equal value without distinction of any kind, in particular women being guaranteed conditions of work not inferior to those enjoyed by men, with equal pay for equal work;</w:t>
      </w:r>
    </w:p>
    <w:p w14:paraId="3C8250FE" w14:textId="77777777" w:rsidR="001F6FEE" w:rsidRPr="00033457" w:rsidRDefault="001F6FEE" w:rsidP="00033457">
      <w:pPr>
        <w:ind w:left="720"/>
        <w:rPr>
          <w:i/>
          <w:iCs/>
        </w:rPr>
      </w:pPr>
      <w:r w:rsidRPr="00033457">
        <w:rPr>
          <w:i/>
          <w:iCs/>
        </w:rPr>
        <w:t>(ii) A decent living for themselves and their families in accordance with the provisions of the present Covenant;</w:t>
      </w:r>
    </w:p>
    <w:p w14:paraId="3022AA8C" w14:textId="2AAEC0A8" w:rsidR="001F6FEE" w:rsidRPr="00231FF8" w:rsidRDefault="001F6FEE" w:rsidP="00033457">
      <w:pPr>
        <w:ind w:left="720"/>
      </w:pPr>
      <w:r w:rsidRPr="00033457">
        <w:rPr>
          <w:i/>
          <w:iCs/>
          <w:shd w:val="clear" w:color="auto" w:fill="FFFFFF"/>
        </w:rPr>
        <w:t>(b) Safe and healthy working conditions;</w:t>
      </w:r>
      <w:r w:rsidRPr="00033457">
        <w:rPr>
          <w:i/>
          <w:iCs/>
        </w:rPr>
        <w:t>(c) Equal opportunity for everyone to be promoted in his employment to an appropriate higher level, subject to no considerations other than those of seniority and competence;</w:t>
      </w:r>
    </w:p>
    <w:p w14:paraId="3CF59CB1" w14:textId="77777777" w:rsidR="001F6FEE" w:rsidRPr="004A2C19" w:rsidRDefault="001F6FEE" w:rsidP="001F6FEE">
      <w:pPr>
        <w:pStyle w:val="NoSpacing"/>
      </w:pPr>
    </w:p>
    <w:p w14:paraId="1D4E617A" w14:textId="77777777" w:rsidR="00033457" w:rsidRDefault="00033457" w:rsidP="00033457">
      <w:pPr>
        <w:spacing w:after="0" w:line="276" w:lineRule="auto"/>
      </w:pPr>
      <w:r>
        <w:t xml:space="preserve">We systematically reviewed national labour codes, penal codes, equal opportunity, anti-discrimination legislation and other relevant legislation available through the International Labour Organization’s NATLEX database for all 193 UN member states to determine whether national legislation prohibited discrimination in employment across four areas covered by the ICESCR: </w:t>
      </w:r>
    </w:p>
    <w:p w14:paraId="62FE4D66" w14:textId="77777777" w:rsidR="00033457" w:rsidRDefault="00033457" w:rsidP="00033457">
      <w:pPr>
        <w:spacing w:after="0" w:line="276" w:lineRule="auto"/>
      </w:pPr>
    </w:p>
    <w:p w14:paraId="50EC3837" w14:textId="77777777" w:rsidR="00033457" w:rsidRDefault="00033457" w:rsidP="00033457">
      <w:pPr>
        <w:pStyle w:val="ListParagraph"/>
        <w:numPr>
          <w:ilvl w:val="1"/>
          <w:numId w:val="7"/>
        </w:numPr>
        <w:spacing w:after="0" w:line="276" w:lineRule="auto"/>
        <w:ind w:left="630" w:hanging="360"/>
      </w:pPr>
      <w:r>
        <w:t>Employment opportunities or hiring</w:t>
      </w:r>
    </w:p>
    <w:p w14:paraId="113580FB" w14:textId="77777777" w:rsidR="00033457" w:rsidRDefault="00033457" w:rsidP="00033457">
      <w:pPr>
        <w:pStyle w:val="ListParagraph"/>
        <w:numPr>
          <w:ilvl w:val="1"/>
          <w:numId w:val="7"/>
        </w:numPr>
        <w:spacing w:after="0" w:line="276" w:lineRule="auto"/>
        <w:ind w:left="630" w:hanging="360"/>
      </w:pPr>
      <w:r>
        <w:t>Equal remuneration for work of equal value</w:t>
      </w:r>
    </w:p>
    <w:p w14:paraId="4CA1DF58" w14:textId="77777777" w:rsidR="00033457" w:rsidRDefault="00033457" w:rsidP="00033457">
      <w:pPr>
        <w:pStyle w:val="ListParagraph"/>
        <w:numPr>
          <w:ilvl w:val="1"/>
          <w:numId w:val="7"/>
        </w:numPr>
        <w:spacing w:after="0" w:line="276" w:lineRule="auto"/>
        <w:ind w:left="630" w:hanging="360"/>
      </w:pPr>
      <w:r>
        <w:t xml:space="preserve">Promotions and demotions </w:t>
      </w:r>
    </w:p>
    <w:p w14:paraId="1CFCD0F1" w14:textId="48B622B2" w:rsidR="001F6FEE" w:rsidRDefault="00033457" w:rsidP="00033457">
      <w:pPr>
        <w:pStyle w:val="ListParagraph"/>
        <w:numPr>
          <w:ilvl w:val="1"/>
          <w:numId w:val="7"/>
        </w:numPr>
        <w:spacing w:after="0" w:line="276" w:lineRule="auto"/>
        <w:ind w:left="630" w:hanging="360"/>
      </w:pPr>
      <w:r>
        <w:t xml:space="preserve">Dismissals or terminations  </w:t>
      </w:r>
    </w:p>
    <w:p w14:paraId="29E862D4" w14:textId="77777777" w:rsidR="001F6FEE" w:rsidRDefault="001F6FEE" w:rsidP="001F6FEE">
      <w:pPr>
        <w:spacing w:after="0" w:line="276" w:lineRule="auto"/>
      </w:pPr>
    </w:p>
    <w:p w14:paraId="44C7E307" w14:textId="77777777" w:rsidR="00033457" w:rsidRPr="00A507D1" w:rsidRDefault="00033457" w:rsidP="00033457">
      <w:pPr>
        <w:spacing w:after="0" w:line="276" w:lineRule="auto"/>
      </w:pPr>
      <w:r>
        <w:t xml:space="preserve">For each area, we assessed whether there were explicit prohibitions from discrimination </w:t>
      </w:r>
      <w:r w:rsidRPr="00A507D1">
        <w:t>across the grounds listed in Article 2</w:t>
      </w:r>
      <w:r>
        <w:t>.</w:t>
      </w:r>
      <w:r w:rsidRPr="00A507D1">
        <w:t xml:space="preserve">2 and General Comment No. 5 of the </w:t>
      </w:r>
      <w:r>
        <w:t>Covenant.</w:t>
      </w:r>
    </w:p>
    <w:p w14:paraId="2ABDD3BF" w14:textId="77777777" w:rsidR="001F6FEE" w:rsidRDefault="001F6FEE" w:rsidP="00F42DA9">
      <w:pPr>
        <w:rPr>
          <w:highlight w:val="yellow"/>
        </w:rPr>
      </w:pPr>
    </w:p>
    <w:p w14:paraId="4F711D9A" w14:textId="74254D21" w:rsidR="001F6FEE" w:rsidRPr="0069373E" w:rsidRDefault="0086100C" w:rsidP="001F6FEE">
      <w:pPr>
        <w:pStyle w:val="Heading2"/>
        <w:rPr>
          <w:i/>
          <w:iCs/>
          <w:color w:val="3405DF"/>
          <w:sz w:val="22"/>
        </w:rPr>
      </w:pPr>
      <w:bookmarkStart w:id="15" w:name="_Toc23330173"/>
      <w:r>
        <w:rPr>
          <w:i/>
          <w:iCs/>
          <w:color w:val="3405DF"/>
          <w:sz w:val="22"/>
        </w:rPr>
        <w:t>LUXEMBOURG</w:t>
      </w:r>
      <w:r w:rsidR="000E2144" w:rsidRPr="0069373E">
        <w:rPr>
          <w:i/>
          <w:iCs/>
          <w:color w:val="3405DF"/>
          <w:sz w:val="22"/>
        </w:rPr>
        <w:t>’S</w:t>
      </w:r>
      <w:r w:rsidR="001F6FEE" w:rsidRPr="0069373E">
        <w:rPr>
          <w:i/>
          <w:iCs/>
          <w:color w:val="3405DF"/>
          <w:sz w:val="22"/>
        </w:rPr>
        <w:t xml:space="preserve"> LEGISLATIVE </w:t>
      </w:r>
      <w:bookmarkEnd w:id="15"/>
      <w:r w:rsidR="00F42DA9" w:rsidRPr="0069373E">
        <w:rPr>
          <w:i/>
          <w:iCs/>
          <w:color w:val="3405DF"/>
          <w:sz w:val="22"/>
        </w:rPr>
        <w:t>PROVISIONS</w:t>
      </w:r>
      <w:r w:rsidR="00033457" w:rsidRPr="0069373E">
        <w:rPr>
          <w:i/>
          <w:iCs/>
          <w:color w:val="3405DF"/>
          <w:sz w:val="22"/>
        </w:rPr>
        <w:t xml:space="preserve">: </w:t>
      </w:r>
      <w:r w:rsidR="0069373E" w:rsidRPr="0069373E">
        <w:rPr>
          <w:i/>
          <w:iCs/>
          <w:color w:val="3405DF"/>
          <w:sz w:val="22"/>
        </w:rPr>
        <w:t xml:space="preserve">LIMITED PROTECTIONS FROM WORKPLACE DISCRIMINATION </w:t>
      </w:r>
    </w:p>
    <w:p w14:paraId="1C1645D2" w14:textId="77777777" w:rsidR="006E3849" w:rsidRDefault="006E3849" w:rsidP="006E3849">
      <w:pPr>
        <w:pStyle w:val="NoSpacing"/>
      </w:pPr>
    </w:p>
    <w:p w14:paraId="49CFDE9E" w14:textId="1C783D51" w:rsidR="00497858" w:rsidRDefault="006E3849" w:rsidP="006E3849">
      <w:pPr>
        <w:spacing w:afterLines="100" w:after="240" w:line="276" w:lineRule="auto"/>
      </w:pPr>
      <w:r>
        <w:t xml:space="preserve">Luxembourg’s </w:t>
      </w:r>
      <w:r w:rsidRPr="006E3849">
        <w:rPr>
          <w:i/>
          <w:iCs/>
        </w:rPr>
        <w:t>Code du Travail</w:t>
      </w:r>
      <w:r>
        <w:rPr>
          <w:i/>
          <w:iCs/>
        </w:rPr>
        <w:t xml:space="preserve"> </w:t>
      </w:r>
      <w:r w:rsidRPr="006E3849">
        <w:t xml:space="preserve">does not consistently and explicitly protect all workers from workplace discrimination across four key areas of employment: employment opportunities or hiring, equal remuneration, promotions and demotions, and dismissals. </w:t>
      </w:r>
      <w:r w:rsidR="00497858">
        <w:t xml:space="preserve">While </w:t>
      </w:r>
      <w:r>
        <w:t>Articles 241-1</w:t>
      </w:r>
      <w:r w:rsidR="00EA58A0">
        <w:t>, 241-2, 2</w:t>
      </w:r>
      <w:r>
        <w:t>51-1</w:t>
      </w:r>
      <w:r w:rsidR="00EA58A0">
        <w:t>, and 251-2</w:t>
      </w:r>
      <w:r>
        <w:t xml:space="preserve"> of the law</w:t>
      </w:r>
      <w:r w:rsidRPr="006E3849">
        <w:t xml:space="preserve">  guarantee</w:t>
      </w:r>
      <w:r>
        <w:t xml:space="preserve"> </w:t>
      </w:r>
      <w:r w:rsidRPr="006E3849">
        <w:t>non-discrimination to workers regardless of race, sex, religion, and disability status across all four areas of employment</w:t>
      </w:r>
      <w:r w:rsidR="00497858">
        <w:t xml:space="preserve">, </w:t>
      </w:r>
      <w:r w:rsidR="00497858" w:rsidRPr="006E3849">
        <w:t xml:space="preserve">these provisions notably do not extend to all groups covered through ICESCR commitments, </w:t>
      </w:r>
      <w:r w:rsidR="006D245A">
        <w:t xml:space="preserve">and exclude </w:t>
      </w:r>
      <w:r w:rsidR="00497858" w:rsidRPr="006E3849">
        <w:t>workers facing discrimination based on language, political opinion, national or social origin, property status, and birth status.</w:t>
      </w:r>
    </w:p>
    <w:p w14:paraId="060E0E85" w14:textId="65FF7F1E" w:rsidR="00497858" w:rsidRDefault="006D245A" w:rsidP="006E3849">
      <w:pPr>
        <w:spacing w:afterLines="100" w:after="240" w:line="276" w:lineRule="auto"/>
      </w:pPr>
      <w:r>
        <w:t>Additionally, d</w:t>
      </w:r>
      <w:r w:rsidR="00497858">
        <w:t>espite Luxembourg’s commitment to guaranteeing the stronger protection of equal remuneration for work of equal value without any distinction th</w:t>
      </w:r>
      <w:r w:rsidR="00F67273">
        <w:t>rough Article 7 of the Covenant</w:t>
      </w:r>
      <w:r w:rsidR="00497858">
        <w:t xml:space="preserve">, </w:t>
      </w:r>
      <w:r>
        <w:t>Article 225-3</w:t>
      </w:r>
      <w:r w:rsidR="00F67273">
        <w:t xml:space="preserve"> of Luxembourg’s </w:t>
      </w:r>
      <w:r w:rsidR="00F67273" w:rsidRPr="00F67273">
        <w:rPr>
          <w:i/>
        </w:rPr>
        <w:t>Code du Travail</w:t>
      </w:r>
      <w:r w:rsidR="00497858" w:rsidRPr="00682F30">
        <w:rPr>
          <w:b/>
          <w:bCs/>
        </w:rPr>
        <w:t xml:space="preserve"> </w:t>
      </w:r>
      <w:r w:rsidR="00497858" w:rsidRPr="00EA58A0">
        <w:t>only addresses equal pay for work of equal value between men and women</w:t>
      </w:r>
      <w:r w:rsidRPr="00EA58A0">
        <w:t>. The law does</w:t>
      </w:r>
      <w:r w:rsidR="00497858" w:rsidRPr="00EA58A0">
        <w:t xml:space="preserve"> not guarantee this stronger level of protection between w</w:t>
      </w:r>
      <w:r w:rsidR="00F67273">
        <w:t xml:space="preserve">orkers of other characteristics covered by the Covenant: </w:t>
      </w:r>
      <w:r w:rsidR="00F67273" w:rsidRPr="00F67273">
        <w:rPr>
          <w:bCs/>
        </w:rPr>
        <w:t>language, political opinion, national or social origin, property status, and birth status.</w:t>
      </w:r>
    </w:p>
    <w:p w14:paraId="6098D130" w14:textId="51920601" w:rsidR="002F744F" w:rsidRPr="002F744F" w:rsidRDefault="00913FDE" w:rsidP="002F744F">
      <w:pPr>
        <w:spacing w:after="0" w:line="276" w:lineRule="auto"/>
        <w:ind w:left="720"/>
        <w:rPr>
          <w:i/>
          <w:iCs/>
          <w:lang w:val="fr-CM"/>
        </w:rPr>
      </w:pPr>
      <w:r w:rsidRPr="00913FDE">
        <w:rPr>
          <w:i/>
          <w:iCs/>
          <w:lang w:val="fr-CM"/>
        </w:rPr>
        <w:t>Code du Travail</w:t>
      </w:r>
    </w:p>
    <w:p w14:paraId="619E1905" w14:textId="77777777" w:rsidR="002F744F" w:rsidRPr="002F744F" w:rsidRDefault="002F744F" w:rsidP="002F744F">
      <w:pPr>
        <w:pStyle w:val="NoSpacing"/>
        <w:ind w:left="720"/>
        <w:rPr>
          <w:i/>
          <w:iCs/>
          <w:lang w:val="fr-CM"/>
        </w:rPr>
      </w:pPr>
      <w:r w:rsidRPr="002F744F">
        <w:rPr>
          <w:i/>
          <w:iCs/>
          <w:lang w:val="fr-CM"/>
        </w:rPr>
        <w:t>Art. L.225-3.</w:t>
      </w:r>
    </w:p>
    <w:p w14:paraId="40047599" w14:textId="692CEAE9" w:rsidR="002F744F" w:rsidRPr="002F744F" w:rsidRDefault="002F744F" w:rsidP="002F744F">
      <w:pPr>
        <w:pStyle w:val="NoSpacing"/>
        <w:ind w:left="720"/>
        <w:rPr>
          <w:i/>
          <w:iCs/>
          <w:lang w:val="fr-CM"/>
        </w:rPr>
      </w:pPr>
      <w:r w:rsidRPr="002F744F">
        <w:rPr>
          <w:i/>
          <w:iCs/>
          <w:lang w:val="fr-CM"/>
        </w:rPr>
        <w:t>(1) Sont considérés comme ayant une valeur égale, les travaux qui exigent des salariés un ensemble comparable de connaissances professionnelles consacrées par un titre, un diplôme ou une pratique professionnelle, de capacités découlant de l’expérience acquise, de responsabilités et de charge physique ou nerveuse.</w:t>
      </w:r>
    </w:p>
    <w:p w14:paraId="062035FE" w14:textId="77777777" w:rsidR="002F744F" w:rsidRPr="002F744F" w:rsidRDefault="002F744F" w:rsidP="002F744F">
      <w:pPr>
        <w:pStyle w:val="NoSpacing"/>
        <w:ind w:left="720"/>
        <w:rPr>
          <w:i/>
          <w:iCs/>
          <w:lang w:val="fr-CM"/>
        </w:rPr>
      </w:pPr>
      <w:r w:rsidRPr="002F744F">
        <w:rPr>
          <w:i/>
          <w:iCs/>
          <w:lang w:val="fr-CM"/>
        </w:rPr>
        <w:t>(2) Les différents éléments composant le salaire sont établis selon des normes identiques pour les hommes et les femmes.</w:t>
      </w:r>
    </w:p>
    <w:p w14:paraId="37B2412B" w14:textId="685A74E7" w:rsidR="002F744F" w:rsidRPr="002F744F" w:rsidRDefault="002F744F" w:rsidP="002F744F">
      <w:pPr>
        <w:pStyle w:val="NoSpacing"/>
        <w:ind w:left="720"/>
        <w:rPr>
          <w:i/>
          <w:iCs/>
          <w:lang w:val="fr-CM"/>
        </w:rPr>
      </w:pPr>
      <w:r w:rsidRPr="002F744F">
        <w:rPr>
          <w:i/>
          <w:iCs/>
          <w:lang w:val="fr-CM"/>
        </w:rPr>
        <w:t>Les catégories et les critères de classification et de promotion professionnelle ainsi que toutes les autres bases de calcul du salaire, notamment les modes d’évaluation des emplois, doivent être communs aux salariés des deux sexes.</w:t>
      </w:r>
    </w:p>
    <w:p w14:paraId="22C3EE19" w14:textId="77777777" w:rsidR="002F744F" w:rsidRDefault="002F744F" w:rsidP="002F744F">
      <w:pPr>
        <w:pStyle w:val="NoSpacing"/>
        <w:rPr>
          <w:lang w:val="fr-CM"/>
        </w:rPr>
      </w:pPr>
    </w:p>
    <w:p w14:paraId="31882AFC" w14:textId="73DB1B46" w:rsidR="00C30F40" w:rsidRPr="00C30F40" w:rsidRDefault="00C30F40" w:rsidP="00C30F40">
      <w:pPr>
        <w:spacing w:after="0" w:line="276" w:lineRule="auto"/>
        <w:ind w:left="720"/>
        <w:rPr>
          <w:i/>
          <w:iCs/>
          <w:lang w:val="fr-CM"/>
        </w:rPr>
      </w:pPr>
      <w:r w:rsidRPr="00C30F40">
        <w:rPr>
          <w:i/>
          <w:iCs/>
          <w:lang w:val="fr-CM"/>
        </w:rPr>
        <w:t xml:space="preserve">Art. L. 241-1. </w:t>
      </w:r>
    </w:p>
    <w:p w14:paraId="5CB1ED56" w14:textId="2CDF85E4" w:rsidR="00C30F40" w:rsidRPr="00C30F40" w:rsidRDefault="00C30F40" w:rsidP="00C30F40">
      <w:pPr>
        <w:spacing w:after="0" w:line="276" w:lineRule="auto"/>
        <w:ind w:left="720"/>
        <w:rPr>
          <w:i/>
          <w:iCs/>
          <w:lang w:val="fr-CM"/>
        </w:rPr>
      </w:pPr>
      <w:r w:rsidRPr="00C30F40">
        <w:rPr>
          <w:i/>
          <w:iCs/>
          <w:lang w:val="fr-CM"/>
        </w:rPr>
        <w:t>(1</w:t>
      </w:r>
      <w:r>
        <w:rPr>
          <w:i/>
          <w:iCs/>
          <w:lang w:val="fr-CM"/>
        </w:rPr>
        <w:t xml:space="preserve">) </w:t>
      </w:r>
      <w:r w:rsidRPr="00C30F40">
        <w:rPr>
          <w:i/>
          <w:iCs/>
          <w:lang w:val="fr-CM"/>
        </w:rPr>
        <w:t>Toute discrimination fondée sur le sexe, soit directement, soit indirectement par référence, notamment, à l’état matrimonial ou familial est interdite.</w:t>
      </w:r>
    </w:p>
    <w:p w14:paraId="60704771" w14:textId="77777777" w:rsidR="00C30F40" w:rsidRDefault="00C30F40" w:rsidP="00C30F40">
      <w:pPr>
        <w:pStyle w:val="NoSpacing"/>
        <w:ind w:left="720"/>
        <w:rPr>
          <w:i/>
          <w:iCs/>
          <w:lang w:val="fr-CM"/>
        </w:rPr>
      </w:pPr>
    </w:p>
    <w:p w14:paraId="10DC8E54" w14:textId="055D1EB9" w:rsidR="00C30F40" w:rsidRPr="00C30F40" w:rsidRDefault="00C30F40" w:rsidP="00C30F40">
      <w:pPr>
        <w:pStyle w:val="NoSpacing"/>
        <w:ind w:left="720"/>
        <w:rPr>
          <w:i/>
          <w:iCs/>
          <w:lang w:val="fr-CM"/>
        </w:rPr>
      </w:pPr>
      <w:r w:rsidRPr="00C30F40">
        <w:rPr>
          <w:i/>
          <w:iCs/>
          <w:lang w:val="fr-CM"/>
        </w:rPr>
        <w:t>Art. L. 241-2.</w:t>
      </w:r>
    </w:p>
    <w:p w14:paraId="3BF15A24" w14:textId="795F9FAC" w:rsidR="00C30F40" w:rsidRPr="00C30F40" w:rsidRDefault="00C30F40" w:rsidP="00C30F40">
      <w:pPr>
        <w:pStyle w:val="NoSpacing"/>
        <w:ind w:left="720"/>
        <w:rPr>
          <w:i/>
          <w:iCs/>
          <w:lang w:val="fr-CM"/>
        </w:rPr>
      </w:pPr>
      <w:r w:rsidRPr="00C30F40">
        <w:rPr>
          <w:i/>
          <w:iCs/>
          <w:lang w:val="fr-CM"/>
        </w:rPr>
        <w:t>Le présent titre s’applique à tous les salariés dont les relations de travail sont régies par le Livre premier du Code du travail</w:t>
      </w:r>
      <w:r>
        <w:rPr>
          <w:i/>
          <w:iCs/>
          <w:lang w:val="fr-CM"/>
        </w:rPr>
        <w:t xml:space="preserve"> </w:t>
      </w:r>
      <w:r w:rsidRPr="00C30F40">
        <w:rPr>
          <w:i/>
          <w:iCs/>
          <w:lang w:val="fr-CM"/>
        </w:rPr>
        <w:t>en ce qui concerne:</w:t>
      </w:r>
    </w:p>
    <w:p w14:paraId="14334019" w14:textId="5C518BA2" w:rsidR="00C30F40" w:rsidRPr="00C30F40" w:rsidRDefault="00C30F40" w:rsidP="00C30F40">
      <w:pPr>
        <w:pStyle w:val="NoSpacing"/>
        <w:ind w:left="720"/>
        <w:rPr>
          <w:i/>
          <w:iCs/>
          <w:lang w:val="fr-CM"/>
        </w:rPr>
      </w:pPr>
      <w:r w:rsidRPr="00C30F40">
        <w:rPr>
          <w:i/>
          <w:iCs/>
          <w:lang w:val="fr-CM"/>
        </w:rPr>
        <w:t>1) les conditions d’accès à l’emploi, aux activités non salariées ou au travail, y compris les critères de sélection et les</w:t>
      </w:r>
      <w:r>
        <w:rPr>
          <w:i/>
          <w:iCs/>
          <w:lang w:val="fr-CM"/>
        </w:rPr>
        <w:t xml:space="preserve"> </w:t>
      </w:r>
      <w:r w:rsidRPr="00C30F40">
        <w:rPr>
          <w:i/>
          <w:iCs/>
          <w:lang w:val="fr-CM"/>
        </w:rPr>
        <w:t>conditions de recrutement, quelle que soit la branche d’activité et à tous les</w:t>
      </w:r>
      <w:r>
        <w:rPr>
          <w:i/>
          <w:iCs/>
          <w:lang w:val="fr-CM"/>
        </w:rPr>
        <w:t xml:space="preserve"> </w:t>
      </w:r>
      <w:r w:rsidRPr="00C30F40">
        <w:rPr>
          <w:i/>
          <w:iCs/>
          <w:lang w:val="fr-CM"/>
        </w:rPr>
        <w:t>niveaux de la hiérarchie professionnelle, y</w:t>
      </w:r>
      <w:r>
        <w:rPr>
          <w:i/>
          <w:iCs/>
          <w:lang w:val="fr-CM"/>
        </w:rPr>
        <w:t xml:space="preserve"> </w:t>
      </w:r>
      <w:r w:rsidRPr="00C30F40">
        <w:rPr>
          <w:i/>
          <w:iCs/>
          <w:lang w:val="fr-CM"/>
        </w:rPr>
        <w:t>compris en matière de promotion;</w:t>
      </w:r>
    </w:p>
    <w:p w14:paraId="52BE928B" w14:textId="7D47771F" w:rsidR="00C30F40" w:rsidRPr="00C30F40" w:rsidRDefault="00C30F40" w:rsidP="00C30F40">
      <w:pPr>
        <w:pStyle w:val="NoSpacing"/>
        <w:ind w:left="720"/>
        <w:rPr>
          <w:i/>
          <w:iCs/>
          <w:lang w:val="fr-CM"/>
        </w:rPr>
      </w:pPr>
      <w:r w:rsidRPr="00C30F40">
        <w:rPr>
          <w:i/>
          <w:iCs/>
          <w:lang w:val="fr-CM"/>
        </w:rPr>
        <w:t>2) l’accès à tous les types et à tous les niveaux d’orientation professionnelle, de formation professionnelle, de perfectionnement</w:t>
      </w:r>
      <w:r>
        <w:rPr>
          <w:i/>
          <w:iCs/>
          <w:lang w:val="fr-CM"/>
        </w:rPr>
        <w:t xml:space="preserve"> </w:t>
      </w:r>
      <w:r w:rsidRPr="00C30F40">
        <w:rPr>
          <w:i/>
          <w:iCs/>
          <w:lang w:val="fr-CM"/>
        </w:rPr>
        <w:t>et de formation de reconversion, y compris l’acquisition d’une expérience pratique du travail;</w:t>
      </w:r>
    </w:p>
    <w:p w14:paraId="7408C7B1" w14:textId="5A092BBB" w:rsidR="00C30F40" w:rsidRPr="00C30F40" w:rsidRDefault="00C30F40" w:rsidP="00C30F40">
      <w:pPr>
        <w:pStyle w:val="NoSpacing"/>
        <w:ind w:left="720"/>
        <w:rPr>
          <w:i/>
          <w:iCs/>
          <w:lang w:val="fr-CM"/>
        </w:rPr>
      </w:pPr>
      <w:r w:rsidRPr="00C30F40">
        <w:rPr>
          <w:i/>
          <w:iCs/>
          <w:lang w:val="fr-CM"/>
        </w:rPr>
        <w:t>3) les conditions d’emploi et de travail, y compris les conditions de licenciement ainsi que le</w:t>
      </w:r>
      <w:r w:rsidR="001B2162">
        <w:rPr>
          <w:i/>
          <w:iCs/>
          <w:lang w:val="fr-CM"/>
        </w:rPr>
        <w:t xml:space="preserve"> </w:t>
      </w:r>
      <w:r w:rsidRPr="00C30F40">
        <w:rPr>
          <w:i/>
          <w:iCs/>
          <w:lang w:val="fr-CM"/>
        </w:rPr>
        <w:t>salaire;</w:t>
      </w:r>
    </w:p>
    <w:p w14:paraId="5FAF98F7" w14:textId="0597E8B5" w:rsidR="00C30F40" w:rsidRDefault="00C30F40" w:rsidP="001B2162">
      <w:pPr>
        <w:pStyle w:val="NoSpacing"/>
        <w:ind w:left="720"/>
        <w:rPr>
          <w:i/>
          <w:iCs/>
          <w:lang w:val="fr-CM"/>
        </w:rPr>
      </w:pPr>
      <w:r w:rsidRPr="00C30F40">
        <w:rPr>
          <w:i/>
          <w:iCs/>
          <w:lang w:val="fr-CM"/>
        </w:rPr>
        <w:t>4) l’affiliation à, et l’engagement dans, une organisation de salariés ou d’employeurs, ou toute organisation dont les</w:t>
      </w:r>
      <w:r>
        <w:rPr>
          <w:i/>
          <w:iCs/>
          <w:lang w:val="fr-CM"/>
        </w:rPr>
        <w:t xml:space="preserve"> </w:t>
      </w:r>
      <w:r w:rsidRPr="00C30F40">
        <w:rPr>
          <w:i/>
          <w:iCs/>
          <w:lang w:val="fr-CM"/>
        </w:rPr>
        <w:t>membres exercent une profession donnée, y compris les avantages procurés par ce type d’organisation.</w:t>
      </w:r>
    </w:p>
    <w:p w14:paraId="2FC71EFA" w14:textId="77777777" w:rsidR="001B2162" w:rsidRPr="001B2162" w:rsidRDefault="001B2162" w:rsidP="001B2162">
      <w:pPr>
        <w:pStyle w:val="NoSpacing"/>
        <w:ind w:left="720"/>
        <w:rPr>
          <w:i/>
          <w:iCs/>
          <w:lang w:val="fr-CM"/>
        </w:rPr>
      </w:pPr>
    </w:p>
    <w:p w14:paraId="7E989471" w14:textId="559BFFD2" w:rsidR="00913FDE" w:rsidRPr="00913FDE" w:rsidRDefault="00913FDE" w:rsidP="00913FDE">
      <w:pPr>
        <w:spacing w:after="0" w:line="276" w:lineRule="auto"/>
        <w:ind w:left="720"/>
        <w:rPr>
          <w:i/>
          <w:iCs/>
          <w:lang w:val="fr-CM"/>
        </w:rPr>
      </w:pPr>
      <w:r w:rsidRPr="00913FDE">
        <w:rPr>
          <w:i/>
          <w:iCs/>
          <w:lang w:val="fr-CM"/>
        </w:rPr>
        <w:t xml:space="preserve">Art. L. 251-1. </w:t>
      </w:r>
    </w:p>
    <w:p w14:paraId="3E83AA0A" w14:textId="77777777" w:rsidR="00913FDE" w:rsidRPr="00913FDE" w:rsidRDefault="00913FDE" w:rsidP="00913FDE">
      <w:pPr>
        <w:spacing w:after="0" w:line="276" w:lineRule="auto"/>
        <w:ind w:left="720"/>
        <w:rPr>
          <w:i/>
          <w:iCs/>
          <w:lang w:val="fr-CM"/>
        </w:rPr>
      </w:pPr>
      <w:r w:rsidRPr="00913FDE">
        <w:rPr>
          <w:i/>
          <w:iCs/>
          <w:lang w:val="fr-CM"/>
        </w:rPr>
        <w:t>(1) Toute discrimination directe ou indirecte fondée sur la religion ou les convictions, l’handicap, l’âge, l’orientation sexuelle, l’appartenance ou non appartenance, vraie ou supposée, à une race ou ethnie est interdite.</w:t>
      </w:r>
    </w:p>
    <w:p w14:paraId="1D8FDC99" w14:textId="77777777" w:rsidR="00913FDE" w:rsidRDefault="00913FDE" w:rsidP="00C30F40">
      <w:pPr>
        <w:spacing w:after="0" w:line="276" w:lineRule="auto"/>
        <w:rPr>
          <w:i/>
          <w:iCs/>
          <w:lang w:val="fr-CM"/>
        </w:rPr>
      </w:pPr>
    </w:p>
    <w:p w14:paraId="1806DB34" w14:textId="46B4B4FB" w:rsidR="00913FDE" w:rsidRPr="00913FDE" w:rsidRDefault="00913FDE" w:rsidP="00913FDE">
      <w:pPr>
        <w:spacing w:after="0" w:line="276" w:lineRule="auto"/>
        <w:ind w:left="720"/>
        <w:rPr>
          <w:i/>
          <w:iCs/>
          <w:lang w:val="fr-CM"/>
        </w:rPr>
      </w:pPr>
      <w:r w:rsidRPr="00913FDE">
        <w:rPr>
          <w:i/>
          <w:iCs/>
          <w:lang w:val="fr-CM"/>
        </w:rPr>
        <w:t xml:space="preserve">Art. L. 251-2. </w:t>
      </w:r>
    </w:p>
    <w:p w14:paraId="5A14062C" w14:textId="16205752" w:rsidR="00913FDE" w:rsidRPr="00913FDE" w:rsidRDefault="00913FDE" w:rsidP="00913FDE">
      <w:pPr>
        <w:spacing w:after="0" w:line="276" w:lineRule="auto"/>
        <w:ind w:left="720"/>
        <w:rPr>
          <w:i/>
          <w:iCs/>
          <w:lang w:val="fr-CM"/>
        </w:rPr>
      </w:pPr>
      <w:r w:rsidRPr="00913FDE">
        <w:rPr>
          <w:i/>
          <w:iCs/>
          <w:lang w:val="fr-CM"/>
        </w:rPr>
        <w:t xml:space="preserve">Le présent titre s’applique à tous les salariés dont les relations de travail sont régies par le statut de salarié tel qu’il résulte notamment du Titre II du Livre Premier du Code du travail, en qui concerne: </w:t>
      </w:r>
    </w:p>
    <w:p w14:paraId="4D3DAD3C" w14:textId="64BA6251" w:rsidR="00913FDE" w:rsidRPr="00652999" w:rsidRDefault="00913FDE" w:rsidP="00652999">
      <w:pPr>
        <w:pStyle w:val="ListParagraph"/>
        <w:numPr>
          <w:ilvl w:val="0"/>
          <w:numId w:val="30"/>
        </w:numPr>
        <w:spacing w:after="0" w:line="276" w:lineRule="auto"/>
        <w:rPr>
          <w:i/>
          <w:iCs/>
          <w:lang w:val="fr-CM"/>
        </w:rPr>
      </w:pPr>
      <w:r w:rsidRPr="00652999">
        <w:rPr>
          <w:i/>
          <w:iCs/>
          <w:lang w:val="fr-CM"/>
        </w:rPr>
        <w:t xml:space="preserve">les conditions d’accès à l’emploi, les activités non salariées ou le travail, y compris les critères de sélection et les conditions de recrutement, quelle que soit la branche d’activité et à tous les niveaux de la hiérarchie professionnelle, y compris en matière de promotion; </w:t>
      </w:r>
    </w:p>
    <w:p w14:paraId="522BBC2D" w14:textId="71C28FF2" w:rsidR="00913FDE" w:rsidRPr="00652999" w:rsidRDefault="00913FDE" w:rsidP="00652999">
      <w:pPr>
        <w:pStyle w:val="ListParagraph"/>
        <w:numPr>
          <w:ilvl w:val="0"/>
          <w:numId w:val="30"/>
        </w:numPr>
        <w:spacing w:after="0" w:line="276" w:lineRule="auto"/>
        <w:rPr>
          <w:i/>
          <w:iCs/>
          <w:lang w:val="fr-CM"/>
        </w:rPr>
      </w:pPr>
      <w:r w:rsidRPr="00652999">
        <w:rPr>
          <w:i/>
          <w:iCs/>
          <w:lang w:val="fr-CM"/>
        </w:rPr>
        <w:t xml:space="preserve">l’accès à tous les types et à tous les niveaux d’orientation professionnelle, de formation professionnelle, de perfectionnement et de formation de reconversion, y compris l’acquisition d’une expérience pratique; </w:t>
      </w:r>
    </w:p>
    <w:p w14:paraId="72DEDAF8" w14:textId="4C0646FB" w:rsidR="00913FDE" w:rsidRPr="00652999" w:rsidRDefault="00913FDE" w:rsidP="00652999">
      <w:pPr>
        <w:pStyle w:val="ListParagraph"/>
        <w:numPr>
          <w:ilvl w:val="0"/>
          <w:numId w:val="30"/>
        </w:numPr>
        <w:spacing w:after="0" w:line="276" w:lineRule="auto"/>
        <w:rPr>
          <w:i/>
          <w:iCs/>
          <w:lang w:val="fr-CM"/>
        </w:rPr>
      </w:pPr>
      <w:r w:rsidRPr="00652999">
        <w:rPr>
          <w:i/>
          <w:iCs/>
          <w:lang w:val="fr-CM"/>
        </w:rPr>
        <w:t xml:space="preserve">les conditions d’emploi et de travail, y compris les conditions de licenciement et de salaire; </w:t>
      </w:r>
    </w:p>
    <w:p w14:paraId="670E6CE2" w14:textId="469E77D7" w:rsidR="009B4122" w:rsidRPr="007B3AA3" w:rsidRDefault="00913FDE" w:rsidP="000E0BE3">
      <w:pPr>
        <w:pStyle w:val="ListParagraph"/>
        <w:numPr>
          <w:ilvl w:val="0"/>
          <w:numId w:val="30"/>
        </w:numPr>
        <w:spacing w:after="0" w:line="276" w:lineRule="auto"/>
        <w:rPr>
          <w:i/>
          <w:iCs/>
          <w:lang w:val="fr-CM"/>
        </w:rPr>
      </w:pPr>
      <w:r w:rsidRPr="00652999">
        <w:rPr>
          <w:i/>
          <w:iCs/>
          <w:lang w:val="fr-CM"/>
        </w:rPr>
        <w:t>l’affiliation à, et l’engagement dans, une organisation de salariés ou d’employeurs, ou toute organisation dont les membres exercent une profession donnée, y compris les avantages procurés par ce type d’organisations.</w:t>
      </w:r>
    </w:p>
    <w:p w14:paraId="6F73EC92" w14:textId="00BA2DF6" w:rsidR="00231FF8" w:rsidRPr="00C60115" w:rsidRDefault="00231FF8" w:rsidP="00231FF8">
      <w:pPr>
        <w:pStyle w:val="Heading2"/>
        <w:numPr>
          <w:ilvl w:val="0"/>
          <w:numId w:val="15"/>
        </w:numPr>
        <w:pBdr>
          <w:bottom w:val="single" w:sz="4" w:space="1" w:color="auto"/>
        </w:pBdr>
        <w:spacing w:line="276" w:lineRule="auto"/>
        <w:ind w:left="360"/>
        <w:rPr>
          <w:b/>
          <w:color w:val="3405DF"/>
        </w:rPr>
      </w:pPr>
      <w:bookmarkStart w:id="16" w:name="_Toc23330178"/>
      <w:r>
        <w:rPr>
          <w:b/>
          <w:color w:val="3405DF"/>
        </w:rPr>
        <w:t>Free and Compulsory Education</w:t>
      </w:r>
      <w:r w:rsidRPr="00C60115">
        <w:rPr>
          <w:b/>
          <w:color w:val="3405DF"/>
        </w:rPr>
        <w:t xml:space="preserve"> (Article </w:t>
      </w:r>
      <w:r>
        <w:rPr>
          <w:b/>
          <w:color w:val="3405DF"/>
        </w:rPr>
        <w:t>13</w:t>
      </w:r>
      <w:r w:rsidRPr="00C60115">
        <w:rPr>
          <w:b/>
          <w:color w:val="3405DF"/>
        </w:rPr>
        <w:t>)</w:t>
      </w:r>
      <w:bookmarkEnd w:id="16"/>
    </w:p>
    <w:p w14:paraId="0B2EC4D5" w14:textId="145C41FB" w:rsidR="009B4122" w:rsidRDefault="009B4122" w:rsidP="000E0BE3">
      <w:pPr>
        <w:spacing w:after="0" w:line="276" w:lineRule="auto"/>
      </w:pPr>
    </w:p>
    <w:p w14:paraId="325BF9F3" w14:textId="06A01F1B" w:rsidR="009B4122" w:rsidRDefault="00231FF8" w:rsidP="000E0BE3">
      <w:pPr>
        <w:spacing w:after="0" w:line="276" w:lineRule="auto"/>
      </w:pPr>
      <w:r>
        <w:t xml:space="preserve">Article 13 of the </w:t>
      </w:r>
      <w:r w:rsidR="00F93A51">
        <w:t xml:space="preserve">Covenant </w:t>
      </w:r>
      <w:r>
        <w:t xml:space="preserve">states that: </w:t>
      </w:r>
    </w:p>
    <w:p w14:paraId="1D4A54DA" w14:textId="456C36A8" w:rsidR="00231FF8" w:rsidRDefault="00231FF8" w:rsidP="00231FF8">
      <w:pPr>
        <w:pStyle w:val="NoSpacing"/>
      </w:pPr>
    </w:p>
    <w:p w14:paraId="4587C908" w14:textId="3E92BFA0" w:rsidR="00231FF8" w:rsidRPr="00033457" w:rsidRDefault="00231FF8" w:rsidP="00033457">
      <w:pPr>
        <w:ind w:left="720"/>
        <w:rPr>
          <w:i/>
          <w:iCs/>
        </w:rPr>
      </w:pPr>
      <w:r w:rsidRPr="00033457">
        <w:rPr>
          <w:i/>
          <w:iCs/>
        </w:rPr>
        <w:t>1. The States Parties to the present Covenant recognize the right of everyone to education. They agree that education shall be directed to the full development of the human personality and the sense of its dignity, and shall strengthen the respect for human rights and fundamental freedoms. They further agree that education shall enable all persons to participate effectively in a free society, promote understanding, tolerance and friendship among all nations and all racial, ethnic or religious groups, and further the activities of the United Nations for the maintenance of peace.</w:t>
      </w:r>
    </w:p>
    <w:p w14:paraId="5210A970" w14:textId="78C71E1F" w:rsidR="00231FF8" w:rsidRPr="00033457" w:rsidRDefault="00231FF8" w:rsidP="00033457">
      <w:pPr>
        <w:ind w:left="720"/>
        <w:rPr>
          <w:i/>
          <w:iCs/>
        </w:rPr>
      </w:pPr>
      <w:r w:rsidRPr="00033457">
        <w:rPr>
          <w:i/>
          <w:iCs/>
        </w:rPr>
        <w:t>2. The States Parties to the present Covenant recognize that, with a view to achieving the full realization of this right:</w:t>
      </w:r>
    </w:p>
    <w:p w14:paraId="30543A7D" w14:textId="294F37D6" w:rsidR="00231FF8" w:rsidRPr="00033457" w:rsidRDefault="00231FF8" w:rsidP="00033457">
      <w:pPr>
        <w:ind w:left="720"/>
        <w:rPr>
          <w:i/>
          <w:iCs/>
        </w:rPr>
      </w:pPr>
      <w:r w:rsidRPr="00033457">
        <w:rPr>
          <w:i/>
          <w:iCs/>
        </w:rPr>
        <w:t>(a) Primary education shall be compulsory and available free to all;</w:t>
      </w:r>
    </w:p>
    <w:p w14:paraId="2DB48198" w14:textId="2B2E279B" w:rsidR="009B4122" w:rsidRPr="00033457" w:rsidRDefault="00231FF8" w:rsidP="00033457">
      <w:pPr>
        <w:ind w:left="720"/>
        <w:rPr>
          <w:i/>
          <w:iCs/>
        </w:rPr>
      </w:pPr>
      <w:r w:rsidRPr="00033457">
        <w:rPr>
          <w:i/>
          <w:iCs/>
        </w:rPr>
        <w:t>(b) Secondary education in its different forms, including technical and vocational secondary education, shall be made generally available and accessible to all by every appropriate means, and in particular by the progressive introduction of free education;</w:t>
      </w:r>
    </w:p>
    <w:p w14:paraId="591C646A" w14:textId="24B2309D" w:rsidR="009B4122" w:rsidRDefault="00285913" w:rsidP="00285913">
      <w:pPr>
        <w:spacing w:after="0" w:line="276" w:lineRule="auto"/>
      </w:pPr>
      <w:r>
        <w:t xml:space="preserve">For all 193 UN member states, we systematically reviewed education acts and child protection laws available online through UNESCO’s Observatory on the Right to Education Library and International Labour Organization’s NATLEX database. Through the review we determined whether national legislation guaranteed free and compulsory education at the primary and secondary level. </w:t>
      </w:r>
    </w:p>
    <w:p w14:paraId="01AF11E4" w14:textId="77777777" w:rsidR="00285913" w:rsidRDefault="00285913" w:rsidP="000E0BE3">
      <w:pPr>
        <w:spacing w:after="0" w:line="276" w:lineRule="auto"/>
      </w:pPr>
    </w:p>
    <w:p w14:paraId="7DBEF922" w14:textId="32B93552" w:rsidR="00231FF8" w:rsidRPr="0069373E" w:rsidRDefault="0086100C" w:rsidP="00231FF8">
      <w:pPr>
        <w:pStyle w:val="Heading2"/>
        <w:rPr>
          <w:i/>
          <w:iCs/>
          <w:color w:val="3405DF"/>
          <w:sz w:val="22"/>
        </w:rPr>
      </w:pPr>
      <w:bookmarkStart w:id="17" w:name="_Toc23330179"/>
      <w:r>
        <w:rPr>
          <w:i/>
          <w:iCs/>
          <w:color w:val="3405DF"/>
          <w:sz w:val="22"/>
        </w:rPr>
        <w:t>LUXEMBOURG</w:t>
      </w:r>
      <w:r w:rsidR="000E2144" w:rsidRPr="0069373E">
        <w:rPr>
          <w:i/>
          <w:iCs/>
          <w:color w:val="3405DF"/>
          <w:sz w:val="22"/>
        </w:rPr>
        <w:t xml:space="preserve">’S </w:t>
      </w:r>
      <w:r w:rsidR="00231FF8" w:rsidRPr="0069373E">
        <w:rPr>
          <w:i/>
          <w:iCs/>
          <w:color w:val="3405DF"/>
          <w:sz w:val="22"/>
        </w:rPr>
        <w:t xml:space="preserve">LEGISLATIVE </w:t>
      </w:r>
      <w:bookmarkEnd w:id="17"/>
      <w:r w:rsidR="00F42DA9" w:rsidRPr="0069373E">
        <w:rPr>
          <w:i/>
          <w:iCs/>
          <w:color w:val="3405DF"/>
          <w:sz w:val="22"/>
        </w:rPr>
        <w:t>PROVISIONS</w:t>
      </w:r>
      <w:r w:rsidR="00033457" w:rsidRPr="0069373E">
        <w:rPr>
          <w:i/>
          <w:iCs/>
          <w:color w:val="3405DF"/>
          <w:sz w:val="22"/>
        </w:rPr>
        <w:t xml:space="preserve">: </w:t>
      </w:r>
      <w:r w:rsidR="0069373E" w:rsidRPr="0069373E">
        <w:rPr>
          <w:i/>
          <w:iCs/>
          <w:color w:val="3405DF"/>
          <w:sz w:val="22"/>
        </w:rPr>
        <w:t>GUARANTEED FREE AND COMPULSORY BASIC EDUCATION</w:t>
      </w:r>
    </w:p>
    <w:p w14:paraId="22688012" w14:textId="77777777" w:rsidR="00231FF8" w:rsidRPr="003270AB" w:rsidRDefault="00231FF8" w:rsidP="00231FF8">
      <w:pPr>
        <w:pStyle w:val="NoSpacing"/>
      </w:pPr>
    </w:p>
    <w:p w14:paraId="1E25C0CD" w14:textId="258D3AC5" w:rsidR="009B4122" w:rsidRDefault="00327AF4" w:rsidP="000E0BE3">
      <w:pPr>
        <w:spacing w:after="0" w:line="276" w:lineRule="auto"/>
      </w:pPr>
      <w:r w:rsidRPr="00327AF4">
        <w:t xml:space="preserve">Based on our systematic review of legislation, </w:t>
      </w:r>
      <w:r w:rsidR="004E2E24">
        <w:t>education laws in</w:t>
      </w:r>
      <w:r w:rsidR="0069373E">
        <w:t xml:space="preserve"> </w:t>
      </w:r>
      <w:r w:rsidR="0086100C">
        <w:t>Luxembourg</w:t>
      </w:r>
      <w:r w:rsidRPr="00327AF4">
        <w:t xml:space="preserve"> guarantee </w:t>
      </w:r>
      <w:r w:rsidR="004E2E24">
        <w:t>twelve</w:t>
      </w:r>
      <w:r w:rsidRPr="00327AF4">
        <w:t xml:space="preserve"> years of free and </w:t>
      </w:r>
      <w:r w:rsidR="004E2E24">
        <w:t>compulsory</w:t>
      </w:r>
      <w:r w:rsidRPr="00327AF4">
        <w:t xml:space="preserve"> education for all children</w:t>
      </w:r>
      <w:r w:rsidR="004E2E24">
        <w:t xml:space="preserve"> attending public school. </w:t>
      </w:r>
    </w:p>
    <w:p w14:paraId="363949A2" w14:textId="77777777" w:rsidR="00327AF4" w:rsidRDefault="00327AF4" w:rsidP="000E0BE3">
      <w:pPr>
        <w:spacing w:after="0" w:line="276" w:lineRule="auto"/>
      </w:pPr>
    </w:p>
    <w:p w14:paraId="00922E9C" w14:textId="4143EB5E" w:rsidR="004E2E24" w:rsidRPr="004E2E24" w:rsidRDefault="004E2E24" w:rsidP="004E2E24">
      <w:pPr>
        <w:spacing w:after="0" w:line="276" w:lineRule="auto"/>
        <w:ind w:left="720"/>
        <w:rPr>
          <w:b/>
          <w:bCs/>
          <w:i/>
          <w:iCs/>
          <w:lang w:val="fr-CM"/>
        </w:rPr>
      </w:pPr>
      <w:r w:rsidRPr="004E2E24">
        <w:rPr>
          <w:b/>
          <w:bCs/>
          <w:i/>
          <w:iCs/>
          <w:lang w:val="fr-CM"/>
        </w:rPr>
        <w:t xml:space="preserve">Loi relative à l’obligation scolaire </w:t>
      </w:r>
    </w:p>
    <w:p w14:paraId="0312C5F5" w14:textId="77777777" w:rsidR="004E2E24" w:rsidRPr="004E2E24" w:rsidRDefault="004E2E24" w:rsidP="004E2E24">
      <w:pPr>
        <w:spacing w:after="0" w:line="276" w:lineRule="auto"/>
        <w:ind w:left="720"/>
        <w:rPr>
          <w:i/>
          <w:iCs/>
          <w:lang w:val="fr-CM"/>
        </w:rPr>
      </w:pPr>
      <w:r w:rsidRPr="004E2E24">
        <w:rPr>
          <w:i/>
          <w:iCs/>
          <w:lang w:val="fr-CM"/>
        </w:rPr>
        <w:t>Art. 7.</w:t>
      </w:r>
    </w:p>
    <w:p w14:paraId="0240ECB9" w14:textId="77777777" w:rsidR="004E2E24" w:rsidRPr="006E3849" w:rsidRDefault="004E2E24" w:rsidP="004E2E24">
      <w:pPr>
        <w:spacing w:after="0" w:line="276" w:lineRule="auto"/>
        <w:ind w:left="720"/>
        <w:rPr>
          <w:lang w:val="fr-CM"/>
        </w:rPr>
      </w:pPr>
      <w:r w:rsidRPr="004E2E24">
        <w:rPr>
          <w:i/>
          <w:iCs/>
          <w:lang w:val="fr-CM"/>
        </w:rPr>
        <w:t>Tout enfant habitant le Luxembourg âgé de quatre ans révolus avant le premier septembre, doit fréquenter l’École. Cette obligation s’étend sur douze années consécutives à partir du premier septembre de l’année en question.</w:t>
      </w:r>
    </w:p>
    <w:p w14:paraId="51E39648" w14:textId="77777777" w:rsidR="001649CD" w:rsidRPr="002F744F" w:rsidRDefault="001649CD" w:rsidP="004E2E24">
      <w:pPr>
        <w:spacing w:after="0" w:line="276" w:lineRule="auto"/>
        <w:rPr>
          <w:i/>
          <w:iCs/>
          <w:lang w:val="fr-CM"/>
        </w:rPr>
      </w:pPr>
    </w:p>
    <w:p w14:paraId="2A1D8514" w14:textId="5475963F" w:rsidR="006E3849" w:rsidRPr="004E2E24" w:rsidRDefault="006E3849" w:rsidP="004E2E24">
      <w:pPr>
        <w:spacing w:after="0" w:line="276" w:lineRule="auto"/>
        <w:ind w:left="720"/>
        <w:rPr>
          <w:b/>
          <w:bCs/>
          <w:i/>
          <w:iCs/>
          <w:lang w:val="fr-CM"/>
        </w:rPr>
      </w:pPr>
      <w:r w:rsidRPr="004E2E24">
        <w:rPr>
          <w:b/>
          <w:bCs/>
          <w:i/>
          <w:iCs/>
          <w:lang w:val="fr-CM"/>
        </w:rPr>
        <w:t>Loi portant organisation de l’enseignement fondamental</w:t>
      </w:r>
    </w:p>
    <w:p w14:paraId="498707CA" w14:textId="77777777" w:rsidR="006E3849" w:rsidRPr="004E2E24" w:rsidRDefault="006E3849" w:rsidP="004E2E24">
      <w:pPr>
        <w:spacing w:after="0" w:line="276" w:lineRule="auto"/>
        <w:ind w:left="720"/>
        <w:rPr>
          <w:i/>
          <w:iCs/>
          <w:lang w:val="fr-CM"/>
        </w:rPr>
      </w:pPr>
      <w:r w:rsidRPr="004E2E24">
        <w:rPr>
          <w:i/>
          <w:iCs/>
          <w:lang w:val="fr-CM"/>
        </w:rPr>
        <w:t>Art. 5.</w:t>
      </w:r>
    </w:p>
    <w:p w14:paraId="5C429AB6" w14:textId="77777777" w:rsidR="006E3849" w:rsidRPr="004E2E24" w:rsidRDefault="006E3849" w:rsidP="004E2E24">
      <w:pPr>
        <w:spacing w:after="0" w:line="276" w:lineRule="auto"/>
        <w:ind w:left="720"/>
        <w:rPr>
          <w:i/>
          <w:iCs/>
          <w:lang w:val="fr-CM"/>
        </w:rPr>
      </w:pPr>
      <w:r w:rsidRPr="004E2E24">
        <w:rPr>
          <w:i/>
          <w:iCs/>
          <w:lang w:val="fr-CM"/>
        </w:rPr>
        <w:t>L’accès à l’enseignement public est gratuit pour chaque enfant habitant le Grand-Duché, inscrit à une école de sa commune de résidence, à une école d’une autre commune ou à une école de l’État.</w:t>
      </w:r>
    </w:p>
    <w:p w14:paraId="4BE5CEE9" w14:textId="54F476E5" w:rsidR="00EF40D9" w:rsidRPr="008E469F" w:rsidRDefault="006E3849" w:rsidP="007B3AA3">
      <w:pPr>
        <w:spacing w:after="0" w:line="276" w:lineRule="auto"/>
        <w:ind w:left="720"/>
        <w:rPr>
          <w:lang w:val="fr-CM"/>
        </w:rPr>
      </w:pPr>
      <w:r w:rsidRPr="004E2E24">
        <w:rPr>
          <w:i/>
          <w:iCs/>
          <w:lang w:val="fr-CM"/>
        </w:rPr>
        <w:t>La commune, ou l’État pour les écoles et classes étatiques, fournit gratuitement aux élèves les manuels scolaires à utiliser en classe,</w:t>
      </w:r>
      <w:r w:rsidRPr="006E3849">
        <w:rPr>
          <w:lang w:val="fr-CM"/>
        </w:rPr>
        <w:t xml:space="preserve"> recommandés par le ministre.</w:t>
      </w:r>
      <w:bookmarkStart w:id="18" w:name="_Toc23330180"/>
    </w:p>
    <w:p w14:paraId="0F7506EB" w14:textId="18D203BB" w:rsidR="000E0BE3" w:rsidRPr="002F744F" w:rsidRDefault="0086100C" w:rsidP="000E0BE3">
      <w:pPr>
        <w:pStyle w:val="Heading1"/>
        <w:spacing w:line="276" w:lineRule="auto"/>
        <w:jc w:val="center"/>
        <w:rPr>
          <w:rFonts w:ascii="Calibri" w:hAnsi="Calibri" w:cs="Calibri"/>
          <w:color w:val="3405DF"/>
        </w:rPr>
      </w:pPr>
      <w:r w:rsidRPr="002F744F">
        <w:rPr>
          <w:rFonts w:ascii="Calibri" w:hAnsi="Calibri" w:cs="Calibri"/>
          <w:color w:val="3405DF"/>
        </w:rPr>
        <w:t>Luxembourg</w:t>
      </w:r>
      <w:r w:rsidR="000E2144" w:rsidRPr="002F744F">
        <w:rPr>
          <w:rFonts w:ascii="Calibri" w:hAnsi="Calibri" w:cs="Calibri"/>
          <w:color w:val="3405DF"/>
        </w:rPr>
        <w:t xml:space="preserve"> </w:t>
      </w:r>
      <w:r w:rsidR="000E0BE3" w:rsidRPr="002F744F">
        <w:rPr>
          <w:rFonts w:ascii="Calibri" w:hAnsi="Calibri" w:cs="Calibri"/>
          <w:color w:val="3405DF"/>
        </w:rPr>
        <w:t>Reference Sheet</w:t>
      </w:r>
      <w:bookmarkEnd w:id="18"/>
    </w:p>
    <w:p w14:paraId="179718A0" w14:textId="11526671" w:rsidR="000E0BE3" w:rsidRPr="000B3F32" w:rsidRDefault="000E0BE3" w:rsidP="000E0BE3">
      <w:pPr>
        <w:pStyle w:val="Heading1"/>
        <w:spacing w:line="276" w:lineRule="auto"/>
        <w:jc w:val="center"/>
        <w:rPr>
          <w:rFonts w:ascii="Calibri" w:hAnsi="Calibri" w:cs="Calibri"/>
          <w:color w:val="3405DF"/>
          <w:sz w:val="26"/>
          <w:szCs w:val="26"/>
        </w:rPr>
      </w:pPr>
      <w:bookmarkStart w:id="19" w:name="_Toc23330181"/>
      <w:r w:rsidRPr="000B3F32">
        <w:rPr>
          <w:rFonts w:ascii="Calibri" w:hAnsi="Calibri" w:cs="Calibri"/>
          <w:color w:val="3405DF"/>
          <w:sz w:val="26"/>
          <w:szCs w:val="26"/>
        </w:rPr>
        <w:t xml:space="preserve">Recommended Questions </w:t>
      </w:r>
      <w:r w:rsidR="00033457">
        <w:rPr>
          <w:rFonts w:ascii="Calibri" w:hAnsi="Calibri" w:cs="Calibri"/>
          <w:color w:val="3405DF"/>
          <w:sz w:val="26"/>
          <w:szCs w:val="26"/>
        </w:rPr>
        <w:t xml:space="preserve">for the List of Issues </w:t>
      </w:r>
      <w:r w:rsidRPr="000B3F32">
        <w:rPr>
          <w:rFonts w:ascii="Calibri" w:hAnsi="Calibri" w:cs="Calibri"/>
          <w:color w:val="3405DF"/>
          <w:sz w:val="26"/>
          <w:szCs w:val="26"/>
        </w:rPr>
        <w:t>and Concluding Observations</w:t>
      </w:r>
      <w:bookmarkEnd w:id="19"/>
    </w:p>
    <w:p w14:paraId="1A986EE5" w14:textId="77777777" w:rsidR="000E0BE3" w:rsidRPr="000B3F32" w:rsidRDefault="000E0BE3" w:rsidP="000E0BE3">
      <w:pPr>
        <w:rPr>
          <w:rFonts w:ascii="Calibri" w:hAnsi="Calibri" w:cs="Calibri"/>
          <w:color w:val="3405DF"/>
        </w:rPr>
      </w:pPr>
    </w:p>
    <w:p w14:paraId="79DD119F" w14:textId="77777777" w:rsidR="001649CD" w:rsidRDefault="000E0BE3" w:rsidP="001F6FEE">
      <w:pPr>
        <w:pStyle w:val="Heading1"/>
        <w:spacing w:before="0" w:line="276" w:lineRule="auto"/>
        <w:jc w:val="center"/>
        <w:rPr>
          <w:rFonts w:ascii="Calibri" w:hAnsi="Calibri" w:cs="Calibri"/>
          <w:iCs/>
          <w:color w:val="3405DF"/>
          <w:sz w:val="24"/>
          <w:szCs w:val="24"/>
        </w:rPr>
      </w:pPr>
      <w:bookmarkStart w:id="20" w:name="_Toc23330182"/>
      <w:r w:rsidRPr="000B3F32">
        <w:rPr>
          <w:rFonts w:ascii="Calibri" w:hAnsi="Calibri" w:cs="Calibri"/>
          <w:iCs/>
          <w:color w:val="3405DF"/>
          <w:sz w:val="24"/>
          <w:szCs w:val="24"/>
        </w:rPr>
        <w:t xml:space="preserve">For the Committee on the </w:t>
      </w:r>
      <w:r w:rsidR="001F6FEE">
        <w:rPr>
          <w:rFonts w:ascii="Calibri" w:hAnsi="Calibri" w:cs="Calibri"/>
          <w:iCs/>
          <w:color w:val="3405DF"/>
          <w:sz w:val="24"/>
          <w:szCs w:val="24"/>
        </w:rPr>
        <w:t>Economic, Social, and Cultural Rights</w:t>
      </w:r>
      <w:bookmarkEnd w:id="20"/>
      <w:r w:rsidR="001F6FEE">
        <w:rPr>
          <w:rFonts w:ascii="Calibri" w:hAnsi="Calibri" w:cs="Calibri"/>
          <w:iCs/>
          <w:color w:val="3405DF"/>
          <w:sz w:val="24"/>
          <w:szCs w:val="24"/>
        </w:rPr>
        <w:t xml:space="preserve"> </w:t>
      </w:r>
      <w:bookmarkStart w:id="21" w:name="_Toc23330183"/>
    </w:p>
    <w:p w14:paraId="74804F3A" w14:textId="310E2FF0" w:rsidR="000E0BE3" w:rsidRPr="000B3F32" w:rsidRDefault="001649CD" w:rsidP="001F6FEE">
      <w:pPr>
        <w:pStyle w:val="Heading1"/>
        <w:spacing w:before="0" w:line="276" w:lineRule="auto"/>
        <w:jc w:val="center"/>
        <w:rPr>
          <w:rFonts w:ascii="Calibri" w:hAnsi="Calibri" w:cs="Calibri"/>
          <w:iCs/>
          <w:color w:val="3405DF"/>
          <w:sz w:val="24"/>
          <w:szCs w:val="24"/>
        </w:rPr>
      </w:pPr>
      <w:r w:rsidRPr="001649CD">
        <w:rPr>
          <w:rFonts w:ascii="Calibri" w:hAnsi="Calibri" w:cs="Calibri"/>
          <w:iCs/>
          <w:color w:val="3405DF"/>
          <w:sz w:val="24"/>
          <w:szCs w:val="24"/>
        </w:rPr>
        <w:t>67</w:t>
      </w:r>
      <w:r w:rsidR="000E0BE3" w:rsidRPr="001649CD">
        <w:rPr>
          <w:rFonts w:ascii="Calibri" w:hAnsi="Calibri" w:cs="Calibri"/>
          <w:iCs/>
          <w:color w:val="3405DF"/>
          <w:sz w:val="24"/>
          <w:szCs w:val="24"/>
          <w:vertAlign w:val="superscript"/>
        </w:rPr>
        <w:t>th</w:t>
      </w:r>
      <w:r w:rsidR="000E0BE3" w:rsidRPr="001649CD">
        <w:rPr>
          <w:rFonts w:ascii="Calibri" w:hAnsi="Calibri" w:cs="Calibri"/>
          <w:iCs/>
          <w:color w:val="3405DF"/>
          <w:sz w:val="24"/>
          <w:szCs w:val="24"/>
        </w:rPr>
        <w:t xml:space="preserve"> Pre-Session</w:t>
      </w:r>
      <w:r w:rsidR="00D361AD">
        <w:rPr>
          <w:rFonts w:ascii="Calibri" w:hAnsi="Calibri" w:cs="Calibri"/>
          <w:iCs/>
          <w:color w:val="3405DF"/>
          <w:sz w:val="24"/>
          <w:szCs w:val="24"/>
        </w:rPr>
        <w:t>al</w:t>
      </w:r>
      <w:r w:rsidR="000E0BE3" w:rsidRPr="001649CD">
        <w:rPr>
          <w:rFonts w:ascii="Calibri" w:hAnsi="Calibri" w:cs="Calibri"/>
          <w:iCs/>
          <w:color w:val="3405DF"/>
          <w:sz w:val="24"/>
          <w:szCs w:val="24"/>
        </w:rPr>
        <w:t xml:space="preserve"> Working Group, </w:t>
      </w:r>
      <w:r w:rsidRPr="001649CD">
        <w:rPr>
          <w:rFonts w:ascii="Calibri" w:hAnsi="Calibri" w:cs="Calibri"/>
          <w:iCs/>
          <w:color w:val="3405DF"/>
          <w:sz w:val="24"/>
          <w:szCs w:val="24"/>
        </w:rPr>
        <w:t>October</w:t>
      </w:r>
      <w:r w:rsidR="000E0BE3" w:rsidRPr="001649CD">
        <w:rPr>
          <w:rFonts w:ascii="Calibri" w:hAnsi="Calibri" w:cs="Calibri"/>
          <w:iCs/>
          <w:color w:val="3405DF"/>
          <w:sz w:val="24"/>
          <w:szCs w:val="24"/>
        </w:rPr>
        <w:t xml:space="preserve"> 20</w:t>
      </w:r>
      <w:bookmarkEnd w:id="21"/>
      <w:r w:rsidR="000E2144" w:rsidRPr="001649CD">
        <w:rPr>
          <w:rFonts w:ascii="Calibri" w:hAnsi="Calibri" w:cs="Calibri"/>
          <w:iCs/>
          <w:color w:val="3405DF"/>
          <w:sz w:val="24"/>
          <w:szCs w:val="24"/>
        </w:rPr>
        <w:t>20</w:t>
      </w:r>
    </w:p>
    <w:p w14:paraId="796C60BF" w14:textId="77777777" w:rsidR="000E0BE3" w:rsidRPr="000B3F32" w:rsidRDefault="000E0BE3" w:rsidP="000E0BE3">
      <w:pPr>
        <w:spacing w:line="276" w:lineRule="auto"/>
        <w:jc w:val="center"/>
        <w:rPr>
          <w:rStyle w:val="IntenseEmphasis"/>
          <w:rFonts w:ascii="Calibri" w:hAnsi="Calibri" w:cs="Calibri"/>
          <w:color w:val="3405DF"/>
        </w:rPr>
      </w:pPr>
    </w:p>
    <w:p w14:paraId="4DC8892E" w14:textId="7731B952" w:rsidR="000E0BE3" w:rsidRPr="000B3F32" w:rsidRDefault="000E0BE3" w:rsidP="000E0BE3">
      <w:pPr>
        <w:pStyle w:val="IntenseQuote"/>
        <w:spacing w:line="276" w:lineRule="auto"/>
        <w:ind w:left="0"/>
        <w:jc w:val="left"/>
        <w:rPr>
          <w:rFonts w:ascii="Calibri" w:hAnsi="Calibri" w:cs="Calibri"/>
          <w:i w:val="0"/>
          <w:color w:val="3405DF"/>
        </w:rPr>
      </w:pPr>
      <w:r w:rsidRPr="000B3F32">
        <w:rPr>
          <w:rFonts w:ascii="Calibri" w:hAnsi="Calibri" w:cs="Calibri"/>
          <w:i w:val="0"/>
          <w:color w:val="3405DF"/>
        </w:rPr>
        <w:t xml:space="preserve">Recommended Questions </w:t>
      </w:r>
      <w:r w:rsidRPr="000E2144">
        <w:rPr>
          <w:rFonts w:ascii="Calibri" w:hAnsi="Calibri" w:cs="Calibri"/>
          <w:i w:val="0"/>
          <w:color w:val="3405DF"/>
        </w:rPr>
        <w:t xml:space="preserve">for </w:t>
      </w:r>
      <w:r w:rsidR="0086100C">
        <w:rPr>
          <w:rFonts w:ascii="Calibri" w:hAnsi="Calibri" w:cs="Calibri"/>
          <w:i w:val="0"/>
          <w:color w:val="3405DF"/>
        </w:rPr>
        <w:t>Luxembourg</w:t>
      </w:r>
      <w:r w:rsidR="00033457" w:rsidRPr="000E2144">
        <w:rPr>
          <w:rFonts w:ascii="Calibri" w:hAnsi="Calibri" w:cs="Calibri"/>
          <w:i w:val="0"/>
          <w:color w:val="3405DF"/>
        </w:rPr>
        <w:t>’</w:t>
      </w:r>
      <w:r w:rsidRPr="000E2144">
        <w:rPr>
          <w:rFonts w:ascii="Calibri" w:hAnsi="Calibri" w:cs="Calibri"/>
          <w:i w:val="0"/>
          <w:color w:val="3405DF"/>
        </w:rPr>
        <w:t>s</w:t>
      </w:r>
      <w:r w:rsidRPr="000B3F32">
        <w:rPr>
          <w:rFonts w:ascii="Calibri" w:hAnsi="Calibri" w:cs="Calibri"/>
          <w:i w:val="0"/>
          <w:color w:val="3405DF"/>
        </w:rPr>
        <w:t xml:space="preserve"> List of Issues:</w:t>
      </w:r>
    </w:p>
    <w:p w14:paraId="2143850D" w14:textId="77777777" w:rsidR="000E0BE3" w:rsidRPr="005B7ADB" w:rsidRDefault="000E0BE3" w:rsidP="000E0BE3">
      <w:pPr>
        <w:rPr>
          <w:b/>
        </w:rPr>
      </w:pPr>
      <w:r w:rsidRPr="000B100D">
        <w:rPr>
          <w:b/>
        </w:rPr>
        <w:t>Work and Employment</w:t>
      </w:r>
    </w:p>
    <w:p w14:paraId="0F5CAB1C" w14:textId="6C1D2A09" w:rsidR="00BA7582" w:rsidRPr="00DC2CF6" w:rsidRDefault="00BA7582" w:rsidP="00BA7582">
      <w:pPr>
        <w:numPr>
          <w:ilvl w:val="0"/>
          <w:numId w:val="19"/>
        </w:numPr>
        <w:spacing w:afterLines="100" w:after="240" w:line="276" w:lineRule="auto"/>
        <w:ind w:left="720"/>
        <w:contextualSpacing/>
        <w:rPr>
          <w:rFonts w:ascii="Calibri" w:eastAsia="Calibri" w:hAnsi="Calibri" w:cs="Times New Roman"/>
          <w:b/>
        </w:rPr>
      </w:pPr>
      <w:r>
        <w:rPr>
          <w:rFonts w:ascii="Calibri" w:eastAsia="Calibri" w:hAnsi="Calibri" w:cs="Times New Roman"/>
        </w:rPr>
        <w:t>Can Luxembourg</w:t>
      </w:r>
      <w:r w:rsidRPr="001E3383">
        <w:rPr>
          <w:rFonts w:ascii="Calibri" w:eastAsia="Calibri" w:hAnsi="Calibri" w:cs="Times New Roman"/>
        </w:rPr>
        <w:t xml:space="preserve"> outline any concrete, near-term plans to pass legislation prohibiting all forms of workplace discrimination on the basis of language, political opinion, national or social origin, property</w:t>
      </w:r>
      <w:r>
        <w:rPr>
          <w:rFonts w:ascii="Calibri" w:eastAsia="Calibri" w:hAnsi="Calibri" w:cs="Times New Roman"/>
        </w:rPr>
        <w:t xml:space="preserve"> status, and birth</w:t>
      </w:r>
      <w:r w:rsidRPr="001E3383">
        <w:rPr>
          <w:rFonts w:ascii="Calibri" w:eastAsia="Calibri" w:hAnsi="Calibri" w:cs="Times New Roman"/>
        </w:rPr>
        <w:t xml:space="preserve"> status?</w:t>
      </w:r>
    </w:p>
    <w:p w14:paraId="35E28824" w14:textId="45391686" w:rsidR="00DC2CF6" w:rsidRPr="00DC2CF6" w:rsidRDefault="00DC2CF6" w:rsidP="00DC2CF6">
      <w:pPr>
        <w:numPr>
          <w:ilvl w:val="0"/>
          <w:numId w:val="19"/>
        </w:numPr>
        <w:spacing w:afterLines="100" w:after="240" w:line="276" w:lineRule="auto"/>
        <w:contextualSpacing/>
        <w:rPr>
          <w:rFonts w:ascii="Calibri" w:eastAsia="Calibri" w:hAnsi="Calibri" w:cs="Times New Roman"/>
          <w:bCs/>
        </w:rPr>
      </w:pPr>
      <w:r w:rsidRPr="002A50F2">
        <w:rPr>
          <w:rFonts w:ascii="Calibri" w:eastAsia="Calibri" w:hAnsi="Calibri" w:cs="Times New Roman"/>
          <w:bCs/>
        </w:rPr>
        <w:t>Can Luxembourg outline how it is enfo</w:t>
      </w:r>
      <w:r>
        <w:rPr>
          <w:rFonts w:ascii="Calibri" w:eastAsia="Calibri" w:hAnsi="Calibri" w:cs="Times New Roman"/>
          <w:bCs/>
        </w:rPr>
        <w:t xml:space="preserve">rcing existing prohibitions of </w:t>
      </w:r>
      <w:r w:rsidRPr="002A50F2">
        <w:rPr>
          <w:rFonts w:ascii="Calibri" w:eastAsia="Calibri" w:hAnsi="Calibri" w:cs="Times New Roman"/>
          <w:bCs/>
        </w:rPr>
        <w:t>workplace discrimination</w:t>
      </w:r>
      <w:r>
        <w:rPr>
          <w:rFonts w:ascii="Calibri" w:eastAsia="Calibri" w:hAnsi="Calibri" w:cs="Times New Roman"/>
          <w:bCs/>
        </w:rPr>
        <w:t xml:space="preserve"> based on </w:t>
      </w:r>
      <w:r w:rsidRPr="001F2297">
        <w:t>race, sex, religion, and disability status</w:t>
      </w:r>
      <w:r w:rsidRPr="002A50F2">
        <w:rPr>
          <w:rFonts w:ascii="Calibri" w:eastAsia="Calibri" w:hAnsi="Calibri" w:cs="Times New Roman"/>
          <w:bCs/>
        </w:rPr>
        <w:t>?</w:t>
      </w:r>
    </w:p>
    <w:p w14:paraId="49AC25EF" w14:textId="05B393A0" w:rsidR="000E0BE3" w:rsidRPr="000B3F32" w:rsidRDefault="000E0BE3" w:rsidP="000E0BE3">
      <w:pPr>
        <w:pStyle w:val="IntenseQuote"/>
        <w:spacing w:line="276" w:lineRule="auto"/>
        <w:ind w:left="0"/>
        <w:jc w:val="left"/>
        <w:rPr>
          <w:i w:val="0"/>
          <w:color w:val="3405DF"/>
        </w:rPr>
      </w:pPr>
      <w:r w:rsidRPr="000B3F32">
        <w:rPr>
          <w:i w:val="0"/>
          <w:color w:val="3405DF"/>
        </w:rPr>
        <w:t xml:space="preserve">Recommended Concluding Observations for </w:t>
      </w:r>
      <w:r w:rsidR="0086100C">
        <w:rPr>
          <w:i w:val="0"/>
          <w:color w:val="3405DF"/>
        </w:rPr>
        <w:t>Luxembourg</w:t>
      </w:r>
      <w:r w:rsidR="000E2144" w:rsidRPr="001649CD">
        <w:rPr>
          <w:i w:val="0"/>
          <w:color w:val="3405DF"/>
        </w:rPr>
        <w:t>’</w:t>
      </w:r>
      <w:r w:rsidR="00033457" w:rsidRPr="001649CD">
        <w:rPr>
          <w:i w:val="0"/>
          <w:color w:val="3405DF"/>
        </w:rPr>
        <w:t>s</w:t>
      </w:r>
      <w:r w:rsidRPr="001649CD">
        <w:rPr>
          <w:i w:val="0"/>
          <w:color w:val="3405DF"/>
        </w:rPr>
        <w:t xml:space="preserve"> (where </w:t>
      </w:r>
      <w:r w:rsidR="0086100C">
        <w:rPr>
          <w:i w:val="0"/>
          <w:color w:val="3405DF"/>
        </w:rPr>
        <w:t>Luxembourg</w:t>
      </w:r>
      <w:r w:rsidRPr="001649CD">
        <w:rPr>
          <w:i w:val="0"/>
          <w:color w:val="3405DF"/>
        </w:rPr>
        <w:t>’s</w:t>
      </w:r>
      <w:r w:rsidRPr="000B3F32">
        <w:rPr>
          <w:i w:val="0"/>
          <w:color w:val="3405DF"/>
        </w:rPr>
        <w:t xml:space="preserve"> responses to questions from the list of issues are unclear or insufficient):</w:t>
      </w:r>
    </w:p>
    <w:p w14:paraId="6C381FEF" w14:textId="77777777" w:rsidR="000E0BE3" w:rsidRPr="000B3F32" w:rsidRDefault="000E0BE3" w:rsidP="000E0BE3">
      <w:pPr>
        <w:spacing w:afterLines="60" w:after="144" w:line="276" w:lineRule="auto"/>
        <w:rPr>
          <w:color w:val="000000" w:themeColor="text1"/>
        </w:rPr>
      </w:pPr>
      <w:r w:rsidRPr="000B3F32">
        <w:rPr>
          <w:color w:val="000000" w:themeColor="text1"/>
        </w:rPr>
        <w:t xml:space="preserve">*Note that wherever possible, these recommendations should be implemented in collaboration with relevant stakeholders, including civil society organizations. </w:t>
      </w:r>
    </w:p>
    <w:p w14:paraId="402DF30F" w14:textId="77777777" w:rsidR="000E0BE3" w:rsidRDefault="000E0BE3" w:rsidP="000E0BE3">
      <w:pPr>
        <w:pStyle w:val="NoSpacing"/>
        <w:spacing w:line="276" w:lineRule="auto"/>
      </w:pPr>
    </w:p>
    <w:p w14:paraId="3DD25B32" w14:textId="48BD1F7A" w:rsidR="000E0BE3" w:rsidRPr="00122898" w:rsidRDefault="001F6FEE" w:rsidP="000E0BE3">
      <w:pPr>
        <w:rPr>
          <w:b/>
        </w:rPr>
      </w:pPr>
      <w:r>
        <w:rPr>
          <w:b/>
        </w:rPr>
        <w:t>Equality and Non-Discrimination</w:t>
      </w:r>
    </w:p>
    <w:p w14:paraId="7925696E" w14:textId="0F57F828" w:rsidR="00F67273" w:rsidRPr="00913FDE" w:rsidRDefault="00DC2CF6" w:rsidP="00F67273">
      <w:pPr>
        <w:pStyle w:val="ListParagraph"/>
        <w:numPr>
          <w:ilvl w:val="0"/>
          <w:numId w:val="29"/>
        </w:numPr>
        <w:rPr>
          <w:b/>
          <w:bCs/>
        </w:rPr>
      </w:pPr>
      <w:r>
        <w:t>Recommend t</w:t>
      </w:r>
      <w:r w:rsidR="00AC160A">
        <w:t>hat L</w:t>
      </w:r>
      <w:r w:rsidR="00F67273">
        <w:t>uxembourg consider amending its constitution to add explicit guarantees of equality and non-discrimination for all persons regardless of race, colour, language, religion, political or other opinion, national or social origin, property, birth status, and disability status, consistent with ICESCR commitments.</w:t>
      </w:r>
    </w:p>
    <w:p w14:paraId="5B3B9F42" w14:textId="77777777" w:rsidR="000E0BE3" w:rsidRDefault="000E0BE3" w:rsidP="000E0BE3">
      <w:pPr>
        <w:rPr>
          <w:b/>
        </w:rPr>
      </w:pPr>
      <w:r w:rsidRPr="000B100D">
        <w:rPr>
          <w:b/>
        </w:rPr>
        <w:t>Work and Employment</w:t>
      </w:r>
    </w:p>
    <w:p w14:paraId="11E13F1D" w14:textId="587E07AE" w:rsidR="00BA7582" w:rsidRPr="001E3383" w:rsidRDefault="00DC2CF6" w:rsidP="00BA7582">
      <w:pPr>
        <w:numPr>
          <w:ilvl w:val="0"/>
          <w:numId w:val="19"/>
        </w:numPr>
        <w:spacing w:afterLines="100" w:after="240" w:line="276" w:lineRule="auto"/>
        <w:contextualSpacing/>
        <w:rPr>
          <w:rFonts w:ascii="Calibri" w:eastAsia="Calibri" w:hAnsi="Calibri" w:cs="Times New Roman"/>
          <w:b/>
        </w:rPr>
      </w:pPr>
      <w:r>
        <w:rPr>
          <w:rFonts w:ascii="Calibri" w:eastAsia="Calibri" w:hAnsi="Calibri" w:cs="Times New Roman"/>
        </w:rPr>
        <w:t>Recommend t</w:t>
      </w:r>
      <w:r w:rsidR="00BA7582" w:rsidRPr="001E3383">
        <w:rPr>
          <w:rFonts w:ascii="Calibri" w:eastAsia="Calibri" w:hAnsi="Calibri" w:cs="Times New Roman"/>
        </w:rPr>
        <w:t xml:space="preserve">hat </w:t>
      </w:r>
      <w:r w:rsidR="00BA7582">
        <w:rPr>
          <w:rFonts w:ascii="Calibri" w:eastAsia="Calibri" w:hAnsi="Calibri" w:cs="Times New Roman"/>
        </w:rPr>
        <w:t>Luxembourg</w:t>
      </w:r>
      <w:r w:rsidR="00BA7582" w:rsidRPr="001E3383">
        <w:rPr>
          <w:rFonts w:ascii="Calibri" w:eastAsia="Calibri" w:hAnsi="Calibri" w:cs="Times New Roman"/>
        </w:rPr>
        <w:t xml:space="preserve"> pass and implement legislation that explicitly protects </w:t>
      </w:r>
      <w:r w:rsidR="00BA7582">
        <w:rPr>
          <w:rFonts w:ascii="Calibri" w:eastAsia="Calibri" w:hAnsi="Calibri" w:cs="Times New Roman"/>
        </w:rPr>
        <w:t>all characteristics</w:t>
      </w:r>
      <w:r w:rsidR="00BA7582" w:rsidRPr="001E3383">
        <w:rPr>
          <w:rFonts w:ascii="Calibri" w:eastAsia="Calibri" w:hAnsi="Calibri" w:cs="Times New Roman"/>
        </w:rPr>
        <w:t xml:space="preserve"> covered in Article 2 and General Comment 5 of the ICESCR from workplace discrimination, particularly in:</w:t>
      </w:r>
    </w:p>
    <w:p w14:paraId="093EE546" w14:textId="0360E35A" w:rsidR="00BA7582" w:rsidRPr="001E3383" w:rsidRDefault="00157106" w:rsidP="00BA7582">
      <w:pPr>
        <w:numPr>
          <w:ilvl w:val="1"/>
          <w:numId w:val="19"/>
        </w:numPr>
        <w:spacing w:line="276" w:lineRule="auto"/>
        <w:contextualSpacing/>
        <w:rPr>
          <w:rFonts w:ascii="Calibri" w:eastAsia="Calibri" w:hAnsi="Calibri" w:cs="Times New Roman"/>
        </w:rPr>
      </w:pPr>
      <w:r>
        <w:rPr>
          <w:rFonts w:ascii="Calibri" w:eastAsia="Calibri" w:hAnsi="Calibri" w:cs="Times New Roman"/>
        </w:rPr>
        <w:t>E</w:t>
      </w:r>
      <w:r w:rsidR="00BA7582" w:rsidRPr="001E3383">
        <w:rPr>
          <w:rFonts w:ascii="Calibri" w:eastAsia="Calibri" w:hAnsi="Calibri" w:cs="Times New Roman"/>
        </w:rPr>
        <w:t>mployment opportunities or hiring</w:t>
      </w:r>
    </w:p>
    <w:p w14:paraId="4CEE6893" w14:textId="5FBF72EB" w:rsidR="00BA7582" w:rsidRPr="001E3383" w:rsidRDefault="00157106" w:rsidP="00BA7582">
      <w:pPr>
        <w:numPr>
          <w:ilvl w:val="1"/>
          <w:numId w:val="19"/>
        </w:numPr>
        <w:spacing w:line="276" w:lineRule="auto"/>
        <w:contextualSpacing/>
        <w:rPr>
          <w:rFonts w:ascii="Calibri" w:eastAsia="Calibri" w:hAnsi="Calibri" w:cs="Times New Roman"/>
        </w:rPr>
      </w:pPr>
      <w:r>
        <w:rPr>
          <w:rFonts w:ascii="Calibri" w:eastAsia="Calibri" w:hAnsi="Calibri" w:cs="Times New Roman"/>
        </w:rPr>
        <w:t>E</w:t>
      </w:r>
      <w:r w:rsidR="00BA7582" w:rsidRPr="001E3383">
        <w:rPr>
          <w:rFonts w:ascii="Calibri" w:eastAsia="Calibri" w:hAnsi="Calibri" w:cs="Times New Roman"/>
        </w:rPr>
        <w:t>qual remuneration for work of equal value</w:t>
      </w:r>
    </w:p>
    <w:p w14:paraId="712EA771" w14:textId="31439003" w:rsidR="00BA7582" w:rsidRPr="001E3383" w:rsidRDefault="00157106" w:rsidP="00BA7582">
      <w:pPr>
        <w:numPr>
          <w:ilvl w:val="1"/>
          <w:numId w:val="19"/>
        </w:numPr>
        <w:spacing w:line="276" w:lineRule="auto"/>
        <w:contextualSpacing/>
        <w:rPr>
          <w:rFonts w:ascii="Calibri" w:eastAsia="Calibri" w:hAnsi="Calibri" w:cs="Times New Roman"/>
        </w:rPr>
      </w:pPr>
      <w:r>
        <w:rPr>
          <w:rFonts w:ascii="Calibri" w:eastAsia="Calibri" w:hAnsi="Calibri" w:cs="Times New Roman"/>
        </w:rPr>
        <w:t>P</w:t>
      </w:r>
      <w:r w:rsidR="00BA7582" w:rsidRPr="001E3383">
        <w:rPr>
          <w:rFonts w:ascii="Calibri" w:eastAsia="Calibri" w:hAnsi="Calibri" w:cs="Times New Roman"/>
        </w:rPr>
        <w:t>romotions and demotions</w:t>
      </w:r>
    </w:p>
    <w:p w14:paraId="25DA844D" w14:textId="684FE0A1" w:rsidR="00BA7582" w:rsidRDefault="00157106" w:rsidP="00BA7582">
      <w:pPr>
        <w:numPr>
          <w:ilvl w:val="1"/>
          <w:numId w:val="19"/>
        </w:numPr>
        <w:spacing w:line="276" w:lineRule="auto"/>
        <w:contextualSpacing/>
        <w:rPr>
          <w:rFonts w:ascii="Calibri" w:eastAsia="Calibri" w:hAnsi="Calibri" w:cs="Times New Roman"/>
        </w:rPr>
      </w:pPr>
      <w:r>
        <w:rPr>
          <w:rFonts w:ascii="Calibri" w:eastAsia="Calibri" w:hAnsi="Calibri" w:cs="Times New Roman"/>
        </w:rPr>
        <w:t>D</w:t>
      </w:r>
      <w:r w:rsidR="00BA7582" w:rsidRPr="001E3383">
        <w:rPr>
          <w:rFonts w:ascii="Calibri" w:eastAsia="Calibri" w:hAnsi="Calibri" w:cs="Times New Roman"/>
        </w:rPr>
        <w:t>ismissals or terminations</w:t>
      </w:r>
    </w:p>
    <w:p w14:paraId="61041896" w14:textId="04C1E603" w:rsidR="000E0BE3" w:rsidRPr="00BF02E6" w:rsidRDefault="00DC2CF6" w:rsidP="00BF02E6">
      <w:pPr>
        <w:numPr>
          <w:ilvl w:val="0"/>
          <w:numId w:val="19"/>
        </w:numPr>
        <w:spacing w:afterLines="100" w:after="240" w:line="276" w:lineRule="auto"/>
        <w:contextualSpacing/>
        <w:rPr>
          <w:rFonts w:ascii="Calibri" w:eastAsia="Calibri" w:hAnsi="Calibri" w:cs="Times New Roman"/>
          <w:bCs/>
        </w:rPr>
      </w:pPr>
      <w:r>
        <w:rPr>
          <w:rFonts w:ascii="Calibri" w:eastAsia="Calibri" w:hAnsi="Calibri" w:cs="Times New Roman"/>
          <w:bCs/>
        </w:rPr>
        <w:t xml:space="preserve">Where </w:t>
      </w:r>
      <w:r w:rsidR="00BA7582" w:rsidRPr="002A50F2">
        <w:rPr>
          <w:rFonts w:ascii="Calibri" w:eastAsia="Calibri" w:hAnsi="Calibri" w:cs="Times New Roman"/>
          <w:bCs/>
        </w:rPr>
        <w:t xml:space="preserve">Luxembourg is not fully implementing </w:t>
      </w:r>
      <w:r w:rsidR="00BA7582">
        <w:rPr>
          <w:rFonts w:ascii="Calibri" w:eastAsia="Calibri" w:hAnsi="Calibri" w:cs="Times New Roman"/>
          <w:bCs/>
        </w:rPr>
        <w:t>existing prohibitions of workplace discrimination</w:t>
      </w:r>
      <w:r w:rsidR="00BA7582" w:rsidRPr="002A50F2">
        <w:rPr>
          <w:rFonts w:ascii="Calibri" w:eastAsia="Calibri" w:hAnsi="Calibri" w:cs="Times New Roman"/>
          <w:bCs/>
        </w:rPr>
        <w:t>, recommend that Luxembourg explore how to implement these provisions fully and effectively.</w:t>
      </w:r>
    </w:p>
    <w:p w14:paraId="7530285A" w14:textId="77777777" w:rsidR="000E0BE3" w:rsidRDefault="000E0BE3" w:rsidP="00437B1F">
      <w:pPr>
        <w:pBdr>
          <w:bottom w:val="single" w:sz="6" w:space="1" w:color="auto"/>
        </w:pBdr>
        <w:spacing w:after="0" w:line="276" w:lineRule="auto"/>
      </w:pPr>
    </w:p>
    <w:p w14:paraId="48F2AFB8" w14:textId="77777777" w:rsidR="000E0BE3" w:rsidRDefault="000E0BE3" w:rsidP="00437B1F">
      <w:pPr>
        <w:pBdr>
          <w:bottom w:val="single" w:sz="6" w:space="1" w:color="auto"/>
        </w:pBdr>
        <w:spacing w:after="0" w:line="276" w:lineRule="auto"/>
      </w:pPr>
    </w:p>
    <w:p w14:paraId="214C0D19" w14:textId="77777777" w:rsidR="000E0BE3" w:rsidRDefault="000E0BE3" w:rsidP="00437B1F">
      <w:pPr>
        <w:pBdr>
          <w:bottom w:val="single" w:sz="6" w:space="1" w:color="auto"/>
        </w:pBdr>
        <w:spacing w:after="0" w:line="276" w:lineRule="auto"/>
      </w:pPr>
    </w:p>
    <w:p w14:paraId="2533026F" w14:textId="77777777" w:rsidR="00CC4242" w:rsidRDefault="00CC4242" w:rsidP="00437B1F">
      <w:pPr>
        <w:spacing w:after="0" w:line="276" w:lineRule="auto"/>
      </w:pPr>
    </w:p>
    <w:p w14:paraId="40185837" w14:textId="4E42ABFE" w:rsidR="000E0BE3" w:rsidRPr="00C60115" w:rsidRDefault="002A6903" w:rsidP="00437B1F">
      <w:pPr>
        <w:spacing w:after="0" w:line="276" w:lineRule="auto"/>
        <w:rPr>
          <w:rStyle w:val="IntenseEmphasis"/>
          <w:color w:val="3405DF"/>
        </w:rPr>
      </w:pPr>
      <w:r>
        <w:rPr>
          <w:rStyle w:val="IntenseEmphasis"/>
          <w:color w:val="3405DF"/>
        </w:rPr>
        <w:t>Brief</w:t>
      </w:r>
      <w:r w:rsidR="00E1726A" w:rsidRPr="00C60115">
        <w:rPr>
          <w:rStyle w:val="IntenseEmphasis"/>
          <w:color w:val="3405DF"/>
        </w:rPr>
        <w:t xml:space="preserve"> p</w:t>
      </w:r>
      <w:r w:rsidR="00262139" w:rsidRPr="00C60115">
        <w:rPr>
          <w:rStyle w:val="IntenseEmphasis"/>
          <w:color w:val="3405DF"/>
        </w:rPr>
        <w:t>repared by the World Policy Analysis Center, Unive</w:t>
      </w:r>
      <w:r w:rsidR="00331DB8" w:rsidRPr="00C60115">
        <w:rPr>
          <w:rStyle w:val="IntenseEmphasis"/>
          <w:color w:val="3405DF"/>
        </w:rPr>
        <w:t>rsity of California, Los Angeles</w:t>
      </w:r>
    </w:p>
    <w:sectPr w:rsidR="000E0BE3" w:rsidRPr="00C60115">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DD9ACD" w14:textId="77777777" w:rsidR="000C5FFD" w:rsidRDefault="000C5FFD" w:rsidP="00263795">
      <w:pPr>
        <w:spacing w:after="0" w:line="240" w:lineRule="auto"/>
      </w:pPr>
      <w:r>
        <w:separator/>
      </w:r>
    </w:p>
  </w:endnote>
  <w:endnote w:type="continuationSeparator" w:id="0">
    <w:p w14:paraId="0209DC9B" w14:textId="77777777" w:rsidR="000C5FFD" w:rsidRDefault="000C5FFD" w:rsidP="002637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74759120"/>
      <w:docPartObj>
        <w:docPartGallery w:val="Page Numbers (Bottom of Page)"/>
        <w:docPartUnique/>
      </w:docPartObj>
    </w:sdtPr>
    <w:sdtEndPr>
      <w:rPr>
        <w:color w:val="7F7F7F" w:themeColor="background1" w:themeShade="7F"/>
        <w:spacing w:val="60"/>
      </w:rPr>
    </w:sdtEndPr>
    <w:sdtContent>
      <w:p w14:paraId="4902E73D" w14:textId="1612CB07" w:rsidR="00EC2807" w:rsidRDefault="00EC2807">
        <w:pPr>
          <w:pStyle w:val="Footer"/>
          <w:pBdr>
            <w:top w:val="single" w:sz="4" w:space="1" w:color="D9D9D9" w:themeColor="background1" w:themeShade="D9"/>
          </w:pBdr>
          <w:jc w:val="right"/>
        </w:pPr>
        <w:r>
          <w:fldChar w:fldCharType="begin"/>
        </w:r>
        <w:r>
          <w:instrText xml:space="preserve"> PAGE   \* MERGEFORMAT </w:instrText>
        </w:r>
        <w:r>
          <w:fldChar w:fldCharType="separate"/>
        </w:r>
        <w:r w:rsidR="006F263E">
          <w:rPr>
            <w:noProof/>
          </w:rPr>
          <w:t>1</w:t>
        </w:r>
        <w:r>
          <w:rPr>
            <w:noProof/>
          </w:rPr>
          <w:fldChar w:fldCharType="end"/>
        </w:r>
        <w:r>
          <w:t xml:space="preserve"> | </w:t>
        </w:r>
        <w:r>
          <w:rPr>
            <w:color w:val="7F7F7F" w:themeColor="background1" w:themeShade="7F"/>
            <w:spacing w:val="60"/>
          </w:rPr>
          <w:t>Page</w:t>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20750507"/>
      <w:docPartObj>
        <w:docPartGallery w:val="Page Numbers (Bottom of Page)"/>
        <w:docPartUnique/>
      </w:docPartObj>
    </w:sdtPr>
    <w:sdtEndPr>
      <w:rPr>
        <w:color w:val="7F7F7F" w:themeColor="background1" w:themeShade="7F"/>
        <w:spacing w:val="60"/>
      </w:rPr>
    </w:sdtEndPr>
    <w:sdtContent>
      <w:p w14:paraId="70A031C7" w14:textId="402FB294" w:rsidR="009F0937" w:rsidRDefault="009F0937">
        <w:pPr>
          <w:pStyle w:val="Footer"/>
          <w:pBdr>
            <w:top w:val="single" w:sz="4" w:space="1" w:color="D9D9D9" w:themeColor="background1" w:themeShade="D9"/>
          </w:pBdr>
          <w:jc w:val="right"/>
        </w:pPr>
        <w:r>
          <w:fldChar w:fldCharType="begin"/>
        </w:r>
        <w:r>
          <w:instrText xml:space="preserve"> PAGE   \* MERGEFORMAT </w:instrText>
        </w:r>
        <w:r>
          <w:fldChar w:fldCharType="separate"/>
        </w:r>
        <w:r w:rsidR="006F263E">
          <w:rPr>
            <w:noProof/>
          </w:rPr>
          <w:t>2</w:t>
        </w:r>
        <w:r>
          <w:rPr>
            <w:noProof/>
          </w:rPr>
          <w:fldChar w:fldCharType="end"/>
        </w:r>
        <w:r>
          <w:t xml:space="preserve"> | </w:t>
        </w:r>
        <w:r>
          <w:rPr>
            <w:color w:val="7F7F7F" w:themeColor="background1" w:themeShade="7F"/>
            <w:spacing w:val="60"/>
          </w:rPr>
          <w:t>Page</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B38F8E" w14:textId="77777777" w:rsidR="000C5FFD" w:rsidRDefault="000C5FFD" w:rsidP="00263795">
      <w:pPr>
        <w:spacing w:after="0" w:line="240" w:lineRule="auto"/>
      </w:pPr>
      <w:r>
        <w:separator/>
      </w:r>
    </w:p>
  </w:footnote>
  <w:footnote w:type="continuationSeparator" w:id="0">
    <w:p w14:paraId="7422B4D6" w14:textId="77777777" w:rsidR="000C5FFD" w:rsidRDefault="000C5FFD" w:rsidP="002637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303092" w14:textId="77777777" w:rsidR="00EC2807" w:rsidRPr="001D42D7" w:rsidRDefault="00EC2807" w:rsidP="005B7FB6">
    <w:pPr>
      <w:pStyle w:val="Header"/>
      <w:jc w:val="right"/>
      <w:rPr>
        <w:i/>
        <w:color w:val="FF0000"/>
      </w:rPr>
    </w:pPr>
    <w:r w:rsidRPr="001D42D7">
      <w:rPr>
        <w:i/>
        <w:noProof/>
        <w:color w:val="FF0000"/>
        <w:lang w:val="en-GB" w:eastAsia="en-GB"/>
      </w:rPr>
      <w:drawing>
        <wp:anchor distT="0" distB="0" distL="114300" distR="114300" simplePos="0" relativeHeight="251660288" behindDoc="1" locked="0" layoutInCell="1" allowOverlap="1" wp14:anchorId="07F206C5" wp14:editId="6AFA5E6C">
          <wp:simplePos x="0" y="0"/>
          <wp:positionH relativeFrom="column">
            <wp:posOffset>-800100</wp:posOffset>
          </wp:positionH>
          <wp:positionV relativeFrom="paragraph">
            <wp:posOffset>-333375</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r w:rsidRPr="001D42D7">
      <w:rPr>
        <w:i/>
        <w:color w:val="FF0000"/>
      </w:rPr>
      <w:t xml:space="preserve"> </w:t>
    </w:r>
  </w:p>
  <w:p w14:paraId="20C4105B" w14:textId="77777777" w:rsidR="00EC2807" w:rsidRDefault="00EC2807" w:rsidP="00D73703">
    <w:pPr>
      <w:pStyle w:val="Header"/>
      <w:tabs>
        <w:tab w:val="clear" w:pos="4680"/>
        <w:tab w:val="clear" w:pos="9360"/>
        <w:tab w:val="left" w:pos="1620"/>
      </w:tabs>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6D7E35" w14:textId="4866F424" w:rsidR="009F0937" w:rsidRPr="007B3AA3" w:rsidRDefault="009F0937" w:rsidP="005B7FB6">
    <w:pPr>
      <w:pStyle w:val="Header"/>
      <w:jc w:val="right"/>
      <w:rPr>
        <w:i/>
        <w:color w:val="000000" w:themeColor="text1"/>
      </w:rPr>
    </w:pPr>
    <w:r w:rsidRPr="007B3AA3">
      <w:rPr>
        <w:i/>
        <w:noProof/>
        <w:color w:val="000000" w:themeColor="text1"/>
        <w:highlight w:val="yellow"/>
        <w:lang w:val="en-GB" w:eastAsia="en-GB"/>
      </w:rPr>
      <w:drawing>
        <wp:anchor distT="0" distB="0" distL="114300" distR="114300" simplePos="0" relativeHeight="251658240" behindDoc="1" locked="0" layoutInCell="1" allowOverlap="1" wp14:anchorId="51CA9CF6" wp14:editId="64F46BF9">
          <wp:simplePos x="0" y="0"/>
          <wp:positionH relativeFrom="column">
            <wp:posOffset>-800100</wp:posOffset>
          </wp:positionH>
          <wp:positionV relativeFrom="paragraph">
            <wp:posOffset>-333375</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r w:rsidR="007B3AA3" w:rsidRPr="007B3AA3">
      <w:rPr>
        <w:i/>
        <w:color w:val="000000" w:themeColor="text1"/>
      </w:rPr>
      <w:t>August 2020</w:t>
    </w:r>
    <w:r w:rsidR="00250846" w:rsidRPr="007B3AA3">
      <w:rPr>
        <w:i/>
        <w:color w:val="000000" w:themeColor="text1"/>
      </w:rPr>
      <w:t xml:space="preserve"> </w:t>
    </w:r>
  </w:p>
  <w:p w14:paraId="288FAFE4" w14:textId="77777777" w:rsidR="009F0937" w:rsidRDefault="009F0937" w:rsidP="00D73703">
    <w:pPr>
      <w:pStyle w:val="Header"/>
      <w:tabs>
        <w:tab w:val="clear" w:pos="4680"/>
        <w:tab w:val="clear" w:pos="9360"/>
        <w:tab w:val="left" w:pos="162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9514D5"/>
    <w:multiLevelType w:val="hybridMultilevel"/>
    <w:tmpl w:val="BD12FC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C76744"/>
    <w:multiLevelType w:val="hybridMultilevel"/>
    <w:tmpl w:val="638A3A18"/>
    <w:lvl w:ilvl="0" w:tplc="40CAD9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53D7E99"/>
    <w:multiLevelType w:val="hybridMultilevel"/>
    <w:tmpl w:val="C63A2E9A"/>
    <w:lvl w:ilvl="0" w:tplc="82AEE5A0">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5755F71"/>
    <w:multiLevelType w:val="hybridMultilevel"/>
    <w:tmpl w:val="D70A42D0"/>
    <w:lvl w:ilvl="0" w:tplc="04090001">
      <w:start w:val="1"/>
      <w:numFmt w:val="bullet"/>
      <w:lvlText w:val=""/>
      <w:lvlJc w:val="left"/>
      <w:pPr>
        <w:ind w:left="720" w:hanging="360"/>
      </w:pPr>
      <w:rPr>
        <w:rFonts w:ascii="Symbol" w:hAnsi="Symbol" w:hint="default"/>
      </w:rPr>
    </w:lvl>
    <w:lvl w:ilvl="1" w:tplc="95845C38">
      <w:start w:val="1"/>
      <w:numFmt w:val="bullet"/>
      <w:lvlText w:val="o"/>
      <w:lvlJc w:val="left"/>
      <w:pPr>
        <w:ind w:left="1440" w:hanging="360"/>
      </w:pPr>
      <w:rPr>
        <w:rFonts w:ascii="Courier New" w:hAnsi="Courier New" w:cs="Courier New" w:hint="default"/>
        <w:color w:val="auto"/>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D24DE2"/>
    <w:multiLevelType w:val="hybridMultilevel"/>
    <w:tmpl w:val="5F72F214"/>
    <w:lvl w:ilvl="0" w:tplc="6F322AA8">
      <w:start w:val="1"/>
      <w:numFmt w:val="decimal"/>
      <w:lvlText w:val="%1."/>
      <w:lvlJc w:val="left"/>
      <w:pPr>
        <w:ind w:left="720" w:hanging="360"/>
      </w:pPr>
      <w:rPr>
        <w:rFonts w:asciiTheme="minorHAnsi" w:eastAsiaTheme="minorHAnsi" w:hAnsiTheme="minorHAnsi" w:cstheme="minorBid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71E0154"/>
    <w:multiLevelType w:val="hybridMultilevel"/>
    <w:tmpl w:val="3968A4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787269"/>
    <w:multiLevelType w:val="hybridMultilevel"/>
    <w:tmpl w:val="CE2619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BD500A5"/>
    <w:multiLevelType w:val="hybridMultilevel"/>
    <w:tmpl w:val="F08E27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0BF0A07"/>
    <w:multiLevelType w:val="hybridMultilevel"/>
    <w:tmpl w:val="A0EABD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2C809FE"/>
    <w:multiLevelType w:val="hybridMultilevel"/>
    <w:tmpl w:val="F80CA2F6"/>
    <w:lvl w:ilvl="0" w:tplc="08090011">
      <w:start w:val="1"/>
      <w:numFmt w:val="decimal"/>
      <w:lvlText w:val="%1)"/>
      <w:lvlJc w:val="left"/>
      <w:pPr>
        <w:ind w:left="2421" w:hanging="360"/>
      </w:p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0" w15:restartNumberingAfterBreak="0">
    <w:nsid w:val="232E52BD"/>
    <w:multiLevelType w:val="hybridMultilevel"/>
    <w:tmpl w:val="50C2B68E"/>
    <w:lvl w:ilvl="0" w:tplc="E3B4304C">
      <w:start w:val="2"/>
      <w:numFmt w:val="lowerLetter"/>
      <w:lvlText w:val="%1."/>
      <w:lvlJc w:val="left"/>
      <w:pPr>
        <w:ind w:left="1800" w:hanging="360"/>
      </w:pPr>
      <w:rPr>
        <w:rFonts w:hint="default"/>
        <w:i w:val="0"/>
      </w:rPr>
    </w:lvl>
    <w:lvl w:ilvl="1" w:tplc="F1165BA8">
      <w:numFmt w:val="bullet"/>
      <w:lvlText w:val="•"/>
      <w:lvlJc w:val="left"/>
      <w:pPr>
        <w:ind w:left="2880" w:hanging="720"/>
      </w:pPr>
      <w:rPr>
        <w:rFonts w:ascii="Calibri" w:eastAsiaTheme="minorHAnsi" w:hAnsi="Calibri" w:cs="Calibri" w:hint="default"/>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2E0119A2"/>
    <w:multiLevelType w:val="hybridMultilevel"/>
    <w:tmpl w:val="1F0A2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742E1C"/>
    <w:multiLevelType w:val="hybridMultilevel"/>
    <w:tmpl w:val="1F906028"/>
    <w:lvl w:ilvl="0" w:tplc="5922EAD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39D4F4A"/>
    <w:multiLevelType w:val="hybridMultilevel"/>
    <w:tmpl w:val="6554A2DE"/>
    <w:lvl w:ilvl="0" w:tplc="E722C2BE">
      <w:start w:val="1"/>
      <w:numFmt w:val="decimal"/>
      <w:lvlText w:val="%1."/>
      <w:lvlJc w:val="left"/>
      <w:pPr>
        <w:ind w:left="2610" w:hanging="360"/>
      </w:pPr>
      <w:rPr>
        <w:rFonts w:hint="default"/>
        <w:color w:val="3405D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765BE7"/>
    <w:multiLevelType w:val="hybridMultilevel"/>
    <w:tmpl w:val="26421884"/>
    <w:lvl w:ilvl="0" w:tplc="B08EE3F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5937E2F"/>
    <w:multiLevelType w:val="hybridMultilevel"/>
    <w:tmpl w:val="462ED7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6C5608F"/>
    <w:multiLevelType w:val="hybridMultilevel"/>
    <w:tmpl w:val="F496D770"/>
    <w:lvl w:ilvl="0" w:tplc="747C4D66">
      <w:start w:val="4"/>
      <w:numFmt w:val="lowerLetter"/>
      <w:lvlText w:val="(%1)"/>
      <w:lvlJc w:val="left"/>
      <w:pPr>
        <w:ind w:left="1080" w:hanging="360"/>
      </w:pPr>
      <w:rPr>
        <w:rFonts w:ascii="Helvetica" w:hAnsi="Helvetica" w:hint="default"/>
        <w:i/>
        <w:color w:val="000000"/>
        <w:sz w:val="2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EB30DC5"/>
    <w:multiLevelType w:val="hybridMultilevel"/>
    <w:tmpl w:val="F1D8B1A8"/>
    <w:lvl w:ilvl="0" w:tplc="5922EAD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F600CA6"/>
    <w:multiLevelType w:val="hybridMultilevel"/>
    <w:tmpl w:val="E0E42D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22B3BC9"/>
    <w:multiLevelType w:val="hybridMultilevel"/>
    <w:tmpl w:val="F182A7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E171C07"/>
    <w:multiLevelType w:val="hybridMultilevel"/>
    <w:tmpl w:val="F2CE4E2A"/>
    <w:lvl w:ilvl="0" w:tplc="00AE5AB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9AF5DCF"/>
    <w:multiLevelType w:val="hybridMultilevel"/>
    <w:tmpl w:val="71CE4732"/>
    <w:lvl w:ilvl="0" w:tplc="E5D0EC5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D5979D2"/>
    <w:multiLevelType w:val="hybridMultilevel"/>
    <w:tmpl w:val="12A80E6C"/>
    <w:lvl w:ilvl="0" w:tplc="8B7466D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DA26115"/>
    <w:multiLevelType w:val="hybridMultilevel"/>
    <w:tmpl w:val="F1FA8D90"/>
    <w:lvl w:ilvl="0" w:tplc="7AC2CAB0">
      <w:start w:val="2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28D7D93"/>
    <w:multiLevelType w:val="hybridMultilevel"/>
    <w:tmpl w:val="AC6E7B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593039E"/>
    <w:multiLevelType w:val="hybridMultilevel"/>
    <w:tmpl w:val="BC0223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9EE1818"/>
    <w:multiLevelType w:val="hybridMultilevel"/>
    <w:tmpl w:val="1E6A25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F1E1DFB"/>
    <w:multiLevelType w:val="hybridMultilevel"/>
    <w:tmpl w:val="0DD8581A"/>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8" w15:restartNumberingAfterBreak="0">
    <w:nsid w:val="71C85693"/>
    <w:multiLevelType w:val="hybridMultilevel"/>
    <w:tmpl w:val="3260E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3321154"/>
    <w:multiLevelType w:val="hybridMultilevel"/>
    <w:tmpl w:val="CD76B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4610F5F"/>
    <w:multiLevelType w:val="hybridMultilevel"/>
    <w:tmpl w:val="A4E20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7F07502"/>
    <w:multiLevelType w:val="hybridMultilevel"/>
    <w:tmpl w:val="BB6E0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4"/>
  </w:num>
  <w:num w:numId="3">
    <w:abstractNumId w:val="7"/>
  </w:num>
  <w:num w:numId="4">
    <w:abstractNumId w:val="23"/>
  </w:num>
  <w:num w:numId="5">
    <w:abstractNumId w:val="2"/>
  </w:num>
  <w:num w:numId="6">
    <w:abstractNumId w:val="16"/>
  </w:num>
  <w:num w:numId="7">
    <w:abstractNumId w:val="10"/>
  </w:num>
  <w:num w:numId="8">
    <w:abstractNumId w:val="5"/>
  </w:num>
  <w:num w:numId="9">
    <w:abstractNumId w:val="25"/>
  </w:num>
  <w:num w:numId="10">
    <w:abstractNumId w:val="28"/>
  </w:num>
  <w:num w:numId="11">
    <w:abstractNumId w:val="30"/>
  </w:num>
  <w:num w:numId="12">
    <w:abstractNumId w:val="31"/>
  </w:num>
  <w:num w:numId="13">
    <w:abstractNumId w:val="29"/>
  </w:num>
  <w:num w:numId="14">
    <w:abstractNumId w:val="15"/>
  </w:num>
  <w:num w:numId="15">
    <w:abstractNumId w:val="13"/>
  </w:num>
  <w:num w:numId="16">
    <w:abstractNumId w:val="12"/>
  </w:num>
  <w:num w:numId="17">
    <w:abstractNumId w:val="21"/>
  </w:num>
  <w:num w:numId="18">
    <w:abstractNumId w:val="3"/>
  </w:num>
  <w:num w:numId="19">
    <w:abstractNumId w:val="27"/>
  </w:num>
  <w:num w:numId="20">
    <w:abstractNumId w:val="19"/>
  </w:num>
  <w:num w:numId="21">
    <w:abstractNumId w:val="0"/>
  </w:num>
  <w:num w:numId="22">
    <w:abstractNumId w:val="24"/>
  </w:num>
  <w:num w:numId="23">
    <w:abstractNumId w:val="17"/>
  </w:num>
  <w:num w:numId="24">
    <w:abstractNumId w:val="11"/>
  </w:num>
  <w:num w:numId="25">
    <w:abstractNumId w:val="8"/>
  </w:num>
  <w:num w:numId="26">
    <w:abstractNumId w:val="4"/>
  </w:num>
  <w:num w:numId="27">
    <w:abstractNumId w:val="6"/>
  </w:num>
  <w:num w:numId="28">
    <w:abstractNumId w:val="26"/>
  </w:num>
  <w:num w:numId="29">
    <w:abstractNumId w:val="18"/>
  </w:num>
  <w:num w:numId="30">
    <w:abstractNumId w:val="22"/>
  </w:num>
  <w:num w:numId="31">
    <w:abstractNumId w:val="1"/>
  </w:num>
  <w:num w:numId="32">
    <w:abstractNumId w:val="2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3795"/>
    <w:rsid w:val="00002431"/>
    <w:rsid w:val="00003F3F"/>
    <w:rsid w:val="00004C6B"/>
    <w:rsid w:val="00005342"/>
    <w:rsid w:val="00010F66"/>
    <w:rsid w:val="000115C9"/>
    <w:rsid w:val="00015AF4"/>
    <w:rsid w:val="00021FBA"/>
    <w:rsid w:val="000257A1"/>
    <w:rsid w:val="00027A33"/>
    <w:rsid w:val="00033457"/>
    <w:rsid w:val="000365E8"/>
    <w:rsid w:val="00040181"/>
    <w:rsid w:val="000422B5"/>
    <w:rsid w:val="0004640A"/>
    <w:rsid w:val="00047F6B"/>
    <w:rsid w:val="00054A9A"/>
    <w:rsid w:val="0005538C"/>
    <w:rsid w:val="0006644E"/>
    <w:rsid w:val="000676FE"/>
    <w:rsid w:val="000753D3"/>
    <w:rsid w:val="00075804"/>
    <w:rsid w:val="00075A46"/>
    <w:rsid w:val="00076542"/>
    <w:rsid w:val="00076E69"/>
    <w:rsid w:val="00081CB9"/>
    <w:rsid w:val="0008349B"/>
    <w:rsid w:val="000835E9"/>
    <w:rsid w:val="00087AC9"/>
    <w:rsid w:val="000A17BA"/>
    <w:rsid w:val="000A21B5"/>
    <w:rsid w:val="000A46FF"/>
    <w:rsid w:val="000B2CBC"/>
    <w:rsid w:val="000B5F58"/>
    <w:rsid w:val="000C38B1"/>
    <w:rsid w:val="000C5FFD"/>
    <w:rsid w:val="000D58F3"/>
    <w:rsid w:val="000E0BE3"/>
    <w:rsid w:val="000E2144"/>
    <w:rsid w:val="000E5FB7"/>
    <w:rsid w:val="000F1FC4"/>
    <w:rsid w:val="000F4CDB"/>
    <w:rsid w:val="000F5C02"/>
    <w:rsid w:val="000F7D43"/>
    <w:rsid w:val="0010092B"/>
    <w:rsid w:val="0010334A"/>
    <w:rsid w:val="00104146"/>
    <w:rsid w:val="00110604"/>
    <w:rsid w:val="00112EC9"/>
    <w:rsid w:val="0011357E"/>
    <w:rsid w:val="00113913"/>
    <w:rsid w:val="00121A28"/>
    <w:rsid w:val="00134D38"/>
    <w:rsid w:val="00141A40"/>
    <w:rsid w:val="00142CD4"/>
    <w:rsid w:val="00146C2C"/>
    <w:rsid w:val="00157106"/>
    <w:rsid w:val="00162979"/>
    <w:rsid w:val="001649CD"/>
    <w:rsid w:val="00167021"/>
    <w:rsid w:val="00170358"/>
    <w:rsid w:val="00173FE4"/>
    <w:rsid w:val="00182E96"/>
    <w:rsid w:val="00186A0B"/>
    <w:rsid w:val="001919B9"/>
    <w:rsid w:val="0019300F"/>
    <w:rsid w:val="001A0BE9"/>
    <w:rsid w:val="001A2E34"/>
    <w:rsid w:val="001B2162"/>
    <w:rsid w:val="001B6472"/>
    <w:rsid w:val="001C4F65"/>
    <w:rsid w:val="001C6765"/>
    <w:rsid w:val="001D1C9A"/>
    <w:rsid w:val="001D42D7"/>
    <w:rsid w:val="001D6139"/>
    <w:rsid w:val="001E0AB3"/>
    <w:rsid w:val="001E205C"/>
    <w:rsid w:val="001E3383"/>
    <w:rsid w:val="001F0EE8"/>
    <w:rsid w:val="001F1A7A"/>
    <w:rsid w:val="001F2297"/>
    <w:rsid w:val="001F37DD"/>
    <w:rsid w:val="001F6FEE"/>
    <w:rsid w:val="00215540"/>
    <w:rsid w:val="00216A01"/>
    <w:rsid w:val="00216F3A"/>
    <w:rsid w:val="00217985"/>
    <w:rsid w:val="00224C9F"/>
    <w:rsid w:val="00225A6E"/>
    <w:rsid w:val="00231DD4"/>
    <w:rsid w:val="00231FF8"/>
    <w:rsid w:val="0023280B"/>
    <w:rsid w:val="00233C05"/>
    <w:rsid w:val="00235B98"/>
    <w:rsid w:val="002363A5"/>
    <w:rsid w:val="002367F5"/>
    <w:rsid w:val="002447D6"/>
    <w:rsid w:val="0024557C"/>
    <w:rsid w:val="00246DE7"/>
    <w:rsid w:val="00250846"/>
    <w:rsid w:val="00251BF0"/>
    <w:rsid w:val="002529A1"/>
    <w:rsid w:val="00262139"/>
    <w:rsid w:val="0026260D"/>
    <w:rsid w:val="00262B3E"/>
    <w:rsid w:val="00263795"/>
    <w:rsid w:val="00263F9D"/>
    <w:rsid w:val="002646F9"/>
    <w:rsid w:val="00267D06"/>
    <w:rsid w:val="00270D67"/>
    <w:rsid w:val="00277988"/>
    <w:rsid w:val="00280964"/>
    <w:rsid w:val="002822B0"/>
    <w:rsid w:val="002842F2"/>
    <w:rsid w:val="00285913"/>
    <w:rsid w:val="00293C07"/>
    <w:rsid w:val="002A27CB"/>
    <w:rsid w:val="002A409D"/>
    <w:rsid w:val="002A50F2"/>
    <w:rsid w:val="002A6903"/>
    <w:rsid w:val="002B153F"/>
    <w:rsid w:val="002B185D"/>
    <w:rsid w:val="002B3260"/>
    <w:rsid w:val="002C79FD"/>
    <w:rsid w:val="002D3CE2"/>
    <w:rsid w:val="002E3152"/>
    <w:rsid w:val="002E7913"/>
    <w:rsid w:val="002F2002"/>
    <w:rsid w:val="002F6E5A"/>
    <w:rsid w:val="002F744F"/>
    <w:rsid w:val="003130C5"/>
    <w:rsid w:val="00313689"/>
    <w:rsid w:val="003205E2"/>
    <w:rsid w:val="0032490B"/>
    <w:rsid w:val="0032592A"/>
    <w:rsid w:val="00325AE2"/>
    <w:rsid w:val="003270AB"/>
    <w:rsid w:val="003271F0"/>
    <w:rsid w:val="00327AF4"/>
    <w:rsid w:val="00331DB8"/>
    <w:rsid w:val="00344630"/>
    <w:rsid w:val="00346925"/>
    <w:rsid w:val="0034764A"/>
    <w:rsid w:val="0035238B"/>
    <w:rsid w:val="00352BFF"/>
    <w:rsid w:val="00360485"/>
    <w:rsid w:val="00363CED"/>
    <w:rsid w:val="003660C0"/>
    <w:rsid w:val="00367DF6"/>
    <w:rsid w:val="003723BD"/>
    <w:rsid w:val="00385C06"/>
    <w:rsid w:val="003862E3"/>
    <w:rsid w:val="00386703"/>
    <w:rsid w:val="00391573"/>
    <w:rsid w:val="00392C2D"/>
    <w:rsid w:val="00395D4F"/>
    <w:rsid w:val="003A107D"/>
    <w:rsid w:val="003A10F5"/>
    <w:rsid w:val="003A4107"/>
    <w:rsid w:val="003A495A"/>
    <w:rsid w:val="003B6DD4"/>
    <w:rsid w:val="003C0D0F"/>
    <w:rsid w:val="003C6F66"/>
    <w:rsid w:val="003D0C2E"/>
    <w:rsid w:val="003D4BA1"/>
    <w:rsid w:val="003D79EE"/>
    <w:rsid w:val="003E08C7"/>
    <w:rsid w:val="003E5444"/>
    <w:rsid w:val="003F0ACD"/>
    <w:rsid w:val="003F1428"/>
    <w:rsid w:val="003F1607"/>
    <w:rsid w:val="003F7B4B"/>
    <w:rsid w:val="004033AC"/>
    <w:rsid w:val="00403572"/>
    <w:rsid w:val="00407785"/>
    <w:rsid w:val="004126B4"/>
    <w:rsid w:val="00416DA2"/>
    <w:rsid w:val="00416F1B"/>
    <w:rsid w:val="0041722A"/>
    <w:rsid w:val="00423808"/>
    <w:rsid w:val="004264A5"/>
    <w:rsid w:val="00426C4A"/>
    <w:rsid w:val="00431FB0"/>
    <w:rsid w:val="0043347C"/>
    <w:rsid w:val="00433BE4"/>
    <w:rsid w:val="00437B1F"/>
    <w:rsid w:val="00446391"/>
    <w:rsid w:val="00447DDB"/>
    <w:rsid w:val="00452B6A"/>
    <w:rsid w:val="00453198"/>
    <w:rsid w:val="00454A19"/>
    <w:rsid w:val="0045756F"/>
    <w:rsid w:val="00457740"/>
    <w:rsid w:val="00465987"/>
    <w:rsid w:val="00466174"/>
    <w:rsid w:val="00470C88"/>
    <w:rsid w:val="00470F7F"/>
    <w:rsid w:val="00473A77"/>
    <w:rsid w:val="00473BDF"/>
    <w:rsid w:val="00484603"/>
    <w:rsid w:val="0048479D"/>
    <w:rsid w:val="00487C6E"/>
    <w:rsid w:val="00497858"/>
    <w:rsid w:val="004A09E4"/>
    <w:rsid w:val="004A1C51"/>
    <w:rsid w:val="004A2C19"/>
    <w:rsid w:val="004A338D"/>
    <w:rsid w:val="004A4181"/>
    <w:rsid w:val="004B412B"/>
    <w:rsid w:val="004B4D32"/>
    <w:rsid w:val="004B5485"/>
    <w:rsid w:val="004B6971"/>
    <w:rsid w:val="004B6F48"/>
    <w:rsid w:val="004B7D6E"/>
    <w:rsid w:val="004C26E6"/>
    <w:rsid w:val="004C2CBC"/>
    <w:rsid w:val="004D0347"/>
    <w:rsid w:val="004D1D1F"/>
    <w:rsid w:val="004D47C0"/>
    <w:rsid w:val="004D567D"/>
    <w:rsid w:val="004E16A9"/>
    <w:rsid w:val="004E2E24"/>
    <w:rsid w:val="004E65BF"/>
    <w:rsid w:val="004E7D61"/>
    <w:rsid w:val="004F12D2"/>
    <w:rsid w:val="004F12FC"/>
    <w:rsid w:val="004F1A2B"/>
    <w:rsid w:val="004F6012"/>
    <w:rsid w:val="004F6CB6"/>
    <w:rsid w:val="00502CB9"/>
    <w:rsid w:val="005110AF"/>
    <w:rsid w:val="0051778E"/>
    <w:rsid w:val="00517C84"/>
    <w:rsid w:val="00520F0D"/>
    <w:rsid w:val="00525DC6"/>
    <w:rsid w:val="0053116B"/>
    <w:rsid w:val="00531558"/>
    <w:rsid w:val="0053321F"/>
    <w:rsid w:val="005335E4"/>
    <w:rsid w:val="00533BCF"/>
    <w:rsid w:val="00533ED9"/>
    <w:rsid w:val="005359EF"/>
    <w:rsid w:val="00540E80"/>
    <w:rsid w:val="005430B4"/>
    <w:rsid w:val="00543280"/>
    <w:rsid w:val="0054599A"/>
    <w:rsid w:val="00546CB2"/>
    <w:rsid w:val="005506E0"/>
    <w:rsid w:val="00551962"/>
    <w:rsid w:val="00562FEE"/>
    <w:rsid w:val="00565144"/>
    <w:rsid w:val="0056673C"/>
    <w:rsid w:val="00571F4B"/>
    <w:rsid w:val="00572361"/>
    <w:rsid w:val="00572A08"/>
    <w:rsid w:val="00573459"/>
    <w:rsid w:val="00585DF5"/>
    <w:rsid w:val="00586201"/>
    <w:rsid w:val="00592497"/>
    <w:rsid w:val="005940D1"/>
    <w:rsid w:val="005A1053"/>
    <w:rsid w:val="005A1810"/>
    <w:rsid w:val="005A54B4"/>
    <w:rsid w:val="005A770F"/>
    <w:rsid w:val="005B6960"/>
    <w:rsid w:val="005B7FB6"/>
    <w:rsid w:val="005C0AB9"/>
    <w:rsid w:val="005D00FA"/>
    <w:rsid w:val="005D2DDE"/>
    <w:rsid w:val="005E1C2A"/>
    <w:rsid w:val="005E2D74"/>
    <w:rsid w:val="005E3766"/>
    <w:rsid w:val="005F228A"/>
    <w:rsid w:val="005F33AD"/>
    <w:rsid w:val="005F50CA"/>
    <w:rsid w:val="00600C48"/>
    <w:rsid w:val="00600F19"/>
    <w:rsid w:val="00610BDB"/>
    <w:rsid w:val="006140D1"/>
    <w:rsid w:val="006200B3"/>
    <w:rsid w:val="00625F18"/>
    <w:rsid w:val="00636146"/>
    <w:rsid w:val="006432E0"/>
    <w:rsid w:val="00644722"/>
    <w:rsid w:val="00645D74"/>
    <w:rsid w:val="00652999"/>
    <w:rsid w:val="006533BE"/>
    <w:rsid w:val="00655768"/>
    <w:rsid w:val="00656B5B"/>
    <w:rsid w:val="0065723F"/>
    <w:rsid w:val="00662B05"/>
    <w:rsid w:val="006652D1"/>
    <w:rsid w:val="006657E9"/>
    <w:rsid w:val="00671D20"/>
    <w:rsid w:val="00680944"/>
    <w:rsid w:val="006818DE"/>
    <w:rsid w:val="00682F30"/>
    <w:rsid w:val="0068670B"/>
    <w:rsid w:val="006905DF"/>
    <w:rsid w:val="0069373E"/>
    <w:rsid w:val="006A4D85"/>
    <w:rsid w:val="006A5ACC"/>
    <w:rsid w:val="006A7993"/>
    <w:rsid w:val="006B0A03"/>
    <w:rsid w:val="006B0F03"/>
    <w:rsid w:val="006B3877"/>
    <w:rsid w:val="006B44D9"/>
    <w:rsid w:val="006C2730"/>
    <w:rsid w:val="006C75D7"/>
    <w:rsid w:val="006D245A"/>
    <w:rsid w:val="006D4E5A"/>
    <w:rsid w:val="006D6FEB"/>
    <w:rsid w:val="006D756B"/>
    <w:rsid w:val="006E2B6E"/>
    <w:rsid w:val="006E3849"/>
    <w:rsid w:val="006E4A65"/>
    <w:rsid w:val="006E4F2D"/>
    <w:rsid w:val="006F263E"/>
    <w:rsid w:val="00703950"/>
    <w:rsid w:val="00710A71"/>
    <w:rsid w:val="007118BA"/>
    <w:rsid w:val="0071584C"/>
    <w:rsid w:val="007237E3"/>
    <w:rsid w:val="00723CF9"/>
    <w:rsid w:val="00724A59"/>
    <w:rsid w:val="00725F4E"/>
    <w:rsid w:val="007335F6"/>
    <w:rsid w:val="0073432D"/>
    <w:rsid w:val="00734FE4"/>
    <w:rsid w:val="00735DD6"/>
    <w:rsid w:val="007418A9"/>
    <w:rsid w:val="00744566"/>
    <w:rsid w:val="00745FB9"/>
    <w:rsid w:val="00746A11"/>
    <w:rsid w:val="007505FD"/>
    <w:rsid w:val="00752719"/>
    <w:rsid w:val="007531F9"/>
    <w:rsid w:val="00762D7F"/>
    <w:rsid w:val="0076474D"/>
    <w:rsid w:val="007654FC"/>
    <w:rsid w:val="007718E9"/>
    <w:rsid w:val="0077320C"/>
    <w:rsid w:val="00776BFA"/>
    <w:rsid w:val="007772D0"/>
    <w:rsid w:val="00777FB9"/>
    <w:rsid w:val="00783854"/>
    <w:rsid w:val="00791D51"/>
    <w:rsid w:val="007949D4"/>
    <w:rsid w:val="007974E4"/>
    <w:rsid w:val="007A7B6B"/>
    <w:rsid w:val="007B3AA3"/>
    <w:rsid w:val="007B4719"/>
    <w:rsid w:val="007C139A"/>
    <w:rsid w:val="007C2046"/>
    <w:rsid w:val="007C25AA"/>
    <w:rsid w:val="007C5F61"/>
    <w:rsid w:val="007D7530"/>
    <w:rsid w:val="007E7BCB"/>
    <w:rsid w:val="007F76B3"/>
    <w:rsid w:val="008033DD"/>
    <w:rsid w:val="0081407D"/>
    <w:rsid w:val="00820D97"/>
    <w:rsid w:val="0082449C"/>
    <w:rsid w:val="00826FE7"/>
    <w:rsid w:val="00831E58"/>
    <w:rsid w:val="00834A15"/>
    <w:rsid w:val="00847DC2"/>
    <w:rsid w:val="00857EE2"/>
    <w:rsid w:val="0086100C"/>
    <w:rsid w:val="008648F9"/>
    <w:rsid w:val="00866191"/>
    <w:rsid w:val="008665D9"/>
    <w:rsid w:val="00875DD9"/>
    <w:rsid w:val="0088553C"/>
    <w:rsid w:val="00886BD7"/>
    <w:rsid w:val="00893624"/>
    <w:rsid w:val="00893C39"/>
    <w:rsid w:val="008952C8"/>
    <w:rsid w:val="008A116A"/>
    <w:rsid w:val="008A2214"/>
    <w:rsid w:val="008C7413"/>
    <w:rsid w:val="008C7459"/>
    <w:rsid w:val="008D0A03"/>
    <w:rsid w:val="008D4CB1"/>
    <w:rsid w:val="008D53FD"/>
    <w:rsid w:val="008E34A4"/>
    <w:rsid w:val="008E4188"/>
    <w:rsid w:val="008E469F"/>
    <w:rsid w:val="008E4F40"/>
    <w:rsid w:val="008E6427"/>
    <w:rsid w:val="008F3122"/>
    <w:rsid w:val="008F5EC5"/>
    <w:rsid w:val="008F6256"/>
    <w:rsid w:val="00911A05"/>
    <w:rsid w:val="00912519"/>
    <w:rsid w:val="009133AE"/>
    <w:rsid w:val="00913FDE"/>
    <w:rsid w:val="009238DC"/>
    <w:rsid w:val="0094183C"/>
    <w:rsid w:val="00945D7A"/>
    <w:rsid w:val="009518E1"/>
    <w:rsid w:val="00957756"/>
    <w:rsid w:val="00960BFC"/>
    <w:rsid w:val="00963799"/>
    <w:rsid w:val="00972640"/>
    <w:rsid w:val="00972E1B"/>
    <w:rsid w:val="009761DE"/>
    <w:rsid w:val="009768A5"/>
    <w:rsid w:val="00980DF4"/>
    <w:rsid w:val="009812AD"/>
    <w:rsid w:val="00995882"/>
    <w:rsid w:val="009A3D07"/>
    <w:rsid w:val="009B1E47"/>
    <w:rsid w:val="009B39AB"/>
    <w:rsid w:val="009B4122"/>
    <w:rsid w:val="009B46C8"/>
    <w:rsid w:val="009B61FB"/>
    <w:rsid w:val="009C161B"/>
    <w:rsid w:val="009C6F68"/>
    <w:rsid w:val="009D2F67"/>
    <w:rsid w:val="009D407C"/>
    <w:rsid w:val="009E2678"/>
    <w:rsid w:val="009E5C20"/>
    <w:rsid w:val="009E7E06"/>
    <w:rsid w:val="009F0937"/>
    <w:rsid w:val="009F0C73"/>
    <w:rsid w:val="009F0E0C"/>
    <w:rsid w:val="009F3E47"/>
    <w:rsid w:val="009F4B94"/>
    <w:rsid w:val="009F7774"/>
    <w:rsid w:val="00A0398B"/>
    <w:rsid w:val="00A202A5"/>
    <w:rsid w:val="00A20A34"/>
    <w:rsid w:val="00A24FA5"/>
    <w:rsid w:val="00A30864"/>
    <w:rsid w:val="00A351CD"/>
    <w:rsid w:val="00A406C0"/>
    <w:rsid w:val="00A421AF"/>
    <w:rsid w:val="00A47B0E"/>
    <w:rsid w:val="00A5371B"/>
    <w:rsid w:val="00A54613"/>
    <w:rsid w:val="00A5461F"/>
    <w:rsid w:val="00A56206"/>
    <w:rsid w:val="00A56FC4"/>
    <w:rsid w:val="00A637E1"/>
    <w:rsid w:val="00A65C64"/>
    <w:rsid w:val="00A67BD5"/>
    <w:rsid w:val="00A751C6"/>
    <w:rsid w:val="00A75F80"/>
    <w:rsid w:val="00A7664F"/>
    <w:rsid w:val="00A805BB"/>
    <w:rsid w:val="00A92EFA"/>
    <w:rsid w:val="00A949AD"/>
    <w:rsid w:val="00A94BC7"/>
    <w:rsid w:val="00A95328"/>
    <w:rsid w:val="00A95AC0"/>
    <w:rsid w:val="00AA392A"/>
    <w:rsid w:val="00AC0211"/>
    <w:rsid w:val="00AC160A"/>
    <w:rsid w:val="00AC43DF"/>
    <w:rsid w:val="00AC4C1A"/>
    <w:rsid w:val="00AC703A"/>
    <w:rsid w:val="00AD3A22"/>
    <w:rsid w:val="00AE78BD"/>
    <w:rsid w:val="00B009FE"/>
    <w:rsid w:val="00B03679"/>
    <w:rsid w:val="00B05810"/>
    <w:rsid w:val="00B1300D"/>
    <w:rsid w:val="00B200D6"/>
    <w:rsid w:val="00B20384"/>
    <w:rsid w:val="00B2114E"/>
    <w:rsid w:val="00B215BF"/>
    <w:rsid w:val="00B31D86"/>
    <w:rsid w:val="00B34830"/>
    <w:rsid w:val="00B359E6"/>
    <w:rsid w:val="00B402B7"/>
    <w:rsid w:val="00B40702"/>
    <w:rsid w:val="00B4416D"/>
    <w:rsid w:val="00B4650B"/>
    <w:rsid w:val="00B47EFF"/>
    <w:rsid w:val="00B5014D"/>
    <w:rsid w:val="00B535A1"/>
    <w:rsid w:val="00B60393"/>
    <w:rsid w:val="00B6632A"/>
    <w:rsid w:val="00B66FE1"/>
    <w:rsid w:val="00B67FA2"/>
    <w:rsid w:val="00B70F5E"/>
    <w:rsid w:val="00B72DAF"/>
    <w:rsid w:val="00B740C9"/>
    <w:rsid w:val="00B75136"/>
    <w:rsid w:val="00B84294"/>
    <w:rsid w:val="00B94EB6"/>
    <w:rsid w:val="00B95DA6"/>
    <w:rsid w:val="00BA17D9"/>
    <w:rsid w:val="00BA23F8"/>
    <w:rsid w:val="00BA282F"/>
    <w:rsid w:val="00BA51E9"/>
    <w:rsid w:val="00BA7582"/>
    <w:rsid w:val="00BB0A34"/>
    <w:rsid w:val="00BB64E6"/>
    <w:rsid w:val="00BB6C59"/>
    <w:rsid w:val="00BC0D20"/>
    <w:rsid w:val="00BC1939"/>
    <w:rsid w:val="00BC2209"/>
    <w:rsid w:val="00BC651C"/>
    <w:rsid w:val="00BD3C7A"/>
    <w:rsid w:val="00BD4234"/>
    <w:rsid w:val="00BD49B5"/>
    <w:rsid w:val="00BE1C81"/>
    <w:rsid w:val="00BE75A0"/>
    <w:rsid w:val="00BE77AC"/>
    <w:rsid w:val="00BE790F"/>
    <w:rsid w:val="00BF02E6"/>
    <w:rsid w:val="00BF388A"/>
    <w:rsid w:val="00C00413"/>
    <w:rsid w:val="00C024C5"/>
    <w:rsid w:val="00C12618"/>
    <w:rsid w:val="00C14A5E"/>
    <w:rsid w:val="00C1572B"/>
    <w:rsid w:val="00C22851"/>
    <w:rsid w:val="00C232AC"/>
    <w:rsid w:val="00C24A35"/>
    <w:rsid w:val="00C26A31"/>
    <w:rsid w:val="00C30F40"/>
    <w:rsid w:val="00C46FCF"/>
    <w:rsid w:val="00C50D44"/>
    <w:rsid w:val="00C54C79"/>
    <w:rsid w:val="00C60115"/>
    <w:rsid w:val="00C618EB"/>
    <w:rsid w:val="00C65C72"/>
    <w:rsid w:val="00C739CA"/>
    <w:rsid w:val="00C7613B"/>
    <w:rsid w:val="00C80973"/>
    <w:rsid w:val="00C80E4A"/>
    <w:rsid w:val="00C831F1"/>
    <w:rsid w:val="00C861CF"/>
    <w:rsid w:val="00C93D2E"/>
    <w:rsid w:val="00C93F09"/>
    <w:rsid w:val="00CA6E6C"/>
    <w:rsid w:val="00CB0973"/>
    <w:rsid w:val="00CB2298"/>
    <w:rsid w:val="00CC0DD3"/>
    <w:rsid w:val="00CC4242"/>
    <w:rsid w:val="00CC6606"/>
    <w:rsid w:val="00CC706A"/>
    <w:rsid w:val="00CD071B"/>
    <w:rsid w:val="00CD587B"/>
    <w:rsid w:val="00D01A42"/>
    <w:rsid w:val="00D02292"/>
    <w:rsid w:val="00D127DB"/>
    <w:rsid w:val="00D133B4"/>
    <w:rsid w:val="00D17BD9"/>
    <w:rsid w:val="00D20580"/>
    <w:rsid w:val="00D23173"/>
    <w:rsid w:val="00D23A66"/>
    <w:rsid w:val="00D262AA"/>
    <w:rsid w:val="00D266A9"/>
    <w:rsid w:val="00D27882"/>
    <w:rsid w:val="00D319AC"/>
    <w:rsid w:val="00D324BD"/>
    <w:rsid w:val="00D327B2"/>
    <w:rsid w:val="00D361AD"/>
    <w:rsid w:val="00D45CBC"/>
    <w:rsid w:val="00D53CBF"/>
    <w:rsid w:val="00D56602"/>
    <w:rsid w:val="00D57D26"/>
    <w:rsid w:val="00D609FF"/>
    <w:rsid w:val="00D62E1E"/>
    <w:rsid w:val="00D66C06"/>
    <w:rsid w:val="00D71331"/>
    <w:rsid w:val="00D72C56"/>
    <w:rsid w:val="00D73014"/>
    <w:rsid w:val="00D73703"/>
    <w:rsid w:val="00D7552B"/>
    <w:rsid w:val="00D8218E"/>
    <w:rsid w:val="00D82FDA"/>
    <w:rsid w:val="00D86633"/>
    <w:rsid w:val="00D8684A"/>
    <w:rsid w:val="00D93BBC"/>
    <w:rsid w:val="00DB0AD1"/>
    <w:rsid w:val="00DC0CF4"/>
    <w:rsid w:val="00DC2CF6"/>
    <w:rsid w:val="00DC6A87"/>
    <w:rsid w:val="00DD0C5C"/>
    <w:rsid w:val="00DD158F"/>
    <w:rsid w:val="00DD2FEA"/>
    <w:rsid w:val="00DE2A48"/>
    <w:rsid w:val="00DE304E"/>
    <w:rsid w:val="00DE7AA2"/>
    <w:rsid w:val="00DF5CA1"/>
    <w:rsid w:val="00DF621A"/>
    <w:rsid w:val="00DF737B"/>
    <w:rsid w:val="00E0349F"/>
    <w:rsid w:val="00E07BF3"/>
    <w:rsid w:val="00E123F4"/>
    <w:rsid w:val="00E14433"/>
    <w:rsid w:val="00E15F0E"/>
    <w:rsid w:val="00E1726A"/>
    <w:rsid w:val="00E22B53"/>
    <w:rsid w:val="00E26543"/>
    <w:rsid w:val="00E32410"/>
    <w:rsid w:val="00E32B6B"/>
    <w:rsid w:val="00E34925"/>
    <w:rsid w:val="00E5079A"/>
    <w:rsid w:val="00E5516F"/>
    <w:rsid w:val="00E57329"/>
    <w:rsid w:val="00E6566B"/>
    <w:rsid w:val="00E674E0"/>
    <w:rsid w:val="00E736C7"/>
    <w:rsid w:val="00E766E1"/>
    <w:rsid w:val="00E841F9"/>
    <w:rsid w:val="00E9264E"/>
    <w:rsid w:val="00E94851"/>
    <w:rsid w:val="00E95027"/>
    <w:rsid w:val="00E966FF"/>
    <w:rsid w:val="00EA58A0"/>
    <w:rsid w:val="00EC2807"/>
    <w:rsid w:val="00EE2157"/>
    <w:rsid w:val="00EE3467"/>
    <w:rsid w:val="00EE4A43"/>
    <w:rsid w:val="00EE5EAB"/>
    <w:rsid w:val="00EF40D9"/>
    <w:rsid w:val="00EF7398"/>
    <w:rsid w:val="00F03CDE"/>
    <w:rsid w:val="00F073DC"/>
    <w:rsid w:val="00F10066"/>
    <w:rsid w:val="00F115B1"/>
    <w:rsid w:val="00F1408D"/>
    <w:rsid w:val="00F15F63"/>
    <w:rsid w:val="00F22521"/>
    <w:rsid w:val="00F260A3"/>
    <w:rsid w:val="00F309D6"/>
    <w:rsid w:val="00F323AB"/>
    <w:rsid w:val="00F40347"/>
    <w:rsid w:val="00F408E8"/>
    <w:rsid w:val="00F42DA9"/>
    <w:rsid w:val="00F4454A"/>
    <w:rsid w:val="00F44D67"/>
    <w:rsid w:val="00F4614B"/>
    <w:rsid w:val="00F51489"/>
    <w:rsid w:val="00F61FDE"/>
    <w:rsid w:val="00F61FFE"/>
    <w:rsid w:val="00F67273"/>
    <w:rsid w:val="00F71D82"/>
    <w:rsid w:val="00F72D15"/>
    <w:rsid w:val="00F93A51"/>
    <w:rsid w:val="00F9774B"/>
    <w:rsid w:val="00FB324F"/>
    <w:rsid w:val="00FC446D"/>
    <w:rsid w:val="00FD1DC9"/>
    <w:rsid w:val="00FD3E6F"/>
    <w:rsid w:val="00FD4882"/>
    <w:rsid w:val="00FD4BF7"/>
    <w:rsid w:val="00FD55CD"/>
    <w:rsid w:val="00FE5E28"/>
    <w:rsid w:val="00FF5FEA"/>
    <w:rsid w:val="00FF6B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63C2D12"/>
  <w15:chartTrackingRefBased/>
  <w15:docId w15:val="{84A4AB09-1F78-40D8-8D7A-53510A6717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D587B"/>
  </w:style>
  <w:style w:type="paragraph" w:styleId="Heading1">
    <w:name w:val="heading 1"/>
    <w:basedOn w:val="Normal"/>
    <w:next w:val="Normal"/>
    <w:link w:val="Heading1Char"/>
    <w:uiPriority w:val="9"/>
    <w:qFormat/>
    <w:rsid w:val="00262139"/>
    <w:pPr>
      <w:keepNext/>
      <w:keepLines/>
      <w:spacing w:before="240" w:after="0"/>
      <w:outlineLvl w:val="0"/>
    </w:pPr>
    <w:rPr>
      <w:rFonts w:asciiTheme="majorHAnsi" w:eastAsiaTheme="majorEastAsia" w:hAnsiTheme="majorHAnsi" w:cstheme="majorBidi"/>
      <w:color w:val="374C80" w:themeColor="accent1" w:themeShade="BF"/>
      <w:sz w:val="32"/>
      <w:szCs w:val="32"/>
    </w:rPr>
  </w:style>
  <w:style w:type="paragraph" w:styleId="Heading2">
    <w:name w:val="heading 2"/>
    <w:basedOn w:val="Normal"/>
    <w:next w:val="Normal"/>
    <w:link w:val="Heading2Char"/>
    <w:uiPriority w:val="9"/>
    <w:unhideWhenUsed/>
    <w:qFormat/>
    <w:rsid w:val="002363A5"/>
    <w:pPr>
      <w:keepNext/>
      <w:keepLines/>
      <w:spacing w:before="40" w:after="0"/>
      <w:outlineLvl w:val="1"/>
    </w:pPr>
    <w:rPr>
      <w:rFonts w:asciiTheme="majorHAnsi" w:eastAsiaTheme="majorEastAsia" w:hAnsiTheme="majorHAnsi" w:cstheme="majorBidi"/>
      <w:color w:val="374C80" w:themeColor="accent1" w:themeShade="BF"/>
      <w:sz w:val="26"/>
      <w:szCs w:val="26"/>
    </w:rPr>
  </w:style>
  <w:style w:type="paragraph" w:styleId="Heading3">
    <w:name w:val="heading 3"/>
    <w:basedOn w:val="Normal"/>
    <w:next w:val="Normal"/>
    <w:link w:val="Heading3Char"/>
    <w:uiPriority w:val="9"/>
    <w:unhideWhenUsed/>
    <w:qFormat/>
    <w:rsid w:val="00004C6B"/>
    <w:pPr>
      <w:keepNext/>
      <w:keepLines/>
      <w:spacing w:before="40" w:after="0"/>
      <w:outlineLvl w:val="2"/>
    </w:pPr>
    <w:rPr>
      <w:rFonts w:asciiTheme="majorHAnsi" w:eastAsiaTheme="majorEastAsia" w:hAnsiTheme="majorHAnsi" w:cstheme="majorBidi"/>
      <w:color w:val="243255" w:themeColor="accent1" w:themeShade="7F"/>
      <w:sz w:val="24"/>
      <w:szCs w:val="24"/>
    </w:rPr>
  </w:style>
  <w:style w:type="paragraph" w:styleId="Heading4">
    <w:name w:val="heading 4"/>
    <w:basedOn w:val="Normal"/>
    <w:next w:val="Normal"/>
    <w:link w:val="Heading4Char"/>
    <w:uiPriority w:val="9"/>
    <w:unhideWhenUsed/>
    <w:qFormat/>
    <w:rsid w:val="00F51489"/>
    <w:pPr>
      <w:keepNext/>
      <w:keepLines/>
      <w:spacing w:before="40" w:after="0"/>
      <w:outlineLvl w:val="3"/>
    </w:pPr>
    <w:rPr>
      <w:rFonts w:asciiTheme="majorHAnsi" w:eastAsiaTheme="majorEastAsia" w:hAnsiTheme="majorHAnsi" w:cstheme="majorBidi"/>
      <w:i/>
      <w:iCs/>
      <w:color w:val="374C80"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37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3795"/>
  </w:style>
  <w:style w:type="paragraph" w:styleId="Footer">
    <w:name w:val="footer"/>
    <w:basedOn w:val="Normal"/>
    <w:link w:val="FooterChar"/>
    <w:uiPriority w:val="99"/>
    <w:unhideWhenUsed/>
    <w:rsid w:val="002637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3795"/>
  </w:style>
  <w:style w:type="paragraph" w:styleId="IntenseQuote">
    <w:name w:val="Intense Quote"/>
    <w:basedOn w:val="Normal"/>
    <w:next w:val="Normal"/>
    <w:link w:val="IntenseQuoteChar"/>
    <w:uiPriority w:val="30"/>
    <w:qFormat/>
    <w:rsid w:val="00263795"/>
    <w:pPr>
      <w:pBdr>
        <w:top w:val="single" w:sz="4" w:space="10" w:color="4A66AC" w:themeColor="accent1"/>
        <w:bottom w:val="single" w:sz="4" w:space="10" w:color="4A66AC" w:themeColor="accent1"/>
      </w:pBdr>
      <w:spacing w:before="360" w:after="360"/>
      <w:ind w:left="864" w:right="864"/>
      <w:jc w:val="center"/>
    </w:pPr>
    <w:rPr>
      <w:i/>
      <w:iCs/>
      <w:color w:val="4A66AC" w:themeColor="accent1"/>
    </w:rPr>
  </w:style>
  <w:style w:type="character" w:customStyle="1" w:styleId="IntenseQuoteChar">
    <w:name w:val="Intense Quote Char"/>
    <w:basedOn w:val="DefaultParagraphFont"/>
    <w:link w:val="IntenseQuote"/>
    <w:uiPriority w:val="30"/>
    <w:rsid w:val="00263795"/>
    <w:rPr>
      <w:i/>
      <w:iCs/>
      <w:color w:val="4A66AC" w:themeColor="accent1"/>
    </w:rPr>
  </w:style>
  <w:style w:type="paragraph" w:styleId="ListParagraph">
    <w:name w:val="List Paragraph"/>
    <w:basedOn w:val="Normal"/>
    <w:uiPriority w:val="34"/>
    <w:qFormat/>
    <w:rsid w:val="00263795"/>
    <w:pPr>
      <w:ind w:left="720"/>
      <w:contextualSpacing/>
    </w:pPr>
  </w:style>
  <w:style w:type="character" w:styleId="IntenseReference">
    <w:name w:val="Intense Reference"/>
    <w:basedOn w:val="DefaultParagraphFont"/>
    <w:uiPriority w:val="32"/>
    <w:qFormat/>
    <w:rsid w:val="002363A5"/>
    <w:rPr>
      <w:b/>
      <w:bCs/>
      <w:smallCaps/>
      <w:color w:val="4A66AC" w:themeColor="accent1"/>
      <w:spacing w:val="5"/>
    </w:rPr>
  </w:style>
  <w:style w:type="character" w:customStyle="1" w:styleId="Heading2Char">
    <w:name w:val="Heading 2 Char"/>
    <w:basedOn w:val="DefaultParagraphFont"/>
    <w:link w:val="Heading2"/>
    <w:uiPriority w:val="9"/>
    <w:rsid w:val="002363A5"/>
    <w:rPr>
      <w:rFonts w:asciiTheme="majorHAnsi" w:eastAsiaTheme="majorEastAsia" w:hAnsiTheme="majorHAnsi" w:cstheme="majorBidi"/>
      <w:color w:val="374C80" w:themeColor="accent1" w:themeShade="BF"/>
      <w:sz w:val="26"/>
      <w:szCs w:val="26"/>
    </w:rPr>
  </w:style>
  <w:style w:type="character" w:customStyle="1" w:styleId="Heading1Char">
    <w:name w:val="Heading 1 Char"/>
    <w:basedOn w:val="DefaultParagraphFont"/>
    <w:link w:val="Heading1"/>
    <w:uiPriority w:val="9"/>
    <w:rsid w:val="00262139"/>
    <w:rPr>
      <w:rFonts w:asciiTheme="majorHAnsi" w:eastAsiaTheme="majorEastAsia" w:hAnsiTheme="majorHAnsi" w:cstheme="majorBidi"/>
      <w:color w:val="374C80" w:themeColor="accent1" w:themeShade="BF"/>
      <w:sz w:val="32"/>
      <w:szCs w:val="32"/>
    </w:rPr>
  </w:style>
  <w:style w:type="character" w:styleId="IntenseEmphasis">
    <w:name w:val="Intense Emphasis"/>
    <w:basedOn w:val="DefaultParagraphFont"/>
    <w:uiPriority w:val="21"/>
    <w:qFormat/>
    <w:rsid w:val="00487C6E"/>
    <w:rPr>
      <w:i/>
      <w:iCs/>
      <w:color w:val="4A66AC" w:themeColor="accent1"/>
    </w:rPr>
  </w:style>
  <w:style w:type="paragraph" w:styleId="FootnoteText">
    <w:name w:val="footnote text"/>
    <w:aliases w:val="5_G"/>
    <w:basedOn w:val="Normal"/>
    <w:link w:val="FootnoteTextChar"/>
    <w:unhideWhenUsed/>
    <w:rsid w:val="008952C8"/>
    <w:pPr>
      <w:spacing w:after="0" w:line="240" w:lineRule="auto"/>
    </w:pPr>
    <w:rPr>
      <w:sz w:val="20"/>
      <w:szCs w:val="20"/>
    </w:rPr>
  </w:style>
  <w:style w:type="character" w:customStyle="1" w:styleId="FootnoteTextChar">
    <w:name w:val="Footnote Text Char"/>
    <w:aliases w:val="5_G Char"/>
    <w:basedOn w:val="DefaultParagraphFont"/>
    <w:link w:val="FootnoteText"/>
    <w:rsid w:val="008952C8"/>
    <w:rPr>
      <w:sz w:val="20"/>
      <w:szCs w:val="20"/>
    </w:rPr>
  </w:style>
  <w:style w:type="character" w:styleId="FootnoteReference">
    <w:name w:val="footnote reference"/>
    <w:aliases w:val="4_G"/>
    <w:basedOn w:val="DefaultParagraphFont"/>
    <w:unhideWhenUsed/>
    <w:rsid w:val="008952C8"/>
    <w:rPr>
      <w:vertAlign w:val="superscript"/>
    </w:rPr>
  </w:style>
  <w:style w:type="paragraph" w:styleId="NormalWeb">
    <w:name w:val="Normal (Web)"/>
    <w:basedOn w:val="Normal"/>
    <w:uiPriority w:val="99"/>
    <w:unhideWhenUsed/>
    <w:rsid w:val="004B6F48"/>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B2114E"/>
    <w:rPr>
      <w:sz w:val="16"/>
      <w:szCs w:val="16"/>
    </w:rPr>
  </w:style>
  <w:style w:type="paragraph" w:styleId="CommentText">
    <w:name w:val="annotation text"/>
    <w:basedOn w:val="Normal"/>
    <w:link w:val="CommentTextChar"/>
    <w:uiPriority w:val="99"/>
    <w:unhideWhenUsed/>
    <w:rsid w:val="00B2114E"/>
    <w:pPr>
      <w:spacing w:line="240" w:lineRule="auto"/>
    </w:pPr>
    <w:rPr>
      <w:sz w:val="20"/>
      <w:szCs w:val="20"/>
    </w:rPr>
  </w:style>
  <w:style w:type="character" w:customStyle="1" w:styleId="CommentTextChar">
    <w:name w:val="Comment Text Char"/>
    <w:basedOn w:val="DefaultParagraphFont"/>
    <w:link w:val="CommentText"/>
    <w:uiPriority w:val="99"/>
    <w:rsid w:val="00B2114E"/>
    <w:rPr>
      <w:sz w:val="20"/>
      <w:szCs w:val="20"/>
    </w:rPr>
  </w:style>
  <w:style w:type="paragraph" w:styleId="CommentSubject">
    <w:name w:val="annotation subject"/>
    <w:basedOn w:val="CommentText"/>
    <w:next w:val="CommentText"/>
    <w:link w:val="CommentSubjectChar"/>
    <w:uiPriority w:val="99"/>
    <w:semiHidden/>
    <w:unhideWhenUsed/>
    <w:rsid w:val="00B2114E"/>
    <w:rPr>
      <w:b/>
      <w:bCs/>
    </w:rPr>
  </w:style>
  <w:style w:type="character" w:customStyle="1" w:styleId="CommentSubjectChar">
    <w:name w:val="Comment Subject Char"/>
    <w:basedOn w:val="CommentTextChar"/>
    <w:link w:val="CommentSubject"/>
    <w:uiPriority w:val="99"/>
    <w:semiHidden/>
    <w:rsid w:val="00B2114E"/>
    <w:rPr>
      <w:b/>
      <w:bCs/>
      <w:sz w:val="20"/>
      <w:szCs w:val="20"/>
    </w:rPr>
  </w:style>
  <w:style w:type="paragraph" w:styleId="BalloonText">
    <w:name w:val="Balloon Text"/>
    <w:basedOn w:val="Normal"/>
    <w:link w:val="BalloonTextChar"/>
    <w:uiPriority w:val="99"/>
    <w:semiHidden/>
    <w:unhideWhenUsed/>
    <w:rsid w:val="00B211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114E"/>
    <w:rPr>
      <w:rFonts w:ascii="Segoe UI" w:hAnsi="Segoe UI" w:cs="Segoe UI"/>
      <w:sz w:val="18"/>
      <w:szCs w:val="18"/>
    </w:rPr>
  </w:style>
  <w:style w:type="paragraph" w:styleId="EndnoteText">
    <w:name w:val="endnote text"/>
    <w:basedOn w:val="Normal"/>
    <w:link w:val="EndnoteTextChar"/>
    <w:uiPriority w:val="99"/>
    <w:semiHidden/>
    <w:unhideWhenUsed/>
    <w:rsid w:val="00B47EF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47EFF"/>
    <w:rPr>
      <w:sz w:val="20"/>
      <w:szCs w:val="20"/>
    </w:rPr>
  </w:style>
  <w:style w:type="character" w:styleId="EndnoteReference">
    <w:name w:val="endnote reference"/>
    <w:basedOn w:val="DefaultParagraphFont"/>
    <w:uiPriority w:val="99"/>
    <w:semiHidden/>
    <w:unhideWhenUsed/>
    <w:rsid w:val="00B47EFF"/>
    <w:rPr>
      <w:vertAlign w:val="superscript"/>
    </w:rPr>
  </w:style>
  <w:style w:type="character" w:styleId="Hyperlink">
    <w:name w:val="Hyperlink"/>
    <w:basedOn w:val="DefaultParagraphFont"/>
    <w:uiPriority w:val="99"/>
    <w:unhideWhenUsed/>
    <w:rsid w:val="00B47EFF"/>
    <w:rPr>
      <w:color w:val="9454C3" w:themeColor="hyperlink"/>
      <w:u w:val="single"/>
    </w:rPr>
  </w:style>
  <w:style w:type="character" w:customStyle="1" w:styleId="Heading3Char">
    <w:name w:val="Heading 3 Char"/>
    <w:basedOn w:val="DefaultParagraphFont"/>
    <w:link w:val="Heading3"/>
    <w:uiPriority w:val="9"/>
    <w:rsid w:val="00004C6B"/>
    <w:rPr>
      <w:rFonts w:asciiTheme="majorHAnsi" w:eastAsiaTheme="majorEastAsia" w:hAnsiTheme="majorHAnsi" w:cstheme="majorBidi"/>
      <w:color w:val="243255" w:themeColor="accent1" w:themeShade="7F"/>
      <w:sz w:val="24"/>
      <w:szCs w:val="24"/>
    </w:rPr>
  </w:style>
  <w:style w:type="paragraph" w:customStyle="1" w:styleId="SingleTxtG">
    <w:name w:val="_ Single Txt_G"/>
    <w:basedOn w:val="Normal"/>
    <w:link w:val="SingleTxtGChar"/>
    <w:qFormat/>
    <w:rsid w:val="00776BFA"/>
    <w:pPr>
      <w:spacing w:after="120" w:line="240" w:lineRule="auto"/>
      <w:ind w:left="1134" w:right="1134"/>
      <w:jc w:val="both"/>
    </w:pPr>
    <w:rPr>
      <w:rFonts w:ascii="Times New Roman" w:hAnsi="Times New Roman" w:cs="Times New Roman"/>
      <w:sz w:val="20"/>
      <w:szCs w:val="20"/>
      <w:lang w:val="fr-CH"/>
    </w:rPr>
  </w:style>
  <w:style w:type="paragraph" w:customStyle="1" w:styleId="ng-scope">
    <w:name w:val="ng-scope"/>
    <w:basedOn w:val="Normal"/>
    <w:rsid w:val="001C4F65"/>
    <w:pPr>
      <w:spacing w:before="100" w:beforeAutospacing="1" w:after="100" w:afterAutospacing="1" w:line="240" w:lineRule="auto"/>
    </w:pPr>
    <w:rPr>
      <w:rFonts w:ascii="Times New Roman" w:eastAsia="Times New Roman" w:hAnsi="Times New Roman" w:cs="Times New Roman"/>
      <w:sz w:val="24"/>
      <w:szCs w:val="24"/>
    </w:rPr>
  </w:style>
  <w:style w:type="paragraph" w:styleId="PlainText">
    <w:name w:val="Plain Text"/>
    <w:basedOn w:val="Normal"/>
    <w:link w:val="PlainTextChar"/>
    <w:rsid w:val="00C22851"/>
    <w:pPr>
      <w:spacing w:after="0" w:line="240" w:lineRule="auto"/>
    </w:pPr>
    <w:rPr>
      <w:rFonts w:ascii="Courier New" w:eastAsia="Times New Roman" w:hAnsi="Courier New" w:cs="Times New Roman"/>
      <w:noProof/>
      <w:sz w:val="20"/>
      <w:szCs w:val="20"/>
    </w:rPr>
  </w:style>
  <w:style w:type="character" w:customStyle="1" w:styleId="PlainTextChar">
    <w:name w:val="Plain Text Char"/>
    <w:basedOn w:val="DefaultParagraphFont"/>
    <w:link w:val="PlainText"/>
    <w:rsid w:val="00C22851"/>
    <w:rPr>
      <w:rFonts w:ascii="Courier New" w:eastAsia="Times New Roman" w:hAnsi="Courier New" w:cs="Times New Roman"/>
      <w:noProof/>
      <w:sz w:val="20"/>
      <w:szCs w:val="20"/>
    </w:rPr>
  </w:style>
  <w:style w:type="paragraph" w:styleId="Revision">
    <w:name w:val="Revision"/>
    <w:hidden/>
    <w:uiPriority w:val="99"/>
    <w:semiHidden/>
    <w:rsid w:val="00957756"/>
    <w:pPr>
      <w:spacing w:after="0" w:line="240" w:lineRule="auto"/>
    </w:pPr>
  </w:style>
  <w:style w:type="paragraph" w:customStyle="1" w:styleId="Default">
    <w:name w:val="Default"/>
    <w:rsid w:val="00957756"/>
    <w:pPr>
      <w:autoSpaceDE w:val="0"/>
      <w:autoSpaceDN w:val="0"/>
      <w:adjustRightInd w:val="0"/>
      <w:spacing w:after="0" w:line="240" w:lineRule="auto"/>
    </w:pPr>
    <w:rPr>
      <w:rFonts w:ascii="Calibri" w:hAnsi="Calibri" w:cs="Calibri"/>
      <w:color w:val="000000"/>
      <w:sz w:val="24"/>
      <w:szCs w:val="24"/>
    </w:rPr>
  </w:style>
  <w:style w:type="character" w:customStyle="1" w:styleId="Heading4Char">
    <w:name w:val="Heading 4 Char"/>
    <w:basedOn w:val="DefaultParagraphFont"/>
    <w:link w:val="Heading4"/>
    <w:uiPriority w:val="9"/>
    <w:rsid w:val="00F51489"/>
    <w:rPr>
      <w:rFonts w:asciiTheme="majorHAnsi" w:eastAsiaTheme="majorEastAsia" w:hAnsiTheme="majorHAnsi" w:cstheme="majorBidi"/>
      <w:i/>
      <w:iCs/>
      <w:color w:val="374C80" w:themeColor="accent1" w:themeShade="BF"/>
    </w:rPr>
  </w:style>
  <w:style w:type="character" w:customStyle="1" w:styleId="SingleTxtGChar">
    <w:name w:val="_ Single Txt_G Char"/>
    <w:link w:val="SingleTxtG"/>
    <w:rsid w:val="00D20580"/>
    <w:rPr>
      <w:rFonts w:ascii="Times New Roman" w:hAnsi="Times New Roman" w:cs="Times New Roman"/>
      <w:sz w:val="20"/>
      <w:szCs w:val="20"/>
      <w:lang w:val="fr-CH"/>
    </w:rPr>
  </w:style>
  <w:style w:type="paragraph" w:styleId="NoSpacing">
    <w:name w:val="No Spacing"/>
    <w:uiPriority w:val="1"/>
    <w:qFormat/>
    <w:rsid w:val="004126B4"/>
    <w:pPr>
      <w:spacing w:after="0" w:line="240" w:lineRule="auto"/>
    </w:pPr>
  </w:style>
  <w:style w:type="paragraph" w:styleId="TOCHeading">
    <w:name w:val="TOC Heading"/>
    <w:basedOn w:val="Heading1"/>
    <w:next w:val="Normal"/>
    <w:uiPriority w:val="39"/>
    <w:unhideWhenUsed/>
    <w:qFormat/>
    <w:rsid w:val="004B412B"/>
    <w:pPr>
      <w:outlineLvl w:val="9"/>
    </w:pPr>
  </w:style>
  <w:style w:type="paragraph" w:styleId="TOC1">
    <w:name w:val="toc 1"/>
    <w:basedOn w:val="Normal"/>
    <w:next w:val="Normal"/>
    <w:autoRedefine/>
    <w:uiPriority w:val="39"/>
    <w:unhideWhenUsed/>
    <w:rsid w:val="000B5F58"/>
    <w:pPr>
      <w:spacing w:after="100"/>
      <w:ind w:left="270" w:hanging="270"/>
    </w:pPr>
    <w:rPr>
      <w:bCs/>
    </w:rPr>
  </w:style>
  <w:style w:type="paragraph" w:styleId="TOC2">
    <w:name w:val="toc 2"/>
    <w:basedOn w:val="Normal"/>
    <w:next w:val="Normal"/>
    <w:autoRedefine/>
    <w:uiPriority w:val="39"/>
    <w:unhideWhenUsed/>
    <w:rsid w:val="004B412B"/>
    <w:pPr>
      <w:spacing w:after="100"/>
      <w:ind w:left="220"/>
    </w:pPr>
  </w:style>
  <w:style w:type="paragraph" w:styleId="TOC3">
    <w:name w:val="toc 3"/>
    <w:basedOn w:val="Normal"/>
    <w:next w:val="Normal"/>
    <w:autoRedefine/>
    <w:uiPriority w:val="39"/>
    <w:unhideWhenUsed/>
    <w:rsid w:val="00EC2807"/>
    <w:pPr>
      <w:spacing w:after="100"/>
      <w:ind w:left="440"/>
    </w:pPr>
    <w:rPr>
      <w:rFonts w:eastAsiaTheme="minorEastAsia" w:cs="Times New Roman"/>
    </w:rPr>
  </w:style>
  <w:style w:type="table" w:styleId="TableGrid">
    <w:name w:val="Table Grid"/>
    <w:basedOn w:val="TableNormal"/>
    <w:uiPriority w:val="39"/>
    <w:rsid w:val="00263F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613520">
      <w:bodyDiv w:val="1"/>
      <w:marLeft w:val="0"/>
      <w:marRight w:val="0"/>
      <w:marTop w:val="0"/>
      <w:marBottom w:val="0"/>
      <w:divBdr>
        <w:top w:val="none" w:sz="0" w:space="0" w:color="auto"/>
        <w:left w:val="none" w:sz="0" w:space="0" w:color="auto"/>
        <w:bottom w:val="none" w:sz="0" w:space="0" w:color="auto"/>
        <w:right w:val="none" w:sz="0" w:space="0" w:color="auto"/>
      </w:divBdr>
      <w:divsChild>
        <w:div w:id="275601717">
          <w:marLeft w:val="0"/>
          <w:marRight w:val="0"/>
          <w:marTop w:val="0"/>
          <w:marBottom w:val="0"/>
          <w:divBdr>
            <w:top w:val="none" w:sz="0" w:space="0" w:color="auto"/>
            <w:left w:val="none" w:sz="0" w:space="0" w:color="auto"/>
            <w:bottom w:val="none" w:sz="0" w:space="0" w:color="auto"/>
            <w:right w:val="none" w:sz="0" w:space="0" w:color="auto"/>
          </w:divBdr>
          <w:divsChild>
            <w:div w:id="150335172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245799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809585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953385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13868791">
      <w:bodyDiv w:val="1"/>
      <w:marLeft w:val="0"/>
      <w:marRight w:val="0"/>
      <w:marTop w:val="0"/>
      <w:marBottom w:val="0"/>
      <w:divBdr>
        <w:top w:val="none" w:sz="0" w:space="0" w:color="auto"/>
        <w:left w:val="none" w:sz="0" w:space="0" w:color="auto"/>
        <w:bottom w:val="none" w:sz="0" w:space="0" w:color="auto"/>
        <w:right w:val="none" w:sz="0" w:space="0" w:color="auto"/>
      </w:divBdr>
    </w:div>
    <w:div w:id="601955603">
      <w:bodyDiv w:val="1"/>
      <w:marLeft w:val="0"/>
      <w:marRight w:val="0"/>
      <w:marTop w:val="0"/>
      <w:marBottom w:val="0"/>
      <w:divBdr>
        <w:top w:val="none" w:sz="0" w:space="0" w:color="auto"/>
        <w:left w:val="none" w:sz="0" w:space="0" w:color="auto"/>
        <w:bottom w:val="none" w:sz="0" w:space="0" w:color="auto"/>
        <w:right w:val="none" w:sz="0" w:space="0" w:color="auto"/>
      </w:divBdr>
    </w:div>
    <w:div w:id="631247241">
      <w:bodyDiv w:val="1"/>
      <w:marLeft w:val="0"/>
      <w:marRight w:val="0"/>
      <w:marTop w:val="0"/>
      <w:marBottom w:val="0"/>
      <w:divBdr>
        <w:top w:val="none" w:sz="0" w:space="0" w:color="auto"/>
        <w:left w:val="none" w:sz="0" w:space="0" w:color="auto"/>
        <w:bottom w:val="none" w:sz="0" w:space="0" w:color="auto"/>
        <w:right w:val="none" w:sz="0" w:space="0" w:color="auto"/>
      </w:divBdr>
    </w:div>
    <w:div w:id="806900309">
      <w:bodyDiv w:val="1"/>
      <w:marLeft w:val="0"/>
      <w:marRight w:val="0"/>
      <w:marTop w:val="0"/>
      <w:marBottom w:val="0"/>
      <w:divBdr>
        <w:top w:val="none" w:sz="0" w:space="0" w:color="auto"/>
        <w:left w:val="none" w:sz="0" w:space="0" w:color="auto"/>
        <w:bottom w:val="none" w:sz="0" w:space="0" w:color="auto"/>
        <w:right w:val="none" w:sz="0" w:space="0" w:color="auto"/>
      </w:divBdr>
    </w:div>
    <w:div w:id="808322486">
      <w:bodyDiv w:val="1"/>
      <w:marLeft w:val="0"/>
      <w:marRight w:val="0"/>
      <w:marTop w:val="0"/>
      <w:marBottom w:val="0"/>
      <w:divBdr>
        <w:top w:val="none" w:sz="0" w:space="0" w:color="auto"/>
        <w:left w:val="none" w:sz="0" w:space="0" w:color="auto"/>
        <w:bottom w:val="none" w:sz="0" w:space="0" w:color="auto"/>
        <w:right w:val="none" w:sz="0" w:space="0" w:color="auto"/>
      </w:divBdr>
    </w:div>
    <w:div w:id="858159133">
      <w:bodyDiv w:val="1"/>
      <w:marLeft w:val="0"/>
      <w:marRight w:val="0"/>
      <w:marTop w:val="0"/>
      <w:marBottom w:val="0"/>
      <w:divBdr>
        <w:top w:val="none" w:sz="0" w:space="0" w:color="auto"/>
        <w:left w:val="none" w:sz="0" w:space="0" w:color="auto"/>
        <w:bottom w:val="none" w:sz="0" w:space="0" w:color="auto"/>
        <w:right w:val="none" w:sz="0" w:space="0" w:color="auto"/>
      </w:divBdr>
    </w:div>
    <w:div w:id="894662650">
      <w:bodyDiv w:val="1"/>
      <w:marLeft w:val="0"/>
      <w:marRight w:val="0"/>
      <w:marTop w:val="0"/>
      <w:marBottom w:val="0"/>
      <w:divBdr>
        <w:top w:val="none" w:sz="0" w:space="0" w:color="auto"/>
        <w:left w:val="none" w:sz="0" w:space="0" w:color="auto"/>
        <w:bottom w:val="none" w:sz="0" w:space="0" w:color="auto"/>
        <w:right w:val="none" w:sz="0" w:space="0" w:color="auto"/>
      </w:divBdr>
    </w:div>
    <w:div w:id="1152990231">
      <w:bodyDiv w:val="1"/>
      <w:marLeft w:val="0"/>
      <w:marRight w:val="0"/>
      <w:marTop w:val="0"/>
      <w:marBottom w:val="0"/>
      <w:divBdr>
        <w:top w:val="none" w:sz="0" w:space="0" w:color="auto"/>
        <w:left w:val="none" w:sz="0" w:space="0" w:color="auto"/>
        <w:bottom w:val="none" w:sz="0" w:space="0" w:color="auto"/>
        <w:right w:val="none" w:sz="0" w:space="0" w:color="auto"/>
      </w:divBdr>
    </w:div>
    <w:div w:id="1156458038">
      <w:bodyDiv w:val="1"/>
      <w:marLeft w:val="0"/>
      <w:marRight w:val="0"/>
      <w:marTop w:val="0"/>
      <w:marBottom w:val="0"/>
      <w:divBdr>
        <w:top w:val="none" w:sz="0" w:space="0" w:color="auto"/>
        <w:left w:val="none" w:sz="0" w:space="0" w:color="auto"/>
        <w:bottom w:val="none" w:sz="0" w:space="0" w:color="auto"/>
        <w:right w:val="none" w:sz="0" w:space="0" w:color="auto"/>
      </w:divBdr>
    </w:div>
    <w:div w:id="1293634311">
      <w:bodyDiv w:val="1"/>
      <w:marLeft w:val="0"/>
      <w:marRight w:val="0"/>
      <w:marTop w:val="0"/>
      <w:marBottom w:val="0"/>
      <w:divBdr>
        <w:top w:val="none" w:sz="0" w:space="0" w:color="auto"/>
        <w:left w:val="none" w:sz="0" w:space="0" w:color="auto"/>
        <w:bottom w:val="none" w:sz="0" w:space="0" w:color="auto"/>
        <w:right w:val="none" w:sz="0" w:space="0" w:color="auto"/>
      </w:divBdr>
    </w:div>
    <w:div w:id="1339966047">
      <w:bodyDiv w:val="1"/>
      <w:marLeft w:val="0"/>
      <w:marRight w:val="0"/>
      <w:marTop w:val="0"/>
      <w:marBottom w:val="0"/>
      <w:divBdr>
        <w:top w:val="none" w:sz="0" w:space="0" w:color="auto"/>
        <w:left w:val="none" w:sz="0" w:space="0" w:color="auto"/>
        <w:bottom w:val="none" w:sz="0" w:space="0" w:color="auto"/>
        <w:right w:val="none" w:sz="0" w:space="0" w:color="auto"/>
      </w:divBdr>
    </w:div>
    <w:div w:id="1348290987">
      <w:bodyDiv w:val="1"/>
      <w:marLeft w:val="0"/>
      <w:marRight w:val="0"/>
      <w:marTop w:val="0"/>
      <w:marBottom w:val="0"/>
      <w:divBdr>
        <w:top w:val="none" w:sz="0" w:space="0" w:color="auto"/>
        <w:left w:val="none" w:sz="0" w:space="0" w:color="auto"/>
        <w:bottom w:val="none" w:sz="0" w:space="0" w:color="auto"/>
        <w:right w:val="none" w:sz="0" w:space="0" w:color="auto"/>
      </w:divBdr>
    </w:div>
    <w:div w:id="1384600189">
      <w:bodyDiv w:val="1"/>
      <w:marLeft w:val="0"/>
      <w:marRight w:val="0"/>
      <w:marTop w:val="0"/>
      <w:marBottom w:val="0"/>
      <w:divBdr>
        <w:top w:val="none" w:sz="0" w:space="0" w:color="auto"/>
        <w:left w:val="none" w:sz="0" w:space="0" w:color="auto"/>
        <w:bottom w:val="none" w:sz="0" w:space="0" w:color="auto"/>
        <w:right w:val="none" w:sz="0" w:space="0" w:color="auto"/>
      </w:divBdr>
    </w:div>
    <w:div w:id="1452699925">
      <w:bodyDiv w:val="1"/>
      <w:marLeft w:val="0"/>
      <w:marRight w:val="0"/>
      <w:marTop w:val="0"/>
      <w:marBottom w:val="0"/>
      <w:divBdr>
        <w:top w:val="none" w:sz="0" w:space="0" w:color="auto"/>
        <w:left w:val="none" w:sz="0" w:space="0" w:color="auto"/>
        <w:bottom w:val="none" w:sz="0" w:space="0" w:color="auto"/>
        <w:right w:val="none" w:sz="0" w:space="0" w:color="auto"/>
      </w:divBdr>
    </w:div>
    <w:div w:id="1542134593">
      <w:bodyDiv w:val="1"/>
      <w:marLeft w:val="0"/>
      <w:marRight w:val="0"/>
      <w:marTop w:val="0"/>
      <w:marBottom w:val="0"/>
      <w:divBdr>
        <w:top w:val="none" w:sz="0" w:space="0" w:color="auto"/>
        <w:left w:val="none" w:sz="0" w:space="0" w:color="auto"/>
        <w:bottom w:val="none" w:sz="0" w:space="0" w:color="auto"/>
        <w:right w:val="none" w:sz="0" w:space="0" w:color="auto"/>
      </w:divBdr>
    </w:div>
    <w:div w:id="1592932422">
      <w:bodyDiv w:val="1"/>
      <w:marLeft w:val="0"/>
      <w:marRight w:val="0"/>
      <w:marTop w:val="0"/>
      <w:marBottom w:val="0"/>
      <w:divBdr>
        <w:top w:val="none" w:sz="0" w:space="0" w:color="auto"/>
        <w:left w:val="none" w:sz="0" w:space="0" w:color="auto"/>
        <w:bottom w:val="none" w:sz="0" w:space="0" w:color="auto"/>
        <w:right w:val="none" w:sz="0" w:space="0" w:color="auto"/>
      </w:divBdr>
    </w:div>
    <w:div w:id="1679841901">
      <w:bodyDiv w:val="1"/>
      <w:marLeft w:val="0"/>
      <w:marRight w:val="0"/>
      <w:marTop w:val="0"/>
      <w:marBottom w:val="0"/>
      <w:divBdr>
        <w:top w:val="none" w:sz="0" w:space="0" w:color="auto"/>
        <w:left w:val="none" w:sz="0" w:space="0" w:color="auto"/>
        <w:bottom w:val="none" w:sz="0" w:space="0" w:color="auto"/>
        <w:right w:val="none" w:sz="0" w:space="0" w:color="auto"/>
      </w:divBdr>
    </w:div>
    <w:div w:id="1720976551">
      <w:bodyDiv w:val="1"/>
      <w:marLeft w:val="0"/>
      <w:marRight w:val="0"/>
      <w:marTop w:val="0"/>
      <w:marBottom w:val="0"/>
      <w:divBdr>
        <w:top w:val="none" w:sz="0" w:space="0" w:color="auto"/>
        <w:left w:val="none" w:sz="0" w:space="0" w:color="auto"/>
        <w:bottom w:val="none" w:sz="0" w:space="0" w:color="auto"/>
        <w:right w:val="none" w:sz="0" w:space="0" w:color="auto"/>
      </w:divBdr>
      <w:divsChild>
        <w:div w:id="5741695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660775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6844544">
          <w:marLeft w:val="0"/>
          <w:marRight w:val="0"/>
          <w:marTop w:val="0"/>
          <w:marBottom w:val="0"/>
          <w:divBdr>
            <w:top w:val="none" w:sz="0" w:space="0" w:color="auto"/>
            <w:left w:val="none" w:sz="0" w:space="0" w:color="auto"/>
            <w:bottom w:val="none" w:sz="0" w:space="0" w:color="auto"/>
            <w:right w:val="none" w:sz="0" w:space="0" w:color="auto"/>
          </w:divBdr>
          <w:divsChild>
            <w:div w:id="9786564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65167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992975070">
      <w:bodyDiv w:val="1"/>
      <w:marLeft w:val="0"/>
      <w:marRight w:val="0"/>
      <w:marTop w:val="0"/>
      <w:marBottom w:val="0"/>
      <w:divBdr>
        <w:top w:val="none" w:sz="0" w:space="0" w:color="auto"/>
        <w:left w:val="none" w:sz="0" w:space="0" w:color="auto"/>
        <w:bottom w:val="none" w:sz="0" w:space="0" w:color="auto"/>
        <w:right w:val="none" w:sz="0" w:space="0" w:color="auto"/>
      </w:divBdr>
    </w:div>
    <w:div w:id="2049183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86813C4-828F-494A-B89B-88881298F744}">
  <ds:schemaRefs>
    <ds:schemaRef ds:uri="http://schemas.openxmlformats.org/officeDocument/2006/bibliography"/>
  </ds:schemaRefs>
</ds:datastoreItem>
</file>

<file path=customXml/itemProps2.xml><?xml version="1.0" encoding="utf-8"?>
<ds:datastoreItem xmlns:ds="http://schemas.openxmlformats.org/officeDocument/2006/customXml" ds:itemID="{35FD59C4-CB90-4BE4-9496-0E0574C38DD0}"/>
</file>

<file path=customXml/itemProps3.xml><?xml version="1.0" encoding="utf-8"?>
<ds:datastoreItem xmlns:ds="http://schemas.openxmlformats.org/officeDocument/2006/customXml" ds:itemID="{ACF0F492-FC56-4FF0-A60C-F357B704EAC5}"/>
</file>

<file path=customXml/itemProps4.xml><?xml version="1.0" encoding="utf-8"?>
<ds:datastoreItem xmlns:ds="http://schemas.openxmlformats.org/officeDocument/2006/customXml" ds:itemID="{BA4530F7-7515-4608-84DE-0AB1BA854CD7}"/>
</file>

<file path=docProps/app.xml><?xml version="1.0" encoding="utf-8"?>
<Properties xmlns="http://schemas.openxmlformats.org/officeDocument/2006/extended-properties" xmlns:vt="http://schemas.openxmlformats.org/officeDocument/2006/docPropsVTypes">
  <Template>Normal.dotm</Template>
  <TotalTime>1</TotalTime>
  <Pages>10</Pages>
  <Words>3087</Words>
  <Characters>17597</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UCLA</Company>
  <LinksUpToDate>false</LinksUpToDate>
  <CharactersWithSpaces>20643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Bresnahan</dc:creator>
  <cp:keywords/>
  <dc:description/>
  <cp:lastModifiedBy>Tolaïni Sabine</cp:lastModifiedBy>
  <cp:revision>2</cp:revision>
  <cp:lastPrinted>2019-02-08T19:26:00Z</cp:lastPrinted>
  <dcterms:created xsi:type="dcterms:W3CDTF">2020-08-21T09:00:00Z</dcterms:created>
  <dcterms:modified xsi:type="dcterms:W3CDTF">2020-08-21T09:00:00Z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