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3F609F" w:rsidRDefault="00000000">
      <w:pPr>
        <w:spacing w:after="240" w:line="276" w:lineRule="auto"/>
        <w:jc w:val="center"/>
        <w:rPr>
          <w:rFonts w:ascii="Calibri" w:eastAsia="Calibri" w:hAnsi="Calibri" w:cs="Calibri"/>
          <w:b/>
          <w:color w:val="21959E"/>
          <w:sz w:val="32"/>
          <w:szCs w:val="32"/>
        </w:rPr>
      </w:pPr>
      <w:r>
        <w:rPr>
          <w:rFonts w:ascii="Calibri" w:eastAsia="Calibri" w:hAnsi="Calibri" w:cs="Calibri"/>
          <w:b/>
          <w:color w:val="21959E"/>
          <w:sz w:val="32"/>
          <w:szCs w:val="32"/>
        </w:rPr>
        <w:t xml:space="preserve">Submission to </w:t>
      </w:r>
    </w:p>
    <w:p w14:paraId="00000002" w14:textId="77777777" w:rsidR="003F609F" w:rsidRDefault="00000000">
      <w:pPr>
        <w:spacing w:after="240" w:line="276" w:lineRule="auto"/>
        <w:jc w:val="center"/>
        <w:rPr>
          <w:rFonts w:ascii="Calibri" w:eastAsia="Calibri" w:hAnsi="Calibri" w:cs="Calibri"/>
          <w:sz w:val="32"/>
          <w:szCs w:val="32"/>
        </w:rPr>
      </w:pPr>
      <w:r>
        <w:rPr>
          <w:rFonts w:ascii="Calibri" w:eastAsia="Calibri" w:hAnsi="Calibri" w:cs="Calibri"/>
          <w:b/>
          <w:color w:val="21959E"/>
          <w:sz w:val="32"/>
          <w:szCs w:val="32"/>
        </w:rPr>
        <w:t>the UN Committee on Economic, Social and Cultural Rights</w:t>
      </w:r>
    </w:p>
    <w:p w14:paraId="00000003" w14:textId="77777777" w:rsidR="003F609F" w:rsidRDefault="00000000">
      <w:pPr>
        <w:spacing w:after="240" w:line="276" w:lineRule="auto"/>
        <w:jc w:val="center"/>
        <w:rPr>
          <w:rFonts w:ascii="Calibri" w:eastAsia="Calibri" w:hAnsi="Calibri" w:cs="Calibri"/>
          <w:b/>
          <w:color w:val="21959E"/>
          <w:sz w:val="32"/>
          <w:szCs w:val="32"/>
        </w:rPr>
      </w:pPr>
      <w:r>
        <w:rPr>
          <w:rFonts w:ascii="Calibri" w:eastAsia="Calibri" w:hAnsi="Calibri" w:cs="Calibri"/>
          <w:b/>
          <w:color w:val="21959E"/>
          <w:sz w:val="32"/>
          <w:szCs w:val="32"/>
        </w:rPr>
        <w:t>5th Review of France at the 74th session</w:t>
      </w:r>
    </w:p>
    <w:p w14:paraId="00000004" w14:textId="77777777" w:rsidR="003F609F" w:rsidRDefault="00000000">
      <w:pPr>
        <w:spacing w:after="240" w:line="276" w:lineRule="auto"/>
        <w:jc w:val="center"/>
        <w:rPr>
          <w:rFonts w:ascii="Calibri" w:eastAsia="Calibri" w:hAnsi="Calibri" w:cs="Calibri"/>
          <w:b/>
          <w:i/>
          <w:color w:val="21959E"/>
          <w:sz w:val="32"/>
          <w:szCs w:val="32"/>
        </w:rPr>
      </w:pPr>
      <w:r>
        <w:rPr>
          <w:rFonts w:ascii="Calibri" w:eastAsia="Calibri" w:hAnsi="Calibri" w:cs="Calibri"/>
          <w:b/>
          <w:i/>
          <w:color w:val="21959E"/>
          <w:sz w:val="32"/>
          <w:szCs w:val="32"/>
        </w:rPr>
        <w:t>The right to higher education in France</w:t>
      </w:r>
    </w:p>
    <w:p w14:paraId="00000005" w14:textId="77777777" w:rsidR="003F609F" w:rsidRDefault="003F609F">
      <w:pPr>
        <w:spacing w:after="240" w:line="276" w:lineRule="auto"/>
        <w:jc w:val="center"/>
        <w:rPr>
          <w:rFonts w:ascii="Calibri" w:eastAsia="Calibri" w:hAnsi="Calibri" w:cs="Calibri"/>
          <w:sz w:val="32"/>
          <w:szCs w:val="32"/>
        </w:rPr>
      </w:pPr>
    </w:p>
    <w:p w14:paraId="00000006" w14:textId="77777777" w:rsidR="003F609F" w:rsidRDefault="00000000">
      <w:pPr>
        <w:spacing w:after="240" w:line="276" w:lineRule="auto"/>
        <w:jc w:val="center"/>
        <w:rPr>
          <w:rFonts w:ascii="Calibri" w:eastAsia="Calibri" w:hAnsi="Calibri" w:cs="Calibri"/>
          <w:sz w:val="32"/>
          <w:szCs w:val="32"/>
        </w:rPr>
      </w:pPr>
      <w:r>
        <w:rPr>
          <w:rFonts w:ascii="Calibri" w:eastAsia="Calibri" w:hAnsi="Calibri" w:cs="Calibri"/>
          <w:b/>
          <w:color w:val="21959E"/>
          <w:sz w:val="32"/>
          <w:szCs w:val="32"/>
        </w:rPr>
        <w:t>July 2023</w:t>
      </w:r>
    </w:p>
    <w:p w14:paraId="00000007" w14:textId="77777777" w:rsidR="003F609F" w:rsidRDefault="003F609F">
      <w:pPr>
        <w:spacing w:after="240" w:line="276" w:lineRule="auto"/>
        <w:jc w:val="both"/>
        <w:rPr>
          <w:rFonts w:ascii="Calibri" w:eastAsia="Calibri" w:hAnsi="Calibri" w:cs="Calibri"/>
          <w:b/>
          <w:color w:val="494771"/>
          <w:sz w:val="22"/>
          <w:szCs w:val="22"/>
        </w:rPr>
      </w:pPr>
    </w:p>
    <w:p w14:paraId="00000008" w14:textId="77777777" w:rsidR="003F609F" w:rsidRDefault="00000000">
      <w:pPr>
        <w:spacing w:after="240" w:line="276" w:lineRule="auto"/>
        <w:jc w:val="center"/>
        <w:rPr>
          <w:rFonts w:ascii="Calibri" w:eastAsia="Calibri" w:hAnsi="Calibri" w:cs="Calibri"/>
          <w:color w:val="494771"/>
        </w:rPr>
      </w:pPr>
      <w:r>
        <w:rPr>
          <w:rFonts w:ascii="Calibri" w:eastAsia="Calibri" w:hAnsi="Calibri" w:cs="Calibri"/>
          <w:b/>
          <w:color w:val="494771"/>
        </w:rPr>
        <w:t>SUBMITTED BY</w:t>
      </w:r>
    </w:p>
    <w:p w14:paraId="00000009" w14:textId="77777777" w:rsidR="003F609F" w:rsidRDefault="00000000">
      <w:pPr>
        <w:spacing w:after="240" w:line="276" w:lineRule="auto"/>
        <w:ind w:left="1134" w:right="1134"/>
        <w:jc w:val="center"/>
        <w:rPr>
          <w:rFonts w:ascii="Calibri" w:eastAsia="Calibri" w:hAnsi="Calibri" w:cs="Calibri"/>
          <w:color w:val="494771"/>
        </w:rPr>
      </w:pPr>
      <w:r>
        <w:rPr>
          <w:rFonts w:ascii="Calibri" w:eastAsia="Calibri" w:hAnsi="Calibri" w:cs="Calibri"/>
          <w:color w:val="494771"/>
        </w:rPr>
        <w:t>Right to Education Initiative</w:t>
      </w:r>
      <w:r>
        <w:rPr>
          <w:rFonts w:ascii="Calibri" w:eastAsia="Calibri" w:hAnsi="Calibri" w:cs="Calibri"/>
          <w:color w:val="494771"/>
          <w:vertAlign w:val="superscript"/>
        </w:rPr>
        <w:footnoteReference w:id="1"/>
      </w:r>
    </w:p>
    <w:p w14:paraId="0000000A" w14:textId="77777777" w:rsidR="003F609F" w:rsidRPr="00F45E34" w:rsidRDefault="00000000">
      <w:pPr>
        <w:spacing w:after="240" w:line="276" w:lineRule="auto"/>
        <w:ind w:left="1134" w:right="1134"/>
        <w:jc w:val="center"/>
        <w:rPr>
          <w:rFonts w:ascii="Calibri" w:eastAsia="Calibri" w:hAnsi="Calibri" w:cs="Calibri"/>
          <w:color w:val="494771"/>
          <w:highlight w:val="white"/>
          <w:lang w:val="fr-FR"/>
        </w:rPr>
      </w:pPr>
      <w:r w:rsidRPr="00F45E34">
        <w:rPr>
          <w:rFonts w:ascii="Calibri" w:eastAsia="Calibri" w:hAnsi="Calibri" w:cs="Calibri"/>
          <w:color w:val="494771"/>
          <w:highlight w:val="white"/>
          <w:lang w:val="fr-FR"/>
        </w:rPr>
        <w:t xml:space="preserve">La FAGE, Fédération des Associations Générales </w:t>
      </w:r>
      <w:proofErr w:type="spellStart"/>
      <w:r w:rsidRPr="00F45E34">
        <w:rPr>
          <w:rFonts w:ascii="Calibri" w:eastAsia="Calibri" w:hAnsi="Calibri" w:cs="Calibri"/>
          <w:color w:val="494771"/>
          <w:highlight w:val="white"/>
          <w:lang w:val="fr-FR"/>
        </w:rPr>
        <w:t>Etudiantes</w:t>
      </w:r>
      <w:proofErr w:type="spellEnd"/>
      <w:r>
        <w:rPr>
          <w:rFonts w:ascii="Calibri" w:eastAsia="Calibri" w:hAnsi="Calibri" w:cs="Calibri"/>
          <w:color w:val="494771"/>
          <w:highlight w:val="white"/>
          <w:vertAlign w:val="superscript"/>
        </w:rPr>
        <w:footnoteReference w:id="2"/>
      </w:r>
    </w:p>
    <w:p w14:paraId="0000000B" w14:textId="77777777" w:rsidR="003F609F" w:rsidRDefault="00000000">
      <w:pPr>
        <w:spacing w:after="240" w:line="276" w:lineRule="auto"/>
        <w:ind w:left="1134" w:right="1134"/>
        <w:jc w:val="center"/>
        <w:rPr>
          <w:rFonts w:ascii="Calibri" w:eastAsia="Calibri" w:hAnsi="Calibri" w:cs="Calibri"/>
          <w:color w:val="494771"/>
          <w:highlight w:val="white"/>
        </w:rPr>
      </w:pPr>
      <w:r>
        <w:rPr>
          <w:rFonts w:ascii="Calibri" w:eastAsia="Calibri" w:hAnsi="Calibri" w:cs="Calibri"/>
          <w:color w:val="494771"/>
          <w:highlight w:val="white"/>
        </w:rPr>
        <w:t>Global Students Forum</w:t>
      </w:r>
      <w:r>
        <w:rPr>
          <w:rFonts w:ascii="Calibri" w:eastAsia="Calibri" w:hAnsi="Calibri" w:cs="Calibri"/>
          <w:color w:val="494771"/>
          <w:highlight w:val="white"/>
          <w:vertAlign w:val="superscript"/>
        </w:rPr>
        <w:footnoteReference w:id="3"/>
      </w:r>
    </w:p>
    <w:p w14:paraId="0000000C" w14:textId="77777777" w:rsidR="003F609F" w:rsidRDefault="003F609F">
      <w:pPr>
        <w:spacing w:after="240" w:line="276" w:lineRule="auto"/>
        <w:jc w:val="both"/>
        <w:rPr>
          <w:rFonts w:ascii="Calibri" w:eastAsia="Calibri" w:hAnsi="Calibri" w:cs="Calibri"/>
          <w:highlight w:val="cyan"/>
        </w:rPr>
      </w:pPr>
    </w:p>
    <w:p w14:paraId="0000000D" w14:textId="77777777" w:rsidR="003F609F" w:rsidRDefault="003F609F">
      <w:pPr>
        <w:spacing w:after="240" w:line="276" w:lineRule="auto"/>
        <w:jc w:val="both"/>
        <w:rPr>
          <w:rFonts w:ascii="Calibri" w:eastAsia="Calibri" w:hAnsi="Calibri" w:cs="Calibri"/>
          <w:highlight w:val="cyan"/>
        </w:rPr>
      </w:pPr>
    </w:p>
    <w:p w14:paraId="0000000E" w14:textId="77777777" w:rsidR="003F609F" w:rsidRDefault="00000000">
      <w:pPr>
        <w:spacing w:after="240" w:line="276" w:lineRule="auto"/>
        <w:jc w:val="both"/>
        <w:rPr>
          <w:rFonts w:ascii="Calibri" w:eastAsia="Calibri" w:hAnsi="Calibri" w:cs="Calibri"/>
          <w:sz w:val="22"/>
          <w:szCs w:val="22"/>
        </w:rPr>
      </w:pPr>
      <w:r>
        <w:rPr>
          <w:rFonts w:ascii="Calibri" w:eastAsia="Calibri" w:hAnsi="Calibri" w:cs="Calibri"/>
          <w:b/>
          <w:sz w:val="22"/>
          <w:szCs w:val="22"/>
        </w:rPr>
        <w:t>This report focuses on the right to higher education</w:t>
      </w:r>
      <w:r>
        <w:rPr>
          <w:rFonts w:ascii="Calibri" w:eastAsia="Calibri" w:hAnsi="Calibri" w:cs="Calibri"/>
          <w:sz w:val="22"/>
          <w:szCs w:val="22"/>
        </w:rPr>
        <w:t xml:space="preserve">, questioning France’s compliance with its obligations regarding article 2.2 and article 13.2 (c) of the International Covenant on Economic Social and Cultural Rights (ICESCR). </w:t>
      </w:r>
    </w:p>
    <w:p w14:paraId="0000000F" w14:textId="77777777" w:rsidR="003F609F" w:rsidRDefault="00000000">
      <w:pPr>
        <w:spacing w:after="240" w:line="276" w:lineRule="auto"/>
        <w:jc w:val="both"/>
        <w:rPr>
          <w:rFonts w:ascii="Calibri" w:eastAsia="Calibri" w:hAnsi="Calibri" w:cs="Calibri"/>
          <w:color w:val="000000"/>
        </w:rPr>
      </w:pPr>
      <w:r>
        <w:rPr>
          <w:rFonts w:ascii="Calibri" w:eastAsia="Calibri" w:hAnsi="Calibri" w:cs="Calibri"/>
          <w:sz w:val="22"/>
          <w:szCs w:val="22"/>
        </w:rPr>
        <w:t xml:space="preserve">It is based on a </w:t>
      </w:r>
      <w:hyperlink r:id="rId9" w:anchor="section_view-default-2">
        <w:r>
          <w:rPr>
            <w:rFonts w:ascii="Calibri" w:eastAsia="Calibri" w:hAnsi="Calibri" w:cs="Calibri"/>
            <w:color w:val="1155CC"/>
            <w:sz w:val="22"/>
            <w:szCs w:val="22"/>
            <w:u w:val="single"/>
          </w:rPr>
          <w:t>five year research project</w:t>
        </w:r>
      </w:hyperlink>
      <w:hyperlink r:id="rId10" w:anchor="section_view-default-2">
        <w:r>
          <w:rPr>
            <w:rFonts w:ascii="Calibri" w:eastAsia="Calibri" w:hAnsi="Calibri" w:cs="Calibri"/>
            <w:color w:val="1155CC"/>
            <w:sz w:val="22"/>
            <w:szCs w:val="22"/>
          </w:rPr>
          <w:t xml:space="preserve"> </w:t>
        </w:r>
      </w:hyperlink>
      <w:r>
        <w:rPr>
          <w:rFonts w:ascii="Calibri" w:eastAsia="Calibri" w:hAnsi="Calibri" w:cs="Calibri"/>
          <w:sz w:val="22"/>
          <w:szCs w:val="22"/>
        </w:rPr>
        <w:t xml:space="preserve">developed by the Right to Education Initiative (RTE) in collaboration with students from </w:t>
      </w:r>
      <w:hyperlink r:id="rId11">
        <w:r>
          <w:rPr>
            <w:rFonts w:ascii="Calibri" w:eastAsia="Calibri" w:hAnsi="Calibri" w:cs="Calibri"/>
            <w:color w:val="1155CC"/>
            <w:sz w:val="22"/>
            <w:szCs w:val="22"/>
            <w:u w:val="single"/>
          </w:rPr>
          <w:t>Sciences Po Law School Clinic</w:t>
        </w:r>
      </w:hyperlink>
      <w:r>
        <w:rPr>
          <w:rFonts w:ascii="Calibri" w:eastAsia="Calibri" w:hAnsi="Calibri" w:cs="Calibri"/>
          <w:sz w:val="22"/>
          <w:szCs w:val="22"/>
        </w:rPr>
        <w:t xml:space="preserve"> (Paris) and researchers</w:t>
      </w:r>
      <w:r>
        <w:rPr>
          <w:rFonts w:ascii="Calibri" w:eastAsia="Calibri" w:hAnsi="Calibri" w:cs="Calibri"/>
          <w:sz w:val="22"/>
          <w:szCs w:val="22"/>
          <w:vertAlign w:val="superscript"/>
        </w:rPr>
        <w:footnoteReference w:id="4"/>
      </w:r>
      <w:r>
        <w:rPr>
          <w:rFonts w:ascii="Calibri" w:eastAsia="Calibri" w:hAnsi="Calibri" w:cs="Calibri"/>
          <w:sz w:val="22"/>
          <w:szCs w:val="22"/>
        </w:rPr>
        <w:t xml:space="preserve"> from the </w:t>
      </w:r>
      <w:hyperlink r:id="rId12">
        <w:r>
          <w:rPr>
            <w:rFonts w:ascii="Calibri" w:eastAsia="Calibri" w:hAnsi="Calibri" w:cs="Calibri"/>
            <w:color w:val="1155CC"/>
            <w:sz w:val="22"/>
            <w:szCs w:val="22"/>
            <w:u w:val="single"/>
          </w:rPr>
          <w:t>University of Geneva</w:t>
        </w:r>
      </w:hyperlink>
      <w:r>
        <w:rPr>
          <w:rFonts w:ascii="Calibri" w:eastAsia="Calibri" w:hAnsi="Calibri" w:cs="Calibri"/>
          <w:sz w:val="22"/>
          <w:szCs w:val="22"/>
        </w:rPr>
        <w:t xml:space="preserve">, </w:t>
      </w:r>
      <w:hyperlink r:id="rId13">
        <w:r>
          <w:rPr>
            <w:rFonts w:ascii="Calibri" w:eastAsia="Calibri" w:hAnsi="Calibri" w:cs="Calibri"/>
            <w:color w:val="1155CC"/>
            <w:sz w:val="22"/>
            <w:szCs w:val="22"/>
            <w:u w:val="single"/>
          </w:rPr>
          <w:t>University of Orléan</w:t>
        </w:r>
      </w:hyperlink>
      <w:hyperlink r:id="rId14">
        <w:r>
          <w:rPr>
            <w:rFonts w:ascii="Calibri" w:eastAsia="Calibri" w:hAnsi="Calibri" w:cs="Calibri"/>
            <w:color w:val="1155CC"/>
            <w:sz w:val="22"/>
            <w:szCs w:val="22"/>
            <w:u w:val="single"/>
          </w:rPr>
          <w:t>s</w:t>
        </w:r>
      </w:hyperlink>
      <w:r>
        <w:rPr>
          <w:rFonts w:ascii="Calibri" w:eastAsia="Calibri" w:hAnsi="Calibri" w:cs="Calibri"/>
          <w:sz w:val="22"/>
          <w:szCs w:val="22"/>
        </w:rPr>
        <w:t xml:space="preserve"> and </w:t>
      </w:r>
      <w:hyperlink r:id="rId15">
        <w:r>
          <w:rPr>
            <w:rFonts w:ascii="Calibri" w:eastAsia="Calibri" w:hAnsi="Calibri" w:cs="Calibri"/>
            <w:color w:val="1155CC"/>
            <w:sz w:val="22"/>
            <w:szCs w:val="22"/>
            <w:u w:val="single"/>
          </w:rPr>
          <w:t>ENS</w:t>
        </w:r>
      </w:hyperlink>
      <w:hyperlink r:id="rId16">
        <w:r>
          <w:rPr>
            <w:rFonts w:ascii="Calibri" w:eastAsia="Calibri" w:hAnsi="Calibri" w:cs="Calibri"/>
            <w:color w:val="1155CC"/>
            <w:sz w:val="22"/>
            <w:szCs w:val="22"/>
            <w:u w:val="single"/>
          </w:rPr>
          <w:t xml:space="preserve"> Paris </w:t>
        </w:r>
        <w:proofErr w:type="spellStart"/>
        <w:r>
          <w:rPr>
            <w:rFonts w:ascii="Calibri" w:eastAsia="Calibri" w:hAnsi="Calibri" w:cs="Calibri"/>
            <w:color w:val="1155CC"/>
            <w:sz w:val="22"/>
            <w:szCs w:val="22"/>
            <w:u w:val="single"/>
          </w:rPr>
          <w:t>Saclay</w:t>
        </w:r>
        <w:proofErr w:type="spellEnd"/>
      </w:hyperlink>
      <w:r>
        <w:rPr>
          <w:rFonts w:ascii="Calibri" w:eastAsia="Calibri" w:hAnsi="Calibri" w:cs="Calibri"/>
          <w:sz w:val="22"/>
          <w:szCs w:val="22"/>
          <w:vertAlign w:val="superscript"/>
        </w:rPr>
        <w:footnoteReference w:id="5"/>
      </w:r>
      <w:r>
        <w:rPr>
          <w:rFonts w:ascii="Calibri" w:eastAsia="Calibri" w:hAnsi="Calibri" w:cs="Calibri"/>
          <w:sz w:val="22"/>
          <w:szCs w:val="22"/>
        </w:rPr>
        <w:t xml:space="preserve">. </w:t>
      </w:r>
    </w:p>
    <w:p w14:paraId="00000010" w14:textId="77777777" w:rsidR="003F609F" w:rsidRDefault="00000000">
      <w:pPr>
        <w:pBdr>
          <w:top w:val="nil"/>
          <w:left w:val="nil"/>
          <w:bottom w:val="nil"/>
          <w:right w:val="nil"/>
          <w:between w:val="nil"/>
        </w:pBdr>
        <w:spacing w:after="240" w:line="276" w:lineRule="auto"/>
        <w:jc w:val="both"/>
        <w:rPr>
          <w:rFonts w:ascii="Calibri" w:eastAsia="Calibri" w:hAnsi="Calibri" w:cs="Calibri"/>
          <w:b/>
          <w:sz w:val="28"/>
          <w:szCs w:val="28"/>
        </w:rPr>
      </w:pPr>
      <w:r>
        <w:rPr>
          <w:rFonts w:ascii="Calibri" w:eastAsia="Calibri" w:hAnsi="Calibri" w:cs="Calibri"/>
          <w:b/>
          <w:color w:val="21959E"/>
          <w:sz w:val="28"/>
          <w:szCs w:val="28"/>
        </w:rPr>
        <w:lastRenderedPageBreak/>
        <w:t>Background</w:t>
      </w:r>
    </w:p>
    <w:p w14:paraId="00000011" w14:textId="77777777" w:rsidR="003F609F" w:rsidRDefault="00000000">
      <w:pPr>
        <w:pBdr>
          <w:top w:val="nil"/>
          <w:left w:val="nil"/>
          <w:bottom w:val="nil"/>
          <w:right w:val="nil"/>
          <w:between w:val="nil"/>
        </w:pBdr>
        <w:spacing w:after="240" w:line="276" w:lineRule="auto"/>
        <w:jc w:val="both"/>
        <w:rPr>
          <w:rFonts w:ascii="Calibri" w:eastAsia="Calibri" w:hAnsi="Calibri" w:cs="Calibri"/>
          <w:color w:val="000000"/>
          <w:sz w:val="22"/>
          <w:szCs w:val="22"/>
        </w:rPr>
      </w:pPr>
      <w:r>
        <w:rPr>
          <w:rFonts w:ascii="Calibri" w:eastAsia="Calibri" w:hAnsi="Calibri" w:cs="Calibri"/>
          <w:color w:val="000000"/>
          <w:sz w:val="22"/>
          <w:szCs w:val="22"/>
        </w:rPr>
        <w:t>In 2016</w:t>
      </w:r>
      <w:r>
        <w:rPr>
          <w:rFonts w:ascii="Calibri" w:eastAsia="Calibri" w:hAnsi="Calibri" w:cs="Calibri"/>
          <w:sz w:val="22"/>
          <w:szCs w:val="22"/>
        </w:rPr>
        <w:t>, the Committee on Economic, Social and Cultural Rights (CESCR) in its</w:t>
      </w:r>
      <w:r>
        <w:rPr>
          <w:rFonts w:ascii="Calibri" w:eastAsia="Calibri" w:hAnsi="Calibri" w:cs="Calibri"/>
          <w:color w:val="000000"/>
          <w:sz w:val="22"/>
          <w:szCs w:val="22"/>
        </w:rPr>
        <w:t xml:space="preserve"> </w:t>
      </w:r>
      <w:hyperlink r:id="rId17">
        <w:r>
          <w:rPr>
            <w:rFonts w:ascii="Calibri" w:eastAsia="Calibri" w:hAnsi="Calibri" w:cs="Calibri"/>
            <w:b/>
            <w:color w:val="1155CC"/>
            <w:sz w:val="22"/>
            <w:szCs w:val="22"/>
            <w:u w:val="single"/>
          </w:rPr>
          <w:t>concluding observations</w:t>
        </w:r>
      </w:hyperlink>
      <w:r>
        <w:rPr>
          <w:rFonts w:ascii="Calibri" w:eastAsia="Calibri" w:hAnsi="Calibri" w:cs="Calibri"/>
          <w:color w:val="000000"/>
          <w:sz w:val="22"/>
          <w:szCs w:val="22"/>
        </w:rPr>
        <w:t xml:space="preserve"> urged France to take steps to rectify the impact of social and economic inequalities on school performance (para. 52) and: (b) provide the necessary resources in terms of both budgetary allocations and qualified instructors; (d) ensure that indirect costs associated with school attendance at the secondary and tertiary levels do not reduce the accessibility of education for persons from disadvantaged households</w:t>
      </w:r>
      <w:r>
        <w:rPr>
          <w:rFonts w:ascii="Calibri" w:eastAsia="Calibri" w:hAnsi="Calibri" w:cs="Calibri"/>
          <w:color w:val="000000"/>
          <w:sz w:val="22"/>
          <w:szCs w:val="22"/>
          <w:vertAlign w:val="superscript"/>
        </w:rPr>
        <w:footnoteReference w:id="6"/>
      </w:r>
      <w:r>
        <w:rPr>
          <w:rFonts w:ascii="Calibri" w:eastAsia="Calibri" w:hAnsi="Calibri" w:cs="Calibri"/>
          <w:color w:val="000000"/>
          <w:sz w:val="22"/>
          <w:szCs w:val="22"/>
        </w:rPr>
        <w:t>.</w:t>
      </w:r>
    </w:p>
    <w:p w14:paraId="00000012" w14:textId="77777777" w:rsidR="003F609F" w:rsidRDefault="00000000">
      <w:pPr>
        <w:pBdr>
          <w:top w:val="nil"/>
          <w:left w:val="nil"/>
          <w:bottom w:val="nil"/>
          <w:right w:val="nil"/>
          <w:between w:val="nil"/>
        </w:pBdr>
        <w:spacing w:after="240" w:line="276"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In the </w:t>
      </w:r>
      <w:hyperlink r:id="rId18">
        <w:r>
          <w:rPr>
            <w:rFonts w:ascii="Calibri" w:eastAsia="Calibri" w:hAnsi="Calibri" w:cs="Calibri"/>
            <w:b/>
            <w:color w:val="1155CC"/>
            <w:sz w:val="22"/>
            <w:szCs w:val="22"/>
            <w:u w:val="single"/>
          </w:rPr>
          <w:t>list of issues</w:t>
        </w:r>
      </w:hyperlink>
      <w:r>
        <w:rPr>
          <w:rFonts w:ascii="Calibri" w:eastAsia="Calibri" w:hAnsi="Calibri" w:cs="Calibri"/>
          <w:b/>
          <w:color w:val="000000"/>
          <w:sz w:val="22"/>
          <w:szCs w:val="22"/>
        </w:rPr>
        <w:t xml:space="preserve"> </w:t>
      </w:r>
      <w:r>
        <w:rPr>
          <w:rFonts w:ascii="Calibri" w:eastAsia="Calibri" w:hAnsi="Calibri" w:cs="Calibri"/>
          <w:color w:val="000000"/>
          <w:sz w:val="22"/>
          <w:szCs w:val="22"/>
        </w:rPr>
        <w:t xml:space="preserve">prior to the 2021 reporting, </w:t>
      </w:r>
      <w:r>
        <w:rPr>
          <w:rFonts w:ascii="Calibri" w:eastAsia="Calibri" w:hAnsi="Calibri" w:cs="Calibri"/>
          <w:sz w:val="22"/>
          <w:szCs w:val="22"/>
        </w:rPr>
        <w:t>CESCR</w:t>
      </w:r>
      <w:r>
        <w:rPr>
          <w:rFonts w:ascii="Calibri" w:eastAsia="Calibri" w:hAnsi="Calibri" w:cs="Calibri"/>
          <w:color w:val="000000"/>
          <w:sz w:val="22"/>
          <w:szCs w:val="22"/>
        </w:rPr>
        <w:t xml:space="preserve"> asked France to ‘describe the impact of the measures taken to reduce the influence of a person’s social origins on his or her educational achievement’ and ‘describe the difficulties encountered in combating discrimination in access to education</w:t>
      </w:r>
      <w:r>
        <w:rPr>
          <w:rFonts w:ascii="Calibri" w:eastAsia="Calibri" w:hAnsi="Calibri" w:cs="Calibri"/>
          <w:sz w:val="22"/>
          <w:szCs w:val="22"/>
        </w:rPr>
        <w:t xml:space="preserve"> </w:t>
      </w:r>
      <w:r>
        <w:rPr>
          <w:rFonts w:ascii="Calibri" w:eastAsia="Calibri" w:hAnsi="Calibri" w:cs="Calibri"/>
          <w:color w:val="000000"/>
          <w:sz w:val="22"/>
          <w:szCs w:val="22"/>
        </w:rPr>
        <w:t>(…)’ (question 26)</w:t>
      </w:r>
      <w:r>
        <w:rPr>
          <w:rFonts w:ascii="Calibri" w:eastAsia="Calibri" w:hAnsi="Calibri" w:cs="Calibri"/>
          <w:color w:val="000000"/>
          <w:sz w:val="22"/>
          <w:szCs w:val="22"/>
          <w:vertAlign w:val="superscript"/>
        </w:rPr>
        <w:footnoteReference w:id="7"/>
      </w:r>
      <w:r>
        <w:rPr>
          <w:rFonts w:ascii="Calibri" w:eastAsia="Calibri" w:hAnsi="Calibri" w:cs="Calibri"/>
          <w:color w:val="000000"/>
          <w:sz w:val="22"/>
          <w:szCs w:val="22"/>
        </w:rPr>
        <w:t>.</w:t>
      </w:r>
    </w:p>
    <w:p w14:paraId="00000013" w14:textId="77777777" w:rsidR="003F609F" w:rsidRDefault="00000000">
      <w:pPr>
        <w:pBdr>
          <w:top w:val="nil"/>
          <w:left w:val="nil"/>
          <w:bottom w:val="nil"/>
          <w:right w:val="nil"/>
          <w:between w:val="nil"/>
        </w:pBdr>
        <w:spacing w:after="240" w:line="276"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With regards to this issue, </w:t>
      </w:r>
      <w:hyperlink r:id="rId19">
        <w:r>
          <w:rPr>
            <w:rFonts w:ascii="Calibri" w:eastAsia="Calibri" w:hAnsi="Calibri" w:cs="Calibri"/>
            <w:b/>
            <w:color w:val="1155CC"/>
            <w:sz w:val="22"/>
            <w:szCs w:val="22"/>
            <w:u w:val="single"/>
          </w:rPr>
          <w:t>France</w:t>
        </w:r>
      </w:hyperlink>
      <w:hyperlink r:id="rId20">
        <w:r>
          <w:rPr>
            <w:rFonts w:ascii="Calibri" w:eastAsia="Calibri" w:hAnsi="Calibri" w:cs="Calibri"/>
            <w:b/>
            <w:color w:val="1155CC"/>
            <w:sz w:val="22"/>
            <w:szCs w:val="22"/>
            <w:u w:val="single"/>
          </w:rPr>
          <w:t xml:space="preserve">, in its </w:t>
        </w:r>
      </w:hyperlink>
      <w:hyperlink r:id="rId21">
        <w:r>
          <w:rPr>
            <w:rFonts w:ascii="Calibri" w:eastAsia="Calibri" w:hAnsi="Calibri" w:cs="Calibri"/>
            <w:b/>
            <w:color w:val="1155CC"/>
            <w:sz w:val="22"/>
            <w:szCs w:val="22"/>
            <w:u w:val="single"/>
          </w:rPr>
          <w:t>report</w:t>
        </w:r>
      </w:hyperlink>
      <w:r>
        <w:rPr>
          <w:rFonts w:ascii="Calibri" w:eastAsia="Calibri" w:hAnsi="Calibri" w:cs="Calibri"/>
          <w:color w:val="000000"/>
          <w:sz w:val="22"/>
          <w:szCs w:val="22"/>
        </w:rPr>
        <w:t xml:space="preserve"> submitted in July 2021</w:t>
      </w:r>
      <w:r>
        <w:rPr>
          <w:rFonts w:ascii="Calibri" w:eastAsia="Calibri" w:hAnsi="Calibri" w:cs="Calibri"/>
          <w:sz w:val="22"/>
          <w:szCs w:val="22"/>
          <w:vertAlign w:val="superscript"/>
        </w:rPr>
        <w:footnoteReference w:id="8"/>
      </w:r>
      <w:r>
        <w:rPr>
          <w:rFonts w:ascii="Calibri" w:eastAsia="Calibri" w:hAnsi="Calibri" w:cs="Calibri"/>
          <w:sz w:val="22"/>
          <w:szCs w:val="22"/>
        </w:rPr>
        <w:t>,</w:t>
      </w:r>
      <w:r>
        <w:rPr>
          <w:rFonts w:ascii="Calibri" w:eastAsia="Calibri" w:hAnsi="Calibri" w:cs="Calibri"/>
          <w:color w:val="000000"/>
          <w:sz w:val="22"/>
          <w:szCs w:val="22"/>
        </w:rPr>
        <w:t xml:space="preserve"> </w:t>
      </w:r>
      <w:r>
        <w:rPr>
          <w:rFonts w:ascii="Calibri" w:eastAsia="Calibri" w:hAnsi="Calibri" w:cs="Calibri"/>
          <w:sz w:val="22"/>
          <w:szCs w:val="22"/>
        </w:rPr>
        <w:t>mentions some policies put in place to address this issue including a programme called</w:t>
      </w:r>
      <w:r>
        <w:rPr>
          <w:rFonts w:ascii="Calibri" w:eastAsia="Calibri" w:hAnsi="Calibri" w:cs="Calibri"/>
          <w:color w:val="000000"/>
          <w:sz w:val="22"/>
          <w:szCs w:val="22"/>
        </w:rPr>
        <w:t xml:space="preserve">: </w:t>
      </w:r>
      <w:r>
        <w:rPr>
          <w:rFonts w:ascii="Calibri" w:eastAsia="Calibri" w:hAnsi="Calibri" w:cs="Calibri"/>
          <w:sz w:val="22"/>
          <w:szCs w:val="22"/>
        </w:rPr>
        <w:t>‘</w:t>
      </w:r>
      <w:proofErr w:type="spellStart"/>
      <w:r>
        <w:rPr>
          <w:rFonts w:ascii="Calibri" w:eastAsia="Calibri" w:hAnsi="Calibri" w:cs="Calibri"/>
          <w:i/>
          <w:color w:val="000000"/>
          <w:sz w:val="22"/>
          <w:szCs w:val="22"/>
        </w:rPr>
        <w:t>Cordées</w:t>
      </w:r>
      <w:proofErr w:type="spellEnd"/>
      <w:r>
        <w:rPr>
          <w:rFonts w:ascii="Calibri" w:eastAsia="Calibri" w:hAnsi="Calibri" w:cs="Calibri"/>
          <w:i/>
          <w:color w:val="000000"/>
          <w:sz w:val="22"/>
          <w:szCs w:val="22"/>
        </w:rPr>
        <w:t xml:space="preserve"> de la </w:t>
      </w:r>
      <w:proofErr w:type="spellStart"/>
      <w:r>
        <w:rPr>
          <w:rFonts w:ascii="Calibri" w:eastAsia="Calibri" w:hAnsi="Calibri" w:cs="Calibri"/>
          <w:i/>
          <w:color w:val="000000"/>
          <w:sz w:val="22"/>
          <w:szCs w:val="22"/>
        </w:rPr>
        <w:t>Réussite</w:t>
      </w:r>
      <w:proofErr w:type="spellEnd"/>
      <w:r>
        <w:rPr>
          <w:rFonts w:ascii="Calibri" w:eastAsia="Calibri" w:hAnsi="Calibri" w:cs="Calibri"/>
          <w:i/>
          <w:sz w:val="22"/>
          <w:szCs w:val="22"/>
        </w:rPr>
        <w:t>’</w:t>
      </w:r>
      <w:r>
        <w:rPr>
          <w:rFonts w:ascii="Calibri" w:eastAsia="Calibri" w:hAnsi="Calibri" w:cs="Calibri"/>
          <w:sz w:val="22"/>
          <w:szCs w:val="22"/>
        </w:rPr>
        <w:t xml:space="preserve">, which aims to </w:t>
      </w:r>
      <w:r>
        <w:rPr>
          <w:rFonts w:ascii="Calibri" w:eastAsia="Calibri" w:hAnsi="Calibri" w:cs="Calibri"/>
          <w:color w:val="000000"/>
          <w:sz w:val="22"/>
          <w:szCs w:val="22"/>
        </w:rPr>
        <w:t xml:space="preserve">promote academic aspirations and the pursuit of higher education (para. 184), </w:t>
      </w:r>
      <w:r>
        <w:rPr>
          <w:rFonts w:ascii="Calibri" w:eastAsia="Calibri" w:hAnsi="Calibri" w:cs="Calibri"/>
          <w:sz w:val="22"/>
          <w:szCs w:val="22"/>
        </w:rPr>
        <w:t>and</w:t>
      </w:r>
      <w:r>
        <w:rPr>
          <w:rFonts w:ascii="Calibri" w:eastAsia="Calibri" w:hAnsi="Calibri" w:cs="Calibri"/>
          <w:color w:val="000000"/>
          <w:sz w:val="22"/>
          <w:szCs w:val="22"/>
        </w:rPr>
        <w:t xml:space="preserve"> the reform of the university application process and</w:t>
      </w:r>
      <w:r>
        <w:rPr>
          <w:rFonts w:ascii="Calibri" w:eastAsia="Calibri" w:hAnsi="Calibri" w:cs="Calibri"/>
          <w:sz w:val="22"/>
          <w:szCs w:val="22"/>
        </w:rPr>
        <w:t xml:space="preserve"> </w:t>
      </w:r>
      <w:r>
        <w:rPr>
          <w:rFonts w:ascii="Calibri" w:eastAsia="Calibri" w:hAnsi="Calibri" w:cs="Calibri"/>
          <w:color w:val="000000"/>
          <w:sz w:val="22"/>
          <w:szCs w:val="22"/>
        </w:rPr>
        <w:t>strengthening of social support for students (para. 185-1</w:t>
      </w:r>
      <w:r>
        <w:rPr>
          <w:rFonts w:ascii="Calibri" w:eastAsia="Calibri" w:hAnsi="Calibri" w:cs="Calibri"/>
          <w:sz w:val="22"/>
          <w:szCs w:val="22"/>
        </w:rPr>
        <w:t>86</w:t>
      </w:r>
      <w:r>
        <w:rPr>
          <w:rFonts w:ascii="Calibri" w:eastAsia="Calibri" w:hAnsi="Calibri" w:cs="Calibri"/>
          <w:color w:val="000000"/>
          <w:sz w:val="22"/>
          <w:szCs w:val="22"/>
        </w:rPr>
        <w:t>), me</w:t>
      </w:r>
      <w:r>
        <w:rPr>
          <w:rFonts w:ascii="Calibri" w:eastAsia="Calibri" w:hAnsi="Calibri" w:cs="Calibri"/>
          <w:sz w:val="22"/>
          <w:szCs w:val="22"/>
        </w:rPr>
        <w:t xml:space="preserve">ntioning that they are </w:t>
      </w:r>
      <w:r>
        <w:rPr>
          <w:rFonts w:ascii="Calibri" w:eastAsia="Calibri" w:hAnsi="Calibri" w:cs="Calibri"/>
          <w:color w:val="000000"/>
          <w:sz w:val="22"/>
          <w:szCs w:val="22"/>
        </w:rPr>
        <w:t>grounded in the principles of non-discrimination and equality (para. 186).</w:t>
      </w:r>
    </w:p>
    <w:p w14:paraId="00000014" w14:textId="77777777" w:rsidR="003F609F" w:rsidRDefault="00000000">
      <w:pPr>
        <w:pBdr>
          <w:top w:val="nil"/>
          <w:left w:val="nil"/>
          <w:bottom w:val="nil"/>
          <w:right w:val="nil"/>
          <w:between w:val="nil"/>
        </w:pBdr>
        <w:spacing w:after="240" w:line="276" w:lineRule="auto"/>
        <w:jc w:val="both"/>
        <w:rPr>
          <w:rFonts w:ascii="Calibri" w:eastAsia="Calibri" w:hAnsi="Calibri" w:cs="Calibri"/>
          <w:b/>
          <w:i/>
          <w:color w:val="000000"/>
          <w:sz w:val="22"/>
          <w:szCs w:val="22"/>
        </w:rPr>
      </w:pPr>
      <w:r>
        <w:rPr>
          <w:rFonts w:ascii="Calibri" w:eastAsia="Calibri" w:hAnsi="Calibri" w:cs="Calibri"/>
          <w:b/>
          <w:sz w:val="22"/>
          <w:szCs w:val="22"/>
        </w:rPr>
        <w:t>Our</w:t>
      </w:r>
      <w:r>
        <w:rPr>
          <w:rFonts w:ascii="Calibri" w:eastAsia="Calibri" w:hAnsi="Calibri" w:cs="Calibri"/>
          <w:b/>
          <w:color w:val="000000"/>
          <w:sz w:val="22"/>
          <w:szCs w:val="22"/>
        </w:rPr>
        <w:t xml:space="preserve"> submission highlights that the public policies </w:t>
      </w:r>
      <w:r>
        <w:rPr>
          <w:rFonts w:ascii="Calibri" w:eastAsia="Calibri" w:hAnsi="Calibri" w:cs="Calibri"/>
          <w:b/>
          <w:sz w:val="22"/>
          <w:szCs w:val="22"/>
        </w:rPr>
        <w:t>aiming to reduce inequalities in access to higher education</w:t>
      </w:r>
      <w:r>
        <w:rPr>
          <w:rFonts w:ascii="Calibri" w:eastAsia="Calibri" w:hAnsi="Calibri" w:cs="Calibri"/>
          <w:b/>
          <w:color w:val="000000"/>
          <w:sz w:val="22"/>
          <w:szCs w:val="22"/>
        </w:rPr>
        <w:t xml:space="preserve"> implemented by the French government since the last periodical reporting session are </w:t>
      </w:r>
      <w:proofErr w:type="gramStart"/>
      <w:r>
        <w:rPr>
          <w:rFonts w:ascii="Calibri" w:eastAsia="Calibri" w:hAnsi="Calibri" w:cs="Calibri"/>
          <w:b/>
          <w:sz w:val="22"/>
          <w:szCs w:val="22"/>
        </w:rPr>
        <w:t>insufficient, and</w:t>
      </w:r>
      <w:proofErr w:type="gramEnd"/>
      <w:r>
        <w:rPr>
          <w:rFonts w:ascii="Calibri" w:eastAsia="Calibri" w:hAnsi="Calibri" w:cs="Calibri"/>
          <w:b/>
          <w:sz w:val="22"/>
          <w:szCs w:val="22"/>
        </w:rPr>
        <w:t xml:space="preserve"> </w:t>
      </w:r>
      <w:r>
        <w:rPr>
          <w:rFonts w:ascii="Calibri" w:eastAsia="Calibri" w:hAnsi="Calibri" w:cs="Calibri"/>
          <w:b/>
          <w:color w:val="000000"/>
          <w:sz w:val="22"/>
          <w:szCs w:val="22"/>
        </w:rPr>
        <w:t>need to be reinforced and expanded. It argues that structural, territorial, and socio-economic inequalities</w:t>
      </w:r>
      <w:r>
        <w:rPr>
          <w:rFonts w:ascii="Calibri" w:eastAsia="Calibri" w:hAnsi="Calibri" w:cs="Calibri"/>
          <w:b/>
          <w:sz w:val="22"/>
          <w:szCs w:val="22"/>
        </w:rPr>
        <w:t xml:space="preserve"> </w:t>
      </w:r>
      <w:r>
        <w:rPr>
          <w:rFonts w:ascii="Calibri" w:eastAsia="Calibri" w:hAnsi="Calibri" w:cs="Calibri"/>
          <w:b/>
          <w:color w:val="000000"/>
          <w:sz w:val="22"/>
          <w:szCs w:val="22"/>
        </w:rPr>
        <w:t xml:space="preserve">as well as the </w:t>
      </w:r>
      <w:r>
        <w:rPr>
          <w:rFonts w:ascii="Calibri" w:eastAsia="Calibri" w:hAnsi="Calibri" w:cs="Calibri"/>
          <w:b/>
          <w:sz w:val="22"/>
          <w:szCs w:val="22"/>
        </w:rPr>
        <w:t>S</w:t>
      </w:r>
      <w:r>
        <w:rPr>
          <w:rFonts w:ascii="Calibri" w:eastAsia="Calibri" w:hAnsi="Calibri" w:cs="Calibri"/>
          <w:b/>
          <w:color w:val="000000"/>
          <w:sz w:val="22"/>
          <w:szCs w:val="22"/>
        </w:rPr>
        <w:t>tate’s higher education financing policy</w:t>
      </w:r>
      <w:r>
        <w:rPr>
          <w:rFonts w:ascii="Calibri" w:eastAsia="Calibri" w:hAnsi="Calibri" w:cs="Calibri"/>
          <w:b/>
          <w:sz w:val="22"/>
          <w:szCs w:val="22"/>
        </w:rPr>
        <w:t xml:space="preserve"> </w:t>
      </w:r>
      <w:r>
        <w:rPr>
          <w:rFonts w:ascii="Calibri" w:eastAsia="Calibri" w:hAnsi="Calibri" w:cs="Calibri"/>
          <w:b/>
          <w:color w:val="000000"/>
          <w:sz w:val="22"/>
          <w:szCs w:val="22"/>
        </w:rPr>
        <w:t xml:space="preserve">hinder equality and non-discrimination in access to higher education and increase the </w:t>
      </w:r>
      <w:r>
        <w:rPr>
          <w:rFonts w:ascii="Calibri" w:eastAsia="Calibri" w:hAnsi="Calibri" w:cs="Calibri"/>
          <w:b/>
          <w:sz w:val="22"/>
          <w:szCs w:val="22"/>
        </w:rPr>
        <w:t>privatisation</w:t>
      </w:r>
      <w:r>
        <w:rPr>
          <w:rFonts w:ascii="Calibri" w:eastAsia="Calibri" w:hAnsi="Calibri" w:cs="Calibri"/>
          <w:b/>
          <w:color w:val="000000"/>
          <w:sz w:val="22"/>
          <w:szCs w:val="22"/>
        </w:rPr>
        <w:t xml:space="preserve"> trend.</w:t>
      </w:r>
      <w:r>
        <w:rPr>
          <w:rFonts w:ascii="Calibri" w:eastAsia="Calibri" w:hAnsi="Calibri" w:cs="Calibri"/>
          <w:b/>
          <w:i/>
          <w:color w:val="000000"/>
          <w:sz w:val="22"/>
          <w:szCs w:val="22"/>
        </w:rPr>
        <w:t xml:space="preserve"> </w:t>
      </w:r>
    </w:p>
    <w:p w14:paraId="00000015" w14:textId="77777777" w:rsidR="003F609F" w:rsidRDefault="00000000">
      <w:pPr>
        <w:pBdr>
          <w:top w:val="nil"/>
          <w:left w:val="nil"/>
          <w:bottom w:val="nil"/>
          <w:right w:val="nil"/>
          <w:between w:val="nil"/>
        </w:pBdr>
        <w:spacing w:after="240" w:line="276" w:lineRule="auto"/>
        <w:jc w:val="both"/>
        <w:rPr>
          <w:rFonts w:ascii="Calibri" w:eastAsia="Calibri" w:hAnsi="Calibri" w:cs="Calibri"/>
          <w:b/>
          <w:color w:val="21959E"/>
          <w:sz w:val="28"/>
          <w:szCs w:val="28"/>
        </w:rPr>
      </w:pPr>
      <w:r>
        <w:rPr>
          <w:rFonts w:ascii="Calibri" w:eastAsia="Calibri" w:hAnsi="Calibri" w:cs="Calibri"/>
          <w:b/>
          <w:color w:val="21959E"/>
          <w:sz w:val="28"/>
          <w:szCs w:val="28"/>
        </w:rPr>
        <w:t xml:space="preserve">The ICESCR’s provisions applying to this </w:t>
      </w:r>
      <w:proofErr w:type="gramStart"/>
      <w:r>
        <w:rPr>
          <w:rFonts w:ascii="Calibri" w:eastAsia="Calibri" w:hAnsi="Calibri" w:cs="Calibri"/>
          <w:b/>
          <w:color w:val="21959E"/>
          <w:sz w:val="28"/>
          <w:szCs w:val="28"/>
        </w:rPr>
        <w:t>issue</w:t>
      </w:r>
      <w:proofErr w:type="gramEnd"/>
    </w:p>
    <w:p w14:paraId="00000016" w14:textId="77777777" w:rsidR="003F609F" w:rsidRDefault="00000000">
      <w:pPr>
        <w:pBdr>
          <w:top w:val="nil"/>
          <w:left w:val="nil"/>
          <w:bottom w:val="nil"/>
          <w:right w:val="nil"/>
          <w:between w:val="nil"/>
        </w:pBdr>
        <w:spacing w:after="240" w:line="276"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The </w:t>
      </w:r>
      <w:hyperlink r:id="rId22">
        <w:r>
          <w:rPr>
            <w:rFonts w:ascii="Calibri" w:eastAsia="Calibri" w:hAnsi="Calibri" w:cs="Calibri"/>
            <w:color w:val="1155CC"/>
            <w:sz w:val="22"/>
            <w:szCs w:val="22"/>
            <w:u w:val="single"/>
          </w:rPr>
          <w:t>International Co</w:t>
        </w:r>
      </w:hyperlink>
      <w:hyperlink r:id="rId23">
        <w:r>
          <w:rPr>
            <w:rFonts w:ascii="Calibri" w:eastAsia="Calibri" w:hAnsi="Calibri" w:cs="Calibri"/>
            <w:color w:val="1155CC"/>
            <w:sz w:val="22"/>
            <w:szCs w:val="22"/>
            <w:u w:val="single"/>
          </w:rPr>
          <w:t>venant</w:t>
        </w:r>
      </w:hyperlink>
      <w:hyperlink r:id="rId24">
        <w:r>
          <w:rPr>
            <w:rFonts w:ascii="Calibri" w:eastAsia="Calibri" w:hAnsi="Calibri" w:cs="Calibri"/>
            <w:color w:val="1155CC"/>
            <w:sz w:val="22"/>
            <w:szCs w:val="22"/>
            <w:u w:val="single"/>
          </w:rPr>
          <w:t xml:space="preserve"> on Economic, Social and Cultural Rights</w:t>
        </w:r>
      </w:hyperlink>
      <w:r>
        <w:rPr>
          <w:rFonts w:ascii="Calibri" w:eastAsia="Calibri" w:hAnsi="Calibri" w:cs="Calibri"/>
          <w:color w:val="000000"/>
          <w:sz w:val="22"/>
          <w:szCs w:val="22"/>
        </w:rPr>
        <w:t xml:space="preserve"> (ICESCR), ratified by France </w:t>
      </w:r>
      <w:r>
        <w:rPr>
          <w:rFonts w:ascii="Calibri" w:eastAsia="Calibri" w:hAnsi="Calibri" w:cs="Calibri"/>
          <w:sz w:val="22"/>
          <w:szCs w:val="22"/>
        </w:rPr>
        <w:t>in</w:t>
      </w:r>
      <w:r>
        <w:rPr>
          <w:rFonts w:ascii="Calibri" w:eastAsia="Calibri" w:hAnsi="Calibri" w:cs="Calibri"/>
          <w:color w:val="000000"/>
          <w:sz w:val="22"/>
          <w:szCs w:val="22"/>
        </w:rPr>
        <w:t xml:space="preserve"> </w:t>
      </w:r>
      <w:r>
        <w:rPr>
          <w:rFonts w:ascii="Calibri" w:eastAsia="Calibri" w:hAnsi="Calibri" w:cs="Calibri"/>
          <w:sz w:val="22"/>
          <w:szCs w:val="22"/>
        </w:rPr>
        <w:t>1980,</w:t>
      </w:r>
      <w:r>
        <w:rPr>
          <w:rFonts w:ascii="Calibri" w:eastAsia="Calibri" w:hAnsi="Calibri" w:cs="Calibri"/>
          <w:color w:val="000000"/>
          <w:sz w:val="22"/>
          <w:szCs w:val="22"/>
        </w:rPr>
        <w:t xml:space="preserve"> </w:t>
      </w:r>
      <w:r>
        <w:rPr>
          <w:rFonts w:ascii="Calibri" w:eastAsia="Calibri" w:hAnsi="Calibri" w:cs="Calibri"/>
          <w:sz w:val="22"/>
          <w:szCs w:val="22"/>
        </w:rPr>
        <w:t xml:space="preserve">provides </w:t>
      </w:r>
      <w:r>
        <w:rPr>
          <w:rFonts w:ascii="Calibri" w:eastAsia="Calibri" w:hAnsi="Calibri" w:cs="Calibri"/>
          <w:color w:val="000000"/>
          <w:sz w:val="22"/>
          <w:szCs w:val="22"/>
        </w:rPr>
        <w:t>that higher education shall be made equally accessible to all, on the basis of capacity, by every appropriate means, and in particular by the progressive introduction of free education</w:t>
      </w:r>
      <w:r>
        <w:rPr>
          <w:rFonts w:ascii="Calibri" w:eastAsia="Calibri" w:hAnsi="Calibri" w:cs="Calibri"/>
          <w:color w:val="000000"/>
          <w:sz w:val="22"/>
          <w:szCs w:val="22"/>
          <w:vertAlign w:val="superscript"/>
        </w:rPr>
        <w:footnoteReference w:id="9"/>
      </w:r>
      <w:r>
        <w:rPr>
          <w:rFonts w:ascii="Calibri" w:eastAsia="Calibri" w:hAnsi="Calibri" w:cs="Calibri"/>
          <w:color w:val="000000"/>
          <w:sz w:val="22"/>
          <w:szCs w:val="22"/>
        </w:rPr>
        <w:t xml:space="preserve">. </w:t>
      </w:r>
    </w:p>
    <w:p w14:paraId="00000017" w14:textId="77777777" w:rsidR="003F609F" w:rsidRDefault="00000000">
      <w:pPr>
        <w:pBdr>
          <w:top w:val="nil"/>
          <w:left w:val="nil"/>
          <w:bottom w:val="nil"/>
          <w:right w:val="nil"/>
          <w:between w:val="nil"/>
        </w:pBdr>
        <w:spacing w:after="240" w:line="276" w:lineRule="auto"/>
        <w:jc w:val="both"/>
        <w:rPr>
          <w:rFonts w:ascii="Calibri" w:eastAsia="Calibri" w:hAnsi="Calibri" w:cs="Calibri"/>
          <w:sz w:val="22"/>
          <w:szCs w:val="22"/>
        </w:rPr>
      </w:pPr>
      <w:r>
        <w:rPr>
          <w:rFonts w:ascii="Calibri" w:eastAsia="Calibri" w:hAnsi="Calibri" w:cs="Calibri"/>
          <w:sz w:val="22"/>
          <w:szCs w:val="22"/>
        </w:rPr>
        <w:t xml:space="preserve">According to the interpretation made by CESCR in its </w:t>
      </w:r>
      <w:hyperlink r:id="rId25">
        <w:r>
          <w:rPr>
            <w:rFonts w:ascii="Calibri" w:eastAsia="Calibri" w:hAnsi="Calibri" w:cs="Calibri"/>
            <w:color w:val="1155CC"/>
            <w:sz w:val="22"/>
            <w:szCs w:val="22"/>
            <w:u w:val="single"/>
          </w:rPr>
          <w:t>General comment 13</w:t>
        </w:r>
      </w:hyperlink>
      <w:r>
        <w:rPr>
          <w:rFonts w:ascii="Calibri" w:eastAsia="Calibri" w:hAnsi="Calibri" w:cs="Calibri"/>
          <w:sz w:val="22"/>
          <w:szCs w:val="22"/>
        </w:rPr>
        <w:t xml:space="preserve">, this means that states have an immediate obligation to ensure that higher education institutions are available and accessible to all students who are capable of pursuing higher education, without any discrimination. States are required to provide students with adequate facilities and </w:t>
      </w:r>
      <w:proofErr w:type="gramStart"/>
      <w:r>
        <w:rPr>
          <w:rFonts w:ascii="Calibri" w:eastAsia="Calibri" w:hAnsi="Calibri" w:cs="Calibri"/>
          <w:sz w:val="22"/>
          <w:szCs w:val="22"/>
        </w:rPr>
        <w:t>a sufficient number of</w:t>
      </w:r>
      <w:proofErr w:type="gramEnd"/>
      <w:r>
        <w:rPr>
          <w:rFonts w:ascii="Calibri" w:eastAsia="Calibri" w:hAnsi="Calibri" w:cs="Calibri"/>
          <w:sz w:val="22"/>
          <w:szCs w:val="22"/>
        </w:rPr>
        <w:t xml:space="preserve"> trained teachers in order to support the delivery of higher education, which must be affordable as well as physically accessible. Physical accessibility means that higher education must be within physical reach for all students, either by attending classes in a reasonably close area or using new technologies.</w:t>
      </w:r>
      <w:r>
        <w:rPr>
          <w:rFonts w:ascii="Calibri" w:eastAsia="Calibri" w:hAnsi="Calibri" w:cs="Calibri"/>
          <w:sz w:val="22"/>
          <w:szCs w:val="22"/>
          <w:vertAlign w:val="superscript"/>
        </w:rPr>
        <w:footnoteReference w:id="10"/>
      </w:r>
      <w:r>
        <w:rPr>
          <w:rFonts w:ascii="Calibri" w:eastAsia="Calibri" w:hAnsi="Calibri" w:cs="Calibri"/>
          <w:sz w:val="22"/>
          <w:szCs w:val="22"/>
        </w:rPr>
        <w:t xml:space="preserve"> </w:t>
      </w:r>
      <w:r>
        <w:rPr>
          <w:rFonts w:ascii="Calibri" w:eastAsia="Calibri" w:hAnsi="Calibri" w:cs="Calibri"/>
          <w:sz w:val="22"/>
          <w:szCs w:val="22"/>
        </w:rPr>
        <w:lastRenderedPageBreak/>
        <w:t>Affordability means that education must be financially accessible to all</w:t>
      </w:r>
      <w:r>
        <w:rPr>
          <w:rFonts w:ascii="Calibri" w:eastAsia="Calibri" w:hAnsi="Calibri" w:cs="Calibri"/>
          <w:sz w:val="22"/>
          <w:szCs w:val="22"/>
          <w:vertAlign w:val="superscript"/>
        </w:rPr>
        <w:footnoteReference w:id="11"/>
      </w:r>
      <w:r>
        <w:rPr>
          <w:rFonts w:ascii="Calibri" w:eastAsia="Calibri" w:hAnsi="Calibri" w:cs="Calibri"/>
          <w:sz w:val="22"/>
          <w:szCs w:val="22"/>
        </w:rPr>
        <w:t>, and that states are required to use the maximum of their available resources to ‘advance as quickly and efficiently as possible’ towards the full implementation of free higher education</w:t>
      </w:r>
      <w:r>
        <w:rPr>
          <w:rFonts w:ascii="Calibri" w:eastAsia="Calibri" w:hAnsi="Calibri" w:cs="Calibri"/>
          <w:sz w:val="22"/>
          <w:szCs w:val="22"/>
          <w:vertAlign w:val="superscript"/>
        </w:rPr>
        <w:footnoteReference w:id="12"/>
      </w:r>
      <w:r>
        <w:rPr>
          <w:rFonts w:ascii="Calibri" w:eastAsia="Calibri" w:hAnsi="Calibri" w:cs="Calibri"/>
          <w:sz w:val="22"/>
          <w:szCs w:val="22"/>
        </w:rPr>
        <w:t>. This implies that any ‘deliberately regressive measures’ in higher education, such as budget cuts, would require the most careful consideration: the State must demonstrate that such regressive measures are fully justified, by reference to the totality of the rights provided for in the Covenant and in the context of the full use of the maximum available resources</w:t>
      </w:r>
      <w:r>
        <w:rPr>
          <w:rFonts w:ascii="Calibri" w:eastAsia="Calibri" w:hAnsi="Calibri" w:cs="Calibri"/>
          <w:sz w:val="22"/>
          <w:szCs w:val="22"/>
          <w:vertAlign w:val="superscript"/>
        </w:rPr>
        <w:footnoteReference w:id="13"/>
      </w:r>
      <w:r>
        <w:rPr>
          <w:rFonts w:ascii="Calibri" w:eastAsia="Calibri" w:hAnsi="Calibri" w:cs="Calibri"/>
          <w:sz w:val="22"/>
          <w:szCs w:val="22"/>
        </w:rPr>
        <w:t>.</w:t>
      </w:r>
    </w:p>
    <w:p w14:paraId="00000018" w14:textId="77777777" w:rsidR="003F609F" w:rsidRDefault="00000000">
      <w:pPr>
        <w:pBdr>
          <w:top w:val="nil"/>
          <w:left w:val="nil"/>
          <w:bottom w:val="nil"/>
          <w:right w:val="nil"/>
          <w:between w:val="nil"/>
        </w:pBdr>
        <w:spacing w:after="240" w:line="276" w:lineRule="auto"/>
        <w:jc w:val="both"/>
        <w:rPr>
          <w:rFonts w:ascii="Calibri" w:eastAsia="Calibri" w:hAnsi="Calibri" w:cs="Calibri"/>
          <w:b/>
          <w:color w:val="21959E"/>
        </w:rPr>
      </w:pPr>
      <w:r>
        <w:rPr>
          <w:rFonts w:ascii="Calibri" w:eastAsia="Calibri" w:hAnsi="Calibri" w:cs="Calibri"/>
          <w:color w:val="000000"/>
          <w:sz w:val="22"/>
          <w:szCs w:val="22"/>
        </w:rPr>
        <w:t xml:space="preserve">Non-discrimination is also guaranteed in article 2.2 of the ICESCR, which ensures that the right to education (including higher education) must be exercised ‘without discrimination of any kind as to race, colour, sex, language, religion, political or other opinion, national or social origin, property, </w:t>
      </w:r>
      <w:proofErr w:type="gramStart"/>
      <w:r>
        <w:rPr>
          <w:rFonts w:ascii="Calibri" w:eastAsia="Calibri" w:hAnsi="Calibri" w:cs="Calibri"/>
          <w:color w:val="000000"/>
          <w:sz w:val="22"/>
          <w:szCs w:val="22"/>
        </w:rPr>
        <w:t>birth</w:t>
      </w:r>
      <w:proofErr w:type="gramEnd"/>
      <w:r>
        <w:rPr>
          <w:rFonts w:ascii="Calibri" w:eastAsia="Calibri" w:hAnsi="Calibri" w:cs="Calibri"/>
          <w:color w:val="000000"/>
          <w:sz w:val="22"/>
          <w:szCs w:val="22"/>
        </w:rPr>
        <w:t xml:space="preserve"> or other status’</w:t>
      </w:r>
      <w:r>
        <w:rPr>
          <w:rFonts w:ascii="Calibri" w:eastAsia="Calibri" w:hAnsi="Calibri" w:cs="Calibri"/>
          <w:color w:val="000000"/>
          <w:sz w:val="22"/>
          <w:szCs w:val="22"/>
          <w:vertAlign w:val="superscript"/>
        </w:rPr>
        <w:footnoteReference w:id="14"/>
      </w:r>
      <w:r>
        <w:rPr>
          <w:rFonts w:ascii="Calibri" w:eastAsia="Calibri" w:hAnsi="Calibri" w:cs="Calibri"/>
          <w:color w:val="000000"/>
          <w:sz w:val="22"/>
          <w:szCs w:val="22"/>
        </w:rPr>
        <w:t xml:space="preserve">. </w:t>
      </w:r>
    </w:p>
    <w:p w14:paraId="00000019" w14:textId="77777777" w:rsidR="003F609F" w:rsidRDefault="00000000">
      <w:pPr>
        <w:pBdr>
          <w:top w:val="nil"/>
          <w:left w:val="nil"/>
          <w:bottom w:val="nil"/>
          <w:right w:val="nil"/>
          <w:between w:val="nil"/>
        </w:pBdr>
        <w:spacing w:after="240" w:line="276" w:lineRule="auto"/>
        <w:jc w:val="both"/>
        <w:rPr>
          <w:rFonts w:ascii="Calibri" w:eastAsia="Calibri" w:hAnsi="Calibri" w:cs="Calibri"/>
          <w:b/>
          <w:color w:val="21959E"/>
          <w:sz w:val="28"/>
          <w:szCs w:val="28"/>
        </w:rPr>
      </w:pPr>
      <w:r>
        <w:rPr>
          <w:rFonts w:ascii="Calibri" w:eastAsia="Calibri" w:hAnsi="Calibri" w:cs="Calibri"/>
          <w:b/>
          <w:color w:val="21959E"/>
          <w:sz w:val="28"/>
          <w:szCs w:val="28"/>
        </w:rPr>
        <w:t xml:space="preserve">The national legislation applying to higher </w:t>
      </w:r>
      <w:proofErr w:type="gramStart"/>
      <w:r>
        <w:rPr>
          <w:rFonts w:ascii="Calibri" w:eastAsia="Calibri" w:hAnsi="Calibri" w:cs="Calibri"/>
          <w:b/>
          <w:color w:val="21959E"/>
          <w:sz w:val="28"/>
          <w:szCs w:val="28"/>
        </w:rPr>
        <w:t>education</w:t>
      </w:r>
      <w:proofErr w:type="gramEnd"/>
      <w:r>
        <w:rPr>
          <w:rFonts w:ascii="Calibri" w:eastAsia="Calibri" w:hAnsi="Calibri" w:cs="Calibri"/>
          <w:b/>
          <w:color w:val="21959E"/>
          <w:sz w:val="28"/>
          <w:szCs w:val="28"/>
        </w:rPr>
        <w:t xml:space="preserve"> </w:t>
      </w:r>
    </w:p>
    <w:p w14:paraId="0000001A" w14:textId="77777777" w:rsidR="003F609F" w:rsidRDefault="00000000">
      <w:pPr>
        <w:pBdr>
          <w:top w:val="nil"/>
          <w:left w:val="nil"/>
          <w:bottom w:val="nil"/>
          <w:right w:val="nil"/>
          <w:between w:val="nil"/>
        </w:pBdr>
        <w:spacing w:after="240" w:line="276" w:lineRule="auto"/>
        <w:jc w:val="both"/>
        <w:rPr>
          <w:rFonts w:ascii="Calibri" w:eastAsia="Calibri" w:hAnsi="Calibri" w:cs="Calibri"/>
          <w:sz w:val="22"/>
          <w:szCs w:val="22"/>
        </w:rPr>
      </w:pPr>
      <w:hyperlink r:id="rId26">
        <w:r>
          <w:rPr>
            <w:rFonts w:ascii="Calibri" w:eastAsia="Calibri" w:hAnsi="Calibri" w:cs="Calibri"/>
            <w:color w:val="1155CC"/>
            <w:sz w:val="22"/>
            <w:szCs w:val="22"/>
            <w:u w:val="single"/>
          </w:rPr>
          <w:t>France’s constitution</w:t>
        </w:r>
      </w:hyperlink>
      <w:r>
        <w:rPr>
          <w:rFonts w:ascii="Calibri" w:eastAsia="Calibri" w:hAnsi="Calibri" w:cs="Calibri"/>
          <w:color w:val="000000"/>
          <w:sz w:val="22"/>
          <w:szCs w:val="22"/>
        </w:rPr>
        <w:t xml:space="preserve"> </w:t>
      </w:r>
      <w:r>
        <w:rPr>
          <w:rFonts w:ascii="Calibri" w:eastAsia="Calibri" w:hAnsi="Calibri" w:cs="Calibri"/>
          <w:sz w:val="22"/>
          <w:szCs w:val="22"/>
        </w:rPr>
        <w:t>goes beyond international law, establishing that ‘the provision of free, public and secular education at all levels is a duty of the State,’ and that ‘the Nation guarantees equal access for children and adults to instruction, vocational training’ (</w:t>
      </w:r>
      <w:hyperlink r:id="rId27" w:anchor=":~:text=1.,des%20droits%20inali%C3%A9nables%20et%20sacr%C3%A9s.">
        <w:r>
          <w:rPr>
            <w:rFonts w:ascii="Calibri" w:eastAsia="Calibri" w:hAnsi="Calibri" w:cs="Calibri"/>
            <w:color w:val="1155CC"/>
            <w:sz w:val="22"/>
            <w:szCs w:val="22"/>
            <w:u w:val="single"/>
          </w:rPr>
          <w:t>para. 13 of the Preamble of the Constitution of 1946</w:t>
        </w:r>
      </w:hyperlink>
      <w:r>
        <w:rPr>
          <w:rFonts w:ascii="Calibri" w:eastAsia="Calibri" w:hAnsi="Calibri" w:cs="Calibri"/>
          <w:sz w:val="22"/>
          <w:szCs w:val="22"/>
          <w:vertAlign w:val="superscript"/>
        </w:rPr>
        <w:footnoteReference w:id="15"/>
      </w:r>
      <w:r>
        <w:rPr>
          <w:rFonts w:ascii="Calibri" w:eastAsia="Calibri" w:hAnsi="Calibri" w:cs="Calibri"/>
          <w:sz w:val="22"/>
          <w:szCs w:val="22"/>
        </w:rPr>
        <w:t>). A decision of the Constitutional Council from 2019</w:t>
      </w:r>
      <w:r>
        <w:rPr>
          <w:rFonts w:ascii="Calibri" w:eastAsia="Calibri" w:hAnsi="Calibri" w:cs="Calibri"/>
          <w:sz w:val="22"/>
          <w:szCs w:val="22"/>
          <w:vertAlign w:val="superscript"/>
        </w:rPr>
        <w:footnoteReference w:id="16"/>
      </w:r>
      <w:r>
        <w:rPr>
          <w:rFonts w:ascii="Calibri" w:eastAsia="Calibri" w:hAnsi="Calibri" w:cs="Calibri"/>
          <w:sz w:val="22"/>
          <w:szCs w:val="22"/>
        </w:rPr>
        <w:t xml:space="preserve"> stated that the tuition fees set by public higher education institutions must </w:t>
      </w:r>
      <w:proofErr w:type="gramStart"/>
      <w:r>
        <w:rPr>
          <w:rFonts w:ascii="Calibri" w:eastAsia="Calibri" w:hAnsi="Calibri" w:cs="Calibri"/>
          <w:sz w:val="22"/>
          <w:szCs w:val="22"/>
        </w:rPr>
        <w:t>take into account</w:t>
      </w:r>
      <w:proofErr w:type="gramEnd"/>
      <w:r>
        <w:rPr>
          <w:rFonts w:ascii="Calibri" w:eastAsia="Calibri" w:hAnsi="Calibri" w:cs="Calibri"/>
          <w:sz w:val="22"/>
          <w:szCs w:val="22"/>
        </w:rPr>
        <w:t xml:space="preserve"> the financial resources of students. In addition, t</w:t>
      </w:r>
      <w:r>
        <w:rPr>
          <w:rFonts w:ascii="Calibri" w:eastAsia="Calibri" w:hAnsi="Calibri" w:cs="Calibri"/>
          <w:color w:val="000000"/>
          <w:sz w:val="22"/>
          <w:szCs w:val="22"/>
        </w:rPr>
        <w:t xml:space="preserve">he </w:t>
      </w:r>
      <w:hyperlink r:id="rId28">
        <w:r>
          <w:rPr>
            <w:rFonts w:ascii="Calibri" w:eastAsia="Calibri" w:hAnsi="Calibri" w:cs="Calibri"/>
            <w:color w:val="1155CC"/>
            <w:sz w:val="22"/>
            <w:szCs w:val="22"/>
            <w:u w:val="single"/>
          </w:rPr>
          <w:t>Education</w:t>
        </w:r>
      </w:hyperlink>
      <w:hyperlink r:id="rId29">
        <w:r>
          <w:rPr>
            <w:rFonts w:ascii="Calibri" w:eastAsia="Calibri" w:hAnsi="Calibri" w:cs="Calibri"/>
            <w:color w:val="1155CC"/>
            <w:sz w:val="22"/>
            <w:szCs w:val="22"/>
            <w:u w:val="single"/>
          </w:rPr>
          <w:t xml:space="preserve"> </w:t>
        </w:r>
      </w:hyperlink>
      <w:hyperlink r:id="rId30">
        <w:r>
          <w:rPr>
            <w:rFonts w:ascii="Calibri" w:eastAsia="Calibri" w:hAnsi="Calibri" w:cs="Calibri"/>
            <w:color w:val="1155CC"/>
            <w:sz w:val="22"/>
            <w:szCs w:val="22"/>
            <w:u w:val="single"/>
          </w:rPr>
          <w:t>Code</w:t>
        </w:r>
      </w:hyperlink>
      <w:r>
        <w:rPr>
          <w:rFonts w:ascii="Calibri" w:eastAsia="Calibri" w:hAnsi="Calibri" w:cs="Calibri"/>
          <w:color w:val="000000"/>
          <w:sz w:val="22"/>
          <w:szCs w:val="22"/>
        </w:rPr>
        <w:t xml:space="preserve"> </w:t>
      </w:r>
      <w:r>
        <w:rPr>
          <w:rFonts w:ascii="Calibri" w:eastAsia="Calibri" w:hAnsi="Calibri" w:cs="Calibri"/>
          <w:sz w:val="22"/>
          <w:szCs w:val="22"/>
        </w:rPr>
        <w:t>establishes</w:t>
      </w:r>
      <w:r>
        <w:rPr>
          <w:rFonts w:ascii="Calibri" w:eastAsia="Calibri" w:hAnsi="Calibri" w:cs="Calibri"/>
          <w:color w:val="000000"/>
          <w:sz w:val="22"/>
          <w:szCs w:val="22"/>
        </w:rPr>
        <w:t xml:space="preserve"> that higher education should contribute to the fight against discrimination, to the reduction of social and economic inequalities, and to a more inclusive society</w:t>
      </w:r>
      <w:r>
        <w:rPr>
          <w:rFonts w:ascii="Calibri" w:eastAsia="Calibri" w:hAnsi="Calibri" w:cs="Calibri"/>
          <w:color w:val="000000"/>
          <w:sz w:val="22"/>
          <w:szCs w:val="22"/>
          <w:vertAlign w:val="superscript"/>
        </w:rPr>
        <w:footnoteReference w:id="17"/>
      </w:r>
      <w:r>
        <w:rPr>
          <w:rFonts w:ascii="Calibri" w:eastAsia="Calibri" w:hAnsi="Calibri" w:cs="Calibri"/>
          <w:color w:val="000000"/>
          <w:sz w:val="22"/>
          <w:szCs w:val="22"/>
        </w:rPr>
        <w:t>. To this end, it determines that higher education seeks to promote the inclusion of all individuals without distinction of origin, social background, and health condition</w:t>
      </w:r>
      <w:r>
        <w:rPr>
          <w:rFonts w:ascii="Calibri" w:eastAsia="Calibri" w:hAnsi="Calibri" w:cs="Calibri"/>
          <w:color w:val="000000"/>
          <w:sz w:val="22"/>
          <w:szCs w:val="22"/>
          <w:vertAlign w:val="superscript"/>
        </w:rPr>
        <w:footnoteReference w:id="18"/>
      </w:r>
      <w:r>
        <w:rPr>
          <w:rFonts w:ascii="Calibri" w:eastAsia="Calibri" w:hAnsi="Calibri" w:cs="Calibri"/>
          <w:color w:val="000000"/>
          <w:sz w:val="22"/>
          <w:szCs w:val="22"/>
        </w:rPr>
        <w:t>. Higher education is also legislated in a myriad of French laws that regulate all post-secondary education and establish France’s public policies with regards to higher education.</w:t>
      </w:r>
    </w:p>
    <w:p w14:paraId="0000001B" w14:textId="77777777" w:rsidR="003F609F" w:rsidRDefault="00000000">
      <w:pPr>
        <w:pBdr>
          <w:top w:val="nil"/>
          <w:left w:val="nil"/>
          <w:bottom w:val="nil"/>
          <w:right w:val="nil"/>
          <w:between w:val="nil"/>
        </w:pBdr>
        <w:spacing w:after="240" w:line="276" w:lineRule="auto"/>
        <w:jc w:val="both"/>
        <w:rPr>
          <w:rFonts w:ascii="Calibri" w:eastAsia="Calibri" w:hAnsi="Calibri" w:cs="Calibri"/>
          <w:b/>
          <w:color w:val="21959E"/>
          <w:sz w:val="28"/>
          <w:szCs w:val="28"/>
        </w:rPr>
      </w:pPr>
      <w:r>
        <w:rPr>
          <w:rFonts w:ascii="Calibri" w:eastAsia="Calibri" w:hAnsi="Calibri" w:cs="Calibri"/>
          <w:b/>
          <w:color w:val="21959E"/>
          <w:sz w:val="28"/>
          <w:szCs w:val="28"/>
        </w:rPr>
        <w:t>Overview of the French higher education system</w:t>
      </w:r>
    </w:p>
    <w:p w14:paraId="0000001C" w14:textId="77777777" w:rsidR="003F609F" w:rsidRDefault="00000000">
      <w:pPr>
        <w:spacing w:after="200" w:line="276" w:lineRule="auto"/>
        <w:jc w:val="both"/>
        <w:rPr>
          <w:rFonts w:ascii="Calibri" w:eastAsia="Calibri" w:hAnsi="Calibri" w:cs="Calibri"/>
          <w:sz w:val="22"/>
          <w:szCs w:val="22"/>
        </w:rPr>
      </w:pPr>
      <w:r>
        <w:rPr>
          <w:rFonts w:ascii="Calibri" w:eastAsia="Calibri" w:hAnsi="Calibri" w:cs="Calibri"/>
          <w:sz w:val="22"/>
          <w:szCs w:val="22"/>
        </w:rPr>
        <w:t xml:space="preserve">The French higher education system offers a variety of institutions, </w:t>
      </w:r>
      <w:proofErr w:type="gramStart"/>
      <w:r>
        <w:rPr>
          <w:rFonts w:ascii="Calibri" w:eastAsia="Calibri" w:hAnsi="Calibri" w:cs="Calibri"/>
          <w:sz w:val="22"/>
          <w:szCs w:val="22"/>
        </w:rPr>
        <w:t>courses</w:t>
      </w:r>
      <w:proofErr w:type="gramEnd"/>
      <w:r>
        <w:rPr>
          <w:rFonts w:ascii="Calibri" w:eastAsia="Calibri" w:hAnsi="Calibri" w:cs="Calibri"/>
          <w:sz w:val="22"/>
          <w:szCs w:val="22"/>
        </w:rPr>
        <w:t xml:space="preserve"> and tracks, characterised by high institutional differentiation and academic hierarchy among tracks</w:t>
      </w:r>
      <w:r>
        <w:rPr>
          <w:rFonts w:ascii="Calibri" w:eastAsia="Calibri" w:hAnsi="Calibri" w:cs="Calibri"/>
          <w:sz w:val="22"/>
          <w:szCs w:val="22"/>
          <w:vertAlign w:val="superscript"/>
        </w:rPr>
        <w:footnoteReference w:id="19"/>
      </w:r>
      <w:r>
        <w:rPr>
          <w:rFonts w:ascii="Calibri" w:eastAsia="Calibri" w:hAnsi="Calibri" w:cs="Calibri"/>
          <w:sz w:val="22"/>
          <w:szCs w:val="22"/>
        </w:rPr>
        <w:t xml:space="preserve">. Access to Higher Education is based on a two-track system. On the one hand, there is an open system, without prior selection, which includes public universities delivering three types of diplomas—bachelor’s degrees, master’s </w:t>
      </w:r>
      <w:proofErr w:type="gramStart"/>
      <w:r>
        <w:rPr>
          <w:rFonts w:ascii="Calibri" w:eastAsia="Calibri" w:hAnsi="Calibri" w:cs="Calibri"/>
          <w:sz w:val="22"/>
          <w:szCs w:val="22"/>
        </w:rPr>
        <w:t>degrees</w:t>
      </w:r>
      <w:proofErr w:type="gramEnd"/>
      <w:r>
        <w:rPr>
          <w:rFonts w:ascii="Calibri" w:eastAsia="Calibri" w:hAnsi="Calibri" w:cs="Calibri"/>
          <w:sz w:val="22"/>
          <w:szCs w:val="22"/>
        </w:rPr>
        <w:t xml:space="preserve"> and doctorate degrees, after a minimum of three, five, or eight years of study, respectively. On the other hand, there is a selective system, with both public and private establishments providing </w:t>
      </w:r>
      <w:r>
        <w:rPr>
          <w:rFonts w:ascii="Calibri" w:eastAsia="Calibri" w:hAnsi="Calibri" w:cs="Calibri"/>
          <w:sz w:val="22"/>
          <w:szCs w:val="22"/>
        </w:rPr>
        <w:lastRenderedPageBreak/>
        <w:t xml:space="preserve">highly specialised programs which can last from two years in vocational tracks to five years to obtain a </w:t>
      </w:r>
      <w:proofErr w:type="gramStart"/>
      <w:r>
        <w:rPr>
          <w:rFonts w:ascii="Calibri" w:eastAsia="Calibri" w:hAnsi="Calibri" w:cs="Calibri"/>
          <w:sz w:val="22"/>
          <w:szCs w:val="22"/>
        </w:rPr>
        <w:t>Master’s</w:t>
      </w:r>
      <w:proofErr w:type="gramEnd"/>
      <w:r>
        <w:rPr>
          <w:rFonts w:ascii="Calibri" w:eastAsia="Calibri" w:hAnsi="Calibri" w:cs="Calibri"/>
          <w:sz w:val="22"/>
          <w:szCs w:val="22"/>
        </w:rPr>
        <w:t xml:space="preserve"> or equivalent level diploma. Admission into selective institutions relies on a selection process that is usually based on student profiles and motivations, except for the distinct </w:t>
      </w:r>
      <w:r>
        <w:rPr>
          <w:rFonts w:ascii="Calibri" w:eastAsia="Calibri" w:hAnsi="Calibri" w:cs="Calibri"/>
          <w:i/>
          <w:sz w:val="22"/>
          <w:szCs w:val="22"/>
        </w:rPr>
        <w:t>Grandes Écoles</w:t>
      </w:r>
      <w:r>
        <w:rPr>
          <w:rFonts w:ascii="Calibri" w:eastAsia="Calibri" w:hAnsi="Calibri" w:cs="Calibri"/>
          <w:i/>
          <w:sz w:val="22"/>
          <w:szCs w:val="22"/>
          <w:vertAlign w:val="superscript"/>
        </w:rPr>
        <w:footnoteReference w:id="20"/>
      </w:r>
      <w:r>
        <w:rPr>
          <w:rFonts w:ascii="Calibri" w:eastAsia="Calibri" w:hAnsi="Calibri" w:cs="Calibri"/>
          <w:sz w:val="22"/>
          <w:szCs w:val="22"/>
        </w:rPr>
        <w:t xml:space="preserve"> path which uses entrance exams.</w:t>
      </w:r>
    </w:p>
    <w:p w14:paraId="0000001D" w14:textId="77777777" w:rsidR="003F609F" w:rsidRDefault="00000000">
      <w:pPr>
        <w:spacing w:after="200" w:line="276" w:lineRule="auto"/>
        <w:jc w:val="both"/>
        <w:rPr>
          <w:rFonts w:ascii="Calibri" w:eastAsia="Calibri" w:hAnsi="Calibri" w:cs="Calibri"/>
          <w:b/>
          <w:color w:val="21959E"/>
        </w:rPr>
      </w:pPr>
      <w:r>
        <w:rPr>
          <w:rFonts w:ascii="Calibri" w:eastAsia="Calibri" w:hAnsi="Calibri" w:cs="Calibri"/>
          <w:b/>
          <w:noProof/>
          <w:color w:val="21959E"/>
        </w:rPr>
        <w:drawing>
          <wp:inline distT="114300" distB="114300" distL="114300" distR="114300" wp14:anchorId="1547C9DC" wp14:editId="7E17BB09">
            <wp:extent cx="5760410" cy="4038600"/>
            <wp:effectExtent l="0" t="0" r="0" b="0"/>
            <wp:docPr id="207605358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1"/>
                    <a:srcRect/>
                    <a:stretch>
                      <a:fillRect/>
                    </a:stretch>
                  </pic:blipFill>
                  <pic:spPr>
                    <a:xfrm>
                      <a:off x="0" y="0"/>
                      <a:ext cx="5760410" cy="4038600"/>
                    </a:xfrm>
                    <a:prstGeom prst="rect">
                      <a:avLst/>
                    </a:prstGeom>
                    <a:ln/>
                  </pic:spPr>
                </pic:pic>
              </a:graphicData>
            </a:graphic>
          </wp:inline>
        </w:drawing>
      </w:r>
    </w:p>
    <w:p w14:paraId="0000001E" w14:textId="77777777" w:rsidR="003F609F" w:rsidRDefault="00000000">
      <w:pPr>
        <w:spacing w:after="200" w:line="276" w:lineRule="auto"/>
        <w:jc w:val="center"/>
        <w:rPr>
          <w:rFonts w:ascii="Calibri" w:eastAsia="Calibri" w:hAnsi="Calibri" w:cs="Calibri"/>
          <w:i/>
          <w:sz w:val="22"/>
          <w:szCs w:val="22"/>
        </w:rPr>
      </w:pPr>
      <w:r>
        <w:rPr>
          <w:rFonts w:ascii="Calibri" w:eastAsia="Calibri" w:hAnsi="Calibri" w:cs="Calibri"/>
          <w:b/>
          <w:color w:val="21959E"/>
        </w:rPr>
        <w:t xml:space="preserve"> </w:t>
      </w:r>
      <w:r>
        <w:rPr>
          <w:rFonts w:ascii="Calibri" w:eastAsia="Calibri" w:hAnsi="Calibri" w:cs="Calibri"/>
          <w:i/>
          <w:sz w:val="22"/>
          <w:szCs w:val="22"/>
        </w:rPr>
        <w:t>Figure 1.  Overview of the French Higher Education system</w:t>
      </w:r>
      <w:r>
        <w:rPr>
          <w:rFonts w:ascii="Calibri" w:eastAsia="Calibri" w:hAnsi="Calibri" w:cs="Calibri"/>
          <w:i/>
          <w:sz w:val="22"/>
          <w:szCs w:val="22"/>
          <w:vertAlign w:val="superscript"/>
        </w:rPr>
        <w:footnoteReference w:id="21"/>
      </w:r>
    </w:p>
    <w:p w14:paraId="0000001F" w14:textId="77777777" w:rsidR="003F609F" w:rsidRDefault="003F609F">
      <w:pPr>
        <w:spacing w:after="200" w:line="276" w:lineRule="auto"/>
        <w:jc w:val="both"/>
        <w:rPr>
          <w:rFonts w:ascii="Calibri" w:eastAsia="Calibri" w:hAnsi="Calibri" w:cs="Calibri"/>
          <w:b/>
          <w:color w:val="21959E"/>
        </w:rPr>
      </w:pPr>
    </w:p>
    <w:p w14:paraId="00000020" w14:textId="77777777" w:rsidR="003F609F" w:rsidRDefault="00000000">
      <w:pPr>
        <w:pBdr>
          <w:top w:val="nil"/>
          <w:left w:val="nil"/>
          <w:bottom w:val="nil"/>
          <w:right w:val="nil"/>
          <w:between w:val="nil"/>
        </w:pBdr>
        <w:spacing w:after="240" w:line="276" w:lineRule="auto"/>
        <w:jc w:val="both"/>
        <w:rPr>
          <w:rFonts w:ascii="Calibri" w:eastAsia="Calibri" w:hAnsi="Calibri" w:cs="Calibri"/>
          <w:b/>
          <w:color w:val="21959E"/>
          <w:sz w:val="28"/>
          <w:szCs w:val="28"/>
        </w:rPr>
      </w:pPr>
      <w:r>
        <w:rPr>
          <w:rFonts w:ascii="Calibri" w:eastAsia="Calibri" w:hAnsi="Calibri" w:cs="Calibri"/>
          <w:b/>
          <w:color w:val="21959E"/>
          <w:sz w:val="28"/>
          <w:szCs w:val="28"/>
        </w:rPr>
        <w:t xml:space="preserve">The polarisation and vertical stratification of the French higher education system create inequalities in access to higher </w:t>
      </w:r>
      <w:proofErr w:type="gramStart"/>
      <w:r>
        <w:rPr>
          <w:rFonts w:ascii="Calibri" w:eastAsia="Calibri" w:hAnsi="Calibri" w:cs="Calibri"/>
          <w:b/>
          <w:color w:val="21959E"/>
          <w:sz w:val="28"/>
          <w:szCs w:val="28"/>
        </w:rPr>
        <w:t>education</w:t>
      </w:r>
      <w:proofErr w:type="gramEnd"/>
    </w:p>
    <w:p w14:paraId="00000021" w14:textId="77777777" w:rsidR="003F609F" w:rsidRDefault="00000000">
      <w:pPr>
        <w:pBdr>
          <w:top w:val="nil"/>
          <w:left w:val="nil"/>
          <w:bottom w:val="nil"/>
          <w:right w:val="nil"/>
          <w:between w:val="nil"/>
        </w:pBdr>
        <w:spacing w:after="240" w:line="276" w:lineRule="auto"/>
        <w:jc w:val="both"/>
        <w:rPr>
          <w:rFonts w:ascii="Calibri" w:eastAsia="Calibri" w:hAnsi="Calibri" w:cs="Calibri"/>
          <w:b/>
          <w:color w:val="21959E"/>
          <w:sz w:val="26"/>
          <w:szCs w:val="26"/>
        </w:rPr>
      </w:pPr>
      <w:r>
        <w:rPr>
          <w:rFonts w:ascii="Calibri" w:eastAsia="Calibri" w:hAnsi="Calibri" w:cs="Calibri"/>
          <w:b/>
          <w:color w:val="494771"/>
          <w:sz w:val="26"/>
          <w:szCs w:val="26"/>
        </w:rPr>
        <w:t xml:space="preserve">Geographical polarisation </w:t>
      </w:r>
    </w:p>
    <w:p w14:paraId="00000022" w14:textId="77777777" w:rsidR="003F609F" w:rsidRDefault="00000000">
      <w:pPr>
        <w:pBdr>
          <w:top w:val="nil"/>
          <w:left w:val="nil"/>
          <w:bottom w:val="nil"/>
          <w:right w:val="nil"/>
          <w:between w:val="nil"/>
        </w:pBdr>
        <w:spacing w:after="240" w:line="276" w:lineRule="auto"/>
        <w:jc w:val="both"/>
        <w:rPr>
          <w:rFonts w:ascii="Calibri" w:eastAsia="Calibri" w:hAnsi="Calibri" w:cs="Calibri"/>
          <w:color w:val="000000"/>
          <w:sz w:val="22"/>
          <w:szCs w:val="22"/>
        </w:rPr>
      </w:pPr>
      <w:r>
        <w:rPr>
          <w:rFonts w:ascii="Calibri" w:eastAsia="Calibri" w:hAnsi="Calibri" w:cs="Calibri"/>
          <w:color w:val="000000"/>
          <w:sz w:val="22"/>
          <w:szCs w:val="22"/>
        </w:rPr>
        <w:t>While higher education institutions are generally available across the country, some regions offer a variety of paths, program</w:t>
      </w:r>
      <w:r>
        <w:rPr>
          <w:rFonts w:ascii="Calibri" w:eastAsia="Calibri" w:hAnsi="Calibri" w:cs="Calibri"/>
          <w:sz w:val="22"/>
          <w:szCs w:val="22"/>
        </w:rPr>
        <w:t>mes</w:t>
      </w:r>
      <w:r>
        <w:rPr>
          <w:rFonts w:ascii="Calibri" w:eastAsia="Calibri" w:hAnsi="Calibri" w:cs="Calibri"/>
          <w:color w:val="000000"/>
          <w:sz w:val="22"/>
          <w:szCs w:val="22"/>
        </w:rPr>
        <w:t xml:space="preserve">, fields of study and institutions, whilst others have a limited offering. </w:t>
      </w:r>
      <w:r>
        <w:rPr>
          <w:rFonts w:ascii="Calibri" w:eastAsia="Calibri" w:hAnsi="Calibri" w:cs="Calibri"/>
          <w:b/>
          <w:color w:val="000000"/>
          <w:sz w:val="22"/>
          <w:szCs w:val="22"/>
        </w:rPr>
        <w:t xml:space="preserve"> There is a </w:t>
      </w:r>
      <w:r>
        <w:rPr>
          <w:rFonts w:ascii="Calibri" w:eastAsia="Calibri" w:hAnsi="Calibri" w:cs="Calibri"/>
          <w:b/>
          <w:sz w:val="22"/>
          <w:szCs w:val="22"/>
        </w:rPr>
        <w:t>significant</w:t>
      </w:r>
      <w:r>
        <w:rPr>
          <w:rFonts w:ascii="Calibri" w:eastAsia="Calibri" w:hAnsi="Calibri" w:cs="Calibri"/>
          <w:b/>
          <w:color w:val="000000"/>
          <w:sz w:val="22"/>
          <w:szCs w:val="22"/>
        </w:rPr>
        <w:t xml:space="preserve"> concentration of public institutions in the </w:t>
      </w:r>
      <w:r>
        <w:rPr>
          <w:rFonts w:ascii="Calibri" w:eastAsia="Calibri" w:hAnsi="Calibri" w:cs="Calibri"/>
          <w:b/>
          <w:sz w:val="22"/>
          <w:szCs w:val="22"/>
        </w:rPr>
        <w:t xml:space="preserve">Parisian </w:t>
      </w:r>
      <w:r>
        <w:rPr>
          <w:rFonts w:ascii="Calibri" w:eastAsia="Calibri" w:hAnsi="Calibri" w:cs="Calibri"/>
          <w:b/>
          <w:color w:val="000000"/>
          <w:sz w:val="22"/>
          <w:szCs w:val="22"/>
        </w:rPr>
        <w:t>region</w:t>
      </w:r>
      <w:r>
        <w:rPr>
          <w:rFonts w:ascii="Calibri" w:eastAsia="Calibri" w:hAnsi="Calibri" w:cs="Calibri"/>
          <w:color w:val="000000"/>
          <w:sz w:val="22"/>
          <w:szCs w:val="22"/>
        </w:rPr>
        <w:t xml:space="preserve"> (</w:t>
      </w:r>
      <w:r>
        <w:rPr>
          <w:rFonts w:ascii="Calibri" w:eastAsia="Calibri" w:hAnsi="Calibri" w:cs="Calibri"/>
          <w:sz w:val="22"/>
          <w:szCs w:val="22"/>
        </w:rPr>
        <w:t>Ile-de-France)</w:t>
      </w:r>
      <w:r>
        <w:rPr>
          <w:rFonts w:ascii="Calibri" w:eastAsia="Calibri" w:hAnsi="Calibri" w:cs="Calibri"/>
          <w:color w:val="000000"/>
          <w:sz w:val="22"/>
          <w:szCs w:val="22"/>
        </w:rPr>
        <w:t xml:space="preserve"> (Fig. 2).</w:t>
      </w:r>
      <w:r>
        <w:rPr>
          <w:rFonts w:ascii="Calibri" w:eastAsia="Calibri" w:hAnsi="Calibri" w:cs="Calibri"/>
        </w:rPr>
        <w:t xml:space="preserve"> </w:t>
      </w:r>
      <w:r>
        <w:rPr>
          <w:rFonts w:ascii="Calibri" w:eastAsia="Calibri" w:hAnsi="Calibri" w:cs="Calibri"/>
          <w:b/>
          <w:color w:val="000000"/>
          <w:sz w:val="22"/>
          <w:szCs w:val="22"/>
        </w:rPr>
        <w:t xml:space="preserve">High quality and </w:t>
      </w:r>
      <w:r>
        <w:rPr>
          <w:rFonts w:ascii="Calibri" w:eastAsia="Calibri" w:hAnsi="Calibri" w:cs="Calibri"/>
          <w:b/>
          <w:sz w:val="22"/>
          <w:szCs w:val="22"/>
        </w:rPr>
        <w:t>specialised</w:t>
      </w:r>
      <w:r>
        <w:rPr>
          <w:rFonts w:ascii="Calibri" w:eastAsia="Calibri" w:hAnsi="Calibri" w:cs="Calibri"/>
          <w:b/>
          <w:color w:val="000000"/>
          <w:sz w:val="22"/>
          <w:szCs w:val="22"/>
        </w:rPr>
        <w:t xml:space="preserve"> institutions are located around large city hubs</w:t>
      </w:r>
      <w:r>
        <w:rPr>
          <w:rFonts w:ascii="Calibri" w:eastAsia="Calibri" w:hAnsi="Calibri" w:cs="Calibri"/>
          <w:color w:val="000000"/>
          <w:sz w:val="22"/>
          <w:szCs w:val="22"/>
        </w:rPr>
        <w:t xml:space="preserve"> (</w:t>
      </w:r>
      <w:proofErr w:type="gramStart"/>
      <w:r>
        <w:rPr>
          <w:rFonts w:ascii="Calibri" w:eastAsia="Calibri" w:hAnsi="Calibri" w:cs="Calibri"/>
          <w:color w:val="000000"/>
          <w:sz w:val="22"/>
          <w:szCs w:val="22"/>
        </w:rPr>
        <w:t>e.g.</w:t>
      </w:r>
      <w:proofErr w:type="gramEnd"/>
      <w:r>
        <w:rPr>
          <w:rFonts w:ascii="Calibri" w:eastAsia="Calibri" w:hAnsi="Calibri" w:cs="Calibri"/>
          <w:color w:val="000000"/>
          <w:sz w:val="22"/>
          <w:szCs w:val="22"/>
        </w:rPr>
        <w:t xml:space="preserve"> Paris, Lyon, Lille). </w:t>
      </w:r>
      <w:r>
        <w:rPr>
          <w:rFonts w:ascii="Calibri" w:eastAsia="Calibri" w:hAnsi="Calibri" w:cs="Calibri"/>
          <w:sz w:val="22"/>
          <w:szCs w:val="22"/>
        </w:rPr>
        <w:t xml:space="preserve">This uneven distribution of higher education institutions in France is reflected in the numbers of </w:t>
      </w:r>
      <w:r>
        <w:rPr>
          <w:rFonts w:ascii="Calibri" w:eastAsia="Calibri" w:hAnsi="Calibri" w:cs="Calibri"/>
          <w:sz w:val="22"/>
          <w:szCs w:val="22"/>
        </w:rPr>
        <w:lastRenderedPageBreak/>
        <w:t xml:space="preserve">students: in 2019, </w:t>
      </w:r>
      <w:r>
        <w:rPr>
          <w:rFonts w:ascii="Calibri" w:eastAsia="Calibri" w:hAnsi="Calibri" w:cs="Calibri"/>
          <w:b/>
          <w:sz w:val="22"/>
          <w:szCs w:val="22"/>
        </w:rPr>
        <w:t>m</w:t>
      </w:r>
      <w:r>
        <w:rPr>
          <w:rFonts w:ascii="Calibri" w:eastAsia="Calibri" w:hAnsi="Calibri" w:cs="Calibri"/>
          <w:b/>
          <w:color w:val="000000"/>
          <w:sz w:val="22"/>
          <w:szCs w:val="22"/>
        </w:rPr>
        <w:t xml:space="preserve">ore than a quarter of higher education students (26.5%) </w:t>
      </w:r>
      <w:r>
        <w:rPr>
          <w:rFonts w:ascii="Calibri" w:eastAsia="Calibri" w:hAnsi="Calibri" w:cs="Calibri"/>
          <w:b/>
          <w:sz w:val="22"/>
          <w:szCs w:val="22"/>
        </w:rPr>
        <w:t>were</w:t>
      </w:r>
      <w:r>
        <w:rPr>
          <w:rFonts w:ascii="Calibri" w:eastAsia="Calibri" w:hAnsi="Calibri" w:cs="Calibri"/>
          <w:b/>
          <w:color w:val="000000"/>
          <w:sz w:val="22"/>
          <w:szCs w:val="22"/>
        </w:rPr>
        <w:t xml:space="preserve"> </w:t>
      </w:r>
      <w:proofErr w:type="spellStart"/>
      <w:r>
        <w:rPr>
          <w:rFonts w:ascii="Calibri" w:eastAsia="Calibri" w:hAnsi="Calibri" w:cs="Calibri"/>
          <w:b/>
          <w:color w:val="000000"/>
          <w:sz w:val="22"/>
          <w:szCs w:val="22"/>
        </w:rPr>
        <w:t>enroled</w:t>
      </w:r>
      <w:proofErr w:type="spellEnd"/>
      <w:r>
        <w:rPr>
          <w:rFonts w:ascii="Calibri" w:eastAsia="Calibri" w:hAnsi="Calibri" w:cs="Calibri"/>
          <w:b/>
          <w:color w:val="000000"/>
          <w:sz w:val="22"/>
          <w:szCs w:val="22"/>
        </w:rPr>
        <w:t xml:space="preserve"> in institutions in the Parisian region </w:t>
      </w:r>
      <w:r>
        <w:rPr>
          <w:rFonts w:ascii="Calibri" w:eastAsia="Calibri" w:hAnsi="Calibri" w:cs="Calibri"/>
          <w:color w:val="000000"/>
          <w:sz w:val="22"/>
          <w:szCs w:val="22"/>
        </w:rPr>
        <w:t>of Île-de-France</w:t>
      </w:r>
      <w:r>
        <w:rPr>
          <w:rFonts w:ascii="Calibri" w:eastAsia="Calibri" w:hAnsi="Calibri" w:cs="Calibri"/>
          <w:color w:val="000000"/>
          <w:sz w:val="22"/>
          <w:szCs w:val="22"/>
          <w:vertAlign w:val="superscript"/>
        </w:rPr>
        <w:footnoteReference w:id="22"/>
      </w:r>
      <w:r>
        <w:rPr>
          <w:rFonts w:ascii="Calibri" w:eastAsia="Calibri" w:hAnsi="Calibri" w:cs="Calibri"/>
          <w:color w:val="000000"/>
          <w:sz w:val="22"/>
          <w:szCs w:val="22"/>
        </w:rPr>
        <w:t xml:space="preserve"> (</w:t>
      </w:r>
      <w:r>
        <w:rPr>
          <w:rFonts w:ascii="Calibri" w:eastAsia="Calibri" w:hAnsi="Calibri" w:cs="Calibri"/>
          <w:sz w:val="22"/>
          <w:szCs w:val="22"/>
        </w:rPr>
        <w:t>Fig. 3)</w:t>
      </w:r>
      <w:r>
        <w:rPr>
          <w:rFonts w:ascii="Calibri" w:eastAsia="Calibri" w:hAnsi="Calibri" w:cs="Calibri"/>
          <w:color w:val="000000"/>
          <w:sz w:val="22"/>
          <w:szCs w:val="22"/>
        </w:rPr>
        <w:t xml:space="preserve">. </w:t>
      </w:r>
    </w:p>
    <w:p w14:paraId="00000023" w14:textId="77777777" w:rsidR="003F609F" w:rsidRDefault="00000000">
      <w:pPr>
        <w:spacing w:after="200" w:line="276" w:lineRule="auto"/>
        <w:jc w:val="both"/>
        <w:rPr>
          <w:rFonts w:ascii="Calibri" w:eastAsia="Calibri" w:hAnsi="Calibri" w:cs="Calibri"/>
          <w:sz w:val="22"/>
          <w:szCs w:val="22"/>
        </w:rPr>
      </w:pPr>
      <w:r>
        <w:rPr>
          <w:rFonts w:ascii="Calibri" w:eastAsia="Calibri" w:hAnsi="Calibri" w:cs="Calibri"/>
          <w:sz w:val="22"/>
          <w:szCs w:val="22"/>
        </w:rPr>
        <w:t xml:space="preserve">Data on the mobility of students show that </w:t>
      </w:r>
      <w:r>
        <w:rPr>
          <w:rFonts w:ascii="Calibri" w:eastAsia="Calibri" w:hAnsi="Calibri" w:cs="Calibri"/>
          <w:b/>
          <w:sz w:val="22"/>
          <w:szCs w:val="22"/>
        </w:rPr>
        <w:t>students tend to move to cities with the widest choice of higher education programmes</w:t>
      </w:r>
      <w:r>
        <w:rPr>
          <w:rFonts w:ascii="Calibri" w:eastAsia="Calibri" w:hAnsi="Calibri" w:cs="Calibri"/>
          <w:sz w:val="22"/>
          <w:szCs w:val="22"/>
        </w:rPr>
        <w:t>. Indeed, fewer than 20% of all students enrolled in Paris in 2017 were from Île-de-France.</w:t>
      </w:r>
      <w:r>
        <w:rPr>
          <w:rFonts w:ascii="Calibri" w:eastAsia="Calibri" w:hAnsi="Calibri" w:cs="Calibri"/>
          <w:sz w:val="22"/>
          <w:szCs w:val="22"/>
          <w:vertAlign w:val="superscript"/>
        </w:rPr>
        <w:footnoteReference w:id="23"/>
      </w:r>
      <w:r>
        <w:rPr>
          <w:rFonts w:ascii="Calibri" w:eastAsia="Calibri" w:hAnsi="Calibri" w:cs="Calibri"/>
          <w:sz w:val="22"/>
          <w:szCs w:val="22"/>
          <w:vertAlign w:val="superscript"/>
        </w:rPr>
        <w:t xml:space="preserve">   </w:t>
      </w:r>
    </w:p>
    <w:p w14:paraId="00000024" w14:textId="77777777" w:rsidR="003F609F" w:rsidRDefault="00000000">
      <w:pPr>
        <w:spacing w:after="200" w:line="276" w:lineRule="auto"/>
        <w:jc w:val="both"/>
        <w:rPr>
          <w:rFonts w:ascii="Calibri" w:eastAsia="Calibri" w:hAnsi="Calibri" w:cs="Calibri"/>
          <w:i/>
          <w:sz w:val="20"/>
          <w:szCs w:val="20"/>
        </w:rPr>
      </w:pPr>
      <w:r>
        <w:rPr>
          <w:rFonts w:ascii="Calibri" w:eastAsia="Calibri" w:hAnsi="Calibri" w:cs="Calibri"/>
          <w:b/>
          <w:color w:val="A5594C"/>
          <w:sz w:val="22"/>
          <w:szCs w:val="22"/>
        </w:rPr>
        <w:t>This disparity in higher education offerings across regions makes it more difficult for students who live far away from main urban centres to access their institutions, due to the distance from their original place of residence and to additional transportation and housing costs.</w:t>
      </w:r>
    </w:p>
    <w:p w14:paraId="00000025" w14:textId="77777777" w:rsidR="003F609F" w:rsidRDefault="003F609F">
      <w:pPr>
        <w:jc w:val="center"/>
        <w:rPr>
          <w:rFonts w:ascii="Calibri" w:eastAsia="Calibri" w:hAnsi="Calibri" w:cs="Calibri"/>
          <w:i/>
          <w:sz w:val="20"/>
          <w:szCs w:val="20"/>
        </w:rPr>
      </w:pPr>
    </w:p>
    <w:p w14:paraId="00000026" w14:textId="77777777" w:rsidR="003F609F" w:rsidRDefault="00000000">
      <w:pPr>
        <w:spacing w:after="240" w:line="276" w:lineRule="auto"/>
        <w:jc w:val="center"/>
        <w:rPr>
          <w:rFonts w:ascii="Calibri" w:eastAsia="Calibri" w:hAnsi="Calibri" w:cs="Calibri"/>
        </w:rPr>
      </w:pPr>
      <w:r>
        <w:rPr>
          <w:rFonts w:ascii="Calibri" w:eastAsia="Calibri" w:hAnsi="Calibri" w:cs="Calibri"/>
          <w:noProof/>
        </w:rPr>
        <w:drawing>
          <wp:inline distT="114300" distB="114300" distL="114300" distR="114300" wp14:anchorId="6F6F385C" wp14:editId="18D21770">
            <wp:extent cx="5760410" cy="3289300"/>
            <wp:effectExtent l="0" t="0" r="0" b="0"/>
            <wp:docPr id="207605357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2"/>
                    <a:srcRect/>
                    <a:stretch>
                      <a:fillRect/>
                    </a:stretch>
                  </pic:blipFill>
                  <pic:spPr>
                    <a:xfrm>
                      <a:off x="0" y="0"/>
                      <a:ext cx="5760410" cy="3289300"/>
                    </a:xfrm>
                    <a:prstGeom prst="rect">
                      <a:avLst/>
                    </a:prstGeom>
                    <a:ln/>
                  </pic:spPr>
                </pic:pic>
              </a:graphicData>
            </a:graphic>
          </wp:inline>
        </w:drawing>
      </w:r>
    </w:p>
    <w:p w14:paraId="00000027" w14:textId="77777777" w:rsidR="003F609F" w:rsidRDefault="003F609F">
      <w:pPr>
        <w:spacing w:after="240" w:line="276" w:lineRule="auto"/>
        <w:jc w:val="both"/>
        <w:rPr>
          <w:rFonts w:ascii="Calibri" w:eastAsia="Calibri" w:hAnsi="Calibri" w:cs="Calibri"/>
          <w:sz w:val="22"/>
          <w:szCs w:val="22"/>
        </w:rPr>
      </w:pPr>
    </w:p>
    <w:p w14:paraId="00000028" w14:textId="77777777" w:rsidR="003F609F" w:rsidRDefault="003F609F">
      <w:pPr>
        <w:jc w:val="center"/>
        <w:rPr>
          <w:rFonts w:ascii="Calibri" w:eastAsia="Calibri" w:hAnsi="Calibri" w:cs="Calibri"/>
          <w:i/>
          <w:sz w:val="20"/>
          <w:szCs w:val="20"/>
        </w:rPr>
      </w:pPr>
    </w:p>
    <w:p w14:paraId="00000029" w14:textId="77777777" w:rsidR="003F609F" w:rsidRDefault="003F609F">
      <w:pPr>
        <w:jc w:val="center"/>
        <w:rPr>
          <w:rFonts w:ascii="Calibri" w:eastAsia="Calibri" w:hAnsi="Calibri" w:cs="Calibri"/>
          <w:i/>
          <w:sz w:val="20"/>
          <w:szCs w:val="20"/>
        </w:rPr>
      </w:pPr>
    </w:p>
    <w:p w14:paraId="0000002A" w14:textId="77777777" w:rsidR="003F609F" w:rsidRDefault="003F609F">
      <w:pPr>
        <w:jc w:val="center"/>
        <w:rPr>
          <w:rFonts w:ascii="Calibri" w:eastAsia="Calibri" w:hAnsi="Calibri" w:cs="Calibri"/>
          <w:i/>
          <w:sz w:val="20"/>
          <w:szCs w:val="20"/>
        </w:rPr>
      </w:pPr>
    </w:p>
    <w:p w14:paraId="0000002B" w14:textId="77777777" w:rsidR="003F609F" w:rsidRDefault="003F609F">
      <w:pPr>
        <w:jc w:val="center"/>
        <w:rPr>
          <w:rFonts w:ascii="Calibri" w:eastAsia="Calibri" w:hAnsi="Calibri" w:cs="Calibri"/>
          <w:i/>
          <w:sz w:val="20"/>
          <w:szCs w:val="20"/>
        </w:rPr>
      </w:pPr>
    </w:p>
    <w:p w14:paraId="0000002C" w14:textId="77777777" w:rsidR="003F609F" w:rsidRDefault="003F609F">
      <w:pPr>
        <w:jc w:val="center"/>
        <w:rPr>
          <w:rFonts w:ascii="Calibri" w:eastAsia="Calibri" w:hAnsi="Calibri" w:cs="Calibri"/>
          <w:i/>
          <w:sz w:val="20"/>
          <w:szCs w:val="20"/>
        </w:rPr>
      </w:pPr>
    </w:p>
    <w:p w14:paraId="0000002D" w14:textId="77777777" w:rsidR="003F609F" w:rsidRDefault="003F609F">
      <w:pPr>
        <w:jc w:val="center"/>
        <w:rPr>
          <w:rFonts w:ascii="Calibri" w:eastAsia="Calibri" w:hAnsi="Calibri" w:cs="Calibri"/>
          <w:i/>
          <w:sz w:val="20"/>
          <w:szCs w:val="20"/>
        </w:rPr>
      </w:pPr>
    </w:p>
    <w:p w14:paraId="0000002E" w14:textId="77777777" w:rsidR="003F609F" w:rsidRDefault="003F609F">
      <w:pPr>
        <w:jc w:val="center"/>
        <w:rPr>
          <w:rFonts w:ascii="Calibri" w:eastAsia="Calibri" w:hAnsi="Calibri" w:cs="Calibri"/>
          <w:i/>
          <w:sz w:val="20"/>
          <w:szCs w:val="20"/>
        </w:rPr>
      </w:pPr>
    </w:p>
    <w:p w14:paraId="0000002F" w14:textId="77777777" w:rsidR="003F609F" w:rsidRDefault="003F609F">
      <w:pPr>
        <w:jc w:val="center"/>
        <w:rPr>
          <w:rFonts w:ascii="Calibri" w:eastAsia="Calibri" w:hAnsi="Calibri" w:cs="Calibri"/>
          <w:i/>
          <w:sz w:val="20"/>
          <w:szCs w:val="20"/>
        </w:rPr>
      </w:pPr>
    </w:p>
    <w:p w14:paraId="00000030" w14:textId="77777777" w:rsidR="003F609F" w:rsidRDefault="003F609F">
      <w:pPr>
        <w:jc w:val="center"/>
        <w:rPr>
          <w:rFonts w:ascii="Calibri" w:eastAsia="Calibri" w:hAnsi="Calibri" w:cs="Calibri"/>
          <w:i/>
          <w:sz w:val="20"/>
          <w:szCs w:val="20"/>
        </w:rPr>
      </w:pPr>
    </w:p>
    <w:p w14:paraId="0389143C" w14:textId="77777777" w:rsidR="004F0860" w:rsidRDefault="004F0860">
      <w:pPr>
        <w:jc w:val="center"/>
        <w:rPr>
          <w:rFonts w:ascii="Calibri" w:eastAsia="Calibri" w:hAnsi="Calibri" w:cs="Calibri"/>
          <w:i/>
          <w:sz w:val="20"/>
          <w:szCs w:val="20"/>
        </w:rPr>
      </w:pPr>
    </w:p>
    <w:p w14:paraId="00000031" w14:textId="77777777" w:rsidR="003F609F" w:rsidRDefault="003F609F">
      <w:pPr>
        <w:jc w:val="center"/>
        <w:rPr>
          <w:rFonts w:ascii="Calibri" w:eastAsia="Calibri" w:hAnsi="Calibri" w:cs="Calibri"/>
          <w:i/>
          <w:sz w:val="20"/>
          <w:szCs w:val="20"/>
        </w:rPr>
      </w:pPr>
    </w:p>
    <w:p w14:paraId="00000032" w14:textId="77777777" w:rsidR="003F609F" w:rsidRDefault="003F609F">
      <w:pPr>
        <w:jc w:val="center"/>
        <w:rPr>
          <w:rFonts w:ascii="Calibri" w:eastAsia="Calibri" w:hAnsi="Calibri" w:cs="Calibri"/>
          <w:i/>
          <w:sz w:val="20"/>
          <w:szCs w:val="20"/>
        </w:rPr>
      </w:pPr>
    </w:p>
    <w:p w14:paraId="00000033" w14:textId="77777777" w:rsidR="003F609F" w:rsidRDefault="003F609F">
      <w:pPr>
        <w:jc w:val="center"/>
        <w:rPr>
          <w:rFonts w:ascii="Calibri" w:eastAsia="Calibri" w:hAnsi="Calibri" w:cs="Calibri"/>
          <w:i/>
          <w:sz w:val="20"/>
          <w:szCs w:val="20"/>
        </w:rPr>
      </w:pPr>
    </w:p>
    <w:p w14:paraId="00000034" w14:textId="77777777" w:rsidR="003F609F" w:rsidRDefault="003F609F">
      <w:pPr>
        <w:jc w:val="center"/>
        <w:rPr>
          <w:rFonts w:ascii="Calibri" w:eastAsia="Calibri" w:hAnsi="Calibri" w:cs="Calibri"/>
          <w:i/>
          <w:sz w:val="20"/>
          <w:szCs w:val="20"/>
        </w:rPr>
      </w:pPr>
    </w:p>
    <w:p w14:paraId="00000035" w14:textId="77777777" w:rsidR="003F609F" w:rsidRDefault="00000000">
      <w:pPr>
        <w:jc w:val="center"/>
        <w:rPr>
          <w:rFonts w:ascii="Calibri" w:eastAsia="Calibri" w:hAnsi="Calibri" w:cs="Calibri"/>
          <w:i/>
          <w:sz w:val="20"/>
          <w:szCs w:val="20"/>
        </w:rPr>
      </w:pPr>
      <w:r>
        <w:rPr>
          <w:rFonts w:ascii="Calibri" w:eastAsia="Calibri" w:hAnsi="Calibri" w:cs="Calibri"/>
          <w:i/>
          <w:sz w:val="20"/>
          <w:szCs w:val="20"/>
        </w:rPr>
        <w:lastRenderedPageBreak/>
        <w:t xml:space="preserve">Figure 3: Distribution of Higher Education students </w:t>
      </w:r>
    </w:p>
    <w:p w14:paraId="00000036" w14:textId="77777777" w:rsidR="003F609F" w:rsidRDefault="00000000">
      <w:pPr>
        <w:jc w:val="center"/>
        <w:rPr>
          <w:rFonts w:ascii="Calibri" w:eastAsia="Calibri" w:hAnsi="Calibri" w:cs="Calibri"/>
          <w:i/>
          <w:sz w:val="20"/>
          <w:szCs w:val="20"/>
        </w:rPr>
      </w:pPr>
      <w:r>
        <w:rPr>
          <w:rFonts w:ascii="Calibri" w:eastAsia="Calibri" w:hAnsi="Calibri" w:cs="Calibri"/>
          <w:i/>
          <w:sz w:val="20"/>
          <w:szCs w:val="20"/>
        </w:rPr>
        <w:t>in France (2019/2020)</w:t>
      </w:r>
    </w:p>
    <w:p w14:paraId="00000037" w14:textId="77777777" w:rsidR="003F609F" w:rsidRDefault="003F609F">
      <w:pPr>
        <w:jc w:val="center"/>
        <w:rPr>
          <w:rFonts w:ascii="Calibri" w:eastAsia="Calibri" w:hAnsi="Calibri" w:cs="Calibri"/>
          <w:i/>
          <w:sz w:val="20"/>
          <w:szCs w:val="20"/>
        </w:rPr>
      </w:pPr>
    </w:p>
    <w:p w14:paraId="00000038" w14:textId="77777777" w:rsidR="003F609F" w:rsidRDefault="00000000">
      <w:pPr>
        <w:spacing w:after="200" w:line="360" w:lineRule="auto"/>
        <w:jc w:val="center"/>
        <w:rPr>
          <w:rFonts w:ascii="Calibri" w:eastAsia="Calibri" w:hAnsi="Calibri" w:cs="Calibri"/>
          <w:sz w:val="22"/>
          <w:szCs w:val="22"/>
        </w:rPr>
      </w:pPr>
      <w:r>
        <w:rPr>
          <w:rFonts w:ascii="Calibri" w:eastAsia="Calibri" w:hAnsi="Calibri" w:cs="Calibri"/>
          <w:noProof/>
          <w:sz w:val="22"/>
          <w:szCs w:val="22"/>
        </w:rPr>
        <w:drawing>
          <wp:inline distT="114300" distB="114300" distL="114300" distR="114300" wp14:anchorId="4ED9DA76" wp14:editId="169EB23E">
            <wp:extent cx="5731200" cy="3568700"/>
            <wp:effectExtent l="28575" t="28575" r="28575" b="28575"/>
            <wp:docPr id="207605358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3"/>
                    <a:srcRect/>
                    <a:stretch>
                      <a:fillRect/>
                    </a:stretch>
                  </pic:blipFill>
                  <pic:spPr>
                    <a:xfrm>
                      <a:off x="0" y="0"/>
                      <a:ext cx="5731200" cy="3568700"/>
                    </a:xfrm>
                    <a:prstGeom prst="rect">
                      <a:avLst/>
                    </a:prstGeom>
                    <a:ln w="28575">
                      <a:solidFill>
                        <a:srgbClr val="494771"/>
                      </a:solidFill>
                      <a:prstDash val="solid"/>
                    </a:ln>
                  </pic:spPr>
                </pic:pic>
              </a:graphicData>
            </a:graphic>
          </wp:inline>
        </w:drawing>
      </w:r>
    </w:p>
    <w:p w14:paraId="00000039" w14:textId="77777777" w:rsidR="003F609F" w:rsidRPr="00F45E34" w:rsidRDefault="00000000">
      <w:pPr>
        <w:spacing w:after="200" w:line="360" w:lineRule="auto"/>
        <w:jc w:val="center"/>
        <w:rPr>
          <w:rFonts w:ascii="Calibri" w:eastAsia="Calibri" w:hAnsi="Calibri" w:cs="Calibri"/>
          <w:sz w:val="20"/>
          <w:szCs w:val="20"/>
          <w:lang w:val="fr-FR"/>
        </w:rPr>
      </w:pPr>
      <w:r>
        <w:rPr>
          <w:rFonts w:ascii="Calibri" w:eastAsia="Calibri" w:hAnsi="Calibri" w:cs="Calibri"/>
          <w:sz w:val="20"/>
          <w:szCs w:val="20"/>
        </w:rPr>
        <w:t xml:space="preserve"> </w:t>
      </w:r>
      <w:proofErr w:type="gramStart"/>
      <w:r w:rsidRPr="00F45E34">
        <w:rPr>
          <w:rFonts w:ascii="Calibri" w:eastAsia="Calibri" w:hAnsi="Calibri" w:cs="Calibri"/>
          <w:sz w:val="20"/>
          <w:szCs w:val="20"/>
          <w:lang w:val="fr-FR"/>
        </w:rPr>
        <w:t>Source:</w:t>
      </w:r>
      <w:proofErr w:type="gramEnd"/>
      <w:r w:rsidRPr="00F45E34">
        <w:rPr>
          <w:rFonts w:ascii="Calibri" w:eastAsia="Calibri" w:hAnsi="Calibri" w:cs="Calibri"/>
          <w:sz w:val="20"/>
          <w:szCs w:val="20"/>
          <w:lang w:val="fr-FR"/>
        </w:rPr>
        <w:t xml:space="preserve"> MESRI (2021): </w:t>
      </w:r>
      <w:hyperlink r:id="rId34">
        <w:r w:rsidRPr="00F45E34">
          <w:rPr>
            <w:rFonts w:ascii="Calibri" w:eastAsia="Calibri" w:hAnsi="Calibri" w:cs="Calibri"/>
            <w:color w:val="21959E"/>
            <w:sz w:val="20"/>
            <w:szCs w:val="20"/>
            <w:u w:val="single"/>
            <w:lang w:val="fr-FR"/>
          </w:rPr>
          <w:t>Atlas régional. Effectifs d’étudiants en 2019-2020</w:t>
        </w:r>
      </w:hyperlink>
      <w:r w:rsidRPr="00F45E34">
        <w:rPr>
          <w:rFonts w:ascii="Calibri" w:eastAsia="Calibri" w:hAnsi="Calibri" w:cs="Calibri"/>
          <w:sz w:val="20"/>
          <w:szCs w:val="20"/>
          <w:lang w:val="fr-FR"/>
        </w:rPr>
        <w:t>.</w:t>
      </w:r>
    </w:p>
    <w:p w14:paraId="0000003A" w14:textId="77777777" w:rsidR="003F609F" w:rsidRPr="00F45E34" w:rsidRDefault="003F609F">
      <w:pPr>
        <w:spacing w:after="200" w:line="360" w:lineRule="auto"/>
        <w:jc w:val="center"/>
        <w:rPr>
          <w:rFonts w:ascii="Calibri" w:eastAsia="Calibri" w:hAnsi="Calibri" w:cs="Calibri"/>
          <w:sz w:val="20"/>
          <w:szCs w:val="20"/>
          <w:lang w:val="fr-FR"/>
        </w:rPr>
      </w:pPr>
    </w:p>
    <w:p w14:paraId="0000003B" w14:textId="77777777" w:rsidR="003F609F" w:rsidRDefault="00000000">
      <w:pPr>
        <w:pBdr>
          <w:top w:val="nil"/>
          <w:left w:val="nil"/>
          <w:bottom w:val="nil"/>
          <w:right w:val="nil"/>
          <w:between w:val="nil"/>
        </w:pBdr>
        <w:spacing w:after="240" w:line="276" w:lineRule="auto"/>
        <w:jc w:val="both"/>
        <w:rPr>
          <w:rFonts w:ascii="Calibri" w:eastAsia="Calibri" w:hAnsi="Calibri" w:cs="Calibri"/>
          <w:b/>
          <w:color w:val="494771"/>
          <w:sz w:val="26"/>
          <w:szCs w:val="26"/>
        </w:rPr>
      </w:pPr>
      <w:r>
        <w:rPr>
          <w:rFonts w:ascii="Calibri" w:eastAsia="Calibri" w:hAnsi="Calibri" w:cs="Calibri"/>
          <w:b/>
          <w:color w:val="494771"/>
          <w:sz w:val="26"/>
          <w:szCs w:val="26"/>
        </w:rPr>
        <w:t xml:space="preserve">Vertical stratification </w:t>
      </w:r>
    </w:p>
    <w:p w14:paraId="0000003C" w14:textId="77777777" w:rsidR="003F609F" w:rsidRDefault="00000000">
      <w:pPr>
        <w:pBdr>
          <w:top w:val="nil"/>
          <w:left w:val="nil"/>
          <w:bottom w:val="nil"/>
          <w:right w:val="nil"/>
          <w:between w:val="nil"/>
        </w:pBdr>
        <w:spacing w:after="240" w:line="276"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The geographical polarisation of the higher education system intersects with </w:t>
      </w:r>
      <w:r>
        <w:rPr>
          <w:rFonts w:ascii="Calibri" w:eastAsia="Calibri" w:hAnsi="Calibri" w:cs="Calibri"/>
          <w:sz w:val="22"/>
          <w:szCs w:val="22"/>
        </w:rPr>
        <w:t>its</w:t>
      </w:r>
      <w:r>
        <w:rPr>
          <w:rFonts w:ascii="Calibri" w:eastAsia="Calibri" w:hAnsi="Calibri" w:cs="Calibri"/>
          <w:color w:val="000000"/>
          <w:sz w:val="22"/>
          <w:szCs w:val="22"/>
        </w:rPr>
        <w:t xml:space="preserve"> vertical stratification</w:t>
      </w:r>
      <w:r>
        <w:rPr>
          <w:rFonts w:ascii="Calibri" w:eastAsia="Calibri" w:hAnsi="Calibri" w:cs="Calibri"/>
          <w:sz w:val="22"/>
          <w:szCs w:val="22"/>
        </w:rPr>
        <w:t>, ‘whereby disadvantaged students enrol in institutions of lower quality and/or prestige’</w:t>
      </w:r>
      <w:r>
        <w:rPr>
          <w:rFonts w:ascii="Calibri" w:eastAsia="Calibri" w:hAnsi="Calibri" w:cs="Calibri"/>
          <w:sz w:val="22"/>
          <w:szCs w:val="22"/>
          <w:vertAlign w:val="superscript"/>
        </w:rPr>
        <w:footnoteReference w:id="24"/>
      </w:r>
      <w:r>
        <w:rPr>
          <w:rFonts w:ascii="Calibri" w:eastAsia="Calibri" w:hAnsi="Calibri" w:cs="Calibri"/>
          <w:sz w:val="22"/>
          <w:szCs w:val="22"/>
        </w:rPr>
        <w:t>, thus reflecting and reproducing disadvantage and differential social positioning</w:t>
      </w:r>
      <w:r>
        <w:rPr>
          <w:rFonts w:ascii="Calibri" w:eastAsia="Calibri" w:hAnsi="Calibri" w:cs="Calibri"/>
          <w:sz w:val="22"/>
          <w:szCs w:val="22"/>
          <w:vertAlign w:val="superscript"/>
        </w:rPr>
        <w:footnoteReference w:id="25"/>
      </w:r>
      <w:r>
        <w:rPr>
          <w:rFonts w:ascii="Calibri" w:eastAsia="Calibri" w:hAnsi="Calibri" w:cs="Calibri"/>
          <w:sz w:val="22"/>
          <w:szCs w:val="22"/>
        </w:rPr>
        <w:t xml:space="preserve">.  </w:t>
      </w:r>
    </w:p>
    <w:p w14:paraId="0000003D" w14:textId="77777777" w:rsidR="003F609F" w:rsidRDefault="00000000">
      <w:pPr>
        <w:pBdr>
          <w:top w:val="nil"/>
          <w:left w:val="nil"/>
          <w:bottom w:val="nil"/>
          <w:right w:val="nil"/>
          <w:between w:val="nil"/>
        </w:pBdr>
        <w:spacing w:after="240" w:line="276" w:lineRule="auto"/>
        <w:jc w:val="both"/>
        <w:rPr>
          <w:rFonts w:ascii="Calibri" w:eastAsia="Calibri" w:hAnsi="Calibri" w:cs="Calibri"/>
          <w:sz w:val="22"/>
          <w:szCs w:val="22"/>
        </w:rPr>
      </w:pPr>
      <w:r>
        <w:rPr>
          <w:rFonts w:ascii="Calibri" w:eastAsia="Calibri" w:hAnsi="Calibri" w:cs="Calibri"/>
          <w:b/>
          <w:sz w:val="22"/>
          <w:szCs w:val="22"/>
        </w:rPr>
        <w:t>In France, there is an</w:t>
      </w:r>
      <w:r>
        <w:rPr>
          <w:rFonts w:ascii="Calibri" w:eastAsia="Calibri" w:hAnsi="Calibri" w:cs="Calibri"/>
          <w:b/>
          <w:color w:val="000000"/>
          <w:sz w:val="22"/>
          <w:szCs w:val="22"/>
        </w:rPr>
        <w:t xml:space="preserve"> institutional differentiation between universities and </w:t>
      </w:r>
      <w:r>
        <w:rPr>
          <w:rFonts w:ascii="Calibri" w:eastAsia="Calibri" w:hAnsi="Calibri" w:cs="Calibri"/>
          <w:b/>
          <w:i/>
          <w:color w:val="000000"/>
          <w:sz w:val="22"/>
          <w:szCs w:val="22"/>
        </w:rPr>
        <w:t xml:space="preserve">Grandes </w:t>
      </w:r>
      <w:r>
        <w:rPr>
          <w:rFonts w:ascii="Calibri" w:eastAsia="Calibri" w:hAnsi="Calibri" w:cs="Calibri"/>
          <w:b/>
          <w:i/>
          <w:sz w:val="22"/>
          <w:szCs w:val="22"/>
        </w:rPr>
        <w:t>Écoles</w:t>
      </w:r>
      <w:r>
        <w:rPr>
          <w:rFonts w:ascii="Calibri" w:eastAsia="Calibri" w:hAnsi="Calibri" w:cs="Calibri"/>
          <w:b/>
          <w:sz w:val="22"/>
          <w:szCs w:val="22"/>
        </w:rPr>
        <w:t xml:space="preserve"> that leads</w:t>
      </w:r>
      <w:r>
        <w:rPr>
          <w:rFonts w:ascii="Calibri" w:eastAsia="Calibri" w:hAnsi="Calibri" w:cs="Calibri"/>
          <w:b/>
          <w:color w:val="000000"/>
          <w:sz w:val="22"/>
          <w:szCs w:val="22"/>
        </w:rPr>
        <w:t xml:space="preserve"> to long-lasting inequalities</w:t>
      </w:r>
      <w:r>
        <w:rPr>
          <w:rFonts w:ascii="Calibri" w:eastAsia="Calibri" w:hAnsi="Calibri" w:cs="Calibri"/>
          <w:color w:val="000000"/>
          <w:sz w:val="22"/>
          <w:szCs w:val="22"/>
        </w:rPr>
        <w:t xml:space="preserve">. </w:t>
      </w:r>
      <w:r>
        <w:rPr>
          <w:rFonts w:ascii="Calibri" w:eastAsia="Calibri" w:hAnsi="Calibri" w:cs="Calibri"/>
          <w:i/>
          <w:color w:val="000000"/>
          <w:sz w:val="22"/>
          <w:szCs w:val="22"/>
        </w:rPr>
        <w:t xml:space="preserve">Grandes Écoles </w:t>
      </w:r>
      <w:r>
        <w:rPr>
          <w:rFonts w:ascii="Calibri" w:eastAsia="Calibri" w:hAnsi="Calibri" w:cs="Calibri"/>
          <w:sz w:val="22"/>
          <w:szCs w:val="22"/>
        </w:rPr>
        <w:t xml:space="preserve">are prestigious institutions, which are highly specialised (business, management, engineering, arts, politics, etc.), public or private, with very selective admission procedures, and often </w:t>
      </w:r>
      <w:r>
        <w:rPr>
          <w:rFonts w:ascii="Calibri" w:eastAsia="Calibri" w:hAnsi="Calibri" w:cs="Calibri"/>
          <w:b/>
          <w:sz w:val="22"/>
          <w:szCs w:val="22"/>
        </w:rPr>
        <w:t>high tuition fees</w:t>
      </w:r>
      <w:r>
        <w:rPr>
          <w:rFonts w:ascii="Calibri" w:eastAsia="Calibri" w:hAnsi="Calibri" w:cs="Calibri"/>
          <w:b/>
          <w:sz w:val="22"/>
          <w:szCs w:val="22"/>
          <w:vertAlign w:val="superscript"/>
        </w:rPr>
        <w:footnoteReference w:id="26"/>
      </w:r>
      <w:r>
        <w:rPr>
          <w:rFonts w:ascii="Calibri" w:eastAsia="Calibri" w:hAnsi="Calibri" w:cs="Calibri"/>
          <w:sz w:val="22"/>
          <w:szCs w:val="22"/>
        </w:rPr>
        <w:t>. They</w:t>
      </w:r>
      <w:r>
        <w:rPr>
          <w:rFonts w:ascii="Calibri" w:eastAsia="Calibri" w:hAnsi="Calibri" w:cs="Calibri"/>
          <w:color w:val="000000"/>
          <w:sz w:val="22"/>
          <w:szCs w:val="22"/>
        </w:rPr>
        <w:t xml:space="preserve"> </w:t>
      </w:r>
      <w:r>
        <w:rPr>
          <w:rFonts w:ascii="Calibri" w:eastAsia="Calibri" w:hAnsi="Calibri" w:cs="Calibri"/>
          <w:sz w:val="22"/>
          <w:szCs w:val="22"/>
        </w:rPr>
        <w:t xml:space="preserve">benefit from historical roots educating France’s elite, which ensures their social legitimacy and leads to </w:t>
      </w:r>
      <w:r>
        <w:rPr>
          <w:rFonts w:ascii="Calibri" w:eastAsia="Calibri" w:hAnsi="Calibri" w:cs="Calibri"/>
          <w:b/>
          <w:sz w:val="22"/>
          <w:szCs w:val="22"/>
        </w:rPr>
        <w:t>higher and faster employability rates and salaries</w:t>
      </w:r>
      <w:r>
        <w:rPr>
          <w:rFonts w:ascii="Calibri" w:eastAsia="Calibri" w:hAnsi="Calibri" w:cs="Calibri"/>
          <w:sz w:val="22"/>
          <w:szCs w:val="22"/>
        </w:rPr>
        <w:t>. 57.4% are hired before they graduate, and 80% of students get a job within the six months following graduation</w:t>
      </w:r>
      <w:r>
        <w:rPr>
          <w:rFonts w:ascii="Calibri" w:eastAsia="Calibri" w:hAnsi="Calibri" w:cs="Calibri"/>
          <w:sz w:val="22"/>
          <w:szCs w:val="22"/>
          <w:vertAlign w:val="superscript"/>
        </w:rPr>
        <w:footnoteReference w:id="27"/>
      </w:r>
      <w:r>
        <w:rPr>
          <w:rFonts w:ascii="Calibri" w:eastAsia="Calibri" w:hAnsi="Calibri" w:cs="Calibri"/>
          <w:sz w:val="22"/>
          <w:szCs w:val="22"/>
        </w:rPr>
        <w:t xml:space="preserve">. </w:t>
      </w:r>
    </w:p>
    <w:p w14:paraId="0000003E" w14:textId="10DD5B87" w:rsidR="003F609F" w:rsidRDefault="00000000">
      <w:pPr>
        <w:spacing w:after="240" w:line="276" w:lineRule="auto"/>
        <w:jc w:val="both"/>
        <w:rPr>
          <w:rFonts w:ascii="Calibri" w:eastAsia="Calibri" w:hAnsi="Calibri" w:cs="Calibri"/>
          <w:sz w:val="22"/>
          <w:szCs w:val="22"/>
        </w:rPr>
      </w:pPr>
      <w:r>
        <w:rPr>
          <w:rFonts w:ascii="Calibri" w:eastAsia="Calibri" w:hAnsi="Calibri" w:cs="Calibri"/>
          <w:b/>
          <w:sz w:val="22"/>
          <w:szCs w:val="22"/>
        </w:rPr>
        <w:lastRenderedPageBreak/>
        <w:t>These elite institutions are mainly concentrated in the regions of Île de France (Paris) and Auvergne-Rhône-Alpes</w:t>
      </w:r>
      <w:r>
        <w:rPr>
          <w:rFonts w:ascii="Calibri" w:eastAsia="Calibri" w:hAnsi="Calibri" w:cs="Calibri"/>
          <w:sz w:val="22"/>
          <w:szCs w:val="22"/>
          <w:vertAlign w:val="superscript"/>
        </w:rPr>
        <w:footnoteReference w:id="28"/>
      </w:r>
      <w:r>
        <w:rPr>
          <w:rFonts w:ascii="Calibri" w:eastAsia="Calibri" w:hAnsi="Calibri" w:cs="Calibri"/>
          <w:sz w:val="22"/>
          <w:szCs w:val="22"/>
        </w:rPr>
        <w:t>, which have</w:t>
      </w:r>
      <w:r>
        <w:rPr>
          <w:rFonts w:ascii="Calibri" w:eastAsia="Calibri" w:hAnsi="Calibri" w:cs="Calibri"/>
          <w:b/>
          <w:sz w:val="22"/>
          <w:szCs w:val="22"/>
        </w:rPr>
        <w:t xml:space="preserve"> the highest median standard of living in France</w:t>
      </w:r>
      <w:r>
        <w:rPr>
          <w:rFonts w:ascii="Calibri" w:eastAsia="Calibri" w:hAnsi="Calibri" w:cs="Calibri"/>
          <w:sz w:val="22"/>
          <w:szCs w:val="22"/>
          <w:vertAlign w:val="superscript"/>
        </w:rPr>
        <w:footnoteReference w:id="29"/>
      </w:r>
      <w:r>
        <w:rPr>
          <w:rFonts w:ascii="Calibri" w:eastAsia="Calibri" w:hAnsi="Calibri" w:cs="Calibri"/>
          <w:sz w:val="22"/>
          <w:szCs w:val="22"/>
        </w:rPr>
        <w:t xml:space="preserve">. Yet studies show that the share of children of </w:t>
      </w:r>
      <w:r>
        <w:rPr>
          <w:rFonts w:ascii="Calibri" w:eastAsia="Calibri" w:hAnsi="Calibri" w:cs="Calibri"/>
          <w:i/>
          <w:sz w:val="22"/>
          <w:szCs w:val="22"/>
        </w:rPr>
        <w:t xml:space="preserve">cadres </w:t>
      </w:r>
      <w:r>
        <w:rPr>
          <w:rFonts w:ascii="Calibri" w:eastAsia="Calibri" w:hAnsi="Calibri" w:cs="Calibri"/>
          <w:sz w:val="22"/>
          <w:szCs w:val="22"/>
        </w:rPr>
        <w:t>(those in senior managing positions), mainly represented in these regions</w:t>
      </w:r>
      <w:r>
        <w:rPr>
          <w:rFonts w:ascii="Calibri" w:eastAsia="Calibri" w:hAnsi="Calibri" w:cs="Calibri"/>
          <w:sz w:val="22"/>
          <w:szCs w:val="22"/>
          <w:vertAlign w:val="superscript"/>
        </w:rPr>
        <w:footnoteReference w:id="30"/>
      </w:r>
      <w:r>
        <w:rPr>
          <w:rFonts w:ascii="Calibri" w:eastAsia="Calibri" w:hAnsi="Calibri" w:cs="Calibri"/>
          <w:sz w:val="22"/>
          <w:szCs w:val="22"/>
        </w:rPr>
        <w:t>, is higher in more selective and prestigious tracks (about half of the students)</w:t>
      </w:r>
      <w:r>
        <w:rPr>
          <w:rFonts w:ascii="Calibri" w:eastAsia="Calibri" w:hAnsi="Calibri" w:cs="Calibri"/>
          <w:sz w:val="22"/>
          <w:szCs w:val="22"/>
          <w:vertAlign w:val="superscript"/>
        </w:rPr>
        <w:footnoteReference w:id="31"/>
      </w:r>
      <w:r>
        <w:rPr>
          <w:rFonts w:ascii="Calibri" w:eastAsia="Calibri" w:hAnsi="Calibri" w:cs="Calibri"/>
          <w:sz w:val="22"/>
          <w:szCs w:val="22"/>
        </w:rPr>
        <w:t xml:space="preserve">. In contrast, the children of </w:t>
      </w:r>
      <w:proofErr w:type="gramStart"/>
      <w:r>
        <w:rPr>
          <w:rFonts w:ascii="Calibri" w:eastAsia="Calibri" w:hAnsi="Calibri" w:cs="Calibri"/>
          <w:sz w:val="22"/>
          <w:szCs w:val="22"/>
        </w:rPr>
        <w:t>working class</w:t>
      </w:r>
      <w:proofErr w:type="gramEnd"/>
      <w:r>
        <w:rPr>
          <w:rFonts w:ascii="Calibri" w:eastAsia="Calibri" w:hAnsi="Calibri" w:cs="Calibri"/>
          <w:sz w:val="22"/>
          <w:szCs w:val="22"/>
        </w:rPr>
        <w:t xml:space="preserve"> parents are under-represented in most tracks, except in STS (</w:t>
      </w:r>
      <w:r>
        <w:rPr>
          <w:rFonts w:ascii="Calibri" w:eastAsia="Calibri" w:hAnsi="Calibri" w:cs="Calibri"/>
          <w:i/>
          <w:sz w:val="22"/>
          <w:szCs w:val="22"/>
        </w:rPr>
        <w:t xml:space="preserve">Section de </w:t>
      </w:r>
      <w:proofErr w:type="spellStart"/>
      <w:r>
        <w:rPr>
          <w:rFonts w:ascii="Calibri" w:eastAsia="Calibri" w:hAnsi="Calibri" w:cs="Calibri"/>
          <w:i/>
          <w:sz w:val="22"/>
          <w:szCs w:val="22"/>
        </w:rPr>
        <w:t>Technicien</w:t>
      </w:r>
      <w:proofErr w:type="spellEnd"/>
      <w:r>
        <w:rPr>
          <w:rFonts w:ascii="Calibri" w:eastAsia="Calibri" w:hAnsi="Calibri" w:cs="Calibri"/>
          <w:i/>
          <w:sz w:val="22"/>
          <w:szCs w:val="22"/>
        </w:rPr>
        <w:t xml:space="preserve"> </w:t>
      </w:r>
      <w:proofErr w:type="spellStart"/>
      <w:r>
        <w:rPr>
          <w:rFonts w:ascii="Calibri" w:eastAsia="Calibri" w:hAnsi="Calibri" w:cs="Calibri"/>
          <w:i/>
          <w:sz w:val="22"/>
          <w:szCs w:val="22"/>
        </w:rPr>
        <w:t>Supérieur</w:t>
      </w:r>
      <w:proofErr w:type="spellEnd"/>
      <w:r>
        <w:rPr>
          <w:rFonts w:ascii="Calibri" w:eastAsia="Calibri" w:hAnsi="Calibri" w:cs="Calibri"/>
          <w:sz w:val="22"/>
          <w:szCs w:val="22"/>
        </w:rPr>
        <w:t>) programs (22.9%), and in paramedical and social work schools (18.7%)</w:t>
      </w:r>
      <w:r>
        <w:rPr>
          <w:rFonts w:ascii="Calibri" w:eastAsia="Calibri" w:hAnsi="Calibri" w:cs="Calibri"/>
          <w:sz w:val="22"/>
          <w:szCs w:val="22"/>
          <w:vertAlign w:val="superscript"/>
        </w:rPr>
        <w:footnoteReference w:id="32"/>
      </w:r>
      <w:r>
        <w:rPr>
          <w:rFonts w:ascii="Calibri" w:eastAsia="Calibri" w:hAnsi="Calibri" w:cs="Calibri"/>
          <w:sz w:val="22"/>
          <w:szCs w:val="22"/>
        </w:rPr>
        <w:t>.</w:t>
      </w:r>
    </w:p>
    <w:p w14:paraId="0000003F" w14:textId="77777777" w:rsidR="003F609F" w:rsidRDefault="00000000">
      <w:pPr>
        <w:spacing w:after="240" w:line="276" w:lineRule="auto"/>
        <w:jc w:val="both"/>
        <w:rPr>
          <w:rFonts w:ascii="Calibri" w:eastAsia="Calibri" w:hAnsi="Calibri" w:cs="Calibri"/>
          <w:b/>
          <w:color w:val="A5594C"/>
          <w:sz w:val="22"/>
          <w:szCs w:val="22"/>
        </w:rPr>
      </w:pPr>
      <w:r>
        <w:rPr>
          <w:rFonts w:ascii="Calibri" w:eastAsia="Calibri" w:hAnsi="Calibri" w:cs="Calibri"/>
          <w:b/>
          <w:color w:val="A5594C"/>
          <w:sz w:val="22"/>
          <w:szCs w:val="22"/>
        </w:rPr>
        <w:t xml:space="preserve">The vertical stratification of the higher education system worsens socio-economic inequalities both in access to higher education and labour market outcomes. </w:t>
      </w:r>
    </w:p>
    <w:p w14:paraId="00000040" w14:textId="77777777" w:rsidR="003F609F" w:rsidRDefault="00000000">
      <w:pPr>
        <w:pBdr>
          <w:top w:val="nil"/>
          <w:left w:val="nil"/>
          <w:bottom w:val="nil"/>
          <w:right w:val="nil"/>
          <w:between w:val="nil"/>
        </w:pBdr>
        <w:spacing w:after="240" w:line="276" w:lineRule="auto"/>
        <w:jc w:val="both"/>
        <w:rPr>
          <w:rFonts w:ascii="Calibri" w:eastAsia="Calibri" w:hAnsi="Calibri" w:cs="Calibri"/>
          <w:b/>
          <w:color w:val="000000"/>
          <w:sz w:val="22"/>
          <w:szCs w:val="22"/>
        </w:rPr>
      </w:pPr>
      <w:r>
        <w:rPr>
          <w:rFonts w:ascii="Calibri" w:eastAsia="Calibri" w:hAnsi="Calibri" w:cs="Calibri"/>
          <w:sz w:val="22"/>
          <w:szCs w:val="22"/>
        </w:rPr>
        <w:t xml:space="preserve">In her latest report, the UN Special Rapporteur on the right to education stresses that ‘the vertical stratification of higher education systems and the impact of concepts of “merit” or “capacity” that sustain, </w:t>
      </w:r>
      <w:proofErr w:type="gramStart"/>
      <w:r>
        <w:rPr>
          <w:rFonts w:ascii="Calibri" w:eastAsia="Calibri" w:hAnsi="Calibri" w:cs="Calibri"/>
          <w:sz w:val="22"/>
          <w:szCs w:val="22"/>
        </w:rPr>
        <w:t>justify</w:t>
      </w:r>
      <w:proofErr w:type="gramEnd"/>
      <w:r>
        <w:rPr>
          <w:rFonts w:ascii="Calibri" w:eastAsia="Calibri" w:hAnsi="Calibri" w:cs="Calibri"/>
          <w:sz w:val="22"/>
          <w:szCs w:val="22"/>
        </w:rPr>
        <w:t xml:space="preserve"> and legitimise inequalities are of particular concern.’</w:t>
      </w:r>
      <w:r>
        <w:rPr>
          <w:rFonts w:ascii="Calibri" w:eastAsia="Calibri" w:hAnsi="Calibri" w:cs="Calibri"/>
          <w:sz w:val="22"/>
          <w:szCs w:val="22"/>
          <w:vertAlign w:val="superscript"/>
        </w:rPr>
        <w:footnoteReference w:id="33"/>
      </w:r>
      <w:r>
        <w:rPr>
          <w:rFonts w:ascii="Calibri" w:eastAsia="Calibri" w:hAnsi="Calibri" w:cs="Calibri"/>
          <w:b/>
          <w:sz w:val="22"/>
          <w:szCs w:val="22"/>
        </w:rPr>
        <w:t xml:space="preserve"> </w:t>
      </w:r>
    </w:p>
    <w:p w14:paraId="00000041" w14:textId="77777777" w:rsidR="003F609F" w:rsidRDefault="00000000">
      <w:pPr>
        <w:pBdr>
          <w:top w:val="nil"/>
          <w:left w:val="nil"/>
          <w:bottom w:val="nil"/>
          <w:right w:val="nil"/>
          <w:between w:val="nil"/>
        </w:pBdr>
        <w:spacing w:after="240" w:line="276" w:lineRule="auto"/>
        <w:jc w:val="both"/>
        <w:rPr>
          <w:rFonts w:ascii="Calibri" w:eastAsia="Calibri" w:hAnsi="Calibri" w:cs="Calibri"/>
          <w:b/>
          <w:color w:val="21959E"/>
          <w:sz w:val="28"/>
          <w:szCs w:val="28"/>
        </w:rPr>
      </w:pPr>
      <w:r>
        <w:rPr>
          <w:rFonts w:ascii="Calibri" w:eastAsia="Calibri" w:hAnsi="Calibri" w:cs="Calibri"/>
          <w:b/>
          <w:color w:val="21959E"/>
          <w:sz w:val="28"/>
          <w:szCs w:val="28"/>
        </w:rPr>
        <w:t xml:space="preserve">Tuition and indirect costs of studies increase existing inequalities in access to higher </w:t>
      </w:r>
      <w:proofErr w:type="gramStart"/>
      <w:r>
        <w:rPr>
          <w:rFonts w:ascii="Calibri" w:eastAsia="Calibri" w:hAnsi="Calibri" w:cs="Calibri"/>
          <w:b/>
          <w:color w:val="21959E"/>
          <w:sz w:val="28"/>
          <w:szCs w:val="28"/>
        </w:rPr>
        <w:t>education</w:t>
      </w:r>
      <w:proofErr w:type="gramEnd"/>
    </w:p>
    <w:p w14:paraId="00000042" w14:textId="77777777" w:rsidR="003F609F" w:rsidRDefault="00000000">
      <w:pPr>
        <w:spacing w:after="240" w:line="276" w:lineRule="auto"/>
        <w:jc w:val="both"/>
        <w:rPr>
          <w:rFonts w:ascii="Calibri" w:eastAsia="Calibri" w:hAnsi="Calibri" w:cs="Calibri"/>
          <w:b/>
          <w:color w:val="494771"/>
          <w:sz w:val="26"/>
          <w:szCs w:val="26"/>
        </w:rPr>
      </w:pPr>
      <w:r>
        <w:rPr>
          <w:rFonts w:ascii="Calibri" w:eastAsia="Calibri" w:hAnsi="Calibri" w:cs="Calibri"/>
          <w:b/>
          <w:color w:val="494771"/>
          <w:sz w:val="26"/>
          <w:szCs w:val="26"/>
        </w:rPr>
        <w:t xml:space="preserve">Tuition </w:t>
      </w:r>
    </w:p>
    <w:p w14:paraId="00000043" w14:textId="77777777" w:rsidR="003F609F" w:rsidRDefault="00000000">
      <w:pPr>
        <w:spacing w:after="240" w:line="276" w:lineRule="auto"/>
        <w:jc w:val="both"/>
        <w:rPr>
          <w:rFonts w:ascii="Calibri" w:eastAsia="Calibri" w:hAnsi="Calibri" w:cs="Calibri"/>
          <w:sz w:val="22"/>
          <w:szCs w:val="22"/>
        </w:rPr>
      </w:pPr>
      <w:r>
        <w:rPr>
          <w:rFonts w:ascii="Calibri" w:eastAsia="Calibri" w:hAnsi="Calibri" w:cs="Calibri"/>
          <w:sz w:val="22"/>
          <w:szCs w:val="22"/>
        </w:rPr>
        <w:t xml:space="preserve">Although </w:t>
      </w:r>
      <w:r>
        <w:rPr>
          <w:rFonts w:ascii="Calibri" w:eastAsia="Calibri" w:hAnsi="Calibri" w:cs="Calibri"/>
          <w:b/>
          <w:sz w:val="22"/>
          <w:szCs w:val="22"/>
        </w:rPr>
        <w:t xml:space="preserve">French public universities have generally affordable </w:t>
      </w:r>
      <w:hyperlink r:id="rId35">
        <w:r>
          <w:rPr>
            <w:rFonts w:ascii="Calibri" w:eastAsia="Calibri" w:hAnsi="Calibri" w:cs="Calibri"/>
            <w:b/>
            <w:color w:val="1155CC"/>
            <w:sz w:val="22"/>
            <w:szCs w:val="22"/>
            <w:u w:val="single"/>
          </w:rPr>
          <w:t>annual tuition</w:t>
        </w:r>
      </w:hyperlink>
      <w:r>
        <w:rPr>
          <w:rFonts w:ascii="Calibri" w:eastAsia="Calibri" w:hAnsi="Calibri" w:cs="Calibri"/>
          <w:sz w:val="22"/>
          <w:szCs w:val="22"/>
        </w:rPr>
        <w:t xml:space="preserve"> (for European Union students, costs are €170 for a bachelor's degree, €243 for a master’s degree, and €380 for a PhD), however </w:t>
      </w:r>
      <w:r>
        <w:rPr>
          <w:rFonts w:ascii="Calibri" w:eastAsia="Calibri" w:hAnsi="Calibri" w:cs="Calibri"/>
          <w:b/>
          <w:sz w:val="22"/>
          <w:szCs w:val="22"/>
        </w:rPr>
        <w:t>some public establishments offering highly specialised training apply much higher fees,</w:t>
      </w:r>
      <w:r>
        <w:rPr>
          <w:rFonts w:ascii="Calibri" w:eastAsia="Calibri" w:hAnsi="Calibri" w:cs="Calibri"/>
          <w:sz w:val="22"/>
          <w:szCs w:val="22"/>
        </w:rPr>
        <w:t xml:space="preserve"> ranging from €601 to €2,500</w:t>
      </w:r>
      <w:r>
        <w:rPr>
          <w:rFonts w:ascii="Calibri" w:eastAsia="Calibri" w:hAnsi="Calibri" w:cs="Calibri"/>
          <w:sz w:val="22"/>
          <w:szCs w:val="22"/>
          <w:vertAlign w:val="superscript"/>
        </w:rPr>
        <w:footnoteReference w:id="34"/>
      </w:r>
      <w:r>
        <w:rPr>
          <w:rFonts w:ascii="Calibri" w:eastAsia="Calibri" w:hAnsi="Calibri" w:cs="Calibri"/>
          <w:sz w:val="22"/>
          <w:szCs w:val="22"/>
        </w:rPr>
        <w:t xml:space="preserve">. </w:t>
      </w:r>
      <w:r>
        <w:rPr>
          <w:rFonts w:ascii="Calibri" w:eastAsia="Calibri" w:hAnsi="Calibri" w:cs="Calibri"/>
          <w:b/>
          <w:sz w:val="22"/>
          <w:szCs w:val="22"/>
        </w:rPr>
        <w:t xml:space="preserve">Tuition in </w:t>
      </w:r>
      <w:r>
        <w:rPr>
          <w:rFonts w:ascii="Calibri" w:eastAsia="Calibri" w:hAnsi="Calibri" w:cs="Calibri"/>
          <w:b/>
          <w:i/>
          <w:sz w:val="22"/>
          <w:szCs w:val="22"/>
        </w:rPr>
        <w:t>Grand Écoles</w:t>
      </w:r>
      <w:r>
        <w:rPr>
          <w:rFonts w:ascii="Calibri" w:eastAsia="Calibri" w:hAnsi="Calibri" w:cs="Calibri"/>
          <w:b/>
          <w:sz w:val="22"/>
          <w:szCs w:val="22"/>
        </w:rPr>
        <w:t>, whether they are public</w:t>
      </w:r>
      <w:r>
        <w:rPr>
          <w:rFonts w:ascii="Calibri" w:eastAsia="Calibri" w:hAnsi="Calibri" w:cs="Calibri"/>
          <w:sz w:val="22"/>
          <w:szCs w:val="22"/>
        </w:rPr>
        <w:t xml:space="preserve"> - such as </w:t>
      </w:r>
      <w:proofErr w:type="spellStart"/>
      <w:r w:rsidRPr="009D3DF2">
        <w:rPr>
          <w:rFonts w:ascii="Calibri" w:eastAsia="Calibri" w:hAnsi="Calibri" w:cs="Calibri"/>
          <w:i/>
          <w:iCs/>
          <w:sz w:val="22"/>
          <w:szCs w:val="22"/>
        </w:rPr>
        <w:t>Institut</w:t>
      </w:r>
      <w:proofErr w:type="spellEnd"/>
      <w:r w:rsidRPr="009D3DF2">
        <w:rPr>
          <w:rFonts w:ascii="Calibri" w:eastAsia="Calibri" w:hAnsi="Calibri" w:cs="Calibri"/>
          <w:i/>
          <w:iCs/>
          <w:sz w:val="22"/>
          <w:szCs w:val="22"/>
        </w:rPr>
        <w:t xml:space="preserve"> Polytechnique </w:t>
      </w:r>
      <w:r>
        <w:rPr>
          <w:rFonts w:ascii="Calibri" w:eastAsia="Calibri" w:hAnsi="Calibri" w:cs="Calibri"/>
          <w:sz w:val="22"/>
          <w:szCs w:val="22"/>
        </w:rPr>
        <w:t xml:space="preserve">(a school specialised in engineering) - </w:t>
      </w:r>
      <w:r>
        <w:rPr>
          <w:rFonts w:ascii="Calibri" w:eastAsia="Calibri" w:hAnsi="Calibri" w:cs="Calibri"/>
          <w:b/>
          <w:sz w:val="22"/>
          <w:szCs w:val="22"/>
        </w:rPr>
        <w:t>or private</w:t>
      </w:r>
      <w:r>
        <w:rPr>
          <w:rFonts w:ascii="Calibri" w:eastAsia="Calibri" w:hAnsi="Calibri" w:cs="Calibri"/>
          <w:sz w:val="22"/>
          <w:szCs w:val="22"/>
        </w:rPr>
        <w:t xml:space="preserve"> - such as HEC (business school) and Sciences Po (politics school), </w:t>
      </w:r>
      <w:r>
        <w:rPr>
          <w:rFonts w:ascii="Calibri" w:eastAsia="Calibri" w:hAnsi="Calibri" w:cs="Calibri"/>
          <w:b/>
          <w:sz w:val="22"/>
          <w:szCs w:val="22"/>
        </w:rPr>
        <w:t>can reach up to €10,000 for a school year.</w:t>
      </w:r>
      <w:r>
        <w:rPr>
          <w:rFonts w:ascii="Calibri" w:eastAsia="Calibri" w:hAnsi="Calibri" w:cs="Calibri"/>
          <w:sz w:val="22"/>
          <w:szCs w:val="22"/>
        </w:rPr>
        <w:t xml:space="preserve"> A </w:t>
      </w:r>
      <w:hyperlink r:id="rId36">
        <w:r>
          <w:rPr>
            <w:rFonts w:ascii="Calibri" w:eastAsia="Calibri" w:hAnsi="Calibri" w:cs="Calibri"/>
            <w:color w:val="1155CC"/>
            <w:sz w:val="22"/>
            <w:szCs w:val="22"/>
            <w:u w:val="single"/>
          </w:rPr>
          <w:t xml:space="preserve">bachelor’s degree from </w:t>
        </w:r>
        <w:proofErr w:type="spellStart"/>
        <w:r>
          <w:rPr>
            <w:rFonts w:ascii="Calibri" w:eastAsia="Calibri" w:hAnsi="Calibri" w:cs="Calibri"/>
            <w:color w:val="1155CC"/>
            <w:sz w:val="22"/>
            <w:szCs w:val="22"/>
            <w:u w:val="single"/>
          </w:rPr>
          <w:t>I</w:t>
        </w:r>
        <w:r w:rsidRPr="009D3DF2">
          <w:rPr>
            <w:rFonts w:ascii="Calibri" w:eastAsia="Calibri" w:hAnsi="Calibri" w:cs="Calibri"/>
            <w:i/>
            <w:iCs/>
            <w:color w:val="1155CC"/>
            <w:sz w:val="22"/>
            <w:szCs w:val="22"/>
            <w:u w:val="single"/>
          </w:rPr>
          <w:t>nstitut</w:t>
        </w:r>
        <w:proofErr w:type="spellEnd"/>
        <w:r w:rsidRPr="009D3DF2">
          <w:rPr>
            <w:rFonts w:ascii="Calibri" w:eastAsia="Calibri" w:hAnsi="Calibri" w:cs="Calibri"/>
            <w:i/>
            <w:iCs/>
            <w:color w:val="1155CC"/>
            <w:sz w:val="22"/>
            <w:szCs w:val="22"/>
            <w:u w:val="single"/>
          </w:rPr>
          <w:t xml:space="preserve"> Polytechnique</w:t>
        </w:r>
      </w:hyperlink>
      <w:r>
        <w:rPr>
          <w:rFonts w:ascii="Calibri" w:eastAsia="Calibri" w:hAnsi="Calibri" w:cs="Calibri"/>
          <w:sz w:val="22"/>
          <w:szCs w:val="22"/>
        </w:rPr>
        <w:t>, for example, will cost between €3,500 and €7,750 a year</w:t>
      </w:r>
      <w:sdt>
        <w:sdtPr>
          <w:tag w:val="goog_rdk_0"/>
          <w:id w:val="1651325330"/>
        </w:sdtPr>
        <w:sdtContent>
          <w:r>
            <w:rPr>
              <w:rFonts w:ascii="Calibri" w:eastAsia="Calibri" w:hAnsi="Calibri" w:cs="Calibri"/>
              <w:sz w:val="22"/>
              <w:szCs w:val="22"/>
            </w:rPr>
            <w:t xml:space="preserve"> for European students</w:t>
          </w:r>
        </w:sdtContent>
      </w:sdt>
      <w:r>
        <w:rPr>
          <w:rFonts w:ascii="Calibri" w:eastAsia="Calibri" w:hAnsi="Calibri" w:cs="Calibri"/>
          <w:sz w:val="22"/>
          <w:szCs w:val="22"/>
          <w:vertAlign w:val="superscript"/>
        </w:rPr>
        <w:footnoteReference w:id="35"/>
      </w:r>
      <w:r>
        <w:rPr>
          <w:rFonts w:ascii="Calibri" w:eastAsia="Calibri" w:hAnsi="Calibri" w:cs="Calibri"/>
          <w:sz w:val="22"/>
          <w:szCs w:val="22"/>
        </w:rPr>
        <w:t xml:space="preserve">. </w:t>
      </w:r>
      <w:r>
        <w:rPr>
          <w:rFonts w:ascii="Calibri" w:eastAsia="Calibri" w:hAnsi="Calibri" w:cs="Calibri"/>
          <w:b/>
          <w:sz w:val="22"/>
          <w:szCs w:val="22"/>
        </w:rPr>
        <w:t xml:space="preserve">Some </w:t>
      </w:r>
      <w:r>
        <w:rPr>
          <w:rFonts w:ascii="Calibri" w:eastAsia="Calibri" w:hAnsi="Calibri" w:cs="Calibri"/>
          <w:b/>
          <w:i/>
          <w:sz w:val="22"/>
          <w:szCs w:val="22"/>
        </w:rPr>
        <w:t>Grandes Écoles</w:t>
      </w:r>
      <w:r>
        <w:rPr>
          <w:rFonts w:ascii="Calibri" w:eastAsia="Calibri" w:hAnsi="Calibri" w:cs="Calibri"/>
          <w:b/>
          <w:sz w:val="22"/>
          <w:szCs w:val="22"/>
        </w:rPr>
        <w:t xml:space="preserve"> have institutionalised a graduation in tuition aiming to promote the inclusion of students from socially disadvantaged backgrounds</w:t>
      </w:r>
      <w:r>
        <w:rPr>
          <w:rFonts w:ascii="Calibri" w:eastAsia="Calibri" w:hAnsi="Calibri" w:cs="Calibri"/>
          <w:sz w:val="22"/>
          <w:szCs w:val="22"/>
        </w:rPr>
        <w:t xml:space="preserve">. In Sciences Po for example, the 2023-2024 tuition for a first year enrolment is </w:t>
      </w:r>
      <w:hyperlink r:id="rId37">
        <w:r>
          <w:rPr>
            <w:rFonts w:ascii="Calibri" w:eastAsia="Calibri" w:hAnsi="Calibri" w:cs="Calibri"/>
            <w:color w:val="1155CC"/>
            <w:sz w:val="22"/>
            <w:szCs w:val="22"/>
            <w:u w:val="single"/>
          </w:rPr>
          <w:t>calculated according to the household tax income</w:t>
        </w:r>
      </w:hyperlink>
      <w:r>
        <w:rPr>
          <w:rFonts w:ascii="Calibri" w:eastAsia="Calibri" w:hAnsi="Calibri" w:cs="Calibri"/>
          <w:sz w:val="22"/>
          <w:szCs w:val="22"/>
        </w:rPr>
        <w:t>, varying from €0 to €14,210 for a bachelor’s degree and from €0 to €19.670 for a master’s degree</w:t>
      </w:r>
      <w:r>
        <w:rPr>
          <w:rFonts w:ascii="Calibri" w:eastAsia="Calibri" w:hAnsi="Calibri" w:cs="Calibri"/>
          <w:sz w:val="22"/>
          <w:szCs w:val="22"/>
          <w:vertAlign w:val="superscript"/>
        </w:rPr>
        <w:footnoteReference w:id="36"/>
      </w:r>
      <w:r>
        <w:rPr>
          <w:rFonts w:ascii="Calibri" w:eastAsia="Calibri" w:hAnsi="Calibri" w:cs="Calibri"/>
          <w:sz w:val="22"/>
          <w:szCs w:val="22"/>
        </w:rPr>
        <w:t xml:space="preserve">. </w:t>
      </w:r>
    </w:p>
    <w:p w14:paraId="00000044" w14:textId="77777777" w:rsidR="003F609F" w:rsidRDefault="00000000">
      <w:pPr>
        <w:spacing w:after="240" w:line="276" w:lineRule="auto"/>
        <w:jc w:val="both"/>
        <w:rPr>
          <w:rFonts w:ascii="Calibri" w:eastAsia="Calibri" w:hAnsi="Calibri" w:cs="Calibri"/>
          <w:b/>
          <w:color w:val="A5594C"/>
          <w:sz w:val="22"/>
          <w:szCs w:val="22"/>
        </w:rPr>
      </w:pPr>
      <w:r>
        <w:rPr>
          <w:rFonts w:ascii="Calibri" w:eastAsia="Calibri" w:hAnsi="Calibri" w:cs="Calibri"/>
          <w:b/>
          <w:color w:val="A5594C"/>
          <w:sz w:val="22"/>
          <w:szCs w:val="22"/>
        </w:rPr>
        <w:t xml:space="preserve">These fees remain much too high for students from low- or middle-income households who do not receive any State financial aid. Yet, these institutions with high tuition fees are the ones that offer the best professional opportunities, thereby further increasing inequality. </w:t>
      </w:r>
    </w:p>
    <w:p w14:paraId="00000045" w14:textId="77777777" w:rsidR="003F609F" w:rsidRDefault="00000000">
      <w:pPr>
        <w:spacing w:after="200" w:line="276" w:lineRule="auto"/>
        <w:jc w:val="both"/>
        <w:rPr>
          <w:rFonts w:ascii="Calibri" w:eastAsia="Calibri" w:hAnsi="Calibri" w:cs="Calibri"/>
          <w:sz w:val="22"/>
          <w:szCs w:val="22"/>
        </w:rPr>
      </w:pPr>
      <w:r>
        <w:rPr>
          <w:rFonts w:ascii="Calibri" w:eastAsia="Calibri" w:hAnsi="Calibri" w:cs="Calibri"/>
          <w:sz w:val="22"/>
          <w:szCs w:val="22"/>
        </w:rPr>
        <w:t xml:space="preserve">The disparity in registration fees, depending on courses and on the type of establishment, only exacerbates the inequality of access described above. For example, since most </w:t>
      </w:r>
      <w:r>
        <w:rPr>
          <w:rFonts w:ascii="Calibri" w:eastAsia="Calibri" w:hAnsi="Calibri" w:cs="Calibri"/>
          <w:i/>
          <w:sz w:val="22"/>
          <w:szCs w:val="22"/>
        </w:rPr>
        <w:t>Grandes Écoles</w:t>
      </w:r>
      <w:r>
        <w:rPr>
          <w:rFonts w:ascii="Calibri" w:eastAsia="Calibri" w:hAnsi="Calibri" w:cs="Calibri"/>
          <w:sz w:val="22"/>
          <w:szCs w:val="22"/>
        </w:rPr>
        <w:t xml:space="preserve"> </w:t>
      </w:r>
      <w:proofErr w:type="gramStart"/>
      <w:r>
        <w:rPr>
          <w:rFonts w:ascii="Calibri" w:eastAsia="Calibri" w:hAnsi="Calibri" w:cs="Calibri"/>
          <w:sz w:val="22"/>
          <w:szCs w:val="22"/>
        </w:rPr>
        <w:t xml:space="preserve">are </w:t>
      </w:r>
      <w:r>
        <w:rPr>
          <w:rFonts w:ascii="Calibri" w:eastAsia="Calibri" w:hAnsi="Calibri" w:cs="Calibri"/>
          <w:sz w:val="22"/>
          <w:szCs w:val="22"/>
        </w:rPr>
        <w:lastRenderedPageBreak/>
        <w:t>located in</w:t>
      </w:r>
      <w:proofErr w:type="gramEnd"/>
      <w:r>
        <w:rPr>
          <w:rFonts w:ascii="Calibri" w:eastAsia="Calibri" w:hAnsi="Calibri" w:cs="Calibri"/>
          <w:sz w:val="22"/>
          <w:szCs w:val="22"/>
        </w:rPr>
        <w:t xml:space="preserve"> areas where living costs are higher, students have to pay for indirect mobility costs in addition to tuition fees. </w:t>
      </w:r>
    </w:p>
    <w:p w14:paraId="00000046" w14:textId="77777777" w:rsidR="003F609F" w:rsidRDefault="00000000">
      <w:pPr>
        <w:spacing w:after="240" w:line="276" w:lineRule="auto"/>
        <w:jc w:val="both"/>
        <w:rPr>
          <w:rFonts w:ascii="Calibri" w:eastAsia="Calibri" w:hAnsi="Calibri" w:cs="Calibri"/>
          <w:b/>
          <w:color w:val="A5594C"/>
          <w:sz w:val="22"/>
          <w:szCs w:val="22"/>
        </w:rPr>
      </w:pPr>
      <w:r>
        <w:rPr>
          <w:rFonts w:ascii="Calibri" w:eastAsia="Calibri" w:hAnsi="Calibri" w:cs="Calibri"/>
          <w:b/>
          <w:color w:val="494771"/>
          <w:sz w:val="26"/>
          <w:szCs w:val="26"/>
        </w:rPr>
        <w:t>Indirect costs</w:t>
      </w:r>
    </w:p>
    <w:p w14:paraId="00000047" w14:textId="77777777" w:rsidR="003F609F" w:rsidRDefault="00000000">
      <w:pPr>
        <w:pBdr>
          <w:top w:val="nil"/>
          <w:left w:val="nil"/>
          <w:bottom w:val="nil"/>
          <w:right w:val="nil"/>
          <w:between w:val="nil"/>
        </w:pBdr>
        <w:spacing w:after="240" w:line="276" w:lineRule="auto"/>
        <w:jc w:val="both"/>
        <w:rPr>
          <w:rFonts w:ascii="Calibri" w:eastAsia="Calibri" w:hAnsi="Calibri" w:cs="Calibri"/>
          <w:sz w:val="22"/>
          <w:szCs w:val="22"/>
        </w:rPr>
      </w:pPr>
      <w:r>
        <w:rPr>
          <w:rFonts w:ascii="Calibri" w:eastAsia="Calibri" w:hAnsi="Calibri" w:cs="Calibri"/>
          <w:b/>
          <w:sz w:val="22"/>
          <w:szCs w:val="22"/>
        </w:rPr>
        <w:t xml:space="preserve">Due to the polarisation of the higher education system described above, a high number of students </w:t>
      </w:r>
      <w:proofErr w:type="gramStart"/>
      <w:r>
        <w:rPr>
          <w:rFonts w:ascii="Calibri" w:eastAsia="Calibri" w:hAnsi="Calibri" w:cs="Calibri"/>
          <w:b/>
          <w:sz w:val="22"/>
          <w:szCs w:val="22"/>
        </w:rPr>
        <w:t>have to</w:t>
      </w:r>
      <w:proofErr w:type="gramEnd"/>
      <w:r>
        <w:rPr>
          <w:rFonts w:ascii="Calibri" w:eastAsia="Calibri" w:hAnsi="Calibri" w:cs="Calibri"/>
          <w:b/>
          <w:sz w:val="22"/>
          <w:szCs w:val="22"/>
        </w:rPr>
        <w:t xml:space="preserve"> move to main urban areas where there is greater quality and diversity of the higher education offering, but where the cost of living is also usually higher</w:t>
      </w:r>
      <w:r>
        <w:rPr>
          <w:rFonts w:ascii="Calibri" w:eastAsia="Calibri" w:hAnsi="Calibri" w:cs="Calibri"/>
          <w:sz w:val="22"/>
          <w:szCs w:val="22"/>
        </w:rPr>
        <w:t>. In 2022, students’ cost of living increased by 6.47%, representing €428.22, in comparison to 2021</w:t>
      </w:r>
      <w:r>
        <w:rPr>
          <w:rFonts w:ascii="Calibri" w:eastAsia="Calibri" w:hAnsi="Calibri" w:cs="Calibri"/>
          <w:sz w:val="22"/>
          <w:szCs w:val="22"/>
          <w:vertAlign w:val="superscript"/>
        </w:rPr>
        <w:footnoteReference w:id="37"/>
      </w:r>
      <w:r>
        <w:rPr>
          <w:rFonts w:ascii="Calibri" w:eastAsia="Calibri" w:hAnsi="Calibri" w:cs="Calibri"/>
          <w:sz w:val="22"/>
          <w:szCs w:val="22"/>
        </w:rPr>
        <w:t xml:space="preserve">. </w:t>
      </w:r>
      <w:r>
        <w:rPr>
          <w:rFonts w:ascii="Calibri" w:eastAsia="Calibri" w:hAnsi="Calibri" w:cs="Calibri"/>
          <w:color w:val="000000"/>
          <w:sz w:val="22"/>
          <w:szCs w:val="22"/>
        </w:rPr>
        <w:t>Paris is the most expensive city for students, with average monthly expenses of €1,332</w:t>
      </w:r>
      <w:r>
        <w:rPr>
          <w:rFonts w:ascii="Calibri" w:eastAsia="Calibri" w:hAnsi="Calibri" w:cs="Calibri"/>
          <w:color w:val="000000"/>
          <w:sz w:val="22"/>
          <w:szCs w:val="22"/>
          <w:vertAlign w:val="superscript"/>
        </w:rPr>
        <w:footnoteReference w:id="38"/>
      </w:r>
      <w:r>
        <w:rPr>
          <w:rFonts w:ascii="Calibri" w:eastAsia="Calibri" w:hAnsi="Calibri" w:cs="Calibri"/>
          <w:color w:val="000000"/>
          <w:sz w:val="22"/>
          <w:szCs w:val="22"/>
        </w:rPr>
        <w:t xml:space="preserve">. The difference </w:t>
      </w:r>
      <w:r>
        <w:rPr>
          <w:rFonts w:ascii="Calibri" w:eastAsia="Calibri" w:hAnsi="Calibri" w:cs="Calibri"/>
          <w:sz w:val="22"/>
          <w:szCs w:val="22"/>
        </w:rPr>
        <w:t>between the most expensive city and the cheapest one is €482.08</w:t>
      </w:r>
      <w:r>
        <w:rPr>
          <w:rFonts w:ascii="Calibri" w:eastAsia="Calibri" w:hAnsi="Calibri" w:cs="Calibri"/>
          <w:sz w:val="22"/>
          <w:szCs w:val="22"/>
          <w:vertAlign w:val="superscript"/>
        </w:rPr>
        <w:footnoteReference w:id="39"/>
      </w:r>
      <w:r>
        <w:rPr>
          <w:rFonts w:ascii="Calibri" w:eastAsia="Calibri" w:hAnsi="Calibri" w:cs="Calibri"/>
          <w:sz w:val="22"/>
          <w:szCs w:val="22"/>
        </w:rPr>
        <w:t>.</w:t>
      </w:r>
    </w:p>
    <w:p w14:paraId="00000048" w14:textId="77777777" w:rsidR="003F609F" w:rsidRDefault="00000000">
      <w:pPr>
        <w:pBdr>
          <w:top w:val="nil"/>
          <w:left w:val="nil"/>
          <w:bottom w:val="nil"/>
          <w:right w:val="nil"/>
          <w:between w:val="nil"/>
        </w:pBdr>
        <w:spacing w:after="240" w:line="276" w:lineRule="auto"/>
        <w:jc w:val="both"/>
        <w:rPr>
          <w:rFonts w:ascii="Calibri" w:eastAsia="Calibri" w:hAnsi="Calibri" w:cs="Calibri"/>
          <w:color w:val="000000"/>
          <w:sz w:val="22"/>
          <w:szCs w:val="22"/>
        </w:rPr>
      </w:pPr>
      <w:r>
        <w:rPr>
          <w:rFonts w:ascii="Calibri" w:eastAsia="Calibri" w:hAnsi="Calibri" w:cs="Calibri"/>
          <w:sz w:val="22"/>
          <w:szCs w:val="22"/>
        </w:rPr>
        <w:t xml:space="preserve">Students’ living costs mainly include transportation and housing expenses. </w:t>
      </w:r>
      <w:r>
        <w:rPr>
          <w:rFonts w:ascii="Calibri" w:eastAsia="Calibri" w:hAnsi="Calibri" w:cs="Calibri"/>
          <w:b/>
          <w:color w:val="000000"/>
          <w:sz w:val="22"/>
          <w:szCs w:val="22"/>
        </w:rPr>
        <w:t xml:space="preserve">Housing expenses represent the biggest </w:t>
      </w:r>
      <w:r>
        <w:rPr>
          <w:rFonts w:ascii="Calibri" w:eastAsia="Calibri" w:hAnsi="Calibri" w:cs="Calibri"/>
          <w:b/>
          <w:sz w:val="22"/>
          <w:szCs w:val="22"/>
        </w:rPr>
        <w:t>share</w:t>
      </w:r>
      <w:r>
        <w:rPr>
          <w:rFonts w:ascii="Calibri" w:eastAsia="Calibri" w:hAnsi="Calibri" w:cs="Calibri"/>
          <w:b/>
          <w:color w:val="000000"/>
          <w:sz w:val="22"/>
          <w:szCs w:val="22"/>
        </w:rPr>
        <w:t xml:space="preserve"> of students’ monthly budget, notabl</w:t>
      </w:r>
      <w:r>
        <w:rPr>
          <w:rFonts w:ascii="Calibri" w:eastAsia="Calibri" w:hAnsi="Calibri" w:cs="Calibri"/>
          <w:b/>
          <w:sz w:val="22"/>
          <w:szCs w:val="22"/>
        </w:rPr>
        <w:t>e as 68.7% of students don’t live in their parents’ home</w:t>
      </w:r>
      <w:r>
        <w:rPr>
          <w:rFonts w:ascii="Calibri" w:eastAsia="Calibri" w:hAnsi="Calibri" w:cs="Calibri"/>
          <w:sz w:val="22"/>
          <w:szCs w:val="22"/>
          <w:vertAlign w:val="superscript"/>
        </w:rPr>
        <w:footnoteReference w:id="40"/>
      </w:r>
      <w:r>
        <w:rPr>
          <w:rFonts w:ascii="Calibri" w:eastAsia="Calibri" w:hAnsi="Calibri" w:cs="Calibri"/>
          <w:sz w:val="22"/>
          <w:szCs w:val="22"/>
        </w:rPr>
        <w:t>. T</w:t>
      </w:r>
      <w:r>
        <w:rPr>
          <w:rFonts w:ascii="Calibri" w:eastAsia="Calibri" w:hAnsi="Calibri" w:cs="Calibri"/>
          <w:color w:val="000000"/>
          <w:sz w:val="22"/>
          <w:szCs w:val="22"/>
        </w:rPr>
        <w:t xml:space="preserve">he average student rent in Paris is €862 per month, over </w:t>
      </w:r>
      <w:r>
        <w:rPr>
          <w:rFonts w:ascii="Calibri" w:eastAsia="Calibri" w:hAnsi="Calibri" w:cs="Calibri"/>
          <w:sz w:val="22"/>
          <w:szCs w:val="22"/>
        </w:rPr>
        <w:t>two</w:t>
      </w:r>
      <w:r>
        <w:rPr>
          <w:rFonts w:ascii="Calibri" w:eastAsia="Calibri" w:hAnsi="Calibri" w:cs="Calibri"/>
          <w:color w:val="000000"/>
          <w:sz w:val="22"/>
          <w:szCs w:val="22"/>
        </w:rPr>
        <w:t xml:space="preserve"> times higher than the average monthly student rent in the cheapest city of Le Mans (€361)</w:t>
      </w:r>
      <w:r>
        <w:rPr>
          <w:rFonts w:ascii="Calibri" w:eastAsia="Calibri" w:hAnsi="Calibri" w:cs="Calibri"/>
          <w:color w:val="000000"/>
          <w:sz w:val="22"/>
          <w:szCs w:val="22"/>
          <w:vertAlign w:val="superscript"/>
        </w:rPr>
        <w:footnoteReference w:id="41"/>
      </w:r>
      <w:r>
        <w:rPr>
          <w:rFonts w:ascii="Calibri" w:eastAsia="Calibri" w:hAnsi="Calibri" w:cs="Calibri"/>
          <w:color w:val="000000"/>
          <w:sz w:val="22"/>
          <w:szCs w:val="22"/>
        </w:rPr>
        <w:t xml:space="preserve">. Student mobility puts even more pressure on the student housing market, creating a vicious cycle. </w:t>
      </w:r>
      <w:r>
        <w:rPr>
          <w:rFonts w:ascii="Calibri" w:eastAsia="Calibri" w:hAnsi="Calibri" w:cs="Calibri"/>
          <w:sz w:val="22"/>
          <w:szCs w:val="22"/>
        </w:rPr>
        <w:t>On average, housing costs increased by 1.37% in 2022</w:t>
      </w:r>
      <w:r>
        <w:rPr>
          <w:rFonts w:ascii="Calibri" w:eastAsia="Calibri" w:hAnsi="Calibri" w:cs="Calibri"/>
          <w:sz w:val="22"/>
          <w:szCs w:val="22"/>
          <w:vertAlign w:val="superscript"/>
        </w:rPr>
        <w:footnoteReference w:id="42"/>
      </w:r>
      <w:r>
        <w:rPr>
          <w:rFonts w:ascii="Calibri" w:eastAsia="Calibri" w:hAnsi="Calibri" w:cs="Calibri"/>
          <w:sz w:val="22"/>
          <w:szCs w:val="22"/>
        </w:rPr>
        <w:t xml:space="preserve">. </w:t>
      </w:r>
      <w:r>
        <w:rPr>
          <w:rFonts w:ascii="Calibri" w:eastAsia="Calibri" w:hAnsi="Calibri" w:cs="Calibri"/>
          <w:b/>
          <w:color w:val="000000"/>
          <w:sz w:val="22"/>
          <w:szCs w:val="22"/>
        </w:rPr>
        <w:t>Transportation also heavily affects student</w:t>
      </w:r>
      <w:r>
        <w:rPr>
          <w:rFonts w:ascii="Calibri" w:eastAsia="Calibri" w:hAnsi="Calibri" w:cs="Calibri"/>
          <w:b/>
          <w:sz w:val="22"/>
          <w:szCs w:val="22"/>
        </w:rPr>
        <w:t xml:space="preserve"> </w:t>
      </w:r>
      <w:r>
        <w:rPr>
          <w:rFonts w:ascii="Calibri" w:eastAsia="Calibri" w:hAnsi="Calibri" w:cs="Calibri"/>
          <w:b/>
          <w:color w:val="000000"/>
          <w:sz w:val="22"/>
          <w:szCs w:val="22"/>
        </w:rPr>
        <w:t>budgets</w:t>
      </w:r>
      <w:r>
        <w:rPr>
          <w:rFonts w:ascii="Calibri" w:eastAsia="Calibri" w:hAnsi="Calibri" w:cs="Calibri"/>
          <w:color w:val="000000"/>
          <w:sz w:val="22"/>
          <w:szCs w:val="22"/>
        </w:rPr>
        <w:t>, with an annual cost of over €300 in Île-de-France as well as in three French cities that are higher education hubs: Lille, Lyon, and Rennes</w:t>
      </w:r>
      <w:r>
        <w:rPr>
          <w:rFonts w:ascii="Calibri" w:eastAsia="Calibri" w:hAnsi="Calibri" w:cs="Calibri"/>
          <w:color w:val="000000"/>
          <w:sz w:val="22"/>
          <w:szCs w:val="22"/>
          <w:vertAlign w:val="superscript"/>
        </w:rPr>
        <w:footnoteReference w:id="43"/>
      </w:r>
      <w:r>
        <w:rPr>
          <w:rFonts w:ascii="Calibri" w:eastAsia="Calibri" w:hAnsi="Calibri" w:cs="Calibri"/>
          <w:color w:val="000000"/>
          <w:sz w:val="22"/>
          <w:szCs w:val="22"/>
        </w:rPr>
        <w:t xml:space="preserve">. </w:t>
      </w:r>
      <w:r>
        <w:rPr>
          <w:rFonts w:ascii="Calibri" w:eastAsia="Calibri" w:hAnsi="Calibri" w:cs="Calibri"/>
          <w:b/>
          <w:color w:val="000000"/>
          <w:sz w:val="22"/>
          <w:szCs w:val="22"/>
        </w:rPr>
        <w:t xml:space="preserve">Other indirect costs such as books and pedagogical material significantly impact students’ budgets at the start of the year and may represent a heavy load in certain fields of study </w:t>
      </w:r>
      <w:r>
        <w:rPr>
          <w:rFonts w:ascii="Calibri" w:eastAsia="Calibri" w:hAnsi="Calibri" w:cs="Calibri"/>
          <w:color w:val="000000"/>
          <w:sz w:val="22"/>
          <w:szCs w:val="22"/>
        </w:rPr>
        <w:t>(</w:t>
      </w:r>
      <w:proofErr w:type="gramStart"/>
      <w:r>
        <w:rPr>
          <w:rFonts w:ascii="Calibri" w:eastAsia="Calibri" w:hAnsi="Calibri" w:cs="Calibri"/>
          <w:color w:val="000000"/>
          <w:sz w:val="22"/>
          <w:szCs w:val="22"/>
        </w:rPr>
        <w:t>e.g.</w:t>
      </w:r>
      <w:proofErr w:type="gramEnd"/>
      <w:r>
        <w:rPr>
          <w:rFonts w:ascii="Calibri" w:eastAsia="Calibri" w:hAnsi="Calibri" w:cs="Calibri"/>
          <w:color w:val="000000"/>
          <w:sz w:val="22"/>
          <w:szCs w:val="22"/>
        </w:rPr>
        <w:t xml:space="preserve"> health/medical </w:t>
      </w:r>
      <w:r>
        <w:rPr>
          <w:rFonts w:ascii="Calibri" w:eastAsia="Calibri" w:hAnsi="Calibri" w:cs="Calibri"/>
          <w:sz w:val="22"/>
          <w:szCs w:val="22"/>
        </w:rPr>
        <w:t>degrees</w:t>
      </w:r>
      <w:r>
        <w:rPr>
          <w:rFonts w:ascii="Calibri" w:eastAsia="Calibri" w:hAnsi="Calibri" w:cs="Calibri"/>
          <w:color w:val="000000"/>
          <w:sz w:val="22"/>
          <w:szCs w:val="22"/>
        </w:rPr>
        <w:t xml:space="preserve">). According to the </w:t>
      </w:r>
      <w:r>
        <w:rPr>
          <w:rFonts w:ascii="Calibri" w:eastAsia="Calibri" w:hAnsi="Calibri" w:cs="Calibri"/>
          <w:i/>
          <w:sz w:val="22"/>
          <w:szCs w:val="22"/>
        </w:rPr>
        <w:t>Fédération</w:t>
      </w:r>
      <w:r>
        <w:rPr>
          <w:rFonts w:ascii="Calibri" w:eastAsia="Calibri" w:hAnsi="Calibri" w:cs="Calibri"/>
          <w:i/>
          <w:color w:val="000000"/>
          <w:sz w:val="22"/>
          <w:szCs w:val="22"/>
        </w:rPr>
        <w:t xml:space="preserve"> Générale des Associations </w:t>
      </w:r>
      <w:proofErr w:type="spellStart"/>
      <w:r>
        <w:rPr>
          <w:rFonts w:ascii="Calibri" w:eastAsia="Calibri" w:hAnsi="Calibri" w:cs="Calibri"/>
          <w:i/>
          <w:color w:val="000000"/>
          <w:sz w:val="22"/>
          <w:szCs w:val="22"/>
        </w:rPr>
        <w:t>Étudiantes</w:t>
      </w:r>
      <w:proofErr w:type="spellEnd"/>
      <w:r>
        <w:rPr>
          <w:rFonts w:ascii="Calibri" w:eastAsia="Calibri" w:hAnsi="Calibri" w:cs="Calibri"/>
          <w:color w:val="000000"/>
          <w:sz w:val="22"/>
          <w:szCs w:val="22"/>
        </w:rPr>
        <w:t xml:space="preserve"> (FAGE), the average cost of studies for French higher education students at the start of 202</w:t>
      </w:r>
      <w:r>
        <w:rPr>
          <w:rFonts w:ascii="Calibri" w:eastAsia="Calibri" w:hAnsi="Calibri" w:cs="Calibri"/>
          <w:sz w:val="22"/>
          <w:szCs w:val="22"/>
        </w:rPr>
        <w:t>3</w:t>
      </w:r>
      <w:r>
        <w:rPr>
          <w:rFonts w:ascii="Calibri" w:eastAsia="Calibri" w:hAnsi="Calibri" w:cs="Calibri"/>
          <w:color w:val="000000"/>
          <w:sz w:val="22"/>
          <w:szCs w:val="22"/>
        </w:rPr>
        <w:t xml:space="preserve"> </w:t>
      </w:r>
      <w:r>
        <w:rPr>
          <w:rFonts w:ascii="Calibri" w:eastAsia="Calibri" w:hAnsi="Calibri" w:cs="Calibri"/>
          <w:sz w:val="22"/>
          <w:szCs w:val="22"/>
        </w:rPr>
        <w:t>is</w:t>
      </w:r>
      <w:r>
        <w:rPr>
          <w:rFonts w:ascii="Calibri" w:eastAsia="Calibri" w:hAnsi="Calibri" w:cs="Calibri"/>
          <w:color w:val="000000"/>
          <w:sz w:val="22"/>
          <w:szCs w:val="22"/>
        </w:rPr>
        <w:t xml:space="preserve"> €</w:t>
      </w:r>
      <w:r>
        <w:rPr>
          <w:rFonts w:ascii="Calibri" w:eastAsia="Calibri" w:hAnsi="Calibri" w:cs="Calibri"/>
          <w:sz w:val="22"/>
          <w:szCs w:val="22"/>
        </w:rPr>
        <w:t>3,024</w:t>
      </w:r>
      <w:r>
        <w:rPr>
          <w:rFonts w:ascii="Calibri" w:eastAsia="Calibri" w:hAnsi="Calibri" w:cs="Calibri"/>
          <w:color w:val="000000"/>
          <w:sz w:val="22"/>
          <w:szCs w:val="22"/>
        </w:rPr>
        <w:t xml:space="preserve"> (for a student without scholarship or financial aid), comprising €1,</w:t>
      </w:r>
      <w:r>
        <w:rPr>
          <w:rFonts w:ascii="Calibri" w:eastAsia="Calibri" w:hAnsi="Calibri" w:cs="Calibri"/>
          <w:sz w:val="22"/>
          <w:szCs w:val="22"/>
        </w:rPr>
        <w:t>824</w:t>
      </w:r>
      <w:r>
        <w:rPr>
          <w:rFonts w:ascii="Calibri" w:eastAsia="Calibri" w:hAnsi="Calibri" w:cs="Calibri"/>
          <w:color w:val="000000"/>
          <w:sz w:val="22"/>
          <w:szCs w:val="22"/>
        </w:rPr>
        <w:t xml:space="preserve"> of one-</w:t>
      </w:r>
      <w:r>
        <w:rPr>
          <w:rFonts w:ascii="Calibri" w:eastAsia="Calibri" w:hAnsi="Calibri" w:cs="Calibri"/>
          <w:sz w:val="22"/>
          <w:szCs w:val="22"/>
        </w:rPr>
        <w:t>off</w:t>
      </w:r>
      <w:r>
        <w:rPr>
          <w:rFonts w:ascii="Calibri" w:eastAsia="Calibri" w:hAnsi="Calibri" w:cs="Calibri"/>
          <w:color w:val="000000"/>
          <w:sz w:val="22"/>
          <w:szCs w:val="22"/>
        </w:rPr>
        <w:t xml:space="preserve"> fees</w:t>
      </w:r>
      <w:r>
        <w:rPr>
          <w:rFonts w:ascii="Calibri" w:eastAsia="Calibri" w:hAnsi="Calibri" w:cs="Calibri"/>
          <w:sz w:val="22"/>
          <w:szCs w:val="22"/>
        </w:rPr>
        <w:t>,</w:t>
      </w:r>
      <w:r>
        <w:rPr>
          <w:rFonts w:ascii="Calibri" w:eastAsia="Calibri" w:hAnsi="Calibri" w:cs="Calibri"/>
          <w:color w:val="000000"/>
          <w:sz w:val="22"/>
          <w:szCs w:val="22"/>
        </w:rPr>
        <w:t xml:space="preserve"> and €1,</w:t>
      </w:r>
      <w:r>
        <w:rPr>
          <w:rFonts w:ascii="Calibri" w:eastAsia="Calibri" w:hAnsi="Calibri" w:cs="Calibri"/>
          <w:sz w:val="22"/>
          <w:szCs w:val="22"/>
        </w:rPr>
        <w:t>199</w:t>
      </w:r>
      <w:r>
        <w:rPr>
          <w:rFonts w:ascii="Calibri" w:eastAsia="Calibri" w:hAnsi="Calibri" w:cs="Calibri"/>
          <w:color w:val="000000"/>
          <w:sz w:val="22"/>
          <w:szCs w:val="22"/>
        </w:rPr>
        <w:t xml:space="preserve"> corresponding to monthly expenses</w:t>
      </w:r>
      <w:r>
        <w:rPr>
          <w:rFonts w:ascii="Calibri" w:eastAsia="Calibri" w:hAnsi="Calibri" w:cs="Calibri"/>
          <w:color w:val="000000"/>
          <w:sz w:val="22"/>
          <w:szCs w:val="22"/>
          <w:vertAlign w:val="superscript"/>
        </w:rPr>
        <w:footnoteReference w:id="44"/>
      </w:r>
      <w:r>
        <w:rPr>
          <w:rFonts w:ascii="Calibri" w:eastAsia="Calibri" w:hAnsi="Calibri" w:cs="Calibri"/>
          <w:color w:val="000000"/>
          <w:sz w:val="22"/>
          <w:szCs w:val="22"/>
        </w:rPr>
        <w:t xml:space="preserve">. This is </w:t>
      </w:r>
      <w:proofErr w:type="gramStart"/>
      <w:r>
        <w:rPr>
          <w:rFonts w:ascii="Calibri" w:eastAsia="Calibri" w:hAnsi="Calibri" w:cs="Calibri"/>
          <w:color w:val="000000"/>
          <w:sz w:val="22"/>
          <w:szCs w:val="22"/>
        </w:rPr>
        <w:t>an</w:t>
      </w:r>
      <w:proofErr w:type="gramEnd"/>
      <w:r>
        <w:rPr>
          <w:rFonts w:ascii="Calibri" w:eastAsia="Calibri" w:hAnsi="Calibri" w:cs="Calibri"/>
          <w:color w:val="000000"/>
          <w:sz w:val="22"/>
          <w:szCs w:val="22"/>
        </w:rPr>
        <w:t xml:space="preserve"> general i</w:t>
      </w:r>
      <w:r>
        <w:rPr>
          <w:rFonts w:ascii="Calibri" w:eastAsia="Calibri" w:hAnsi="Calibri" w:cs="Calibri"/>
          <w:sz w:val="22"/>
          <w:szCs w:val="22"/>
        </w:rPr>
        <w:t>ncrease of €135 in comparison with 2022</w:t>
      </w:r>
      <w:r>
        <w:rPr>
          <w:rFonts w:ascii="Calibri" w:eastAsia="Calibri" w:hAnsi="Calibri" w:cs="Calibri"/>
          <w:color w:val="000000"/>
          <w:sz w:val="22"/>
          <w:szCs w:val="22"/>
          <w:vertAlign w:val="superscript"/>
        </w:rPr>
        <w:footnoteReference w:id="45"/>
      </w:r>
      <w:r>
        <w:rPr>
          <w:rFonts w:ascii="Calibri" w:eastAsia="Calibri" w:hAnsi="Calibri" w:cs="Calibri"/>
          <w:color w:val="000000"/>
          <w:sz w:val="22"/>
          <w:szCs w:val="22"/>
        </w:rPr>
        <w:t xml:space="preserve">. </w:t>
      </w:r>
      <w:r>
        <w:rPr>
          <w:rFonts w:ascii="Calibri" w:eastAsia="Calibri" w:hAnsi="Calibri" w:cs="Calibri"/>
          <w:sz w:val="22"/>
          <w:szCs w:val="22"/>
        </w:rPr>
        <w:t>The monthly expenses have soared by almost 9%.</w:t>
      </w:r>
    </w:p>
    <w:p w14:paraId="00000049" w14:textId="77777777" w:rsidR="003F609F" w:rsidRDefault="00000000">
      <w:pPr>
        <w:spacing w:after="200" w:line="276" w:lineRule="auto"/>
        <w:jc w:val="both"/>
        <w:rPr>
          <w:rFonts w:ascii="Calibri" w:eastAsia="Calibri" w:hAnsi="Calibri" w:cs="Calibri"/>
          <w:sz w:val="22"/>
          <w:szCs w:val="22"/>
        </w:rPr>
      </w:pPr>
      <w:r>
        <w:rPr>
          <w:rFonts w:ascii="Calibri" w:eastAsia="Calibri" w:hAnsi="Calibri" w:cs="Calibri"/>
          <w:b/>
          <w:sz w:val="22"/>
          <w:szCs w:val="22"/>
        </w:rPr>
        <w:t>More and more students take part-time jobs while studying, which extends the duration of their studies and affects their chances for success</w:t>
      </w:r>
      <w:r>
        <w:rPr>
          <w:rFonts w:ascii="Calibri" w:eastAsia="Calibri" w:hAnsi="Calibri" w:cs="Calibri"/>
          <w:sz w:val="22"/>
          <w:szCs w:val="22"/>
        </w:rPr>
        <w:t xml:space="preserve">. A 2019 </w:t>
      </w:r>
      <w:hyperlink r:id="rId38">
        <w:r>
          <w:rPr>
            <w:rFonts w:ascii="Calibri" w:eastAsia="Calibri" w:hAnsi="Calibri" w:cs="Calibri"/>
            <w:sz w:val="22"/>
            <w:szCs w:val="22"/>
            <w:u w:val="single"/>
          </w:rPr>
          <w:t>report</w:t>
        </w:r>
      </w:hyperlink>
      <w:r>
        <w:rPr>
          <w:rFonts w:ascii="Calibri" w:eastAsia="Calibri" w:hAnsi="Calibri" w:cs="Calibri"/>
          <w:sz w:val="22"/>
          <w:szCs w:val="22"/>
        </w:rPr>
        <w:t xml:space="preserve"> from the </w:t>
      </w:r>
      <w:r>
        <w:rPr>
          <w:rFonts w:ascii="Calibri" w:eastAsia="Calibri" w:hAnsi="Calibri" w:cs="Calibri"/>
          <w:i/>
          <w:sz w:val="22"/>
          <w:szCs w:val="22"/>
        </w:rPr>
        <w:t xml:space="preserve">Inspection </w:t>
      </w:r>
      <w:proofErr w:type="spellStart"/>
      <w:r>
        <w:rPr>
          <w:rFonts w:ascii="Calibri" w:eastAsia="Calibri" w:hAnsi="Calibri" w:cs="Calibri"/>
          <w:i/>
          <w:sz w:val="22"/>
          <w:szCs w:val="22"/>
        </w:rPr>
        <w:t>générale</w:t>
      </w:r>
      <w:proofErr w:type="spellEnd"/>
      <w:r>
        <w:rPr>
          <w:rFonts w:ascii="Calibri" w:eastAsia="Calibri" w:hAnsi="Calibri" w:cs="Calibri"/>
          <w:i/>
          <w:sz w:val="22"/>
          <w:szCs w:val="22"/>
        </w:rPr>
        <w:t xml:space="preserve"> de </w:t>
      </w:r>
      <w:proofErr w:type="spellStart"/>
      <w:r>
        <w:rPr>
          <w:rFonts w:ascii="Calibri" w:eastAsia="Calibri" w:hAnsi="Calibri" w:cs="Calibri"/>
          <w:i/>
          <w:sz w:val="22"/>
          <w:szCs w:val="22"/>
        </w:rPr>
        <w:t>l’Administration</w:t>
      </w:r>
      <w:proofErr w:type="spellEnd"/>
      <w:r>
        <w:rPr>
          <w:rFonts w:ascii="Calibri" w:eastAsia="Calibri" w:hAnsi="Calibri" w:cs="Calibri"/>
          <w:i/>
          <w:sz w:val="22"/>
          <w:szCs w:val="22"/>
        </w:rPr>
        <w:t xml:space="preserve"> de </w:t>
      </w:r>
      <w:proofErr w:type="spellStart"/>
      <w:r>
        <w:rPr>
          <w:rFonts w:ascii="Calibri" w:eastAsia="Calibri" w:hAnsi="Calibri" w:cs="Calibri"/>
          <w:i/>
          <w:sz w:val="22"/>
          <w:szCs w:val="22"/>
        </w:rPr>
        <w:t>l’Éducation</w:t>
      </w:r>
      <w:proofErr w:type="spellEnd"/>
      <w:r>
        <w:rPr>
          <w:rFonts w:ascii="Calibri" w:eastAsia="Calibri" w:hAnsi="Calibri" w:cs="Calibri"/>
          <w:i/>
          <w:sz w:val="22"/>
          <w:szCs w:val="22"/>
        </w:rPr>
        <w:t xml:space="preserve"> </w:t>
      </w:r>
      <w:proofErr w:type="spellStart"/>
      <w:r>
        <w:rPr>
          <w:rFonts w:ascii="Calibri" w:eastAsia="Calibri" w:hAnsi="Calibri" w:cs="Calibri"/>
          <w:i/>
          <w:sz w:val="22"/>
          <w:szCs w:val="22"/>
        </w:rPr>
        <w:t>nationale</w:t>
      </w:r>
      <w:proofErr w:type="spellEnd"/>
      <w:r>
        <w:rPr>
          <w:rFonts w:ascii="Calibri" w:eastAsia="Calibri" w:hAnsi="Calibri" w:cs="Calibri"/>
          <w:i/>
          <w:sz w:val="22"/>
          <w:szCs w:val="22"/>
        </w:rPr>
        <w:t xml:space="preserve"> et de la Recherche </w:t>
      </w:r>
      <w:r>
        <w:rPr>
          <w:rFonts w:ascii="Calibri" w:eastAsia="Calibri" w:hAnsi="Calibri" w:cs="Calibri"/>
          <w:sz w:val="22"/>
          <w:szCs w:val="22"/>
        </w:rPr>
        <w:t>(General Education and Research Administration Inspectorate—IGAENR) points out that three out of four undergraduate students have worked for an entire semester and 36% have worked regularly for at least two years in a row</w:t>
      </w:r>
      <w:r>
        <w:rPr>
          <w:rFonts w:ascii="Calibri" w:eastAsia="Calibri" w:hAnsi="Calibri" w:cs="Calibri"/>
          <w:sz w:val="22"/>
          <w:szCs w:val="22"/>
          <w:vertAlign w:val="superscript"/>
        </w:rPr>
        <w:footnoteReference w:id="46"/>
      </w:r>
      <w:r>
        <w:rPr>
          <w:rFonts w:ascii="Calibri" w:eastAsia="Calibri" w:hAnsi="Calibri" w:cs="Calibri"/>
          <w:sz w:val="22"/>
          <w:szCs w:val="22"/>
        </w:rPr>
        <w:t>.</w:t>
      </w:r>
    </w:p>
    <w:p w14:paraId="22A9D84F" w14:textId="77777777" w:rsidR="004F0860" w:rsidRDefault="004F0860">
      <w:pPr>
        <w:spacing w:after="200" w:line="276" w:lineRule="auto"/>
        <w:jc w:val="both"/>
        <w:rPr>
          <w:rFonts w:ascii="Calibri" w:eastAsia="Calibri" w:hAnsi="Calibri" w:cs="Calibri"/>
          <w:sz w:val="22"/>
          <w:szCs w:val="22"/>
        </w:rPr>
      </w:pPr>
    </w:p>
    <w:p w14:paraId="55F1B739" w14:textId="77777777" w:rsidR="004F0860" w:rsidRDefault="004F0860">
      <w:pPr>
        <w:spacing w:after="200" w:line="276" w:lineRule="auto"/>
        <w:jc w:val="both"/>
        <w:rPr>
          <w:rFonts w:ascii="Calibri" w:eastAsia="Calibri" w:hAnsi="Calibri" w:cs="Calibri"/>
          <w:b/>
          <w:color w:val="A5594C"/>
          <w:sz w:val="22"/>
          <w:szCs w:val="22"/>
        </w:rPr>
      </w:pPr>
    </w:p>
    <w:p w14:paraId="0000004A" w14:textId="77777777" w:rsidR="003F609F" w:rsidRDefault="00000000">
      <w:pPr>
        <w:spacing w:after="240" w:line="276" w:lineRule="auto"/>
        <w:jc w:val="both"/>
        <w:rPr>
          <w:rFonts w:ascii="Calibri" w:eastAsia="Calibri" w:hAnsi="Calibri" w:cs="Calibri"/>
          <w:b/>
          <w:color w:val="A5594C"/>
          <w:sz w:val="22"/>
          <w:szCs w:val="22"/>
        </w:rPr>
      </w:pPr>
      <w:r>
        <w:rPr>
          <w:rFonts w:ascii="Calibri" w:eastAsia="Calibri" w:hAnsi="Calibri" w:cs="Calibri"/>
          <w:b/>
          <w:color w:val="21959E"/>
          <w:sz w:val="28"/>
          <w:szCs w:val="28"/>
        </w:rPr>
        <w:lastRenderedPageBreak/>
        <w:t>A combination of factors leading to unequal access to higher education in contradiction with the ICESCR</w:t>
      </w:r>
    </w:p>
    <w:p w14:paraId="0000004B" w14:textId="0FADB8A7" w:rsidR="003F609F" w:rsidRDefault="00000000">
      <w:pPr>
        <w:spacing w:after="200" w:line="276" w:lineRule="auto"/>
        <w:jc w:val="both"/>
        <w:rPr>
          <w:rFonts w:ascii="Calibri" w:eastAsia="Calibri" w:hAnsi="Calibri" w:cs="Calibri"/>
          <w:b/>
          <w:color w:val="A5594C"/>
          <w:sz w:val="22"/>
          <w:szCs w:val="22"/>
          <w:vertAlign w:val="superscript"/>
        </w:rPr>
      </w:pPr>
      <w:r>
        <w:rPr>
          <w:rFonts w:ascii="Calibri" w:eastAsia="Calibri" w:hAnsi="Calibri" w:cs="Calibri"/>
          <w:b/>
          <w:color w:val="A5594C"/>
          <w:sz w:val="22"/>
          <w:szCs w:val="22"/>
        </w:rPr>
        <w:t xml:space="preserve">The cost of studies </w:t>
      </w:r>
      <w:r w:rsidR="00464534">
        <w:rPr>
          <w:rFonts w:ascii="Calibri" w:eastAsia="Calibri" w:hAnsi="Calibri" w:cs="Calibri"/>
          <w:b/>
          <w:color w:val="A5594C"/>
          <w:sz w:val="22"/>
          <w:szCs w:val="22"/>
        </w:rPr>
        <w:t>exacerbates</w:t>
      </w:r>
      <w:r>
        <w:rPr>
          <w:rFonts w:ascii="Calibri" w:eastAsia="Calibri" w:hAnsi="Calibri" w:cs="Calibri"/>
          <w:b/>
          <w:color w:val="A5594C"/>
          <w:sz w:val="22"/>
          <w:szCs w:val="22"/>
        </w:rPr>
        <w:t xml:space="preserve"> the existing inequalities due to the polarisation and vertical stratification of the higher education system. A student’s social and economic situation can lead to unequal access to higher education, in contradiction to the ICESCR</w:t>
      </w:r>
      <w:r>
        <w:rPr>
          <w:rFonts w:ascii="Calibri" w:eastAsia="Calibri" w:hAnsi="Calibri" w:cs="Calibri"/>
          <w:b/>
          <w:color w:val="A5594C"/>
          <w:sz w:val="22"/>
          <w:szCs w:val="22"/>
          <w:vertAlign w:val="superscript"/>
        </w:rPr>
        <w:footnoteReference w:id="47"/>
      </w:r>
      <w:r>
        <w:rPr>
          <w:rFonts w:ascii="Calibri" w:eastAsia="Calibri" w:hAnsi="Calibri" w:cs="Calibri"/>
          <w:b/>
          <w:color w:val="A5594C"/>
          <w:sz w:val="22"/>
          <w:szCs w:val="22"/>
        </w:rPr>
        <w:t>.</w:t>
      </w:r>
    </w:p>
    <w:p w14:paraId="0000004C" w14:textId="77777777" w:rsidR="003F609F" w:rsidRDefault="00000000">
      <w:pPr>
        <w:spacing w:after="240" w:line="276" w:lineRule="auto"/>
        <w:jc w:val="both"/>
        <w:rPr>
          <w:rFonts w:ascii="Calibri" w:eastAsia="Calibri" w:hAnsi="Calibri" w:cs="Calibri"/>
          <w:sz w:val="22"/>
          <w:szCs w:val="22"/>
        </w:rPr>
      </w:pPr>
      <w:r>
        <w:rPr>
          <w:rFonts w:ascii="Calibri" w:eastAsia="Calibri" w:hAnsi="Calibri" w:cs="Calibri"/>
          <w:sz w:val="22"/>
          <w:szCs w:val="22"/>
        </w:rPr>
        <w:t>Students from socially disadvantaged backgrounds coming from an area which is a university hub (</w:t>
      </w:r>
      <w:proofErr w:type="gramStart"/>
      <w:r>
        <w:rPr>
          <w:rFonts w:ascii="Calibri" w:eastAsia="Calibri" w:hAnsi="Calibri" w:cs="Calibri"/>
          <w:sz w:val="22"/>
          <w:szCs w:val="22"/>
        </w:rPr>
        <w:t>e.g.</w:t>
      </w:r>
      <w:proofErr w:type="gramEnd"/>
      <w:r>
        <w:rPr>
          <w:rFonts w:ascii="Calibri" w:eastAsia="Calibri" w:hAnsi="Calibri" w:cs="Calibri"/>
          <w:sz w:val="22"/>
          <w:szCs w:val="22"/>
        </w:rPr>
        <w:t xml:space="preserve"> Île-de-France or Lyon) are more likely to overcome socio-economic barriers than those living in remote areas where the higher education offer is less present and/or less diversified. Furthermore, students coming from socioeconomic disadvantaged backgrounds and from regions with limited possibilities in terms of higher education instruction are more likely to face difficulties accessing higher education. They are therefore less likely to improve their social status, further increasing regional vulnerabilities and perpetuating the social reproduction of inequalities. Finally, students living in remote areas but with economic means will be more likely to overcome barriers in access, as they will be able to afford the costs imposed by geographical mobility, by a longer programme, and/or by a selective institution, especially when considering the privatisation of the higher education sector and France’s public policies regarding the financing of higher education</w:t>
      </w:r>
      <w:r>
        <w:rPr>
          <w:rFonts w:ascii="Calibri" w:eastAsia="Calibri" w:hAnsi="Calibri" w:cs="Calibri"/>
          <w:sz w:val="22"/>
          <w:szCs w:val="22"/>
          <w:vertAlign w:val="superscript"/>
        </w:rPr>
        <w:footnoteReference w:id="48"/>
      </w:r>
      <w:r>
        <w:rPr>
          <w:rFonts w:ascii="Calibri" w:eastAsia="Calibri" w:hAnsi="Calibri" w:cs="Calibri"/>
          <w:sz w:val="22"/>
          <w:szCs w:val="22"/>
        </w:rPr>
        <w:t xml:space="preserve"> (see hereafter).</w:t>
      </w:r>
    </w:p>
    <w:p w14:paraId="0000004D" w14:textId="77777777" w:rsidR="003F609F" w:rsidRDefault="00000000">
      <w:pPr>
        <w:spacing w:after="240" w:line="276" w:lineRule="auto"/>
        <w:jc w:val="both"/>
        <w:rPr>
          <w:rFonts w:ascii="Calibri" w:eastAsia="Calibri" w:hAnsi="Calibri" w:cs="Calibri"/>
          <w:b/>
          <w:color w:val="A5594C"/>
          <w:sz w:val="22"/>
          <w:szCs w:val="22"/>
        </w:rPr>
      </w:pPr>
      <w:r>
        <w:rPr>
          <w:rFonts w:ascii="Calibri" w:eastAsia="Calibri" w:hAnsi="Calibri" w:cs="Calibri"/>
          <w:sz w:val="22"/>
          <w:szCs w:val="22"/>
        </w:rPr>
        <w:t xml:space="preserve">Thus, </w:t>
      </w:r>
      <w:r>
        <w:rPr>
          <w:rFonts w:ascii="Calibri" w:eastAsia="Calibri" w:hAnsi="Calibri" w:cs="Calibri"/>
          <w:b/>
          <w:color w:val="A5594C"/>
          <w:sz w:val="22"/>
          <w:szCs w:val="22"/>
        </w:rPr>
        <w:t>a student's place of residence becomes a factor of exclusion in access to higher education, in contradiction to the ICESCR</w:t>
      </w:r>
      <w:r>
        <w:rPr>
          <w:rFonts w:ascii="Calibri" w:eastAsia="Calibri" w:hAnsi="Calibri" w:cs="Calibri"/>
          <w:b/>
          <w:color w:val="A5594C"/>
          <w:sz w:val="22"/>
          <w:szCs w:val="22"/>
          <w:vertAlign w:val="superscript"/>
        </w:rPr>
        <w:footnoteReference w:id="49"/>
      </w:r>
      <w:r>
        <w:rPr>
          <w:rFonts w:ascii="Calibri" w:eastAsia="Calibri" w:hAnsi="Calibri" w:cs="Calibri"/>
          <w:b/>
          <w:color w:val="A5594C"/>
          <w:sz w:val="22"/>
          <w:szCs w:val="22"/>
        </w:rPr>
        <w:t>.</w:t>
      </w:r>
    </w:p>
    <w:p w14:paraId="0000004E" w14:textId="77777777" w:rsidR="003F609F" w:rsidRDefault="00000000">
      <w:pPr>
        <w:spacing w:after="240" w:line="276" w:lineRule="auto"/>
        <w:jc w:val="both"/>
        <w:rPr>
          <w:rFonts w:ascii="Calibri" w:eastAsia="Calibri" w:hAnsi="Calibri" w:cs="Calibri"/>
          <w:sz w:val="22"/>
          <w:szCs w:val="22"/>
        </w:rPr>
      </w:pPr>
      <w:r>
        <w:rPr>
          <w:rFonts w:ascii="Calibri" w:eastAsia="Calibri" w:hAnsi="Calibri" w:cs="Calibri"/>
          <w:sz w:val="22"/>
          <w:szCs w:val="22"/>
        </w:rPr>
        <w:t xml:space="preserve">Research demonstrates that </w:t>
      </w:r>
      <w:r>
        <w:rPr>
          <w:rFonts w:ascii="Calibri" w:eastAsia="Calibri" w:hAnsi="Calibri" w:cs="Calibri"/>
          <w:b/>
          <w:sz w:val="22"/>
          <w:szCs w:val="22"/>
        </w:rPr>
        <w:t>France’s higher education system leads to social polarisation</w:t>
      </w:r>
      <w:r>
        <w:rPr>
          <w:rFonts w:ascii="Calibri" w:eastAsia="Calibri" w:hAnsi="Calibri" w:cs="Calibri"/>
          <w:sz w:val="22"/>
          <w:szCs w:val="22"/>
        </w:rPr>
        <w:t xml:space="preserve">: on the one hand, top-ranked universities located in large cities, concentrating competitive </w:t>
      </w:r>
      <w:proofErr w:type="gramStart"/>
      <w:r>
        <w:rPr>
          <w:rFonts w:ascii="Calibri" w:eastAsia="Calibri" w:hAnsi="Calibri" w:cs="Calibri"/>
          <w:sz w:val="22"/>
          <w:szCs w:val="22"/>
        </w:rPr>
        <w:t>funding</w:t>
      </w:r>
      <w:proofErr w:type="gramEnd"/>
      <w:r>
        <w:rPr>
          <w:rFonts w:ascii="Calibri" w:eastAsia="Calibri" w:hAnsi="Calibri" w:cs="Calibri"/>
          <w:sz w:val="22"/>
          <w:szCs w:val="22"/>
        </w:rPr>
        <w:t xml:space="preserve"> and attracting the most privileged students; and, on the other hand, universities of secondary importance established across the rest of the territory, ensuring accessibility to higher education for those from less privileged backgrounds</w:t>
      </w:r>
      <w:r>
        <w:rPr>
          <w:rFonts w:ascii="Calibri" w:eastAsia="Calibri" w:hAnsi="Calibri" w:cs="Calibri"/>
          <w:sz w:val="22"/>
          <w:szCs w:val="22"/>
          <w:vertAlign w:val="superscript"/>
        </w:rPr>
        <w:footnoteReference w:id="50"/>
      </w:r>
      <w:r>
        <w:rPr>
          <w:rFonts w:ascii="Calibri" w:eastAsia="Calibri" w:hAnsi="Calibri" w:cs="Calibri"/>
          <w:sz w:val="22"/>
          <w:szCs w:val="22"/>
        </w:rPr>
        <w:t>.</w:t>
      </w:r>
    </w:p>
    <w:p w14:paraId="0000004F" w14:textId="77777777" w:rsidR="003F609F" w:rsidRDefault="00000000">
      <w:pPr>
        <w:spacing w:after="240" w:line="276" w:lineRule="auto"/>
        <w:jc w:val="both"/>
        <w:rPr>
          <w:rFonts w:ascii="Calibri" w:eastAsia="Calibri" w:hAnsi="Calibri" w:cs="Calibri"/>
          <w:sz w:val="22"/>
          <w:szCs w:val="22"/>
        </w:rPr>
      </w:pPr>
      <w:r>
        <w:rPr>
          <w:rFonts w:ascii="Calibri" w:eastAsia="Calibri" w:hAnsi="Calibri" w:cs="Calibri"/>
          <w:sz w:val="22"/>
          <w:szCs w:val="22"/>
        </w:rPr>
        <w:t xml:space="preserve">Other research shows that access to </w:t>
      </w:r>
      <w:r>
        <w:rPr>
          <w:rFonts w:ascii="Calibri" w:eastAsia="Calibri" w:hAnsi="Calibri" w:cs="Calibri"/>
          <w:b/>
          <w:sz w:val="22"/>
          <w:szCs w:val="22"/>
        </w:rPr>
        <w:t>higher education in France is strongly correlated to parental income:</w:t>
      </w:r>
      <w:r>
        <w:rPr>
          <w:rFonts w:ascii="Calibri" w:eastAsia="Calibri" w:hAnsi="Calibri" w:cs="Calibri"/>
          <w:sz w:val="22"/>
          <w:szCs w:val="22"/>
        </w:rPr>
        <w:t xml:space="preserve"> at the bottom of the income distribution, 35% of individuals have access to higher education compared to 90% at the top of the distribution (Fig. 4). Inequalities are even more pronounced in access to selective programs and master’s degrees: in the bottom half of the income distribution, less </w:t>
      </w:r>
      <w:r>
        <w:rPr>
          <w:rFonts w:ascii="Calibri" w:eastAsia="Calibri" w:hAnsi="Calibri" w:cs="Calibri"/>
          <w:sz w:val="22"/>
          <w:szCs w:val="22"/>
        </w:rPr>
        <w:lastRenderedPageBreak/>
        <w:t>than 5% of individuals access selective programs compared to 40% in the top 2% of the distribution (Fig. 5)</w:t>
      </w:r>
      <w:r>
        <w:rPr>
          <w:rFonts w:ascii="Calibri" w:eastAsia="Calibri" w:hAnsi="Calibri" w:cs="Calibri"/>
          <w:sz w:val="22"/>
          <w:szCs w:val="22"/>
          <w:vertAlign w:val="superscript"/>
        </w:rPr>
        <w:footnoteReference w:id="51"/>
      </w:r>
      <w:r>
        <w:rPr>
          <w:rFonts w:ascii="Calibri" w:eastAsia="Calibri" w:hAnsi="Calibri" w:cs="Calibri"/>
          <w:sz w:val="22"/>
          <w:szCs w:val="22"/>
        </w:rPr>
        <w:t xml:space="preserve">. </w:t>
      </w:r>
    </w:p>
    <w:p w14:paraId="00000050" w14:textId="77777777" w:rsidR="003F609F" w:rsidRDefault="00000000">
      <w:pPr>
        <w:spacing w:after="240" w:line="276" w:lineRule="auto"/>
        <w:jc w:val="center"/>
        <w:rPr>
          <w:rFonts w:ascii="Calibri" w:eastAsia="Calibri" w:hAnsi="Calibri" w:cs="Calibri"/>
        </w:rPr>
      </w:pPr>
      <w:r>
        <w:rPr>
          <w:rFonts w:ascii="Calibri" w:eastAsia="Calibri" w:hAnsi="Calibri" w:cs="Calibri"/>
          <w:noProof/>
        </w:rPr>
        <w:drawing>
          <wp:inline distT="0" distB="0" distL="0" distR="0" wp14:anchorId="6128B20A" wp14:editId="71430857">
            <wp:extent cx="4859175" cy="2928377"/>
            <wp:effectExtent l="0" t="0" r="0" b="0"/>
            <wp:docPr id="2076053584" name="image3.png" descr="Une image contenant texte, capture d’écran, ligne, Tracé&#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3.png" descr="Une image contenant texte, capture d’écran, ligne, Tracé&#10;&#10;Description générée automatiquement"/>
                    <pic:cNvPicPr preferRelativeResize="0"/>
                  </pic:nvPicPr>
                  <pic:blipFill>
                    <a:blip r:embed="rId39"/>
                    <a:srcRect/>
                    <a:stretch>
                      <a:fillRect/>
                    </a:stretch>
                  </pic:blipFill>
                  <pic:spPr>
                    <a:xfrm>
                      <a:off x="0" y="0"/>
                      <a:ext cx="4859175" cy="2928377"/>
                    </a:xfrm>
                    <a:prstGeom prst="rect">
                      <a:avLst/>
                    </a:prstGeom>
                    <a:ln/>
                  </pic:spPr>
                </pic:pic>
              </a:graphicData>
            </a:graphic>
          </wp:inline>
        </w:drawing>
      </w:r>
    </w:p>
    <w:p w14:paraId="00000051" w14:textId="77777777" w:rsidR="003F609F" w:rsidRDefault="003F609F">
      <w:pPr>
        <w:spacing w:after="240" w:line="276" w:lineRule="auto"/>
        <w:jc w:val="both"/>
        <w:rPr>
          <w:rFonts w:ascii="Calibri" w:eastAsia="Calibri" w:hAnsi="Calibri" w:cs="Calibri"/>
        </w:rPr>
      </w:pPr>
    </w:p>
    <w:p w14:paraId="00000052" w14:textId="77777777" w:rsidR="003F609F" w:rsidRDefault="00000000">
      <w:pPr>
        <w:spacing w:after="240" w:line="276" w:lineRule="auto"/>
        <w:jc w:val="center"/>
        <w:rPr>
          <w:rFonts w:ascii="Calibri" w:eastAsia="Calibri" w:hAnsi="Calibri" w:cs="Calibri"/>
        </w:rPr>
      </w:pPr>
      <w:r>
        <w:rPr>
          <w:rFonts w:ascii="Calibri" w:eastAsia="Calibri" w:hAnsi="Calibri" w:cs="Calibri"/>
          <w:noProof/>
        </w:rPr>
        <w:drawing>
          <wp:inline distT="0" distB="0" distL="0" distR="0" wp14:anchorId="33A3E239" wp14:editId="312A7ED9">
            <wp:extent cx="5318946" cy="3195657"/>
            <wp:effectExtent l="0" t="0" r="0" b="0"/>
            <wp:docPr id="2076053580" name="image1.png" descr="Une image contenant texte, reçu, ligne, capture d’écran&#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1.png" descr="Une image contenant texte, reçu, ligne, capture d’écran&#10;&#10;Description générée automatiquement"/>
                    <pic:cNvPicPr preferRelativeResize="0"/>
                  </pic:nvPicPr>
                  <pic:blipFill>
                    <a:blip r:embed="rId40"/>
                    <a:srcRect/>
                    <a:stretch>
                      <a:fillRect/>
                    </a:stretch>
                  </pic:blipFill>
                  <pic:spPr>
                    <a:xfrm>
                      <a:off x="0" y="0"/>
                      <a:ext cx="5318946" cy="3195657"/>
                    </a:xfrm>
                    <a:prstGeom prst="rect">
                      <a:avLst/>
                    </a:prstGeom>
                    <a:ln/>
                  </pic:spPr>
                </pic:pic>
              </a:graphicData>
            </a:graphic>
          </wp:inline>
        </w:drawing>
      </w:r>
    </w:p>
    <w:p w14:paraId="00000053" w14:textId="77777777" w:rsidR="003F609F" w:rsidRDefault="00000000">
      <w:pPr>
        <w:spacing w:after="240" w:line="276" w:lineRule="auto"/>
        <w:jc w:val="both"/>
        <w:rPr>
          <w:rFonts w:ascii="Calibri" w:eastAsia="Calibri" w:hAnsi="Calibri" w:cs="Calibri"/>
          <w:sz w:val="22"/>
          <w:szCs w:val="22"/>
        </w:rPr>
      </w:pPr>
      <w:r>
        <w:rPr>
          <w:rFonts w:ascii="Calibri" w:eastAsia="Calibri" w:hAnsi="Calibri" w:cs="Calibri"/>
          <w:sz w:val="22"/>
          <w:szCs w:val="22"/>
        </w:rPr>
        <w:t>Moreover, research shows that parental income is complementary to parental occupation and level of education. ‘</w:t>
      </w:r>
      <w:r>
        <w:rPr>
          <w:rFonts w:ascii="Calibri" w:eastAsia="Calibri" w:hAnsi="Calibri" w:cs="Calibri"/>
          <w:b/>
          <w:sz w:val="22"/>
          <w:szCs w:val="22"/>
        </w:rPr>
        <w:t>For a given occupation and educational degree, the higher the percentile rank of parental income, the greater the proportion of young people accessing higher education and different programs</w:t>
      </w:r>
      <w:r>
        <w:rPr>
          <w:rFonts w:ascii="Calibri" w:eastAsia="Calibri" w:hAnsi="Calibri" w:cs="Calibri"/>
          <w:sz w:val="22"/>
          <w:szCs w:val="22"/>
        </w:rPr>
        <w:t xml:space="preserve">. For example, those whose mother’s highest degree is a high school diploma (12 years of education or less) have a 35 percent rate of access to higher education between the ages of 18 and 24 </w:t>
      </w:r>
      <w:r>
        <w:rPr>
          <w:rFonts w:ascii="Calibri" w:eastAsia="Calibri" w:hAnsi="Calibri" w:cs="Calibri"/>
          <w:sz w:val="22"/>
          <w:szCs w:val="22"/>
        </w:rPr>
        <w:lastRenderedPageBreak/>
        <w:t xml:space="preserve">when their parents are in the bottom income quintile and 72 percent when they are in the top quintile. </w:t>
      </w:r>
      <w:r>
        <w:rPr>
          <w:rFonts w:ascii="Calibri" w:eastAsia="Calibri" w:hAnsi="Calibri" w:cs="Calibri"/>
          <w:b/>
          <w:sz w:val="22"/>
          <w:szCs w:val="22"/>
        </w:rPr>
        <w:t>Conversely, for a given level of parental income, the more privileged the parents’ occupation or the higher their educational degree, the higher the proportion of children accessing higher education</w:t>
      </w:r>
      <w:r>
        <w:rPr>
          <w:rFonts w:ascii="Calibri" w:eastAsia="Calibri" w:hAnsi="Calibri" w:cs="Calibri"/>
          <w:sz w:val="22"/>
          <w:szCs w:val="22"/>
        </w:rPr>
        <w:t>’</w:t>
      </w:r>
      <w:r>
        <w:rPr>
          <w:rFonts w:ascii="Calibri" w:eastAsia="Calibri" w:hAnsi="Calibri" w:cs="Calibri"/>
          <w:sz w:val="22"/>
          <w:szCs w:val="22"/>
          <w:vertAlign w:val="superscript"/>
        </w:rPr>
        <w:footnoteReference w:id="52"/>
      </w:r>
      <w:r>
        <w:rPr>
          <w:rFonts w:ascii="Calibri" w:eastAsia="Calibri" w:hAnsi="Calibri" w:cs="Calibri"/>
          <w:sz w:val="22"/>
          <w:szCs w:val="22"/>
        </w:rPr>
        <w:t>.</w:t>
      </w:r>
    </w:p>
    <w:p w14:paraId="00000054" w14:textId="77777777" w:rsidR="003F609F" w:rsidRDefault="00000000">
      <w:pPr>
        <w:spacing w:after="200" w:line="276" w:lineRule="auto"/>
        <w:jc w:val="both"/>
        <w:rPr>
          <w:rFonts w:ascii="Calibri" w:eastAsia="Calibri" w:hAnsi="Calibri" w:cs="Calibri"/>
          <w:b/>
          <w:color w:val="A5594C"/>
          <w:sz w:val="22"/>
          <w:szCs w:val="22"/>
        </w:rPr>
      </w:pPr>
      <w:r>
        <w:rPr>
          <w:rFonts w:ascii="Calibri" w:eastAsia="Calibri" w:hAnsi="Calibri" w:cs="Calibri"/>
          <w:b/>
          <w:color w:val="A5594C"/>
          <w:sz w:val="22"/>
          <w:szCs w:val="22"/>
        </w:rPr>
        <w:t xml:space="preserve">The specificities of the French higher education system thus create barriers to equal access to higher education for many students, especially students from regions with few higher education establishments or those offering fewer academic programmes. Place of residence thus becomes a factor of exclusion, especially since students </w:t>
      </w:r>
      <w:proofErr w:type="gramStart"/>
      <w:r>
        <w:rPr>
          <w:rFonts w:ascii="Calibri" w:eastAsia="Calibri" w:hAnsi="Calibri" w:cs="Calibri"/>
          <w:b/>
          <w:color w:val="A5594C"/>
          <w:sz w:val="22"/>
          <w:szCs w:val="22"/>
        </w:rPr>
        <w:t>have to</w:t>
      </w:r>
      <w:proofErr w:type="gramEnd"/>
      <w:r>
        <w:rPr>
          <w:rFonts w:ascii="Calibri" w:eastAsia="Calibri" w:hAnsi="Calibri" w:cs="Calibri"/>
          <w:b/>
          <w:color w:val="A5594C"/>
          <w:sz w:val="22"/>
          <w:szCs w:val="22"/>
        </w:rPr>
        <w:t xml:space="preserve"> move for their studies and need to pay for additional costs to access higher education. Since the most prestigious establishments, such as</w:t>
      </w:r>
      <w:r>
        <w:rPr>
          <w:rFonts w:ascii="Calibri" w:eastAsia="Calibri" w:hAnsi="Calibri" w:cs="Calibri"/>
          <w:b/>
          <w:i/>
          <w:color w:val="A5594C"/>
          <w:sz w:val="22"/>
          <w:szCs w:val="22"/>
        </w:rPr>
        <w:t xml:space="preserve"> Grandes </w:t>
      </w:r>
      <w:proofErr w:type="spellStart"/>
      <w:r>
        <w:rPr>
          <w:rFonts w:ascii="Calibri" w:eastAsia="Calibri" w:hAnsi="Calibri" w:cs="Calibri"/>
          <w:b/>
          <w:i/>
          <w:color w:val="A5594C"/>
          <w:sz w:val="22"/>
          <w:szCs w:val="22"/>
        </w:rPr>
        <w:t>Ecole</w:t>
      </w:r>
      <w:r>
        <w:rPr>
          <w:rFonts w:ascii="Calibri" w:eastAsia="Calibri" w:hAnsi="Calibri" w:cs="Calibri"/>
          <w:b/>
          <w:color w:val="A5594C"/>
          <w:sz w:val="22"/>
          <w:szCs w:val="22"/>
        </w:rPr>
        <w:t>s</w:t>
      </w:r>
      <w:proofErr w:type="spellEnd"/>
      <w:r>
        <w:rPr>
          <w:rFonts w:ascii="Calibri" w:eastAsia="Calibri" w:hAnsi="Calibri" w:cs="Calibri"/>
          <w:b/>
          <w:color w:val="A5594C"/>
          <w:sz w:val="22"/>
          <w:szCs w:val="22"/>
        </w:rPr>
        <w:t xml:space="preserve"> or engineering schools, charge higher registration fees and </w:t>
      </w:r>
      <w:proofErr w:type="gramStart"/>
      <w:r>
        <w:rPr>
          <w:rFonts w:ascii="Calibri" w:eastAsia="Calibri" w:hAnsi="Calibri" w:cs="Calibri"/>
          <w:b/>
          <w:color w:val="A5594C"/>
          <w:sz w:val="22"/>
          <w:szCs w:val="22"/>
        </w:rPr>
        <w:t>are located in</w:t>
      </w:r>
      <w:proofErr w:type="gramEnd"/>
      <w:r>
        <w:rPr>
          <w:rFonts w:ascii="Calibri" w:eastAsia="Calibri" w:hAnsi="Calibri" w:cs="Calibri"/>
          <w:b/>
          <w:color w:val="A5594C"/>
          <w:sz w:val="22"/>
          <w:szCs w:val="22"/>
        </w:rPr>
        <w:t xml:space="preserve"> the most expensive cities, some students can be excluded because they cannot afford the direct and indirect costs related to the higher education program of their choice, even though they are willing and capable of studying in such renowned institutions.</w:t>
      </w:r>
    </w:p>
    <w:p w14:paraId="00000055" w14:textId="77777777" w:rsidR="003F609F" w:rsidRDefault="00000000">
      <w:pPr>
        <w:spacing w:after="200" w:line="276" w:lineRule="auto"/>
        <w:jc w:val="both"/>
        <w:rPr>
          <w:rFonts w:ascii="Calibri" w:eastAsia="Calibri" w:hAnsi="Calibri" w:cs="Calibri"/>
          <w:b/>
          <w:color w:val="21959E"/>
          <w:sz w:val="28"/>
          <w:szCs w:val="28"/>
        </w:rPr>
      </w:pPr>
      <w:r>
        <w:rPr>
          <w:rFonts w:ascii="Calibri" w:eastAsia="Calibri" w:hAnsi="Calibri" w:cs="Calibri"/>
          <w:b/>
          <w:color w:val="21959E"/>
          <w:sz w:val="28"/>
          <w:szCs w:val="28"/>
        </w:rPr>
        <w:t xml:space="preserve">Privatisation and commodification of higher education exacerbate existing inequalities in access to higher </w:t>
      </w:r>
      <w:proofErr w:type="gramStart"/>
      <w:r>
        <w:rPr>
          <w:rFonts w:ascii="Calibri" w:eastAsia="Calibri" w:hAnsi="Calibri" w:cs="Calibri"/>
          <w:b/>
          <w:color w:val="21959E"/>
          <w:sz w:val="28"/>
          <w:szCs w:val="28"/>
        </w:rPr>
        <w:t>education</w:t>
      </w:r>
      <w:proofErr w:type="gramEnd"/>
    </w:p>
    <w:p w14:paraId="00000056" w14:textId="77777777" w:rsidR="003F609F" w:rsidRDefault="00000000">
      <w:pPr>
        <w:pBdr>
          <w:top w:val="nil"/>
          <w:left w:val="nil"/>
          <w:bottom w:val="nil"/>
          <w:right w:val="nil"/>
          <w:between w:val="nil"/>
        </w:pBdr>
        <w:spacing w:after="240" w:line="276" w:lineRule="auto"/>
        <w:jc w:val="both"/>
        <w:rPr>
          <w:rFonts w:ascii="Calibri" w:eastAsia="Calibri" w:hAnsi="Calibri" w:cs="Calibri"/>
          <w:color w:val="000000"/>
        </w:rPr>
      </w:pPr>
      <w:r>
        <w:rPr>
          <w:rFonts w:ascii="Calibri" w:eastAsia="Calibri" w:hAnsi="Calibri" w:cs="Calibri"/>
          <w:b/>
          <w:sz w:val="22"/>
          <w:szCs w:val="22"/>
        </w:rPr>
        <w:t xml:space="preserve">The number of students </w:t>
      </w:r>
      <w:proofErr w:type="spellStart"/>
      <w:r>
        <w:rPr>
          <w:rFonts w:ascii="Calibri" w:eastAsia="Calibri" w:hAnsi="Calibri" w:cs="Calibri"/>
          <w:b/>
          <w:sz w:val="22"/>
          <w:szCs w:val="22"/>
        </w:rPr>
        <w:t>enroled</w:t>
      </w:r>
      <w:proofErr w:type="spellEnd"/>
      <w:r>
        <w:rPr>
          <w:rFonts w:ascii="Calibri" w:eastAsia="Calibri" w:hAnsi="Calibri" w:cs="Calibri"/>
          <w:b/>
          <w:sz w:val="22"/>
          <w:szCs w:val="22"/>
        </w:rPr>
        <w:t xml:space="preserve"> in private institutions has grown significantly over the past two decades in France</w:t>
      </w:r>
      <w:r>
        <w:rPr>
          <w:rFonts w:ascii="Calibri" w:eastAsia="Calibri" w:hAnsi="Calibri" w:cs="Calibri"/>
          <w:sz w:val="22"/>
          <w:szCs w:val="22"/>
        </w:rPr>
        <w:t>, with</w:t>
      </w:r>
      <w:r>
        <w:rPr>
          <w:rFonts w:ascii="Calibri" w:eastAsia="Calibri" w:hAnsi="Calibri" w:cs="Calibri"/>
          <w:color w:val="000000"/>
          <w:sz w:val="22"/>
          <w:szCs w:val="22"/>
        </w:rPr>
        <w:t xml:space="preserve"> a 60% increase since 2011 against a 16% rise in the public sector</w:t>
      </w:r>
      <w:r>
        <w:rPr>
          <w:rFonts w:ascii="Calibri" w:eastAsia="Calibri" w:hAnsi="Calibri" w:cs="Calibri"/>
          <w:sz w:val="22"/>
          <w:szCs w:val="22"/>
          <w:vertAlign w:val="superscript"/>
        </w:rPr>
        <w:footnoteReference w:id="53"/>
      </w:r>
      <w:r>
        <w:rPr>
          <w:rFonts w:ascii="Calibri" w:eastAsia="Calibri" w:hAnsi="Calibri" w:cs="Calibri"/>
          <w:color w:val="000000"/>
          <w:sz w:val="22"/>
          <w:szCs w:val="22"/>
        </w:rPr>
        <w:t xml:space="preserve">. </w:t>
      </w:r>
      <w:r>
        <w:rPr>
          <w:rFonts w:ascii="Calibri" w:eastAsia="Calibri" w:hAnsi="Calibri" w:cs="Calibri"/>
          <w:sz w:val="22"/>
          <w:szCs w:val="22"/>
        </w:rPr>
        <w:t>A</w:t>
      </w:r>
      <w:r>
        <w:rPr>
          <w:rFonts w:ascii="Calibri" w:eastAsia="Calibri" w:hAnsi="Calibri" w:cs="Calibri"/>
          <w:color w:val="000000"/>
          <w:sz w:val="22"/>
          <w:szCs w:val="22"/>
        </w:rPr>
        <w:t xml:space="preserve">lmost </w:t>
      </w:r>
      <w:r>
        <w:rPr>
          <w:rFonts w:ascii="Calibri" w:eastAsia="Calibri" w:hAnsi="Calibri" w:cs="Calibri"/>
          <w:sz w:val="22"/>
          <w:szCs w:val="22"/>
        </w:rPr>
        <w:t>one</w:t>
      </w:r>
      <w:r>
        <w:rPr>
          <w:rFonts w:ascii="Calibri" w:eastAsia="Calibri" w:hAnsi="Calibri" w:cs="Calibri"/>
          <w:color w:val="000000"/>
          <w:sz w:val="22"/>
          <w:szCs w:val="22"/>
        </w:rPr>
        <w:t xml:space="preserve"> </w:t>
      </w:r>
      <w:r>
        <w:rPr>
          <w:rFonts w:ascii="Calibri" w:eastAsia="Calibri" w:hAnsi="Calibri" w:cs="Calibri"/>
          <w:sz w:val="22"/>
          <w:szCs w:val="22"/>
        </w:rPr>
        <w:t>in</w:t>
      </w:r>
      <w:r>
        <w:rPr>
          <w:rFonts w:ascii="Calibri" w:eastAsia="Calibri" w:hAnsi="Calibri" w:cs="Calibri"/>
          <w:color w:val="000000"/>
          <w:sz w:val="22"/>
          <w:szCs w:val="22"/>
        </w:rPr>
        <w:t xml:space="preserve"> </w:t>
      </w:r>
      <w:r>
        <w:rPr>
          <w:rFonts w:ascii="Calibri" w:eastAsia="Calibri" w:hAnsi="Calibri" w:cs="Calibri"/>
          <w:sz w:val="22"/>
          <w:szCs w:val="22"/>
        </w:rPr>
        <w:t>four</w:t>
      </w:r>
      <w:r>
        <w:rPr>
          <w:rFonts w:ascii="Calibri" w:eastAsia="Calibri" w:hAnsi="Calibri" w:cs="Calibri"/>
          <w:color w:val="000000"/>
          <w:sz w:val="22"/>
          <w:szCs w:val="22"/>
        </w:rPr>
        <w:t xml:space="preserve"> higher education students in France (24,8%) is </w:t>
      </w:r>
      <w:proofErr w:type="spellStart"/>
      <w:r>
        <w:rPr>
          <w:rFonts w:ascii="Calibri" w:eastAsia="Calibri" w:hAnsi="Calibri" w:cs="Calibri"/>
          <w:color w:val="000000"/>
          <w:sz w:val="22"/>
          <w:szCs w:val="22"/>
        </w:rPr>
        <w:t>enroled</w:t>
      </w:r>
      <w:proofErr w:type="spellEnd"/>
      <w:r>
        <w:rPr>
          <w:rFonts w:ascii="Calibri" w:eastAsia="Calibri" w:hAnsi="Calibri" w:cs="Calibri"/>
          <w:color w:val="000000"/>
          <w:sz w:val="22"/>
          <w:szCs w:val="22"/>
        </w:rPr>
        <w:t xml:space="preserve"> in a private higher education institution</w:t>
      </w:r>
      <w:r>
        <w:rPr>
          <w:rFonts w:ascii="Calibri" w:eastAsia="Calibri" w:hAnsi="Calibri" w:cs="Calibri"/>
          <w:sz w:val="22"/>
          <w:szCs w:val="22"/>
          <w:vertAlign w:val="superscript"/>
        </w:rPr>
        <w:footnoteReference w:id="54"/>
      </w:r>
      <w:r>
        <w:rPr>
          <w:rFonts w:ascii="Calibri" w:eastAsia="Calibri" w:hAnsi="Calibri" w:cs="Calibri"/>
          <w:color w:val="000000"/>
          <w:sz w:val="22"/>
          <w:szCs w:val="22"/>
        </w:rPr>
        <w:t>.</w:t>
      </w:r>
    </w:p>
    <w:p w14:paraId="00000057" w14:textId="77777777" w:rsidR="003F609F" w:rsidRDefault="00000000">
      <w:pPr>
        <w:pBdr>
          <w:top w:val="nil"/>
          <w:left w:val="nil"/>
          <w:bottom w:val="nil"/>
          <w:right w:val="nil"/>
          <w:between w:val="nil"/>
        </w:pBdr>
        <w:spacing w:after="240" w:line="276" w:lineRule="auto"/>
        <w:jc w:val="both"/>
        <w:rPr>
          <w:rFonts w:ascii="Calibri" w:eastAsia="Calibri" w:hAnsi="Calibri" w:cs="Calibri"/>
          <w:sz w:val="22"/>
          <w:szCs w:val="22"/>
        </w:rPr>
      </w:pPr>
      <w:r>
        <w:rPr>
          <w:rFonts w:ascii="Calibri" w:eastAsia="Calibri" w:hAnsi="Calibri" w:cs="Calibri"/>
          <w:color w:val="000000"/>
          <w:sz w:val="22"/>
          <w:szCs w:val="22"/>
        </w:rPr>
        <w:t xml:space="preserve">Not </w:t>
      </w:r>
      <w:r>
        <w:rPr>
          <w:rFonts w:ascii="Calibri" w:eastAsia="Calibri" w:hAnsi="Calibri" w:cs="Calibri"/>
          <w:sz w:val="22"/>
          <w:szCs w:val="22"/>
        </w:rPr>
        <w:t>only has the</w:t>
      </w:r>
      <w:r>
        <w:rPr>
          <w:rFonts w:ascii="Calibri" w:eastAsia="Calibri" w:hAnsi="Calibri" w:cs="Calibri"/>
          <w:color w:val="000000"/>
          <w:sz w:val="22"/>
          <w:szCs w:val="22"/>
        </w:rPr>
        <w:t xml:space="preserve"> number of private higher education institutions increased, </w:t>
      </w:r>
      <w:proofErr w:type="gramStart"/>
      <w:r>
        <w:rPr>
          <w:rFonts w:ascii="Calibri" w:eastAsia="Calibri" w:hAnsi="Calibri" w:cs="Calibri"/>
          <w:color w:val="000000"/>
          <w:sz w:val="22"/>
          <w:szCs w:val="22"/>
        </w:rPr>
        <w:t>the sector</w:t>
      </w:r>
      <w:proofErr w:type="gramEnd"/>
      <w:r>
        <w:rPr>
          <w:rFonts w:ascii="Calibri" w:eastAsia="Calibri" w:hAnsi="Calibri" w:cs="Calibri"/>
          <w:color w:val="000000"/>
          <w:sz w:val="22"/>
          <w:szCs w:val="22"/>
        </w:rPr>
        <w:t xml:space="preserve"> has also expanded </w:t>
      </w:r>
      <w:r>
        <w:rPr>
          <w:rFonts w:ascii="Calibri" w:eastAsia="Calibri" w:hAnsi="Calibri" w:cs="Calibri"/>
          <w:sz w:val="22"/>
          <w:szCs w:val="22"/>
        </w:rPr>
        <w:t>and become more diverse in the fields and programmes offered</w:t>
      </w:r>
      <w:r>
        <w:rPr>
          <w:rFonts w:ascii="Calibri" w:eastAsia="Calibri" w:hAnsi="Calibri" w:cs="Calibri"/>
          <w:color w:val="000000"/>
          <w:sz w:val="22"/>
          <w:szCs w:val="22"/>
        </w:rPr>
        <w:t xml:space="preserve">. </w:t>
      </w:r>
      <w:r>
        <w:rPr>
          <w:rFonts w:ascii="Calibri" w:eastAsia="Calibri" w:hAnsi="Calibri" w:cs="Calibri"/>
          <w:b/>
          <w:sz w:val="22"/>
          <w:szCs w:val="22"/>
        </w:rPr>
        <w:t xml:space="preserve">These institutions, often </w:t>
      </w:r>
      <w:r>
        <w:rPr>
          <w:rFonts w:ascii="Calibri" w:eastAsia="Calibri" w:hAnsi="Calibri" w:cs="Calibri"/>
          <w:b/>
          <w:color w:val="000000"/>
          <w:sz w:val="22"/>
          <w:szCs w:val="22"/>
        </w:rPr>
        <w:t>of for-profit private</w:t>
      </w:r>
      <w:r>
        <w:rPr>
          <w:rFonts w:ascii="Calibri" w:eastAsia="Calibri" w:hAnsi="Calibri" w:cs="Calibri"/>
          <w:b/>
          <w:sz w:val="22"/>
          <w:szCs w:val="22"/>
        </w:rPr>
        <w:t xml:space="preserve"> character,</w:t>
      </w:r>
      <w:r>
        <w:rPr>
          <w:rFonts w:ascii="Calibri" w:eastAsia="Calibri" w:hAnsi="Calibri" w:cs="Calibri"/>
          <w:b/>
          <w:color w:val="000000"/>
          <w:sz w:val="22"/>
          <w:szCs w:val="22"/>
        </w:rPr>
        <w:t xml:space="preserve"> are </w:t>
      </w:r>
      <w:r>
        <w:rPr>
          <w:rFonts w:ascii="Calibri" w:eastAsia="Calibri" w:hAnsi="Calibri" w:cs="Calibri"/>
          <w:b/>
          <w:sz w:val="22"/>
          <w:szCs w:val="22"/>
        </w:rPr>
        <w:t>filling</w:t>
      </w:r>
      <w:r>
        <w:rPr>
          <w:rFonts w:ascii="Calibri" w:eastAsia="Calibri" w:hAnsi="Calibri" w:cs="Calibri"/>
          <w:b/>
          <w:color w:val="000000"/>
          <w:sz w:val="22"/>
          <w:szCs w:val="22"/>
        </w:rPr>
        <w:t xml:space="preserve"> the gap left by public universities who struggle to innovate</w:t>
      </w:r>
      <w:r>
        <w:rPr>
          <w:rFonts w:ascii="Calibri" w:eastAsia="Calibri" w:hAnsi="Calibri" w:cs="Calibri"/>
          <w:b/>
          <w:sz w:val="22"/>
          <w:szCs w:val="22"/>
        </w:rPr>
        <w:t xml:space="preserve"> and</w:t>
      </w:r>
      <w:r>
        <w:rPr>
          <w:rFonts w:ascii="Calibri" w:eastAsia="Calibri" w:hAnsi="Calibri" w:cs="Calibri"/>
          <w:b/>
          <w:color w:val="000000"/>
          <w:sz w:val="22"/>
          <w:szCs w:val="22"/>
        </w:rPr>
        <w:t xml:space="preserve"> integrate new technologies and respond to market changes and new needs</w:t>
      </w:r>
      <w:r>
        <w:rPr>
          <w:rFonts w:ascii="Calibri" w:eastAsia="Calibri" w:hAnsi="Calibri" w:cs="Calibri"/>
          <w:color w:val="000000"/>
          <w:sz w:val="22"/>
          <w:szCs w:val="22"/>
        </w:rPr>
        <w:t xml:space="preserve"> (</w:t>
      </w:r>
      <w:r>
        <w:rPr>
          <w:rFonts w:ascii="Calibri" w:eastAsia="Calibri" w:hAnsi="Calibri" w:cs="Calibri"/>
          <w:sz w:val="22"/>
          <w:szCs w:val="22"/>
        </w:rPr>
        <w:t xml:space="preserve">particularly </w:t>
      </w:r>
      <w:r>
        <w:rPr>
          <w:rFonts w:ascii="Calibri" w:eastAsia="Calibri" w:hAnsi="Calibri" w:cs="Calibri"/>
          <w:color w:val="000000"/>
          <w:sz w:val="22"/>
          <w:szCs w:val="22"/>
        </w:rPr>
        <w:t>in the areas of design, commerce, digitalization, visual arts, mode, video games, etc.)</w:t>
      </w:r>
      <w:r>
        <w:rPr>
          <w:rFonts w:ascii="Calibri" w:eastAsia="Calibri" w:hAnsi="Calibri" w:cs="Calibri"/>
          <w:sz w:val="22"/>
          <w:szCs w:val="22"/>
        </w:rPr>
        <w:t>. They offer the promise of employment in exchange for very expensive but well-supervised education</w:t>
      </w:r>
      <w:r>
        <w:rPr>
          <w:rFonts w:ascii="Calibri" w:eastAsia="Calibri" w:hAnsi="Calibri" w:cs="Calibri"/>
          <w:color w:val="000000"/>
          <w:sz w:val="22"/>
          <w:szCs w:val="22"/>
          <w:vertAlign w:val="superscript"/>
        </w:rPr>
        <w:footnoteReference w:id="55"/>
      </w:r>
      <w:r>
        <w:rPr>
          <w:rFonts w:ascii="Calibri" w:eastAsia="Calibri" w:hAnsi="Calibri" w:cs="Calibri"/>
          <w:color w:val="000000"/>
          <w:sz w:val="22"/>
          <w:szCs w:val="22"/>
        </w:rPr>
        <w:t xml:space="preserve">. </w:t>
      </w:r>
      <w:r>
        <w:rPr>
          <w:rFonts w:ascii="Calibri" w:eastAsia="Calibri" w:hAnsi="Calibri" w:cs="Calibri"/>
          <w:b/>
          <w:sz w:val="22"/>
          <w:szCs w:val="22"/>
        </w:rPr>
        <w:t>France’s legislative provisions have also facilitated the privatisation process</w:t>
      </w:r>
      <w:r>
        <w:rPr>
          <w:rFonts w:ascii="Calibri" w:eastAsia="Calibri" w:hAnsi="Calibri" w:cs="Calibri"/>
          <w:sz w:val="22"/>
          <w:szCs w:val="22"/>
        </w:rPr>
        <w:t>, making it even more difficult to monitor and control the quality of private higher education instruction</w:t>
      </w:r>
      <w:r>
        <w:rPr>
          <w:rFonts w:ascii="Calibri" w:eastAsia="Calibri" w:hAnsi="Calibri" w:cs="Calibri"/>
          <w:sz w:val="22"/>
          <w:szCs w:val="22"/>
          <w:vertAlign w:val="superscript"/>
        </w:rPr>
        <w:footnoteReference w:id="56"/>
      </w:r>
      <w:r>
        <w:rPr>
          <w:rFonts w:ascii="Calibri" w:eastAsia="Calibri" w:hAnsi="Calibri" w:cs="Calibri"/>
          <w:sz w:val="22"/>
          <w:szCs w:val="22"/>
        </w:rPr>
        <w:t>.</w:t>
      </w:r>
    </w:p>
    <w:p w14:paraId="00000058" w14:textId="77777777" w:rsidR="003F609F" w:rsidRDefault="00000000">
      <w:pPr>
        <w:spacing w:after="200" w:line="276" w:lineRule="auto"/>
        <w:jc w:val="both"/>
        <w:rPr>
          <w:rFonts w:ascii="Calibri" w:eastAsia="Calibri" w:hAnsi="Calibri" w:cs="Calibri"/>
          <w:sz w:val="22"/>
          <w:szCs w:val="22"/>
        </w:rPr>
      </w:pPr>
      <w:r>
        <w:rPr>
          <w:rFonts w:ascii="Calibri" w:eastAsia="Calibri" w:hAnsi="Calibri" w:cs="Calibri"/>
          <w:b/>
          <w:sz w:val="22"/>
          <w:szCs w:val="22"/>
        </w:rPr>
        <w:t>The privatisation of institutions has also been coupled with the commodification of higher education in France in recent years, having a direct impact on tuition fees</w:t>
      </w:r>
      <w:r>
        <w:rPr>
          <w:rFonts w:ascii="Calibri" w:eastAsia="Calibri" w:hAnsi="Calibri" w:cs="Calibri"/>
          <w:sz w:val="22"/>
          <w:szCs w:val="22"/>
        </w:rPr>
        <w:t xml:space="preserve">. The increasing internationalisation of educational policies has pushed higher education institutions to be in competition at a global level. The ranking of universities —especially the Shanghai Ranking— pushes even public higher education </w:t>
      </w:r>
      <w:r>
        <w:rPr>
          <w:rFonts w:ascii="Calibri" w:eastAsia="Calibri" w:hAnsi="Calibri" w:cs="Calibri"/>
          <w:sz w:val="22"/>
          <w:szCs w:val="22"/>
        </w:rPr>
        <w:lastRenderedPageBreak/>
        <w:t>institutions into the market, seeking economic value and profits</w:t>
      </w:r>
      <w:r>
        <w:rPr>
          <w:rFonts w:ascii="Calibri" w:eastAsia="Calibri" w:hAnsi="Calibri" w:cs="Calibri"/>
          <w:sz w:val="22"/>
          <w:szCs w:val="22"/>
          <w:vertAlign w:val="superscript"/>
        </w:rPr>
        <w:footnoteReference w:id="57"/>
      </w:r>
      <w:r>
        <w:rPr>
          <w:rFonts w:ascii="Calibri" w:eastAsia="Calibri" w:hAnsi="Calibri" w:cs="Calibri"/>
          <w:sz w:val="22"/>
          <w:szCs w:val="22"/>
        </w:rPr>
        <w:t>. This phenomenon has also impacted some public universities</w:t>
      </w:r>
      <w:r>
        <w:rPr>
          <w:rFonts w:ascii="Calibri" w:eastAsia="Calibri" w:hAnsi="Calibri" w:cs="Calibri"/>
          <w:sz w:val="22"/>
          <w:szCs w:val="22"/>
          <w:vertAlign w:val="superscript"/>
        </w:rPr>
        <w:footnoteReference w:id="58"/>
      </w:r>
      <w:r>
        <w:rPr>
          <w:rFonts w:ascii="Calibri" w:eastAsia="Calibri" w:hAnsi="Calibri" w:cs="Calibri"/>
          <w:sz w:val="22"/>
          <w:szCs w:val="22"/>
        </w:rPr>
        <w:t>.</w:t>
      </w:r>
    </w:p>
    <w:p w14:paraId="00000059" w14:textId="77777777" w:rsidR="003F609F" w:rsidRDefault="00000000">
      <w:pPr>
        <w:spacing w:after="200" w:line="276" w:lineRule="auto"/>
        <w:jc w:val="both"/>
        <w:rPr>
          <w:rFonts w:ascii="Calibri" w:eastAsia="Calibri" w:hAnsi="Calibri" w:cs="Calibri"/>
          <w:sz w:val="22"/>
          <w:szCs w:val="22"/>
        </w:rPr>
      </w:pPr>
      <w:r>
        <w:rPr>
          <w:rFonts w:ascii="Calibri" w:eastAsia="Calibri" w:hAnsi="Calibri" w:cs="Calibri"/>
          <w:b/>
          <w:color w:val="A5594C"/>
          <w:sz w:val="22"/>
          <w:szCs w:val="22"/>
        </w:rPr>
        <w:t>The intensified privatisation and commercialisation of higher education, associated with a growth of tuition and indirect costs (</w:t>
      </w:r>
      <w:proofErr w:type="gramStart"/>
      <w:r>
        <w:rPr>
          <w:rFonts w:ascii="Calibri" w:eastAsia="Calibri" w:hAnsi="Calibri" w:cs="Calibri"/>
          <w:b/>
          <w:color w:val="A5594C"/>
          <w:sz w:val="22"/>
          <w:szCs w:val="22"/>
        </w:rPr>
        <w:t>e.g.</w:t>
      </w:r>
      <w:proofErr w:type="gramEnd"/>
      <w:r>
        <w:rPr>
          <w:rFonts w:ascii="Calibri" w:eastAsia="Calibri" w:hAnsi="Calibri" w:cs="Calibri"/>
          <w:b/>
          <w:color w:val="A5594C"/>
          <w:sz w:val="22"/>
          <w:szCs w:val="22"/>
        </w:rPr>
        <w:t xml:space="preserve"> private tutoring), exacerbates existing socio-economic inequalities</w:t>
      </w:r>
      <w:r>
        <w:rPr>
          <w:rFonts w:ascii="Calibri" w:eastAsia="Calibri" w:hAnsi="Calibri" w:cs="Calibri"/>
          <w:sz w:val="22"/>
          <w:szCs w:val="22"/>
        </w:rPr>
        <w:t>. Private institutions are accessible to the most privileged students, leaving behind students who have the capacity to follow high prestige tracks in private institutions, but do not have the financial means to do so</w:t>
      </w:r>
      <w:r>
        <w:rPr>
          <w:rFonts w:ascii="Calibri" w:eastAsia="Calibri" w:hAnsi="Calibri" w:cs="Calibri"/>
          <w:sz w:val="22"/>
          <w:szCs w:val="22"/>
          <w:vertAlign w:val="superscript"/>
        </w:rPr>
        <w:footnoteReference w:id="59"/>
      </w:r>
      <w:r>
        <w:rPr>
          <w:rFonts w:ascii="Calibri" w:eastAsia="Calibri" w:hAnsi="Calibri" w:cs="Calibri"/>
          <w:sz w:val="22"/>
          <w:szCs w:val="22"/>
        </w:rPr>
        <w:t>.</w:t>
      </w:r>
      <w:r>
        <w:rPr>
          <w:rFonts w:ascii="Calibri" w:eastAsia="Calibri" w:hAnsi="Calibri" w:cs="Calibri"/>
          <w:b/>
          <w:sz w:val="22"/>
          <w:szCs w:val="22"/>
        </w:rPr>
        <w:t xml:space="preserve"> Even if some disadvantaged students receive scholarships, they do not cover all costs related to higher education</w:t>
      </w:r>
      <w:r>
        <w:rPr>
          <w:rFonts w:ascii="Calibri" w:eastAsia="Calibri" w:hAnsi="Calibri" w:cs="Calibri"/>
          <w:sz w:val="22"/>
          <w:szCs w:val="22"/>
          <w:vertAlign w:val="superscript"/>
        </w:rPr>
        <w:footnoteReference w:id="60"/>
      </w:r>
      <w:r>
        <w:rPr>
          <w:rFonts w:ascii="Calibri" w:eastAsia="Calibri" w:hAnsi="Calibri" w:cs="Calibri"/>
          <w:sz w:val="22"/>
          <w:szCs w:val="22"/>
        </w:rPr>
        <w:t xml:space="preserve">. Studies show that </w:t>
      </w:r>
      <w:r>
        <w:rPr>
          <w:rFonts w:ascii="Calibri" w:eastAsia="Calibri" w:hAnsi="Calibri" w:cs="Calibri"/>
          <w:b/>
          <w:sz w:val="22"/>
          <w:szCs w:val="22"/>
        </w:rPr>
        <w:t>student debt becomes a major concern</w:t>
      </w:r>
      <w:r>
        <w:rPr>
          <w:rFonts w:ascii="Calibri" w:eastAsia="Calibri" w:hAnsi="Calibri" w:cs="Calibri"/>
          <w:sz w:val="22"/>
          <w:szCs w:val="22"/>
        </w:rPr>
        <w:t xml:space="preserve"> (for 11% of students in business school and 6% of students in engineering school)</w:t>
      </w:r>
      <w:r>
        <w:rPr>
          <w:rFonts w:ascii="Calibri" w:eastAsia="Calibri" w:hAnsi="Calibri" w:cs="Calibri"/>
          <w:sz w:val="22"/>
          <w:szCs w:val="22"/>
          <w:vertAlign w:val="superscript"/>
        </w:rPr>
        <w:footnoteReference w:id="61"/>
      </w:r>
      <w:r>
        <w:rPr>
          <w:rFonts w:ascii="Calibri" w:eastAsia="Calibri" w:hAnsi="Calibri" w:cs="Calibri"/>
          <w:sz w:val="22"/>
          <w:szCs w:val="22"/>
        </w:rPr>
        <w:t xml:space="preserve"> and a heavy burden at the beginning of their career</w:t>
      </w:r>
      <w:r>
        <w:rPr>
          <w:rFonts w:ascii="Calibri" w:eastAsia="Calibri" w:hAnsi="Calibri" w:cs="Calibri"/>
          <w:sz w:val="22"/>
          <w:szCs w:val="22"/>
          <w:vertAlign w:val="superscript"/>
        </w:rPr>
        <w:footnoteReference w:id="62"/>
      </w:r>
      <w:r>
        <w:rPr>
          <w:rFonts w:ascii="Calibri" w:eastAsia="Calibri" w:hAnsi="Calibri" w:cs="Calibri"/>
          <w:sz w:val="22"/>
          <w:szCs w:val="22"/>
        </w:rPr>
        <w:t>.</w:t>
      </w:r>
    </w:p>
    <w:p w14:paraId="0000005A" w14:textId="77777777" w:rsidR="003F609F" w:rsidRDefault="00000000">
      <w:pPr>
        <w:pBdr>
          <w:top w:val="nil"/>
          <w:left w:val="nil"/>
          <w:bottom w:val="nil"/>
          <w:right w:val="nil"/>
          <w:between w:val="nil"/>
        </w:pBdr>
        <w:spacing w:after="240" w:line="276" w:lineRule="auto"/>
        <w:jc w:val="both"/>
        <w:rPr>
          <w:rFonts w:ascii="Calibri" w:eastAsia="Calibri" w:hAnsi="Calibri" w:cs="Calibri"/>
          <w:color w:val="000000"/>
          <w:sz w:val="22"/>
          <w:szCs w:val="22"/>
        </w:rPr>
      </w:pPr>
      <w:r>
        <w:rPr>
          <w:rFonts w:ascii="Calibri" w:eastAsia="Calibri" w:hAnsi="Calibri" w:cs="Calibri"/>
          <w:b/>
          <w:color w:val="21959E"/>
          <w:sz w:val="28"/>
          <w:szCs w:val="28"/>
          <w:highlight w:val="white"/>
        </w:rPr>
        <w:t xml:space="preserve">State funding of higher education is insufficient and unequal to address persistent inequality in access to higher </w:t>
      </w:r>
      <w:proofErr w:type="gramStart"/>
      <w:r>
        <w:rPr>
          <w:rFonts w:ascii="Calibri" w:eastAsia="Calibri" w:hAnsi="Calibri" w:cs="Calibri"/>
          <w:b/>
          <w:color w:val="21959E"/>
          <w:sz w:val="28"/>
          <w:szCs w:val="28"/>
          <w:highlight w:val="white"/>
        </w:rPr>
        <w:t>education</w:t>
      </w:r>
      <w:proofErr w:type="gramEnd"/>
    </w:p>
    <w:p w14:paraId="0000005B" w14:textId="77777777" w:rsidR="003F609F" w:rsidRDefault="00000000">
      <w:pPr>
        <w:pBdr>
          <w:top w:val="nil"/>
          <w:left w:val="nil"/>
          <w:bottom w:val="nil"/>
          <w:right w:val="nil"/>
          <w:between w:val="nil"/>
        </w:pBdr>
        <w:tabs>
          <w:tab w:val="left" w:pos="1560"/>
        </w:tabs>
        <w:spacing w:after="240" w:line="276" w:lineRule="auto"/>
        <w:jc w:val="both"/>
        <w:rPr>
          <w:rFonts w:ascii="Calibri" w:eastAsia="Calibri" w:hAnsi="Calibri" w:cs="Calibri"/>
          <w:b/>
          <w:color w:val="2F5496"/>
          <w:sz w:val="26"/>
          <w:szCs w:val="26"/>
        </w:rPr>
      </w:pPr>
      <w:r>
        <w:rPr>
          <w:rFonts w:ascii="Calibri" w:eastAsia="Calibri" w:hAnsi="Calibri" w:cs="Calibri"/>
          <w:b/>
          <w:color w:val="494771"/>
          <w:sz w:val="26"/>
          <w:szCs w:val="26"/>
        </w:rPr>
        <w:t>State financial disengagement in higher education</w:t>
      </w:r>
      <w:r>
        <w:rPr>
          <w:rFonts w:ascii="Calibri" w:eastAsia="Calibri" w:hAnsi="Calibri" w:cs="Calibri"/>
          <w:b/>
          <w:color w:val="2F5496"/>
          <w:sz w:val="26"/>
          <w:szCs w:val="26"/>
        </w:rPr>
        <w:t xml:space="preserve"> </w:t>
      </w:r>
    </w:p>
    <w:p w14:paraId="0000005C" w14:textId="27804D7D" w:rsidR="003F609F" w:rsidRDefault="00000000">
      <w:pPr>
        <w:spacing w:after="200" w:line="276" w:lineRule="auto"/>
        <w:jc w:val="both"/>
        <w:rPr>
          <w:rFonts w:ascii="Calibri" w:eastAsia="Calibri" w:hAnsi="Calibri" w:cs="Calibri"/>
          <w:color w:val="333333"/>
          <w:sz w:val="22"/>
          <w:szCs w:val="22"/>
          <w:highlight w:val="white"/>
        </w:rPr>
      </w:pPr>
      <w:r>
        <w:rPr>
          <w:rFonts w:ascii="Calibri" w:eastAsia="Calibri" w:hAnsi="Calibri" w:cs="Calibri"/>
          <w:sz w:val="22"/>
          <w:szCs w:val="22"/>
        </w:rPr>
        <w:t>In France, national expenditure on tertiary education has been rising almost continuously since 1980, with an increase of more than 273.9% over 40 year</w:t>
      </w:r>
      <w:r w:rsidR="00E97346">
        <w:rPr>
          <w:rFonts w:ascii="Calibri" w:eastAsia="Calibri" w:hAnsi="Calibri" w:cs="Calibri"/>
          <w:sz w:val="22"/>
          <w:szCs w:val="22"/>
        </w:rPr>
        <w:t>s</w:t>
      </w:r>
      <w:r>
        <w:rPr>
          <w:rFonts w:ascii="Calibri" w:eastAsia="Calibri" w:hAnsi="Calibri" w:cs="Calibri"/>
          <w:sz w:val="22"/>
          <w:szCs w:val="22"/>
          <w:vertAlign w:val="superscript"/>
        </w:rPr>
        <w:footnoteReference w:id="63"/>
      </w:r>
      <w:r>
        <w:rPr>
          <w:rFonts w:ascii="Calibri" w:eastAsia="Calibri" w:hAnsi="Calibri" w:cs="Calibri"/>
          <w:sz w:val="22"/>
          <w:szCs w:val="22"/>
        </w:rPr>
        <w:t xml:space="preserve">. However, at the same time </w:t>
      </w:r>
      <w:r>
        <w:rPr>
          <w:rFonts w:ascii="Calibri" w:eastAsia="Calibri" w:hAnsi="Calibri" w:cs="Calibri"/>
          <w:b/>
          <w:sz w:val="22"/>
          <w:szCs w:val="22"/>
        </w:rPr>
        <w:t>expenditure per student has been in constant decline for six years</w:t>
      </w:r>
      <w:r>
        <w:rPr>
          <w:rFonts w:ascii="Calibri" w:eastAsia="Calibri" w:hAnsi="Calibri" w:cs="Calibri"/>
          <w:sz w:val="22"/>
          <w:szCs w:val="22"/>
        </w:rPr>
        <w:t xml:space="preserve"> (-1.4% in 2019 and -7.9% since 2009). Since 2010, </w:t>
      </w:r>
      <w:r>
        <w:rPr>
          <w:rFonts w:ascii="Calibri" w:eastAsia="Calibri" w:hAnsi="Calibri" w:cs="Calibri"/>
          <w:b/>
          <w:sz w:val="22"/>
          <w:szCs w:val="22"/>
        </w:rPr>
        <w:t>the increase in the number of students (18.7% in 10 years)</w:t>
      </w:r>
      <w:r>
        <w:rPr>
          <w:rFonts w:ascii="Calibri" w:eastAsia="Calibri" w:hAnsi="Calibri" w:cs="Calibri"/>
          <w:b/>
          <w:sz w:val="22"/>
          <w:szCs w:val="22"/>
          <w:vertAlign w:val="superscript"/>
        </w:rPr>
        <w:footnoteReference w:id="64"/>
      </w:r>
      <w:r>
        <w:rPr>
          <w:rFonts w:ascii="Calibri" w:eastAsia="Calibri" w:hAnsi="Calibri" w:cs="Calibri"/>
          <w:b/>
          <w:sz w:val="22"/>
          <w:szCs w:val="22"/>
        </w:rPr>
        <w:t xml:space="preserve"> has not been compensated by a proportional increase in spending, leading to unjustified underfunding of higher education in France </w:t>
      </w:r>
      <w:r>
        <w:rPr>
          <w:rFonts w:ascii="Calibri" w:eastAsia="Calibri" w:hAnsi="Calibri" w:cs="Calibri"/>
          <w:sz w:val="22"/>
          <w:szCs w:val="22"/>
        </w:rPr>
        <w:t xml:space="preserve">(fig. 6). In addition, while in 2010 the share of State investment in higher education was 71.4%, it has declined progressively to 66.3% in 2019. Conversely, the share of private companies and family participation in higher education has </w:t>
      </w:r>
      <w:proofErr w:type="gramStart"/>
      <w:r>
        <w:rPr>
          <w:rFonts w:ascii="Calibri" w:eastAsia="Calibri" w:hAnsi="Calibri" w:cs="Calibri"/>
          <w:sz w:val="22"/>
          <w:szCs w:val="22"/>
        </w:rPr>
        <w:t>risen:</w:t>
      </w:r>
      <w:proofErr w:type="gramEnd"/>
      <w:r>
        <w:rPr>
          <w:rFonts w:ascii="Calibri" w:eastAsia="Calibri" w:hAnsi="Calibri" w:cs="Calibri"/>
          <w:sz w:val="22"/>
          <w:szCs w:val="22"/>
        </w:rPr>
        <w:t xml:space="preserve"> private business share has gone from 7.8% in 2010 to 10.1% in 2019 whereas household participation in higher education has risen from 8.5% to 10.1% in the same period</w:t>
      </w:r>
      <w:r>
        <w:rPr>
          <w:rFonts w:ascii="Calibri" w:eastAsia="Calibri" w:hAnsi="Calibri" w:cs="Calibri"/>
          <w:sz w:val="22"/>
          <w:szCs w:val="22"/>
          <w:vertAlign w:val="superscript"/>
        </w:rPr>
        <w:footnoteReference w:id="65"/>
      </w:r>
      <w:r>
        <w:rPr>
          <w:rFonts w:ascii="Calibri" w:eastAsia="Calibri" w:hAnsi="Calibri" w:cs="Calibri"/>
          <w:sz w:val="22"/>
          <w:szCs w:val="22"/>
        </w:rPr>
        <w:t>.</w:t>
      </w:r>
      <w:r>
        <w:rPr>
          <w:rFonts w:ascii="Calibri" w:eastAsia="Calibri" w:hAnsi="Calibri" w:cs="Calibri"/>
          <w:color w:val="000000"/>
          <w:sz w:val="22"/>
          <w:szCs w:val="22"/>
        </w:rPr>
        <w:t xml:space="preserve"> </w:t>
      </w:r>
      <w:r>
        <w:rPr>
          <w:rFonts w:ascii="Calibri" w:eastAsia="Calibri" w:hAnsi="Calibri" w:cs="Calibri"/>
          <w:color w:val="333333"/>
          <w:sz w:val="22"/>
          <w:szCs w:val="22"/>
          <w:highlight w:val="white"/>
        </w:rPr>
        <w:t xml:space="preserve">  </w:t>
      </w:r>
    </w:p>
    <w:p w14:paraId="0000005D" w14:textId="77777777" w:rsidR="003F609F" w:rsidRDefault="00000000">
      <w:pPr>
        <w:pBdr>
          <w:top w:val="nil"/>
          <w:left w:val="nil"/>
          <w:bottom w:val="nil"/>
          <w:right w:val="nil"/>
          <w:between w:val="nil"/>
        </w:pBdr>
        <w:tabs>
          <w:tab w:val="left" w:pos="1560"/>
        </w:tabs>
        <w:spacing w:after="240" w:line="276" w:lineRule="auto"/>
        <w:jc w:val="both"/>
        <w:rPr>
          <w:rFonts w:ascii="Calibri" w:eastAsia="Calibri" w:hAnsi="Calibri" w:cs="Calibri"/>
          <w:color w:val="333333"/>
          <w:sz w:val="22"/>
          <w:szCs w:val="22"/>
          <w:highlight w:val="white"/>
        </w:rPr>
      </w:pPr>
      <w:r>
        <w:rPr>
          <w:rFonts w:ascii="Calibri" w:eastAsia="Calibri" w:hAnsi="Calibri" w:cs="Calibri"/>
          <w:noProof/>
          <w:color w:val="333333"/>
          <w:sz w:val="22"/>
          <w:szCs w:val="22"/>
          <w:highlight w:val="white"/>
        </w:rPr>
        <w:lastRenderedPageBreak/>
        <w:drawing>
          <wp:inline distT="114300" distB="114300" distL="114300" distR="114300" wp14:anchorId="46511204" wp14:editId="2F2CEC5C">
            <wp:extent cx="5760410" cy="3721100"/>
            <wp:effectExtent l="0" t="0" r="0" b="0"/>
            <wp:docPr id="207605358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41"/>
                    <a:srcRect/>
                    <a:stretch>
                      <a:fillRect/>
                    </a:stretch>
                  </pic:blipFill>
                  <pic:spPr>
                    <a:xfrm>
                      <a:off x="0" y="0"/>
                      <a:ext cx="5760410" cy="3721100"/>
                    </a:xfrm>
                    <a:prstGeom prst="rect">
                      <a:avLst/>
                    </a:prstGeom>
                    <a:ln/>
                  </pic:spPr>
                </pic:pic>
              </a:graphicData>
            </a:graphic>
          </wp:inline>
        </w:drawing>
      </w:r>
    </w:p>
    <w:p w14:paraId="0000005E" w14:textId="77777777" w:rsidR="003F609F" w:rsidRDefault="00000000">
      <w:pPr>
        <w:tabs>
          <w:tab w:val="left" w:pos="1560"/>
        </w:tabs>
        <w:spacing w:line="276" w:lineRule="auto"/>
        <w:jc w:val="both"/>
        <w:rPr>
          <w:rFonts w:ascii="Calibri" w:eastAsia="Calibri" w:hAnsi="Calibri" w:cs="Calibri"/>
          <w:sz w:val="22"/>
          <w:szCs w:val="22"/>
        </w:rPr>
      </w:pPr>
      <w:r>
        <w:rPr>
          <w:rFonts w:ascii="Calibri" w:eastAsia="Calibri" w:hAnsi="Calibri" w:cs="Calibri"/>
          <w:sz w:val="22"/>
          <w:szCs w:val="22"/>
        </w:rPr>
        <w:t>General Report No. 163 of the Senate Finance Committee, concerning the Finance Bill for Research and Higher Education for 2022, emphasises that ‘the ad hoc mobilisation of extrabudgetary credits in favour of higher education casts doubts on the sustainability of funding mobilised for universities’</w:t>
      </w:r>
      <w:r>
        <w:rPr>
          <w:rFonts w:ascii="Calibri" w:eastAsia="Calibri" w:hAnsi="Calibri" w:cs="Calibri"/>
          <w:sz w:val="22"/>
          <w:szCs w:val="22"/>
          <w:vertAlign w:val="superscript"/>
        </w:rPr>
        <w:footnoteReference w:id="66"/>
      </w:r>
      <w:r>
        <w:rPr>
          <w:rFonts w:ascii="Calibri" w:eastAsia="Calibri" w:hAnsi="Calibri" w:cs="Calibri"/>
          <w:sz w:val="22"/>
          <w:szCs w:val="22"/>
        </w:rPr>
        <w:t xml:space="preserve">. </w:t>
      </w:r>
    </w:p>
    <w:p w14:paraId="0000005F" w14:textId="77777777" w:rsidR="003F609F" w:rsidRDefault="003F609F">
      <w:pPr>
        <w:tabs>
          <w:tab w:val="left" w:pos="1560"/>
        </w:tabs>
        <w:spacing w:line="276" w:lineRule="auto"/>
        <w:jc w:val="both"/>
        <w:rPr>
          <w:rFonts w:ascii="Calibri" w:eastAsia="Calibri" w:hAnsi="Calibri" w:cs="Calibri"/>
          <w:sz w:val="22"/>
          <w:szCs w:val="22"/>
        </w:rPr>
      </w:pPr>
    </w:p>
    <w:p w14:paraId="00000060" w14:textId="77777777" w:rsidR="003F609F" w:rsidRDefault="00000000">
      <w:pPr>
        <w:pBdr>
          <w:top w:val="nil"/>
          <w:left w:val="nil"/>
          <w:bottom w:val="nil"/>
          <w:right w:val="nil"/>
          <w:between w:val="nil"/>
        </w:pBdr>
        <w:tabs>
          <w:tab w:val="left" w:pos="1560"/>
        </w:tabs>
        <w:spacing w:after="240" w:line="276" w:lineRule="auto"/>
        <w:jc w:val="both"/>
        <w:rPr>
          <w:rFonts w:ascii="Calibri" w:eastAsia="Calibri" w:hAnsi="Calibri" w:cs="Calibri"/>
          <w:color w:val="000000"/>
          <w:sz w:val="22"/>
          <w:szCs w:val="22"/>
        </w:rPr>
      </w:pPr>
      <w:r>
        <w:rPr>
          <w:rFonts w:ascii="Calibri" w:eastAsia="Calibri" w:hAnsi="Calibri" w:cs="Calibri"/>
          <w:b/>
          <w:color w:val="000000"/>
          <w:sz w:val="22"/>
          <w:szCs w:val="22"/>
        </w:rPr>
        <w:t xml:space="preserve">State financial aid </w:t>
      </w:r>
      <w:r>
        <w:rPr>
          <w:rFonts w:ascii="Calibri" w:eastAsia="Calibri" w:hAnsi="Calibri" w:cs="Calibri"/>
          <w:b/>
          <w:sz w:val="22"/>
          <w:szCs w:val="22"/>
        </w:rPr>
        <w:t>is not</w:t>
      </w:r>
      <w:r>
        <w:rPr>
          <w:rFonts w:ascii="Calibri" w:eastAsia="Calibri" w:hAnsi="Calibri" w:cs="Calibri"/>
          <w:b/>
          <w:color w:val="000000"/>
          <w:sz w:val="22"/>
          <w:szCs w:val="22"/>
        </w:rPr>
        <w:t xml:space="preserve"> enough to cope with the raise in tuition and the </w:t>
      </w:r>
      <w:proofErr w:type="gramStart"/>
      <w:r>
        <w:rPr>
          <w:rFonts w:ascii="Calibri" w:eastAsia="Calibri" w:hAnsi="Calibri" w:cs="Calibri"/>
          <w:b/>
          <w:color w:val="000000"/>
          <w:sz w:val="22"/>
          <w:szCs w:val="22"/>
        </w:rPr>
        <w:t>above mention</w:t>
      </w:r>
      <w:r>
        <w:rPr>
          <w:rFonts w:ascii="Calibri" w:eastAsia="Calibri" w:hAnsi="Calibri" w:cs="Calibri"/>
          <w:b/>
          <w:sz w:val="22"/>
          <w:szCs w:val="22"/>
        </w:rPr>
        <w:t>ed</w:t>
      </w:r>
      <w:proofErr w:type="gramEnd"/>
      <w:r>
        <w:rPr>
          <w:rFonts w:ascii="Calibri" w:eastAsia="Calibri" w:hAnsi="Calibri" w:cs="Calibri"/>
          <w:b/>
          <w:color w:val="000000"/>
          <w:sz w:val="22"/>
          <w:szCs w:val="22"/>
        </w:rPr>
        <w:t xml:space="preserve"> indirect costs</w:t>
      </w:r>
      <w:r>
        <w:rPr>
          <w:rFonts w:ascii="Calibri" w:eastAsia="Calibri" w:hAnsi="Calibri" w:cs="Calibri"/>
          <w:color w:val="000000"/>
          <w:sz w:val="22"/>
          <w:szCs w:val="22"/>
        </w:rPr>
        <w:t xml:space="preserve">. </w:t>
      </w:r>
      <w:r>
        <w:rPr>
          <w:rFonts w:ascii="Calibri" w:eastAsia="Calibri" w:hAnsi="Calibri" w:cs="Calibri"/>
          <w:sz w:val="22"/>
          <w:szCs w:val="22"/>
        </w:rPr>
        <w:t>Even if</w:t>
      </w:r>
      <w:r>
        <w:rPr>
          <w:rFonts w:ascii="Calibri" w:eastAsia="Calibri" w:hAnsi="Calibri" w:cs="Calibri"/>
          <w:color w:val="000000"/>
          <w:sz w:val="22"/>
          <w:szCs w:val="22"/>
        </w:rPr>
        <w:t xml:space="preserve"> the share of financial aid granted to students </w:t>
      </w:r>
      <w:r>
        <w:rPr>
          <w:rFonts w:ascii="Calibri" w:eastAsia="Calibri" w:hAnsi="Calibri" w:cs="Calibri"/>
          <w:sz w:val="22"/>
          <w:szCs w:val="22"/>
        </w:rPr>
        <w:t>for the academic year</w:t>
      </w:r>
      <w:r>
        <w:rPr>
          <w:rFonts w:ascii="Calibri" w:eastAsia="Calibri" w:hAnsi="Calibri" w:cs="Calibri"/>
          <w:color w:val="000000"/>
          <w:sz w:val="22"/>
          <w:szCs w:val="22"/>
        </w:rPr>
        <w:t xml:space="preserve"> 2019/</w:t>
      </w:r>
      <w:r>
        <w:rPr>
          <w:rFonts w:ascii="Calibri" w:eastAsia="Calibri" w:hAnsi="Calibri" w:cs="Calibri"/>
          <w:sz w:val="22"/>
          <w:szCs w:val="22"/>
        </w:rPr>
        <w:t>2020</w:t>
      </w:r>
      <w:r>
        <w:rPr>
          <w:rFonts w:ascii="Calibri" w:eastAsia="Calibri" w:hAnsi="Calibri" w:cs="Calibri"/>
          <w:color w:val="000000"/>
          <w:sz w:val="22"/>
          <w:szCs w:val="22"/>
        </w:rPr>
        <w:t xml:space="preserve"> (41</w:t>
      </w:r>
      <w:r>
        <w:rPr>
          <w:rFonts w:ascii="Calibri" w:eastAsia="Calibri" w:hAnsi="Calibri" w:cs="Calibri"/>
          <w:sz w:val="22"/>
          <w:szCs w:val="22"/>
        </w:rPr>
        <w:t>.</w:t>
      </w:r>
      <w:r>
        <w:rPr>
          <w:rFonts w:ascii="Calibri" w:eastAsia="Calibri" w:hAnsi="Calibri" w:cs="Calibri"/>
          <w:color w:val="000000"/>
          <w:sz w:val="22"/>
          <w:szCs w:val="22"/>
        </w:rPr>
        <w:t xml:space="preserve">9%) was slightly higher than </w:t>
      </w:r>
      <w:r>
        <w:rPr>
          <w:rFonts w:ascii="Calibri" w:eastAsia="Calibri" w:hAnsi="Calibri" w:cs="Calibri"/>
          <w:sz w:val="22"/>
          <w:szCs w:val="22"/>
        </w:rPr>
        <w:t>for</w:t>
      </w:r>
      <w:r>
        <w:rPr>
          <w:rFonts w:ascii="Calibri" w:eastAsia="Calibri" w:hAnsi="Calibri" w:cs="Calibri"/>
          <w:color w:val="000000"/>
          <w:sz w:val="22"/>
          <w:szCs w:val="22"/>
        </w:rPr>
        <w:t xml:space="preserve"> 2018/2</w:t>
      </w:r>
      <w:r>
        <w:rPr>
          <w:rFonts w:ascii="Calibri" w:eastAsia="Calibri" w:hAnsi="Calibri" w:cs="Calibri"/>
          <w:sz w:val="22"/>
          <w:szCs w:val="22"/>
        </w:rPr>
        <w:t>019</w:t>
      </w:r>
      <w:r>
        <w:rPr>
          <w:rFonts w:ascii="Calibri" w:eastAsia="Calibri" w:hAnsi="Calibri" w:cs="Calibri"/>
          <w:color w:val="000000"/>
          <w:sz w:val="22"/>
          <w:szCs w:val="22"/>
        </w:rPr>
        <w:t xml:space="preserve"> (39</w:t>
      </w:r>
      <w:r>
        <w:rPr>
          <w:rFonts w:ascii="Calibri" w:eastAsia="Calibri" w:hAnsi="Calibri" w:cs="Calibri"/>
          <w:sz w:val="22"/>
          <w:szCs w:val="22"/>
        </w:rPr>
        <w:t>.</w:t>
      </w:r>
      <w:r>
        <w:rPr>
          <w:rFonts w:ascii="Calibri" w:eastAsia="Calibri" w:hAnsi="Calibri" w:cs="Calibri"/>
          <w:color w:val="000000"/>
          <w:sz w:val="22"/>
          <w:szCs w:val="22"/>
        </w:rPr>
        <w:t>5%), the raise is mostly due to special transitory measures implemented during the COVID-19 pandemic</w:t>
      </w:r>
      <w:r>
        <w:rPr>
          <w:rFonts w:ascii="Calibri" w:eastAsia="Calibri" w:hAnsi="Calibri" w:cs="Calibri"/>
          <w:sz w:val="22"/>
          <w:szCs w:val="22"/>
          <w:vertAlign w:val="superscript"/>
        </w:rPr>
        <w:footnoteReference w:id="67"/>
      </w:r>
      <w:r>
        <w:rPr>
          <w:rFonts w:ascii="Calibri" w:eastAsia="Calibri" w:hAnsi="Calibri" w:cs="Calibri"/>
          <w:sz w:val="22"/>
          <w:szCs w:val="22"/>
        </w:rPr>
        <w:t>. Meanwhile, we have seen above that the cost of living has increased over recent years</w:t>
      </w:r>
      <w:r>
        <w:rPr>
          <w:rFonts w:ascii="Calibri" w:eastAsia="Calibri" w:hAnsi="Calibri" w:cs="Calibri"/>
          <w:color w:val="000000"/>
          <w:sz w:val="22"/>
          <w:szCs w:val="22"/>
        </w:rPr>
        <w:t>.</w:t>
      </w:r>
    </w:p>
    <w:p w14:paraId="00000061" w14:textId="77777777" w:rsidR="003F609F" w:rsidRDefault="00000000">
      <w:pPr>
        <w:pBdr>
          <w:top w:val="nil"/>
          <w:left w:val="nil"/>
          <w:bottom w:val="nil"/>
          <w:right w:val="nil"/>
          <w:between w:val="nil"/>
        </w:pBdr>
        <w:spacing w:after="240" w:line="276"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The most </w:t>
      </w:r>
      <w:r>
        <w:rPr>
          <w:rFonts w:ascii="Calibri" w:eastAsia="Calibri" w:hAnsi="Calibri" w:cs="Calibri"/>
          <w:sz w:val="22"/>
          <w:szCs w:val="22"/>
        </w:rPr>
        <w:t>significant</w:t>
      </w:r>
      <w:r>
        <w:rPr>
          <w:rFonts w:ascii="Calibri" w:eastAsia="Calibri" w:hAnsi="Calibri" w:cs="Calibri"/>
          <w:color w:val="000000"/>
          <w:sz w:val="22"/>
          <w:szCs w:val="22"/>
        </w:rPr>
        <w:t xml:space="preserve"> student aid granted in France is based </w:t>
      </w:r>
      <w:r>
        <w:rPr>
          <w:rFonts w:ascii="Calibri" w:eastAsia="Calibri" w:hAnsi="Calibri" w:cs="Calibri"/>
          <w:sz w:val="22"/>
          <w:szCs w:val="22"/>
        </w:rPr>
        <w:t>on social</w:t>
      </w:r>
      <w:r>
        <w:rPr>
          <w:rFonts w:ascii="Calibri" w:eastAsia="Calibri" w:hAnsi="Calibri" w:cs="Calibri"/>
          <w:color w:val="000000"/>
          <w:sz w:val="22"/>
          <w:szCs w:val="22"/>
        </w:rPr>
        <w:t xml:space="preserve"> </w:t>
      </w:r>
      <w:proofErr w:type="gramStart"/>
      <w:r>
        <w:rPr>
          <w:rFonts w:ascii="Calibri" w:eastAsia="Calibri" w:hAnsi="Calibri" w:cs="Calibri"/>
          <w:color w:val="000000"/>
          <w:sz w:val="22"/>
          <w:szCs w:val="22"/>
        </w:rPr>
        <w:t>criteria .</w:t>
      </w:r>
      <w:proofErr w:type="gramEnd"/>
      <w:r>
        <w:rPr>
          <w:rFonts w:ascii="Calibri" w:eastAsia="Calibri" w:hAnsi="Calibri" w:cs="Calibri"/>
          <w:color w:val="000000"/>
          <w:sz w:val="22"/>
          <w:szCs w:val="22"/>
        </w:rPr>
        <w:t xml:space="preserve"> This means that the annual amount of the student aid is calculated according to the student’s household resources and expenses, following a national scale. </w:t>
      </w:r>
      <w:r>
        <w:rPr>
          <w:rFonts w:ascii="Calibri" w:eastAsia="Calibri" w:hAnsi="Calibri" w:cs="Calibri"/>
          <w:sz w:val="22"/>
          <w:szCs w:val="22"/>
        </w:rPr>
        <w:t>T</w:t>
      </w:r>
      <w:r>
        <w:rPr>
          <w:rFonts w:ascii="Calibri" w:eastAsia="Calibri" w:hAnsi="Calibri" w:cs="Calibri"/>
          <w:color w:val="000000"/>
          <w:sz w:val="22"/>
          <w:szCs w:val="22"/>
        </w:rPr>
        <w:t>he attribution of social aid is differentiated according to types of tracks and programmes</w:t>
      </w:r>
      <w:r>
        <w:rPr>
          <w:rFonts w:ascii="Calibri" w:eastAsia="Calibri" w:hAnsi="Calibri" w:cs="Calibri"/>
          <w:sz w:val="22"/>
          <w:szCs w:val="22"/>
        </w:rPr>
        <w:t>.</w:t>
      </w:r>
      <w:r>
        <w:rPr>
          <w:rFonts w:ascii="Calibri" w:eastAsia="Calibri" w:hAnsi="Calibri" w:cs="Calibri"/>
          <w:color w:val="000000"/>
          <w:sz w:val="22"/>
          <w:szCs w:val="22"/>
        </w:rPr>
        <w:t xml:space="preserve"> </w:t>
      </w:r>
      <w:r>
        <w:rPr>
          <w:rFonts w:ascii="Calibri" w:eastAsia="Calibri" w:hAnsi="Calibri" w:cs="Calibri"/>
          <w:sz w:val="22"/>
          <w:szCs w:val="22"/>
        </w:rPr>
        <w:t>S</w:t>
      </w:r>
      <w:r>
        <w:rPr>
          <w:rFonts w:ascii="Calibri" w:eastAsia="Calibri" w:hAnsi="Calibri" w:cs="Calibri"/>
          <w:color w:val="000000"/>
          <w:sz w:val="22"/>
          <w:szCs w:val="22"/>
        </w:rPr>
        <w:t xml:space="preserve">cholarship students, </w:t>
      </w:r>
      <w:r>
        <w:rPr>
          <w:rFonts w:ascii="Calibri" w:eastAsia="Calibri" w:hAnsi="Calibri" w:cs="Calibri"/>
          <w:sz w:val="22"/>
          <w:szCs w:val="22"/>
        </w:rPr>
        <w:t>who represent 37% of total students,</w:t>
      </w:r>
      <w:r>
        <w:rPr>
          <w:rFonts w:ascii="Calibri" w:eastAsia="Calibri" w:hAnsi="Calibri" w:cs="Calibri"/>
          <w:color w:val="000000"/>
          <w:sz w:val="22"/>
          <w:szCs w:val="22"/>
        </w:rPr>
        <w:t xml:space="preserve"> are largely under-represented in business schools, where they constitute only 12% of students. Another distinction is observed between the private and the public sector: 21.8% of students in the private sector receive a scholarship based on social criteria, against 39.4% in the public sector</w:t>
      </w:r>
      <w:r>
        <w:rPr>
          <w:rFonts w:ascii="Calibri" w:eastAsia="Calibri" w:hAnsi="Calibri" w:cs="Calibri"/>
          <w:color w:val="000000"/>
          <w:sz w:val="22"/>
          <w:szCs w:val="22"/>
          <w:vertAlign w:val="superscript"/>
        </w:rPr>
        <w:footnoteReference w:id="68"/>
      </w:r>
      <w:r>
        <w:rPr>
          <w:rFonts w:ascii="Calibri" w:eastAsia="Calibri" w:hAnsi="Calibri" w:cs="Calibri"/>
          <w:color w:val="000000"/>
          <w:sz w:val="22"/>
          <w:szCs w:val="22"/>
        </w:rPr>
        <w:t>.</w:t>
      </w:r>
    </w:p>
    <w:p w14:paraId="00000062" w14:textId="77777777" w:rsidR="003F609F" w:rsidRDefault="00000000">
      <w:pPr>
        <w:pBdr>
          <w:top w:val="nil"/>
          <w:left w:val="nil"/>
          <w:bottom w:val="nil"/>
          <w:right w:val="nil"/>
          <w:between w:val="nil"/>
        </w:pBdr>
        <w:tabs>
          <w:tab w:val="left" w:pos="1560"/>
        </w:tabs>
        <w:spacing w:after="240" w:line="276" w:lineRule="auto"/>
        <w:jc w:val="both"/>
        <w:rPr>
          <w:rFonts w:ascii="Calibri" w:eastAsia="Calibri" w:hAnsi="Calibri" w:cs="Calibri"/>
          <w:sz w:val="22"/>
          <w:szCs w:val="22"/>
        </w:rPr>
      </w:pPr>
      <w:r>
        <w:rPr>
          <w:rFonts w:ascii="Calibri" w:eastAsia="Calibri" w:hAnsi="Calibri" w:cs="Calibri"/>
          <w:sz w:val="22"/>
          <w:szCs w:val="22"/>
        </w:rPr>
        <w:lastRenderedPageBreak/>
        <w:t>The most recent report from the French Court of Auditors</w:t>
      </w:r>
      <w:r>
        <w:rPr>
          <w:rFonts w:ascii="Calibri" w:eastAsia="Calibri" w:hAnsi="Calibri" w:cs="Calibri"/>
          <w:sz w:val="22"/>
          <w:szCs w:val="22"/>
          <w:vertAlign w:val="superscript"/>
        </w:rPr>
        <w:footnoteReference w:id="69"/>
      </w:r>
      <w:r>
        <w:rPr>
          <w:rFonts w:ascii="Calibri" w:eastAsia="Calibri" w:hAnsi="Calibri" w:cs="Calibri"/>
          <w:sz w:val="22"/>
          <w:szCs w:val="22"/>
        </w:rPr>
        <w:t xml:space="preserve"> stressed that the precarious economic situation of students was particularly worrying, even before the pandemic. R</w:t>
      </w:r>
      <w:r>
        <w:rPr>
          <w:rFonts w:ascii="Calibri" w:eastAsia="Calibri" w:hAnsi="Calibri" w:cs="Calibri"/>
          <w:color w:val="000000"/>
          <w:sz w:val="22"/>
          <w:szCs w:val="22"/>
        </w:rPr>
        <w:t xml:space="preserve">esearch has </w:t>
      </w:r>
      <w:r>
        <w:rPr>
          <w:rFonts w:ascii="Calibri" w:eastAsia="Calibri" w:hAnsi="Calibri" w:cs="Calibri"/>
          <w:sz w:val="22"/>
          <w:szCs w:val="22"/>
        </w:rPr>
        <w:t>shown</w:t>
      </w:r>
      <w:r>
        <w:rPr>
          <w:rFonts w:ascii="Calibri" w:eastAsia="Calibri" w:hAnsi="Calibri" w:cs="Calibri"/>
          <w:color w:val="000000"/>
          <w:sz w:val="22"/>
          <w:szCs w:val="22"/>
        </w:rPr>
        <w:t xml:space="preserve"> that young adults from the upper classes</w:t>
      </w:r>
      <w:r>
        <w:rPr>
          <w:rFonts w:ascii="Calibri" w:eastAsia="Calibri" w:hAnsi="Calibri" w:cs="Calibri"/>
          <w:sz w:val="22"/>
          <w:szCs w:val="22"/>
        </w:rPr>
        <w:t xml:space="preserve"> appear to be more likely to pursue higher education and to claim the most prestigious, but also the most expensive diplomas (in terms of public expenditure). </w:t>
      </w:r>
      <w:r>
        <w:rPr>
          <w:rFonts w:ascii="Calibri" w:eastAsia="Calibri" w:hAnsi="Calibri" w:cs="Calibri"/>
          <w:color w:val="000000"/>
          <w:sz w:val="22"/>
          <w:szCs w:val="22"/>
        </w:rPr>
        <w:t xml:space="preserve"> </w:t>
      </w:r>
      <w:r>
        <w:rPr>
          <w:rFonts w:ascii="Calibri" w:eastAsia="Calibri" w:hAnsi="Calibri" w:cs="Calibri"/>
          <w:sz w:val="22"/>
          <w:szCs w:val="22"/>
        </w:rPr>
        <w:t>Over 70% of inequalities in public spending on higher education are due to unequal access to higher education</w:t>
      </w:r>
      <w:r>
        <w:rPr>
          <w:rFonts w:ascii="Calibri" w:eastAsia="Calibri" w:hAnsi="Calibri" w:cs="Calibri"/>
          <w:sz w:val="22"/>
          <w:szCs w:val="22"/>
          <w:vertAlign w:val="superscript"/>
        </w:rPr>
        <w:footnoteReference w:id="70"/>
      </w:r>
      <w:r>
        <w:rPr>
          <w:rFonts w:ascii="Calibri" w:eastAsia="Calibri" w:hAnsi="Calibri" w:cs="Calibri"/>
          <w:sz w:val="22"/>
          <w:szCs w:val="22"/>
        </w:rPr>
        <w:t>.</w:t>
      </w:r>
      <w:r>
        <w:rPr>
          <w:rFonts w:ascii="Calibri" w:eastAsia="Calibri" w:hAnsi="Calibri" w:cs="Calibri"/>
          <w:color w:val="000000"/>
          <w:sz w:val="22"/>
          <w:szCs w:val="22"/>
        </w:rPr>
        <w:t xml:space="preserve"> </w:t>
      </w:r>
      <w:r>
        <w:rPr>
          <w:rFonts w:ascii="Calibri" w:eastAsia="Calibri" w:hAnsi="Calibri" w:cs="Calibri"/>
          <w:sz w:val="22"/>
          <w:szCs w:val="22"/>
        </w:rPr>
        <w:t>Research shows that the</w:t>
      </w:r>
      <w:r>
        <w:rPr>
          <w:rFonts w:ascii="Calibri" w:eastAsia="Calibri" w:hAnsi="Calibri" w:cs="Calibri"/>
          <w:color w:val="000000"/>
          <w:sz w:val="22"/>
          <w:szCs w:val="22"/>
        </w:rPr>
        <w:t xml:space="preserve"> </w:t>
      </w:r>
      <w:r>
        <w:rPr>
          <w:rFonts w:ascii="Calibri" w:eastAsia="Calibri" w:hAnsi="Calibri" w:cs="Calibri"/>
          <w:sz w:val="22"/>
          <w:szCs w:val="22"/>
        </w:rPr>
        <w:t>fiscal advantages granted by the State to families who have a child in higher education end up benefiting households with a higher income, to the point where tax reductions for the most privileged roughly equal the amount of grants paid to the poorest students</w:t>
      </w:r>
      <w:r>
        <w:rPr>
          <w:rFonts w:ascii="Calibri" w:eastAsia="Calibri" w:hAnsi="Calibri" w:cs="Calibri"/>
          <w:sz w:val="22"/>
          <w:szCs w:val="22"/>
          <w:vertAlign w:val="superscript"/>
        </w:rPr>
        <w:footnoteReference w:id="71"/>
      </w:r>
      <w:r>
        <w:rPr>
          <w:rFonts w:ascii="Calibri" w:eastAsia="Calibri" w:hAnsi="Calibri" w:cs="Calibri"/>
          <w:sz w:val="22"/>
          <w:szCs w:val="22"/>
        </w:rPr>
        <w:t xml:space="preserve">.  </w:t>
      </w:r>
    </w:p>
    <w:p w14:paraId="00000063" w14:textId="77777777" w:rsidR="003F609F" w:rsidRDefault="00000000">
      <w:pPr>
        <w:pBdr>
          <w:top w:val="nil"/>
          <w:left w:val="nil"/>
          <w:bottom w:val="nil"/>
          <w:right w:val="nil"/>
          <w:between w:val="nil"/>
        </w:pBdr>
        <w:tabs>
          <w:tab w:val="left" w:pos="1560"/>
        </w:tabs>
        <w:spacing w:after="240" w:line="276" w:lineRule="auto"/>
        <w:jc w:val="both"/>
        <w:rPr>
          <w:rFonts w:ascii="Calibri" w:eastAsia="Calibri" w:hAnsi="Calibri" w:cs="Calibri"/>
          <w:b/>
          <w:color w:val="494771"/>
          <w:sz w:val="22"/>
          <w:szCs w:val="22"/>
        </w:rPr>
      </w:pPr>
      <w:r>
        <w:rPr>
          <w:rFonts w:ascii="Calibri" w:eastAsia="Calibri" w:hAnsi="Calibri" w:cs="Calibri"/>
          <w:b/>
          <w:color w:val="494771"/>
          <w:sz w:val="22"/>
          <w:szCs w:val="22"/>
        </w:rPr>
        <w:t>Unequal budget distribution amongst institutions, programmes, and fields of study</w:t>
      </w:r>
    </w:p>
    <w:p w14:paraId="00000064" w14:textId="77777777" w:rsidR="003F609F" w:rsidRDefault="00000000">
      <w:pPr>
        <w:pBdr>
          <w:top w:val="nil"/>
          <w:left w:val="nil"/>
          <w:bottom w:val="nil"/>
          <w:right w:val="nil"/>
          <w:between w:val="nil"/>
        </w:pBdr>
        <w:spacing w:after="240" w:line="276" w:lineRule="auto"/>
        <w:jc w:val="both"/>
        <w:rPr>
          <w:rFonts w:ascii="Calibri" w:eastAsia="Calibri" w:hAnsi="Calibri" w:cs="Calibri"/>
          <w:sz w:val="22"/>
          <w:szCs w:val="22"/>
        </w:rPr>
      </w:pPr>
      <w:r>
        <w:rPr>
          <w:rFonts w:ascii="Calibri" w:eastAsia="Calibri" w:hAnsi="Calibri" w:cs="Calibri"/>
          <w:color w:val="000000"/>
          <w:sz w:val="22"/>
          <w:szCs w:val="22"/>
        </w:rPr>
        <w:t xml:space="preserve">Moreover, </w:t>
      </w:r>
      <w:r>
        <w:rPr>
          <w:rFonts w:ascii="Calibri" w:eastAsia="Calibri" w:hAnsi="Calibri" w:cs="Calibri"/>
          <w:b/>
          <w:color w:val="000000"/>
          <w:sz w:val="22"/>
          <w:szCs w:val="22"/>
        </w:rPr>
        <w:t>the higher education budget is disproportionately distributed among fields of studies and types of higher education institutions. Prestigious higher education institutions or those leading to socially recogni</w:t>
      </w:r>
      <w:r>
        <w:rPr>
          <w:rFonts w:ascii="Calibri" w:eastAsia="Calibri" w:hAnsi="Calibri" w:cs="Calibri"/>
          <w:b/>
          <w:sz w:val="22"/>
          <w:szCs w:val="22"/>
        </w:rPr>
        <w:t>s</w:t>
      </w:r>
      <w:r>
        <w:rPr>
          <w:rFonts w:ascii="Calibri" w:eastAsia="Calibri" w:hAnsi="Calibri" w:cs="Calibri"/>
          <w:b/>
          <w:color w:val="000000"/>
          <w:sz w:val="22"/>
          <w:szCs w:val="22"/>
        </w:rPr>
        <w:t>ed diplomas and which most often welcome students from privileged socio-economic backgrounds tend to receive more state funding</w:t>
      </w:r>
      <w:r>
        <w:rPr>
          <w:rFonts w:ascii="Calibri" w:eastAsia="Calibri" w:hAnsi="Calibri" w:cs="Calibri"/>
          <w:color w:val="000000"/>
          <w:sz w:val="22"/>
          <w:szCs w:val="22"/>
        </w:rPr>
        <w:t xml:space="preserve">. For </w:t>
      </w:r>
      <w:r>
        <w:rPr>
          <w:rFonts w:ascii="Calibri" w:eastAsia="Calibri" w:hAnsi="Calibri" w:cs="Calibri"/>
          <w:sz w:val="22"/>
          <w:szCs w:val="22"/>
        </w:rPr>
        <w:t>example</w:t>
      </w:r>
      <w:r>
        <w:rPr>
          <w:rFonts w:ascii="Calibri" w:eastAsia="Calibri" w:hAnsi="Calibri" w:cs="Calibri"/>
          <w:color w:val="000000"/>
          <w:sz w:val="22"/>
          <w:szCs w:val="22"/>
        </w:rPr>
        <w:t xml:space="preserve">, </w:t>
      </w:r>
      <w:r>
        <w:rPr>
          <w:rFonts w:ascii="Calibri" w:eastAsia="Calibri" w:hAnsi="Calibri" w:cs="Calibri"/>
          <w:sz w:val="22"/>
          <w:szCs w:val="22"/>
        </w:rPr>
        <w:t>supporting one</w:t>
      </w:r>
      <w:r>
        <w:rPr>
          <w:rFonts w:ascii="Calibri" w:eastAsia="Calibri" w:hAnsi="Calibri" w:cs="Calibri"/>
          <w:color w:val="000000"/>
          <w:sz w:val="22"/>
          <w:szCs w:val="22"/>
        </w:rPr>
        <w:t xml:space="preserve"> student in the CGPE (preparatory class to enter the Grand Ecole track) costs 50% more to the state than a public university student</w:t>
      </w:r>
      <w:r>
        <w:rPr>
          <w:rFonts w:ascii="Calibri" w:eastAsia="Calibri" w:hAnsi="Calibri" w:cs="Calibri"/>
          <w:color w:val="000000"/>
          <w:sz w:val="22"/>
          <w:szCs w:val="22"/>
          <w:vertAlign w:val="superscript"/>
        </w:rPr>
        <w:footnoteReference w:id="72"/>
      </w:r>
      <w:r>
        <w:rPr>
          <w:rFonts w:ascii="Calibri" w:eastAsia="Calibri" w:hAnsi="Calibri" w:cs="Calibri"/>
          <w:color w:val="000000"/>
          <w:sz w:val="22"/>
          <w:szCs w:val="22"/>
        </w:rPr>
        <w:t>. Such differences in budgetary allocation are to the detriment of socioeconomicall</w:t>
      </w:r>
      <w:r>
        <w:rPr>
          <w:rFonts w:ascii="Calibri" w:eastAsia="Calibri" w:hAnsi="Calibri" w:cs="Calibri"/>
          <w:sz w:val="22"/>
          <w:szCs w:val="22"/>
        </w:rPr>
        <w:t>y</w:t>
      </w:r>
      <w:r>
        <w:rPr>
          <w:rFonts w:ascii="Calibri" w:eastAsia="Calibri" w:hAnsi="Calibri" w:cs="Calibri"/>
          <w:color w:val="000000"/>
          <w:sz w:val="22"/>
          <w:szCs w:val="22"/>
        </w:rPr>
        <w:t xml:space="preserve"> disadvantaged students: while the children of typically blue-collar </w:t>
      </w:r>
      <w:r>
        <w:rPr>
          <w:rFonts w:ascii="Calibri" w:eastAsia="Calibri" w:hAnsi="Calibri" w:cs="Calibri"/>
          <w:sz w:val="22"/>
          <w:szCs w:val="22"/>
        </w:rPr>
        <w:t>profession parents</w:t>
      </w:r>
      <w:r>
        <w:rPr>
          <w:rFonts w:ascii="Calibri" w:eastAsia="Calibri" w:hAnsi="Calibri" w:cs="Calibri"/>
          <w:color w:val="000000"/>
          <w:sz w:val="22"/>
          <w:szCs w:val="22"/>
        </w:rPr>
        <w:t xml:space="preserve"> constitute 28.5% of the gross enrolment rate in higher education, they represent only 18.2% of CPGE students. Conversely, students from families of executives and higher intellectual professions constitute 34.2% of the student population and 52.1% of CPGE student</w:t>
      </w:r>
      <w:r>
        <w:rPr>
          <w:rFonts w:ascii="Calibri" w:eastAsia="Calibri" w:hAnsi="Calibri" w:cs="Calibri"/>
          <w:sz w:val="22"/>
          <w:szCs w:val="22"/>
        </w:rPr>
        <w:t>s. T</w:t>
      </w:r>
      <w:r>
        <w:rPr>
          <w:rFonts w:ascii="Calibri" w:eastAsia="Calibri" w:hAnsi="Calibri" w:cs="Calibri"/>
          <w:color w:val="000000"/>
          <w:sz w:val="22"/>
          <w:szCs w:val="22"/>
        </w:rPr>
        <w:t xml:space="preserve">hey are thus over-represented in institutions </w:t>
      </w:r>
      <w:r>
        <w:rPr>
          <w:rFonts w:ascii="Calibri" w:eastAsia="Calibri" w:hAnsi="Calibri" w:cs="Calibri"/>
          <w:sz w:val="22"/>
          <w:szCs w:val="22"/>
        </w:rPr>
        <w:t>favoured</w:t>
      </w:r>
      <w:r>
        <w:rPr>
          <w:rFonts w:ascii="Calibri" w:eastAsia="Calibri" w:hAnsi="Calibri" w:cs="Calibri"/>
          <w:color w:val="000000"/>
          <w:sz w:val="22"/>
          <w:szCs w:val="22"/>
        </w:rPr>
        <w:t xml:space="preserve"> by public funding</w:t>
      </w:r>
      <w:r>
        <w:rPr>
          <w:rFonts w:ascii="Calibri" w:eastAsia="Calibri" w:hAnsi="Calibri" w:cs="Calibri"/>
          <w:sz w:val="22"/>
          <w:szCs w:val="22"/>
          <w:vertAlign w:val="superscript"/>
        </w:rPr>
        <w:footnoteReference w:id="73"/>
      </w:r>
      <w:r>
        <w:rPr>
          <w:rFonts w:ascii="Calibri" w:eastAsia="Calibri" w:hAnsi="Calibri" w:cs="Calibri"/>
          <w:color w:val="000000"/>
          <w:sz w:val="22"/>
          <w:szCs w:val="22"/>
        </w:rPr>
        <w:t xml:space="preserve">. </w:t>
      </w:r>
      <w:r>
        <w:rPr>
          <w:rFonts w:ascii="Calibri" w:eastAsia="Calibri" w:hAnsi="Calibri" w:cs="Calibri"/>
          <w:b/>
          <w:color w:val="000000"/>
          <w:sz w:val="22"/>
          <w:szCs w:val="22"/>
        </w:rPr>
        <w:t>State funding thus intersects with previously mentioned inequalities: rather than reducing barriers in access and accomplishment for the most disadvantaged students, it contributes to fund those who have a better cultural, economic, and social capital</w:t>
      </w:r>
      <w:r>
        <w:rPr>
          <w:rFonts w:ascii="Calibri" w:eastAsia="Calibri" w:hAnsi="Calibri" w:cs="Calibri"/>
          <w:color w:val="000000"/>
          <w:sz w:val="22"/>
          <w:szCs w:val="22"/>
        </w:rPr>
        <w:t xml:space="preserve">. Moreover, the unequal distribution of budget allocation affects quality of education and student’s achievement: disparities in budget allocation are correlated to hours invested in teaching, </w:t>
      </w:r>
      <w:proofErr w:type="gramStart"/>
      <w:r>
        <w:rPr>
          <w:rFonts w:ascii="Calibri" w:eastAsia="Calibri" w:hAnsi="Calibri" w:cs="Calibri"/>
          <w:color w:val="000000"/>
          <w:sz w:val="22"/>
          <w:szCs w:val="22"/>
        </w:rPr>
        <w:t>research</w:t>
      </w:r>
      <w:proofErr w:type="gramEnd"/>
      <w:r>
        <w:rPr>
          <w:rFonts w:ascii="Calibri" w:eastAsia="Calibri" w:hAnsi="Calibri" w:cs="Calibri"/>
          <w:color w:val="000000"/>
          <w:sz w:val="22"/>
          <w:szCs w:val="22"/>
        </w:rPr>
        <w:t xml:space="preserve"> and student’s supervision as well as on student/professor ratios</w:t>
      </w:r>
      <w:r>
        <w:rPr>
          <w:rFonts w:ascii="Calibri" w:eastAsia="Calibri" w:hAnsi="Calibri" w:cs="Calibri"/>
          <w:color w:val="000000"/>
          <w:sz w:val="22"/>
          <w:szCs w:val="22"/>
          <w:vertAlign w:val="superscript"/>
        </w:rPr>
        <w:footnoteReference w:id="74"/>
      </w:r>
      <w:r>
        <w:rPr>
          <w:rFonts w:ascii="Calibri" w:eastAsia="Calibri" w:hAnsi="Calibri" w:cs="Calibri"/>
          <w:color w:val="000000"/>
          <w:sz w:val="22"/>
          <w:szCs w:val="22"/>
        </w:rPr>
        <w:t>.</w:t>
      </w:r>
    </w:p>
    <w:p w14:paraId="00000065" w14:textId="77777777" w:rsidR="003F609F" w:rsidRDefault="00000000">
      <w:pPr>
        <w:pBdr>
          <w:top w:val="nil"/>
          <w:left w:val="nil"/>
          <w:bottom w:val="nil"/>
          <w:right w:val="nil"/>
          <w:between w:val="nil"/>
        </w:pBdr>
        <w:spacing w:after="240" w:line="276" w:lineRule="auto"/>
        <w:jc w:val="both"/>
        <w:rPr>
          <w:rFonts w:ascii="Calibri" w:eastAsia="Calibri" w:hAnsi="Calibri" w:cs="Calibri"/>
          <w:sz w:val="22"/>
          <w:szCs w:val="22"/>
        </w:rPr>
      </w:pPr>
      <w:r>
        <w:rPr>
          <w:rFonts w:ascii="Calibri" w:eastAsia="Calibri" w:hAnsi="Calibri" w:cs="Calibri"/>
          <w:b/>
          <w:color w:val="000000"/>
          <w:sz w:val="22"/>
          <w:szCs w:val="22"/>
        </w:rPr>
        <w:t>The</w:t>
      </w:r>
      <w:r>
        <w:rPr>
          <w:rFonts w:ascii="Calibri" w:eastAsia="Calibri" w:hAnsi="Calibri" w:cs="Calibri"/>
          <w:b/>
          <w:sz w:val="22"/>
          <w:szCs w:val="22"/>
        </w:rPr>
        <w:t xml:space="preserve"> </w:t>
      </w:r>
      <w:r>
        <w:rPr>
          <w:rFonts w:ascii="Calibri" w:eastAsia="Calibri" w:hAnsi="Calibri" w:cs="Calibri"/>
          <w:b/>
          <w:color w:val="000000"/>
          <w:sz w:val="22"/>
          <w:szCs w:val="22"/>
        </w:rPr>
        <w:t>commodification of higher education and increased competition between establishments also affect state funding</w:t>
      </w:r>
      <w:r>
        <w:rPr>
          <w:rFonts w:ascii="Calibri" w:eastAsia="Calibri" w:hAnsi="Calibri" w:cs="Calibri"/>
          <w:b/>
          <w:sz w:val="22"/>
          <w:szCs w:val="22"/>
        </w:rPr>
        <w:t xml:space="preserve">. </w:t>
      </w:r>
      <w:r>
        <w:rPr>
          <w:rFonts w:ascii="Calibri" w:eastAsia="Calibri" w:hAnsi="Calibri" w:cs="Calibri"/>
          <w:color w:val="000000"/>
          <w:sz w:val="22"/>
          <w:szCs w:val="22"/>
        </w:rPr>
        <w:t xml:space="preserve"> </w:t>
      </w:r>
      <w:r>
        <w:rPr>
          <w:rFonts w:ascii="Calibri" w:eastAsia="Calibri" w:hAnsi="Calibri" w:cs="Calibri"/>
          <w:sz w:val="22"/>
          <w:szCs w:val="22"/>
        </w:rPr>
        <w:t>C</w:t>
      </w:r>
      <w:r>
        <w:rPr>
          <w:rFonts w:ascii="Calibri" w:eastAsia="Calibri" w:hAnsi="Calibri" w:cs="Calibri"/>
          <w:color w:val="000000"/>
          <w:sz w:val="22"/>
          <w:szCs w:val="22"/>
        </w:rPr>
        <w:t xml:space="preserve">ertain higher education institutions benefit </w:t>
      </w:r>
      <w:r>
        <w:rPr>
          <w:rFonts w:ascii="Calibri" w:eastAsia="Calibri" w:hAnsi="Calibri" w:cs="Calibri"/>
          <w:sz w:val="22"/>
          <w:szCs w:val="22"/>
        </w:rPr>
        <w:t>from additional</w:t>
      </w:r>
      <w:r>
        <w:rPr>
          <w:rFonts w:ascii="Calibri" w:eastAsia="Calibri" w:hAnsi="Calibri" w:cs="Calibri"/>
          <w:color w:val="000000"/>
          <w:sz w:val="22"/>
          <w:szCs w:val="22"/>
        </w:rPr>
        <w:t xml:space="preserve"> funding according to their performance, which is evaluated based on a variety of criteria – including, for e</w:t>
      </w:r>
      <w:r>
        <w:rPr>
          <w:rFonts w:ascii="Calibri" w:eastAsia="Calibri" w:hAnsi="Calibri" w:cs="Calibri"/>
          <w:sz w:val="22"/>
          <w:szCs w:val="22"/>
        </w:rPr>
        <w:t>xample</w:t>
      </w:r>
      <w:r>
        <w:rPr>
          <w:rFonts w:ascii="Calibri" w:eastAsia="Calibri" w:hAnsi="Calibri" w:cs="Calibri"/>
          <w:color w:val="000000"/>
          <w:sz w:val="22"/>
          <w:szCs w:val="22"/>
        </w:rPr>
        <w:t xml:space="preserve">, the institution’s capacity to find external economic partners. Those </w:t>
      </w:r>
      <w:r>
        <w:rPr>
          <w:rFonts w:ascii="Calibri" w:eastAsia="Calibri" w:hAnsi="Calibri" w:cs="Calibri"/>
          <w:sz w:val="22"/>
          <w:szCs w:val="22"/>
        </w:rPr>
        <w:t>types</w:t>
      </w:r>
      <w:r>
        <w:rPr>
          <w:rFonts w:ascii="Calibri" w:eastAsia="Calibri" w:hAnsi="Calibri" w:cs="Calibri"/>
          <w:color w:val="000000"/>
          <w:sz w:val="22"/>
          <w:szCs w:val="22"/>
        </w:rPr>
        <w:t xml:space="preserve"> of ‘excellence funds’ increase social segregation since the enrolment rates among socially disadvantaged students in those institutions is relatively low if compared to the enrolment rates of students from </w:t>
      </w:r>
      <w:proofErr w:type="gramStart"/>
      <w:r>
        <w:rPr>
          <w:rFonts w:ascii="Calibri" w:eastAsia="Calibri" w:hAnsi="Calibri" w:cs="Calibri"/>
          <w:color w:val="000000"/>
          <w:sz w:val="22"/>
          <w:szCs w:val="22"/>
        </w:rPr>
        <w:t>middle and upper income</w:t>
      </w:r>
      <w:proofErr w:type="gramEnd"/>
      <w:r>
        <w:rPr>
          <w:rFonts w:ascii="Calibri" w:eastAsia="Calibri" w:hAnsi="Calibri" w:cs="Calibri"/>
          <w:color w:val="000000"/>
          <w:sz w:val="22"/>
          <w:szCs w:val="22"/>
        </w:rPr>
        <w:t xml:space="preserve"> classes in the same institution. The attribution of ‘excellence funds’ does not take into </w:t>
      </w:r>
      <w:r>
        <w:rPr>
          <w:rFonts w:ascii="Calibri" w:eastAsia="Calibri" w:hAnsi="Calibri" w:cs="Calibri"/>
          <w:color w:val="000000"/>
          <w:sz w:val="22"/>
          <w:szCs w:val="22"/>
        </w:rPr>
        <w:lastRenderedPageBreak/>
        <w:t xml:space="preserve">consideration (for </w:t>
      </w:r>
      <w:r>
        <w:rPr>
          <w:rFonts w:ascii="Calibri" w:eastAsia="Calibri" w:hAnsi="Calibri" w:cs="Calibri"/>
          <w:sz w:val="22"/>
          <w:szCs w:val="22"/>
        </w:rPr>
        <w:t>example</w:t>
      </w:r>
      <w:r>
        <w:rPr>
          <w:rFonts w:ascii="Calibri" w:eastAsia="Calibri" w:hAnsi="Calibri" w:cs="Calibri"/>
          <w:color w:val="000000"/>
          <w:sz w:val="22"/>
          <w:szCs w:val="22"/>
        </w:rPr>
        <w:t xml:space="preserve">, in the performance criteria) the </w:t>
      </w:r>
      <w:r>
        <w:rPr>
          <w:rFonts w:ascii="Calibri" w:eastAsia="Calibri" w:hAnsi="Calibri" w:cs="Calibri"/>
          <w:sz w:val="22"/>
          <w:szCs w:val="22"/>
        </w:rPr>
        <w:t>institution's</w:t>
      </w:r>
      <w:r>
        <w:rPr>
          <w:rFonts w:ascii="Calibri" w:eastAsia="Calibri" w:hAnsi="Calibri" w:cs="Calibri"/>
          <w:color w:val="000000"/>
          <w:sz w:val="22"/>
          <w:szCs w:val="22"/>
        </w:rPr>
        <w:t xml:space="preserve"> efforts to be more inclusive and to reduce barriers in access to socioeconomically </w:t>
      </w:r>
      <w:r>
        <w:rPr>
          <w:rFonts w:ascii="Calibri" w:eastAsia="Calibri" w:hAnsi="Calibri" w:cs="Calibri"/>
          <w:sz w:val="22"/>
          <w:szCs w:val="22"/>
        </w:rPr>
        <w:t>disadvantaged</w:t>
      </w:r>
      <w:r>
        <w:rPr>
          <w:rFonts w:ascii="Calibri" w:eastAsia="Calibri" w:hAnsi="Calibri" w:cs="Calibri"/>
          <w:color w:val="000000"/>
          <w:sz w:val="22"/>
          <w:szCs w:val="22"/>
        </w:rPr>
        <w:t xml:space="preserve"> students</w:t>
      </w:r>
      <w:r>
        <w:rPr>
          <w:rFonts w:ascii="Calibri" w:eastAsia="Calibri" w:hAnsi="Calibri" w:cs="Calibri"/>
          <w:color w:val="000000"/>
          <w:sz w:val="22"/>
          <w:szCs w:val="22"/>
          <w:vertAlign w:val="superscript"/>
        </w:rPr>
        <w:footnoteReference w:id="75"/>
      </w:r>
      <w:r>
        <w:rPr>
          <w:rFonts w:ascii="Calibri" w:eastAsia="Calibri" w:hAnsi="Calibri" w:cs="Calibri"/>
          <w:color w:val="000000"/>
          <w:sz w:val="22"/>
          <w:szCs w:val="22"/>
        </w:rPr>
        <w:t xml:space="preserve"> .</w:t>
      </w:r>
    </w:p>
    <w:p w14:paraId="00000066" w14:textId="77777777" w:rsidR="003F609F" w:rsidRDefault="00000000">
      <w:pPr>
        <w:pBdr>
          <w:top w:val="nil"/>
          <w:left w:val="nil"/>
          <w:bottom w:val="nil"/>
          <w:right w:val="nil"/>
          <w:between w:val="nil"/>
        </w:pBdr>
        <w:spacing w:after="240" w:line="276" w:lineRule="auto"/>
        <w:jc w:val="both"/>
        <w:rPr>
          <w:rFonts w:ascii="Calibri" w:eastAsia="Calibri" w:hAnsi="Calibri" w:cs="Calibri"/>
          <w:b/>
          <w:sz w:val="22"/>
          <w:szCs w:val="22"/>
        </w:rPr>
      </w:pPr>
      <w:r>
        <w:rPr>
          <w:rFonts w:ascii="Calibri" w:eastAsia="Calibri" w:hAnsi="Calibri" w:cs="Calibri"/>
          <w:b/>
          <w:color w:val="000000"/>
          <w:sz w:val="22"/>
          <w:szCs w:val="22"/>
        </w:rPr>
        <w:t xml:space="preserve">Those conclusions call into question the effectiveness of budget allocation in terms of social justice: public investment has benefited those who are </w:t>
      </w:r>
      <w:proofErr w:type="spellStart"/>
      <w:r>
        <w:rPr>
          <w:rFonts w:ascii="Calibri" w:eastAsia="Calibri" w:hAnsi="Calibri" w:cs="Calibri"/>
          <w:b/>
          <w:color w:val="000000"/>
          <w:sz w:val="22"/>
          <w:szCs w:val="22"/>
        </w:rPr>
        <w:t>enroled</w:t>
      </w:r>
      <w:proofErr w:type="spellEnd"/>
      <w:r>
        <w:rPr>
          <w:rFonts w:ascii="Calibri" w:eastAsia="Calibri" w:hAnsi="Calibri" w:cs="Calibri"/>
          <w:b/>
          <w:color w:val="000000"/>
          <w:sz w:val="22"/>
          <w:szCs w:val="22"/>
        </w:rPr>
        <w:t xml:space="preserve"> in the longest and most expensive program</w:t>
      </w:r>
      <w:r>
        <w:rPr>
          <w:rFonts w:ascii="Calibri" w:eastAsia="Calibri" w:hAnsi="Calibri" w:cs="Calibri"/>
          <w:b/>
          <w:sz w:val="22"/>
          <w:szCs w:val="22"/>
        </w:rPr>
        <w:t>mes</w:t>
      </w:r>
      <w:r>
        <w:rPr>
          <w:rFonts w:ascii="Calibri" w:eastAsia="Calibri" w:hAnsi="Calibri" w:cs="Calibri"/>
          <w:b/>
          <w:color w:val="000000"/>
          <w:sz w:val="22"/>
          <w:szCs w:val="22"/>
        </w:rPr>
        <w:t>. Moreover, the State spends, on average, around €20,000 for the entire tertiary cycle of a young person from a wealthy background, compared to less than €10,000 for students belonging to lower social classes.</w:t>
      </w:r>
    </w:p>
    <w:p w14:paraId="00000067" w14:textId="77777777" w:rsidR="003F609F" w:rsidRDefault="00000000">
      <w:pPr>
        <w:pBdr>
          <w:top w:val="nil"/>
          <w:left w:val="nil"/>
          <w:bottom w:val="nil"/>
          <w:right w:val="nil"/>
          <w:between w:val="nil"/>
        </w:pBdr>
        <w:spacing w:after="240" w:line="276" w:lineRule="auto"/>
        <w:jc w:val="both"/>
        <w:rPr>
          <w:rFonts w:ascii="Calibri" w:eastAsia="Calibri" w:hAnsi="Calibri" w:cs="Calibri"/>
          <w:b/>
        </w:rPr>
      </w:pPr>
      <w:r>
        <w:rPr>
          <w:rFonts w:ascii="Calibri" w:eastAsia="Calibri" w:hAnsi="Calibri" w:cs="Calibri"/>
          <w:b/>
          <w:color w:val="21959E"/>
          <w:sz w:val="28"/>
          <w:szCs w:val="28"/>
        </w:rPr>
        <w:t>Conclusion</w:t>
      </w:r>
    </w:p>
    <w:p w14:paraId="00000068" w14:textId="77777777" w:rsidR="003F609F" w:rsidRDefault="00000000">
      <w:pPr>
        <w:pBdr>
          <w:top w:val="nil"/>
          <w:left w:val="nil"/>
          <w:bottom w:val="nil"/>
          <w:right w:val="nil"/>
          <w:between w:val="nil"/>
        </w:pBdr>
        <w:spacing w:after="240" w:line="276" w:lineRule="auto"/>
        <w:jc w:val="both"/>
        <w:rPr>
          <w:rFonts w:ascii="Calibri" w:eastAsia="Calibri" w:hAnsi="Calibri" w:cs="Calibri"/>
          <w:color w:val="000000"/>
          <w:sz w:val="22"/>
          <w:szCs w:val="22"/>
        </w:rPr>
      </w:pPr>
      <w:r>
        <w:rPr>
          <w:rFonts w:ascii="Calibri" w:eastAsia="Calibri" w:hAnsi="Calibri" w:cs="Calibri"/>
          <w:sz w:val="22"/>
          <w:szCs w:val="22"/>
        </w:rPr>
        <w:t>France has</w:t>
      </w:r>
      <w:r>
        <w:rPr>
          <w:rFonts w:ascii="Calibri" w:eastAsia="Calibri" w:hAnsi="Calibri" w:cs="Calibri"/>
          <w:color w:val="000000"/>
          <w:sz w:val="22"/>
          <w:szCs w:val="22"/>
        </w:rPr>
        <w:t xml:space="preserve"> ratified </w:t>
      </w:r>
      <w:r>
        <w:rPr>
          <w:rFonts w:ascii="Calibri" w:eastAsia="Calibri" w:hAnsi="Calibri" w:cs="Calibri"/>
          <w:sz w:val="22"/>
          <w:szCs w:val="22"/>
        </w:rPr>
        <w:t>the ICESCR</w:t>
      </w:r>
      <w:r>
        <w:rPr>
          <w:rFonts w:ascii="Calibri" w:eastAsia="Calibri" w:hAnsi="Calibri" w:cs="Calibri"/>
          <w:color w:val="000000"/>
          <w:sz w:val="22"/>
          <w:szCs w:val="22"/>
        </w:rPr>
        <w:t xml:space="preserve"> and thus is required to implement the right to higher education. It must also </w:t>
      </w:r>
      <w:r>
        <w:rPr>
          <w:rFonts w:ascii="Calibri" w:eastAsia="Calibri" w:hAnsi="Calibri" w:cs="Calibri"/>
          <w:sz w:val="22"/>
          <w:szCs w:val="22"/>
        </w:rPr>
        <w:t>fulfil</w:t>
      </w:r>
      <w:r>
        <w:rPr>
          <w:rFonts w:ascii="Calibri" w:eastAsia="Calibri" w:hAnsi="Calibri" w:cs="Calibri"/>
          <w:color w:val="000000"/>
          <w:sz w:val="22"/>
          <w:szCs w:val="22"/>
        </w:rPr>
        <w:t xml:space="preserve"> its constitutional duty to implement free </w:t>
      </w:r>
      <w:r>
        <w:rPr>
          <w:rFonts w:ascii="Calibri" w:eastAsia="Calibri" w:hAnsi="Calibri" w:cs="Calibri"/>
          <w:sz w:val="22"/>
          <w:szCs w:val="22"/>
        </w:rPr>
        <w:t>h</w:t>
      </w:r>
      <w:r>
        <w:rPr>
          <w:rFonts w:ascii="Calibri" w:eastAsia="Calibri" w:hAnsi="Calibri" w:cs="Calibri"/>
          <w:color w:val="000000"/>
          <w:sz w:val="22"/>
          <w:szCs w:val="22"/>
        </w:rPr>
        <w:t xml:space="preserve">igher </w:t>
      </w:r>
      <w:r>
        <w:rPr>
          <w:rFonts w:ascii="Calibri" w:eastAsia="Calibri" w:hAnsi="Calibri" w:cs="Calibri"/>
          <w:sz w:val="22"/>
          <w:szCs w:val="22"/>
        </w:rPr>
        <w:t>e</w:t>
      </w:r>
      <w:r>
        <w:rPr>
          <w:rFonts w:ascii="Calibri" w:eastAsia="Calibri" w:hAnsi="Calibri" w:cs="Calibri"/>
          <w:color w:val="000000"/>
          <w:sz w:val="22"/>
          <w:szCs w:val="22"/>
        </w:rPr>
        <w:t xml:space="preserve">ducation accessible to all. The analysis presented in this </w:t>
      </w:r>
      <w:r>
        <w:rPr>
          <w:rFonts w:ascii="Calibri" w:eastAsia="Calibri" w:hAnsi="Calibri" w:cs="Calibri"/>
          <w:sz w:val="22"/>
          <w:szCs w:val="22"/>
        </w:rPr>
        <w:t>report</w:t>
      </w:r>
      <w:r>
        <w:rPr>
          <w:rFonts w:ascii="Calibri" w:eastAsia="Calibri" w:hAnsi="Calibri" w:cs="Calibri"/>
          <w:color w:val="000000"/>
          <w:sz w:val="22"/>
          <w:szCs w:val="22"/>
        </w:rPr>
        <w:t xml:space="preserve"> shows that: </w:t>
      </w:r>
    </w:p>
    <w:p w14:paraId="00000069" w14:textId="77777777" w:rsidR="003F609F" w:rsidRDefault="00000000">
      <w:pPr>
        <w:numPr>
          <w:ilvl w:val="0"/>
          <w:numId w:val="2"/>
        </w:numPr>
        <w:pBdr>
          <w:top w:val="nil"/>
          <w:left w:val="nil"/>
          <w:bottom w:val="nil"/>
          <w:right w:val="nil"/>
          <w:between w:val="nil"/>
        </w:pBdr>
        <w:spacing w:after="240" w:line="276" w:lineRule="auto"/>
        <w:ind w:left="709"/>
        <w:jc w:val="both"/>
        <w:rPr>
          <w:rFonts w:ascii="Calibri" w:eastAsia="Calibri" w:hAnsi="Calibri" w:cs="Calibri"/>
          <w:b/>
          <w:color w:val="000000"/>
          <w:sz w:val="22"/>
          <w:szCs w:val="22"/>
        </w:rPr>
      </w:pPr>
      <w:r>
        <w:rPr>
          <w:rFonts w:ascii="Calibri" w:eastAsia="Calibri" w:hAnsi="Calibri" w:cs="Calibri"/>
          <w:sz w:val="22"/>
          <w:szCs w:val="22"/>
        </w:rPr>
        <w:t>I</w:t>
      </w:r>
      <w:r>
        <w:rPr>
          <w:rFonts w:ascii="Calibri" w:eastAsia="Calibri" w:hAnsi="Calibri" w:cs="Calibri"/>
          <w:color w:val="000000"/>
          <w:sz w:val="22"/>
          <w:szCs w:val="22"/>
        </w:rPr>
        <w:t xml:space="preserve">nequalities in access </w:t>
      </w:r>
      <w:r>
        <w:rPr>
          <w:rFonts w:ascii="Calibri" w:eastAsia="Calibri" w:hAnsi="Calibri" w:cs="Calibri"/>
          <w:sz w:val="22"/>
          <w:szCs w:val="22"/>
        </w:rPr>
        <w:t xml:space="preserve">to higher education </w:t>
      </w:r>
      <w:r>
        <w:rPr>
          <w:rFonts w:ascii="Calibri" w:eastAsia="Calibri" w:hAnsi="Calibri" w:cs="Calibri"/>
          <w:color w:val="000000"/>
          <w:sz w:val="22"/>
          <w:szCs w:val="22"/>
        </w:rPr>
        <w:t xml:space="preserve">according to socio-economic background and according to the place of origin/residence of students constitute discrimination as defined by </w:t>
      </w:r>
      <w:r>
        <w:rPr>
          <w:rFonts w:ascii="Calibri" w:eastAsia="Calibri" w:hAnsi="Calibri" w:cs="Calibri"/>
          <w:sz w:val="22"/>
          <w:szCs w:val="22"/>
        </w:rPr>
        <w:t>the ICESCR</w:t>
      </w:r>
      <w:r>
        <w:rPr>
          <w:rFonts w:ascii="Calibri" w:eastAsia="Calibri" w:hAnsi="Calibri" w:cs="Calibri"/>
          <w:color w:val="000000"/>
          <w:sz w:val="22"/>
          <w:szCs w:val="22"/>
        </w:rPr>
        <w:t>.</w:t>
      </w:r>
    </w:p>
    <w:p w14:paraId="0000006A" w14:textId="77777777" w:rsidR="003F609F" w:rsidRDefault="00000000">
      <w:pPr>
        <w:numPr>
          <w:ilvl w:val="1"/>
          <w:numId w:val="1"/>
        </w:numPr>
        <w:pBdr>
          <w:top w:val="nil"/>
          <w:left w:val="nil"/>
          <w:bottom w:val="nil"/>
          <w:right w:val="nil"/>
          <w:between w:val="nil"/>
        </w:pBdr>
        <w:spacing w:after="240" w:line="276" w:lineRule="auto"/>
        <w:ind w:left="709"/>
        <w:jc w:val="both"/>
        <w:rPr>
          <w:rFonts w:ascii="Calibri" w:eastAsia="Calibri" w:hAnsi="Calibri" w:cs="Calibri"/>
          <w:color w:val="000000"/>
          <w:sz w:val="22"/>
          <w:szCs w:val="22"/>
        </w:rPr>
      </w:pPr>
      <w:r>
        <w:rPr>
          <w:rFonts w:ascii="Calibri" w:eastAsia="Calibri" w:hAnsi="Calibri" w:cs="Calibri"/>
          <w:sz w:val="22"/>
          <w:szCs w:val="22"/>
        </w:rPr>
        <w:t>T</w:t>
      </w:r>
      <w:r>
        <w:rPr>
          <w:rFonts w:ascii="Calibri" w:eastAsia="Calibri" w:hAnsi="Calibri" w:cs="Calibri"/>
          <w:color w:val="000000"/>
          <w:sz w:val="22"/>
          <w:szCs w:val="22"/>
        </w:rPr>
        <w:t xml:space="preserve">he </w:t>
      </w:r>
      <w:r>
        <w:rPr>
          <w:rFonts w:ascii="Calibri" w:eastAsia="Calibri" w:hAnsi="Calibri" w:cs="Calibri"/>
          <w:sz w:val="22"/>
          <w:szCs w:val="22"/>
        </w:rPr>
        <w:t>privatisation</w:t>
      </w:r>
      <w:r>
        <w:rPr>
          <w:rFonts w:ascii="Calibri" w:eastAsia="Calibri" w:hAnsi="Calibri" w:cs="Calibri"/>
          <w:color w:val="000000"/>
          <w:sz w:val="22"/>
          <w:szCs w:val="22"/>
        </w:rPr>
        <w:t xml:space="preserve"> and commodification of the French </w:t>
      </w:r>
      <w:r>
        <w:rPr>
          <w:rFonts w:ascii="Calibri" w:eastAsia="Calibri" w:hAnsi="Calibri" w:cs="Calibri"/>
          <w:sz w:val="22"/>
          <w:szCs w:val="22"/>
        </w:rPr>
        <w:t>h</w:t>
      </w:r>
      <w:r>
        <w:rPr>
          <w:rFonts w:ascii="Calibri" w:eastAsia="Calibri" w:hAnsi="Calibri" w:cs="Calibri"/>
          <w:color w:val="000000"/>
          <w:sz w:val="22"/>
          <w:szCs w:val="22"/>
        </w:rPr>
        <w:t xml:space="preserve">igher </w:t>
      </w:r>
      <w:r>
        <w:rPr>
          <w:rFonts w:ascii="Calibri" w:eastAsia="Calibri" w:hAnsi="Calibri" w:cs="Calibri"/>
          <w:sz w:val="22"/>
          <w:szCs w:val="22"/>
        </w:rPr>
        <w:t>e</w:t>
      </w:r>
      <w:r>
        <w:rPr>
          <w:rFonts w:ascii="Calibri" w:eastAsia="Calibri" w:hAnsi="Calibri" w:cs="Calibri"/>
          <w:color w:val="000000"/>
          <w:sz w:val="22"/>
          <w:szCs w:val="22"/>
        </w:rPr>
        <w:t>ducation s</w:t>
      </w:r>
      <w:r>
        <w:rPr>
          <w:rFonts w:ascii="Calibri" w:eastAsia="Calibri" w:hAnsi="Calibri" w:cs="Calibri"/>
          <w:sz w:val="22"/>
          <w:szCs w:val="22"/>
        </w:rPr>
        <w:t>ystem</w:t>
      </w:r>
      <w:r>
        <w:rPr>
          <w:rFonts w:ascii="Calibri" w:eastAsia="Calibri" w:hAnsi="Calibri" w:cs="Calibri"/>
          <w:color w:val="000000"/>
          <w:sz w:val="22"/>
          <w:szCs w:val="22"/>
        </w:rPr>
        <w:t xml:space="preserve"> have </w:t>
      </w:r>
      <w:r>
        <w:rPr>
          <w:rFonts w:ascii="Calibri" w:eastAsia="Calibri" w:hAnsi="Calibri" w:cs="Calibri"/>
          <w:sz w:val="22"/>
          <w:szCs w:val="22"/>
        </w:rPr>
        <w:t>pervasive</w:t>
      </w:r>
      <w:r>
        <w:rPr>
          <w:rFonts w:ascii="Calibri" w:eastAsia="Calibri" w:hAnsi="Calibri" w:cs="Calibri"/>
          <w:color w:val="000000"/>
          <w:sz w:val="22"/>
          <w:szCs w:val="22"/>
        </w:rPr>
        <w:t xml:space="preserve"> consequences in access to and quality of education</w:t>
      </w:r>
      <w:r>
        <w:rPr>
          <w:rFonts w:ascii="Calibri" w:eastAsia="Calibri" w:hAnsi="Calibri" w:cs="Calibri"/>
          <w:sz w:val="22"/>
          <w:szCs w:val="22"/>
        </w:rPr>
        <w:t xml:space="preserve">, leading to increased </w:t>
      </w:r>
      <w:r>
        <w:rPr>
          <w:rFonts w:ascii="Calibri" w:eastAsia="Calibri" w:hAnsi="Calibri" w:cs="Calibri"/>
          <w:color w:val="000000"/>
          <w:sz w:val="22"/>
          <w:szCs w:val="22"/>
        </w:rPr>
        <w:t xml:space="preserve">inequalities, which is contrary to article 13 of the ICESCR (para 30 of General Comment 13 of the Committee on Economic, Social and Cultural Rights, </w:t>
      </w:r>
      <w:r>
        <w:rPr>
          <w:rFonts w:ascii="Calibri" w:eastAsia="Calibri" w:hAnsi="Calibri" w:cs="Calibri"/>
          <w:sz w:val="22"/>
          <w:szCs w:val="22"/>
        </w:rPr>
        <w:t>Abidjan</w:t>
      </w:r>
      <w:r>
        <w:rPr>
          <w:rFonts w:ascii="Calibri" w:eastAsia="Calibri" w:hAnsi="Calibri" w:cs="Calibri"/>
          <w:color w:val="000000"/>
          <w:sz w:val="22"/>
          <w:szCs w:val="22"/>
        </w:rPr>
        <w:t xml:space="preserve"> Principles, </w:t>
      </w:r>
      <w:proofErr w:type="gramStart"/>
      <w:r>
        <w:rPr>
          <w:rFonts w:ascii="Calibri" w:eastAsia="Calibri" w:hAnsi="Calibri" w:cs="Calibri"/>
          <w:color w:val="000000"/>
          <w:sz w:val="22"/>
          <w:szCs w:val="22"/>
        </w:rPr>
        <w:t>Principle</w:t>
      </w:r>
      <w:proofErr w:type="gramEnd"/>
      <w:r>
        <w:rPr>
          <w:rFonts w:ascii="Calibri" w:eastAsia="Calibri" w:hAnsi="Calibri" w:cs="Calibri"/>
          <w:color w:val="000000"/>
          <w:sz w:val="22"/>
          <w:szCs w:val="22"/>
        </w:rPr>
        <w:t xml:space="preserve"> director 48). </w:t>
      </w:r>
    </w:p>
    <w:p w14:paraId="0000006B" w14:textId="77777777" w:rsidR="003F609F" w:rsidRDefault="00000000">
      <w:pPr>
        <w:numPr>
          <w:ilvl w:val="1"/>
          <w:numId w:val="1"/>
        </w:numPr>
        <w:spacing w:after="240" w:line="276" w:lineRule="auto"/>
        <w:ind w:left="708"/>
        <w:jc w:val="both"/>
        <w:rPr>
          <w:rFonts w:ascii="Calibri" w:eastAsia="Calibri" w:hAnsi="Calibri" w:cs="Calibri"/>
          <w:sz w:val="22"/>
          <w:szCs w:val="22"/>
        </w:rPr>
      </w:pPr>
      <w:r>
        <w:rPr>
          <w:rFonts w:ascii="Calibri" w:eastAsia="Calibri" w:hAnsi="Calibri" w:cs="Calibri"/>
          <w:sz w:val="22"/>
          <w:szCs w:val="22"/>
        </w:rPr>
        <w:t xml:space="preserve">The rise in tuition fees as well as indirect costs (housing, transportation, books, etc.) weigh heavily on students’ budgets and represent an additional barrier in access to higher education, especially for the most socioeconomically disadvantaged students. </w:t>
      </w:r>
    </w:p>
    <w:p w14:paraId="0000006C" w14:textId="77777777" w:rsidR="003F609F" w:rsidRDefault="00000000">
      <w:pPr>
        <w:numPr>
          <w:ilvl w:val="1"/>
          <w:numId w:val="1"/>
        </w:numPr>
        <w:pBdr>
          <w:top w:val="nil"/>
          <w:left w:val="nil"/>
          <w:bottom w:val="nil"/>
          <w:right w:val="nil"/>
          <w:between w:val="nil"/>
        </w:pBdr>
        <w:spacing w:after="240" w:line="276" w:lineRule="auto"/>
        <w:ind w:left="709"/>
        <w:jc w:val="both"/>
        <w:rPr>
          <w:rFonts w:ascii="Calibri" w:eastAsia="Calibri" w:hAnsi="Calibri" w:cs="Calibri"/>
          <w:sz w:val="22"/>
          <w:szCs w:val="22"/>
        </w:rPr>
      </w:pPr>
      <w:r>
        <w:rPr>
          <w:rFonts w:ascii="Calibri" w:eastAsia="Calibri" w:hAnsi="Calibri" w:cs="Calibri"/>
          <w:color w:val="000000"/>
          <w:sz w:val="22"/>
          <w:szCs w:val="22"/>
        </w:rPr>
        <w:t xml:space="preserve">Global state funding to higher education has increased over the years but it has not followed the rise in enrolment rates: the share of public funding of </w:t>
      </w:r>
      <w:r>
        <w:rPr>
          <w:rFonts w:ascii="Calibri" w:eastAsia="Calibri" w:hAnsi="Calibri" w:cs="Calibri"/>
          <w:sz w:val="22"/>
          <w:szCs w:val="22"/>
        </w:rPr>
        <w:t>h</w:t>
      </w:r>
      <w:r>
        <w:rPr>
          <w:rFonts w:ascii="Calibri" w:eastAsia="Calibri" w:hAnsi="Calibri" w:cs="Calibri"/>
          <w:color w:val="000000"/>
          <w:sz w:val="22"/>
          <w:szCs w:val="22"/>
        </w:rPr>
        <w:t xml:space="preserve">igher </w:t>
      </w:r>
      <w:r>
        <w:rPr>
          <w:rFonts w:ascii="Calibri" w:eastAsia="Calibri" w:hAnsi="Calibri" w:cs="Calibri"/>
          <w:sz w:val="22"/>
          <w:szCs w:val="22"/>
        </w:rPr>
        <w:t>e</w:t>
      </w:r>
      <w:r>
        <w:rPr>
          <w:rFonts w:ascii="Calibri" w:eastAsia="Calibri" w:hAnsi="Calibri" w:cs="Calibri"/>
          <w:color w:val="000000"/>
          <w:sz w:val="22"/>
          <w:szCs w:val="22"/>
        </w:rPr>
        <w:t xml:space="preserve">ducation per student has been in constant decline for </w:t>
      </w:r>
      <w:r>
        <w:rPr>
          <w:rFonts w:ascii="Calibri" w:eastAsia="Calibri" w:hAnsi="Calibri" w:cs="Calibri"/>
          <w:sz w:val="22"/>
          <w:szCs w:val="22"/>
        </w:rPr>
        <w:t>six</w:t>
      </w:r>
      <w:r>
        <w:rPr>
          <w:rFonts w:ascii="Calibri" w:eastAsia="Calibri" w:hAnsi="Calibri" w:cs="Calibri"/>
          <w:color w:val="000000"/>
          <w:sz w:val="22"/>
          <w:szCs w:val="22"/>
        </w:rPr>
        <w:t xml:space="preserve"> consecutive years, which constitutes a regressive measure contrary to </w:t>
      </w:r>
      <w:r>
        <w:rPr>
          <w:rFonts w:ascii="Calibri" w:eastAsia="Calibri" w:hAnsi="Calibri" w:cs="Calibri"/>
          <w:sz w:val="22"/>
          <w:szCs w:val="22"/>
        </w:rPr>
        <w:t>the ICESCR</w:t>
      </w:r>
      <w:r>
        <w:rPr>
          <w:rFonts w:ascii="Calibri" w:eastAsia="Calibri" w:hAnsi="Calibri" w:cs="Calibri"/>
          <w:color w:val="000000"/>
          <w:sz w:val="22"/>
          <w:szCs w:val="22"/>
        </w:rPr>
        <w:t xml:space="preserve"> because it is unjustified.</w:t>
      </w:r>
    </w:p>
    <w:p w14:paraId="0000006D" w14:textId="77777777" w:rsidR="003F609F" w:rsidRDefault="00000000">
      <w:pPr>
        <w:numPr>
          <w:ilvl w:val="1"/>
          <w:numId w:val="1"/>
        </w:numPr>
        <w:pBdr>
          <w:top w:val="nil"/>
          <w:left w:val="nil"/>
          <w:bottom w:val="nil"/>
          <w:right w:val="nil"/>
          <w:between w:val="nil"/>
        </w:pBdr>
        <w:spacing w:after="240" w:line="276" w:lineRule="auto"/>
        <w:ind w:left="709"/>
        <w:jc w:val="both"/>
        <w:rPr>
          <w:rFonts w:ascii="Calibri" w:eastAsia="Calibri" w:hAnsi="Calibri" w:cs="Calibri"/>
          <w:sz w:val="22"/>
          <w:szCs w:val="22"/>
        </w:rPr>
      </w:pPr>
      <w:r>
        <w:rPr>
          <w:rFonts w:ascii="Calibri" w:eastAsia="Calibri" w:hAnsi="Calibri" w:cs="Calibri"/>
          <w:color w:val="000000"/>
          <w:sz w:val="22"/>
          <w:szCs w:val="22"/>
        </w:rPr>
        <w:t>The unequal distribution of state funding across establishments, tracks and fields of study increases socioeconomic and territorial inequalities</w:t>
      </w:r>
      <w:r>
        <w:rPr>
          <w:rFonts w:ascii="Calibri" w:eastAsia="Calibri" w:hAnsi="Calibri" w:cs="Calibri"/>
          <w:sz w:val="22"/>
          <w:szCs w:val="22"/>
        </w:rPr>
        <w:t>.</w:t>
      </w:r>
      <w:r>
        <w:rPr>
          <w:rFonts w:ascii="Calibri" w:eastAsia="Calibri" w:hAnsi="Calibri" w:cs="Calibri"/>
          <w:color w:val="000000"/>
          <w:sz w:val="22"/>
          <w:szCs w:val="22"/>
        </w:rPr>
        <w:t xml:space="preserve"> Public investment has benefited those who are </w:t>
      </w:r>
      <w:proofErr w:type="spellStart"/>
      <w:r>
        <w:rPr>
          <w:rFonts w:ascii="Calibri" w:eastAsia="Calibri" w:hAnsi="Calibri" w:cs="Calibri"/>
          <w:color w:val="000000"/>
          <w:sz w:val="22"/>
          <w:szCs w:val="22"/>
        </w:rPr>
        <w:t>enroled</w:t>
      </w:r>
      <w:proofErr w:type="spellEnd"/>
      <w:r>
        <w:rPr>
          <w:rFonts w:ascii="Calibri" w:eastAsia="Calibri" w:hAnsi="Calibri" w:cs="Calibri"/>
          <w:color w:val="000000"/>
          <w:sz w:val="22"/>
          <w:szCs w:val="22"/>
        </w:rPr>
        <w:t xml:space="preserve"> in the longest and most expensive programmes, who are often the most socio-economically and culturally advantaged students. </w:t>
      </w:r>
    </w:p>
    <w:p w14:paraId="0000006E" w14:textId="77777777" w:rsidR="003F609F" w:rsidRDefault="00000000">
      <w:pPr>
        <w:numPr>
          <w:ilvl w:val="1"/>
          <w:numId w:val="1"/>
        </w:numPr>
        <w:pBdr>
          <w:top w:val="nil"/>
          <w:left w:val="nil"/>
          <w:bottom w:val="nil"/>
          <w:right w:val="nil"/>
          <w:between w:val="nil"/>
        </w:pBdr>
        <w:spacing w:after="240" w:line="276" w:lineRule="auto"/>
        <w:ind w:left="709"/>
        <w:jc w:val="both"/>
        <w:rPr>
          <w:rFonts w:ascii="Calibri" w:eastAsia="Calibri" w:hAnsi="Calibri" w:cs="Calibri"/>
          <w:sz w:val="22"/>
          <w:szCs w:val="22"/>
        </w:rPr>
      </w:pPr>
      <w:r>
        <w:rPr>
          <w:rFonts w:ascii="Calibri" w:eastAsia="Calibri" w:hAnsi="Calibri" w:cs="Calibri"/>
          <w:color w:val="000000"/>
          <w:sz w:val="22"/>
          <w:szCs w:val="22"/>
        </w:rPr>
        <w:t>Financial aid does</w:t>
      </w:r>
      <w:r>
        <w:rPr>
          <w:rFonts w:ascii="Calibri" w:eastAsia="Calibri" w:hAnsi="Calibri" w:cs="Calibri"/>
          <w:sz w:val="22"/>
          <w:szCs w:val="22"/>
        </w:rPr>
        <w:t xml:space="preserve"> not</w:t>
      </w:r>
      <w:r>
        <w:rPr>
          <w:rFonts w:ascii="Calibri" w:eastAsia="Calibri" w:hAnsi="Calibri" w:cs="Calibri"/>
          <w:color w:val="000000"/>
          <w:sz w:val="22"/>
          <w:szCs w:val="22"/>
        </w:rPr>
        <w:t xml:space="preserve"> compensate for socioeconomic disparities amongst aspiring and </w:t>
      </w:r>
      <w:proofErr w:type="spellStart"/>
      <w:r>
        <w:rPr>
          <w:rFonts w:ascii="Calibri" w:eastAsia="Calibri" w:hAnsi="Calibri" w:cs="Calibri"/>
          <w:color w:val="000000"/>
          <w:sz w:val="22"/>
          <w:szCs w:val="22"/>
        </w:rPr>
        <w:t>enroled</w:t>
      </w:r>
      <w:proofErr w:type="spellEnd"/>
      <w:r>
        <w:rPr>
          <w:rFonts w:ascii="Calibri" w:eastAsia="Calibri" w:hAnsi="Calibri" w:cs="Calibri"/>
          <w:color w:val="000000"/>
          <w:sz w:val="22"/>
          <w:szCs w:val="22"/>
        </w:rPr>
        <w:t xml:space="preserve"> higher education students, thus contributing to the reproduction of social inequalities. </w:t>
      </w:r>
    </w:p>
    <w:p w14:paraId="0000006F" w14:textId="77777777" w:rsidR="003F609F" w:rsidRDefault="00000000">
      <w:pPr>
        <w:pBdr>
          <w:top w:val="nil"/>
          <w:left w:val="nil"/>
          <w:bottom w:val="nil"/>
          <w:right w:val="nil"/>
          <w:between w:val="nil"/>
        </w:pBdr>
        <w:spacing w:after="240" w:line="276"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France has adopted a series of measures aimed at reducing inequalities and ensuring equal conditions of access and achievement in higher education, without discrimination. In some respects, the public policies put in place by </w:t>
      </w:r>
      <w:r>
        <w:rPr>
          <w:rFonts w:ascii="Calibri" w:eastAsia="Calibri" w:hAnsi="Calibri" w:cs="Calibri"/>
          <w:sz w:val="22"/>
          <w:szCs w:val="22"/>
        </w:rPr>
        <w:t>France</w:t>
      </w:r>
      <w:r>
        <w:rPr>
          <w:rFonts w:ascii="Calibri" w:eastAsia="Calibri" w:hAnsi="Calibri" w:cs="Calibri"/>
          <w:color w:val="000000"/>
          <w:sz w:val="22"/>
          <w:szCs w:val="22"/>
        </w:rPr>
        <w:t xml:space="preserve"> have provided support to the most marginalised and disadvantaged and </w:t>
      </w:r>
      <w:r>
        <w:rPr>
          <w:rFonts w:ascii="Calibri" w:eastAsia="Calibri" w:hAnsi="Calibri" w:cs="Calibri"/>
          <w:color w:val="000000"/>
          <w:sz w:val="22"/>
          <w:szCs w:val="22"/>
        </w:rPr>
        <w:lastRenderedPageBreak/>
        <w:t xml:space="preserve">to address certain discriminatory gaps in access to </w:t>
      </w:r>
      <w:r>
        <w:rPr>
          <w:rFonts w:ascii="Calibri" w:eastAsia="Calibri" w:hAnsi="Calibri" w:cs="Calibri"/>
          <w:sz w:val="22"/>
          <w:szCs w:val="22"/>
        </w:rPr>
        <w:t>h</w:t>
      </w:r>
      <w:r>
        <w:rPr>
          <w:rFonts w:ascii="Calibri" w:eastAsia="Calibri" w:hAnsi="Calibri" w:cs="Calibri"/>
          <w:color w:val="000000"/>
          <w:sz w:val="22"/>
          <w:szCs w:val="22"/>
        </w:rPr>
        <w:t xml:space="preserve">igher </w:t>
      </w:r>
      <w:r>
        <w:rPr>
          <w:rFonts w:ascii="Calibri" w:eastAsia="Calibri" w:hAnsi="Calibri" w:cs="Calibri"/>
          <w:sz w:val="22"/>
          <w:szCs w:val="22"/>
        </w:rPr>
        <w:t>e</w:t>
      </w:r>
      <w:r>
        <w:rPr>
          <w:rFonts w:ascii="Calibri" w:eastAsia="Calibri" w:hAnsi="Calibri" w:cs="Calibri"/>
          <w:color w:val="000000"/>
          <w:sz w:val="22"/>
          <w:szCs w:val="22"/>
        </w:rPr>
        <w:t xml:space="preserve">ducation. Despite those efforts, the </w:t>
      </w:r>
      <w:proofErr w:type="gramStart"/>
      <w:r>
        <w:rPr>
          <w:rFonts w:ascii="Calibri" w:eastAsia="Calibri" w:hAnsi="Calibri" w:cs="Calibri"/>
          <w:color w:val="000000"/>
          <w:sz w:val="22"/>
          <w:szCs w:val="22"/>
        </w:rPr>
        <w:t>above mentioned</w:t>
      </w:r>
      <w:proofErr w:type="gramEnd"/>
      <w:r>
        <w:rPr>
          <w:rFonts w:ascii="Calibri" w:eastAsia="Calibri" w:hAnsi="Calibri" w:cs="Calibri"/>
          <w:color w:val="000000"/>
          <w:sz w:val="22"/>
          <w:szCs w:val="22"/>
        </w:rPr>
        <w:t xml:space="preserve"> conclusions </w:t>
      </w:r>
      <w:r>
        <w:rPr>
          <w:rFonts w:ascii="Calibri" w:eastAsia="Calibri" w:hAnsi="Calibri" w:cs="Calibri"/>
          <w:sz w:val="22"/>
          <w:szCs w:val="22"/>
        </w:rPr>
        <w:t>show it is not enough</w:t>
      </w:r>
      <w:r>
        <w:rPr>
          <w:rFonts w:ascii="Calibri" w:eastAsia="Calibri" w:hAnsi="Calibri" w:cs="Calibri"/>
          <w:color w:val="000000"/>
          <w:sz w:val="22"/>
          <w:szCs w:val="22"/>
        </w:rPr>
        <w:t xml:space="preserve">. </w:t>
      </w:r>
    </w:p>
    <w:p w14:paraId="00000070" w14:textId="0095E419" w:rsidR="003F609F" w:rsidRDefault="00AA6F32">
      <w:pPr>
        <w:spacing w:after="240" w:line="276" w:lineRule="auto"/>
        <w:jc w:val="both"/>
        <w:rPr>
          <w:rFonts w:ascii="Calibri" w:eastAsia="Calibri" w:hAnsi="Calibri" w:cs="Calibri"/>
          <w:sz w:val="22"/>
          <w:szCs w:val="22"/>
        </w:rPr>
      </w:pPr>
      <w:r>
        <w:rPr>
          <w:rFonts w:ascii="Calibri" w:eastAsia="Calibri" w:hAnsi="Calibri" w:cs="Calibri"/>
          <w:b/>
          <w:color w:val="21959E"/>
          <w:sz w:val="28"/>
          <w:szCs w:val="28"/>
        </w:rPr>
        <w:t>Recommendations</w:t>
      </w:r>
    </w:p>
    <w:p w14:paraId="00000071" w14:textId="77777777" w:rsidR="003F609F" w:rsidRDefault="00000000">
      <w:pPr>
        <w:pBdr>
          <w:top w:val="nil"/>
          <w:left w:val="nil"/>
          <w:bottom w:val="nil"/>
          <w:right w:val="nil"/>
          <w:between w:val="nil"/>
        </w:pBdr>
        <w:spacing w:after="240" w:line="276" w:lineRule="auto"/>
        <w:jc w:val="both"/>
        <w:rPr>
          <w:rFonts w:ascii="Calibri" w:eastAsia="Calibri" w:hAnsi="Calibri" w:cs="Calibri"/>
          <w:b/>
          <w:color w:val="000000"/>
          <w:sz w:val="22"/>
          <w:szCs w:val="22"/>
        </w:rPr>
      </w:pPr>
      <w:sdt>
        <w:sdtPr>
          <w:tag w:val="goog_rdk_1"/>
          <w:id w:val="906727078"/>
        </w:sdtPr>
        <w:sdtContent/>
      </w:sdt>
      <w:r>
        <w:rPr>
          <w:rFonts w:ascii="Calibri" w:eastAsia="Calibri" w:hAnsi="Calibri" w:cs="Calibri"/>
          <w:b/>
          <w:color w:val="000000"/>
          <w:sz w:val="22"/>
          <w:szCs w:val="22"/>
        </w:rPr>
        <w:t xml:space="preserve">The organisations submitting this report call on this committee to: </w:t>
      </w:r>
    </w:p>
    <w:p w14:paraId="00000072" w14:textId="77777777" w:rsidR="003F609F" w:rsidRDefault="00000000">
      <w:pPr>
        <w:numPr>
          <w:ilvl w:val="0"/>
          <w:numId w:val="3"/>
        </w:numPr>
        <w:pBdr>
          <w:top w:val="nil"/>
          <w:left w:val="nil"/>
          <w:bottom w:val="nil"/>
          <w:right w:val="nil"/>
          <w:between w:val="nil"/>
        </w:pBdr>
        <w:spacing w:after="240" w:line="276" w:lineRule="auto"/>
        <w:ind w:left="709"/>
        <w:jc w:val="both"/>
        <w:rPr>
          <w:color w:val="000000"/>
          <w:sz w:val="22"/>
          <w:szCs w:val="22"/>
        </w:rPr>
      </w:pPr>
      <w:r>
        <w:rPr>
          <w:rFonts w:ascii="Calibri" w:eastAsia="Calibri" w:hAnsi="Calibri" w:cs="Calibri"/>
          <w:b/>
          <w:color w:val="000000"/>
          <w:sz w:val="22"/>
          <w:szCs w:val="22"/>
        </w:rPr>
        <w:t xml:space="preserve">Ask </w:t>
      </w:r>
      <w:r>
        <w:rPr>
          <w:rFonts w:ascii="Calibri" w:eastAsia="Calibri" w:hAnsi="Calibri" w:cs="Calibri"/>
          <w:color w:val="000000"/>
          <w:sz w:val="22"/>
          <w:szCs w:val="22"/>
        </w:rPr>
        <w:t xml:space="preserve">France to </w:t>
      </w:r>
      <w:r>
        <w:rPr>
          <w:rFonts w:ascii="Calibri" w:eastAsia="Calibri" w:hAnsi="Calibri" w:cs="Calibri"/>
          <w:sz w:val="22"/>
          <w:szCs w:val="22"/>
        </w:rPr>
        <w:t>justify</w:t>
      </w:r>
      <w:r>
        <w:rPr>
          <w:rFonts w:ascii="Calibri" w:eastAsia="Calibri" w:hAnsi="Calibri" w:cs="Calibri"/>
          <w:color w:val="000000"/>
          <w:sz w:val="22"/>
          <w:szCs w:val="22"/>
        </w:rPr>
        <w:t xml:space="preserve"> the decline in the share of public funding of </w:t>
      </w:r>
      <w:r>
        <w:rPr>
          <w:rFonts w:ascii="Calibri" w:eastAsia="Calibri" w:hAnsi="Calibri" w:cs="Calibri"/>
          <w:sz w:val="22"/>
          <w:szCs w:val="22"/>
        </w:rPr>
        <w:t>h</w:t>
      </w:r>
      <w:r>
        <w:rPr>
          <w:rFonts w:ascii="Calibri" w:eastAsia="Calibri" w:hAnsi="Calibri" w:cs="Calibri"/>
          <w:color w:val="000000"/>
          <w:sz w:val="22"/>
          <w:szCs w:val="22"/>
        </w:rPr>
        <w:t xml:space="preserve">igher </w:t>
      </w:r>
      <w:r>
        <w:rPr>
          <w:rFonts w:ascii="Calibri" w:eastAsia="Calibri" w:hAnsi="Calibri" w:cs="Calibri"/>
          <w:sz w:val="22"/>
          <w:szCs w:val="22"/>
        </w:rPr>
        <w:t>e</w:t>
      </w:r>
      <w:r>
        <w:rPr>
          <w:rFonts w:ascii="Calibri" w:eastAsia="Calibri" w:hAnsi="Calibri" w:cs="Calibri"/>
          <w:color w:val="000000"/>
          <w:sz w:val="22"/>
          <w:szCs w:val="22"/>
        </w:rPr>
        <w:t xml:space="preserve">ducation per student and </w:t>
      </w:r>
      <w:r>
        <w:rPr>
          <w:rFonts w:ascii="Calibri" w:eastAsia="Calibri" w:hAnsi="Calibri" w:cs="Calibri"/>
          <w:b/>
          <w:color w:val="000000"/>
          <w:sz w:val="22"/>
          <w:szCs w:val="22"/>
        </w:rPr>
        <w:t xml:space="preserve">recommend </w:t>
      </w:r>
      <w:r>
        <w:rPr>
          <w:rFonts w:ascii="Calibri" w:eastAsia="Calibri" w:hAnsi="Calibri" w:cs="Calibri"/>
          <w:color w:val="000000"/>
          <w:sz w:val="22"/>
          <w:szCs w:val="22"/>
        </w:rPr>
        <w:t>that public funding follows the growth of enrolment rates.</w:t>
      </w:r>
    </w:p>
    <w:p w14:paraId="00000073" w14:textId="77777777" w:rsidR="003F609F" w:rsidRDefault="00000000">
      <w:pPr>
        <w:numPr>
          <w:ilvl w:val="0"/>
          <w:numId w:val="3"/>
        </w:numPr>
        <w:pBdr>
          <w:top w:val="nil"/>
          <w:left w:val="nil"/>
          <w:bottom w:val="nil"/>
          <w:right w:val="nil"/>
          <w:between w:val="nil"/>
        </w:pBdr>
        <w:spacing w:after="240" w:line="276" w:lineRule="auto"/>
        <w:ind w:left="709"/>
        <w:jc w:val="both"/>
        <w:rPr>
          <w:rFonts w:ascii="Calibri" w:eastAsia="Calibri" w:hAnsi="Calibri" w:cs="Calibri"/>
          <w:sz w:val="22"/>
          <w:szCs w:val="22"/>
        </w:rPr>
      </w:pPr>
      <w:r>
        <w:rPr>
          <w:rFonts w:ascii="Calibri" w:eastAsia="Calibri" w:hAnsi="Calibri" w:cs="Calibri"/>
          <w:b/>
          <w:sz w:val="22"/>
          <w:szCs w:val="22"/>
        </w:rPr>
        <w:t>Recommend</w:t>
      </w:r>
      <w:r>
        <w:rPr>
          <w:rFonts w:ascii="Calibri" w:eastAsia="Calibri" w:hAnsi="Calibri" w:cs="Calibri"/>
          <w:sz w:val="22"/>
          <w:szCs w:val="22"/>
        </w:rPr>
        <w:t xml:space="preserve"> that France take steps to reduce inequalities in access to higher education, including those linked to place of origin/residence, and ensure that indirect costs do not hinder access to higher education.</w:t>
      </w:r>
    </w:p>
    <w:p w14:paraId="00000074" w14:textId="77777777" w:rsidR="003F609F" w:rsidRDefault="00000000">
      <w:pPr>
        <w:numPr>
          <w:ilvl w:val="0"/>
          <w:numId w:val="3"/>
        </w:numPr>
        <w:pBdr>
          <w:top w:val="nil"/>
          <w:left w:val="nil"/>
          <w:bottom w:val="nil"/>
          <w:right w:val="nil"/>
          <w:between w:val="nil"/>
        </w:pBdr>
        <w:spacing w:after="240" w:line="276" w:lineRule="auto"/>
        <w:ind w:left="709"/>
        <w:jc w:val="both"/>
        <w:rPr>
          <w:color w:val="000000"/>
          <w:sz w:val="22"/>
          <w:szCs w:val="22"/>
        </w:rPr>
      </w:pPr>
      <w:r>
        <w:rPr>
          <w:rFonts w:ascii="Calibri" w:eastAsia="Calibri" w:hAnsi="Calibri" w:cs="Calibri"/>
          <w:b/>
          <w:color w:val="000000"/>
          <w:sz w:val="22"/>
          <w:szCs w:val="22"/>
        </w:rPr>
        <w:t>Recommend</w:t>
      </w:r>
      <w:r>
        <w:rPr>
          <w:rFonts w:ascii="Calibri" w:eastAsia="Calibri" w:hAnsi="Calibri" w:cs="Calibri"/>
          <w:color w:val="000000"/>
          <w:sz w:val="22"/>
          <w:szCs w:val="22"/>
        </w:rPr>
        <w:t xml:space="preserve"> that France revises the overall distribution of public funding to higher education (including direct and indirect funding to higher education institutions and all types of financial aid) so that it contributes to reduce inequalities in access and completion. </w:t>
      </w:r>
    </w:p>
    <w:p w14:paraId="00000075" w14:textId="77777777" w:rsidR="003F609F" w:rsidRDefault="00000000">
      <w:pPr>
        <w:numPr>
          <w:ilvl w:val="0"/>
          <w:numId w:val="3"/>
        </w:numPr>
        <w:pBdr>
          <w:top w:val="nil"/>
          <w:left w:val="nil"/>
          <w:bottom w:val="nil"/>
          <w:right w:val="nil"/>
          <w:between w:val="nil"/>
        </w:pBdr>
        <w:spacing w:after="240" w:line="276" w:lineRule="auto"/>
        <w:ind w:left="709"/>
        <w:jc w:val="both"/>
        <w:rPr>
          <w:color w:val="000000"/>
          <w:sz w:val="22"/>
          <w:szCs w:val="22"/>
        </w:rPr>
      </w:pPr>
      <w:r>
        <w:rPr>
          <w:rFonts w:ascii="Calibri" w:eastAsia="Calibri" w:hAnsi="Calibri" w:cs="Calibri"/>
          <w:b/>
          <w:color w:val="000000"/>
          <w:sz w:val="22"/>
          <w:szCs w:val="22"/>
        </w:rPr>
        <w:t xml:space="preserve">Recommend </w:t>
      </w:r>
      <w:r>
        <w:rPr>
          <w:rFonts w:ascii="Calibri" w:eastAsia="Calibri" w:hAnsi="Calibri" w:cs="Calibri"/>
          <w:color w:val="000000"/>
          <w:sz w:val="22"/>
          <w:szCs w:val="22"/>
        </w:rPr>
        <w:t xml:space="preserve">that France clarifies and reinforces national legislation regarding </w:t>
      </w:r>
      <w:r>
        <w:rPr>
          <w:rFonts w:ascii="Calibri" w:eastAsia="Calibri" w:hAnsi="Calibri" w:cs="Calibri"/>
          <w:sz w:val="22"/>
          <w:szCs w:val="22"/>
        </w:rPr>
        <w:t>privatisation</w:t>
      </w:r>
      <w:r>
        <w:rPr>
          <w:rFonts w:ascii="Calibri" w:eastAsia="Calibri" w:hAnsi="Calibri" w:cs="Calibri"/>
          <w:color w:val="000000"/>
          <w:sz w:val="22"/>
          <w:szCs w:val="22"/>
        </w:rPr>
        <w:t xml:space="preserve"> of the sector (functioning and quality of private higher education institutions, state relations with private EdTech companies working in higher education, private financing of higher education, partnerships between public universities and the private sector, etc.) and ensure the implementation of the International Conventions it has ratified and of the Abidjan Princip</w:t>
      </w:r>
      <w:r>
        <w:rPr>
          <w:rFonts w:ascii="Calibri" w:eastAsia="Calibri" w:hAnsi="Calibri" w:cs="Calibri"/>
          <w:sz w:val="22"/>
          <w:szCs w:val="22"/>
        </w:rPr>
        <w:t>les</w:t>
      </w:r>
      <w:r>
        <w:rPr>
          <w:rFonts w:ascii="Calibri" w:eastAsia="Calibri" w:hAnsi="Calibri" w:cs="Calibri"/>
          <w:color w:val="000000"/>
          <w:sz w:val="22"/>
          <w:szCs w:val="22"/>
        </w:rPr>
        <w:t>.</w:t>
      </w:r>
    </w:p>
    <w:p w14:paraId="00000076" w14:textId="77777777" w:rsidR="003F609F" w:rsidRDefault="00000000">
      <w:pPr>
        <w:numPr>
          <w:ilvl w:val="0"/>
          <w:numId w:val="3"/>
        </w:numPr>
        <w:pBdr>
          <w:top w:val="nil"/>
          <w:left w:val="nil"/>
          <w:bottom w:val="nil"/>
          <w:right w:val="nil"/>
          <w:between w:val="nil"/>
        </w:pBdr>
        <w:spacing w:after="240" w:line="276" w:lineRule="auto"/>
        <w:ind w:left="709"/>
        <w:jc w:val="both"/>
        <w:rPr>
          <w:color w:val="000000"/>
          <w:sz w:val="22"/>
          <w:szCs w:val="22"/>
        </w:rPr>
      </w:pPr>
      <w:r>
        <w:rPr>
          <w:rFonts w:ascii="Calibri" w:eastAsia="Calibri" w:hAnsi="Calibri" w:cs="Calibri"/>
          <w:b/>
          <w:color w:val="000000"/>
          <w:sz w:val="22"/>
          <w:szCs w:val="22"/>
        </w:rPr>
        <w:t>Recommend</w:t>
      </w:r>
      <w:r>
        <w:rPr>
          <w:rFonts w:ascii="Calibri" w:eastAsia="Calibri" w:hAnsi="Calibri" w:cs="Calibri"/>
          <w:color w:val="000000"/>
          <w:sz w:val="22"/>
          <w:szCs w:val="22"/>
        </w:rPr>
        <w:t xml:space="preserve"> that France enhances its monitoring of private higher education institutions.</w:t>
      </w:r>
    </w:p>
    <w:p w14:paraId="00000077" w14:textId="77777777" w:rsidR="003F609F" w:rsidRDefault="003F609F">
      <w:pPr>
        <w:pBdr>
          <w:top w:val="nil"/>
          <w:left w:val="nil"/>
          <w:bottom w:val="nil"/>
          <w:right w:val="nil"/>
          <w:between w:val="nil"/>
        </w:pBdr>
        <w:spacing w:after="240" w:line="276" w:lineRule="auto"/>
        <w:rPr>
          <w:rFonts w:ascii="Calibri" w:eastAsia="Calibri" w:hAnsi="Calibri" w:cs="Calibri"/>
          <w:b/>
        </w:rPr>
      </w:pPr>
    </w:p>
    <w:sectPr w:rsidR="003F609F">
      <w:footerReference w:type="default" r:id="rId42"/>
      <w:pgSz w:w="11906" w:h="16838"/>
      <w:pgMar w:top="1417" w:right="1417" w:bottom="1417"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81BBFC" w14:textId="77777777" w:rsidR="00AA0C97" w:rsidRDefault="00AA0C97">
      <w:r>
        <w:separator/>
      </w:r>
    </w:p>
  </w:endnote>
  <w:endnote w:type="continuationSeparator" w:id="0">
    <w:p w14:paraId="170DBFC2" w14:textId="77777777" w:rsidR="00AA0C97" w:rsidRDefault="00AA0C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w:panose1 w:val="00000500000000020000"/>
    <w:charset w:val="00"/>
    <w:family w:val="auto"/>
    <w:pitch w:val="variable"/>
    <w:sig w:usb0="E00002FF" w:usb1="5000205A" w:usb2="00000000" w:usb3="00000000" w:csb0="0000019F" w:csb1="00000000"/>
  </w:font>
  <w:font w:name="Consolas">
    <w:panose1 w:val="020B0609020204030204"/>
    <w:charset w:val="00"/>
    <w:family w:val="modern"/>
    <w:pitch w:val="fixed"/>
    <w:sig w:usb0="E10002FF" w:usb1="4000FCFF" w:usb2="00000009"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78" w14:textId="4D0579D4" w:rsidR="003F609F" w:rsidRDefault="00000000">
    <w:pPr>
      <w:jc w:val="right"/>
      <w:rPr>
        <w:rFonts w:ascii="Calibri" w:eastAsia="Calibri" w:hAnsi="Calibri" w:cs="Calibri"/>
        <w:sz w:val="22"/>
        <w:szCs w:val="22"/>
      </w:rPr>
    </w:pPr>
    <w:r>
      <w:rPr>
        <w:rFonts w:ascii="Calibri" w:eastAsia="Calibri" w:hAnsi="Calibri" w:cs="Calibri"/>
        <w:sz w:val="22"/>
        <w:szCs w:val="22"/>
      </w:rPr>
      <w:fldChar w:fldCharType="begin"/>
    </w:r>
    <w:r>
      <w:rPr>
        <w:rFonts w:ascii="Calibri" w:eastAsia="Calibri" w:hAnsi="Calibri" w:cs="Calibri"/>
        <w:sz w:val="22"/>
        <w:szCs w:val="22"/>
      </w:rPr>
      <w:instrText>PAGE</w:instrText>
    </w:r>
    <w:r>
      <w:rPr>
        <w:rFonts w:ascii="Calibri" w:eastAsia="Calibri" w:hAnsi="Calibri" w:cs="Calibri"/>
        <w:sz w:val="22"/>
        <w:szCs w:val="22"/>
      </w:rPr>
      <w:fldChar w:fldCharType="separate"/>
    </w:r>
    <w:r w:rsidR="00F45E34">
      <w:rPr>
        <w:rFonts w:ascii="Calibri" w:eastAsia="Calibri" w:hAnsi="Calibri" w:cs="Calibri"/>
        <w:noProof/>
        <w:sz w:val="22"/>
        <w:szCs w:val="22"/>
      </w:rPr>
      <w:t>1</w:t>
    </w:r>
    <w:r>
      <w:rPr>
        <w:rFonts w:ascii="Calibri" w:eastAsia="Calibri" w:hAnsi="Calibri" w:cs="Calibri"/>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0DE891" w14:textId="77777777" w:rsidR="00AA0C97" w:rsidRDefault="00AA0C97">
      <w:r>
        <w:separator/>
      </w:r>
    </w:p>
  </w:footnote>
  <w:footnote w:type="continuationSeparator" w:id="0">
    <w:p w14:paraId="55124EAD" w14:textId="77777777" w:rsidR="00AA0C97" w:rsidRDefault="00AA0C97">
      <w:r>
        <w:continuationSeparator/>
      </w:r>
    </w:p>
  </w:footnote>
  <w:footnote w:id="1">
    <w:p w14:paraId="000000C5" w14:textId="0777FEEF" w:rsidR="003F609F" w:rsidRPr="001915B1" w:rsidRDefault="00000000">
      <w:pPr>
        <w:rPr>
          <w:rFonts w:asciiTheme="minorHAnsi" w:hAnsiTheme="minorHAnsi" w:cstheme="minorHAnsi"/>
          <w:sz w:val="18"/>
          <w:szCs w:val="18"/>
        </w:rPr>
      </w:pPr>
      <w:r w:rsidRPr="001915B1">
        <w:rPr>
          <w:rFonts w:asciiTheme="minorHAnsi" w:hAnsiTheme="minorHAnsi" w:cstheme="minorHAnsi"/>
          <w:sz w:val="18"/>
          <w:szCs w:val="18"/>
          <w:vertAlign w:val="superscript"/>
        </w:rPr>
        <w:footnoteRef/>
      </w:r>
      <w:r w:rsidRPr="001915B1">
        <w:rPr>
          <w:rFonts w:asciiTheme="minorHAnsi" w:hAnsiTheme="minorHAnsi" w:cstheme="minorHAnsi"/>
          <w:sz w:val="18"/>
          <w:szCs w:val="18"/>
        </w:rPr>
        <w:t xml:space="preserve"> </w:t>
      </w:r>
      <w:hyperlink r:id="rId1" w:history="1">
        <w:r w:rsidR="001915B1" w:rsidRPr="003923F3">
          <w:rPr>
            <w:rStyle w:val="Lienhypertexte"/>
            <w:rFonts w:asciiTheme="minorHAnsi" w:eastAsia="Calibri" w:hAnsiTheme="minorHAnsi" w:cstheme="minorHAnsi"/>
            <w:sz w:val="18"/>
            <w:szCs w:val="18"/>
          </w:rPr>
          <w:t>www.right-to-education.org</w:t>
        </w:r>
      </w:hyperlink>
    </w:p>
  </w:footnote>
  <w:footnote w:id="2">
    <w:p w14:paraId="000000C6" w14:textId="77777777" w:rsidR="003F609F" w:rsidRPr="001915B1" w:rsidRDefault="00000000">
      <w:pPr>
        <w:rPr>
          <w:rFonts w:asciiTheme="minorHAnsi" w:eastAsia="Calibri" w:hAnsiTheme="minorHAnsi" w:cstheme="minorHAnsi"/>
          <w:sz w:val="18"/>
          <w:szCs w:val="18"/>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sz w:val="18"/>
          <w:szCs w:val="18"/>
        </w:rPr>
        <w:t xml:space="preserve"> </w:t>
      </w:r>
      <w:hyperlink r:id="rId2">
        <w:r w:rsidRPr="001915B1">
          <w:rPr>
            <w:rFonts w:asciiTheme="minorHAnsi" w:eastAsia="Calibri" w:hAnsiTheme="minorHAnsi" w:cstheme="minorHAnsi"/>
            <w:color w:val="1155CC"/>
            <w:sz w:val="18"/>
            <w:szCs w:val="18"/>
            <w:u w:val="single"/>
          </w:rPr>
          <w:t>https://www.fage.org</w:t>
        </w:r>
      </w:hyperlink>
    </w:p>
  </w:footnote>
  <w:footnote w:id="3">
    <w:p w14:paraId="000000C7" w14:textId="77777777" w:rsidR="003F609F" w:rsidRPr="001915B1" w:rsidRDefault="00000000">
      <w:pPr>
        <w:rPr>
          <w:rFonts w:asciiTheme="minorHAnsi" w:hAnsiTheme="minorHAnsi" w:cstheme="minorHAnsi"/>
          <w:sz w:val="18"/>
          <w:szCs w:val="18"/>
        </w:rPr>
      </w:pPr>
      <w:r w:rsidRPr="001915B1">
        <w:rPr>
          <w:rFonts w:asciiTheme="minorHAnsi" w:hAnsiTheme="minorHAnsi" w:cstheme="minorHAnsi"/>
          <w:sz w:val="18"/>
          <w:szCs w:val="18"/>
          <w:vertAlign w:val="superscript"/>
        </w:rPr>
        <w:footnoteRef/>
      </w:r>
      <w:r w:rsidRPr="001915B1">
        <w:rPr>
          <w:rFonts w:asciiTheme="minorHAnsi" w:hAnsiTheme="minorHAnsi" w:cstheme="minorHAnsi"/>
          <w:sz w:val="18"/>
          <w:szCs w:val="18"/>
        </w:rPr>
        <w:t xml:space="preserve"> </w:t>
      </w:r>
      <w:hyperlink r:id="rId3">
        <w:r w:rsidRPr="001915B1">
          <w:rPr>
            <w:rFonts w:asciiTheme="minorHAnsi" w:hAnsiTheme="minorHAnsi" w:cstheme="minorHAnsi"/>
            <w:color w:val="1155CC"/>
            <w:sz w:val="18"/>
            <w:szCs w:val="18"/>
            <w:u w:val="single"/>
          </w:rPr>
          <w:t>www.globalstudentforum.org</w:t>
        </w:r>
      </w:hyperlink>
      <w:r w:rsidRPr="001915B1">
        <w:rPr>
          <w:rFonts w:asciiTheme="minorHAnsi" w:hAnsiTheme="minorHAnsi" w:cstheme="minorHAnsi"/>
          <w:sz w:val="18"/>
          <w:szCs w:val="18"/>
        </w:rPr>
        <w:t xml:space="preserve"> </w:t>
      </w:r>
    </w:p>
  </w:footnote>
  <w:footnote w:id="4">
    <w:p w14:paraId="00000098" w14:textId="77777777" w:rsidR="003F609F" w:rsidRPr="001915B1" w:rsidRDefault="00000000">
      <w:pPr>
        <w:rPr>
          <w:rFonts w:asciiTheme="minorHAnsi" w:eastAsia="Calibri" w:hAnsiTheme="minorHAnsi" w:cstheme="minorHAnsi"/>
          <w:sz w:val="18"/>
          <w:szCs w:val="18"/>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sz w:val="18"/>
          <w:szCs w:val="18"/>
        </w:rPr>
        <w:t xml:space="preserve"> Thibaut </w:t>
      </w:r>
      <w:proofErr w:type="spellStart"/>
      <w:r w:rsidRPr="001915B1">
        <w:rPr>
          <w:rFonts w:asciiTheme="minorHAnsi" w:eastAsia="Calibri" w:hAnsiTheme="minorHAnsi" w:cstheme="minorHAnsi"/>
          <w:sz w:val="18"/>
          <w:szCs w:val="18"/>
        </w:rPr>
        <w:t>Lauwerier</w:t>
      </w:r>
      <w:proofErr w:type="spellEnd"/>
      <w:r w:rsidRPr="001915B1">
        <w:rPr>
          <w:rFonts w:asciiTheme="minorHAnsi" w:eastAsia="Calibri" w:hAnsiTheme="minorHAnsi" w:cstheme="minorHAnsi"/>
          <w:sz w:val="18"/>
          <w:szCs w:val="18"/>
        </w:rPr>
        <w:t xml:space="preserve"> (University of Geneva), Hugo Harari-</w:t>
      </w:r>
      <w:proofErr w:type="spellStart"/>
      <w:r w:rsidRPr="001915B1">
        <w:rPr>
          <w:rFonts w:asciiTheme="minorHAnsi" w:eastAsia="Calibri" w:hAnsiTheme="minorHAnsi" w:cstheme="minorHAnsi"/>
          <w:sz w:val="18"/>
          <w:szCs w:val="18"/>
        </w:rPr>
        <w:t>Kermadec</w:t>
      </w:r>
      <w:proofErr w:type="spellEnd"/>
      <w:r w:rsidRPr="001915B1">
        <w:rPr>
          <w:rFonts w:asciiTheme="minorHAnsi" w:eastAsia="Calibri" w:hAnsiTheme="minorHAnsi" w:cstheme="minorHAnsi"/>
          <w:sz w:val="18"/>
          <w:szCs w:val="18"/>
        </w:rPr>
        <w:t xml:space="preserve"> (University of Orleans), Claire </w:t>
      </w:r>
      <w:proofErr w:type="spellStart"/>
      <w:r w:rsidRPr="001915B1">
        <w:rPr>
          <w:rFonts w:asciiTheme="minorHAnsi" w:eastAsia="Calibri" w:hAnsiTheme="minorHAnsi" w:cstheme="minorHAnsi"/>
          <w:sz w:val="18"/>
          <w:szCs w:val="18"/>
        </w:rPr>
        <w:t>Calvel</w:t>
      </w:r>
      <w:proofErr w:type="spellEnd"/>
      <w:r w:rsidRPr="001915B1">
        <w:rPr>
          <w:rFonts w:asciiTheme="minorHAnsi" w:eastAsia="Calibri" w:hAnsiTheme="minorHAnsi" w:cstheme="minorHAnsi"/>
          <w:sz w:val="18"/>
          <w:szCs w:val="18"/>
        </w:rPr>
        <w:t xml:space="preserve"> and Victor </w:t>
      </w:r>
      <w:proofErr w:type="spellStart"/>
      <w:r w:rsidRPr="001915B1">
        <w:rPr>
          <w:rFonts w:asciiTheme="minorHAnsi" w:eastAsia="Calibri" w:hAnsiTheme="minorHAnsi" w:cstheme="minorHAnsi"/>
          <w:sz w:val="18"/>
          <w:szCs w:val="18"/>
        </w:rPr>
        <w:t>Chareyron</w:t>
      </w:r>
      <w:proofErr w:type="spellEnd"/>
      <w:r w:rsidRPr="001915B1">
        <w:rPr>
          <w:rFonts w:asciiTheme="minorHAnsi" w:eastAsia="Calibri" w:hAnsiTheme="minorHAnsi" w:cstheme="minorHAnsi"/>
          <w:sz w:val="18"/>
          <w:szCs w:val="18"/>
        </w:rPr>
        <w:t xml:space="preserve"> (ENS </w:t>
      </w:r>
      <w:proofErr w:type="spellStart"/>
      <w:r w:rsidRPr="001915B1">
        <w:rPr>
          <w:rFonts w:asciiTheme="minorHAnsi" w:eastAsia="Calibri" w:hAnsiTheme="minorHAnsi" w:cstheme="minorHAnsi"/>
          <w:sz w:val="18"/>
          <w:szCs w:val="18"/>
        </w:rPr>
        <w:t>paris</w:t>
      </w:r>
      <w:proofErr w:type="spellEnd"/>
      <w:r w:rsidRPr="001915B1">
        <w:rPr>
          <w:rFonts w:asciiTheme="minorHAnsi" w:eastAsia="Calibri" w:hAnsiTheme="minorHAnsi" w:cstheme="minorHAnsi"/>
          <w:sz w:val="18"/>
          <w:szCs w:val="18"/>
        </w:rPr>
        <w:t xml:space="preserve"> </w:t>
      </w:r>
      <w:proofErr w:type="spellStart"/>
      <w:r w:rsidRPr="001915B1">
        <w:rPr>
          <w:rFonts w:asciiTheme="minorHAnsi" w:eastAsia="Calibri" w:hAnsiTheme="minorHAnsi" w:cstheme="minorHAnsi"/>
          <w:sz w:val="18"/>
          <w:szCs w:val="18"/>
        </w:rPr>
        <w:t>Saclay</w:t>
      </w:r>
      <w:proofErr w:type="spellEnd"/>
      <w:r w:rsidRPr="001915B1">
        <w:rPr>
          <w:rFonts w:asciiTheme="minorHAnsi" w:eastAsia="Calibri" w:hAnsiTheme="minorHAnsi" w:cstheme="minorHAnsi"/>
          <w:sz w:val="18"/>
          <w:szCs w:val="18"/>
        </w:rPr>
        <w:t>).</w:t>
      </w:r>
    </w:p>
  </w:footnote>
  <w:footnote w:id="5">
    <w:p w14:paraId="00000099" w14:textId="77777777" w:rsidR="003F609F" w:rsidRPr="001915B1" w:rsidRDefault="00000000">
      <w:pPr>
        <w:rPr>
          <w:rFonts w:asciiTheme="minorHAnsi" w:eastAsia="Calibri" w:hAnsiTheme="minorHAnsi" w:cstheme="minorHAnsi"/>
          <w:sz w:val="18"/>
          <w:szCs w:val="18"/>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sz w:val="18"/>
          <w:szCs w:val="18"/>
        </w:rPr>
        <w:t xml:space="preserve"> The published documents include: a report titled </w:t>
      </w:r>
      <w:hyperlink r:id="rId4">
        <w:r w:rsidRPr="001915B1">
          <w:rPr>
            <w:rFonts w:asciiTheme="minorHAnsi" w:eastAsia="Calibri" w:hAnsiTheme="minorHAnsi" w:cstheme="minorHAnsi"/>
            <w:color w:val="1155CC"/>
            <w:sz w:val="18"/>
            <w:szCs w:val="18"/>
            <w:u w:val="single"/>
          </w:rPr>
          <w:t xml:space="preserve">‘Limited Potential’ - </w:t>
        </w:r>
      </w:hyperlink>
      <w:hyperlink r:id="rId5">
        <w:r w:rsidRPr="001915B1">
          <w:rPr>
            <w:rFonts w:asciiTheme="minorHAnsi" w:eastAsia="Calibri" w:hAnsiTheme="minorHAnsi" w:cstheme="minorHAnsi"/>
            <w:color w:val="1155CC"/>
            <w:sz w:val="18"/>
            <w:szCs w:val="18"/>
            <w:u w:val="single"/>
          </w:rPr>
          <w:t>The right to higher education in France: impact of place of origin and of cost on inequality</w:t>
        </w:r>
      </w:hyperlink>
      <w:r w:rsidRPr="001915B1">
        <w:rPr>
          <w:rFonts w:asciiTheme="minorHAnsi" w:eastAsia="Calibri" w:hAnsiTheme="minorHAnsi" w:cstheme="minorHAnsi"/>
          <w:sz w:val="18"/>
          <w:szCs w:val="18"/>
        </w:rPr>
        <w:t xml:space="preserve"> (2020); a position paper titled </w:t>
      </w:r>
      <w:hyperlink r:id="rId6">
        <w:r w:rsidRPr="001915B1">
          <w:rPr>
            <w:rFonts w:asciiTheme="minorHAnsi" w:eastAsia="Calibri" w:hAnsiTheme="minorHAnsi" w:cstheme="minorHAnsi"/>
            <w:color w:val="1155CC"/>
            <w:sz w:val="18"/>
            <w:szCs w:val="18"/>
            <w:u w:val="single"/>
          </w:rPr>
          <w:t xml:space="preserve">The impact of place of origin on Inequalities in higher education in France </w:t>
        </w:r>
      </w:hyperlink>
      <w:r w:rsidRPr="001915B1">
        <w:rPr>
          <w:rFonts w:asciiTheme="minorHAnsi" w:eastAsia="Calibri" w:hAnsiTheme="minorHAnsi" w:cstheme="minorHAnsi"/>
          <w:sz w:val="18"/>
          <w:szCs w:val="18"/>
        </w:rPr>
        <w:t xml:space="preserve">(2020); a report to the UNESCO World Conference on Higher Education titled  </w:t>
      </w:r>
      <w:hyperlink r:id="rId7">
        <w:r w:rsidRPr="001915B1">
          <w:rPr>
            <w:rFonts w:asciiTheme="minorHAnsi" w:eastAsia="Calibri" w:hAnsiTheme="minorHAnsi" w:cstheme="minorHAnsi"/>
            <w:color w:val="1155CC"/>
            <w:sz w:val="18"/>
            <w:szCs w:val="18"/>
            <w:u w:val="single"/>
          </w:rPr>
          <w:t>Higher Education in France: A right threatened by increasing inequalities?</w:t>
        </w:r>
      </w:hyperlink>
      <w:r w:rsidRPr="001915B1">
        <w:rPr>
          <w:rFonts w:asciiTheme="minorHAnsi" w:eastAsia="Calibri" w:hAnsiTheme="minorHAnsi" w:cstheme="minorHAnsi"/>
          <w:sz w:val="18"/>
          <w:szCs w:val="18"/>
        </w:rPr>
        <w:t xml:space="preserve"> </w:t>
      </w:r>
      <w:r w:rsidRPr="004F0860">
        <w:rPr>
          <w:rFonts w:asciiTheme="minorHAnsi" w:eastAsia="Calibri" w:hAnsiTheme="minorHAnsi" w:cstheme="minorHAnsi"/>
          <w:sz w:val="18"/>
          <w:szCs w:val="18"/>
          <w:lang w:val="fr-FR"/>
        </w:rPr>
        <w:t xml:space="preserve">(2022); a report on the </w:t>
      </w:r>
      <w:proofErr w:type="spellStart"/>
      <w:r w:rsidRPr="004F0860">
        <w:rPr>
          <w:rFonts w:asciiTheme="minorHAnsi" w:eastAsia="Calibri" w:hAnsiTheme="minorHAnsi" w:cstheme="minorHAnsi"/>
          <w:sz w:val="18"/>
          <w:szCs w:val="18"/>
          <w:lang w:val="fr-FR"/>
        </w:rPr>
        <w:t>financing</w:t>
      </w:r>
      <w:proofErr w:type="spellEnd"/>
      <w:r w:rsidRPr="004F0860">
        <w:rPr>
          <w:rFonts w:asciiTheme="minorHAnsi" w:eastAsia="Calibri" w:hAnsiTheme="minorHAnsi" w:cstheme="minorHAnsi"/>
          <w:sz w:val="18"/>
          <w:szCs w:val="18"/>
          <w:lang w:val="fr-FR"/>
        </w:rPr>
        <w:t xml:space="preserve"> of </w:t>
      </w:r>
      <w:proofErr w:type="spellStart"/>
      <w:r w:rsidRPr="004F0860">
        <w:rPr>
          <w:rFonts w:asciiTheme="minorHAnsi" w:eastAsia="Calibri" w:hAnsiTheme="minorHAnsi" w:cstheme="minorHAnsi"/>
          <w:sz w:val="18"/>
          <w:szCs w:val="18"/>
          <w:lang w:val="fr-FR"/>
        </w:rPr>
        <w:t>higher</w:t>
      </w:r>
      <w:proofErr w:type="spellEnd"/>
      <w:r w:rsidRPr="004F0860">
        <w:rPr>
          <w:rFonts w:asciiTheme="minorHAnsi" w:eastAsia="Calibri" w:hAnsiTheme="minorHAnsi" w:cstheme="minorHAnsi"/>
          <w:sz w:val="18"/>
          <w:szCs w:val="18"/>
          <w:lang w:val="fr-FR"/>
        </w:rPr>
        <w:t xml:space="preserve"> </w:t>
      </w:r>
      <w:proofErr w:type="spellStart"/>
      <w:r w:rsidRPr="004F0860">
        <w:rPr>
          <w:rFonts w:asciiTheme="minorHAnsi" w:eastAsia="Calibri" w:hAnsiTheme="minorHAnsi" w:cstheme="minorHAnsi"/>
          <w:sz w:val="18"/>
          <w:szCs w:val="18"/>
          <w:lang w:val="fr-FR"/>
        </w:rPr>
        <w:t>education</w:t>
      </w:r>
      <w:proofErr w:type="spellEnd"/>
      <w:r w:rsidRPr="004F0860">
        <w:rPr>
          <w:rFonts w:asciiTheme="minorHAnsi" w:eastAsia="Calibri" w:hAnsiTheme="minorHAnsi" w:cstheme="minorHAnsi"/>
          <w:sz w:val="18"/>
          <w:szCs w:val="18"/>
          <w:lang w:val="fr-FR"/>
        </w:rPr>
        <w:t xml:space="preserve"> in France (in French) </w:t>
      </w:r>
      <w:proofErr w:type="spellStart"/>
      <w:r w:rsidRPr="004F0860">
        <w:rPr>
          <w:rFonts w:asciiTheme="minorHAnsi" w:eastAsia="Calibri" w:hAnsiTheme="minorHAnsi" w:cstheme="minorHAnsi"/>
          <w:sz w:val="18"/>
          <w:szCs w:val="18"/>
          <w:lang w:val="fr-FR"/>
        </w:rPr>
        <w:t>titled</w:t>
      </w:r>
      <w:proofErr w:type="spellEnd"/>
      <w:r w:rsidRPr="004F0860">
        <w:rPr>
          <w:rFonts w:asciiTheme="minorHAnsi" w:eastAsia="Calibri" w:hAnsiTheme="minorHAnsi" w:cstheme="minorHAnsi"/>
          <w:sz w:val="18"/>
          <w:szCs w:val="18"/>
          <w:lang w:val="fr-FR"/>
        </w:rPr>
        <w:t>:</w:t>
      </w:r>
      <w:hyperlink r:id="rId8">
        <w:r w:rsidRPr="004F0860">
          <w:rPr>
            <w:rFonts w:asciiTheme="minorHAnsi" w:eastAsia="Calibri" w:hAnsiTheme="minorHAnsi" w:cstheme="minorHAnsi"/>
            <w:i/>
            <w:iCs/>
            <w:color w:val="1155CC"/>
            <w:sz w:val="18"/>
            <w:szCs w:val="18"/>
            <w:u w:val="single"/>
            <w:lang w:val="fr-FR"/>
          </w:rPr>
          <w:t xml:space="preserve"> Le Financement de l’Enseignement Supérieur en France: Une synthèse bibliographique des effets des politiques de financement de l’Enseignement Supérieur depuis le début des années 2000</w:t>
        </w:r>
      </w:hyperlink>
      <w:r w:rsidRPr="004F0860">
        <w:rPr>
          <w:rFonts w:asciiTheme="minorHAnsi" w:eastAsia="Calibri" w:hAnsiTheme="minorHAnsi" w:cstheme="minorHAnsi"/>
          <w:color w:val="494879"/>
          <w:sz w:val="18"/>
          <w:szCs w:val="18"/>
          <w:lang w:val="fr-FR"/>
        </w:rPr>
        <w:t xml:space="preserve"> (2023). </w:t>
      </w:r>
      <w:r w:rsidRPr="001915B1">
        <w:rPr>
          <w:rFonts w:asciiTheme="minorHAnsi" w:eastAsia="Calibri" w:hAnsiTheme="minorHAnsi" w:cstheme="minorHAnsi"/>
          <w:sz w:val="18"/>
          <w:szCs w:val="18"/>
        </w:rPr>
        <w:t xml:space="preserve">This research was fuelled by discussions with student unions, MPs and government representatives at round tables organised by RTE in collaboration with students from the Sciences Po Law Clinic. See </w:t>
      </w:r>
      <w:hyperlink r:id="rId9">
        <w:r w:rsidRPr="001915B1">
          <w:rPr>
            <w:rFonts w:asciiTheme="minorHAnsi" w:eastAsia="Calibri" w:hAnsiTheme="minorHAnsi" w:cstheme="minorHAnsi"/>
            <w:color w:val="1155CC"/>
            <w:sz w:val="18"/>
            <w:szCs w:val="18"/>
            <w:u w:val="single"/>
          </w:rPr>
          <w:t>Threatened by inequalities: the right to higher education in France</w:t>
        </w:r>
      </w:hyperlink>
      <w:r w:rsidRPr="001915B1">
        <w:rPr>
          <w:rFonts w:asciiTheme="minorHAnsi" w:eastAsia="Calibri" w:hAnsiTheme="minorHAnsi" w:cstheme="minorHAnsi"/>
          <w:sz w:val="18"/>
          <w:szCs w:val="18"/>
        </w:rPr>
        <w:t xml:space="preserve"> (2022)</w:t>
      </w:r>
    </w:p>
    <w:p w14:paraId="0000009C" w14:textId="42B5F152" w:rsidR="003F609F" w:rsidRPr="004251A7" w:rsidRDefault="00000000">
      <w:pPr>
        <w:rPr>
          <w:rFonts w:asciiTheme="minorHAnsi" w:eastAsia="Calibri" w:hAnsiTheme="minorHAnsi" w:cstheme="minorHAnsi"/>
          <w:sz w:val="18"/>
          <w:szCs w:val="18"/>
        </w:rPr>
      </w:pPr>
      <w:r w:rsidRPr="001915B1">
        <w:rPr>
          <w:rFonts w:asciiTheme="minorHAnsi" w:eastAsia="Calibri" w:hAnsiTheme="minorHAnsi" w:cstheme="minorHAnsi"/>
          <w:sz w:val="18"/>
          <w:szCs w:val="18"/>
        </w:rPr>
        <w:t>and</w:t>
      </w:r>
      <w:r w:rsidRPr="001915B1">
        <w:rPr>
          <w:rFonts w:asciiTheme="minorHAnsi" w:hAnsiTheme="minorHAnsi" w:cstheme="minorHAnsi"/>
          <w:sz w:val="18"/>
          <w:szCs w:val="18"/>
        </w:rPr>
        <w:t xml:space="preserve"> </w:t>
      </w:r>
      <w:hyperlink r:id="rId10">
        <w:r w:rsidRPr="001915B1">
          <w:rPr>
            <w:rFonts w:asciiTheme="minorHAnsi" w:eastAsia="Calibri" w:hAnsiTheme="minorHAnsi" w:cstheme="minorHAnsi"/>
            <w:color w:val="1155CC"/>
            <w:sz w:val="18"/>
            <w:szCs w:val="18"/>
            <w:u w:val="single"/>
          </w:rPr>
          <w:t>Right to Higher Education - the impact of place of origin and cost of studies in the realisation of the right to higher education in France</w:t>
        </w:r>
      </w:hyperlink>
      <w:r w:rsidRPr="001915B1">
        <w:rPr>
          <w:rFonts w:asciiTheme="minorHAnsi" w:hAnsiTheme="minorHAnsi" w:cstheme="minorHAnsi"/>
          <w:b/>
          <w:sz w:val="18"/>
          <w:szCs w:val="18"/>
        </w:rPr>
        <w:t xml:space="preserve"> </w:t>
      </w:r>
      <w:r w:rsidRPr="001915B1">
        <w:rPr>
          <w:rFonts w:asciiTheme="minorHAnsi" w:eastAsia="Calibri" w:hAnsiTheme="minorHAnsi" w:cstheme="minorHAnsi"/>
          <w:sz w:val="18"/>
          <w:szCs w:val="18"/>
        </w:rPr>
        <w:t xml:space="preserve">(2021). The students have also published </w:t>
      </w:r>
      <w:hyperlink r:id="rId11">
        <w:r w:rsidRPr="001915B1">
          <w:rPr>
            <w:rFonts w:asciiTheme="minorHAnsi" w:eastAsia="Calibri" w:hAnsiTheme="minorHAnsi" w:cstheme="minorHAnsi"/>
            <w:color w:val="1155CC"/>
            <w:sz w:val="18"/>
            <w:szCs w:val="18"/>
            <w:u w:val="single"/>
          </w:rPr>
          <w:t>blog posts on the impact of Covid-19 on higher education</w:t>
        </w:r>
      </w:hyperlink>
      <w:r w:rsidRPr="001915B1">
        <w:rPr>
          <w:rFonts w:asciiTheme="minorHAnsi" w:eastAsia="Calibri" w:hAnsiTheme="minorHAnsi" w:cstheme="minorHAnsi"/>
          <w:sz w:val="18"/>
          <w:szCs w:val="18"/>
        </w:rPr>
        <w:t>, particularly in France.</w:t>
      </w:r>
    </w:p>
  </w:footnote>
  <w:footnote w:id="6">
    <w:p w14:paraId="0000008A" w14:textId="77777777" w:rsidR="003F609F" w:rsidRPr="001915B1" w:rsidRDefault="00000000">
      <w:pPr>
        <w:rPr>
          <w:rFonts w:asciiTheme="minorHAnsi" w:eastAsia="Calibri" w:hAnsiTheme="minorHAnsi" w:cstheme="minorHAnsi"/>
          <w:sz w:val="18"/>
          <w:szCs w:val="18"/>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sz w:val="18"/>
          <w:szCs w:val="18"/>
        </w:rPr>
        <w:t xml:space="preserve"> CESCR, E/C.12/FRA/CO/4. Para. 52 (b), </w:t>
      </w:r>
      <w:hyperlink r:id="rId12">
        <w:r w:rsidRPr="001915B1">
          <w:rPr>
            <w:rFonts w:asciiTheme="minorHAnsi" w:eastAsia="Calibri" w:hAnsiTheme="minorHAnsi" w:cstheme="minorHAnsi"/>
            <w:color w:val="1155CC"/>
            <w:sz w:val="18"/>
            <w:szCs w:val="18"/>
            <w:u w:val="single"/>
          </w:rPr>
          <w:t xml:space="preserve">Concluding observations on the 4th periodic report of </w:t>
        </w:r>
        <w:proofErr w:type="gramStart"/>
        <w:r w:rsidRPr="001915B1">
          <w:rPr>
            <w:rFonts w:asciiTheme="minorHAnsi" w:eastAsia="Calibri" w:hAnsiTheme="minorHAnsi" w:cstheme="minorHAnsi"/>
            <w:color w:val="1155CC"/>
            <w:sz w:val="18"/>
            <w:szCs w:val="18"/>
            <w:u w:val="single"/>
          </w:rPr>
          <w:t>France :</w:t>
        </w:r>
        <w:proofErr w:type="gramEnd"/>
        <w:r w:rsidRPr="001915B1">
          <w:rPr>
            <w:rFonts w:asciiTheme="minorHAnsi" w:eastAsia="Calibri" w:hAnsiTheme="minorHAnsi" w:cstheme="minorHAnsi"/>
            <w:color w:val="1155CC"/>
            <w:sz w:val="18"/>
            <w:szCs w:val="18"/>
            <w:u w:val="single"/>
          </w:rPr>
          <w:t xml:space="preserve"> Committee on Economic, Social and Cultural Rights</w:t>
        </w:r>
      </w:hyperlink>
      <w:r w:rsidRPr="001915B1">
        <w:rPr>
          <w:rFonts w:asciiTheme="minorHAnsi" w:eastAsia="Calibri" w:hAnsiTheme="minorHAnsi" w:cstheme="minorHAnsi"/>
          <w:sz w:val="18"/>
          <w:szCs w:val="18"/>
        </w:rPr>
        <w:t xml:space="preserve">, </w:t>
      </w:r>
    </w:p>
  </w:footnote>
  <w:footnote w:id="7">
    <w:p w14:paraId="0000008B" w14:textId="2DBBC4C6" w:rsidR="003F609F" w:rsidRPr="001915B1" w:rsidRDefault="00000000">
      <w:pPr>
        <w:rPr>
          <w:rFonts w:asciiTheme="minorHAnsi" w:eastAsia="Calibri" w:hAnsiTheme="minorHAnsi" w:cstheme="minorHAnsi"/>
          <w:sz w:val="18"/>
          <w:szCs w:val="18"/>
        </w:rPr>
      </w:pPr>
      <w:r w:rsidRPr="001915B1">
        <w:rPr>
          <w:rFonts w:asciiTheme="minorHAnsi" w:hAnsiTheme="minorHAnsi" w:cstheme="minorHAnsi"/>
          <w:sz w:val="18"/>
          <w:szCs w:val="18"/>
          <w:vertAlign w:val="superscript"/>
        </w:rPr>
        <w:footnoteRef/>
      </w:r>
      <w:r w:rsidRPr="001915B1">
        <w:rPr>
          <w:rFonts w:asciiTheme="minorHAnsi" w:hAnsiTheme="minorHAnsi" w:cstheme="minorHAnsi"/>
          <w:sz w:val="18"/>
          <w:szCs w:val="18"/>
        </w:rPr>
        <w:t xml:space="preserve"> </w:t>
      </w:r>
      <w:r w:rsidRPr="001915B1">
        <w:rPr>
          <w:rFonts w:asciiTheme="minorHAnsi" w:eastAsia="Calibri" w:hAnsiTheme="minorHAnsi" w:cstheme="minorHAnsi"/>
          <w:sz w:val="18"/>
          <w:szCs w:val="18"/>
        </w:rPr>
        <w:t>CESCR</w:t>
      </w:r>
      <w:r w:rsidR="004251A7">
        <w:rPr>
          <w:rFonts w:asciiTheme="minorHAnsi" w:eastAsia="Calibri" w:hAnsiTheme="minorHAnsi" w:cstheme="minorHAnsi"/>
          <w:sz w:val="18"/>
          <w:szCs w:val="18"/>
        </w:rPr>
        <w:t>.</w:t>
      </w:r>
      <w:r w:rsidRPr="001915B1">
        <w:rPr>
          <w:rFonts w:asciiTheme="minorHAnsi" w:eastAsia="Calibri" w:hAnsiTheme="minorHAnsi" w:cstheme="minorHAnsi"/>
          <w:sz w:val="18"/>
          <w:szCs w:val="18"/>
        </w:rPr>
        <w:t xml:space="preserve"> E/C.12/FRA/QPR/5, </w:t>
      </w:r>
      <w:hyperlink r:id="rId13">
        <w:r w:rsidRPr="001915B1">
          <w:rPr>
            <w:rFonts w:asciiTheme="minorHAnsi" w:eastAsia="Calibri" w:hAnsiTheme="minorHAnsi" w:cstheme="minorHAnsi"/>
            <w:sz w:val="18"/>
            <w:szCs w:val="18"/>
            <w:u w:val="single"/>
          </w:rPr>
          <w:t>List of issues prior to submission of the fifth periodic report of France</w:t>
        </w:r>
      </w:hyperlink>
    </w:p>
  </w:footnote>
  <w:footnote w:id="8">
    <w:p w14:paraId="00000091" w14:textId="77777777" w:rsidR="003F609F" w:rsidRPr="001915B1" w:rsidRDefault="00000000">
      <w:pPr>
        <w:rPr>
          <w:rFonts w:asciiTheme="minorHAnsi" w:eastAsia="Calibri" w:hAnsiTheme="minorHAnsi" w:cstheme="minorHAnsi"/>
          <w:sz w:val="18"/>
          <w:szCs w:val="18"/>
          <w:lang w:val="fr-FR"/>
        </w:rPr>
      </w:pPr>
      <w:r w:rsidRPr="001915B1">
        <w:rPr>
          <w:rFonts w:asciiTheme="minorHAnsi" w:hAnsiTheme="minorHAnsi" w:cstheme="minorHAnsi"/>
          <w:sz w:val="18"/>
          <w:szCs w:val="18"/>
          <w:vertAlign w:val="superscript"/>
        </w:rPr>
        <w:footnoteRef/>
      </w:r>
      <w:r w:rsidRPr="001915B1">
        <w:rPr>
          <w:rFonts w:asciiTheme="minorHAnsi" w:hAnsiTheme="minorHAnsi" w:cstheme="minorHAnsi"/>
          <w:sz w:val="18"/>
          <w:szCs w:val="18"/>
          <w:lang w:val="fr-FR"/>
        </w:rPr>
        <w:t xml:space="preserve"> </w:t>
      </w:r>
      <w:r w:rsidRPr="001915B1">
        <w:rPr>
          <w:rFonts w:asciiTheme="minorHAnsi" w:eastAsia="Calibri" w:hAnsiTheme="minorHAnsi" w:cstheme="minorHAnsi"/>
          <w:sz w:val="18"/>
          <w:szCs w:val="18"/>
          <w:lang w:val="fr-FR"/>
        </w:rPr>
        <w:t xml:space="preserve">France, E/C.12/FRA/5 </w:t>
      </w:r>
      <w:hyperlink r:id="rId14">
        <w:r w:rsidRPr="001915B1">
          <w:rPr>
            <w:rFonts w:asciiTheme="minorHAnsi" w:eastAsia="Calibri" w:hAnsiTheme="minorHAnsi" w:cstheme="minorHAnsi"/>
            <w:color w:val="1155CC"/>
            <w:sz w:val="18"/>
            <w:szCs w:val="18"/>
            <w:u w:val="single"/>
            <w:lang w:val="fr-FR"/>
          </w:rPr>
          <w:t>Cinquième rapport périodique soumis par la France en application des articles 16 et 17 du PIDESC</w:t>
        </w:r>
      </w:hyperlink>
      <w:r w:rsidRPr="001915B1">
        <w:rPr>
          <w:rFonts w:asciiTheme="minorHAnsi" w:eastAsia="Calibri" w:hAnsiTheme="minorHAnsi" w:cstheme="minorHAnsi"/>
          <w:sz w:val="18"/>
          <w:szCs w:val="18"/>
          <w:lang w:val="fr-FR"/>
        </w:rPr>
        <w:t xml:space="preserve"> </w:t>
      </w:r>
    </w:p>
  </w:footnote>
  <w:footnote w:id="9">
    <w:p w14:paraId="0000008C" w14:textId="3E487A85" w:rsidR="003F609F" w:rsidRPr="001915B1" w:rsidRDefault="00000000">
      <w:pPr>
        <w:rPr>
          <w:rFonts w:asciiTheme="minorHAnsi" w:eastAsia="Calibri" w:hAnsiTheme="minorHAnsi" w:cstheme="minorHAnsi"/>
          <w:sz w:val="18"/>
          <w:szCs w:val="18"/>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sz w:val="18"/>
          <w:szCs w:val="18"/>
        </w:rPr>
        <w:t xml:space="preserve"> </w:t>
      </w:r>
      <w:r w:rsidR="004251A7">
        <w:rPr>
          <w:rFonts w:asciiTheme="minorHAnsi" w:eastAsia="Calibri" w:hAnsiTheme="minorHAnsi" w:cstheme="minorHAnsi"/>
          <w:sz w:val="18"/>
          <w:szCs w:val="18"/>
        </w:rPr>
        <w:t>ICESCR.</w:t>
      </w:r>
      <w:r w:rsidRPr="001915B1">
        <w:rPr>
          <w:rFonts w:asciiTheme="minorHAnsi" w:eastAsia="Calibri" w:hAnsiTheme="minorHAnsi" w:cstheme="minorHAnsi"/>
          <w:sz w:val="18"/>
          <w:szCs w:val="18"/>
        </w:rPr>
        <w:t xml:space="preserve"> art. 13, 2 (c), </w:t>
      </w:r>
    </w:p>
  </w:footnote>
  <w:footnote w:id="10">
    <w:p w14:paraId="00000092" w14:textId="77777777" w:rsidR="003F609F" w:rsidRPr="001915B1" w:rsidRDefault="00000000">
      <w:pPr>
        <w:rPr>
          <w:rFonts w:asciiTheme="minorHAnsi" w:hAnsiTheme="minorHAnsi" w:cstheme="minorHAnsi"/>
          <w:sz w:val="18"/>
          <w:szCs w:val="18"/>
        </w:rPr>
      </w:pPr>
      <w:r w:rsidRPr="001915B1">
        <w:rPr>
          <w:rFonts w:asciiTheme="minorHAnsi" w:hAnsiTheme="minorHAnsi" w:cstheme="minorHAnsi"/>
          <w:sz w:val="18"/>
          <w:szCs w:val="18"/>
          <w:vertAlign w:val="superscript"/>
        </w:rPr>
        <w:footnoteRef/>
      </w:r>
      <w:r w:rsidRPr="001915B1">
        <w:rPr>
          <w:rFonts w:asciiTheme="minorHAnsi" w:hAnsiTheme="minorHAnsi" w:cstheme="minorHAnsi"/>
          <w:sz w:val="18"/>
          <w:szCs w:val="18"/>
        </w:rPr>
        <w:t xml:space="preserve"> </w:t>
      </w:r>
      <w:r w:rsidRPr="001915B1">
        <w:rPr>
          <w:rFonts w:asciiTheme="minorHAnsi" w:eastAsia="Calibri" w:hAnsiTheme="minorHAnsi" w:cstheme="minorHAnsi"/>
          <w:sz w:val="18"/>
          <w:szCs w:val="18"/>
        </w:rPr>
        <w:t>Committee on Economic, Social and Cultural Rights (CESCR), General Comment 13, para. 6 (b) (ii).</w:t>
      </w:r>
    </w:p>
  </w:footnote>
  <w:footnote w:id="11">
    <w:p w14:paraId="00000093" w14:textId="77777777" w:rsidR="003F609F" w:rsidRPr="001915B1" w:rsidRDefault="00000000">
      <w:pPr>
        <w:rPr>
          <w:rFonts w:asciiTheme="minorHAnsi" w:hAnsiTheme="minorHAnsi" w:cstheme="minorHAnsi"/>
          <w:color w:val="434343"/>
          <w:sz w:val="18"/>
          <w:szCs w:val="18"/>
        </w:rPr>
      </w:pPr>
      <w:r w:rsidRPr="001915B1">
        <w:rPr>
          <w:rFonts w:asciiTheme="minorHAnsi" w:hAnsiTheme="minorHAnsi" w:cstheme="minorHAnsi"/>
          <w:sz w:val="18"/>
          <w:szCs w:val="18"/>
          <w:vertAlign w:val="superscript"/>
        </w:rPr>
        <w:footnoteRef/>
      </w:r>
      <w:r w:rsidRPr="001915B1">
        <w:rPr>
          <w:rFonts w:asciiTheme="minorHAnsi" w:hAnsiTheme="minorHAnsi" w:cstheme="minorHAnsi"/>
          <w:color w:val="434343"/>
          <w:sz w:val="18"/>
          <w:szCs w:val="18"/>
        </w:rPr>
        <w:t xml:space="preserve"> </w:t>
      </w:r>
      <w:r w:rsidRPr="004F0860">
        <w:rPr>
          <w:rFonts w:asciiTheme="minorHAnsi" w:eastAsia="Calibri" w:hAnsiTheme="minorHAnsi" w:cstheme="minorHAnsi"/>
          <w:color w:val="000000" w:themeColor="text1"/>
          <w:sz w:val="18"/>
          <w:szCs w:val="18"/>
        </w:rPr>
        <w:t>Committee on Economic, Social and Cultural Rights (CESCR), General Comment 13, para. 6 (b) (iii).</w:t>
      </w:r>
    </w:p>
  </w:footnote>
  <w:footnote w:id="12">
    <w:p w14:paraId="00000094" w14:textId="77777777" w:rsidR="003F609F" w:rsidRPr="001915B1" w:rsidRDefault="00000000">
      <w:pPr>
        <w:rPr>
          <w:rFonts w:asciiTheme="minorHAnsi" w:hAnsiTheme="minorHAnsi" w:cstheme="minorHAnsi"/>
          <w:sz w:val="18"/>
          <w:szCs w:val="18"/>
        </w:rPr>
      </w:pPr>
      <w:r w:rsidRPr="001915B1">
        <w:rPr>
          <w:rFonts w:asciiTheme="minorHAnsi" w:hAnsiTheme="minorHAnsi" w:cstheme="minorHAnsi"/>
          <w:sz w:val="18"/>
          <w:szCs w:val="18"/>
          <w:vertAlign w:val="superscript"/>
        </w:rPr>
        <w:footnoteRef/>
      </w:r>
      <w:r w:rsidRPr="001915B1">
        <w:rPr>
          <w:rFonts w:asciiTheme="minorHAnsi" w:hAnsiTheme="minorHAnsi" w:cstheme="minorHAnsi"/>
          <w:sz w:val="18"/>
          <w:szCs w:val="18"/>
        </w:rPr>
        <w:t xml:space="preserve"> </w:t>
      </w:r>
      <w:r w:rsidRPr="001915B1">
        <w:rPr>
          <w:rFonts w:asciiTheme="minorHAnsi" w:eastAsia="Calibri" w:hAnsiTheme="minorHAnsi" w:cstheme="minorHAnsi"/>
          <w:sz w:val="18"/>
          <w:szCs w:val="18"/>
        </w:rPr>
        <w:t>Committee on Economic, Social and Cultural Rights (CESCR), General Comment 13, para. 44.</w:t>
      </w:r>
    </w:p>
  </w:footnote>
  <w:footnote w:id="13">
    <w:p w14:paraId="00000095" w14:textId="77777777" w:rsidR="003F609F" w:rsidRPr="001915B1" w:rsidRDefault="00000000">
      <w:pPr>
        <w:rPr>
          <w:rFonts w:asciiTheme="minorHAnsi" w:hAnsiTheme="minorHAnsi" w:cstheme="minorHAnsi"/>
          <w:sz w:val="18"/>
          <w:szCs w:val="18"/>
        </w:rPr>
      </w:pPr>
      <w:r w:rsidRPr="001915B1">
        <w:rPr>
          <w:rFonts w:asciiTheme="minorHAnsi" w:hAnsiTheme="minorHAnsi" w:cstheme="minorHAnsi"/>
          <w:sz w:val="18"/>
          <w:szCs w:val="18"/>
          <w:vertAlign w:val="superscript"/>
        </w:rPr>
        <w:footnoteRef/>
      </w:r>
      <w:r w:rsidRPr="001915B1">
        <w:rPr>
          <w:rFonts w:asciiTheme="minorHAnsi" w:hAnsiTheme="minorHAnsi" w:cstheme="minorHAnsi"/>
          <w:sz w:val="18"/>
          <w:szCs w:val="18"/>
        </w:rPr>
        <w:t xml:space="preserve"> </w:t>
      </w:r>
      <w:r w:rsidRPr="001915B1">
        <w:rPr>
          <w:rFonts w:asciiTheme="minorHAnsi" w:eastAsia="Calibri" w:hAnsiTheme="minorHAnsi" w:cstheme="minorHAnsi"/>
          <w:sz w:val="18"/>
          <w:szCs w:val="18"/>
        </w:rPr>
        <w:t>Committee on Economic, Social and Cultural Rights (CESCR), General Comment 13, para. 45.</w:t>
      </w:r>
    </w:p>
  </w:footnote>
  <w:footnote w:id="14">
    <w:p w14:paraId="0000008E" w14:textId="77777777" w:rsidR="003F609F" w:rsidRPr="001915B1" w:rsidRDefault="00000000">
      <w:pPr>
        <w:rPr>
          <w:rFonts w:asciiTheme="minorHAnsi" w:eastAsia="Calibri" w:hAnsiTheme="minorHAnsi" w:cstheme="minorHAnsi"/>
          <w:sz w:val="18"/>
          <w:szCs w:val="18"/>
        </w:rPr>
      </w:pPr>
      <w:r w:rsidRPr="001915B1">
        <w:rPr>
          <w:rFonts w:asciiTheme="minorHAnsi" w:hAnsiTheme="minorHAnsi" w:cstheme="minorHAnsi"/>
          <w:sz w:val="18"/>
          <w:szCs w:val="18"/>
          <w:vertAlign w:val="superscript"/>
        </w:rPr>
        <w:footnoteRef/>
      </w:r>
      <w:r w:rsidRPr="001915B1">
        <w:rPr>
          <w:rFonts w:asciiTheme="minorHAnsi" w:hAnsiTheme="minorHAnsi" w:cstheme="minorHAnsi"/>
          <w:sz w:val="18"/>
          <w:szCs w:val="18"/>
        </w:rPr>
        <w:t xml:space="preserve"> </w:t>
      </w:r>
      <w:hyperlink r:id="rId15">
        <w:r w:rsidRPr="001915B1">
          <w:rPr>
            <w:rFonts w:asciiTheme="minorHAnsi" w:eastAsia="Calibri" w:hAnsiTheme="minorHAnsi" w:cstheme="minorHAnsi"/>
            <w:sz w:val="18"/>
            <w:szCs w:val="18"/>
            <w:u w:val="single"/>
          </w:rPr>
          <w:t>International Covenant on Economic, Social and Cultural Rights</w:t>
        </w:r>
      </w:hyperlink>
      <w:r w:rsidRPr="001915B1">
        <w:rPr>
          <w:rFonts w:asciiTheme="minorHAnsi" w:eastAsia="Calibri" w:hAnsiTheme="minorHAnsi" w:cstheme="minorHAnsi"/>
          <w:sz w:val="18"/>
          <w:szCs w:val="18"/>
        </w:rPr>
        <w:t>, art. 2.2.</w:t>
      </w:r>
    </w:p>
  </w:footnote>
  <w:footnote w:id="15">
    <w:p w14:paraId="00000097" w14:textId="77777777" w:rsidR="003F609F" w:rsidRPr="001915B1" w:rsidRDefault="00000000">
      <w:pPr>
        <w:rPr>
          <w:rFonts w:asciiTheme="minorHAnsi" w:eastAsia="Calibri" w:hAnsiTheme="minorHAnsi" w:cstheme="minorHAnsi"/>
          <w:sz w:val="18"/>
          <w:szCs w:val="18"/>
        </w:rPr>
      </w:pPr>
      <w:r w:rsidRPr="001915B1">
        <w:rPr>
          <w:rFonts w:asciiTheme="minorHAnsi" w:hAnsiTheme="minorHAnsi" w:cstheme="minorHAnsi"/>
          <w:sz w:val="18"/>
          <w:szCs w:val="18"/>
          <w:vertAlign w:val="superscript"/>
        </w:rPr>
        <w:footnoteRef/>
      </w:r>
      <w:r w:rsidRPr="001915B1">
        <w:rPr>
          <w:rFonts w:asciiTheme="minorHAnsi" w:hAnsiTheme="minorHAnsi" w:cstheme="minorHAnsi"/>
          <w:sz w:val="18"/>
          <w:szCs w:val="18"/>
        </w:rPr>
        <w:t xml:space="preserve"> </w:t>
      </w:r>
      <w:r w:rsidRPr="001915B1">
        <w:rPr>
          <w:rFonts w:asciiTheme="minorHAnsi" w:eastAsia="Calibri" w:hAnsiTheme="minorHAnsi" w:cstheme="minorHAnsi"/>
          <w:sz w:val="18"/>
          <w:szCs w:val="18"/>
        </w:rPr>
        <w:t xml:space="preserve">As part of the French constitutional block, the Preamble to the Constitution of 1946 has the same normative status as the (current) Constitution of 1958, which refers to it in paragraph 1 of its own Preamble. See French Constitutional Council, 16 July 1971, </w:t>
      </w:r>
      <w:hyperlink r:id="rId16">
        <w:proofErr w:type="spellStart"/>
        <w:r w:rsidRPr="001915B1">
          <w:rPr>
            <w:rFonts w:asciiTheme="minorHAnsi" w:eastAsia="Calibri" w:hAnsiTheme="minorHAnsi" w:cstheme="minorHAnsi"/>
            <w:color w:val="1155CC"/>
            <w:sz w:val="18"/>
            <w:szCs w:val="18"/>
            <w:u w:val="single"/>
          </w:rPr>
          <w:t>Décision</w:t>
        </w:r>
        <w:proofErr w:type="spellEnd"/>
        <w:r w:rsidRPr="001915B1">
          <w:rPr>
            <w:rFonts w:asciiTheme="minorHAnsi" w:eastAsia="Calibri" w:hAnsiTheme="minorHAnsi" w:cstheme="minorHAnsi"/>
            <w:color w:val="1155CC"/>
            <w:sz w:val="18"/>
            <w:szCs w:val="18"/>
            <w:u w:val="single"/>
          </w:rPr>
          <w:t xml:space="preserve"> n° 71-44 DC</w:t>
        </w:r>
      </w:hyperlink>
      <w:r w:rsidRPr="001915B1">
        <w:rPr>
          <w:rFonts w:asciiTheme="minorHAnsi" w:eastAsia="Calibri" w:hAnsiTheme="minorHAnsi" w:cstheme="minorHAnsi"/>
          <w:sz w:val="18"/>
          <w:szCs w:val="18"/>
        </w:rPr>
        <w:t>.</w:t>
      </w:r>
    </w:p>
  </w:footnote>
  <w:footnote w:id="16">
    <w:p w14:paraId="00000096" w14:textId="77777777" w:rsidR="003F609F" w:rsidRPr="001915B1" w:rsidRDefault="00000000">
      <w:pPr>
        <w:rPr>
          <w:rFonts w:asciiTheme="minorHAnsi" w:hAnsiTheme="minorHAnsi" w:cstheme="minorHAnsi"/>
          <w:sz w:val="18"/>
          <w:szCs w:val="18"/>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sz w:val="18"/>
          <w:szCs w:val="18"/>
        </w:rPr>
        <w:t xml:space="preserve"> See Right to Education Initiative, </w:t>
      </w:r>
      <w:hyperlink r:id="rId17">
        <w:r w:rsidRPr="001915B1">
          <w:rPr>
            <w:rFonts w:asciiTheme="minorHAnsi" w:eastAsia="Calibri" w:hAnsiTheme="minorHAnsi" w:cstheme="minorHAnsi"/>
            <w:color w:val="1155CC"/>
            <w:sz w:val="18"/>
            <w:szCs w:val="18"/>
            <w:u w:val="single"/>
          </w:rPr>
          <w:t>Decision on higher education tuition fees in public universities</w:t>
        </w:r>
      </w:hyperlink>
      <w:r w:rsidRPr="001915B1">
        <w:rPr>
          <w:rFonts w:asciiTheme="minorHAnsi" w:eastAsia="Calibri" w:hAnsiTheme="minorHAnsi" w:cstheme="minorHAnsi"/>
          <w:color w:val="494879"/>
          <w:sz w:val="18"/>
          <w:szCs w:val="18"/>
        </w:rPr>
        <w:t xml:space="preserve"> (Constitutional Court, France, 2019)</w:t>
      </w:r>
    </w:p>
  </w:footnote>
  <w:footnote w:id="17">
    <w:p w14:paraId="00000079" w14:textId="77777777" w:rsidR="003F609F" w:rsidRPr="001915B1" w:rsidRDefault="00000000">
      <w:pPr>
        <w:rPr>
          <w:rFonts w:asciiTheme="minorHAnsi" w:eastAsia="Calibri" w:hAnsiTheme="minorHAnsi" w:cstheme="minorHAnsi"/>
          <w:sz w:val="18"/>
          <w:szCs w:val="18"/>
        </w:rPr>
      </w:pPr>
      <w:r w:rsidRPr="001915B1">
        <w:rPr>
          <w:rFonts w:asciiTheme="minorHAnsi" w:hAnsiTheme="minorHAnsi" w:cstheme="minorHAnsi"/>
          <w:sz w:val="18"/>
          <w:szCs w:val="18"/>
          <w:vertAlign w:val="superscript"/>
        </w:rPr>
        <w:footnoteRef/>
      </w:r>
      <w:r w:rsidRPr="001915B1">
        <w:rPr>
          <w:rFonts w:asciiTheme="minorHAnsi" w:hAnsiTheme="minorHAnsi" w:cstheme="minorHAnsi"/>
          <w:sz w:val="18"/>
          <w:szCs w:val="18"/>
        </w:rPr>
        <w:t xml:space="preserve"> </w:t>
      </w:r>
      <w:r w:rsidRPr="001915B1">
        <w:rPr>
          <w:rFonts w:asciiTheme="minorHAnsi" w:eastAsia="Calibri" w:hAnsiTheme="minorHAnsi" w:cstheme="minorHAnsi"/>
          <w:sz w:val="18"/>
          <w:szCs w:val="18"/>
        </w:rPr>
        <w:t xml:space="preserve">French </w:t>
      </w:r>
      <w:hyperlink r:id="rId18">
        <w:r w:rsidRPr="001915B1">
          <w:rPr>
            <w:rFonts w:asciiTheme="minorHAnsi" w:eastAsia="Calibri" w:hAnsiTheme="minorHAnsi" w:cstheme="minorHAnsi"/>
            <w:color w:val="1155CC"/>
            <w:sz w:val="18"/>
            <w:szCs w:val="18"/>
            <w:u w:val="single"/>
          </w:rPr>
          <w:t>Education Code</w:t>
        </w:r>
      </w:hyperlink>
      <w:r w:rsidRPr="001915B1">
        <w:rPr>
          <w:rFonts w:asciiTheme="minorHAnsi" w:eastAsia="Calibri" w:hAnsiTheme="minorHAnsi" w:cstheme="minorHAnsi"/>
          <w:sz w:val="18"/>
          <w:szCs w:val="18"/>
        </w:rPr>
        <w:t>, Article 123-2, para 3.</w:t>
      </w:r>
    </w:p>
  </w:footnote>
  <w:footnote w:id="18">
    <w:p w14:paraId="0000008D" w14:textId="77777777" w:rsidR="003F609F" w:rsidRPr="001915B1" w:rsidRDefault="00000000">
      <w:pPr>
        <w:rPr>
          <w:rFonts w:asciiTheme="minorHAnsi" w:hAnsiTheme="minorHAnsi" w:cstheme="minorHAnsi"/>
          <w:sz w:val="18"/>
          <w:szCs w:val="18"/>
        </w:rPr>
      </w:pPr>
      <w:r w:rsidRPr="001915B1">
        <w:rPr>
          <w:rFonts w:asciiTheme="minorHAnsi" w:hAnsiTheme="minorHAnsi" w:cstheme="minorHAnsi"/>
          <w:sz w:val="18"/>
          <w:szCs w:val="18"/>
          <w:vertAlign w:val="superscript"/>
        </w:rPr>
        <w:footnoteRef/>
      </w:r>
      <w:r w:rsidRPr="001915B1">
        <w:rPr>
          <w:rFonts w:asciiTheme="minorHAnsi" w:hAnsiTheme="minorHAnsi" w:cstheme="minorHAnsi"/>
          <w:sz w:val="18"/>
          <w:szCs w:val="18"/>
        </w:rPr>
        <w:t xml:space="preserve"> </w:t>
      </w:r>
      <w:r w:rsidRPr="001915B1">
        <w:rPr>
          <w:rFonts w:asciiTheme="minorHAnsi" w:eastAsia="Calibri" w:hAnsiTheme="minorHAnsi" w:cstheme="minorHAnsi"/>
          <w:sz w:val="18"/>
          <w:szCs w:val="18"/>
        </w:rPr>
        <w:t xml:space="preserve">French </w:t>
      </w:r>
      <w:hyperlink r:id="rId19">
        <w:r w:rsidRPr="001915B1">
          <w:rPr>
            <w:rFonts w:asciiTheme="minorHAnsi" w:eastAsia="Calibri" w:hAnsiTheme="minorHAnsi" w:cstheme="minorHAnsi"/>
            <w:sz w:val="18"/>
            <w:szCs w:val="18"/>
            <w:u w:val="single"/>
          </w:rPr>
          <w:t>Education Code</w:t>
        </w:r>
      </w:hyperlink>
      <w:r w:rsidRPr="001915B1">
        <w:rPr>
          <w:rFonts w:asciiTheme="minorHAnsi" w:eastAsia="Calibri" w:hAnsiTheme="minorHAnsi" w:cstheme="minorHAnsi"/>
          <w:sz w:val="18"/>
          <w:szCs w:val="18"/>
        </w:rPr>
        <w:t>, Article 123-2, para 3bis.</w:t>
      </w:r>
    </w:p>
  </w:footnote>
  <w:footnote w:id="19">
    <w:p w14:paraId="0000009D" w14:textId="77777777" w:rsidR="003F609F" w:rsidRPr="001915B1" w:rsidRDefault="00000000">
      <w:pPr>
        <w:rPr>
          <w:rFonts w:asciiTheme="minorHAnsi" w:eastAsia="Calibri" w:hAnsiTheme="minorHAnsi" w:cstheme="minorHAnsi"/>
          <w:sz w:val="18"/>
          <w:szCs w:val="18"/>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sz w:val="18"/>
          <w:szCs w:val="18"/>
        </w:rPr>
        <w:t xml:space="preserve"> Right to Education Initiative (2020), </w:t>
      </w:r>
      <w:hyperlink r:id="rId20">
        <w:r w:rsidRPr="001915B1">
          <w:rPr>
            <w:rFonts w:asciiTheme="minorHAnsi" w:eastAsia="Calibri" w:hAnsiTheme="minorHAnsi" w:cstheme="minorHAnsi"/>
            <w:color w:val="1155CC"/>
            <w:sz w:val="18"/>
            <w:szCs w:val="18"/>
            <w:u w:val="single"/>
          </w:rPr>
          <w:t>Limited Potential” The Right to Higher Education in France Impact of Place of Origin and of Cost on Inequality</w:t>
        </w:r>
      </w:hyperlink>
      <w:r w:rsidRPr="001915B1">
        <w:rPr>
          <w:rFonts w:asciiTheme="minorHAnsi" w:eastAsia="Calibri" w:hAnsiTheme="minorHAnsi" w:cstheme="minorHAnsi"/>
          <w:sz w:val="18"/>
          <w:szCs w:val="18"/>
        </w:rPr>
        <w:t xml:space="preserve">; Cécile Bonneau, </w:t>
      </w:r>
      <w:proofErr w:type="spellStart"/>
      <w:r w:rsidRPr="001915B1">
        <w:rPr>
          <w:rFonts w:asciiTheme="minorHAnsi" w:eastAsia="Calibri" w:hAnsiTheme="minorHAnsi" w:cstheme="minorHAnsi"/>
          <w:sz w:val="18"/>
          <w:szCs w:val="18"/>
        </w:rPr>
        <w:t>Sébastian</w:t>
      </w:r>
      <w:proofErr w:type="spellEnd"/>
      <w:r w:rsidRPr="001915B1">
        <w:rPr>
          <w:rFonts w:asciiTheme="minorHAnsi" w:eastAsia="Calibri" w:hAnsiTheme="minorHAnsi" w:cstheme="minorHAnsi"/>
          <w:sz w:val="18"/>
          <w:szCs w:val="18"/>
        </w:rPr>
        <w:t xml:space="preserve"> </w:t>
      </w:r>
      <w:proofErr w:type="spellStart"/>
      <w:r w:rsidRPr="001915B1">
        <w:rPr>
          <w:rFonts w:asciiTheme="minorHAnsi" w:eastAsia="Calibri" w:hAnsiTheme="minorHAnsi" w:cstheme="minorHAnsi"/>
          <w:sz w:val="18"/>
          <w:szCs w:val="18"/>
        </w:rPr>
        <w:t>Grobon</w:t>
      </w:r>
      <w:proofErr w:type="spellEnd"/>
      <w:r w:rsidRPr="001915B1">
        <w:rPr>
          <w:rFonts w:asciiTheme="minorHAnsi" w:eastAsia="Calibri" w:hAnsiTheme="minorHAnsi" w:cstheme="minorHAnsi"/>
          <w:sz w:val="18"/>
          <w:szCs w:val="18"/>
        </w:rPr>
        <w:t xml:space="preserve"> (2022). </w:t>
      </w:r>
      <w:hyperlink r:id="rId21">
        <w:r w:rsidRPr="001915B1">
          <w:rPr>
            <w:rFonts w:asciiTheme="minorHAnsi" w:eastAsia="Calibri" w:hAnsiTheme="minorHAnsi" w:cstheme="minorHAnsi"/>
            <w:color w:val="0563C1"/>
            <w:sz w:val="18"/>
            <w:szCs w:val="18"/>
            <w:u w:val="single"/>
          </w:rPr>
          <w:t>Unequal access to higher education based on parental income: evidence from France</w:t>
        </w:r>
      </w:hyperlink>
      <w:r w:rsidRPr="001915B1">
        <w:rPr>
          <w:rFonts w:asciiTheme="minorHAnsi" w:eastAsia="Calibri" w:hAnsiTheme="minorHAnsi" w:cstheme="minorHAnsi"/>
          <w:sz w:val="18"/>
          <w:szCs w:val="18"/>
        </w:rPr>
        <w:t>.</w:t>
      </w:r>
    </w:p>
  </w:footnote>
  <w:footnote w:id="20">
    <w:p w14:paraId="0000009E" w14:textId="77777777" w:rsidR="003F609F" w:rsidRPr="001915B1" w:rsidRDefault="00000000">
      <w:pPr>
        <w:rPr>
          <w:rFonts w:asciiTheme="minorHAnsi" w:eastAsia="Calibri" w:hAnsiTheme="minorHAnsi" w:cstheme="minorHAnsi"/>
          <w:sz w:val="18"/>
          <w:szCs w:val="18"/>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sz w:val="18"/>
          <w:szCs w:val="18"/>
        </w:rPr>
        <w:t xml:space="preserve"> </w:t>
      </w:r>
      <w:r w:rsidRPr="001915B1">
        <w:rPr>
          <w:rFonts w:asciiTheme="minorHAnsi" w:eastAsia="Calibri" w:hAnsiTheme="minorHAnsi" w:cstheme="minorHAnsi"/>
          <w:i/>
          <w:sz w:val="18"/>
          <w:szCs w:val="18"/>
        </w:rPr>
        <w:t>Grandes Écoles</w:t>
      </w:r>
      <w:r w:rsidRPr="001915B1">
        <w:rPr>
          <w:rFonts w:asciiTheme="minorHAnsi" w:eastAsia="Calibri" w:hAnsiTheme="minorHAnsi" w:cstheme="minorHAnsi"/>
          <w:sz w:val="18"/>
          <w:szCs w:val="18"/>
        </w:rPr>
        <w:t xml:space="preserve"> are elite establishments which serve to recruit and prepare the future leadership of France.</w:t>
      </w:r>
    </w:p>
  </w:footnote>
  <w:footnote w:id="21">
    <w:p w14:paraId="0000009F" w14:textId="77777777" w:rsidR="003F609F" w:rsidRPr="001915B1" w:rsidRDefault="00000000">
      <w:pPr>
        <w:jc w:val="both"/>
        <w:rPr>
          <w:rFonts w:asciiTheme="minorHAnsi" w:eastAsia="Calibri" w:hAnsiTheme="minorHAnsi" w:cstheme="minorHAnsi"/>
          <w:sz w:val="18"/>
          <w:szCs w:val="18"/>
          <w:lang w:val="fr-FR"/>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sz w:val="18"/>
          <w:szCs w:val="18"/>
          <w:lang w:val="fr-FR"/>
        </w:rPr>
        <w:t xml:space="preserve"> Onisep, </w:t>
      </w:r>
      <w:hyperlink r:id="rId22">
        <w:r w:rsidRPr="001915B1">
          <w:rPr>
            <w:rFonts w:asciiTheme="minorHAnsi" w:eastAsia="Calibri" w:hAnsiTheme="minorHAnsi" w:cstheme="minorHAnsi"/>
            <w:sz w:val="18"/>
            <w:szCs w:val="18"/>
            <w:u w:val="single"/>
            <w:lang w:val="fr-FR"/>
          </w:rPr>
          <w:t>Le schéma des études après le bac 2021-2022</w:t>
        </w:r>
      </w:hyperlink>
    </w:p>
  </w:footnote>
  <w:footnote w:id="22">
    <w:p w14:paraId="00000080" w14:textId="77777777" w:rsidR="003F609F" w:rsidRPr="001915B1" w:rsidRDefault="00000000">
      <w:pPr>
        <w:rPr>
          <w:rFonts w:asciiTheme="minorHAnsi" w:eastAsia="Calibri" w:hAnsiTheme="minorHAnsi" w:cstheme="minorHAnsi"/>
          <w:sz w:val="18"/>
          <w:szCs w:val="18"/>
        </w:rPr>
      </w:pPr>
      <w:r w:rsidRPr="001915B1">
        <w:rPr>
          <w:rFonts w:asciiTheme="minorHAnsi" w:hAnsiTheme="minorHAnsi" w:cstheme="minorHAnsi"/>
          <w:sz w:val="18"/>
          <w:szCs w:val="18"/>
          <w:vertAlign w:val="superscript"/>
        </w:rPr>
        <w:footnoteRef/>
      </w:r>
      <w:r w:rsidRPr="001915B1">
        <w:rPr>
          <w:rFonts w:asciiTheme="minorHAnsi" w:hAnsiTheme="minorHAnsi" w:cstheme="minorHAnsi"/>
          <w:sz w:val="18"/>
          <w:szCs w:val="18"/>
          <w:lang w:val="fr-FR"/>
        </w:rPr>
        <w:t xml:space="preserve"> </w:t>
      </w:r>
      <w:r w:rsidRPr="001915B1">
        <w:rPr>
          <w:rFonts w:asciiTheme="minorHAnsi" w:eastAsia="Calibri" w:hAnsiTheme="minorHAnsi" w:cstheme="minorHAnsi"/>
          <w:sz w:val="18"/>
          <w:szCs w:val="18"/>
          <w:lang w:val="fr-FR"/>
        </w:rPr>
        <w:t xml:space="preserve">Ministère de l’Enseignement Supérieur, de la Recherche et de l’Innovation - MESRI, (2022). </w:t>
      </w:r>
      <w:hyperlink r:id="rId23">
        <w:r w:rsidRPr="001915B1">
          <w:rPr>
            <w:rFonts w:asciiTheme="minorHAnsi" w:eastAsia="Calibri" w:hAnsiTheme="minorHAnsi" w:cstheme="minorHAnsi"/>
            <w:color w:val="1155CC"/>
            <w:sz w:val="18"/>
            <w:szCs w:val="18"/>
            <w:u w:val="single"/>
          </w:rPr>
          <w:t>Note Flash du SIES, N° 20</w:t>
        </w:r>
      </w:hyperlink>
      <w:r w:rsidRPr="001915B1">
        <w:rPr>
          <w:rFonts w:asciiTheme="minorHAnsi" w:eastAsia="Calibri" w:hAnsiTheme="minorHAnsi" w:cstheme="minorHAnsi"/>
          <w:sz w:val="18"/>
          <w:szCs w:val="18"/>
        </w:rPr>
        <w:t>.</w:t>
      </w:r>
    </w:p>
  </w:footnote>
  <w:footnote w:id="23">
    <w:p w14:paraId="000000A0" w14:textId="77777777" w:rsidR="003F609F" w:rsidRPr="001915B1" w:rsidRDefault="00000000">
      <w:pPr>
        <w:jc w:val="both"/>
        <w:rPr>
          <w:rFonts w:asciiTheme="minorHAnsi" w:eastAsia="Calibri" w:hAnsiTheme="minorHAnsi" w:cstheme="minorHAnsi"/>
          <w:sz w:val="18"/>
          <w:szCs w:val="18"/>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sz w:val="18"/>
          <w:szCs w:val="18"/>
        </w:rPr>
        <w:t xml:space="preserve"> </w:t>
      </w:r>
      <w:hyperlink r:id="rId24">
        <w:r w:rsidRPr="004F0860">
          <w:rPr>
            <w:rFonts w:asciiTheme="minorHAnsi" w:eastAsia="Calibri" w:hAnsiTheme="minorHAnsi" w:cstheme="minorHAnsi"/>
            <w:i/>
            <w:iCs/>
            <w:color w:val="1155CC"/>
            <w:sz w:val="18"/>
            <w:szCs w:val="18"/>
            <w:u w:val="single"/>
          </w:rPr>
          <w:t xml:space="preserve">Etudes </w:t>
        </w:r>
        <w:proofErr w:type="spellStart"/>
        <w:r w:rsidRPr="004F0860">
          <w:rPr>
            <w:rFonts w:asciiTheme="minorHAnsi" w:eastAsia="Calibri" w:hAnsiTheme="minorHAnsi" w:cstheme="minorHAnsi"/>
            <w:i/>
            <w:iCs/>
            <w:color w:val="1155CC"/>
            <w:sz w:val="18"/>
            <w:szCs w:val="18"/>
            <w:u w:val="single"/>
          </w:rPr>
          <w:t>statistiques</w:t>
        </w:r>
        <w:proofErr w:type="spellEnd"/>
        <w:r w:rsidRPr="004F0860">
          <w:rPr>
            <w:rFonts w:asciiTheme="minorHAnsi" w:eastAsia="Calibri" w:hAnsiTheme="minorHAnsi" w:cstheme="minorHAnsi"/>
            <w:i/>
            <w:iCs/>
            <w:color w:val="1155CC"/>
            <w:sz w:val="18"/>
            <w:szCs w:val="18"/>
            <w:u w:val="single"/>
          </w:rPr>
          <w:t xml:space="preserve"> de la Depp, </w:t>
        </w:r>
        <w:proofErr w:type="spellStart"/>
        <w:r w:rsidRPr="004F0860">
          <w:rPr>
            <w:rFonts w:asciiTheme="minorHAnsi" w:eastAsia="Calibri" w:hAnsiTheme="minorHAnsi" w:cstheme="minorHAnsi"/>
            <w:i/>
            <w:iCs/>
            <w:color w:val="1155CC"/>
            <w:sz w:val="18"/>
            <w:szCs w:val="18"/>
            <w:u w:val="single"/>
          </w:rPr>
          <w:t>Géographie</w:t>
        </w:r>
        <w:proofErr w:type="spellEnd"/>
        <w:r w:rsidRPr="004F0860">
          <w:rPr>
            <w:rFonts w:asciiTheme="minorHAnsi" w:eastAsia="Calibri" w:hAnsiTheme="minorHAnsi" w:cstheme="minorHAnsi"/>
            <w:i/>
            <w:iCs/>
            <w:color w:val="1155CC"/>
            <w:sz w:val="18"/>
            <w:szCs w:val="18"/>
            <w:u w:val="single"/>
          </w:rPr>
          <w:t xml:space="preserve"> de </w:t>
        </w:r>
        <w:proofErr w:type="spellStart"/>
        <w:r w:rsidRPr="004F0860">
          <w:rPr>
            <w:rFonts w:asciiTheme="minorHAnsi" w:eastAsia="Calibri" w:hAnsiTheme="minorHAnsi" w:cstheme="minorHAnsi"/>
            <w:i/>
            <w:iCs/>
            <w:color w:val="1155CC"/>
            <w:sz w:val="18"/>
            <w:szCs w:val="18"/>
            <w:u w:val="single"/>
          </w:rPr>
          <w:t>l'École</w:t>
        </w:r>
        <w:proofErr w:type="spellEnd"/>
        <w:r w:rsidRPr="004F0860">
          <w:rPr>
            <w:rFonts w:asciiTheme="minorHAnsi" w:eastAsia="Calibri" w:hAnsiTheme="minorHAnsi" w:cstheme="minorHAnsi"/>
            <w:i/>
            <w:iCs/>
            <w:color w:val="1155CC"/>
            <w:sz w:val="18"/>
            <w:szCs w:val="18"/>
            <w:u w:val="single"/>
          </w:rPr>
          <w:t xml:space="preserve">, </w:t>
        </w:r>
        <w:proofErr w:type="spellStart"/>
        <w:r w:rsidRPr="004F0860">
          <w:rPr>
            <w:rFonts w:asciiTheme="minorHAnsi" w:eastAsia="Calibri" w:hAnsiTheme="minorHAnsi" w:cstheme="minorHAnsi"/>
            <w:i/>
            <w:iCs/>
            <w:color w:val="1155CC"/>
            <w:sz w:val="18"/>
            <w:szCs w:val="18"/>
            <w:u w:val="single"/>
          </w:rPr>
          <w:t>douzième</w:t>
        </w:r>
        <w:proofErr w:type="spellEnd"/>
        <w:r w:rsidRPr="004F0860">
          <w:rPr>
            <w:rFonts w:asciiTheme="minorHAnsi" w:eastAsia="Calibri" w:hAnsiTheme="minorHAnsi" w:cstheme="minorHAnsi"/>
            <w:i/>
            <w:iCs/>
            <w:color w:val="1155CC"/>
            <w:sz w:val="18"/>
            <w:szCs w:val="18"/>
            <w:u w:val="single"/>
          </w:rPr>
          <w:t xml:space="preserve"> </w:t>
        </w:r>
        <w:proofErr w:type="spellStart"/>
        <w:r w:rsidRPr="004F0860">
          <w:rPr>
            <w:rFonts w:asciiTheme="minorHAnsi" w:eastAsia="Calibri" w:hAnsiTheme="minorHAnsi" w:cstheme="minorHAnsi"/>
            <w:i/>
            <w:iCs/>
            <w:color w:val="1155CC"/>
            <w:sz w:val="18"/>
            <w:szCs w:val="18"/>
            <w:u w:val="single"/>
          </w:rPr>
          <w:t>édition</w:t>
        </w:r>
        <w:proofErr w:type="spellEnd"/>
      </w:hyperlink>
      <w:r w:rsidRPr="004F0860">
        <w:rPr>
          <w:rFonts w:asciiTheme="minorHAnsi" w:eastAsia="Calibri" w:hAnsiTheme="minorHAnsi" w:cstheme="minorHAnsi"/>
          <w:i/>
          <w:iCs/>
          <w:sz w:val="18"/>
          <w:szCs w:val="18"/>
        </w:rPr>
        <w:t>,</w:t>
      </w:r>
      <w:r w:rsidRPr="001915B1">
        <w:rPr>
          <w:rFonts w:asciiTheme="minorHAnsi" w:eastAsia="Calibri" w:hAnsiTheme="minorHAnsi" w:cstheme="minorHAnsi"/>
          <w:sz w:val="18"/>
          <w:szCs w:val="18"/>
        </w:rPr>
        <w:t xml:space="preserve"> (2017) in Right to Education Initiative, Sciences Po Law Clinic (2020), </w:t>
      </w:r>
      <w:hyperlink r:id="rId25">
        <w:r w:rsidRPr="001915B1">
          <w:rPr>
            <w:rFonts w:asciiTheme="minorHAnsi" w:eastAsia="Calibri" w:hAnsiTheme="minorHAnsi" w:cstheme="minorHAnsi"/>
            <w:color w:val="1155CC"/>
            <w:sz w:val="18"/>
            <w:szCs w:val="18"/>
            <w:u w:val="single"/>
          </w:rPr>
          <w:t>Limited Potential’ - The right to higher education in France: impact of place of origin and of cost on inequality</w:t>
        </w:r>
      </w:hyperlink>
      <w:r w:rsidRPr="001915B1">
        <w:rPr>
          <w:rFonts w:asciiTheme="minorHAnsi" w:eastAsia="Calibri" w:hAnsiTheme="minorHAnsi" w:cstheme="minorHAnsi"/>
          <w:sz w:val="18"/>
          <w:szCs w:val="18"/>
        </w:rPr>
        <w:t>.</w:t>
      </w:r>
    </w:p>
  </w:footnote>
  <w:footnote w:id="24">
    <w:p w14:paraId="000000C3" w14:textId="77777777" w:rsidR="003F609F" w:rsidRPr="001915B1" w:rsidRDefault="00000000">
      <w:pPr>
        <w:rPr>
          <w:rFonts w:asciiTheme="minorHAnsi" w:eastAsia="Calibri" w:hAnsiTheme="minorHAnsi" w:cstheme="minorHAnsi"/>
          <w:sz w:val="18"/>
          <w:szCs w:val="18"/>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sz w:val="18"/>
          <w:szCs w:val="18"/>
        </w:rPr>
        <w:t xml:space="preserve"> ​​UNESCO and Right to Education Initiative (2022). </w:t>
      </w:r>
      <w:hyperlink r:id="rId26">
        <w:r w:rsidRPr="001915B1">
          <w:rPr>
            <w:rFonts w:asciiTheme="minorHAnsi" w:eastAsia="Calibri" w:hAnsiTheme="minorHAnsi" w:cstheme="minorHAnsi"/>
            <w:color w:val="1155CC"/>
            <w:sz w:val="18"/>
            <w:szCs w:val="18"/>
            <w:u w:val="single"/>
          </w:rPr>
          <w:t xml:space="preserve">Right to Higher Education: Unpacking the international normative framework </w:t>
        </w:r>
        <w:proofErr w:type="gramStart"/>
        <w:r w:rsidRPr="001915B1">
          <w:rPr>
            <w:rFonts w:asciiTheme="minorHAnsi" w:eastAsia="Calibri" w:hAnsiTheme="minorHAnsi" w:cstheme="minorHAnsi"/>
            <w:color w:val="1155CC"/>
            <w:sz w:val="18"/>
            <w:szCs w:val="18"/>
            <w:u w:val="single"/>
          </w:rPr>
          <w:t>in light of</w:t>
        </w:r>
        <w:proofErr w:type="gramEnd"/>
        <w:r w:rsidRPr="001915B1">
          <w:rPr>
            <w:rFonts w:asciiTheme="minorHAnsi" w:eastAsia="Calibri" w:hAnsiTheme="minorHAnsi" w:cstheme="minorHAnsi"/>
            <w:color w:val="1155CC"/>
            <w:sz w:val="18"/>
            <w:szCs w:val="18"/>
            <w:u w:val="single"/>
          </w:rPr>
          <w:t xml:space="preserve"> current trends and challenges</w:t>
        </w:r>
      </w:hyperlink>
    </w:p>
  </w:footnote>
  <w:footnote w:id="25">
    <w:p w14:paraId="000000A1" w14:textId="77777777" w:rsidR="003F609F" w:rsidRPr="001915B1" w:rsidRDefault="00000000">
      <w:pPr>
        <w:rPr>
          <w:rFonts w:asciiTheme="minorHAnsi" w:eastAsia="Calibri" w:hAnsiTheme="minorHAnsi" w:cstheme="minorHAnsi"/>
          <w:sz w:val="18"/>
          <w:szCs w:val="18"/>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sz w:val="18"/>
          <w:szCs w:val="18"/>
        </w:rPr>
        <w:t xml:space="preserve"> See for instance Brendan Cantwell, Simon </w:t>
      </w:r>
      <w:proofErr w:type="spellStart"/>
      <w:r w:rsidRPr="001915B1">
        <w:rPr>
          <w:rFonts w:asciiTheme="minorHAnsi" w:eastAsia="Calibri" w:hAnsiTheme="minorHAnsi" w:cstheme="minorHAnsi"/>
          <w:sz w:val="18"/>
          <w:szCs w:val="18"/>
        </w:rPr>
        <w:t>Marginson</w:t>
      </w:r>
      <w:proofErr w:type="spellEnd"/>
      <w:r w:rsidRPr="001915B1">
        <w:rPr>
          <w:rFonts w:asciiTheme="minorHAnsi" w:eastAsia="Calibri" w:hAnsiTheme="minorHAnsi" w:cstheme="minorHAnsi"/>
          <w:sz w:val="18"/>
          <w:szCs w:val="18"/>
        </w:rPr>
        <w:t xml:space="preserve">. </w:t>
      </w:r>
      <w:hyperlink r:id="rId27">
        <w:r w:rsidRPr="001915B1">
          <w:rPr>
            <w:rFonts w:asciiTheme="minorHAnsi" w:eastAsia="Calibri" w:hAnsiTheme="minorHAnsi" w:cstheme="minorHAnsi"/>
            <w:sz w:val="18"/>
            <w:szCs w:val="18"/>
            <w:u w:val="single"/>
          </w:rPr>
          <w:t>Vertical stratification</w:t>
        </w:r>
      </w:hyperlink>
      <w:r w:rsidRPr="001915B1">
        <w:rPr>
          <w:rFonts w:asciiTheme="minorHAnsi" w:eastAsia="Calibri" w:hAnsiTheme="minorHAnsi" w:cstheme="minorHAnsi"/>
          <w:sz w:val="18"/>
          <w:szCs w:val="18"/>
        </w:rPr>
        <w:t>, in Higher participation systems of higher education (2018).</w:t>
      </w:r>
    </w:p>
  </w:footnote>
  <w:footnote w:id="26">
    <w:p w14:paraId="000000BE" w14:textId="77777777" w:rsidR="003F609F" w:rsidRPr="001915B1" w:rsidRDefault="00000000">
      <w:pPr>
        <w:rPr>
          <w:rFonts w:asciiTheme="minorHAnsi" w:eastAsia="Calibri" w:hAnsiTheme="minorHAnsi" w:cstheme="minorHAnsi"/>
          <w:sz w:val="18"/>
          <w:szCs w:val="18"/>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sz w:val="18"/>
          <w:szCs w:val="18"/>
        </w:rPr>
        <w:t xml:space="preserve"> The public </w:t>
      </w:r>
      <w:r w:rsidRPr="004F0860">
        <w:rPr>
          <w:rFonts w:asciiTheme="minorHAnsi" w:eastAsia="Calibri" w:hAnsiTheme="minorHAnsi" w:cstheme="minorHAnsi"/>
          <w:i/>
          <w:iCs/>
          <w:sz w:val="18"/>
          <w:szCs w:val="18"/>
        </w:rPr>
        <w:t xml:space="preserve">Grandes </w:t>
      </w:r>
      <w:proofErr w:type="spellStart"/>
      <w:r w:rsidRPr="004F0860">
        <w:rPr>
          <w:rFonts w:asciiTheme="minorHAnsi" w:eastAsia="Calibri" w:hAnsiTheme="minorHAnsi" w:cstheme="minorHAnsi"/>
          <w:i/>
          <w:iCs/>
          <w:sz w:val="18"/>
          <w:szCs w:val="18"/>
        </w:rPr>
        <w:t>Ecoles</w:t>
      </w:r>
      <w:proofErr w:type="spellEnd"/>
      <w:r w:rsidRPr="001915B1">
        <w:rPr>
          <w:rFonts w:asciiTheme="minorHAnsi" w:eastAsia="Calibri" w:hAnsiTheme="minorHAnsi" w:cstheme="minorHAnsi"/>
          <w:sz w:val="18"/>
          <w:szCs w:val="18"/>
        </w:rPr>
        <w:t xml:space="preserve"> generally have affordable tuition fees, but these have been rising over the last ten years or so; some pay their students.</w:t>
      </w:r>
    </w:p>
  </w:footnote>
  <w:footnote w:id="27">
    <w:p w14:paraId="000000A2" w14:textId="77777777" w:rsidR="003F609F" w:rsidRPr="001915B1" w:rsidRDefault="00000000">
      <w:pPr>
        <w:rPr>
          <w:rFonts w:asciiTheme="minorHAnsi" w:eastAsia="Calibri" w:hAnsiTheme="minorHAnsi" w:cstheme="minorHAnsi"/>
          <w:sz w:val="18"/>
          <w:szCs w:val="18"/>
          <w:lang w:val="fr-FR"/>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sz w:val="18"/>
          <w:szCs w:val="18"/>
          <w:lang w:val="fr-FR"/>
        </w:rPr>
        <w:t xml:space="preserve"> Confédération des Grandes Écoles. (2022), </w:t>
      </w:r>
      <w:hyperlink r:id="rId28">
        <w:r w:rsidRPr="009C10EB">
          <w:rPr>
            <w:rFonts w:asciiTheme="minorHAnsi" w:eastAsia="Calibri" w:hAnsiTheme="minorHAnsi" w:cstheme="minorHAnsi"/>
            <w:i/>
            <w:iCs/>
            <w:sz w:val="18"/>
            <w:szCs w:val="18"/>
            <w:u w:val="single"/>
            <w:lang w:val="fr-FR"/>
          </w:rPr>
          <w:t>Livre Blanc Ouverture Sociale Et Territoriale Des Grandes Écoles</w:t>
        </w:r>
      </w:hyperlink>
    </w:p>
  </w:footnote>
  <w:footnote w:id="28">
    <w:p w14:paraId="000000A4" w14:textId="77777777" w:rsidR="003F609F" w:rsidRPr="001915B1" w:rsidRDefault="00000000">
      <w:pPr>
        <w:rPr>
          <w:rFonts w:asciiTheme="minorHAnsi" w:eastAsia="Calibri" w:hAnsiTheme="minorHAnsi" w:cstheme="minorHAnsi"/>
          <w:sz w:val="18"/>
          <w:szCs w:val="18"/>
          <w:lang w:val="fr-FR"/>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sz w:val="18"/>
          <w:szCs w:val="18"/>
          <w:lang w:val="fr-FR"/>
        </w:rPr>
        <w:t xml:space="preserve"> </w:t>
      </w:r>
      <w:proofErr w:type="spellStart"/>
      <w:r w:rsidRPr="001915B1">
        <w:rPr>
          <w:rFonts w:asciiTheme="minorHAnsi" w:eastAsia="Calibri" w:hAnsiTheme="minorHAnsi" w:cstheme="minorHAnsi"/>
          <w:sz w:val="18"/>
          <w:szCs w:val="18"/>
          <w:lang w:val="fr-FR"/>
        </w:rPr>
        <w:t>See</w:t>
      </w:r>
      <w:proofErr w:type="spellEnd"/>
      <w:r w:rsidRPr="001915B1">
        <w:rPr>
          <w:rFonts w:asciiTheme="minorHAnsi" w:eastAsia="Calibri" w:hAnsiTheme="minorHAnsi" w:cstheme="minorHAnsi"/>
          <w:sz w:val="18"/>
          <w:szCs w:val="18"/>
          <w:lang w:val="fr-FR"/>
        </w:rPr>
        <w:t xml:space="preserve"> </w:t>
      </w:r>
      <w:proofErr w:type="spellStart"/>
      <w:r w:rsidRPr="001915B1">
        <w:rPr>
          <w:rFonts w:asciiTheme="minorHAnsi" w:eastAsia="Calibri" w:hAnsiTheme="minorHAnsi" w:cstheme="minorHAnsi"/>
          <w:sz w:val="18"/>
          <w:szCs w:val="18"/>
          <w:lang w:val="fr-FR"/>
        </w:rPr>
        <w:t>map</w:t>
      </w:r>
      <w:proofErr w:type="spellEnd"/>
      <w:r w:rsidRPr="001915B1">
        <w:rPr>
          <w:rFonts w:asciiTheme="minorHAnsi" w:eastAsia="Calibri" w:hAnsiTheme="minorHAnsi" w:cstheme="minorHAnsi"/>
          <w:sz w:val="18"/>
          <w:szCs w:val="18"/>
          <w:lang w:val="fr-FR"/>
        </w:rPr>
        <w:t xml:space="preserve"> on </w:t>
      </w:r>
      <w:hyperlink r:id="rId29">
        <w:proofErr w:type="spellStart"/>
        <w:r w:rsidRPr="009C10EB">
          <w:rPr>
            <w:rFonts w:asciiTheme="minorHAnsi" w:eastAsia="Calibri" w:hAnsiTheme="minorHAnsi" w:cstheme="minorHAnsi"/>
            <w:i/>
            <w:iCs/>
            <w:color w:val="1155CC"/>
            <w:sz w:val="18"/>
            <w:szCs w:val="18"/>
            <w:u w:val="single"/>
            <w:lang w:val="fr-FR"/>
          </w:rPr>
          <w:t>Conference</w:t>
        </w:r>
        <w:proofErr w:type="spellEnd"/>
        <w:r w:rsidRPr="009C10EB">
          <w:rPr>
            <w:rFonts w:asciiTheme="minorHAnsi" w:eastAsia="Calibri" w:hAnsiTheme="minorHAnsi" w:cstheme="minorHAnsi"/>
            <w:i/>
            <w:iCs/>
            <w:color w:val="1155CC"/>
            <w:sz w:val="18"/>
            <w:szCs w:val="18"/>
            <w:u w:val="single"/>
            <w:lang w:val="fr-FR"/>
          </w:rPr>
          <w:t xml:space="preserve"> des Grandes </w:t>
        </w:r>
        <w:proofErr w:type="spellStart"/>
        <w:r w:rsidRPr="009C10EB">
          <w:rPr>
            <w:rFonts w:asciiTheme="minorHAnsi" w:eastAsia="Calibri" w:hAnsiTheme="minorHAnsi" w:cstheme="minorHAnsi"/>
            <w:i/>
            <w:iCs/>
            <w:color w:val="1155CC"/>
            <w:sz w:val="18"/>
            <w:szCs w:val="18"/>
            <w:u w:val="single"/>
            <w:lang w:val="fr-FR"/>
          </w:rPr>
          <w:t>Ecoles</w:t>
        </w:r>
        <w:proofErr w:type="spellEnd"/>
        <w:r w:rsidRPr="009C10EB">
          <w:rPr>
            <w:rFonts w:asciiTheme="minorHAnsi" w:eastAsia="Calibri" w:hAnsiTheme="minorHAnsi" w:cstheme="minorHAnsi"/>
            <w:i/>
            <w:iCs/>
            <w:color w:val="1155CC"/>
            <w:sz w:val="18"/>
            <w:szCs w:val="18"/>
            <w:u w:val="single"/>
            <w:lang w:val="fr-FR"/>
          </w:rPr>
          <w:t xml:space="preserve"> </w:t>
        </w:r>
        <w:proofErr w:type="spellStart"/>
        <w:r w:rsidRPr="001915B1">
          <w:rPr>
            <w:rFonts w:asciiTheme="minorHAnsi" w:eastAsia="Calibri" w:hAnsiTheme="minorHAnsi" w:cstheme="minorHAnsi"/>
            <w:color w:val="1155CC"/>
            <w:sz w:val="18"/>
            <w:szCs w:val="18"/>
            <w:u w:val="single"/>
            <w:lang w:val="fr-FR"/>
          </w:rPr>
          <w:t>website</w:t>
        </w:r>
        <w:proofErr w:type="spellEnd"/>
      </w:hyperlink>
      <w:r w:rsidRPr="001915B1">
        <w:rPr>
          <w:rFonts w:asciiTheme="minorHAnsi" w:eastAsia="Calibri" w:hAnsiTheme="minorHAnsi" w:cstheme="minorHAnsi"/>
          <w:sz w:val="18"/>
          <w:szCs w:val="18"/>
          <w:lang w:val="fr-FR"/>
        </w:rPr>
        <w:t>.</w:t>
      </w:r>
    </w:p>
  </w:footnote>
  <w:footnote w:id="29">
    <w:p w14:paraId="000000A7" w14:textId="77777777" w:rsidR="003F609F" w:rsidRPr="001915B1" w:rsidRDefault="00000000">
      <w:pPr>
        <w:jc w:val="both"/>
        <w:rPr>
          <w:rFonts w:asciiTheme="minorHAnsi" w:eastAsia="Calibri" w:hAnsiTheme="minorHAnsi" w:cstheme="minorHAnsi"/>
          <w:b/>
          <w:sz w:val="18"/>
          <w:szCs w:val="18"/>
          <w:lang w:val="fr-FR"/>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sz w:val="18"/>
          <w:szCs w:val="18"/>
          <w:lang w:val="fr-FR"/>
        </w:rPr>
        <w:t xml:space="preserve"> INSEE,  </w:t>
      </w:r>
      <w:hyperlink r:id="rId30">
        <w:r w:rsidRPr="001915B1">
          <w:rPr>
            <w:rFonts w:asciiTheme="minorHAnsi" w:eastAsia="Calibri" w:hAnsiTheme="minorHAnsi" w:cstheme="minorHAnsi"/>
            <w:sz w:val="18"/>
            <w:szCs w:val="18"/>
            <w:u w:val="single"/>
            <w:lang w:val="fr-FR"/>
          </w:rPr>
          <w:t>Revenus et patrimoine des ménages</w:t>
        </w:r>
      </w:hyperlink>
      <w:r w:rsidRPr="001915B1">
        <w:rPr>
          <w:rFonts w:asciiTheme="minorHAnsi" w:eastAsia="Calibri" w:hAnsiTheme="minorHAnsi" w:cstheme="minorHAnsi"/>
          <w:sz w:val="18"/>
          <w:szCs w:val="18"/>
          <w:lang w:val="fr-FR"/>
        </w:rPr>
        <w:t xml:space="preserve">  (2021)</w:t>
      </w:r>
    </w:p>
  </w:footnote>
  <w:footnote w:id="30">
    <w:p w14:paraId="000000A8" w14:textId="77777777" w:rsidR="003F609F" w:rsidRPr="001915B1" w:rsidRDefault="00000000">
      <w:pPr>
        <w:rPr>
          <w:rFonts w:asciiTheme="minorHAnsi" w:eastAsia="Calibri" w:hAnsiTheme="minorHAnsi" w:cstheme="minorHAnsi"/>
          <w:sz w:val="18"/>
          <w:szCs w:val="18"/>
          <w:lang w:val="fr-FR"/>
        </w:rPr>
      </w:pPr>
      <w:r w:rsidRPr="001915B1">
        <w:rPr>
          <w:rFonts w:asciiTheme="minorHAnsi" w:hAnsiTheme="minorHAnsi" w:cstheme="minorHAnsi"/>
          <w:sz w:val="18"/>
          <w:szCs w:val="18"/>
          <w:vertAlign w:val="superscript"/>
        </w:rPr>
        <w:footnoteRef/>
      </w:r>
      <w:r w:rsidRPr="001915B1">
        <w:rPr>
          <w:rFonts w:asciiTheme="minorHAnsi" w:hAnsiTheme="minorHAnsi" w:cstheme="minorHAnsi"/>
          <w:sz w:val="18"/>
          <w:szCs w:val="18"/>
          <w:lang w:val="fr-FR"/>
        </w:rPr>
        <w:t xml:space="preserve"> </w:t>
      </w:r>
      <w:r w:rsidRPr="001915B1">
        <w:rPr>
          <w:rFonts w:asciiTheme="minorHAnsi" w:eastAsia="Calibri" w:hAnsiTheme="minorHAnsi" w:cstheme="minorHAnsi"/>
          <w:sz w:val="18"/>
          <w:szCs w:val="18"/>
          <w:lang w:val="fr-FR"/>
        </w:rPr>
        <w:t xml:space="preserve">INSEE, </w:t>
      </w:r>
      <w:r w:rsidRPr="001915B1">
        <w:rPr>
          <w:rFonts w:asciiTheme="minorHAnsi" w:eastAsia="Calibri" w:hAnsiTheme="minorHAnsi" w:cstheme="minorHAnsi"/>
          <w:b/>
          <w:sz w:val="18"/>
          <w:szCs w:val="18"/>
          <w:lang w:val="fr-FR"/>
        </w:rPr>
        <w:t>Emploi, chômage, revenus du travail (2021)</w:t>
      </w:r>
    </w:p>
  </w:footnote>
  <w:footnote w:id="31">
    <w:p w14:paraId="000000A5" w14:textId="77777777" w:rsidR="003F609F" w:rsidRPr="004F0860" w:rsidRDefault="00000000">
      <w:pPr>
        <w:jc w:val="both"/>
        <w:rPr>
          <w:rFonts w:asciiTheme="minorHAnsi" w:eastAsia="Calibri" w:hAnsiTheme="minorHAnsi" w:cstheme="minorHAnsi"/>
          <w:color w:val="000000" w:themeColor="text1"/>
          <w:sz w:val="18"/>
          <w:szCs w:val="18"/>
          <w:lang w:val="fr-FR"/>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color w:val="A697A2"/>
          <w:sz w:val="18"/>
          <w:szCs w:val="18"/>
          <w:lang w:val="fr-FR"/>
        </w:rPr>
        <w:t xml:space="preserve"> </w:t>
      </w:r>
      <w:r w:rsidRPr="004F0860">
        <w:rPr>
          <w:rFonts w:asciiTheme="minorHAnsi" w:eastAsia="Calibri" w:hAnsiTheme="minorHAnsi" w:cstheme="minorHAnsi"/>
          <w:color w:val="000000" w:themeColor="text1"/>
          <w:sz w:val="18"/>
          <w:szCs w:val="18"/>
          <w:lang w:val="fr-FR"/>
        </w:rPr>
        <w:t xml:space="preserve">MENJS (2021) : </w:t>
      </w:r>
      <w:hyperlink r:id="rId31">
        <w:r w:rsidRPr="004F0860">
          <w:rPr>
            <w:rFonts w:asciiTheme="minorHAnsi" w:eastAsia="Calibri" w:hAnsiTheme="minorHAnsi" w:cstheme="minorHAnsi"/>
            <w:color w:val="000000" w:themeColor="text1"/>
            <w:sz w:val="18"/>
            <w:szCs w:val="18"/>
            <w:u w:val="single"/>
            <w:lang w:val="fr-FR"/>
          </w:rPr>
          <w:t>Repères et références statistiques,</w:t>
        </w:r>
      </w:hyperlink>
      <w:r w:rsidRPr="004F0860">
        <w:rPr>
          <w:rFonts w:asciiTheme="minorHAnsi" w:eastAsia="Calibri" w:hAnsiTheme="minorHAnsi" w:cstheme="minorHAnsi"/>
          <w:color w:val="000000" w:themeColor="text1"/>
          <w:sz w:val="18"/>
          <w:szCs w:val="18"/>
          <w:lang w:val="fr-FR"/>
        </w:rPr>
        <w:t xml:space="preserve"> </w:t>
      </w:r>
      <w:proofErr w:type="spellStart"/>
      <w:r w:rsidRPr="004F0860">
        <w:rPr>
          <w:rFonts w:asciiTheme="minorHAnsi" w:eastAsia="Calibri" w:hAnsiTheme="minorHAnsi" w:cstheme="minorHAnsi"/>
          <w:color w:val="000000" w:themeColor="text1"/>
          <w:sz w:val="18"/>
          <w:szCs w:val="18"/>
          <w:lang w:val="fr-FR"/>
        </w:rPr>
        <w:t>chap</w:t>
      </w:r>
      <w:proofErr w:type="spellEnd"/>
      <w:r w:rsidRPr="004F0860">
        <w:rPr>
          <w:rFonts w:asciiTheme="minorHAnsi" w:eastAsia="Calibri" w:hAnsiTheme="minorHAnsi" w:cstheme="minorHAnsi"/>
          <w:color w:val="000000" w:themeColor="text1"/>
          <w:sz w:val="18"/>
          <w:szCs w:val="18"/>
          <w:lang w:val="fr-FR"/>
        </w:rPr>
        <w:t xml:space="preserve"> 6, p. 178.</w:t>
      </w:r>
    </w:p>
  </w:footnote>
  <w:footnote w:id="32">
    <w:p w14:paraId="000000A6" w14:textId="77777777" w:rsidR="003F609F" w:rsidRPr="001915B1" w:rsidRDefault="00000000">
      <w:pPr>
        <w:jc w:val="both"/>
        <w:rPr>
          <w:rFonts w:asciiTheme="minorHAnsi" w:eastAsia="Calibri" w:hAnsiTheme="minorHAnsi" w:cstheme="minorHAnsi"/>
          <w:sz w:val="18"/>
          <w:szCs w:val="18"/>
          <w:lang w:val="fr-FR"/>
        </w:rPr>
      </w:pPr>
      <w:r w:rsidRPr="004F0860">
        <w:rPr>
          <w:rFonts w:asciiTheme="minorHAnsi" w:hAnsiTheme="minorHAnsi" w:cstheme="minorHAnsi"/>
          <w:color w:val="000000" w:themeColor="text1"/>
          <w:sz w:val="18"/>
          <w:szCs w:val="18"/>
          <w:vertAlign w:val="superscript"/>
        </w:rPr>
        <w:footnoteRef/>
      </w:r>
      <w:r w:rsidRPr="004F0860">
        <w:rPr>
          <w:rFonts w:asciiTheme="minorHAnsi" w:eastAsia="Calibri" w:hAnsiTheme="minorHAnsi" w:cstheme="minorHAnsi"/>
          <w:color w:val="000000" w:themeColor="text1"/>
          <w:sz w:val="18"/>
          <w:szCs w:val="18"/>
          <w:lang w:val="fr-FR"/>
        </w:rPr>
        <w:t xml:space="preserve"> MENJS (2021) : </w:t>
      </w:r>
      <w:hyperlink r:id="rId32">
        <w:r w:rsidRPr="004F0860">
          <w:rPr>
            <w:rFonts w:asciiTheme="minorHAnsi" w:eastAsia="Calibri" w:hAnsiTheme="minorHAnsi" w:cstheme="minorHAnsi"/>
            <w:color w:val="000000" w:themeColor="text1"/>
            <w:sz w:val="18"/>
            <w:szCs w:val="18"/>
            <w:u w:val="single"/>
            <w:lang w:val="fr-FR"/>
          </w:rPr>
          <w:t>Repères et références statistiques,</w:t>
        </w:r>
      </w:hyperlink>
      <w:r w:rsidRPr="004F0860">
        <w:rPr>
          <w:rFonts w:asciiTheme="minorHAnsi" w:eastAsia="Calibri" w:hAnsiTheme="minorHAnsi" w:cstheme="minorHAnsi"/>
          <w:color w:val="000000" w:themeColor="text1"/>
          <w:sz w:val="18"/>
          <w:szCs w:val="18"/>
          <w:lang w:val="fr-FR"/>
        </w:rPr>
        <w:t xml:space="preserve"> </w:t>
      </w:r>
      <w:proofErr w:type="spellStart"/>
      <w:r w:rsidRPr="004F0860">
        <w:rPr>
          <w:rFonts w:asciiTheme="minorHAnsi" w:eastAsia="Calibri" w:hAnsiTheme="minorHAnsi" w:cstheme="minorHAnsi"/>
          <w:color w:val="000000" w:themeColor="text1"/>
          <w:sz w:val="18"/>
          <w:szCs w:val="18"/>
          <w:lang w:val="fr-FR"/>
        </w:rPr>
        <w:t>chap</w:t>
      </w:r>
      <w:proofErr w:type="spellEnd"/>
      <w:r w:rsidRPr="004F0860">
        <w:rPr>
          <w:rFonts w:asciiTheme="minorHAnsi" w:eastAsia="Calibri" w:hAnsiTheme="minorHAnsi" w:cstheme="minorHAnsi"/>
          <w:color w:val="000000" w:themeColor="text1"/>
          <w:sz w:val="18"/>
          <w:szCs w:val="18"/>
          <w:lang w:val="fr-FR"/>
        </w:rPr>
        <w:t xml:space="preserve"> 6, p. 178.</w:t>
      </w:r>
    </w:p>
  </w:footnote>
  <w:footnote w:id="33">
    <w:p w14:paraId="000000A3" w14:textId="77777777" w:rsidR="003F609F" w:rsidRPr="001915B1" w:rsidRDefault="00000000">
      <w:pPr>
        <w:rPr>
          <w:rFonts w:asciiTheme="minorHAnsi" w:hAnsiTheme="minorHAnsi" w:cstheme="minorHAnsi"/>
          <w:sz w:val="18"/>
          <w:szCs w:val="18"/>
        </w:rPr>
      </w:pPr>
      <w:r w:rsidRPr="001915B1">
        <w:rPr>
          <w:rFonts w:asciiTheme="minorHAnsi" w:hAnsiTheme="minorHAnsi" w:cstheme="minorHAnsi"/>
          <w:sz w:val="18"/>
          <w:szCs w:val="18"/>
          <w:vertAlign w:val="superscript"/>
        </w:rPr>
        <w:footnoteRef/>
      </w:r>
      <w:r w:rsidRPr="001915B1">
        <w:rPr>
          <w:rFonts w:asciiTheme="minorHAnsi" w:hAnsiTheme="minorHAnsi" w:cstheme="minorHAnsi"/>
          <w:sz w:val="18"/>
          <w:szCs w:val="18"/>
        </w:rPr>
        <w:t xml:space="preserve"> </w:t>
      </w:r>
      <w:r w:rsidRPr="001915B1">
        <w:rPr>
          <w:rFonts w:asciiTheme="minorHAnsi" w:eastAsia="Calibri" w:hAnsiTheme="minorHAnsi" w:cstheme="minorHAnsi"/>
          <w:sz w:val="18"/>
          <w:szCs w:val="18"/>
        </w:rPr>
        <w:t xml:space="preserve">Report of the Special Rapporteur on the right to education: </w:t>
      </w:r>
      <w:hyperlink r:id="rId33">
        <w:r w:rsidRPr="001915B1">
          <w:rPr>
            <w:rFonts w:asciiTheme="minorHAnsi" w:eastAsia="Calibri" w:hAnsiTheme="minorHAnsi" w:cstheme="minorHAnsi"/>
            <w:color w:val="1155CC"/>
            <w:sz w:val="18"/>
            <w:szCs w:val="18"/>
            <w:u w:val="single"/>
          </w:rPr>
          <w:t>Securing the Right to education: advances and critical challenges</w:t>
        </w:r>
      </w:hyperlink>
      <w:r w:rsidRPr="001915B1">
        <w:rPr>
          <w:rFonts w:asciiTheme="minorHAnsi" w:eastAsia="Calibri" w:hAnsiTheme="minorHAnsi" w:cstheme="minorHAnsi"/>
          <w:sz w:val="18"/>
          <w:szCs w:val="18"/>
        </w:rPr>
        <w:t>, A/HRC/53/27, Para. 33 (2023).</w:t>
      </w:r>
    </w:p>
  </w:footnote>
  <w:footnote w:id="34">
    <w:p w14:paraId="000000AC" w14:textId="00282402" w:rsidR="003F609F" w:rsidRPr="004F0860" w:rsidRDefault="00000000">
      <w:pPr>
        <w:rPr>
          <w:rFonts w:asciiTheme="minorHAnsi" w:eastAsia="Calibri" w:hAnsiTheme="minorHAnsi" w:cstheme="minorHAnsi"/>
          <w:sz w:val="18"/>
          <w:szCs w:val="18"/>
        </w:rPr>
      </w:pPr>
      <w:r w:rsidRPr="001915B1">
        <w:rPr>
          <w:rFonts w:asciiTheme="minorHAnsi" w:hAnsiTheme="minorHAnsi" w:cstheme="minorHAnsi"/>
          <w:sz w:val="18"/>
          <w:szCs w:val="18"/>
          <w:vertAlign w:val="superscript"/>
        </w:rPr>
        <w:footnoteRef/>
      </w:r>
      <w:r w:rsidRPr="004F0860">
        <w:rPr>
          <w:rFonts w:asciiTheme="minorHAnsi" w:hAnsiTheme="minorHAnsi" w:cstheme="minorHAnsi"/>
          <w:sz w:val="18"/>
          <w:szCs w:val="18"/>
        </w:rPr>
        <w:t xml:space="preserve"> </w:t>
      </w:r>
      <w:hyperlink r:id="rId34">
        <w:r w:rsidRPr="004F0860">
          <w:rPr>
            <w:rFonts w:asciiTheme="minorHAnsi" w:eastAsia="Calibri" w:hAnsiTheme="minorHAnsi" w:cstheme="minorHAnsi"/>
            <w:sz w:val="18"/>
            <w:szCs w:val="18"/>
            <w:u w:val="single"/>
          </w:rPr>
          <w:t>https://www.service-public.fr/particuliers/actualites/A14725</w:t>
        </w:r>
      </w:hyperlink>
      <w:r w:rsidRPr="004F0860">
        <w:rPr>
          <w:rFonts w:asciiTheme="minorHAnsi" w:eastAsia="Calibri" w:hAnsiTheme="minorHAnsi" w:cstheme="minorHAnsi"/>
          <w:sz w:val="18"/>
          <w:szCs w:val="18"/>
        </w:rPr>
        <w:t>.</w:t>
      </w:r>
    </w:p>
  </w:footnote>
  <w:footnote w:id="35">
    <w:p w14:paraId="000000AD" w14:textId="2EE33936" w:rsidR="003F609F" w:rsidRPr="001915B1" w:rsidRDefault="00000000">
      <w:pPr>
        <w:rPr>
          <w:rFonts w:asciiTheme="minorHAnsi" w:eastAsia="Calibri" w:hAnsiTheme="minorHAnsi" w:cstheme="minorHAnsi"/>
          <w:sz w:val="18"/>
          <w:szCs w:val="18"/>
        </w:rPr>
      </w:pPr>
      <w:r w:rsidRPr="001915B1">
        <w:rPr>
          <w:rFonts w:asciiTheme="minorHAnsi" w:hAnsiTheme="minorHAnsi" w:cstheme="minorHAnsi"/>
          <w:sz w:val="18"/>
          <w:szCs w:val="18"/>
          <w:vertAlign w:val="superscript"/>
        </w:rPr>
        <w:footnoteRef/>
      </w:r>
      <w:r w:rsidRPr="001915B1">
        <w:rPr>
          <w:rFonts w:asciiTheme="minorHAnsi" w:hAnsiTheme="minorHAnsi" w:cstheme="minorHAnsi"/>
          <w:sz w:val="18"/>
          <w:szCs w:val="18"/>
        </w:rPr>
        <w:t xml:space="preserve"> </w:t>
      </w:r>
      <w:sdt>
        <w:sdtPr>
          <w:rPr>
            <w:rFonts w:asciiTheme="minorHAnsi" w:hAnsiTheme="minorHAnsi" w:cstheme="minorHAnsi"/>
            <w:sz w:val="18"/>
            <w:szCs w:val="18"/>
          </w:rPr>
          <w:tag w:val="goog_rdk_2"/>
          <w:id w:val="1388609354"/>
        </w:sdtPr>
        <w:sdtContent>
          <w:r w:rsidRPr="001915B1">
            <w:rPr>
              <w:rFonts w:asciiTheme="minorHAnsi" w:hAnsiTheme="minorHAnsi" w:cstheme="minorHAnsi"/>
              <w:sz w:val="18"/>
              <w:szCs w:val="18"/>
            </w:rPr>
            <w:t xml:space="preserve">French students, under certain conditions do not pay tuitions and are remunerated during their studies. See </w:t>
          </w:r>
        </w:sdtContent>
      </w:sdt>
      <w:hyperlink r:id="rId35">
        <w:r w:rsidRPr="001915B1">
          <w:rPr>
            <w:rFonts w:asciiTheme="minorHAnsi" w:eastAsia="Calibri" w:hAnsiTheme="minorHAnsi" w:cstheme="minorHAnsi"/>
            <w:sz w:val="18"/>
            <w:szCs w:val="18"/>
            <w:u w:val="single"/>
          </w:rPr>
          <w:t>https://programmes.polytechnique.edu/cycle-ingenieur-polytechnicien/cout-de-la-formation</w:t>
        </w:r>
      </w:hyperlink>
    </w:p>
  </w:footnote>
  <w:footnote w:id="36">
    <w:p w14:paraId="000000AE" w14:textId="18A20D32" w:rsidR="003F609F" w:rsidRPr="001915B1" w:rsidRDefault="00000000">
      <w:pPr>
        <w:rPr>
          <w:rFonts w:asciiTheme="minorHAnsi" w:eastAsia="Calibri" w:hAnsiTheme="minorHAnsi" w:cstheme="minorHAnsi"/>
          <w:sz w:val="18"/>
          <w:szCs w:val="18"/>
        </w:rPr>
      </w:pPr>
      <w:r w:rsidRPr="001915B1">
        <w:rPr>
          <w:rFonts w:asciiTheme="minorHAnsi" w:hAnsiTheme="minorHAnsi" w:cstheme="minorHAnsi"/>
          <w:sz w:val="18"/>
          <w:szCs w:val="18"/>
          <w:vertAlign w:val="superscript"/>
        </w:rPr>
        <w:footnoteRef/>
      </w:r>
      <w:r w:rsidRPr="001915B1">
        <w:rPr>
          <w:rFonts w:asciiTheme="minorHAnsi" w:hAnsiTheme="minorHAnsi" w:cstheme="minorHAnsi"/>
          <w:sz w:val="18"/>
          <w:szCs w:val="18"/>
        </w:rPr>
        <w:t xml:space="preserve"> </w:t>
      </w:r>
      <w:hyperlink r:id="rId36">
        <w:r w:rsidRPr="001915B1">
          <w:rPr>
            <w:rFonts w:asciiTheme="minorHAnsi" w:eastAsia="Calibri" w:hAnsiTheme="minorHAnsi" w:cstheme="minorHAnsi"/>
            <w:sz w:val="18"/>
            <w:szCs w:val="18"/>
            <w:u w:val="single"/>
          </w:rPr>
          <w:t>https://www.sciencespo.fr/students/en/fees-funding/tuition-fees</w:t>
        </w:r>
      </w:hyperlink>
    </w:p>
  </w:footnote>
  <w:footnote w:id="37">
    <w:p w14:paraId="000000AF" w14:textId="77777777" w:rsidR="003F609F" w:rsidRPr="001915B1" w:rsidRDefault="00000000">
      <w:pPr>
        <w:rPr>
          <w:rFonts w:asciiTheme="minorHAnsi" w:eastAsia="Calibri" w:hAnsiTheme="minorHAnsi" w:cstheme="minorHAnsi"/>
          <w:sz w:val="18"/>
          <w:szCs w:val="18"/>
          <w:lang w:val="fr-FR"/>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sz w:val="18"/>
          <w:szCs w:val="18"/>
          <w:lang w:val="fr-FR"/>
        </w:rPr>
        <w:t xml:space="preserve"> UNEF (2022). </w:t>
      </w:r>
      <w:hyperlink r:id="rId37">
        <w:r w:rsidRPr="001915B1">
          <w:rPr>
            <w:rFonts w:asciiTheme="minorHAnsi" w:eastAsia="Calibri" w:hAnsiTheme="minorHAnsi" w:cstheme="minorHAnsi"/>
            <w:color w:val="1155CC"/>
            <w:sz w:val="18"/>
            <w:szCs w:val="18"/>
            <w:u w:val="single"/>
            <w:lang w:val="fr-FR"/>
          </w:rPr>
          <w:t>Classement des villes universitaires selon le coût de la vie étudiante</w:t>
        </w:r>
      </w:hyperlink>
      <w:r w:rsidRPr="001915B1">
        <w:rPr>
          <w:rFonts w:asciiTheme="minorHAnsi" w:eastAsia="Calibri" w:hAnsiTheme="minorHAnsi" w:cstheme="minorHAnsi"/>
          <w:sz w:val="18"/>
          <w:szCs w:val="18"/>
          <w:lang w:val="fr-FR"/>
        </w:rPr>
        <w:t xml:space="preserve">.  </w:t>
      </w:r>
    </w:p>
  </w:footnote>
  <w:footnote w:id="38">
    <w:p w14:paraId="0000007B" w14:textId="77777777" w:rsidR="003F609F" w:rsidRPr="001915B1" w:rsidRDefault="00000000">
      <w:pPr>
        <w:rPr>
          <w:rFonts w:asciiTheme="minorHAnsi" w:hAnsiTheme="minorHAnsi" w:cstheme="minorHAnsi"/>
          <w:sz w:val="18"/>
          <w:szCs w:val="18"/>
          <w:lang w:val="fr-FR"/>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sz w:val="18"/>
          <w:szCs w:val="18"/>
          <w:lang w:val="fr-FR"/>
        </w:rPr>
        <w:t xml:space="preserve"> UNEF (2022). </w:t>
      </w:r>
      <w:hyperlink r:id="rId38">
        <w:r w:rsidRPr="001915B1">
          <w:rPr>
            <w:rFonts w:asciiTheme="minorHAnsi" w:eastAsia="Calibri" w:hAnsiTheme="minorHAnsi" w:cstheme="minorHAnsi"/>
            <w:color w:val="1155CC"/>
            <w:sz w:val="18"/>
            <w:szCs w:val="18"/>
            <w:u w:val="single"/>
            <w:lang w:val="fr-FR"/>
          </w:rPr>
          <w:t>Classement des villes universitaires selon le coût de la vie étudiante</w:t>
        </w:r>
      </w:hyperlink>
      <w:r w:rsidRPr="001915B1">
        <w:rPr>
          <w:rFonts w:asciiTheme="minorHAnsi" w:eastAsia="Calibri" w:hAnsiTheme="minorHAnsi" w:cstheme="minorHAnsi"/>
          <w:sz w:val="18"/>
          <w:szCs w:val="18"/>
          <w:lang w:val="fr-FR"/>
        </w:rPr>
        <w:t>.</w:t>
      </w:r>
      <w:r w:rsidRPr="001915B1">
        <w:rPr>
          <w:rFonts w:asciiTheme="minorHAnsi" w:hAnsiTheme="minorHAnsi" w:cstheme="minorHAnsi"/>
          <w:sz w:val="18"/>
          <w:szCs w:val="18"/>
          <w:lang w:val="fr-FR"/>
        </w:rPr>
        <w:t xml:space="preserve">  </w:t>
      </w:r>
    </w:p>
  </w:footnote>
  <w:footnote w:id="39">
    <w:p w14:paraId="000000B0" w14:textId="77777777" w:rsidR="003F609F" w:rsidRPr="001915B1" w:rsidRDefault="00000000">
      <w:pPr>
        <w:rPr>
          <w:rFonts w:asciiTheme="minorHAnsi" w:eastAsia="Calibri" w:hAnsiTheme="minorHAnsi" w:cstheme="minorHAnsi"/>
          <w:sz w:val="18"/>
          <w:szCs w:val="18"/>
          <w:lang w:val="fr-FR"/>
        </w:rPr>
      </w:pPr>
      <w:r w:rsidRPr="001915B1">
        <w:rPr>
          <w:rFonts w:asciiTheme="minorHAnsi" w:hAnsiTheme="minorHAnsi" w:cstheme="minorHAnsi"/>
          <w:sz w:val="18"/>
          <w:szCs w:val="18"/>
          <w:vertAlign w:val="superscript"/>
        </w:rPr>
        <w:footnoteRef/>
      </w:r>
      <w:r w:rsidRPr="001915B1">
        <w:rPr>
          <w:rFonts w:asciiTheme="minorHAnsi" w:hAnsiTheme="minorHAnsi" w:cstheme="minorHAnsi"/>
          <w:sz w:val="18"/>
          <w:szCs w:val="18"/>
          <w:lang w:val="fr-FR"/>
        </w:rPr>
        <w:t xml:space="preserve"> </w:t>
      </w:r>
      <w:r w:rsidRPr="001915B1">
        <w:rPr>
          <w:rFonts w:asciiTheme="minorHAnsi" w:eastAsia="Calibri" w:hAnsiTheme="minorHAnsi" w:cstheme="minorHAnsi"/>
          <w:sz w:val="18"/>
          <w:szCs w:val="18"/>
          <w:lang w:val="fr-FR"/>
        </w:rPr>
        <w:t xml:space="preserve">UNEF (2022). </w:t>
      </w:r>
      <w:hyperlink r:id="rId39">
        <w:r w:rsidRPr="001915B1">
          <w:rPr>
            <w:rFonts w:asciiTheme="minorHAnsi" w:eastAsia="Calibri" w:hAnsiTheme="minorHAnsi" w:cstheme="minorHAnsi"/>
            <w:color w:val="1155CC"/>
            <w:sz w:val="18"/>
            <w:szCs w:val="18"/>
            <w:u w:val="single"/>
            <w:lang w:val="fr-FR"/>
          </w:rPr>
          <w:t>Classement des villes universitaires selon le coût de la vie étudiante</w:t>
        </w:r>
      </w:hyperlink>
      <w:r w:rsidRPr="001915B1">
        <w:rPr>
          <w:rFonts w:asciiTheme="minorHAnsi" w:eastAsia="Calibri" w:hAnsiTheme="minorHAnsi" w:cstheme="minorHAnsi"/>
          <w:color w:val="1155CC"/>
          <w:sz w:val="18"/>
          <w:szCs w:val="18"/>
          <w:lang w:val="fr-FR"/>
        </w:rPr>
        <w:t>.</w:t>
      </w:r>
    </w:p>
  </w:footnote>
  <w:footnote w:id="40">
    <w:p w14:paraId="000000B2" w14:textId="77777777" w:rsidR="003F609F" w:rsidRPr="001915B1" w:rsidRDefault="00000000">
      <w:pPr>
        <w:rPr>
          <w:rFonts w:asciiTheme="minorHAnsi" w:hAnsiTheme="minorHAnsi" w:cstheme="minorHAnsi"/>
          <w:sz w:val="18"/>
          <w:szCs w:val="18"/>
          <w:lang w:val="fr-FR"/>
        </w:rPr>
      </w:pPr>
      <w:r w:rsidRPr="001915B1">
        <w:rPr>
          <w:rFonts w:asciiTheme="minorHAnsi" w:hAnsiTheme="minorHAnsi" w:cstheme="minorHAnsi"/>
          <w:sz w:val="18"/>
          <w:szCs w:val="18"/>
          <w:vertAlign w:val="superscript"/>
        </w:rPr>
        <w:footnoteRef/>
      </w:r>
      <w:r w:rsidRPr="001915B1">
        <w:rPr>
          <w:rFonts w:asciiTheme="minorHAnsi" w:hAnsiTheme="minorHAnsi" w:cstheme="minorHAnsi"/>
          <w:sz w:val="18"/>
          <w:szCs w:val="18"/>
          <w:lang w:val="fr-FR"/>
        </w:rPr>
        <w:t xml:space="preserve"> </w:t>
      </w:r>
      <w:r w:rsidRPr="001915B1">
        <w:rPr>
          <w:rFonts w:asciiTheme="minorHAnsi" w:eastAsia="Calibri" w:hAnsiTheme="minorHAnsi" w:cstheme="minorHAnsi"/>
          <w:sz w:val="18"/>
          <w:szCs w:val="18"/>
          <w:lang w:val="fr-FR"/>
        </w:rPr>
        <w:t xml:space="preserve">UNEF (2022). </w:t>
      </w:r>
      <w:hyperlink r:id="rId40">
        <w:r w:rsidRPr="001915B1">
          <w:rPr>
            <w:rFonts w:asciiTheme="minorHAnsi" w:eastAsia="Calibri" w:hAnsiTheme="minorHAnsi" w:cstheme="minorHAnsi"/>
            <w:color w:val="1155CC"/>
            <w:sz w:val="18"/>
            <w:szCs w:val="18"/>
            <w:u w:val="single"/>
            <w:lang w:val="fr-FR"/>
          </w:rPr>
          <w:t>Classement des villes universitaires selon le coût de la vie étudiante</w:t>
        </w:r>
      </w:hyperlink>
      <w:r w:rsidRPr="001915B1">
        <w:rPr>
          <w:rFonts w:asciiTheme="minorHAnsi" w:hAnsiTheme="minorHAnsi" w:cstheme="minorHAnsi"/>
          <w:color w:val="1155CC"/>
          <w:sz w:val="18"/>
          <w:szCs w:val="18"/>
          <w:lang w:val="fr-FR"/>
        </w:rPr>
        <w:t>.</w:t>
      </w:r>
    </w:p>
  </w:footnote>
  <w:footnote w:id="41">
    <w:p w14:paraId="0000007C" w14:textId="77777777" w:rsidR="003F609F" w:rsidRPr="001915B1" w:rsidRDefault="00000000">
      <w:pPr>
        <w:rPr>
          <w:rFonts w:asciiTheme="minorHAnsi" w:hAnsiTheme="minorHAnsi" w:cstheme="minorHAnsi"/>
          <w:sz w:val="18"/>
          <w:szCs w:val="18"/>
          <w:lang w:val="fr-FR"/>
        </w:rPr>
      </w:pPr>
      <w:r w:rsidRPr="001915B1">
        <w:rPr>
          <w:rFonts w:asciiTheme="minorHAnsi" w:hAnsiTheme="minorHAnsi" w:cstheme="minorHAnsi"/>
          <w:sz w:val="18"/>
          <w:szCs w:val="18"/>
          <w:vertAlign w:val="superscript"/>
        </w:rPr>
        <w:footnoteRef/>
      </w:r>
      <w:r w:rsidRPr="001915B1">
        <w:rPr>
          <w:rFonts w:asciiTheme="minorHAnsi" w:hAnsiTheme="minorHAnsi" w:cstheme="minorHAnsi"/>
          <w:sz w:val="18"/>
          <w:szCs w:val="18"/>
          <w:lang w:val="fr-FR"/>
        </w:rPr>
        <w:t xml:space="preserve"> </w:t>
      </w:r>
      <w:r w:rsidRPr="001915B1">
        <w:rPr>
          <w:rFonts w:asciiTheme="minorHAnsi" w:eastAsia="Calibri" w:hAnsiTheme="minorHAnsi" w:cstheme="minorHAnsi"/>
          <w:sz w:val="18"/>
          <w:szCs w:val="18"/>
          <w:lang w:val="fr-FR"/>
        </w:rPr>
        <w:t xml:space="preserve">UNEF (2022). </w:t>
      </w:r>
      <w:hyperlink r:id="rId41">
        <w:r w:rsidRPr="001915B1">
          <w:rPr>
            <w:rFonts w:asciiTheme="minorHAnsi" w:eastAsia="Calibri" w:hAnsiTheme="minorHAnsi" w:cstheme="minorHAnsi"/>
            <w:color w:val="1155CC"/>
            <w:sz w:val="18"/>
            <w:szCs w:val="18"/>
            <w:u w:val="single"/>
            <w:lang w:val="fr-FR"/>
          </w:rPr>
          <w:t>Classement des villes universitaires selon le coût de la vie étudiante</w:t>
        </w:r>
      </w:hyperlink>
      <w:r w:rsidRPr="001915B1">
        <w:rPr>
          <w:rFonts w:asciiTheme="minorHAnsi" w:hAnsiTheme="minorHAnsi" w:cstheme="minorHAnsi"/>
          <w:sz w:val="18"/>
          <w:szCs w:val="18"/>
          <w:lang w:val="fr-FR"/>
        </w:rPr>
        <w:t xml:space="preserve">.  </w:t>
      </w:r>
    </w:p>
  </w:footnote>
  <w:footnote w:id="42">
    <w:p w14:paraId="000000B3" w14:textId="77777777" w:rsidR="003F609F" w:rsidRPr="001915B1" w:rsidRDefault="00000000">
      <w:pPr>
        <w:rPr>
          <w:rFonts w:asciiTheme="minorHAnsi" w:eastAsia="Calibri" w:hAnsiTheme="minorHAnsi" w:cstheme="minorHAnsi"/>
          <w:sz w:val="18"/>
          <w:szCs w:val="18"/>
          <w:lang w:val="fr-FR"/>
        </w:rPr>
      </w:pPr>
      <w:r w:rsidRPr="001915B1">
        <w:rPr>
          <w:rFonts w:asciiTheme="minorHAnsi" w:hAnsiTheme="minorHAnsi" w:cstheme="minorHAnsi"/>
          <w:sz w:val="18"/>
          <w:szCs w:val="18"/>
          <w:vertAlign w:val="superscript"/>
        </w:rPr>
        <w:footnoteRef/>
      </w:r>
      <w:r w:rsidRPr="001915B1">
        <w:rPr>
          <w:rFonts w:asciiTheme="minorHAnsi" w:hAnsiTheme="minorHAnsi" w:cstheme="minorHAnsi"/>
          <w:sz w:val="18"/>
          <w:szCs w:val="18"/>
          <w:lang w:val="fr-FR"/>
        </w:rPr>
        <w:t xml:space="preserve"> </w:t>
      </w:r>
      <w:r w:rsidRPr="001915B1">
        <w:rPr>
          <w:rFonts w:asciiTheme="minorHAnsi" w:eastAsia="Calibri" w:hAnsiTheme="minorHAnsi" w:cstheme="minorHAnsi"/>
          <w:sz w:val="18"/>
          <w:szCs w:val="18"/>
          <w:lang w:val="fr-FR"/>
        </w:rPr>
        <w:t xml:space="preserve">UNEF (2022). </w:t>
      </w:r>
      <w:hyperlink r:id="rId42">
        <w:r w:rsidRPr="001915B1">
          <w:rPr>
            <w:rFonts w:asciiTheme="minorHAnsi" w:eastAsia="Calibri" w:hAnsiTheme="minorHAnsi" w:cstheme="minorHAnsi"/>
            <w:sz w:val="18"/>
            <w:szCs w:val="18"/>
            <w:u w:val="single"/>
            <w:lang w:val="fr-FR"/>
          </w:rPr>
          <w:t>Classement des villes universitaires selon le coût de la vie étudiante</w:t>
        </w:r>
      </w:hyperlink>
      <w:r w:rsidRPr="001915B1">
        <w:rPr>
          <w:rFonts w:asciiTheme="minorHAnsi" w:eastAsia="Calibri" w:hAnsiTheme="minorHAnsi" w:cstheme="minorHAnsi"/>
          <w:sz w:val="18"/>
          <w:szCs w:val="18"/>
          <w:lang w:val="fr-FR"/>
        </w:rPr>
        <w:t xml:space="preserve">.  </w:t>
      </w:r>
    </w:p>
  </w:footnote>
  <w:footnote w:id="43">
    <w:p w14:paraId="0000007D" w14:textId="77777777" w:rsidR="003F609F" w:rsidRPr="001915B1" w:rsidRDefault="00000000">
      <w:pPr>
        <w:rPr>
          <w:rFonts w:asciiTheme="minorHAnsi" w:eastAsia="Calibri" w:hAnsiTheme="minorHAnsi" w:cstheme="minorHAnsi"/>
          <w:sz w:val="18"/>
          <w:szCs w:val="18"/>
          <w:lang w:val="fr-FR"/>
        </w:rPr>
      </w:pPr>
      <w:r w:rsidRPr="001915B1">
        <w:rPr>
          <w:rFonts w:asciiTheme="minorHAnsi" w:hAnsiTheme="minorHAnsi" w:cstheme="minorHAnsi"/>
          <w:sz w:val="18"/>
          <w:szCs w:val="18"/>
          <w:vertAlign w:val="superscript"/>
        </w:rPr>
        <w:footnoteRef/>
      </w:r>
      <w:r w:rsidRPr="001915B1">
        <w:rPr>
          <w:rFonts w:asciiTheme="minorHAnsi" w:hAnsiTheme="minorHAnsi" w:cstheme="minorHAnsi"/>
          <w:sz w:val="18"/>
          <w:szCs w:val="18"/>
          <w:lang w:val="fr-FR"/>
        </w:rPr>
        <w:t xml:space="preserve"> </w:t>
      </w:r>
      <w:r w:rsidRPr="001915B1">
        <w:rPr>
          <w:rFonts w:asciiTheme="minorHAnsi" w:eastAsia="Calibri" w:hAnsiTheme="minorHAnsi" w:cstheme="minorHAnsi"/>
          <w:sz w:val="18"/>
          <w:szCs w:val="18"/>
          <w:lang w:val="fr-FR"/>
        </w:rPr>
        <w:t xml:space="preserve">UNEF (2022). </w:t>
      </w:r>
      <w:hyperlink r:id="rId43">
        <w:r w:rsidRPr="001915B1">
          <w:rPr>
            <w:rFonts w:asciiTheme="minorHAnsi" w:eastAsia="Calibri" w:hAnsiTheme="minorHAnsi" w:cstheme="minorHAnsi"/>
            <w:color w:val="1155CC"/>
            <w:sz w:val="18"/>
            <w:szCs w:val="18"/>
            <w:u w:val="single"/>
            <w:lang w:val="fr-FR"/>
          </w:rPr>
          <w:t>Classement des villes universitaires selon le coût de la vie étudiante</w:t>
        </w:r>
      </w:hyperlink>
      <w:r w:rsidRPr="001915B1">
        <w:rPr>
          <w:rFonts w:asciiTheme="minorHAnsi" w:eastAsia="Calibri" w:hAnsiTheme="minorHAnsi" w:cstheme="minorHAnsi"/>
          <w:sz w:val="18"/>
          <w:szCs w:val="18"/>
          <w:lang w:val="fr-FR"/>
        </w:rPr>
        <w:t xml:space="preserve">. </w:t>
      </w:r>
    </w:p>
  </w:footnote>
  <w:footnote w:id="44">
    <w:p w14:paraId="000000C4" w14:textId="77777777" w:rsidR="003F609F" w:rsidRPr="001915B1" w:rsidRDefault="00000000">
      <w:pPr>
        <w:rPr>
          <w:rFonts w:asciiTheme="minorHAnsi" w:hAnsiTheme="minorHAnsi" w:cstheme="minorHAnsi"/>
          <w:sz w:val="18"/>
          <w:szCs w:val="18"/>
          <w:lang w:val="fr-FR"/>
        </w:rPr>
      </w:pPr>
      <w:r w:rsidRPr="001915B1">
        <w:rPr>
          <w:rFonts w:asciiTheme="minorHAnsi" w:hAnsiTheme="minorHAnsi" w:cstheme="minorHAnsi"/>
          <w:sz w:val="18"/>
          <w:szCs w:val="18"/>
          <w:vertAlign w:val="superscript"/>
        </w:rPr>
        <w:footnoteRef/>
      </w:r>
      <w:r w:rsidRPr="001915B1">
        <w:rPr>
          <w:rFonts w:asciiTheme="minorHAnsi" w:hAnsiTheme="minorHAnsi" w:cstheme="minorHAnsi"/>
          <w:sz w:val="18"/>
          <w:szCs w:val="18"/>
          <w:lang w:val="fr-FR"/>
        </w:rPr>
        <w:t xml:space="preserve"> </w:t>
      </w:r>
      <w:r w:rsidRPr="001915B1">
        <w:rPr>
          <w:rFonts w:asciiTheme="minorHAnsi" w:eastAsia="Calibri" w:hAnsiTheme="minorHAnsi" w:cstheme="minorHAnsi"/>
          <w:sz w:val="18"/>
          <w:szCs w:val="18"/>
          <w:lang w:val="fr-FR"/>
        </w:rPr>
        <w:t xml:space="preserve">Fédération des Associations Générales Étudiants - FAGE (2023), </w:t>
      </w:r>
      <w:hyperlink r:id="rId44">
        <w:r w:rsidRPr="001915B1">
          <w:rPr>
            <w:rFonts w:asciiTheme="minorHAnsi" w:eastAsia="Calibri" w:hAnsiTheme="minorHAnsi" w:cstheme="minorHAnsi"/>
            <w:color w:val="1155CC"/>
            <w:sz w:val="18"/>
            <w:szCs w:val="18"/>
            <w:u w:val="single"/>
            <w:lang w:val="fr-FR"/>
          </w:rPr>
          <w:t>Indicateur du coût de la rentrée étudiante 2023</w:t>
        </w:r>
      </w:hyperlink>
      <w:r w:rsidRPr="001915B1">
        <w:rPr>
          <w:rFonts w:asciiTheme="minorHAnsi" w:hAnsiTheme="minorHAnsi" w:cstheme="minorHAnsi"/>
          <w:sz w:val="18"/>
          <w:szCs w:val="18"/>
          <w:lang w:val="fr-FR"/>
        </w:rPr>
        <w:t>.</w:t>
      </w:r>
    </w:p>
  </w:footnote>
  <w:footnote w:id="45">
    <w:p w14:paraId="0000007A" w14:textId="77777777" w:rsidR="003F609F" w:rsidRPr="001915B1" w:rsidRDefault="00000000">
      <w:pPr>
        <w:rPr>
          <w:rFonts w:asciiTheme="minorHAnsi" w:eastAsia="Calibri" w:hAnsiTheme="minorHAnsi" w:cstheme="minorHAnsi"/>
          <w:sz w:val="18"/>
          <w:szCs w:val="18"/>
          <w:lang w:val="fr-FR"/>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sz w:val="18"/>
          <w:szCs w:val="18"/>
          <w:lang w:val="fr-FR"/>
        </w:rPr>
        <w:t xml:space="preserve"> Fédération des Associations Générales Étudiants - FAGE (2022), </w:t>
      </w:r>
      <w:hyperlink r:id="rId45">
        <w:r w:rsidRPr="001915B1">
          <w:rPr>
            <w:rFonts w:asciiTheme="minorHAnsi" w:eastAsia="Calibri" w:hAnsiTheme="minorHAnsi" w:cstheme="minorHAnsi"/>
            <w:color w:val="1155CC"/>
            <w:sz w:val="18"/>
            <w:szCs w:val="18"/>
            <w:u w:val="single"/>
            <w:lang w:val="fr-FR"/>
          </w:rPr>
          <w:t>Indicateur du coût de la rentrée étudiante 2022</w:t>
        </w:r>
      </w:hyperlink>
      <w:r w:rsidRPr="001915B1">
        <w:rPr>
          <w:rFonts w:asciiTheme="minorHAnsi" w:eastAsia="Calibri" w:hAnsiTheme="minorHAnsi" w:cstheme="minorHAnsi"/>
          <w:sz w:val="18"/>
          <w:szCs w:val="18"/>
          <w:lang w:val="fr-FR"/>
        </w:rPr>
        <w:t>.</w:t>
      </w:r>
    </w:p>
  </w:footnote>
  <w:footnote w:id="46">
    <w:p w14:paraId="000000B1" w14:textId="77777777" w:rsidR="003F609F" w:rsidRPr="001915B1" w:rsidRDefault="00000000">
      <w:pPr>
        <w:spacing w:line="276" w:lineRule="auto"/>
        <w:jc w:val="both"/>
        <w:rPr>
          <w:rFonts w:asciiTheme="minorHAnsi" w:eastAsia="Calibri" w:hAnsiTheme="minorHAnsi" w:cstheme="minorHAnsi"/>
          <w:sz w:val="18"/>
          <w:szCs w:val="18"/>
          <w:lang w:val="fr-FR"/>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sz w:val="18"/>
          <w:szCs w:val="18"/>
          <w:lang w:val="fr-FR"/>
        </w:rPr>
        <w:t xml:space="preserve"> MENJS/IGERS (2019) : </w:t>
      </w:r>
      <w:hyperlink r:id="rId46">
        <w:r w:rsidRPr="001915B1">
          <w:rPr>
            <w:rFonts w:asciiTheme="minorHAnsi" w:eastAsia="Calibri" w:hAnsiTheme="minorHAnsi" w:cstheme="minorHAnsi"/>
            <w:sz w:val="18"/>
            <w:szCs w:val="18"/>
            <w:u w:val="single"/>
            <w:lang w:val="fr-FR"/>
          </w:rPr>
          <w:t>L’emploi étudiant. Rapport 2019-75</w:t>
        </w:r>
      </w:hyperlink>
    </w:p>
  </w:footnote>
  <w:footnote w:id="47">
    <w:p w14:paraId="000000B4" w14:textId="77777777" w:rsidR="003F609F" w:rsidRPr="001915B1" w:rsidRDefault="00000000">
      <w:pPr>
        <w:rPr>
          <w:rFonts w:asciiTheme="minorHAnsi" w:eastAsia="Calibri" w:hAnsiTheme="minorHAnsi" w:cstheme="minorHAnsi"/>
          <w:sz w:val="18"/>
          <w:szCs w:val="18"/>
        </w:rPr>
      </w:pPr>
      <w:r w:rsidRPr="001915B1">
        <w:rPr>
          <w:rFonts w:asciiTheme="minorHAnsi" w:hAnsiTheme="minorHAnsi" w:cstheme="minorHAnsi"/>
          <w:sz w:val="18"/>
          <w:szCs w:val="18"/>
          <w:vertAlign w:val="superscript"/>
        </w:rPr>
        <w:footnoteRef/>
      </w:r>
      <w:r w:rsidRPr="001915B1">
        <w:rPr>
          <w:rFonts w:asciiTheme="minorHAnsi" w:hAnsiTheme="minorHAnsi" w:cstheme="minorHAnsi"/>
          <w:sz w:val="18"/>
          <w:szCs w:val="18"/>
        </w:rPr>
        <w:t xml:space="preserve"> </w:t>
      </w:r>
      <w:r w:rsidRPr="001915B1">
        <w:rPr>
          <w:rFonts w:asciiTheme="minorHAnsi" w:eastAsia="Calibri" w:hAnsiTheme="minorHAnsi" w:cstheme="minorHAnsi"/>
          <w:sz w:val="18"/>
          <w:szCs w:val="18"/>
        </w:rPr>
        <w:t xml:space="preserve">CESCR, </w:t>
      </w:r>
      <w:hyperlink r:id="rId47">
        <w:r w:rsidRPr="001915B1">
          <w:rPr>
            <w:rFonts w:asciiTheme="minorHAnsi" w:eastAsia="Calibri" w:hAnsiTheme="minorHAnsi" w:cstheme="minorHAnsi"/>
            <w:sz w:val="18"/>
            <w:szCs w:val="18"/>
            <w:u w:val="single"/>
          </w:rPr>
          <w:t>General Comment No. 20</w:t>
        </w:r>
      </w:hyperlink>
      <w:r w:rsidRPr="001915B1">
        <w:rPr>
          <w:rFonts w:asciiTheme="minorHAnsi" w:eastAsia="Calibri" w:hAnsiTheme="minorHAnsi" w:cstheme="minorHAnsi"/>
          <w:sz w:val="18"/>
          <w:szCs w:val="18"/>
        </w:rPr>
        <w:t xml:space="preserve">, para. 35 stating that socioeconomic status should not be a barrier to equal access to </w:t>
      </w:r>
      <w:proofErr w:type="gramStart"/>
      <w:r w:rsidRPr="001915B1">
        <w:rPr>
          <w:rFonts w:asciiTheme="minorHAnsi" w:eastAsia="Calibri" w:hAnsiTheme="minorHAnsi" w:cstheme="minorHAnsi"/>
          <w:sz w:val="18"/>
          <w:szCs w:val="18"/>
        </w:rPr>
        <w:t>education</w:t>
      </w:r>
      <w:proofErr w:type="gramEnd"/>
    </w:p>
  </w:footnote>
  <w:footnote w:id="48">
    <w:p w14:paraId="000000A9" w14:textId="77777777" w:rsidR="003F609F" w:rsidRPr="001915B1" w:rsidRDefault="00000000">
      <w:pPr>
        <w:rPr>
          <w:rFonts w:asciiTheme="minorHAnsi" w:eastAsia="Calibri" w:hAnsiTheme="minorHAnsi" w:cstheme="minorHAnsi"/>
          <w:sz w:val="18"/>
          <w:szCs w:val="18"/>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sz w:val="18"/>
          <w:szCs w:val="18"/>
        </w:rPr>
        <w:t xml:space="preserve"> Right to Education Initiative (2020),</w:t>
      </w:r>
      <w:hyperlink r:id="rId48">
        <w:r w:rsidRPr="001915B1">
          <w:rPr>
            <w:rFonts w:asciiTheme="minorHAnsi" w:eastAsia="Calibri" w:hAnsiTheme="minorHAnsi" w:cstheme="minorHAnsi"/>
            <w:sz w:val="18"/>
            <w:szCs w:val="18"/>
            <w:u w:val="single"/>
          </w:rPr>
          <w:t xml:space="preserve"> Limited Potential” The Right to Higher Education in France Impact of Place of Origin and of Cost on Inequality</w:t>
        </w:r>
      </w:hyperlink>
      <w:r w:rsidRPr="001915B1">
        <w:rPr>
          <w:rFonts w:asciiTheme="minorHAnsi" w:eastAsia="Calibri" w:hAnsiTheme="minorHAnsi" w:cstheme="minorHAnsi"/>
          <w:sz w:val="18"/>
          <w:szCs w:val="18"/>
        </w:rPr>
        <w:t xml:space="preserve"> ;  Right to Education Initiative (2020), </w:t>
      </w:r>
      <w:hyperlink r:id="rId49">
        <w:r w:rsidRPr="001915B1">
          <w:rPr>
            <w:rFonts w:asciiTheme="minorHAnsi" w:eastAsia="Calibri" w:hAnsiTheme="minorHAnsi" w:cstheme="minorHAnsi"/>
            <w:sz w:val="18"/>
            <w:szCs w:val="18"/>
            <w:u w:val="single"/>
          </w:rPr>
          <w:t>Policy brief: The impact of place of origin on inequalities in higher education in France</w:t>
        </w:r>
      </w:hyperlink>
      <w:r w:rsidRPr="001915B1">
        <w:rPr>
          <w:rFonts w:asciiTheme="minorHAnsi" w:eastAsia="Calibri" w:hAnsiTheme="minorHAnsi" w:cstheme="minorHAnsi"/>
          <w:sz w:val="18"/>
          <w:szCs w:val="18"/>
        </w:rPr>
        <w:t xml:space="preserve"> ; Right to Education Initiative (2022), </w:t>
      </w:r>
      <w:hyperlink r:id="rId50">
        <w:r w:rsidRPr="001915B1">
          <w:rPr>
            <w:rFonts w:asciiTheme="minorHAnsi" w:eastAsia="Calibri" w:hAnsiTheme="minorHAnsi" w:cstheme="minorHAnsi"/>
            <w:sz w:val="18"/>
            <w:szCs w:val="18"/>
            <w:u w:val="single"/>
          </w:rPr>
          <w:t>Higher Education in France: A right threatened by increasing inequalities?</w:t>
        </w:r>
      </w:hyperlink>
    </w:p>
  </w:footnote>
  <w:footnote w:id="49">
    <w:p w14:paraId="000000B5" w14:textId="77777777" w:rsidR="003F609F" w:rsidRPr="001915B1" w:rsidRDefault="00000000">
      <w:pPr>
        <w:rPr>
          <w:rFonts w:asciiTheme="minorHAnsi" w:eastAsia="Calibri" w:hAnsiTheme="minorHAnsi" w:cstheme="minorHAnsi"/>
          <w:sz w:val="18"/>
          <w:szCs w:val="18"/>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sz w:val="18"/>
          <w:szCs w:val="18"/>
        </w:rPr>
        <w:t xml:space="preserve"> CESCR, </w:t>
      </w:r>
      <w:hyperlink r:id="rId51">
        <w:r w:rsidRPr="001915B1">
          <w:rPr>
            <w:rFonts w:asciiTheme="minorHAnsi" w:eastAsia="Calibri" w:hAnsiTheme="minorHAnsi" w:cstheme="minorHAnsi"/>
            <w:sz w:val="18"/>
            <w:szCs w:val="18"/>
            <w:u w:val="single"/>
          </w:rPr>
          <w:t>General Comment No. 20</w:t>
        </w:r>
      </w:hyperlink>
      <w:r w:rsidRPr="001915B1">
        <w:rPr>
          <w:rFonts w:asciiTheme="minorHAnsi" w:eastAsia="Calibri" w:hAnsiTheme="minorHAnsi" w:cstheme="minorHAnsi"/>
          <w:sz w:val="18"/>
          <w:szCs w:val="18"/>
        </w:rPr>
        <w:t xml:space="preserve">, para. 34 stating that the rights afforded by the Covenant ‘should not be conditional on, or determined by, a person’s current or former place of residence’ and that ‘disparities between localities and regions should be </w:t>
      </w:r>
      <w:proofErr w:type="gramStart"/>
      <w:r w:rsidRPr="001915B1">
        <w:rPr>
          <w:rFonts w:asciiTheme="minorHAnsi" w:eastAsia="Calibri" w:hAnsiTheme="minorHAnsi" w:cstheme="minorHAnsi"/>
          <w:sz w:val="18"/>
          <w:szCs w:val="18"/>
        </w:rPr>
        <w:t>eliminated’</w:t>
      </w:r>
      <w:proofErr w:type="gramEnd"/>
    </w:p>
  </w:footnote>
  <w:footnote w:id="50">
    <w:p w14:paraId="000000AA" w14:textId="77777777" w:rsidR="003F609F" w:rsidRPr="001915B1" w:rsidRDefault="00000000">
      <w:pPr>
        <w:rPr>
          <w:rFonts w:asciiTheme="minorHAnsi" w:eastAsia="Calibri" w:hAnsiTheme="minorHAnsi" w:cstheme="minorHAnsi"/>
          <w:sz w:val="18"/>
          <w:szCs w:val="18"/>
          <w:lang w:val="fr-FR"/>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sz w:val="18"/>
          <w:szCs w:val="18"/>
          <w:lang w:val="fr-FR"/>
        </w:rPr>
        <w:t xml:space="preserve"> </w:t>
      </w:r>
      <w:proofErr w:type="spellStart"/>
      <w:r w:rsidRPr="001915B1">
        <w:rPr>
          <w:rFonts w:asciiTheme="minorHAnsi" w:eastAsia="Calibri" w:hAnsiTheme="minorHAnsi" w:cstheme="minorHAnsi"/>
          <w:sz w:val="18"/>
          <w:szCs w:val="18"/>
          <w:lang w:val="fr-FR"/>
        </w:rPr>
        <w:t>Avouac</w:t>
      </w:r>
      <w:proofErr w:type="spellEnd"/>
      <w:r w:rsidRPr="001915B1">
        <w:rPr>
          <w:rFonts w:asciiTheme="minorHAnsi" w:eastAsia="Calibri" w:hAnsiTheme="minorHAnsi" w:cstheme="minorHAnsi"/>
          <w:sz w:val="18"/>
          <w:szCs w:val="18"/>
          <w:lang w:val="fr-FR"/>
        </w:rPr>
        <w:t>, Harari-</w:t>
      </w:r>
      <w:proofErr w:type="spellStart"/>
      <w:r w:rsidRPr="001915B1">
        <w:rPr>
          <w:rFonts w:asciiTheme="minorHAnsi" w:eastAsia="Calibri" w:hAnsiTheme="minorHAnsi" w:cstheme="minorHAnsi"/>
          <w:sz w:val="18"/>
          <w:szCs w:val="18"/>
          <w:lang w:val="fr-FR"/>
        </w:rPr>
        <w:t>Kermadec</w:t>
      </w:r>
      <w:proofErr w:type="spellEnd"/>
      <w:r w:rsidRPr="001915B1">
        <w:rPr>
          <w:rFonts w:asciiTheme="minorHAnsi" w:eastAsia="Calibri" w:hAnsiTheme="minorHAnsi" w:cstheme="minorHAnsi"/>
          <w:sz w:val="18"/>
          <w:szCs w:val="18"/>
          <w:lang w:val="fr-FR"/>
        </w:rPr>
        <w:t xml:space="preserve"> (2021). </w:t>
      </w:r>
      <w:hyperlink r:id="rId52">
        <w:r w:rsidRPr="001915B1">
          <w:rPr>
            <w:rFonts w:asciiTheme="minorHAnsi" w:eastAsia="Calibri" w:hAnsiTheme="minorHAnsi" w:cstheme="minorHAnsi"/>
            <w:i/>
            <w:sz w:val="18"/>
            <w:szCs w:val="18"/>
            <w:lang w:val="fr-FR"/>
          </w:rPr>
          <w:t>L’université française, lieu de brassage ou de ségrégation sociale ? Mesure de la polarisation du système universitaire français (2007</w:t>
        </w:r>
        <w:r w:rsidRPr="001915B1">
          <w:rPr>
            <w:rFonts w:ascii="Cambria Math" w:eastAsia="Calibri" w:hAnsi="Cambria Math" w:cs="Cambria Math"/>
            <w:i/>
            <w:sz w:val="18"/>
            <w:szCs w:val="18"/>
            <w:lang w:val="fr-FR"/>
          </w:rPr>
          <w:t>‑</w:t>
        </w:r>
        <w:r w:rsidRPr="001915B1">
          <w:rPr>
            <w:rFonts w:asciiTheme="minorHAnsi" w:eastAsia="Calibri" w:hAnsiTheme="minorHAnsi" w:cstheme="minorHAnsi"/>
            <w:i/>
            <w:sz w:val="18"/>
            <w:szCs w:val="18"/>
            <w:lang w:val="fr-FR"/>
          </w:rPr>
          <w:t>2015)</w:t>
        </w:r>
      </w:hyperlink>
      <w:r w:rsidRPr="001915B1">
        <w:rPr>
          <w:rFonts w:asciiTheme="minorHAnsi" w:eastAsia="Calibri" w:hAnsiTheme="minorHAnsi" w:cstheme="minorHAnsi"/>
          <w:sz w:val="18"/>
          <w:szCs w:val="18"/>
          <w:lang w:val="fr-FR"/>
        </w:rPr>
        <w:t xml:space="preserve">, </w:t>
      </w:r>
      <w:proofErr w:type="spellStart"/>
      <w:r w:rsidRPr="001915B1">
        <w:rPr>
          <w:rFonts w:asciiTheme="minorHAnsi" w:eastAsia="Calibri" w:hAnsiTheme="minorHAnsi" w:cstheme="minorHAnsi"/>
          <w:sz w:val="18"/>
          <w:szCs w:val="18"/>
          <w:lang w:val="fr-FR"/>
        </w:rPr>
        <w:t>cited</w:t>
      </w:r>
      <w:proofErr w:type="spellEnd"/>
      <w:r w:rsidRPr="001915B1">
        <w:rPr>
          <w:rFonts w:asciiTheme="minorHAnsi" w:eastAsia="Calibri" w:hAnsiTheme="minorHAnsi" w:cstheme="minorHAnsi"/>
          <w:sz w:val="18"/>
          <w:szCs w:val="18"/>
          <w:lang w:val="fr-FR"/>
        </w:rPr>
        <w:t xml:space="preserve"> in Victor </w:t>
      </w:r>
      <w:proofErr w:type="spellStart"/>
      <w:r w:rsidRPr="001915B1">
        <w:rPr>
          <w:rFonts w:asciiTheme="minorHAnsi" w:eastAsia="Calibri" w:hAnsiTheme="minorHAnsi" w:cstheme="minorHAnsi"/>
          <w:sz w:val="18"/>
          <w:szCs w:val="18"/>
          <w:lang w:val="fr-FR"/>
        </w:rPr>
        <w:t>Charayron</w:t>
      </w:r>
      <w:proofErr w:type="spellEnd"/>
      <w:r w:rsidRPr="001915B1">
        <w:rPr>
          <w:rFonts w:asciiTheme="minorHAnsi" w:eastAsia="Calibri" w:hAnsiTheme="minorHAnsi" w:cstheme="minorHAnsi"/>
          <w:sz w:val="18"/>
          <w:szCs w:val="18"/>
          <w:lang w:val="fr-FR"/>
        </w:rPr>
        <w:t xml:space="preserve">, Hugo </w:t>
      </w:r>
      <w:proofErr w:type="spellStart"/>
      <w:r w:rsidRPr="001915B1">
        <w:rPr>
          <w:rFonts w:asciiTheme="minorHAnsi" w:eastAsia="Calibri" w:hAnsiTheme="minorHAnsi" w:cstheme="minorHAnsi"/>
          <w:sz w:val="18"/>
          <w:szCs w:val="18"/>
          <w:lang w:val="fr-FR"/>
        </w:rPr>
        <w:t>Harrari-Kermadec</w:t>
      </w:r>
      <w:proofErr w:type="spellEnd"/>
      <w:r w:rsidRPr="001915B1">
        <w:rPr>
          <w:rFonts w:asciiTheme="minorHAnsi" w:eastAsia="Calibri" w:hAnsiTheme="minorHAnsi" w:cstheme="minorHAnsi"/>
          <w:sz w:val="18"/>
          <w:szCs w:val="18"/>
          <w:lang w:val="fr-FR"/>
        </w:rPr>
        <w:t xml:space="preserve"> et Gilles Martinez (2023). </w:t>
      </w:r>
      <w:hyperlink r:id="rId53">
        <w:r w:rsidRPr="001915B1">
          <w:rPr>
            <w:rFonts w:asciiTheme="minorHAnsi" w:eastAsia="Calibri" w:hAnsiTheme="minorHAnsi" w:cstheme="minorHAnsi"/>
            <w:i/>
            <w:sz w:val="18"/>
            <w:szCs w:val="18"/>
            <w:u w:val="single"/>
            <w:lang w:val="fr-FR"/>
          </w:rPr>
          <w:t>Des centres aux périphéries du système universitaire : visualiser la différenciation sociale et géographique à l’entrée en licence</w:t>
        </w:r>
      </w:hyperlink>
      <w:hyperlink r:id="rId54">
        <w:r w:rsidRPr="001915B1">
          <w:rPr>
            <w:rFonts w:asciiTheme="minorHAnsi" w:eastAsia="Calibri" w:hAnsiTheme="minorHAnsi" w:cstheme="minorHAnsi"/>
            <w:sz w:val="18"/>
            <w:szCs w:val="18"/>
            <w:u w:val="single"/>
            <w:lang w:val="fr-FR"/>
          </w:rPr>
          <w:t>.</w:t>
        </w:r>
      </w:hyperlink>
    </w:p>
  </w:footnote>
  <w:footnote w:id="51">
    <w:p w14:paraId="000000B6" w14:textId="286DFAC7" w:rsidR="003F609F" w:rsidRPr="001915B1" w:rsidRDefault="00000000">
      <w:pPr>
        <w:rPr>
          <w:rFonts w:asciiTheme="minorHAnsi" w:eastAsia="Calibri" w:hAnsiTheme="minorHAnsi" w:cstheme="minorHAnsi"/>
          <w:sz w:val="18"/>
          <w:szCs w:val="18"/>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sz w:val="18"/>
          <w:szCs w:val="18"/>
        </w:rPr>
        <w:t xml:space="preserve">  Cécile Bonneau, Sébastien </w:t>
      </w:r>
      <w:proofErr w:type="spellStart"/>
      <w:r w:rsidRPr="001915B1">
        <w:rPr>
          <w:rFonts w:asciiTheme="minorHAnsi" w:eastAsia="Calibri" w:hAnsiTheme="minorHAnsi" w:cstheme="minorHAnsi"/>
          <w:sz w:val="18"/>
          <w:szCs w:val="18"/>
        </w:rPr>
        <w:t>Grobon</w:t>
      </w:r>
      <w:proofErr w:type="spellEnd"/>
      <w:r w:rsidRPr="001915B1">
        <w:rPr>
          <w:rFonts w:asciiTheme="minorHAnsi" w:eastAsia="Calibri" w:hAnsiTheme="minorHAnsi" w:cstheme="minorHAnsi"/>
          <w:sz w:val="18"/>
          <w:szCs w:val="18"/>
        </w:rPr>
        <w:t xml:space="preserve"> (2022). </w:t>
      </w:r>
      <w:hyperlink r:id="rId55" w:history="1">
        <w:r w:rsidRPr="00464534">
          <w:rPr>
            <w:rStyle w:val="Lienhypertexte"/>
            <w:rFonts w:asciiTheme="minorHAnsi" w:eastAsia="Calibri" w:hAnsiTheme="minorHAnsi" w:cstheme="minorHAnsi"/>
            <w:sz w:val="18"/>
            <w:szCs w:val="18"/>
          </w:rPr>
          <w:t>Unequal access to higher education based on parental income:  evidence from France</w:t>
        </w:r>
      </w:hyperlink>
      <w:r w:rsidRPr="001915B1">
        <w:rPr>
          <w:rFonts w:asciiTheme="minorHAnsi" w:eastAsia="Calibri" w:hAnsiTheme="minorHAnsi" w:cstheme="minorHAnsi"/>
          <w:sz w:val="18"/>
          <w:szCs w:val="18"/>
        </w:rPr>
        <w:t>.</w:t>
      </w:r>
    </w:p>
  </w:footnote>
  <w:footnote w:id="52">
    <w:p w14:paraId="000000AB" w14:textId="57A3B8D8" w:rsidR="003F609F" w:rsidRPr="001915B1" w:rsidRDefault="00000000">
      <w:pPr>
        <w:rPr>
          <w:rFonts w:asciiTheme="minorHAnsi" w:eastAsia="Calibri" w:hAnsiTheme="minorHAnsi" w:cstheme="minorHAnsi"/>
          <w:sz w:val="18"/>
          <w:szCs w:val="18"/>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sz w:val="18"/>
          <w:szCs w:val="18"/>
        </w:rPr>
        <w:t xml:space="preserve">  </w:t>
      </w:r>
      <w:r w:rsidR="00464534">
        <w:rPr>
          <w:rFonts w:asciiTheme="minorHAnsi" w:eastAsia="Calibri" w:hAnsiTheme="minorHAnsi" w:cstheme="minorHAnsi"/>
          <w:sz w:val="18"/>
          <w:szCs w:val="18"/>
        </w:rPr>
        <w:t>Ibid.</w:t>
      </w:r>
    </w:p>
  </w:footnote>
  <w:footnote w:id="53">
    <w:p w14:paraId="0000007E" w14:textId="5044ED28" w:rsidR="003F609F" w:rsidRPr="001915B1" w:rsidRDefault="00000000">
      <w:pPr>
        <w:rPr>
          <w:rFonts w:asciiTheme="minorHAnsi" w:eastAsia="Calibri" w:hAnsiTheme="minorHAnsi" w:cstheme="minorHAnsi"/>
          <w:sz w:val="18"/>
          <w:szCs w:val="18"/>
          <w:lang w:val="fr-FR"/>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sz w:val="18"/>
          <w:szCs w:val="18"/>
          <w:lang w:val="fr-FR"/>
        </w:rPr>
        <w:t xml:space="preserve"> MENJ – </w:t>
      </w:r>
      <w:proofErr w:type="gramStart"/>
      <w:r w:rsidRPr="001915B1">
        <w:rPr>
          <w:rFonts w:asciiTheme="minorHAnsi" w:eastAsia="Calibri" w:hAnsiTheme="minorHAnsi" w:cstheme="minorHAnsi"/>
          <w:sz w:val="18"/>
          <w:szCs w:val="18"/>
          <w:lang w:val="fr-FR"/>
        </w:rPr>
        <w:t>Ministère de l’Éducation</w:t>
      </w:r>
      <w:proofErr w:type="gramEnd"/>
      <w:r w:rsidRPr="001915B1">
        <w:rPr>
          <w:rFonts w:asciiTheme="minorHAnsi" w:eastAsia="Calibri" w:hAnsiTheme="minorHAnsi" w:cstheme="minorHAnsi"/>
          <w:sz w:val="18"/>
          <w:szCs w:val="18"/>
          <w:lang w:val="fr-FR"/>
        </w:rPr>
        <w:t xml:space="preserve"> Nationale et de la Jeunesse (2022). </w:t>
      </w:r>
      <w:hyperlink r:id="rId56">
        <w:r w:rsidRPr="001915B1">
          <w:rPr>
            <w:rFonts w:asciiTheme="minorHAnsi" w:eastAsia="Calibri" w:hAnsiTheme="minorHAnsi" w:cstheme="minorHAnsi"/>
            <w:color w:val="1155CC"/>
            <w:sz w:val="18"/>
            <w:szCs w:val="18"/>
            <w:u w:val="single"/>
            <w:lang w:val="fr-FR"/>
          </w:rPr>
          <w:t>RERS Repères et Références Statistiques</w:t>
        </w:r>
      </w:hyperlink>
      <w:r w:rsidRPr="001915B1">
        <w:rPr>
          <w:rFonts w:asciiTheme="minorHAnsi" w:eastAsia="Calibri" w:hAnsiTheme="minorHAnsi" w:cstheme="minorHAnsi"/>
          <w:sz w:val="18"/>
          <w:szCs w:val="18"/>
          <w:lang w:val="fr-FR"/>
        </w:rPr>
        <w:t xml:space="preserve">. </w:t>
      </w:r>
      <w:proofErr w:type="spellStart"/>
      <w:r w:rsidRPr="001915B1">
        <w:rPr>
          <w:rFonts w:asciiTheme="minorHAnsi" w:eastAsia="Calibri" w:hAnsiTheme="minorHAnsi" w:cstheme="minorHAnsi"/>
          <w:sz w:val="18"/>
          <w:szCs w:val="18"/>
          <w:lang w:val="fr-FR"/>
        </w:rPr>
        <w:t>See</w:t>
      </w:r>
      <w:proofErr w:type="spellEnd"/>
      <w:r w:rsidRPr="001915B1">
        <w:rPr>
          <w:rFonts w:asciiTheme="minorHAnsi" w:eastAsia="Calibri" w:hAnsiTheme="minorHAnsi" w:cstheme="minorHAnsi"/>
          <w:sz w:val="18"/>
          <w:szCs w:val="18"/>
          <w:lang w:val="fr-FR"/>
        </w:rPr>
        <w:t xml:space="preserve"> </w:t>
      </w:r>
      <w:proofErr w:type="spellStart"/>
      <w:proofErr w:type="gramStart"/>
      <w:r w:rsidRPr="001915B1">
        <w:rPr>
          <w:rFonts w:asciiTheme="minorHAnsi" w:eastAsia="Calibri" w:hAnsiTheme="minorHAnsi" w:cstheme="minorHAnsi"/>
          <w:sz w:val="18"/>
          <w:szCs w:val="18"/>
          <w:lang w:val="fr-FR"/>
        </w:rPr>
        <w:t>also</w:t>
      </w:r>
      <w:proofErr w:type="spellEnd"/>
      <w:r w:rsidRPr="001915B1">
        <w:rPr>
          <w:rFonts w:asciiTheme="minorHAnsi" w:eastAsia="Calibri" w:hAnsiTheme="minorHAnsi" w:cstheme="minorHAnsi"/>
          <w:sz w:val="18"/>
          <w:szCs w:val="18"/>
          <w:lang w:val="fr-FR"/>
        </w:rPr>
        <w:t>:</w:t>
      </w:r>
      <w:proofErr w:type="gramEnd"/>
      <w:r w:rsidRPr="001915B1">
        <w:rPr>
          <w:rFonts w:asciiTheme="minorHAnsi" w:eastAsia="Calibri" w:hAnsiTheme="minorHAnsi" w:cstheme="minorHAnsi"/>
          <w:sz w:val="18"/>
          <w:szCs w:val="18"/>
          <w:lang w:val="fr-FR"/>
        </w:rPr>
        <w:t xml:space="preserve"> Claire </w:t>
      </w:r>
      <w:proofErr w:type="spellStart"/>
      <w:r w:rsidRPr="001915B1">
        <w:rPr>
          <w:rFonts w:asciiTheme="minorHAnsi" w:eastAsia="Calibri" w:hAnsiTheme="minorHAnsi" w:cstheme="minorHAnsi"/>
          <w:sz w:val="18"/>
          <w:szCs w:val="18"/>
          <w:lang w:val="fr-FR"/>
        </w:rPr>
        <w:t>Calvel</w:t>
      </w:r>
      <w:proofErr w:type="spellEnd"/>
      <w:r w:rsidRPr="001915B1">
        <w:rPr>
          <w:rFonts w:asciiTheme="minorHAnsi" w:eastAsia="Calibri" w:hAnsiTheme="minorHAnsi" w:cstheme="minorHAnsi"/>
          <w:sz w:val="18"/>
          <w:szCs w:val="18"/>
          <w:lang w:val="fr-FR"/>
        </w:rPr>
        <w:t xml:space="preserve"> </w:t>
      </w:r>
      <w:r w:rsidR="00464534">
        <w:rPr>
          <w:rFonts w:asciiTheme="minorHAnsi" w:eastAsia="Calibri" w:hAnsiTheme="minorHAnsi" w:cstheme="minorHAnsi"/>
          <w:sz w:val="18"/>
          <w:szCs w:val="18"/>
          <w:lang w:val="fr-FR"/>
        </w:rPr>
        <w:t>and</w:t>
      </w:r>
      <w:r w:rsidRPr="001915B1">
        <w:rPr>
          <w:rFonts w:asciiTheme="minorHAnsi" w:eastAsia="Calibri" w:hAnsiTheme="minorHAnsi" w:cstheme="minorHAnsi"/>
          <w:sz w:val="18"/>
          <w:szCs w:val="18"/>
          <w:lang w:val="fr-FR"/>
        </w:rPr>
        <w:t xml:space="preserve"> Victor </w:t>
      </w:r>
      <w:proofErr w:type="spellStart"/>
      <w:r w:rsidRPr="001915B1">
        <w:rPr>
          <w:rFonts w:asciiTheme="minorHAnsi" w:eastAsia="Calibri" w:hAnsiTheme="minorHAnsi" w:cstheme="minorHAnsi"/>
          <w:sz w:val="18"/>
          <w:szCs w:val="18"/>
          <w:lang w:val="fr-FR"/>
        </w:rPr>
        <w:t>Chareyron</w:t>
      </w:r>
      <w:proofErr w:type="spellEnd"/>
      <w:r w:rsidRPr="001915B1">
        <w:rPr>
          <w:rFonts w:asciiTheme="minorHAnsi" w:eastAsia="Calibri" w:hAnsiTheme="minorHAnsi" w:cstheme="minorHAnsi"/>
          <w:sz w:val="18"/>
          <w:szCs w:val="18"/>
          <w:lang w:val="fr-FR"/>
        </w:rPr>
        <w:t xml:space="preserve"> (2023). </w:t>
      </w:r>
      <w:hyperlink r:id="rId57">
        <w:r w:rsidRPr="00464534">
          <w:rPr>
            <w:rFonts w:asciiTheme="minorHAnsi" w:eastAsia="Calibri" w:hAnsiTheme="minorHAnsi" w:cstheme="minorHAnsi"/>
            <w:i/>
            <w:iCs/>
            <w:color w:val="1155CC"/>
            <w:sz w:val="18"/>
            <w:szCs w:val="18"/>
            <w:u w:val="single"/>
            <w:lang w:val="fr-FR"/>
          </w:rPr>
          <w:t xml:space="preserve">Le Financement de l’Enseignement Supérieur en </w:t>
        </w:r>
        <w:r w:rsidR="00E97346">
          <w:rPr>
            <w:rFonts w:asciiTheme="minorHAnsi" w:eastAsia="Calibri" w:hAnsiTheme="minorHAnsi" w:cstheme="minorHAnsi"/>
            <w:i/>
            <w:iCs/>
            <w:color w:val="1155CC"/>
            <w:sz w:val="18"/>
            <w:szCs w:val="18"/>
            <w:u w:val="single"/>
            <w:lang w:val="fr-FR"/>
          </w:rPr>
          <w:t xml:space="preserve">France </w:t>
        </w:r>
        <w:r w:rsidRPr="00464534">
          <w:rPr>
            <w:rFonts w:asciiTheme="minorHAnsi" w:eastAsia="Calibri" w:hAnsiTheme="minorHAnsi" w:cstheme="minorHAnsi"/>
            <w:i/>
            <w:iCs/>
            <w:color w:val="1155CC"/>
            <w:sz w:val="18"/>
            <w:szCs w:val="18"/>
            <w:u w:val="single"/>
            <w:lang w:val="fr-FR"/>
          </w:rPr>
          <w:t>: Une synthèse bibliographique des effets des politiques de financement de l’Enseignement Supérieur depuis le début des années 2000</w:t>
        </w:r>
      </w:hyperlink>
      <w:r w:rsidRPr="00464534">
        <w:rPr>
          <w:rFonts w:asciiTheme="minorHAnsi" w:eastAsia="Calibri" w:hAnsiTheme="minorHAnsi" w:cstheme="minorHAnsi"/>
          <w:i/>
          <w:iCs/>
          <w:sz w:val="18"/>
          <w:szCs w:val="18"/>
          <w:lang w:val="fr-FR"/>
        </w:rPr>
        <w:t>.</w:t>
      </w:r>
    </w:p>
  </w:footnote>
  <w:footnote w:id="54">
    <w:p w14:paraId="0000007F" w14:textId="47FEF94E" w:rsidR="003F609F" w:rsidRPr="001915B1" w:rsidRDefault="00000000">
      <w:pPr>
        <w:rPr>
          <w:rFonts w:asciiTheme="minorHAnsi" w:eastAsia="Calibri" w:hAnsiTheme="minorHAnsi" w:cstheme="minorHAnsi"/>
          <w:sz w:val="18"/>
          <w:szCs w:val="18"/>
          <w:lang w:val="fr-FR"/>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sz w:val="18"/>
          <w:szCs w:val="18"/>
          <w:lang w:val="fr-FR"/>
        </w:rPr>
        <w:t xml:space="preserve"> MENJ – </w:t>
      </w:r>
      <w:proofErr w:type="gramStart"/>
      <w:r w:rsidRPr="001915B1">
        <w:rPr>
          <w:rFonts w:asciiTheme="minorHAnsi" w:eastAsia="Calibri" w:hAnsiTheme="minorHAnsi" w:cstheme="minorHAnsi"/>
          <w:sz w:val="18"/>
          <w:szCs w:val="18"/>
          <w:lang w:val="fr-FR"/>
        </w:rPr>
        <w:t>Ministère de l’Éducation</w:t>
      </w:r>
      <w:proofErr w:type="gramEnd"/>
      <w:r w:rsidRPr="001915B1">
        <w:rPr>
          <w:rFonts w:asciiTheme="minorHAnsi" w:eastAsia="Calibri" w:hAnsiTheme="minorHAnsi" w:cstheme="minorHAnsi"/>
          <w:sz w:val="18"/>
          <w:szCs w:val="18"/>
          <w:lang w:val="fr-FR"/>
        </w:rPr>
        <w:t xml:space="preserve"> Nationale et de la Jeunesse (2022). </w:t>
      </w:r>
      <w:hyperlink r:id="rId58">
        <w:r w:rsidRPr="00464534">
          <w:rPr>
            <w:rFonts w:asciiTheme="minorHAnsi" w:eastAsia="Calibri" w:hAnsiTheme="minorHAnsi" w:cstheme="minorHAnsi"/>
            <w:i/>
            <w:iCs/>
            <w:color w:val="1155CC"/>
            <w:sz w:val="18"/>
            <w:szCs w:val="18"/>
            <w:u w:val="single"/>
            <w:lang w:val="fr-FR"/>
          </w:rPr>
          <w:t>RERS Repères et Références Statistiques</w:t>
        </w:r>
      </w:hyperlink>
      <w:r w:rsidRPr="00464534">
        <w:rPr>
          <w:rFonts w:asciiTheme="minorHAnsi" w:eastAsia="Calibri" w:hAnsiTheme="minorHAnsi" w:cstheme="minorHAnsi"/>
          <w:i/>
          <w:iCs/>
          <w:sz w:val="18"/>
          <w:szCs w:val="18"/>
          <w:lang w:val="fr-FR"/>
        </w:rPr>
        <w:t>.</w:t>
      </w:r>
      <w:r w:rsidRPr="001915B1">
        <w:rPr>
          <w:rFonts w:asciiTheme="minorHAnsi" w:eastAsia="Calibri" w:hAnsiTheme="minorHAnsi" w:cstheme="minorHAnsi"/>
          <w:sz w:val="18"/>
          <w:szCs w:val="18"/>
          <w:lang w:val="fr-FR"/>
        </w:rPr>
        <w:t xml:space="preserve"> </w:t>
      </w:r>
      <w:proofErr w:type="spellStart"/>
      <w:r w:rsidRPr="001915B1">
        <w:rPr>
          <w:rFonts w:asciiTheme="minorHAnsi" w:eastAsia="Calibri" w:hAnsiTheme="minorHAnsi" w:cstheme="minorHAnsi"/>
          <w:sz w:val="18"/>
          <w:szCs w:val="18"/>
          <w:lang w:val="fr-FR"/>
        </w:rPr>
        <w:t>See</w:t>
      </w:r>
      <w:proofErr w:type="spellEnd"/>
      <w:r w:rsidRPr="001915B1">
        <w:rPr>
          <w:rFonts w:asciiTheme="minorHAnsi" w:eastAsia="Calibri" w:hAnsiTheme="minorHAnsi" w:cstheme="minorHAnsi"/>
          <w:sz w:val="18"/>
          <w:szCs w:val="18"/>
          <w:lang w:val="fr-FR"/>
        </w:rPr>
        <w:t xml:space="preserve"> </w:t>
      </w:r>
      <w:proofErr w:type="spellStart"/>
      <w:proofErr w:type="gramStart"/>
      <w:r w:rsidRPr="001915B1">
        <w:rPr>
          <w:rFonts w:asciiTheme="minorHAnsi" w:eastAsia="Calibri" w:hAnsiTheme="minorHAnsi" w:cstheme="minorHAnsi"/>
          <w:sz w:val="18"/>
          <w:szCs w:val="18"/>
          <w:lang w:val="fr-FR"/>
        </w:rPr>
        <w:t>also</w:t>
      </w:r>
      <w:proofErr w:type="spellEnd"/>
      <w:r w:rsidRPr="001915B1">
        <w:rPr>
          <w:rFonts w:asciiTheme="minorHAnsi" w:eastAsia="Calibri" w:hAnsiTheme="minorHAnsi" w:cstheme="minorHAnsi"/>
          <w:sz w:val="18"/>
          <w:szCs w:val="18"/>
          <w:lang w:val="fr-FR"/>
        </w:rPr>
        <w:t>:</w:t>
      </w:r>
      <w:proofErr w:type="gramEnd"/>
      <w:r w:rsidRPr="001915B1">
        <w:rPr>
          <w:rFonts w:asciiTheme="minorHAnsi" w:eastAsia="Calibri" w:hAnsiTheme="minorHAnsi" w:cstheme="minorHAnsi"/>
          <w:sz w:val="18"/>
          <w:szCs w:val="18"/>
          <w:lang w:val="fr-FR"/>
        </w:rPr>
        <w:t xml:space="preserve"> Claire </w:t>
      </w:r>
      <w:proofErr w:type="spellStart"/>
      <w:r w:rsidRPr="001915B1">
        <w:rPr>
          <w:rFonts w:asciiTheme="minorHAnsi" w:eastAsia="Calibri" w:hAnsiTheme="minorHAnsi" w:cstheme="minorHAnsi"/>
          <w:sz w:val="18"/>
          <w:szCs w:val="18"/>
          <w:lang w:val="fr-FR"/>
        </w:rPr>
        <w:t>Calvel</w:t>
      </w:r>
      <w:proofErr w:type="spellEnd"/>
      <w:r w:rsidRPr="001915B1">
        <w:rPr>
          <w:rFonts w:asciiTheme="minorHAnsi" w:eastAsia="Calibri" w:hAnsiTheme="minorHAnsi" w:cstheme="minorHAnsi"/>
          <w:sz w:val="18"/>
          <w:szCs w:val="18"/>
          <w:lang w:val="fr-FR"/>
        </w:rPr>
        <w:t xml:space="preserve"> et Victor </w:t>
      </w:r>
      <w:proofErr w:type="spellStart"/>
      <w:r w:rsidRPr="001915B1">
        <w:rPr>
          <w:rFonts w:asciiTheme="minorHAnsi" w:eastAsia="Calibri" w:hAnsiTheme="minorHAnsi" w:cstheme="minorHAnsi"/>
          <w:sz w:val="18"/>
          <w:szCs w:val="18"/>
          <w:lang w:val="fr-FR"/>
        </w:rPr>
        <w:t>Chareyron</w:t>
      </w:r>
      <w:proofErr w:type="spellEnd"/>
      <w:r w:rsidRPr="001915B1">
        <w:rPr>
          <w:rFonts w:asciiTheme="minorHAnsi" w:eastAsia="Calibri" w:hAnsiTheme="minorHAnsi" w:cstheme="minorHAnsi"/>
          <w:sz w:val="18"/>
          <w:szCs w:val="18"/>
          <w:lang w:val="fr-FR"/>
        </w:rPr>
        <w:t xml:space="preserve"> (2023). </w:t>
      </w:r>
      <w:hyperlink r:id="rId59">
        <w:r w:rsidRPr="00464534">
          <w:rPr>
            <w:rFonts w:asciiTheme="minorHAnsi" w:eastAsia="Calibri" w:hAnsiTheme="minorHAnsi" w:cstheme="minorHAnsi"/>
            <w:i/>
            <w:iCs/>
            <w:color w:val="1155CC"/>
            <w:sz w:val="18"/>
            <w:szCs w:val="18"/>
            <w:u w:val="single"/>
            <w:lang w:val="fr-FR"/>
          </w:rPr>
          <w:t xml:space="preserve">Le Financement de l’Enseignement Supérieur en </w:t>
        </w:r>
        <w:r w:rsidR="00E97346">
          <w:rPr>
            <w:rFonts w:asciiTheme="minorHAnsi" w:eastAsia="Calibri" w:hAnsiTheme="minorHAnsi" w:cstheme="minorHAnsi"/>
            <w:i/>
            <w:iCs/>
            <w:color w:val="1155CC"/>
            <w:sz w:val="18"/>
            <w:szCs w:val="18"/>
            <w:u w:val="single"/>
            <w:lang w:val="fr-FR"/>
          </w:rPr>
          <w:t xml:space="preserve">France </w:t>
        </w:r>
        <w:r w:rsidRPr="00464534">
          <w:rPr>
            <w:rFonts w:asciiTheme="minorHAnsi" w:eastAsia="Calibri" w:hAnsiTheme="minorHAnsi" w:cstheme="minorHAnsi"/>
            <w:i/>
            <w:iCs/>
            <w:color w:val="1155CC"/>
            <w:sz w:val="18"/>
            <w:szCs w:val="18"/>
            <w:u w:val="single"/>
            <w:lang w:val="fr-FR"/>
          </w:rPr>
          <w:t>: Une synthèse bibliographique des effets des politiques de financement de l’Enseignement Supérieur depuis le début des années 2000</w:t>
        </w:r>
      </w:hyperlink>
      <w:r w:rsidRPr="00464534">
        <w:rPr>
          <w:rFonts w:asciiTheme="minorHAnsi" w:eastAsia="Calibri" w:hAnsiTheme="minorHAnsi" w:cstheme="minorHAnsi"/>
          <w:i/>
          <w:iCs/>
          <w:sz w:val="18"/>
          <w:szCs w:val="18"/>
          <w:lang w:val="fr-FR"/>
        </w:rPr>
        <w:t>.</w:t>
      </w:r>
    </w:p>
  </w:footnote>
  <w:footnote w:id="55">
    <w:p w14:paraId="0000008F" w14:textId="6499E441" w:rsidR="003F609F" w:rsidRPr="001915B1" w:rsidRDefault="00000000">
      <w:pPr>
        <w:rPr>
          <w:rFonts w:asciiTheme="minorHAnsi" w:eastAsia="Calibri" w:hAnsiTheme="minorHAnsi" w:cstheme="minorHAnsi"/>
          <w:sz w:val="18"/>
          <w:szCs w:val="18"/>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sz w:val="18"/>
          <w:szCs w:val="18"/>
        </w:rPr>
        <w:t xml:space="preserve"> Right to Education Initiative (2022)</w:t>
      </w:r>
      <w:r w:rsidR="00464534">
        <w:rPr>
          <w:rFonts w:asciiTheme="minorHAnsi" w:eastAsia="Calibri" w:hAnsiTheme="minorHAnsi" w:cstheme="minorHAnsi"/>
          <w:sz w:val="18"/>
          <w:szCs w:val="18"/>
        </w:rPr>
        <w:t>.</w:t>
      </w:r>
      <w:r w:rsidRPr="001915B1">
        <w:rPr>
          <w:rFonts w:asciiTheme="minorHAnsi" w:eastAsia="Calibri" w:hAnsiTheme="minorHAnsi" w:cstheme="minorHAnsi"/>
          <w:sz w:val="18"/>
          <w:szCs w:val="18"/>
        </w:rPr>
        <w:t xml:space="preserve"> </w:t>
      </w:r>
      <w:hyperlink r:id="rId60" w:history="1">
        <w:r w:rsidRPr="00464534">
          <w:rPr>
            <w:rStyle w:val="Lienhypertexte"/>
            <w:rFonts w:asciiTheme="minorHAnsi" w:eastAsia="Calibri" w:hAnsiTheme="minorHAnsi" w:cstheme="minorHAnsi"/>
            <w:sz w:val="18"/>
            <w:szCs w:val="18"/>
          </w:rPr>
          <w:t>Higher Education in France: A right threatened by increasing inequalities?</w:t>
        </w:r>
      </w:hyperlink>
      <w:r w:rsidRPr="001915B1">
        <w:rPr>
          <w:rFonts w:asciiTheme="minorHAnsi" w:eastAsia="Calibri" w:hAnsiTheme="minorHAnsi" w:cstheme="minorHAnsi"/>
          <w:sz w:val="18"/>
          <w:szCs w:val="18"/>
        </w:rPr>
        <w:t xml:space="preserve"> </w:t>
      </w:r>
    </w:p>
  </w:footnote>
  <w:footnote w:id="56">
    <w:p w14:paraId="000000B7" w14:textId="161F00A1" w:rsidR="003F609F" w:rsidRPr="001915B1" w:rsidRDefault="00000000">
      <w:pPr>
        <w:rPr>
          <w:rFonts w:asciiTheme="minorHAnsi" w:eastAsia="Calibri" w:hAnsiTheme="minorHAnsi" w:cstheme="minorHAnsi"/>
          <w:sz w:val="18"/>
          <w:szCs w:val="18"/>
          <w:lang w:val="fr-FR"/>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sz w:val="18"/>
          <w:szCs w:val="18"/>
          <w:lang w:val="fr-FR"/>
        </w:rPr>
        <w:t xml:space="preserve"> </w:t>
      </w:r>
      <w:proofErr w:type="spellStart"/>
      <w:r w:rsidRPr="001915B1">
        <w:rPr>
          <w:rFonts w:asciiTheme="minorHAnsi" w:eastAsia="Calibri" w:hAnsiTheme="minorHAnsi" w:cstheme="minorHAnsi"/>
          <w:sz w:val="18"/>
          <w:szCs w:val="18"/>
          <w:lang w:val="fr-FR"/>
        </w:rPr>
        <w:t>Béjean</w:t>
      </w:r>
      <w:proofErr w:type="spellEnd"/>
      <w:r w:rsidRPr="001915B1">
        <w:rPr>
          <w:rFonts w:asciiTheme="minorHAnsi" w:eastAsia="Calibri" w:hAnsiTheme="minorHAnsi" w:cstheme="minorHAnsi"/>
          <w:sz w:val="18"/>
          <w:szCs w:val="18"/>
          <w:lang w:val="fr-FR"/>
        </w:rPr>
        <w:t xml:space="preserve">, S. &amp; </w:t>
      </w:r>
      <w:proofErr w:type="spellStart"/>
      <w:r w:rsidRPr="001915B1">
        <w:rPr>
          <w:rFonts w:asciiTheme="minorHAnsi" w:eastAsia="Calibri" w:hAnsiTheme="minorHAnsi" w:cstheme="minorHAnsi"/>
          <w:sz w:val="18"/>
          <w:szCs w:val="18"/>
          <w:lang w:val="fr-FR"/>
        </w:rPr>
        <w:t>Monthubert</w:t>
      </w:r>
      <w:proofErr w:type="spellEnd"/>
      <w:r w:rsidRPr="001915B1">
        <w:rPr>
          <w:rFonts w:asciiTheme="minorHAnsi" w:eastAsia="Calibri" w:hAnsiTheme="minorHAnsi" w:cstheme="minorHAnsi"/>
          <w:sz w:val="18"/>
          <w:szCs w:val="18"/>
          <w:lang w:val="fr-FR"/>
        </w:rPr>
        <w:t>, B. (2015)</w:t>
      </w:r>
      <w:r w:rsidR="00464534">
        <w:rPr>
          <w:rFonts w:asciiTheme="minorHAnsi" w:eastAsia="Calibri" w:hAnsiTheme="minorHAnsi" w:cstheme="minorHAnsi"/>
          <w:sz w:val="18"/>
          <w:szCs w:val="18"/>
          <w:lang w:val="fr-FR"/>
        </w:rPr>
        <w:t>.</w:t>
      </w:r>
      <w:r w:rsidRPr="001915B1">
        <w:rPr>
          <w:rFonts w:asciiTheme="minorHAnsi" w:eastAsia="Calibri" w:hAnsiTheme="minorHAnsi" w:cstheme="minorHAnsi"/>
          <w:sz w:val="18"/>
          <w:szCs w:val="18"/>
          <w:lang w:val="fr-FR"/>
        </w:rPr>
        <w:t xml:space="preserve"> </w:t>
      </w:r>
      <w:hyperlink r:id="rId61" w:history="1">
        <w:r w:rsidR="00464534" w:rsidRPr="00E97346">
          <w:rPr>
            <w:rStyle w:val="Lienhypertexte"/>
            <w:rFonts w:asciiTheme="minorHAnsi" w:eastAsia="Calibri" w:hAnsiTheme="minorHAnsi" w:cstheme="minorHAnsi"/>
            <w:i/>
            <w:iCs/>
            <w:sz w:val="18"/>
            <w:szCs w:val="18"/>
            <w:lang w:val="fr-FR"/>
          </w:rPr>
          <w:t>Pour une société apprenante - propositions pour une stratégie nationale de l'enseignement supérieur.</w:t>
        </w:r>
      </w:hyperlink>
    </w:p>
  </w:footnote>
  <w:footnote w:id="57">
    <w:p w14:paraId="000000B8" w14:textId="3992FF34" w:rsidR="003F609F" w:rsidRPr="00E97346" w:rsidRDefault="00000000">
      <w:pPr>
        <w:rPr>
          <w:rFonts w:asciiTheme="minorHAnsi" w:eastAsia="Calibri" w:hAnsiTheme="minorHAnsi" w:cstheme="minorHAnsi"/>
          <w:i/>
          <w:iCs/>
          <w:sz w:val="18"/>
          <w:szCs w:val="18"/>
          <w:lang w:val="fr-FR"/>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sz w:val="18"/>
          <w:szCs w:val="18"/>
          <w:lang w:val="fr-FR"/>
        </w:rPr>
        <w:t xml:space="preserve"> Harari-</w:t>
      </w:r>
      <w:proofErr w:type="spellStart"/>
      <w:r w:rsidRPr="001915B1">
        <w:rPr>
          <w:rFonts w:asciiTheme="minorHAnsi" w:eastAsia="Calibri" w:hAnsiTheme="minorHAnsi" w:cstheme="minorHAnsi"/>
          <w:sz w:val="18"/>
          <w:szCs w:val="18"/>
          <w:lang w:val="fr-FR"/>
        </w:rPr>
        <w:t>Kermadec</w:t>
      </w:r>
      <w:proofErr w:type="spellEnd"/>
      <w:r w:rsidRPr="001915B1">
        <w:rPr>
          <w:rFonts w:asciiTheme="minorHAnsi" w:eastAsia="Calibri" w:hAnsiTheme="minorHAnsi" w:cstheme="minorHAnsi"/>
          <w:sz w:val="18"/>
          <w:szCs w:val="18"/>
          <w:lang w:val="fr-FR"/>
        </w:rPr>
        <w:t>, H. (2019)</w:t>
      </w:r>
      <w:r w:rsidR="00E97346">
        <w:rPr>
          <w:rFonts w:asciiTheme="minorHAnsi" w:eastAsia="Calibri" w:hAnsiTheme="minorHAnsi" w:cstheme="minorHAnsi"/>
          <w:sz w:val="18"/>
          <w:szCs w:val="18"/>
          <w:lang w:val="fr-FR"/>
        </w:rPr>
        <w:t>.</w:t>
      </w:r>
      <w:r w:rsidRPr="001915B1">
        <w:rPr>
          <w:rFonts w:asciiTheme="minorHAnsi" w:eastAsia="Calibri" w:hAnsiTheme="minorHAnsi" w:cstheme="minorHAnsi"/>
          <w:sz w:val="18"/>
          <w:szCs w:val="18"/>
          <w:lang w:val="fr-FR"/>
        </w:rPr>
        <w:t xml:space="preserve"> </w:t>
      </w:r>
      <w:hyperlink r:id="rId62" w:history="1">
        <w:r w:rsidR="00E97346" w:rsidRPr="00E97346">
          <w:rPr>
            <w:rStyle w:val="Lienhypertexte"/>
            <w:rFonts w:asciiTheme="minorHAnsi" w:eastAsia="Calibri" w:hAnsiTheme="minorHAnsi" w:cstheme="minorHAnsi"/>
            <w:i/>
            <w:iCs/>
            <w:sz w:val="18"/>
            <w:szCs w:val="18"/>
            <w:lang w:val="fr-FR"/>
          </w:rPr>
          <w:t xml:space="preserve">Le classement de Shanghai. L’université </w:t>
        </w:r>
        <w:proofErr w:type="spellStart"/>
        <w:r w:rsidR="00E97346" w:rsidRPr="00E97346">
          <w:rPr>
            <w:rStyle w:val="Lienhypertexte"/>
            <w:rFonts w:asciiTheme="minorHAnsi" w:eastAsia="Calibri" w:hAnsiTheme="minorHAnsi" w:cstheme="minorHAnsi"/>
            <w:i/>
            <w:iCs/>
            <w:sz w:val="18"/>
            <w:szCs w:val="18"/>
            <w:lang w:val="fr-FR"/>
          </w:rPr>
          <w:t>marchandisée</w:t>
        </w:r>
        <w:proofErr w:type="spellEnd"/>
        <w:r w:rsidR="00E97346" w:rsidRPr="00E97346">
          <w:rPr>
            <w:rStyle w:val="Lienhypertexte"/>
            <w:rFonts w:asciiTheme="minorHAnsi" w:eastAsia="Calibri" w:hAnsiTheme="minorHAnsi" w:cstheme="minorHAnsi"/>
            <w:i/>
            <w:iCs/>
            <w:sz w:val="18"/>
            <w:szCs w:val="18"/>
            <w:lang w:val="fr-FR"/>
          </w:rPr>
          <w:t>.</w:t>
        </w:r>
      </w:hyperlink>
    </w:p>
  </w:footnote>
  <w:footnote w:id="58">
    <w:p w14:paraId="000000B9" w14:textId="0817586E" w:rsidR="003F609F" w:rsidRPr="001915B1" w:rsidRDefault="00000000">
      <w:pPr>
        <w:rPr>
          <w:rFonts w:asciiTheme="minorHAnsi" w:eastAsia="Calibri" w:hAnsiTheme="minorHAnsi" w:cstheme="minorHAnsi"/>
          <w:sz w:val="18"/>
          <w:szCs w:val="18"/>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sz w:val="18"/>
          <w:szCs w:val="18"/>
        </w:rPr>
        <w:t xml:space="preserve"> See Right to Education Initiative (2022)</w:t>
      </w:r>
      <w:r w:rsidR="00E97346">
        <w:rPr>
          <w:rFonts w:asciiTheme="minorHAnsi" w:eastAsia="Calibri" w:hAnsiTheme="minorHAnsi" w:cstheme="minorHAnsi"/>
          <w:sz w:val="18"/>
          <w:szCs w:val="18"/>
        </w:rPr>
        <w:t xml:space="preserve">. </w:t>
      </w:r>
      <w:hyperlink r:id="rId63" w:history="1">
        <w:r w:rsidRPr="00E97346">
          <w:rPr>
            <w:rStyle w:val="Lienhypertexte"/>
            <w:rFonts w:asciiTheme="minorHAnsi" w:eastAsia="Calibri" w:hAnsiTheme="minorHAnsi" w:cstheme="minorHAnsi"/>
            <w:sz w:val="18"/>
            <w:szCs w:val="18"/>
          </w:rPr>
          <w:t>Higher Education in France: A right threatened by increasing ine</w:t>
        </w:r>
        <w:r w:rsidRPr="00E97346">
          <w:rPr>
            <w:rStyle w:val="Lienhypertexte"/>
            <w:rFonts w:asciiTheme="minorHAnsi" w:eastAsia="Calibri" w:hAnsiTheme="minorHAnsi" w:cstheme="minorHAnsi"/>
            <w:sz w:val="18"/>
            <w:szCs w:val="18"/>
          </w:rPr>
          <w:t>q</w:t>
        </w:r>
        <w:r w:rsidRPr="00E97346">
          <w:rPr>
            <w:rStyle w:val="Lienhypertexte"/>
            <w:rFonts w:asciiTheme="minorHAnsi" w:eastAsia="Calibri" w:hAnsiTheme="minorHAnsi" w:cstheme="minorHAnsi"/>
            <w:sz w:val="18"/>
            <w:szCs w:val="18"/>
          </w:rPr>
          <w:t>ualities?</w:t>
        </w:r>
      </w:hyperlink>
      <w:r w:rsidRPr="001915B1">
        <w:rPr>
          <w:rFonts w:asciiTheme="minorHAnsi" w:eastAsia="Calibri" w:hAnsiTheme="minorHAnsi" w:cstheme="minorHAnsi"/>
          <w:sz w:val="18"/>
          <w:szCs w:val="18"/>
        </w:rPr>
        <w:t xml:space="preserve"> </w:t>
      </w:r>
    </w:p>
  </w:footnote>
  <w:footnote w:id="59">
    <w:p w14:paraId="000000BD" w14:textId="52F61208" w:rsidR="003F609F" w:rsidRPr="001915B1" w:rsidRDefault="00000000">
      <w:pPr>
        <w:rPr>
          <w:rFonts w:asciiTheme="minorHAnsi" w:eastAsia="Calibri" w:hAnsiTheme="minorHAnsi" w:cstheme="minorHAnsi"/>
          <w:sz w:val="18"/>
          <w:szCs w:val="18"/>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sz w:val="18"/>
          <w:szCs w:val="18"/>
        </w:rPr>
        <w:t xml:space="preserve"> For details see: Right to Education Initiative (2022)</w:t>
      </w:r>
      <w:r w:rsidR="00E97346">
        <w:rPr>
          <w:rFonts w:asciiTheme="minorHAnsi" w:eastAsia="Calibri" w:hAnsiTheme="minorHAnsi" w:cstheme="minorHAnsi"/>
          <w:sz w:val="18"/>
          <w:szCs w:val="18"/>
        </w:rPr>
        <w:t>.</w:t>
      </w:r>
      <w:r w:rsidRPr="001915B1">
        <w:rPr>
          <w:rFonts w:asciiTheme="minorHAnsi" w:eastAsia="Calibri" w:hAnsiTheme="minorHAnsi" w:cstheme="minorHAnsi"/>
          <w:sz w:val="18"/>
          <w:szCs w:val="18"/>
        </w:rPr>
        <w:t xml:space="preserve"> </w:t>
      </w:r>
      <w:hyperlink r:id="rId64" w:history="1">
        <w:r w:rsidR="00E97346" w:rsidRPr="00E97346">
          <w:rPr>
            <w:rStyle w:val="Lienhypertexte"/>
            <w:rFonts w:asciiTheme="minorHAnsi" w:eastAsia="Calibri" w:hAnsiTheme="minorHAnsi" w:cstheme="minorHAnsi"/>
            <w:sz w:val="18"/>
            <w:szCs w:val="18"/>
          </w:rPr>
          <w:t>Higher Education in France: A right threatened by increasing inequalities?</w:t>
        </w:r>
      </w:hyperlink>
    </w:p>
  </w:footnote>
  <w:footnote w:id="60">
    <w:p w14:paraId="000000BA" w14:textId="77777777" w:rsidR="003F609F" w:rsidRPr="001915B1" w:rsidRDefault="00000000">
      <w:pPr>
        <w:rPr>
          <w:rFonts w:asciiTheme="minorHAnsi" w:eastAsia="Calibri" w:hAnsiTheme="minorHAnsi" w:cstheme="minorHAnsi"/>
          <w:sz w:val="18"/>
          <w:szCs w:val="18"/>
          <w:lang w:val="fr-FR"/>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sz w:val="18"/>
          <w:szCs w:val="18"/>
          <w:lang w:val="fr-FR"/>
        </w:rPr>
        <w:t xml:space="preserve"> Gourdon, J. &amp; </w:t>
      </w:r>
      <w:proofErr w:type="spellStart"/>
      <w:r w:rsidRPr="001915B1">
        <w:rPr>
          <w:rFonts w:asciiTheme="minorHAnsi" w:eastAsia="Calibri" w:hAnsiTheme="minorHAnsi" w:cstheme="minorHAnsi"/>
          <w:sz w:val="18"/>
          <w:szCs w:val="18"/>
          <w:lang w:val="fr-FR"/>
        </w:rPr>
        <w:t>Davidenkoff</w:t>
      </w:r>
      <w:proofErr w:type="spellEnd"/>
      <w:r w:rsidRPr="001915B1">
        <w:rPr>
          <w:rFonts w:asciiTheme="minorHAnsi" w:eastAsia="Calibri" w:hAnsiTheme="minorHAnsi" w:cstheme="minorHAnsi"/>
          <w:sz w:val="18"/>
          <w:szCs w:val="18"/>
          <w:lang w:val="fr-FR"/>
        </w:rPr>
        <w:t xml:space="preserve"> E. (2019) : </w:t>
      </w:r>
      <w:hyperlink r:id="rId65">
        <w:r w:rsidRPr="00E97346">
          <w:rPr>
            <w:rFonts w:asciiTheme="minorHAnsi" w:eastAsia="Calibri" w:hAnsiTheme="minorHAnsi" w:cstheme="minorHAnsi"/>
            <w:i/>
            <w:iCs/>
            <w:sz w:val="18"/>
            <w:szCs w:val="18"/>
            <w:u w:val="single"/>
            <w:lang w:val="fr-FR"/>
          </w:rPr>
          <w:t>L’irrésistible ascension de l’enseignement supérieur privé</w:t>
        </w:r>
      </w:hyperlink>
      <w:r w:rsidRPr="001915B1">
        <w:rPr>
          <w:rFonts w:asciiTheme="minorHAnsi" w:eastAsia="Calibri" w:hAnsiTheme="minorHAnsi" w:cstheme="minorHAnsi"/>
          <w:sz w:val="18"/>
          <w:szCs w:val="18"/>
          <w:lang w:val="fr-FR"/>
        </w:rPr>
        <w:t xml:space="preserve"> </w:t>
      </w:r>
    </w:p>
  </w:footnote>
  <w:footnote w:id="61">
    <w:p w14:paraId="000000BB" w14:textId="77777777" w:rsidR="003F609F" w:rsidRPr="001915B1" w:rsidRDefault="00000000">
      <w:pPr>
        <w:rPr>
          <w:rFonts w:asciiTheme="minorHAnsi" w:eastAsia="Calibri" w:hAnsiTheme="minorHAnsi" w:cstheme="minorHAnsi"/>
          <w:sz w:val="18"/>
          <w:szCs w:val="18"/>
          <w:lang w:val="fr-FR"/>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sz w:val="18"/>
          <w:szCs w:val="18"/>
          <w:lang w:val="fr-FR"/>
        </w:rPr>
        <w:t xml:space="preserve"> Observatoire de la vie étudiante (2016) : </w:t>
      </w:r>
      <w:hyperlink r:id="rId66">
        <w:r w:rsidRPr="00E97346">
          <w:rPr>
            <w:rFonts w:asciiTheme="minorHAnsi" w:eastAsia="Calibri" w:hAnsiTheme="minorHAnsi" w:cstheme="minorHAnsi"/>
            <w:i/>
            <w:iCs/>
            <w:sz w:val="18"/>
            <w:szCs w:val="18"/>
            <w:u w:val="single"/>
            <w:lang w:val="fr-FR"/>
          </w:rPr>
          <w:t xml:space="preserve">Enquête nationale Conditions de vie des </w:t>
        </w:r>
        <w:proofErr w:type="spellStart"/>
        <w:r w:rsidRPr="00E97346">
          <w:rPr>
            <w:rFonts w:asciiTheme="minorHAnsi" w:eastAsia="Calibri" w:hAnsiTheme="minorHAnsi" w:cstheme="minorHAnsi"/>
            <w:i/>
            <w:iCs/>
            <w:sz w:val="18"/>
            <w:szCs w:val="18"/>
            <w:u w:val="single"/>
            <w:lang w:val="fr-FR"/>
          </w:rPr>
          <w:t>étudiant.</w:t>
        </w:r>
        <w:proofErr w:type="gramStart"/>
        <w:r w:rsidRPr="00E97346">
          <w:rPr>
            <w:rFonts w:asciiTheme="minorHAnsi" w:eastAsia="Calibri" w:hAnsiTheme="minorHAnsi" w:cstheme="minorHAnsi"/>
            <w:i/>
            <w:iCs/>
            <w:sz w:val="18"/>
            <w:szCs w:val="18"/>
            <w:u w:val="single"/>
            <w:lang w:val="fr-FR"/>
          </w:rPr>
          <w:t>e.s</w:t>
        </w:r>
        <w:proofErr w:type="spellEnd"/>
        <w:proofErr w:type="gramEnd"/>
        <w:r w:rsidRPr="00E97346">
          <w:rPr>
            <w:rFonts w:asciiTheme="minorHAnsi" w:eastAsia="Calibri" w:hAnsiTheme="minorHAnsi" w:cstheme="minorHAnsi"/>
            <w:i/>
            <w:iCs/>
            <w:sz w:val="18"/>
            <w:szCs w:val="18"/>
            <w:u w:val="single"/>
            <w:lang w:val="fr-FR"/>
          </w:rPr>
          <w:t xml:space="preserve">  2016</w:t>
        </w:r>
      </w:hyperlink>
      <w:r w:rsidRPr="001915B1">
        <w:rPr>
          <w:rFonts w:asciiTheme="minorHAnsi" w:eastAsia="Calibri" w:hAnsiTheme="minorHAnsi" w:cstheme="minorHAnsi"/>
          <w:sz w:val="18"/>
          <w:szCs w:val="18"/>
          <w:lang w:val="fr-FR"/>
        </w:rPr>
        <w:t xml:space="preserve"> </w:t>
      </w:r>
    </w:p>
  </w:footnote>
  <w:footnote w:id="62">
    <w:p w14:paraId="000000BC" w14:textId="0ADDA441" w:rsidR="003F609F" w:rsidRPr="001915B1" w:rsidRDefault="00000000">
      <w:pPr>
        <w:rPr>
          <w:rFonts w:asciiTheme="minorHAnsi" w:eastAsia="Calibri" w:hAnsiTheme="minorHAnsi" w:cstheme="minorHAnsi"/>
          <w:sz w:val="18"/>
          <w:szCs w:val="18"/>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sz w:val="18"/>
          <w:szCs w:val="18"/>
          <w:lang w:val="fr-FR"/>
        </w:rPr>
        <w:t xml:space="preserve"> Gourdon, J. (2022) : </w:t>
      </w:r>
      <w:hyperlink r:id="rId67">
        <w:r w:rsidRPr="00E97346">
          <w:rPr>
            <w:rFonts w:asciiTheme="minorHAnsi" w:eastAsia="Calibri" w:hAnsiTheme="minorHAnsi" w:cstheme="minorHAnsi"/>
            <w:i/>
            <w:iCs/>
            <w:sz w:val="18"/>
            <w:szCs w:val="18"/>
            <w:u w:val="single"/>
            <w:lang w:val="fr-FR"/>
          </w:rPr>
          <w:t>L’insolente santé de l’enseignement supérieur privé</w:t>
        </w:r>
      </w:hyperlink>
      <w:r w:rsidRPr="001915B1">
        <w:rPr>
          <w:rFonts w:asciiTheme="minorHAnsi" w:eastAsia="Calibri" w:hAnsiTheme="minorHAnsi" w:cstheme="minorHAnsi"/>
          <w:sz w:val="18"/>
          <w:szCs w:val="18"/>
          <w:lang w:val="fr-FR"/>
        </w:rPr>
        <w:t xml:space="preserve">. </w:t>
      </w:r>
      <w:r w:rsidRPr="001915B1">
        <w:rPr>
          <w:rFonts w:asciiTheme="minorHAnsi" w:eastAsia="Calibri" w:hAnsiTheme="minorHAnsi" w:cstheme="minorHAnsi"/>
          <w:sz w:val="18"/>
          <w:szCs w:val="18"/>
        </w:rPr>
        <w:t xml:space="preserve">For details, see also  Right to Education Initiative (2022), </w:t>
      </w:r>
      <w:hyperlink r:id="rId68" w:history="1">
        <w:r w:rsidR="00E97346" w:rsidRPr="00E97346">
          <w:rPr>
            <w:rStyle w:val="Lienhypertexte"/>
            <w:rFonts w:asciiTheme="minorHAnsi" w:eastAsia="Calibri" w:hAnsiTheme="minorHAnsi" w:cstheme="minorHAnsi"/>
            <w:sz w:val="18"/>
            <w:szCs w:val="18"/>
          </w:rPr>
          <w:t>Higher Education in France: A right threatened by increasing inequalities?</w:t>
        </w:r>
      </w:hyperlink>
    </w:p>
  </w:footnote>
  <w:footnote w:id="63">
    <w:p w14:paraId="000000C0" w14:textId="36F5EB1F" w:rsidR="003F609F" w:rsidRPr="001915B1" w:rsidRDefault="00000000">
      <w:pPr>
        <w:jc w:val="both"/>
        <w:rPr>
          <w:rFonts w:asciiTheme="minorHAnsi" w:eastAsia="Calibri" w:hAnsiTheme="minorHAnsi" w:cstheme="minorHAnsi"/>
          <w:sz w:val="18"/>
          <w:szCs w:val="18"/>
          <w:lang w:val="fr-FR"/>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sz w:val="18"/>
          <w:szCs w:val="18"/>
          <w:lang w:val="fr-FR"/>
        </w:rPr>
        <w:t xml:space="preserve"> </w:t>
      </w:r>
      <w:proofErr w:type="spellStart"/>
      <w:r w:rsidRPr="001915B1">
        <w:rPr>
          <w:rFonts w:asciiTheme="minorHAnsi" w:eastAsia="Calibri" w:hAnsiTheme="minorHAnsi" w:cstheme="minorHAnsi"/>
          <w:sz w:val="18"/>
          <w:szCs w:val="18"/>
          <w:lang w:val="fr-FR"/>
        </w:rPr>
        <w:t>Rosenwald</w:t>
      </w:r>
      <w:proofErr w:type="spellEnd"/>
      <w:r w:rsidRPr="001915B1">
        <w:rPr>
          <w:rFonts w:asciiTheme="minorHAnsi" w:eastAsia="Calibri" w:hAnsiTheme="minorHAnsi" w:cstheme="minorHAnsi"/>
          <w:sz w:val="18"/>
          <w:szCs w:val="18"/>
          <w:lang w:val="fr-FR"/>
        </w:rPr>
        <w:t xml:space="preserve">, F., Demay, V., </w:t>
      </w:r>
      <w:proofErr w:type="spellStart"/>
      <w:r w:rsidRPr="001915B1">
        <w:rPr>
          <w:rFonts w:asciiTheme="minorHAnsi" w:eastAsia="Calibri" w:hAnsiTheme="minorHAnsi" w:cstheme="minorHAnsi"/>
          <w:sz w:val="18"/>
          <w:szCs w:val="18"/>
          <w:lang w:val="fr-FR"/>
        </w:rPr>
        <w:t>Duquet</w:t>
      </w:r>
      <w:proofErr w:type="spellEnd"/>
      <w:r w:rsidRPr="001915B1">
        <w:rPr>
          <w:rFonts w:asciiTheme="minorHAnsi" w:eastAsia="Calibri" w:hAnsiTheme="minorHAnsi" w:cstheme="minorHAnsi"/>
          <w:sz w:val="18"/>
          <w:szCs w:val="18"/>
          <w:lang w:val="fr-FR"/>
        </w:rPr>
        <w:t xml:space="preserve">-Métayer, C., &amp; Jouvenceau, M. (2021). </w:t>
      </w:r>
      <w:hyperlink r:id="rId69" w:history="1">
        <w:r w:rsidRPr="00E97346">
          <w:rPr>
            <w:rStyle w:val="Lienhypertexte"/>
            <w:rFonts w:asciiTheme="minorHAnsi" w:eastAsia="Calibri" w:hAnsiTheme="minorHAnsi" w:cstheme="minorHAnsi"/>
            <w:i/>
            <w:iCs/>
            <w:sz w:val="18"/>
            <w:szCs w:val="18"/>
            <w:lang w:val="fr-FR"/>
          </w:rPr>
          <w:t>Repères et références statistiques sur les enseignements, la formation et la recherche 2021</w:t>
        </w:r>
      </w:hyperlink>
    </w:p>
  </w:footnote>
  <w:footnote w:id="64">
    <w:p w14:paraId="000000C1" w14:textId="180A6E91" w:rsidR="003F609F" w:rsidRPr="00E97346" w:rsidRDefault="00000000">
      <w:pPr>
        <w:rPr>
          <w:rFonts w:asciiTheme="minorHAnsi" w:eastAsia="Calibri" w:hAnsiTheme="minorHAnsi" w:cstheme="minorHAnsi"/>
          <w:sz w:val="18"/>
          <w:szCs w:val="18"/>
          <w:lang w:val="en-US"/>
        </w:rPr>
      </w:pPr>
      <w:r w:rsidRPr="001915B1">
        <w:rPr>
          <w:rFonts w:asciiTheme="minorHAnsi" w:hAnsiTheme="minorHAnsi" w:cstheme="minorHAnsi"/>
          <w:sz w:val="18"/>
          <w:szCs w:val="18"/>
          <w:vertAlign w:val="superscript"/>
        </w:rPr>
        <w:footnoteRef/>
      </w:r>
      <w:r w:rsidRPr="00E97346">
        <w:rPr>
          <w:rFonts w:asciiTheme="minorHAnsi" w:eastAsia="Calibri" w:hAnsiTheme="minorHAnsi" w:cstheme="minorHAnsi"/>
          <w:sz w:val="18"/>
          <w:szCs w:val="18"/>
          <w:lang w:val="en-US"/>
        </w:rPr>
        <w:t xml:space="preserve"> </w:t>
      </w:r>
      <w:r w:rsidR="00E97346" w:rsidRPr="00E97346">
        <w:rPr>
          <w:rFonts w:asciiTheme="minorHAnsi" w:eastAsia="Calibri" w:hAnsiTheme="minorHAnsi" w:cstheme="minorHAnsi"/>
          <w:sz w:val="18"/>
          <w:szCs w:val="18"/>
          <w:lang w:val="en-US"/>
        </w:rPr>
        <w:t>See</w:t>
      </w:r>
      <w:r w:rsidR="00E97346">
        <w:rPr>
          <w:rFonts w:asciiTheme="minorHAnsi" w:eastAsia="Calibri" w:hAnsiTheme="minorHAnsi" w:cstheme="minorHAnsi"/>
          <w:sz w:val="18"/>
          <w:szCs w:val="18"/>
          <w:lang w:val="en-US"/>
        </w:rPr>
        <w:t>:</w:t>
      </w:r>
      <w:r w:rsidR="00E97346" w:rsidRPr="00E97346">
        <w:rPr>
          <w:rFonts w:asciiTheme="minorHAnsi" w:eastAsia="Calibri" w:hAnsiTheme="minorHAnsi" w:cstheme="minorHAnsi"/>
          <w:sz w:val="18"/>
          <w:szCs w:val="18"/>
          <w:lang w:val="en-US"/>
        </w:rPr>
        <w:t xml:space="preserve"> </w:t>
      </w:r>
      <w:hyperlink r:id="rId70">
        <w:r w:rsidRPr="00E97346">
          <w:rPr>
            <w:rFonts w:asciiTheme="minorHAnsi" w:eastAsia="Calibri" w:hAnsiTheme="minorHAnsi" w:cstheme="minorHAnsi"/>
            <w:sz w:val="18"/>
            <w:szCs w:val="18"/>
            <w:u w:val="single"/>
            <w:lang w:val="en-US"/>
          </w:rPr>
          <w:t>https://publication.enseignementsup-recherche.gouv.fr/eesr/FR/EESR14_Annexe_1/les_etudiants_inscrits_dans_l_enseignement_superieur/</w:t>
        </w:r>
      </w:hyperlink>
      <w:r w:rsidRPr="00E97346">
        <w:rPr>
          <w:rFonts w:asciiTheme="minorHAnsi" w:eastAsia="Calibri" w:hAnsiTheme="minorHAnsi" w:cstheme="minorHAnsi"/>
          <w:sz w:val="18"/>
          <w:szCs w:val="18"/>
          <w:lang w:val="en-US"/>
        </w:rPr>
        <w:t>.</w:t>
      </w:r>
    </w:p>
  </w:footnote>
  <w:footnote w:id="65">
    <w:p w14:paraId="00000081" w14:textId="7530577C" w:rsidR="003F609F" w:rsidRPr="001915B1" w:rsidRDefault="00000000">
      <w:pPr>
        <w:rPr>
          <w:rFonts w:asciiTheme="minorHAnsi" w:hAnsiTheme="minorHAnsi" w:cstheme="minorHAnsi"/>
          <w:sz w:val="18"/>
          <w:szCs w:val="18"/>
          <w:lang w:val="fr-FR"/>
        </w:rPr>
      </w:pPr>
      <w:r w:rsidRPr="001915B1">
        <w:rPr>
          <w:rFonts w:asciiTheme="minorHAnsi" w:hAnsiTheme="minorHAnsi" w:cstheme="minorHAnsi"/>
          <w:sz w:val="18"/>
          <w:szCs w:val="18"/>
          <w:vertAlign w:val="superscript"/>
        </w:rPr>
        <w:footnoteRef/>
      </w:r>
      <w:r w:rsidRPr="001915B1">
        <w:rPr>
          <w:rFonts w:asciiTheme="minorHAnsi" w:hAnsiTheme="minorHAnsi" w:cstheme="minorHAnsi"/>
          <w:sz w:val="18"/>
          <w:szCs w:val="18"/>
          <w:lang w:val="fr-FR"/>
        </w:rPr>
        <w:t xml:space="preserve"> </w:t>
      </w:r>
      <w:r w:rsidRPr="001915B1">
        <w:rPr>
          <w:rFonts w:asciiTheme="minorHAnsi" w:eastAsia="Calibri" w:hAnsiTheme="minorHAnsi" w:cstheme="minorHAnsi"/>
          <w:sz w:val="18"/>
          <w:szCs w:val="18"/>
          <w:lang w:val="fr-FR"/>
        </w:rPr>
        <w:t xml:space="preserve">Claire </w:t>
      </w:r>
      <w:proofErr w:type="spellStart"/>
      <w:r w:rsidRPr="001915B1">
        <w:rPr>
          <w:rFonts w:asciiTheme="minorHAnsi" w:eastAsia="Calibri" w:hAnsiTheme="minorHAnsi" w:cstheme="minorHAnsi"/>
          <w:sz w:val="18"/>
          <w:szCs w:val="18"/>
          <w:lang w:val="fr-FR"/>
        </w:rPr>
        <w:t>Calvel</w:t>
      </w:r>
      <w:proofErr w:type="spellEnd"/>
      <w:r w:rsidRPr="001915B1">
        <w:rPr>
          <w:rFonts w:asciiTheme="minorHAnsi" w:eastAsia="Calibri" w:hAnsiTheme="minorHAnsi" w:cstheme="minorHAnsi"/>
          <w:sz w:val="18"/>
          <w:szCs w:val="18"/>
          <w:lang w:val="fr-FR"/>
        </w:rPr>
        <w:t xml:space="preserve"> et Victor </w:t>
      </w:r>
      <w:proofErr w:type="spellStart"/>
      <w:r w:rsidRPr="001915B1">
        <w:rPr>
          <w:rFonts w:asciiTheme="minorHAnsi" w:eastAsia="Calibri" w:hAnsiTheme="minorHAnsi" w:cstheme="minorHAnsi"/>
          <w:sz w:val="18"/>
          <w:szCs w:val="18"/>
          <w:lang w:val="fr-FR"/>
        </w:rPr>
        <w:t>Chareyron</w:t>
      </w:r>
      <w:proofErr w:type="spellEnd"/>
      <w:r w:rsidRPr="001915B1">
        <w:rPr>
          <w:rFonts w:asciiTheme="minorHAnsi" w:eastAsia="Calibri" w:hAnsiTheme="minorHAnsi" w:cstheme="minorHAnsi"/>
          <w:sz w:val="18"/>
          <w:szCs w:val="18"/>
          <w:lang w:val="fr-FR"/>
        </w:rPr>
        <w:t xml:space="preserve"> (2023).</w:t>
      </w:r>
      <w:r w:rsidR="00E97346" w:rsidRPr="00E97346">
        <w:rPr>
          <w:rFonts w:asciiTheme="minorHAnsi" w:hAnsiTheme="minorHAnsi" w:cstheme="minorHAnsi"/>
          <w:i/>
          <w:iCs/>
          <w:sz w:val="18"/>
          <w:szCs w:val="18"/>
          <w:lang w:val="fr-FR"/>
        </w:rPr>
        <w:t xml:space="preserve"> </w:t>
      </w:r>
      <w:hyperlink r:id="rId71">
        <w:r w:rsidR="00E97346" w:rsidRPr="00464534">
          <w:rPr>
            <w:rFonts w:asciiTheme="minorHAnsi" w:eastAsia="Calibri" w:hAnsiTheme="minorHAnsi" w:cstheme="minorHAnsi"/>
            <w:i/>
            <w:iCs/>
            <w:color w:val="1155CC"/>
            <w:sz w:val="18"/>
            <w:szCs w:val="18"/>
            <w:u w:val="single"/>
            <w:lang w:val="fr-FR"/>
          </w:rPr>
          <w:t xml:space="preserve">Le Financement de l’Enseignement Supérieur en </w:t>
        </w:r>
        <w:r w:rsidR="00E97346">
          <w:rPr>
            <w:rFonts w:asciiTheme="minorHAnsi" w:eastAsia="Calibri" w:hAnsiTheme="minorHAnsi" w:cstheme="minorHAnsi"/>
            <w:i/>
            <w:iCs/>
            <w:color w:val="1155CC"/>
            <w:sz w:val="18"/>
            <w:szCs w:val="18"/>
            <w:u w:val="single"/>
            <w:lang w:val="fr-FR"/>
          </w:rPr>
          <w:t xml:space="preserve">France </w:t>
        </w:r>
        <w:r w:rsidR="00E97346" w:rsidRPr="00464534">
          <w:rPr>
            <w:rFonts w:asciiTheme="minorHAnsi" w:eastAsia="Calibri" w:hAnsiTheme="minorHAnsi" w:cstheme="minorHAnsi"/>
            <w:i/>
            <w:iCs/>
            <w:color w:val="1155CC"/>
            <w:sz w:val="18"/>
            <w:szCs w:val="18"/>
            <w:u w:val="single"/>
            <w:lang w:val="fr-FR"/>
          </w:rPr>
          <w:t>: Une synthèse bibliographique des effets des politiques de financement de l’Enseignement Supérieur depuis le début des années 2000</w:t>
        </w:r>
      </w:hyperlink>
      <w:r w:rsidR="00E97346" w:rsidRPr="00464534">
        <w:rPr>
          <w:rFonts w:asciiTheme="minorHAnsi" w:eastAsia="Calibri" w:hAnsiTheme="minorHAnsi" w:cstheme="minorHAnsi"/>
          <w:i/>
          <w:iCs/>
          <w:sz w:val="18"/>
          <w:szCs w:val="18"/>
          <w:lang w:val="fr-FR"/>
        </w:rPr>
        <w:t>.</w:t>
      </w:r>
    </w:p>
  </w:footnote>
  <w:footnote w:id="66">
    <w:p w14:paraId="00000090" w14:textId="77777777" w:rsidR="003F609F" w:rsidRPr="007C5628" w:rsidRDefault="00000000">
      <w:pPr>
        <w:rPr>
          <w:rFonts w:asciiTheme="minorHAnsi" w:eastAsia="Calibri" w:hAnsiTheme="minorHAnsi" w:cstheme="minorHAnsi"/>
          <w:i/>
          <w:iCs/>
          <w:sz w:val="18"/>
          <w:szCs w:val="18"/>
          <w:lang w:val="fr-FR"/>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sz w:val="18"/>
          <w:szCs w:val="18"/>
          <w:lang w:val="fr-FR"/>
        </w:rPr>
        <w:t xml:space="preserve"> </w:t>
      </w:r>
      <w:hyperlink r:id="rId72">
        <w:r w:rsidRPr="007C5628">
          <w:rPr>
            <w:rFonts w:asciiTheme="minorHAnsi" w:eastAsia="Calibri" w:hAnsiTheme="minorHAnsi" w:cstheme="minorHAnsi"/>
            <w:i/>
            <w:iCs/>
            <w:sz w:val="18"/>
            <w:szCs w:val="18"/>
            <w:u w:val="single"/>
            <w:lang w:val="fr-FR"/>
          </w:rPr>
          <w:t>Rapport général n° 163 (2021-2022)</w:t>
        </w:r>
      </w:hyperlink>
      <w:r w:rsidRPr="007C5628">
        <w:rPr>
          <w:rFonts w:asciiTheme="minorHAnsi" w:eastAsia="Calibri" w:hAnsiTheme="minorHAnsi" w:cstheme="minorHAnsi"/>
          <w:i/>
          <w:iCs/>
          <w:sz w:val="18"/>
          <w:szCs w:val="18"/>
          <w:lang w:val="fr-FR"/>
        </w:rPr>
        <w:t>, tome III, annexe 24, déposé le 18 novembre 2021, portant sur le projet de loi de finances publiques pour la recherche et l’enseignement supérieur pour 2022.</w:t>
      </w:r>
    </w:p>
  </w:footnote>
  <w:footnote w:id="67">
    <w:p w14:paraId="00000082" w14:textId="77777777" w:rsidR="003F609F" w:rsidRPr="001915B1" w:rsidRDefault="00000000">
      <w:pPr>
        <w:jc w:val="both"/>
        <w:rPr>
          <w:rFonts w:asciiTheme="minorHAnsi" w:eastAsia="Calibri" w:hAnsiTheme="minorHAnsi" w:cstheme="minorHAnsi"/>
          <w:sz w:val="18"/>
          <w:szCs w:val="18"/>
          <w:lang w:val="fr-FR"/>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sz w:val="18"/>
          <w:szCs w:val="18"/>
          <w:lang w:val="fr-FR"/>
        </w:rPr>
        <w:t xml:space="preserve"> MESRI (2021). </w:t>
      </w:r>
      <w:hyperlink r:id="rId73">
        <w:r w:rsidRPr="001915B1">
          <w:rPr>
            <w:rFonts w:asciiTheme="minorHAnsi" w:eastAsia="Calibri" w:hAnsiTheme="minorHAnsi" w:cstheme="minorHAnsi"/>
            <w:sz w:val="18"/>
            <w:szCs w:val="18"/>
            <w:u w:val="single"/>
            <w:lang w:val="fr-FR"/>
          </w:rPr>
          <w:t>L’état de l’Enseignement supérieur, de la Recherche et de l’Innovation en France</w:t>
        </w:r>
      </w:hyperlink>
      <w:r w:rsidRPr="001915B1">
        <w:rPr>
          <w:rFonts w:asciiTheme="minorHAnsi" w:eastAsia="Calibri" w:hAnsiTheme="minorHAnsi" w:cstheme="minorHAnsi"/>
          <w:sz w:val="18"/>
          <w:szCs w:val="18"/>
          <w:lang w:val="fr-FR"/>
        </w:rPr>
        <w:t>, n° 14.</w:t>
      </w:r>
    </w:p>
  </w:footnote>
  <w:footnote w:id="68">
    <w:p w14:paraId="00000085" w14:textId="422A7595" w:rsidR="003F609F" w:rsidRPr="001915B1" w:rsidRDefault="00000000">
      <w:pPr>
        <w:rPr>
          <w:rFonts w:asciiTheme="minorHAnsi" w:eastAsia="Calibri" w:hAnsiTheme="minorHAnsi" w:cstheme="minorHAnsi"/>
          <w:sz w:val="18"/>
          <w:szCs w:val="18"/>
          <w:lang w:val="fr-FR"/>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sz w:val="18"/>
          <w:szCs w:val="18"/>
        </w:rPr>
        <w:t xml:space="preserve"> Right to Education Initiative (2022), </w:t>
      </w:r>
      <w:hyperlink r:id="rId74">
        <w:r w:rsidRPr="001915B1">
          <w:rPr>
            <w:rFonts w:asciiTheme="minorHAnsi" w:eastAsia="Calibri" w:hAnsiTheme="minorHAnsi" w:cstheme="minorHAnsi"/>
            <w:color w:val="1155CC"/>
            <w:sz w:val="18"/>
            <w:szCs w:val="18"/>
            <w:u w:val="single"/>
          </w:rPr>
          <w:t>Higher Education in France: A right threatened by increasing inequalities?</w:t>
        </w:r>
      </w:hyperlink>
      <w:r w:rsidRPr="001915B1">
        <w:rPr>
          <w:rFonts w:asciiTheme="minorHAnsi" w:eastAsia="Calibri" w:hAnsiTheme="minorHAnsi" w:cstheme="minorHAnsi"/>
          <w:sz w:val="18"/>
          <w:szCs w:val="18"/>
        </w:rPr>
        <w:t xml:space="preserve"> ; Claire </w:t>
      </w:r>
      <w:proofErr w:type="spellStart"/>
      <w:r w:rsidRPr="001915B1">
        <w:rPr>
          <w:rFonts w:asciiTheme="minorHAnsi" w:eastAsia="Calibri" w:hAnsiTheme="minorHAnsi" w:cstheme="minorHAnsi"/>
          <w:sz w:val="18"/>
          <w:szCs w:val="18"/>
        </w:rPr>
        <w:t>Calvel</w:t>
      </w:r>
      <w:proofErr w:type="spellEnd"/>
      <w:r w:rsidRPr="001915B1">
        <w:rPr>
          <w:rFonts w:asciiTheme="minorHAnsi" w:eastAsia="Calibri" w:hAnsiTheme="minorHAnsi" w:cstheme="minorHAnsi"/>
          <w:sz w:val="18"/>
          <w:szCs w:val="18"/>
        </w:rPr>
        <w:t xml:space="preserve"> et Victor </w:t>
      </w:r>
      <w:proofErr w:type="spellStart"/>
      <w:r w:rsidRPr="001915B1">
        <w:rPr>
          <w:rFonts w:asciiTheme="minorHAnsi" w:eastAsia="Calibri" w:hAnsiTheme="minorHAnsi" w:cstheme="minorHAnsi"/>
          <w:sz w:val="18"/>
          <w:szCs w:val="18"/>
        </w:rPr>
        <w:t>Chareyron</w:t>
      </w:r>
      <w:proofErr w:type="spellEnd"/>
      <w:r w:rsidRPr="001915B1">
        <w:rPr>
          <w:rFonts w:asciiTheme="minorHAnsi" w:eastAsia="Calibri" w:hAnsiTheme="minorHAnsi" w:cstheme="minorHAnsi"/>
          <w:sz w:val="18"/>
          <w:szCs w:val="18"/>
        </w:rPr>
        <w:t xml:space="preserve"> (2023). </w:t>
      </w:r>
      <w:hyperlink r:id="rId75">
        <w:r w:rsidR="00E97346" w:rsidRPr="00464534">
          <w:rPr>
            <w:rFonts w:asciiTheme="minorHAnsi" w:eastAsia="Calibri" w:hAnsiTheme="minorHAnsi" w:cstheme="minorHAnsi"/>
            <w:i/>
            <w:iCs/>
            <w:color w:val="1155CC"/>
            <w:sz w:val="18"/>
            <w:szCs w:val="18"/>
            <w:u w:val="single"/>
            <w:lang w:val="fr-FR"/>
          </w:rPr>
          <w:t xml:space="preserve">Le Financement de l’Enseignement Supérieur en </w:t>
        </w:r>
        <w:r w:rsidR="00E97346">
          <w:rPr>
            <w:rFonts w:asciiTheme="minorHAnsi" w:eastAsia="Calibri" w:hAnsiTheme="minorHAnsi" w:cstheme="minorHAnsi"/>
            <w:i/>
            <w:iCs/>
            <w:color w:val="1155CC"/>
            <w:sz w:val="18"/>
            <w:szCs w:val="18"/>
            <w:u w:val="single"/>
            <w:lang w:val="fr-FR"/>
          </w:rPr>
          <w:t xml:space="preserve">France </w:t>
        </w:r>
        <w:r w:rsidR="00E97346" w:rsidRPr="00464534">
          <w:rPr>
            <w:rFonts w:asciiTheme="minorHAnsi" w:eastAsia="Calibri" w:hAnsiTheme="minorHAnsi" w:cstheme="minorHAnsi"/>
            <w:i/>
            <w:iCs/>
            <w:color w:val="1155CC"/>
            <w:sz w:val="18"/>
            <w:szCs w:val="18"/>
            <w:u w:val="single"/>
            <w:lang w:val="fr-FR"/>
          </w:rPr>
          <w:t>: Une synthèse bibliographique des effets des politiques de financement de l’Enseignement Supérieur depuis le début des années 2000</w:t>
        </w:r>
      </w:hyperlink>
      <w:r w:rsidR="00E97346" w:rsidRPr="00464534">
        <w:rPr>
          <w:rFonts w:asciiTheme="minorHAnsi" w:eastAsia="Calibri" w:hAnsiTheme="minorHAnsi" w:cstheme="minorHAnsi"/>
          <w:i/>
          <w:iCs/>
          <w:sz w:val="18"/>
          <w:szCs w:val="18"/>
          <w:lang w:val="fr-FR"/>
        </w:rPr>
        <w:t>.</w:t>
      </w:r>
    </w:p>
  </w:footnote>
  <w:footnote w:id="69">
    <w:p w14:paraId="000000C2" w14:textId="77777777" w:rsidR="003F609F" w:rsidRPr="001915B1" w:rsidRDefault="00000000">
      <w:pPr>
        <w:jc w:val="both"/>
        <w:rPr>
          <w:rFonts w:asciiTheme="minorHAnsi" w:eastAsia="Calibri" w:hAnsiTheme="minorHAnsi" w:cstheme="minorHAnsi"/>
          <w:sz w:val="18"/>
          <w:szCs w:val="18"/>
          <w:lang w:val="fr-FR"/>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sz w:val="18"/>
          <w:szCs w:val="18"/>
          <w:lang w:val="fr-FR"/>
        </w:rPr>
        <w:t xml:space="preserve"> Cour des Comptes (2022). </w:t>
      </w:r>
      <w:hyperlink r:id="rId76">
        <w:r w:rsidRPr="001915B1">
          <w:rPr>
            <w:rFonts w:asciiTheme="minorHAnsi" w:eastAsia="Calibri" w:hAnsiTheme="minorHAnsi" w:cstheme="minorHAnsi"/>
            <w:i/>
            <w:color w:val="1155CC"/>
            <w:sz w:val="18"/>
            <w:szCs w:val="18"/>
            <w:u w:val="single"/>
            <w:lang w:val="fr-FR"/>
          </w:rPr>
          <w:t>Les acteurs publics face à la crise : une réactivité certaine, des fragilités structurelles accentuées, Rapport public annuel de la Cour des comptes</w:t>
        </w:r>
      </w:hyperlink>
      <w:r w:rsidRPr="001915B1">
        <w:rPr>
          <w:rFonts w:asciiTheme="minorHAnsi" w:eastAsia="Calibri" w:hAnsiTheme="minorHAnsi" w:cstheme="minorHAnsi"/>
          <w:sz w:val="18"/>
          <w:szCs w:val="18"/>
          <w:lang w:val="fr-FR"/>
        </w:rPr>
        <w:t>.</w:t>
      </w:r>
    </w:p>
  </w:footnote>
  <w:footnote w:id="70">
    <w:p w14:paraId="00000083" w14:textId="71ED99E9" w:rsidR="003F609F" w:rsidRPr="001915B1" w:rsidRDefault="00000000">
      <w:pPr>
        <w:rPr>
          <w:rFonts w:asciiTheme="minorHAnsi" w:eastAsia="Calibri" w:hAnsiTheme="minorHAnsi" w:cstheme="minorHAnsi"/>
          <w:sz w:val="18"/>
          <w:szCs w:val="18"/>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sz w:val="18"/>
          <w:szCs w:val="18"/>
        </w:rPr>
        <w:t xml:space="preserve"> Cécile Bonneau, Sébastien </w:t>
      </w:r>
      <w:proofErr w:type="spellStart"/>
      <w:r w:rsidRPr="001915B1">
        <w:rPr>
          <w:rFonts w:asciiTheme="minorHAnsi" w:eastAsia="Calibri" w:hAnsiTheme="minorHAnsi" w:cstheme="minorHAnsi"/>
          <w:sz w:val="18"/>
          <w:szCs w:val="18"/>
        </w:rPr>
        <w:t>Grobon</w:t>
      </w:r>
      <w:proofErr w:type="spellEnd"/>
      <w:r w:rsidRPr="001915B1">
        <w:rPr>
          <w:rFonts w:asciiTheme="minorHAnsi" w:eastAsia="Calibri" w:hAnsiTheme="minorHAnsi" w:cstheme="minorHAnsi"/>
          <w:sz w:val="18"/>
          <w:szCs w:val="18"/>
        </w:rPr>
        <w:t xml:space="preserve"> (2022). </w:t>
      </w:r>
      <w:hyperlink r:id="rId77">
        <w:r w:rsidRPr="001915B1">
          <w:rPr>
            <w:rFonts w:asciiTheme="minorHAnsi" w:eastAsia="Calibri" w:hAnsiTheme="minorHAnsi" w:cstheme="minorHAnsi"/>
            <w:color w:val="1155CC"/>
            <w:sz w:val="18"/>
            <w:szCs w:val="18"/>
            <w:u w:val="single"/>
          </w:rPr>
          <w:t>Unequal access to higher education based on parental income:  evidence from France.</w:t>
        </w:r>
      </w:hyperlink>
    </w:p>
  </w:footnote>
  <w:footnote w:id="71">
    <w:p w14:paraId="00000084" w14:textId="11E5ED28" w:rsidR="003F609F" w:rsidRPr="001915B1" w:rsidRDefault="00000000">
      <w:pPr>
        <w:rPr>
          <w:rFonts w:asciiTheme="minorHAnsi" w:eastAsia="Calibri" w:hAnsiTheme="minorHAnsi" w:cstheme="minorHAnsi"/>
          <w:sz w:val="18"/>
          <w:szCs w:val="18"/>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sz w:val="18"/>
          <w:szCs w:val="18"/>
        </w:rPr>
        <w:t xml:space="preserve"> </w:t>
      </w:r>
      <w:r w:rsidR="00E97346">
        <w:rPr>
          <w:rFonts w:asciiTheme="minorHAnsi" w:eastAsia="Calibri" w:hAnsiTheme="minorHAnsi" w:cstheme="minorHAnsi"/>
          <w:sz w:val="18"/>
          <w:szCs w:val="18"/>
        </w:rPr>
        <w:t>Ibid.</w:t>
      </w:r>
    </w:p>
  </w:footnote>
  <w:footnote w:id="72">
    <w:p w14:paraId="00000086" w14:textId="77777777" w:rsidR="003F609F" w:rsidRPr="001915B1" w:rsidRDefault="00000000">
      <w:pPr>
        <w:rPr>
          <w:rFonts w:asciiTheme="minorHAnsi" w:eastAsia="Calibri" w:hAnsiTheme="minorHAnsi" w:cstheme="minorHAnsi"/>
          <w:sz w:val="18"/>
          <w:szCs w:val="18"/>
          <w:lang w:val="fr-FR"/>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sz w:val="18"/>
          <w:szCs w:val="18"/>
        </w:rPr>
        <w:t xml:space="preserve"> </w:t>
      </w:r>
      <w:proofErr w:type="spellStart"/>
      <w:r w:rsidRPr="001915B1">
        <w:rPr>
          <w:rFonts w:asciiTheme="minorHAnsi" w:eastAsia="Calibri" w:hAnsiTheme="minorHAnsi" w:cstheme="minorHAnsi"/>
          <w:sz w:val="18"/>
          <w:szCs w:val="18"/>
        </w:rPr>
        <w:t>Charayron</w:t>
      </w:r>
      <w:proofErr w:type="spellEnd"/>
      <w:r w:rsidRPr="001915B1">
        <w:rPr>
          <w:rFonts w:asciiTheme="minorHAnsi" w:eastAsia="Calibri" w:hAnsiTheme="minorHAnsi" w:cstheme="minorHAnsi"/>
          <w:sz w:val="18"/>
          <w:szCs w:val="18"/>
        </w:rPr>
        <w:t xml:space="preserve"> V, &amp; </w:t>
      </w:r>
      <w:proofErr w:type="spellStart"/>
      <w:r w:rsidRPr="001915B1">
        <w:rPr>
          <w:rFonts w:asciiTheme="minorHAnsi" w:eastAsia="Calibri" w:hAnsiTheme="minorHAnsi" w:cstheme="minorHAnsi"/>
          <w:sz w:val="18"/>
          <w:szCs w:val="18"/>
        </w:rPr>
        <w:t>Harrari-</w:t>
      </w:r>
      <w:proofErr w:type="gramStart"/>
      <w:r w:rsidRPr="001915B1">
        <w:rPr>
          <w:rFonts w:asciiTheme="minorHAnsi" w:eastAsia="Calibri" w:hAnsiTheme="minorHAnsi" w:cstheme="minorHAnsi"/>
          <w:sz w:val="18"/>
          <w:szCs w:val="18"/>
        </w:rPr>
        <w:t>Kermadec</w:t>
      </w:r>
      <w:proofErr w:type="spellEnd"/>
      <w:r w:rsidRPr="001915B1">
        <w:rPr>
          <w:rFonts w:asciiTheme="minorHAnsi" w:eastAsia="Calibri" w:hAnsiTheme="minorHAnsi" w:cstheme="minorHAnsi"/>
          <w:sz w:val="18"/>
          <w:szCs w:val="18"/>
        </w:rPr>
        <w:t xml:space="preserve">  H</w:t>
      </w:r>
      <w:proofErr w:type="gramEnd"/>
      <w:r w:rsidRPr="001915B1">
        <w:rPr>
          <w:rFonts w:asciiTheme="minorHAnsi" w:eastAsia="Calibri" w:hAnsiTheme="minorHAnsi" w:cstheme="minorHAnsi"/>
          <w:sz w:val="18"/>
          <w:szCs w:val="18"/>
        </w:rPr>
        <w:t xml:space="preserve">, &amp; </w:t>
      </w:r>
      <w:proofErr w:type="spellStart"/>
      <w:r w:rsidRPr="001915B1">
        <w:rPr>
          <w:rFonts w:asciiTheme="minorHAnsi" w:eastAsia="Calibri" w:hAnsiTheme="minorHAnsi" w:cstheme="minorHAnsi"/>
          <w:sz w:val="18"/>
          <w:szCs w:val="18"/>
        </w:rPr>
        <w:t>Martinnette,G</w:t>
      </w:r>
      <w:proofErr w:type="spellEnd"/>
      <w:r w:rsidRPr="001915B1">
        <w:rPr>
          <w:rFonts w:asciiTheme="minorHAnsi" w:eastAsia="Calibri" w:hAnsiTheme="minorHAnsi" w:cstheme="minorHAnsi"/>
          <w:sz w:val="18"/>
          <w:szCs w:val="18"/>
        </w:rPr>
        <w:t xml:space="preserve"> (2023). </w:t>
      </w:r>
      <w:hyperlink r:id="rId78">
        <w:r w:rsidRPr="006F73C0">
          <w:rPr>
            <w:rFonts w:asciiTheme="minorHAnsi" w:eastAsia="Calibri" w:hAnsiTheme="minorHAnsi" w:cstheme="minorHAnsi"/>
            <w:i/>
            <w:iCs/>
            <w:color w:val="1155CC"/>
            <w:sz w:val="18"/>
            <w:szCs w:val="18"/>
            <w:u w:val="single"/>
            <w:lang w:val="fr-FR"/>
          </w:rPr>
          <w:t>Des centres aux périphéries du système universitaire : visualiser la différenciation sociale et géographique à l’entrée en licence</w:t>
        </w:r>
      </w:hyperlink>
      <w:r w:rsidRPr="006F73C0">
        <w:rPr>
          <w:rFonts w:asciiTheme="minorHAnsi" w:eastAsia="Calibri" w:hAnsiTheme="minorHAnsi" w:cstheme="minorHAnsi"/>
          <w:i/>
          <w:iCs/>
          <w:sz w:val="18"/>
          <w:szCs w:val="18"/>
          <w:lang w:val="fr-FR"/>
        </w:rPr>
        <w:t>.</w:t>
      </w:r>
    </w:p>
  </w:footnote>
  <w:footnote w:id="73">
    <w:p w14:paraId="00000087" w14:textId="790108B1" w:rsidR="003F609F" w:rsidRPr="001915B1" w:rsidRDefault="00000000">
      <w:pPr>
        <w:rPr>
          <w:rFonts w:asciiTheme="minorHAnsi" w:eastAsia="Calibri" w:hAnsiTheme="minorHAnsi" w:cstheme="minorHAnsi"/>
          <w:sz w:val="18"/>
          <w:szCs w:val="18"/>
          <w:lang w:val="fr-FR"/>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sz w:val="18"/>
          <w:szCs w:val="18"/>
        </w:rPr>
        <w:t xml:space="preserve"> </w:t>
      </w:r>
      <w:r w:rsidR="00E97346">
        <w:rPr>
          <w:rFonts w:asciiTheme="minorHAnsi" w:eastAsia="Calibri" w:hAnsiTheme="minorHAnsi" w:cstheme="minorHAnsi"/>
          <w:sz w:val="18"/>
          <w:szCs w:val="18"/>
        </w:rPr>
        <w:t>Ibid.</w:t>
      </w:r>
    </w:p>
  </w:footnote>
  <w:footnote w:id="74">
    <w:p w14:paraId="00000088" w14:textId="14814DD0" w:rsidR="003F609F" w:rsidRPr="006F73C0" w:rsidRDefault="00000000">
      <w:pPr>
        <w:rPr>
          <w:rFonts w:asciiTheme="minorHAnsi" w:eastAsia="Calibri" w:hAnsiTheme="minorHAnsi" w:cstheme="minorHAnsi"/>
          <w:sz w:val="18"/>
          <w:szCs w:val="18"/>
          <w:lang w:val="fr-FR"/>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sz w:val="18"/>
          <w:szCs w:val="18"/>
          <w:lang w:val="fr-FR"/>
        </w:rPr>
        <w:t xml:space="preserve"> </w:t>
      </w:r>
      <w:proofErr w:type="spellStart"/>
      <w:r w:rsidRPr="001915B1">
        <w:rPr>
          <w:rFonts w:asciiTheme="minorHAnsi" w:eastAsia="Calibri" w:hAnsiTheme="minorHAnsi" w:cstheme="minorHAnsi"/>
          <w:sz w:val="18"/>
          <w:szCs w:val="18"/>
          <w:lang w:val="fr-FR"/>
        </w:rPr>
        <w:t>Calvel</w:t>
      </w:r>
      <w:proofErr w:type="spellEnd"/>
      <w:r w:rsidRPr="001915B1">
        <w:rPr>
          <w:rFonts w:asciiTheme="minorHAnsi" w:eastAsia="Calibri" w:hAnsiTheme="minorHAnsi" w:cstheme="minorHAnsi"/>
          <w:sz w:val="18"/>
          <w:szCs w:val="18"/>
          <w:lang w:val="fr-FR"/>
        </w:rPr>
        <w:t xml:space="preserve">, C &amp; </w:t>
      </w:r>
      <w:proofErr w:type="spellStart"/>
      <w:r w:rsidRPr="001915B1">
        <w:rPr>
          <w:rFonts w:asciiTheme="minorHAnsi" w:eastAsia="Calibri" w:hAnsiTheme="minorHAnsi" w:cstheme="minorHAnsi"/>
          <w:sz w:val="18"/>
          <w:szCs w:val="18"/>
          <w:lang w:val="fr-FR"/>
        </w:rPr>
        <w:t>Chareyron</w:t>
      </w:r>
      <w:proofErr w:type="spellEnd"/>
      <w:r w:rsidRPr="001915B1">
        <w:rPr>
          <w:rFonts w:asciiTheme="minorHAnsi" w:eastAsia="Calibri" w:hAnsiTheme="minorHAnsi" w:cstheme="minorHAnsi"/>
          <w:sz w:val="18"/>
          <w:szCs w:val="18"/>
          <w:lang w:val="fr-FR"/>
        </w:rPr>
        <w:t xml:space="preserve">, V (2023). </w:t>
      </w:r>
      <w:hyperlink r:id="rId79">
        <w:r w:rsidRPr="006F73C0">
          <w:rPr>
            <w:rFonts w:asciiTheme="minorHAnsi" w:eastAsia="Calibri" w:hAnsiTheme="minorHAnsi" w:cstheme="minorHAnsi"/>
            <w:i/>
            <w:iCs/>
            <w:color w:val="1155CC"/>
            <w:sz w:val="18"/>
            <w:szCs w:val="18"/>
            <w:u w:val="single"/>
            <w:lang w:val="fr-FR"/>
          </w:rPr>
          <w:t xml:space="preserve">Le Financement de l’Enseignement Supérieur en </w:t>
        </w:r>
        <w:r w:rsidR="006F73C0" w:rsidRPr="006F73C0">
          <w:rPr>
            <w:rFonts w:asciiTheme="minorHAnsi" w:eastAsia="Calibri" w:hAnsiTheme="minorHAnsi" w:cstheme="minorHAnsi"/>
            <w:i/>
            <w:iCs/>
            <w:color w:val="1155CC"/>
            <w:sz w:val="18"/>
            <w:szCs w:val="18"/>
            <w:u w:val="single"/>
            <w:lang w:val="fr-FR"/>
          </w:rPr>
          <w:t xml:space="preserve">France </w:t>
        </w:r>
        <w:r w:rsidRPr="006F73C0">
          <w:rPr>
            <w:rFonts w:asciiTheme="minorHAnsi" w:eastAsia="Calibri" w:hAnsiTheme="minorHAnsi" w:cstheme="minorHAnsi"/>
            <w:i/>
            <w:iCs/>
            <w:color w:val="1155CC"/>
            <w:sz w:val="18"/>
            <w:szCs w:val="18"/>
            <w:u w:val="single"/>
            <w:lang w:val="fr-FR"/>
          </w:rPr>
          <w:t>: Une synthèse bibliographique des effets des politiques</w:t>
        </w:r>
      </w:hyperlink>
      <w:hyperlink r:id="rId80">
        <w:r w:rsidRPr="006F73C0">
          <w:rPr>
            <w:rFonts w:asciiTheme="minorHAnsi" w:eastAsia="Calibri" w:hAnsiTheme="minorHAnsi" w:cstheme="minorHAnsi"/>
            <w:b/>
            <w:i/>
            <w:iCs/>
            <w:color w:val="1155CC"/>
            <w:sz w:val="18"/>
            <w:szCs w:val="18"/>
            <w:u w:val="single"/>
            <w:lang w:val="fr-FR"/>
          </w:rPr>
          <w:t xml:space="preserve"> </w:t>
        </w:r>
      </w:hyperlink>
      <w:hyperlink r:id="rId81">
        <w:r w:rsidRPr="006F73C0">
          <w:rPr>
            <w:rFonts w:asciiTheme="minorHAnsi" w:eastAsia="Calibri" w:hAnsiTheme="minorHAnsi" w:cstheme="minorHAnsi"/>
            <w:i/>
            <w:iCs/>
            <w:color w:val="1155CC"/>
            <w:sz w:val="18"/>
            <w:szCs w:val="18"/>
            <w:u w:val="single"/>
            <w:lang w:val="fr-FR"/>
          </w:rPr>
          <w:t>de financement de l’Enseignement Supérieur depuis le début des années 2000</w:t>
        </w:r>
      </w:hyperlink>
      <w:r w:rsidR="006F73C0" w:rsidRPr="006F73C0">
        <w:rPr>
          <w:rFonts w:asciiTheme="minorHAnsi" w:eastAsia="Calibri" w:hAnsiTheme="minorHAnsi" w:cstheme="minorHAnsi"/>
          <w:i/>
          <w:iCs/>
          <w:color w:val="1155CC"/>
          <w:sz w:val="18"/>
          <w:szCs w:val="18"/>
          <w:u w:val="single"/>
          <w:lang w:val="fr-FR"/>
        </w:rPr>
        <w:t>.</w:t>
      </w:r>
    </w:p>
  </w:footnote>
  <w:footnote w:id="75">
    <w:p w14:paraId="00000089" w14:textId="69044BA5" w:rsidR="003F609F" w:rsidRPr="001915B1" w:rsidRDefault="00000000">
      <w:pPr>
        <w:rPr>
          <w:rFonts w:asciiTheme="minorHAnsi" w:eastAsia="Calibri" w:hAnsiTheme="minorHAnsi" w:cstheme="minorHAnsi"/>
          <w:sz w:val="18"/>
          <w:szCs w:val="18"/>
          <w:lang w:val="fr-FR"/>
        </w:rPr>
      </w:pPr>
      <w:r w:rsidRPr="001915B1">
        <w:rPr>
          <w:rFonts w:asciiTheme="minorHAnsi" w:hAnsiTheme="minorHAnsi" w:cstheme="minorHAnsi"/>
          <w:sz w:val="18"/>
          <w:szCs w:val="18"/>
          <w:vertAlign w:val="superscript"/>
        </w:rPr>
        <w:footnoteRef/>
      </w:r>
      <w:r w:rsidRPr="001915B1">
        <w:rPr>
          <w:rFonts w:asciiTheme="minorHAnsi" w:eastAsia="Calibri" w:hAnsiTheme="minorHAnsi" w:cstheme="minorHAnsi"/>
          <w:sz w:val="18"/>
          <w:szCs w:val="18"/>
        </w:rPr>
        <w:t xml:space="preserve"> </w:t>
      </w:r>
      <w:proofErr w:type="spellStart"/>
      <w:r w:rsidRPr="001915B1">
        <w:rPr>
          <w:rFonts w:asciiTheme="minorHAnsi" w:eastAsia="Calibri" w:hAnsiTheme="minorHAnsi" w:cstheme="minorHAnsi"/>
          <w:sz w:val="18"/>
          <w:szCs w:val="18"/>
        </w:rPr>
        <w:t>Avouac</w:t>
      </w:r>
      <w:proofErr w:type="spellEnd"/>
      <w:r w:rsidRPr="001915B1">
        <w:rPr>
          <w:rFonts w:asciiTheme="minorHAnsi" w:eastAsia="Calibri" w:hAnsiTheme="minorHAnsi" w:cstheme="minorHAnsi"/>
          <w:sz w:val="18"/>
          <w:szCs w:val="18"/>
        </w:rPr>
        <w:t>, R., &amp; Harari-</w:t>
      </w:r>
      <w:proofErr w:type="spellStart"/>
      <w:r w:rsidRPr="001915B1">
        <w:rPr>
          <w:rFonts w:asciiTheme="minorHAnsi" w:eastAsia="Calibri" w:hAnsiTheme="minorHAnsi" w:cstheme="minorHAnsi"/>
          <w:sz w:val="18"/>
          <w:szCs w:val="18"/>
        </w:rPr>
        <w:t>Kermadec</w:t>
      </w:r>
      <w:proofErr w:type="spellEnd"/>
      <w:r w:rsidRPr="001915B1">
        <w:rPr>
          <w:rFonts w:asciiTheme="minorHAnsi" w:eastAsia="Calibri" w:hAnsiTheme="minorHAnsi" w:cstheme="minorHAnsi"/>
          <w:sz w:val="18"/>
          <w:szCs w:val="18"/>
        </w:rPr>
        <w:t>, H. (2021).</w:t>
      </w:r>
      <w:r w:rsidRPr="00434B31">
        <w:rPr>
          <w:rFonts w:asciiTheme="minorHAnsi" w:eastAsia="Calibri" w:hAnsiTheme="minorHAnsi" w:cstheme="minorHAnsi"/>
          <w:i/>
          <w:iCs/>
          <w:sz w:val="18"/>
          <w:szCs w:val="18"/>
        </w:rPr>
        <w:t xml:space="preserve"> </w:t>
      </w:r>
      <w:hyperlink r:id="rId82">
        <w:r w:rsidRPr="00434B31">
          <w:rPr>
            <w:rFonts w:asciiTheme="minorHAnsi" w:eastAsia="Calibri" w:hAnsiTheme="minorHAnsi" w:cstheme="minorHAnsi"/>
            <w:i/>
            <w:iCs/>
            <w:color w:val="1155CC"/>
            <w:sz w:val="18"/>
            <w:szCs w:val="18"/>
            <w:u w:val="single"/>
            <w:lang w:val="fr-FR"/>
          </w:rPr>
          <w:t xml:space="preserve">L’université française, lieu de brassage ou de ségrégation </w:t>
        </w:r>
        <w:proofErr w:type="gramStart"/>
        <w:r w:rsidRPr="00434B31">
          <w:rPr>
            <w:rFonts w:asciiTheme="minorHAnsi" w:eastAsia="Calibri" w:hAnsiTheme="minorHAnsi" w:cstheme="minorHAnsi"/>
            <w:i/>
            <w:iCs/>
            <w:color w:val="1155CC"/>
            <w:sz w:val="18"/>
            <w:szCs w:val="18"/>
            <w:u w:val="single"/>
            <w:lang w:val="fr-FR"/>
          </w:rPr>
          <w:t>sociale?</w:t>
        </w:r>
        <w:proofErr w:type="gramEnd"/>
        <w:r w:rsidRPr="00434B31">
          <w:rPr>
            <w:rFonts w:asciiTheme="minorHAnsi" w:eastAsia="Calibri" w:hAnsiTheme="minorHAnsi" w:cstheme="minorHAnsi"/>
            <w:i/>
            <w:iCs/>
            <w:color w:val="1155CC"/>
            <w:sz w:val="18"/>
            <w:szCs w:val="18"/>
            <w:u w:val="single"/>
            <w:lang w:val="fr-FR"/>
          </w:rPr>
          <w:t xml:space="preserve"> Mesure de la polarisation du système universitaire français (2007</w:t>
        </w:r>
        <w:r w:rsidRPr="00434B31">
          <w:rPr>
            <w:rFonts w:ascii="Cambria Math" w:eastAsia="Calibri" w:hAnsi="Cambria Math" w:cs="Cambria Math"/>
            <w:i/>
            <w:iCs/>
            <w:color w:val="1155CC"/>
            <w:sz w:val="18"/>
            <w:szCs w:val="18"/>
            <w:u w:val="single"/>
            <w:lang w:val="fr-FR"/>
          </w:rPr>
          <w:t>‑</w:t>
        </w:r>
        <w:r w:rsidRPr="00434B31">
          <w:rPr>
            <w:rFonts w:asciiTheme="minorHAnsi" w:eastAsia="Calibri" w:hAnsiTheme="minorHAnsi" w:cstheme="minorHAnsi"/>
            <w:i/>
            <w:iCs/>
            <w:color w:val="1155CC"/>
            <w:sz w:val="18"/>
            <w:szCs w:val="18"/>
            <w:u w:val="single"/>
            <w:lang w:val="fr-FR"/>
          </w:rPr>
          <w:t>2015)</w:t>
        </w:r>
      </w:hyperlink>
      <w:r w:rsidRPr="001915B1">
        <w:rPr>
          <w:rFonts w:asciiTheme="minorHAnsi" w:eastAsia="Calibri" w:hAnsiTheme="minorHAnsi" w:cstheme="minorHAnsi"/>
          <w:sz w:val="18"/>
          <w:szCs w:val="18"/>
          <w:lang w:val="fr-FR"/>
        </w:rPr>
        <w:t xml:space="preserve">, Économie et Statistique, 528(1), 63-84 in Right to </w:t>
      </w:r>
      <w:proofErr w:type="spellStart"/>
      <w:r w:rsidRPr="001915B1">
        <w:rPr>
          <w:rFonts w:asciiTheme="minorHAnsi" w:eastAsia="Calibri" w:hAnsiTheme="minorHAnsi" w:cstheme="minorHAnsi"/>
          <w:sz w:val="18"/>
          <w:szCs w:val="18"/>
          <w:lang w:val="fr-FR"/>
        </w:rPr>
        <w:t>Education</w:t>
      </w:r>
      <w:proofErr w:type="spellEnd"/>
      <w:r w:rsidRPr="001915B1">
        <w:rPr>
          <w:rFonts w:asciiTheme="minorHAnsi" w:eastAsia="Calibri" w:hAnsiTheme="minorHAnsi" w:cstheme="minorHAnsi"/>
          <w:sz w:val="18"/>
          <w:szCs w:val="18"/>
          <w:lang w:val="fr-FR"/>
        </w:rPr>
        <w:t xml:space="preserve"> Initiative (2022), </w:t>
      </w:r>
      <w:hyperlink r:id="rId83">
        <w:proofErr w:type="spellStart"/>
        <w:r w:rsidRPr="001915B1">
          <w:rPr>
            <w:rFonts w:asciiTheme="minorHAnsi" w:eastAsia="Calibri" w:hAnsiTheme="minorHAnsi" w:cstheme="minorHAnsi"/>
            <w:color w:val="1155CC"/>
            <w:sz w:val="18"/>
            <w:szCs w:val="18"/>
            <w:u w:val="single"/>
            <w:lang w:val="fr-FR"/>
          </w:rPr>
          <w:t>Higher</w:t>
        </w:r>
        <w:proofErr w:type="spellEnd"/>
        <w:r w:rsidRPr="001915B1">
          <w:rPr>
            <w:rFonts w:asciiTheme="minorHAnsi" w:eastAsia="Calibri" w:hAnsiTheme="minorHAnsi" w:cstheme="minorHAnsi"/>
            <w:color w:val="1155CC"/>
            <w:sz w:val="18"/>
            <w:szCs w:val="18"/>
            <w:u w:val="single"/>
            <w:lang w:val="fr-FR"/>
          </w:rPr>
          <w:t xml:space="preserve"> </w:t>
        </w:r>
        <w:proofErr w:type="spellStart"/>
        <w:r w:rsidRPr="001915B1">
          <w:rPr>
            <w:rFonts w:asciiTheme="minorHAnsi" w:eastAsia="Calibri" w:hAnsiTheme="minorHAnsi" w:cstheme="minorHAnsi"/>
            <w:color w:val="1155CC"/>
            <w:sz w:val="18"/>
            <w:szCs w:val="18"/>
            <w:u w:val="single"/>
            <w:lang w:val="fr-FR"/>
          </w:rPr>
          <w:t>Education</w:t>
        </w:r>
        <w:proofErr w:type="spellEnd"/>
        <w:r w:rsidRPr="001915B1">
          <w:rPr>
            <w:rFonts w:asciiTheme="minorHAnsi" w:eastAsia="Calibri" w:hAnsiTheme="minorHAnsi" w:cstheme="minorHAnsi"/>
            <w:color w:val="1155CC"/>
            <w:sz w:val="18"/>
            <w:szCs w:val="18"/>
            <w:u w:val="single"/>
            <w:lang w:val="fr-FR"/>
          </w:rPr>
          <w:t xml:space="preserve"> in </w:t>
        </w:r>
        <w:proofErr w:type="gramStart"/>
        <w:r w:rsidRPr="001915B1">
          <w:rPr>
            <w:rFonts w:asciiTheme="minorHAnsi" w:eastAsia="Calibri" w:hAnsiTheme="minorHAnsi" w:cstheme="minorHAnsi"/>
            <w:color w:val="1155CC"/>
            <w:sz w:val="18"/>
            <w:szCs w:val="18"/>
            <w:u w:val="single"/>
            <w:lang w:val="fr-FR"/>
          </w:rPr>
          <w:t>France:</w:t>
        </w:r>
        <w:proofErr w:type="gramEnd"/>
        <w:r w:rsidRPr="001915B1">
          <w:rPr>
            <w:rFonts w:asciiTheme="minorHAnsi" w:eastAsia="Calibri" w:hAnsiTheme="minorHAnsi" w:cstheme="minorHAnsi"/>
            <w:color w:val="1155CC"/>
            <w:sz w:val="18"/>
            <w:szCs w:val="18"/>
            <w:u w:val="single"/>
            <w:lang w:val="fr-FR"/>
          </w:rPr>
          <w:t xml:space="preserve"> A right </w:t>
        </w:r>
        <w:proofErr w:type="spellStart"/>
        <w:r w:rsidRPr="001915B1">
          <w:rPr>
            <w:rFonts w:asciiTheme="minorHAnsi" w:eastAsia="Calibri" w:hAnsiTheme="minorHAnsi" w:cstheme="minorHAnsi"/>
            <w:color w:val="1155CC"/>
            <w:sz w:val="18"/>
            <w:szCs w:val="18"/>
            <w:u w:val="single"/>
            <w:lang w:val="fr-FR"/>
          </w:rPr>
          <w:t>threatened</w:t>
        </w:r>
        <w:proofErr w:type="spellEnd"/>
        <w:r w:rsidRPr="001915B1">
          <w:rPr>
            <w:rFonts w:asciiTheme="minorHAnsi" w:eastAsia="Calibri" w:hAnsiTheme="minorHAnsi" w:cstheme="minorHAnsi"/>
            <w:color w:val="1155CC"/>
            <w:sz w:val="18"/>
            <w:szCs w:val="18"/>
            <w:u w:val="single"/>
            <w:lang w:val="fr-FR"/>
          </w:rPr>
          <w:t xml:space="preserve"> by </w:t>
        </w:r>
        <w:proofErr w:type="spellStart"/>
        <w:r w:rsidRPr="001915B1">
          <w:rPr>
            <w:rFonts w:asciiTheme="minorHAnsi" w:eastAsia="Calibri" w:hAnsiTheme="minorHAnsi" w:cstheme="minorHAnsi"/>
            <w:color w:val="1155CC"/>
            <w:sz w:val="18"/>
            <w:szCs w:val="18"/>
            <w:u w:val="single"/>
            <w:lang w:val="fr-FR"/>
          </w:rPr>
          <w:t>increasing</w:t>
        </w:r>
        <w:proofErr w:type="spellEnd"/>
        <w:r w:rsidRPr="001915B1">
          <w:rPr>
            <w:rFonts w:asciiTheme="minorHAnsi" w:eastAsia="Calibri" w:hAnsiTheme="minorHAnsi" w:cstheme="minorHAnsi"/>
            <w:color w:val="1155CC"/>
            <w:sz w:val="18"/>
            <w:szCs w:val="18"/>
            <w:u w:val="single"/>
            <w:lang w:val="fr-FR"/>
          </w:rPr>
          <w:t xml:space="preserve"> </w:t>
        </w:r>
        <w:proofErr w:type="spellStart"/>
        <w:r w:rsidRPr="001915B1">
          <w:rPr>
            <w:rFonts w:asciiTheme="minorHAnsi" w:eastAsia="Calibri" w:hAnsiTheme="minorHAnsi" w:cstheme="minorHAnsi"/>
            <w:color w:val="1155CC"/>
            <w:sz w:val="18"/>
            <w:szCs w:val="18"/>
            <w:u w:val="single"/>
            <w:lang w:val="fr-FR"/>
          </w:rPr>
          <w:t>inequalities</w:t>
        </w:r>
        <w:proofErr w:type="spellEnd"/>
        <w:r w:rsidRPr="001915B1">
          <w:rPr>
            <w:rFonts w:asciiTheme="minorHAnsi" w:eastAsia="Calibri" w:hAnsiTheme="minorHAnsi" w:cstheme="minorHAnsi"/>
            <w:color w:val="1155CC"/>
            <w:sz w:val="18"/>
            <w:szCs w:val="18"/>
            <w:u w:val="single"/>
            <w:lang w:val="fr-FR"/>
          </w:rPr>
          <w:t>?</w:t>
        </w:r>
      </w:hyperlink>
      <w:r w:rsidRPr="001915B1">
        <w:rPr>
          <w:rFonts w:asciiTheme="minorHAnsi" w:eastAsia="Calibri" w:hAnsiTheme="minorHAnsi" w:cstheme="minorHAnsi"/>
          <w:sz w:val="18"/>
          <w:szCs w:val="18"/>
          <w:lang w:val="fr-FR"/>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8B0F5B"/>
    <w:multiLevelType w:val="multilevel"/>
    <w:tmpl w:val="8362E974"/>
    <w:lvl w:ilvl="0">
      <w:start w:val="1"/>
      <w:numFmt w:val="bullet"/>
      <w:lvlText w:val="●"/>
      <w:lvlJc w:val="left"/>
      <w:pPr>
        <w:ind w:left="1854" w:hanging="360"/>
      </w:pPr>
      <w:rPr>
        <w:rFonts w:ascii="Noto Sans Symbols" w:eastAsia="Noto Sans Symbols" w:hAnsi="Noto Sans Symbols" w:cs="Noto Sans Symbols"/>
      </w:rPr>
    </w:lvl>
    <w:lvl w:ilvl="1">
      <w:start w:val="1"/>
      <w:numFmt w:val="bullet"/>
      <w:lvlText w:val="o"/>
      <w:lvlJc w:val="left"/>
      <w:pPr>
        <w:ind w:left="2574" w:hanging="360"/>
      </w:pPr>
      <w:rPr>
        <w:rFonts w:ascii="Courier New" w:eastAsia="Courier New" w:hAnsi="Courier New" w:cs="Courier New"/>
      </w:rPr>
    </w:lvl>
    <w:lvl w:ilvl="2">
      <w:start w:val="1"/>
      <w:numFmt w:val="bullet"/>
      <w:lvlText w:val="▪"/>
      <w:lvlJc w:val="left"/>
      <w:pPr>
        <w:ind w:left="3294" w:hanging="360"/>
      </w:pPr>
      <w:rPr>
        <w:rFonts w:ascii="Noto Sans Symbols" w:eastAsia="Noto Sans Symbols" w:hAnsi="Noto Sans Symbols" w:cs="Noto Sans Symbols"/>
      </w:rPr>
    </w:lvl>
    <w:lvl w:ilvl="3">
      <w:start w:val="1"/>
      <w:numFmt w:val="bullet"/>
      <w:lvlText w:val="●"/>
      <w:lvlJc w:val="left"/>
      <w:pPr>
        <w:ind w:left="4014" w:hanging="360"/>
      </w:pPr>
      <w:rPr>
        <w:rFonts w:ascii="Noto Sans Symbols" w:eastAsia="Noto Sans Symbols" w:hAnsi="Noto Sans Symbols" w:cs="Noto Sans Symbols"/>
      </w:rPr>
    </w:lvl>
    <w:lvl w:ilvl="4">
      <w:start w:val="1"/>
      <w:numFmt w:val="bullet"/>
      <w:lvlText w:val="o"/>
      <w:lvlJc w:val="left"/>
      <w:pPr>
        <w:ind w:left="4734" w:hanging="360"/>
      </w:pPr>
      <w:rPr>
        <w:rFonts w:ascii="Courier New" w:eastAsia="Courier New" w:hAnsi="Courier New" w:cs="Courier New"/>
      </w:rPr>
    </w:lvl>
    <w:lvl w:ilvl="5">
      <w:start w:val="1"/>
      <w:numFmt w:val="bullet"/>
      <w:lvlText w:val="▪"/>
      <w:lvlJc w:val="left"/>
      <w:pPr>
        <w:ind w:left="5454" w:hanging="360"/>
      </w:pPr>
      <w:rPr>
        <w:rFonts w:ascii="Noto Sans Symbols" w:eastAsia="Noto Sans Symbols" w:hAnsi="Noto Sans Symbols" w:cs="Noto Sans Symbols"/>
      </w:rPr>
    </w:lvl>
    <w:lvl w:ilvl="6">
      <w:start w:val="1"/>
      <w:numFmt w:val="bullet"/>
      <w:lvlText w:val="●"/>
      <w:lvlJc w:val="left"/>
      <w:pPr>
        <w:ind w:left="6174" w:hanging="360"/>
      </w:pPr>
      <w:rPr>
        <w:rFonts w:ascii="Noto Sans Symbols" w:eastAsia="Noto Sans Symbols" w:hAnsi="Noto Sans Symbols" w:cs="Noto Sans Symbols"/>
      </w:rPr>
    </w:lvl>
    <w:lvl w:ilvl="7">
      <w:start w:val="1"/>
      <w:numFmt w:val="bullet"/>
      <w:lvlText w:val="o"/>
      <w:lvlJc w:val="left"/>
      <w:pPr>
        <w:ind w:left="6894" w:hanging="360"/>
      </w:pPr>
      <w:rPr>
        <w:rFonts w:ascii="Courier New" w:eastAsia="Courier New" w:hAnsi="Courier New" w:cs="Courier New"/>
      </w:rPr>
    </w:lvl>
    <w:lvl w:ilvl="8">
      <w:start w:val="1"/>
      <w:numFmt w:val="bullet"/>
      <w:lvlText w:val="▪"/>
      <w:lvlJc w:val="left"/>
      <w:pPr>
        <w:ind w:left="7614" w:hanging="360"/>
      </w:pPr>
      <w:rPr>
        <w:rFonts w:ascii="Noto Sans Symbols" w:eastAsia="Noto Sans Symbols" w:hAnsi="Noto Sans Symbols" w:cs="Noto Sans Symbols"/>
      </w:rPr>
    </w:lvl>
  </w:abstractNum>
  <w:abstractNum w:abstractNumId="1" w15:restartNumberingAfterBreak="0">
    <w:nsid w:val="682524B2"/>
    <w:multiLevelType w:val="multilevel"/>
    <w:tmpl w:val="FE7462E2"/>
    <w:lvl w:ilvl="0">
      <w:start w:val="1"/>
      <w:numFmt w:val="bullet"/>
      <w:lvlText w:val="●"/>
      <w:lvlJc w:val="left"/>
      <w:pPr>
        <w:ind w:left="1854" w:hanging="360"/>
      </w:pPr>
      <w:rPr>
        <w:rFonts w:ascii="Noto Sans Symbols" w:eastAsia="Noto Sans Symbols" w:hAnsi="Noto Sans Symbols" w:cs="Noto Sans Symbols"/>
      </w:rPr>
    </w:lvl>
    <w:lvl w:ilvl="1">
      <w:start w:val="1"/>
      <w:numFmt w:val="bullet"/>
      <w:lvlText w:val="o"/>
      <w:lvlJc w:val="left"/>
      <w:pPr>
        <w:ind w:left="2574" w:hanging="360"/>
      </w:pPr>
      <w:rPr>
        <w:rFonts w:ascii="Courier New" w:eastAsia="Courier New" w:hAnsi="Courier New" w:cs="Courier New"/>
      </w:rPr>
    </w:lvl>
    <w:lvl w:ilvl="2">
      <w:start w:val="1"/>
      <w:numFmt w:val="bullet"/>
      <w:lvlText w:val="▪"/>
      <w:lvlJc w:val="left"/>
      <w:pPr>
        <w:ind w:left="3294" w:hanging="360"/>
      </w:pPr>
      <w:rPr>
        <w:rFonts w:ascii="Noto Sans Symbols" w:eastAsia="Noto Sans Symbols" w:hAnsi="Noto Sans Symbols" w:cs="Noto Sans Symbols"/>
      </w:rPr>
    </w:lvl>
    <w:lvl w:ilvl="3">
      <w:start w:val="1"/>
      <w:numFmt w:val="bullet"/>
      <w:lvlText w:val="●"/>
      <w:lvlJc w:val="left"/>
      <w:pPr>
        <w:ind w:left="4014" w:hanging="360"/>
      </w:pPr>
      <w:rPr>
        <w:rFonts w:ascii="Noto Sans Symbols" w:eastAsia="Noto Sans Symbols" w:hAnsi="Noto Sans Symbols" w:cs="Noto Sans Symbols"/>
      </w:rPr>
    </w:lvl>
    <w:lvl w:ilvl="4">
      <w:start w:val="1"/>
      <w:numFmt w:val="bullet"/>
      <w:lvlText w:val="o"/>
      <w:lvlJc w:val="left"/>
      <w:pPr>
        <w:ind w:left="4734" w:hanging="360"/>
      </w:pPr>
      <w:rPr>
        <w:rFonts w:ascii="Courier New" w:eastAsia="Courier New" w:hAnsi="Courier New" w:cs="Courier New"/>
      </w:rPr>
    </w:lvl>
    <w:lvl w:ilvl="5">
      <w:start w:val="1"/>
      <w:numFmt w:val="bullet"/>
      <w:lvlText w:val="▪"/>
      <w:lvlJc w:val="left"/>
      <w:pPr>
        <w:ind w:left="5454" w:hanging="360"/>
      </w:pPr>
      <w:rPr>
        <w:rFonts w:ascii="Noto Sans Symbols" w:eastAsia="Noto Sans Symbols" w:hAnsi="Noto Sans Symbols" w:cs="Noto Sans Symbols"/>
      </w:rPr>
    </w:lvl>
    <w:lvl w:ilvl="6">
      <w:start w:val="1"/>
      <w:numFmt w:val="bullet"/>
      <w:lvlText w:val="●"/>
      <w:lvlJc w:val="left"/>
      <w:pPr>
        <w:ind w:left="6174" w:hanging="360"/>
      </w:pPr>
      <w:rPr>
        <w:rFonts w:ascii="Noto Sans Symbols" w:eastAsia="Noto Sans Symbols" w:hAnsi="Noto Sans Symbols" w:cs="Noto Sans Symbols"/>
      </w:rPr>
    </w:lvl>
    <w:lvl w:ilvl="7">
      <w:start w:val="1"/>
      <w:numFmt w:val="bullet"/>
      <w:lvlText w:val="o"/>
      <w:lvlJc w:val="left"/>
      <w:pPr>
        <w:ind w:left="6894" w:hanging="360"/>
      </w:pPr>
      <w:rPr>
        <w:rFonts w:ascii="Courier New" w:eastAsia="Courier New" w:hAnsi="Courier New" w:cs="Courier New"/>
      </w:rPr>
    </w:lvl>
    <w:lvl w:ilvl="8">
      <w:start w:val="1"/>
      <w:numFmt w:val="bullet"/>
      <w:lvlText w:val="▪"/>
      <w:lvlJc w:val="left"/>
      <w:pPr>
        <w:ind w:left="7614" w:hanging="360"/>
      </w:pPr>
      <w:rPr>
        <w:rFonts w:ascii="Noto Sans Symbols" w:eastAsia="Noto Sans Symbols" w:hAnsi="Noto Sans Symbols" w:cs="Noto Sans Symbols"/>
      </w:rPr>
    </w:lvl>
  </w:abstractNum>
  <w:abstractNum w:abstractNumId="2" w15:restartNumberingAfterBreak="0">
    <w:nsid w:val="7B9A0B0A"/>
    <w:multiLevelType w:val="multilevel"/>
    <w:tmpl w:val="4132927A"/>
    <w:lvl w:ilvl="0">
      <w:start w:val="3"/>
      <w:numFmt w:val="bullet"/>
      <w:lvlText w:val="-"/>
      <w:lvlJc w:val="left"/>
      <w:pPr>
        <w:ind w:left="2628" w:hanging="360"/>
      </w:pPr>
      <w:rPr>
        <w:rFonts w:ascii="Times New Roman" w:eastAsia="Times New Roman" w:hAnsi="Times New Roman" w:cs="Times New Roman"/>
      </w:rPr>
    </w:lvl>
    <w:lvl w:ilvl="1">
      <w:start w:val="1"/>
      <w:numFmt w:val="bullet"/>
      <w:lvlText w:val="●"/>
      <w:lvlJc w:val="left"/>
      <w:pPr>
        <w:ind w:left="1854" w:hanging="360"/>
      </w:pPr>
      <w:rPr>
        <w:rFonts w:ascii="Noto Sans Symbols" w:eastAsia="Noto Sans Symbols" w:hAnsi="Noto Sans Symbols" w:cs="Noto Sans Symbols"/>
      </w:rPr>
    </w:lvl>
    <w:lvl w:ilvl="2">
      <w:start w:val="1"/>
      <w:numFmt w:val="bullet"/>
      <w:lvlText w:val="▪"/>
      <w:lvlJc w:val="left"/>
      <w:pPr>
        <w:ind w:left="3294" w:hanging="360"/>
      </w:pPr>
      <w:rPr>
        <w:rFonts w:ascii="Noto Sans Symbols" w:eastAsia="Noto Sans Symbols" w:hAnsi="Noto Sans Symbols" w:cs="Noto Sans Symbols"/>
      </w:rPr>
    </w:lvl>
    <w:lvl w:ilvl="3">
      <w:start w:val="1"/>
      <w:numFmt w:val="bullet"/>
      <w:lvlText w:val="●"/>
      <w:lvlJc w:val="left"/>
      <w:pPr>
        <w:ind w:left="4014" w:hanging="360"/>
      </w:pPr>
      <w:rPr>
        <w:rFonts w:ascii="Noto Sans Symbols" w:eastAsia="Noto Sans Symbols" w:hAnsi="Noto Sans Symbols" w:cs="Noto Sans Symbols"/>
      </w:rPr>
    </w:lvl>
    <w:lvl w:ilvl="4">
      <w:start w:val="1"/>
      <w:numFmt w:val="bullet"/>
      <w:lvlText w:val="o"/>
      <w:lvlJc w:val="left"/>
      <w:pPr>
        <w:ind w:left="4734" w:hanging="360"/>
      </w:pPr>
      <w:rPr>
        <w:rFonts w:ascii="Courier New" w:eastAsia="Courier New" w:hAnsi="Courier New" w:cs="Courier New"/>
      </w:rPr>
    </w:lvl>
    <w:lvl w:ilvl="5">
      <w:start w:val="1"/>
      <w:numFmt w:val="bullet"/>
      <w:lvlText w:val="▪"/>
      <w:lvlJc w:val="left"/>
      <w:pPr>
        <w:ind w:left="5454" w:hanging="360"/>
      </w:pPr>
      <w:rPr>
        <w:rFonts w:ascii="Noto Sans Symbols" w:eastAsia="Noto Sans Symbols" w:hAnsi="Noto Sans Symbols" w:cs="Noto Sans Symbols"/>
      </w:rPr>
    </w:lvl>
    <w:lvl w:ilvl="6">
      <w:start w:val="1"/>
      <w:numFmt w:val="bullet"/>
      <w:lvlText w:val="●"/>
      <w:lvlJc w:val="left"/>
      <w:pPr>
        <w:ind w:left="6174" w:hanging="360"/>
      </w:pPr>
      <w:rPr>
        <w:rFonts w:ascii="Noto Sans Symbols" w:eastAsia="Noto Sans Symbols" w:hAnsi="Noto Sans Symbols" w:cs="Noto Sans Symbols"/>
      </w:rPr>
    </w:lvl>
    <w:lvl w:ilvl="7">
      <w:start w:val="1"/>
      <w:numFmt w:val="bullet"/>
      <w:lvlText w:val="o"/>
      <w:lvlJc w:val="left"/>
      <w:pPr>
        <w:ind w:left="6894" w:hanging="360"/>
      </w:pPr>
      <w:rPr>
        <w:rFonts w:ascii="Courier New" w:eastAsia="Courier New" w:hAnsi="Courier New" w:cs="Courier New"/>
      </w:rPr>
    </w:lvl>
    <w:lvl w:ilvl="8">
      <w:start w:val="1"/>
      <w:numFmt w:val="bullet"/>
      <w:lvlText w:val="▪"/>
      <w:lvlJc w:val="left"/>
      <w:pPr>
        <w:ind w:left="7614" w:hanging="360"/>
      </w:pPr>
      <w:rPr>
        <w:rFonts w:ascii="Noto Sans Symbols" w:eastAsia="Noto Sans Symbols" w:hAnsi="Noto Sans Symbols" w:cs="Noto Sans Symbols"/>
      </w:rPr>
    </w:lvl>
  </w:abstractNum>
  <w:num w:numId="1" w16cid:durableId="1713572451">
    <w:abstractNumId w:val="2"/>
  </w:num>
  <w:num w:numId="2" w16cid:durableId="1941256929">
    <w:abstractNumId w:val="1"/>
  </w:num>
  <w:num w:numId="3" w16cid:durableId="6071972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09F"/>
    <w:rsid w:val="001915B1"/>
    <w:rsid w:val="003F609F"/>
    <w:rsid w:val="004251A7"/>
    <w:rsid w:val="00434B31"/>
    <w:rsid w:val="00464534"/>
    <w:rsid w:val="004F0860"/>
    <w:rsid w:val="006F73C0"/>
    <w:rsid w:val="0078481E"/>
    <w:rsid w:val="007C5628"/>
    <w:rsid w:val="009C10EB"/>
    <w:rsid w:val="009D3DF2"/>
    <w:rsid w:val="00AA0C97"/>
    <w:rsid w:val="00AA6F32"/>
    <w:rsid w:val="00B6126A"/>
    <w:rsid w:val="00E97346"/>
    <w:rsid w:val="00F45E34"/>
  </w:rsids>
  <m:mathPr>
    <m:mathFont m:val="Cambria Math"/>
    <m:brkBin m:val="before"/>
    <m:brkBinSub m:val="--"/>
    <m:smallFrac m:val="0"/>
    <m:dispDef/>
    <m:lMargin m:val="0"/>
    <m:rMargin m:val="0"/>
    <m:defJc m:val="centerGroup"/>
    <m:wrapIndent m:val="1440"/>
    <m:intLim m:val="subSup"/>
    <m:naryLim m:val="undOvr"/>
  </m:mathPr>
  <w:themeFontLang w:val="fr-GB"/>
  <w:clrSchemeMapping w:bg1="light1" w:t1="dark1" w:bg2="light2" w:t2="dark2" w:accent1="accent1" w:accent2="accent2" w:accent3="accent3" w:accent4="accent4" w:accent5="accent5" w:accent6="accent6" w:hyperlink="hyperlink" w:followedHyperlink="followedHyperlink"/>
  <w:decimalSymbol w:val="."/>
  <w:listSeparator w:val=";"/>
  <w14:docId w14:val="1CB01A85"/>
  <w15:docId w15:val="{84D1E198-C258-6347-A8BE-A655AA49D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76E6"/>
  </w:style>
  <w:style w:type="paragraph" w:styleId="Titre1">
    <w:name w:val="heading 1"/>
    <w:basedOn w:val="Normal"/>
    <w:next w:val="Normal"/>
    <w:link w:val="Titre1Car"/>
    <w:uiPriority w:val="9"/>
    <w:qFormat/>
    <w:rsid w:val="00AA5E5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uiPriority w:val="9"/>
    <w:semiHidden/>
    <w:unhideWhenUsed/>
    <w:qFormat/>
    <w:rsid w:val="00061C7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itre3">
    <w:name w:val="heading 3"/>
    <w:basedOn w:val="Normal"/>
    <w:next w:val="Normal"/>
    <w:uiPriority w:val="9"/>
    <w:semiHidden/>
    <w:unhideWhenUsed/>
    <w:qFormat/>
    <w:pPr>
      <w:keepNext/>
      <w:keepLines/>
      <w:spacing w:before="280" w:after="80"/>
      <w:outlineLvl w:val="2"/>
    </w:pPr>
    <w:rPr>
      <w:b/>
      <w:sz w:val="28"/>
      <w:szCs w:val="28"/>
    </w:rPr>
  </w:style>
  <w:style w:type="paragraph" w:styleId="Titre4">
    <w:name w:val="heading 4"/>
    <w:basedOn w:val="Normal"/>
    <w:next w:val="Normal"/>
    <w:uiPriority w:val="9"/>
    <w:semiHidden/>
    <w:unhideWhenUsed/>
    <w:qFormat/>
    <w:pPr>
      <w:keepNext/>
      <w:keepLines/>
      <w:spacing w:before="240" w:after="40"/>
      <w:outlineLvl w:val="3"/>
    </w:pPr>
    <w:rPr>
      <w:b/>
    </w:rPr>
  </w:style>
  <w:style w:type="paragraph" w:styleId="Titre5">
    <w:name w:val="heading 5"/>
    <w:basedOn w:val="Normal"/>
    <w:next w:val="Normal"/>
    <w:uiPriority w:val="9"/>
    <w:semiHidden/>
    <w:unhideWhenUsed/>
    <w:qFormat/>
    <w:pPr>
      <w:keepNext/>
      <w:keepLines/>
      <w:spacing w:before="220" w:after="40"/>
      <w:outlineLvl w:val="4"/>
    </w:pPr>
    <w:rPr>
      <w:b/>
      <w:sz w:val="22"/>
      <w:szCs w:val="22"/>
    </w:rPr>
  </w:style>
  <w:style w:type="paragraph" w:styleId="Titre6">
    <w:name w:val="heading 6"/>
    <w:basedOn w:val="Normal"/>
    <w:next w:val="Normal"/>
    <w:uiPriority w:val="9"/>
    <w:semiHidden/>
    <w:unhideWhenUsed/>
    <w:qFormat/>
    <w:pPr>
      <w:keepNext/>
      <w:keepLines/>
      <w:spacing w:before="200" w:after="40"/>
      <w:outlineLvl w:val="5"/>
    </w:pPr>
    <w:rPr>
      <w:b/>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semiHidden/>
    <w:unhideWhenUsed/>
    <w:rsid w:val="00520B70"/>
    <w:pPr>
      <w:spacing w:before="100" w:beforeAutospacing="1" w:after="100" w:afterAutospacing="1"/>
    </w:pPr>
  </w:style>
  <w:style w:type="paragraph" w:customStyle="1" w:styleId="SingleTxtG">
    <w:name w:val="_ Single Txt_G"/>
    <w:basedOn w:val="Normal"/>
    <w:link w:val="SingleTxtGChar"/>
    <w:qFormat/>
    <w:rsid w:val="007203F1"/>
    <w:pPr>
      <w:suppressAutoHyphens/>
      <w:spacing w:line="240" w:lineRule="atLeast"/>
      <w:ind w:left="1134" w:right="1134"/>
    </w:pPr>
    <w:rPr>
      <w:rFonts w:eastAsia="SimSun"/>
      <w:szCs w:val="20"/>
      <w:lang w:eastAsia="zh-CN"/>
    </w:rPr>
  </w:style>
  <w:style w:type="character" w:customStyle="1" w:styleId="SingleTxtGChar">
    <w:name w:val="_ Single Txt_G Char"/>
    <w:basedOn w:val="Policepardfaut"/>
    <w:link w:val="SingleTxtG"/>
    <w:rsid w:val="007203F1"/>
    <w:rPr>
      <w:rFonts w:ascii="Times New Roman" w:eastAsia="SimSun" w:hAnsi="Times New Roman" w:cs="Times New Roman"/>
      <w:kern w:val="0"/>
      <w:sz w:val="20"/>
      <w:szCs w:val="20"/>
      <w:lang w:val="en-GB" w:eastAsia="zh-CN"/>
    </w:rPr>
  </w:style>
  <w:style w:type="paragraph" w:styleId="Paragraphedeliste">
    <w:name w:val="List Paragraph"/>
    <w:basedOn w:val="Normal"/>
    <w:uiPriority w:val="34"/>
    <w:qFormat/>
    <w:rsid w:val="00E675A0"/>
    <w:pPr>
      <w:ind w:left="720"/>
      <w:contextualSpacing/>
    </w:pPr>
  </w:style>
  <w:style w:type="character" w:styleId="Lienhypertexte">
    <w:name w:val="Hyperlink"/>
    <w:basedOn w:val="Policepardfaut"/>
    <w:uiPriority w:val="99"/>
    <w:unhideWhenUsed/>
    <w:rsid w:val="00A02BDF"/>
    <w:rPr>
      <w:color w:val="0563C1" w:themeColor="hyperlink"/>
      <w:u w:val="single"/>
    </w:rPr>
  </w:style>
  <w:style w:type="character" w:styleId="Mentionnonrsolue">
    <w:name w:val="Unresolved Mention"/>
    <w:basedOn w:val="Policepardfaut"/>
    <w:uiPriority w:val="99"/>
    <w:semiHidden/>
    <w:unhideWhenUsed/>
    <w:rsid w:val="00A02BDF"/>
    <w:rPr>
      <w:color w:val="605E5C"/>
      <w:shd w:val="clear" w:color="auto" w:fill="E1DFDD"/>
    </w:rPr>
  </w:style>
  <w:style w:type="character" w:styleId="Marquedecommentaire">
    <w:name w:val="annotation reference"/>
    <w:basedOn w:val="Policepardfaut"/>
    <w:uiPriority w:val="99"/>
    <w:semiHidden/>
    <w:unhideWhenUsed/>
    <w:rsid w:val="006157C6"/>
    <w:rPr>
      <w:sz w:val="16"/>
      <w:szCs w:val="16"/>
    </w:rPr>
  </w:style>
  <w:style w:type="paragraph" w:styleId="Commentaire">
    <w:name w:val="annotation text"/>
    <w:basedOn w:val="Normal"/>
    <w:link w:val="CommentaireCar"/>
    <w:uiPriority w:val="99"/>
    <w:semiHidden/>
    <w:unhideWhenUsed/>
    <w:rsid w:val="006157C6"/>
    <w:rPr>
      <w:szCs w:val="20"/>
    </w:rPr>
  </w:style>
  <w:style w:type="character" w:customStyle="1" w:styleId="CommentaireCar">
    <w:name w:val="Commentaire Car"/>
    <w:basedOn w:val="Policepardfaut"/>
    <w:link w:val="Commentaire"/>
    <w:uiPriority w:val="99"/>
    <w:semiHidden/>
    <w:rsid w:val="006157C6"/>
    <w:rPr>
      <w:rFonts w:ascii="Times" w:hAnsi="Times"/>
      <w:sz w:val="20"/>
      <w:szCs w:val="20"/>
    </w:rPr>
  </w:style>
  <w:style w:type="paragraph" w:styleId="Objetducommentaire">
    <w:name w:val="annotation subject"/>
    <w:basedOn w:val="Commentaire"/>
    <w:next w:val="Commentaire"/>
    <w:link w:val="ObjetducommentaireCar"/>
    <w:uiPriority w:val="99"/>
    <w:semiHidden/>
    <w:unhideWhenUsed/>
    <w:rsid w:val="006157C6"/>
    <w:rPr>
      <w:b/>
      <w:bCs/>
    </w:rPr>
  </w:style>
  <w:style w:type="character" w:customStyle="1" w:styleId="ObjetducommentaireCar">
    <w:name w:val="Objet du commentaire Car"/>
    <w:basedOn w:val="CommentaireCar"/>
    <w:link w:val="Objetducommentaire"/>
    <w:uiPriority w:val="99"/>
    <w:semiHidden/>
    <w:rsid w:val="006157C6"/>
    <w:rPr>
      <w:rFonts w:ascii="Times" w:hAnsi="Times"/>
      <w:b/>
      <w:bCs/>
      <w:sz w:val="20"/>
      <w:szCs w:val="20"/>
    </w:rPr>
  </w:style>
  <w:style w:type="paragraph" w:styleId="PrformatHTML">
    <w:name w:val="HTML Preformatted"/>
    <w:basedOn w:val="Normal"/>
    <w:link w:val="PrformatHTMLCar"/>
    <w:uiPriority w:val="99"/>
    <w:semiHidden/>
    <w:unhideWhenUsed/>
    <w:rsid w:val="00B239EB"/>
    <w:rPr>
      <w:rFonts w:ascii="Consolas" w:hAnsi="Consolas" w:cs="Consolas"/>
      <w:szCs w:val="20"/>
    </w:rPr>
  </w:style>
  <w:style w:type="character" w:customStyle="1" w:styleId="PrformatHTMLCar">
    <w:name w:val="Préformaté HTML Car"/>
    <w:basedOn w:val="Policepardfaut"/>
    <w:link w:val="PrformatHTML"/>
    <w:uiPriority w:val="99"/>
    <w:semiHidden/>
    <w:rsid w:val="00B239EB"/>
    <w:rPr>
      <w:rFonts w:ascii="Consolas" w:hAnsi="Consolas" w:cs="Consolas"/>
      <w:sz w:val="20"/>
      <w:szCs w:val="20"/>
    </w:rPr>
  </w:style>
  <w:style w:type="character" w:styleId="Lienhypertextesuivivisit">
    <w:name w:val="FollowedHyperlink"/>
    <w:basedOn w:val="Policepardfaut"/>
    <w:uiPriority w:val="99"/>
    <w:semiHidden/>
    <w:unhideWhenUsed/>
    <w:rsid w:val="003548B9"/>
    <w:rPr>
      <w:color w:val="954F72" w:themeColor="followedHyperlink"/>
      <w:u w:val="single"/>
    </w:rPr>
  </w:style>
  <w:style w:type="character" w:customStyle="1" w:styleId="Titre2Car">
    <w:name w:val="Titre 2 Car"/>
    <w:basedOn w:val="Policepardfaut"/>
    <w:link w:val="Titre2"/>
    <w:uiPriority w:val="9"/>
    <w:semiHidden/>
    <w:rsid w:val="00061C7C"/>
    <w:rPr>
      <w:rFonts w:asciiTheme="majorHAnsi" w:eastAsiaTheme="majorEastAsia" w:hAnsiTheme="majorHAnsi" w:cstheme="majorBidi"/>
      <w:color w:val="2F5496" w:themeColor="accent1" w:themeShade="BF"/>
      <w:kern w:val="0"/>
      <w:sz w:val="26"/>
      <w:szCs w:val="26"/>
      <w:lang w:eastAsia="fr-FR"/>
    </w:rPr>
  </w:style>
  <w:style w:type="character" w:customStyle="1" w:styleId="Titre1Car">
    <w:name w:val="Titre 1 Car"/>
    <w:basedOn w:val="Policepardfaut"/>
    <w:link w:val="Titre1"/>
    <w:uiPriority w:val="9"/>
    <w:rsid w:val="00AA5E51"/>
    <w:rPr>
      <w:rFonts w:asciiTheme="majorHAnsi" w:eastAsiaTheme="majorEastAsia" w:hAnsiTheme="majorHAnsi" w:cstheme="majorBidi"/>
      <w:color w:val="2F5496" w:themeColor="accent1" w:themeShade="BF"/>
      <w:kern w:val="0"/>
      <w:sz w:val="32"/>
      <w:szCs w:val="32"/>
      <w:lang w:eastAsia="fr-FR"/>
    </w:rPr>
  </w:style>
  <w:style w:type="paragraph" w:styleId="Sous-titr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univ-orleans.fr/fr/ercae" TargetMode="External"/><Relationship Id="rId18" Type="http://schemas.openxmlformats.org/officeDocument/2006/relationships/hyperlink" Target="https://tbinternet.ohchr.org/_layouts/15/treatybodyexternal/Download.aspx?symbolno=E%2FC.12%2FFRA%2FQPR%2F5&amp;Lang=en" TargetMode="External"/><Relationship Id="rId26" Type="http://schemas.openxmlformats.org/officeDocument/2006/relationships/hyperlink" Target="https://www.conseil-constitutionnel.fr/le-bloc-de-constitutionnalite/texte-integral-de-la-constitution-du-4-octobre-1958-en-vigueur" TargetMode="External"/><Relationship Id="rId39" Type="http://schemas.openxmlformats.org/officeDocument/2006/relationships/image" Target="media/image4.png"/><Relationship Id="rId21" Type="http://schemas.openxmlformats.org/officeDocument/2006/relationships/hyperlink" Target="https://tbinternet.ohchr.org/_layouts/15/treatybodyexternal/Download.aspx?symbolno=E%2FC.12%2FTCD%2FRQ%2F4&amp;Lang=en" TargetMode="External"/><Relationship Id="rId34" Type="http://schemas.openxmlformats.org/officeDocument/2006/relationships/hyperlink" Target="https://www.enseignementsup-recherche.gouv.fr/fr/atlas-regional-les-effectifs-d-etudiants-en-2019-2020-51508" TargetMode="External"/><Relationship Id="rId42"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ens-paris-saclay.fr" TargetMode="External"/><Relationship Id="rId20" Type="http://schemas.openxmlformats.org/officeDocument/2006/relationships/hyperlink" Target="https://tbinternet.ohchr.org/_layouts/15/treatybodyexternal/Download.aspx?symbolno=E%2FC.12%2FTCD%2FRQ%2F4&amp;Lang=en" TargetMode="External"/><Relationship Id="rId29" Type="http://schemas.openxmlformats.org/officeDocument/2006/relationships/hyperlink" Target="https://www.legifrance.gouv.fr/codes/texte_lc/LEGITEXT000006071191" TargetMode="External"/><Relationship Id="rId41"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ciencespo.fr/psia/academics/masters/law-school-clinic" TargetMode="External"/><Relationship Id="rId24" Type="http://schemas.openxmlformats.org/officeDocument/2006/relationships/hyperlink" Target="https://www.right-to-education.org/resource/international-covenant-economic-social-and-cultural-rights" TargetMode="External"/><Relationship Id="rId32" Type="http://schemas.openxmlformats.org/officeDocument/2006/relationships/image" Target="media/image2.png"/><Relationship Id="rId37" Type="http://schemas.openxmlformats.org/officeDocument/2006/relationships/hyperlink" Target="https://www.sciencespo.fr/students/en/fees-funding/tuition-fees" TargetMode="External"/><Relationship Id="rId40"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hyperlink" Target="https://ens-paris-saclay.fr" TargetMode="External"/><Relationship Id="rId23" Type="http://schemas.openxmlformats.org/officeDocument/2006/relationships/hyperlink" Target="https://www.right-to-education.org/resource/international-covenant-economic-social-and-cultural-rights" TargetMode="External"/><Relationship Id="rId28" Type="http://schemas.openxmlformats.org/officeDocument/2006/relationships/hyperlink" Target="https://www.legifrance.gouv.fr/codes/texte_lc/LEGITEXT000006071191" TargetMode="External"/><Relationship Id="rId36" Type="http://schemas.openxmlformats.org/officeDocument/2006/relationships/hyperlink" Target="https://programmes.polytechnique.edu/cycle-ingenieur-polytechnicien/cout-de-la-formation" TargetMode="External"/><Relationship Id="rId10" Type="http://schemas.openxmlformats.org/officeDocument/2006/relationships/hyperlink" Target="https://www.right-to-education.org/issue-page/higher-education" TargetMode="External"/><Relationship Id="rId19" Type="http://schemas.openxmlformats.org/officeDocument/2006/relationships/hyperlink" Target="https://tbinternet.ohchr.org/_layouts/15/treatybodyexternal/Download.aspx?symbolno=E%2FC.12%2FTCD%2FRQ%2F4&amp;Lang=en" TargetMode="External"/><Relationship Id="rId31" Type="http://schemas.openxmlformats.org/officeDocument/2006/relationships/image" Target="media/image1.png"/><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right-to-education.org/issue-page/higher-education" TargetMode="External"/><Relationship Id="rId14" Type="http://schemas.openxmlformats.org/officeDocument/2006/relationships/hyperlink" Target="https://www.univ-orleans.fr/fr/ercae" TargetMode="External"/><Relationship Id="rId22" Type="http://schemas.openxmlformats.org/officeDocument/2006/relationships/hyperlink" Target="https://www.right-to-education.org/resource/international-covenant-economic-social-and-cultural-rights" TargetMode="External"/><Relationship Id="rId27" Type="http://schemas.openxmlformats.org/officeDocument/2006/relationships/hyperlink" Target="https://www.conseil-constitutionnel.fr/le-bloc-de-constitutionnalite/preambule-de-la-constitution-du-27-octobre-1946" TargetMode="External"/><Relationship Id="rId30" Type="http://schemas.openxmlformats.org/officeDocument/2006/relationships/hyperlink" Target="https://www.legifrance.gouv.fr/codes/texte_lc/LEGITEXT000006071191" TargetMode="External"/><Relationship Id="rId35" Type="http://schemas.openxmlformats.org/officeDocument/2006/relationships/hyperlink" Target="https://www.service-public.fr/particuliers/actualites/A14725" TargetMode="External"/><Relationship Id="rId4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www.unige.ch/fapse/" TargetMode="External"/><Relationship Id="rId17" Type="http://schemas.openxmlformats.org/officeDocument/2006/relationships/hyperlink" Target="https://digitallibrary.un.org/record/856842" TargetMode="External"/><Relationship Id="rId25" Type="http://schemas.openxmlformats.org/officeDocument/2006/relationships/hyperlink" Target="https://www.right-to-education.org/resource/cescr-general-comment-13-right-education-article-13" TargetMode="External"/><Relationship Id="rId33" Type="http://schemas.openxmlformats.org/officeDocument/2006/relationships/image" Target="media/image3.png"/><Relationship Id="rId38" Type="http://schemas.openxmlformats.org/officeDocument/2006/relationships/hyperlink" Target="https://www.education.gouv.fr/l-emploi-etudiant-rapport-igesr-ndeg-2019-075-septembre-2019-306175" TargetMode="External"/></Relationships>
</file>

<file path=word/_rels/footnotes.xml.rels><?xml version="1.0" encoding="UTF-8" standalone="yes"?>
<Relationships xmlns="http://schemas.openxmlformats.org/package/2006/relationships"><Relationship Id="rId26" Type="http://schemas.openxmlformats.org/officeDocument/2006/relationships/hyperlink" Target="https://www.right-to-education.org/resource/right-higher-education-unpacking-international-normative-framework-light-current-trends-and" TargetMode="External"/><Relationship Id="rId21" Type="http://schemas.openxmlformats.org/officeDocument/2006/relationships/hyperlink" Target="https://wid.world/news-article/unequal-access-to-higher-education/" TargetMode="External"/><Relationship Id="rId42" Type="http://schemas.openxmlformats.org/officeDocument/2006/relationships/hyperlink" Target="https://unef.fr/wp-content/uploads/2022/08/Classement-UNEF-des-villes-universitaires-2022.pdf" TargetMode="External"/><Relationship Id="rId47" Type="http://schemas.openxmlformats.org/officeDocument/2006/relationships/hyperlink" Target="https://www.right-to-education.org/resource/general-comment-no-20-non-discrimination-economic-social-and-cultural-rights-art-2-para-2" TargetMode="External"/><Relationship Id="rId63" Type="http://schemas.openxmlformats.org/officeDocument/2006/relationships/hyperlink" Target="https://www.right-to-education.org/resource/higher-education-france-right-threatened-increasing-nequalities" TargetMode="External"/><Relationship Id="rId68" Type="http://schemas.openxmlformats.org/officeDocument/2006/relationships/hyperlink" Target="https://www.right-to-education.org/resource/higher-education-france-right-threatened-increasing-nequalities" TargetMode="External"/><Relationship Id="rId16" Type="http://schemas.openxmlformats.org/officeDocument/2006/relationships/hyperlink" Target="https://www.conseil-constitutionnel.fr/decision/1971/7144DC.htm" TargetMode="External"/><Relationship Id="rId11" Type="http://schemas.openxmlformats.org/officeDocument/2006/relationships/hyperlink" Target="https://www.right-to-education.org/blog/university-students-time-covid-19-sacrificed-generation" TargetMode="External"/><Relationship Id="rId32" Type="http://schemas.openxmlformats.org/officeDocument/2006/relationships/hyperlink" Target="https://www.education.gouv.fr/reperes-et-references-statistiques-2021-308228" TargetMode="External"/><Relationship Id="rId37" Type="http://schemas.openxmlformats.org/officeDocument/2006/relationships/hyperlink" Target="https://unef.fr/wp-content/uploads/2022/08/Classement-UNEF-des-villes-universitaires-2022.pdf" TargetMode="External"/><Relationship Id="rId53" Type="http://schemas.openxmlformats.org/officeDocument/2006/relationships/hyperlink" Target="https://www.researchgate.net/publication/364118501_Des_centres_aux_peripheries_du_systeme_universitaire_visualiser_la_differenciation_sociale_et_geographique_a_l%27entree_en_licence" TargetMode="External"/><Relationship Id="rId58" Type="http://schemas.openxmlformats.org/officeDocument/2006/relationships/hyperlink" Target="https://www.education.gouv.fr/reperes-et-references-statistiques-2022-326939" TargetMode="External"/><Relationship Id="rId74" Type="http://schemas.openxmlformats.org/officeDocument/2006/relationships/hyperlink" Target="https://www.right-to-education.org/resource/higher-education-france-right-threatened-increasing-nequalities" TargetMode="External"/><Relationship Id="rId79" Type="http://schemas.openxmlformats.org/officeDocument/2006/relationships/hyperlink" Target="https://www.right-to-education.org/fr/resource/le-financement-de-l-enseignement-sup-rieur-en-france-une-synth-se-bibliographique-des" TargetMode="External"/><Relationship Id="rId5" Type="http://schemas.openxmlformats.org/officeDocument/2006/relationships/hyperlink" Target="https://www.right-to-education.org/resource/limited-potential-right-higher-education-france-impact-place-origin-and-cost-inequality" TargetMode="External"/><Relationship Id="rId61" Type="http://schemas.openxmlformats.org/officeDocument/2006/relationships/hyperlink" Target="https://cache.media.enseignementsup-recherche.gouv.fr/file/STRANES/12/2/STRANES_entier_bd_461122.pdf" TargetMode="External"/><Relationship Id="rId82" Type="http://schemas.openxmlformats.org/officeDocument/2006/relationships/hyperlink" Target="https://www.insee.fr/fr/statistiques/5391223?sommaire=6005379" TargetMode="External"/><Relationship Id="rId19" Type="http://schemas.openxmlformats.org/officeDocument/2006/relationships/hyperlink" Target="https://www.legifrance.gouv.fr/codes/texte_lc/LEGITEXT000006071191" TargetMode="External"/><Relationship Id="rId14" Type="http://schemas.openxmlformats.org/officeDocument/2006/relationships/hyperlink" Target="https://tbinternet.ohchr.org/_layouts/15/treatybodyexternal/Download.aspx?symbolno=E%2FC.12%2FFRA%2F5&amp;Lang=en" TargetMode="External"/><Relationship Id="rId22" Type="http://schemas.openxmlformats.org/officeDocument/2006/relationships/hyperlink" Target="https://www.onisep.fr/content/download/1309368/file/PIF_Etudes_Sup_21_22.pdf" TargetMode="External"/><Relationship Id="rId27" Type="http://schemas.openxmlformats.org/officeDocument/2006/relationships/hyperlink" Target="https://academic.oup.com/book/7545/chapter-abstract/152512214?redirectedFrom=fulltext" TargetMode="External"/><Relationship Id="rId30" Type="http://schemas.openxmlformats.org/officeDocument/2006/relationships/hyperlink" Target="https://www.insee.fr/fr/statistiques/5371235?sommaire=5371304" TargetMode="External"/><Relationship Id="rId35" Type="http://schemas.openxmlformats.org/officeDocument/2006/relationships/hyperlink" Target="https://programmes.polytechnique.edu/cycle-ingenieur-polytechnicien/cout-de-la-formation" TargetMode="External"/><Relationship Id="rId43" Type="http://schemas.openxmlformats.org/officeDocument/2006/relationships/hyperlink" Target="https://unef.fr/wp-content/uploads/2022/08/Classement-UNEF-des-villes-universitaires-2022.pdf" TargetMode="External"/><Relationship Id="rId48" Type="http://schemas.openxmlformats.org/officeDocument/2006/relationships/hyperlink" Target="https://www.right-to-education.org/resource/limited-potential-right-higher-education-france-impact-place-origin-and-cost-inequality" TargetMode="External"/><Relationship Id="rId56" Type="http://schemas.openxmlformats.org/officeDocument/2006/relationships/hyperlink" Target="https://www.education.gouv.fr/reperes-et-references-statistiques-2022-326939" TargetMode="External"/><Relationship Id="rId64" Type="http://schemas.openxmlformats.org/officeDocument/2006/relationships/hyperlink" Target="https://www.right-to-education.org/resource/higher-education-france-right-threatened-increasing-nequalities" TargetMode="External"/><Relationship Id="rId69" Type="http://schemas.openxmlformats.org/officeDocument/2006/relationships/hyperlink" Target="https://www.education.gouv.fr/reperes-et-references-statistiques-2021-308228" TargetMode="External"/><Relationship Id="rId77" Type="http://schemas.openxmlformats.org/officeDocument/2006/relationships/hyperlink" Target="https://wid.world/news-article/unequal-access-to-higher-education/" TargetMode="External"/><Relationship Id="rId8" Type="http://schemas.openxmlformats.org/officeDocument/2006/relationships/hyperlink" Target="https://www.right-to-education.org/node/1576" TargetMode="External"/><Relationship Id="rId51" Type="http://schemas.openxmlformats.org/officeDocument/2006/relationships/hyperlink" Target="https://www.right-to-education.org/resource/general-comment-no-20-non-discrimination-economic-social-and-cultural-rights-art-2-para-2" TargetMode="External"/><Relationship Id="rId72" Type="http://schemas.openxmlformats.org/officeDocument/2006/relationships/hyperlink" Target="http://www.senat.fr/rap/l21-163-324/l21-163-324_mono.html" TargetMode="External"/><Relationship Id="rId80" Type="http://schemas.openxmlformats.org/officeDocument/2006/relationships/hyperlink" Target="https://www.right-to-education.org/fr/resource/le-financement-de-l-enseignement-sup-rieur-en-france-une-synth-se-bibliographique-des" TargetMode="External"/><Relationship Id="rId3" Type="http://schemas.openxmlformats.org/officeDocument/2006/relationships/hyperlink" Target="http://www.globalstudentforum.org" TargetMode="External"/><Relationship Id="rId12" Type="http://schemas.openxmlformats.org/officeDocument/2006/relationships/hyperlink" Target="https://digitallibrary.un.org/record/856842" TargetMode="External"/><Relationship Id="rId17" Type="http://schemas.openxmlformats.org/officeDocument/2006/relationships/hyperlink" Target="https://www.right-to-education.org/resource/decision-higher-education-tuition-fees-public-universities-constitutional-court-france-2019" TargetMode="External"/><Relationship Id="rId25" Type="http://schemas.openxmlformats.org/officeDocument/2006/relationships/hyperlink" Target="https://www.right-to-education.org/resource/limited-potential-right-higher-education-france-impact-place-origin-and-cost-inequality" TargetMode="External"/><Relationship Id="rId33" Type="http://schemas.openxmlformats.org/officeDocument/2006/relationships/hyperlink" Target="https://www.right-to-education.org/resource/report-special-rapporteur-right-education-securing-right-education-advances-and-critical" TargetMode="External"/><Relationship Id="rId38" Type="http://schemas.openxmlformats.org/officeDocument/2006/relationships/hyperlink" Target="https://unef.fr/wp-content/uploads/2022/08/Classement-UNEF-des-villes-universitaires-2022.pdf" TargetMode="External"/><Relationship Id="rId46" Type="http://schemas.openxmlformats.org/officeDocument/2006/relationships/hyperlink" Target="https://www.education.gouv.fr/l-emploi-etudiant-rapport-igesr-ndeg-2019-075-septembre-2019-306175" TargetMode="External"/><Relationship Id="rId59" Type="http://schemas.openxmlformats.org/officeDocument/2006/relationships/hyperlink" Target="https://www.right-to-education.org/fr/resource/le-financement-de-l-enseignement-sup-rieur-en-france-une-synth-se-bibliographique-des" TargetMode="External"/><Relationship Id="rId67" Type="http://schemas.openxmlformats.org/officeDocument/2006/relationships/hyperlink" Target="https://www.lemonde.fr/campus/article/2022/01/17/l-insolente-sante-de-l-enseignement-superieur-prive_6109765_4401467.html" TargetMode="External"/><Relationship Id="rId20" Type="http://schemas.openxmlformats.org/officeDocument/2006/relationships/hyperlink" Target="https://www.right-to-education.org/resource/limited-potential-right-higher-education-france-impact-place-origin-and-cost-inequality" TargetMode="External"/><Relationship Id="rId41" Type="http://schemas.openxmlformats.org/officeDocument/2006/relationships/hyperlink" Target="https://unef.fr/wp-content/uploads/2022/08/Classement-UNEF-des-villes-universitaires-2022.pdf" TargetMode="External"/><Relationship Id="rId54" Type="http://schemas.openxmlformats.org/officeDocument/2006/relationships/hyperlink" Target="https://www.researchgate.net/publication/364118501_Des_centres_aux_peripheries_du_systeme_universitaire_visualiser_la_differenciation_sociale_et_geographique_a_l%27entree_en_licence" TargetMode="External"/><Relationship Id="rId62" Type="http://schemas.openxmlformats.org/officeDocument/2006/relationships/hyperlink" Target="https://www.editionsbdl.com/produit/le-classement-de-shanghai-luniversite-marchandisee/" TargetMode="External"/><Relationship Id="rId70" Type="http://schemas.openxmlformats.org/officeDocument/2006/relationships/hyperlink" Target="https://publication.enseignementsup-recherche.gouv.fr/eesr/FR/EESR14_Annexe_1/les_etudiants_inscrits_dans_l_enseignement_superieur/" TargetMode="External"/><Relationship Id="rId75" Type="http://schemas.openxmlformats.org/officeDocument/2006/relationships/hyperlink" Target="https://www.right-to-education.org/fr/resource/le-financement-de-l-enseignement-sup-rieur-en-france-une-synth-se-bibliographique-des" TargetMode="External"/><Relationship Id="rId83" Type="http://schemas.openxmlformats.org/officeDocument/2006/relationships/hyperlink" Target="https://www.right-to-education.org/resource/higher-education-france-right-threatened-increasing-nequalities" TargetMode="External"/><Relationship Id="rId1" Type="http://schemas.openxmlformats.org/officeDocument/2006/relationships/hyperlink" Target="http://www.right-to-education.org" TargetMode="External"/><Relationship Id="rId6" Type="http://schemas.openxmlformats.org/officeDocument/2006/relationships/hyperlink" Target="https://www.right-to-education.org/resource/policy-brief-impact-place-origin-inequalities-higher-education-france-0" TargetMode="External"/><Relationship Id="rId15" Type="http://schemas.openxmlformats.org/officeDocument/2006/relationships/hyperlink" Target="https://www.right-to-education.org/resource/international-covenant-economic-social-and-cultural-rights" TargetMode="External"/><Relationship Id="rId23" Type="http://schemas.openxmlformats.org/officeDocument/2006/relationships/hyperlink" Target="https://www.enseignementsup-recherche.gouv.fr/fr/nouvelle-hausse-sensible-des-effectifs-inscrits-dans-l-enseignement-superieur-en-2021-2022-86440" TargetMode="External"/><Relationship Id="rId28" Type="http://schemas.openxmlformats.org/officeDocument/2006/relationships/hyperlink" Target="https://www.cge.asso.fr/publications/2022-02-16-livre-blanc-ouverture-sociale-et-territoriale-des-grandes-ecoles-2/" TargetMode="External"/><Relationship Id="rId36" Type="http://schemas.openxmlformats.org/officeDocument/2006/relationships/hyperlink" Target="https://www.sciencespo.fr/students/en/fees-funding/tuition-fees" TargetMode="External"/><Relationship Id="rId49" Type="http://schemas.openxmlformats.org/officeDocument/2006/relationships/hyperlink" Target="https://www.right-to-education.org/resource/policy-brief-impact-place-origin-inequalities-higher-education-france-0" TargetMode="External"/><Relationship Id="rId57" Type="http://schemas.openxmlformats.org/officeDocument/2006/relationships/hyperlink" Target="https://www.right-to-education.org/fr/resource/le-financement-de-l-enseignement-sup-rieur-en-france-une-synth-se-bibliographique-des" TargetMode="External"/><Relationship Id="rId10" Type="http://schemas.openxmlformats.org/officeDocument/2006/relationships/hyperlink" Target="https://www.right-to-education.org/news/round-table-right-higher-education-impact-place-origin-and-cost-studies-realisation-right" TargetMode="External"/><Relationship Id="rId31" Type="http://schemas.openxmlformats.org/officeDocument/2006/relationships/hyperlink" Target="https://www.education.gouv.fr/reperes-et-references-statistiques-2021-308228" TargetMode="External"/><Relationship Id="rId44" Type="http://schemas.openxmlformats.org/officeDocument/2006/relationships/hyperlink" Target="https://www.fage.org/news/actualites-fage-federations/2023-08-16,DP-FAGE-ICDR-2023.htm" TargetMode="External"/><Relationship Id="rId52" Type="http://schemas.openxmlformats.org/officeDocument/2006/relationships/hyperlink" Target="https://www.researchgate.net/publication/356192678_L'universite_francaise_lieu_de_brassage_ou_de_segregation_sociale_Mesure_de_la_polarisation_du_systeme_universitaire_francais_2007-2015_French_Universities_-_A_Melting_Pot_or_a_Hotbed_of_Social_Segreg" TargetMode="External"/><Relationship Id="rId60" Type="http://schemas.openxmlformats.org/officeDocument/2006/relationships/hyperlink" Target="https://www.right-to-education.org/resource/higher-education-france-right-threatened-increasing-nequalities" TargetMode="External"/><Relationship Id="rId65" Type="http://schemas.openxmlformats.org/officeDocument/2006/relationships/hyperlink" Target="https://www.lemonde.fr/campus/article/2019/05/18/l-irresistible-ascension-de-l-enseignement-superieur-prive_5463771_4401467.html" TargetMode="External"/><Relationship Id="rId73" Type="http://schemas.openxmlformats.org/officeDocument/2006/relationships/hyperlink" Target="https://www.enseignementsup-recherche.gouv.fr/fr/l-etat-de-l-enseignement-superieur-de-la-recherche-et-de-l-innovation-en-france-47821" TargetMode="External"/><Relationship Id="rId78" Type="http://schemas.openxmlformats.org/officeDocument/2006/relationships/hyperlink" Target="https://www.researchgate.net/publication/364118501_Des_centres_aux_peripheries_du_systeme_universitaire_visualiser_la_differenciation_sociale_et_geographique_a_l%27entree_en_licence" TargetMode="External"/><Relationship Id="rId81" Type="http://schemas.openxmlformats.org/officeDocument/2006/relationships/hyperlink" Target="https://www.right-to-education.org/fr/resource/le-financement-de-l-enseignement-sup-rieur-en-france-une-synth-se-bibliographique-des" TargetMode="External"/><Relationship Id="rId4" Type="http://schemas.openxmlformats.org/officeDocument/2006/relationships/hyperlink" Target="https://www.right-to-education.org/resource/limited-potential-right-higher-education-france-impact-place-origin-and-cost-inequality" TargetMode="External"/><Relationship Id="rId9" Type="http://schemas.openxmlformats.org/officeDocument/2006/relationships/hyperlink" Target="https://www.right-to-education.org/fr/node/1483" TargetMode="External"/><Relationship Id="rId13" Type="http://schemas.openxmlformats.org/officeDocument/2006/relationships/hyperlink" Target="https://tbinternet.ohchr.org/_layouts/15/treatybodyexternal/Download.aspx?symbolno=E%2FC.12%2FFRA%2FQPR%2F5&amp;Lang=en" TargetMode="External"/><Relationship Id="rId18" Type="http://schemas.openxmlformats.org/officeDocument/2006/relationships/hyperlink" Target="https://www.legifrance.gouv.fr/codes/texte_lc/LEGITEXT000006071191" TargetMode="External"/><Relationship Id="rId39" Type="http://schemas.openxmlformats.org/officeDocument/2006/relationships/hyperlink" Target="https://unef.fr/wp-content/uploads/2022/08/Classement-UNEF-des-villes-universitaires-2022.pdf" TargetMode="External"/><Relationship Id="rId34" Type="http://schemas.openxmlformats.org/officeDocument/2006/relationships/hyperlink" Target="https://www.service-public.fr/particuliers/actualites/A14725" TargetMode="External"/><Relationship Id="rId50" Type="http://schemas.openxmlformats.org/officeDocument/2006/relationships/hyperlink" Target="https://www.right-to-education.org/resource/higher-education-france-right-threatened-increasing-nequalities" TargetMode="External"/><Relationship Id="rId55" Type="http://schemas.openxmlformats.org/officeDocument/2006/relationships/hyperlink" Target="https://wid.world/news-article/unequal-access-to-higher-education/" TargetMode="External"/><Relationship Id="rId76" Type="http://schemas.openxmlformats.org/officeDocument/2006/relationships/hyperlink" Target="https://www.vie-publique.fr/sites/default/files/rapport/pdf/283822.pdf" TargetMode="External"/><Relationship Id="rId7" Type="http://schemas.openxmlformats.org/officeDocument/2006/relationships/hyperlink" Target="https://www.right-to-education.org/resource/higher-education-france-right-threatened-increasing-nequalities" TargetMode="External"/><Relationship Id="rId71" Type="http://schemas.openxmlformats.org/officeDocument/2006/relationships/hyperlink" Target="https://www.right-to-education.org/fr/resource/le-financement-de-l-enseignement-sup-rieur-en-france-une-synth-se-bibliographique-des" TargetMode="External"/><Relationship Id="rId2" Type="http://schemas.openxmlformats.org/officeDocument/2006/relationships/hyperlink" Target="https://www.fage.org/l" TargetMode="External"/><Relationship Id="rId29" Type="http://schemas.openxmlformats.org/officeDocument/2006/relationships/hyperlink" Target="https://www.cge.asso.fr/membres/ecoles/" TargetMode="External"/><Relationship Id="rId24" Type="http://schemas.openxmlformats.org/officeDocument/2006/relationships/hyperlink" Target="https://www.education.gouv.fr/cid57105/geographie-de-l-ecole-douzieme-edition-2017.html" TargetMode="External"/><Relationship Id="rId40" Type="http://schemas.openxmlformats.org/officeDocument/2006/relationships/hyperlink" Target="https://unef.fr/wp-content/uploads/2022/08/Classement-UNEF-des-villes-universitaires-2022.pdf" TargetMode="External"/><Relationship Id="rId45" Type="http://schemas.openxmlformats.org/officeDocument/2006/relationships/hyperlink" Target="https://www.fage.org/news/actualites-fage-federations/2022-08-16,DP-FAGE-ICDR-2022.htm" TargetMode="External"/><Relationship Id="rId66" Type="http://schemas.openxmlformats.org/officeDocument/2006/relationships/hyperlink" Target="http://www.ove-national.education.fr/wp-content/uploads/2018/11/Fiche_Ressources_economiques_des_etudiants_CdV_2016.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hSpMCBpmp/bAikXZ/TRevidf0w==">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</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E695EE7-090A-8A4D-BDF6-5DBDAD2C7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16</Pages>
  <Words>5178</Words>
  <Characters>28479</Characters>
  <Application>Microsoft Office Word</Application>
  <DocSecurity>0</DocSecurity>
  <Lines>237</Lines>
  <Paragraphs>67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Plan Eval</dc:creator>
  <cp:lastModifiedBy>Delphine Dorsi</cp:lastModifiedBy>
  <cp:revision>14</cp:revision>
  <dcterms:created xsi:type="dcterms:W3CDTF">2023-08-24T11:07:00Z</dcterms:created>
  <dcterms:modified xsi:type="dcterms:W3CDTF">2023-08-24T11:28:00Z</dcterms:modified>
</cp:coreProperties>
</file>