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1F1CE" w14:textId="59B22460" w:rsidR="00AC4B10" w:rsidRDefault="00AC4B10" w:rsidP="00AC4B10">
      <w:pPr>
        <w:spacing w:after="0"/>
        <w:jc w:val="center"/>
        <w:rPr>
          <w:rFonts w:asciiTheme="minorHAnsi" w:hAnsiTheme="minorHAnsi" w:cstheme="minorHAnsi"/>
          <w:b/>
          <w:bCs/>
          <w:sz w:val="28"/>
          <w:szCs w:val="28"/>
        </w:rPr>
      </w:pPr>
      <w:r>
        <w:rPr>
          <w:rFonts w:asciiTheme="minorHAnsi" w:hAnsiTheme="minorHAnsi" w:cstheme="minorHAnsi"/>
          <w:b/>
          <w:bCs/>
          <w:noProof/>
          <w:sz w:val="28"/>
          <w:szCs w:val="28"/>
        </w:rPr>
        <w:drawing>
          <wp:anchor distT="0" distB="0" distL="114300" distR="114300" simplePos="0" relativeHeight="251658240" behindDoc="1" locked="0" layoutInCell="1" allowOverlap="1" wp14:anchorId="56490E9D" wp14:editId="03E367A1">
            <wp:simplePos x="0" y="0"/>
            <wp:positionH relativeFrom="column">
              <wp:posOffset>2136775</wp:posOffset>
            </wp:positionH>
            <wp:positionV relativeFrom="paragraph">
              <wp:posOffset>0</wp:posOffset>
            </wp:positionV>
            <wp:extent cx="1630680" cy="1087120"/>
            <wp:effectExtent l="0" t="0" r="7620" b="0"/>
            <wp:wrapTight wrapText="bothSides">
              <wp:wrapPolygon edited="0">
                <wp:start x="0" y="0"/>
                <wp:lineTo x="0" y="21196"/>
                <wp:lineTo x="21449" y="21196"/>
                <wp:lineTo x="21449"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0680" cy="1087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76B7AA" w14:textId="77777777" w:rsidR="00AC4B10" w:rsidRDefault="00AC4B10" w:rsidP="00AC4B10">
      <w:pPr>
        <w:spacing w:after="0"/>
        <w:jc w:val="center"/>
        <w:rPr>
          <w:rFonts w:asciiTheme="minorHAnsi" w:hAnsiTheme="minorHAnsi" w:cstheme="minorHAnsi"/>
          <w:b/>
          <w:bCs/>
          <w:sz w:val="28"/>
          <w:szCs w:val="28"/>
        </w:rPr>
      </w:pPr>
    </w:p>
    <w:p w14:paraId="140B035C" w14:textId="77777777" w:rsidR="00AC4B10" w:rsidRDefault="00AC4B10" w:rsidP="00AC4B10">
      <w:pPr>
        <w:spacing w:after="0"/>
        <w:jc w:val="center"/>
        <w:rPr>
          <w:rFonts w:asciiTheme="minorHAnsi" w:hAnsiTheme="minorHAnsi" w:cstheme="minorHAnsi"/>
          <w:b/>
          <w:bCs/>
          <w:sz w:val="28"/>
          <w:szCs w:val="28"/>
        </w:rPr>
      </w:pPr>
    </w:p>
    <w:p w14:paraId="5E57D7B7" w14:textId="77777777" w:rsidR="00462644" w:rsidRDefault="00462644" w:rsidP="00AC4B10">
      <w:pPr>
        <w:spacing w:after="0"/>
        <w:jc w:val="center"/>
      </w:pPr>
    </w:p>
    <w:p w14:paraId="4B88F92A" w14:textId="25FF5FB5" w:rsidR="00462644" w:rsidRDefault="00462644" w:rsidP="00AC4B10">
      <w:pPr>
        <w:spacing w:after="0"/>
        <w:jc w:val="center"/>
      </w:pPr>
    </w:p>
    <w:p w14:paraId="51076C08" w14:textId="24C86179" w:rsidR="0066176F" w:rsidRDefault="0066176F" w:rsidP="00AC4B10">
      <w:pPr>
        <w:spacing w:after="0"/>
        <w:jc w:val="center"/>
      </w:pPr>
    </w:p>
    <w:p w14:paraId="36502E62" w14:textId="3D102DC2" w:rsidR="0066176F" w:rsidRDefault="0066176F" w:rsidP="00AC4B10">
      <w:pPr>
        <w:spacing w:after="0"/>
        <w:jc w:val="center"/>
      </w:pPr>
    </w:p>
    <w:p w14:paraId="30B8423F" w14:textId="27D22B67" w:rsidR="0066176F" w:rsidRDefault="0066176F" w:rsidP="00AC4B10">
      <w:pPr>
        <w:spacing w:after="0"/>
        <w:jc w:val="center"/>
      </w:pPr>
    </w:p>
    <w:p w14:paraId="44D7D0F4" w14:textId="267805DF" w:rsidR="0066176F" w:rsidRDefault="0066176F" w:rsidP="00AC4B10">
      <w:pPr>
        <w:spacing w:after="0"/>
        <w:jc w:val="center"/>
      </w:pPr>
    </w:p>
    <w:p w14:paraId="6585FEB2" w14:textId="0832DFFE" w:rsidR="0066176F" w:rsidRDefault="0066176F" w:rsidP="00AC4B10">
      <w:pPr>
        <w:spacing w:after="0"/>
        <w:jc w:val="center"/>
      </w:pPr>
    </w:p>
    <w:p w14:paraId="12BF0152" w14:textId="77777777" w:rsidR="00AB2BC5" w:rsidRPr="00AB2BC5" w:rsidRDefault="00AB2BC5" w:rsidP="00AB2BC5">
      <w:pPr>
        <w:spacing w:after="0"/>
        <w:jc w:val="center"/>
        <w:rPr>
          <w:rFonts w:asciiTheme="minorHAnsi" w:hAnsiTheme="minorHAnsi" w:cstheme="minorHAnsi"/>
          <w:b/>
          <w:bCs/>
          <w:sz w:val="32"/>
          <w:szCs w:val="32"/>
          <w:lang w:bidi="ar-MA"/>
        </w:rPr>
      </w:pPr>
      <w:bookmarkStart w:id="0" w:name="_Hlk103615854"/>
      <w:r w:rsidRPr="00AB2BC5">
        <w:rPr>
          <w:rFonts w:asciiTheme="minorHAnsi" w:hAnsiTheme="minorHAnsi" w:cstheme="minorHAnsi"/>
          <w:b/>
          <w:bCs/>
          <w:sz w:val="32"/>
          <w:szCs w:val="32"/>
          <w:lang w:bidi="ar-MA"/>
        </w:rPr>
        <w:t>Convention sur l’élimination de toutes les formes de discrimination à l’égard des femmes (CEDAW).</w:t>
      </w:r>
    </w:p>
    <w:p w14:paraId="22C7C840" w14:textId="655A02D5" w:rsidR="00AB2BC5" w:rsidRPr="00AB2BC5" w:rsidRDefault="00AB2BC5" w:rsidP="00AC4B10">
      <w:pPr>
        <w:spacing w:after="0"/>
        <w:jc w:val="center"/>
        <w:rPr>
          <w:sz w:val="24"/>
          <w:szCs w:val="24"/>
        </w:rPr>
      </w:pPr>
    </w:p>
    <w:p w14:paraId="492B9F70" w14:textId="29906168" w:rsidR="00AB2BC5" w:rsidRDefault="00AB2BC5" w:rsidP="00AC4B10">
      <w:pPr>
        <w:spacing w:after="0"/>
        <w:jc w:val="center"/>
      </w:pPr>
    </w:p>
    <w:p w14:paraId="22F5A4D4" w14:textId="77777777" w:rsidR="00AB2BC5" w:rsidRDefault="00AB2BC5" w:rsidP="00AC4B10">
      <w:pPr>
        <w:spacing w:after="0"/>
        <w:jc w:val="center"/>
      </w:pPr>
    </w:p>
    <w:p w14:paraId="7EE5D6D2" w14:textId="526F2A34" w:rsidR="0066176F" w:rsidRPr="00AB2BC5" w:rsidRDefault="0066176F" w:rsidP="00AC4B10">
      <w:pPr>
        <w:spacing w:after="0"/>
        <w:jc w:val="center"/>
        <w:rPr>
          <w:rFonts w:asciiTheme="minorHAnsi" w:hAnsiTheme="minorHAnsi" w:cstheme="minorHAnsi"/>
          <w:b/>
          <w:bCs/>
          <w:sz w:val="28"/>
          <w:szCs w:val="28"/>
        </w:rPr>
      </w:pPr>
    </w:p>
    <w:p w14:paraId="0DB2E6BC" w14:textId="44C12EE2" w:rsidR="0066176F" w:rsidRDefault="0066176F" w:rsidP="0066176F">
      <w:pPr>
        <w:spacing w:after="0"/>
        <w:rPr>
          <w:rFonts w:asciiTheme="minorHAnsi" w:hAnsiTheme="minorHAnsi" w:cstheme="minorHAnsi"/>
          <w:b/>
          <w:bCs/>
          <w:sz w:val="28"/>
          <w:szCs w:val="28"/>
        </w:rPr>
      </w:pPr>
      <w:r w:rsidRPr="00AB2BC5">
        <w:rPr>
          <w:rFonts w:asciiTheme="minorHAnsi" w:hAnsiTheme="minorHAnsi" w:cstheme="minorHAnsi"/>
          <w:b/>
          <w:bCs/>
          <w:sz w:val="28"/>
          <w:szCs w:val="28"/>
        </w:rPr>
        <w:t xml:space="preserve">Non de l’ONG : Observatoire Marocain des Prisons (OMP) </w:t>
      </w:r>
    </w:p>
    <w:p w14:paraId="42307416" w14:textId="77777777" w:rsidR="00AB2BC5" w:rsidRPr="00AB2BC5" w:rsidRDefault="00AB2BC5" w:rsidP="0066176F">
      <w:pPr>
        <w:spacing w:after="0"/>
        <w:rPr>
          <w:rFonts w:asciiTheme="minorHAnsi" w:hAnsiTheme="minorHAnsi" w:cstheme="minorHAnsi"/>
          <w:b/>
          <w:bCs/>
          <w:sz w:val="28"/>
          <w:szCs w:val="28"/>
        </w:rPr>
      </w:pPr>
    </w:p>
    <w:p w14:paraId="293E9C30" w14:textId="57E23D9E" w:rsidR="0066176F" w:rsidRDefault="0066176F" w:rsidP="0066176F">
      <w:pPr>
        <w:spacing w:after="0"/>
        <w:rPr>
          <w:rFonts w:asciiTheme="minorHAnsi" w:hAnsiTheme="minorHAnsi" w:cstheme="minorHAnsi"/>
          <w:b/>
          <w:bCs/>
          <w:sz w:val="28"/>
          <w:szCs w:val="28"/>
        </w:rPr>
      </w:pPr>
      <w:r w:rsidRPr="00AB2BC5">
        <w:rPr>
          <w:rFonts w:asciiTheme="minorHAnsi" w:hAnsiTheme="minorHAnsi" w:cstheme="minorHAnsi"/>
          <w:b/>
          <w:bCs/>
          <w:sz w:val="28"/>
          <w:szCs w:val="28"/>
        </w:rPr>
        <w:t>Pays : Maroc</w:t>
      </w:r>
    </w:p>
    <w:p w14:paraId="1D62B722" w14:textId="77777777" w:rsidR="00AB2BC5" w:rsidRPr="00AB2BC5" w:rsidRDefault="00AB2BC5" w:rsidP="0066176F">
      <w:pPr>
        <w:spacing w:after="0"/>
        <w:rPr>
          <w:rFonts w:asciiTheme="minorHAnsi" w:hAnsiTheme="minorHAnsi" w:cstheme="minorHAnsi"/>
          <w:b/>
          <w:bCs/>
          <w:sz w:val="28"/>
          <w:szCs w:val="28"/>
        </w:rPr>
      </w:pPr>
    </w:p>
    <w:p w14:paraId="1C4E599F" w14:textId="6F1859EE" w:rsidR="0066176F" w:rsidRDefault="0066176F" w:rsidP="0066176F">
      <w:pPr>
        <w:spacing w:after="0"/>
        <w:rPr>
          <w:rFonts w:asciiTheme="minorHAnsi" w:hAnsiTheme="minorHAnsi" w:cstheme="minorHAnsi"/>
          <w:b/>
          <w:bCs/>
          <w:color w:val="222222"/>
          <w:sz w:val="28"/>
          <w:szCs w:val="28"/>
          <w:shd w:val="clear" w:color="auto" w:fill="FFFFFF"/>
        </w:rPr>
      </w:pPr>
      <w:r w:rsidRPr="00AB2BC5">
        <w:rPr>
          <w:rFonts w:asciiTheme="minorHAnsi" w:hAnsiTheme="minorHAnsi" w:cstheme="minorHAnsi"/>
          <w:b/>
          <w:bCs/>
          <w:color w:val="222222"/>
          <w:sz w:val="28"/>
          <w:szCs w:val="28"/>
          <w:shd w:val="clear" w:color="auto" w:fill="FFFFFF"/>
        </w:rPr>
        <w:t xml:space="preserve">Indiquer si le rapport peut être publié ou non sur la page web du Comité à des fins d'information publique : OUI </w:t>
      </w:r>
    </w:p>
    <w:p w14:paraId="143F03B6" w14:textId="77777777" w:rsidR="00AB2BC5" w:rsidRPr="00AB2BC5" w:rsidRDefault="00AB2BC5" w:rsidP="0066176F">
      <w:pPr>
        <w:spacing w:after="0"/>
        <w:rPr>
          <w:rFonts w:asciiTheme="minorHAnsi" w:hAnsiTheme="minorHAnsi" w:cstheme="minorHAnsi"/>
          <w:b/>
          <w:bCs/>
          <w:color w:val="222222"/>
          <w:sz w:val="28"/>
          <w:szCs w:val="28"/>
          <w:shd w:val="clear" w:color="auto" w:fill="FFFFFF"/>
        </w:rPr>
      </w:pPr>
    </w:p>
    <w:bookmarkEnd w:id="0"/>
    <w:p w14:paraId="7828C4B2" w14:textId="36049E58" w:rsidR="0066176F" w:rsidRDefault="0066176F" w:rsidP="0066176F">
      <w:pPr>
        <w:spacing w:after="0"/>
        <w:rPr>
          <w:rFonts w:asciiTheme="minorHAnsi" w:hAnsiTheme="minorHAnsi" w:cstheme="minorHAnsi"/>
          <w:b/>
          <w:bCs/>
          <w:color w:val="222222"/>
          <w:sz w:val="28"/>
          <w:szCs w:val="28"/>
          <w:shd w:val="clear" w:color="auto" w:fill="FFFFFF"/>
        </w:rPr>
      </w:pPr>
    </w:p>
    <w:p w14:paraId="6A3B5522" w14:textId="013DD7EA" w:rsidR="00AB2BC5" w:rsidRDefault="00AB2BC5" w:rsidP="0066176F">
      <w:pPr>
        <w:spacing w:after="0"/>
        <w:rPr>
          <w:rFonts w:asciiTheme="minorHAnsi" w:hAnsiTheme="minorHAnsi" w:cstheme="minorHAnsi"/>
          <w:b/>
          <w:bCs/>
          <w:color w:val="222222"/>
          <w:sz w:val="28"/>
          <w:szCs w:val="28"/>
          <w:shd w:val="clear" w:color="auto" w:fill="FFFFFF"/>
        </w:rPr>
      </w:pPr>
    </w:p>
    <w:p w14:paraId="3C90E853" w14:textId="1E2D9A76" w:rsidR="00AB2BC5" w:rsidRDefault="00AB2BC5" w:rsidP="0066176F">
      <w:pPr>
        <w:spacing w:after="0"/>
        <w:rPr>
          <w:rFonts w:asciiTheme="minorHAnsi" w:hAnsiTheme="minorHAnsi" w:cstheme="minorHAnsi"/>
          <w:b/>
          <w:bCs/>
          <w:color w:val="222222"/>
          <w:sz w:val="28"/>
          <w:szCs w:val="28"/>
          <w:shd w:val="clear" w:color="auto" w:fill="FFFFFF"/>
        </w:rPr>
      </w:pPr>
    </w:p>
    <w:p w14:paraId="568B6BCB" w14:textId="77777777" w:rsidR="00AB2BC5" w:rsidRPr="00AB2BC5" w:rsidRDefault="00AB2BC5" w:rsidP="0066176F">
      <w:pPr>
        <w:spacing w:after="0"/>
        <w:rPr>
          <w:rFonts w:asciiTheme="minorHAnsi" w:hAnsiTheme="minorHAnsi" w:cstheme="minorHAnsi"/>
          <w:b/>
          <w:bCs/>
          <w:sz w:val="28"/>
          <w:szCs w:val="28"/>
        </w:rPr>
      </w:pPr>
    </w:p>
    <w:p w14:paraId="0717EA5F" w14:textId="3B86E420" w:rsidR="0066176F" w:rsidRPr="00AB2BC5" w:rsidRDefault="0066176F" w:rsidP="0066176F">
      <w:pPr>
        <w:spacing w:after="0"/>
        <w:rPr>
          <w:rFonts w:asciiTheme="minorHAnsi" w:hAnsiTheme="minorHAnsi" w:cstheme="minorHAnsi"/>
          <w:b/>
          <w:bCs/>
          <w:sz w:val="28"/>
          <w:szCs w:val="28"/>
        </w:rPr>
      </w:pPr>
    </w:p>
    <w:p w14:paraId="40EA8082" w14:textId="7F50CFBE" w:rsidR="0066176F" w:rsidRDefault="0066176F" w:rsidP="00AC4B10">
      <w:pPr>
        <w:spacing w:after="0"/>
        <w:jc w:val="center"/>
      </w:pPr>
    </w:p>
    <w:p w14:paraId="5A3EA807" w14:textId="30C10610" w:rsidR="0066176F" w:rsidRDefault="0066176F" w:rsidP="00AC4B10">
      <w:pPr>
        <w:spacing w:after="0"/>
        <w:jc w:val="center"/>
      </w:pPr>
    </w:p>
    <w:p w14:paraId="78124E67" w14:textId="7156C744" w:rsidR="0066176F" w:rsidRDefault="0066176F" w:rsidP="00AC4B10">
      <w:pPr>
        <w:spacing w:after="0"/>
        <w:jc w:val="center"/>
      </w:pPr>
    </w:p>
    <w:p w14:paraId="292773AA" w14:textId="698D1340" w:rsidR="0066176F" w:rsidRDefault="0066176F" w:rsidP="00AC4B10">
      <w:pPr>
        <w:spacing w:after="0"/>
        <w:jc w:val="center"/>
      </w:pPr>
    </w:p>
    <w:p w14:paraId="64287DED" w14:textId="0073DAB9" w:rsidR="0066176F" w:rsidRDefault="0066176F" w:rsidP="00AC4B10">
      <w:pPr>
        <w:spacing w:after="0"/>
        <w:jc w:val="center"/>
      </w:pPr>
    </w:p>
    <w:p w14:paraId="779A94B7" w14:textId="00482274" w:rsidR="0066176F" w:rsidRDefault="0066176F" w:rsidP="00AC4B10">
      <w:pPr>
        <w:spacing w:after="0"/>
        <w:jc w:val="center"/>
      </w:pPr>
    </w:p>
    <w:p w14:paraId="6A5E5F6E" w14:textId="417FEE02" w:rsidR="0066176F" w:rsidRDefault="0066176F" w:rsidP="00AC4B10">
      <w:pPr>
        <w:spacing w:after="0"/>
        <w:jc w:val="center"/>
      </w:pPr>
    </w:p>
    <w:p w14:paraId="63DA8BEE" w14:textId="5237150F" w:rsidR="0066176F" w:rsidRDefault="0066176F" w:rsidP="00AC4B10">
      <w:pPr>
        <w:spacing w:after="0"/>
        <w:jc w:val="center"/>
      </w:pPr>
    </w:p>
    <w:p w14:paraId="262FB3FF" w14:textId="0F19056C" w:rsidR="0066176F" w:rsidRDefault="0066176F" w:rsidP="00AC4B10">
      <w:pPr>
        <w:spacing w:after="0"/>
        <w:jc w:val="center"/>
      </w:pPr>
    </w:p>
    <w:p w14:paraId="4DF1B429" w14:textId="4C995E03" w:rsidR="0066176F" w:rsidRDefault="0066176F" w:rsidP="00AC4B10">
      <w:pPr>
        <w:spacing w:after="0"/>
        <w:jc w:val="center"/>
      </w:pPr>
    </w:p>
    <w:p w14:paraId="0F137D81" w14:textId="77777777" w:rsidR="0066176F" w:rsidRDefault="0066176F" w:rsidP="00AB2BC5">
      <w:pPr>
        <w:spacing w:after="0"/>
      </w:pPr>
    </w:p>
    <w:p w14:paraId="7DD80345" w14:textId="77777777" w:rsidR="00462644" w:rsidRDefault="00462644" w:rsidP="00AC4B10">
      <w:pPr>
        <w:spacing w:after="0"/>
        <w:jc w:val="center"/>
      </w:pPr>
    </w:p>
    <w:p w14:paraId="319DF230" w14:textId="77777777" w:rsidR="00AC4B10" w:rsidRPr="00AB2BC5" w:rsidRDefault="00AC4B10" w:rsidP="00B87310">
      <w:pPr>
        <w:spacing w:after="0"/>
        <w:jc w:val="both"/>
        <w:rPr>
          <w:rFonts w:asciiTheme="minorHAnsi" w:hAnsiTheme="minorHAnsi" w:cstheme="minorHAnsi"/>
        </w:rPr>
      </w:pPr>
    </w:p>
    <w:p w14:paraId="05F14189" w14:textId="59D5BC0C" w:rsidR="00AC4B10" w:rsidRPr="00AB2BC5" w:rsidRDefault="00FE3E70" w:rsidP="001D3F7B">
      <w:pPr>
        <w:spacing w:after="0"/>
        <w:jc w:val="center"/>
        <w:rPr>
          <w:rFonts w:asciiTheme="minorHAnsi" w:hAnsiTheme="minorHAnsi" w:cstheme="minorHAnsi"/>
          <w:b/>
          <w:bCs/>
          <w:sz w:val="24"/>
          <w:szCs w:val="24"/>
        </w:rPr>
      </w:pPr>
      <w:r w:rsidRPr="00AB2BC5">
        <w:rPr>
          <w:rFonts w:asciiTheme="minorHAnsi" w:hAnsiTheme="minorHAnsi" w:cstheme="minorHAnsi"/>
          <w:b/>
          <w:bCs/>
          <w:sz w:val="24"/>
          <w:szCs w:val="24"/>
        </w:rPr>
        <w:lastRenderedPageBreak/>
        <w:t>Liste de points et questions concernant le rapport du Maroc valant cinquièmes et sixièmes rapports périodiques : Observations de l’observatoire Marocain des prisons.</w:t>
      </w:r>
    </w:p>
    <w:p w14:paraId="4AA2A8E2" w14:textId="779BF4D1" w:rsidR="00FE3E70" w:rsidRPr="00AB2BC5" w:rsidRDefault="00FE3E70" w:rsidP="00B87310">
      <w:pPr>
        <w:spacing w:after="0"/>
        <w:jc w:val="both"/>
        <w:rPr>
          <w:rFonts w:asciiTheme="minorHAnsi" w:hAnsiTheme="minorHAnsi" w:cstheme="minorHAnsi"/>
          <w:b/>
          <w:bCs/>
          <w:sz w:val="20"/>
          <w:szCs w:val="20"/>
        </w:rPr>
      </w:pPr>
    </w:p>
    <w:p w14:paraId="350BFBAC" w14:textId="77777777" w:rsidR="001D3F7B" w:rsidRPr="001D3F7B" w:rsidRDefault="001D3F7B" w:rsidP="00B87310">
      <w:pPr>
        <w:spacing w:after="0"/>
        <w:jc w:val="both"/>
        <w:rPr>
          <w:rFonts w:asciiTheme="minorHAnsi" w:hAnsiTheme="minorHAnsi" w:cstheme="minorHAnsi"/>
          <w:b/>
          <w:bCs/>
          <w:sz w:val="20"/>
          <w:szCs w:val="20"/>
        </w:rPr>
      </w:pPr>
    </w:p>
    <w:p w14:paraId="28B24A9C" w14:textId="1360DC54" w:rsidR="00FA1BF5" w:rsidRPr="00B87310" w:rsidRDefault="005A1FC1" w:rsidP="00BB03B2">
      <w:pPr>
        <w:spacing w:after="0" w:line="240" w:lineRule="auto"/>
        <w:jc w:val="both"/>
        <w:rPr>
          <w:rStyle w:val="textexposedshow"/>
          <w:rFonts w:asciiTheme="minorHAnsi" w:hAnsiTheme="minorHAnsi" w:cstheme="minorHAnsi"/>
          <w:color w:val="0D0D0D"/>
          <w:shd w:val="clear" w:color="auto" w:fill="FFFFFF"/>
        </w:rPr>
      </w:pPr>
      <w:r w:rsidRPr="00B87310">
        <w:rPr>
          <w:rFonts w:asciiTheme="minorHAnsi" w:hAnsiTheme="minorHAnsi" w:cstheme="minorHAnsi"/>
        </w:rPr>
        <w:t>L’observatoire Marocain des prisons a pour mission de protéger</w:t>
      </w:r>
      <w:r w:rsidRPr="00B87310">
        <w:rPr>
          <w:rStyle w:val="textexposedshow"/>
          <w:rFonts w:asciiTheme="minorHAnsi" w:hAnsiTheme="minorHAnsi" w:cstheme="minorHAnsi"/>
          <w:color w:val="0D0D0D"/>
          <w:shd w:val="clear" w:color="auto" w:fill="FFFFFF"/>
        </w:rPr>
        <w:t xml:space="preserve"> et promouvoir les droits des détenu-e-s à travers la plaidoirie pour la réforme de l’arsenal juridique et le suivi de la situation des détenu-e-</w:t>
      </w:r>
      <w:r w:rsidR="00FE2A27" w:rsidRPr="00B87310">
        <w:rPr>
          <w:rStyle w:val="textexposedshow"/>
          <w:rFonts w:asciiTheme="minorHAnsi" w:hAnsiTheme="minorHAnsi" w:cstheme="minorHAnsi"/>
          <w:color w:val="0D0D0D"/>
          <w:shd w:val="clear" w:color="auto" w:fill="FFFFFF"/>
        </w:rPr>
        <w:t>s</w:t>
      </w:r>
      <w:r w:rsidR="00FE2A27">
        <w:rPr>
          <w:rStyle w:val="textexposedshow"/>
          <w:rFonts w:asciiTheme="minorHAnsi" w:hAnsiTheme="minorHAnsi" w:cstheme="minorHAnsi"/>
          <w:color w:val="0D0D0D"/>
          <w:shd w:val="clear" w:color="auto" w:fill="FFFFFF"/>
        </w:rPr>
        <w:t>,</w:t>
      </w:r>
      <w:r w:rsidR="00C24C26">
        <w:rPr>
          <w:rStyle w:val="textexposedshow"/>
          <w:rFonts w:asciiTheme="minorHAnsi" w:hAnsiTheme="minorHAnsi" w:cstheme="minorHAnsi"/>
          <w:color w:val="0D0D0D"/>
          <w:shd w:val="clear" w:color="auto" w:fill="FFFFFF"/>
        </w:rPr>
        <w:t xml:space="preserve"> </w:t>
      </w:r>
      <w:r w:rsidR="00FA1BF5" w:rsidRPr="00B87310">
        <w:rPr>
          <w:rStyle w:val="textexposedshow"/>
          <w:rFonts w:asciiTheme="minorHAnsi" w:hAnsiTheme="minorHAnsi" w:cstheme="minorHAnsi"/>
          <w:color w:val="0D0D0D"/>
          <w:shd w:val="clear" w:color="auto" w:fill="FFFFFF"/>
        </w:rPr>
        <w:t>et la réalisation</w:t>
      </w:r>
      <w:r w:rsidRPr="00B87310">
        <w:rPr>
          <w:rStyle w:val="textexposedshow"/>
          <w:rFonts w:asciiTheme="minorHAnsi" w:hAnsiTheme="minorHAnsi" w:cstheme="minorHAnsi"/>
          <w:color w:val="0D0D0D"/>
          <w:shd w:val="clear" w:color="auto" w:fill="FFFFFF"/>
        </w:rPr>
        <w:t xml:space="preserve"> des études et rapports </w:t>
      </w:r>
      <w:r w:rsidR="00FA1BF5" w:rsidRPr="00B87310">
        <w:rPr>
          <w:rStyle w:val="textexposedshow"/>
          <w:rFonts w:asciiTheme="minorHAnsi" w:hAnsiTheme="minorHAnsi" w:cstheme="minorHAnsi"/>
          <w:color w:val="0D0D0D"/>
          <w:shd w:val="clear" w:color="auto" w:fill="FFFFFF"/>
        </w:rPr>
        <w:t>annuels.</w:t>
      </w:r>
    </w:p>
    <w:p w14:paraId="5BCA8D7B" w14:textId="13D3D195" w:rsidR="00FA1BF5" w:rsidRPr="00B87310" w:rsidRDefault="00FA1BF5" w:rsidP="00BB03B2">
      <w:pPr>
        <w:spacing w:after="0" w:line="240" w:lineRule="auto"/>
        <w:jc w:val="both"/>
        <w:rPr>
          <w:rFonts w:asciiTheme="minorHAnsi" w:hAnsiTheme="minorHAnsi" w:cstheme="minorHAnsi"/>
          <w:lang w:bidi="ar-MA"/>
        </w:rPr>
      </w:pPr>
      <w:r w:rsidRPr="00B87310">
        <w:rPr>
          <w:rStyle w:val="textexposedshow"/>
          <w:rFonts w:asciiTheme="minorHAnsi" w:hAnsiTheme="minorHAnsi" w:cstheme="minorHAnsi"/>
          <w:color w:val="0D0D0D"/>
          <w:shd w:val="clear" w:color="auto" w:fill="FFFFFF"/>
          <w:lang w:val="fr-MA" w:bidi="ar-MA"/>
        </w:rPr>
        <w:t xml:space="preserve"> Ce présent Rapport </w:t>
      </w:r>
      <w:r w:rsidRPr="00B87310">
        <w:rPr>
          <w:rFonts w:asciiTheme="minorHAnsi" w:hAnsiTheme="minorHAnsi" w:cstheme="minorHAnsi"/>
          <w:lang w:bidi="ar-MA"/>
        </w:rPr>
        <w:t xml:space="preserve">examine le cinquième et sixième rapports périodiques soumis par le gouvernement </w:t>
      </w:r>
      <w:r w:rsidR="00C24C26">
        <w:rPr>
          <w:rFonts w:asciiTheme="minorHAnsi" w:hAnsiTheme="minorHAnsi" w:cstheme="minorHAnsi"/>
          <w:lang w:bidi="ar-MA"/>
        </w:rPr>
        <w:t>M</w:t>
      </w:r>
      <w:r w:rsidRPr="00B87310">
        <w:rPr>
          <w:rFonts w:asciiTheme="minorHAnsi" w:hAnsiTheme="minorHAnsi" w:cstheme="minorHAnsi"/>
          <w:lang w:bidi="ar-MA"/>
        </w:rPr>
        <w:t>arocain selon la convention</w:t>
      </w:r>
      <w:r w:rsidR="00B87310">
        <w:rPr>
          <w:rFonts w:asciiTheme="minorHAnsi" w:hAnsiTheme="minorHAnsi" w:cstheme="minorHAnsi"/>
          <w:lang w:bidi="ar-MA"/>
        </w:rPr>
        <w:t xml:space="preserve"> sur l’élimination de toutes les formes de discrimination à l’égard des femmes (</w:t>
      </w:r>
      <w:r w:rsidR="0014221B" w:rsidRPr="00B87310">
        <w:rPr>
          <w:rFonts w:asciiTheme="minorHAnsi" w:hAnsiTheme="minorHAnsi" w:cstheme="minorHAnsi"/>
          <w:lang w:bidi="ar-MA"/>
        </w:rPr>
        <w:t>CEDAW</w:t>
      </w:r>
      <w:r w:rsidR="00B87310">
        <w:rPr>
          <w:rFonts w:asciiTheme="minorHAnsi" w:hAnsiTheme="minorHAnsi" w:cstheme="minorHAnsi"/>
          <w:lang w:bidi="ar-MA"/>
        </w:rPr>
        <w:t>)</w:t>
      </w:r>
      <w:r w:rsidR="0014221B" w:rsidRPr="00B87310">
        <w:rPr>
          <w:rFonts w:asciiTheme="minorHAnsi" w:hAnsiTheme="minorHAnsi" w:cstheme="minorHAnsi"/>
          <w:lang w:bidi="ar-MA"/>
        </w:rPr>
        <w:t>.</w:t>
      </w:r>
    </w:p>
    <w:p w14:paraId="7056DE2A" w14:textId="4D3398C0" w:rsidR="0014221B" w:rsidRPr="00B87310" w:rsidRDefault="0014221B" w:rsidP="00BB03B2">
      <w:pPr>
        <w:spacing w:after="0" w:line="240" w:lineRule="auto"/>
        <w:jc w:val="both"/>
        <w:rPr>
          <w:rFonts w:asciiTheme="minorHAnsi" w:hAnsiTheme="minorHAnsi" w:cstheme="minorHAnsi"/>
          <w:lang w:val="fr-MA" w:bidi="ar-MA"/>
        </w:rPr>
      </w:pPr>
      <w:r w:rsidRPr="00B87310">
        <w:rPr>
          <w:rFonts w:asciiTheme="minorHAnsi" w:hAnsiTheme="minorHAnsi" w:cstheme="minorHAnsi"/>
          <w:lang w:bidi="ar-MA"/>
        </w:rPr>
        <w:t>L’OMP a remarqué soit dans le rapport du gouvernement Marocai</w:t>
      </w:r>
      <w:r w:rsidR="00C24C26">
        <w:rPr>
          <w:rFonts w:asciiTheme="minorHAnsi" w:hAnsiTheme="minorHAnsi" w:cstheme="minorHAnsi"/>
          <w:lang w:bidi="ar-MA"/>
        </w:rPr>
        <w:t>n</w:t>
      </w:r>
      <w:r w:rsidRPr="00B87310">
        <w:rPr>
          <w:rFonts w:asciiTheme="minorHAnsi" w:hAnsiTheme="minorHAnsi" w:cstheme="minorHAnsi"/>
          <w:lang w:bidi="ar-MA"/>
        </w:rPr>
        <w:t xml:space="preserve"> ou les rapports</w:t>
      </w:r>
      <w:r w:rsidRPr="00B87310">
        <w:rPr>
          <w:rFonts w:asciiTheme="minorHAnsi" w:hAnsiTheme="minorHAnsi" w:cstheme="minorHAnsi"/>
          <w:lang w:val="fr-MA" w:bidi="ar-MA"/>
        </w:rPr>
        <w:t xml:space="preserve"> </w:t>
      </w:r>
      <w:r w:rsidR="00B87310" w:rsidRPr="00B87310">
        <w:rPr>
          <w:rFonts w:asciiTheme="minorHAnsi" w:hAnsiTheme="minorHAnsi" w:cstheme="minorHAnsi"/>
          <w:lang w:val="fr-MA" w:bidi="ar-MA"/>
        </w:rPr>
        <w:t>parallèles</w:t>
      </w:r>
      <w:r w:rsidR="00C24C26">
        <w:rPr>
          <w:rFonts w:asciiTheme="minorHAnsi" w:hAnsiTheme="minorHAnsi" w:cstheme="minorHAnsi"/>
          <w:lang w:val="fr-MA" w:bidi="ar-MA"/>
        </w:rPr>
        <w:t>,</w:t>
      </w:r>
      <w:r w:rsidR="00B87310" w:rsidRPr="00B87310">
        <w:rPr>
          <w:rFonts w:asciiTheme="minorHAnsi" w:hAnsiTheme="minorHAnsi" w:cstheme="minorHAnsi"/>
          <w:lang w:val="fr-MA" w:bidi="ar-MA"/>
        </w:rPr>
        <w:t xml:space="preserve"> </w:t>
      </w:r>
      <w:r w:rsidR="00B87310" w:rsidRPr="00B87310">
        <w:rPr>
          <w:rFonts w:asciiTheme="minorHAnsi" w:hAnsiTheme="minorHAnsi" w:cstheme="minorHAnsi"/>
          <w:lang w:bidi="ar-MA"/>
        </w:rPr>
        <w:t>ou</w:t>
      </w:r>
      <w:r w:rsidRPr="00B87310">
        <w:rPr>
          <w:rFonts w:asciiTheme="minorHAnsi" w:hAnsiTheme="minorHAnsi" w:cstheme="minorHAnsi"/>
          <w:lang w:bidi="ar-MA"/>
        </w:rPr>
        <w:t xml:space="preserve"> les réponses du gouvernement a propos des questions de la commission, l’absence </w:t>
      </w:r>
      <w:r w:rsidR="00631ECB" w:rsidRPr="00B87310">
        <w:rPr>
          <w:rFonts w:asciiTheme="minorHAnsi" w:hAnsiTheme="minorHAnsi" w:cstheme="minorHAnsi"/>
          <w:lang w:bidi="ar-MA"/>
        </w:rPr>
        <w:t xml:space="preserve">et l’exclusion des femmes détenues </w:t>
      </w:r>
      <w:r w:rsidR="00B87310" w:rsidRPr="00B87310">
        <w:rPr>
          <w:rFonts w:asciiTheme="minorHAnsi" w:hAnsiTheme="minorHAnsi" w:cstheme="minorHAnsi"/>
          <w:lang w:bidi="ar-MA"/>
        </w:rPr>
        <w:t>comme catégorie vulnérable</w:t>
      </w:r>
      <w:r w:rsidR="00631ECB" w:rsidRPr="00B87310">
        <w:rPr>
          <w:rFonts w:asciiTheme="minorHAnsi" w:hAnsiTheme="minorHAnsi" w:cstheme="minorHAnsi"/>
          <w:lang w:val="fr-MA" w:bidi="ar-MA"/>
        </w:rPr>
        <w:t xml:space="preserve">, alors ce rapport et les </w:t>
      </w:r>
      <w:r w:rsidR="00B87310" w:rsidRPr="00B87310">
        <w:rPr>
          <w:rFonts w:asciiTheme="minorHAnsi" w:hAnsiTheme="minorHAnsi" w:cstheme="minorHAnsi"/>
          <w:lang w:val="fr-MA" w:bidi="ar-MA"/>
        </w:rPr>
        <w:t xml:space="preserve">observations </w:t>
      </w:r>
      <w:r w:rsidR="00B87310" w:rsidRPr="00B87310">
        <w:rPr>
          <w:rFonts w:asciiTheme="minorHAnsi" w:hAnsiTheme="minorHAnsi" w:cstheme="minorHAnsi"/>
          <w:lang w:bidi="ar-MA"/>
        </w:rPr>
        <w:t>inclus</w:t>
      </w:r>
      <w:r w:rsidR="00631ECB" w:rsidRPr="00B87310">
        <w:rPr>
          <w:rFonts w:asciiTheme="minorHAnsi" w:hAnsiTheme="minorHAnsi" w:cstheme="minorHAnsi"/>
          <w:lang w:val="fr-MA" w:bidi="ar-MA"/>
        </w:rPr>
        <w:t xml:space="preserve"> </w:t>
      </w:r>
      <w:r w:rsidR="00B87310" w:rsidRPr="00B87310">
        <w:rPr>
          <w:rFonts w:asciiTheme="minorHAnsi" w:hAnsiTheme="minorHAnsi" w:cstheme="minorHAnsi"/>
          <w:lang w:val="fr-MA" w:bidi="ar-MA"/>
        </w:rPr>
        <w:t>prendrons en</w:t>
      </w:r>
      <w:r w:rsidR="00631ECB" w:rsidRPr="00B87310">
        <w:rPr>
          <w:rFonts w:asciiTheme="minorHAnsi" w:hAnsiTheme="minorHAnsi" w:cstheme="minorHAnsi"/>
          <w:lang w:val="fr-MA" w:bidi="ar-MA"/>
        </w:rPr>
        <w:t xml:space="preserve"> premier lieux </w:t>
      </w:r>
      <w:r w:rsidR="00B87310" w:rsidRPr="00B87310">
        <w:rPr>
          <w:rFonts w:asciiTheme="minorHAnsi" w:hAnsiTheme="minorHAnsi" w:cstheme="minorHAnsi"/>
          <w:lang w:val="fr-MA" w:bidi="ar-MA"/>
        </w:rPr>
        <w:t xml:space="preserve">et </w:t>
      </w:r>
      <w:r w:rsidR="00631ECB" w:rsidRPr="00B87310">
        <w:rPr>
          <w:rFonts w:asciiTheme="minorHAnsi" w:hAnsiTheme="minorHAnsi" w:cstheme="minorHAnsi"/>
          <w:lang w:val="fr-MA" w:bidi="ar-MA"/>
        </w:rPr>
        <w:t xml:space="preserve">en considération </w:t>
      </w:r>
      <w:r w:rsidR="00B87310" w:rsidRPr="00B87310">
        <w:rPr>
          <w:rFonts w:asciiTheme="minorHAnsi" w:hAnsiTheme="minorHAnsi" w:cstheme="minorHAnsi"/>
          <w:lang w:val="fr-MA" w:bidi="ar-MA"/>
        </w:rPr>
        <w:t xml:space="preserve">la catégorie des femmes détenues  </w:t>
      </w:r>
    </w:p>
    <w:p w14:paraId="1C4B04E1" w14:textId="2AA06EDB" w:rsidR="00A87DE8" w:rsidRPr="00462644" w:rsidRDefault="0055304D" w:rsidP="00462644">
      <w:pPr>
        <w:spacing w:after="0"/>
        <w:rPr>
          <w:rFonts w:asciiTheme="minorHAnsi" w:hAnsiTheme="minorHAnsi" w:cstheme="minorHAnsi"/>
          <w:b/>
          <w:bCs/>
          <w:sz w:val="28"/>
          <w:szCs w:val="28"/>
        </w:rPr>
      </w:pPr>
      <w:r w:rsidRPr="00462644">
        <w:rPr>
          <w:rFonts w:asciiTheme="minorHAnsi" w:hAnsiTheme="minorHAnsi" w:cstheme="minorHAnsi"/>
          <w:b/>
          <w:bCs/>
          <w:sz w:val="28"/>
          <w:szCs w:val="28"/>
        </w:rPr>
        <w:t>Contexte</w:t>
      </w:r>
      <w:r w:rsidR="00A87DE8" w:rsidRPr="00462644">
        <w:rPr>
          <w:rFonts w:asciiTheme="minorHAnsi" w:hAnsiTheme="minorHAnsi" w:cstheme="minorHAnsi"/>
          <w:b/>
          <w:bCs/>
          <w:sz w:val="28"/>
          <w:szCs w:val="28"/>
        </w:rPr>
        <w:t xml:space="preserve"> </w:t>
      </w:r>
    </w:p>
    <w:p w14:paraId="72FEBA8A" w14:textId="77777777" w:rsidR="00A87DE8" w:rsidRPr="00BB03B2" w:rsidRDefault="00A87DE8" w:rsidP="00BB03B2">
      <w:pPr>
        <w:spacing w:after="0" w:line="240" w:lineRule="auto"/>
        <w:jc w:val="both"/>
      </w:pPr>
      <w:r w:rsidRPr="00BB03B2">
        <w:t>Toutes les sociétés ont connu, à des degrés divers, des inégalités fondées sur le genre, les femmes bénéficiant, dans la plupart des domaines de la vie, d’un pouvoir moindre que celui des hommes.  Cette inégalité de pouvoir est encore plus forte dans les sociétés où d’autres facteurs, tels que les normes religieuses ou culturelles, assignent aux femmes un statut inférieur.</w:t>
      </w:r>
    </w:p>
    <w:p w14:paraId="31472EBA" w14:textId="77777777" w:rsidR="00A87DE8" w:rsidRPr="00BB03B2" w:rsidRDefault="00A87DE8" w:rsidP="00BB03B2">
      <w:pPr>
        <w:spacing w:after="0" w:line="240" w:lineRule="auto"/>
        <w:jc w:val="both"/>
      </w:pPr>
      <w:r w:rsidRPr="00BB03B2">
        <w:t>Qu’elles soient incarcérées ou non, les femmes doivent pouvoir jouir du droit fondamental de ne pas faire l’objet de discrimination, de manière directe ou indirecte, en raison du sexe ou du genre auquel elles appartiennent.</w:t>
      </w:r>
    </w:p>
    <w:p w14:paraId="12D8734F" w14:textId="77777777" w:rsidR="00A87DE8" w:rsidRPr="00BB03B2" w:rsidRDefault="00A87DE8" w:rsidP="00BB03B2">
      <w:pPr>
        <w:spacing w:after="0" w:line="240" w:lineRule="auto"/>
        <w:jc w:val="both"/>
      </w:pPr>
      <w:r w:rsidRPr="00BB03B2">
        <w:t>Les femmes incarcérées constituent un groupe ayant des besoins spécifiques, biologiques et liés au genre. Elles représentent une catégorie minoritaire de détenus Certaines femmes détenues sont particulièrement vulnérables en raison de leur position dans la société.</w:t>
      </w:r>
      <w:r w:rsidRPr="00BB03B2">
        <w:tab/>
      </w:r>
    </w:p>
    <w:p w14:paraId="14CC5A18" w14:textId="77777777" w:rsidR="00A87DE8" w:rsidRPr="00BB03B2" w:rsidRDefault="00A87DE8" w:rsidP="00BB03B2">
      <w:pPr>
        <w:spacing w:after="0" w:line="240" w:lineRule="auto"/>
        <w:jc w:val="both"/>
      </w:pPr>
    </w:p>
    <w:p w14:paraId="7EA90DA0" w14:textId="77777777" w:rsidR="00A87DE8" w:rsidRPr="00462644" w:rsidRDefault="00A87DE8" w:rsidP="00462644">
      <w:pPr>
        <w:spacing w:after="0"/>
        <w:rPr>
          <w:rFonts w:asciiTheme="minorHAnsi" w:hAnsiTheme="minorHAnsi" w:cstheme="minorHAnsi"/>
          <w:b/>
          <w:bCs/>
          <w:sz w:val="28"/>
          <w:szCs w:val="28"/>
        </w:rPr>
      </w:pPr>
      <w:r w:rsidRPr="00462644">
        <w:rPr>
          <w:rFonts w:asciiTheme="minorHAnsi" w:hAnsiTheme="minorHAnsi" w:cstheme="minorHAnsi"/>
          <w:b/>
          <w:bCs/>
          <w:sz w:val="28"/>
          <w:szCs w:val="28"/>
        </w:rPr>
        <w:t xml:space="preserve">Cadre juridique international : </w:t>
      </w:r>
    </w:p>
    <w:p w14:paraId="6A26419B" w14:textId="739CEC06" w:rsidR="00A87DE8" w:rsidRPr="00A87DE8" w:rsidRDefault="00A87DE8" w:rsidP="00BB03B2">
      <w:pPr>
        <w:spacing w:line="240" w:lineRule="auto"/>
        <w:jc w:val="both"/>
        <w:rPr>
          <w:b/>
          <w:bCs/>
          <w:sz w:val="32"/>
          <w:szCs w:val="32"/>
        </w:rPr>
      </w:pPr>
      <w:r w:rsidRPr="00A87DE8">
        <w:t>Le droit international des droits de l’Homme définit un ensemble de règles à même de garantir la protection des personnes, y compris lorsqu’elles sont privées de liberté. Ces règles sont définies dans les Pactes internationaux et dans des normes spécifiques, telles que la Convention contre la torture et autres peines ou traitements cruels, inhumains ou dégradants, la Convention pour l’élimination de toute forme de discrimination à l’égard des femmes, l’Ensemble des règles minima pour le traitement des détenus, et l’Ensemble de principes pour la protection de personnes soumises à une forme quelconque de détention ou d’emprisonnement.</w:t>
      </w:r>
      <w:r>
        <w:rPr>
          <w:b/>
          <w:bCs/>
          <w:sz w:val="32"/>
          <w:szCs w:val="32"/>
        </w:rPr>
        <w:t xml:space="preserve"> </w:t>
      </w:r>
      <w:r w:rsidRPr="00A87DE8">
        <w:t xml:space="preserve">Et, en vue de répondre à la situation spécifique des femmes détenues, des règles supplémentaires, dites « Règles de Bangkok », ont été adoptées par l’Assemblée générale des Nations unies le 21 décembre 2010, ce qui représente une étape importante vers la reconnaissance des besoins sexo-spécifiques des femmes dans le système de justice pénale. Ces Règles introduisent également des garanties essentielles permettant de réduire les risques de mauvais traitements et de torture encourus par les femmes en détention. Les Règles de Bangkok constituent une référence pour les organes intéressés par le sujet des femmes en détention.  </w:t>
      </w:r>
    </w:p>
    <w:p w14:paraId="58AFCC58" w14:textId="77777777" w:rsidR="00A87DE8" w:rsidRPr="00A87DE8" w:rsidRDefault="00A87DE8" w:rsidP="00BB03B2">
      <w:pPr>
        <w:spacing w:line="240" w:lineRule="auto"/>
        <w:jc w:val="both"/>
      </w:pPr>
      <w:r w:rsidRPr="00A87DE8">
        <w:t>Au regard de ces dites Règles, il incombe aux autorités de déployer des efforts particuliers pour placer les femmes dans des lieux de détention situés à proximité de leur lieu de résidence ou du lieu où elles souhaiteraient être libérées après avoir purgé leur peine. Ces règles font également obligation aux autorités pénitentiaires de veiller à faciliter les liens entre les femmes détenues et leurs proches.</w:t>
      </w:r>
    </w:p>
    <w:p w14:paraId="6B3F4187" w14:textId="77777777" w:rsidR="00A87DE8" w:rsidRPr="00A87DE8" w:rsidRDefault="00A87DE8" w:rsidP="00BB03B2">
      <w:pPr>
        <w:spacing w:line="240" w:lineRule="auto"/>
        <w:jc w:val="both"/>
      </w:pPr>
      <w:r w:rsidRPr="00A87DE8">
        <w:t xml:space="preserve">Outre leur vulnérabilité particulière face aux risques de torture et de mauvais traitements, particulièrement des violences fondées sur le genre, les femmes ont également des besoins sexo-spécifiques qui sont rarement pris en compte dans les lieux de détention (par exemple, des besoins spéciaux en matière de santé). Ces besoins peuvent aussi être considérablement exacerbés du simple fait de la détention. Il convient, en outre, de prendre aussi en compte la problématique des enfants des femmes détenues car ce sont, en général, principalement les femmes qui assument leur charge. Ces enfants à charge peuvent souffrir considérablement, aussi bien parce qu’ils sont séparés de leurs mères </w:t>
      </w:r>
      <w:r w:rsidRPr="00A87DE8">
        <w:lastRenderedPageBreak/>
        <w:t>détenues, que lorsqu’ils sont emprisonnés avec elles. Il convient de noter à cet égard, la tendance croissante à reconnaître la nécessité de prendre en compte l’intérêt supérieur de l’enfant et de privilégier, dans le cas de femmes enceintes et de mères avec enfants à charge, des solutions alternatives à la détention et à l’emprisonnement, conformément aux Règles de Bangkok.</w:t>
      </w:r>
    </w:p>
    <w:p w14:paraId="74C1D805" w14:textId="1388EB4A" w:rsidR="00A87DE8" w:rsidRPr="00A87DE8" w:rsidRDefault="00A87DE8" w:rsidP="00BB03B2">
      <w:pPr>
        <w:spacing w:line="240" w:lineRule="auto"/>
        <w:jc w:val="both"/>
      </w:pPr>
      <w:r w:rsidRPr="00A87DE8">
        <w:t xml:space="preserve">A la lumière de ce qui précède, l’Etat est tenu de garantir aux femmes détenues le respect, la protection, la promotion et la réalisation de tous les droits consacrés par l’arsenal juridique </w:t>
      </w:r>
      <w:r w:rsidR="00F5340F" w:rsidRPr="00A87DE8">
        <w:t>international qu’il</w:t>
      </w:r>
      <w:r w:rsidRPr="00A87DE8">
        <w:t xml:space="preserve"> a signés, ratifiés et même introduits dans la Constitution.</w:t>
      </w:r>
    </w:p>
    <w:p w14:paraId="4B891AF2" w14:textId="35744718" w:rsidR="00A87DE8" w:rsidRPr="00462644" w:rsidRDefault="00A87DE8" w:rsidP="00462644">
      <w:pPr>
        <w:spacing w:after="0"/>
        <w:rPr>
          <w:rFonts w:asciiTheme="minorHAnsi" w:hAnsiTheme="minorHAnsi" w:cstheme="minorHAnsi"/>
          <w:b/>
          <w:bCs/>
          <w:sz w:val="28"/>
          <w:szCs w:val="28"/>
          <w:u w:val="single"/>
        </w:rPr>
      </w:pPr>
      <w:r w:rsidRPr="00462644">
        <w:rPr>
          <w:rFonts w:asciiTheme="minorHAnsi" w:hAnsiTheme="minorHAnsi" w:cstheme="minorHAnsi"/>
          <w:b/>
          <w:bCs/>
          <w:sz w:val="28"/>
          <w:szCs w:val="28"/>
          <w:u w:val="single"/>
        </w:rPr>
        <w:t xml:space="preserve">Etat des lieux : </w:t>
      </w:r>
    </w:p>
    <w:p w14:paraId="48D8310B" w14:textId="77777777" w:rsidR="00E73ADA" w:rsidRPr="00270705" w:rsidRDefault="00E73ADA" w:rsidP="00A87DE8">
      <w:pPr>
        <w:spacing w:after="0"/>
        <w:rPr>
          <w:b/>
          <w:bCs/>
          <w:color w:val="FF0066"/>
        </w:rPr>
      </w:pPr>
    </w:p>
    <w:p w14:paraId="65DB9BBD" w14:textId="7A21BEE0" w:rsidR="00A87DE8" w:rsidRPr="001D3F7B" w:rsidRDefault="00A87DE8" w:rsidP="00BB03B2">
      <w:pPr>
        <w:spacing w:after="0" w:line="240" w:lineRule="auto"/>
        <w:jc w:val="both"/>
      </w:pPr>
      <w:r w:rsidRPr="001D3F7B">
        <w:rPr>
          <w:sz w:val="16"/>
          <w:szCs w:val="16"/>
          <w:vertAlign w:val="superscript"/>
        </w:rPr>
        <w:t xml:space="preserve"> </w:t>
      </w:r>
      <w:r w:rsidRPr="001D3F7B">
        <w:t xml:space="preserve"> Au Maroc</w:t>
      </w:r>
      <w:r w:rsidR="00F5340F" w:rsidRPr="001D3F7B">
        <w:t xml:space="preserve"> et au titre de l’année 2021</w:t>
      </w:r>
      <w:r w:rsidRPr="001D3F7B">
        <w:t xml:space="preserve">, les femmes en détention sont au nombre de </w:t>
      </w:r>
      <w:r w:rsidR="00F5340F" w:rsidRPr="001D3F7B">
        <w:t>2085</w:t>
      </w:r>
      <w:r w:rsidRPr="001D3F7B">
        <w:t>, représentant 2.</w:t>
      </w:r>
      <w:r w:rsidR="00F5340F" w:rsidRPr="001D3F7B">
        <w:t xml:space="preserve">34 </w:t>
      </w:r>
      <w:r w:rsidRPr="001D3F7B">
        <w:t>% de la population carcérale du pays</w:t>
      </w:r>
      <w:r w:rsidR="005C265D" w:rsidRPr="001D3F7B">
        <w:t xml:space="preserve"> qui représente au titre de l’année 2021</w:t>
      </w:r>
      <w:r w:rsidR="00F5340F" w:rsidRPr="001D3F7B">
        <w:t xml:space="preserve"> « 88 941 détenus »</w:t>
      </w:r>
      <w:r w:rsidR="0003432C">
        <w:t xml:space="preserve">, nombre des femmes détenues enceintes 48, nombre des enfants </w:t>
      </w:r>
      <w:r w:rsidR="003C3386">
        <w:t xml:space="preserve">accompagnant </w:t>
      </w:r>
      <w:r w:rsidR="003C3386" w:rsidRPr="001D3F7B">
        <w:t>leur</w:t>
      </w:r>
      <w:r w:rsidR="003C3386">
        <w:t>s mères détenues 94 nombre de naissance :70.</w:t>
      </w:r>
      <w:r w:rsidR="0003432C">
        <w:t xml:space="preserve">  </w:t>
      </w:r>
    </w:p>
    <w:p w14:paraId="34F29C18" w14:textId="77777777" w:rsidR="00A87DE8" w:rsidRPr="001D3F7B" w:rsidRDefault="00A87DE8" w:rsidP="00BB03B2">
      <w:pPr>
        <w:spacing w:after="0" w:line="240" w:lineRule="auto"/>
        <w:jc w:val="both"/>
      </w:pPr>
    </w:p>
    <w:p w14:paraId="5A5B16EA" w14:textId="77777777" w:rsidR="00A87DE8" w:rsidRPr="001D3F7B" w:rsidRDefault="00A87DE8" w:rsidP="00BB03B2">
      <w:pPr>
        <w:spacing w:after="0" w:line="240" w:lineRule="auto"/>
        <w:jc w:val="both"/>
      </w:pPr>
      <w:r w:rsidRPr="001D3F7B">
        <w:t>On observe, depuis quelques années, une rapide augmentation de cette population.</w:t>
      </w:r>
      <w:bookmarkStart w:id="1" w:name="_gjdgxs"/>
      <w:bookmarkEnd w:id="1"/>
      <w:r w:rsidRPr="001D3F7B">
        <w:t xml:space="preserve"> Minoritaires et isolées, leurs besoins et vulnérabilités spécifiques ne sont pas encore suffisamment pris en compte par les administrations pénitentiaires. </w:t>
      </w:r>
    </w:p>
    <w:p w14:paraId="738AF2CF" w14:textId="77777777" w:rsidR="00A87DE8" w:rsidRDefault="00A87DE8" w:rsidP="00BB03B2">
      <w:pPr>
        <w:spacing w:after="0" w:line="240" w:lineRule="auto"/>
        <w:jc w:val="both"/>
      </w:pPr>
    </w:p>
    <w:p w14:paraId="3491ED4E" w14:textId="06A2F105" w:rsidR="00A87DE8" w:rsidRPr="00F5340F" w:rsidRDefault="00A87DE8" w:rsidP="00BB03B2">
      <w:pPr>
        <w:spacing w:line="240" w:lineRule="auto"/>
        <w:jc w:val="both"/>
      </w:pPr>
      <w:r w:rsidRPr="00F5340F">
        <w:t xml:space="preserve">Un pourcentage élevé de femmes placées en milieu carcéral sont des mères et des principaux soutiens familiaux. </w:t>
      </w:r>
    </w:p>
    <w:p w14:paraId="5D4997C9" w14:textId="3F6A6919" w:rsidR="00A87DE8" w:rsidRPr="00F5340F" w:rsidRDefault="00A87DE8" w:rsidP="00BB03B2">
      <w:pPr>
        <w:spacing w:line="240" w:lineRule="auto"/>
        <w:jc w:val="both"/>
      </w:pPr>
      <w:r w:rsidRPr="00F5340F">
        <w:t xml:space="preserve">Les enfants à charge sont autorisés à rester avec leur mère en détention jusqu’à un certain âge fixé par la loi. Le fait de </w:t>
      </w:r>
      <w:r w:rsidR="00F5340F" w:rsidRPr="00F5340F">
        <w:t>les séparer</w:t>
      </w:r>
      <w:r w:rsidRPr="00F5340F">
        <w:t xml:space="preserve"> de leur mère se trouvant en prison sans une évaluation adéquate de l’intérêt supérieur des enfants concernés peut avoir des conséquences graves à la fois pour la mère et pour l’enfant. Cela peut provoquer de très grandes souffrances et inquiétudes pour les deux et entraîner des préjudices affectifs ainsi que des troubles du développement, voire physiques à long terme pour les enfants.</w:t>
      </w:r>
    </w:p>
    <w:p w14:paraId="17E204D4" w14:textId="77777777" w:rsidR="00A87DE8" w:rsidRDefault="00A87DE8" w:rsidP="00BB03B2">
      <w:pPr>
        <w:spacing w:after="0" w:line="240" w:lineRule="auto"/>
        <w:jc w:val="both"/>
      </w:pPr>
      <w:r>
        <w:t xml:space="preserve">Les principales problématiques identifiées dans les Règles de Bangkok (2010) – règles des Nations Unies concernant le traitement des détenues et l’imposition de mesures non privatives de liberté aux délinquantes – concernent les besoins d’hygiène liés à la santé reproductive, le manque de ressources financières, ou encore les violences physiques ou morales subies antérieurement et/ou pendant l’incarcération. </w:t>
      </w:r>
    </w:p>
    <w:p w14:paraId="54DFF4BC" w14:textId="77777777" w:rsidR="00A87DE8" w:rsidRPr="000F40AF" w:rsidRDefault="00A87DE8" w:rsidP="00BB03B2">
      <w:pPr>
        <w:spacing w:after="0" w:line="240" w:lineRule="auto"/>
        <w:rPr>
          <w:sz w:val="16"/>
          <w:szCs w:val="16"/>
        </w:rPr>
      </w:pPr>
    </w:p>
    <w:p w14:paraId="2EBCA139" w14:textId="77777777" w:rsidR="00A87DE8" w:rsidRDefault="00A87DE8" w:rsidP="00BB03B2">
      <w:pPr>
        <w:spacing w:after="0" w:line="240" w:lineRule="auto"/>
      </w:pPr>
      <w:r>
        <w:t>Malgré l’identification de ces problématiques par la communauté internationale, peu d’attention est portée à l’amélioration des conditions de détention des femmes. Extrêmement minoritaires, ce sujet est souvent relégué à un niveau moins prioritaire, tant dans les études portant sur la question carcérale que dans les initiatives de réforme des pays.</w:t>
      </w:r>
    </w:p>
    <w:p w14:paraId="1581C1C8" w14:textId="77777777" w:rsidR="00A87DE8" w:rsidRPr="000F40AF" w:rsidRDefault="00A87DE8" w:rsidP="00BB03B2">
      <w:pPr>
        <w:spacing w:after="0" w:line="240" w:lineRule="auto"/>
        <w:rPr>
          <w:sz w:val="12"/>
          <w:szCs w:val="12"/>
        </w:rPr>
      </w:pPr>
    </w:p>
    <w:p w14:paraId="2DF3C05E" w14:textId="77777777" w:rsidR="00A87DE8" w:rsidRDefault="00A87DE8" w:rsidP="00BB03B2">
      <w:pPr>
        <w:spacing w:after="0" w:line="240" w:lineRule="auto"/>
      </w:pPr>
      <w:r>
        <w:t>Il apparait donc nécessaire de produire des informations détaillées et accessibles à tous afin de sensibiliser sur ces discriminations spécifiques et d’œuvrer à leur réduction.</w:t>
      </w:r>
    </w:p>
    <w:p w14:paraId="7B279E27" w14:textId="77777777" w:rsidR="00A87DE8" w:rsidRPr="000F40AF" w:rsidRDefault="00A87DE8" w:rsidP="00BB03B2">
      <w:pPr>
        <w:spacing w:after="0" w:line="240" w:lineRule="auto"/>
        <w:rPr>
          <w:sz w:val="12"/>
          <w:szCs w:val="12"/>
        </w:rPr>
      </w:pPr>
    </w:p>
    <w:p w14:paraId="39EB2D5D" w14:textId="2F1772AD" w:rsidR="00A87DE8" w:rsidRDefault="00A87DE8" w:rsidP="00BB03B2">
      <w:pPr>
        <w:spacing w:after="120" w:line="240" w:lineRule="auto"/>
        <w:jc w:val="both"/>
      </w:pPr>
      <w:r>
        <w:t xml:space="preserve">C’est dans cette perspective que </w:t>
      </w:r>
      <w:r w:rsidR="00E73ADA">
        <w:t>L’OMP a</w:t>
      </w:r>
      <w:r>
        <w:t xml:space="preserve"> lancé une </w:t>
      </w:r>
      <w:r w:rsidRPr="001D3F7B">
        <w:rPr>
          <w:color w:val="0070C0"/>
        </w:rPr>
        <w:t xml:space="preserve">« étude comparée sur le traitement différencié des femmes détenues au </w:t>
      </w:r>
      <w:r w:rsidR="00E73ADA" w:rsidRPr="001D3F7B">
        <w:rPr>
          <w:color w:val="0070C0"/>
        </w:rPr>
        <w:t>Maroc »</w:t>
      </w:r>
      <w:r w:rsidRPr="001D3F7B">
        <w:rPr>
          <w:color w:val="0070C0"/>
        </w:rPr>
        <w:t xml:space="preserve"> </w:t>
      </w:r>
      <w:r>
        <w:t>afin d’informer et sensibiliser sur les conditions de détention des femmes détenues au Maroc</w:t>
      </w:r>
      <w:r w:rsidR="00E73ADA">
        <w:t xml:space="preserve"> </w:t>
      </w:r>
      <w:r>
        <w:t>et ainsi contribuer à réduire les inégalités entre les sexes dans une société inclusive</w:t>
      </w:r>
      <w:r w:rsidRPr="002F407E">
        <w:t xml:space="preserve">. L’Observatoire Marocain des Prisons « OMP », </w:t>
      </w:r>
      <w:r w:rsidRPr="005217E1">
        <w:t>dans le cadre de son activité</w:t>
      </w:r>
      <w:r>
        <w:t xml:space="preserve"> de visites des établissements pénitentiaires et de monitoring des conditions de détention au Maroc, a </w:t>
      </w:r>
      <w:r w:rsidRPr="005217E1">
        <w:t>participé à la collecte et l’analyse de données s</w:t>
      </w:r>
      <w:r>
        <w:t xml:space="preserve">pécifiques aux femmes incarcérées au Maroc. </w:t>
      </w:r>
    </w:p>
    <w:p w14:paraId="31973376" w14:textId="109DFCD4" w:rsidR="00A350AC" w:rsidRPr="00855C0C" w:rsidRDefault="00A350AC" w:rsidP="00E73ADA">
      <w:pPr>
        <w:spacing w:after="120"/>
        <w:jc w:val="both"/>
        <w:rPr>
          <w:sz w:val="4"/>
          <w:szCs w:val="4"/>
        </w:rPr>
      </w:pPr>
    </w:p>
    <w:p w14:paraId="0FD94E69" w14:textId="205DE17D" w:rsidR="00462644" w:rsidRPr="001D3F7B" w:rsidRDefault="00FE3E70" w:rsidP="00A04BFB">
      <w:pPr>
        <w:spacing w:after="0"/>
        <w:rPr>
          <w:rFonts w:asciiTheme="minorHAnsi" w:hAnsiTheme="minorHAnsi" w:cstheme="minorHAnsi"/>
          <w:b/>
          <w:bCs/>
          <w:sz w:val="24"/>
          <w:szCs w:val="24"/>
          <w:u w:val="single"/>
        </w:rPr>
      </w:pPr>
      <w:r w:rsidRPr="001D3F7B">
        <w:rPr>
          <w:rFonts w:asciiTheme="minorHAnsi" w:hAnsiTheme="minorHAnsi" w:cstheme="minorHAnsi"/>
          <w:b/>
          <w:bCs/>
          <w:sz w:val="24"/>
          <w:szCs w:val="24"/>
          <w:u w:val="single"/>
        </w:rPr>
        <w:t>Cadre législatif</w:t>
      </w:r>
      <w:r w:rsidR="001D3F7B" w:rsidRPr="001D3F7B">
        <w:rPr>
          <w:rFonts w:asciiTheme="minorHAnsi" w:hAnsiTheme="minorHAnsi" w:cstheme="minorHAnsi"/>
          <w:b/>
          <w:bCs/>
          <w:sz w:val="24"/>
          <w:szCs w:val="24"/>
          <w:u w:val="single"/>
        </w:rPr>
        <w:t> : observations de l’OMP sur les réponses du Gouvernement Marocain</w:t>
      </w:r>
      <w:r w:rsidR="001D3F7B">
        <w:rPr>
          <w:rFonts w:asciiTheme="minorHAnsi" w:hAnsiTheme="minorHAnsi" w:cstheme="minorHAnsi"/>
          <w:b/>
          <w:bCs/>
          <w:sz w:val="24"/>
          <w:szCs w:val="24"/>
          <w:u w:val="single"/>
        </w:rPr>
        <w:t>.</w:t>
      </w:r>
    </w:p>
    <w:p w14:paraId="51FB8A2B" w14:textId="77777777" w:rsidR="00855C0C" w:rsidRDefault="00C0283A" w:rsidP="00BF00B1">
      <w:pPr>
        <w:spacing w:before="100" w:beforeAutospacing="1" w:after="100" w:afterAutospacing="1" w:line="240" w:lineRule="auto"/>
        <w:jc w:val="both"/>
      </w:pPr>
      <w:r>
        <w:t xml:space="preserve">Le cadre juridique national comprend un ensemble de garanties mais elles restent incomplètes et non conforme avec les standards </w:t>
      </w:r>
      <w:r w:rsidR="000F40AF">
        <w:t>internationaux.</w:t>
      </w:r>
    </w:p>
    <w:p w14:paraId="48E4374B" w14:textId="4D792111" w:rsidR="00BF00B1" w:rsidRPr="00BB03B2" w:rsidRDefault="000F40AF" w:rsidP="00BB03B2">
      <w:pPr>
        <w:spacing w:before="100" w:beforeAutospacing="1" w:after="100" w:afterAutospacing="1" w:line="240" w:lineRule="auto"/>
        <w:jc w:val="both"/>
      </w:pPr>
      <w:r>
        <w:rPr>
          <w:rFonts w:hint="cs"/>
          <w:rtl/>
        </w:rPr>
        <w:lastRenderedPageBreak/>
        <w:t xml:space="preserve"> </w:t>
      </w:r>
      <w:r w:rsidR="003D51CC" w:rsidRPr="00BB03B2">
        <w:t xml:space="preserve">La </w:t>
      </w:r>
      <w:r w:rsidRPr="00BB03B2">
        <w:t>constitution</w:t>
      </w:r>
      <w:r w:rsidRPr="00BB03B2">
        <w:rPr>
          <w:rFonts w:hint="cs"/>
          <w:rtl/>
        </w:rPr>
        <w:t xml:space="preserve"> </w:t>
      </w:r>
      <w:r w:rsidRPr="00BB03B2">
        <w:t>de 2011</w:t>
      </w:r>
      <w:r w:rsidR="001B6E36" w:rsidRPr="00BB03B2">
        <w:rPr>
          <w:rFonts w:hint="cs"/>
          <w:rtl/>
        </w:rPr>
        <w:t xml:space="preserve"> </w:t>
      </w:r>
      <w:r w:rsidR="001B6E36" w:rsidRPr="00BB03B2">
        <w:t>impose des restrictions à de nombreuses exigences telles que la suprématie des chartes internationales et le principe d'égalité en les liant à la condition qu'elles ne contredisent pas</w:t>
      </w:r>
      <w:r w:rsidR="00022713" w:rsidRPr="00BB03B2">
        <w:t xml:space="preserve"> « </w:t>
      </w:r>
      <w:r w:rsidR="00BF00B1" w:rsidRPr="00BB03B2">
        <w:t>des constantes</w:t>
      </w:r>
      <w:r w:rsidR="00022713" w:rsidRPr="00BB03B2">
        <w:t> » (faisant référence à l’Islam comme religion d’Etat)</w:t>
      </w:r>
      <w:r w:rsidR="00BF00B1" w:rsidRPr="00BB03B2">
        <w:t xml:space="preserve"> et des lois du Royaume.</w:t>
      </w:r>
    </w:p>
    <w:p w14:paraId="04585988" w14:textId="15261442" w:rsidR="001B6E36" w:rsidRPr="00BB03B2" w:rsidRDefault="004D2D20" w:rsidP="00BB03B2">
      <w:pPr>
        <w:pStyle w:val="Paragraphedeliste"/>
        <w:numPr>
          <w:ilvl w:val="0"/>
          <w:numId w:val="6"/>
        </w:numPr>
        <w:spacing w:after="120" w:line="240" w:lineRule="auto"/>
        <w:jc w:val="both"/>
      </w:pPr>
      <w:r w:rsidRPr="00BB03B2">
        <w:t>Non-ratification du</w:t>
      </w:r>
      <w:r w:rsidRPr="00BB03B2">
        <w:rPr>
          <w:lang w:val="fr-MA"/>
        </w:rPr>
        <w:t xml:space="preserve"> 2</w:t>
      </w:r>
      <w:r w:rsidRPr="00BB03B2">
        <w:rPr>
          <w:vertAlign w:val="superscript"/>
          <w:lang w:val="fr-MA"/>
        </w:rPr>
        <w:t>ème</w:t>
      </w:r>
      <w:r w:rsidRPr="00BB03B2">
        <w:rPr>
          <w:lang w:val="fr-MA"/>
        </w:rPr>
        <w:t xml:space="preserve"> </w:t>
      </w:r>
      <w:r w:rsidRPr="00BB03B2">
        <w:t>Protocole facultatif se rapportant au Pacte international relatif aux droits civils et politiques ;</w:t>
      </w:r>
    </w:p>
    <w:p w14:paraId="6F45BD62" w14:textId="7C8B1FE5" w:rsidR="004D2D20" w:rsidRPr="00BB03B2" w:rsidRDefault="004D2D20" w:rsidP="00BB03B2">
      <w:pPr>
        <w:pStyle w:val="Paragraphedeliste"/>
        <w:numPr>
          <w:ilvl w:val="0"/>
          <w:numId w:val="6"/>
        </w:numPr>
        <w:spacing w:after="120" w:line="240" w:lineRule="auto"/>
        <w:jc w:val="both"/>
      </w:pPr>
      <w:r w:rsidRPr="00BB03B2">
        <w:t>Existence de dispositions discriminatoires en droit pénal</w:t>
      </w:r>
      <w:r w:rsidRPr="00BB03B2">
        <w:rPr>
          <w:rFonts w:hint="cs"/>
          <w:rtl/>
        </w:rPr>
        <w:t xml:space="preserve"> </w:t>
      </w:r>
      <w:r w:rsidRPr="00BB03B2">
        <w:rPr>
          <w:lang w:val="fr-MA"/>
        </w:rPr>
        <w:t xml:space="preserve">(Articles 490-491-492-493) ; </w:t>
      </w:r>
    </w:p>
    <w:p w14:paraId="5404F5FF" w14:textId="7FAA06FC" w:rsidR="00797C98" w:rsidRPr="00BB03B2" w:rsidRDefault="00E27778" w:rsidP="00BB03B2">
      <w:pPr>
        <w:pStyle w:val="Paragraphedeliste"/>
        <w:numPr>
          <w:ilvl w:val="0"/>
          <w:numId w:val="6"/>
        </w:numPr>
        <w:spacing w:after="120" w:line="240" w:lineRule="auto"/>
        <w:jc w:val="both"/>
      </w:pPr>
      <w:r w:rsidRPr="00BB03B2">
        <w:rPr>
          <w:lang w:val="fr-MA"/>
        </w:rPr>
        <w:t xml:space="preserve">Blocage de processus des réformes </w:t>
      </w:r>
      <w:r w:rsidR="00443757" w:rsidRPr="00BB03B2">
        <w:rPr>
          <w:lang w:val="fr-MA"/>
        </w:rPr>
        <w:t>du code penal, code de procédure pénale et la loi 23/98 r</w:t>
      </w:r>
      <w:r w:rsidR="00735260" w:rsidRPr="00BB03B2">
        <w:rPr>
          <w:lang w:val="fr-MA"/>
        </w:rPr>
        <w:t>é</w:t>
      </w:r>
      <w:r w:rsidR="00443757" w:rsidRPr="00BB03B2">
        <w:rPr>
          <w:lang w:val="fr-MA"/>
        </w:rPr>
        <w:t>gissant les établissements pénitentiaires</w:t>
      </w:r>
      <w:r w:rsidR="00797C98" w:rsidRPr="00BB03B2">
        <w:rPr>
          <w:lang w:val="fr-MA"/>
        </w:rPr>
        <w:t> ;</w:t>
      </w:r>
    </w:p>
    <w:p w14:paraId="38DAF532" w14:textId="791DE4C0" w:rsidR="00194D31" w:rsidRPr="00BB03B2" w:rsidRDefault="0040743C" w:rsidP="00BB03B2">
      <w:pPr>
        <w:pStyle w:val="Paragraphedeliste"/>
        <w:numPr>
          <w:ilvl w:val="0"/>
          <w:numId w:val="6"/>
        </w:numPr>
        <w:spacing w:after="120" w:line="240" w:lineRule="auto"/>
        <w:jc w:val="both"/>
      </w:pPr>
      <w:r w:rsidRPr="00BB03B2">
        <w:rPr>
          <w:lang w:val="fr-MA"/>
        </w:rPr>
        <w:t xml:space="preserve">Les réponses de gouvernement exclu les femmes détenues, à savoir que la législation Marocain soit, la constitution, le code penal, le code de procédure pénale, la loi 23/98 régissant les établissements pénitentiaires, comprend des dispositions concernant les femmes détenues. </w:t>
      </w:r>
    </w:p>
    <w:p w14:paraId="0ADD86ED" w14:textId="27B40CDD" w:rsidR="00013BBB" w:rsidRPr="00BB03B2" w:rsidRDefault="00013BBB" w:rsidP="00BB03B2">
      <w:pPr>
        <w:pStyle w:val="Paragraphedeliste"/>
        <w:numPr>
          <w:ilvl w:val="0"/>
          <w:numId w:val="6"/>
        </w:numPr>
        <w:spacing w:after="120" w:line="240" w:lineRule="auto"/>
        <w:jc w:val="both"/>
      </w:pPr>
      <w:r w:rsidRPr="00BB03B2">
        <w:t xml:space="preserve">Le rapport gouvernemental ne mentionne pas les femmes détenues libérées et leurs droits de bénéficier de la couverture sociale et l’insertion économique et la compagne d’inscription des enfants dans l’état civil. L’OMP </w:t>
      </w:r>
      <w:r w:rsidRPr="00BB03B2">
        <w:tab/>
        <w:t xml:space="preserve">pendant ses visites de prisons et dans le cadre du programme d’aide juridique au profit des femmes relève des cas rencontrant des difficultés au niveau de l’authentification de l’acte de mariage et des cas sans identité. </w:t>
      </w:r>
    </w:p>
    <w:p w14:paraId="415E3840" w14:textId="2A6F7B19" w:rsidR="00013BBB" w:rsidRPr="00BB03B2" w:rsidRDefault="00013BBB" w:rsidP="00BB03B2">
      <w:pPr>
        <w:pStyle w:val="Paragraphedeliste"/>
        <w:numPr>
          <w:ilvl w:val="0"/>
          <w:numId w:val="6"/>
        </w:numPr>
        <w:spacing w:after="120" w:line="240" w:lineRule="auto"/>
        <w:jc w:val="both"/>
      </w:pPr>
      <w:r w:rsidRPr="00BB03B2">
        <w:t>Malgré que les femmes détenues soient prévues seulement de la liberté, (qu’elles soient en détention provisoire ou condamnées) et contrairement aux dispositions de la constitution cette catégorie ne jouit pas du droit de vote.</w:t>
      </w:r>
    </w:p>
    <w:p w14:paraId="283C1EF4" w14:textId="507C15C9" w:rsidR="0040743C" w:rsidRPr="00BB03B2" w:rsidRDefault="0040743C" w:rsidP="00BB03B2">
      <w:pPr>
        <w:pStyle w:val="Paragraphedeliste"/>
        <w:numPr>
          <w:ilvl w:val="0"/>
          <w:numId w:val="6"/>
        </w:numPr>
        <w:spacing w:after="120" w:line="240" w:lineRule="auto"/>
        <w:jc w:val="both"/>
      </w:pPr>
      <w:r w:rsidRPr="00BB03B2">
        <w:t>Les femmes détenues après leurs libérations trouvent beaucoup des difficultés de nature sociale, de diffamation et d’ordre juridique à cause du casier judiciaire, pour l’accès et insertion au   marché d’emploi …</w:t>
      </w:r>
    </w:p>
    <w:p w14:paraId="435C8D92" w14:textId="4779D1B6" w:rsidR="00013BBB" w:rsidRPr="00BB03B2" w:rsidRDefault="00013BBB" w:rsidP="00BB03B2">
      <w:pPr>
        <w:pStyle w:val="Paragraphedeliste"/>
        <w:numPr>
          <w:ilvl w:val="0"/>
          <w:numId w:val="6"/>
        </w:numPr>
        <w:spacing w:after="120" w:line="240" w:lineRule="auto"/>
        <w:jc w:val="both"/>
      </w:pPr>
      <w:r w:rsidRPr="00BB03B2">
        <w:t xml:space="preserve">L’OMP note que la législation </w:t>
      </w:r>
      <w:r w:rsidR="009037D5" w:rsidRPr="00BB03B2">
        <w:t xml:space="preserve">Marocain exclu des dispositions concernant le travail des femmes détenues et leur droit, </w:t>
      </w:r>
      <w:r w:rsidR="00140ACF" w:rsidRPr="00BB03B2">
        <w:t xml:space="preserve">les femmes incarcérées exerce des travaux sans salaire.  </w:t>
      </w:r>
      <w:r w:rsidR="009037D5" w:rsidRPr="00BB03B2">
        <w:t xml:space="preserve"> </w:t>
      </w:r>
    </w:p>
    <w:p w14:paraId="276F137A" w14:textId="1D37596F" w:rsidR="00140ACF" w:rsidRPr="00BB03B2" w:rsidRDefault="00140ACF" w:rsidP="00BB03B2">
      <w:pPr>
        <w:pStyle w:val="Paragraphedeliste"/>
        <w:numPr>
          <w:ilvl w:val="0"/>
          <w:numId w:val="6"/>
        </w:numPr>
        <w:spacing w:after="120" w:line="240" w:lineRule="auto"/>
        <w:jc w:val="both"/>
      </w:pPr>
      <w:r w:rsidRPr="00BB03B2">
        <w:t xml:space="preserve">En relation avec la réponse 2 du gouvernement le Maroc n’a pas exprimé sa volonté pour </w:t>
      </w:r>
      <w:r w:rsidR="00B47F01" w:rsidRPr="00BB03B2">
        <w:t>ratifier</w:t>
      </w:r>
      <w:r w:rsidRPr="00BB03B2">
        <w:t xml:space="preserve"> le 2</w:t>
      </w:r>
      <w:r w:rsidRPr="00BB03B2">
        <w:rPr>
          <w:vertAlign w:val="superscript"/>
        </w:rPr>
        <w:t>ème</w:t>
      </w:r>
      <w:r w:rsidRPr="00BB03B2">
        <w:t xml:space="preserve"> protocole qui appelle à l’abolition de la peine de mort</w:t>
      </w:r>
      <w:r w:rsidR="003071DB">
        <w:t>.</w:t>
      </w:r>
      <w:r w:rsidRPr="00BB03B2">
        <w:t xml:space="preserve">  </w:t>
      </w:r>
    </w:p>
    <w:p w14:paraId="7A6C41D6" w14:textId="5E55D7A4" w:rsidR="00B47F01" w:rsidRDefault="00B47F01" w:rsidP="00B47F01">
      <w:pPr>
        <w:spacing w:after="120"/>
        <w:jc w:val="both"/>
        <w:rPr>
          <w:b/>
          <w:bCs/>
          <w:sz w:val="24"/>
          <w:szCs w:val="24"/>
        </w:rPr>
      </w:pPr>
      <w:r w:rsidRPr="00B47F01">
        <w:rPr>
          <w:b/>
          <w:bCs/>
          <w:sz w:val="24"/>
          <w:szCs w:val="24"/>
        </w:rPr>
        <w:t xml:space="preserve">Accès à la justice </w:t>
      </w:r>
    </w:p>
    <w:p w14:paraId="45259DD3" w14:textId="69F0E2FB" w:rsidR="006F0C19" w:rsidRPr="006F0C19" w:rsidRDefault="00465360" w:rsidP="00BB03B2">
      <w:pPr>
        <w:pStyle w:val="Paragraphedeliste"/>
        <w:numPr>
          <w:ilvl w:val="0"/>
          <w:numId w:val="6"/>
        </w:numPr>
        <w:spacing w:after="120" w:line="240" w:lineRule="auto"/>
        <w:jc w:val="both"/>
      </w:pPr>
      <w:r w:rsidRPr="00465360">
        <w:t xml:space="preserve">Si les réponses du gouvernement exclus le </w:t>
      </w:r>
      <w:r w:rsidR="00E06E7A" w:rsidRPr="00465360">
        <w:t>droit</w:t>
      </w:r>
      <w:r w:rsidR="00E06E7A">
        <w:t xml:space="preserve"> à plaindre, l</w:t>
      </w:r>
      <w:r w:rsidRPr="00465360">
        <w:t>a Délégation générale à l’administration pénitentiaire et à la réinsertion (DGAPR</w:t>
      </w:r>
      <w:r>
        <w:rPr>
          <w:lang w:val="fr-MA"/>
        </w:rPr>
        <w:t>) dans le cadre de ses efforts a élaboré un guide et instaurée un système de dépôt des doléances et plaintes</w:t>
      </w:r>
      <w:r w:rsidR="006F0C19">
        <w:rPr>
          <w:lang w:val="fr-MA"/>
        </w:rPr>
        <w:t>,</w:t>
      </w:r>
    </w:p>
    <w:p w14:paraId="325BD591" w14:textId="7B92C91B" w:rsidR="006F0C19" w:rsidRDefault="00465360" w:rsidP="00BB03B2">
      <w:pPr>
        <w:pStyle w:val="Paragraphedeliste"/>
        <w:numPr>
          <w:ilvl w:val="0"/>
          <w:numId w:val="6"/>
        </w:numPr>
        <w:spacing w:after="120" w:line="240" w:lineRule="auto"/>
        <w:jc w:val="both"/>
      </w:pPr>
      <w:r>
        <w:rPr>
          <w:lang w:val="fr-MA"/>
        </w:rPr>
        <w:t xml:space="preserve">  </w:t>
      </w:r>
      <w:r w:rsidRPr="00465360">
        <w:t xml:space="preserve"> </w:t>
      </w:r>
      <w:r w:rsidR="006F0C19">
        <w:t xml:space="preserve">L’observatoire Marocain des Prisons et pendant ses visites des prisons et les entretiens avec les femmes détenues, note que plusieurs cas </w:t>
      </w:r>
      <w:r w:rsidR="003071DB">
        <w:t>ne</w:t>
      </w:r>
      <w:r w:rsidR="006F0C19">
        <w:t xml:space="preserve"> jouissent pas de</w:t>
      </w:r>
      <w:r w:rsidR="007F0F5A">
        <w:t xml:space="preserve"> leur droit</w:t>
      </w:r>
      <w:r w:rsidR="006F0C19">
        <w:t xml:space="preserve"> </w:t>
      </w:r>
      <w:r w:rsidR="007F0F5A">
        <w:t>d’accès à un avocat,</w:t>
      </w:r>
    </w:p>
    <w:p w14:paraId="2CABC523" w14:textId="3AD032E1" w:rsidR="00131B17" w:rsidRPr="00441501" w:rsidRDefault="007F0F5A" w:rsidP="00441501">
      <w:pPr>
        <w:spacing w:after="120"/>
        <w:jc w:val="both"/>
        <w:rPr>
          <w:b/>
          <w:bCs/>
          <w:sz w:val="24"/>
          <w:szCs w:val="24"/>
        </w:rPr>
      </w:pPr>
      <w:r w:rsidRPr="00441501">
        <w:rPr>
          <w:b/>
          <w:bCs/>
          <w:sz w:val="24"/>
          <w:szCs w:val="24"/>
        </w:rPr>
        <w:t xml:space="preserve">Effets de la pandémie sur les droits de femmes et l’égalité des genres </w:t>
      </w:r>
    </w:p>
    <w:p w14:paraId="586D6E87" w14:textId="3F34446A" w:rsidR="00131B17" w:rsidRPr="00441501" w:rsidRDefault="00131B17" w:rsidP="00441501">
      <w:pPr>
        <w:pStyle w:val="PrformatHTML"/>
        <w:numPr>
          <w:ilvl w:val="0"/>
          <w:numId w:val="6"/>
        </w:numPr>
        <w:jc w:val="both"/>
        <w:rPr>
          <w:rFonts w:ascii="Calibri" w:eastAsia="Calibri" w:hAnsi="Calibri" w:cs="Arial"/>
          <w:color w:val="auto"/>
        </w:rPr>
      </w:pPr>
      <w:r w:rsidRPr="00131B17">
        <w:rPr>
          <w:rFonts w:ascii="Calibri" w:eastAsia="Calibri" w:hAnsi="Calibri" w:cs="Arial"/>
          <w:color w:val="auto"/>
        </w:rPr>
        <w:t xml:space="preserve">Malgré un certain nombre de mesures légales, la population carcérale a pratiquement augmenté pendant la pandémie. S'il ressort de la comparaison des chiffres que la population carcérale a diminué pendant la pandémie d'environ 2% ; </w:t>
      </w:r>
      <w:r>
        <w:rPr>
          <w:rFonts w:ascii="Calibri" w:eastAsia="Calibri" w:hAnsi="Calibri" w:cs="Arial"/>
          <w:color w:val="auto"/>
        </w:rPr>
        <w:t>o</w:t>
      </w:r>
      <w:r w:rsidRPr="00131B17">
        <w:rPr>
          <w:rFonts w:ascii="Calibri" w:eastAsia="Calibri" w:hAnsi="Calibri" w:cs="Arial"/>
          <w:color w:val="auto"/>
        </w:rPr>
        <w:t xml:space="preserve">ù le nombre de détenus, au 31 décembre 2019, atteignait 86 384, alors qu'au 31 décembre 2020, le nombre dans les établissements pénitentiaires ne dépassait pas 84 994 détenus; En calculant l'amnistie pour 5 654 détenus, le 04 avril 2020, dans le cadre des initiatives prises pour limiter l'impact du Corona virus, on constate que la population carcérale a augmenté de 5%, ce qui a été confirmé par les déclarations de 5 directeurs des établissements pénitentiaires </w:t>
      </w:r>
      <w:r w:rsidR="003071DB">
        <w:rPr>
          <w:rFonts w:ascii="Calibri" w:eastAsia="Calibri" w:hAnsi="Calibri" w:cs="Arial"/>
          <w:color w:val="auto"/>
        </w:rPr>
        <w:t>visités</w:t>
      </w:r>
      <w:r w:rsidRPr="00131B17">
        <w:rPr>
          <w:rFonts w:ascii="Calibri" w:eastAsia="Calibri" w:hAnsi="Calibri" w:cs="Arial"/>
          <w:color w:val="auto"/>
        </w:rPr>
        <w:t>, qui l'ont admis sans aucune équivoque. L'étude a également montré la persistance du phénomène de surpopulation dans les établissements pénitentiaires, variant entre 102% à la prison de Tiflet et 182% à la prison communale d'Ain Sebaa.</w:t>
      </w:r>
      <w:r>
        <w:rPr>
          <w:rFonts w:ascii="Calibri" w:eastAsia="Calibri" w:hAnsi="Calibri" w:cs="Arial"/>
          <w:color w:val="auto"/>
        </w:rPr>
        <w:t xml:space="preserve"> </w:t>
      </w:r>
    </w:p>
    <w:p w14:paraId="345B87C7" w14:textId="5FAAE154" w:rsidR="00441501" w:rsidRPr="00441501" w:rsidRDefault="008A191C" w:rsidP="00441501">
      <w:pPr>
        <w:pStyle w:val="PrformatHTML"/>
        <w:numPr>
          <w:ilvl w:val="0"/>
          <w:numId w:val="6"/>
        </w:numPr>
        <w:jc w:val="both"/>
        <w:rPr>
          <w:rFonts w:ascii="Calibri" w:eastAsia="Calibri" w:hAnsi="Calibri" w:cs="Arial"/>
          <w:color w:val="auto"/>
        </w:rPr>
      </w:pPr>
      <w:r w:rsidRPr="008A191C">
        <w:rPr>
          <w:rFonts w:ascii="Calibri" w:eastAsia="Calibri" w:hAnsi="Calibri" w:cs="Arial"/>
          <w:color w:val="auto"/>
        </w:rPr>
        <w:t xml:space="preserve">Le nombre de plaintes de détenus hommes et femmes pour mauvais traitements et autres a augmenté pendant la pandémie, où l'étude a enregistré que 8% du nombre total d'hommes et de femmes détenus interrogés ont été soumis à des mauvais traitements. Les pratiques de mauvais traitements dont ils ont été victimes sont ; les insultes, la violence, l'oppression et l'interdiction des visites médicales. Elle était pratiquée soit par le personnel, soit par les autres détenus. 31 % des détenus hommes et femmes victimes de mauvais traitements ont </w:t>
      </w:r>
      <w:r w:rsidRPr="008A191C">
        <w:rPr>
          <w:rFonts w:ascii="Calibri" w:eastAsia="Calibri" w:hAnsi="Calibri" w:cs="Arial"/>
          <w:color w:val="auto"/>
        </w:rPr>
        <w:lastRenderedPageBreak/>
        <w:t xml:space="preserve">personnellement informé l'administration de l'établissement pénitentiaire et leurs plaintes ont été entendues dans les deux tiers des cas. Cela peut être dû à la pression psychologique, aux restrictions pandémiques, à la surpopulation dans l'établissement pénitentiaire et à l'arrêt des visites </w:t>
      </w:r>
      <w:r w:rsidR="00441501" w:rsidRPr="008A191C">
        <w:rPr>
          <w:rFonts w:ascii="Calibri" w:eastAsia="Calibri" w:hAnsi="Calibri" w:cs="Arial"/>
          <w:color w:val="auto"/>
        </w:rPr>
        <w:t>familiales.</w:t>
      </w:r>
      <w:r w:rsidR="00441501" w:rsidRPr="00441501">
        <w:rPr>
          <w:rFonts w:ascii="Calibri" w:eastAsia="Calibri" w:hAnsi="Calibri" w:cs="Arial"/>
          <w:color w:val="0070C0"/>
        </w:rPr>
        <w:t xml:space="preserve"> (Etude réalisée par L’OMP sur : L’impact des mesures sanitaires et judiciaires de l’état d’urgence sanitaire sur les droits des détenu-e-s). </w:t>
      </w:r>
    </w:p>
    <w:p w14:paraId="27604C4A" w14:textId="77777777" w:rsidR="00441501" w:rsidRPr="008A191C" w:rsidRDefault="00441501" w:rsidP="00441501">
      <w:pPr>
        <w:pStyle w:val="PrformatHTML"/>
        <w:jc w:val="both"/>
        <w:rPr>
          <w:rFonts w:ascii="Calibri" w:eastAsia="Calibri" w:hAnsi="Calibri" w:cs="Arial"/>
          <w:color w:val="auto"/>
        </w:rPr>
      </w:pPr>
    </w:p>
    <w:p w14:paraId="299E5BDA" w14:textId="43B53D13" w:rsidR="007F0F5A" w:rsidRPr="00441501" w:rsidRDefault="00441501" w:rsidP="007F0F5A">
      <w:pPr>
        <w:spacing w:after="120"/>
        <w:jc w:val="both"/>
        <w:rPr>
          <w:b/>
          <w:bCs/>
          <w:sz w:val="24"/>
          <w:szCs w:val="24"/>
        </w:rPr>
      </w:pPr>
      <w:r w:rsidRPr="00441501">
        <w:rPr>
          <w:b/>
          <w:bCs/>
          <w:sz w:val="24"/>
          <w:szCs w:val="24"/>
        </w:rPr>
        <w:t xml:space="preserve">Mécanisme national de promotion des femmes </w:t>
      </w:r>
    </w:p>
    <w:p w14:paraId="53D78012" w14:textId="7B00793A" w:rsidR="00441501" w:rsidRDefault="003833F6" w:rsidP="00441501">
      <w:pPr>
        <w:pStyle w:val="Paragraphedeliste"/>
        <w:numPr>
          <w:ilvl w:val="0"/>
          <w:numId w:val="6"/>
        </w:numPr>
        <w:spacing w:after="120"/>
        <w:jc w:val="both"/>
      </w:pPr>
      <w:r>
        <w:t xml:space="preserve">L’Observatoire Marocain des Prisons note l’absence total des programmes adressés aux femmes détenues dans les stratégies de gouvernement.   </w:t>
      </w:r>
    </w:p>
    <w:p w14:paraId="5C37AA64" w14:textId="6E76AC82" w:rsidR="003833F6" w:rsidRPr="003833F6" w:rsidRDefault="003833F6" w:rsidP="003833F6">
      <w:pPr>
        <w:spacing w:after="120"/>
        <w:jc w:val="both"/>
        <w:rPr>
          <w:b/>
          <w:bCs/>
          <w:sz w:val="24"/>
          <w:szCs w:val="24"/>
        </w:rPr>
      </w:pPr>
      <w:r w:rsidRPr="003833F6">
        <w:rPr>
          <w:b/>
          <w:bCs/>
          <w:sz w:val="24"/>
          <w:szCs w:val="24"/>
        </w:rPr>
        <w:t xml:space="preserve">Mesures temporaires spéciales </w:t>
      </w:r>
    </w:p>
    <w:p w14:paraId="2697288A" w14:textId="4A3678C1" w:rsidR="003833F6" w:rsidRPr="005F5CBE" w:rsidRDefault="003833F6" w:rsidP="003833F6">
      <w:pPr>
        <w:pStyle w:val="Paragraphedeliste"/>
        <w:numPr>
          <w:ilvl w:val="0"/>
          <w:numId w:val="6"/>
        </w:numPr>
        <w:spacing w:after="120"/>
        <w:jc w:val="both"/>
      </w:pPr>
      <w:r>
        <w:rPr>
          <w:lang w:val="fr-MA"/>
        </w:rPr>
        <w:t xml:space="preserve">Malgré la plaidoirie continue de l’Observatoire Marocain des Prisons et le collectif associatif pour l’observation des élections, les lois électorales excluent </w:t>
      </w:r>
      <w:r w:rsidR="003071DB" w:rsidRPr="003071DB">
        <w:rPr>
          <w:color w:val="C00000"/>
          <w:lang w:val="fr-MA"/>
        </w:rPr>
        <w:t>toujours</w:t>
      </w:r>
      <w:r w:rsidR="003071DB">
        <w:rPr>
          <w:lang w:val="fr-MA"/>
        </w:rPr>
        <w:t xml:space="preserve"> </w:t>
      </w:r>
      <w:r>
        <w:rPr>
          <w:lang w:val="fr-MA"/>
        </w:rPr>
        <w:t xml:space="preserve">la population carcérale du droit au vote et à la participation politique ; </w:t>
      </w:r>
    </w:p>
    <w:p w14:paraId="0619D63A" w14:textId="7E3AC188" w:rsidR="0040743C" w:rsidRPr="005F5CBE" w:rsidRDefault="005F5CBE" w:rsidP="005F5CBE">
      <w:pPr>
        <w:spacing w:after="120"/>
        <w:jc w:val="both"/>
        <w:rPr>
          <w:b/>
          <w:bCs/>
          <w:sz w:val="24"/>
          <w:szCs w:val="24"/>
        </w:rPr>
      </w:pPr>
      <w:r w:rsidRPr="005F5CBE">
        <w:rPr>
          <w:b/>
          <w:bCs/>
          <w:sz w:val="24"/>
          <w:szCs w:val="24"/>
        </w:rPr>
        <w:t xml:space="preserve">Stéréotypes fondés sur le genre et pratiques préjudiciaires  </w:t>
      </w:r>
    </w:p>
    <w:p w14:paraId="22A9C5BC" w14:textId="45C71976" w:rsidR="00A04BFB" w:rsidRDefault="00A04BFB" w:rsidP="00A04BFB">
      <w:pPr>
        <w:pStyle w:val="Paragraphedeliste"/>
        <w:numPr>
          <w:ilvl w:val="0"/>
          <w:numId w:val="6"/>
        </w:numPr>
        <w:spacing w:after="120"/>
        <w:jc w:val="both"/>
        <w:rPr>
          <w:lang w:val="fr-MA"/>
        </w:rPr>
      </w:pPr>
      <w:r w:rsidRPr="00A04BFB">
        <w:rPr>
          <w:lang w:val="fr-MA"/>
        </w:rPr>
        <w:t xml:space="preserve">Les femmes détenues </w:t>
      </w:r>
      <w:r>
        <w:rPr>
          <w:lang w:val="fr-MA"/>
        </w:rPr>
        <w:t>souffrent des stéréotypes et</w:t>
      </w:r>
      <w:r>
        <w:rPr>
          <w:lang w:val="fr-MA" w:bidi="ar-MA"/>
        </w:rPr>
        <w:t xml:space="preserve"> diffamation ;</w:t>
      </w:r>
    </w:p>
    <w:p w14:paraId="022898C4" w14:textId="0E2A525E" w:rsidR="005F5CBE" w:rsidRDefault="005F5CBE" w:rsidP="005F5CBE">
      <w:pPr>
        <w:spacing w:after="120"/>
        <w:jc w:val="both"/>
        <w:rPr>
          <w:b/>
          <w:bCs/>
          <w:sz w:val="24"/>
          <w:szCs w:val="24"/>
        </w:rPr>
      </w:pPr>
      <w:r w:rsidRPr="002E259E">
        <w:rPr>
          <w:b/>
          <w:bCs/>
          <w:sz w:val="24"/>
          <w:szCs w:val="24"/>
        </w:rPr>
        <w:t xml:space="preserve">Violence à l’égard </w:t>
      </w:r>
      <w:r w:rsidR="002E259E" w:rsidRPr="002E259E">
        <w:rPr>
          <w:b/>
          <w:bCs/>
          <w:sz w:val="24"/>
          <w:szCs w:val="24"/>
        </w:rPr>
        <w:t>des femmes</w:t>
      </w:r>
      <w:r w:rsidRPr="002E259E">
        <w:rPr>
          <w:b/>
          <w:bCs/>
          <w:sz w:val="24"/>
          <w:szCs w:val="24"/>
        </w:rPr>
        <w:t xml:space="preserve"> fondée sur le genre </w:t>
      </w:r>
    </w:p>
    <w:p w14:paraId="4BD5EDE4" w14:textId="708EAA19" w:rsidR="002E259E" w:rsidRDefault="002E259E" w:rsidP="002E259E">
      <w:pPr>
        <w:pStyle w:val="Paragraphedeliste"/>
        <w:tabs>
          <w:tab w:val="left" w:pos="2835"/>
          <w:tab w:val="left" w:pos="5103"/>
        </w:tabs>
        <w:spacing w:after="120"/>
        <w:jc w:val="both"/>
      </w:pPr>
      <w:r>
        <w:t xml:space="preserve">Les violences à l’égard des femmes en détention sont une réalité, mais elles ne sont pas généralisées, 12% des détenues interviewées affirment avoir déjà été victimes de violence et dans la majorité des cas (83% des cas), la violence a été exercée par d’autres détenues, contre 17% des cas par des fonctionnaires de l’établissement. Les cas de violence sont majoritairement rapportés à l’administration, par les victimes elles-mêmes dans la majeure partie des cas du point de vue des détenues, et de part et d’autre, du point de vue des responsables. Selon les </w:t>
      </w:r>
      <w:r w:rsidRPr="004D0612">
        <w:t xml:space="preserve">résultats </w:t>
      </w:r>
      <w:r>
        <w:t xml:space="preserve">d’une </w:t>
      </w:r>
      <w:r w:rsidRPr="004D0612">
        <w:t>l’enquête</w:t>
      </w:r>
      <w:r>
        <w:t xml:space="preserve"> mené par L’OMP,</w:t>
      </w:r>
      <w:r w:rsidRPr="004D0612">
        <w:t xml:space="preserve"> la majorité des violences commises sont à caractère verbal et psychologique, suivies des violences physiques et des violences à caractère sexuel. Pour faire face à cette situation, des mesures de prévention contre le harcèlement et les violences sexuelles ont été mises en place</w:t>
      </w:r>
      <w:r>
        <w:t xml:space="preserve"> par la</w:t>
      </w:r>
      <w:r w:rsidR="003071DB">
        <w:t xml:space="preserve"> délégation générale à l’administration pénitentiaire et à la réinsertion</w:t>
      </w:r>
      <w:r>
        <w:t xml:space="preserve"> </w:t>
      </w:r>
      <w:r w:rsidR="003071DB">
        <w:t>(</w:t>
      </w:r>
      <w:r>
        <w:t>DGAPR</w:t>
      </w:r>
      <w:r w:rsidR="003071DB">
        <w:t>)</w:t>
      </w:r>
      <w:r w:rsidRPr="004D0612">
        <w:t>, y compris pour les catégories les plus vulnérables, dans l’ensemble des établissements</w:t>
      </w:r>
      <w:r>
        <w:t xml:space="preserve"> objet de l’étude</w:t>
      </w:r>
      <w:r w:rsidR="003071DB">
        <w:t xml:space="preserve"> </w:t>
      </w:r>
      <w:r w:rsidR="003071DB" w:rsidRPr="003071DB">
        <w:rPr>
          <w:color w:val="C00000"/>
        </w:rPr>
        <w:t>réalisée</w:t>
      </w:r>
      <w:r>
        <w:t xml:space="preserve">, ce qui a été confirmé par près de 60% des interviewées. </w:t>
      </w:r>
    </w:p>
    <w:p w14:paraId="277706D2" w14:textId="4CCDF0B2" w:rsidR="002E259E" w:rsidRDefault="002E259E" w:rsidP="002E259E">
      <w:pPr>
        <w:pStyle w:val="Paragraphedeliste"/>
        <w:spacing w:after="0"/>
        <w:jc w:val="both"/>
      </w:pPr>
      <w:r w:rsidRPr="006E788F">
        <w:t>Enfin, l’OMP n’a pas reçu beaucoup de plaintes de la part des détenues à l’encontre du personnel pénitentiaire. Lors des visites qu’il a effectuées, il a été possible de constater que le personnel faisait preuve de professionnalisme et qu’il témoignait, en règle générale, de disponibilité à l’égard des détenues. Interrogées sur le sujet, les femmes détenues ont affirmé que le personnel se montrait respectueux à leur égard et que, d’une manière générale, il entretenait des rapports cordiaux avec une bonne partie des détenues.</w:t>
      </w:r>
    </w:p>
    <w:p w14:paraId="1397A7E5" w14:textId="77777777" w:rsidR="00B338F1" w:rsidRDefault="00B338F1" w:rsidP="002E259E">
      <w:pPr>
        <w:pStyle w:val="Paragraphedeliste"/>
        <w:spacing w:after="0"/>
        <w:jc w:val="both"/>
      </w:pPr>
    </w:p>
    <w:p w14:paraId="33EA7C95" w14:textId="77777777" w:rsidR="00B338F1" w:rsidRDefault="002E259E" w:rsidP="00B338F1">
      <w:pPr>
        <w:spacing w:after="120"/>
        <w:jc w:val="both"/>
        <w:rPr>
          <w:b/>
          <w:bCs/>
          <w:sz w:val="24"/>
          <w:szCs w:val="24"/>
        </w:rPr>
      </w:pPr>
      <w:r>
        <w:rPr>
          <w:b/>
          <w:bCs/>
          <w:sz w:val="24"/>
          <w:szCs w:val="24"/>
        </w:rPr>
        <w:t>Traite</w:t>
      </w:r>
      <w:r w:rsidR="00B338F1">
        <w:rPr>
          <w:b/>
          <w:bCs/>
          <w:sz w:val="24"/>
          <w:szCs w:val="24"/>
        </w:rPr>
        <w:t xml:space="preserve"> et exploitation de la prostitution </w:t>
      </w:r>
    </w:p>
    <w:p w14:paraId="72CAF3CF" w14:textId="694C6C7A" w:rsidR="00022713" w:rsidRPr="00B338F1" w:rsidRDefault="00022713" w:rsidP="00BB03B2">
      <w:pPr>
        <w:spacing w:after="120" w:line="240" w:lineRule="auto"/>
        <w:jc w:val="both"/>
        <w:rPr>
          <w:b/>
          <w:bCs/>
          <w:sz w:val="24"/>
          <w:szCs w:val="24"/>
        </w:rPr>
      </w:pPr>
      <w:r w:rsidRPr="00B338F1">
        <w:rPr>
          <w:b/>
          <w:bCs/>
          <w:sz w:val="24"/>
          <w:szCs w:val="24"/>
          <w:lang w:val="fr-MA"/>
        </w:rPr>
        <w:t xml:space="preserve">Si </w:t>
      </w:r>
      <w:r w:rsidRPr="00B338F1">
        <w:rPr>
          <w:lang w:val="fr-MA"/>
        </w:rPr>
        <w:t xml:space="preserve">Le </w:t>
      </w:r>
      <w:r w:rsidRPr="00B338F1">
        <w:t>droit pénal a été renforcé avec la promulgation de la loi 14.27 sur la lutte contre la traite d’êtres humains, qui criminalise toute exploitation de personnes dans la pornographie, le tourisme sexuel, le travail forcé ou toutes les formes d'exploitation, (</w:t>
      </w:r>
      <w:r w:rsidRPr="00B338F1">
        <w:rPr>
          <w:lang w:val="fr-MA"/>
        </w:rPr>
        <w:t xml:space="preserve">Articles </w:t>
      </w:r>
      <w:r w:rsidRPr="00B338F1">
        <w:t>1-448), avec une augmentation de la peine si le crime a été commis sur un mineur…</w:t>
      </w:r>
    </w:p>
    <w:p w14:paraId="28A23B55" w14:textId="45BA280F" w:rsidR="00022713" w:rsidRPr="00B338F1" w:rsidRDefault="00022713" w:rsidP="00B338F1">
      <w:pPr>
        <w:spacing w:after="120"/>
        <w:jc w:val="both"/>
      </w:pPr>
      <w:r w:rsidRPr="00B338F1">
        <w:rPr>
          <w:b/>
          <w:bCs/>
          <w:sz w:val="24"/>
          <w:szCs w:val="24"/>
        </w:rPr>
        <w:t>Il n’en reste pas que :</w:t>
      </w:r>
    </w:p>
    <w:p w14:paraId="6B1DDF2C" w14:textId="4E5CA61C" w:rsidR="001B6E36" w:rsidRDefault="00964520" w:rsidP="00242D30">
      <w:pPr>
        <w:pStyle w:val="Paragraphedeliste"/>
        <w:numPr>
          <w:ilvl w:val="0"/>
          <w:numId w:val="6"/>
        </w:numPr>
        <w:spacing w:after="120"/>
        <w:jc w:val="both"/>
      </w:pPr>
      <w:r w:rsidRPr="00964520">
        <w:t>Le travail est toujours en vigueur avec des dispositions criminalisant la prostitutio</w:t>
      </w:r>
      <w:r>
        <w:t>n (article</w:t>
      </w:r>
      <w:r w:rsidR="005D277E">
        <w:t>s</w:t>
      </w:r>
      <w:r>
        <w:t xml:space="preserve"> 495 </w:t>
      </w:r>
      <w:r w:rsidR="005D277E">
        <w:t xml:space="preserve">à </w:t>
      </w:r>
      <w:r>
        <w:t>504)</w:t>
      </w:r>
      <w:r>
        <w:rPr>
          <w:rFonts w:hint="cs"/>
          <w:rtl/>
        </w:rPr>
        <w:t xml:space="preserve">   </w:t>
      </w:r>
      <w:r w:rsidRPr="00964520">
        <w:t xml:space="preserve">alors qu'il </w:t>
      </w:r>
      <w:r w:rsidR="005D277E">
        <w:t>f</w:t>
      </w:r>
      <w:r w:rsidR="005D277E" w:rsidRPr="00964520">
        <w:t>allait</w:t>
      </w:r>
      <w:r w:rsidRPr="00964520">
        <w:t xml:space="preserve"> </w:t>
      </w:r>
      <w:r w:rsidR="005D277E">
        <w:t xml:space="preserve">instaurer </w:t>
      </w:r>
      <w:r w:rsidR="005D277E" w:rsidRPr="00964520">
        <w:t>une</w:t>
      </w:r>
      <w:r w:rsidRPr="00964520">
        <w:t xml:space="preserve"> loi protégeant </w:t>
      </w:r>
      <w:r w:rsidR="005D277E">
        <w:t xml:space="preserve">cette catégorie </w:t>
      </w:r>
      <w:r w:rsidR="005D277E" w:rsidRPr="00964520">
        <w:t>vulnérable</w:t>
      </w:r>
      <w:r w:rsidRPr="00964520">
        <w:t xml:space="preserve"> poussé</w:t>
      </w:r>
      <w:r w:rsidR="005D277E">
        <w:t>e</w:t>
      </w:r>
      <w:r w:rsidRPr="00964520">
        <w:t xml:space="preserve"> par des conditions de pauvreté à se livrer à la </w:t>
      </w:r>
      <w:r w:rsidR="00470FC5" w:rsidRPr="00964520">
        <w:t>prostitution.</w:t>
      </w:r>
    </w:p>
    <w:p w14:paraId="2E723A2B" w14:textId="4D6E8436" w:rsidR="006E01CB" w:rsidRDefault="006E01CB" w:rsidP="00242D30">
      <w:pPr>
        <w:pStyle w:val="Paragraphedeliste"/>
        <w:numPr>
          <w:ilvl w:val="0"/>
          <w:numId w:val="6"/>
        </w:numPr>
        <w:spacing w:after="120"/>
        <w:jc w:val="both"/>
      </w:pPr>
      <w:r>
        <w:lastRenderedPageBreak/>
        <w:t>Pendant les visites des détenues l’OMP a rencontré plusieurs</w:t>
      </w:r>
      <w:r>
        <w:rPr>
          <w:rFonts w:hint="cs"/>
          <w:rtl/>
        </w:rPr>
        <w:t xml:space="preserve"> </w:t>
      </w:r>
      <w:r w:rsidR="00B66B0E">
        <w:rPr>
          <w:lang w:val="fr-MA"/>
        </w:rPr>
        <w:t xml:space="preserve">cas des </w:t>
      </w:r>
      <w:r w:rsidR="002F5029">
        <w:rPr>
          <w:lang w:val="fr-MA"/>
        </w:rPr>
        <w:t>travailleuses du</w:t>
      </w:r>
      <w:r w:rsidR="00B66B0E">
        <w:rPr>
          <w:lang w:val="fr-MA"/>
        </w:rPr>
        <w:t xml:space="preserve"> sexe condamnées par les dispositions du code penal et </w:t>
      </w:r>
      <w:r w:rsidR="002F5029">
        <w:rPr>
          <w:lang w:val="fr-MA"/>
        </w:rPr>
        <w:t>par la loi</w:t>
      </w:r>
      <w:r w:rsidR="00B66B0E">
        <w:rPr>
          <w:lang w:val="fr-MA"/>
        </w:rPr>
        <w:t xml:space="preserve">   de </w:t>
      </w:r>
      <w:r w:rsidR="00B66B0E" w:rsidRPr="00470FC5">
        <w:t xml:space="preserve">la traite </w:t>
      </w:r>
      <w:r w:rsidR="002F5029">
        <w:t>d’</w:t>
      </w:r>
      <w:r w:rsidR="002F5029" w:rsidRPr="00470FC5">
        <w:t>êtres</w:t>
      </w:r>
      <w:r w:rsidR="00B66B0E" w:rsidRPr="00470FC5">
        <w:t xml:space="preserve"> humains</w:t>
      </w:r>
      <w:r w:rsidR="002F5029">
        <w:t>.</w:t>
      </w:r>
    </w:p>
    <w:p w14:paraId="23D2E36F" w14:textId="53B9F77D" w:rsidR="00B338F1" w:rsidRDefault="00B338F1" w:rsidP="00B338F1">
      <w:pPr>
        <w:spacing w:after="120"/>
        <w:jc w:val="both"/>
        <w:rPr>
          <w:b/>
          <w:bCs/>
        </w:rPr>
      </w:pPr>
      <w:r w:rsidRPr="00B338F1">
        <w:rPr>
          <w:b/>
          <w:bCs/>
        </w:rPr>
        <w:t xml:space="preserve">Participation à la vie politique et la vie publique </w:t>
      </w:r>
    </w:p>
    <w:p w14:paraId="170882F0" w14:textId="5D6FA9A1" w:rsidR="00277462" w:rsidRPr="001F6D25" w:rsidRDefault="00B338F1" w:rsidP="00BB03B2">
      <w:pPr>
        <w:pStyle w:val="Paragraphedeliste"/>
        <w:numPr>
          <w:ilvl w:val="0"/>
          <w:numId w:val="6"/>
        </w:numPr>
        <w:spacing w:after="120" w:line="240" w:lineRule="auto"/>
        <w:jc w:val="both"/>
      </w:pPr>
      <w:r w:rsidRPr="00277462">
        <w:t xml:space="preserve">Les lois électorales </w:t>
      </w:r>
      <w:r w:rsidR="00277462" w:rsidRPr="00277462">
        <w:t>comportent</w:t>
      </w:r>
      <w:r w:rsidRPr="00277462">
        <w:t xml:space="preserve"> toujours des dispositions qui </w:t>
      </w:r>
      <w:r w:rsidR="00277462" w:rsidRPr="00277462">
        <w:t>privent les femmes détenues libérées de droit de candidature aux élections en exigeant un</w:t>
      </w:r>
      <w:r w:rsidR="00277462">
        <w:t xml:space="preserve"> casier judiciaire vierge</w:t>
      </w:r>
      <w:r w:rsidR="001F6D25">
        <w:t>,</w:t>
      </w:r>
      <w:r w:rsidR="00277462">
        <w:t xml:space="preserve"> </w:t>
      </w:r>
      <w:r w:rsidR="001F6D25">
        <w:t>a</w:t>
      </w:r>
      <w:r w:rsidR="00277462">
        <w:t xml:space="preserve">ussi les femmes détenues et </w:t>
      </w:r>
      <w:r w:rsidR="00277462" w:rsidRPr="001F6D25">
        <w:rPr>
          <w:lang w:val="fr-MA"/>
        </w:rPr>
        <w:t>malgré la plaidoirie continue de l’Observatoire Marocain des Prisons et le collectif associatif pour l’observation des élections, les lois électorales excluent la population carcérale du droit au vote et à la participation politique</w:t>
      </w:r>
      <w:r w:rsidR="001F6D25">
        <w:rPr>
          <w:lang w:val="fr-MA"/>
        </w:rPr>
        <w:t xml:space="preserve"> malgré que les lois n’interdisent pas le droit au vote</w:t>
      </w:r>
      <w:r w:rsidR="006E41C1">
        <w:rPr>
          <w:lang w:val="fr-MA"/>
        </w:rPr>
        <w:t xml:space="preserve"> pour la population carcerale.</w:t>
      </w:r>
    </w:p>
    <w:p w14:paraId="5304491F" w14:textId="44899CB2" w:rsidR="001F6D25" w:rsidRPr="00BB03B2" w:rsidRDefault="001F6D25" w:rsidP="00BB03B2">
      <w:pPr>
        <w:spacing w:after="120"/>
        <w:jc w:val="both"/>
        <w:rPr>
          <w:b/>
          <w:bCs/>
        </w:rPr>
      </w:pPr>
      <w:r w:rsidRPr="001F6D25">
        <w:rPr>
          <w:b/>
          <w:bCs/>
        </w:rPr>
        <w:t>Education</w:t>
      </w:r>
    </w:p>
    <w:p w14:paraId="373EDB49" w14:textId="51C7A167" w:rsidR="00EA39FF" w:rsidRPr="00FF146B" w:rsidRDefault="00EA39FF" w:rsidP="00BB03B2">
      <w:pPr>
        <w:pStyle w:val="Paragraphedeliste"/>
        <w:numPr>
          <w:ilvl w:val="0"/>
          <w:numId w:val="6"/>
        </w:numPr>
        <w:spacing w:after="0" w:line="240" w:lineRule="auto"/>
        <w:jc w:val="both"/>
      </w:pPr>
      <w:r>
        <w:t xml:space="preserve">En termes d’offres d’activités de formation et de réinsertion, il apparaît que ces dernières sont proposées autant pour les hommes que pour les femmes dans l’ensemble des établissements, qui disposent d’infrastructures et d’équipements dédiés à ces activités. Cependant, la nature des activités et les types d’équipements varient selon que les établissements sont mixtes ou dédiés aux femmes. Les établissements dédiés aux femmes proposent généralement des programmes de formation et de réinsertion qui sont conçus </w:t>
      </w:r>
      <w:r w:rsidRPr="00CA605E">
        <w:t>à l’image d’une culture traditionnelle de « répartition classique » des tâches entre les sexes (couture, tissage, coiffure, boulangerie, service d’étage…)</w:t>
      </w:r>
      <w:r>
        <w:t>, alors que dans les établissements pénitentiaires mixtes visités, nous constatons que ces derniers offrent plus de choix de formation (19 types d’activités), ainsi que des activités exclusivement pour les hommes. Le manque de programmes et cursus innovants pour les femmes, qui soient en phase avec l’évolution sociale et technologique du pays, ne favorisent pas leurs</w:t>
      </w:r>
      <w:r w:rsidRPr="00CA605E">
        <w:t xml:space="preserve"> possibilités de réinsertion</w:t>
      </w:r>
      <w:r>
        <w:t xml:space="preserve"> et </w:t>
      </w:r>
      <w:r w:rsidRPr="00CA605E">
        <w:t xml:space="preserve">d’autonomisation </w:t>
      </w:r>
      <w:r>
        <w:t xml:space="preserve">économique à leur sortie de prison. </w:t>
      </w:r>
    </w:p>
    <w:p w14:paraId="4DB14BC8" w14:textId="25B5220E" w:rsidR="00EA39FF" w:rsidRDefault="00EA39FF" w:rsidP="00EA39FF">
      <w:pPr>
        <w:pStyle w:val="Paragraphedeliste"/>
        <w:spacing w:after="120"/>
        <w:jc w:val="both"/>
      </w:pPr>
    </w:p>
    <w:p w14:paraId="5A3CC5B1" w14:textId="7597498B" w:rsidR="004D2D20" w:rsidRPr="00BB03B2" w:rsidRDefault="00EA39FF" w:rsidP="00BB03B2">
      <w:pPr>
        <w:spacing w:after="120"/>
        <w:jc w:val="both"/>
        <w:rPr>
          <w:b/>
          <w:bCs/>
          <w:sz w:val="24"/>
          <w:szCs w:val="24"/>
        </w:rPr>
      </w:pPr>
      <w:r>
        <w:rPr>
          <w:b/>
          <w:bCs/>
          <w:sz w:val="24"/>
          <w:szCs w:val="24"/>
        </w:rPr>
        <w:t xml:space="preserve">SANTE </w:t>
      </w:r>
    </w:p>
    <w:p w14:paraId="6444E33E" w14:textId="12D3BB47" w:rsidR="00DC039D" w:rsidRPr="00BB03B2" w:rsidRDefault="00EE6981" w:rsidP="00BB03B2">
      <w:pPr>
        <w:pStyle w:val="graph"/>
        <w:numPr>
          <w:ilvl w:val="0"/>
          <w:numId w:val="6"/>
        </w:numPr>
        <w:spacing w:line="240" w:lineRule="auto"/>
        <w:jc w:val="both"/>
        <w:rPr>
          <w:sz w:val="22"/>
          <w:szCs w:val="22"/>
        </w:rPr>
      </w:pPr>
      <w:r w:rsidRPr="00BB03B2">
        <w:rPr>
          <w:sz w:val="22"/>
          <w:szCs w:val="22"/>
        </w:rPr>
        <w:t>L’OMP constate qu’e</w:t>
      </w:r>
      <w:r w:rsidR="00DC039D" w:rsidRPr="00BB03B2">
        <w:rPr>
          <w:sz w:val="22"/>
          <w:szCs w:val="22"/>
        </w:rPr>
        <w:t xml:space="preserve">n matière de santé que les établissements pénitentiaires dédiés aux femmes soient mieux dotés en termes de personnels soignants et de médecins, le nombre de personnels soignants et de médecins restent largement insuffisant par rapport aux besoins de la population carcérale, aussi bien féminine que masculine.  </w:t>
      </w:r>
    </w:p>
    <w:p w14:paraId="41CEA674" w14:textId="77777777" w:rsidR="00DC039D" w:rsidRPr="00BB03B2" w:rsidRDefault="00DC039D" w:rsidP="00BB03B2">
      <w:pPr>
        <w:pStyle w:val="graph"/>
        <w:spacing w:line="240" w:lineRule="auto"/>
        <w:ind w:left="720"/>
        <w:jc w:val="both"/>
        <w:rPr>
          <w:sz w:val="22"/>
          <w:szCs w:val="22"/>
        </w:rPr>
      </w:pPr>
      <w:r w:rsidRPr="00BB03B2">
        <w:rPr>
          <w:sz w:val="22"/>
          <w:szCs w:val="22"/>
        </w:rPr>
        <w:t xml:space="preserve">Un suivi gynécologique est mis en œuvre pour les femmes détenues et les consultations gynécoliogiques sont généralement réalisées selon les besoins et selon les cas. Environ deux cinquième du personnel médical chargé de l’examen et du traitement/suivi des femmes est de sexe féminin et trois cinquième mixte. Toutefois, les données récoltées ne permettent pas de renseigner sur la nature des soins qui sont promulgués aux femmes détenues par le personnel médical mixte. </w:t>
      </w:r>
    </w:p>
    <w:p w14:paraId="2FD47D51" w14:textId="6D4E08F2" w:rsidR="00DC039D" w:rsidRPr="00BB03B2" w:rsidRDefault="00DC039D" w:rsidP="00BB03B2">
      <w:pPr>
        <w:pStyle w:val="graph"/>
        <w:tabs>
          <w:tab w:val="left" w:pos="3756"/>
        </w:tabs>
        <w:spacing w:after="0" w:line="240" w:lineRule="auto"/>
        <w:ind w:left="720"/>
        <w:jc w:val="both"/>
        <w:rPr>
          <w:sz w:val="22"/>
          <w:szCs w:val="22"/>
        </w:rPr>
      </w:pPr>
      <w:r w:rsidRPr="00BB03B2">
        <w:rPr>
          <w:sz w:val="22"/>
          <w:szCs w:val="22"/>
        </w:rPr>
        <w:t>Les données récoltées</w:t>
      </w:r>
      <w:r w:rsidR="00EE6981" w:rsidRPr="00BB03B2">
        <w:rPr>
          <w:sz w:val="22"/>
          <w:szCs w:val="22"/>
        </w:rPr>
        <w:t xml:space="preserve"> par l’OMP</w:t>
      </w:r>
      <w:r w:rsidRPr="00BB03B2">
        <w:rPr>
          <w:sz w:val="22"/>
          <w:szCs w:val="22"/>
        </w:rPr>
        <w:t xml:space="preserve"> confirment également qu'un dispositif de soins psychiques est mis en œuvre pour les femmes détenues, ainsi qu’une prise en charge psychique spécifique pour les femmes victimes de violences sexuelles et conjugales. Cette prise en charge est effectuée en premier lieu par le personnel soignant de l'établissement, suivi des professionnels externes et enfin des associations.</w:t>
      </w:r>
    </w:p>
    <w:p w14:paraId="65BA3003" w14:textId="77777777" w:rsidR="00EE6981" w:rsidRDefault="00EE6981" w:rsidP="00DC039D">
      <w:pPr>
        <w:pStyle w:val="graph"/>
        <w:tabs>
          <w:tab w:val="left" w:pos="3756"/>
        </w:tabs>
        <w:spacing w:after="0"/>
        <w:ind w:left="720"/>
        <w:jc w:val="both"/>
      </w:pPr>
    </w:p>
    <w:p w14:paraId="0810A826" w14:textId="32D0C5EC" w:rsidR="00EE6981" w:rsidRDefault="00EE6981" w:rsidP="00EE6981">
      <w:pPr>
        <w:pStyle w:val="graph"/>
        <w:tabs>
          <w:tab w:val="left" w:pos="3756"/>
        </w:tabs>
        <w:spacing w:after="0"/>
        <w:jc w:val="both"/>
        <w:rPr>
          <w:b/>
          <w:bCs/>
        </w:rPr>
      </w:pPr>
      <w:r w:rsidRPr="00EE6981">
        <w:rPr>
          <w:b/>
          <w:bCs/>
        </w:rPr>
        <w:t xml:space="preserve">Mariage et Rapport Familiaux </w:t>
      </w:r>
    </w:p>
    <w:p w14:paraId="0E45B89E" w14:textId="23C83C9F" w:rsidR="00EE6981" w:rsidRDefault="00EE6981" w:rsidP="00EE6981">
      <w:pPr>
        <w:pStyle w:val="graph"/>
        <w:tabs>
          <w:tab w:val="left" w:pos="3756"/>
        </w:tabs>
        <w:spacing w:after="0"/>
        <w:jc w:val="both"/>
        <w:rPr>
          <w:b/>
          <w:bCs/>
        </w:rPr>
      </w:pPr>
    </w:p>
    <w:p w14:paraId="7B0D021C" w14:textId="17ED67EE" w:rsidR="00EE6981" w:rsidRDefault="00EE6981" w:rsidP="00BB03B2">
      <w:pPr>
        <w:pStyle w:val="Paragraphedeliste"/>
        <w:numPr>
          <w:ilvl w:val="0"/>
          <w:numId w:val="6"/>
        </w:numPr>
        <w:spacing w:after="0" w:line="240" w:lineRule="auto"/>
        <w:jc w:val="both"/>
      </w:pPr>
      <w:r>
        <w:t xml:space="preserve">Des mesures </w:t>
      </w:r>
      <w:r w:rsidRPr="002F6D51">
        <w:t>pour le maintien des liens familiaux</w:t>
      </w:r>
      <w:r>
        <w:t xml:space="preserve"> sont mises en place </w:t>
      </w:r>
      <w:r w:rsidRPr="004D0612">
        <w:t>dans les établissements pénitentiaires autant pour les femmes que pour les hommes : les visites familiales une fois pa</w:t>
      </w:r>
      <w:r>
        <w:t xml:space="preserve">r </w:t>
      </w:r>
      <w:r w:rsidRPr="004D0612">
        <w:t xml:space="preserve">semaine, les correspondances à la demande et sans limitation, les appels téléphoniques (à fréquence et durée variable, sur évaluation et décision du/de la directeur/trice de l’établissement).  Les détenues interrogées sur le sujet ont attesté de la possibilité de contacts </w:t>
      </w:r>
      <w:r w:rsidRPr="004D0612">
        <w:lastRenderedPageBreak/>
        <w:t>avec l’extérieur, mais leurs réponses reflètent leur propre vécu. En effet, bien que les</w:t>
      </w:r>
      <w:r>
        <w:t xml:space="preserve"> visites familiales soient</w:t>
      </w:r>
      <w:r w:rsidRPr="004D0612">
        <w:t xml:space="preserve"> autorisées une fois par semaine, seules 44% d’entre-elles sont visitées pas leur famille de façon hebdomadaire, 10% une fois par mois et 23% ne reçoivent pas de visite familiale.   Ceci vient attester de la double condamnation vécue par les femmes détenues, qui sont à la fois punies pour leurs crimes et délits par une peine privative de liberté, et rejetées par leurs familles et leurs proches, et plus généralement par la société</w:t>
      </w:r>
      <w:r>
        <w:t>. D’où l’importance de renforcer les programmes « </w:t>
      </w:r>
      <w:r w:rsidRPr="00EE6981">
        <w:rPr>
          <w:i/>
          <w:iCs/>
        </w:rPr>
        <w:t>d’empowerment</w:t>
      </w:r>
      <w:r>
        <w:t xml:space="preserve"> » et de formation académique et professionnelle en direction des femmes afin que ces dernières puissent être outillées à leur sortie de prison, en l’absence du soutien de la famille et de filets sociaux à même de faciliter leur réinsertion sociale et économique. </w:t>
      </w:r>
    </w:p>
    <w:p w14:paraId="121EF969" w14:textId="158DA247" w:rsidR="00AB67C4" w:rsidRPr="00D930E1" w:rsidRDefault="00AB67C4" w:rsidP="00BB03B2">
      <w:pPr>
        <w:pStyle w:val="Paragraphedeliste"/>
        <w:numPr>
          <w:ilvl w:val="1"/>
          <w:numId w:val="7"/>
        </w:numPr>
        <w:spacing w:line="240" w:lineRule="auto"/>
        <w:ind w:left="709"/>
        <w:jc w:val="both"/>
      </w:pPr>
      <w:r>
        <w:t>L’OMP appelle à</w:t>
      </w:r>
      <w:r w:rsidR="00FB12D0">
        <w:t xml:space="preserve">  </w:t>
      </w:r>
      <w:r>
        <w:t xml:space="preserve"> mettre en </w:t>
      </w:r>
      <w:r w:rsidR="00BB03B2">
        <w:t xml:space="preserve">place </w:t>
      </w:r>
      <w:r w:rsidR="00BB03B2" w:rsidRPr="00D930E1">
        <w:t>des</w:t>
      </w:r>
      <w:r w:rsidRPr="00D930E1">
        <w:t xml:space="preserve"> équipements adéquats pour les femmes mères et leurs enfants (crèches, garderies, espaces de jeux pour les enfants, nourriture et langes pour bébés, chambres réservées aux femmes avec enfants et sanitaires conformes aux normes).</w:t>
      </w:r>
    </w:p>
    <w:p w14:paraId="5BA1793B" w14:textId="54C7FB99" w:rsidR="00B87310" w:rsidRPr="006E788F" w:rsidRDefault="00AC4B10" w:rsidP="00B87310">
      <w:pPr>
        <w:jc w:val="both"/>
      </w:pPr>
      <w:r w:rsidRPr="006E788F">
        <w:rPr>
          <w:noProof/>
        </w:rPr>
        <w:drawing>
          <wp:anchor distT="0" distB="0" distL="114300" distR="114300" simplePos="0" relativeHeight="251659264" behindDoc="1" locked="0" layoutInCell="1" allowOverlap="1" wp14:anchorId="4BC27A78" wp14:editId="3BC9A85E">
            <wp:simplePos x="0" y="0"/>
            <wp:positionH relativeFrom="column">
              <wp:posOffset>10160</wp:posOffset>
            </wp:positionH>
            <wp:positionV relativeFrom="paragraph">
              <wp:posOffset>4535805</wp:posOffset>
            </wp:positionV>
            <wp:extent cx="5981700" cy="704850"/>
            <wp:effectExtent l="0" t="0" r="0" b="0"/>
            <wp:wrapTight wrapText="bothSides">
              <wp:wrapPolygon edited="0">
                <wp:start x="0" y="0"/>
                <wp:lineTo x="0" y="21016"/>
                <wp:lineTo x="21531" y="21016"/>
                <wp:lineTo x="21531" y="0"/>
                <wp:lineTo x="0" y="0"/>
              </wp:wrapPolygon>
            </wp:wrapTight>
            <wp:docPr id="3" name="Image 3" descr="adres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adress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81700" cy="70485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87310" w:rsidRPr="006E788F" w:rsidSect="00AC4B10">
      <w:footerReference w:type="default" r:id="rId10"/>
      <w:pgSz w:w="11906" w:h="16838"/>
      <w:pgMar w:top="851" w:right="1304" w:bottom="1418" w:left="1304" w:header="709" w:footer="1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49C9B" w14:textId="77777777" w:rsidR="0077323F" w:rsidRDefault="0077323F" w:rsidP="00A87DE8">
      <w:pPr>
        <w:spacing w:after="0" w:line="240" w:lineRule="auto"/>
      </w:pPr>
      <w:r>
        <w:separator/>
      </w:r>
    </w:p>
  </w:endnote>
  <w:endnote w:type="continuationSeparator" w:id="0">
    <w:p w14:paraId="33799121" w14:textId="77777777" w:rsidR="0077323F" w:rsidRDefault="0077323F" w:rsidP="00A87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037456"/>
      <w:docPartObj>
        <w:docPartGallery w:val="Page Numbers (Bottom of Page)"/>
        <w:docPartUnique/>
      </w:docPartObj>
    </w:sdtPr>
    <w:sdtEndPr/>
    <w:sdtContent>
      <w:p w14:paraId="7E0FB324" w14:textId="54F60D93" w:rsidR="00E73ADA" w:rsidRDefault="00E73ADA">
        <w:pPr>
          <w:pStyle w:val="Pieddepage"/>
        </w:pPr>
        <w:r>
          <w:rPr>
            <w:noProof/>
          </w:rPr>
          <mc:AlternateContent>
            <mc:Choice Requires="wps">
              <w:drawing>
                <wp:anchor distT="0" distB="0" distL="114300" distR="114300" simplePos="0" relativeHeight="251659264" behindDoc="0" locked="0" layoutInCell="0" allowOverlap="1" wp14:anchorId="659B9165" wp14:editId="571D6FB4">
                  <wp:simplePos x="0" y="0"/>
                  <wp:positionH relativeFrom="rightMargin">
                    <wp:align>left</wp:align>
                  </wp:positionH>
                  <mc:AlternateContent>
                    <mc:Choice Requires="wp14">
                      <wp:positionV relativeFrom="bottomMargin">
                        <wp14:pctPosVOffset>7000</wp14:pctPosVOffset>
                      </wp:positionV>
                    </mc:Choice>
                    <mc:Fallback>
                      <wp:positionV relativeFrom="page">
                        <wp:posOffset>9854565</wp:posOffset>
                      </wp:positionV>
                    </mc:Fallback>
                  </mc:AlternateContent>
                  <wp:extent cx="368300" cy="274320"/>
                  <wp:effectExtent l="9525" t="9525" r="12700" b="11430"/>
                  <wp:wrapNone/>
                  <wp:docPr id="1" name="Rectangle : carré corn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1C25B5BF" w14:textId="77777777" w:rsidR="00E73ADA" w:rsidRDefault="00E73ADA">
                              <w:pPr>
                                <w:jc w:val="center"/>
                              </w:pPr>
                              <w:r>
                                <w:fldChar w:fldCharType="begin"/>
                              </w:r>
                              <w:r>
                                <w:instrText>PAGE    \* MERGEFORMAT</w:instrText>
                              </w:r>
                              <w:r>
                                <w:fldChar w:fldCharType="separate"/>
                              </w:r>
                              <w:r>
                                <w:rPr>
                                  <w:sz w:val="16"/>
                                  <w:szCs w:val="16"/>
                                </w:rPr>
                                <w:t>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9B9165"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1"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" o:allowincell="f" adj="14135" strokecolor="gray" strokeweight=".25pt">
                  <v:textbox>
                    <w:txbxContent>
                      <w:p w14:paraId="1C25B5BF" w14:textId="77777777" w:rsidR="00E73ADA" w:rsidRDefault="00E73ADA">
                        <w:pPr>
                          <w:jc w:val="center"/>
                        </w:pPr>
                        <w:r>
                          <w:fldChar w:fldCharType="begin"/>
                        </w:r>
                        <w:r>
                          <w:instrText>PAGE    \* MERGEFORMAT</w:instrText>
                        </w:r>
                        <w:r>
                          <w:fldChar w:fldCharType="separate"/>
                        </w:r>
                        <w:r>
                          <w:rPr>
                            <w:sz w:val="16"/>
                            <w:szCs w:val="16"/>
                          </w:rPr>
                          <w:t>2</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83AC4" w14:textId="77777777" w:rsidR="0077323F" w:rsidRDefault="0077323F" w:rsidP="00A87DE8">
      <w:pPr>
        <w:spacing w:after="0" w:line="240" w:lineRule="auto"/>
      </w:pPr>
      <w:r>
        <w:separator/>
      </w:r>
    </w:p>
  </w:footnote>
  <w:footnote w:type="continuationSeparator" w:id="0">
    <w:p w14:paraId="26B669F0" w14:textId="77777777" w:rsidR="0077323F" w:rsidRDefault="0077323F" w:rsidP="00A87D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9pt;height:9pt" o:bullet="t">
        <v:imagedata r:id="rId1" o:title="BD14582_"/>
      </v:shape>
    </w:pict>
  </w:numPicBullet>
  <w:abstractNum w:abstractNumId="0" w15:restartNumberingAfterBreak="0">
    <w:nsid w:val="FFFFFF88"/>
    <w:multiLevelType w:val="singleLevel"/>
    <w:tmpl w:val="F5A8D02A"/>
    <w:lvl w:ilvl="0">
      <w:start w:val="1"/>
      <w:numFmt w:val="decimal"/>
      <w:lvlText w:val="%1."/>
      <w:lvlJc w:val="left"/>
      <w:pPr>
        <w:ind w:left="360" w:hanging="360"/>
      </w:pPr>
      <w:rPr>
        <w:rFonts w:hint="default"/>
        <w:color w:val="4472C4" w:themeColor="accent1"/>
      </w:rPr>
    </w:lvl>
  </w:abstractNum>
  <w:abstractNum w:abstractNumId="1" w15:restartNumberingAfterBreak="0">
    <w:nsid w:val="14B92D42"/>
    <w:multiLevelType w:val="hybridMultilevel"/>
    <w:tmpl w:val="74F0836C"/>
    <w:lvl w:ilvl="0" w:tplc="873EE212">
      <w:numFmt w:val="bullet"/>
      <w:lvlText w:val="-"/>
      <w:lvlJc w:val="left"/>
      <w:pPr>
        <w:ind w:left="720" w:hanging="360"/>
      </w:pPr>
      <w:rPr>
        <w:rFonts w:ascii="Calibri" w:eastAsia="Calibri" w:hAnsi="Calibri" w:cs="Calibri"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2" w15:restartNumberingAfterBreak="0">
    <w:nsid w:val="330516B9"/>
    <w:multiLevelType w:val="hybridMultilevel"/>
    <w:tmpl w:val="5F222A06"/>
    <w:lvl w:ilvl="0" w:tplc="01EADFE2">
      <w:start w:val="1"/>
      <w:numFmt w:val="bullet"/>
      <w:lvlText w:val="-"/>
      <w:lvlJc w:val="left"/>
      <w:pPr>
        <w:ind w:left="720" w:hanging="360"/>
      </w:pPr>
      <w:rPr>
        <w:rFonts w:ascii="Calibri" w:eastAsia="Calibri" w:hAnsi="Calibri" w:cs="Calibri" w:hint="default"/>
      </w:rPr>
    </w:lvl>
    <w:lvl w:ilvl="1" w:tplc="380C0003" w:tentative="1">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3" w15:restartNumberingAfterBreak="0">
    <w:nsid w:val="362C7BD9"/>
    <w:multiLevelType w:val="multilevel"/>
    <w:tmpl w:val="2E8E88B8"/>
    <w:numStyleLink w:val="Style1"/>
  </w:abstractNum>
  <w:abstractNum w:abstractNumId="4" w15:restartNumberingAfterBreak="0">
    <w:nsid w:val="39D31176"/>
    <w:multiLevelType w:val="multilevel"/>
    <w:tmpl w:val="2E8E88B8"/>
    <w:styleLink w:val="Style1"/>
    <w:lvl w:ilvl="0">
      <w:start w:val="1"/>
      <w:numFmt w:val="upperRoman"/>
      <w:pStyle w:val="Titre1"/>
      <w:lvlText w:val="%1."/>
      <w:lvlJc w:val="righ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Question"/>
      <w:lvlText w:val="%1.%2."/>
      <w:lvlJc w:val="left"/>
      <w:pPr>
        <w:ind w:left="716"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7966B23"/>
    <w:multiLevelType w:val="hybridMultilevel"/>
    <w:tmpl w:val="420E94E0"/>
    <w:lvl w:ilvl="0" w:tplc="040C0001">
      <w:start w:val="1"/>
      <w:numFmt w:val="bullet"/>
      <w:lvlText w:val=""/>
      <w:lvlJc w:val="left"/>
      <w:pPr>
        <w:ind w:left="720" w:hanging="360"/>
      </w:pPr>
      <w:rPr>
        <w:rFonts w:ascii="Symbol" w:hAnsi="Symbol" w:hint="default"/>
      </w:rPr>
    </w:lvl>
    <w:lvl w:ilvl="1" w:tplc="D6369120">
      <w:numFmt w:val="bullet"/>
      <w:lvlText w:val="-"/>
      <w:lvlJc w:val="left"/>
      <w:pPr>
        <w:ind w:left="1440" w:hanging="360"/>
      </w:pPr>
      <w:rPr>
        <w:rFonts w:ascii="Calibri" w:eastAsiaTheme="minorHAnsi" w:hAnsi="Calibri" w:cstheme="minorBid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6F27E28"/>
    <w:multiLevelType w:val="hybridMultilevel"/>
    <w:tmpl w:val="153AA814"/>
    <w:lvl w:ilvl="0" w:tplc="DF7AFE66">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48496881">
    <w:abstractNumId w:val="6"/>
  </w:num>
  <w:num w:numId="2" w16cid:durableId="158810349">
    <w:abstractNumId w:val="3"/>
    <w:lvlOverride w:ilvl="0">
      <w:lvl w:ilvl="0">
        <w:start w:val="1"/>
        <w:numFmt w:val="upperRoman"/>
        <w:pStyle w:val="Titre1"/>
        <w:lvlText w:val="%1."/>
        <w:lvlJc w:val="righ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lvlText w:val="%1.%2."/>
        <w:lvlJc w:val="left"/>
        <w:pPr>
          <w:ind w:left="716"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3" w16cid:durableId="861557730">
    <w:abstractNumId w:val="4"/>
  </w:num>
  <w:num w:numId="4" w16cid:durableId="1762948948">
    <w:abstractNumId w:val="3"/>
    <w:lvlOverride w:ilvl="0">
      <w:lvl w:ilvl="0">
        <w:start w:val="1"/>
        <w:numFmt w:val="upperRoman"/>
        <w:pStyle w:val="Titre1"/>
        <w:lvlText w:val="%1."/>
        <w:lvlJc w:val="righ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lvlText w:val="%1.%2."/>
        <w:lvlJc w:val="left"/>
        <w:pPr>
          <w:ind w:left="716"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5" w16cid:durableId="339167141">
    <w:abstractNumId w:val="1"/>
  </w:num>
  <w:num w:numId="6" w16cid:durableId="1496803221">
    <w:abstractNumId w:val="2"/>
  </w:num>
  <w:num w:numId="7" w16cid:durableId="969824186">
    <w:abstractNumId w:val="5"/>
  </w:num>
  <w:num w:numId="8" w16cid:durableId="728262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FC1"/>
    <w:rsid w:val="00013BBB"/>
    <w:rsid w:val="00022713"/>
    <w:rsid w:val="0003432C"/>
    <w:rsid w:val="000365CA"/>
    <w:rsid w:val="00076FF0"/>
    <w:rsid w:val="000E0294"/>
    <w:rsid w:val="000F1C6B"/>
    <w:rsid w:val="000F40AF"/>
    <w:rsid w:val="00114A2C"/>
    <w:rsid w:val="00131B17"/>
    <w:rsid w:val="00140ACF"/>
    <w:rsid w:val="0014221B"/>
    <w:rsid w:val="00194D31"/>
    <w:rsid w:val="001B6E36"/>
    <w:rsid w:val="001D3F7B"/>
    <w:rsid w:val="001F6D25"/>
    <w:rsid w:val="002669FF"/>
    <w:rsid w:val="00277462"/>
    <w:rsid w:val="002E259E"/>
    <w:rsid w:val="002E4D80"/>
    <w:rsid w:val="002F5029"/>
    <w:rsid w:val="003071DB"/>
    <w:rsid w:val="00334A87"/>
    <w:rsid w:val="003833F6"/>
    <w:rsid w:val="003C3386"/>
    <w:rsid w:val="003D51CC"/>
    <w:rsid w:val="0040743C"/>
    <w:rsid w:val="00441501"/>
    <w:rsid w:val="00443757"/>
    <w:rsid w:val="004475D2"/>
    <w:rsid w:val="00462644"/>
    <w:rsid w:val="00465360"/>
    <w:rsid w:val="00470FC5"/>
    <w:rsid w:val="004D2D20"/>
    <w:rsid w:val="004E4237"/>
    <w:rsid w:val="004E52B8"/>
    <w:rsid w:val="00550A8A"/>
    <w:rsid w:val="0055304D"/>
    <w:rsid w:val="005A1FC1"/>
    <w:rsid w:val="005C265D"/>
    <w:rsid w:val="005D2373"/>
    <w:rsid w:val="005D2670"/>
    <w:rsid w:val="005D277E"/>
    <w:rsid w:val="005D466A"/>
    <w:rsid w:val="005F5CBE"/>
    <w:rsid w:val="00631ECB"/>
    <w:rsid w:val="0066176F"/>
    <w:rsid w:val="00683E7C"/>
    <w:rsid w:val="006E01CB"/>
    <w:rsid w:val="006E41C1"/>
    <w:rsid w:val="006E788F"/>
    <w:rsid w:val="006F0C19"/>
    <w:rsid w:val="00735260"/>
    <w:rsid w:val="0077323F"/>
    <w:rsid w:val="00797C98"/>
    <w:rsid w:val="007F0F5A"/>
    <w:rsid w:val="00833497"/>
    <w:rsid w:val="008363A8"/>
    <w:rsid w:val="00855C0C"/>
    <w:rsid w:val="008A191C"/>
    <w:rsid w:val="008B001B"/>
    <w:rsid w:val="009037D5"/>
    <w:rsid w:val="00964520"/>
    <w:rsid w:val="009F3637"/>
    <w:rsid w:val="00A04BFB"/>
    <w:rsid w:val="00A12774"/>
    <w:rsid w:val="00A350AC"/>
    <w:rsid w:val="00A35ABC"/>
    <w:rsid w:val="00A647E5"/>
    <w:rsid w:val="00A87DE8"/>
    <w:rsid w:val="00AB2BC5"/>
    <w:rsid w:val="00AB67C4"/>
    <w:rsid w:val="00AC4B10"/>
    <w:rsid w:val="00B338F1"/>
    <w:rsid w:val="00B47F01"/>
    <w:rsid w:val="00B66B0E"/>
    <w:rsid w:val="00B87310"/>
    <w:rsid w:val="00B97BC4"/>
    <w:rsid w:val="00BB03B2"/>
    <w:rsid w:val="00BF00B1"/>
    <w:rsid w:val="00C0283A"/>
    <w:rsid w:val="00C23638"/>
    <w:rsid w:val="00C24C26"/>
    <w:rsid w:val="00D930E1"/>
    <w:rsid w:val="00DA770C"/>
    <w:rsid w:val="00DC039D"/>
    <w:rsid w:val="00E06E7A"/>
    <w:rsid w:val="00E27778"/>
    <w:rsid w:val="00E73ADA"/>
    <w:rsid w:val="00EA39FF"/>
    <w:rsid w:val="00EE6981"/>
    <w:rsid w:val="00F07319"/>
    <w:rsid w:val="00F5340F"/>
    <w:rsid w:val="00F7499B"/>
    <w:rsid w:val="00FA1BF5"/>
    <w:rsid w:val="00FB12D0"/>
    <w:rsid w:val="00FE2A27"/>
    <w:rsid w:val="00FE3E70"/>
  </w:rsids>
  <m:mathPr>
    <m:mathFont m:val="Cambria Math"/>
    <m:brkBin m:val="before"/>
    <m:brkBinSub m:val="--"/>
    <m:smallFrac m:val="0"/>
    <m:dispDef/>
    <m:lMargin m:val="0"/>
    <m:rMargin m:val="0"/>
    <m:defJc m:val="centerGroup"/>
    <m:wrapIndent m:val="1440"/>
    <m:intLim m:val="subSup"/>
    <m:naryLim m:val="undOvr"/>
  </m:mathPr>
  <w:themeFontLang w:val="fr-M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8C4E8"/>
  <w15:chartTrackingRefBased/>
  <w15:docId w15:val="{852AF025-157E-4964-A686-899B68292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M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C1"/>
    <w:pPr>
      <w:spacing w:after="200" w:line="276" w:lineRule="auto"/>
    </w:pPr>
    <w:rPr>
      <w:rFonts w:ascii="Calibri" w:eastAsia="Calibri" w:hAnsi="Calibri" w:cs="Arial"/>
      <w:lang w:val="fr-FR"/>
    </w:rPr>
  </w:style>
  <w:style w:type="paragraph" w:styleId="Titre1">
    <w:name w:val="heading 1"/>
    <w:basedOn w:val="Paragraphedeliste"/>
    <w:next w:val="Normal"/>
    <w:link w:val="Titre1Car"/>
    <w:uiPriority w:val="9"/>
    <w:qFormat/>
    <w:rsid w:val="00A87DE8"/>
    <w:pPr>
      <w:numPr>
        <w:numId w:val="2"/>
      </w:numPr>
      <w:spacing w:before="240" w:after="240" w:line="240" w:lineRule="auto"/>
      <w:jc w:val="both"/>
      <w:outlineLvl w:val="0"/>
    </w:pPr>
    <w:rPr>
      <w:rFonts w:asciiTheme="majorBidi" w:eastAsiaTheme="minorHAnsi" w:hAnsiTheme="majorBidi" w:cstheme="majorBidi"/>
      <w:b/>
      <w:bCs/>
      <w:color w:val="4472C4" w:themeColor="accent1"/>
      <w:sz w:val="28"/>
      <w:szCs w:val="28"/>
      <w:lang w:bidi="ar-M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extexposedshow">
    <w:name w:val="text_exposed_show"/>
    <w:basedOn w:val="Policepardfaut"/>
    <w:rsid w:val="005A1FC1"/>
  </w:style>
  <w:style w:type="paragraph" w:styleId="NormalWeb">
    <w:name w:val="Normal (Web)"/>
    <w:basedOn w:val="Normal"/>
    <w:uiPriority w:val="99"/>
    <w:semiHidden/>
    <w:unhideWhenUsed/>
    <w:rsid w:val="00B87310"/>
    <w:pPr>
      <w:spacing w:before="100" w:beforeAutospacing="1" w:after="100" w:afterAutospacing="1" w:line="240" w:lineRule="auto"/>
    </w:pPr>
    <w:rPr>
      <w:rFonts w:ascii="Times New Roman" w:eastAsia="Times New Roman" w:hAnsi="Times New Roman" w:cs="Times New Roman"/>
      <w:sz w:val="24"/>
      <w:szCs w:val="24"/>
      <w:lang w:val="fr-MA" w:eastAsia="fr-MA"/>
    </w:rPr>
  </w:style>
  <w:style w:type="character" w:customStyle="1" w:styleId="Titre1Car">
    <w:name w:val="Titre 1 Car"/>
    <w:basedOn w:val="Policepardfaut"/>
    <w:link w:val="Titre1"/>
    <w:uiPriority w:val="9"/>
    <w:rsid w:val="00A87DE8"/>
    <w:rPr>
      <w:rFonts w:asciiTheme="majorBidi" w:hAnsiTheme="majorBidi" w:cstheme="majorBidi"/>
      <w:b/>
      <w:bCs/>
      <w:color w:val="4472C4" w:themeColor="accent1"/>
      <w:sz w:val="28"/>
      <w:szCs w:val="28"/>
      <w:lang w:val="fr-FR" w:bidi="ar-MA"/>
    </w:rPr>
  </w:style>
  <w:style w:type="paragraph" w:styleId="Notedebasdepage">
    <w:name w:val="footnote text"/>
    <w:basedOn w:val="Normal"/>
    <w:link w:val="NotedebasdepageCar"/>
    <w:uiPriority w:val="99"/>
    <w:unhideWhenUsed/>
    <w:rsid w:val="00A87DE8"/>
    <w:pPr>
      <w:spacing w:after="0" w:line="240" w:lineRule="auto"/>
      <w:jc w:val="both"/>
    </w:pPr>
    <w:rPr>
      <w:rFonts w:asciiTheme="minorHAnsi" w:eastAsiaTheme="minorHAnsi" w:hAnsiTheme="minorHAnsi" w:cstheme="minorBidi"/>
      <w:sz w:val="20"/>
      <w:szCs w:val="20"/>
      <w:lang w:bidi="ar-MA"/>
    </w:rPr>
  </w:style>
  <w:style w:type="character" w:customStyle="1" w:styleId="NotedebasdepageCar">
    <w:name w:val="Note de bas de page Car"/>
    <w:basedOn w:val="Policepardfaut"/>
    <w:link w:val="Notedebasdepage"/>
    <w:uiPriority w:val="99"/>
    <w:rsid w:val="00A87DE8"/>
    <w:rPr>
      <w:sz w:val="20"/>
      <w:szCs w:val="20"/>
      <w:lang w:val="fr-FR" w:bidi="ar-MA"/>
    </w:rPr>
  </w:style>
  <w:style w:type="character" w:styleId="Appelnotedebasdep">
    <w:name w:val="footnote reference"/>
    <w:basedOn w:val="Policepardfaut"/>
    <w:uiPriority w:val="99"/>
    <w:semiHidden/>
    <w:unhideWhenUsed/>
    <w:rsid w:val="00A87DE8"/>
    <w:rPr>
      <w:vertAlign w:val="superscript"/>
    </w:rPr>
  </w:style>
  <w:style w:type="paragraph" w:customStyle="1" w:styleId="Question">
    <w:name w:val="Question"/>
    <w:basedOn w:val="Titre1"/>
    <w:rsid w:val="00A87DE8"/>
    <w:pPr>
      <w:numPr>
        <w:ilvl w:val="1"/>
        <w:numId w:val="3"/>
      </w:numPr>
      <w:tabs>
        <w:tab w:val="num" w:pos="360"/>
      </w:tabs>
      <w:spacing w:line="360" w:lineRule="auto"/>
    </w:pPr>
  </w:style>
  <w:style w:type="paragraph" w:customStyle="1" w:styleId="Sousquestion">
    <w:name w:val="Sous question"/>
    <w:basedOn w:val="Question"/>
    <w:qFormat/>
    <w:rsid w:val="00A87DE8"/>
    <w:pPr>
      <w:numPr>
        <w:ilvl w:val="2"/>
        <w:numId w:val="2"/>
      </w:numPr>
      <w:tabs>
        <w:tab w:val="num" w:pos="360"/>
      </w:tabs>
    </w:pPr>
  </w:style>
  <w:style w:type="character" w:styleId="Lienhypertexte">
    <w:name w:val="Hyperlink"/>
    <w:basedOn w:val="Policepardfaut"/>
    <w:uiPriority w:val="99"/>
    <w:unhideWhenUsed/>
    <w:rsid w:val="00A87DE8"/>
    <w:rPr>
      <w:color w:val="0563C1" w:themeColor="hyperlink"/>
      <w:u w:val="single"/>
    </w:rPr>
  </w:style>
  <w:style w:type="numbering" w:customStyle="1" w:styleId="Style1">
    <w:name w:val="Style1"/>
    <w:uiPriority w:val="99"/>
    <w:rsid w:val="00A87DE8"/>
    <w:pPr>
      <w:numPr>
        <w:numId w:val="3"/>
      </w:numPr>
    </w:pPr>
  </w:style>
  <w:style w:type="paragraph" w:styleId="Paragraphedeliste">
    <w:name w:val="List Paragraph"/>
    <w:basedOn w:val="Normal"/>
    <w:link w:val="ParagraphedelisteCar"/>
    <w:uiPriority w:val="34"/>
    <w:qFormat/>
    <w:rsid w:val="00A87DE8"/>
    <w:pPr>
      <w:ind w:left="720"/>
      <w:contextualSpacing/>
    </w:pPr>
  </w:style>
  <w:style w:type="paragraph" w:styleId="En-tte">
    <w:name w:val="header"/>
    <w:basedOn w:val="Normal"/>
    <w:link w:val="En-tteCar"/>
    <w:uiPriority w:val="99"/>
    <w:unhideWhenUsed/>
    <w:rsid w:val="00E73ADA"/>
    <w:pPr>
      <w:tabs>
        <w:tab w:val="center" w:pos="4536"/>
        <w:tab w:val="right" w:pos="9072"/>
      </w:tabs>
      <w:spacing w:after="0" w:line="240" w:lineRule="auto"/>
    </w:pPr>
  </w:style>
  <w:style w:type="character" w:customStyle="1" w:styleId="En-tteCar">
    <w:name w:val="En-tête Car"/>
    <w:basedOn w:val="Policepardfaut"/>
    <w:link w:val="En-tte"/>
    <w:uiPriority w:val="99"/>
    <w:rsid w:val="00E73ADA"/>
    <w:rPr>
      <w:rFonts w:ascii="Calibri" w:eastAsia="Calibri" w:hAnsi="Calibri" w:cs="Arial"/>
      <w:lang w:val="fr-FR"/>
    </w:rPr>
  </w:style>
  <w:style w:type="paragraph" w:styleId="Pieddepage">
    <w:name w:val="footer"/>
    <w:basedOn w:val="Normal"/>
    <w:link w:val="PieddepageCar"/>
    <w:uiPriority w:val="99"/>
    <w:unhideWhenUsed/>
    <w:rsid w:val="00E73AD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73ADA"/>
    <w:rPr>
      <w:rFonts w:ascii="Calibri" w:eastAsia="Calibri" w:hAnsi="Calibri" w:cs="Arial"/>
      <w:lang w:val="fr-FR"/>
    </w:rPr>
  </w:style>
  <w:style w:type="paragraph" w:customStyle="1" w:styleId="graph">
    <w:name w:val="graph"/>
    <w:basedOn w:val="Normal"/>
    <w:link w:val="graphCar"/>
    <w:qFormat/>
    <w:rsid w:val="00DC039D"/>
    <w:pPr>
      <w:jc w:val="center"/>
    </w:pPr>
    <w:rPr>
      <w:rFonts w:asciiTheme="minorHAnsi" w:eastAsiaTheme="minorHAnsi" w:hAnsiTheme="minorHAnsi" w:cstheme="minorBidi"/>
      <w:noProof/>
      <w:sz w:val="24"/>
      <w:szCs w:val="24"/>
      <w:lang w:bidi="ar-MA"/>
    </w:rPr>
  </w:style>
  <w:style w:type="character" w:customStyle="1" w:styleId="graphCar">
    <w:name w:val="graph Car"/>
    <w:basedOn w:val="Policepardfaut"/>
    <w:link w:val="graph"/>
    <w:rsid w:val="00DC039D"/>
    <w:rPr>
      <w:noProof/>
      <w:sz w:val="24"/>
      <w:szCs w:val="24"/>
      <w:lang w:val="fr-FR" w:bidi="ar-MA"/>
    </w:rPr>
  </w:style>
  <w:style w:type="character" w:customStyle="1" w:styleId="ParagraphedelisteCar">
    <w:name w:val="Paragraphe de liste Car"/>
    <w:basedOn w:val="Policepardfaut"/>
    <w:link w:val="Paragraphedeliste"/>
    <w:uiPriority w:val="34"/>
    <w:rsid w:val="006E788F"/>
    <w:rPr>
      <w:rFonts w:ascii="Calibri" w:eastAsia="Calibri" w:hAnsi="Calibri" w:cs="Arial"/>
      <w:lang w:val="fr-FR"/>
    </w:rPr>
  </w:style>
  <w:style w:type="character" w:styleId="lev">
    <w:name w:val="Strong"/>
    <w:basedOn w:val="Policepardfaut"/>
    <w:uiPriority w:val="22"/>
    <w:qFormat/>
    <w:rsid w:val="00465360"/>
    <w:rPr>
      <w:b/>
      <w:bCs/>
    </w:rPr>
  </w:style>
  <w:style w:type="paragraph" w:styleId="PrformatHTML">
    <w:name w:val="HTML Preformatted"/>
    <w:basedOn w:val="Normal"/>
    <w:link w:val="PrformatHTMLCar"/>
    <w:uiPriority w:val="99"/>
    <w:unhideWhenUsed/>
    <w:rsid w:val="008A191C"/>
    <w:pPr>
      <w:spacing w:after="0" w:line="240" w:lineRule="auto"/>
    </w:pPr>
    <w:rPr>
      <w:rFonts w:ascii="Consolas" w:eastAsiaTheme="minorHAnsi" w:hAnsi="Consolas" w:cs="Calibri"/>
      <w:color w:val="595959" w:themeColor="text1" w:themeTint="A6"/>
      <w:szCs w:val="20"/>
    </w:rPr>
  </w:style>
  <w:style w:type="character" w:customStyle="1" w:styleId="PrformatHTMLCar">
    <w:name w:val="Préformaté HTML Car"/>
    <w:basedOn w:val="Policepardfaut"/>
    <w:link w:val="PrformatHTML"/>
    <w:uiPriority w:val="99"/>
    <w:rsid w:val="008A191C"/>
    <w:rPr>
      <w:rFonts w:ascii="Consolas" w:hAnsi="Consolas" w:cs="Calibri"/>
      <w:color w:val="595959" w:themeColor="text1" w:themeTint="A6"/>
      <w:szCs w:val="20"/>
      <w:lang w:val="fr-FR"/>
    </w:rPr>
  </w:style>
  <w:style w:type="character" w:customStyle="1" w:styleId="jlqj4b">
    <w:name w:val="jlqj4b"/>
    <w:basedOn w:val="Policepardfaut"/>
    <w:rsid w:val="008A191C"/>
  </w:style>
  <w:style w:type="character" w:customStyle="1" w:styleId="viiyi">
    <w:name w:val="viiyi"/>
    <w:basedOn w:val="Policepardfaut"/>
    <w:rsid w:val="00131B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874473">
      <w:bodyDiv w:val="1"/>
      <w:marLeft w:val="0"/>
      <w:marRight w:val="0"/>
      <w:marTop w:val="0"/>
      <w:marBottom w:val="0"/>
      <w:divBdr>
        <w:top w:val="none" w:sz="0" w:space="0" w:color="auto"/>
        <w:left w:val="none" w:sz="0" w:space="0" w:color="auto"/>
        <w:bottom w:val="none" w:sz="0" w:space="0" w:color="auto"/>
        <w:right w:val="none" w:sz="0" w:space="0" w:color="auto"/>
      </w:divBdr>
    </w:div>
    <w:div w:id="976179734">
      <w:bodyDiv w:val="1"/>
      <w:marLeft w:val="0"/>
      <w:marRight w:val="0"/>
      <w:marTop w:val="0"/>
      <w:marBottom w:val="0"/>
      <w:divBdr>
        <w:top w:val="none" w:sz="0" w:space="0" w:color="auto"/>
        <w:left w:val="none" w:sz="0" w:space="0" w:color="auto"/>
        <w:bottom w:val="none" w:sz="0" w:space="0" w:color="auto"/>
        <w:right w:val="none" w:sz="0" w:space="0" w:color="auto"/>
      </w:divBdr>
      <w:divsChild>
        <w:div w:id="9154338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5F7DBA-3AED-4E3D-A53E-76D2E57DA42B}">
  <ds:schemaRefs>
    <ds:schemaRef ds:uri="http://schemas.openxmlformats.org/officeDocument/2006/bibliography"/>
  </ds:schemaRefs>
</ds:datastoreItem>
</file>

<file path=customXml/itemProps2.xml><?xml version="1.0" encoding="utf-8"?>
<ds:datastoreItem xmlns:ds="http://schemas.openxmlformats.org/officeDocument/2006/customXml" ds:itemID="{F56FD926-BC93-4D2C-95CA-626B858668C4}"/>
</file>

<file path=customXml/itemProps3.xml><?xml version="1.0" encoding="utf-8"?>
<ds:datastoreItem xmlns:ds="http://schemas.openxmlformats.org/officeDocument/2006/customXml" ds:itemID="{FFD28B24-2059-4F78-A91B-7C605325997D}"/>
</file>

<file path=customXml/itemProps4.xml><?xml version="1.0" encoding="utf-8"?>
<ds:datastoreItem xmlns:ds="http://schemas.openxmlformats.org/officeDocument/2006/customXml" ds:itemID="{8C93BE63-DE4B-404E-A785-08F285278D65}"/>
</file>

<file path=docProps/app.xml><?xml version="1.0" encoding="utf-8"?>
<Properties xmlns="http://schemas.openxmlformats.org/officeDocument/2006/extended-properties" xmlns:vt="http://schemas.openxmlformats.org/officeDocument/2006/docPropsVTypes">
  <Template>Normal</Template>
  <TotalTime>368</TotalTime>
  <Pages>7</Pages>
  <Words>3168</Words>
  <Characters>17425</Characters>
  <Application>Microsoft Office Word</Application>
  <DocSecurity>0</DocSecurity>
  <Lines>145</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BENBOUZID MOUHAMMADI</dc:creator>
  <cp:keywords/>
  <dc:description/>
  <cp:lastModifiedBy>BENBOUZID MOUHAMMADI</cp:lastModifiedBy>
  <cp:revision>30</cp:revision>
  <dcterms:created xsi:type="dcterms:W3CDTF">2022-05-13T14:51:00Z</dcterms:created>
  <dcterms:modified xsi:type="dcterms:W3CDTF">2022-05-16T17:15:00Z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