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73A" w:rsidRDefault="00A67455" w:rsidP="00E472B4">
      <w:pPr>
        <w:pStyle w:val="Title"/>
        <w:jc w:val="both"/>
        <w:rPr>
          <w:sz w:val="48"/>
        </w:rPr>
      </w:pPr>
      <w:r w:rsidRPr="00856483">
        <w:rPr>
          <w:sz w:val="48"/>
        </w:rPr>
        <w:t xml:space="preserve">Submission to the </w:t>
      </w:r>
      <w:r w:rsidR="00F22A12">
        <w:rPr>
          <w:sz w:val="48"/>
        </w:rPr>
        <w:t xml:space="preserve">UN </w:t>
      </w:r>
      <w:r w:rsidRPr="00856483">
        <w:rPr>
          <w:sz w:val="48"/>
        </w:rPr>
        <w:t>Committee on Economi</w:t>
      </w:r>
      <w:r w:rsidR="00E408C0">
        <w:rPr>
          <w:sz w:val="48"/>
        </w:rPr>
        <w:t xml:space="preserve">c, Social and Cultural Rights in relation to </w:t>
      </w:r>
      <w:r w:rsidRPr="00856483">
        <w:rPr>
          <w:sz w:val="48"/>
        </w:rPr>
        <w:t>Belgium</w:t>
      </w:r>
    </w:p>
    <w:p w:rsidR="00E408C0" w:rsidRPr="00E408C0" w:rsidRDefault="00E408C0" w:rsidP="00E408C0">
      <w:pPr>
        <w:pStyle w:val="Subtitle"/>
      </w:pPr>
      <w:r>
        <w:t>European Union Agency for Fundamental Rights, 24 January 2020</w:t>
      </w:r>
    </w:p>
    <w:sdt>
      <w:sdtPr>
        <w:rPr>
          <w:rFonts w:asciiTheme="minorHAnsi" w:eastAsiaTheme="minorHAnsi" w:hAnsiTheme="minorHAnsi" w:cstheme="minorBidi"/>
          <w:color w:val="auto"/>
          <w:sz w:val="22"/>
          <w:szCs w:val="22"/>
          <w:lang w:val="en-GB"/>
        </w:rPr>
        <w:id w:val="1420286980"/>
        <w:docPartObj>
          <w:docPartGallery w:val="Table of Contents"/>
          <w:docPartUnique/>
        </w:docPartObj>
      </w:sdtPr>
      <w:sdtEndPr>
        <w:rPr>
          <w:b/>
          <w:bCs/>
          <w:noProof/>
        </w:rPr>
      </w:sdtEndPr>
      <w:sdtContent>
        <w:p w:rsidR="00504A01" w:rsidRDefault="00504A01" w:rsidP="00E472B4">
          <w:pPr>
            <w:pStyle w:val="TOCHeading"/>
            <w:jc w:val="both"/>
          </w:pPr>
          <w:r>
            <w:t>Contents</w:t>
          </w:r>
        </w:p>
        <w:bookmarkStart w:id="0" w:name="_GoBack"/>
        <w:bookmarkEnd w:id="0"/>
        <w:p w:rsidR="00273A74" w:rsidRDefault="00504A01" w:rsidP="00273A74">
          <w:pPr>
            <w:pStyle w:val="TOC1"/>
            <w:rPr>
              <w:rFonts w:eastAsiaTheme="minorEastAsia"/>
              <w:noProof/>
              <w:lang w:eastAsia="en-GB"/>
            </w:rPr>
          </w:pPr>
          <w:r>
            <w:fldChar w:fldCharType="begin"/>
          </w:r>
          <w:r>
            <w:instrText xml:space="preserve"> TOC \o "1-3" \h \z \u </w:instrText>
          </w:r>
          <w:r>
            <w:fldChar w:fldCharType="separate"/>
          </w:r>
          <w:hyperlink w:anchor="_Toc30752943" w:history="1">
            <w:r w:rsidR="00273A74" w:rsidRPr="004436CF">
              <w:rPr>
                <w:rStyle w:val="Hyperlink"/>
                <w:noProof/>
              </w:rPr>
              <w:t>Summary of survey Results – minorities, discrimination, antisemitism</w:t>
            </w:r>
            <w:r w:rsidR="00273A74">
              <w:rPr>
                <w:noProof/>
                <w:webHidden/>
              </w:rPr>
              <w:tab/>
            </w:r>
            <w:r w:rsidR="00273A74">
              <w:rPr>
                <w:noProof/>
                <w:webHidden/>
              </w:rPr>
              <w:fldChar w:fldCharType="begin"/>
            </w:r>
            <w:r w:rsidR="00273A74">
              <w:rPr>
                <w:noProof/>
                <w:webHidden/>
              </w:rPr>
              <w:instrText xml:space="preserve"> PAGEREF _Toc30752943 \h </w:instrText>
            </w:r>
            <w:r w:rsidR="00273A74">
              <w:rPr>
                <w:noProof/>
                <w:webHidden/>
              </w:rPr>
            </w:r>
            <w:r w:rsidR="00273A74">
              <w:rPr>
                <w:noProof/>
                <w:webHidden/>
              </w:rPr>
              <w:fldChar w:fldCharType="separate"/>
            </w:r>
            <w:r w:rsidR="00273A74">
              <w:rPr>
                <w:noProof/>
                <w:webHidden/>
              </w:rPr>
              <w:t>2</w:t>
            </w:r>
            <w:r w:rsidR="00273A74">
              <w:rPr>
                <w:noProof/>
                <w:webHidden/>
              </w:rPr>
              <w:fldChar w:fldCharType="end"/>
            </w:r>
          </w:hyperlink>
        </w:p>
        <w:p w:rsidR="00273A74" w:rsidRDefault="00273A74" w:rsidP="00273A74">
          <w:pPr>
            <w:pStyle w:val="TOC1"/>
            <w:rPr>
              <w:rFonts w:eastAsiaTheme="minorEastAsia"/>
              <w:noProof/>
              <w:lang w:eastAsia="en-GB"/>
            </w:rPr>
          </w:pPr>
          <w:hyperlink w:anchor="_Toc30752944" w:history="1">
            <w:r w:rsidRPr="004436CF">
              <w:rPr>
                <w:rStyle w:val="Hyperlink"/>
                <w:noProof/>
              </w:rPr>
              <w:t>Right to adequate housing</w:t>
            </w:r>
            <w:r>
              <w:rPr>
                <w:noProof/>
                <w:webHidden/>
              </w:rPr>
              <w:tab/>
            </w:r>
            <w:r>
              <w:rPr>
                <w:noProof/>
                <w:webHidden/>
              </w:rPr>
              <w:fldChar w:fldCharType="begin"/>
            </w:r>
            <w:r>
              <w:rPr>
                <w:noProof/>
                <w:webHidden/>
              </w:rPr>
              <w:instrText xml:space="preserve"> PAGEREF _Toc30752944 \h </w:instrText>
            </w:r>
            <w:r>
              <w:rPr>
                <w:noProof/>
                <w:webHidden/>
              </w:rPr>
            </w:r>
            <w:r>
              <w:rPr>
                <w:noProof/>
                <w:webHidden/>
              </w:rPr>
              <w:fldChar w:fldCharType="separate"/>
            </w:r>
            <w:r>
              <w:rPr>
                <w:noProof/>
                <w:webHidden/>
              </w:rPr>
              <w:t>2</w:t>
            </w:r>
            <w:r>
              <w:rPr>
                <w:noProof/>
                <w:webHidden/>
              </w:rPr>
              <w:fldChar w:fldCharType="end"/>
            </w:r>
          </w:hyperlink>
        </w:p>
        <w:p w:rsidR="00273A74" w:rsidRDefault="00273A74" w:rsidP="00273A74">
          <w:pPr>
            <w:pStyle w:val="TOC1"/>
            <w:rPr>
              <w:rFonts w:eastAsiaTheme="minorEastAsia"/>
              <w:noProof/>
              <w:lang w:eastAsia="en-GB"/>
            </w:rPr>
          </w:pPr>
          <w:hyperlink w:anchor="_Toc30752945" w:history="1">
            <w:r w:rsidRPr="004436CF">
              <w:rPr>
                <w:rStyle w:val="Hyperlink"/>
                <w:noProof/>
              </w:rPr>
              <w:t>Human rights and business</w:t>
            </w:r>
            <w:r>
              <w:rPr>
                <w:noProof/>
                <w:webHidden/>
              </w:rPr>
              <w:tab/>
            </w:r>
            <w:r>
              <w:rPr>
                <w:noProof/>
                <w:webHidden/>
              </w:rPr>
              <w:fldChar w:fldCharType="begin"/>
            </w:r>
            <w:r>
              <w:rPr>
                <w:noProof/>
                <w:webHidden/>
              </w:rPr>
              <w:instrText xml:space="preserve"> PAGEREF _Toc30752945 \h </w:instrText>
            </w:r>
            <w:r>
              <w:rPr>
                <w:noProof/>
                <w:webHidden/>
              </w:rPr>
            </w:r>
            <w:r>
              <w:rPr>
                <w:noProof/>
                <w:webHidden/>
              </w:rPr>
              <w:fldChar w:fldCharType="separate"/>
            </w:r>
            <w:r>
              <w:rPr>
                <w:noProof/>
                <w:webHidden/>
              </w:rPr>
              <w:t>2</w:t>
            </w:r>
            <w:r>
              <w:rPr>
                <w:noProof/>
                <w:webHidden/>
              </w:rPr>
              <w:fldChar w:fldCharType="end"/>
            </w:r>
          </w:hyperlink>
        </w:p>
        <w:p w:rsidR="00273A74" w:rsidRDefault="00273A74" w:rsidP="00273A74">
          <w:pPr>
            <w:pStyle w:val="TOC1"/>
            <w:rPr>
              <w:rFonts w:eastAsiaTheme="minorEastAsia"/>
              <w:noProof/>
              <w:lang w:eastAsia="en-GB"/>
            </w:rPr>
          </w:pPr>
          <w:hyperlink w:anchor="_Toc30752946" w:history="1">
            <w:r w:rsidRPr="004436CF">
              <w:rPr>
                <w:rStyle w:val="Hyperlink"/>
                <w:noProof/>
              </w:rPr>
              <w:t>National Human Rights Institutions</w:t>
            </w:r>
            <w:r>
              <w:rPr>
                <w:noProof/>
                <w:webHidden/>
              </w:rPr>
              <w:tab/>
            </w:r>
            <w:r>
              <w:rPr>
                <w:noProof/>
                <w:webHidden/>
              </w:rPr>
              <w:fldChar w:fldCharType="begin"/>
            </w:r>
            <w:r>
              <w:rPr>
                <w:noProof/>
                <w:webHidden/>
              </w:rPr>
              <w:instrText xml:space="preserve"> PAGEREF _Toc30752946 \h </w:instrText>
            </w:r>
            <w:r>
              <w:rPr>
                <w:noProof/>
                <w:webHidden/>
              </w:rPr>
            </w:r>
            <w:r>
              <w:rPr>
                <w:noProof/>
                <w:webHidden/>
              </w:rPr>
              <w:fldChar w:fldCharType="separate"/>
            </w:r>
            <w:r>
              <w:rPr>
                <w:noProof/>
                <w:webHidden/>
              </w:rPr>
              <w:t>2</w:t>
            </w:r>
            <w:r>
              <w:rPr>
                <w:noProof/>
                <w:webHidden/>
              </w:rPr>
              <w:fldChar w:fldCharType="end"/>
            </w:r>
          </w:hyperlink>
        </w:p>
        <w:p w:rsidR="00273A74" w:rsidRDefault="00273A74" w:rsidP="00273A74">
          <w:pPr>
            <w:pStyle w:val="TOC1"/>
            <w:rPr>
              <w:rFonts w:eastAsiaTheme="minorEastAsia"/>
              <w:noProof/>
              <w:lang w:eastAsia="en-GB"/>
            </w:rPr>
          </w:pPr>
          <w:hyperlink w:anchor="_Toc30752947" w:history="1">
            <w:r w:rsidRPr="004436CF">
              <w:rPr>
                <w:rStyle w:val="Hyperlink"/>
                <w:noProof/>
              </w:rPr>
              <w:t>Maximum available resources</w:t>
            </w:r>
            <w:r>
              <w:rPr>
                <w:noProof/>
                <w:webHidden/>
              </w:rPr>
              <w:tab/>
            </w:r>
            <w:r>
              <w:rPr>
                <w:noProof/>
                <w:webHidden/>
              </w:rPr>
              <w:fldChar w:fldCharType="begin"/>
            </w:r>
            <w:r>
              <w:rPr>
                <w:noProof/>
                <w:webHidden/>
              </w:rPr>
              <w:instrText xml:space="preserve"> PAGEREF _Toc30752947 \h </w:instrText>
            </w:r>
            <w:r>
              <w:rPr>
                <w:noProof/>
                <w:webHidden/>
              </w:rPr>
            </w:r>
            <w:r>
              <w:rPr>
                <w:noProof/>
                <w:webHidden/>
              </w:rPr>
              <w:fldChar w:fldCharType="separate"/>
            </w:r>
            <w:r>
              <w:rPr>
                <w:noProof/>
                <w:webHidden/>
              </w:rPr>
              <w:t>3</w:t>
            </w:r>
            <w:r>
              <w:rPr>
                <w:noProof/>
                <w:webHidden/>
              </w:rPr>
              <w:fldChar w:fldCharType="end"/>
            </w:r>
          </w:hyperlink>
        </w:p>
        <w:p w:rsidR="00273A74" w:rsidRDefault="00273A74" w:rsidP="00273A74">
          <w:pPr>
            <w:pStyle w:val="TOC1"/>
            <w:rPr>
              <w:rFonts w:eastAsiaTheme="minorEastAsia"/>
              <w:noProof/>
              <w:lang w:eastAsia="en-GB"/>
            </w:rPr>
          </w:pPr>
          <w:hyperlink w:anchor="_Toc30752948" w:history="1">
            <w:r w:rsidRPr="004436CF">
              <w:rPr>
                <w:rStyle w:val="Hyperlink"/>
                <w:noProof/>
              </w:rPr>
              <w:t>Right of refugees and asylum seekers to an adequate standard of living</w:t>
            </w:r>
            <w:r>
              <w:rPr>
                <w:noProof/>
                <w:webHidden/>
              </w:rPr>
              <w:tab/>
            </w:r>
            <w:r>
              <w:rPr>
                <w:noProof/>
                <w:webHidden/>
              </w:rPr>
              <w:fldChar w:fldCharType="begin"/>
            </w:r>
            <w:r>
              <w:rPr>
                <w:noProof/>
                <w:webHidden/>
              </w:rPr>
              <w:instrText xml:space="preserve"> PAGEREF _Toc30752948 \h </w:instrText>
            </w:r>
            <w:r>
              <w:rPr>
                <w:noProof/>
                <w:webHidden/>
              </w:rPr>
            </w:r>
            <w:r>
              <w:rPr>
                <w:noProof/>
                <w:webHidden/>
              </w:rPr>
              <w:fldChar w:fldCharType="separate"/>
            </w:r>
            <w:r>
              <w:rPr>
                <w:noProof/>
                <w:webHidden/>
              </w:rPr>
              <w:t>3</w:t>
            </w:r>
            <w:r>
              <w:rPr>
                <w:noProof/>
                <w:webHidden/>
              </w:rPr>
              <w:fldChar w:fldCharType="end"/>
            </w:r>
          </w:hyperlink>
        </w:p>
        <w:p w:rsidR="00273A74" w:rsidRDefault="00273A74" w:rsidP="00273A74">
          <w:pPr>
            <w:pStyle w:val="TOC1"/>
            <w:rPr>
              <w:rFonts w:eastAsiaTheme="minorEastAsia"/>
              <w:noProof/>
              <w:lang w:eastAsia="en-GB"/>
            </w:rPr>
          </w:pPr>
          <w:hyperlink w:anchor="_Toc30752949" w:history="1">
            <w:r w:rsidRPr="004436CF">
              <w:rPr>
                <w:rStyle w:val="Hyperlink"/>
                <w:noProof/>
              </w:rPr>
              <w:t>Climate change</w:t>
            </w:r>
            <w:r>
              <w:rPr>
                <w:noProof/>
                <w:webHidden/>
              </w:rPr>
              <w:tab/>
            </w:r>
            <w:r>
              <w:rPr>
                <w:noProof/>
                <w:webHidden/>
              </w:rPr>
              <w:fldChar w:fldCharType="begin"/>
            </w:r>
            <w:r>
              <w:rPr>
                <w:noProof/>
                <w:webHidden/>
              </w:rPr>
              <w:instrText xml:space="preserve"> PAGEREF _Toc30752949 \h </w:instrText>
            </w:r>
            <w:r>
              <w:rPr>
                <w:noProof/>
                <w:webHidden/>
              </w:rPr>
            </w:r>
            <w:r>
              <w:rPr>
                <w:noProof/>
                <w:webHidden/>
              </w:rPr>
              <w:fldChar w:fldCharType="separate"/>
            </w:r>
            <w:r>
              <w:rPr>
                <w:noProof/>
                <w:webHidden/>
              </w:rPr>
              <w:t>4</w:t>
            </w:r>
            <w:r>
              <w:rPr>
                <w:noProof/>
                <w:webHidden/>
              </w:rPr>
              <w:fldChar w:fldCharType="end"/>
            </w:r>
          </w:hyperlink>
        </w:p>
        <w:p w:rsidR="00273A74" w:rsidRDefault="00273A74" w:rsidP="00273A74">
          <w:pPr>
            <w:pStyle w:val="TOC1"/>
            <w:rPr>
              <w:rFonts w:eastAsiaTheme="minorEastAsia"/>
              <w:noProof/>
              <w:lang w:eastAsia="en-GB"/>
            </w:rPr>
          </w:pPr>
          <w:hyperlink w:anchor="_Toc30752950" w:history="1">
            <w:r w:rsidRPr="004436CF">
              <w:rPr>
                <w:rStyle w:val="Hyperlink"/>
                <w:noProof/>
              </w:rPr>
              <w:t>Sustainable development objectives</w:t>
            </w:r>
            <w:r>
              <w:rPr>
                <w:noProof/>
                <w:webHidden/>
              </w:rPr>
              <w:tab/>
            </w:r>
            <w:r>
              <w:rPr>
                <w:noProof/>
                <w:webHidden/>
              </w:rPr>
              <w:fldChar w:fldCharType="begin"/>
            </w:r>
            <w:r>
              <w:rPr>
                <w:noProof/>
                <w:webHidden/>
              </w:rPr>
              <w:instrText xml:space="preserve"> PAGEREF _Toc30752950 \h </w:instrText>
            </w:r>
            <w:r>
              <w:rPr>
                <w:noProof/>
                <w:webHidden/>
              </w:rPr>
            </w:r>
            <w:r>
              <w:rPr>
                <w:noProof/>
                <w:webHidden/>
              </w:rPr>
              <w:fldChar w:fldCharType="separate"/>
            </w:r>
            <w:r>
              <w:rPr>
                <w:noProof/>
                <w:webHidden/>
              </w:rPr>
              <w:t>4</w:t>
            </w:r>
            <w:r>
              <w:rPr>
                <w:noProof/>
                <w:webHidden/>
              </w:rPr>
              <w:fldChar w:fldCharType="end"/>
            </w:r>
          </w:hyperlink>
        </w:p>
        <w:p w:rsidR="00273A74" w:rsidRDefault="00273A74" w:rsidP="00273A74">
          <w:pPr>
            <w:pStyle w:val="TOC1"/>
            <w:rPr>
              <w:rFonts w:eastAsiaTheme="minorEastAsia"/>
              <w:noProof/>
              <w:lang w:eastAsia="en-GB"/>
            </w:rPr>
          </w:pPr>
          <w:hyperlink w:anchor="_Toc30752951" w:history="1">
            <w:r w:rsidRPr="004436CF">
              <w:rPr>
                <w:rStyle w:val="Hyperlink"/>
                <w:noProof/>
              </w:rPr>
              <w:t>Non-discrimination</w:t>
            </w:r>
            <w:r>
              <w:rPr>
                <w:noProof/>
                <w:webHidden/>
              </w:rPr>
              <w:tab/>
            </w:r>
            <w:r>
              <w:rPr>
                <w:noProof/>
                <w:webHidden/>
              </w:rPr>
              <w:fldChar w:fldCharType="begin"/>
            </w:r>
            <w:r>
              <w:rPr>
                <w:noProof/>
                <w:webHidden/>
              </w:rPr>
              <w:instrText xml:space="preserve"> PAGEREF _Toc30752951 \h </w:instrText>
            </w:r>
            <w:r>
              <w:rPr>
                <w:noProof/>
                <w:webHidden/>
              </w:rPr>
            </w:r>
            <w:r>
              <w:rPr>
                <w:noProof/>
                <w:webHidden/>
              </w:rPr>
              <w:fldChar w:fldCharType="separate"/>
            </w:r>
            <w:r>
              <w:rPr>
                <w:noProof/>
                <w:webHidden/>
              </w:rPr>
              <w:t>4</w:t>
            </w:r>
            <w:r>
              <w:rPr>
                <w:noProof/>
                <w:webHidden/>
              </w:rPr>
              <w:fldChar w:fldCharType="end"/>
            </w:r>
          </w:hyperlink>
        </w:p>
        <w:p w:rsidR="00273A74" w:rsidRDefault="00273A74" w:rsidP="00273A74">
          <w:pPr>
            <w:pStyle w:val="TOC1"/>
            <w:rPr>
              <w:rFonts w:eastAsiaTheme="minorEastAsia"/>
              <w:noProof/>
              <w:lang w:eastAsia="en-GB"/>
            </w:rPr>
          </w:pPr>
          <w:hyperlink w:anchor="_Toc30752952" w:history="1">
            <w:r w:rsidRPr="004436CF">
              <w:rPr>
                <w:rStyle w:val="Hyperlink"/>
                <w:noProof/>
              </w:rPr>
              <w:t>Right to work</w:t>
            </w:r>
            <w:r>
              <w:rPr>
                <w:noProof/>
                <w:webHidden/>
              </w:rPr>
              <w:tab/>
            </w:r>
            <w:r>
              <w:rPr>
                <w:noProof/>
                <w:webHidden/>
              </w:rPr>
              <w:fldChar w:fldCharType="begin"/>
            </w:r>
            <w:r>
              <w:rPr>
                <w:noProof/>
                <w:webHidden/>
              </w:rPr>
              <w:instrText xml:space="preserve"> PAGEREF _Toc30752952 \h </w:instrText>
            </w:r>
            <w:r>
              <w:rPr>
                <w:noProof/>
                <w:webHidden/>
              </w:rPr>
            </w:r>
            <w:r>
              <w:rPr>
                <w:noProof/>
                <w:webHidden/>
              </w:rPr>
              <w:fldChar w:fldCharType="separate"/>
            </w:r>
            <w:r>
              <w:rPr>
                <w:noProof/>
                <w:webHidden/>
              </w:rPr>
              <w:t>8</w:t>
            </w:r>
            <w:r>
              <w:rPr>
                <w:noProof/>
                <w:webHidden/>
              </w:rPr>
              <w:fldChar w:fldCharType="end"/>
            </w:r>
          </w:hyperlink>
        </w:p>
        <w:p w:rsidR="00273A74" w:rsidRDefault="00273A74" w:rsidP="00273A74">
          <w:pPr>
            <w:pStyle w:val="TOC1"/>
            <w:rPr>
              <w:rFonts w:eastAsiaTheme="minorEastAsia"/>
              <w:noProof/>
              <w:lang w:eastAsia="en-GB"/>
            </w:rPr>
          </w:pPr>
          <w:hyperlink w:anchor="_Toc30752953" w:history="1">
            <w:r w:rsidRPr="004436CF">
              <w:rPr>
                <w:rStyle w:val="Hyperlink"/>
                <w:noProof/>
              </w:rPr>
              <w:t>Right to just and favourable conditions of work</w:t>
            </w:r>
            <w:r>
              <w:rPr>
                <w:noProof/>
                <w:webHidden/>
              </w:rPr>
              <w:tab/>
            </w:r>
            <w:r>
              <w:rPr>
                <w:noProof/>
                <w:webHidden/>
              </w:rPr>
              <w:fldChar w:fldCharType="begin"/>
            </w:r>
            <w:r>
              <w:rPr>
                <w:noProof/>
                <w:webHidden/>
              </w:rPr>
              <w:instrText xml:space="preserve"> PAGEREF _Toc30752953 \h </w:instrText>
            </w:r>
            <w:r>
              <w:rPr>
                <w:noProof/>
                <w:webHidden/>
              </w:rPr>
            </w:r>
            <w:r>
              <w:rPr>
                <w:noProof/>
                <w:webHidden/>
              </w:rPr>
              <w:fldChar w:fldCharType="separate"/>
            </w:r>
            <w:r>
              <w:rPr>
                <w:noProof/>
                <w:webHidden/>
              </w:rPr>
              <w:t>8</w:t>
            </w:r>
            <w:r>
              <w:rPr>
                <w:noProof/>
                <w:webHidden/>
              </w:rPr>
              <w:fldChar w:fldCharType="end"/>
            </w:r>
          </w:hyperlink>
        </w:p>
        <w:p w:rsidR="00273A74" w:rsidRDefault="00273A74" w:rsidP="00273A74">
          <w:pPr>
            <w:pStyle w:val="TOC1"/>
            <w:rPr>
              <w:rFonts w:eastAsiaTheme="minorEastAsia"/>
              <w:noProof/>
              <w:lang w:eastAsia="en-GB"/>
            </w:rPr>
          </w:pPr>
          <w:hyperlink w:anchor="_Toc30752954" w:history="1">
            <w:r w:rsidRPr="004436CF">
              <w:rPr>
                <w:rStyle w:val="Hyperlink"/>
                <w:noProof/>
              </w:rPr>
              <w:t>Trade union rights</w:t>
            </w:r>
            <w:r>
              <w:rPr>
                <w:noProof/>
                <w:webHidden/>
              </w:rPr>
              <w:tab/>
            </w:r>
            <w:r>
              <w:rPr>
                <w:noProof/>
                <w:webHidden/>
              </w:rPr>
              <w:fldChar w:fldCharType="begin"/>
            </w:r>
            <w:r>
              <w:rPr>
                <w:noProof/>
                <w:webHidden/>
              </w:rPr>
              <w:instrText xml:space="preserve"> PAGEREF _Toc30752954 \h </w:instrText>
            </w:r>
            <w:r>
              <w:rPr>
                <w:noProof/>
                <w:webHidden/>
              </w:rPr>
            </w:r>
            <w:r>
              <w:rPr>
                <w:noProof/>
                <w:webHidden/>
              </w:rPr>
              <w:fldChar w:fldCharType="separate"/>
            </w:r>
            <w:r>
              <w:rPr>
                <w:noProof/>
                <w:webHidden/>
              </w:rPr>
              <w:t>10</w:t>
            </w:r>
            <w:r>
              <w:rPr>
                <w:noProof/>
                <w:webHidden/>
              </w:rPr>
              <w:fldChar w:fldCharType="end"/>
            </w:r>
          </w:hyperlink>
        </w:p>
        <w:p w:rsidR="00273A74" w:rsidRDefault="00273A74" w:rsidP="00273A74">
          <w:pPr>
            <w:pStyle w:val="TOC1"/>
            <w:rPr>
              <w:rFonts w:eastAsiaTheme="minorEastAsia"/>
              <w:noProof/>
              <w:lang w:eastAsia="en-GB"/>
            </w:rPr>
          </w:pPr>
          <w:hyperlink w:anchor="_Toc30752955" w:history="1">
            <w:r w:rsidRPr="004436CF">
              <w:rPr>
                <w:rStyle w:val="Hyperlink"/>
                <w:noProof/>
              </w:rPr>
              <w:t>Right to social security</w:t>
            </w:r>
            <w:r>
              <w:rPr>
                <w:noProof/>
                <w:webHidden/>
              </w:rPr>
              <w:tab/>
            </w:r>
            <w:r>
              <w:rPr>
                <w:noProof/>
                <w:webHidden/>
              </w:rPr>
              <w:fldChar w:fldCharType="begin"/>
            </w:r>
            <w:r>
              <w:rPr>
                <w:noProof/>
                <w:webHidden/>
              </w:rPr>
              <w:instrText xml:space="preserve"> PAGEREF _Toc30752955 \h </w:instrText>
            </w:r>
            <w:r>
              <w:rPr>
                <w:noProof/>
                <w:webHidden/>
              </w:rPr>
            </w:r>
            <w:r>
              <w:rPr>
                <w:noProof/>
                <w:webHidden/>
              </w:rPr>
              <w:fldChar w:fldCharType="separate"/>
            </w:r>
            <w:r>
              <w:rPr>
                <w:noProof/>
                <w:webHidden/>
              </w:rPr>
              <w:t>10</w:t>
            </w:r>
            <w:r>
              <w:rPr>
                <w:noProof/>
                <w:webHidden/>
              </w:rPr>
              <w:fldChar w:fldCharType="end"/>
            </w:r>
          </w:hyperlink>
        </w:p>
        <w:p w:rsidR="00273A74" w:rsidRDefault="00273A74" w:rsidP="00273A74">
          <w:pPr>
            <w:pStyle w:val="TOC1"/>
            <w:rPr>
              <w:rFonts w:eastAsiaTheme="minorEastAsia"/>
              <w:noProof/>
              <w:lang w:eastAsia="en-GB"/>
            </w:rPr>
          </w:pPr>
          <w:hyperlink w:anchor="_Toc30752956" w:history="1">
            <w:r w:rsidRPr="004436CF">
              <w:rPr>
                <w:rStyle w:val="Hyperlink"/>
                <w:noProof/>
              </w:rPr>
              <w:t>Violence against women and children</w:t>
            </w:r>
            <w:r>
              <w:rPr>
                <w:noProof/>
                <w:webHidden/>
              </w:rPr>
              <w:tab/>
            </w:r>
            <w:r>
              <w:rPr>
                <w:noProof/>
                <w:webHidden/>
              </w:rPr>
              <w:fldChar w:fldCharType="begin"/>
            </w:r>
            <w:r>
              <w:rPr>
                <w:noProof/>
                <w:webHidden/>
              </w:rPr>
              <w:instrText xml:space="preserve"> PAGEREF _Toc30752956 \h </w:instrText>
            </w:r>
            <w:r>
              <w:rPr>
                <w:noProof/>
                <w:webHidden/>
              </w:rPr>
            </w:r>
            <w:r>
              <w:rPr>
                <w:noProof/>
                <w:webHidden/>
              </w:rPr>
              <w:fldChar w:fldCharType="separate"/>
            </w:r>
            <w:r>
              <w:rPr>
                <w:noProof/>
                <w:webHidden/>
              </w:rPr>
              <w:t>10</w:t>
            </w:r>
            <w:r>
              <w:rPr>
                <w:noProof/>
                <w:webHidden/>
              </w:rPr>
              <w:fldChar w:fldCharType="end"/>
            </w:r>
          </w:hyperlink>
        </w:p>
        <w:p w:rsidR="00273A74" w:rsidRDefault="00273A74" w:rsidP="00273A74">
          <w:pPr>
            <w:pStyle w:val="TOC1"/>
            <w:rPr>
              <w:rFonts w:eastAsiaTheme="minorEastAsia"/>
              <w:noProof/>
              <w:lang w:eastAsia="en-GB"/>
            </w:rPr>
          </w:pPr>
          <w:hyperlink w:anchor="_Toc30752957" w:history="1">
            <w:r w:rsidRPr="004436CF">
              <w:rPr>
                <w:rStyle w:val="Hyperlink"/>
                <w:noProof/>
              </w:rPr>
              <w:t>Poverty</w:t>
            </w:r>
            <w:r>
              <w:rPr>
                <w:noProof/>
                <w:webHidden/>
              </w:rPr>
              <w:tab/>
            </w:r>
            <w:r>
              <w:rPr>
                <w:noProof/>
                <w:webHidden/>
              </w:rPr>
              <w:fldChar w:fldCharType="begin"/>
            </w:r>
            <w:r>
              <w:rPr>
                <w:noProof/>
                <w:webHidden/>
              </w:rPr>
              <w:instrText xml:space="preserve"> PAGEREF _Toc30752957 \h </w:instrText>
            </w:r>
            <w:r>
              <w:rPr>
                <w:noProof/>
                <w:webHidden/>
              </w:rPr>
            </w:r>
            <w:r>
              <w:rPr>
                <w:noProof/>
                <w:webHidden/>
              </w:rPr>
              <w:fldChar w:fldCharType="separate"/>
            </w:r>
            <w:r>
              <w:rPr>
                <w:noProof/>
                <w:webHidden/>
              </w:rPr>
              <w:t>11</w:t>
            </w:r>
            <w:r>
              <w:rPr>
                <w:noProof/>
                <w:webHidden/>
              </w:rPr>
              <w:fldChar w:fldCharType="end"/>
            </w:r>
          </w:hyperlink>
        </w:p>
        <w:p w:rsidR="00273A74" w:rsidRDefault="00273A74" w:rsidP="00273A74">
          <w:pPr>
            <w:pStyle w:val="TOC1"/>
            <w:rPr>
              <w:rFonts w:eastAsiaTheme="minorEastAsia"/>
              <w:noProof/>
              <w:lang w:eastAsia="en-GB"/>
            </w:rPr>
          </w:pPr>
          <w:hyperlink w:anchor="_Toc30752958" w:history="1">
            <w:r w:rsidRPr="004436CF">
              <w:rPr>
                <w:rStyle w:val="Hyperlink"/>
                <w:noProof/>
              </w:rPr>
              <w:t>Right to food</w:t>
            </w:r>
            <w:r>
              <w:rPr>
                <w:noProof/>
                <w:webHidden/>
              </w:rPr>
              <w:tab/>
            </w:r>
            <w:r>
              <w:rPr>
                <w:noProof/>
                <w:webHidden/>
              </w:rPr>
              <w:fldChar w:fldCharType="begin"/>
            </w:r>
            <w:r>
              <w:rPr>
                <w:noProof/>
                <w:webHidden/>
              </w:rPr>
              <w:instrText xml:space="preserve"> PAGEREF _Toc30752958 \h </w:instrText>
            </w:r>
            <w:r>
              <w:rPr>
                <w:noProof/>
                <w:webHidden/>
              </w:rPr>
            </w:r>
            <w:r>
              <w:rPr>
                <w:noProof/>
                <w:webHidden/>
              </w:rPr>
              <w:fldChar w:fldCharType="separate"/>
            </w:r>
            <w:r>
              <w:rPr>
                <w:noProof/>
                <w:webHidden/>
              </w:rPr>
              <w:t>11</w:t>
            </w:r>
            <w:r>
              <w:rPr>
                <w:noProof/>
                <w:webHidden/>
              </w:rPr>
              <w:fldChar w:fldCharType="end"/>
            </w:r>
          </w:hyperlink>
        </w:p>
        <w:p w:rsidR="00273A74" w:rsidRDefault="00273A74" w:rsidP="00273A74">
          <w:pPr>
            <w:pStyle w:val="TOC1"/>
            <w:rPr>
              <w:rFonts w:eastAsiaTheme="minorEastAsia"/>
              <w:noProof/>
              <w:lang w:eastAsia="en-GB"/>
            </w:rPr>
          </w:pPr>
          <w:hyperlink w:anchor="_Toc30752959" w:history="1">
            <w:r w:rsidRPr="004436CF">
              <w:rPr>
                <w:rStyle w:val="Hyperlink"/>
                <w:noProof/>
              </w:rPr>
              <w:t>Right to physical and mental health</w:t>
            </w:r>
            <w:r>
              <w:rPr>
                <w:noProof/>
                <w:webHidden/>
              </w:rPr>
              <w:tab/>
            </w:r>
            <w:r>
              <w:rPr>
                <w:noProof/>
                <w:webHidden/>
              </w:rPr>
              <w:fldChar w:fldCharType="begin"/>
            </w:r>
            <w:r>
              <w:rPr>
                <w:noProof/>
                <w:webHidden/>
              </w:rPr>
              <w:instrText xml:space="preserve"> PAGEREF _Toc30752959 \h </w:instrText>
            </w:r>
            <w:r>
              <w:rPr>
                <w:noProof/>
                <w:webHidden/>
              </w:rPr>
            </w:r>
            <w:r>
              <w:rPr>
                <w:noProof/>
                <w:webHidden/>
              </w:rPr>
              <w:fldChar w:fldCharType="separate"/>
            </w:r>
            <w:r>
              <w:rPr>
                <w:noProof/>
                <w:webHidden/>
              </w:rPr>
              <w:t>11</w:t>
            </w:r>
            <w:r>
              <w:rPr>
                <w:noProof/>
                <w:webHidden/>
              </w:rPr>
              <w:fldChar w:fldCharType="end"/>
            </w:r>
          </w:hyperlink>
        </w:p>
        <w:p w:rsidR="00273A74" w:rsidRDefault="00273A74" w:rsidP="00273A74">
          <w:pPr>
            <w:pStyle w:val="TOC1"/>
            <w:rPr>
              <w:rFonts w:eastAsiaTheme="minorEastAsia"/>
              <w:noProof/>
              <w:lang w:eastAsia="en-GB"/>
            </w:rPr>
          </w:pPr>
          <w:hyperlink w:anchor="_Toc30752960" w:history="1">
            <w:r w:rsidRPr="004436CF">
              <w:rPr>
                <w:rStyle w:val="Hyperlink"/>
                <w:noProof/>
              </w:rPr>
              <w:t>Right to education</w:t>
            </w:r>
            <w:r>
              <w:rPr>
                <w:noProof/>
                <w:webHidden/>
              </w:rPr>
              <w:tab/>
            </w:r>
            <w:r>
              <w:rPr>
                <w:noProof/>
                <w:webHidden/>
              </w:rPr>
              <w:fldChar w:fldCharType="begin"/>
            </w:r>
            <w:r>
              <w:rPr>
                <w:noProof/>
                <w:webHidden/>
              </w:rPr>
              <w:instrText xml:space="preserve"> PAGEREF _Toc30752960 \h </w:instrText>
            </w:r>
            <w:r>
              <w:rPr>
                <w:noProof/>
                <w:webHidden/>
              </w:rPr>
            </w:r>
            <w:r>
              <w:rPr>
                <w:noProof/>
                <w:webHidden/>
              </w:rPr>
              <w:fldChar w:fldCharType="separate"/>
            </w:r>
            <w:r>
              <w:rPr>
                <w:noProof/>
                <w:webHidden/>
              </w:rPr>
              <w:t>11</w:t>
            </w:r>
            <w:r>
              <w:rPr>
                <w:noProof/>
                <w:webHidden/>
              </w:rPr>
              <w:fldChar w:fldCharType="end"/>
            </w:r>
          </w:hyperlink>
        </w:p>
        <w:p w:rsidR="00273A74" w:rsidRDefault="00273A74" w:rsidP="00273A74">
          <w:pPr>
            <w:pStyle w:val="TOC1"/>
            <w:rPr>
              <w:rFonts w:eastAsiaTheme="minorEastAsia"/>
              <w:noProof/>
              <w:lang w:eastAsia="en-GB"/>
            </w:rPr>
          </w:pPr>
          <w:hyperlink w:anchor="_Toc30752961" w:history="1">
            <w:r w:rsidRPr="004436CF">
              <w:rPr>
                <w:rStyle w:val="Hyperlink"/>
                <w:noProof/>
              </w:rPr>
              <w:t>Good practices</w:t>
            </w:r>
            <w:r>
              <w:rPr>
                <w:noProof/>
                <w:webHidden/>
              </w:rPr>
              <w:tab/>
            </w:r>
            <w:r>
              <w:rPr>
                <w:noProof/>
                <w:webHidden/>
              </w:rPr>
              <w:fldChar w:fldCharType="begin"/>
            </w:r>
            <w:r>
              <w:rPr>
                <w:noProof/>
                <w:webHidden/>
              </w:rPr>
              <w:instrText xml:space="preserve"> PAGEREF _Toc30752961 \h </w:instrText>
            </w:r>
            <w:r>
              <w:rPr>
                <w:noProof/>
                <w:webHidden/>
              </w:rPr>
            </w:r>
            <w:r>
              <w:rPr>
                <w:noProof/>
                <w:webHidden/>
              </w:rPr>
              <w:fldChar w:fldCharType="separate"/>
            </w:r>
            <w:r>
              <w:rPr>
                <w:noProof/>
                <w:webHidden/>
              </w:rPr>
              <w:t>12</w:t>
            </w:r>
            <w:r>
              <w:rPr>
                <w:noProof/>
                <w:webHidden/>
              </w:rPr>
              <w:fldChar w:fldCharType="end"/>
            </w:r>
          </w:hyperlink>
        </w:p>
        <w:p w:rsidR="00504A01" w:rsidRDefault="00504A01" w:rsidP="00E472B4">
          <w:pPr>
            <w:jc w:val="both"/>
            <w:rPr>
              <w:b/>
              <w:bCs/>
              <w:noProof/>
            </w:rPr>
          </w:pPr>
          <w:r>
            <w:rPr>
              <w:b/>
              <w:bCs/>
              <w:noProof/>
            </w:rPr>
            <w:fldChar w:fldCharType="end"/>
          </w:r>
        </w:p>
      </w:sdtContent>
    </w:sdt>
    <w:p w:rsidR="00E408C0" w:rsidRDefault="00E408C0" w:rsidP="00E408C0">
      <w:pPr>
        <w:pStyle w:val="Default"/>
        <w:jc w:val="both"/>
        <w:rPr>
          <w:rFonts w:asciiTheme="minorHAnsi" w:hAnsiTheme="minorHAnsi" w:cstheme="minorBidi"/>
          <w:color w:val="auto"/>
          <w:sz w:val="22"/>
          <w:szCs w:val="22"/>
        </w:rPr>
      </w:pPr>
    </w:p>
    <w:p w:rsidR="00E408C0" w:rsidRDefault="00E408C0" w:rsidP="00E408C0">
      <w:pPr>
        <w:pStyle w:val="Default"/>
        <w:jc w:val="both"/>
        <w:rPr>
          <w:rFonts w:asciiTheme="minorHAnsi" w:hAnsiTheme="minorHAnsi" w:cstheme="minorBidi"/>
          <w:color w:val="auto"/>
          <w:sz w:val="22"/>
          <w:szCs w:val="22"/>
        </w:rPr>
      </w:pPr>
    </w:p>
    <w:p w:rsidR="00E408C0" w:rsidRPr="00E408C0" w:rsidRDefault="00E408C0" w:rsidP="00E408C0">
      <w:pPr>
        <w:pStyle w:val="Default"/>
        <w:jc w:val="both"/>
        <w:rPr>
          <w:rFonts w:asciiTheme="minorHAnsi" w:hAnsiTheme="minorHAnsi" w:cstheme="minorBidi"/>
          <w:color w:val="auto"/>
          <w:sz w:val="22"/>
          <w:szCs w:val="22"/>
        </w:rPr>
      </w:pPr>
      <w:r w:rsidRPr="00E408C0">
        <w:rPr>
          <w:rFonts w:asciiTheme="minorHAnsi" w:hAnsiTheme="minorHAnsi" w:cstheme="minorBidi"/>
          <w:color w:val="auto"/>
          <w:sz w:val="22"/>
          <w:szCs w:val="22"/>
        </w:rPr>
        <w:t>The following extracts from reports published by the European Union Agency on Fundamental R</w:t>
      </w:r>
      <w:r w:rsidR="00273A74">
        <w:rPr>
          <w:rFonts w:asciiTheme="minorHAnsi" w:hAnsiTheme="minorHAnsi" w:cstheme="minorBidi"/>
          <w:color w:val="auto"/>
          <w:sz w:val="22"/>
          <w:szCs w:val="22"/>
        </w:rPr>
        <w:t>ights</w:t>
      </w:r>
      <w:r w:rsidR="00B47E22">
        <w:rPr>
          <w:rFonts w:asciiTheme="minorHAnsi" w:hAnsiTheme="minorHAnsi" w:cstheme="minorBidi"/>
          <w:color w:val="auto"/>
          <w:sz w:val="22"/>
          <w:szCs w:val="22"/>
        </w:rPr>
        <w:t xml:space="preserve"> are organised under headings corresponding to </w:t>
      </w:r>
      <w:r w:rsidRPr="00E408C0">
        <w:rPr>
          <w:rFonts w:asciiTheme="minorHAnsi" w:hAnsiTheme="minorHAnsi" w:cstheme="minorBidi"/>
          <w:color w:val="auto"/>
          <w:sz w:val="22"/>
          <w:szCs w:val="22"/>
        </w:rPr>
        <w:t xml:space="preserve">the list of issues (as appearing in E/C.12/BEL/QPR/5, 14 November 2018) – save for the first </w:t>
      </w:r>
      <w:r w:rsidR="00B47E22">
        <w:rPr>
          <w:rFonts w:asciiTheme="minorHAnsi" w:hAnsiTheme="minorHAnsi" w:cstheme="minorBidi"/>
          <w:color w:val="auto"/>
          <w:sz w:val="22"/>
          <w:szCs w:val="22"/>
        </w:rPr>
        <w:t>items</w:t>
      </w:r>
      <w:r w:rsidRPr="00E408C0">
        <w:rPr>
          <w:rFonts w:asciiTheme="minorHAnsi" w:hAnsiTheme="minorHAnsi" w:cstheme="minorBidi"/>
          <w:color w:val="auto"/>
          <w:sz w:val="22"/>
          <w:szCs w:val="22"/>
        </w:rPr>
        <w:t xml:space="preserve">, which </w:t>
      </w:r>
      <w:r w:rsidR="00B47E22">
        <w:rPr>
          <w:rFonts w:asciiTheme="minorHAnsi" w:hAnsiTheme="minorHAnsi" w:cstheme="minorBidi"/>
          <w:color w:val="auto"/>
          <w:sz w:val="22"/>
          <w:szCs w:val="22"/>
        </w:rPr>
        <w:t>are</w:t>
      </w:r>
      <w:r w:rsidRPr="00E408C0">
        <w:rPr>
          <w:rFonts w:asciiTheme="minorHAnsi" w:hAnsiTheme="minorHAnsi" w:cstheme="minorBidi"/>
          <w:color w:val="auto"/>
          <w:sz w:val="22"/>
          <w:szCs w:val="22"/>
        </w:rPr>
        <w:t xml:space="preserve"> more </w:t>
      </w:r>
      <w:r w:rsidR="00273A74">
        <w:rPr>
          <w:rFonts w:asciiTheme="minorHAnsi" w:hAnsiTheme="minorHAnsi" w:cstheme="minorBidi"/>
          <w:color w:val="auto"/>
          <w:sz w:val="22"/>
          <w:szCs w:val="22"/>
        </w:rPr>
        <w:t xml:space="preserve">for </w:t>
      </w:r>
      <w:r w:rsidRPr="00E408C0">
        <w:rPr>
          <w:rFonts w:asciiTheme="minorHAnsi" w:hAnsiTheme="minorHAnsi" w:cstheme="minorBidi"/>
          <w:color w:val="auto"/>
          <w:sz w:val="22"/>
          <w:szCs w:val="22"/>
        </w:rPr>
        <w:t xml:space="preserve">general reference. </w:t>
      </w:r>
      <w:r w:rsidR="00B47E22">
        <w:rPr>
          <w:rFonts w:asciiTheme="minorHAnsi" w:hAnsiTheme="minorHAnsi" w:cstheme="minorBidi"/>
          <w:color w:val="auto"/>
          <w:sz w:val="22"/>
          <w:szCs w:val="22"/>
        </w:rPr>
        <w:t xml:space="preserve">Where no relevant extracts from the EU Agency could be identified, these sections have been marked with N/A. </w:t>
      </w:r>
      <w:r w:rsidRPr="00E408C0">
        <w:rPr>
          <w:rFonts w:asciiTheme="minorHAnsi" w:hAnsiTheme="minorHAnsi" w:cstheme="minorBidi"/>
          <w:color w:val="auto"/>
          <w:sz w:val="22"/>
          <w:szCs w:val="22"/>
        </w:rPr>
        <w:t>Extracts are provided with hyperlinks and page references. Where extracts were usefully located under more than one heading, such duplicates have a grey background.</w:t>
      </w:r>
      <w:r w:rsidR="00675BE4">
        <w:rPr>
          <w:rFonts w:asciiTheme="minorHAnsi" w:hAnsiTheme="minorHAnsi" w:cstheme="minorBidi"/>
          <w:color w:val="auto"/>
          <w:sz w:val="22"/>
          <w:szCs w:val="22"/>
        </w:rPr>
        <w:t xml:space="preserve"> All references to Belgium have been highlighted in bold.</w:t>
      </w:r>
    </w:p>
    <w:p w:rsidR="00E408C0" w:rsidRDefault="00E408C0">
      <w:pPr>
        <w:rPr>
          <w:rFonts w:asciiTheme="majorHAnsi" w:eastAsiaTheme="majorEastAsia" w:hAnsiTheme="majorHAnsi" w:cstheme="majorBidi"/>
          <w:color w:val="2E74B5" w:themeColor="accent1" w:themeShade="BF"/>
          <w:sz w:val="32"/>
          <w:szCs w:val="32"/>
        </w:rPr>
      </w:pPr>
      <w:r>
        <w:br w:type="page"/>
      </w:r>
    </w:p>
    <w:p w:rsidR="00504A01" w:rsidRDefault="00504A01" w:rsidP="00E472B4">
      <w:pPr>
        <w:pStyle w:val="Heading1"/>
        <w:jc w:val="both"/>
      </w:pPr>
      <w:bookmarkStart w:id="1" w:name="_Toc30752943"/>
      <w:r>
        <w:lastRenderedPageBreak/>
        <w:t xml:space="preserve">Summary of </w:t>
      </w:r>
      <w:r w:rsidR="00675BE4">
        <w:t>survey</w:t>
      </w:r>
      <w:r>
        <w:t xml:space="preserve"> Results</w:t>
      </w:r>
      <w:r w:rsidR="00675BE4">
        <w:t xml:space="preserve"> – </w:t>
      </w:r>
      <w:r w:rsidR="00BE76AC">
        <w:t>minorities, discrimination, antisemitism</w:t>
      </w:r>
      <w:bookmarkEnd w:id="1"/>
    </w:p>
    <w:p w:rsidR="00504A01" w:rsidRDefault="00504A01" w:rsidP="009D5B99">
      <w:r>
        <w:t xml:space="preserve">An overview of the main results of the </w:t>
      </w:r>
      <w:r w:rsidRPr="00BE2DE6">
        <w:rPr>
          <w:i/>
        </w:rPr>
        <w:t>Second European Union Minorities and Discrimination Survey</w:t>
      </w:r>
      <w:r>
        <w:t xml:space="preserve"> (EU MIDIS II) for </w:t>
      </w:r>
      <w:r w:rsidRPr="00F02960">
        <w:rPr>
          <w:b/>
        </w:rPr>
        <w:t>Belgium</w:t>
      </w:r>
      <w:r>
        <w:t xml:space="preserve"> can be accessed at: </w:t>
      </w:r>
      <w:hyperlink r:id="rId8" w:history="1">
        <w:r>
          <w:rPr>
            <w:rStyle w:val="Hyperlink"/>
          </w:rPr>
          <w:t>https://fra.europa.eu/sites/default/files/fra_uploads/fra-2019-eu-midis-ii-summary-results-country-sheet-belgium_en.pdf</w:t>
        </w:r>
      </w:hyperlink>
    </w:p>
    <w:p w:rsidR="00675BE4" w:rsidRPr="00675BE4" w:rsidRDefault="00504A01" w:rsidP="00E472B4">
      <w:pPr>
        <w:jc w:val="both"/>
        <w:rPr>
          <w:color w:val="0563C1" w:themeColor="hyperlink"/>
          <w:u w:val="single"/>
        </w:rPr>
      </w:pPr>
      <w:r>
        <w:t xml:space="preserve">The EU MIDIS II Data Explorer page for </w:t>
      </w:r>
      <w:r w:rsidRPr="00F02960">
        <w:rPr>
          <w:b/>
        </w:rPr>
        <w:t>Belgium</w:t>
      </w:r>
      <w:r>
        <w:t xml:space="preserve"> is accessible at: </w:t>
      </w:r>
      <w:hyperlink r:id="rId9" w:history="1">
        <w:r>
          <w:rPr>
            <w:rStyle w:val="Hyperlink"/>
          </w:rPr>
          <w:t>https://fra.europa.eu/en/publications-and-resources/data-and-maps/survey-data-explorer-second-eu-minorities-discrimination-survey?locale=EN&amp;dataSource=EUMIDIS&amp;media=png&amp;width=740&amp;topic=1.+Discrimination&amp;question=pw_dis12overall10&amp;subset=AllSubset&amp;country=BE&amp;superSubset=02--Turkey,03--North-Africa&amp;plot=inCountry&amp;M2V=inCountry</w:t>
        </w:r>
      </w:hyperlink>
    </w:p>
    <w:p w:rsidR="00675BE4" w:rsidRPr="00BE2DE6" w:rsidRDefault="00675BE4" w:rsidP="00E472B4">
      <w:pPr>
        <w:jc w:val="both"/>
      </w:pPr>
      <w:r>
        <w:t xml:space="preserve">A country factsheet for </w:t>
      </w:r>
      <w:r w:rsidRPr="00675BE4">
        <w:rPr>
          <w:b/>
        </w:rPr>
        <w:t>Belgium</w:t>
      </w:r>
      <w:r>
        <w:t xml:space="preserve"> on the results of the Antisemitism survey can be accessed at: </w:t>
      </w:r>
      <w:hyperlink r:id="rId10" w:history="1">
        <w:r w:rsidRPr="00CA5BA9">
          <w:rPr>
            <w:rStyle w:val="Hyperlink"/>
          </w:rPr>
          <w:t>https://fra.europa.eu/sites/default/files/fra_uploads/fra-2019-2nd-survey-on-discrimination-and-hate-crime-against-jews-in-eu-ms-country-sheet-belgium_en.pdf</w:t>
        </w:r>
      </w:hyperlink>
      <w:r>
        <w:t xml:space="preserve"> </w:t>
      </w:r>
    </w:p>
    <w:p w:rsidR="00D326F2" w:rsidRDefault="00D326F2" w:rsidP="00E472B4">
      <w:pPr>
        <w:pStyle w:val="Heading1"/>
        <w:jc w:val="both"/>
      </w:pPr>
      <w:bookmarkStart w:id="2" w:name="_Toc30752944"/>
      <w:r>
        <w:t xml:space="preserve">Right to </w:t>
      </w:r>
      <w:r w:rsidR="00E51D08">
        <w:t xml:space="preserve">adequate </w:t>
      </w:r>
      <w:r>
        <w:t>housing</w:t>
      </w:r>
      <w:bookmarkEnd w:id="2"/>
    </w:p>
    <w:p w:rsidR="00F64F0F" w:rsidRDefault="00F64F0F" w:rsidP="00E472B4">
      <w:pPr>
        <w:jc w:val="both"/>
      </w:pPr>
      <w:r>
        <w:t>“The EU is also supporting the efforts of Member States by funding various housing programmes, the majority of which specifically support families. It does this through the Urban Innovative Actions funds, the Regional Policy EU Invest and the European Regional Development Fund or Cohesion Fund. The projects funded are very diverse, and [include] supporting housing for unaccompanied children in Antwerp (</w:t>
      </w:r>
      <w:r w:rsidRPr="00E21AF1">
        <w:rPr>
          <w:b/>
        </w:rPr>
        <w:t>Belgium</w:t>
      </w:r>
      <w:r>
        <w:t>).”</w:t>
      </w:r>
      <w:r w:rsidRPr="00212683">
        <w:t xml:space="preserve"> </w:t>
      </w:r>
      <w:r>
        <w:t xml:space="preserve">(FRA, </w:t>
      </w:r>
      <w:hyperlink r:id="rId11" w:history="1">
        <w:r w:rsidRPr="003D24B0">
          <w:rPr>
            <w:rStyle w:val="Hyperlink"/>
          </w:rPr>
          <w:t>Fundamental Rights Report 2018</w:t>
        </w:r>
      </w:hyperlink>
      <w:r>
        <w:t>, June 2018, p. 180)</w:t>
      </w:r>
    </w:p>
    <w:p w:rsidR="007110E2" w:rsidRDefault="00F64F0F" w:rsidP="00E472B4">
      <w:pPr>
        <w:jc w:val="both"/>
      </w:pPr>
      <w:r>
        <w:t xml:space="preserve">“In the Walloon region in </w:t>
      </w:r>
      <w:r w:rsidRPr="00FF4894">
        <w:rPr>
          <w:b/>
        </w:rPr>
        <w:t>Belgium</w:t>
      </w:r>
      <w:r>
        <w:t xml:space="preserve">, a new decree aims to extend the obligation to provide emergency housing; it introduces modifications to help bring unoccupied dwellings into use, and creates a mechanism to force the sale of social housing to its inhabitants.” (FRA, </w:t>
      </w:r>
      <w:hyperlink r:id="rId12" w:history="1">
        <w:r w:rsidRPr="003D24B0">
          <w:rPr>
            <w:rStyle w:val="Hyperlink"/>
          </w:rPr>
          <w:t>Fundamental Rights Report 2018</w:t>
        </w:r>
      </w:hyperlink>
      <w:r>
        <w:t>, June 2018, p. 180)</w:t>
      </w:r>
    </w:p>
    <w:p w:rsidR="0090408D" w:rsidRPr="007110E2" w:rsidRDefault="0090408D" w:rsidP="00E472B4">
      <w:pPr>
        <w:jc w:val="both"/>
      </w:pPr>
      <w:r>
        <w:t>“Other issues relating to housing include workers being homeless, living on the street, in train stations or in centres for homeless people (</w:t>
      </w:r>
      <w:r w:rsidRPr="003A25B6">
        <w:rPr>
          <w:b/>
        </w:rPr>
        <w:t>Belgium</w:t>
      </w:r>
      <w:r>
        <w:t>)</w:t>
      </w:r>
      <w:r w:rsidR="000B1C37">
        <w:t>.</w:t>
      </w:r>
      <w:r>
        <w:t>”</w:t>
      </w:r>
      <w:r w:rsidR="0013123C" w:rsidRPr="0013123C">
        <w:t xml:space="preserve"> </w:t>
      </w:r>
      <w:r w:rsidR="0013123C">
        <w:t xml:space="preserve">(FRA, </w:t>
      </w:r>
      <w:hyperlink r:id="rId13" w:history="1">
        <w:r w:rsidR="0013123C" w:rsidRPr="00313B70">
          <w:rPr>
            <w:rStyle w:val="Hyperlink"/>
          </w:rPr>
          <w:t>Protecting migrant workers from exploitation in the EU: workers’ perspectives</w:t>
        </w:r>
      </w:hyperlink>
      <w:r w:rsidR="0013123C">
        <w:t xml:space="preserve">, June 2019, p. </w:t>
      </w:r>
      <w:r w:rsidR="009A27CC">
        <w:t>53</w:t>
      </w:r>
      <w:r w:rsidR="0013123C">
        <w:t>)</w:t>
      </w:r>
    </w:p>
    <w:p w:rsidR="00D326F2" w:rsidRDefault="00D326F2" w:rsidP="00134751">
      <w:pPr>
        <w:pStyle w:val="Heading1"/>
        <w:tabs>
          <w:tab w:val="left" w:pos="6165"/>
        </w:tabs>
        <w:jc w:val="both"/>
      </w:pPr>
      <w:bookmarkStart w:id="3" w:name="_Toc30752945"/>
      <w:r>
        <w:t>Human rights and business</w:t>
      </w:r>
      <w:bookmarkEnd w:id="3"/>
      <w:r w:rsidR="00134751">
        <w:tab/>
      </w:r>
    </w:p>
    <w:p w:rsidR="008953AE" w:rsidRDefault="00776FFD" w:rsidP="00E472B4">
      <w:pPr>
        <w:jc w:val="both"/>
      </w:pPr>
      <w:r w:rsidRPr="002332CD">
        <w:rPr>
          <w:highlight w:val="lightGray"/>
        </w:rPr>
        <w:t xml:space="preserve">“An example of a useful document in this regard was found in </w:t>
      </w:r>
      <w:r w:rsidRPr="00134751">
        <w:rPr>
          <w:b/>
          <w:highlight w:val="lightGray"/>
        </w:rPr>
        <w:t>Belgium</w:t>
      </w:r>
      <w:r w:rsidRPr="002332CD">
        <w:rPr>
          <w:highlight w:val="lightGray"/>
        </w:rPr>
        <w:t>, where establishment of an information hub providing details on access to remedy in cases of business-related human rights abuse was provided in the National Action Plan for Business and Human Rights from 2017</w:t>
      </w:r>
      <w:r w:rsidR="00C17F1F" w:rsidRPr="002332CD">
        <w:rPr>
          <w:highlight w:val="lightGray"/>
        </w:rPr>
        <w:t>.</w:t>
      </w:r>
      <w:r w:rsidR="001E2190" w:rsidRPr="002332CD">
        <w:rPr>
          <w:highlight w:val="lightGray"/>
        </w:rPr>
        <w:t xml:space="preserve"> Following the plan’s recommendation, the Federal Institute for Sustainable Development published the brochure ‘Access to Remedy in Belgium’ in June 2018</w:t>
      </w:r>
      <w:r w:rsidR="004B4F6C" w:rsidRPr="002332CD">
        <w:rPr>
          <w:highlight w:val="lightGray"/>
        </w:rPr>
        <w:t>.”</w:t>
      </w:r>
      <w:r w:rsidR="001874AF" w:rsidRPr="002332CD">
        <w:rPr>
          <w:highlight w:val="lightGray"/>
        </w:rPr>
        <w:t xml:space="preserve"> (FRA, </w:t>
      </w:r>
      <w:hyperlink r:id="rId14" w:history="1">
        <w:r w:rsidR="00974878" w:rsidRPr="002332CD">
          <w:rPr>
            <w:rStyle w:val="Hyperlink"/>
            <w:highlight w:val="lightGray"/>
          </w:rPr>
          <w:t>Business-related human rights abuse reported in the EU and available remedies</w:t>
        </w:r>
      </w:hyperlink>
      <w:r w:rsidR="00974878" w:rsidRPr="002332CD">
        <w:rPr>
          <w:highlight w:val="lightGray"/>
        </w:rPr>
        <w:t>, December 2019, p. 16)</w:t>
      </w:r>
    </w:p>
    <w:p w:rsidR="008953AE" w:rsidRDefault="008953AE" w:rsidP="00E472B4">
      <w:pPr>
        <w:pStyle w:val="Heading1"/>
        <w:jc w:val="both"/>
      </w:pPr>
      <w:bookmarkStart w:id="4" w:name="_Toc30752946"/>
      <w:r>
        <w:t>National Human Rights Institutions</w:t>
      </w:r>
      <w:bookmarkEnd w:id="4"/>
    </w:p>
    <w:p w:rsidR="008953AE" w:rsidRPr="007A76B8" w:rsidRDefault="00BD40F2" w:rsidP="00E472B4">
      <w:pPr>
        <w:jc w:val="both"/>
      </w:pPr>
      <w:r w:rsidRPr="00F02960">
        <w:rPr>
          <w:b/>
        </w:rPr>
        <w:t>Belgium</w:t>
      </w:r>
      <w:r>
        <w:t xml:space="preserve"> has </w:t>
      </w:r>
      <w:r w:rsidR="007A76B8">
        <w:t xml:space="preserve">a B-Status accredited NHRI, which also serves as the country’s Equality Body: </w:t>
      </w:r>
      <w:proofErr w:type="spellStart"/>
      <w:r w:rsidR="007A76B8">
        <w:rPr>
          <w:i/>
        </w:rPr>
        <w:t>Unia</w:t>
      </w:r>
      <w:proofErr w:type="spellEnd"/>
      <w:r w:rsidR="007A76B8">
        <w:t xml:space="preserve"> (</w:t>
      </w:r>
      <w:proofErr w:type="spellStart"/>
      <w:r w:rsidR="007A76B8">
        <w:t>Interfederal</w:t>
      </w:r>
      <w:proofErr w:type="spellEnd"/>
      <w:r w:rsidR="007A76B8">
        <w:t xml:space="preserve"> Centre for Equal Opportunities and Opposition to Racism).</w:t>
      </w:r>
    </w:p>
    <w:p w:rsidR="00560E95" w:rsidRDefault="00BD40F2" w:rsidP="00E472B4">
      <w:pPr>
        <w:jc w:val="both"/>
      </w:pPr>
      <w:r>
        <w:t xml:space="preserve">FRA will release </w:t>
      </w:r>
      <w:r w:rsidR="00DD6606">
        <w:t>the</w:t>
      </w:r>
      <w:r>
        <w:t xml:space="preserve"> </w:t>
      </w:r>
      <w:r w:rsidR="00DD6606">
        <w:t>“</w:t>
      </w:r>
      <w:r w:rsidR="00DD6606" w:rsidRPr="00DD6606">
        <w:t>Strong and effective NHRIs: challenges, promising practices and opportunities</w:t>
      </w:r>
      <w:r w:rsidR="00DD6606">
        <w:t>” report</w:t>
      </w:r>
      <w:r>
        <w:t xml:space="preserve"> </w:t>
      </w:r>
      <w:r w:rsidR="00DD6606">
        <w:t xml:space="preserve">in May 2020. It will provide a comprehensive overview of the situations in which </w:t>
      </w:r>
      <w:r>
        <w:t xml:space="preserve">NHRIs across the EU Member States, North Macedonia and Serbia </w:t>
      </w:r>
      <w:r w:rsidR="00DD6606">
        <w:t>operate,</w:t>
      </w:r>
      <w:r w:rsidR="00873667">
        <w:t xml:space="preserve"> </w:t>
      </w:r>
      <w:r w:rsidR="00965DEA">
        <w:t xml:space="preserve">as well as </w:t>
      </w:r>
      <w:r w:rsidR="00873667">
        <w:t>the challenges they face.</w:t>
      </w:r>
      <w:r w:rsidR="00273A74">
        <w:t xml:space="preserve"> It also includes a section on the developments towards a new NHRI in </w:t>
      </w:r>
      <w:r w:rsidR="00273A74" w:rsidRPr="00273A74">
        <w:rPr>
          <w:b/>
        </w:rPr>
        <w:t>Belgium</w:t>
      </w:r>
      <w:r w:rsidR="00273A74">
        <w:t>.</w:t>
      </w:r>
    </w:p>
    <w:p w:rsidR="00363924" w:rsidRDefault="00363924" w:rsidP="00E472B4">
      <w:pPr>
        <w:pStyle w:val="Heading1"/>
        <w:jc w:val="both"/>
      </w:pPr>
      <w:bookmarkStart w:id="5" w:name="_Toc30752947"/>
      <w:r>
        <w:lastRenderedPageBreak/>
        <w:t>Maximum available resources</w:t>
      </w:r>
      <w:bookmarkEnd w:id="5"/>
    </w:p>
    <w:p w:rsidR="00363924" w:rsidRPr="00560E95" w:rsidRDefault="00CC7BCF" w:rsidP="00E472B4">
      <w:pPr>
        <w:jc w:val="both"/>
      </w:pPr>
      <w:r>
        <w:t>N/A</w:t>
      </w:r>
    </w:p>
    <w:p w:rsidR="00D326F2" w:rsidRDefault="00D326F2" w:rsidP="00E472B4">
      <w:pPr>
        <w:pStyle w:val="Heading1"/>
        <w:jc w:val="both"/>
      </w:pPr>
      <w:bookmarkStart w:id="6" w:name="_Toc30752948"/>
      <w:r>
        <w:t>Right of refugees and asylum seekers</w:t>
      </w:r>
      <w:r w:rsidR="00464A91">
        <w:t xml:space="preserve"> to an adequate standard of living</w:t>
      </w:r>
      <w:bookmarkEnd w:id="6"/>
    </w:p>
    <w:p w:rsidR="005E458C" w:rsidRDefault="005E458C" w:rsidP="00E472B4">
      <w:pPr>
        <w:jc w:val="both"/>
      </w:pPr>
      <w:r>
        <w:t xml:space="preserve">“Some Member States, however, created new detention centres or introduced legal changes that facilitate detention. In July 2018, </w:t>
      </w:r>
      <w:r w:rsidRPr="00D008AF">
        <w:rPr>
          <w:b/>
        </w:rPr>
        <w:t>Belgium</w:t>
      </w:r>
      <w:r>
        <w:t xml:space="preserve"> inaugurated a new closed detention centre for [immigrant] families with children pending return.</w:t>
      </w:r>
      <w:r w:rsidRPr="00F11FC0">
        <w:t xml:space="preserve"> </w:t>
      </w:r>
      <w:r>
        <w:t xml:space="preserve">The NGO Children on the Run has strongly criticised the facility.” (FRA, </w:t>
      </w:r>
      <w:hyperlink r:id="rId15" w:history="1">
        <w:r w:rsidRPr="00212B13">
          <w:rPr>
            <w:rStyle w:val="Hyperlink"/>
          </w:rPr>
          <w:t>Fundamental Rights Report 2019</w:t>
        </w:r>
      </w:hyperlink>
      <w:r>
        <w:t>, June 2019, p. 186)</w:t>
      </w:r>
    </w:p>
    <w:p w:rsidR="000D64EE" w:rsidRDefault="000D64EE" w:rsidP="00E472B4">
      <w:pPr>
        <w:jc w:val="both"/>
      </w:pPr>
      <w:r>
        <w:t xml:space="preserve">“In </w:t>
      </w:r>
      <w:r w:rsidRPr="00656802">
        <w:rPr>
          <w:b/>
        </w:rPr>
        <w:t>Belgium</w:t>
      </w:r>
      <w:r>
        <w:t>, the Federal Migration Centre (</w:t>
      </w:r>
      <w:proofErr w:type="spellStart"/>
      <w:r>
        <w:t>Myria</w:t>
      </w:r>
      <w:proofErr w:type="spellEnd"/>
      <w:r>
        <w:t xml:space="preserve">) and the NGO </w:t>
      </w:r>
      <w:proofErr w:type="spellStart"/>
      <w:r w:rsidRPr="001519F2">
        <w:rPr>
          <w:i/>
        </w:rPr>
        <w:t>Vluchtelingenwerk</w:t>
      </w:r>
      <w:proofErr w:type="spellEnd"/>
      <w:r w:rsidRPr="001519F2">
        <w:rPr>
          <w:i/>
        </w:rPr>
        <w:t xml:space="preserve"> </w:t>
      </w:r>
      <w:proofErr w:type="spellStart"/>
      <w:r w:rsidRPr="001519F2">
        <w:rPr>
          <w:i/>
        </w:rPr>
        <w:t>Vlaanderen</w:t>
      </w:r>
      <w:proofErr w:type="spellEnd"/>
      <w:r>
        <w:t xml:space="preserve"> stated that the growing backlog of asylum cases is a consistent concern. The NGO </w:t>
      </w:r>
      <w:proofErr w:type="spellStart"/>
      <w:r>
        <w:t>Ciré</w:t>
      </w:r>
      <w:proofErr w:type="spellEnd"/>
      <w:r>
        <w:t xml:space="preserve"> pointed out in a recent report that family reunification remains limited, which makes the integration of newcomers more difficult. Other persistent issues include the systematic detention in Belgium’s closed centres of asylum seekers who irregularly cross the border.” (FRA, </w:t>
      </w:r>
      <w:hyperlink r:id="rId16" w:history="1">
        <w:r w:rsidRPr="007934EB">
          <w:rPr>
            <w:rStyle w:val="Hyperlink"/>
          </w:rPr>
          <w:t>Migration: Key fundamental rights concerns - Quarterly bulletin 4</w:t>
        </w:r>
      </w:hyperlink>
      <w:r>
        <w:t>, November 2019, p. 6)</w:t>
      </w:r>
    </w:p>
    <w:p w:rsidR="000D64EE" w:rsidRDefault="000D64EE" w:rsidP="00E472B4">
      <w:pPr>
        <w:jc w:val="both"/>
      </w:pPr>
      <w:r>
        <w:t xml:space="preserve">“In </w:t>
      </w:r>
      <w:r w:rsidRPr="00656802">
        <w:rPr>
          <w:b/>
        </w:rPr>
        <w:t>Belgium</w:t>
      </w:r>
      <w:r>
        <w:t xml:space="preserve">, asylum applicants in detention faced difficulties in accessing meaningful legal assistance owing to a number of factors. These include the lack of pro bono lawyers specialised in migration/asylum law; the remoteness of some facilities; the detainees’ limited access to means of communication, such as telephones and the internet; as well as language barriers, according to a report published by the NGO NANSEN.” (FRA, </w:t>
      </w:r>
      <w:hyperlink r:id="rId17" w:history="1">
        <w:r w:rsidRPr="007934EB">
          <w:rPr>
            <w:rStyle w:val="Hyperlink"/>
          </w:rPr>
          <w:t>Migration: Key fundamental rights concerns - Quarterly bulletin 4</w:t>
        </w:r>
      </w:hyperlink>
      <w:r>
        <w:t>, November 2019, p. 27)</w:t>
      </w:r>
    </w:p>
    <w:p w:rsidR="00D41FE0" w:rsidRDefault="00D41FE0" w:rsidP="00E472B4">
      <w:pPr>
        <w:jc w:val="both"/>
      </w:pPr>
      <w:r>
        <w:t xml:space="preserve">“Requesting family reunification in </w:t>
      </w:r>
      <w:r w:rsidRPr="00A8393D">
        <w:rPr>
          <w:b/>
        </w:rPr>
        <w:t>Belgium</w:t>
      </w:r>
      <w:r>
        <w:t xml:space="preserve"> remained a challenge, since applicants have to do this at the Belgian embassy in their country of origin, which may put them at risk. </w:t>
      </w:r>
      <w:proofErr w:type="gramStart"/>
      <w:r>
        <w:t>An</w:t>
      </w:r>
      <w:proofErr w:type="gramEnd"/>
      <w:r>
        <w:t xml:space="preserve"> Uighur woman with four children at the Embassy of Belgium in Beijing tried to reunite with her husband, who was living in Belgium as a refugee; she had to leave the building after the Chinese police was allowed to enter. The wife and children were arrested shortly thereafter, and their whereabouts remain unknown.” (FRA, </w:t>
      </w:r>
      <w:hyperlink r:id="rId18" w:history="1">
        <w:r w:rsidRPr="00A04CF4">
          <w:rPr>
            <w:rStyle w:val="Hyperlink"/>
          </w:rPr>
          <w:t>Migration: Key fundamental rights concerns - Quarterly bulletin 3</w:t>
        </w:r>
      </w:hyperlink>
      <w:r>
        <w:t>, July 2019, p. 6)</w:t>
      </w:r>
    </w:p>
    <w:p w:rsidR="00D41FE0" w:rsidRDefault="00D41FE0" w:rsidP="00E472B4">
      <w:pPr>
        <w:jc w:val="both"/>
      </w:pPr>
      <w:r>
        <w:t xml:space="preserve">“UNICEF reported that migrants aiming to move from </w:t>
      </w:r>
      <w:r w:rsidRPr="00AC2B9C">
        <w:rPr>
          <w:b/>
        </w:rPr>
        <w:t>Belgium</w:t>
      </w:r>
      <w:r>
        <w:t xml:space="preserve"> to the United Kingdom continued to face various issues, especially a lack of information about their rights and about the asylum procedure in Belgium. The lack of information severely affects unaccompanied children who do not wish to apply for asylum, as these children are not in the child protection programmes.” (FRA, </w:t>
      </w:r>
      <w:hyperlink r:id="rId19" w:history="1">
        <w:r w:rsidRPr="00A04CF4">
          <w:rPr>
            <w:rStyle w:val="Hyperlink"/>
          </w:rPr>
          <w:t>Migration: Key fundamental rights concerns - Quarterly bulletin 3</w:t>
        </w:r>
      </w:hyperlink>
      <w:r>
        <w:t>, July 2019, p. 6)</w:t>
      </w:r>
    </w:p>
    <w:p w:rsidR="008977A0" w:rsidRDefault="008977A0" w:rsidP="00E472B4">
      <w:pPr>
        <w:jc w:val="both"/>
      </w:pPr>
      <w:r>
        <w:t xml:space="preserve">“In </w:t>
      </w:r>
      <w:r w:rsidRPr="00F132D3">
        <w:rPr>
          <w:b/>
        </w:rPr>
        <w:t>Belgium</w:t>
      </w:r>
      <w:r>
        <w:t>, the parliament in May amended the law on access to territory, stay and return of foreigners, according to which Dublin transferees may be detained for up to six weeks while authorities decide which Member State is responsible for examining their asylum application under the Dublin Regulation. Under the new rules, such asylum seekers might also be detained for another period of a maximum of six weeks while awaiting their actual transfer to the responsible Member State, and this period may be prolonged if the transfer decision is appealed.”</w:t>
      </w:r>
      <w:r w:rsidRPr="001A4F87">
        <w:t xml:space="preserve"> </w:t>
      </w:r>
      <w:r>
        <w:t xml:space="preserve">(FRA, </w:t>
      </w:r>
      <w:hyperlink r:id="rId20" w:history="1">
        <w:r w:rsidRPr="00A04CF4">
          <w:rPr>
            <w:rStyle w:val="Hyperlink"/>
          </w:rPr>
          <w:t>Migration: Key fundamental rights concerns - Quarterly bulletin 3</w:t>
        </w:r>
      </w:hyperlink>
      <w:r>
        <w:t>, July 2019, p. 11)</w:t>
      </w:r>
    </w:p>
    <w:p w:rsidR="008977A0" w:rsidRDefault="008977A0" w:rsidP="00E472B4">
      <w:pPr>
        <w:jc w:val="both"/>
      </w:pPr>
      <w:r>
        <w:t xml:space="preserve">“In </w:t>
      </w:r>
      <w:r w:rsidRPr="008765DB">
        <w:rPr>
          <w:b/>
        </w:rPr>
        <w:t>Belgium</w:t>
      </w:r>
      <w:r>
        <w:t xml:space="preserve">, the Office of the Commissioner General for Refugees and Stateless Persons (CGRS) was re-evaluating the security situation in Syria to determine whether the whole country was still affected by the armed conflict. The CGRS also changed its policy regarding parents of children fearing female genital mutilation (FGM); as a result, only the girls fearing FGM will be granted refugee status, and not their parents.” (FRA, </w:t>
      </w:r>
      <w:hyperlink r:id="rId21" w:history="1">
        <w:r w:rsidRPr="00A04CF4">
          <w:rPr>
            <w:rStyle w:val="Hyperlink"/>
          </w:rPr>
          <w:t>Migration: Key fundamental rights concerns - Quarterly bulletin 3</w:t>
        </w:r>
      </w:hyperlink>
      <w:r>
        <w:t>, July 2019, p. 21)</w:t>
      </w:r>
    </w:p>
    <w:p w:rsidR="005C72C2" w:rsidRDefault="005C72C2" w:rsidP="00E472B4">
      <w:pPr>
        <w:jc w:val="both"/>
      </w:pPr>
      <w:r w:rsidRPr="005C72C2">
        <w:rPr>
          <w:highlight w:val="lightGray"/>
        </w:rPr>
        <w:lastRenderedPageBreak/>
        <w:t xml:space="preserve">“In </w:t>
      </w:r>
      <w:r w:rsidRPr="005C72C2">
        <w:rPr>
          <w:b/>
          <w:highlight w:val="lightGray"/>
        </w:rPr>
        <w:t>Belgium</w:t>
      </w:r>
      <w:r w:rsidRPr="005C72C2">
        <w:rPr>
          <w:highlight w:val="lightGray"/>
        </w:rPr>
        <w:t xml:space="preserve">, the Commissioner General for Refugees and Stateless Persons opened special child-friendly interview rooms for asylum-seeking children, both unaccompanied and with families. As the Belgian Asylum Authority explained in an interview, each interview room is equipped with tools to help the children explain their story more easily and in a more relaxed way; drawings and toys are also used during the interviews.” (FRA, </w:t>
      </w:r>
      <w:hyperlink r:id="rId22" w:history="1">
        <w:r w:rsidRPr="005C72C2">
          <w:rPr>
            <w:rStyle w:val="Hyperlink"/>
            <w:highlight w:val="lightGray"/>
          </w:rPr>
          <w:t>Migration: Key fundamental rights concerns - Quarterly bulletin 2</w:t>
        </w:r>
      </w:hyperlink>
      <w:r w:rsidRPr="005C72C2">
        <w:rPr>
          <w:highlight w:val="lightGray"/>
        </w:rPr>
        <w:t>, May 2019, p. 18)</w:t>
      </w:r>
    </w:p>
    <w:p w:rsidR="00D92C49" w:rsidRDefault="00D92C49" w:rsidP="00E472B4">
      <w:pPr>
        <w:jc w:val="both"/>
      </w:pPr>
      <w:r>
        <w:t xml:space="preserve">“In </w:t>
      </w:r>
      <w:r w:rsidRPr="00173606">
        <w:rPr>
          <w:b/>
        </w:rPr>
        <w:t>Belgium</w:t>
      </w:r>
      <w:r>
        <w:t>, the Standing Police Monitoring Committee of the Federal Parliament published a report on the control and detention of migrants by the police during mass checks on persons. The report, covering the period of September 2017 to December 2018, identified a number of shortcomings.”</w:t>
      </w:r>
      <w:r w:rsidRPr="00355F01">
        <w:t xml:space="preserve"> </w:t>
      </w:r>
      <w:r>
        <w:t xml:space="preserve">(FRA, </w:t>
      </w:r>
      <w:hyperlink r:id="rId23" w:history="1">
        <w:r w:rsidRPr="00170BF5">
          <w:rPr>
            <w:rStyle w:val="Hyperlink"/>
          </w:rPr>
          <w:t>Migration: Key fundamental rights concerns - Quarterly bulletin 2</w:t>
        </w:r>
      </w:hyperlink>
      <w:r>
        <w:t>, May 2019, p. 23)</w:t>
      </w:r>
    </w:p>
    <w:p w:rsidR="00D92C49" w:rsidRDefault="00D92C49" w:rsidP="00E472B4">
      <w:pPr>
        <w:jc w:val="both"/>
      </w:pPr>
      <w:r>
        <w:t xml:space="preserve">“As of January 2019, relatives of Somali residents in </w:t>
      </w:r>
      <w:r w:rsidRPr="00173606">
        <w:rPr>
          <w:b/>
        </w:rPr>
        <w:t>Belgium</w:t>
      </w:r>
      <w:r>
        <w:t xml:space="preserve"> seeking to reunite with them are only able to file visa applications for family reunification at the Belgian embassy in Nairobi (Kenya), as the Ministry of Foreign Affairs decided that applications for family reunification filed at the diplomatic posts of Kampala (Uganda) or Addis Ababa (Ethiopia) are no longer accepted.” (FRA, </w:t>
      </w:r>
      <w:hyperlink r:id="rId24" w:history="1">
        <w:r w:rsidRPr="00170BF5">
          <w:rPr>
            <w:rStyle w:val="Hyperlink"/>
          </w:rPr>
          <w:t>Migration: Key fundamental rights concerns - Quarterly bulletin 2</w:t>
        </w:r>
      </w:hyperlink>
      <w:r>
        <w:t>, May 2019, p. 31)</w:t>
      </w:r>
    </w:p>
    <w:p w:rsidR="00D92C49" w:rsidRDefault="00D92C49" w:rsidP="00E472B4">
      <w:pPr>
        <w:jc w:val="both"/>
      </w:pPr>
      <w:r>
        <w:t xml:space="preserve">“In </w:t>
      </w:r>
      <w:r w:rsidRPr="00173606">
        <w:rPr>
          <w:b/>
        </w:rPr>
        <w:t>Belgium</w:t>
      </w:r>
      <w:r>
        <w:t xml:space="preserve">, several NGOs initiated proceedings before the Constitutional Court in relation to two laws that entered into force in March 2018, and which had been enacted to implement EU asylum directives. Among others, the new laws were criticised because they extend the use of accelerated procedures and because they allow the asylum authorities to request asylum seekers’ mobiles and personal computers.” (FRA, </w:t>
      </w:r>
      <w:hyperlink r:id="rId25" w:history="1">
        <w:r w:rsidRPr="00672ED2">
          <w:rPr>
            <w:rStyle w:val="Hyperlink"/>
          </w:rPr>
          <w:t>Migration: Key fundamental rights concerns - Quarterly bulletin 1</w:t>
        </w:r>
      </w:hyperlink>
      <w:r>
        <w:t>, February 2019, p. 6)</w:t>
      </w:r>
    </w:p>
    <w:p w:rsidR="00D92C49" w:rsidRDefault="00D92C49" w:rsidP="00E472B4">
      <w:pPr>
        <w:jc w:val="both"/>
      </w:pPr>
      <w:r>
        <w:t xml:space="preserve">“The State Secretary for Asylum and Migration in </w:t>
      </w:r>
      <w:r w:rsidRPr="00173606">
        <w:rPr>
          <w:b/>
        </w:rPr>
        <w:t>Belgium</w:t>
      </w:r>
      <w:r>
        <w:t xml:space="preserve"> decided to limit the number of registrations of asylum seekers to 50 per day due to a constant increase in the number of asylum applications since July. Several NGOs challenged the decision, as unregistered asylum seekers are not allowed to legally stay in the territory and do not have access to reception services.”</w:t>
      </w:r>
      <w:r w:rsidRPr="003043A0">
        <w:t xml:space="preserve"> </w:t>
      </w:r>
      <w:r>
        <w:t xml:space="preserve">(FRA, </w:t>
      </w:r>
      <w:hyperlink r:id="rId26" w:history="1">
        <w:r w:rsidRPr="00672ED2">
          <w:rPr>
            <w:rStyle w:val="Hyperlink"/>
          </w:rPr>
          <w:t>Migration: Key fundamental rights concerns - Quarterly bulletin 1</w:t>
        </w:r>
      </w:hyperlink>
      <w:r>
        <w:t>, February 2019, p. 13)</w:t>
      </w:r>
    </w:p>
    <w:p w:rsidR="00560E95" w:rsidRDefault="00D92C49" w:rsidP="00E472B4">
      <w:pPr>
        <w:jc w:val="both"/>
      </w:pPr>
      <w:r>
        <w:t xml:space="preserve">“Following legislative changes in July 2018, families with children can be detained in Belgium. The UN Committee on the Rights of the Child ordered the suspension of the detention of children on 25 September, but to date, the government has not responded to this order.” (FRA, </w:t>
      </w:r>
      <w:hyperlink r:id="rId27" w:history="1">
        <w:r w:rsidRPr="00672ED2">
          <w:rPr>
            <w:rStyle w:val="Hyperlink"/>
          </w:rPr>
          <w:t>Migration: Key fundamental rights concerns - Quarterly bulletin 1</w:t>
        </w:r>
      </w:hyperlink>
      <w:r>
        <w:t>, February 2019, p. 22)</w:t>
      </w:r>
    </w:p>
    <w:p w:rsidR="00731CBF" w:rsidRDefault="00731CBF" w:rsidP="00E472B4">
      <w:pPr>
        <w:pStyle w:val="Heading1"/>
        <w:jc w:val="both"/>
      </w:pPr>
      <w:bookmarkStart w:id="7" w:name="_Toc30752949"/>
      <w:r>
        <w:t>Climate change</w:t>
      </w:r>
      <w:bookmarkEnd w:id="7"/>
    </w:p>
    <w:p w:rsidR="009F54E5" w:rsidRDefault="0063683D" w:rsidP="00E472B4">
      <w:pPr>
        <w:jc w:val="both"/>
      </w:pPr>
      <w:r>
        <w:t>N/A</w:t>
      </w:r>
    </w:p>
    <w:p w:rsidR="009F54E5" w:rsidRPr="009F54E5" w:rsidRDefault="009F54E5" w:rsidP="00E472B4">
      <w:pPr>
        <w:pStyle w:val="Heading1"/>
        <w:jc w:val="both"/>
      </w:pPr>
      <w:bookmarkStart w:id="8" w:name="_Toc30752950"/>
      <w:r>
        <w:t xml:space="preserve">Sustainable development </w:t>
      </w:r>
      <w:r w:rsidR="00E95D6B">
        <w:t>objectives</w:t>
      </w:r>
      <w:bookmarkEnd w:id="8"/>
    </w:p>
    <w:p w:rsidR="00A555B3" w:rsidRPr="00560E95" w:rsidRDefault="00CC7BCF" w:rsidP="00E472B4">
      <w:pPr>
        <w:jc w:val="both"/>
      </w:pPr>
      <w:r>
        <w:t xml:space="preserve">“The Institute for the equality of women and men in </w:t>
      </w:r>
      <w:r w:rsidRPr="00B42445">
        <w:rPr>
          <w:b/>
        </w:rPr>
        <w:t>Belgium</w:t>
      </w:r>
      <w:r>
        <w:t xml:space="preserve"> is actively involved in exercises on the use of indicators for the monitoring of SDG implementation and is emphasising the importance of disaggregating those indicators by sex in interactions with the Federal Planning Bureau and the statistical office.” (FRA, </w:t>
      </w:r>
      <w:hyperlink r:id="rId28" w:history="1">
        <w:r w:rsidRPr="00212B13">
          <w:rPr>
            <w:rStyle w:val="Hyperlink"/>
          </w:rPr>
          <w:t>Fundamental Rights Report 2019</w:t>
        </w:r>
      </w:hyperlink>
      <w:r>
        <w:t>, June 2019, p. 30)</w:t>
      </w:r>
    </w:p>
    <w:p w:rsidR="00D326F2" w:rsidRDefault="00D326F2" w:rsidP="00E472B4">
      <w:pPr>
        <w:pStyle w:val="Heading1"/>
        <w:jc w:val="both"/>
      </w:pPr>
      <w:bookmarkStart w:id="9" w:name="_Toc30752951"/>
      <w:r>
        <w:t>Non-discrimination</w:t>
      </w:r>
      <w:bookmarkEnd w:id="9"/>
    </w:p>
    <w:p w:rsidR="0064417A" w:rsidRPr="005858FF" w:rsidRDefault="0064417A" w:rsidP="00E472B4">
      <w:pPr>
        <w:jc w:val="both"/>
      </w:pPr>
      <w:r>
        <w:t xml:space="preserve">“National actions plans to improve the security, welfare and equal opportunities for LGBTI persons were adopted in </w:t>
      </w:r>
      <w:r w:rsidRPr="00FB18BE">
        <w:rPr>
          <w:b/>
        </w:rPr>
        <w:t>Belgium</w:t>
      </w:r>
      <w:r>
        <w:t xml:space="preserve">, Denmark, Luxembourg, Portugal, Italy, Malta, the Netherlands and the United Kingdom.” (FRA, </w:t>
      </w:r>
      <w:hyperlink r:id="rId29" w:history="1">
        <w:r w:rsidRPr="00212B13">
          <w:rPr>
            <w:rStyle w:val="Hyperlink"/>
          </w:rPr>
          <w:t>Fundamental Rights Report 2019</w:t>
        </w:r>
      </w:hyperlink>
      <w:r>
        <w:t>, June 2019, p. 67)</w:t>
      </w:r>
    </w:p>
    <w:p w:rsidR="00031CB7" w:rsidRDefault="00031CB7" w:rsidP="00E472B4">
      <w:pPr>
        <w:jc w:val="both"/>
      </w:pPr>
      <w:r>
        <w:lastRenderedPageBreak/>
        <w:t xml:space="preserve">“Following recommendations from the EU and many international organisations, some EU Member States simplified their laws relating to legal gender reassignment, based on self-determination (Portugal, </w:t>
      </w:r>
      <w:r w:rsidRPr="00E40E9D">
        <w:rPr>
          <w:b/>
        </w:rPr>
        <w:t>Belgium</w:t>
      </w:r>
      <w:r>
        <w:t xml:space="preserve">, </w:t>
      </w:r>
      <w:proofErr w:type="gramStart"/>
      <w:r>
        <w:t>Luxembourg</w:t>
      </w:r>
      <w:proofErr w:type="gramEnd"/>
      <w:r>
        <w:t xml:space="preserve">).” (FRA, </w:t>
      </w:r>
      <w:hyperlink r:id="rId30" w:history="1">
        <w:r w:rsidRPr="00212B13">
          <w:rPr>
            <w:rStyle w:val="Hyperlink"/>
          </w:rPr>
          <w:t>Fundamental Rights Report 2019</w:t>
        </w:r>
      </w:hyperlink>
      <w:r>
        <w:t>, June 2019, p. 69)</w:t>
      </w:r>
    </w:p>
    <w:p w:rsidR="00031CB7" w:rsidRDefault="00031CB7" w:rsidP="00E472B4">
      <w:pPr>
        <w:jc w:val="both"/>
      </w:pPr>
      <w:r>
        <w:t xml:space="preserve">“In January, </w:t>
      </w:r>
      <w:r w:rsidRPr="009E7ED3">
        <w:rPr>
          <w:b/>
        </w:rPr>
        <w:t>Belgium</w:t>
      </w:r>
      <w:r>
        <w:t xml:space="preserve"> modified the requirements for transgender persons to adjust how the civil registry records their gender.”</w:t>
      </w:r>
      <w:r w:rsidRPr="00C3280B">
        <w:t xml:space="preserve"> </w:t>
      </w:r>
      <w:r>
        <w:t xml:space="preserve">(FRA, </w:t>
      </w:r>
      <w:hyperlink r:id="rId31" w:history="1">
        <w:r w:rsidRPr="00212B13">
          <w:rPr>
            <w:rStyle w:val="Hyperlink"/>
          </w:rPr>
          <w:t>Fundamental Rights Report 2019</w:t>
        </w:r>
      </w:hyperlink>
      <w:r>
        <w:t>, June 2019, p. 69)</w:t>
      </w:r>
    </w:p>
    <w:p w:rsidR="002C3A71" w:rsidRDefault="002C3A71" w:rsidP="00E472B4">
      <w:pPr>
        <w:jc w:val="both"/>
      </w:pPr>
      <w:r>
        <w:t xml:space="preserve">“In </w:t>
      </w:r>
      <w:r w:rsidRPr="00B32E76">
        <w:rPr>
          <w:b/>
        </w:rPr>
        <w:t>Belgium</w:t>
      </w:r>
      <w:r>
        <w:t>, Amnesty International interviewed over 48 police officers and officials applying qualitative research methodology in nine local police zones about discriminatory practices during policing and identity checks. Half of the police officers believe that ethnic profiling happens and they often lack the tools to avoid it or prevent it, the research findings reveal.”</w:t>
      </w:r>
      <w:r w:rsidRPr="000F22E3">
        <w:t xml:space="preserve"> </w:t>
      </w:r>
      <w:r>
        <w:t xml:space="preserve">(FRA, </w:t>
      </w:r>
      <w:hyperlink r:id="rId32" w:history="1">
        <w:r w:rsidRPr="00212B13">
          <w:rPr>
            <w:rStyle w:val="Hyperlink"/>
          </w:rPr>
          <w:t>Fundamental Rights Report 2019</w:t>
        </w:r>
      </w:hyperlink>
      <w:r>
        <w:t>, June 2019, p. 97)</w:t>
      </w:r>
    </w:p>
    <w:p w:rsidR="000F11E5" w:rsidRDefault="000F11E5" w:rsidP="00E472B4">
      <w:pPr>
        <w:jc w:val="both"/>
      </w:pPr>
      <w:r>
        <w:t xml:space="preserve">“For example, in </w:t>
      </w:r>
      <w:r w:rsidRPr="00FD433A">
        <w:rPr>
          <w:b/>
        </w:rPr>
        <w:t>Belgium</w:t>
      </w:r>
      <w:r>
        <w:t>, two journalists, a social worker, and a fourth person faced trial because they had given shelter or otherwise supported migrants. The fourth person spent eight months in pre-trial detention; the social worker spent two months there, having to stop breastfeeding her new-born son.”</w:t>
      </w:r>
      <w:r w:rsidRPr="00667803">
        <w:t xml:space="preserve"> </w:t>
      </w:r>
      <w:r>
        <w:t xml:space="preserve">(FRA, </w:t>
      </w:r>
      <w:hyperlink r:id="rId33" w:history="1">
        <w:r w:rsidRPr="00212B13">
          <w:rPr>
            <w:rStyle w:val="Hyperlink"/>
          </w:rPr>
          <w:t>Fundamental Rights Report 2019</w:t>
        </w:r>
      </w:hyperlink>
      <w:r>
        <w:t>, June 2019, p. 134)</w:t>
      </w:r>
    </w:p>
    <w:p w:rsidR="006E32E3" w:rsidRDefault="006E32E3" w:rsidP="00E472B4">
      <w:pPr>
        <w:jc w:val="both"/>
      </w:pPr>
      <w:r w:rsidRPr="007A3990">
        <w:rPr>
          <w:highlight w:val="lightGray"/>
        </w:rPr>
        <w:t xml:space="preserve">“In addition, findings of discrimination testing are accepted in court in a number of EU Member States, including </w:t>
      </w:r>
      <w:r w:rsidRPr="007A3990">
        <w:rPr>
          <w:b/>
          <w:highlight w:val="lightGray"/>
        </w:rPr>
        <w:t>Belgium</w:t>
      </w:r>
      <w:r w:rsidRPr="007A3990">
        <w:rPr>
          <w:highlight w:val="lightGray"/>
        </w:rPr>
        <w:t xml:space="preserve">, the Czech Republic, Finland, France, Hungary, the Netherlands and Sweden.” (FRA, </w:t>
      </w:r>
      <w:hyperlink r:id="rId34" w:history="1">
        <w:r w:rsidRPr="007A3990">
          <w:rPr>
            <w:rStyle w:val="Hyperlink"/>
            <w:highlight w:val="lightGray"/>
          </w:rPr>
          <w:t>Fundamental Rights Report 2018</w:t>
        </w:r>
      </w:hyperlink>
      <w:r w:rsidRPr="007A3990">
        <w:rPr>
          <w:highlight w:val="lightGray"/>
        </w:rPr>
        <w:t>, June 2018, p. 63)</w:t>
      </w:r>
    </w:p>
    <w:p w:rsidR="006B430F" w:rsidRDefault="006B430F" w:rsidP="00E472B4">
      <w:pPr>
        <w:jc w:val="both"/>
      </w:pPr>
      <w:r w:rsidRPr="00AD4403">
        <w:rPr>
          <w:highlight w:val="lightGray"/>
        </w:rPr>
        <w:t>“Flanders and the Brussels-Capital region in </w:t>
      </w:r>
      <w:r w:rsidRPr="00AD4403">
        <w:rPr>
          <w:b/>
          <w:highlight w:val="lightGray"/>
        </w:rPr>
        <w:t>Belgium</w:t>
      </w:r>
      <w:r w:rsidRPr="00AD4403">
        <w:rPr>
          <w:highlight w:val="lightGray"/>
        </w:rPr>
        <w:t xml:space="preserve"> adopted instruments that relate to the regulation of situation testing [to detect discrimination]. In July, Flanders adopted a decree that obliges companies that want to be accredited as suppliers of service vouchers (</w:t>
      </w:r>
      <w:proofErr w:type="spellStart"/>
      <w:r w:rsidRPr="00AD4403">
        <w:rPr>
          <w:highlight w:val="lightGray"/>
        </w:rPr>
        <w:t>dienstencheques</w:t>
      </w:r>
      <w:proofErr w:type="spellEnd"/>
      <w:r w:rsidRPr="00AD4403">
        <w:rPr>
          <w:highlight w:val="lightGray"/>
        </w:rPr>
        <w:t>) to perform situation testing (</w:t>
      </w:r>
      <w:proofErr w:type="spellStart"/>
      <w:r w:rsidRPr="00AD4403">
        <w:rPr>
          <w:highlight w:val="lightGray"/>
        </w:rPr>
        <w:t>praktijktesten</w:t>
      </w:r>
      <w:proofErr w:type="spellEnd"/>
      <w:r w:rsidRPr="00AD4403">
        <w:rPr>
          <w:highlight w:val="lightGray"/>
        </w:rPr>
        <w:t xml:space="preserve">).” (FRA, </w:t>
      </w:r>
      <w:hyperlink r:id="rId35" w:history="1">
        <w:r w:rsidRPr="00AD4403">
          <w:rPr>
            <w:rStyle w:val="Hyperlink"/>
            <w:highlight w:val="lightGray"/>
          </w:rPr>
          <w:t>Fundamental Rights Report 2018</w:t>
        </w:r>
      </w:hyperlink>
      <w:r w:rsidRPr="00AD4403">
        <w:rPr>
          <w:highlight w:val="lightGray"/>
        </w:rPr>
        <w:t>, June 2018, p. 63)</w:t>
      </w:r>
    </w:p>
    <w:p w:rsidR="00EC3E79" w:rsidRDefault="00EC3E79" w:rsidP="00E472B4">
      <w:pPr>
        <w:jc w:val="both"/>
      </w:pPr>
      <w:r>
        <w:t xml:space="preserve">“A wide-ranging study on access to the rental housing market in Brussels, </w:t>
      </w:r>
      <w:r w:rsidRPr="00436412">
        <w:rPr>
          <w:b/>
        </w:rPr>
        <w:t>Belgium</w:t>
      </w:r>
      <w:r>
        <w:t xml:space="preserve">, showed discrimination on a number of grounds. […] The correspondence and situation tests found widespread discrimination against potential tenants with North-African or sub-Saharan African names compared to those with French-sounding names. […] The study also uncovered discrimination based on the source of income, regardless of the actual level of income, which affects people on unemployment benefits. Blind candidates and those with mental disabilities also faced discrimination. The findings indicate gender differences, although in combination with other grounds. For example, female North African and Eastern European candidates were treated less favourably, as were unemployed males and male single parents.” (FRA, </w:t>
      </w:r>
      <w:hyperlink r:id="rId36" w:history="1">
        <w:r w:rsidRPr="003D24B0">
          <w:rPr>
            <w:rStyle w:val="Hyperlink"/>
          </w:rPr>
          <w:t>Fundamental Rights Report 2018</w:t>
        </w:r>
      </w:hyperlink>
      <w:r>
        <w:t>, June 2018, p. 64)</w:t>
      </w:r>
    </w:p>
    <w:p w:rsidR="00916BC8" w:rsidRDefault="00916BC8" w:rsidP="00E472B4">
      <w:pPr>
        <w:jc w:val="both"/>
      </w:pPr>
      <w:r w:rsidRPr="007001FC">
        <w:rPr>
          <w:highlight w:val="lightGray"/>
        </w:rPr>
        <w:t xml:space="preserve">“In </w:t>
      </w:r>
      <w:r w:rsidRPr="007001FC">
        <w:rPr>
          <w:b/>
          <w:highlight w:val="lightGray"/>
        </w:rPr>
        <w:t>Belgium</w:t>
      </w:r>
      <w:r w:rsidRPr="007001FC">
        <w:rPr>
          <w:highlight w:val="lightGray"/>
        </w:rPr>
        <w:t xml:space="preserve">, the Ministry of Security, Interior and Justice included training on ‘Discrimination, hate speech and hate crimes: circular 13/2013’ in its new National Security Plan 2016–2019 to give a bigger role for reference officers responsible for discrimination and hate crime.” (FRA, </w:t>
      </w:r>
      <w:hyperlink r:id="rId37" w:history="1">
        <w:r w:rsidRPr="007001FC">
          <w:rPr>
            <w:rStyle w:val="Hyperlink"/>
            <w:highlight w:val="lightGray"/>
          </w:rPr>
          <w:t>Fundamental Rights Report 2018</w:t>
        </w:r>
      </w:hyperlink>
      <w:r w:rsidRPr="007001FC">
        <w:rPr>
          <w:highlight w:val="lightGray"/>
        </w:rPr>
        <w:t>, June 2018, p. 87)</w:t>
      </w:r>
    </w:p>
    <w:p w:rsidR="00FB67E6" w:rsidRDefault="00FB67E6" w:rsidP="00E472B4">
      <w:pPr>
        <w:jc w:val="both"/>
      </w:pPr>
      <w:r w:rsidRPr="00FB67E6">
        <w:rPr>
          <w:highlight w:val="lightGray"/>
        </w:rPr>
        <w:t xml:space="preserve">“There are promising practices in certain Member States regarding raising awareness of Roma culture. […] the Flemish Ministry of Culture in </w:t>
      </w:r>
      <w:r w:rsidRPr="00FB67E6">
        <w:rPr>
          <w:b/>
          <w:highlight w:val="lightGray"/>
        </w:rPr>
        <w:t>Belgium</w:t>
      </w:r>
      <w:r w:rsidRPr="00FB67E6">
        <w:rPr>
          <w:highlight w:val="lightGray"/>
        </w:rPr>
        <w:t xml:space="preserve"> recognised caravan culture as part of Flanders’ cultural heritage.” (FRA, </w:t>
      </w:r>
      <w:hyperlink r:id="rId38" w:history="1">
        <w:r w:rsidRPr="00FB67E6">
          <w:rPr>
            <w:rStyle w:val="Hyperlink"/>
            <w:highlight w:val="lightGray"/>
          </w:rPr>
          <w:t>Fundamental Rights Report 2018</w:t>
        </w:r>
      </w:hyperlink>
      <w:r w:rsidRPr="00FB67E6">
        <w:rPr>
          <w:highlight w:val="lightGray"/>
        </w:rPr>
        <w:t>, June 2018, p. 101)</w:t>
      </w:r>
    </w:p>
    <w:p w:rsidR="001B070A" w:rsidRDefault="001B070A" w:rsidP="00E472B4">
      <w:pPr>
        <w:jc w:val="both"/>
      </w:pPr>
      <w:r>
        <w:t xml:space="preserve">“Nevertheless, as FRA reported, nationality-based discrimination against third-country nationals is prohibited in </w:t>
      </w:r>
      <w:r w:rsidRPr="009A5234">
        <w:rPr>
          <w:b/>
        </w:rPr>
        <w:t>Belgium</w:t>
      </w:r>
      <w:r>
        <w:t xml:space="preserve">, Bulgaria, Cyprus, Finland, France, Hungary, Ireland, Italy, the Netherlands, Portugal, Romania and the United Kingdom.” (FRA, </w:t>
      </w:r>
      <w:hyperlink r:id="rId39" w:history="1">
        <w:r w:rsidRPr="00121853">
          <w:rPr>
            <w:rStyle w:val="Hyperlink"/>
          </w:rPr>
          <w:t>Second European Union Minorities and Discrimination Survey - Migrant women - selected findings</w:t>
        </w:r>
      </w:hyperlink>
      <w:r>
        <w:t>, September 2019, p. 31)</w:t>
      </w:r>
    </w:p>
    <w:p w:rsidR="0022628F" w:rsidRDefault="0022628F" w:rsidP="00E472B4">
      <w:pPr>
        <w:jc w:val="both"/>
      </w:pPr>
      <w:r w:rsidRPr="00E408C0">
        <w:lastRenderedPageBreak/>
        <w:t xml:space="preserve">“In a preliminary ruling requested by </w:t>
      </w:r>
      <w:r w:rsidRPr="00E408C0">
        <w:rPr>
          <w:b/>
        </w:rPr>
        <w:t>Belgium</w:t>
      </w:r>
      <w:r w:rsidRPr="00E408C0">
        <w:t xml:space="preserve"> and the Czech Republic, the </w:t>
      </w:r>
      <w:r w:rsidR="00E408C0" w:rsidRPr="00E408C0">
        <w:t>[Court of Justice of the EU]</w:t>
      </w:r>
      <w:r w:rsidRPr="00E408C0">
        <w:t xml:space="preserve"> in joined cases C</w:t>
      </w:r>
      <w:r w:rsidRPr="00E408C0">
        <w:noBreakHyphen/>
        <w:t>391/16, C</w:t>
      </w:r>
      <w:r w:rsidRPr="00E408C0">
        <w:noBreakHyphen/>
        <w:t>77/17 and C</w:t>
      </w:r>
      <w:r w:rsidRPr="00E408C0">
        <w:noBreakHyphen/>
        <w:t xml:space="preserve">78/17 ruled that third-country nationals cannot automatically be returned after committing crimes, if that would put them in serious danger in their countries of origin.” (FRA, </w:t>
      </w:r>
      <w:hyperlink r:id="rId40" w:history="1">
        <w:r w:rsidRPr="00E408C0">
          <w:rPr>
            <w:rStyle w:val="Hyperlink"/>
          </w:rPr>
          <w:t>Migration: Key fundamental rights concerns - Quarterly bulletin 3</w:t>
        </w:r>
      </w:hyperlink>
      <w:r w:rsidRPr="00E408C0">
        <w:t>, July 2019, p. 7)</w:t>
      </w:r>
    </w:p>
    <w:p w:rsidR="00847512" w:rsidRDefault="00847512" w:rsidP="00E472B4">
      <w:pPr>
        <w:jc w:val="both"/>
      </w:pPr>
      <w:r>
        <w:t xml:space="preserve">“In </w:t>
      </w:r>
      <w:r w:rsidRPr="008B06DC">
        <w:rPr>
          <w:b/>
        </w:rPr>
        <w:t>Belgium</w:t>
      </w:r>
      <w:r>
        <w:t xml:space="preserve">, bus drivers from the Flemish transport company refused to stop at the Brussels North Railway Station, claiming that migrants at the station had malaria and tuberculosis and thus could be contagious, media sources reported. This led to the planning of a police operation to remove all migrants staying at the station. The night before, however, various civil society organisations took many migrants to shelters to avoid confrontation with the police and, after that, buses restarted stopping at the station, according to the press. The police operation evacuated all remaining people and placed them in shelters for homeless persons in Brussels. In this context, the representatives of the Flemish right-wing party </w:t>
      </w:r>
      <w:proofErr w:type="spellStart"/>
      <w:r>
        <w:t>Vlaams</w:t>
      </w:r>
      <w:proofErr w:type="spellEnd"/>
      <w:r>
        <w:t xml:space="preserve"> </w:t>
      </w:r>
      <w:proofErr w:type="spellStart"/>
      <w:r>
        <w:t>Belang</w:t>
      </w:r>
      <w:proofErr w:type="spellEnd"/>
      <w:r>
        <w:t xml:space="preserve"> drove around Brussels in a van named ‘Go Back </w:t>
      </w:r>
      <w:proofErr w:type="spellStart"/>
      <w:r>
        <w:t>Bus’</w:t>
      </w:r>
      <w:proofErr w:type="spellEnd"/>
      <w:r>
        <w:t xml:space="preserve"> with the slogan of collecting and taking back migrants with “scabies, malaria and tuberculosis to their country of origin.” (FRA, </w:t>
      </w:r>
      <w:hyperlink r:id="rId41" w:history="1">
        <w:r w:rsidRPr="00A04CF4">
          <w:rPr>
            <w:rStyle w:val="Hyperlink"/>
          </w:rPr>
          <w:t>Migration: Key fundamental rights concerns - Quarterly bulletin 3</w:t>
        </w:r>
      </w:hyperlink>
      <w:r>
        <w:t>, July 2019, p. 23)</w:t>
      </w:r>
    </w:p>
    <w:p w:rsidR="00847512" w:rsidRDefault="00847512" w:rsidP="00E472B4">
      <w:pPr>
        <w:jc w:val="both"/>
      </w:pPr>
      <w:r>
        <w:t xml:space="preserve">“In the city of Aalst in </w:t>
      </w:r>
      <w:r w:rsidRPr="00F03902">
        <w:rPr>
          <w:b/>
        </w:rPr>
        <w:t>Belgium</w:t>
      </w:r>
      <w:r>
        <w:t xml:space="preserve">, several residents with migrant backgrounds received racist anonymous letters in their mailboxes, media sources reported.” (FRA, </w:t>
      </w:r>
      <w:hyperlink r:id="rId42" w:history="1">
        <w:r w:rsidRPr="00A04CF4">
          <w:rPr>
            <w:rStyle w:val="Hyperlink"/>
          </w:rPr>
          <w:t>Migration: Key fundamental rights concerns - Quarterly bulletin 3</w:t>
        </w:r>
      </w:hyperlink>
      <w:r>
        <w:t>, July 2019, p. 37)</w:t>
      </w:r>
    </w:p>
    <w:p w:rsidR="00FA6C9C" w:rsidRDefault="00FA6C9C" w:rsidP="00E472B4">
      <w:pPr>
        <w:jc w:val="both"/>
      </w:pPr>
      <w:r>
        <w:t>“Over 80 % of respondents in five countries (</w:t>
      </w:r>
      <w:r w:rsidRPr="008300D3">
        <w:rPr>
          <w:b/>
        </w:rPr>
        <w:t>Belgium</w:t>
      </w:r>
      <w:r>
        <w:t xml:space="preserve">, France, Germany, Poland, and Sweden) saw antisemitism as ‘a very big’ or ‘a fairly big problem’ – in France, this share reaches 95 % of respondents.” (FRA, </w:t>
      </w:r>
      <w:hyperlink r:id="rId43" w:history="1">
        <w:r w:rsidRPr="00AD6A58">
          <w:rPr>
            <w:rStyle w:val="Hyperlink"/>
          </w:rPr>
          <w:t>Experiences and perceptions of antisemitism - Second survey on discrimination and hate crime against Jews in the EU</w:t>
        </w:r>
      </w:hyperlink>
      <w:r>
        <w:t>, December 2018, p. 15)</w:t>
      </w:r>
    </w:p>
    <w:p w:rsidR="00FA6C9C" w:rsidRDefault="00FA6C9C" w:rsidP="00E472B4">
      <w:pPr>
        <w:jc w:val="both"/>
      </w:pPr>
      <w:r>
        <w:t xml:space="preserve">“A large majority of respondents in Austria, </w:t>
      </w:r>
      <w:r w:rsidRPr="00FA48CF">
        <w:rPr>
          <w:b/>
        </w:rPr>
        <w:t>Belgium</w:t>
      </w:r>
      <w:r>
        <w:t xml:space="preserve">, France, Hungary, Italy, Poland, and Sweden saw racism as ‘a very big’ or ‘a fairly big problem’ in the country where they live (depending on the country, between 82 % and 91 % of the respondents hold this view).” (FRA, </w:t>
      </w:r>
      <w:hyperlink r:id="rId44" w:history="1">
        <w:r w:rsidRPr="00AD6A58">
          <w:rPr>
            <w:rStyle w:val="Hyperlink"/>
          </w:rPr>
          <w:t>Experiences and perceptions of antisemitism - Second survey on discrimination and hate crime against Jews in the EU</w:t>
        </w:r>
      </w:hyperlink>
      <w:r>
        <w:t>, December 2018, p. 15)</w:t>
      </w:r>
    </w:p>
    <w:p w:rsidR="00FA6C9C" w:rsidRDefault="00FA6C9C" w:rsidP="00E472B4">
      <w:pPr>
        <w:jc w:val="both"/>
      </w:pPr>
      <w:r>
        <w:t xml:space="preserve">“The percentage of respondents indicating that antisemitism increased during the past five years is especially high (about 90 %) in </w:t>
      </w:r>
      <w:r w:rsidRPr="00A24282">
        <w:rPr>
          <w:b/>
        </w:rPr>
        <w:t>Belgium</w:t>
      </w:r>
      <w:r>
        <w:t>, France, Germany, the Netherlands, Sweden, and the United Kingdom.”</w:t>
      </w:r>
      <w:r w:rsidRPr="00A24282">
        <w:t xml:space="preserve"> </w:t>
      </w:r>
      <w:r>
        <w:t xml:space="preserve">(FRA, </w:t>
      </w:r>
      <w:hyperlink r:id="rId45" w:history="1">
        <w:r w:rsidRPr="00AD6A58">
          <w:rPr>
            <w:rStyle w:val="Hyperlink"/>
          </w:rPr>
          <w:t>Experiences and perceptions of antisemitism - Second survey on discrimination and hate crime against Jews in the EU</w:t>
        </w:r>
      </w:hyperlink>
      <w:r>
        <w:t>, December 2018, p. 18)</w:t>
      </w:r>
    </w:p>
    <w:p w:rsidR="00FA6C9C" w:rsidRDefault="00FA6C9C" w:rsidP="00E472B4">
      <w:pPr>
        <w:jc w:val="both"/>
      </w:pPr>
      <w:r>
        <w:t xml:space="preserve">“The percentage of respondents indicating that antisemitism on the internet is problematic is especially high (at least 90 %) in </w:t>
      </w:r>
      <w:r w:rsidRPr="005D27FE">
        <w:rPr>
          <w:b/>
        </w:rPr>
        <w:t>Belgium</w:t>
      </w:r>
      <w:r>
        <w:t xml:space="preserve">, France, Italy, and Poland.” (FRA, </w:t>
      </w:r>
      <w:hyperlink r:id="rId46" w:history="1">
        <w:r w:rsidRPr="00AD6A58">
          <w:rPr>
            <w:rStyle w:val="Hyperlink"/>
          </w:rPr>
          <w:t>Experiences and perceptions of antisemitism - Second survey on discrimination and hate crime against Jews in the EU</w:t>
        </w:r>
      </w:hyperlink>
      <w:r>
        <w:t>, December 2018, p. 22)</w:t>
      </w:r>
    </w:p>
    <w:p w:rsidR="00FA6C9C" w:rsidRDefault="00FA6C9C" w:rsidP="00E472B4">
      <w:pPr>
        <w:jc w:val="both"/>
      </w:pPr>
      <w:r>
        <w:t xml:space="preserve">“The majority of the respondents in </w:t>
      </w:r>
      <w:r w:rsidRPr="00FA7C16">
        <w:rPr>
          <w:b/>
        </w:rPr>
        <w:t>Belgium</w:t>
      </w:r>
      <w:r>
        <w:t xml:space="preserve"> (84 %), Spain (85 %), and France (80 %) consider antisemitism in the media to be ‘a very big’ or ‘a fairly big’ problem in the country.” (FRA, </w:t>
      </w:r>
      <w:hyperlink r:id="rId47" w:history="1">
        <w:r w:rsidRPr="00AD6A58">
          <w:rPr>
            <w:rStyle w:val="Hyperlink"/>
          </w:rPr>
          <w:t>Experiences and perceptions of antisemitism - Second survey on discrimination and hate crime against Jews in the EU</w:t>
        </w:r>
      </w:hyperlink>
      <w:r>
        <w:t>, December 2018, p. 22)</w:t>
      </w:r>
    </w:p>
    <w:p w:rsidR="00FA6C9C" w:rsidRDefault="00FA6C9C" w:rsidP="00E472B4">
      <w:pPr>
        <w:jc w:val="both"/>
      </w:pPr>
      <w:r>
        <w:t xml:space="preserve">“Expressions of hostility towards Jews in the street and other public spaces is considered to be ‘a very big’ or ‘a fairly big problem’ by the large majority of respondents in France (91 %), </w:t>
      </w:r>
      <w:r w:rsidRPr="00C6566A">
        <w:rPr>
          <w:b/>
        </w:rPr>
        <w:t>Belgium</w:t>
      </w:r>
      <w:r>
        <w:t xml:space="preserve"> (81 %), Germany (80 %), and the Netherlands (71 %) […].” (FRA, </w:t>
      </w:r>
      <w:hyperlink r:id="rId48" w:history="1">
        <w:r w:rsidRPr="00AD6A58">
          <w:rPr>
            <w:rStyle w:val="Hyperlink"/>
          </w:rPr>
          <w:t>Experiences and perceptions of antisemitism - Second survey on discrimination and hate crime against Jews in the EU</w:t>
        </w:r>
      </w:hyperlink>
      <w:r>
        <w:t>, December 2018, p. 22)</w:t>
      </w:r>
    </w:p>
    <w:p w:rsidR="00FA6C9C" w:rsidRDefault="00FA6C9C" w:rsidP="00E472B4">
      <w:pPr>
        <w:jc w:val="both"/>
      </w:pPr>
      <w:r>
        <w:lastRenderedPageBreak/>
        <w:t xml:space="preserve">“Poland, Germany and </w:t>
      </w:r>
      <w:r w:rsidRPr="00D67C5A">
        <w:rPr>
          <w:b/>
        </w:rPr>
        <w:t>Belgium</w:t>
      </w:r>
      <w:r>
        <w:t xml:space="preserve"> show the highest levels of anti-Semitic incidents that affect respondents indirectly, either as witnesses (32 %, 29 % and 28 %, respectively) or through their circle of family members and close friends (25 %, 27 % and 28 %, respectively).”</w:t>
      </w:r>
      <w:r w:rsidRPr="00A75CDD">
        <w:t xml:space="preserve"> </w:t>
      </w:r>
      <w:r>
        <w:t xml:space="preserve">(FRA, </w:t>
      </w:r>
      <w:hyperlink r:id="rId49" w:history="1">
        <w:r w:rsidRPr="00AD6A58">
          <w:rPr>
            <w:rStyle w:val="Hyperlink"/>
          </w:rPr>
          <w:t>Experiences and perceptions of antisemitism - Second survey on discrimination and hate crime against Jews in the EU</w:t>
        </w:r>
      </w:hyperlink>
      <w:r>
        <w:t>, December 2018, p. 32)</w:t>
      </w:r>
    </w:p>
    <w:p w:rsidR="00FA6C9C" w:rsidRDefault="00FA6C9C" w:rsidP="00E472B4">
      <w:pPr>
        <w:jc w:val="both"/>
      </w:pPr>
      <w:r>
        <w:t xml:space="preserve">“Respondents in </w:t>
      </w:r>
      <w:r w:rsidRPr="003A786F">
        <w:rPr>
          <w:b/>
        </w:rPr>
        <w:t>Belgium</w:t>
      </w:r>
      <w:r>
        <w:t xml:space="preserve"> and Germany recorded the next highest rates of concern: in Belgium, 65 % worried that a family member or other close person might be subjected to insult or harassment, and 54 % worried that they might be physically attacked.” (FRA, </w:t>
      </w:r>
      <w:hyperlink r:id="rId50" w:history="1">
        <w:r w:rsidRPr="00AD6A58">
          <w:rPr>
            <w:rStyle w:val="Hyperlink"/>
          </w:rPr>
          <w:t>Experiences and perceptions of antisemitism - Second survey on discrimination and hate crime against Jews in the EU</w:t>
        </w:r>
      </w:hyperlink>
      <w:r>
        <w:t>, December 2018, p. 35)</w:t>
      </w:r>
    </w:p>
    <w:p w:rsidR="00FA6C9C" w:rsidRDefault="00FA6C9C" w:rsidP="00E472B4">
      <w:pPr>
        <w:jc w:val="both"/>
      </w:pPr>
      <w:r>
        <w:t xml:space="preserve">“However, in Hungary, </w:t>
      </w:r>
      <w:r w:rsidRPr="005B01EB">
        <w:rPr>
          <w:b/>
        </w:rPr>
        <w:t>Belgium</w:t>
      </w:r>
      <w:r>
        <w:t xml:space="preserve">, France and Germany, between 40 % and 44 % of respondents indicate that they have considered emigrating in the past five years because they did not feel safe there as Jews.” (FRA, </w:t>
      </w:r>
      <w:hyperlink r:id="rId51" w:history="1">
        <w:r w:rsidRPr="00AD6A58">
          <w:rPr>
            <w:rStyle w:val="Hyperlink"/>
          </w:rPr>
          <w:t>Experiences and perceptions of antisemitism - Second survey on discrimination and hate crime against Jews in the EU</w:t>
        </w:r>
      </w:hyperlink>
      <w:r>
        <w:t>, December 2018, p. 38)</w:t>
      </w:r>
    </w:p>
    <w:p w:rsidR="00472C30" w:rsidRDefault="00472C30" w:rsidP="00E472B4">
      <w:pPr>
        <w:jc w:val="both"/>
      </w:pPr>
      <w:r>
        <w:t xml:space="preserve">“More than one third of respondents in Germany (41 %), </w:t>
      </w:r>
      <w:r w:rsidRPr="00686648">
        <w:rPr>
          <w:b/>
        </w:rPr>
        <w:t>Belgium</w:t>
      </w:r>
      <w:r>
        <w:t xml:space="preserve"> (39 %) and the Netherlands (35 %), and close to one third of respondents in Poland, Spain (32 % each) and Sweden (30 %) experienced at least one type of anti-Semitic harassment in the 12 months before the survey.” (FRA, </w:t>
      </w:r>
      <w:hyperlink r:id="rId52" w:history="1">
        <w:r w:rsidRPr="00AD6A58">
          <w:rPr>
            <w:rStyle w:val="Hyperlink"/>
          </w:rPr>
          <w:t>Experiences and perceptions of antisemitism - Second survey on discrimination and hate crime against Jews in the EU</w:t>
        </w:r>
      </w:hyperlink>
      <w:r>
        <w:t>, December 2018, p. 46)</w:t>
      </w:r>
    </w:p>
    <w:p w:rsidR="00472C30" w:rsidRDefault="00472C30" w:rsidP="00E472B4">
      <w:pPr>
        <w:jc w:val="both"/>
      </w:pPr>
      <w:r>
        <w:t xml:space="preserve">“Higher shares of respondents in Germany, the Netherlands and </w:t>
      </w:r>
      <w:r w:rsidRPr="0042417D">
        <w:rPr>
          <w:b/>
        </w:rPr>
        <w:t>Belgium</w:t>
      </w:r>
      <w:r>
        <w:t xml:space="preserve"> indicate that they personally experienced offensive or threatening comments because they are Jewish in the 12 months before the survey (29 %, 26 % and 25 %, respectively) than in the other EU Member States surveyed.”</w:t>
      </w:r>
      <w:r w:rsidRPr="00021F2C">
        <w:t xml:space="preserve"> </w:t>
      </w:r>
      <w:r>
        <w:t xml:space="preserve">(FRA, </w:t>
      </w:r>
      <w:hyperlink r:id="rId53" w:history="1">
        <w:r w:rsidRPr="00AD6A58">
          <w:rPr>
            <w:rStyle w:val="Hyperlink"/>
          </w:rPr>
          <w:t>Experiences and perceptions of antisemitism - Second survey on discrimination and hate crime against Jews in the EU</w:t>
        </w:r>
      </w:hyperlink>
      <w:r>
        <w:t>, December 2018, p. 48)</w:t>
      </w:r>
    </w:p>
    <w:p w:rsidR="00472C30" w:rsidRDefault="00472C30" w:rsidP="00E472B4">
      <w:pPr>
        <w:jc w:val="both"/>
      </w:pPr>
      <w:r>
        <w:t xml:space="preserve">“In the case of the most serious incident of anti-Semitic harassment, the proportions of victims who referred to anti-Semitic language during the incident range from 61 %–65 % in France, Denmark, Austria, and Sweden, to 72 %–79 % in </w:t>
      </w:r>
      <w:r w:rsidRPr="00384EBE">
        <w:rPr>
          <w:b/>
        </w:rPr>
        <w:t>Belgium</w:t>
      </w:r>
      <w:r>
        <w:t>, Hungary and Poland.”</w:t>
      </w:r>
      <w:r w:rsidRPr="002F7658">
        <w:t xml:space="preserve"> </w:t>
      </w:r>
      <w:r>
        <w:t xml:space="preserve">(FRA, </w:t>
      </w:r>
      <w:hyperlink r:id="rId54" w:history="1">
        <w:r w:rsidRPr="00AD6A58">
          <w:rPr>
            <w:rStyle w:val="Hyperlink"/>
          </w:rPr>
          <w:t>Experiences and perceptions of antisemitism - Second survey on discrimination and hate crime against Jews in the EU</w:t>
        </w:r>
      </w:hyperlink>
      <w:r>
        <w:t>, December 2018, p. 53)</w:t>
      </w:r>
    </w:p>
    <w:p w:rsidR="00895473" w:rsidRDefault="00895473" w:rsidP="00E472B4">
      <w:pPr>
        <w:jc w:val="both"/>
      </w:pPr>
      <w:r>
        <w:t xml:space="preserve">“In </w:t>
      </w:r>
      <w:r w:rsidRPr="000F43FD">
        <w:rPr>
          <w:b/>
        </w:rPr>
        <w:t>Belgium</w:t>
      </w:r>
      <w:r>
        <w:t xml:space="preserve">, Muslim men with North African background report higher rate of discrimination compared to women (34 % versus 26 %), but no substantial gender differences are observed for Muslims from Turkey (20 % and 22 %, respectively).” (FRA, </w:t>
      </w:r>
      <w:hyperlink r:id="rId55" w:history="1">
        <w:r w:rsidRPr="00841068">
          <w:rPr>
            <w:rStyle w:val="Hyperlink"/>
          </w:rPr>
          <w:t>Second European Union Minorities and Discrimination Survey Muslims – Selected findings</w:t>
        </w:r>
      </w:hyperlink>
      <w:r>
        <w:t>, September 2017, p. 30)</w:t>
      </w:r>
    </w:p>
    <w:p w:rsidR="00895473" w:rsidRDefault="00895473" w:rsidP="00E472B4">
      <w:pPr>
        <w:jc w:val="both"/>
      </w:pPr>
      <w:r>
        <w:t xml:space="preserve">“In contrast, Muslim immigrants or descendants of immigrants from North Africa in the Netherlands, </w:t>
      </w:r>
      <w:r w:rsidRPr="00BC290C">
        <w:rPr>
          <w:b/>
        </w:rPr>
        <w:t>Belgium</w:t>
      </w:r>
      <w:r>
        <w:t xml:space="preserve">, and France who felt discriminated against when looking for work indicate their first or last name as the main reason.” (FRA, </w:t>
      </w:r>
      <w:hyperlink r:id="rId56" w:history="1">
        <w:r w:rsidRPr="00841068">
          <w:rPr>
            <w:rStyle w:val="Hyperlink"/>
          </w:rPr>
          <w:t>Second European Union Minorities and Discrimination Survey Muslims – Selected findings</w:t>
        </w:r>
      </w:hyperlink>
      <w:r>
        <w:t>, September 2017, p. 32)</w:t>
      </w:r>
    </w:p>
    <w:p w:rsidR="00895473" w:rsidRDefault="00895473" w:rsidP="00E472B4">
      <w:pPr>
        <w:jc w:val="both"/>
      </w:pPr>
      <w:r>
        <w:t xml:space="preserve">“In </w:t>
      </w:r>
      <w:r w:rsidRPr="0077025D">
        <w:rPr>
          <w:b/>
        </w:rPr>
        <w:t>Belgium</w:t>
      </w:r>
      <w:r>
        <w:t xml:space="preserve">, Muslims with North African background on average seem more aware of support organisations than those from Turkey (30 % and 21 %, respectively).” (FRA, </w:t>
      </w:r>
      <w:hyperlink r:id="rId57" w:history="1">
        <w:r w:rsidRPr="00841068">
          <w:rPr>
            <w:rStyle w:val="Hyperlink"/>
          </w:rPr>
          <w:t>Second European Union Minorities and Discrimination Survey Muslims – Selected findings</w:t>
        </w:r>
      </w:hyperlink>
      <w:r>
        <w:t>, September 2017, p. 36)</w:t>
      </w:r>
    </w:p>
    <w:p w:rsidR="00895473" w:rsidRDefault="00895473" w:rsidP="00E472B4">
      <w:pPr>
        <w:jc w:val="both"/>
      </w:pPr>
      <w:r>
        <w:t xml:space="preserve">“In </w:t>
      </w:r>
      <w:r w:rsidRPr="00BB78F4">
        <w:rPr>
          <w:b/>
        </w:rPr>
        <w:t>Belgium</w:t>
      </w:r>
      <w:r>
        <w:t xml:space="preserve"> (49%) and Finland (47%), almost half of Muslim respondents are aware of at least one [equality] body.”</w:t>
      </w:r>
      <w:r w:rsidRPr="004D1D5F">
        <w:t xml:space="preserve"> </w:t>
      </w:r>
      <w:r>
        <w:t xml:space="preserve">(FRA, </w:t>
      </w:r>
      <w:hyperlink r:id="rId58" w:history="1">
        <w:r w:rsidRPr="00841068">
          <w:rPr>
            <w:rStyle w:val="Hyperlink"/>
          </w:rPr>
          <w:t>Second European Union Minorities and Discrimination Survey Muslims – Selected findings</w:t>
        </w:r>
      </w:hyperlink>
      <w:r>
        <w:t>, September 2017, p. 37)</w:t>
      </w:r>
    </w:p>
    <w:p w:rsidR="00895473" w:rsidRDefault="00895473" w:rsidP="00E472B4">
      <w:pPr>
        <w:jc w:val="both"/>
      </w:pPr>
      <w:r>
        <w:lastRenderedPageBreak/>
        <w:t xml:space="preserve">“The majority of victims of bias-motivated harassment among Muslim respondents from Turkey living in the Netherlands (60 %) and those from Sub-Saharan Africa in Sweden (58 %), as well as those from North Africa in </w:t>
      </w:r>
      <w:r w:rsidRPr="00677F0A">
        <w:rPr>
          <w:b/>
        </w:rPr>
        <w:t>Belgium</w:t>
      </w:r>
      <w:r>
        <w:t xml:space="preserve"> (58 %), experienced six or more incidents in a year.” (FRA, </w:t>
      </w:r>
      <w:hyperlink r:id="rId59" w:history="1">
        <w:r w:rsidRPr="00841068">
          <w:rPr>
            <w:rStyle w:val="Hyperlink"/>
          </w:rPr>
          <w:t>Second European Union Minorities and Discrimination Survey Muslims – Selected findings</w:t>
        </w:r>
      </w:hyperlink>
      <w:r>
        <w:t>, September 2017, p. 42)</w:t>
      </w:r>
    </w:p>
    <w:p w:rsidR="00895473" w:rsidRDefault="00895473" w:rsidP="00E472B4">
      <w:pPr>
        <w:jc w:val="both"/>
      </w:pPr>
      <w:r>
        <w:t xml:space="preserve">“The results indicate that certain groups are stopped on the street more often than others. Half of both first- and second-generation Muslim respondents from Sub-Saharan Africa in Italy (53 %), and nearly half from North Africa in the Netherlands, </w:t>
      </w:r>
      <w:r w:rsidRPr="001D1324">
        <w:rPr>
          <w:b/>
        </w:rPr>
        <w:t>Belgium</w:t>
      </w:r>
      <w:r>
        <w:t xml:space="preserve">, Italy, and Spain recalled that they were last stopped by the police on the street (40-42 %).” (FRA, </w:t>
      </w:r>
      <w:hyperlink r:id="rId60" w:history="1">
        <w:r w:rsidRPr="00841068">
          <w:rPr>
            <w:rStyle w:val="Hyperlink"/>
          </w:rPr>
          <w:t>Second European Union Minorities and Discrimination Survey Muslims – Selected findings</w:t>
        </w:r>
      </w:hyperlink>
      <w:r>
        <w:t>, September 2017, p. 55)</w:t>
      </w:r>
    </w:p>
    <w:p w:rsidR="00560E95" w:rsidRPr="00560E95" w:rsidRDefault="00895473" w:rsidP="00E472B4">
      <w:pPr>
        <w:jc w:val="both"/>
      </w:pPr>
      <w:r>
        <w:t xml:space="preserve">“Muslims surveyed in France and </w:t>
      </w:r>
      <w:r w:rsidRPr="003325EC">
        <w:rPr>
          <w:b/>
        </w:rPr>
        <w:t>Belgium</w:t>
      </w:r>
      <w:r>
        <w:t xml:space="preserve"> also tend to manifest lower levels of trust in the police than the average in the selected EU Member States.” (FRA, </w:t>
      </w:r>
      <w:hyperlink r:id="rId61" w:history="1">
        <w:r w:rsidRPr="00841068">
          <w:rPr>
            <w:rStyle w:val="Hyperlink"/>
          </w:rPr>
          <w:t>Second European Union Minorities and Discrimination Survey Muslims – Selected findings</w:t>
        </w:r>
      </w:hyperlink>
      <w:r>
        <w:t>, September 2017, p. 55)</w:t>
      </w:r>
    </w:p>
    <w:p w:rsidR="00D326F2" w:rsidRDefault="00D326F2" w:rsidP="00E472B4">
      <w:pPr>
        <w:pStyle w:val="Heading1"/>
        <w:jc w:val="both"/>
      </w:pPr>
      <w:bookmarkStart w:id="10" w:name="_Toc30752952"/>
      <w:r>
        <w:t>Right to work</w:t>
      </w:r>
      <w:bookmarkEnd w:id="10"/>
    </w:p>
    <w:p w:rsidR="000264FF" w:rsidRDefault="000264FF" w:rsidP="00E472B4">
      <w:pPr>
        <w:jc w:val="both"/>
      </w:pPr>
      <w:r>
        <w:t xml:space="preserve">“In </w:t>
      </w:r>
      <w:r w:rsidRPr="00475461">
        <w:rPr>
          <w:b/>
        </w:rPr>
        <w:t>Belgium</w:t>
      </w:r>
      <w:r>
        <w:t>, the Flemish government’s Department of Work and Social Economy, as part of its broader anti-discrimination policy, has created incentives for economic sectors to develop binding sectoral codes of conduct against all forms of discrimination. The government will financially support actions leading to their adoption.”</w:t>
      </w:r>
      <w:r w:rsidRPr="00480B01">
        <w:t xml:space="preserve"> </w:t>
      </w:r>
      <w:r>
        <w:t xml:space="preserve">(FRA, </w:t>
      </w:r>
      <w:hyperlink r:id="rId62" w:history="1">
        <w:r w:rsidRPr="00212B13">
          <w:rPr>
            <w:rStyle w:val="Hyperlink"/>
          </w:rPr>
          <w:t>Fundamental Rights Report 2019</w:t>
        </w:r>
      </w:hyperlink>
      <w:r>
        <w:t>, June 2019, p. 74)</w:t>
      </w:r>
    </w:p>
    <w:p w:rsidR="00462FE6" w:rsidRPr="00462FE6" w:rsidRDefault="00462FE6" w:rsidP="00E472B4">
      <w:pPr>
        <w:jc w:val="both"/>
        <w:rPr>
          <w:highlight w:val="lightGray"/>
        </w:rPr>
      </w:pPr>
      <w:r w:rsidRPr="00462FE6">
        <w:rPr>
          <w:highlight w:val="lightGray"/>
        </w:rPr>
        <w:t xml:space="preserve">“The testimonies of both professionals and workers suggest that introducing investigative units in labour inspectorates specialised in combating labour exploitation and/or trafficking in human beings, as well as joint inspections carried out by the police and labour inspectorates, can be particularly effective in ensuring good treatment of exploited workers and enabling them to access justice. Such specialised units can be found in the Netherlands and </w:t>
      </w:r>
      <w:r w:rsidRPr="00462FE6">
        <w:rPr>
          <w:b/>
          <w:highlight w:val="lightGray"/>
        </w:rPr>
        <w:t>Belgium</w:t>
      </w:r>
      <w:r w:rsidRPr="00462FE6">
        <w:rPr>
          <w:highlight w:val="lightGray"/>
        </w:rPr>
        <w:t xml:space="preserve">, for example.” (FRA, </w:t>
      </w:r>
      <w:hyperlink r:id="rId63" w:history="1">
        <w:r w:rsidRPr="00462FE6">
          <w:rPr>
            <w:rStyle w:val="Hyperlink"/>
            <w:highlight w:val="lightGray"/>
          </w:rPr>
          <w:t>Protecting migrant workers from exploitation in the EU: boosting workplace inspections</w:t>
        </w:r>
      </w:hyperlink>
      <w:r w:rsidRPr="00462FE6">
        <w:rPr>
          <w:highlight w:val="lightGray"/>
        </w:rPr>
        <w:t>, September 2018, p. 7)</w:t>
      </w:r>
    </w:p>
    <w:p w:rsidR="00560E95" w:rsidRDefault="00462FE6" w:rsidP="00E472B4">
      <w:pPr>
        <w:jc w:val="both"/>
      </w:pPr>
      <w:r w:rsidRPr="00462FE6">
        <w:rPr>
          <w:highlight w:val="lightGray"/>
        </w:rPr>
        <w:t xml:space="preserve">“In </w:t>
      </w:r>
      <w:r w:rsidRPr="00462FE6">
        <w:rPr>
          <w:b/>
          <w:highlight w:val="lightGray"/>
        </w:rPr>
        <w:t>Belgium</w:t>
      </w:r>
      <w:r w:rsidRPr="00462FE6">
        <w:rPr>
          <w:highlight w:val="lightGray"/>
        </w:rPr>
        <w:t xml:space="preserve">, specialised police units identify possible risk factors for labour exploitation. These units regularly investigate new sectors and conduct monthly inspections of high-risk sectors.” (FRA, </w:t>
      </w:r>
      <w:hyperlink r:id="rId64" w:history="1">
        <w:r w:rsidRPr="00462FE6">
          <w:rPr>
            <w:rStyle w:val="Hyperlink"/>
            <w:highlight w:val="lightGray"/>
          </w:rPr>
          <w:t>Protecting migrant workers from exploitation in the EU: boosting workplace inspections</w:t>
        </w:r>
      </w:hyperlink>
      <w:r w:rsidRPr="00462FE6">
        <w:rPr>
          <w:highlight w:val="lightGray"/>
        </w:rPr>
        <w:t>, September 2018, p. 13)</w:t>
      </w:r>
    </w:p>
    <w:p w:rsidR="00223F36" w:rsidRDefault="00223F36" w:rsidP="00E472B4">
      <w:pPr>
        <w:jc w:val="both"/>
      </w:pPr>
      <w:r>
        <w:t xml:space="preserve">“Eleven Member States (Austria, </w:t>
      </w:r>
      <w:r w:rsidRPr="00E30D65">
        <w:rPr>
          <w:b/>
        </w:rPr>
        <w:t>Belgium: Flanders</w:t>
      </w:r>
      <w:r>
        <w:t>, Denmark, Estonia, Finland, Germany, Italy, Latvia, the Netherlands, Portugal and Sweden) monitor progress in migrant integration outcomes regularly through official integration indicators, mostly recently adopted and referring to all or most of the Zaragoza indicators.”</w:t>
      </w:r>
      <w:r w:rsidR="0001490F" w:rsidRPr="0001490F">
        <w:t xml:space="preserve"> </w:t>
      </w:r>
      <w:r w:rsidR="0001490F">
        <w:t xml:space="preserve">(FRA, </w:t>
      </w:r>
      <w:hyperlink r:id="rId65" w:history="1">
        <w:r w:rsidR="0001490F" w:rsidRPr="00C4259C">
          <w:rPr>
            <w:rStyle w:val="Hyperlink"/>
          </w:rPr>
          <w:t>Together in the EU - Promoting the participation of migrants and their descendants</w:t>
        </w:r>
      </w:hyperlink>
      <w:r w:rsidR="0001490F">
        <w:t xml:space="preserve">, March 2017, p. </w:t>
      </w:r>
      <w:r w:rsidR="005F4C6C">
        <w:t>35</w:t>
      </w:r>
      <w:r w:rsidR="0001490F">
        <w:t>)</w:t>
      </w:r>
    </w:p>
    <w:p w:rsidR="00073588" w:rsidRDefault="00073588" w:rsidP="00E472B4">
      <w:pPr>
        <w:jc w:val="both"/>
      </w:pPr>
      <w:r>
        <w:t xml:space="preserve">“Indicators of integration outcomes are not always concretely linked to fundamental rights. For example, indicators of equal treatment/discrimination are used in monitoring immigrants’ integration only in </w:t>
      </w:r>
      <w:r w:rsidRPr="009A20A3">
        <w:rPr>
          <w:b/>
        </w:rPr>
        <w:t>Belgium</w:t>
      </w:r>
      <w:r>
        <w:t>, Denmark, Finland and Portugal.”</w:t>
      </w:r>
      <w:r w:rsidR="005F7042" w:rsidRPr="005F7042">
        <w:t xml:space="preserve"> </w:t>
      </w:r>
      <w:r w:rsidR="005F7042">
        <w:t xml:space="preserve">(FRA, </w:t>
      </w:r>
      <w:hyperlink r:id="rId66" w:history="1">
        <w:r w:rsidR="005F7042" w:rsidRPr="00C4259C">
          <w:rPr>
            <w:rStyle w:val="Hyperlink"/>
          </w:rPr>
          <w:t>Together in the EU - Promoting the participation of migrants and their descendants</w:t>
        </w:r>
      </w:hyperlink>
      <w:r w:rsidR="005F7042">
        <w:t>, March 2017, p. 35)</w:t>
      </w:r>
    </w:p>
    <w:p w:rsidR="00161B06" w:rsidRDefault="00161B06" w:rsidP="00E472B4">
      <w:pPr>
        <w:pStyle w:val="Heading1"/>
        <w:jc w:val="both"/>
      </w:pPr>
      <w:bookmarkStart w:id="11" w:name="_Toc30752953"/>
      <w:r>
        <w:t>Right to just and favourable conditions of work</w:t>
      </w:r>
      <w:bookmarkEnd w:id="11"/>
    </w:p>
    <w:p w:rsidR="00107D26" w:rsidRDefault="00107D26" w:rsidP="00E472B4">
      <w:pPr>
        <w:jc w:val="both"/>
      </w:pPr>
      <w:r>
        <w:t xml:space="preserve">“Employers told five interviewees in </w:t>
      </w:r>
      <w:r w:rsidRPr="00C97AE7">
        <w:rPr>
          <w:b/>
        </w:rPr>
        <w:t>Belgium</w:t>
      </w:r>
      <w:r>
        <w:t xml:space="preserve">, France and the Netherlands to lie about their identity and about the kind of relationship they had to the employer – for example, to lie and say they were volunteers, customers or passers-by.” (FRA, </w:t>
      </w:r>
      <w:hyperlink r:id="rId67" w:history="1">
        <w:r w:rsidRPr="000A2F03">
          <w:rPr>
            <w:rStyle w:val="Hyperlink"/>
          </w:rPr>
          <w:t>Protecting migrant workers from exploitation in the EU: boosting workplace inspections</w:t>
        </w:r>
      </w:hyperlink>
      <w:r>
        <w:t>, September 2018, p. 20)</w:t>
      </w:r>
    </w:p>
    <w:p w:rsidR="00107D26" w:rsidRDefault="00107D26" w:rsidP="00E472B4">
      <w:pPr>
        <w:jc w:val="both"/>
      </w:pPr>
      <w:r>
        <w:lastRenderedPageBreak/>
        <w:t xml:space="preserve">“In a strategy of making working conditions appear legal, one employer in </w:t>
      </w:r>
      <w:r w:rsidRPr="00DA4626">
        <w:rPr>
          <w:b/>
        </w:rPr>
        <w:t>Belgium</w:t>
      </w:r>
      <w:r>
        <w:t xml:space="preserve"> (cleaning) made workers sign a fake contract to show inspectors, which he tore up immediately after they left.” (FRA, </w:t>
      </w:r>
      <w:hyperlink r:id="rId68" w:history="1">
        <w:r w:rsidRPr="000A2F03">
          <w:rPr>
            <w:rStyle w:val="Hyperlink"/>
          </w:rPr>
          <w:t>Protecting migrant workers from exploitation in the EU: boosting workplace inspections</w:t>
        </w:r>
      </w:hyperlink>
      <w:r>
        <w:t>, September 2018, p. 20)</w:t>
      </w:r>
    </w:p>
    <w:p w:rsidR="00107D26" w:rsidRDefault="00107D26" w:rsidP="00E472B4">
      <w:pPr>
        <w:jc w:val="both"/>
      </w:pPr>
      <w:r>
        <w:t xml:space="preserve">“Focus-group participants in </w:t>
      </w:r>
      <w:r w:rsidRPr="000A067A">
        <w:rPr>
          <w:b/>
        </w:rPr>
        <w:t>Belgium</w:t>
      </w:r>
      <w:r>
        <w:t xml:space="preserve"> explained that workers with an irregular status do not show up for work on the day of announced inspections. One interviewee, working in a food processing factory, pointed out that her employer adapted the work schedule according to the announced inspections.”</w:t>
      </w:r>
      <w:r w:rsidRPr="009E57CC">
        <w:t xml:space="preserve"> </w:t>
      </w:r>
      <w:r>
        <w:t xml:space="preserve">(FRA, </w:t>
      </w:r>
      <w:hyperlink r:id="rId69" w:history="1">
        <w:r w:rsidRPr="000A2F03">
          <w:rPr>
            <w:rStyle w:val="Hyperlink"/>
          </w:rPr>
          <w:t>Protecting migrant workers from exploitation in the EU: boosting workplace inspections</w:t>
        </w:r>
      </w:hyperlink>
      <w:r>
        <w:t>, September 2018, p. 21)</w:t>
      </w:r>
    </w:p>
    <w:p w:rsidR="00107D26" w:rsidRDefault="00107D26" w:rsidP="00E472B4">
      <w:pPr>
        <w:jc w:val="both"/>
      </w:pPr>
      <w:r w:rsidRPr="00F80C01">
        <w:rPr>
          <w:highlight w:val="lightGray"/>
        </w:rPr>
        <w:t xml:space="preserve">“As of May 2018, only six EU Member States – </w:t>
      </w:r>
      <w:r w:rsidRPr="00F80C01">
        <w:rPr>
          <w:b/>
          <w:highlight w:val="lightGray"/>
        </w:rPr>
        <w:t>Belgium</w:t>
      </w:r>
      <w:r w:rsidRPr="00F80C01">
        <w:rPr>
          <w:highlight w:val="lightGray"/>
        </w:rPr>
        <w:t xml:space="preserve">, Finland, Germany, Ireland, Italy and Portugal – have ratified the Domestic Workers Convention. The (revised) European Social Charter of the Council of Europe (ratified by 20 EU Member States) also contains labour law standards, such as an obligation for employers to provide for reasonable working hours, paid holidays and a weekly rest period.” (FRA, </w:t>
      </w:r>
      <w:hyperlink r:id="rId70" w:history="1">
        <w:r w:rsidRPr="00F80C01">
          <w:rPr>
            <w:rStyle w:val="Hyperlink"/>
            <w:highlight w:val="lightGray"/>
          </w:rPr>
          <w:t>Out of sight: migrant women exploited in domestic work</w:t>
        </w:r>
      </w:hyperlink>
      <w:r w:rsidRPr="00F80C01">
        <w:rPr>
          <w:highlight w:val="lightGray"/>
        </w:rPr>
        <w:t>, June 2018, p. 3)</w:t>
      </w:r>
    </w:p>
    <w:p w:rsidR="00324808" w:rsidRDefault="00324808" w:rsidP="00E472B4">
      <w:pPr>
        <w:jc w:val="both"/>
      </w:pPr>
      <w:r>
        <w:t>“In its Report on the implementation by EU Member States</w:t>
      </w:r>
      <w:r w:rsidR="00373218">
        <w:t xml:space="preserve"> of the Working Time Directive,</w:t>
      </w:r>
      <w:r>
        <w:t xml:space="preserve"> the European Commission noted that in five Member States (</w:t>
      </w:r>
      <w:r w:rsidRPr="00373218">
        <w:rPr>
          <w:b/>
        </w:rPr>
        <w:t>Belgium</w:t>
      </w:r>
      <w:r>
        <w:t>, Greece, Luxembourg, Sweden and the United Kingdom) domestic workers have been entirely or partially excluded from the legislation transposing the directive.”</w:t>
      </w:r>
      <w:r w:rsidR="00211403">
        <w:t xml:space="preserve"> (FRA, </w:t>
      </w:r>
      <w:hyperlink r:id="rId71" w:history="1">
        <w:r w:rsidR="00211403" w:rsidRPr="00313B70">
          <w:rPr>
            <w:rStyle w:val="Hyperlink"/>
          </w:rPr>
          <w:t>Protecting migrant workers from exploitation in the EU: workers’ perspectives</w:t>
        </w:r>
      </w:hyperlink>
      <w:r w:rsidR="00211403">
        <w:t xml:space="preserve">, June 2019, p. </w:t>
      </w:r>
      <w:r w:rsidR="00AE0D00">
        <w:t>16)</w:t>
      </w:r>
    </w:p>
    <w:p w:rsidR="00183C60" w:rsidRDefault="00183C60" w:rsidP="00E472B4">
      <w:pPr>
        <w:jc w:val="both"/>
      </w:pPr>
      <w:r>
        <w:t xml:space="preserve">“Another pathway to work and subsequent labour exploitation is through known ‘pick-up spots’, mostly for workers in an irregular situation. They were mentioned in </w:t>
      </w:r>
      <w:r w:rsidRPr="003528DA">
        <w:rPr>
          <w:b/>
        </w:rPr>
        <w:t>Belgium</w:t>
      </w:r>
      <w:r>
        <w:t>, France and Italy.”</w:t>
      </w:r>
      <w:r w:rsidRPr="00183C60">
        <w:t xml:space="preserve"> </w:t>
      </w:r>
      <w:r>
        <w:t xml:space="preserve">(FRA, </w:t>
      </w:r>
      <w:hyperlink r:id="rId72" w:history="1">
        <w:r w:rsidRPr="00313B70">
          <w:rPr>
            <w:rStyle w:val="Hyperlink"/>
          </w:rPr>
          <w:t>Protecting migrant workers from exploitation in the EU: workers’ perspectives</w:t>
        </w:r>
      </w:hyperlink>
      <w:r>
        <w:t xml:space="preserve">, June 2019, p. </w:t>
      </w:r>
      <w:r w:rsidR="00693027">
        <w:t>37</w:t>
      </w:r>
      <w:r>
        <w:t>)</w:t>
      </w:r>
    </w:p>
    <w:p w:rsidR="00D700A0" w:rsidRDefault="00D700A0" w:rsidP="00E472B4">
      <w:pPr>
        <w:jc w:val="both"/>
      </w:pPr>
      <w:r>
        <w:t xml:space="preserve">“Construction workers in </w:t>
      </w:r>
      <w:r w:rsidRPr="00D700A0">
        <w:rPr>
          <w:b/>
        </w:rPr>
        <w:t>Belgium</w:t>
      </w:r>
      <w:r>
        <w:t>, Germany, Italy, Poland and Portugal raised lack of personal protective equipment (including boots, helmets and protective gear) and lack of health and safety instructions and training.”</w:t>
      </w:r>
      <w:r w:rsidR="00FA6418" w:rsidRPr="00FA6418">
        <w:t xml:space="preserve"> </w:t>
      </w:r>
      <w:r w:rsidR="00FA6418">
        <w:t xml:space="preserve">(FRA, </w:t>
      </w:r>
      <w:hyperlink r:id="rId73" w:history="1">
        <w:r w:rsidR="00FA6418" w:rsidRPr="00313B70">
          <w:rPr>
            <w:rStyle w:val="Hyperlink"/>
          </w:rPr>
          <w:t>Protecting migrant workers from exploitation in the EU: workers’ perspectives</w:t>
        </w:r>
      </w:hyperlink>
      <w:r w:rsidR="00FA6418">
        <w:t xml:space="preserve">, June 2019, p. </w:t>
      </w:r>
      <w:r w:rsidR="00F66405">
        <w:t>4</w:t>
      </w:r>
      <w:r w:rsidR="00FA6418">
        <w:t>7)</w:t>
      </w:r>
    </w:p>
    <w:p w:rsidR="00AD1213" w:rsidRDefault="00AD1213" w:rsidP="00E472B4">
      <w:pPr>
        <w:jc w:val="both"/>
      </w:pPr>
      <w:r>
        <w:t>“Health-related problems were also mentioned in relation to being requested to perform physically strenuous tasks (</w:t>
      </w:r>
      <w:r w:rsidRPr="00EC49FC">
        <w:rPr>
          <w:b/>
        </w:rPr>
        <w:t>Belgium</w:t>
      </w:r>
      <w:r>
        <w:t>, Germany).”</w:t>
      </w:r>
      <w:r w:rsidR="00440FC0" w:rsidRPr="00440FC0">
        <w:t xml:space="preserve"> </w:t>
      </w:r>
      <w:r w:rsidR="00440FC0">
        <w:t xml:space="preserve">(FRA, </w:t>
      </w:r>
      <w:hyperlink r:id="rId74" w:history="1">
        <w:r w:rsidR="00440FC0" w:rsidRPr="00313B70">
          <w:rPr>
            <w:rStyle w:val="Hyperlink"/>
          </w:rPr>
          <w:t>Protecting migrant workers from exploitation in the EU: workers’ perspectives</w:t>
        </w:r>
      </w:hyperlink>
      <w:r w:rsidR="00440FC0">
        <w:t xml:space="preserve">, June 2019, p. </w:t>
      </w:r>
      <w:r w:rsidR="00E41E6E">
        <w:t>48</w:t>
      </w:r>
      <w:r w:rsidR="00440FC0">
        <w:t>)</w:t>
      </w:r>
    </w:p>
    <w:p w:rsidR="003C652C" w:rsidRDefault="003C652C" w:rsidP="00E472B4">
      <w:pPr>
        <w:jc w:val="both"/>
      </w:pPr>
      <w:r>
        <w:t xml:space="preserve">“Exploitative employers also required interviewees to perform illegal tasks. A construction worker in </w:t>
      </w:r>
      <w:r w:rsidRPr="000C71B2">
        <w:rPr>
          <w:b/>
        </w:rPr>
        <w:t>Belgium</w:t>
      </w:r>
      <w:r>
        <w:t xml:space="preserve"> describes being requested to drive without a licence to throw away construction material at night, which most likely was illegal too.”</w:t>
      </w:r>
      <w:r w:rsidR="00D75F14">
        <w:t xml:space="preserve"> (FRA, </w:t>
      </w:r>
      <w:hyperlink r:id="rId75" w:history="1">
        <w:r w:rsidR="00D75F14" w:rsidRPr="00313B70">
          <w:rPr>
            <w:rStyle w:val="Hyperlink"/>
          </w:rPr>
          <w:t>Protecting migrant workers from exploitation in the EU: workers’ perspectives</w:t>
        </w:r>
      </w:hyperlink>
      <w:r w:rsidR="00D75F14">
        <w:t xml:space="preserve">, June 2019, p. </w:t>
      </w:r>
      <w:r w:rsidR="005A3BF2">
        <w:t>49</w:t>
      </w:r>
      <w:r w:rsidR="00D75F14">
        <w:t>)</w:t>
      </w:r>
    </w:p>
    <w:p w:rsidR="00CA7CAE" w:rsidRDefault="00CA7CAE" w:rsidP="00E472B4">
      <w:pPr>
        <w:jc w:val="both"/>
      </w:pPr>
      <w:r>
        <w:t xml:space="preserve">“Almost half of the interviewees (80 out of 162) were not provided with a contract for the job in which they experienced the exploitation. However, there are significant differences between countries: in </w:t>
      </w:r>
      <w:r w:rsidRPr="00256E8A">
        <w:rPr>
          <w:b/>
        </w:rPr>
        <w:t>Belgium</w:t>
      </w:r>
      <w:r>
        <w:t>, France, the Netherlands and Poland, the majority of interviewees did not have a contract; in Germany, Italy, Portugal and the United Kingdom, the majority had signe</w:t>
      </w:r>
      <w:r w:rsidR="002606D2">
        <w:t>d a contract</w:t>
      </w:r>
      <w:r>
        <w:t>.</w:t>
      </w:r>
      <w:r w:rsidR="00347B20">
        <w:t>”</w:t>
      </w:r>
      <w:r w:rsidR="00832062" w:rsidRPr="00832062">
        <w:t xml:space="preserve"> </w:t>
      </w:r>
      <w:r w:rsidR="00832062">
        <w:t xml:space="preserve">(FRA, </w:t>
      </w:r>
      <w:hyperlink r:id="rId76" w:history="1">
        <w:r w:rsidR="00832062" w:rsidRPr="00313B70">
          <w:rPr>
            <w:rStyle w:val="Hyperlink"/>
          </w:rPr>
          <w:t>Protecting migrant workers from exploitation in the EU: workers’ perspectives</w:t>
        </w:r>
      </w:hyperlink>
      <w:r w:rsidR="00832062">
        <w:t>, June 2019, p. 49)</w:t>
      </w:r>
    </w:p>
    <w:p w:rsidR="00787A3C" w:rsidRDefault="00787A3C" w:rsidP="00E472B4">
      <w:pPr>
        <w:jc w:val="both"/>
      </w:pPr>
      <w:r>
        <w:t xml:space="preserve">“Some of the most severe forms of labour exploitation were experienced by workers living at the workplace or at the employer’s home, with the worker depending on the employer not only for accommodation, but also for food and for transport. These situations were identified especially among domestic, construction and agriculture workers (including posted workers in </w:t>
      </w:r>
      <w:r w:rsidRPr="003708E4">
        <w:rPr>
          <w:b/>
        </w:rPr>
        <w:t>Belgium</w:t>
      </w:r>
      <w:r>
        <w:t xml:space="preserve"> and ‘national </w:t>
      </w:r>
      <w:r>
        <w:lastRenderedPageBreak/>
        <w:t>seasonal workers’ in Portugal).”</w:t>
      </w:r>
      <w:r w:rsidR="00F41FC7" w:rsidRPr="00F41FC7">
        <w:t xml:space="preserve"> </w:t>
      </w:r>
      <w:r w:rsidR="00F41FC7">
        <w:t xml:space="preserve">(FRA, </w:t>
      </w:r>
      <w:hyperlink r:id="rId77" w:history="1">
        <w:r w:rsidR="00F41FC7" w:rsidRPr="00313B70">
          <w:rPr>
            <w:rStyle w:val="Hyperlink"/>
          </w:rPr>
          <w:t>Protecting migrant workers from exploitation in the EU: workers’ perspectives</w:t>
        </w:r>
      </w:hyperlink>
      <w:r w:rsidR="00F41FC7">
        <w:t xml:space="preserve">, June 2019, p. </w:t>
      </w:r>
      <w:r w:rsidR="00F45AAA">
        <w:t>52</w:t>
      </w:r>
      <w:r w:rsidR="00F41FC7">
        <w:t>)</w:t>
      </w:r>
    </w:p>
    <w:p w:rsidR="005B0F90" w:rsidRDefault="005B0F90" w:rsidP="00E472B4">
      <w:pPr>
        <w:jc w:val="both"/>
      </w:pPr>
      <w:r>
        <w:t xml:space="preserve">“Financial control emerged in relation to interviewees staying in the exploitative work situation, as the employers owed them money and they hoped that they would get paid when they stayed on (reported in </w:t>
      </w:r>
      <w:r w:rsidRPr="007B57E0">
        <w:rPr>
          <w:b/>
        </w:rPr>
        <w:t>Belgium</w:t>
      </w:r>
      <w:r>
        <w:t>, the Netherlands and Poland).”</w:t>
      </w:r>
      <w:r w:rsidR="002A64D9">
        <w:t xml:space="preserve"> (FRA, </w:t>
      </w:r>
      <w:hyperlink r:id="rId78" w:history="1">
        <w:r w:rsidR="002A64D9" w:rsidRPr="00313B70">
          <w:rPr>
            <w:rStyle w:val="Hyperlink"/>
          </w:rPr>
          <w:t>Protecting migrant workers from exploitation in the EU: workers’ perspectives</w:t>
        </w:r>
      </w:hyperlink>
      <w:r w:rsidR="002A64D9">
        <w:t xml:space="preserve">, June 2019, p. </w:t>
      </w:r>
      <w:r w:rsidR="00FF32ED">
        <w:t>62</w:t>
      </w:r>
      <w:r w:rsidR="002A64D9">
        <w:t>)</w:t>
      </w:r>
    </w:p>
    <w:p w:rsidR="007025B6" w:rsidRDefault="007025B6" w:rsidP="00E472B4">
      <w:pPr>
        <w:jc w:val="both"/>
      </w:pPr>
      <w:r>
        <w:t xml:space="preserve">“Employers could ask workers, especially those in an irregular situation, either not to come to work on inspection days or to hide during inspections. Exploited workers in </w:t>
      </w:r>
      <w:r w:rsidRPr="00371276">
        <w:rPr>
          <w:b/>
        </w:rPr>
        <w:t>Belgium</w:t>
      </w:r>
      <w:r>
        <w:t>, France, Italy, Poland and Portugal reported that they had to hide during actual inspections, hiding in the street, a toilet, a storage room, the garden and a basement. This is well documented in FRA’s inspections report.</w:t>
      </w:r>
      <w:r w:rsidR="009F2E40">
        <w:t>”</w:t>
      </w:r>
      <w:r w:rsidR="009F2E40" w:rsidRPr="009F2E40">
        <w:t xml:space="preserve"> </w:t>
      </w:r>
      <w:r w:rsidR="009F2E40">
        <w:t xml:space="preserve">(FRA, </w:t>
      </w:r>
      <w:hyperlink r:id="rId79" w:history="1">
        <w:r w:rsidR="009F2E40" w:rsidRPr="00313B70">
          <w:rPr>
            <w:rStyle w:val="Hyperlink"/>
          </w:rPr>
          <w:t>Protecting migrant workers from exploitation in the EU: workers’ perspectives</w:t>
        </w:r>
      </w:hyperlink>
      <w:r w:rsidR="009F2E40">
        <w:t>, June 2019, p. 62)</w:t>
      </w:r>
    </w:p>
    <w:p w:rsidR="00483AA3" w:rsidRDefault="00483AA3" w:rsidP="00E472B4">
      <w:pPr>
        <w:jc w:val="both"/>
      </w:pPr>
      <w:r>
        <w:t>“According to the research participants, vulnerability linked to residence status is the most important risk factor causing or contributing to labour exploitation. Almost one third of the interviewees identified it, and more in Belgium, France and Portugal.</w:t>
      </w:r>
      <w:r w:rsidR="00614B31">
        <w:t>”</w:t>
      </w:r>
      <w:r w:rsidR="00241454" w:rsidRPr="00241454">
        <w:t xml:space="preserve"> </w:t>
      </w:r>
      <w:r w:rsidR="00241454">
        <w:t xml:space="preserve">(FRA, </w:t>
      </w:r>
      <w:hyperlink r:id="rId80" w:history="1">
        <w:r w:rsidR="00241454" w:rsidRPr="00313B70">
          <w:rPr>
            <w:rStyle w:val="Hyperlink"/>
          </w:rPr>
          <w:t>Protecting migrant workers from exploitation in the EU: workers’ perspectives</w:t>
        </w:r>
      </w:hyperlink>
      <w:r w:rsidR="00241454">
        <w:t xml:space="preserve">, June 2019, p. </w:t>
      </w:r>
      <w:r w:rsidR="00911A51">
        <w:t>67</w:t>
      </w:r>
      <w:r w:rsidR="00241454">
        <w:t>)</w:t>
      </w:r>
    </w:p>
    <w:p w:rsidR="00E85EAA" w:rsidRDefault="00E85EAA" w:rsidP="00E472B4">
      <w:pPr>
        <w:jc w:val="both"/>
      </w:pPr>
      <w:r>
        <w:t xml:space="preserve">“The extent to which migration policies can trigger labour exploitation of migrants is fostered by a peculiar phenomenon: the illegal market for job contracts, through which employers charge migrants for work contracts which are needed to obtain legal residence or simply do not pay them their salary in exchange for the work contract. This was documented in </w:t>
      </w:r>
      <w:r w:rsidRPr="000C24AB">
        <w:rPr>
          <w:b/>
        </w:rPr>
        <w:t>Belgium</w:t>
      </w:r>
      <w:r>
        <w:t>, Italy and Portugal.”</w:t>
      </w:r>
      <w:r w:rsidR="00A27ECA" w:rsidRPr="00A27ECA">
        <w:t xml:space="preserve"> </w:t>
      </w:r>
      <w:r w:rsidR="00A27ECA">
        <w:t xml:space="preserve">(FRA, </w:t>
      </w:r>
      <w:hyperlink r:id="rId81" w:history="1">
        <w:r w:rsidR="00A27ECA" w:rsidRPr="00313B70">
          <w:rPr>
            <w:rStyle w:val="Hyperlink"/>
          </w:rPr>
          <w:t>Protecting migrant workers from exploitation in the EU: workers’ perspectives</w:t>
        </w:r>
      </w:hyperlink>
      <w:r w:rsidR="00A27ECA">
        <w:t xml:space="preserve">, June 2019, p. </w:t>
      </w:r>
      <w:r w:rsidR="00BE2E76">
        <w:t>69</w:t>
      </w:r>
      <w:r w:rsidR="00A27ECA">
        <w:t>)</w:t>
      </w:r>
    </w:p>
    <w:p w:rsidR="00161B06" w:rsidRDefault="00161B06" w:rsidP="00E472B4">
      <w:pPr>
        <w:pStyle w:val="Heading1"/>
        <w:jc w:val="both"/>
      </w:pPr>
      <w:bookmarkStart w:id="12" w:name="_Toc30752954"/>
      <w:r>
        <w:t>Trade union rights</w:t>
      </w:r>
      <w:bookmarkEnd w:id="12"/>
    </w:p>
    <w:p w:rsidR="00161B06" w:rsidRPr="00560E95" w:rsidRDefault="00855A8A" w:rsidP="00E472B4">
      <w:pPr>
        <w:jc w:val="both"/>
      </w:pPr>
      <w:r>
        <w:t>N/A</w:t>
      </w:r>
    </w:p>
    <w:p w:rsidR="00D326F2" w:rsidRDefault="003F0C6B" w:rsidP="00E472B4">
      <w:pPr>
        <w:pStyle w:val="Heading1"/>
        <w:jc w:val="both"/>
      </w:pPr>
      <w:bookmarkStart w:id="13" w:name="_Toc30752955"/>
      <w:r>
        <w:t>Right to social security</w:t>
      </w:r>
      <w:bookmarkEnd w:id="13"/>
    </w:p>
    <w:p w:rsidR="00560E95" w:rsidRPr="00560E95" w:rsidRDefault="00855A8A" w:rsidP="00E472B4">
      <w:pPr>
        <w:jc w:val="both"/>
      </w:pPr>
      <w:r>
        <w:t>N/A</w:t>
      </w:r>
    </w:p>
    <w:p w:rsidR="003F0C6B" w:rsidRDefault="00653F7C" w:rsidP="00E472B4">
      <w:pPr>
        <w:pStyle w:val="Heading1"/>
        <w:jc w:val="both"/>
      </w:pPr>
      <w:bookmarkStart w:id="14" w:name="_Toc30752956"/>
      <w:r>
        <w:t>Violence against women and children</w:t>
      </w:r>
      <w:bookmarkEnd w:id="14"/>
    </w:p>
    <w:p w:rsidR="004C5635" w:rsidRDefault="004C5635" w:rsidP="00E472B4">
      <w:pPr>
        <w:jc w:val="both"/>
      </w:pPr>
      <w:r>
        <w:t xml:space="preserve">“In 2018, several Member States took measures to align their legislation with the [Istanbul convention] requirements. The following Member States have adopted wider definitions with a view to bringing their legislation in line with the convention: </w:t>
      </w:r>
      <w:r w:rsidRPr="002C2866">
        <w:rPr>
          <w:b/>
        </w:rPr>
        <w:t>Belgium</w:t>
      </w:r>
      <w:r>
        <w:t xml:space="preserve">, Bulgaria, Croatia, Ireland, Malta, Sweden and the United Kingdom.” (FRA, </w:t>
      </w:r>
      <w:hyperlink r:id="rId82" w:history="1">
        <w:r w:rsidRPr="00212B13">
          <w:rPr>
            <w:rStyle w:val="Hyperlink"/>
          </w:rPr>
          <w:t>Fundamental Rights Report 2019</w:t>
        </w:r>
      </w:hyperlink>
      <w:r>
        <w:t>, June 2019, p. 210)</w:t>
      </w:r>
    </w:p>
    <w:p w:rsidR="004C5635" w:rsidRDefault="004C5635" w:rsidP="00E472B4">
      <w:pPr>
        <w:jc w:val="both"/>
      </w:pPr>
      <w:r>
        <w:t>“Another crucial aspect concerns criminalisation of and increased punishment for acts of violence committed against a partner, in line with Article 46 (a) of the Istanbul convention. [</w:t>
      </w:r>
      <w:r w:rsidRPr="00B63784">
        <w:rPr>
          <w:b/>
        </w:rPr>
        <w:t>Belgium</w:t>
      </w:r>
      <w:r>
        <w:t xml:space="preserve">] is among the Member States that already specify that committing a violent act against a partner or ex-partner is an aggravating circumstance.” (FRA, </w:t>
      </w:r>
      <w:hyperlink r:id="rId83" w:history="1">
        <w:r w:rsidRPr="00212B13">
          <w:rPr>
            <w:rStyle w:val="Hyperlink"/>
          </w:rPr>
          <w:t>Fundamental Rights Report 2019</w:t>
        </w:r>
      </w:hyperlink>
      <w:r>
        <w:t>, June 2019, p. 210)</w:t>
      </w:r>
    </w:p>
    <w:p w:rsidR="004C5635" w:rsidRDefault="004C5635" w:rsidP="00E472B4">
      <w:pPr>
        <w:jc w:val="both"/>
      </w:pPr>
      <w:r>
        <w:t xml:space="preserve">“In 2018, Member States took measures to implement other aspects of the Istanbul Convention, such as the prohibition of female genital mutilation. A new </w:t>
      </w:r>
      <w:r w:rsidRPr="00A714E2">
        <w:rPr>
          <w:b/>
        </w:rPr>
        <w:t>Belgian</w:t>
      </w:r>
      <w:r>
        <w:t xml:space="preserve"> law coming into force on 1 September 2019 introduces an obligation for doctors to break confidentiality and report all cases of female genital mutilation, rather than solely those of minors or vulnerable persons, as was previously the case.”</w:t>
      </w:r>
      <w:r w:rsidRPr="00C674DF">
        <w:t xml:space="preserve"> </w:t>
      </w:r>
      <w:r>
        <w:t xml:space="preserve">(FRA, </w:t>
      </w:r>
      <w:hyperlink r:id="rId84" w:history="1">
        <w:r w:rsidRPr="00212B13">
          <w:rPr>
            <w:rStyle w:val="Hyperlink"/>
          </w:rPr>
          <w:t>Fundamental Rights Report 2019</w:t>
        </w:r>
      </w:hyperlink>
      <w:r>
        <w:t>, June 2019, p. 210)</w:t>
      </w:r>
    </w:p>
    <w:p w:rsidR="004C5635" w:rsidRPr="00ED3E3F" w:rsidRDefault="004C5635" w:rsidP="00E472B4">
      <w:pPr>
        <w:jc w:val="both"/>
      </w:pPr>
      <w:r>
        <w:t xml:space="preserve">“The Brussels Region of </w:t>
      </w:r>
      <w:r w:rsidRPr="00955F99">
        <w:rPr>
          <w:b/>
        </w:rPr>
        <w:t>Belgium</w:t>
      </w:r>
      <w:r>
        <w:t xml:space="preserve"> initiated an awareness and prevention campaign on sexual violence and intimidation. The region funded the development of an app, ‘</w:t>
      </w:r>
      <w:proofErr w:type="spellStart"/>
      <w:r w:rsidRPr="00F65C2C">
        <w:rPr>
          <w:i/>
        </w:rPr>
        <w:t>Touche</w:t>
      </w:r>
      <w:proofErr w:type="spellEnd"/>
      <w:r w:rsidRPr="00F65C2C">
        <w:rPr>
          <w:i/>
        </w:rPr>
        <w:t xml:space="preserve"> pas à ma </w:t>
      </w:r>
      <w:proofErr w:type="spellStart"/>
      <w:r w:rsidRPr="00F65C2C">
        <w:rPr>
          <w:i/>
        </w:rPr>
        <w:t>pote</w:t>
      </w:r>
      <w:proofErr w:type="spellEnd"/>
      <w:r>
        <w:t xml:space="preserve">’, that allows </w:t>
      </w:r>
      <w:r>
        <w:lastRenderedPageBreak/>
        <w:t xml:space="preserve">women to report any instance of sexual violence or intimidation. The objective is to pinpoint high-risk neighbourhoods, thus helping the police to monitor such neighbourhoods or facilitate intervention.” (FRA, </w:t>
      </w:r>
      <w:hyperlink r:id="rId85" w:history="1">
        <w:r w:rsidRPr="00212B13">
          <w:rPr>
            <w:rStyle w:val="Hyperlink"/>
          </w:rPr>
          <w:t>Fundamental Rights Report 2019</w:t>
        </w:r>
      </w:hyperlink>
      <w:r>
        <w:t>, June 2019, p. 211)</w:t>
      </w:r>
    </w:p>
    <w:p w:rsidR="00B272E6" w:rsidRDefault="00B272E6" w:rsidP="00E472B4">
      <w:pPr>
        <w:jc w:val="both"/>
      </w:pPr>
      <w:r>
        <w:t xml:space="preserve">“In line with the Istanbul Convention and Victims’ Rights Directive, EU Member States should collect statistical data on violence against women at national level. […] In addition [to a survey being developed by Eurostat], several EU Member States, including </w:t>
      </w:r>
      <w:r w:rsidRPr="00627F20">
        <w:rPr>
          <w:b/>
        </w:rPr>
        <w:t>Belgium</w:t>
      </w:r>
      <w:r>
        <w:t>, Finland and France, among others, conducted surveys or published statistics on violence against women.”</w:t>
      </w:r>
      <w:r w:rsidRPr="00FB142D">
        <w:t xml:space="preserve"> </w:t>
      </w:r>
      <w:r>
        <w:t xml:space="preserve">(FRA, </w:t>
      </w:r>
      <w:hyperlink r:id="rId86" w:history="1">
        <w:r w:rsidRPr="003D24B0">
          <w:rPr>
            <w:rStyle w:val="Hyperlink"/>
          </w:rPr>
          <w:t>Fundamental Rights Report 2018</w:t>
        </w:r>
      </w:hyperlink>
      <w:r>
        <w:t>, June 2018, p. 210)</w:t>
      </w:r>
    </w:p>
    <w:p w:rsidR="00560E95" w:rsidRPr="00560E95" w:rsidRDefault="00B272E6" w:rsidP="00E472B4">
      <w:pPr>
        <w:jc w:val="both"/>
      </w:pPr>
      <w:r>
        <w:t xml:space="preserve">“In </w:t>
      </w:r>
      <w:r w:rsidRPr="000958B6">
        <w:rPr>
          <w:b/>
        </w:rPr>
        <w:t>Belgium</w:t>
      </w:r>
      <w:r>
        <w:t>, amendments to the criminal code are currently under discussion to allow physicians to report risks of FGM. Belgium also adopted a new policy to enhance prosecution of FGM, forced marriage and so-called honour related violence and to improve collaboration between relevant actors for this purpose.”</w:t>
      </w:r>
      <w:r w:rsidRPr="00F62A00">
        <w:t xml:space="preserve"> </w:t>
      </w:r>
      <w:r>
        <w:t xml:space="preserve">(FRA, </w:t>
      </w:r>
      <w:hyperlink r:id="rId87" w:history="1">
        <w:r w:rsidRPr="003D24B0">
          <w:rPr>
            <w:rStyle w:val="Hyperlink"/>
          </w:rPr>
          <w:t>Fundamental Rights Report 2018</w:t>
        </w:r>
      </w:hyperlink>
      <w:r>
        <w:t>, June 2018, p. 210)</w:t>
      </w:r>
    </w:p>
    <w:p w:rsidR="00653F7C" w:rsidRDefault="00B93494" w:rsidP="00E472B4">
      <w:pPr>
        <w:pStyle w:val="Heading1"/>
        <w:jc w:val="both"/>
      </w:pPr>
      <w:bookmarkStart w:id="15" w:name="_Toc30752957"/>
      <w:r>
        <w:t>Poverty</w:t>
      </w:r>
      <w:bookmarkEnd w:id="15"/>
    </w:p>
    <w:p w:rsidR="00560E95" w:rsidRPr="00560E95" w:rsidRDefault="007501B7" w:rsidP="00E472B4">
      <w:pPr>
        <w:jc w:val="both"/>
      </w:pPr>
      <w:r>
        <w:t xml:space="preserve">“In </w:t>
      </w:r>
      <w:r w:rsidRPr="00D44665">
        <w:rPr>
          <w:b/>
        </w:rPr>
        <w:t>Belgium</w:t>
      </w:r>
      <w:r>
        <w:t>, the Flemish government adopted a new child benefits system, called ‘</w:t>
      </w:r>
      <w:proofErr w:type="spellStart"/>
      <w:r w:rsidRPr="001519F2">
        <w:rPr>
          <w:i/>
        </w:rPr>
        <w:t>Groeipakket</w:t>
      </w:r>
      <w:proofErr w:type="spellEnd"/>
      <w:r>
        <w:t>’ (Growth Package). It consists of three fixed benefits, which apply to every child residing in the Flemish region: a one-off amount for each birth or adoption; a fixed monthly amount, which is the same for each child; and an additional ‘school bonus’ for each child, delivered in August.”</w:t>
      </w:r>
      <w:r w:rsidRPr="00D44665">
        <w:t xml:space="preserve"> </w:t>
      </w:r>
      <w:r>
        <w:t xml:space="preserve">(FRA, </w:t>
      </w:r>
      <w:hyperlink r:id="rId88" w:history="1">
        <w:r w:rsidRPr="00212B13">
          <w:rPr>
            <w:rStyle w:val="Hyperlink"/>
          </w:rPr>
          <w:t>Fundamental Rights Report 2019</w:t>
        </w:r>
      </w:hyperlink>
      <w:r>
        <w:t>, June 2019, p. 181)</w:t>
      </w:r>
    </w:p>
    <w:p w:rsidR="00B93494" w:rsidRDefault="00B93494" w:rsidP="00E472B4">
      <w:pPr>
        <w:pStyle w:val="Heading1"/>
        <w:jc w:val="both"/>
      </w:pPr>
      <w:bookmarkStart w:id="16" w:name="_Toc30752958"/>
      <w:r>
        <w:t>Right to food</w:t>
      </w:r>
      <w:bookmarkEnd w:id="16"/>
    </w:p>
    <w:p w:rsidR="00560E95" w:rsidRPr="00560E95" w:rsidRDefault="000A0178" w:rsidP="00E472B4">
      <w:pPr>
        <w:jc w:val="both"/>
      </w:pPr>
      <w:r>
        <w:t>N/A</w:t>
      </w:r>
    </w:p>
    <w:p w:rsidR="00B93494" w:rsidRDefault="000E62A2" w:rsidP="00E472B4">
      <w:pPr>
        <w:pStyle w:val="Heading1"/>
        <w:jc w:val="both"/>
      </w:pPr>
      <w:bookmarkStart w:id="17" w:name="_Toc30752959"/>
      <w:r>
        <w:t>Right to physical and mental health</w:t>
      </w:r>
      <w:bookmarkEnd w:id="17"/>
    </w:p>
    <w:p w:rsidR="00560E95" w:rsidRPr="00560E95" w:rsidRDefault="000A0178" w:rsidP="00E472B4">
      <w:pPr>
        <w:jc w:val="both"/>
      </w:pPr>
      <w:r>
        <w:t>N/A</w:t>
      </w:r>
    </w:p>
    <w:p w:rsidR="000E62A2" w:rsidRDefault="000E62A2" w:rsidP="00E472B4">
      <w:pPr>
        <w:pStyle w:val="Heading1"/>
        <w:jc w:val="both"/>
      </w:pPr>
      <w:bookmarkStart w:id="18" w:name="_Toc30752960"/>
      <w:r>
        <w:t>Right to education</w:t>
      </w:r>
      <w:bookmarkEnd w:id="18"/>
    </w:p>
    <w:p w:rsidR="00565F23" w:rsidRDefault="00565F23" w:rsidP="00E472B4">
      <w:pPr>
        <w:jc w:val="both"/>
      </w:pPr>
      <w:r>
        <w:t xml:space="preserve">“A large-scale study on inequalities and discrimination in education systems looked at ethnic origin, socioeconomic origin, sexual orientation and disability, at the request of the </w:t>
      </w:r>
      <w:r w:rsidRPr="00A11D8A">
        <w:rPr>
          <w:b/>
        </w:rPr>
        <w:t>Belgian</w:t>
      </w:r>
      <w:r>
        <w:t xml:space="preserve"> Equality Body (</w:t>
      </w:r>
      <w:proofErr w:type="spellStart"/>
      <w:r>
        <w:t>Unia</w:t>
      </w:r>
      <w:proofErr w:type="spellEnd"/>
      <w:r>
        <w:t xml:space="preserve">). It showed how certain minority groups are redirected towards a less favourable curriculum in higher education.” (FRA, </w:t>
      </w:r>
      <w:hyperlink r:id="rId89" w:history="1">
        <w:r w:rsidRPr="00212B13">
          <w:rPr>
            <w:rStyle w:val="Hyperlink"/>
          </w:rPr>
          <w:t>Fundamental Rights Report 2019</w:t>
        </w:r>
      </w:hyperlink>
      <w:r>
        <w:t>, June 2019, p. 75)</w:t>
      </w:r>
    </w:p>
    <w:p w:rsidR="00560E95" w:rsidRDefault="003D33C2" w:rsidP="00E472B4">
      <w:pPr>
        <w:jc w:val="both"/>
      </w:pPr>
      <w:r>
        <w:t xml:space="preserve">“Early childhood education and care, beyond its critical function in improving educational performance later in school, facilitates the participation of young mothers in the labour market. The survey results show that in 12 of the 19 Member States surveyed, the majority of children in the respondents’ households benefit from such services. Children’s regular attendance in public or private childcare is lower in </w:t>
      </w:r>
      <w:r w:rsidRPr="00D51D9E">
        <w:rPr>
          <w:b/>
        </w:rPr>
        <w:t>Belgium</w:t>
      </w:r>
      <w:r>
        <w:t xml:space="preserve"> (49 %), Ireland (46 %), Italy and Poland (both 40 %), and the Netherlands (34 %).” (FRA, </w:t>
      </w:r>
      <w:hyperlink r:id="rId90" w:history="1">
        <w:r w:rsidRPr="00121853">
          <w:rPr>
            <w:rStyle w:val="Hyperlink"/>
          </w:rPr>
          <w:t>Second European Union Minorities and Discrimination Survey - Migrant women - selected findings</w:t>
        </w:r>
      </w:hyperlink>
      <w:r>
        <w:t>, September 2019, p. 29)</w:t>
      </w:r>
    </w:p>
    <w:p w:rsidR="00102F79" w:rsidRDefault="00A1348F" w:rsidP="00102F79">
      <w:pPr>
        <w:jc w:val="both"/>
      </w:pPr>
      <w:r>
        <w:t xml:space="preserve">“In other Member States there is evidence of overrepresentation of students with migrant backgrounds in certain types of school; for example, in </w:t>
      </w:r>
      <w:r w:rsidRPr="00992D1E">
        <w:rPr>
          <w:b/>
        </w:rPr>
        <w:t>Belgium</w:t>
      </w:r>
      <w:r>
        <w:t xml:space="preserve"> and Luxemburg, migrants tend to be overrepresented in technical and vocational schools.</w:t>
      </w:r>
      <w:r w:rsidR="007E5784">
        <w:t>”</w:t>
      </w:r>
      <w:r w:rsidR="00102F79">
        <w:t xml:space="preserve"> (FRA, </w:t>
      </w:r>
      <w:hyperlink r:id="rId91" w:history="1">
        <w:r w:rsidR="00102F79" w:rsidRPr="00C4259C">
          <w:rPr>
            <w:rStyle w:val="Hyperlink"/>
          </w:rPr>
          <w:t>Together in the EU - Promoting the participation of migrants and their descendants</w:t>
        </w:r>
      </w:hyperlink>
      <w:r w:rsidR="00102F79">
        <w:t xml:space="preserve">, March 2017, p. </w:t>
      </w:r>
      <w:r w:rsidR="00063836">
        <w:t>41</w:t>
      </w:r>
      <w:r w:rsidR="00102F79">
        <w:t>)</w:t>
      </w:r>
    </w:p>
    <w:p w:rsidR="00422843" w:rsidRDefault="00422843" w:rsidP="00102F79">
      <w:pPr>
        <w:jc w:val="both"/>
      </w:pPr>
      <w:r>
        <w:t>“FRA’s research found that the educational policies or strategies for primary and/ or secondary education of 17 Member States</w:t>
      </w:r>
      <w:r w:rsidR="00914D62">
        <w:t xml:space="preserve"> [including </w:t>
      </w:r>
      <w:r w:rsidR="00914D62" w:rsidRPr="00C60307">
        <w:rPr>
          <w:b/>
        </w:rPr>
        <w:t>Belgium</w:t>
      </w:r>
      <w:r w:rsidR="00914D62">
        <w:t>]</w:t>
      </w:r>
      <w:r>
        <w:t xml:space="preserve"> include references to cultural diversity, as </w:t>
      </w:r>
      <w:r>
        <w:lastRenderedPageBreak/>
        <w:t>a guiding principle or as part of curricular subjects.”</w:t>
      </w:r>
      <w:r w:rsidR="00F73F66" w:rsidRPr="00F73F66">
        <w:t xml:space="preserve"> </w:t>
      </w:r>
      <w:r w:rsidR="00F73F66">
        <w:t xml:space="preserve">(FRA, </w:t>
      </w:r>
      <w:hyperlink r:id="rId92" w:history="1">
        <w:r w:rsidR="00F73F66" w:rsidRPr="00C4259C">
          <w:rPr>
            <w:rStyle w:val="Hyperlink"/>
          </w:rPr>
          <w:t>Together in the EU - Promoting the participation of migrants and their descendants</w:t>
        </w:r>
      </w:hyperlink>
      <w:r w:rsidR="00F73F66">
        <w:t>, March 2017, p. 41)</w:t>
      </w:r>
    </w:p>
    <w:p w:rsidR="00D93E9F" w:rsidRDefault="00A732C8" w:rsidP="00E472B4">
      <w:pPr>
        <w:pStyle w:val="Heading1"/>
        <w:jc w:val="both"/>
      </w:pPr>
      <w:bookmarkStart w:id="19" w:name="_Toc30752961"/>
      <w:r>
        <w:t>Good</w:t>
      </w:r>
      <w:r w:rsidR="00D93E9F">
        <w:t xml:space="preserve"> practices</w:t>
      </w:r>
      <w:bookmarkEnd w:id="19"/>
    </w:p>
    <w:p w:rsidR="00FA0088" w:rsidRDefault="00FA0088" w:rsidP="00E472B4">
      <w:pPr>
        <w:jc w:val="both"/>
      </w:pPr>
      <w:r>
        <w:t xml:space="preserve">“In addition, findings of discrimination testing are accepted in court in a number of EU Member States, including </w:t>
      </w:r>
      <w:r w:rsidRPr="005527FD">
        <w:rPr>
          <w:b/>
        </w:rPr>
        <w:t>Belgium</w:t>
      </w:r>
      <w:r>
        <w:t xml:space="preserve">, the Czech Republic, Finland, France, Hungary, the Netherlands and Sweden.” (FRA, </w:t>
      </w:r>
      <w:hyperlink r:id="rId93" w:history="1">
        <w:r w:rsidRPr="003D24B0">
          <w:rPr>
            <w:rStyle w:val="Hyperlink"/>
          </w:rPr>
          <w:t>Fundamental Rights Report 2018</w:t>
        </w:r>
      </w:hyperlink>
      <w:r>
        <w:t>, June 2018, p. 63)</w:t>
      </w:r>
    </w:p>
    <w:p w:rsidR="001C59EA" w:rsidRDefault="001C59EA" w:rsidP="00E472B4">
      <w:pPr>
        <w:jc w:val="both"/>
      </w:pPr>
      <w:r>
        <w:t>“Flanders and the Brussels-Capital region in </w:t>
      </w:r>
      <w:r w:rsidRPr="001B796C">
        <w:rPr>
          <w:b/>
        </w:rPr>
        <w:t>Belgium</w:t>
      </w:r>
      <w:r>
        <w:t xml:space="preserve"> adopted instruments that relate to the regulation of situation testing [to detect discrimination]. In July, Flanders adopted a decree that obliges companies that want to be accredited as suppliers of service vouchers (</w:t>
      </w:r>
      <w:proofErr w:type="spellStart"/>
      <w:r>
        <w:t>dienstencheques</w:t>
      </w:r>
      <w:proofErr w:type="spellEnd"/>
      <w:r>
        <w:t>) to perform situation testing (</w:t>
      </w:r>
      <w:proofErr w:type="spellStart"/>
      <w:r>
        <w:t>praktijktesten</w:t>
      </w:r>
      <w:proofErr w:type="spellEnd"/>
      <w:r>
        <w:t xml:space="preserve">).” (FRA, </w:t>
      </w:r>
      <w:hyperlink r:id="rId94" w:history="1">
        <w:r w:rsidRPr="003D24B0">
          <w:rPr>
            <w:rStyle w:val="Hyperlink"/>
          </w:rPr>
          <w:t>Fundamental Rights Report 2018</w:t>
        </w:r>
      </w:hyperlink>
      <w:r>
        <w:t>, June 2018, p. 63)</w:t>
      </w:r>
    </w:p>
    <w:p w:rsidR="00771625" w:rsidRDefault="00771625" w:rsidP="00E472B4">
      <w:pPr>
        <w:jc w:val="both"/>
      </w:pPr>
      <w:r>
        <w:t xml:space="preserve">“In </w:t>
      </w:r>
      <w:r w:rsidRPr="00802BE2">
        <w:rPr>
          <w:b/>
        </w:rPr>
        <w:t>Belgium</w:t>
      </w:r>
      <w:r>
        <w:t xml:space="preserve">, the Ministry of Security, Interior and Justice included training on ‘Discrimination, hate speech and hate crimes: circular 13/2013’ in its new National Security Plan 2016–2019 to give a bigger role for reference officers responsible for discrimination and hate crime.” (FRA, </w:t>
      </w:r>
      <w:hyperlink r:id="rId95" w:history="1">
        <w:r w:rsidRPr="003D24B0">
          <w:rPr>
            <w:rStyle w:val="Hyperlink"/>
          </w:rPr>
          <w:t>Fundamental Rights Report 2018</w:t>
        </w:r>
      </w:hyperlink>
      <w:r>
        <w:t>, June 2018, p. 87)</w:t>
      </w:r>
    </w:p>
    <w:p w:rsidR="00FB67E6" w:rsidRDefault="00FB67E6" w:rsidP="00E472B4">
      <w:pPr>
        <w:jc w:val="both"/>
      </w:pPr>
      <w:r>
        <w:t xml:space="preserve">“There are promising practices in certain Member States regarding raising awareness of Roma culture. […] the Flemish Ministry of Culture in </w:t>
      </w:r>
      <w:r w:rsidRPr="00FD6E6C">
        <w:rPr>
          <w:b/>
        </w:rPr>
        <w:t>Belgium</w:t>
      </w:r>
      <w:r>
        <w:t xml:space="preserve"> recognised caravan culture as part of Flanders’ cultural heritage.” (FRA, </w:t>
      </w:r>
      <w:hyperlink r:id="rId96" w:history="1">
        <w:r w:rsidRPr="003D24B0">
          <w:rPr>
            <w:rStyle w:val="Hyperlink"/>
          </w:rPr>
          <w:t>Fundamental Rights Report 2018</w:t>
        </w:r>
      </w:hyperlink>
      <w:r>
        <w:t>, June 2018, p. 101)</w:t>
      </w:r>
    </w:p>
    <w:p w:rsidR="00DE2A05" w:rsidRDefault="00DE2A05" w:rsidP="00E472B4">
      <w:pPr>
        <w:jc w:val="both"/>
      </w:pPr>
      <w:r>
        <w:t xml:space="preserve">“In </w:t>
      </w:r>
      <w:r w:rsidRPr="0095525E">
        <w:rPr>
          <w:b/>
        </w:rPr>
        <w:t>Belgium</w:t>
      </w:r>
      <w:r>
        <w:t>, the Wallonia–Brussels Federation opened a centre for help and care of persons affected by radicalisation and violent extremism. It offers systematic individualised care to children and adults susceptible to radicalisation and provides support to families.”</w:t>
      </w:r>
      <w:r w:rsidRPr="00F70CD5">
        <w:t xml:space="preserve"> </w:t>
      </w:r>
      <w:r>
        <w:t xml:space="preserve">(FRA, </w:t>
      </w:r>
      <w:hyperlink r:id="rId97" w:history="1">
        <w:r w:rsidRPr="003D24B0">
          <w:rPr>
            <w:rStyle w:val="Hyperlink"/>
          </w:rPr>
          <w:t>Fundamental Rights Report 2018</w:t>
        </w:r>
      </w:hyperlink>
      <w:r>
        <w:t>, June 2018, p. 188)</w:t>
      </w:r>
    </w:p>
    <w:p w:rsidR="00DE2A05" w:rsidRDefault="00DE2A05" w:rsidP="00E472B4">
      <w:pPr>
        <w:jc w:val="both"/>
      </w:pPr>
      <w:r>
        <w:t xml:space="preserve">“In </w:t>
      </w:r>
      <w:r w:rsidRPr="00424FAE">
        <w:rPr>
          <w:b/>
        </w:rPr>
        <w:t>Belgium</w:t>
      </w:r>
      <w:r>
        <w:t xml:space="preserve">, an educational tool accompanies </w:t>
      </w:r>
      <w:proofErr w:type="spellStart"/>
      <w:r w:rsidRPr="001519F2">
        <w:rPr>
          <w:i/>
        </w:rPr>
        <w:t>Lettres</w:t>
      </w:r>
      <w:proofErr w:type="spellEnd"/>
      <w:r w:rsidRPr="001519F2">
        <w:rPr>
          <w:i/>
        </w:rPr>
        <w:t xml:space="preserve"> à </w:t>
      </w:r>
      <w:proofErr w:type="spellStart"/>
      <w:r w:rsidRPr="001519F2">
        <w:rPr>
          <w:i/>
        </w:rPr>
        <w:t>Nour</w:t>
      </w:r>
      <w:proofErr w:type="spellEnd"/>
      <w:r>
        <w:t xml:space="preserve">, a play that tells the story of the correspondence between a father and his daughter who went to fight for IS. The tool is divided into nine chapters, each of which deals with a topic such as Islam, geopolitical considerations or manipulation methods. The tool is meant to serve as a resource for teachers of students in years 5 and 6 to generate in-depth reflection on the phenomenon of radicalisation in the classroom.” (FRA, </w:t>
      </w:r>
      <w:hyperlink r:id="rId98" w:history="1">
        <w:r w:rsidRPr="003D24B0">
          <w:rPr>
            <w:rStyle w:val="Hyperlink"/>
          </w:rPr>
          <w:t>Fundamental Rights Report 2018</w:t>
        </w:r>
      </w:hyperlink>
      <w:r>
        <w:t>, June 2018, p. 188)</w:t>
      </w:r>
    </w:p>
    <w:p w:rsidR="00EC3E7D" w:rsidRDefault="00EC3E7D" w:rsidP="00E472B4">
      <w:pPr>
        <w:jc w:val="both"/>
      </w:pPr>
      <w:r>
        <w:t xml:space="preserve">“In </w:t>
      </w:r>
      <w:r w:rsidRPr="00F03902">
        <w:rPr>
          <w:b/>
        </w:rPr>
        <w:t>Belgium</w:t>
      </w:r>
      <w:r>
        <w:t xml:space="preserve">, the Commissioner General for Refugees and Stateless Persons opened special child-friendly interview rooms for asylum-seeking children, both unaccompanied and with families. As the Belgian Asylum Authority explained in an interview, each interview room is equipped with tools to help the children explain their story more easily and in a more relaxed way; drawings and toys are also used during the interviews.” (FRA, </w:t>
      </w:r>
      <w:hyperlink r:id="rId99" w:history="1">
        <w:r w:rsidRPr="00170BF5">
          <w:rPr>
            <w:rStyle w:val="Hyperlink"/>
          </w:rPr>
          <w:t>Migration: Key fundamental rights concerns - Quarterly bulletin 2</w:t>
        </w:r>
      </w:hyperlink>
      <w:r>
        <w:t>, May 2019, p. 18)</w:t>
      </w:r>
    </w:p>
    <w:p w:rsidR="00EC3E7D" w:rsidRDefault="00244F0F" w:rsidP="00E472B4">
      <w:pPr>
        <w:jc w:val="both"/>
      </w:pPr>
      <w:r>
        <w:t xml:space="preserve">“Closer examination shows that […] over three quarters of respondents in Italy, Denmark, and </w:t>
      </w:r>
      <w:r w:rsidRPr="00A54AE6">
        <w:rPr>
          <w:b/>
        </w:rPr>
        <w:t>Belgium</w:t>
      </w:r>
      <w:r>
        <w:t xml:space="preserve"> (79 %, 78 %, and 75 %, respectively) consider government efforts to be adequate</w:t>
      </w:r>
      <w:r w:rsidR="0016303E">
        <w:t xml:space="preserve"> [against anti-Semitism]</w:t>
      </w:r>
      <w:r>
        <w:t xml:space="preserve">.” (FRA, </w:t>
      </w:r>
      <w:hyperlink r:id="rId100" w:history="1">
        <w:r w:rsidRPr="00AD6A58">
          <w:rPr>
            <w:rStyle w:val="Hyperlink"/>
          </w:rPr>
          <w:t>Experiences and perceptions of antisemitism - Second survey on discrimination and hate crime against Jews in the EU</w:t>
        </w:r>
      </w:hyperlink>
      <w:r>
        <w:t>, December 2018, p. 40)</w:t>
      </w:r>
    </w:p>
    <w:p w:rsidR="00462FE6" w:rsidRPr="0072475A" w:rsidRDefault="00462FE6" w:rsidP="00E472B4">
      <w:pPr>
        <w:jc w:val="both"/>
      </w:pPr>
      <w:r w:rsidRPr="0072475A">
        <w:t xml:space="preserve">“The testimonies of both professionals and workers suggest that introducing investigative units in labour inspectorates specialised in combating labour exploitation and/or trafficking in human beings, as well as joint inspections carried out by the police and labour inspectorates, can be particularly effective in ensuring good treatment of exploited workers and enabling them to access justice. Such </w:t>
      </w:r>
      <w:r w:rsidRPr="0072475A">
        <w:lastRenderedPageBreak/>
        <w:t xml:space="preserve">specialised units can be found in the Netherlands and </w:t>
      </w:r>
      <w:r w:rsidRPr="0072475A">
        <w:rPr>
          <w:b/>
        </w:rPr>
        <w:t>Belgium</w:t>
      </w:r>
      <w:r w:rsidRPr="0072475A">
        <w:t xml:space="preserve">, for example.” (FRA, </w:t>
      </w:r>
      <w:hyperlink r:id="rId101" w:history="1">
        <w:r w:rsidRPr="0072475A">
          <w:rPr>
            <w:rStyle w:val="Hyperlink"/>
          </w:rPr>
          <w:t>Protecting migrant workers from exploitation in the EU: boosting workplace inspections</w:t>
        </w:r>
      </w:hyperlink>
      <w:r w:rsidRPr="0072475A">
        <w:t>, September 2018, p. 7)</w:t>
      </w:r>
    </w:p>
    <w:p w:rsidR="00623810" w:rsidRDefault="00462FE6" w:rsidP="00E472B4">
      <w:pPr>
        <w:jc w:val="both"/>
      </w:pPr>
      <w:r w:rsidRPr="0072475A">
        <w:t xml:space="preserve">“In </w:t>
      </w:r>
      <w:r w:rsidRPr="0072475A">
        <w:rPr>
          <w:b/>
        </w:rPr>
        <w:t>Belgium</w:t>
      </w:r>
      <w:r w:rsidRPr="0072475A">
        <w:t xml:space="preserve">, specialised police units identify possible risk factors for labour exploitation. These units regularly investigate new sectors and conduct monthly inspections of high-risk sectors.” (FRA, </w:t>
      </w:r>
      <w:hyperlink r:id="rId102" w:history="1">
        <w:r w:rsidRPr="0072475A">
          <w:rPr>
            <w:rStyle w:val="Hyperlink"/>
          </w:rPr>
          <w:t>Protecting migrant workers from exploitation in the EU: boosting workplace inspections</w:t>
        </w:r>
      </w:hyperlink>
      <w:r w:rsidRPr="0072475A">
        <w:t>, September 2018, p. 13)</w:t>
      </w:r>
    </w:p>
    <w:p w:rsidR="002332CD" w:rsidRDefault="002332CD" w:rsidP="002332CD">
      <w:pPr>
        <w:jc w:val="both"/>
      </w:pPr>
      <w:r w:rsidRPr="00882FA8">
        <w:t xml:space="preserve">“An example of a useful document in this regard was found in </w:t>
      </w:r>
      <w:r w:rsidRPr="00882FA8">
        <w:rPr>
          <w:b/>
        </w:rPr>
        <w:t>Belgium</w:t>
      </w:r>
      <w:r w:rsidRPr="00882FA8">
        <w:t xml:space="preserve">, where establishment of an information hub providing details on access to remedy in cases of business-related human rights abuse was provided in the National Action Plan for Business and Human Rights from 2017. Following the plan’s recommendation, the Federal Institute for Sustainable Development published the brochure ‘Access to Remedy in Belgium’ in June 2018.” (FRA, </w:t>
      </w:r>
      <w:hyperlink r:id="rId103" w:history="1">
        <w:r w:rsidRPr="00882FA8">
          <w:rPr>
            <w:rStyle w:val="Hyperlink"/>
          </w:rPr>
          <w:t>Business-related human rights abuse reported in the EU and available remedies</w:t>
        </w:r>
      </w:hyperlink>
      <w:r w:rsidRPr="00882FA8">
        <w:t>, December 2019, p. 16)</w:t>
      </w:r>
    </w:p>
    <w:p w:rsidR="00F80C01" w:rsidRDefault="00F80C01" w:rsidP="00F80C01">
      <w:pPr>
        <w:jc w:val="both"/>
      </w:pPr>
      <w:r>
        <w:t xml:space="preserve">“As of May 2018, only six EU Member States – </w:t>
      </w:r>
      <w:r w:rsidRPr="00333998">
        <w:rPr>
          <w:b/>
        </w:rPr>
        <w:t>Belgium</w:t>
      </w:r>
      <w:r>
        <w:t xml:space="preserve">, Finland, Germany, Ireland, Italy and Portugal – have ratified the Domestic Workers Convention. The (revised) European Social Charter of the Council of Europe (ratified by 20 EU Member States) also contains labour law standards, such as an obligation for employers to provide for reasonable working hours, paid holidays and a weekly rest period.” (FRA, </w:t>
      </w:r>
      <w:hyperlink r:id="rId104" w:history="1">
        <w:r w:rsidRPr="00293FB4">
          <w:rPr>
            <w:rStyle w:val="Hyperlink"/>
          </w:rPr>
          <w:t>Out of sight: migrant women exploited in domestic work</w:t>
        </w:r>
      </w:hyperlink>
      <w:r>
        <w:t>, June 2018, p. 3)</w:t>
      </w:r>
    </w:p>
    <w:p w:rsidR="002332CD" w:rsidRDefault="00E65043" w:rsidP="00E472B4">
      <w:pPr>
        <w:jc w:val="both"/>
      </w:pPr>
      <w:r>
        <w:t>“In Flanders, an integration programme (</w:t>
      </w:r>
      <w:proofErr w:type="spellStart"/>
      <w:r w:rsidRPr="00C23C86">
        <w:rPr>
          <w:i/>
        </w:rPr>
        <w:t>inburgeringscursus</w:t>
      </w:r>
      <w:proofErr w:type="spellEnd"/>
      <w:r>
        <w:t>), funded by the Flemish government and implemented by the Integration and Civil Integration Agency (</w:t>
      </w:r>
      <w:proofErr w:type="spellStart"/>
      <w:r w:rsidRPr="00C23C86">
        <w:rPr>
          <w:i/>
        </w:rPr>
        <w:t>Agentschap</w:t>
      </w:r>
      <w:proofErr w:type="spellEnd"/>
      <w:r w:rsidRPr="00C23C86">
        <w:rPr>
          <w:i/>
        </w:rPr>
        <w:t xml:space="preserve"> </w:t>
      </w:r>
      <w:proofErr w:type="spellStart"/>
      <w:r w:rsidRPr="00C23C86">
        <w:rPr>
          <w:i/>
        </w:rPr>
        <w:t>Integratie</w:t>
      </w:r>
      <w:proofErr w:type="spellEnd"/>
      <w:r w:rsidRPr="00C23C86">
        <w:rPr>
          <w:i/>
        </w:rPr>
        <w:t xml:space="preserve"> &amp; </w:t>
      </w:r>
      <w:proofErr w:type="spellStart"/>
      <w:r w:rsidRPr="00C23C86">
        <w:rPr>
          <w:i/>
        </w:rPr>
        <w:t>Inburgering</w:t>
      </w:r>
      <w:proofErr w:type="spellEnd"/>
      <w:r>
        <w:t xml:space="preserve">), is provided to newly arrived migrants. This programme was put in place by the Flemish Decree on integration and civic integration policy of 7 June 2013. The programme is free and includes modules on the Dutch language, living in </w:t>
      </w:r>
      <w:r w:rsidRPr="00E65043">
        <w:rPr>
          <w:b/>
        </w:rPr>
        <w:t>Belgium</w:t>
      </w:r>
      <w:r>
        <w:t xml:space="preserve"> (e.g. work, education opportunities, rights and duties), </w:t>
      </w:r>
      <w:proofErr w:type="gramStart"/>
      <w:r>
        <w:t>guidance</w:t>
      </w:r>
      <w:proofErr w:type="gramEnd"/>
      <w:r>
        <w:t xml:space="preserve"> on finding work or training, and information about sports, culture and leisure. These courses are given in the native language of the participants, or in a language they understand.</w:t>
      </w:r>
      <w:r w:rsidR="00D97C9C">
        <w:t>”</w:t>
      </w:r>
      <w:r w:rsidR="00605860">
        <w:t xml:space="preserve"> </w:t>
      </w:r>
      <w:r w:rsidR="00F906A7">
        <w:t xml:space="preserve">(FRA, </w:t>
      </w:r>
      <w:hyperlink r:id="rId105" w:history="1">
        <w:r w:rsidR="00F906A7" w:rsidRPr="00313B70">
          <w:rPr>
            <w:rStyle w:val="Hyperlink"/>
          </w:rPr>
          <w:t>Protecting migrant workers from exploitation in the EU: workers’ perspectives</w:t>
        </w:r>
      </w:hyperlink>
      <w:r w:rsidR="00F906A7">
        <w:t xml:space="preserve">, June 2019, p. </w:t>
      </w:r>
      <w:r w:rsidR="00E70C7B">
        <w:t>73</w:t>
      </w:r>
      <w:r w:rsidR="00F906A7">
        <w:t>)</w:t>
      </w:r>
    </w:p>
    <w:p w:rsidR="008204D7" w:rsidRDefault="008204D7" w:rsidP="00E472B4">
      <w:pPr>
        <w:jc w:val="both"/>
      </w:pPr>
      <w:r>
        <w:t xml:space="preserve">“In </w:t>
      </w:r>
      <w:r w:rsidRPr="00A25036">
        <w:rPr>
          <w:b/>
        </w:rPr>
        <w:t>Belgium</w:t>
      </w:r>
      <w:r>
        <w:t>, the city c</w:t>
      </w:r>
      <w:r w:rsidR="00A25036">
        <w:t>ouncil of Ghent has approved a </w:t>
      </w:r>
      <w:r>
        <w:t>modification to the police regulation, which obliges operators in the hotel and catering industry to show on their façade a sticker with the number 8989. Victims or witnesses of discriminatory incidents on any ground can send a text message with the word ‘report’ to that number. The Local Discrimination Reporting Centre will contact them and investigate the complaint, in cooperation with the national equality body, the Interfederal Centre for Equal Opportunities.”</w:t>
      </w:r>
      <w:r w:rsidR="00A25036">
        <w:t xml:space="preserve"> (FRA, </w:t>
      </w:r>
      <w:hyperlink r:id="rId106" w:history="1">
        <w:r w:rsidR="00A25036" w:rsidRPr="00C4259C">
          <w:rPr>
            <w:rStyle w:val="Hyperlink"/>
          </w:rPr>
          <w:t>Together in the EU - Promoting the participation of migrants and their descendants</w:t>
        </w:r>
      </w:hyperlink>
      <w:r w:rsidR="00967683">
        <w:t xml:space="preserve">, March 2017, p. </w:t>
      </w:r>
      <w:r w:rsidR="007516CE">
        <w:t>30)</w:t>
      </w:r>
    </w:p>
    <w:p w:rsidR="00063C02" w:rsidRDefault="00063C02" w:rsidP="00063C02">
      <w:pPr>
        <w:jc w:val="both"/>
      </w:pPr>
      <w:r>
        <w:t>“The research found that host society involvement is included in migrant integration indicator systems in six EU Member States (Austria, Belgium, Estonia, Finland, Germany and Portugal), which use indicators referring to various issues, including public opinion and attitudes, proportion of mixed marriages, and immigrants’ sense of belonging or trust in institutions.”</w:t>
      </w:r>
      <w:r w:rsidRPr="00EC5A45">
        <w:t xml:space="preserve"> </w:t>
      </w:r>
      <w:r>
        <w:t xml:space="preserve">(FRA, </w:t>
      </w:r>
      <w:hyperlink r:id="rId107" w:history="1">
        <w:r w:rsidRPr="00C4259C">
          <w:rPr>
            <w:rStyle w:val="Hyperlink"/>
          </w:rPr>
          <w:t>Together in the EU - Promoting the participation of migrants and their descendants</w:t>
        </w:r>
      </w:hyperlink>
      <w:r>
        <w:t>, March 2017, p. 35)</w:t>
      </w:r>
    </w:p>
    <w:p w:rsidR="007516CE" w:rsidRDefault="009B5E03" w:rsidP="00E472B4">
      <w:pPr>
        <w:jc w:val="both"/>
      </w:pPr>
      <w:r>
        <w:t xml:space="preserve">“For example, in </w:t>
      </w:r>
      <w:r w:rsidRPr="000344B7">
        <w:rPr>
          <w:b/>
        </w:rPr>
        <w:t>Belgium</w:t>
      </w:r>
      <w:r>
        <w:t>, the Minister for Integration of the Flemish Community announced in October 2014 that the number of officials with migrant backgrounds would be increased, and appointed ‘diversity officials’ to coordinate local diversity actions promoting equal opportunities in the workplace.”</w:t>
      </w:r>
      <w:r w:rsidR="00397D9F">
        <w:t xml:space="preserve"> (FRA, </w:t>
      </w:r>
      <w:hyperlink r:id="rId108" w:history="1">
        <w:r w:rsidR="00397D9F" w:rsidRPr="00C4259C">
          <w:rPr>
            <w:rStyle w:val="Hyperlink"/>
          </w:rPr>
          <w:t>Together in the EU - Promoting the participation of migrants and their descendants</w:t>
        </w:r>
      </w:hyperlink>
      <w:r w:rsidR="00397D9F">
        <w:t xml:space="preserve">, March 2017, p. </w:t>
      </w:r>
      <w:r w:rsidR="00B536CA">
        <w:t>48</w:t>
      </w:r>
      <w:r w:rsidR="00397D9F">
        <w:t>)</w:t>
      </w:r>
    </w:p>
    <w:p w:rsidR="00D9435B" w:rsidRPr="00063C02" w:rsidRDefault="00D9435B" w:rsidP="00E472B4">
      <w:pPr>
        <w:jc w:val="both"/>
      </w:pPr>
    </w:p>
    <w:sectPr w:rsidR="00D9435B" w:rsidRPr="00063C02">
      <w:footerReference w:type="default" r:id="rId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8C8" w:rsidRDefault="00FF58C8" w:rsidP="001519F2">
      <w:pPr>
        <w:spacing w:after="0" w:line="240" w:lineRule="auto"/>
      </w:pPr>
      <w:r>
        <w:separator/>
      </w:r>
    </w:p>
  </w:endnote>
  <w:endnote w:type="continuationSeparator" w:id="0">
    <w:p w:rsidR="00FF58C8" w:rsidRDefault="00FF58C8" w:rsidP="00151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0042008"/>
      <w:docPartObj>
        <w:docPartGallery w:val="Page Numbers (Bottom of Page)"/>
        <w:docPartUnique/>
      </w:docPartObj>
    </w:sdtPr>
    <w:sdtEndPr>
      <w:rPr>
        <w:noProof/>
      </w:rPr>
    </w:sdtEndPr>
    <w:sdtContent>
      <w:p w:rsidR="001519F2" w:rsidRDefault="001519F2">
        <w:pPr>
          <w:pStyle w:val="Footer"/>
          <w:jc w:val="right"/>
        </w:pPr>
        <w:r>
          <w:fldChar w:fldCharType="begin"/>
        </w:r>
        <w:r>
          <w:instrText xml:space="preserve"> PAGE   \* MERGEFORMAT </w:instrText>
        </w:r>
        <w:r>
          <w:fldChar w:fldCharType="separate"/>
        </w:r>
        <w:r w:rsidR="00273A74">
          <w:rPr>
            <w:noProof/>
          </w:rPr>
          <w:t>13</w:t>
        </w:r>
        <w:r>
          <w:rPr>
            <w:noProof/>
          </w:rPr>
          <w:fldChar w:fldCharType="end"/>
        </w:r>
      </w:p>
    </w:sdtContent>
  </w:sdt>
  <w:p w:rsidR="001519F2" w:rsidRDefault="00151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8C8" w:rsidRDefault="00FF58C8" w:rsidP="001519F2">
      <w:pPr>
        <w:spacing w:after="0" w:line="240" w:lineRule="auto"/>
      </w:pPr>
      <w:r>
        <w:separator/>
      </w:r>
    </w:p>
  </w:footnote>
  <w:footnote w:type="continuationSeparator" w:id="0">
    <w:p w:rsidR="00FF58C8" w:rsidRDefault="00FF58C8" w:rsidP="001519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3414C"/>
    <w:multiLevelType w:val="hybridMultilevel"/>
    <w:tmpl w:val="6EFE6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455"/>
    <w:rsid w:val="00001FF7"/>
    <w:rsid w:val="0001490F"/>
    <w:rsid w:val="00020C73"/>
    <w:rsid w:val="00021F2C"/>
    <w:rsid w:val="00023C73"/>
    <w:rsid w:val="0002612E"/>
    <w:rsid w:val="000264FF"/>
    <w:rsid w:val="00031CB7"/>
    <w:rsid w:val="00032133"/>
    <w:rsid w:val="000336D2"/>
    <w:rsid w:val="000344B7"/>
    <w:rsid w:val="00044E8F"/>
    <w:rsid w:val="00045BA4"/>
    <w:rsid w:val="0004624B"/>
    <w:rsid w:val="0004754E"/>
    <w:rsid w:val="000479CF"/>
    <w:rsid w:val="000515ED"/>
    <w:rsid w:val="000528BC"/>
    <w:rsid w:val="000550DD"/>
    <w:rsid w:val="00055EEF"/>
    <w:rsid w:val="00061342"/>
    <w:rsid w:val="00063836"/>
    <w:rsid w:val="00063C02"/>
    <w:rsid w:val="000657B6"/>
    <w:rsid w:val="000664D8"/>
    <w:rsid w:val="00073588"/>
    <w:rsid w:val="000755B4"/>
    <w:rsid w:val="00085A5E"/>
    <w:rsid w:val="00085E44"/>
    <w:rsid w:val="000867BF"/>
    <w:rsid w:val="000879C3"/>
    <w:rsid w:val="00093807"/>
    <w:rsid w:val="000941AF"/>
    <w:rsid w:val="000958B6"/>
    <w:rsid w:val="0009764E"/>
    <w:rsid w:val="000A0178"/>
    <w:rsid w:val="000A067A"/>
    <w:rsid w:val="000A2F03"/>
    <w:rsid w:val="000A3885"/>
    <w:rsid w:val="000A5FC7"/>
    <w:rsid w:val="000A7C96"/>
    <w:rsid w:val="000B0566"/>
    <w:rsid w:val="000B1C37"/>
    <w:rsid w:val="000B7D98"/>
    <w:rsid w:val="000C0E04"/>
    <w:rsid w:val="000C24AB"/>
    <w:rsid w:val="000C2CE4"/>
    <w:rsid w:val="000C71B2"/>
    <w:rsid w:val="000C7900"/>
    <w:rsid w:val="000D30B1"/>
    <w:rsid w:val="000D4DDB"/>
    <w:rsid w:val="000D64EE"/>
    <w:rsid w:val="000D66E3"/>
    <w:rsid w:val="000E0712"/>
    <w:rsid w:val="000E310C"/>
    <w:rsid w:val="000E34A8"/>
    <w:rsid w:val="000E62A2"/>
    <w:rsid w:val="000E6CEA"/>
    <w:rsid w:val="000F11E5"/>
    <w:rsid w:val="000F22E3"/>
    <w:rsid w:val="000F43FD"/>
    <w:rsid w:val="00100C0E"/>
    <w:rsid w:val="00102B22"/>
    <w:rsid w:val="00102F79"/>
    <w:rsid w:val="00103ADF"/>
    <w:rsid w:val="00107D26"/>
    <w:rsid w:val="00110194"/>
    <w:rsid w:val="00115046"/>
    <w:rsid w:val="00121853"/>
    <w:rsid w:val="00125CC8"/>
    <w:rsid w:val="0013123C"/>
    <w:rsid w:val="00134751"/>
    <w:rsid w:val="0014431C"/>
    <w:rsid w:val="001519F2"/>
    <w:rsid w:val="0015354A"/>
    <w:rsid w:val="00154891"/>
    <w:rsid w:val="00160C3F"/>
    <w:rsid w:val="00161B06"/>
    <w:rsid w:val="00162420"/>
    <w:rsid w:val="0016303E"/>
    <w:rsid w:val="00170BF5"/>
    <w:rsid w:val="00173606"/>
    <w:rsid w:val="00177BC4"/>
    <w:rsid w:val="001818E4"/>
    <w:rsid w:val="00181F09"/>
    <w:rsid w:val="00182A62"/>
    <w:rsid w:val="00183C60"/>
    <w:rsid w:val="001850C3"/>
    <w:rsid w:val="001850D4"/>
    <w:rsid w:val="00185219"/>
    <w:rsid w:val="00186F47"/>
    <w:rsid w:val="001874AF"/>
    <w:rsid w:val="001906A3"/>
    <w:rsid w:val="00190D98"/>
    <w:rsid w:val="001937E3"/>
    <w:rsid w:val="00194100"/>
    <w:rsid w:val="001959E6"/>
    <w:rsid w:val="001A0645"/>
    <w:rsid w:val="001A4F87"/>
    <w:rsid w:val="001A64C0"/>
    <w:rsid w:val="001A6CB9"/>
    <w:rsid w:val="001B070A"/>
    <w:rsid w:val="001B796C"/>
    <w:rsid w:val="001C1248"/>
    <w:rsid w:val="001C3596"/>
    <w:rsid w:val="001C5263"/>
    <w:rsid w:val="001C59EA"/>
    <w:rsid w:val="001D1324"/>
    <w:rsid w:val="001D14A5"/>
    <w:rsid w:val="001D15F8"/>
    <w:rsid w:val="001D3EFB"/>
    <w:rsid w:val="001D654E"/>
    <w:rsid w:val="001E2190"/>
    <w:rsid w:val="001E584E"/>
    <w:rsid w:val="001F5346"/>
    <w:rsid w:val="002017A9"/>
    <w:rsid w:val="00207EC4"/>
    <w:rsid w:val="00211403"/>
    <w:rsid w:val="0021158D"/>
    <w:rsid w:val="0021226A"/>
    <w:rsid w:val="002123D5"/>
    <w:rsid w:val="00212683"/>
    <w:rsid w:val="00212B13"/>
    <w:rsid w:val="002163C4"/>
    <w:rsid w:val="00223F36"/>
    <w:rsid w:val="0022628F"/>
    <w:rsid w:val="002332CD"/>
    <w:rsid w:val="002359D9"/>
    <w:rsid w:val="00241249"/>
    <w:rsid w:val="00241454"/>
    <w:rsid w:val="002447C7"/>
    <w:rsid w:val="00244F0F"/>
    <w:rsid w:val="00256E8A"/>
    <w:rsid w:val="002605C2"/>
    <w:rsid w:val="002606D2"/>
    <w:rsid w:val="0026332A"/>
    <w:rsid w:val="002714FB"/>
    <w:rsid w:val="00273A74"/>
    <w:rsid w:val="002758BE"/>
    <w:rsid w:val="00283154"/>
    <w:rsid w:val="002836C8"/>
    <w:rsid w:val="00293CB1"/>
    <w:rsid w:val="00293FB4"/>
    <w:rsid w:val="0029584F"/>
    <w:rsid w:val="00297889"/>
    <w:rsid w:val="002A19F1"/>
    <w:rsid w:val="002A5C87"/>
    <w:rsid w:val="002A5E50"/>
    <w:rsid w:val="002A64D9"/>
    <w:rsid w:val="002A68CB"/>
    <w:rsid w:val="002C27B5"/>
    <w:rsid w:val="002C2866"/>
    <w:rsid w:val="002C3A71"/>
    <w:rsid w:val="002D3C86"/>
    <w:rsid w:val="002D6C7F"/>
    <w:rsid w:val="002D7A0D"/>
    <w:rsid w:val="002E0958"/>
    <w:rsid w:val="002E23DC"/>
    <w:rsid w:val="002F1C93"/>
    <w:rsid w:val="002F7658"/>
    <w:rsid w:val="0030129A"/>
    <w:rsid w:val="00303453"/>
    <w:rsid w:val="003043A0"/>
    <w:rsid w:val="00306D1C"/>
    <w:rsid w:val="00313B70"/>
    <w:rsid w:val="0032151D"/>
    <w:rsid w:val="00324808"/>
    <w:rsid w:val="00327265"/>
    <w:rsid w:val="003272A0"/>
    <w:rsid w:val="003325EC"/>
    <w:rsid w:val="00333998"/>
    <w:rsid w:val="00334886"/>
    <w:rsid w:val="00344526"/>
    <w:rsid w:val="00344FEA"/>
    <w:rsid w:val="00347B20"/>
    <w:rsid w:val="00350797"/>
    <w:rsid w:val="003528DA"/>
    <w:rsid w:val="00355F01"/>
    <w:rsid w:val="00363924"/>
    <w:rsid w:val="003643BF"/>
    <w:rsid w:val="0036465A"/>
    <w:rsid w:val="003707E9"/>
    <w:rsid w:val="003708E4"/>
    <w:rsid w:val="00371276"/>
    <w:rsid w:val="00373218"/>
    <w:rsid w:val="00381AD8"/>
    <w:rsid w:val="00383DB9"/>
    <w:rsid w:val="00384EBE"/>
    <w:rsid w:val="00386DCF"/>
    <w:rsid w:val="003876DF"/>
    <w:rsid w:val="003933F9"/>
    <w:rsid w:val="0039377B"/>
    <w:rsid w:val="00394229"/>
    <w:rsid w:val="00394C62"/>
    <w:rsid w:val="00397D9F"/>
    <w:rsid w:val="003A1BF7"/>
    <w:rsid w:val="003A25B6"/>
    <w:rsid w:val="003A483A"/>
    <w:rsid w:val="003A71C9"/>
    <w:rsid w:val="003A786F"/>
    <w:rsid w:val="003A7C15"/>
    <w:rsid w:val="003B6AB6"/>
    <w:rsid w:val="003C46D7"/>
    <w:rsid w:val="003C652C"/>
    <w:rsid w:val="003D24B0"/>
    <w:rsid w:val="003D33C2"/>
    <w:rsid w:val="003D4FDD"/>
    <w:rsid w:val="003D5093"/>
    <w:rsid w:val="003D7B53"/>
    <w:rsid w:val="003E25E4"/>
    <w:rsid w:val="003F0C6B"/>
    <w:rsid w:val="003F2427"/>
    <w:rsid w:val="003F6C2F"/>
    <w:rsid w:val="003F7D63"/>
    <w:rsid w:val="004162F3"/>
    <w:rsid w:val="004208D8"/>
    <w:rsid w:val="00422843"/>
    <w:rsid w:val="0042417D"/>
    <w:rsid w:val="00424FAE"/>
    <w:rsid w:val="00432C2C"/>
    <w:rsid w:val="004338AA"/>
    <w:rsid w:val="0043491E"/>
    <w:rsid w:val="00436412"/>
    <w:rsid w:val="00436990"/>
    <w:rsid w:val="00440A20"/>
    <w:rsid w:val="00440FC0"/>
    <w:rsid w:val="00443CA4"/>
    <w:rsid w:val="004524DE"/>
    <w:rsid w:val="00454250"/>
    <w:rsid w:val="00454EB1"/>
    <w:rsid w:val="0045594B"/>
    <w:rsid w:val="00462FE6"/>
    <w:rsid w:val="00464A91"/>
    <w:rsid w:val="00465224"/>
    <w:rsid w:val="00467780"/>
    <w:rsid w:val="00472C30"/>
    <w:rsid w:val="00473F4E"/>
    <w:rsid w:val="00475461"/>
    <w:rsid w:val="004754B6"/>
    <w:rsid w:val="004772D5"/>
    <w:rsid w:val="004806BD"/>
    <w:rsid w:val="00480B01"/>
    <w:rsid w:val="00483AA3"/>
    <w:rsid w:val="00484054"/>
    <w:rsid w:val="004B175E"/>
    <w:rsid w:val="004B4845"/>
    <w:rsid w:val="004B4F6C"/>
    <w:rsid w:val="004C5635"/>
    <w:rsid w:val="004D0CF2"/>
    <w:rsid w:val="004D1D5F"/>
    <w:rsid w:val="004D265C"/>
    <w:rsid w:val="004F6AFE"/>
    <w:rsid w:val="00502DF8"/>
    <w:rsid w:val="00504A01"/>
    <w:rsid w:val="0050662C"/>
    <w:rsid w:val="005255D3"/>
    <w:rsid w:val="00526902"/>
    <w:rsid w:val="00532B77"/>
    <w:rsid w:val="00536AAA"/>
    <w:rsid w:val="00542C17"/>
    <w:rsid w:val="005527FD"/>
    <w:rsid w:val="00553B45"/>
    <w:rsid w:val="00560E95"/>
    <w:rsid w:val="00565F23"/>
    <w:rsid w:val="00571F95"/>
    <w:rsid w:val="00577429"/>
    <w:rsid w:val="00580645"/>
    <w:rsid w:val="0058078F"/>
    <w:rsid w:val="00584E8C"/>
    <w:rsid w:val="00584F1D"/>
    <w:rsid w:val="00584F29"/>
    <w:rsid w:val="005858FF"/>
    <w:rsid w:val="00586158"/>
    <w:rsid w:val="00590321"/>
    <w:rsid w:val="00596CF6"/>
    <w:rsid w:val="005A0936"/>
    <w:rsid w:val="005A1158"/>
    <w:rsid w:val="005A2325"/>
    <w:rsid w:val="005A3BF2"/>
    <w:rsid w:val="005A6E4B"/>
    <w:rsid w:val="005B01EB"/>
    <w:rsid w:val="005B05B7"/>
    <w:rsid w:val="005B0F90"/>
    <w:rsid w:val="005B33DF"/>
    <w:rsid w:val="005B51F1"/>
    <w:rsid w:val="005B7A58"/>
    <w:rsid w:val="005C33FA"/>
    <w:rsid w:val="005C72C2"/>
    <w:rsid w:val="005C7B61"/>
    <w:rsid w:val="005D27FE"/>
    <w:rsid w:val="005D297E"/>
    <w:rsid w:val="005D2E0A"/>
    <w:rsid w:val="005D4FDF"/>
    <w:rsid w:val="005D5F05"/>
    <w:rsid w:val="005E3AA2"/>
    <w:rsid w:val="005E458C"/>
    <w:rsid w:val="005F1571"/>
    <w:rsid w:val="005F4C6C"/>
    <w:rsid w:val="005F7042"/>
    <w:rsid w:val="00605860"/>
    <w:rsid w:val="00614B31"/>
    <w:rsid w:val="00615F67"/>
    <w:rsid w:val="00623810"/>
    <w:rsid w:val="00627F20"/>
    <w:rsid w:val="00631EAE"/>
    <w:rsid w:val="0063236A"/>
    <w:rsid w:val="00632CB6"/>
    <w:rsid w:val="00636769"/>
    <w:rsid w:val="0063683D"/>
    <w:rsid w:val="006407A6"/>
    <w:rsid w:val="00641B6F"/>
    <w:rsid w:val="0064417A"/>
    <w:rsid w:val="00646C64"/>
    <w:rsid w:val="00650DB3"/>
    <w:rsid w:val="00653F7C"/>
    <w:rsid w:val="0065655D"/>
    <w:rsid w:val="00656802"/>
    <w:rsid w:val="00657185"/>
    <w:rsid w:val="00657518"/>
    <w:rsid w:val="00667803"/>
    <w:rsid w:val="00667A23"/>
    <w:rsid w:val="00671A80"/>
    <w:rsid w:val="00672ED2"/>
    <w:rsid w:val="00675BE4"/>
    <w:rsid w:val="00677B95"/>
    <w:rsid w:val="00677F0A"/>
    <w:rsid w:val="00681F6F"/>
    <w:rsid w:val="006820E3"/>
    <w:rsid w:val="00686648"/>
    <w:rsid w:val="00690884"/>
    <w:rsid w:val="00693027"/>
    <w:rsid w:val="00694333"/>
    <w:rsid w:val="00694539"/>
    <w:rsid w:val="006A1718"/>
    <w:rsid w:val="006A5ADF"/>
    <w:rsid w:val="006B11D5"/>
    <w:rsid w:val="006B1969"/>
    <w:rsid w:val="006B1EBE"/>
    <w:rsid w:val="006B430F"/>
    <w:rsid w:val="006B783B"/>
    <w:rsid w:val="006B7DCF"/>
    <w:rsid w:val="006C19D7"/>
    <w:rsid w:val="006C26AF"/>
    <w:rsid w:val="006C3185"/>
    <w:rsid w:val="006C3F92"/>
    <w:rsid w:val="006C5ED2"/>
    <w:rsid w:val="006D0AB0"/>
    <w:rsid w:val="006D381D"/>
    <w:rsid w:val="006D6D69"/>
    <w:rsid w:val="006E1E52"/>
    <w:rsid w:val="006E3218"/>
    <w:rsid w:val="006E32E3"/>
    <w:rsid w:val="006E3EB6"/>
    <w:rsid w:val="006E447F"/>
    <w:rsid w:val="006E47AD"/>
    <w:rsid w:val="006E4AC2"/>
    <w:rsid w:val="006F1DD1"/>
    <w:rsid w:val="007001FC"/>
    <w:rsid w:val="007025B6"/>
    <w:rsid w:val="00704F9A"/>
    <w:rsid w:val="007110E2"/>
    <w:rsid w:val="00713C35"/>
    <w:rsid w:val="0072475A"/>
    <w:rsid w:val="00727D41"/>
    <w:rsid w:val="0073107A"/>
    <w:rsid w:val="00731CBF"/>
    <w:rsid w:val="00732ECB"/>
    <w:rsid w:val="007338BB"/>
    <w:rsid w:val="00741684"/>
    <w:rsid w:val="00746D72"/>
    <w:rsid w:val="007501B7"/>
    <w:rsid w:val="007516CE"/>
    <w:rsid w:val="00754B3D"/>
    <w:rsid w:val="0076473B"/>
    <w:rsid w:val="00767973"/>
    <w:rsid w:val="0077025D"/>
    <w:rsid w:val="00771625"/>
    <w:rsid w:val="00776FFD"/>
    <w:rsid w:val="00782E25"/>
    <w:rsid w:val="00783219"/>
    <w:rsid w:val="00784B65"/>
    <w:rsid w:val="00787A3C"/>
    <w:rsid w:val="007934EB"/>
    <w:rsid w:val="007A3990"/>
    <w:rsid w:val="007A51D5"/>
    <w:rsid w:val="007A568E"/>
    <w:rsid w:val="007A76B8"/>
    <w:rsid w:val="007B138F"/>
    <w:rsid w:val="007B226B"/>
    <w:rsid w:val="007B5070"/>
    <w:rsid w:val="007B57E0"/>
    <w:rsid w:val="007C106F"/>
    <w:rsid w:val="007D20C9"/>
    <w:rsid w:val="007D271B"/>
    <w:rsid w:val="007D302E"/>
    <w:rsid w:val="007D7066"/>
    <w:rsid w:val="007E0075"/>
    <w:rsid w:val="007E0097"/>
    <w:rsid w:val="007E0673"/>
    <w:rsid w:val="007E154A"/>
    <w:rsid w:val="007E385C"/>
    <w:rsid w:val="007E5784"/>
    <w:rsid w:val="007F3246"/>
    <w:rsid w:val="00802BE2"/>
    <w:rsid w:val="00803E1D"/>
    <w:rsid w:val="0081205D"/>
    <w:rsid w:val="0081225C"/>
    <w:rsid w:val="00813D90"/>
    <w:rsid w:val="0081626A"/>
    <w:rsid w:val="008204D7"/>
    <w:rsid w:val="00820727"/>
    <w:rsid w:val="008230D1"/>
    <w:rsid w:val="008245C7"/>
    <w:rsid w:val="008300D3"/>
    <w:rsid w:val="008304A9"/>
    <w:rsid w:val="00831E5F"/>
    <w:rsid w:val="00832062"/>
    <w:rsid w:val="00837818"/>
    <w:rsid w:val="00841068"/>
    <w:rsid w:val="00843690"/>
    <w:rsid w:val="00844000"/>
    <w:rsid w:val="00847512"/>
    <w:rsid w:val="00851AEE"/>
    <w:rsid w:val="008555CC"/>
    <w:rsid w:val="00855A8A"/>
    <w:rsid w:val="00856483"/>
    <w:rsid w:val="00856674"/>
    <w:rsid w:val="00857FA7"/>
    <w:rsid w:val="008627A8"/>
    <w:rsid w:val="008733FB"/>
    <w:rsid w:val="00873667"/>
    <w:rsid w:val="00874857"/>
    <w:rsid w:val="008765DB"/>
    <w:rsid w:val="00881CB5"/>
    <w:rsid w:val="00882FA8"/>
    <w:rsid w:val="008842F7"/>
    <w:rsid w:val="00886CC1"/>
    <w:rsid w:val="008913BF"/>
    <w:rsid w:val="00895394"/>
    <w:rsid w:val="008953AE"/>
    <w:rsid w:val="00895473"/>
    <w:rsid w:val="00895B7D"/>
    <w:rsid w:val="008977A0"/>
    <w:rsid w:val="008A1976"/>
    <w:rsid w:val="008A7C73"/>
    <w:rsid w:val="008B06DC"/>
    <w:rsid w:val="008B075F"/>
    <w:rsid w:val="008B2828"/>
    <w:rsid w:val="008B4E60"/>
    <w:rsid w:val="008C1D3E"/>
    <w:rsid w:val="008C4D7E"/>
    <w:rsid w:val="008C60C8"/>
    <w:rsid w:val="008C61D3"/>
    <w:rsid w:val="008D5942"/>
    <w:rsid w:val="008D5C85"/>
    <w:rsid w:val="008E2076"/>
    <w:rsid w:val="008E520C"/>
    <w:rsid w:val="008E5C15"/>
    <w:rsid w:val="008E7A9C"/>
    <w:rsid w:val="008F68E6"/>
    <w:rsid w:val="0090295B"/>
    <w:rsid w:val="0090408D"/>
    <w:rsid w:val="00906871"/>
    <w:rsid w:val="00911A51"/>
    <w:rsid w:val="00914D62"/>
    <w:rsid w:val="00914F34"/>
    <w:rsid w:val="00916BC8"/>
    <w:rsid w:val="00922D2B"/>
    <w:rsid w:val="00923EB3"/>
    <w:rsid w:val="00924729"/>
    <w:rsid w:val="009258A5"/>
    <w:rsid w:val="00931356"/>
    <w:rsid w:val="009327C5"/>
    <w:rsid w:val="00932A7E"/>
    <w:rsid w:val="0093511C"/>
    <w:rsid w:val="0094287A"/>
    <w:rsid w:val="00947C54"/>
    <w:rsid w:val="00950EC9"/>
    <w:rsid w:val="009519B4"/>
    <w:rsid w:val="0095525E"/>
    <w:rsid w:val="00955F99"/>
    <w:rsid w:val="00965DEA"/>
    <w:rsid w:val="00966F20"/>
    <w:rsid w:val="00967683"/>
    <w:rsid w:val="00967BC4"/>
    <w:rsid w:val="0097046F"/>
    <w:rsid w:val="00974878"/>
    <w:rsid w:val="00992D1E"/>
    <w:rsid w:val="00993D05"/>
    <w:rsid w:val="009940C6"/>
    <w:rsid w:val="0099698A"/>
    <w:rsid w:val="009A20A3"/>
    <w:rsid w:val="009A27CC"/>
    <w:rsid w:val="009A32D3"/>
    <w:rsid w:val="009A5234"/>
    <w:rsid w:val="009A67DD"/>
    <w:rsid w:val="009B5E03"/>
    <w:rsid w:val="009B661F"/>
    <w:rsid w:val="009D522B"/>
    <w:rsid w:val="009D5B99"/>
    <w:rsid w:val="009D6F86"/>
    <w:rsid w:val="009E57CC"/>
    <w:rsid w:val="009E7ED3"/>
    <w:rsid w:val="009F2596"/>
    <w:rsid w:val="009F2E40"/>
    <w:rsid w:val="009F4F34"/>
    <w:rsid w:val="009F54E5"/>
    <w:rsid w:val="00A04210"/>
    <w:rsid w:val="00A04CF4"/>
    <w:rsid w:val="00A07C46"/>
    <w:rsid w:val="00A101A4"/>
    <w:rsid w:val="00A1024F"/>
    <w:rsid w:val="00A11D8A"/>
    <w:rsid w:val="00A1348F"/>
    <w:rsid w:val="00A13D37"/>
    <w:rsid w:val="00A14859"/>
    <w:rsid w:val="00A16A86"/>
    <w:rsid w:val="00A24282"/>
    <w:rsid w:val="00A24B77"/>
    <w:rsid w:val="00A25036"/>
    <w:rsid w:val="00A25356"/>
    <w:rsid w:val="00A27ECA"/>
    <w:rsid w:val="00A300F2"/>
    <w:rsid w:val="00A3115E"/>
    <w:rsid w:val="00A31F01"/>
    <w:rsid w:val="00A43273"/>
    <w:rsid w:val="00A45E25"/>
    <w:rsid w:val="00A47670"/>
    <w:rsid w:val="00A54AE6"/>
    <w:rsid w:val="00A550FE"/>
    <w:rsid w:val="00A555B3"/>
    <w:rsid w:val="00A55A38"/>
    <w:rsid w:val="00A5763E"/>
    <w:rsid w:val="00A626A0"/>
    <w:rsid w:val="00A63B67"/>
    <w:rsid w:val="00A67455"/>
    <w:rsid w:val="00A714E2"/>
    <w:rsid w:val="00A732C8"/>
    <w:rsid w:val="00A75CDD"/>
    <w:rsid w:val="00A77617"/>
    <w:rsid w:val="00A82E0B"/>
    <w:rsid w:val="00A8393D"/>
    <w:rsid w:val="00A8533E"/>
    <w:rsid w:val="00A8647C"/>
    <w:rsid w:val="00A868AE"/>
    <w:rsid w:val="00A87EF1"/>
    <w:rsid w:val="00A92E66"/>
    <w:rsid w:val="00AA37AD"/>
    <w:rsid w:val="00AB252D"/>
    <w:rsid w:val="00AB72D2"/>
    <w:rsid w:val="00AB72D6"/>
    <w:rsid w:val="00AC2B9C"/>
    <w:rsid w:val="00AC4D51"/>
    <w:rsid w:val="00AC68DB"/>
    <w:rsid w:val="00AC7A06"/>
    <w:rsid w:val="00AD0F97"/>
    <w:rsid w:val="00AD1213"/>
    <w:rsid w:val="00AD4403"/>
    <w:rsid w:val="00AD493B"/>
    <w:rsid w:val="00AD5848"/>
    <w:rsid w:val="00AD6A58"/>
    <w:rsid w:val="00AE0D00"/>
    <w:rsid w:val="00AF1ABF"/>
    <w:rsid w:val="00AF5696"/>
    <w:rsid w:val="00AF5E07"/>
    <w:rsid w:val="00B01001"/>
    <w:rsid w:val="00B025FC"/>
    <w:rsid w:val="00B05D8D"/>
    <w:rsid w:val="00B11E6E"/>
    <w:rsid w:val="00B1223A"/>
    <w:rsid w:val="00B12C95"/>
    <w:rsid w:val="00B1359B"/>
    <w:rsid w:val="00B2099A"/>
    <w:rsid w:val="00B25A31"/>
    <w:rsid w:val="00B272E6"/>
    <w:rsid w:val="00B3050E"/>
    <w:rsid w:val="00B3052D"/>
    <w:rsid w:val="00B32E76"/>
    <w:rsid w:val="00B35134"/>
    <w:rsid w:val="00B37B28"/>
    <w:rsid w:val="00B42445"/>
    <w:rsid w:val="00B450CF"/>
    <w:rsid w:val="00B4548D"/>
    <w:rsid w:val="00B45D4B"/>
    <w:rsid w:val="00B47E22"/>
    <w:rsid w:val="00B536CA"/>
    <w:rsid w:val="00B54A5D"/>
    <w:rsid w:val="00B55958"/>
    <w:rsid w:val="00B560BE"/>
    <w:rsid w:val="00B6026C"/>
    <w:rsid w:val="00B61662"/>
    <w:rsid w:val="00B63784"/>
    <w:rsid w:val="00B6673A"/>
    <w:rsid w:val="00B66C09"/>
    <w:rsid w:val="00B67458"/>
    <w:rsid w:val="00B7384E"/>
    <w:rsid w:val="00B91B43"/>
    <w:rsid w:val="00B93494"/>
    <w:rsid w:val="00B96BA4"/>
    <w:rsid w:val="00B97383"/>
    <w:rsid w:val="00BA5178"/>
    <w:rsid w:val="00BA6A7E"/>
    <w:rsid w:val="00BB0C05"/>
    <w:rsid w:val="00BB67F3"/>
    <w:rsid w:val="00BB78F4"/>
    <w:rsid w:val="00BC290C"/>
    <w:rsid w:val="00BC5415"/>
    <w:rsid w:val="00BD1371"/>
    <w:rsid w:val="00BD40F2"/>
    <w:rsid w:val="00BE2BBB"/>
    <w:rsid w:val="00BE2DE6"/>
    <w:rsid w:val="00BE2E76"/>
    <w:rsid w:val="00BE76AC"/>
    <w:rsid w:val="00BE778B"/>
    <w:rsid w:val="00BF2309"/>
    <w:rsid w:val="00BF2AF0"/>
    <w:rsid w:val="00BF371D"/>
    <w:rsid w:val="00BF39A7"/>
    <w:rsid w:val="00C11DBC"/>
    <w:rsid w:val="00C11FF0"/>
    <w:rsid w:val="00C17F1F"/>
    <w:rsid w:val="00C20105"/>
    <w:rsid w:val="00C22059"/>
    <w:rsid w:val="00C22654"/>
    <w:rsid w:val="00C23C86"/>
    <w:rsid w:val="00C25C91"/>
    <w:rsid w:val="00C3280B"/>
    <w:rsid w:val="00C4259C"/>
    <w:rsid w:val="00C511CE"/>
    <w:rsid w:val="00C51DA6"/>
    <w:rsid w:val="00C54A13"/>
    <w:rsid w:val="00C54D6A"/>
    <w:rsid w:val="00C55EDF"/>
    <w:rsid w:val="00C60307"/>
    <w:rsid w:val="00C62DFA"/>
    <w:rsid w:val="00C63363"/>
    <w:rsid w:val="00C6566A"/>
    <w:rsid w:val="00C674DF"/>
    <w:rsid w:val="00C717EB"/>
    <w:rsid w:val="00C97AE7"/>
    <w:rsid w:val="00CA5EAD"/>
    <w:rsid w:val="00CA62D1"/>
    <w:rsid w:val="00CA6F74"/>
    <w:rsid w:val="00CA7CAE"/>
    <w:rsid w:val="00CA7F24"/>
    <w:rsid w:val="00CB5E6A"/>
    <w:rsid w:val="00CB7B93"/>
    <w:rsid w:val="00CC0191"/>
    <w:rsid w:val="00CC3B56"/>
    <w:rsid w:val="00CC46D2"/>
    <w:rsid w:val="00CC7BCF"/>
    <w:rsid w:val="00CD041A"/>
    <w:rsid w:val="00CE1989"/>
    <w:rsid w:val="00CE20FD"/>
    <w:rsid w:val="00D008AF"/>
    <w:rsid w:val="00D103A5"/>
    <w:rsid w:val="00D14C35"/>
    <w:rsid w:val="00D17245"/>
    <w:rsid w:val="00D24800"/>
    <w:rsid w:val="00D25518"/>
    <w:rsid w:val="00D25C81"/>
    <w:rsid w:val="00D265A0"/>
    <w:rsid w:val="00D26DD9"/>
    <w:rsid w:val="00D27C11"/>
    <w:rsid w:val="00D31FBD"/>
    <w:rsid w:val="00D326F2"/>
    <w:rsid w:val="00D342AD"/>
    <w:rsid w:val="00D34DEF"/>
    <w:rsid w:val="00D358BC"/>
    <w:rsid w:val="00D35F1D"/>
    <w:rsid w:val="00D41FE0"/>
    <w:rsid w:val="00D433BE"/>
    <w:rsid w:val="00D44665"/>
    <w:rsid w:val="00D4487E"/>
    <w:rsid w:val="00D51D9E"/>
    <w:rsid w:val="00D54A43"/>
    <w:rsid w:val="00D55B1C"/>
    <w:rsid w:val="00D65902"/>
    <w:rsid w:val="00D67C5A"/>
    <w:rsid w:val="00D700A0"/>
    <w:rsid w:val="00D72547"/>
    <w:rsid w:val="00D72C43"/>
    <w:rsid w:val="00D75882"/>
    <w:rsid w:val="00D75F14"/>
    <w:rsid w:val="00D83879"/>
    <w:rsid w:val="00D83C55"/>
    <w:rsid w:val="00D8490B"/>
    <w:rsid w:val="00D92C49"/>
    <w:rsid w:val="00D93E9F"/>
    <w:rsid w:val="00D9435B"/>
    <w:rsid w:val="00D956D3"/>
    <w:rsid w:val="00D95F0A"/>
    <w:rsid w:val="00D97C9C"/>
    <w:rsid w:val="00DA178D"/>
    <w:rsid w:val="00DA3F72"/>
    <w:rsid w:val="00DA4626"/>
    <w:rsid w:val="00DA5FBB"/>
    <w:rsid w:val="00DB0296"/>
    <w:rsid w:val="00DB14DD"/>
    <w:rsid w:val="00DB573A"/>
    <w:rsid w:val="00DC1965"/>
    <w:rsid w:val="00DC3C83"/>
    <w:rsid w:val="00DC47FC"/>
    <w:rsid w:val="00DC72A1"/>
    <w:rsid w:val="00DD0EC7"/>
    <w:rsid w:val="00DD209A"/>
    <w:rsid w:val="00DD5970"/>
    <w:rsid w:val="00DD6606"/>
    <w:rsid w:val="00DD7017"/>
    <w:rsid w:val="00DD77DE"/>
    <w:rsid w:val="00DE2A05"/>
    <w:rsid w:val="00DE442D"/>
    <w:rsid w:val="00DF016D"/>
    <w:rsid w:val="00DF1D33"/>
    <w:rsid w:val="00DF52F7"/>
    <w:rsid w:val="00DF67EA"/>
    <w:rsid w:val="00DF7D39"/>
    <w:rsid w:val="00E00350"/>
    <w:rsid w:val="00E02F79"/>
    <w:rsid w:val="00E0523B"/>
    <w:rsid w:val="00E21AF1"/>
    <w:rsid w:val="00E22C77"/>
    <w:rsid w:val="00E30D65"/>
    <w:rsid w:val="00E37B06"/>
    <w:rsid w:val="00E408C0"/>
    <w:rsid w:val="00E40E9D"/>
    <w:rsid w:val="00E41E6E"/>
    <w:rsid w:val="00E43AB3"/>
    <w:rsid w:val="00E461AE"/>
    <w:rsid w:val="00E472B4"/>
    <w:rsid w:val="00E51D08"/>
    <w:rsid w:val="00E55CD6"/>
    <w:rsid w:val="00E65043"/>
    <w:rsid w:val="00E70373"/>
    <w:rsid w:val="00E70C7B"/>
    <w:rsid w:val="00E72767"/>
    <w:rsid w:val="00E76B87"/>
    <w:rsid w:val="00E83D90"/>
    <w:rsid w:val="00E85EAA"/>
    <w:rsid w:val="00E86820"/>
    <w:rsid w:val="00E95D6B"/>
    <w:rsid w:val="00EA02A1"/>
    <w:rsid w:val="00EA1A16"/>
    <w:rsid w:val="00EA2021"/>
    <w:rsid w:val="00EA2D16"/>
    <w:rsid w:val="00EB0360"/>
    <w:rsid w:val="00EB1BA7"/>
    <w:rsid w:val="00EC3E79"/>
    <w:rsid w:val="00EC3E7D"/>
    <w:rsid w:val="00EC49FC"/>
    <w:rsid w:val="00EC5A45"/>
    <w:rsid w:val="00ED08AA"/>
    <w:rsid w:val="00ED23DB"/>
    <w:rsid w:val="00ED26FA"/>
    <w:rsid w:val="00ED3E3F"/>
    <w:rsid w:val="00ED763F"/>
    <w:rsid w:val="00EE0F8B"/>
    <w:rsid w:val="00EE1F96"/>
    <w:rsid w:val="00EF3AA9"/>
    <w:rsid w:val="00F012C9"/>
    <w:rsid w:val="00F02960"/>
    <w:rsid w:val="00F029B5"/>
    <w:rsid w:val="00F030D3"/>
    <w:rsid w:val="00F03902"/>
    <w:rsid w:val="00F04639"/>
    <w:rsid w:val="00F06B7F"/>
    <w:rsid w:val="00F06DD8"/>
    <w:rsid w:val="00F11FC0"/>
    <w:rsid w:val="00F132D3"/>
    <w:rsid w:val="00F15BF7"/>
    <w:rsid w:val="00F15E44"/>
    <w:rsid w:val="00F16977"/>
    <w:rsid w:val="00F17FA9"/>
    <w:rsid w:val="00F22A12"/>
    <w:rsid w:val="00F345C8"/>
    <w:rsid w:val="00F35C41"/>
    <w:rsid w:val="00F37019"/>
    <w:rsid w:val="00F41FC7"/>
    <w:rsid w:val="00F42C5A"/>
    <w:rsid w:val="00F443F8"/>
    <w:rsid w:val="00F45AAA"/>
    <w:rsid w:val="00F61858"/>
    <w:rsid w:val="00F62A00"/>
    <w:rsid w:val="00F641D7"/>
    <w:rsid w:val="00F64F0F"/>
    <w:rsid w:val="00F65C2C"/>
    <w:rsid w:val="00F66405"/>
    <w:rsid w:val="00F70CD5"/>
    <w:rsid w:val="00F73F66"/>
    <w:rsid w:val="00F80C01"/>
    <w:rsid w:val="00F855CA"/>
    <w:rsid w:val="00F906A7"/>
    <w:rsid w:val="00F91154"/>
    <w:rsid w:val="00F92A25"/>
    <w:rsid w:val="00F93BE1"/>
    <w:rsid w:val="00F95878"/>
    <w:rsid w:val="00F97AE6"/>
    <w:rsid w:val="00FA0088"/>
    <w:rsid w:val="00FA18E8"/>
    <w:rsid w:val="00FA1FF8"/>
    <w:rsid w:val="00FA48CF"/>
    <w:rsid w:val="00FA6347"/>
    <w:rsid w:val="00FA6418"/>
    <w:rsid w:val="00FA6C9C"/>
    <w:rsid w:val="00FA7C16"/>
    <w:rsid w:val="00FB142D"/>
    <w:rsid w:val="00FB18BE"/>
    <w:rsid w:val="00FB67E6"/>
    <w:rsid w:val="00FC03F6"/>
    <w:rsid w:val="00FD1FD2"/>
    <w:rsid w:val="00FD433A"/>
    <w:rsid w:val="00FD6E6C"/>
    <w:rsid w:val="00FD7DFB"/>
    <w:rsid w:val="00FE6431"/>
    <w:rsid w:val="00FE7299"/>
    <w:rsid w:val="00FF2DFB"/>
    <w:rsid w:val="00FF32ED"/>
    <w:rsid w:val="00FF4624"/>
    <w:rsid w:val="00FF4894"/>
    <w:rsid w:val="00FF58C8"/>
    <w:rsid w:val="00FF7347"/>
    <w:rsid w:val="00FF7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66CF2"/>
  <w15:chartTrackingRefBased/>
  <w15:docId w15:val="{B16D7808-31FB-4438-908F-91C5E012F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6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26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326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326F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D1FD2"/>
    <w:pPr>
      <w:autoSpaceDE w:val="0"/>
      <w:autoSpaceDN w:val="0"/>
      <w:adjustRightInd w:val="0"/>
      <w:spacing w:after="0" w:line="240" w:lineRule="auto"/>
    </w:pPr>
    <w:rPr>
      <w:rFonts w:ascii="Verdana" w:eastAsia="Times New Roman" w:hAnsi="Verdana" w:cs="Times New Roman"/>
      <w:sz w:val="20"/>
      <w:szCs w:val="20"/>
      <w:vertAlign w:val="superscript"/>
      <w:lang w:eastAsia="en-GB"/>
    </w:rPr>
  </w:style>
  <w:style w:type="character" w:customStyle="1" w:styleId="FootnoteTextChar">
    <w:name w:val="Footnote Text Char"/>
    <w:basedOn w:val="DefaultParagraphFont"/>
    <w:link w:val="FootnoteText"/>
    <w:uiPriority w:val="99"/>
    <w:semiHidden/>
    <w:rsid w:val="00FD1FD2"/>
    <w:rPr>
      <w:rFonts w:ascii="Verdana" w:eastAsia="Times New Roman" w:hAnsi="Verdana" w:cs="Times New Roman"/>
      <w:sz w:val="20"/>
      <w:szCs w:val="20"/>
      <w:vertAlign w:val="superscript"/>
      <w:lang w:eastAsia="en-GB"/>
    </w:rPr>
  </w:style>
  <w:style w:type="character" w:customStyle="1" w:styleId="Heading1Char">
    <w:name w:val="Heading 1 Char"/>
    <w:basedOn w:val="DefaultParagraphFont"/>
    <w:link w:val="Heading1"/>
    <w:uiPriority w:val="9"/>
    <w:rsid w:val="00D326F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26F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326F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326F2"/>
    <w:rPr>
      <w:rFonts w:asciiTheme="majorHAnsi" w:eastAsiaTheme="majorEastAsia" w:hAnsiTheme="majorHAnsi" w:cstheme="majorBidi"/>
      <w:i/>
      <w:iCs/>
      <w:color w:val="2E74B5" w:themeColor="accent1" w:themeShade="BF"/>
    </w:rPr>
  </w:style>
  <w:style w:type="paragraph" w:styleId="Title">
    <w:name w:val="Title"/>
    <w:basedOn w:val="Normal"/>
    <w:next w:val="Normal"/>
    <w:link w:val="TitleChar"/>
    <w:uiPriority w:val="10"/>
    <w:qFormat/>
    <w:rsid w:val="00D326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6F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326F2"/>
    <w:pPr>
      <w:ind w:left="720"/>
      <w:contextualSpacing/>
    </w:pPr>
  </w:style>
  <w:style w:type="character" w:styleId="Hyperlink">
    <w:name w:val="Hyperlink"/>
    <w:basedOn w:val="DefaultParagraphFont"/>
    <w:uiPriority w:val="99"/>
    <w:unhideWhenUsed/>
    <w:rsid w:val="007934EB"/>
    <w:rPr>
      <w:color w:val="0563C1" w:themeColor="hyperlink"/>
      <w:u w:val="single"/>
    </w:rPr>
  </w:style>
  <w:style w:type="paragraph" w:styleId="TOCHeading">
    <w:name w:val="TOC Heading"/>
    <w:basedOn w:val="Heading1"/>
    <w:next w:val="Normal"/>
    <w:uiPriority w:val="39"/>
    <w:unhideWhenUsed/>
    <w:qFormat/>
    <w:rsid w:val="001519F2"/>
    <w:pPr>
      <w:outlineLvl w:val="9"/>
    </w:pPr>
    <w:rPr>
      <w:lang w:val="en-US"/>
    </w:rPr>
  </w:style>
  <w:style w:type="paragraph" w:styleId="TOC1">
    <w:name w:val="toc 1"/>
    <w:basedOn w:val="Normal"/>
    <w:next w:val="Normal"/>
    <w:autoRedefine/>
    <w:uiPriority w:val="39"/>
    <w:unhideWhenUsed/>
    <w:rsid w:val="00273A74"/>
    <w:pPr>
      <w:tabs>
        <w:tab w:val="right" w:leader="dot" w:pos="9016"/>
      </w:tabs>
      <w:spacing w:after="100"/>
    </w:pPr>
  </w:style>
  <w:style w:type="paragraph" w:styleId="TOC2">
    <w:name w:val="toc 2"/>
    <w:basedOn w:val="Normal"/>
    <w:next w:val="Normal"/>
    <w:autoRedefine/>
    <w:uiPriority w:val="39"/>
    <w:unhideWhenUsed/>
    <w:rsid w:val="001519F2"/>
    <w:pPr>
      <w:spacing w:after="100"/>
      <w:ind w:left="220"/>
    </w:pPr>
  </w:style>
  <w:style w:type="paragraph" w:styleId="Header">
    <w:name w:val="header"/>
    <w:basedOn w:val="Normal"/>
    <w:link w:val="HeaderChar"/>
    <w:uiPriority w:val="99"/>
    <w:unhideWhenUsed/>
    <w:rsid w:val="00151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9F2"/>
  </w:style>
  <w:style w:type="paragraph" w:styleId="Footer">
    <w:name w:val="footer"/>
    <w:basedOn w:val="Normal"/>
    <w:link w:val="FooterChar"/>
    <w:uiPriority w:val="99"/>
    <w:unhideWhenUsed/>
    <w:rsid w:val="00151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9F2"/>
  </w:style>
  <w:style w:type="paragraph" w:styleId="Subtitle">
    <w:name w:val="Subtitle"/>
    <w:basedOn w:val="Normal"/>
    <w:next w:val="Normal"/>
    <w:link w:val="SubtitleChar"/>
    <w:uiPriority w:val="11"/>
    <w:qFormat/>
    <w:rsid w:val="00E408C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408C0"/>
    <w:rPr>
      <w:rFonts w:eastAsiaTheme="minorEastAsia"/>
      <w:color w:val="5A5A5A" w:themeColor="text1" w:themeTint="A5"/>
      <w:spacing w:val="15"/>
    </w:rPr>
  </w:style>
  <w:style w:type="paragraph" w:customStyle="1" w:styleId="Default">
    <w:name w:val="Default"/>
    <w:rsid w:val="00E408C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4798">
      <w:bodyDiv w:val="1"/>
      <w:marLeft w:val="0"/>
      <w:marRight w:val="0"/>
      <w:marTop w:val="0"/>
      <w:marBottom w:val="0"/>
      <w:divBdr>
        <w:top w:val="none" w:sz="0" w:space="0" w:color="auto"/>
        <w:left w:val="none" w:sz="0" w:space="0" w:color="auto"/>
        <w:bottom w:val="none" w:sz="0" w:space="0" w:color="auto"/>
        <w:right w:val="none" w:sz="0" w:space="0" w:color="auto"/>
      </w:divBdr>
    </w:div>
    <w:div w:id="313217082">
      <w:bodyDiv w:val="1"/>
      <w:marLeft w:val="0"/>
      <w:marRight w:val="0"/>
      <w:marTop w:val="0"/>
      <w:marBottom w:val="0"/>
      <w:divBdr>
        <w:top w:val="none" w:sz="0" w:space="0" w:color="auto"/>
        <w:left w:val="none" w:sz="0" w:space="0" w:color="auto"/>
        <w:bottom w:val="none" w:sz="0" w:space="0" w:color="auto"/>
        <w:right w:val="none" w:sz="0" w:space="0" w:color="auto"/>
      </w:divBdr>
    </w:div>
    <w:div w:id="508643508">
      <w:bodyDiv w:val="1"/>
      <w:marLeft w:val="0"/>
      <w:marRight w:val="0"/>
      <w:marTop w:val="0"/>
      <w:marBottom w:val="0"/>
      <w:divBdr>
        <w:top w:val="none" w:sz="0" w:space="0" w:color="auto"/>
        <w:left w:val="none" w:sz="0" w:space="0" w:color="auto"/>
        <w:bottom w:val="none" w:sz="0" w:space="0" w:color="auto"/>
        <w:right w:val="none" w:sz="0" w:space="0" w:color="auto"/>
      </w:divBdr>
    </w:div>
    <w:div w:id="998995793">
      <w:bodyDiv w:val="1"/>
      <w:marLeft w:val="0"/>
      <w:marRight w:val="0"/>
      <w:marTop w:val="0"/>
      <w:marBottom w:val="0"/>
      <w:divBdr>
        <w:top w:val="none" w:sz="0" w:space="0" w:color="auto"/>
        <w:left w:val="none" w:sz="0" w:space="0" w:color="auto"/>
        <w:bottom w:val="none" w:sz="0" w:space="0" w:color="auto"/>
        <w:right w:val="none" w:sz="0" w:space="0" w:color="auto"/>
      </w:divBdr>
    </w:div>
    <w:div w:id="1074473108">
      <w:bodyDiv w:val="1"/>
      <w:marLeft w:val="0"/>
      <w:marRight w:val="0"/>
      <w:marTop w:val="0"/>
      <w:marBottom w:val="0"/>
      <w:divBdr>
        <w:top w:val="none" w:sz="0" w:space="0" w:color="auto"/>
        <w:left w:val="none" w:sz="0" w:space="0" w:color="auto"/>
        <w:bottom w:val="none" w:sz="0" w:space="0" w:color="auto"/>
        <w:right w:val="none" w:sz="0" w:space="0" w:color="auto"/>
      </w:divBdr>
    </w:div>
    <w:div w:id="1250315067">
      <w:bodyDiv w:val="1"/>
      <w:marLeft w:val="0"/>
      <w:marRight w:val="0"/>
      <w:marTop w:val="0"/>
      <w:marBottom w:val="0"/>
      <w:divBdr>
        <w:top w:val="none" w:sz="0" w:space="0" w:color="auto"/>
        <w:left w:val="none" w:sz="0" w:space="0" w:color="auto"/>
        <w:bottom w:val="none" w:sz="0" w:space="0" w:color="auto"/>
        <w:right w:val="none" w:sz="0" w:space="0" w:color="auto"/>
      </w:divBdr>
    </w:div>
    <w:div w:id="1523206219">
      <w:bodyDiv w:val="1"/>
      <w:marLeft w:val="0"/>
      <w:marRight w:val="0"/>
      <w:marTop w:val="0"/>
      <w:marBottom w:val="0"/>
      <w:divBdr>
        <w:top w:val="none" w:sz="0" w:space="0" w:color="auto"/>
        <w:left w:val="none" w:sz="0" w:space="0" w:color="auto"/>
        <w:bottom w:val="none" w:sz="0" w:space="0" w:color="auto"/>
        <w:right w:val="none" w:sz="0" w:space="0" w:color="auto"/>
      </w:divBdr>
    </w:div>
    <w:div w:id="1588004175">
      <w:bodyDiv w:val="1"/>
      <w:marLeft w:val="0"/>
      <w:marRight w:val="0"/>
      <w:marTop w:val="0"/>
      <w:marBottom w:val="0"/>
      <w:divBdr>
        <w:top w:val="none" w:sz="0" w:space="0" w:color="auto"/>
        <w:left w:val="none" w:sz="0" w:space="0" w:color="auto"/>
        <w:bottom w:val="none" w:sz="0" w:space="0" w:color="auto"/>
        <w:right w:val="none" w:sz="0" w:space="0" w:color="auto"/>
      </w:divBdr>
    </w:div>
    <w:div w:id="1739476090">
      <w:bodyDiv w:val="1"/>
      <w:marLeft w:val="0"/>
      <w:marRight w:val="0"/>
      <w:marTop w:val="0"/>
      <w:marBottom w:val="0"/>
      <w:divBdr>
        <w:top w:val="none" w:sz="0" w:space="0" w:color="auto"/>
        <w:left w:val="none" w:sz="0" w:space="0" w:color="auto"/>
        <w:bottom w:val="none" w:sz="0" w:space="0" w:color="auto"/>
        <w:right w:val="none" w:sz="0" w:space="0" w:color="auto"/>
      </w:divBdr>
    </w:div>
    <w:div w:id="1917977499">
      <w:bodyDiv w:val="1"/>
      <w:marLeft w:val="0"/>
      <w:marRight w:val="0"/>
      <w:marTop w:val="0"/>
      <w:marBottom w:val="0"/>
      <w:divBdr>
        <w:top w:val="none" w:sz="0" w:space="0" w:color="auto"/>
        <w:left w:val="none" w:sz="0" w:space="0" w:color="auto"/>
        <w:bottom w:val="none" w:sz="0" w:space="0" w:color="auto"/>
        <w:right w:val="none" w:sz="0" w:space="0" w:color="auto"/>
      </w:divBdr>
    </w:div>
    <w:div w:id="2134863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ra.europa.eu/sites/default/files/fra_uploads/fra-2019-migration-bulletin-1_en.pdf" TargetMode="External"/><Relationship Id="rId21" Type="http://schemas.openxmlformats.org/officeDocument/2006/relationships/hyperlink" Target="https://fra.europa.eu/sites/default/files/fra_uploads/fra-2019-migration-bulletin-3_en.pdf" TargetMode="External"/><Relationship Id="rId42" Type="http://schemas.openxmlformats.org/officeDocument/2006/relationships/hyperlink" Target="https://fra.europa.eu/sites/default/files/fra_uploads/fra-2019-migration-bulletin-3_en.pdf" TargetMode="External"/><Relationship Id="rId47" Type="http://schemas.openxmlformats.org/officeDocument/2006/relationships/hyperlink" Target="https://fra.europa.eu/sites/default/files/fra_uploads/fra-2018-experiences-and-perceptions-of-antisemitism-survey_en.pdf" TargetMode="External"/><Relationship Id="rId63" Type="http://schemas.openxmlformats.org/officeDocument/2006/relationships/hyperlink" Target="https://fra.europa.eu/sites/default/files/fra_uploads/fra-2018-protecting-migrant-workers-boosting-inspections_en.pdf" TargetMode="External"/><Relationship Id="rId68" Type="http://schemas.openxmlformats.org/officeDocument/2006/relationships/hyperlink" Target="https://fra.europa.eu/sites/default/files/fra_uploads/fra-2018-protecting-migrant-workers-boosting-inspections_en.pdf" TargetMode="External"/><Relationship Id="rId84" Type="http://schemas.openxmlformats.org/officeDocument/2006/relationships/hyperlink" Target="https://fra.europa.eu/sites/default/files/fra_uploads/fra-2019-fundamental-rights-report-2019_en.pdf" TargetMode="External"/><Relationship Id="rId89" Type="http://schemas.openxmlformats.org/officeDocument/2006/relationships/hyperlink" Target="https://fra.europa.eu/sites/default/files/fra_uploads/fra-2019-fundamental-rights-report-2019_en.pdf" TargetMode="External"/><Relationship Id="rId112" Type="http://schemas.openxmlformats.org/officeDocument/2006/relationships/customXml" Target="../customXml/item2.xml"/><Relationship Id="rId16" Type="http://schemas.openxmlformats.org/officeDocument/2006/relationships/hyperlink" Target="https://fra.europa.eu/sites/default/files/fra_uploads/fra-2019-migration-bulletin-4_en.pdf" TargetMode="External"/><Relationship Id="rId107" Type="http://schemas.openxmlformats.org/officeDocument/2006/relationships/hyperlink" Target="https://fra.europa.eu/sites/default/files/fra_uploads/fra-2017-together-in-the-eu_en.pdf" TargetMode="External"/><Relationship Id="rId11" Type="http://schemas.openxmlformats.org/officeDocument/2006/relationships/hyperlink" Target="https://fra.europa.eu/sites/default/files/fra_uploads/fra-2018-fundamental-rights-report-2018_en.pdf" TargetMode="External"/><Relationship Id="rId32" Type="http://schemas.openxmlformats.org/officeDocument/2006/relationships/hyperlink" Target="https://fra.europa.eu/sites/default/files/fra_uploads/fra-2019-fundamental-rights-report-2019_en.pdf" TargetMode="External"/><Relationship Id="rId37" Type="http://schemas.openxmlformats.org/officeDocument/2006/relationships/hyperlink" Target="https://fra.europa.eu/sites/default/files/fra_uploads/fra-2018-fundamental-rights-report-2018_en.pdf" TargetMode="External"/><Relationship Id="rId53" Type="http://schemas.openxmlformats.org/officeDocument/2006/relationships/hyperlink" Target="https://fra.europa.eu/sites/default/files/fra_uploads/fra-2018-experiences-and-perceptions-of-antisemitism-survey_en.pdf" TargetMode="External"/><Relationship Id="rId58" Type="http://schemas.openxmlformats.org/officeDocument/2006/relationships/hyperlink" Target="https://fra.europa.eu/sites/default/files/fra_uploads/fra-2017-eu-minorities-survey-muslims-selected-findings_en.pdf" TargetMode="External"/><Relationship Id="rId74" Type="http://schemas.openxmlformats.org/officeDocument/2006/relationships/hyperlink" Target="https://fra.europa.eu/sites/default/files/fra_uploads/fra-2019-severe-labour-exploitation-workers-perspectives_en.pdf" TargetMode="External"/><Relationship Id="rId79" Type="http://schemas.openxmlformats.org/officeDocument/2006/relationships/hyperlink" Target="https://fra.europa.eu/sites/default/files/fra_uploads/fra-2019-severe-labour-exploitation-workers-perspectives_en.pdf" TargetMode="External"/><Relationship Id="rId102" Type="http://schemas.openxmlformats.org/officeDocument/2006/relationships/hyperlink" Target="https://fra.europa.eu/sites/default/files/fra_uploads/fra-2018-protecting-migrant-workers-boosting-inspections_en.pdf" TargetMode="External"/><Relationship Id="rId5" Type="http://schemas.openxmlformats.org/officeDocument/2006/relationships/webSettings" Target="webSettings.xml"/><Relationship Id="rId90" Type="http://schemas.openxmlformats.org/officeDocument/2006/relationships/hyperlink" Target="https://fra.europa.eu/sites/default/files/fra_uploads/fra-2019-eu-midis-ii-migrant-women_en.pdf" TargetMode="External"/><Relationship Id="rId95" Type="http://schemas.openxmlformats.org/officeDocument/2006/relationships/hyperlink" Target="https://fra.europa.eu/sites/default/files/fra_uploads/fra-2018-fundamental-rights-report-2018_en.pdf" TargetMode="External"/><Relationship Id="rId22" Type="http://schemas.openxmlformats.org/officeDocument/2006/relationships/hyperlink" Target="https://fra.europa.eu/sites/default/files/fra_uploads/fra-2019-migration-bulletin-2_en.pdf" TargetMode="External"/><Relationship Id="rId27" Type="http://schemas.openxmlformats.org/officeDocument/2006/relationships/hyperlink" Target="https://fra.europa.eu/sites/default/files/fra_uploads/fra-2019-migration-bulletin-1_en.pdf" TargetMode="External"/><Relationship Id="rId43" Type="http://schemas.openxmlformats.org/officeDocument/2006/relationships/hyperlink" Target="https://fra.europa.eu/sites/default/files/fra_uploads/fra-2018-experiences-and-perceptions-of-antisemitism-survey_en.pdf" TargetMode="External"/><Relationship Id="rId48" Type="http://schemas.openxmlformats.org/officeDocument/2006/relationships/hyperlink" Target="https://fra.europa.eu/sites/default/files/fra_uploads/fra-2018-experiences-and-perceptions-of-antisemitism-survey_en.pdf" TargetMode="External"/><Relationship Id="rId64" Type="http://schemas.openxmlformats.org/officeDocument/2006/relationships/hyperlink" Target="https://fra.europa.eu/sites/default/files/fra_uploads/fra-2018-protecting-migrant-workers-boosting-inspections_en.pdf" TargetMode="External"/><Relationship Id="rId69" Type="http://schemas.openxmlformats.org/officeDocument/2006/relationships/hyperlink" Target="https://fra.europa.eu/sites/default/files/fra_uploads/fra-2018-protecting-migrant-workers-boosting-inspections_en.pdf" TargetMode="External"/><Relationship Id="rId113" Type="http://schemas.openxmlformats.org/officeDocument/2006/relationships/customXml" Target="../customXml/item3.xml"/><Relationship Id="rId80" Type="http://schemas.openxmlformats.org/officeDocument/2006/relationships/hyperlink" Target="https://fra.europa.eu/sites/default/files/fra_uploads/fra-2019-severe-labour-exploitation-workers-perspectives_en.pdf" TargetMode="External"/><Relationship Id="rId85" Type="http://schemas.openxmlformats.org/officeDocument/2006/relationships/hyperlink" Target="https://fra.europa.eu/sites/default/files/fra_uploads/fra-2019-fundamental-rights-report-2019_en.pdf" TargetMode="External"/><Relationship Id="rId12" Type="http://schemas.openxmlformats.org/officeDocument/2006/relationships/hyperlink" Target="https://fra.europa.eu/sites/default/files/fra_uploads/fra-2018-fundamental-rights-report-2018_en.pdf" TargetMode="External"/><Relationship Id="rId17" Type="http://schemas.openxmlformats.org/officeDocument/2006/relationships/hyperlink" Target="https://fra.europa.eu/sites/default/files/fra_uploads/fra-2019-migration-bulletin-4_en.pdf" TargetMode="External"/><Relationship Id="rId33" Type="http://schemas.openxmlformats.org/officeDocument/2006/relationships/hyperlink" Target="https://fra.europa.eu/sites/default/files/fra_uploads/fra-2019-fundamental-rights-report-2019_en.pdf" TargetMode="External"/><Relationship Id="rId38" Type="http://schemas.openxmlformats.org/officeDocument/2006/relationships/hyperlink" Target="https://fra.europa.eu/sites/default/files/fra_uploads/fra-2018-fundamental-rights-report-2018_en.pdf" TargetMode="External"/><Relationship Id="rId59" Type="http://schemas.openxmlformats.org/officeDocument/2006/relationships/hyperlink" Target="https://fra.europa.eu/sites/default/files/fra_uploads/fra-2017-eu-minorities-survey-muslims-selected-findings_en.pdf" TargetMode="External"/><Relationship Id="rId103" Type="http://schemas.openxmlformats.org/officeDocument/2006/relationships/hyperlink" Target="https://fra.europa.eu/sites/default/files/fra_uploads/fra-2019-business-and-human-rights-focus_en.pdf" TargetMode="External"/><Relationship Id="rId108" Type="http://schemas.openxmlformats.org/officeDocument/2006/relationships/hyperlink" Target="https://fra.europa.eu/sites/default/files/fra_uploads/fra-2017-together-in-the-eu_en.pdf" TargetMode="External"/><Relationship Id="rId54" Type="http://schemas.openxmlformats.org/officeDocument/2006/relationships/hyperlink" Target="https://fra.europa.eu/sites/default/files/fra_uploads/fra-2018-experiences-and-perceptions-of-antisemitism-survey_en.pdf" TargetMode="External"/><Relationship Id="rId70" Type="http://schemas.openxmlformats.org/officeDocument/2006/relationships/hyperlink" Target="https://fra.europa.eu/sites/default/files/fra_uploads/fra-2018-migrant-women-labour-exploitation-domestic-work_en.pdf" TargetMode="External"/><Relationship Id="rId75" Type="http://schemas.openxmlformats.org/officeDocument/2006/relationships/hyperlink" Target="https://fra.europa.eu/sites/default/files/fra_uploads/fra-2019-severe-labour-exploitation-workers-perspectives_en.pdf" TargetMode="External"/><Relationship Id="rId91" Type="http://schemas.openxmlformats.org/officeDocument/2006/relationships/hyperlink" Target="https://fra.europa.eu/sites/default/files/fra_uploads/fra-2017-together-in-the-eu_en.pdf" TargetMode="External"/><Relationship Id="rId96" Type="http://schemas.openxmlformats.org/officeDocument/2006/relationships/hyperlink" Target="https://fra.europa.eu/sites/default/files/fra_uploads/fra-2018-fundamental-rights-report-2018_en.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ra.europa.eu/sites/default/files/fra_uploads/fra-2019-fundamental-rights-report-2019_en.pdf" TargetMode="External"/><Relationship Id="rId23" Type="http://schemas.openxmlformats.org/officeDocument/2006/relationships/hyperlink" Target="https://fra.europa.eu/sites/default/files/fra_uploads/fra-2019-migration-bulletin-2_en.pdf" TargetMode="External"/><Relationship Id="rId28" Type="http://schemas.openxmlformats.org/officeDocument/2006/relationships/hyperlink" Target="https://fra.europa.eu/sites/default/files/fra_uploads/fra-2019-fundamental-rights-report-2019_en.pdf" TargetMode="External"/><Relationship Id="rId36" Type="http://schemas.openxmlformats.org/officeDocument/2006/relationships/hyperlink" Target="https://fra.europa.eu/sites/default/files/fra_uploads/fra-2018-fundamental-rights-report-2018_en.pdf" TargetMode="External"/><Relationship Id="rId49" Type="http://schemas.openxmlformats.org/officeDocument/2006/relationships/hyperlink" Target="https://fra.europa.eu/sites/default/files/fra_uploads/fra-2018-experiences-and-perceptions-of-antisemitism-survey_en.pdf" TargetMode="External"/><Relationship Id="rId57" Type="http://schemas.openxmlformats.org/officeDocument/2006/relationships/hyperlink" Target="https://fra.europa.eu/sites/default/files/fra_uploads/fra-2017-eu-minorities-survey-muslims-selected-findings_en.pdf" TargetMode="External"/><Relationship Id="rId106" Type="http://schemas.openxmlformats.org/officeDocument/2006/relationships/hyperlink" Target="https://fra.europa.eu/sites/default/files/fra_uploads/fra-2017-together-in-the-eu_en.pdf" TargetMode="External"/><Relationship Id="rId114" Type="http://schemas.openxmlformats.org/officeDocument/2006/relationships/customXml" Target="../customXml/item4.xml"/><Relationship Id="rId10" Type="http://schemas.openxmlformats.org/officeDocument/2006/relationships/hyperlink" Target="https://fra.europa.eu/sites/default/files/fra_uploads/fra-2019-2nd-survey-on-discrimination-and-hate-crime-against-jews-in-eu-ms-country-sheet-belgium_en.pdf" TargetMode="External"/><Relationship Id="rId31" Type="http://schemas.openxmlformats.org/officeDocument/2006/relationships/hyperlink" Target="https://fra.europa.eu/sites/default/files/fra_uploads/fra-2019-fundamental-rights-report-2019_en.pdf" TargetMode="External"/><Relationship Id="rId44" Type="http://schemas.openxmlformats.org/officeDocument/2006/relationships/hyperlink" Target="https://fra.europa.eu/sites/default/files/fra_uploads/fra-2018-experiences-and-perceptions-of-antisemitism-survey_en.pdf" TargetMode="External"/><Relationship Id="rId52" Type="http://schemas.openxmlformats.org/officeDocument/2006/relationships/hyperlink" Target="https://fra.europa.eu/sites/default/files/fra_uploads/fra-2018-experiences-and-perceptions-of-antisemitism-survey_en.pdf" TargetMode="External"/><Relationship Id="rId60" Type="http://schemas.openxmlformats.org/officeDocument/2006/relationships/hyperlink" Target="https://fra.europa.eu/sites/default/files/fra_uploads/fra-2017-eu-minorities-survey-muslims-selected-findings_en.pdf" TargetMode="External"/><Relationship Id="rId65" Type="http://schemas.openxmlformats.org/officeDocument/2006/relationships/hyperlink" Target="https://fra.europa.eu/sites/default/files/fra_uploads/fra-2017-together-in-the-eu_en.pdf" TargetMode="External"/><Relationship Id="rId73" Type="http://schemas.openxmlformats.org/officeDocument/2006/relationships/hyperlink" Target="https://fra.europa.eu/sites/default/files/fra_uploads/fra-2019-severe-labour-exploitation-workers-perspectives_en.pdf" TargetMode="External"/><Relationship Id="rId78" Type="http://schemas.openxmlformats.org/officeDocument/2006/relationships/hyperlink" Target="https://fra.europa.eu/sites/default/files/fra_uploads/fra-2019-severe-labour-exploitation-workers-perspectives_en.pdf" TargetMode="External"/><Relationship Id="rId81" Type="http://schemas.openxmlformats.org/officeDocument/2006/relationships/hyperlink" Target="https://fra.europa.eu/sites/default/files/fra_uploads/fra-2019-severe-labour-exploitation-workers-perspectives_en.pdf" TargetMode="External"/><Relationship Id="rId86" Type="http://schemas.openxmlformats.org/officeDocument/2006/relationships/hyperlink" Target="https://fra.europa.eu/sites/default/files/fra_uploads/fra-2018-fundamental-rights-report-2018_en.pdf" TargetMode="External"/><Relationship Id="rId94" Type="http://schemas.openxmlformats.org/officeDocument/2006/relationships/hyperlink" Target="https://fra.europa.eu/sites/default/files/fra_uploads/fra-2018-fundamental-rights-report-2018_en.pdf" TargetMode="External"/><Relationship Id="rId99" Type="http://schemas.openxmlformats.org/officeDocument/2006/relationships/hyperlink" Target="https://fra.europa.eu/sites/default/files/fra_uploads/fra-2019-migration-bulletin-2_en.pdf" TargetMode="External"/><Relationship Id="rId101" Type="http://schemas.openxmlformats.org/officeDocument/2006/relationships/hyperlink" Target="https://fra.europa.eu/sites/default/files/fra_uploads/fra-2018-protecting-migrant-workers-boosting-inspections_en.pdf" TargetMode="External"/><Relationship Id="rId4" Type="http://schemas.openxmlformats.org/officeDocument/2006/relationships/settings" Target="settings.xml"/><Relationship Id="rId9" Type="http://schemas.openxmlformats.org/officeDocument/2006/relationships/hyperlink" Target="https://fra.europa.eu/en/publications-and-resources/data-and-maps/survey-data-explorer-second-eu-minorities-discrimination-survey?locale=EN&amp;dataSource=EUMIDIS&amp;media=png&amp;width=740&amp;topic=1.+Discrimination&amp;question=pw_dis12overall10&amp;subset=AllSubset&amp;country=BE&amp;superSubset=02--Turkey,03--North-Africa&amp;plot=inCountry&amp;M2V=inCountry" TargetMode="External"/><Relationship Id="rId13" Type="http://schemas.openxmlformats.org/officeDocument/2006/relationships/hyperlink" Target="https://fra.europa.eu/sites/default/files/fra_uploads/fra-2019-severe-labour-exploitation-workers-perspectives_en.pdf" TargetMode="External"/><Relationship Id="rId18" Type="http://schemas.openxmlformats.org/officeDocument/2006/relationships/hyperlink" Target="https://fra.europa.eu/sites/default/files/fra_uploads/fra-2019-migration-bulletin-3_en.pdf" TargetMode="External"/><Relationship Id="rId39" Type="http://schemas.openxmlformats.org/officeDocument/2006/relationships/hyperlink" Target="https://fra.europa.eu/sites/default/files/fra_uploads/fra-2019-eu-midis-ii-migrant-women_en.pdf" TargetMode="External"/><Relationship Id="rId109" Type="http://schemas.openxmlformats.org/officeDocument/2006/relationships/footer" Target="footer1.xml"/><Relationship Id="rId34" Type="http://schemas.openxmlformats.org/officeDocument/2006/relationships/hyperlink" Target="https://fra.europa.eu/sites/default/files/fra_uploads/fra-2018-fundamental-rights-report-2018_en.pdf" TargetMode="External"/><Relationship Id="rId50" Type="http://schemas.openxmlformats.org/officeDocument/2006/relationships/hyperlink" Target="https://fra.europa.eu/sites/default/files/fra_uploads/fra-2018-experiences-and-perceptions-of-antisemitism-survey_en.pdf" TargetMode="External"/><Relationship Id="rId55" Type="http://schemas.openxmlformats.org/officeDocument/2006/relationships/hyperlink" Target="https://fra.europa.eu/sites/default/files/fra_uploads/fra-2017-eu-minorities-survey-muslims-selected-findings_en.pdf" TargetMode="External"/><Relationship Id="rId76" Type="http://schemas.openxmlformats.org/officeDocument/2006/relationships/hyperlink" Target="https://fra.europa.eu/sites/default/files/fra_uploads/fra-2019-severe-labour-exploitation-workers-perspectives_en.pdf" TargetMode="External"/><Relationship Id="rId97" Type="http://schemas.openxmlformats.org/officeDocument/2006/relationships/hyperlink" Target="https://fra.europa.eu/sites/default/files/fra_uploads/fra-2018-fundamental-rights-report-2018_en.pdf" TargetMode="External"/><Relationship Id="rId104" Type="http://schemas.openxmlformats.org/officeDocument/2006/relationships/hyperlink" Target="https://fra.europa.eu/sites/default/files/fra_uploads/fra-2018-migrant-women-labour-exploitation-domestic-work_en.pdf" TargetMode="External"/><Relationship Id="rId7" Type="http://schemas.openxmlformats.org/officeDocument/2006/relationships/endnotes" Target="endnotes.xml"/><Relationship Id="rId71" Type="http://schemas.openxmlformats.org/officeDocument/2006/relationships/hyperlink" Target="https://fra.europa.eu/sites/default/files/fra_uploads/fra-2019-severe-labour-exploitation-workers-perspectives_en.pdf" TargetMode="External"/><Relationship Id="rId92" Type="http://schemas.openxmlformats.org/officeDocument/2006/relationships/hyperlink" Target="https://fra.europa.eu/sites/default/files/fra_uploads/fra-2017-together-in-the-eu_en.pdf" TargetMode="External"/><Relationship Id="rId2" Type="http://schemas.openxmlformats.org/officeDocument/2006/relationships/numbering" Target="numbering.xml"/><Relationship Id="rId29" Type="http://schemas.openxmlformats.org/officeDocument/2006/relationships/hyperlink" Target="https://fra.europa.eu/sites/default/files/fra_uploads/fra-2019-fundamental-rights-report-2019_en.pdf" TargetMode="External"/><Relationship Id="rId24" Type="http://schemas.openxmlformats.org/officeDocument/2006/relationships/hyperlink" Target="https://fra.europa.eu/sites/default/files/fra_uploads/fra-2019-migration-bulletin-2_en.pdf" TargetMode="External"/><Relationship Id="rId40" Type="http://schemas.openxmlformats.org/officeDocument/2006/relationships/hyperlink" Target="https://fra.europa.eu/sites/default/files/fra_uploads/fra-2019-migration-bulletin-3_en.pdf" TargetMode="External"/><Relationship Id="rId45" Type="http://schemas.openxmlformats.org/officeDocument/2006/relationships/hyperlink" Target="https://fra.europa.eu/sites/default/files/fra_uploads/fra-2018-experiences-and-perceptions-of-antisemitism-survey_en.pdf" TargetMode="External"/><Relationship Id="rId66" Type="http://schemas.openxmlformats.org/officeDocument/2006/relationships/hyperlink" Target="https://fra.europa.eu/sites/default/files/fra_uploads/fra-2017-together-in-the-eu_en.pdf" TargetMode="External"/><Relationship Id="rId87" Type="http://schemas.openxmlformats.org/officeDocument/2006/relationships/hyperlink" Target="https://fra.europa.eu/sites/default/files/fra_uploads/fra-2018-fundamental-rights-report-2018_en.pdf" TargetMode="External"/><Relationship Id="rId110" Type="http://schemas.openxmlformats.org/officeDocument/2006/relationships/fontTable" Target="fontTable.xml"/><Relationship Id="rId61" Type="http://schemas.openxmlformats.org/officeDocument/2006/relationships/hyperlink" Target="https://fra.europa.eu/sites/default/files/fra_uploads/fra-2017-eu-minorities-survey-muslims-selected-findings_en.pdf" TargetMode="External"/><Relationship Id="rId82" Type="http://schemas.openxmlformats.org/officeDocument/2006/relationships/hyperlink" Target="https://fra.europa.eu/sites/default/files/fra_uploads/fra-2019-fundamental-rights-report-2019_en.pdf" TargetMode="External"/><Relationship Id="rId19" Type="http://schemas.openxmlformats.org/officeDocument/2006/relationships/hyperlink" Target="https://fra.europa.eu/sites/default/files/fra_uploads/fra-2019-migration-bulletin-3_en.pdf" TargetMode="External"/><Relationship Id="rId14" Type="http://schemas.openxmlformats.org/officeDocument/2006/relationships/hyperlink" Target="https://fra.europa.eu/sites/default/files/fra_uploads/fra-2019-business-and-human-rights-focus_en.pdf" TargetMode="External"/><Relationship Id="rId30" Type="http://schemas.openxmlformats.org/officeDocument/2006/relationships/hyperlink" Target="https://fra.europa.eu/sites/default/files/fra_uploads/fra-2019-fundamental-rights-report-2019_en.pdf" TargetMode="External"/><Relationship Id="rId35" Type="http://schemas.openxmlformats.org/officeDocument/2006/relationships/hyperlink" Target="https://fra.europa.eu/sites/default/files/fra_uploads/fra-2018-fundamental-rights-report-2018_en.pdf" TargetMode="External"/><Relationship Id="rId56" Type="http://schemas.openxmlformats.org/officeDocument/2006/relationships/hyperlink" Target="https://fra.europa.eu/sites/default/files/fra_uploads/fra-2017-eu-minorities-survey-muslims-selected-findings_en.pdf" TargetMode="External"/><Relationship Id="rId77" Type="http://schemas.openxmlformats.org/officeDocument/2006/relationships/hyperlink" Target="https://fra.europa.eu/sites/default/files/fra_uploads/fra-2019-severe-labour-exploitation-workers-perspectives_en.pdf" TargetMode="External"/><Relationship Id="rId100" Type="http://schemas.openxmlformats.org/officeDocument/2006/relationships/hyperlink" Target="https://fra.europa.eu/sites/default/files/fra_uploads/fra-2018-experiences-and-perceptions-of-antisemitism-survey_en.pdf" TargetMode="External"/><Relationship Id="rId105" Type="http://schemas.openxmlformats.org/officeDocument/2006/relationships/hyperlink" Target="https://fra.europa.eu/sites/default/files/fra_uploads/fra-2019-severe-labour-exploitation-workers-perspectives_en.pdf" TargetMode="External"/><Relationship Id="rId8" Type="http://schemas.openxmlformats.org/officeDocument/2006/relationships/hyperlink" Target="https://fra.europa.eu/sites/default/files/fra_uploads/fra-2019-eu-midis-ii-summary-results-country-sheet-belgium_en.pdf" TargetMode="External"/><Relationship Id="rId51" Type="http://schemas.openxmlformats.org/officeDocument/2006/relationships/hyperlink" Target="https://fra.europa.eu/sites/default/files/fra_uploads/fra-2018-experiences-and-perceptions-of-antisemitism-survey_en.pdf" TargetMode="External"/><Relationship Id="rId72" Type="http://schemas.openxmlformats.org/officeDocument/2006/relationships/hyperlink" Target="https://fra.europa.eu/sites/default/files/fra_uploads/fra-2019-severe-labour-exploitation-workers-perspectives_en.pdf" TargetMode="External"/><Relationship Id="rId93" Type="http://schemas.openxmlformats.org/officeDocument/2006/relationships/hyperlink" Target="https://fra.europa.eu/sites/default/files/fra_uploads/fra-2018-fundamental-rights-report-2018_en.pdf" TargetMode="External"/><Relationship Id="rId98" Type="http://schemas.openxmlformats.org/officeDocument/2006/relationships/hyperlink" Target="https://fra.europa.eu/sites/default/files/fra_uploads/fra-2018-fundamental-rights-report-2018_en.pdf" TargetMode="External"/><Relationship Id="rId3" Type="http://schemas.openxmlformats.org/officeDocument/2006/relationships/styles" Target="styles.xml"/><Relationship Id="rId25" Type="http://schemas.openxmlformats.org/officeDocument/2006/relationships/hyperlink" Target="https://fra.europa.eu/sites/default/files/fra_uploads/fra-2019-migration-bulletin-1_en.pdf" TargetMode="External"/><Relationship Id="rId46" Type="http://schemas.openxmlformats.org/officeDocument/2006/relationships/hyperlink" Target="https://fra.europa.eu/sites/default/files/fra_uploads/fra-2018-experiences-and-perceptions-of-antisemitism-survey_en.pdf" TargetMode="External"/><Relationship Id="rId67" Type="http://schemas.openxmlformats.org/officeDocument/2006/relationships/hyperlink" Target="https://fra.europa.eu/sites/default/files/fra_uploads/fra-2018-protecting-migrant-workers-boosting-inspections_en.pdf" TargetMode="External"/><Relationship Id="rId20" Type="http://schemas.openxmlformats.org/officeDocument/2006/relationships/hyperlink" Target="https://fra.europa.eu/sites/default/files/fra_uploads/fra-2019-migration-bulletin-3_en.pdf" TargetMode="External"/><Relationship Id="rId41" Type="http://schemas.openxmlformats.org/officeDocument/2006/relationships/hyperlink" Target="https://fra.europa.eu/sites/default/files/fra_uploads/fra-2019-migration-bulletin-3_en.pdf" TargetMode="External"/><Relationship Id="rId62" Type="http://schemas.openxmlformats.org/officeDocument/2006/relationships/hyperlink" Target="https://fra.europa.eu/sites/default/files/fra_uploads/fra-2019-fundamental-rights-report-2019_en.pdf" TargetMode="External"/><Relationship Id="rId83" Type="http://schemas.openxmlformats.org/officeDocument/2006/relationships/hyperlink" Target="https://fra.europa.eu/sites/default/files/fra_uploads/fra-2019-fundamental-rights-report-2019_en.pdf" TargetMode="External"/><Relationship Id="rId88" Type="http://schemas.openxmlformats.org/officeDocument/2006/relationships/hyperlink" Target="https://fra.europa.eu/sites/default/files/fra_uploads/fra-2019-fundamental-rights-report-2019_en.pdf"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B97679-2D82-4BC4-9066-C1F4B398942C}">
  <ds:schemaRefs>
    <ds:schemaRef ds:uri="http://schemas.openxmlformats.org/officeDocument/2006/bibliography"/>
  </ds:schemaRefs>
</ds:datastoreItem>
</file>

<file path=customXml/itemProps2.xml><?xml version="1.0" encoding="utf-8"?>
<ds:datastoreItem xmlns:ds="http://schemas.openxmlformats.org/officeDocument/2006/customXml" ds:itemID="{9EE7C3E1-B590-4F64-9C15-8035F53D2A29}"/>
</file>

<file path=customXml/itemProps3.xml><?xml version="1.0" encoding="utf-8"?>
<ds:datastoreItem xmlns:ds="http://schemas.openxmlformats.org/officeDocument/2006/customXml" ds:itemID="{54AE3B1A-D5BD-42EC-8D52-6647B449AAC8}"/>
</file>

<file path=customXml/itemProps4.xml><?xml version="1.0" encoding="utf-8"?>
<ds:datastoreItem xmlns:ds="http://schemas.openxmlformats.org/officeDocument/2006/customXml" ds:itemID="{AB913303-84DF-47A2-AD40-691764AFDD56}"/>
</file>

<file path=docProps/app.xml><?xml version="1.0" encoding="utf-8"?>
<Properties xmlns="http://schemas.openxmlformats.org/officeDocument/2006/extended-properties" xmlns:vt="http://schemas.openxmlformats.org/officeDocument/2006/docPropsVTypes">
  <Template>Normal.dotm</Template>
  <TotalTime>32</TotalTime>
  <Pages>13</Pages>
  <Words>8651</Words>
  <Characters>49314</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EU Agency for Fundamental Rights</Company>
  <LinksUpToDate>false</LinksUpToDate>
  <CharactersWithSpaces>57850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ZENTI Jacopo (FRA)</dc:creator>
  <cp:keywords/>
  <dc:description/>
  <cp:lastModifiedBy>GRIMHEDEN Jonas (FRA)</cp:lastModifiedBy>
  <cp:revision>7</cp:revision>
  <dcterms:created xsi:type="dcterms:W3CDTF">2020-01-24T08:35:00Z</dcterms:created>
  <dcterms:modified xsi:type="dcterms:W3CDTF">2020-01-24T09:08:00Z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