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FE1AD" w14:textId="64C716C2" w:rsidR="00CB78DD" w:rsidRPr="001F3336" w:rsidRDefault="009F7370" w:rsidP="00543BEF">
      <w:pPr>
        <w:spacing w:line="360" w:lineRule="auto"/>
        <w:jc w:val="center"/>
        <w:rPr>
          <w:rFonts w:asciiTheme="majorBidi" w:hAnsiTheme="majorBidi" w:cstheme="majorBidi"/>
          <w:b/>
          <w:bCs/>
          <w:sz w:val="24"/>
          <w:szCs w:val="24"/>
          <w:lang w:val="en-US"/>
        </w:rPr>
      </w:pPr>
      <w:r w:rsidRPr="001F3336">
        <w:rPr>
          <w:rFonts w:asciiTheme="majorBidi" w:hAnsiTheme="majorBidi" w:cstheme="majorBidi"/>
          <w:b/>
          <w:bCs/>
          <w:sz w:val="32"/>
          <w:szCs w:val="32"/>
          <w:lang w:val="en-US"/>
        </w:rPr>
        <w:t xml:space="preserve">Zagros </w:t>
      </w:r>
      <w:r w:rsidR="00543BEF" w:rsidRPr="001F3336">
        <w:rPr>
          <w:rFonts w:asciiTheme="majorBidi" w:hAnsiTheme="majorBidi" w:cstheme="majorBidi"/>
          <w:b/>
          <w:bCs/>
          <w:sz w:val="32"/>
          <w:szCs w:val="32"/>
          <w:lang w:val="en-US"/>
        </w:rPr>
        <w:t>Human Rights Center</w:t>
      </w:r>
      <w:r w:rsidRPr="001F3336">
        <w:rPr>
          <w:rFonts w:asciiTheme="majorBidi" w:hAnsiTheme="majorBidi" w:cstheme="majorBidi"/>
          <w:b/>
          <w:bCs/>
          <w:sz w:val="32"/>
          <w:szCs w:val="32"/>
          <w:lang w:val="en-US"/>
        </w:rPr>
        <w:t xml:space="preserve"> Report</w:t>
      </w:r>
      <w:r w:rsidRPr="001F3336">
        <w:rPr>
          <w:rFonts w:asciiTheme="majorBidi" w:hAnsiTheme="majorBidi" w:cstheme="majorBidi"/>
          <w:sz w:val="24"/>
          <w:szCs w:val="24"/>
          <w:lang w:val="en-US"/>
        </w:rPr>
        <w:br/>
        <w:t>29th Session of the Committee on Enforced Disappearances (CED) – 22 Sept 2025 to 03 Oct 2025</w:t>
      </w:r>
      <w:r w:rsidRPr="001F3336">
        <w:rPr>
          <w:rFonts w:asciiTheme="majorBidi" w:hAnsiTheme="majorBidi" w:cstheme="majorBidi"/>
          <w:sz w:val="24"/>
          <w:szCs w:val="24"/>
          <w:lang w:val="en-US"/>
        </w:rPr>
        <w:br/>
      </w:r>
      <w:r w:rsidRPr="001F3336">
        <w:rPr>
          <w:rFonts w:asciiTheme="majorBidi" w:hAnsiTheme="majorBidi" w:cstheme="majorBidi"/>
          <w:b/>
          <w:bCs/>
          <w:sz w:val="24"/>
          <w:szCs w:val="24"/>
          <w:lang w:val="en-US"/>
        </w:rPr>
        <w:t>Situation Report on Enforced Disappearances in Iraq</w:t>
      </w:r>
    </w:p>
    <w:p w14:paraId="35344C3F" w14:textId="77777777" w:rsidR="009F7370" w:rsidRPr="001F3336" w:rsidRDefault="009F7370" w:rsidP="009F7370">
      <w:pPr>
        <w:jc w:val="both"/>
        <w:rPr>
          <w:rFonts w:asciiTheme="majorBidi" w:hAnsiTheme="majorBidi" w:cstheme="majorBidi"/>
          <w:b/>
          <w:bCs/>
          <w:sz w:val="24"/>
          <w:szCs w:val="24"/>
          <w:lang w:val="en-US"/>
        </w:rPr>
      </w:pPr>
    </w:p>
    <w:p w14:paraId="28EC7136" w14:textId="77777777" w:rsidR="009F7370" w:rsidRPr="009F7370" w:rsidRDefault="009F7370" w:rsidP="009F7370">
      <w:pPr>
        <w:jc w:val="both"/>
        <w:rPr>
          <w:rFonts w:asciiTheme="majorBidi" w:hAnsiTheme="majorBidi" w:cstheme="majorBidi"/>
          <w:b/>
          <w:bCs/>
          <w:sz w:val="24"/>
          <w:szCs w:val="24"/>
          <w:lang w:val="en-US"/>
        </w:rPr>
      </w:pPr>
      <w:r w:rsidRPr="009F7370">
        <w:rPr>
          <w:rFonts w:asciiTheme="majorBidi" w:hAnsiTheme="majorBidi" w:cstheme="majorBidi"/>
          <w:b/>
          <w:bCs/>
          <w:sz w:val="24"/>
          <w:szCs w:val="24"/>
          <w:lang w:val="en-US"/>
        </w:rPr>
        <w:t>Context and International Obligations</w:t>
      </w:r>
    </w:p>
    <w:p w14:paraId="11BFF88A"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Iraq ratified the International Convention for the Protection of All Persons from Enforced Disappearance (adopted in 2006) in 2010 (Law No. 17, 2010), thereby committing to end this “crime against humanity” (1). The 2005 Iraqi Constitution prohibits arbitrary detention, and the 1969 Penal Code criminalizes murder and kidnapping (2). However, no specific provision defines enforced disappearance as a standalone offense. The 2005 Anti-Terrorism Law imposes the death penalty for certain politically motivated kidnappings, but “these provisions do not fully encompass the nature of enforced disappearance,” and “legislative strengthening is necessary” (3). As of today, Iraq has not accepted the Optional Protocol (individual communications mechanism) to the Convention, limiting victims’ access to remedies (4).</w:t>
      </w:r>
    </w:p>
    <w:p w14:paraId="0CAE8A65" w14:textId="01FE4EBF" w:rsidR="009F7370" w:rsidRPr="009F7370" w:rsidRDefault="009F7370" w:rsidP="009F7370">
      <w:pPr>
        <w:jc w:val="both"/>
        <w:rPr>
          <w:rFonts w:asciiTheme="majorBidi" w:hAnsiTheme="majorBidi" w:cstheme="majorBidi"/>
          <w:sz w:val="24"/>
          <w:szCs w:val="24"/>
          <w:lang w:val="en-US"/>
        </w:rPr>
      </w:pPr>
    </w:p>
    <w:p w14:paraId="1F000A61" w14:textId="77777777" w:rsidR="009F7370" w:rsidRPr="009F7370" w:rsidRDefault="009F7370" w:rsidP="009F7370">
      <w:pPr>
        <w:jc w:val="both"/>
        <w:rPr>
          <w:rFonts w:asciiTheme="majorBidi" w:hAnsiTheme="majorBidi" w:cstheme="majorBidi"/>
          <w:b/>
          <w:bCs/>
          <w:sz w:val="24"/>
          <w:szCs w:val="24"/>
          <w:lang w:val="en-US"/>
        </w:rPr>
      </w:pPr>
      <w:r w:rsidRPr="009F7370">
        <w:rPr>
          <w:rFonts w:asciiTheme="majorBidi" w:hAnsiTheme="majorBidi" w:cstheme="majorBidi"/>
          <w:b/>
          <w:bCs/>
          <w:sz w:val="24"/>
          <w:szCs w:val="24"/>
          <w:lang w:val="en-US"/>
        </w:rPr>
        <w:t>Development of the National Framework (2004–2024)</w:t>
      </w:r>
    </w:p>
    <w:p w14:paraId="5F9ADBDD"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In the immediate post-Saddam period (post-2003), Iraq had to address the massive legacy of enforced disappearances from the dictatorship era (e.g., approximately 100,000 Kurds disappeared during the Anfal campaign). During the political transition (2004–2010), few new measures were adopted to combat enforced disappearance: no effective mechanism was created, and the issue was mostly addressed in terms of war-related missing persons or “Anfal” victims. Access to justice remained limited. In 2010, Iraq ratified the Convention on Enforced Disappearances, which triggered the obligation to develop an adequate legal framework.</w:t>
      </w:r>
    </w:p>
    <w:p w14:paraId="52F1A911"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Following ratification, both State reports and the Committee on Enforced Disappearances (CED) highlighted the lack of specific criminal legislation. Iraq’s first periodic report (submitted in 2014) led to a review in 2015. The CED’s Concluding Observations (2015) stressed that the State had still not criminalized enforced disappearance as such, despite the general constitutional definition. The Committee regretted that only general crimes of murder and kidnapping were punishable, with no explicit reference to the “refusal to acknowledge the deprivation of liberty,” which is a key element of enforced disappearance (Article 2 of the Convention) (5). Noting widespread impunity, the Committee called for independent investigations and the establishment of a dedicated search mechanism.</w:t>
      </w:r>
    </w:p>
    <w:p w14:paraId="1BEFCDB7"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In 2016, the State responded with a follow-up report (CED/C/IRQ/CO/1/Add.1) and submitted a draft law on enforced disappearances to Parliament in 2017. This initial draft, developed by the Parliamentary Human Rights Commission, represented progress (alignment with the Convention’s definition) but also had major gaps (e.g., no specific sanctions for non-state actors, no mechanisms for search or reparations) (6). Several readings of the bill were held, but it has not yet been adopted, largely due to political instability and the change of government at the end of 2019.</w:t>
      </w:r>
    </w:p>
    <w:p w14:paraId="59B3A578" w14:textId="77777777" w:rsidR="009F7370" w:rsidRPr="001F3336"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lastRenderedPageBreak/>
        <w:t xml:space="preserve">Meanwhile, sectoral reforms </w:t>
      </w:r>
      <w:proofErr w:type="gramStart"/>
      <w:r w:rsidRPr="009F7370">
        <w:rPr>
          <w:rFonts w:asciiTheme="majorBidi" w:hAnsiTheme="majorBidi" w:cstheme="majorBidi"/>
          <w:sz w:val="24"/>
          <w:szCs w:val="24"/>
          <w:lang w:val="en-US"/>
        </w:rPr>
        <w:t>lagged behind</w:t>
      </w:r>
      <w:proofErr w:type="gramEnd"/>
      <w:r w:rsidRPr="009F7370">
        <w:rPr>
          <w:rFonts w:asciiTheme="majorBidi" w:hAnsiTheme="majorBidi" w:cstheme="majorBidi"/>
          <w:sz w:val="24"/>
          <w:szCs w:val="24"/>
          <w:lang w:val="en-US"/>
        </w:rPr>
        <w:t>: Iraq did not strengthen its judiciary or enforce legal guarantees such as access to a lawyer within 24 hours of arrest (7). Iraqi security forces and affiliated militias have rarely been prosecuted for enforced disappearances, despite having carried out numerous unlawful arrests since 2003.</w:t>
      </w:r>
    </w:p>
    <w:p w14:paraId="5437A192" w14:textId="77777777" w:rsidR="0023089B" w:rsidRPr="009F7370" w:rsidRDefault="0023089B" w:rsidP="009F7370">
      <w:pPr>
        <w:jc w:val="both"/>
        <w:rPr>
          <w:rFonts w:asciiTheme="majorBidi" w:hAnsiTheme="majorBidi" w:cstheme="majorBidi"/>
          <w:sz w:val="24"/>
          <w:szCs w:val="24"/>
          <w:lang w:val="en-US"/>
        </w:rPr>
      </w:pPr>
    </w:p>
    <w:p w14:paraId="337E99FB" w14:textId="77777777" w:rsidR="009F7370" w:rsidRPr="009F7370" w:rsidRDefault="009F7370" w:rsidP="009F7370">
      <w:pPr>
        <w:jc w:val="both"/>
        <w:rPr>
          <w:rFonts w:asciiTheme="majorBidi" w:hAnsiTheme="majorBidi" w:cstheme="majorBidi"/>
          <w:b/>
          <w:bCs/>
          <w:sz w:val="24"/>
          <w:szCs w:val="24"/>
          <w:lang w:val="en-US"/>
        </w:rPr>
      </w:pPr>
      <w:r w:rsidRPr="009F7370">
        <w:rPr>
          <w:rFonts w:asciiTheme="majorBidi" w:hAnsiTheme="majorBidi" w:cstheme="majorBidi"/>
          <w:b/>
          <w:bCs/>
          <w:sz w:val="24"/>
          <w:szCs w:val="24"/>
          <w:lang w:val="en-US"/>
        </w:rPr>
        <w:t>Disappearances in Conflict and Among Minorities</w:t>
      </w:r>
    </w:p>
    <w:p w14:paraId="1AE5F240"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 xml:space="preserve">Internal conflicts have significantly increased cases of enforced disappearances. Under the occupation by the Islamic State (2014–2017), thousands of Iraqis were abducted. Victims were often civilians taken during liberation campaigns: the army and allied Popular Mobilization Units (PMUs) conducted massive arrests, often without warrants, targeting </w:t>
      </w:r>
      <w:proofErr w:type="gramStart"/>
      <w:r w:rsidRPr="009F7370">
        <w:rPr>
          <w:rFonts w:asciiTheme="majorBidi" w:hAnsiTheme="majorBidi" w:cstheme="majorBidi"/>
          <w:sz w:val="24"/>
          <w:szCs w:val="24"/>
          <w:lang w:val="en-US"/>
        </w:rPr>
        <w:t>in particular Sunni</w:t>
      </w:r>
      <w:proofErr w:type="gramEnd"/>
      <w:r w:rsidRPr="009F7370">
        <w:rPr>
          <w:rFonts w:asciiTheme="majorBidi" w:hAnsiTheme="majorBidi" w:cstheme="majorBidi"/>
          <w:sz w:val="24"/>
          <w:szCs w:val="24"/>
          <w:lang w:val="en-US"/>
        </w:rPr>
        <w:t xml:space="preserve"> men. The IHCHR (Iraqi High Commission for Human Rights) reported that 7,663 people were reported missing in the three years preceding mid-2019 (8).</w:t>
      </w:r>
    </w:p>
    <w:p w14:paraId="028B4058" w14:textId="77777777" w:rsidR="009F7370" w:rsidRPr="009F7370"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Minority communities have paid a heavy price: “minorities have been particularly affected, and 3,000 Yazidis remain missing.” It is estimated that about 1,000 Assyrian Christians and several hundred Shiite Turkmens were also abducted under Daesh control. The Kurdistan region, historically affected by the Anfal massacres, saw the trauma resurface: the liberation of Mosul (2017) revealed mass graves and secret detentions, underlining the urgent need for search and truth mechanisms.</w:t>
      </w:r>
    </w:p>
    <w:p w14:paraId="33302133" w14:textId="77777777" w:rsidR="009F7370" w:rsidRPr="001F3336" w:rsidRDefault="009F7370" w:rsidP="009F7370">
      <w:pPr>
        <w:jc w:val="both"/>
        <w:rPr>
          <w:rFonts w:asciiTheme="majorBidi" w:hAnsiTheme="majorBidi" w:cstheme="majorBidi"/>
          <w:sz w:val="24"/>
          <w:szCs w:val="24"/>
          <w:lang w:val="en-US"/>
        </w:rPr>
      </w:pPr>
      <w:r w:rsidRPr="009F7370">
        <w:rPr>
          <w:rFonts w:asciiTheme="majorBidi" w:hAnsiTheme="majorBidi" w:cstheme="majorBidi"/>
          <w:sz w:val="24"/>
          <w:szCs w:val="24"/>
          <w:lang w:val="en-US"/>
        </w:rPr>
        <w:t>More recently, the 2019–2020 civil uprising resulted in brutal repression. Anti-government protesters were subjected to killings, arbitrary arrests, and enforced disappearances. According to the UN’s special report on demonstrations in Iraq (2019), some activists “disappeared” in the months following their arrest by security forces. Over 600 protesters were killed in total (9). These events were condemned as a grave violation of civil rights and prompted Prime Minister Mustafa Al-</w:t>
      </w:r>
      <w:proofErr w:type="spellStart"/>
      <w:r w:rsidRPr="009F7370">
        <w:rPr>
          <w:rFonts w:asciiTheme="majorBidi" w:hAnsiTheme="majorBidi" w:cstheme="majorBidi"/>
          <w:sz w:val="24"/>
          <w:szCs w:val="24"/>
          <w:lang w:val="en-US"/>
        </w:rPr>
        <w:t>Kadhimi</w:t>
      </w:r>
      <w:proofErr w:type="spellEnd"/>
      <w:r w:rsidRPr="009F7370">
        <w:rPr>
          <w:rFonts w:asciiTheme="majorBidi" w:hAnsiTheme="majorBidi" w:cstheme="majorBidi"/>
          <w:sz w:val="24"/>
          <w:szCs w:val="24"/>
          <w:lang w:val="en-US"/>
        </w:rPr>
        <w:t xml:space="preserve"> (in office since May 2020) to publicly commit to ending impunity and strengthening the rule of law (10).</w:t>
      </w:r>
    </w:p>
    <w:p w14:paraId="51ED91B6" w14:textId="77777777" w:rsidR="0023089B" w:rsidRPr="009F7370" w:rsidRDefault="0023089B" w:rsidP="009F7370">
      <w:pPr>
        <w:jc w:val="both"/>
        <w:rPr>
          <w:rFonts w:asciiTheme="majorBidi" w:hAnsiTheme="majorBidi" w:cstheme="majorBidi"/>
          <w:sz w:val="24"/>
          <w:szCs w:val="24"/>
          <w:lang w:val="en-US"/>
        </w:rPr>
      </w:pPr>
    </w:p>
    <w:p w14:paraId="21BC1589" w14:textId="77777777" w:rsidR="0023089B" w:rsidRPr="0023089B" w:rsidRDefault="0023089B" w:rsidP="0023089B">
      <w:pPr>
        <w:jc w:val="both"/>
        <w:rPr>
          <w:rFonts w:asciiTheme="majorBidi" w:hAnsiTheme="majorBidi" w:cstheme="majorBidi"/>
          <w:b/>
          <w:bCs/>
          <w:sz w:val="24"/>
          <w:szCs w:val="24"/>
          <w:lang w:val="en-US"/>
        </w:rPr>
      </w:pPr>
      <w:r w:rsidRPr="0023089B">
        <w:rPr>
          <w:rFonts w:asciiTheme="majorBidi" w:hAnsiTheme="majorBidi" w:cstheme="majorBidi"/>
          <w:b/>
          <w:bCs/>
          <w:sz w:val="24"/>
          <w:szCs w:val="24"/>
          <w:lang w:val="en-US"/>
        </w:rPr>
        <w:t>Implementation of the Convention: Gaps and Criticisms</w:t>
      </w:r>
    </w:p>
    <w:p w14:paraId="4792EA1B" w14:textId="77777777" w:rsidR="0023089B" w:rsidRPr="0023089B" w:rsidRDefault="0023089B" w:rsidP="0023089B">
      <w:pPr>
        <w:jc w:val="both"/>
        <w:rPr>
          <w:rFonts w:asciiTheme="majorBidi" w:hAnsiTheme="majorBidi" w:cstheme="majorBidi"/>
          <w:sz w:val="24"/>
          <w:szCs w:val="24"/>
          <w:lang w:val="en-US"/>
        </w:rPr>
      </w:pPr>
      <w:r w:rsidRPr="0023089B">
        <w:rPr>
          <w:rFonts w:asciiTheme="majorBidi" w:hAnsiTheme="majorBidi" w:cstheme="majorBidi"/>
          <w:sz w:val="24"/>
          <w:szCs w:val="24"/>
          <w:lang w:val="en-US"/>
        </w:rPr>
        <w:t xml:space="preserve">Over the past twenty years, Iraq’s policies have fluctuated between promises and inertia. The Iraqi government now acknowledges the issue of enforced disappearances (Prime Minister </w:t>
      </w:r>
      <w:proofErr w:type="spellStart"/>
      <w:r w:rsidRPr="0023089B">
        <w:rPr>
          <w:rFonts w:asciiTheme="majorBidi" w:hAnsiTheme="majorBidi" w:cstheme="majorBidi"/>
          <w:sz w:val="24"/>
          <w:szCs w:val="24"/>
          <w:lang w:val="en-US"/>
        </w:rPr>
        <w:t>Kadhimi</w:t>
      </w:r>
      <w:proofErr w:type="spellEnd"/>
      <w:r w:rsidRPr="0023089B">
        <w:rPr>
          <w:rFonts w:asciiTheme="majorBidi" w:hAnsiTheme="majorBidi" w:cstheme="majorBidi"/>
          <w:sz w:val="24"/>
          <w:szCs w:val="24"/>
          <w:lang w:val="en-US"/>
        </w:rPr>
        <w:t xml:space="preserve"> has formally announced a law against enforced disappearance</w:t>
      </w:r>
      <w:proofErr w:type="gramStart"/>
      <w:r w:rsidRPr="0023089B">
        <w:rPr>
          <w:rFonts w:asciiTheme="majorBidi" w:hAnsiTheme="majorBidi" w:cstheme="majorBidi"/>
          <w:sz w:val="24"/>
          <w:szCs w:val="24"/>
          <w:lang w:val="en-US"/>
        </w:rPr>
        <w:t>), but</w:t>
      </w:r>
      <w:proofErr w:type="gramEnd"/>
      <w:r w:rsidRPr="0023089B">
        <w:rPr>
          <w:rFonts w:asciiTheme="majorBidi" w:hAnsiTheme="majorBidi" w:cstheme="majorBidi"/>
          <w:sz w:val="24"/>
          <w:szCs w:val="24"/>
          <w:lang w:val="en-US"/>
        </w:rPr>
        <w:t xml:space="preserve"> struggles to implement concrete measures. In practice, judicial investigations remain rare, perpetrators (whether state forces or militias) are almost systematically spared, and families obtain neither truth nor genuine reparations. The absence of a centralized and independent search mechanism is glaring: the State has not established a national register of detainees and missing </w:t>
      </w:r>
      <w:proofErr w:type="gramStart"/>
      <w:r w:rsidRPr="0023089B">
        <w:rPr>
          <w:rFonts w:asciiTheme="majorBidi" w:hAnsiTheme="majorBidi" w:cstheme="majorBidi"/>
          <w:sz w:val="24"/>
          <w:szCs w:val="24"/>
          <w:lang w:val="en-US"/>
        </w:rPr>
        <w:t>persons</w:t>
      </w:r>
      <w:proofErr w:type="gramEnd"/>
      <w:r w:rsidRPr="0023089B">
        <w:rPr>
          <w:rFonts w:asciiTheme="majorBidi" w:hAnsiTheme="majorBidi" w:cstheme="majorBidi"/>
          <w:sz w:val="24"/>
          <w:szCs w:val="24"/>
          <w:lang w:val="en-US"/>
        </w:rPr>
        <w:t xml:space="preserve">, nor a clear procedure to record all cases as required by Article 24 of the Convention (11). On the contrary, numerous informal detention sites still exist. According to NGOs, a national mechanism to search for disappeared persons “must be established and equipped with resources that match the scale of the task” (12). Human rights institutions (IHCHR, advisory commissions) have denounced the situation, but their recommendations lack implementation. Ultimately, Iraq remains “below its obligations under the Convention” due to the absence of adequate criminal legislation and sufficient political will. The CED’s conclusions (2015) and the 2020 “addendum” stress the need for specific legislation and effective investigations. Their impact remains limited, and the use of the death penalty for abductions </w:t>
      </w:r>
      <w:r w:rsidRPr="0023089B">
        <w:rPr>
          <w:rFonts w:asciiTheme="majorBidi" w:hAnsiTheme="majorBidi" w:cstheme="majorBidi"/>
          <w:sz w:val="24"/>
          <w:szCs w:val="24"/>
          <w:lang w:val="en-US"/>
        </w:rPr>
        <w:lastRenderedPageBreak/>
        <w:t>(as included in the draft law) runs counter to international standards on the progressive abolition of capital punishment (13).</w:t>
      </w:r>
    </w:p>
    <w:p w14:paraId="0716388D" w14:textId="77777777" w:rsidR="0023089B" w:rsidRPr="001F3336" w:rsidRDefault="0023089B" w:rsidP="0023089B">
      <w:pPr>
        <w:jc w:val="both"/>
        <w:rPr>
          <w:rFonts w:asciiTheme="majorBidi" w:hAnsiTheme="majorBidi" w:cstheme="majorBidi"/>
          <w:sz w:val="24"/>
          <w:szCs w:val="24"/>
        </w:rPr>
      </w:pPr>
    </w:p>
    <w:p w14:paraId="33A1831D" w14:textId="552EFFBF" w:rsidR="0023089B" w:rsidRPr="0023089B" w:rsidRDefault="0023089B" w:rsidP="0023089B">
      <w:pPr>
        <w:jc w:val="both"/>
        <w:rPr>
          <w:rFonts w:asciiTheme="majorBidi" w:hAnsiTheme="majorBidi" w:cstheme="majorBidi"/>
          <w:b/>
          <w:bCs/>
          <w:sz w:val="24"/>
          <w:szCs w:val="24"/>
          <w:lang w:val="en-US"/>
        </w:rPr>
      </w:pPr>
      <w:r w:rsidRPr="0023089B">
        <w:rPr>
          <w:rFonts w:asciiTheme="majorBidi" w:hAnsiTheme="majorBidi" w:cstheme="majorBidi"/>
          <w:b/>
          <w:bCs/>
          <w:sz w:val="24"/>
          <w:szCs w:val="24"/>
          <w:lang w:val="en-US"/>
        </w:rPr>
        <w:t>Zagros Center Recommendations</w:t>
      </w:r>
    </w:p>
    <w:p w14:paraId="562FB657" w14:textId="77777777" w:rsidR="0023089B" w:rsidRPr="0023089B" w:rsidRDefault="0023089B" w:rsidP="0023089B">
      <w:pPr>
        <w:jc w:val="both"/>
        <w:rPr>
          <w:rFonts w:asciiTheme="majorBidi" w:hAnsiTheme="majorBidi" w:cstheme="majorBidi"/>
          <w:sz w:val="24"/>
          <w:szCs w:val="24"/>
          <w:lang w:val="en-US"/>
        </w:rPr>
      </w:pPr>
      <w:r w:rsidRPr="0023089B">
        <w:rPr>
          <w:rFonts w:asciiTheme="majorBidi" w:hAnsiTheme="majorBidi" w:cstheme="majorBidi"/>
          <w:sz w:val="24"/>
          <w:szCs w:val="24"/>
          <w:lang w:val="en-US"/>
        </w:rPr>
        <w:t>To address the shortcomings identified and align Iraq with the Convention, the Zagros Center specifically recommends:</w:t>
      </w:r>
    </w:p>
    <w:p w14:paraId="7F731A64" w14:textId="77777777" w:rsidR="0023089B" w:rsidRPr="0023089B" w:rsidRDefault="0023089B" w:rsidP="0023089B">
      <w:pPr>
        <w:numPr>
          <w:ilvl w:val="0"/>
          <w:numId w:val="1"/>
        </w:numPr>
        <w:jc w:val="both"/>
        <w:rPr>
          <w:rFonts w:asciiTheme="majorBidi" w:hAnsiTheme="majorBidi" w:cstheme="majorBidi"/>
          <w:sz w:val="24"/>
          <w:szCs w:val="24"/>
          <w:lang w:val="en-US"/>
        </w:rPr>
      </w:pPr>
      <w:r w:rsidRPr="0023089B">
        <w:rPr>
          <w:rFonts w:asciiTheme="majorBidi" w:hAnsiTheme="majorBidi" w:cstheme="majorBidi"/>
          <w:b/>
          <w:bCs/>
          <w:sz w:val="24"/>
          <w:szCs w:val="24"/>
          <w:lang w:val="en-US"/>
        </w:rPr>
        <w:t>Adopt without delay a specific law on enforced disappearance</w:t>
      </w:r>
      <w:r w:rsidRPr="0023089B">
        <w:rPr>
          <w:rFonts w:asciiTheme="majorBidi" w:hAnsiTheme="majorBidi" w:cstheme="majorBidi"/>
          <w:sz w:val="24"/>
          <w:szCs w:val="24"/>
          <w:lang w:val="en-US"/>
        </w:rPr>
        <w:t>, defining it as a standalone offense fully aligned with the Convention. The law should include the refusal to acknowledge deprivation of liberty, cover acts by both state agents and armed groups, and exclude the use of the death penalty (prosecutions for past dictatorship crimes should not rely solely on “non-prescription”) (14).</w:t>
      </w:r>
    </w:p>
    <w:p w14:paraId="7DC87904" w14:textId="77777777" w:rsidR="0023089B" w:rsidRPr="0023089B" w:rsidRDefault="0023089B" w:rsidP="0023089B">
      <w:pPr>
        <w:numPr>
          <w:ilvl w:val="0"/>
          <w:numId w:val="1"/>
        </w:numPr>
        <w:jc w:val="both"/>
        <w:rPr>
          <w:rFonts w:asciiTheme="majorBidi" w:hAnsiTheme="majorBidi" w:cstheme="majorBidi"/>
          <w:sz w:val="24"/>
          <w:szCs w:val="24"/>
          <w:lang w:val="en-US"/>
        </w:rPr>
      </w:pPr>
      <w:r w:rsidRPr="0023089B">
        <w:rPr>
          <w:rFonts w:asciiTheme="majorBidi" w:hAnsiTheme="majorBidi" w:cstheme="majorBidi"/>
          <w:b/>
          <w:bCs/>
          <w:sz w:val="24"/>
          <w:szCs w:val="24"/>
          <w:lang w:val="en-US"/>
        </w:rPr>
        <w:t>Create a specialized judicial body</w:t>
      </w:r>
      <w:r w:rsidRPr="0023089B">
        <w:rPr>
          <w:rFonts w:asciiTheme="majorBidi" w:hAnsiTheme="majorBidi" w:cstheme="majorBidi"/>
          <w:sz w:val="24"/>
          <w:szCs w:val="24"/>
          <w:lang w:val="en-US"/>
        </w:rPr>
        <w:t xml:space="preserve"> (units or dedicated jurisdictions) to systematically investigate and prosecute enforced disappearances, regardless of the responsible party (State, militias, or third actors). Guarantees must include prompt appearance before a judge, access to a lawyer, and the closure of clandestine detention centers (15).</w:t>
      </w:r>
    </w:p>
    <w:p w14:paraId="0ED7970D" w14:textId="77777777" w:rsidR="0023089B" w:rsidRPr="0023089B" w:rsidRDefault="0023089B" w:rsidP="0023089B">
      <w:pPr>
        <w:numPr>
          <w:ilvl w:val="0"/>
          <w:numId w:val="1"/>
        </w:numPr>
        <w:jc w:val="both"/>
        <w:rPr>
          <w:rFonts w:asciiTheme="majorBidi" w:hAnsiTheme="majorBidi" w:cstheme="majorBidi"/>
          <w:sz w:val="24"/>
          <w:szCs w:val="24"/>
          <w:lang w:val="en-US"/>
        </w:rPr>
      </w:pPr>
      <w:r w:rsidRPr="0023089B">
        <w:rPr>
          <w:rFonts w:asciiTheme="majorBidi" w:hAnsiTheme="majorBidi" w:cstheme="majorBidi"/>
          <w:b/>
          <w:bCs/>
          <w:sz w:val="24"/>
          <w:szCs w:val="24"/>
          <w:lang w:val="en-US"/>
        </w:rPr>
        <w:t>Recognize and compensate victims</w:t>
      </w:r>
      <w:r w:rsidRPr="0023089B">
        <w:rPr>
          <w:rFonts w:asciiTheme="majorBidi" w:hAnsiTheme="majorBidi" w:cstheme="majorBidi"/>
          <w:sz w:val="24"/>
          <w:szCs w:val="24"/>
          <w:lang w:val="en-US"/>
        </w:rPr>
        <w:t>, including satisfaction and the right to truth. The legislation must provide for all forms of reparation (restitution, rehabilitation, symbolic redress), and oblige authorities to promptly search for the disappeared, return remains, or issue death certificates, in accordance with Article 24 of the Convention (16).</w:t>
      </w:r>
    </w:p>
    <w:p w14:paraId="7FCA864A" w14:textId="77777777" w:rsidR="0023089B" w:rsidRPr="0023089B" w:rsidRDefault="0023089B" w:rsidP="0023089B">
      <w:pPr>
        <w:numPr>
          <w:ilvl w:val="0"/>
          <w:numId w:val="1"/>
        </w:numPr>
        <w:jc w:val="both"/>
        <w:rPr>
          <w:rFonts w:asciiTheme="majorBidi" w:hAnsiTheme="majorBidi" w:cstheme="majorBidi"/>
          <w:sz w:val="24"/>
          <w:szCs w:val="24"/>
          <w:lang w:val="en-US"/>
        </w:rPr>
      </w:pPr>
      <w:r w:rsidRPr="0023089B">
        <w:rPr>
          <w:rFonts w:asciiTheme="majorBidi" w:hAnsiTheme="majorBidi" w:cstheme="majorBidi"/>
          <w:b/>
          <w:bCs/>
          <w:sz w:val="24"/>
          <w:szCs w:val="24"/>
          <w:lang w:val="en-US"/>
        </w:rPr>
        <w:t>Strengthen the capacity of national institutions</w:t>
      </w:r>
      <w:r w:rsidRPr="0023089B">
        <w:rPr>
          <w:rFonts w:asciiTheme="majorBidi" w:hAnsiTheme="majorBidi" w:cstheme="majorBidi"/>
          <w:sz w:val="24"/>
          <w:szCs w:val="24"/>
          <w:lang w:val="en-US"/>
        </w:rPr>
        <w:t>: grant the IHCHR and NGOs access to detention facilities, establish a central register of detainees and missing persons accessible to legitimate families, and authorize international follow-up visits (UN, CED) (17).</w:t>
      </w:r>
    </w:p>
    <w:p w14:paraId="178ECA68" w14:textId="77777777" w:rsidR="0023089B" w:rsidRPr="0023089B" w:rsidRDefault="0023089B" w:rsidP="0023089B">
      <w:pPr>
        <w:numPr>
          <w:ilvl w:val="0"/>
          <w:numId w:val="1"/>
        </w:numPr>
        <w:jc w:val="both"/>
        <w:rPr>
          <w:rFonts w:asciiTheme="majorBidi" w:hAnsiTheme="majorBidi" w:cstheme="majorBidi"/>
          <w:sz w:val="24"/>
          <w:szCs w:val="24"/>
          <w:lang w:val="en-US"/>
        </w:rPr>
      </w:pPr>
      <w:r w:rsidRPr="0023089B">
        <w:rPr>
          <w:rFonts w:asciiTheme="majorBidi" w:hAnsiTheme="majorBidi" w:cstheme="majorBidi"/>
          <w:b/>
          <w:bCs/>
          <w:sz w:val="24"/>
          <w:szCs w:val="24"/>
          <w:lang w:val="en-US"/>
        </w:rPr>
        <w:t>Ensure continuous political and legislative follow-up</w:t>
      </w:r>
      <w:r w:rsidRPr="0023089B">
        <w:rPr>
          <w:rFonts w:asciiTheme="majorBidi" w:hAnsiTheme="majorBidi" w:cstheme="majorBidi"/>
          <w:sz w:val="24"/>
          <w:szCs w:val="24"/>
          <w:lang w:val="en-US"/>
        </w:rPr>
        <w:t>: Iraq must regularly submit its reports, incorporate CED recommendations into domestic law (such as the effective repeal of martial law derogations), and provide targeted training for police, judicial authorities, and the military (Article 23 of the Convention) (18).</w:t>
      </w:r>
    </w:p>
    <w:p w14:paraId="5BF7C5A1" w14:textId="77777777" w:rsidR="0023089B" w:rsidRPr="0023089B" w:rsidRDefault="0023089B" w:rsidP="0023089B">
      <w:pPr>
        <w:jc w:val="both"/>
        <w:rPr>
          <w:rFonts w:asciiTheme="majorBidi" w:hAnsiTheme="majorBidi" w:cstheme="majorBidi"/>
          <w:sz w:val="24"/>
          <w:szCs w:val="24"/>
          <w:lang w:val="en-US"/>
        </w:rPr>
      </w:pPr>
      <w:r w:rsidRPr="0023089B">
        <w:rPr>
          <w:rFonts w:asciiTheme="majorBidi" w:hAnsiTheme="majorBidi" w:cstheme="majorBidi"/>
          <w:sz w:val="24"/>
          <w:szCs w:val="24"/>
          <w:lang w:val="en-US"/>
        </w:rPr>
        <w:t>These recommendations echo the conclusions of the UN Committee and expert reports. Their implementation—especially in the Kurdistan region and for minorities (Yazidis, Turkmens, etc.)—is crucial to ending impunity and enforced disappearances in Iraq.</w:t>
      </w:r>
    </w:p>
    <w:p w14:paraId="5854F4A3" w14:textId="77777777" w:rsidR="009F7370" w:rsidRPr="001F3336" w:rsidRDefault="009F7370" w:rsidP="009F7370">
      <w:pPr>
        <w:jc w:val="both"/>
        <w:rPr>
          <w:rFonts w:asciiTheme="majorBidi" w:hAnsiTheme="majorBidi" w:cstheme="majorBidi"/>
          <w:sz w:val="24"/>
          <w:szCs w:val="24"/>
          <w:lang w:val="en-US"/>
        </w:rPr>
      </w:pPr>
    </w:p>
    <w:p w14:paraId="7CFB1F5D" w14:textId="13A42754" w:rsidR="001F3336" w:rsidRPr="001F3336" w:rsidRDefault="001F3336" w:rsidP="001F3336">
      <w:pPr>
        <w:jc w:val="both"/>
        <w:rPr>
          <w:rFonts w:asciiTheme="majorBidi" w:hAnsiTheme="majorBidi" w:cstheme="majorBidi"/>
          <w:b/>
          <w:bCs/>
          <w:sz w:val="24"/>
          <w:szCs w:val="24"/>
        </w:rPr>
      </w:pPr>
      <w:proofErr w:type="spellStart"/>
      <w:r w:rsidRPr="001F3336">
        <w:rPr>
          <w:rFonts w:asciiTheme="majorBidi" w:hAnsiTheme="majorBidi" w:cstheme="majorBidi"/>
          <w:b/>
          <w:bCs/>
          <w:sz w:val="24"/>
          <w:szCs w:val="24"/>
        </w:rPr>
        <w:t>References</w:t>
      </w:r>
      <w:proofErr w:type="spellEnd"/>
      <w:r w:rsidR="00020B0E">
        <w:rPr>
          <w:rFonts w:asciiTheme="majorBidi" w:hAnsiTheme="majorBidi" w:cstheme="majorBidi"/>
          <w:b/>
          <w:bCs/>
          <w:sz w:val="24"/>
          <w:szCs w:val="24"/>
        </w:rPr>
        <w:t> :</w:t>
      </w:r>
    </w:p>
    <w:p w14:paraId="48EF3B14"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United Nations Treaty Collection. </w:t>
      </w:r>
      <w:r w:rsidRPr="001F3336">
        <w:rPr>
          <w:rFonts w:asciiTheme="majorBidi" w:hAnsiTheme="majorBidi" w:cstheme="majorBidi"/>
          <w:i/>
          <w:iCs/>
          <w:color w:val="000000" w:themeColor="text1"/>
          <w:sz w:val="24"/>
          <w:szCs w:val="24"/>
          <w:lang w:val="en-US"/>
        </w:rPr>
        <w:t>International Convention for the Protection of All Persons from Enforced Disappearance – Status of Iraq.</w:t>
      </w:r>
      <w:r w:rsidRPr="001F3336">
        <w:rPr>
          <w:rFonts w:asciiTheme="majorBidi" w:hAnsiTheme="majorBidi" w:cstheme="majorBidi"/>
          <w:color w:val="000000" w:themeColor="text1"/>
          <w:sz w:val="24"/>
          <w:szCs w:val="24"/>
          <w:lang w:val="en-US"/>
        </w:rPr>
        <w:br/>
        <w:t xml:space="preserve">Link: </w:t>
      </w:r>
      <w:hyperlink r:id="rId7" w:tgtFrame="_new" w:history="1">
        <w:r w:rsidRPr="001F3336">
          <w:rPr>
            <w:rStyle w:val="Hyperlink"/>
            <w:rFonts w:asciiTheme="majorBidi" w:hAnsiTheme="majorBidi" w:cstheme="majorBidi"/>
            <w:color w:val="000000" w:themeColor="text1"/>
            <w:sz w:val="24"/>
            <w:szCs w:val="24"/>
            <w:u w:val="none"/>
            <w:lang w:val="en-US"/>
          </w:rPr>
          <w:t>https://treaties.un.org/pages/ViewDetails.aspx?chapter=4&amp;mtdsg_no=IV-16&amp;src=TREATY</w:t>
        </w:r>
      </w:hyperlink>
    </w:p>
    <w:p w14:paraId="1CBA57B1"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Committee on Enforced Disappearances. </w:t>
      </w:r>
      <w:r w:rsidRPr="001F3336">
        <w:rPr>
          <w:rFonts w:asciiTheme="majorBidi" w:hAnsiTheme="majorBidi" w:cstheme="majorBidi"/>
          <w:i/>
          <w:iCs/>
          <w:color w:val="000000" w:themeColor="text1"/>
          <w:sz w:val="24"/>
          <w:szCs w:val="24"/>
          <w:lang w:val="en-US"/>
        </w:rPr>
        <w:t>Concluding Observations on the Initial Report of Iraq – CED/C/IRQ/CO/1.</w:t>
      </w:r>
      <w:r w:rsidRPr="001F3336">
        <w:rPr>
          <w:rFonts w:asciiTheme="majorBidi" w:hAnsiTheme="majorBidi" w:cstheme="majorBidi"/>
          <w:color w:val="000000" w:themeColor="text1"/>
          <w:sz w:val="24"/>
          <w:szCs w:val="24"/>
          <w:lang w:val="en-US"/>
        </w:rPr>
        <w:t xml:space="preserve"> September 2015.</w:t>
      </w:r>
      <w:r w:rsidRPr="001F3336">
        <w:rPr>
          <w:rFonts w:asciiTheme="majorBidi" w:hAnsiTheme="majorBidi" w:cstheme="majorBidi"/>
          <w:color w:val="000000" w:themeColor="text1"/>
          <w:sz w:val="24"/>
          <w:szCs w:val="24"/>
          <w:lang w:val="en-US"/>
        </w:rPr>
        <w:br/>
        <w:t xml:space="preserve">Link: </w:t>
      </w:r>
      <w:r w:rsidRPr="001F3336">
        <w:rPr>
          <w:rFonts w:asciiTheme="majorBidi" w:hAnsiTheme="majorBidi" w:cstheme="majorBidi"/>
          <w:color w:val="000000" w:themeColor="text1"/>
          <w:sz w:val="24"/>
          <w:szCs w:val="24"/>
          <w:lang w:val="en-US"/>
        </w:rPr>
        <w:lastRenderedPageBreak/>
        <w:t>https://tbinternet.ohchr.org/_layouts/15/treatybodyexternal/Download.aspx?Lang=fr&amp;symbolno=CED%2FC%2FIRQ%2FCO%2F1</w:t>
      </w:r>
    </w:p>
    <w:p w14:paraId="33C2EA95"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Iraq. </w:t>
      </w:r>
      <w:r w:rsidRPr="001F3336">
        <w:rPr>
          <w:rFonts w:asciiTheme="majorBidi" w:hAnsiTheme="majorBidi" w:cstheme="majorBidi"/>
          <w:i/>
          <w:iCs/>
          <w:color w:val="000000" w:themeColor="text1"/>
          <w:sz w:val="24"/>
          <w:szCs w:val="24"/>
          <w:lang w:val="en-US"/>
        </w:rPr>
        <w:t>Anti-Terrorism Law No. 13 of 2005.</w:t>
      </w:r>
      <w:r w:rsidRPr="001F3336">
        <w:rPr>
          <w:rFonts w:asciiTheme="majorBidi" w:hAnsiTheme="majorBidi" w:cstheme="majorBidi"/>
          <w:color w:val="000000" w:themeColor="text1"/>
          <w:sz w:val="24"/>
          <w:szCs w:val="24"/>
          <w:lang w:val="en-US"/>
        </w:rPr>
        <w:br/>
        <w:t>Link: https://www.unodc.org/uploads/icsant/documents/Legislation/Iraq/Iraq/English/Act_No._13_2005_ENG.pdf</w:t>
      </w:r>
    </w:p>
    <w:p w14:paraId="57AE2254"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Office of the United Nations High Commissioner for Human Rights (OHCHR). </w:t>
      </w:r>
      <w:r w:rsidRPr="001F3336">
        <w:rPr>
          <w:rFonts w:asciiTheme="majorBidi" w:hAnsiTheme="majorBidi" w:cstheme="majorBidi"/>
          <w:i/>
          <w:iCs/>
          <w:color w:val="000000" w:themeColor="text1"/>
          <w:sz w:val="24"/>
          <w:szCs w:val="24"/>
          <w:lang w:val="en-US"/>
        </w:rPr>
        <w:t>Status of Communications Procedures – Iraq.</w:t>
      </w:r>
      <w:r w:rsidRPr="001F3336">
        <w:rPr>
          <w:rFonts w:asciiTheme="majorBidi" w:hAnsiTheme="majorBidi" w:cstheme="majorBidi"/>
          <w:color w:val="000000" w:themeColor="text1"/>
          <w:sz w:val="24"/>
          <w:szCs w:val="24"/>
          <w:lang w:val="en-US"/>
        </w:rPr>
        <w:br/>
        <w:t>Link: https://indicators.ohchr.org/</w:t>
      </w:r>
    </w:p>
    <w:p w14:paraId="4E67E64D" w14:textId="77777777" w:rsidR="001F3336" w:rsidRPr="001F3336" w:rsidRDefault="001F3336" w:rsidP="001F3336">
      <w:pPr>
        <w:numPr>
          <w:ilvl w:val="0"/>
          <w:numId w:val="2"/>
        </w:numPr>
        <w:rPr>
          <w:rFonts w:asciiTheme="majorBidi" w:hAnsiTheme="majorBidi" w:cstheme="majorBidi"/>
          <w:color w:val="000000" w:themeColor="text1"/>
          <w:sz w:val="24"/>
          <w:szCs w:val="24"/>
        </w:rPr>
      </w:pPr>
      <w:r w:rsidRPr="001F3336">
        <w:rPr>
          <w:rFonts w:asciiTheme="majorBidi" w:hAnsiTheme="majorBidi" w:cstheme="majorBidi"/>
          <w:color w:val="000000" w:themeColor="text1"/>
          <w:sz w:val="24"/>
          <w:szCs w:val="24"/>
          <w:lang w:val="en-US"/>
        </w:rPr>
        <w:t xml:space="preserve">Committee on Enforced Disappearances. </w:t>
      </w:r>
      <w:r w:rsidRPr="001F3336">
        <w:rPr>
          <w:rFonts w:asciiTheme="majorBidi" w:hAnsiTheme="majorBidi" w:cstheme="majorBidi"/>
          <w:i/>
          <w:iCs/>
          <w:color w:val="000000" w:themeColor="text1"/>
          <w:sz w:val="24"/>
          <w:szCs w:val="24"/>
          <w:lang w:val="en-US"/>
        </w:rPr>
        <w:t>Report of the Committee on Enforced Disappearances – Addendum to Iraq’s Report (CED/C/IRQ/AI/2).</w:t>
      </w:r>
      <w:r w:rsidRPr="001F3336">
        <w:rPr>
          <w:rFonts w:asciiTheme="majorBidi" w:hAnsiTheme="majorBidi" w:cstheme="majorBidi"/>
          <w:color w:val="000000" w:themeColor="text1"/>
          <w:sz w:val="24"/>
          <w:szCs w:val="24"/>
          <w:lang w:val="en-US"/>
        </w:rPr>
        <w:t xml:space="preserve"> </w:t>
      </w:r>
      <w:proofErr w:type="spellStart"/>
      <w:r w:rsidRPr="001F3336">
        <w:rPr>
          <w:rFonts w:asciiTheme="majorBidi" w:hAnsiTheme="majorBidi" w:cstheme="majorBidi"/>
          <w:color w:val="000000" w:themeColor="text1"/>
          <w:sz w:val="24"/>
          <w:szCs w:val="24"/>
        </w:rPr>
        <w:t>October</w:t>
      </w:r>
      <w:proofErr w:type="spellEnd"/>
      <w:r w:rsidRPr="001F3336">
        <w:rPr>
          <w:rFonts w:asciiTheme="majorBidi" w:hAnsiTheme="majorBidi" w:cstheme="majorBidi"/>
          <w:color w:val="000000" w:themeColor="text1"/>
          <w:sz w:val="24"/>
          <w:szCs w:val="24"/>
        </w:rPr>
        <w:t xml:space="preserve"> 2024.</w:t>
      </w:r>
      <w:r w:rsidRPr="001F3336">
        <w:rPr>
          <w:rFonts w:asciiTheme="majorBidi" w:hAnsiTheme="majorBidi" w:cstheme="majorBidi"/>
          <w:color w:val="000000" w:themeColor="text1"/>
          <w:sz w:val="24"/>
          <w:szCs w:val="24"/>
        </w:rPr>
        <w:br/>
      </w:r>
      <w:proofErr w:type="gramStart"/>
      <w:r w:rsidRPr="001F3336">
        <w:rPr>
          <w:rFonts w:asciiTheme="majorBidi" w:hAnsiTheme="majorBidi" w:cstheme="majorBidi"/>
          <w:color w:val="000000" w:themeColor="text1"/>
          <w:sz w:val="24"/>
          <w:szCs w:val="24"/>
        </w:rPr>
        <w:t>Link:</w:t>
      </w:r>
      <w:proofErr w:type="gramEnd"/>
      <w:r w:rsidRPr="001F3336">
        <w:rPr>
          <w:rFonts w:asciiTheme="majorBidi" w:hAnsiTheme="majorBidi" w:cstheme="majorBidi"/>
          <w:color w:val="000000" w:themeColor="text1"/>
          <w:sz w:val="24"/>
          <w:szCs w:val="24"/>
        </w:rPr>
        <w:t xml:space="preserve"> </w:t>
      </w:r>
      <w:hyperlink r:id="rId8" w:tgtFrame="_new" w:history="1">
        <w:r w:rsidRPr="001F3336">
          <w:rPr>
            <w:rStyle w:val="Hyperlink"/>
            <w:rFonts w:asciiTheme="majorBidi" w:hAnsiTheme="majorBidi" w:cstheme="majorBidi"/>
            <w:color w:val="000000" w:themeColor="text1"/>
            <w:sz w:val="24"/>
            <w:szCs w:val="24"/>
            <w:u w:val="none"/>
          </w:rPr>
          <w:t>https://digitallibrary.un.org/record/4078892?ln=fr</w:t>
        </w:r>
      </w:hyperlink>
    </w:p>
    <w:p w14:paraId="02FB067F"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Committee on Enforced Disappearances. </w:t>
      </w:r>
      <w:r w:rsidRPr="001F3336">
        <w:rPr>
          <w:rFonts w:asciiTheme="majorBidi" w:hAnsiTheme="majorBidi" w:cstheme="majorBidi"/>
          <w:i/>
          <w:iCs/>
          <w:color w:val="000000" w:themeColor="text1"/>
          <w:sz w:val="24"/>
          <w:szCs w:val="24"/>
          <w:lang w:val="en-US"/>
        </w:rPr>
        <w:t>Follow-up Report – Iraq (CED/C/IRQ/CO/1/Add.1).</w:t>
      </w:r>
      <w:r w:rsidRPr="001F3336">
        <w:rPr>
          <w:rFonts w:asciiTheme="majorBidi" w:hAnsiTheme="majorBidi" w:cstheme="majorBidi"/>
          <w:color w:val="000000" w:themeColor="text1"/>
          <w:sz w:val="24"/>
          <w:szCs w:val="24"/>
          <w:lang w:val="en-US"/>
        </w:rPr>
        <w:t xml:space="preserve"> March 2016.</w:t>
      </w:r>
      <w:r w:rsidRPr="001F3336">
        <w:rPr>
          <w:rFonts w:asciiTheme="majorBidi" w:hAnsiTheme="majorBidi" w:cstheme="majorBidi"/>
          <w:color w:val="000000" w:themeColor="text1"/>
          <w:sz w:val="24"/>
          <w:szCs w:val="24"/>
          <w:lang w:val="en-US"/>
        </w:rPr>
        <w:br/>
        <w:t>Link: https://tbinternet.ohchr.org/_layouts/15/treatybodyexternal/Download.aspx?Lang=fr&amp;symbolno=CED%2FC%2FIRQ%2FCO%2F1%2FAdd.1</w:t>
      </w:r>
    </w:p>
    <w:p w14:paraId="7334E68A"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Human Rights Watch. </w:t>
      </w:r>
      <w:r w:rsidRPr="001F3336">
        <w:rPr>
          <w:rFonts w:asciiTheme="majorBidi" w:hAnsiTheme="majorBidi" w:cstheme="majorBidi"/>
          <w:i/>
          <w:iCs/>
          <w:color w:val="000000" w:themeColor="text1"/>
          <w:sz w:val="24"/>
          <w:szCs w:val="24"/>
          <w:lang w:val="en-US"/>
        </w:rPr>
        <w:t>World Report 2019 – Iraq.</w:t>
      </w:r>
      <w:r w:rsidRPr="001F3336">
        <w:rPr>
          <w:rFonts w:asciiTheme="majorBidi" w:hAnsiTheme="majorBidi" w:cstheme="majorBidi"/>
          <w:color w:val="000000" w:themeColor="text1"/>
          <w:sz w:val="24"/>
          <w:szCs w:val="24"/>
          <w:lang w:val="en-US"/>
        </w:rPr>
        <w:t xml:space="preserve"> January 2019.</w:t>
      </w:r>
      <w:r w:rsidRPr="001F3336">
        <w:rPr>
          <w:rFonts w:asciiTheme="majorBidi" w:hAnsiTheme="majorBidi" w:cstheme="majorBidi"/>
          <w:color w:val="000000" w:themeColor="text1"/>
          <w:sz w:val="24"/>
          <w:szCs w:val="24"/>
          <w:lang w:val="en-US"/>
        </w:rPr>
        <w:br/>
        <w:t>Link: https://www.hrw.org/world-report/2019/country-chapters/iraq</w:t>
      </w:r>
    </w:p>
    <w:p w14:paraId="4F7D2303" w14:textId="77777777" w:rsidR="001F3336" w:rsidRPr="001F3336" w:rsidRDefault="001F3336" w:rsidP="001F3336">
      <w:pPr>
        <w:numPr>
          <w:ilvl w:val="0"/>
          <w:numId w:val="2"/>
        </w:numPr>
        <w:rPr>
          <w:rFonts w:asciiTheme="majorBidi" w:hAnsiTheme="majorBidi" w:cstheme="majorBidi"/>
          <w:color w:val="000000" w:themeColor="text1"/>
          <w:sz w:val="24"/>
          <w:szCs w:val="24"/>
        </w:rPr>
      </w:pPr>
      <w:r w:rsidRPr="001F3336">
        <w:rPr>
          <w:rFonts w:asciiTheme="majorBidi" w:hAnsiTheme="majorBidi" w:cstheme="majorBidi"/>
          <w:color w:val="000000" w:themeColor="text1"/>
          <w:sz w:val="24"/>
          <w:szCs w:val="24"/>
          <w:lang w:val="en-US"/>
        </w:rPr>
        <w:t xml:space="preserve">Iraqi High Commission for Human Rights (IHCHR). </w:t>
      </w:r>
      <w:r w:rsidRPr="001F3336">
        <w:rPr>
          <w:rFonts w:asciiTheme="majorBidi" w:hAnsiTheme="majorBidi" w:cstheme="majorBidi"/>
          <w:i/>
          <w:iCs/>
          <w:color w:val="000000" w:themeColor="text1"/>
          <w:sz w:val="24"/>
          <w:szCs w:val="24"/>
          <w:lang w:val="en-US"/>
        </w:rPr>
        <w:t>Report on Missing Persons and Enforced Disappearances (2016–2019).</w:t>
      </w:r>
      <w:r w:rsidRPr="001F3336">
        <w:rPr>
          <w:rFonts w:asciiTheme="majorBidi" w:hAnsiTheme="majorBidi" w:cstheme="majorBidi"/>
          <w:color w:val="000000" w:themeColor="text1"/>
          <w:sz w:val="24"/>
          <w:szCs w:val="24"/>
          <w:lang w:val="en-US"/>
        </w:rPr>
        <w:br/>
      </w:r>
      <w:r w:rsidRPr="001F3336">
        <w:rPr>
          <w:rFonts w:asciiTheme="majorBidi" w:hAnsiTheme="majorBidi" w:cstheme="majorBidi"/>
          <w:color w:val="000000" w:themeColor="text1"/>
          <w:sz w:val="24"/>
          <w:szCs w:val="24"/>
        </w:rPr>
        <w:t xml:space="preserve">Link: </w:t>
      </w:r>
      <w:hyperlink r:id="rId9" w:tgtFrame="_new" w:history="1">
        <w:r w:rsidRPr="001F3336">
          <w:rPr>
            <w:rStyle w:val="Hyperlink"/>
            <w:rFonts w:asciiTheme="majorBidi" w:hAnsiTheme="majorBidi" w:cstheme="majorBidi"/>
            <w:color w:val="000000" w:themeColor="text1"/>
            <w:sz w:val="24"/>
            <w:szCs w:val="24"/>
            <w:u w:val="none"/>
          </w:rPr>
          <w:t>https://ihchr.iq/</w:t>
        </w:r>
      </w:hyperlink>
    </w:p>
    <w:p w14:paraId="0EB503A2"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OHCHR / UNAMI. </w:t>
      </w:r>
      <w:r w:rsidRPr="001F3336">
        <w:rPr>
          <w:rFonts w:asciiTheme="majorBidi" w:hAnsiTheme="majorBidi" w:cstheme="majorBidi"/>
          <w:i/>
          <w:iCs/>
          <w:color w:val="000000" w:themeColor="text1"/>
          <w:sz w:val="24"/>
          <w:szCs w:val="24"/>
          <w:lang w:val="en-US"/>
        </w:rPr>
        <w:t>Update on Accountability for Human Rights Violations and Abuses in the Context of Demonstrations in Iraq.</w:t>
      </w:r>
      <w:r w:rsidRPr="001F3336">
        <w:rPr>
          <w:rFonts w:asciiTheme="majorBidi" w:hAnsiTheme="majorBidi" w:cstheme="majorBidi"/>
          <w:color w:val="000000" w:themeColor="text1"/>
          <w:sz w:val="24"/>
          <w:szCs w:val="24"/>
          <w:lang w:val="en-US"/>
        </w:rPr>
        <w:t xml:space="preserve"> December 2019.</w:t>
      </w:r>
      <w:r w:rsidRPr="001F3336">
        <w:rPr>
          <w:rFonts w:asciiTheme="majorBidi" w:hAnsiTheme="majorBidi" w:cstheme="majorBidi"/>
          <w:color w:val="000000" w:themeColor="text1"/>
          <w:sz w:val="24"/>
          <w:szCs w:val="24"/>
          <w:lang w:val="en-US"/>
        </w:rPr>
        <w:br/>
        <w:t>Link: https://www.ohchr.org/Documents/Countries/IQ/UNAMI_Report_Accountability_for_Human_Rights_Violations_and_Abuses_ENG.pdf</w:t>
      </w:r>
    </w:p>
    <w:p w14:paraId="515913A6" w14:textId="77777777" w:rsidR="001F3336" w:rsidRPr="001F3336" w:rsidRDefault="001F3336" w:rsidP="001F3336">
      <w:pPr>
        <w:numPr>
          <w:ilvl w:val="0"/>
          <w:numId w:val="2"/>
        </w:numPr>
        <w:rPr>
          <w:rFonts w:asciiTheme="majorBidi" w:hAnsiTheme="majorBidi" w:cstheme="majorBidi"/>
          <w:color w:val="000000" w:themeColor="text1"/>
          <w:sz w:val="24"/>
          <w:szCs w:val="24"/>
        </w:rPr>
      </w:pPr>
      <w:r w:rsidRPr="001F3336">
        <w:rPr>
          <w:rFonts w:asciiTheme="majorBidi" w:hAnsiTheme="majorBidi" w:cstheme="majorBidi"/>
          <w:color w:val="000000" w:themeColor="text1"/>
          <w:sz w:val="24"/>
          <w:szCs w:val="24"/>
          <w:lang w:val="en-US"/>
        </w:rPr>
        <w:t xml:space="preserve">Government of Iraq. </w:t>
      </w:r>
      <w:r w:rsidRPr="001F3336">
        <w:rPr>
          <w:rFonts w:asciiTheme="majorBidi" w:hAnsiTheme="majorBidi" w:cstheme="majorBidi"/>
          <w:i/>
          <w:iCs/>
          <w:color w:val="000000" w:themeColor="text1"/>
          <w:sz w:val="24"/>
          <w:szCs w:val="24"/>
          <w:lang w:val="en-US"/>
        </w:rPr>
        <w:t>Official Statement by Prime Minister Mustafa Al-</w:t>
      </w:r>
      <w:proofErr w:type="spellStart"/>
      <w:r w:rsidRPr="001F3336">
        <w:rPr>
          <w:rFonts w:asciiTheme="majorBidi" w:hAnsiTheme="majorBidi" w:cstheme="majorBidi"/>
          <w:i/>
          <w:iCs/>
          <w:color w:val="000000" w:themeColor="text1"/>
          <w:sz w:val="24"/>
          <w:szCs w:val="24"/>
          <w:lang w:val="en-US"/>
        </w:rPr>
        <w:t>Kadhimi</w:t>
      </w:r>
      <w:proofErr w:type="spellEnd"/>
      <w:r w:rsidRPr="001F3336">
        <w:rPr>
          <w:rFonts w:asciiTheme="majorBidi" w:hAnsiTheme="majorBidi" w:cstheme="majorBidi"/>
          <w:i/>
          <w:iCs/>
          <w:color w:val="000000" w:themeColor="text1"/>
          <w:sz w:val="24"/>
          <w:szCs w:val="24"/>
          <w:lang w:val="en-US"/>
        </w:rPr>
        <w:t xml:space="preserve"> on the Fight Against Impunity.</w:t>
      </w:r>
      <w:r w:rsidRPr="001F3336">
        <w:rPr>
          <w:rFonts w:asciiTheme="majorBidi" w:hAnsiTheme="majorBidi" w:cstheme="majorBidi"/>
          <w:color w:val="000000" w:themeColor="text1"/>
          <w:sz w:val="24"/>
          <w:szCs w:val="24"/>
          <w:lang w:val="en-US"/>
        </w:rPr>
        <w:t xml:space="preserve"> </w:t>
      </w:r>
      <w:r w:rsidRPr="001F3336">
        <w:rPr>
          <w:rFonts w:asciiTheme="majorBidi" w:hAnsiTheme="majorBidi" w:cstheme="majorBidi"/>
          <w:color w:val="000000" w:themeColor="text1"/>
          <w:sz w:val="24"/>
          <w:szCs w:val="24"/>
        </w:rPr>
        <w:t>May 2020.</w:t>
      </w:r>
      <w:r w:rsidRPr="001F3336">
        <w:rPr>
          <w:rFonts w:asciiTheme="majorBidi" w:hAnsiTheme="majorBidi" w:cstheme="majorBidi"/>
          <w:color w:val="000000" w:themeColor="text1"/>
          <w:sz w:val="24"/>
          <w:szCs w:val="24"/>
        </w:rPr>
        <w:br/>
      </w:r>
      <w:proofErr w:type="gramStart"/>
      <w:r w:rsidRPr="001F3336">
        <w:rPr>
          <w:rFonts w:asciiTheme="majorBidi" w:hAnsiTheme="majorBidi" w:cstheme="majorBidi"/>
          <w:color w:val="000000" w:themeColor="text1"/>
          <w:sz w:val="24"/>
          <w:szCs w:val="24"/>
        </w:rPr>
        <w:t>Link:</w:t>
      </w:r>
      <w:proofErr w:type="gramEnd"/>
      <w:r w:rsidRPr="001F3336">
        <w:rPr>
          <w:rFonts w:asciiTheme="majorBidi" w:hAnsiTheme="majorBidi" w:cstheme="majorBidi"/>
          <w:color w:val="000000" w:themeColor="text1"/>
          <w:sz w:val="24"/>
          <w:szCs w:val="24"/>
        </w:rPr>
        <w:t xml:space="preserve"> </w:t>
      </w:r>
      <w:hyperlink r:id="rId10" w:tgtFrame="_new" w:history="1">
        <w:r w:rsidRPr="001F3336">
          <w:rPr>
            <w:rStyle w:val="Hyperlink"/>
            <w:rFonts w:asciiTheme="majorBidi" w:hAnsiTheme="majorBidi" w:cstheme="majorBidi"/>
            <w:color w:val="000000" w:themeColor="text1"/>
            <w:sz w:val="24"/>
            <w:szCs w:val="24"/>
            <w:u w:val="none"/>
          </w:rPr>
          <w:t>https://gds.gov.iq/</w:t>
        </w:r>
      </w:hyperlink>
    </w:p>
    <w:p w14:paraId="6153B12D"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United Nations. </w:t>
      </w:r>
      <w:r w:rsidRPr="001F3336">
        <w:rPr>
          <w:rFonts w:asciiTheme="majorBidi" w:hAnsiTheme="majorBidi" w:cstheme="majorBidi"/>
          <w:i/>
          <w:iCs/>
          <w:color w:val="000000" w:themeColor="text1"/>
          <w:sz w:val="24"/>
          <w:szCs w:val="24"/>
          <w:lang w:val="en-US"/>
        </w:rPr>
        <w:t>International Convention for the Protection of All Persons from Enforced Disappearance – Article 24.</w:t>
      </w:r>
      <w:r w:rsidRPr="001F3336">
        <w:rPr>
          <w:rFonts w:asciiTheme="majorBidi" w:hAnsiTheme="majorBidi" w:cstheme="majorBidi"/>
          <w:color w:val="000000" w:themeColor="text1"/>
          <w:sz w:val="24"/>
          <w:szCs w:val="24"/>
          <w:lang w:val="en-US"/>
        </w:rPr>
        <w:br/>
        <w:t>Link: https://www.ohchr.org/en/instruments-mechanisms/instruments/international-convention-protection-all-persons-enforced</w:t>
      </w:r>
    </w:p>
    <w:p w14:paraId="62C0FE70"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Ceasefire Centre for Civilian Rights. </w:t>
      </w:r>
      <w:r w:rsidRPr="001F3336">
        <w:rPr>
          <w:rFonts w:asciiTheme="majorBidi" w:hAnsiTheme="majorBidi" w:cstheme="majorBidi"/>
          <w:i/>
          <w:iCs/>
          <w:color w:val="000000" w:themeColor="text1"/>
          <w:sz w:val="24"/>
          <w:szCs w:val="24"/>
          <w:lang w:val="en-US"/>
        </w:rPr>
        <w:t>The Forever Crime: Ending Enforced Disappearance in Iraq.</w:t>
      </w:r>
      <w:r w:rsidRPr="001F3336">
        <w:rPr>
          <w:rFonts w:asciiTheme="majorBidi" w:hAnsiTheme="majorBidi" w:cstheme="majorBidi"/>
          <w:color w:val="000000" w:themeColor="text1"/>
          <w:sz w:val="24"/>
          <w:szCs w:val="24"/>
          <w:lang w:val="en-US"/>
        </w:rPr>
        <w:t xml:space="preserve"> January 2021.</w:t>
      </w:r>
      <w:r w:rsidRPr="001F3336">
        <w:rPr>
          <w:rFonts w:asciiTheme="majorBidi" w:hAnsiTheme="majorBidi" w:cstheme="majorBidi"/>
          <w:color w:val="000000" w:themeColor="text1"/>
          <w:sz w:val="24"/>
          <w:szCs w:val="24"/>
          <w:lang w:val="en-US"/>
        </w:rPr>
        <w:br/>
        <w:t>Link: https://www.ceasefire.org/wp-content/uploads/2021/01/CFR_Iraq_EN_Jan21.pdf</w:t>
      </w:r>
    </w:p>
    <w:p w14:paraId="20EDE887" w14:textId="77777777" w:rsidR="001F3336" w:rsidRPr="001F3336" w:rsidRDefault="001F3336" w:rsidP="001F3336">
      <w:pPr>
        <w:numPr>
          <w:ilvl w:val="0"/>
          <w:numId w:val="2"/>
        </w:numPr>
        <w:rPr>
          <w:rFonts w:asciiTheme="majorBidi" w:hAnsiTheme="majorBidi" w:cstheme="majorBidi"/>
          <w:color w:val="000000" w:themeColor="text1"/>
          <w:sz w:val="24"/>
          <w:szCs w:val="24"/>
        </w:rPr>
      </w:pPr>
      <w:r w:rsidRPr="001F3336">
        <w:rPr>
          <w:rFonts w:asciiTheme="majorBidi" w:hAnsiTheme="majorBidi" w:cstheme="majorBidi"/>
          <w:color w:val="000000" w:themeColor="text1"/>
          <w:sz w:val="24"/>
          <w:szCs w:val="24"/>
          <w:lang w:val="en-US"/>
        </w:rPr>
        <w:lastRenderedPageBreak/>
        <w:t xml:space="preserve">Committee on Enforced Disappearances. </w:t>
      </w:r>
      <w:r w:rsidRPr="001F3336">
        <w:rPr>
          <w:rFonts w:asciiTheme="majorBidi" w:hAnsiTheme="majorBidi" w:cstheme="majorBidi"/>
          <w:i/>
          <w:iCs/>
          <w:color w:val="000000" w:themeColor="text1"/>
          <w:sz w:val="24"/>
          <w:szCs w:val="24"/>
          <w:lang w:val="en-US"/>
        </w:rPr>
        <w:t>Annual Report to the UN General Assembly (A/75/56).</w:t>
      </w:r>
      <w:r w:rsidRPr="001F3336">
        <w:rPr>
          <w:rFonts w:asciiTheme="majorBidi" w:hAnsiTheme="majorBidi" w:cstheme="majorBidi"/>
          <w:color w:val="000000" w:themeColor="text1"/>
          <w:sz w:val="24"/>
          <w:szCs w:val="24"/>
          <w:lang w:val="en-US"/>
        </w:rPr>
        <w:t xml:space="preserve"> </w:t>
      </w:r>
      <w:proofErr w:type="spellStart"/>
      <w:r w:rsidRPr="001F3336">
        <w:rPr>
          <w:rFonts w:asciiTheme="majorBidi" w:hAnsiTheme="majorBidi" w:cstheme="majorBidi"/>
          <w:color w:val="000000" w:themeColor="text1"/>
          <w:sz w:val="24"/>
          <w:szCs w:val="24"/>
        </w:rPr>
        <w:t>October</w:t>
      </w:r>
      <w:proofErr w:type="spellEnd"/>
      <w:r w:rsidRPr="001F3336">
        <w:rPr>
          <w:rFonts w:asciiTheme="majorBidi" w:hAnsiTheme="majorBidi" w:cstheme="majorBidi"/>
          <w:color w:val="000000" w:themeColor="text1"/>
          <w:sz w:val="24"/>
          <w:szCs w:val="24"/>
        </w:rPr>
        <w:t xml:space="preserve"> 2020.</w:t>
      </w:r>
      <w:r w:rsidRPr="001F3336">
        <w:rPr>
          <w:rFonts w:asciiTheme="majorBidi" w:hAnsiTheme="majorBidi" w:cstheme="majorBidi"/>
          <w:color w:val="000000" w:themeColor="text1"/>
          <w:sz w:val="24"/>
          <w:szCs w:val="24"/>
        </w:rPr>
        <w:br/>
      </w:r>
      <w:proofErr w:type="gramStart"/>
      <w:r w:rsidRPr="001F3336">
        <w:rPr>
          <w:rFonts w:asciiTheme="majorBidi" w:hAnsiTheme="majorBidi" w:cstheme="majorBidi"/>
          <w:color w:val="000000" w:themeColor="text1"/>
          <w:sz w:val="24"/>
          <w:szCs w:val="24"/>
        </w:rPr>
        <w:t>Link:</w:t>
      </w:r>
      <w:proofErr w:type="gramEnd"/>
      <w:r w:rsidRPr="001F3336">
        <w:rPr>
          <w:rFonts w:asciiTheme="majorBidi" w:hAnsiTheme="majorBidi" w:cstheme="majorBidi"/>
          <w:color w:val="000000" w:themeColor="text1"/>
          <w:sz w:val="24"/>
          <w:szCs w:val="24"/>
        </w:rPr>
        <w:t xml:space="preserve"> </w:t>
      </w:r>
      <w:hyperlink r:id="rId11" w:tgtFrame="_new" w:history="1">
        <w:r w:rsidRPr="001F3336">
          <w:rPr>
            <w:rStyle w:val="Hyperlink"/>
            <w:rFonts w:asciiTheme="majorBidi" w:hAnsiTheme="majorBidi" w:cstheme="majorBidi"/>
            <w:color w:val="000000" w:themeColor="text1"/>
            <w:sz w:val="24"/>
            <w:szCs w:val="24"/>
            <w:u w:val="none"/>
          </w:rPr>
          <w:t>https://documents.un.org/en/A/75/56</w:t>
        </w:r>
      </w:hyperlink>
    </w:p>
    <w:p w14:paraId="61FE54B7" w14:textId="77777777" w:rsidR="001F3336" w:rsidRPr="001F3336" w:rsidRDefault="001F3336" w:rsidP="001F3336">
      <w:pPr>
        <w:numPr>
          <w:ilvl w:val="0"/>
          <w:numId w:val="2"/>
        </w:numPr>
        <w:rPr>
          <w:rFonts w:asciiTheme="majorBidi" w:hAnsiTheme="majorBidi" w:cstheme="majorBidi"/>
          <w:color w:val="000000" w:themeColor="text1"/>
          <w:sz w:val="24"/>
          <w:szCs w:val="24"/>
        </w:rPr>
      </w:pPr>
      <w:r w:rsidRPr="001F3336">
        <w:rPr>
          <w:rFonts w:asciiTheme="majorBidi" w:hAnsiTheme="majorBidi" w:cstheme="majorBidi"/>
          <w:color w:val="000000" w:themeColor="text1"/>
          <w:sz w:val="24"/>
          <w:szCs w:val="24"/>
          <w:lang w:val="en-US"/>
        </w:rPr>
        <w:t xml:space="preserve">Committee on Enforced Disappearances. </w:t>
      </w:r>
      <w:r w:rsidRPr="001F3336">
        <w:rPr>
          <w:rFonts w:asciiTheme="majorBidi" w:hAnsiTheme="majorBidi" w:cstheme="majorBidi"/>
          <w:i/>
          <w:iCs/>
          <w:color w:val="000000" w:themeColor="text1"/>
          <w:sz w:val="24"/>
          <w:szCs w:val="24"/>
          <w:lang w:val="en-US"/>
        </w:rPr>
        <w:t>Annual Report to the UN General Assembly (A/78/56).</w:t>
      </w:r>
      <w:r w:rsidRPr="001F3336">
        <w:rPr>
          <w:rFonts w:asciiTheme="majorBidi" w:hAnsiTheme="majorBidi" w:cstheme="majorBidi"/>
          <w:color w:val="000000" w:themeColor="text1"/>
          <w:sz w:val="24"/>
          <w:szCs w:val="24"/>
          <w:lang w:val="en-US"/>
        </w:rPr>
        <w:t xml:space="preserve"> </w:t>
      </w:r>
      <w:proofErr w:type="spellStart"/>
      <w:r w:rsidRPr="001F3336">
        <w:rPr>
          <w:rFonts w:asciiTheme="majorBidi" w:hAnsiTheme="majorBidi" w:cstheme="majorBidi"/>
          <w:color w:val="000000" w:themeColor="text1"/>
          <w:sz w:val="24"/>
          <w:szCs w:val="24"/>
        </w:rPr>
        <w:t>October</w:t>
      </w:r>
      <w:proofErr w:type="spellEnd"/>
      <w:r w:rsidRPr="001F3336">
        <w:rPr>
          <w:rFonts w:asciiTheme="majorBidi" w:hAnsiTheme="majorBidi" w:cstheme="majorBidi"/>
          <w:color w:val="000000" w:themeColor="text1"/>
          <w:sz w:val="24"/>
          <w:szCs w:val="24"/>
        </w:rPr>
        <w:t xml:space="preserve"> 2023.</w:t>
      </w:r>
      <w:r w:rsidRPr="001F3336">
        <w:rPr>
          <w:rFonts w:asciiTheme="majorBidi" w:hAnsiTheme="majorBidi" w:cstheme="majorBidi"/>
          <w:color w:val="000000" w:themeColor="text1"/>
          <w:sz w:val="24"/>
          <w:szCs w:val="24"/>
        </w:rPr>
        <w:br/>
      </w:r>
      <w:proofErr w:type="gramStart"/>
      <w:r w:rsidRPr="001F3336">
        <w:rPr>
          <w:rFonts w:asciiTheme="majorBidi" w:hAnsiTheme="majorBidi" w:cstheme="majorBidi"/>
          <w:color w:val="000000" w:themeColor="text1"/>
          <w:sz w:val="24"/>
          <w:szCs w:val="24"/>
        </w:rPr>
        <w:t>Link:</w:t>
      </w:r>
      <w:proofErr w:type="gramEnd"/>
      <w:r w:rsidRPr="001F3336">
        <w:rPr>
          <w:rFonts w:asciiTheme="majorBidi" w:hAnsiTheme="majorBidi" w:cstheme="majorBidi"/>
          <w:color w:val="000000" w:themeColor="text1"/>
          <w:sz w:val="24"/>
          <w:szCs w:val="24"/>
        </w:rPr>
        <w:t xml:space="preserve"> </w:t>
      </w:r>
      <w:hyperlink r:id="rId12" w:tgtFrame="_new" w:history="1">
        <w:r w:rsidRPr="001F3336">
          <w:rPr>
            <w:rStyle w:val="Hyperlink"/>
            <w:rFonts w:asciiTheme="majorBidi" w:hAnsiTheme="majorBidi" w:cstheme="majorBidi"/>
            <w:color w:val="000000" w:themeColor="text1"/>
            <w:sz w:val="24"/>
            <w:szCs w:val="24"/>
            <w:u w:val="none"/>
          </w:rPr>
          <w:t>https://documents.un.org/en/A/78/56</w:t>
        </w:r>
      </w:hyperlink>
    </w:p>
    <w:p w14:paraId="7504C9DE"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Geneva International Centre for Justice. </w:t>
      </w:r>
      <w:r w:rsidRPr="001F3336">
        <w:rPr>
          <w:rFonts w:asciiTheme="majorBidi" w:hAnsiTheme="majorBidi" w:cstheme="majorBidi"/>
          <w:i/>
          <w:iCs/>
          <w:color w:val="000000" w:themeColor="text1"/>
          <w:sz w:val="24"/>
          <w:szCs w:val="24"/>
          <w:lang w:val="en-US"/>
        </w:rPr>
        <w:t>Three Years Since the October 2019 Demonstrations in Iraq.</w:t>
      </w:r>
      <w:r w:rsidRPr="001F3336">
        <w:rPr>
          <w:rFonts w:asciiTheme="majorBidi" w:hAnsiTheme="majorBidi" w:cstheme="majorBidi"/>
          <w:color w:val="000000" w:themeColor="text1"/>
          <w:sz w:val="24"/>
          <w:szCs w:val="24"/>
          <w:lang w:val="en-US"/>
        </w:rPr>
        <w:t xml:space="preserve"> October 2022.</w:t>
      </w:r>
      <w:r w:rsidRPr="001F3336">
        <w:rPr>
          <w:rFonts w:asciiTheme="majorBidi" w:hAnsiTheme="majorBidi" w:cstheme="majorBidi"/>
          <w:color w:val="000000" w:themeColor="text1"/>
          <w:sz w:val="24"/>
          <w:szCs w:val="24"/>
          <w:lang w:val="en-US"/>
        </w:rPr>
        <w:br/>
        <w:t>Link: https://www.gicj.org/positions-opinons/gicj-positions-and-opinions/2944-three-years-since-the-october-2019-demonstrations-in-iraq</w:t>
      </w:r>
    </w:p>
    <w:p w14:paraId="53C13E3C"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Amnesty International. </w:t>
      </w:r>
      <w:r w:rsidRPr="001F3336">
        <w:rPr>
          <w:rFonts w:asciiTheme="majorBidi" w:hAnsiTheme="majorBidi" w:cstheme="majorBidi"/>
          <w:i/>
          <w:iCs/>
          <w:color w:val="000000" w:themeColor="text1"/>
          <w:sz w:val="24"/>
          <w:szCs w:val="24"/>
          <w:lang w:val="en-US"/>
        </w:rPr>
        <w:t>Iraq: Five Years After Tishreen Protests, Impunity Reigns Supreme.</w:t>
      </w:r>
      <w:r w:rsidRPr="001F3336">
        <w:rPr>
          <w:rFonts w:asciiTheme="majorBidi" w:hAnsiTheme="majorBidi" w:cstheme="majorBidi"/>
          <w:color w:val="000000" w:themeColor="text1"/>
          <w:sz w:val="24"/>
          <w:szCs w:val="24"/>
          <w:lang w:val="en-US"/>
        </w:rPr>
        <w:t xml:space="preserve"> September 2024.</w:t>
      </w:r>
      <w:r w:rsidRPr="001F3336">
        <w:rPr>
          <w:rFonts w:asciiTheme="majorBidi" w:hAnsiTheme="majorBidi" w:cstheme="majorBidi"/>
          <w:color w:val="000000" w:themeColor="text1"/>
          <w:sz w:val="24"/>
          <w:szCs w:val="24"/>
          <w:lang w:val="en-US"/>
        </w:rPr>
        <w:br/>
        <w:t>Link: https://www.amnesty.org/en/latest/news/2024/09/iraq-five-years-after-tishreen-protests-impunity-reigns-supreme/</w:t>
      </w:r>
    </w:p>
    <w:p w14:paraId="377D75EA"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MENA Rights Group. </w:t>
      </w:r>
      <w:r w:rsidRPr="001F3336">
        <w:rPr>
          <w:rFonts w:asciiTheme="majorBidi" w:hAnsiTheme="majorBidi" w:cstheme="majorBidi"/>
          <w:i/>
          <w:iCs/>
          <w:color w:val="000000" w:themeColor="text1"/>
          <w:sz w:val="24"/>
          <w:szCs w:val="24"/>
          <w:lang w:val="en-US"/>
        </w:rPr>
        <w:t>Civil and Political Rights in Iraq Since the 2019 Tishreen Protests.</w:t>
      </w:r>
      <w:r w:rsidRPr="001F3336">
        <w:rPr>
          <w:rFonts w:asciiTheme="majorBidi" w:hAnsiTheme="majorBidi" w:cstheme="majorBidi"/>
          <w:color w:val="000000" w:themeColor="text1"/>
          <w:sz w:val="24"/>
          <w:szCs w:val="24"/>
          <w:lang w:val="en-US"/>
        </w:rPr>
        <w:t xml:space="preserve"> March 2024.</w:t>
      </w:r>
      <w:r w:rsidRPr="001F3336">
        <w:rPr>
          <w:rFonts w:asciiTheme="majorBidi" w:hAnsiTheme="majorBidi" w:cstheme="majorBidi"/>
          <w:color w:val="000000" w:themeColor="text1"/>
          <w:sz w:val="24"/>
          <w:szCs w:val="24"/>
          <w:lang w:val="en-US"/>
        </w:rPr>
        <w:br/>
        <w:t>Link: https://menarights.org/en/documents/civil-and-political-rights-iraq-2019-tishreen-protests-universal-periodic-review-iraq</w:t>
      </w:r>
    </w:p>
    <w:p w14:paraId="63215DFC" w14:textId="77777777" w:rsidR="001F3336" w:rsidRPr="001F3336" w:rsidRDefault="001F3336" w:rsidP="001F3336">
      <w:pPr>
        <w:numPr>
          <w:ilvl w:val="0"/>
          <w:numId w:val="2"/>
        </w:numPr>
        <w:rPr>
          <w:rFonts w:asciiTheme="majorBidi" w:hAnsiTheme="majorBidi" w:cstheme="majorBidi"/>
          <w:color w:val="000000" w:themeColor="text1"/>
          <w:sz w:val="24"/>
          <w:szCs w:val="24"/>
          <w:lang w:val="en-US"/>
        </w:rPr>
      </w:pPr>
      <w:r w:rsidRPr="001F3336">
        <w:rPr>
          <w:rFonts w:asciiTheme="majorBidi" w:hAnsiTheme="majorBidi" w:cstheme="majorBidi"/>
          <w:color w:val="000000" w:themeColor="text1"/>
          <w:sz w:val="24"/>
          <w:szCs w:val="24"/>
          <w:lang w:val="en-US"/>
        </w:rPr>
        <w:t xml:space="preserve">International Committee of the Red Cross (ICRC). </w:t>
      </w:r>
      <w:r w:rsidRPr="001F3336">
        <w:rPr>
          <w:rFonts w:asciiTheme="majorBidi" w:hAnsiTheme="majorBidi" w:cstheme="majorBidi"/>
          <w:i/>
          <w:iCs/>
          <w:color w:val="000000" w:themeColor="text1"/>
          <w:sz w:val="24"/>
          <w:szCs w:val="24"/>
          <w:lang w:val="en-US"/>
        </w:rPr>
        <w:t>Accounting for Missing Persons in Iraq and Kuwait (2011–2019).</w:t>
      </w:r>
      <w:r w:rsidRPr="001F3336">
        <w:rPr>
          <w:rFonts w:asciiTheme="majorBidi" w:hAnsiTheme="majorBidi" w:cstheme="majorBidi"/>
          <w:color w:val="000000" w:themeColor="text1"/>
          <w:sz w:val="24"/>
          <w:szCs w:val="24"/>
          <w:lang w:val="en-US"/>
        </w:rPr>
        <w:br/>
        <w:t>Link: https://ihl-in-action.icrc.org/case-study/iraqkuwait-clarifying-fate-missing-persons</w:t>
      </w:r>
    </w:p>
    <w:p w14:paraId="16254E87" w14:textId="77777777" w:rsidR="001F3336" w:rsidRPr="00883B42" w:rsidRDefault="001F3336" w:rsidP="001F3336">
      <w:pPr>
        <w:rPr>
          <w:rFonts w:asciiTheme="majorBidi" w:hAnsiTheme="majorBidi" w:cstheme="majorBidi"/>
          <w:color w:val="000000" w:themeColor="text1"/>
          <w:sz w:val="24"/>
          <w:szCs w:val="24"/>
          <w:lang w:val="en-US"/>
        </w:rPr>
      </w:pPr>
    </w:p>
    <w:sectPr w:rsidR="001F3336" w:rsidRPr="00883B42" w:rsidSect="009F7370">
      <w:headerReference w:type="default" r:id="rId13"/>
      <w:footerReference w:type="default" r:id="rId14"/>
      <w:pgSz w:w="11906" w:h="16838"/>
      <w:pgMar w:top="1701" w:right="1134" w:bottom="1701"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81B34" w14:textId="77777777" w:rsidR="00180FCB" w:rsidRDefault="00180FCB" w:rsidP="008D2CC7">
      <w:pPr>
        <w:spacing w:after="0" w:line="240" w:lineRule="auto"/>
      </w:pPr>
      <w:r>
        <w:separator/>
      </w:r>
    </w:p>
  </w:endnote>
  <w:endnote w:type="continuationSeparator" w:id="0">
    <w:p w14:paraId="0BFE7F92" w14:textId="77777777" w:rsidR="00180FCB" w:rsidRDefault="00180FCB" w:rsidP="008D2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ntonio SemiBold">
    <w:altName w:val="Calibri"/>
    <w:charset w:val="00"/>
    <w:family w:val="auto"/>
    <w:pitch w:val="variable"/>
    <w:sig w:usb0="A00000EF" w:usb1="0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4D708" w14:textId="77777777" w:rsidR="008D2CC7" w:rsidRPr="00447682" w:rsidRDefault="003F2204">
    <w:pPr>
      <w:pStyle w:val="Footer"/>
      <w:rPr>
        <w:b/>
        <w:bCs/>
        <w:color w:val="1F3864" w:themeColor="accent1" w:themeShade="80"/>
        <w:lang w:val="de-DE"/>
      </w:rPr>
    </w:pPr>
    <w:r>
      <w:rPr>
        <w:noProof/>
        <w:lang w:val="de-DE"/>
      </w:rPr>
      <w:drawing>
        <wp:anchor distT="0" distB="0" distL="114300" distR="114300" simplePos="0" relativeHeight="251679744" behindDoc="0" locked="0" layoutInCell="1" allowOverlap="1" wp14:anchorId="654E19EC" wp14:editId="00455E43">
          <wp:simplePos x="0" y="0"/>
          <wp:positionH relativeFrom="column">
            <wp:posOffset>3994150</wp:posOffset>
          </wp:positionH>
          <wp:positionV relativeFrom="paragraph">
            <wp:posOffset>-12065</wp:posOffset>
          </wp:positionV>
          <wp:extent cx="215900" cy="215900"/>
          <wp:effectExtent l="0" t="0" r="0" b="0"/>
          <wp:wrapThrough wrapText="bothSides">
            <wp:wrapPolygon edited="0">
              <wp:start x="3812" y="0"/>
              <wp:lineTo x="0" y="3812"/>
              <wp:lineTo x="0" y="15247"/>
              <wp:lineTo x="3812" y="19059"/>
              <wp:lineTo x="15247" y="19059"/>
              <wp:lineTo x="19059" y="15247"/>
              <wp:lineTo x="19059" y="3812"/>
              <wp:lineTo x="15247" y="0"/>
              <wp:lineTo x="3812" y="0"/>
            </wp:wrapPolygon>
          </wp:wrapThrough>
          <wp:docPr id="401280682" name="Graphique 11" descr="Mond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80682" name="Graphique 401280682" descr="Monde avec un remplissage uni"/>
                  <pic:cNvPicPr/>
                </pic:nvPicPr>
                <pic:blipFill>
                  <a:blip r:embed="rId1">
                    <a:extLst>
                      <a:ext uri="{96DAC541-7B7A-43D3-8B79-37D633B846F1}">
                        <asvg:svgBlip xmlns:asvg="http://schemas.microsoft.com/office/drawing/2016/SVG/main" r:embed="rId2"/>
                      </a:ext>
                    </a:extLst>
                  </a:blip>
                  <a:stretch>
                    <a:fillRect/>
                  </a:stretch>
                </pic:blipFill>
                <pic:spPr>
                  <a:xfrm>
                    <a:off x="0" y="0"/>
                    <a:ext cx="215900" cy="215900"/>
                  </a:xfrm>
                  <a:prstGeom prst="rect">
                    <a:avLst/>
                  </a:prstGeom>
                </pic:spPr>
              </pic:pic>
            </a:graphicData>
          </a:graphic>
          <wp14:sizeRelH relativeFrom="margin">
            <wp14:pctWidth>0</wp14:pctWidth>
          </wp14:sizeRelH>
          <wp14:sizeRelV relativeFrom="margin">
            <wp14:pctHeight>0</wp14:pctHeight>
          </wp14:sizeRelV>
        </wp:anchor>
      </w:drawing>
    </w:r>
    <w:r>
      <w:rPr>
        <w:noProof/>
        <w:lang w:val="de-DE"/>
      </w:rPr>
      <w:drawing>
        <wp:anchor distT="0" distB="0" distL="114300" distR="114300" simplePos="0" relativeHeight="251680768" behindDoc="1" locked="0" layoutInCell="1" allowOverlap="1" wp14:anchorId="003DD68F" wp14:editId="5F5CD17D">
          <wp:simplePos x="0" y="0"/>
          <wp:positionH relativeFrom="column">
            <wp:posOffset>-19050</wp:posOffset>
          </wp:positionH>
          <wp:positionV relativeFrom="paragraph">
            <wp:posOffset>-51435</wp:posOffset>
          </wp:positionV>
          <wp:extent cx="234950" cy="234950"/>
          <wp:effectExtent l="0" t="0" r="0" b="0"/>
          <wp:wrapThrough wrapText="bothSides">
            <wp:wrapPolygon edited="0">
              <wp:start x="5254" y="0"/>
              <wp:lineTo x="0" y="3503"/>
              <wp:lineTo x="0" y="10508"/>
              <wp:lineTo x="5254" y="19265"/>
              <wp:lineTo x="17514" y="19265"/>
              <wp:lineTo x="19265" y="5254"/>
              <wp:lineTo x="15762" y="0"/>
              <wp:lineTo x="5254" y="0"/>
            </wp:wrapPolygon>
          </wp:wrapThrough>
          <wp:docPr id="944505789" name="Graphique 12" descr="Téléphone à haut-parleu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05789" name="Graphique 944505789" descr="Téléphone à haut-parleur avec un remplissage uni"/>
                  <pic:cNvPicPr/>
                </pic:nvPicPr>
                <pic:blipFill>
                  <a:blip r:embed="rId3">
                    <a:extLst>
                      <a:ext uri="{96DAC541-7B7A-43D3-8B79-37D633B846F1}">
                        <asvg:svgBlip xmlns:asvg="http://schemas.microsoft.com/office/drawing/2016/SVG/main" r:embed="rId4"/>
                      </a:ext>
                    </a:extLst>
                  </a:blip>
                  <a:stretch>
                    <a:fillRect/>
                  </a:stretch>
                </pic:blipFill>
                <pic:spPr>
                  <a:xfrm>
                    <a:off x="0" y="0"/>
                    <a:ext cx="234950" cy="234950"/>
                  </a:xfrm>
                  <a:prstGeom prst="rect">
                    <a:avLst/>
                  </a:prstGeom>
                </pic:spPr>
              </pic:pic>
            </a:graphicData>
          </a:graphic>
        </wp:anchor>
      </w:drawing>
    </w:r>
    <w:r w:rsidR="00410BDD">
      <w:rPr>
        <w:noProof/>
        <w:lang w:val="de-DE"/>
      </w:rPr>
      <w:drawing>
        <wp:anchor distT="0" distB="0" distL="114300" distR="114300" simplePos="0" relativeHeight="251678720" behindDoc="0" locked="0" layoutInCell="1" allowOverlap="1" wp14:anchorId="06DD90B4" wp14:editId="7D04F140">
          <wp:simplePos x="0" y="0"/>
          <wp:positionH relativeFrom="margin">
            <wp:posOffset>104127300</wp:posOffset>
          </wp:positionH>
          <wp:positionV relativeFrom="paragraph">
            <wp:posOffset>-114300</wp:posOffset>
          </wp:positionV>
          <wp:extent cx="304800" cy="304800"/>
          <wp:effectExtent l="0" t="0" r="0" b="0"/>
          <wp:wrapNone/>
          <wp:docPr id="1430553371" name="Graphique 10" descr="Téléphone à haut-parleu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53371" name="Graphique 1430553371" descr="Téléphone à haut-parleur avec un remplissage uni"/>
                  <pic:cNvPicPr/>
                </pic:nvPicPr>
                <pic:blipFill>
                  <a:blip r:embed="rId5">
                    <a:extLst>
                      <a:ext uri="{96DAC541-7B7A-43D3-8B79-37D633B846F1}">
                        <asvg:svgBlip xmlns:asvg="http://schemas.microsoft.com/office/drawing/2016/SVG/main" r:embed="rId6"/>
                      </a:ext>
                    </a:extLst>
                  </a:blip>
                  <a:stretch>
                    <a:fillRect/>
                  </a:stretch>
                </pic:blipFill>
                <pic:spPr>
                  <a:xfrm>
                    <a:off x="0" y="0"/>
                    <a:ext cx="304800" cy="304800"/>
                  </a:xfrm>
                  <a:prstGeom prst="rect">
                    <a:avLst/>
                  </a:prstGeom>
                </pic:spPr>
              </pic:pic>
            </a:graphicData>
          </a:graphic>
        </wp:anchor>
      </w:drawing>
    </w:r>
    <w:r w:rsidR="00621603">
      <w:rPr>
        <w:noProof/>
        <w:lang w:val="de-DE"/>
      </w:rPr>
      <w:drawing>
        <wp:anchor distT="0" distB="0" distL="114300" distR="114300" simplePos="0" relativeHeight="251677696" behindDoc="0" locked="0" layoutInCell="1" allowOverlap="1" wp14:anchorId="41A8165E" wp14:editId="686EE033">
          <wp:simplePos x="0" y="0"/>
          <wp:positionH relativeFrom="column">
            <wp:posOffset>1746250</wp:posOffset>
          </wp:positionH>
          <wp:positionV relativeFrom="paragraph">
            <wp:posOffset>-38735</wp:posOffset>
          </wp:positionV>
          <wp:extent cx="234950" cy="234950"/>
          <wp:effectExtent l="0" t="0" r="0" b="0"/>
          <wp:wrapThrough wrapText="bothSides">
            <wp:wrapPolygon edited="0">
              <wp:start x="5254" y="0"/>
              <wp:lineTo x="0" y="1751"/>
              <wp:lineTo x="0" y="19265"/>
              <wp:lineTo x="19265" y="19265"/>
              <wp:lineTo x="19265" y="1751"/>
              <wp:lineTo x="14011" y="0"/>
              <wp:lineTo x="5254" y="0"/>
            </wp:wrapPolygon>
          </wp:wrapThrough>
          <wp:docPr id="1397467811" name="Graphique 8" descr="Adresse de courrier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67811" name="Graphique 1397467811" descr="Adresse de courrier contour"/>
                  <pic:cNvPicPr/>
                </pic:nvPicPr>
                <pic:blipFill>
                  <a:blip r:embed="rId7">
                    <a:extLst>
                      <a:ext uri="{96DAC541-7B7A-43D3-8B79-37D633B846F1}">
                        <asvg:svgBlip xmlns:asvg="http://schemas.microsoft.com/office/drawing/2016/SVG/main" r:embed="rId8"/>
                      </a:ext>
                    </a:extLst>
                  </a:blip>
                  <a:stretch>
                    <a:fillRect/>
                  </a:stretch>
                </pic:blipFill>
                <pic:spPr>
                  <a:xfrm>
                    <a:off x="0" y="0"/>
                    <a:ext cx="234950" cy="234950"/>
                  </a:xfrm>
                  <a:prstGeom prst="rect">
                    <a:avLst/>
                  </a:prstGeom>
                </pic:spPr>
              </pic:pic>
            </a:graphicData>
          </a:graphic>
        </wp:anchor>
      </w:drawing>
    </w:r>
    <w:r w:rsidR="007F11F7">
      <w:rPr>
        <w:noProof/>
      </w:rPr>
      <mc:AlternateContent>
        <mc:Choice Requires="wps">
          <w:drawing>
            <wp:anchor distT="0" distB="0" distL="114300" distR="114300" simplePos="0" relativeHeight="251674624" behindDoc="0" locked="0" layoutInCell="1" allowOverlap="1" wp14:anchorId="009BEC62" wp14:editId="78C815A2">
              <wp:simplePos x="0" y="0"/>
              <wp:positionH relativeFrom="column">
                <wp:posOffset>0</wp:posOffset>
              </wp:positionH>
              <wp:positionV relativeFrom="paragraph">
                <wp:posOffset>-285750</wp:posOffset>
              </wp:positionV>
              <wp:extent cx="5734050" cy="6350"/>
              <wp:effectExtent l="0" t="0" r="19050" b="31750"/>
              <wp:wrapNone/>
              <wp:docPr id="1793590111" name="Connecteur droit 4"/>
              <wp:cNvGraphicFramePr/>
              <a:graphic xmlns:a="http://schemas.openxmlformats.org/drawingml/2006/main">
                <a:graphicData uri="http://schemas.microsoft.com/office/word/2010/wordprocessingShape">
                  <wps:wsp>
                    <wps:cNvCnPr/>
                    <wps:spPr>
                      <a:xfrm flipV="1">
                        <a:off x="0" y="0"/>
                        <a:ext cx="5734050" cy="6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FAF8E2" id="Connecteur droit 4"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5pt" to="45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" strokecolor="black [3200]" strokeweight="1.5pt">
              <v:stroke joinstyle="miter"/>
            </v:line>
          </w:pict>
        </mc:Fallback>
      </mc:AlternateContent>
    </w:r>
    <w:r w:rsidR="00224CCE">
      <w:rPr>
        <w:noProof/>
      </w:rPr>
      <mc:AlternateContent>
        <mc:Choice Requires="wps">
          <w:drawing>
            <wp:anchor distT="0" distB="0" distL="114300" distR="114300" simplePos="0" relativeHeight="251657214" behindDoc="0" locked="0" layoutInCell="1" allowOverlap="1" wp14:anchorId="2EF2E43C" wp14:editId="372AA4E5">
              <wp:simplePos x="0" y="0"/>
              <wp:positionH relativeFrom="page">
                <wp:posOffset>5670550</wp:posOffset>
              </wp:positionH>
              <wp:positionV relativeFrom="paragraph">
                <wp:posOffset>355600</wp:posOffset>
              </wp:positionV>
              <wp:extent cx="2406650" cy="323850"/>
              <wp:effectExtent l="0" t="0" r="0" b="0"/>
              <wp:wrapNone/>
              <wp:docPr id="626190094" name="Organigramme : Données 2"/>
              <wp:cNvGraphicFramePr/>
              <a:graphic xmlns:a="http://schemas.openxmlformats.org/drawingml/2006/main">
                <a:graphicData uri="http://schemas.microsoft.com/office/word/2010/wordprocessingShape">
                  <wps:wsp>
                    <wps:cNvSpPr/>
                    <wps:spPr>
                      <a:xfrm>
                        <a:off x="0" y="0"/>
                        <a:ext cx="2406650" cy="323850"/>
                      </a:xfrm>
                      <a:prstGeom prst="flowChartInputOutput">
                        <a:avLst/>
                      </a:prstGeom>
                      <a:solidFill>
                        <a:srgbClr val="B2C3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B460B47" id="_x0000_t111" coordsize="21600,21600" o:spt="111" path="m4321,l21600,,17204,21600,,21600xe">
              <v:stroke joinstyle="miter"/>
              <v:path gradientshapeok="t" o:connecttype="custom" o:connectlocs="12961,0;10800,0;2161,10800;8602,21600;10800,21600;19402,10800" textboxrect="4321,0,17204,21600"/>
            </v:shapetype>
            <v:shape id="Organigramme : Données 2" o:spid="_x0000_s1026" type="#_x0000_t111" style="position:absolute;margin-left:446.5pt;margin-top:28pt;width:189.5pt;height:25.5pt;z-index:25165721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" fillcolor="#b2c3d8" stroked="f" strokeweight="1pt">
              <w10:wrap anchorx="page"/>
            </v:shape>
          </w:pict>
        </mc:Fallback>
      </mc:AlternateContent>
    </w:r>
    <w:r w:rsidR="00224CCE">
      <w:rPr>
        <w:noProof/>
      </w:rPr>
      <mc:AlternateContent>
        <mc:Choice Requires="wps">
          <w:drawing>
            <wp:anchor distT="0" distB="0" distL="114300" distR="114300" simplePos="0" relativeHeight="251664384" behindDoc="0" locked="0" layoutInCell="1" allowOverlap="1" wp14:anchorId="7A04A986" wp14:editId="1FE86CB2">
              <wp:simplePos x="0" y="0"/>
              <wp:positionH relativeFrom="column">
                <wp:posOffset>5467350</wp:posOffset>
              </wp:positionH>
              <wp:positionV relativeFrom="paragraph">
                <wp:posOffset>285750</wp:posOffset>
              </wp:positionV>
              <wp:extent cx="1638300" cy="323850"/>
              <wp:effectExtent l="0" t="0" r="0" b="0"/>
              <wp:wrapNone/>
              <wp:docPr id="249532646" name="Organigramme : Données 2"/>
              <wp:cNvGraphicFramePr/>
              <a:graphic xmlns:a="http://schemas.openxmlformats.org/drawingml/2006/main">
                <a:graphicData uri="http://schemas.microsoft.com/office/word/2010/wordprocessingShape">
                  <wps:wsp>
                    <wps:cNvSpPr/>
                    <wps:spPr>
                      <a:xfrm>
                        <a:off x="0" y="0"/>
                        <a:ext cx="1638300" cy="323850"/>
                      </a:xfrm>
                      <a:prstGeom prst="flowChartInputOutpu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6675BE" id="Organigramme : Données 2" o:spid="_x0000_s1026" type="#_x0000_t111" style="position:absolute;margin-left:430.5pt;margin-top:22.5pt;width:129pt;height: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" fillcolor="#8eaadb [1940]" stroked="f" strokeweight="1pt"/>
          </w:pict>
        </mc:Fallback>
      </mc:AlternateContent>
    </w:r>
    <w:r w:rsidR="00B84C7B">
      <w:rPr>
        <w:noProof/>
      </w:rPr>
      <mc:AlternateContent>
        <mc:Choice Requires="wps">
          <w:drawing>
            <wp:anchor distT="0" distB="0" distL="114300" distR="114300" simplePos="0" relativeHeight="251661312" behindDoc="0" locked="0" layoutInCell="1" allowOverlap="1" wp14:anchorId="329EBB9C" wp14:editId="0E902C70">
              <wp:simplePos x="0" y="0"/>
              <wp:positionH relativeFrom="page">
                <wp:align>left</wp:align>
              </wp:positionH>
              <wp:positionV relativeFrom="paragraph">
                <wp:posOffset>469900</wp:posOffset>
              </wp:positionV>
              <wp:extent cx="7556500" cy="222250"/>
              <wp:effectExtent l="0" t="0" r="25400" b="25400"/>
              <wp:wrapNone/>
              <wp:docPr id="1863005865" name="Rectangle 1"/>
              <wp:cNvGraphicFramePr/>
              <a:graphic xmlns:a="http://schemas.openxmlformats.org/drawingml/2006/main">
                <a:graphicData uri="http://schemas.microsoft.com/office/word/2010/wordprocessingShape">
                  <wps:wsp>
                    <wps:cNvSpPr/>
                    <wps:spPr>
                      <a:xfrm>
                        <a:off x="0" y="0"/>
                        <a:ext cx="7556500" cy="22225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path path="circle">
                          <a:fillToRect l="100000" b="100000"/>
                        </a:path>
                        <a:tileRect t="-100000" r="-100000"/>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7D224" id="Rectangle 1" o:spid="_x0000_s1026" style="position:absolute;margin-left:0;margin-top:37pt;width:595pt;height:17.5pt;z-index:25166131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" fillcolor="#2a4a85 [2148]" strokecolor="#09101d [484]" strokeweight="1pt">
              <v:fill color2="#8eaadb [1940]" rotate="t" focusposition="1" focussize="" colors="0 #2a4b86;31457f #4a76c6;1 #8faadc" focus="100%" type="gradientRadial"/>
              <w10:wrap anchorx="page"/>
            </v:rect>
          </w:pict>
        </mc:Fallback>
      </mc:AlternateContent>
    </w:r>
    <w:r w:rsidR="006B54DA" w:rsidRPr="0031179D">
      <w:rPr>
        <w:lang w:val="de-DE"/>
      </w:rPr>
      <w:t>+</w:t>
    </w:r>
    <w:r w:rsidR="006B54DA" w:rsidRPr="00447682">
      <w:rPr>
        <w:b/>
        <w:bCs/>
        <w:color w:val="1F3864" w:themeColor="accent1" w:themeShade="80"/>
        <w:lang w:val="de-DE"/>
      </w:rPr>
      <w:t>41</w:t>
    </w:r>
    <w:r w:rsidR="0031179D" w:rsidRPr="00447682">
      <w:rPr>
        <w:b/>
        <w:bCs/>
        <w:color w:val="1F3864" w:themeColor="accent1" w:themeShade="80"/>
        <w:lang w:val="de-DE"/>
      </w:rPr>
      <w:t xml:space="preserve"> (0)76 242 18 93       </w:t>
    </w:r>
    <w:r w:rsidR="007F11F7" w:rsidRPr="00447682">
      <w:rPr>
        <w:b/>
        <w:bCs/>
        <w:color w:val="1F3864" w:themeColor="accent1" w:themeShade="80"/>
        <w:lang w:val="de-DE"/>
      </w:rPr>
      <w:t xml:space="preserve">   </w:t>
    </w:r>
    <w:r w:rsidR="0031179D" w:rsidRPr="00447682">
      <w:rPr>
        <w:b/>
        <w:bCs/>
        <w:color w:val="1F3864" w:themeColor="accent1" w:themeShade="80"/>
        <w:lang w:val="de-DE"/>
      </w:rPr>
      <w:t xml:space="preserve">           </w:t>
    </w:r>
    <w:hyperlink r:id="rId9" w:history="1">
      <w:r w:rsidR="0031179D" w:rsidRPr="00447682">
        <w:rPr>
          <w:rStyle w:val="Hyperlink"/>
          <w:b/>
          <w:bCs/>
          <w:color w:val="1F3864" w:themeColor="accent1" w:themeShade="80"/>
          <w:lang w:val="de-DE"/>
        </w:rPr>
        <w:t>contact@zagros-centre.org</w:t>
      </w:r>
    </w:hyperlink>
    <w:r w:rsidR="0031179D" w:rsidRPr="00447682">
      <w:rPr>
        <w:b/>
        <w:bCs/>
        <w:color w:val="1F3864" w:themeColor="accent1" w:themeShade="80"/>
        <w:lang w:val="de-DE"/>
      </w:rPr>
      <w:t xml:space="preserve">              www.zagros-centre.org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5A921" w14:textId="77777777" w:rsidR="00180FCB" w:rsidRDefault="00180FCB" w:rsidP="008D2CC7">
      <w:pPr>
        <w:spacing w:after="0" w:line="240" w:lineRule="auto"/>
      </w:pPr>
      <w:r>
        <w:separator/>
      </w:r>
    </w:p>
  </w:footnote>
  <w:footnote w:type="continuationSeparator" w:id="0">
    <w:p w14:paraId="3BB6FB23" w14:textId="77777777" w:rsidR="00180FCB" w:rsidRDefault="00180FCB" w:rsidP="008D2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508DC" w14:textId="69C0E7CC" w:rsidR="008D2CC7" w:rsidRDefault="00A5064D">
    <w:pPr>
      <w:pStyle w:val="Header"/>
    </w:pPr>
    <w:r>
      <w:rPr>
        <w:noProof/>
      </w:rPr>
      <w:drawing>
        <wp:anchor distT="0" distB="0" distL="114300" distR="114300" simplePos="0" relativeHeight="251681792" behindDoc="0" locked="0" layoutInCell="1" allowOverlap="1" wp14:anchorId="080B3CAD" wp14:editId="137C3652">
          <wp:simplePos x="0" y="0"/>
          <wp:positionH relativeFrom="margin">
            <wp:posOffset>5080000</wp:posOffset>
          </wp:positionH>
          <wp:positionV relativeFrom="paragraph">
            <wp:posOffset>-196850</wp:posOffset>
          </wp:positionV>
          <wp:extent cx="596900" cy="596900"/>
          <wp:effectExtent l="0" t="0" r="0" b="0"/>
          <wp:wrapNone/>
          <wp:docPr id="2145582543" name="Image 3" descr="Une image contenant oiseau, text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82543" name="Image 3" descr="Une image contenant oiseau, texte, logo&#10;&#10;Le contenu généré par l’IA peut être incorrect."/>
                  <pic:cNvPicPr/>
                </pic:nvPicPr>
                <pic:blipFill>
                  <a:blip r:embed="rId1">
                    <a:extLst>
                      <a:ext uri="{BEBA8EAE-BF5A-486C-A8C5-ECC9F3942E4B}">
                        <a14:imgProps xmlns:a14="http://schemas.microsoft.com/office/drawing/2010/main">
                          <a14:imgLayer r:embed="rId2">
                            <a14:imgEffect>
                              <a14:colorTemperature colorTemp="53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96900" cy="596900"/>
                  </a:xfrm>
                  <a:prstGeom prst="rect">
                    <a:avLst/>
                  </a:prstGeom>
                </pic:spPr>
              </pic:pic>
            </a:graphicData>
          </a:graphic>
          <wp14:sizeRelH relativeFrom="margin">
            <wp14:pctWidth>0</wp14:pctWidth>
          </wp14:sizeRelH>
          <wp14:sizeRelV relativeFrom="margin">
            <wp14:pctHeight>0</wp14:pctHeight>
          </wp14:sizeRelV>
        </wp:anchor>
      </w:drawing>
    </w:r>
    <w:sdt>
      <w:sdtPr>
        <w:id w:val="2074770630"/>
        <w:docPartObj>
          <w:docPartGallery w:val="Page Numbers (Margins)"/>
          <w:docPartUnique/>
        </w:docPartObj>
      </w:sdtPr>
      <w:sdtEndPr/>
      <w:sdtContent>
        <w:r w:rsidR="00CD33F1">
          <w:rPr>
            <w:noProof/>
          </w:rPr>
          <mc:AlternateContent>
            <mc:Choice Requires="wps">
              <w:drawing>
                <wp:anchor distT="0" distB="0" distL="114300" distR="114300" simplePos="0" relativeHeight="251683840" behindDoc="0" locked="0" layoutInCell="0" allowOverlap="1" wp14:anchorId="6716B248" wp14:editId="1338CC38">
                  <wp:simplePos x="0" y="0"/>
                  <wp:positionH relativeFrom="rightMargin">
                    <wp:align>center</wp:align>
                  </wp:positionH>
                  <wp:positionV relativeFrom="margin">
                    <wp:align>bottom</wp:align>
                  </wp:positionV>
                  <wp:extent cx="510540" cy="2183130"/>
                  <wp:effectExtent l="0" t="0" r="3810" b="0"/>
                  <wp:wrapNone/>
                  <wp:docPr id="56384292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C26CDD" w14:textId="74B14CCE" w:rsidR="00CD33F1" w:rsidRDefault="00CD33F1">
                              <w:pPr>
                                <w:pStyle w:val="Footer"/>
                                <w:rPr>
                                  <w:rFonts w:asciiTheme="majorHAnsi" w:eastAsiaTheme="majorEastAsia" w:hAnsiTheme="majorHAnsi" w:cstheme="majorBidi"/>
                                  <w:sz w:val="44"/>
                                  <w:szCs w:val="44"/>
                                </w:rPr>
                              </w:pPr>
                              <w:r>
                                <w:rPr>
                                  <w:rFonts w:asciiTheme="majorHAnsi" w:eastAsiaTheme="majorEastAsia" w:hAnsiTheme="majorHAnsi" w:cstheme="majorBidi"/>
                                  <w:lang w:val="fr-FR"/>
                                </w:rPr>
                                <w:t>Page</w:t>
                              </w:r>
                              <w:r w:rsidRPr="00C57FA0">
                                <w:rPr>
                                  <w:rFonts w:eastAsiaTheme="minorEastAsia" w:cs="Times New Roman"/>
                                  <w:sz w:val="28"/>
                                  <w:szCs w:val="28"/>
                                </w:rPr>
                                <w:fldChar w:fldCharType="begin"/>
                              </w:r>
                              <w:r w:rsidRPr="00C57FA0">
                                <w:rPr>
                                  <w:sz w:val="28"/>
                                  <w:szCs w:val="28"/>
                                </w:rPr>
                                <w:instrText>PAGE    \* MERGEFORMAT</w:instrText>
                              </w:r>
                              <w:r w:rsidRPr="00C57FA0">
                                <w:rPr>
                                  <w:rFonts w:eastAsiaTheme="minorEastAsia" w:cs="Times New Roman"/>
                                  <w:sz w:val="28"/>
                                  <w:szCs w:val="28"/>
                                </w:rPr>
                                <w:fldChar w:fldCharType="separate"/>
                              </w:r>
                              <w:r w:rsidRPr="00C57FA0">
                                <w:rPr>
                                  <w:rFonts w:asciiTheme="majorHAnsi" w:eastAsiaTheme="majorEastAsia" w:hAnsiTheme="majorHAnsi" w:cstheme="majorBidi"/>
                                  <w:sz w:val="28"/>
                                  <w:szCs w:val="28"/>
                                  <w:lang w:val="fr-FR"/>
                                </w:rPr>
                                <w:t>2</w:t>
                              </w:r>
                              <w:r w:rsidRPr="00C57FA0">
                                <w:rPr>
                                  <w:rFonts w:asciiTheme="majorHAnsi" w:eastAsiaTheme="majorEastAsia" w:hAnsiTheme="majorHAnsi" w:cstheme="majorBidi"/>
                                  <w:sz w:val="28"/>
                                  <w:szCs w:val="28"/>
                                </w:rPr>
                                <w:fldChar w:fldCharType="end"/>
                              </w:r>
                              <w:r w:rsidRPr="00C57FA0">
                                <w:rPr>
                                  <w:rFonts w:asciiTheme="majorHAnsi" w:eastAsiaTheme="majorEastAsia" w:hAnsiTheme="majorHAnsi" w:cstheme="majorBidi"/>
                                  <w:sz w:val="28"/>
                                  <w:szCs w:val="28"/>
                                </w:rPr>
                                <w:t>/5</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716B248" id="Rectangle 1" o:spid="_x0000_s1026" style="position:absolute;margin-left:0;margin-top:0;width:40.2pt;height:171.9pt;z-index:2516838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CC26CDD" w14:textId="74B14CCE" w:rsidR="00CD33F1" w:rsidRDefault="00CD33F1">
                        <w:pPr>
                          <w:pStyle w:val="Pieddepage"/>
                          <w:rPr>
                            <w:rFonts w:asciiTheme="majorHAnsi" w:eastAsiaTheme="majorEastAsia" w:hAnsiTheme="majorHAnsi" w:cstheme="majorBidi"/>
                            <w:sz w:val="44"/>
                            <w:szCs w:val="44"/>
                          </w:rPr>
                        </w:pPr>
                        <w:r>
                          <w:rPr>
                            <w:rFonts w:asciiTheme="majorHAnsi" w:eastAsiaTheme="majorEastAsia" w:hAnsiTheme="majorHAnsi" w:cstheme="majorBidi"/>
                            <w:lang w:val="fr-FR"/>
                          </w:rPr>
                          <w:t>Page</w:t>
                        </w:r>
                        <w:r w:rsidRPr="00C57FA0">
                          <w:rPr>
                            <w:rFonts w:eastAsiaTheme="minorEastAsia" w:cs="Times New Roman"/>
                            <w:sz w:val="28"/>
                            <w:szCs w:val="28"/>
                          </w:rPr>
                          <w:fldChar w:fldCharType="begin"/>
                        </w:r>
                        <w:r w:rsidRPr="00C57FA0">
                          <w:rPr>
                            <w:sz w:val="28"/>
                            <w:szCs w:val="28"/>
                          </w:rPr>
                          <w:instrText>PAGE    \* MERGEFORMAT</w:instrText>
                        </w:r>
                        <w:r w:rsidRPr="00C57FA0">
                          <w:rPr>
                            <w:rFonts w:eastAsiaTheme="minorEastAsia" w:cs="Times New Roman"/>
                            <w:sz w:val="28"/>
                            <w:szCs w:val="28"/>
                          </w:rPr>
                          <w:fldChar w:fldCharType="separate"/>
                        </w:r>
                        <w:r w:rsidRPr="00C57FA0">
                          <w:rPr>
                            <w:rFonts w:asciiTheme="majorHAnsi" w:eastAsiaTheme="majorEastAsia" w:hAnsiTheme="majorHAnsi" w:cstheme="majorBidi"/>
                            <w:sz w:val="28"/>
                            <w:szCs w:val="28"/>
                            <w:lang w:val="fr-FR"/>
                          </w:rPr>
                          <w:t>2</w:t>
                        </w:r>
                        <w:r w:rsidRPr="00C57FA0">
                          <w:rPr>
                            <w:rFonts w:asciiTheme="majorHAnsi" w:eastAsiaTheme="majorEastAsia" w:hAnsiTheme="majorHAnsi" w:cstheme="majorBidi"/>
                            <w:sz w:val="28"/>
                            <w:szCs w:val="28"/>
                          </w:rPr>
                          <w:fldChar w:fldCharType="end"/>
                        </w:r>
                        <w:r w:rsidRPr="00C57FA0">
                          <w:rPr>
                            <w:rFonts w:asciiTheme="majorHAnsi" w:eastAsiaTheme="majorEastAsia" w:hAnsiTheme="majorHAnsi" w:cstheme="majorBidi"/>
                            <w:sz w:val="28"/>
                            <w:szCs w:val="28"/>
                          </w:rPr>
                          <w:t>/5</w:t>
                        </w:r>
                      </w:p>
                    </w:txbxContent>
                  </v:textbox>
                  <w10:wrap anchorx="margin" anchory="margin"/>
                </v:rect>
              </w:pict>
            </mc:Fallback>
          </mc:AlternateContent>
        </w:r>
      </w:sdtContent>
    </w:sdt>
    <w:r w:rsidR="007724A1">
      <w:rPr>
        <w:noProof/>
      </w:rPr>
      <mc:AlternateContent>
        <mc:Choice Requires="wps">
          <w:drawing>
            <wp:anchor distT="0" distB="0" distL="114300" distR="114300" simplePos="0" relativeHeight="251669504" behindDoc="0" locked="0" layoutInCell="1" allowOverlap="1" wp14:anchorId="11BAD7F3" wp14:editId="47FB5321">
              <wp:simplePos x="0" y="0"/>
              <wp:positionH relativeFrom="margin">
                <wp:align>center</wp:align>
              </wp:positionH>
              <wp:positionV relativeFrom="paragraph">
                <wp:posOffset>-247650</wp:posOffset>
              </wp:positionV>
              <wp:extent cx="1828800" cy="1828800"/>
              <wp:effectExtent l="0" t="0" r="0" b="0"/>
              <wp:wrapNone/>
              <wp:docPr id="2015681197" name="Zone de text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057338" w14:textId="77777777" w:rsidR="00000AEE" w:rsidRPr="007724A1" w:rsidRDefault="00000AEE" w:rsidP="00000AEE">
                          <w:pPr>
                            <w:pStyle w:val="Header"/>
                            <w:jc w:val="center"/>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24A1">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 ZAGROS POUR LES DROITS DE L’HOMME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1BAD7F3" id="_x0000_t202" coordsize="21600,21600" o:spt="202" path="m,l,21600r21600,l21600,xe">
              <v:stroke joinstyle="miter"/>
              <v:path gradientshapeok="t" o:connecttype="rect"/>
            </v:shapetype>
            <v:shape id="Zone de texte 1" o:spid="_x0000_s1027" type="#_x0000_t202" style="position:absolute;margin-left:0;margin-top:-19.5pt;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" filled="f" stroked="f">
              <v:textbox style="mso-fit-shape-to-text:t">
                <w:txbxContent>
                  <w:p w14:paraId="4C057338" w14:textId="77777777" w:rsidR="00000AEE" w:rsidRPr="007724A1" w:rsidRDefault="00000AEE" w:rsidP="00000AEE">
                    <w:pPr>
                      <w:pStyle w:val="En-tte"/>
                      <w:jc w:val="center"/>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24A1">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 ZAGROS POUR LES DROITS DE L’HOMME</w:t>
                    </w:r>
                  </w:p>
                </w:txbxContent>
              </v:textbox>
              <w10:wrap anchorx="margin"/>
            </v:shape>
          </w:pict>
        </mc:Fallback>
      </mc:AlternateContent>
    </w:r>
    <w:r w:rsidR="00474445">
      <w:rPr>
        <w:noProof/>
      </w:rPr>
      <mc:AlternateContent>
        <mc:Choice Requires="wps">
          <w:drawing>
            <wp:anchor distT="0" distB="0" distL="114300" distR="114300" simplePos="0" relativeHeight="251671552" behindDoc="0" locked="0" layoutInCell="1" allowOverlap="1" wp14:anchorId="0FB0E844" wp14:editId="10CB32ED">
              <wp:simplePos x="0" y="0"/>
              <wp:positionH relativeFrom="margin">
                <wp:posOffset>1373505</wp:posOffset>
              </wp:positionH>
              <wp:positionV relativeFrom="paragraph">
                <wp:posOffset>109220</wp:posOffset>
              </wp:positionV>
              <wp:extent cx="3987800" cy="311150"/>
              <wp:effectExtent l="0" t="0" r="0" b="0"/>
              <wp:wrapNone/>
              <wp:docPr id="170573297" name="Zone de texte 1"/>
              <wp:cNvGraphicFramePr/>
              <a:graphic xmlns:a="http://schemas.openxmlformats.org/drawingml/2006/main">
                <a:graphicData uri="http://schemas.microsoft.com/office/word/2010/wordprocessingShape">
                  <wps:wsp>
                    <wps:cNvSpPr txBox="1"/>
                    <wps:spPr>
                      <a:xfrm>
                        <a:off x="0" y="0"/>
                        <a:ext cx="3987800" cy="311150"/>
                      </a:xfrm>
                      <a:prstGeom prst="rect">
                        <a:avLst/>
                      </a:prstGeom>
                      <a:noFill/>
                      <a:ln>
                        <a:noFill/>
                      </a:ln>
                    </wps:spPr>
                    <wps:txbx>
                      <w:txbxContent>
                        <w:p w14:paraId="1B059B12" w14:textId="77777777" w:rsidR="002270ED" w:rsidRPr="00CB78DD" w:rsidRDefault="002270ED" w:rsidP="002270ED">
                          <w:pPr>
                            <w:spacing w:after="0"/>
                            <w:rPr>
                              <w:rFonts w:ascii="Antonio SemiBold" w:hAnsi="Antonio SemiBold"/>
                              <w:bCs/>
                              <w:i/>
                              <w:iCs/>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8DD">
                            <w:rPr>
                              <w:rStyle w:val="Emphasis"/>
                              <w:rFonts w:ascii="Antonio SemiBold" w:hAnsi="Antonio SemiBold"/>
                              <w:bCs/>
                              <w:i w:val="0"/>
                              <w:iCs w:val="0"/>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NGO in consultative status with ECOSOC</w:t>
                          </w:r>
                        </w:p>
                        <w:p w14:paraId="411AB70A" w14:textId="77777777" w:rsidR="00923E7C" w:rsidRPr="00474445" w:rsidRDefault="00923E7C" w:rsidP="00923E7C">
                          <w:pPr>
                            <w:pStyle w:val="Header"/>
                            <w:jc w:val="center"/>
                            <w:rPr>
                              <w:bCs/>
                              <w:noProof/>
                              <w:color w:val="4472C4"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0E844" id="_x0000_s1028" type="#_x0000_t202" style="position:absolute;margin-left:108.15pt;margin-top:8.6pt;width:314pt;height:2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" filled="f" stroked="f">
              <v:textbox>
                <w:txbxContent>
                  <w:p w14:paraId="1B059B12" w14:textId="77777777" w:rsidR="002270ED" w:rsidRPr="00CB78DD" w:rsidRDefault="002270ED" w:rsidP="002270ED">
                    <w:pPr>
                      <w:spacing w:after="0"/>
                      <w:rPr>
                        <w:rFonts w:ascii="Antonio SemiBold" w:hAnsi="Antonio SemiBold"/>
                        <w:bCs/>
                        <w:i/>
                        <w:iCs/>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8DD">
                      <w:rPr>
                        <w:rStyle w:val="Accentuation"/>
                        <w:rFonts w:ascii="Antonio SemiBold" w:hAnsi="Antonio SemiBold"/>
                        <w:bCs/>
                        <w:i w:val="0"/>
                        <w:iCs w:val="0"/>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NGO in consultative status with ECOSOC</w:t>
                    </w:r>
                  </w:p>
                  <w:p w14:paraId="411AB70A" w14:textId="77777777" w:rsidR="00923E7C" w:rsidRPr="00474445" w:rsidRDefault="00923E7C" w:rsidP="00923E7C">
                    <w:pPr>
                      <w:pStyle w:val="En-tte"/>
                      <w:jc w:val="center"/>
                      <w:rPr>
                        <w:bCs/>
                        <w:noProof/>
                        <w:color w:val="4472C4"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13596A">
      <w:rPr>
        <w:noProof/>
      </w:rPr>
      <mc:AlternateContent>
        <mc:Choice Requires="wps">
          <w:drawing>
            <wp:anchor distT="0" distB="0" distL="114300" distR="114300" simplePos="0" relativeHeight="251672576" behindDoc="0" locked="0" layoutInCell="1" allowOverlap="1" wp14:anchorId="5E6D66BE" wp14:editId="260B6D27">
              <wp:simplePos x="0" y="0"/>
              <wp:positionH relativeFrom="column">
                <wp:posOffset>-31750</wp:posOffset>
              </wp:positionH>
              <wp:positionV relativeFrom="paragraph">
                <wp:posOffset>433070</wp:posOffset>
              </wp:positionV>
              <wp:extent cx="5734050" cy="6350"/>
              <wp:effectExtent l="0" t="0" r="19050" b="31750"/>
              <wp:wrapNone/>
              <wp:docPr id="1180651993" name="Connecteur droit 4"/>
              <wp:cNvGraphicFramePr/>
              <a:graphic xmlns:a="http://schemas.openxmlformats.org/drawingml/2006/main">
                <a:graphicData uri="http://schemas.microsoft.com/office/word/2010/wordprocessingShape">
                  <wps:wsp>
                    <wps:cNvCnPr/>
                    <wps:spPr>
                      <a:xfrm flipV="1">
                        <a:off x="0" y="0"/>
                        <a:ext cx="5734050" cy="6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FADC6" id="Connecteur droit 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4.1pt" to="449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" strokecolor="black [3200]" strokeweight="1.5pt">
              <v:stroke joinstyle="miter"/>
            </v:line>
          </w:pict>
        </mc:Fallback>
      </mc:AlternateContent>
    </w:r>
    <w:r w:rsidR="00A05865">
      <w:rPr>
        <w:noProof/>
      </w:rPr>
      <mc:AlternateContent>
        <mc:Choice Requires="wps">
          <w:drawing>
            <wp:anchor distT="0" distB="0" distL="114300" distR="114300" simplePos="0" relativeHeight="251666432" behindDoc="0" locked="0" layoutInCell="1" allowOverlap="1" wp14:anchorId="1F673AC0" wp14:editId="56459976">
              <wp:simplePos x="0" y="0"/>
              <wp:positionH relativeFrom="column">
                <wp:posOffset>-1206500</wp:posOffset>
              </wp:positionH>
              <wp:positionV relativeFrom="paragraph">
                <wp:posOffset>-451485</wp:posOffset>
              </wp:positionV>
              <wp:extent cx="1638300" cy="323850"/>
              <wp:effectExtent l="0" t="0" r="0" b="0"/>
              <wp:wrapNone/>
              <wp:docPr id="2029343467" name="Organigramme : Données 2"/>
              <wp:cNvGraphicFramePr/>
              <a:graphic xmlns:a="http://schemas.openxmlformats.org/drawingml/2006/main">
                <a:graphicData uri="http://schemas.microsoft.com/office/word/2010/wordprocessingShape">
                  <wps:wsp>
                    <wps:cNvSpPr/>
                    <wps:spPr>
                      <a:xfrm>
                        <a:off x="0" y="0"/>
                        <a:ext cx="1638300" cy="323850"/>
                      </a:xfrm>
                      <a:prstGeom prst="flowChartInputOutpu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4BE6FC" id="_x0000_t111" coordsize="21600,21600" o:spt="111" path="m4321,l21600,,17204,21600,,21600xe">
              <v:stroke joinstyle="miter"/>
              <v:path gradientshapeok="t" o:connecttype="custom" o:connectlocs="12961,0;10800,0;2161,10800;8602,21600;10800,21600;19402,10800" textboxrect="4321,0,17204,21600"/>
            </v:shapetype>
            <v:shape id="Organigramme : Données 2" o:spid="_x0000_s1026" type="#_x0000_t111" style="position:absolute;margin-left:-95pt;margin-top:-35.55pt;width:129pt;height:2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" fillcolor="#8eaadb [1940]" stroked="f" strokeweight="1pt"/>
          </w:pict>
        </mc:Fallback>
      </mc:AlternateContent>
    </w:r>
    <w:r w:rsidR="006C73B4">
      <w:rPr>
        <w:noProof/>
      </w:rPr>
      <mc:AlternateContent>
        <mc:Choice Requires="wps">
          <w:drawing>
            <wp:anchor distT="0" distB="0" distL="114300" distR="114300" simplePos="0" relativeHeight="251658239" behindDoc="0" locked="0" layoutInCell="1" allowOverlap="1" wp14:anchorId="471D292C" wp14:editId="44C146A4">
              <wp:simplePos x="0" y="0"/>
              <wp:positionH relativeFrom="page">
                <wp:posOffset>-368300</wp:posOffset>
              </wp:positionH>
              <wp:positionV relativeFrom="paragraph">
                <wp:posOffset>-519430</wp:posOffset>
              </wp:positionV>
              <wp:extent cx="2406650" cy="323850"/>
              <wp:effectExtent l="0" t="0" r="0" b="0"/>
              <wp:wrapNone/>
              <wp:docPr id="721811469" name="Organigramme : Données 2"/>
              <wp:cNvGraphicFramePr/>
              <a:graphic xmlns:a="http://schemas.openxmlformats.org/drawingml/2006/main">
                <a:graphicData uri="http://schemas.microsoft.com/office/word/2010/wordprocessingShape">
                  <wps:wsp>
                    <wps:cNvSpPr/>
                    <wps:spPr>
                      <a:xfrm>
                        <a:off x="0" y="0"/>
                        <a:ext cx="2406650" cy="323850"/>
                      </a:xfrm>
                      <a:prstGeom prst="flowChartInputOutput">
                        <a:avLst/>
                      </a:prstGeom>
                      <a:solidFill>
                        <a:srgbClr val="B2C3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78D23A8" id="Organigramme : Données 2" o:spid="_x0000_s1026" type="#_x0000_t111" style="position:absolute;margin-left:-29pt;margin-top:-40.9pt;width:189.5pt;height:25.5pt;z-index:251658239;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" fillcolor="#b2c3d8" stroked="f" strokeweight="1pt">
              <w10:wrap anchorx="page"/>
            </v:shape>
          </w:pict>
        </mc:Fallback>
      </mc:AlternateContent>
    </w:r>
    <w:r w:rsidR="008D2CC7">
      <w:rPr>
        <w:noProof/>
      </w:rPr>
      <mc:AlternateContent>
        <mc:Choice Requires="wps">
          <w:drawing>
            <wp:anchor distT="0" distB="0" distL="114300" distR="114300" simplePos="0" relativeHeight="251659264" behindDoc="0" locked="0" layoutInCell="1" allowOverlap="1" wp14:anchorId="45BFCA42" wp14:editId="69BF2728">
              <wp:simplePos x="0" y="0"/>
              <wp:positionH relativeFrom="column">
                <wp:posOffset>-914400</wp:posOffset>
              </wp:positionH>
              <wp:positionV relativeFrom="paragraph">
                <wp:posOffset>-513080</wp:posOffset>
              </wp:positionV>
              <wp:extent cx="7556500" cy="222250"/>
              <wp:effectExtent l="0" t="0" r="6350" b="6350"/>
              <wp:wrapNone/>
              <wp:docPr id="220172259" name="Rectangle 1"/>
              <wp:cNvGraphicFramePr/>
              <a:graphic xmlns:a="http://schemas.openxmlformats.org/drawingml/2006/main">
                <a:graphicData uri="http://schemas.microsoft.com/office/word/2010/wordprocessingShape">
                  <wps:wsp>
                    <wps:cNvSpPr/>
                    <wps:spPr>
                      <a:xfrm>
                        <a:off x="0" y="0"/>
                        <a:ext cx="7556500" cy="22225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path path="circle">
                          <a:fillToRect t="100000" r="100000"/>
                        </a:path>
                        <a:tileRect l="-100000" b="-100000"/>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61874" id="Rectangle 1" o:spid="_x0000_s1026" style="position:absolute;margin-left:-1in;margin-top:-40.4pt;width:595pt;height: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" fillcolor="#2a4a85 [2148]" stroked="f" strokeweight="1pt">
              <v:fill color2="#8eaadb [1940]" rotate="t" focusposition=",1" focussize="" colors="0 #2a4b86;31457f #4a76c6;1 #8faadc" focus="100%" type="gradientRadial"/>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116F2"/>
    <w:multiLevelType w:val="multilevel"/>
    <w:tmpl w:val="F9B41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E87A99"/>
    <w:multiLevelType w:val="multilevel"/>
    <w:tmpl w:val="39B6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134427">
    <w:abstractNumId w:val="1"/>
  </w:num>
  <w:num w:numId="2" w16cid:durableId="1688561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70"/>
    <w:rsid w:val="00000AEE"/>
    <w:rsid w:val="00020B0E"/>
    <w:rsid w:val="0007288A"/>
    <w:rsid w:val="00073F98"/>
    <w:rsid w:val="0013596A"/>
    <w:rsid w:val="00152EE3"/>
    <w:rsid w:val="00171068"/>
    <w:rsid w:val="00180FCB"/>
    <w:rsid w:val="001B1AED"/>
    <w:rsid w:val="001F0848"/>
    <w:rsid w:val="001F3336"/>
    <w:rsid w:val="00214B20"/>
    <w:rsid w:val="00215C65"/>
    <w:rsid w:val="00224CCE"/>
    <w:rsid w:val="002270ED"/>
    <w:rsid w:val="0023089B"/>
    <w:rsid w:val="002B0F36"/>
    <w:rsid w:val="0031179D"/>
    <w:rsid w:val="003F2204"/>
    <w:rsid w:val="00410BDD"/>
    <w:rsid w:val="00447682"/>
    <w:rsid w:val="00474445"/>
    <w:rsid w:val="00543BEF"/>
    <w:rsid w:val="006071EF"/>
    <w:rsid w:val="00607F35"/>
    <w:rsid w:val="00621603"/>
    <w:rsid w:val="0062373F"/>
    <w:rsid w:val="006B54DA"/>
    <w:rsid w:val="006C73B4"/>
    <w:rsid w:val="007724A1"/>
    <w:rsid w:val="00787BE9"/>
    <w:rsid w:val="007F11F7"/>
    <w:rsid w:val="00861E18"/>
    <w:rsid w:val="00866B23"/>
    <w:rsid w:val="00883B42"/>
    <w:rsid w:val="008B0CBA"/>
    <w:rsid w:val="008D2CC7"/>
    <w:rsid w:val="00923E7C"/>
    <w:rsid w:val="009F7370"/>
    <w:rsid w:val="00A00E2F"/>
    <w:rsid w:val="00A05865"/>
    <w:rsid w:val="00A4201C"/>
    <w:rsid w:val="00A5064D"/>
    <w:rsid w:val="00A7627C"/>
    <w:rsid w:val="00AF7583"/>
    <w:rsid w:val="00B55693"/>
    <w:rsid w:val="00B84C7B"/>
    <w:rsid w:val="00BB0F96"/>
    <w:rsid w:val="00C01F9D"/>
    <w:rsid w:val="00C275FD"/>
    <w:rsid w:val="00C57FA0"/>
    <w:rsid w:val="00C85335"/>
    <w:rsid w:val="00C926A1"/>
    <w:rsid w:val="00CB78DD"/>
    <w:rsid w:val="00CD33F1"/>
    <w:rsid w:val="00CE4457"/>
    <w:rsid w:val="00D57677"/>
    <w:rsid w:val="00EA0C14"/>
    <w:rsid w:val="00EA3B4A"/>
    <w:rsid w:val="00ED183C"/>
    <w:rsid w:val="00F01D34"/>
    <w:rsid w:val="00F2606E"/>
    <w:rsid w:val="00F51C6C"/>
    <w:rsid w:val="00FB191A"/>
    <w:rsid w:val="00FB5F93"/>
    <w:rsid w:val="00FE26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6A00"/>
  <w15:chartTrackingRefBased/>
  <w15:docId w15:val="{CA042AC0-5C5A-4498-9055-D7A648838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C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2C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2C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2C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2C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2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C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2C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2C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2C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2C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2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CC7"/>
    <w:rPr>
      <w:rFonts w:eastAsiaTheme="majorEastAsia" w:cstheme="majorBidi"/>
      <w:color w:val="272727" w:themeColor="text1" w:themeTint="D8"/>
    </w:rPr>
  </w:style>
  <w:style w:type="paragraph" w:styleId="Title">
    <w:name w:val="Title"/>
    <w:basedOn w:val="Normal"/>
    <w:next w:val="Normal"/>
    <w:link w:val="TitleChar"/>
    <w:uiPriority w:val="10"/>
    <w:qFormat/>
    <w:rsid w:val="008D2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CC7"/>
    <w:pPr>
      <w:spacing w:before="160"/>
      <w:jc w:val="center"/>
    </w:pPr>
    <w:rPr>
      <w:i/>
      <w:iCs/>
      <w:color w:val="404040" w:themeColor="text1" w:themeTint="BF"/>
    </w:rPr>
  </w:style>
  <w:style w:type="character" w:customStyle="1" w:styleId="QuoteChar">
    <w:name w:val="Quote Char"/>
    <w:basedOn w:val="DefaultParagraphFont"/>
    <w:link w:val="Quote"/>
    <w:uiPriority w:val="29"/>
    <w:rsid w:val="008D2CC7"/>
    <w:rPr>
      <w:i/>
      <w:iCs/>
      <w:color w:val="404040" w:themeColor="text1" w:themeTint="BF"/>
    </w:rPr>
  </w:style>
  <w:style w:type="paragraph" w:styleId="ListParagraph">
    <w:name w:val="List Paragraph"/>
    <w:basedOn w:val="Normal"/>
    <w:uiPriority w:val="34"/>
    <w:qFormat/>
    <w:rsid w:val="008D2CC7"/>
    <w:pPr>
      <w:ind w:left="720"/>
      <w:contextualSpacing/>
    </w:pPr>
  </w:style>
  <w:style w:type="character" w:styleId="IntenseEmphasis">
    <w:name w:val="Intense Emphasis"/>
    <w:basedOn w:val="DefaultParagraphFont"/>
    <w:uiPriority w:val="21"/>
    <w:qFormat/>
    <w:rsid w:val="008D2CC7"/>
    <w:rPr>
      <w:i/>
      <w:iCs/>
      <w:color w:val="2F5496" w:themeColor="accent1" w:themeShade="BF"/>
    </w:rPr>
  </w:style>
  <w:style w:type="paragraph" w:styleId="IntenseQuote">
    <w:name w:val="Intense Quote"/>
    <w:basedOn w:val="Normal"/>
    <w:next w:val="Normal"/>
    <w:link w:val="IntenseQuoteChar"/>
    <w:uiPriority w:val="30"/>
    <w:qFormat/>
    <w:rsid w:val="008D2C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2CC7"/>
    <w:rPr>
      <w:i/>
      <w:iCs/>
      <w:color w:val="2F5496" w:themeColor="accent1" w:themeShade="BF"/>
    </w:rPr>
  </w:style>
  <w:style w:type="character" w:styleId="IntenseReference">
    <w:name w:val="Intense Reference"/>
    <w:basedOn w:val="DefaultParagraphFont"/>
    <w:uiPriority w:val="32"/>
    <w:qFormat/>
    <w:rsid w:val="008D2CC7"/>
    <w:rPr>
      <w:b/>
      <w:bCs/>
      <w:smallCaps/>
      <w:color w:val="2F5496" w:themeColor="accent1" w:themeShade="BF"/>
      <w:spacing w:val="5"/>
    </w:rPr>
  </w:style>
  <w:style w:type="paragraph" w:styleId="Header">
    <w:name w:val="header"/>
    <w:basedOn w:val="Normal"/>
    <w:link w:val="HeaderChar"/>
    <w:uiPriority w:val="99"/>
    <w:unhideWhenUsed/>
    <w:rsid w:val="008D2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CC7"/>
  </w:style>
  <w:style w:type="paragraph" w:styleId="Footer">
    <w:name w:val="footer"/>
    <w:basedOn w:val="Normal"/>
    <w:link w:val="FooterChar"/>
    <w:uiPriority w:val="99"/>
    <w:unhideWhenUsed/>
    <w:rsid w:val="008D2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CC7"/>
  </w:style>
  <w:style w:type="character" w:styleId="Emphasis">
    <w:name w:val="Emphasis"/>
    <w:basedOn w:val="DefaultParagraphFont"/>
    <w:uiPriority w:val="20"/>
    <w:qFormat/>
    <w:rsid w:val="002270ED"/>
    <w:rPr>
      <w:i/>
      <w:iCs/>
    </w:rPr>
  </w:style>
  <w:style w:type="paragraph" w:styleId="NoSpacing">
    <w:name w:val="No Spacing"/>
    <w:link w:val="NoSpacingChar"/>
    <w:uiPriority w:val="1"/>
    <w:qFormat/>
    <w:rsid w:val="006B54DA"/>
    <w:pPr>
      <w:spacing w:after="0" w:line="240" w:lineRule="auto"/>
    </w:pPr>
    <w:rPr>
      <w:rFonts w:eastAsiaTheme="minorEastAsia"/>
      <w:lang w:eastAsia="fr-CH"/>
    </w:rPr>
  </w:style>
  <w:style w:type="character" w:customStyle="1" w:styleId="NoSpacingChar">
    <w:name w:val="No Spacing Char"/>
    <w:basedOn w:val="DefaultParagraphFont"/>
    <w:link w:val="NoSpacing"/>
    <w:uiPriority w:val="1"/>
    <w:rsid w:val="006B54DA"/>
    <w:rPr>
      <w:rFonts w:eastAsiaTheme="minorEastAsia"/>
      <w:lang w:eastAsia="fr-CH"/>
    </w:rPr>
  </w:style>
  <w:style w:type="character" w:styleId="Hyperlink">
    <w:name w:val="Hyperlink"/>
    <w:basedOn w:val="DefaultParagraphFont"/>
    <w:uiPriority w:val="99"/>
    <w:unhideWhenUsed/>
    <w:rsid w:val="0031179D"/>
    <w:rPr>
      <w:color w:val="0563C1" w:themeColor="hyperlink"/>
      <w:u w:val="single"/>
    </w:rPr>
  </w:style>
  <w:style w:type="character" w:styleId="UnresolvedMention">
    <w:name w:val="Unresolved Mention"/>
    <w:basedOn w:val="DefaultParagraphFont"/>
    <w:uiPriority w:val="99"/>
    <w:semiHidden/>
    <w:unhideWhenUsed/>
    <w:rsid w:val="00311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7255">
      <w:bodyDiv w:val="1"/>
      <w:marLeft w:val="0"/>
      <w:marRight w:val="0"/>
      <w:marTop w:val="0"/>
      <w:marBottom w:val="0"/>
      <w:divBdr>
        <w:top w:val="none" w:sz="0" w:space="0" w:color="auto"/>
        <w:left w:val="none" w:sz="0" w:space="0" w:color="auto"/>
        <w:bottom w:val="none" w:sz="0" w:space="0" w:color="auto"/>
        <w:right w:val="none" w:sz="0" w:space="0" w:color="auto"/>
      </w:divBdr>
    </w:div>
    <w:div w:id="325322812">
      <w:bodyDiv w:val="1"/>
      <w:marLeft w:val="0"/>
      <w:marRight w:val="0"/>
      <w:marTop w:val="0"/>
      <w:marBottom w:val="0"/>
      <w:divBdr>
        <w:top w:val="none" w:sz="0" w:space="0" w:color="auto"/>
        <w:left w:val="none" w:sz="0" w:space="0" w:color="auto"/>
        <w:bottom w:val="none" w:sz="0" w:space="0" w:color="auto"/>
        <w:right w:val="none" w:sz="0" w:space="0" w:color="auto"/>
      </w:divBdr>
    </w:div>
    <w:div w:id="797528103">
      <w:bodyDiv w:val="1"/>
      <w:marLeft w:val="0"/>
      <w:marRight w:val="0"/>
      <w:marTop w:val="0"/>
      <w:marBottom w:val="0"/>
      <w:divBdr>
        <w:top w:val="none" w:sz="0" w:space="0" w:color="auto"/>
        <w:left w:val="none" w:sz="0" w:space="0" w:color="auto"/>
        <w:bottom w:val="none" w:sz="0" w:space="0" w:color="auto"/>
        <w:right w:val="none" w:sz="0" w:space="0" w:color="auto"/>
      </w:divBdr>
    </w:div>
    <w:div w:id="1179390240">
      <w:bodyDiv w:val="1"/>
      <w:marLeft w:val="0"/>
      <w:marRight w:val="0"/>
      <w:marTop w:val="0"/>
      <w:marBottom w:val="0"/>
      <w:divBdr>
        <w:top w:val="none" w:sz="0" w:space="0" w:color="auto"/>
        <w:left w:val="none" w:sz="0" w:space="0" w:color="auto"/>
        <w:bottom w:val="none" w:sz="0" w:space="0" w:color="auto"/>
        <w:right w:val="none" w:sz="0" w:space="0" w:color="auto"/>
      </w:divBdr>
    </w:div>
    <w:div w:id="1251356905">
      <w:bodyDiv w:val="1"/>
      <w:marLeft w:val="0"/>
      <w:marRight w:val="0"/>
      <w:marTop w:val="0"/>
      <w:marBottom w:val="0"/>
      <w:divBdr>
        <w:top w:val="none" w:sz="0" w:space="0" w:color="auto"/>
        <w:left w:val="none" w:sz="0" w:space="0" w:color="auto"/>
        <w:bottom w:val="none" w:sz="0" w:space="0" w:color="auto"/>
        <w:right w:val="none" w:sz="0" w:space="0" w:color="auto"/>
      </w:divBdr>
    </w:div>
    <w:div w:id="128137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library.un.org/record/4078892?ln=fr"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treaties.un.org/pages/ViewDetails.aspx?chapter=4&amp;mtdsg_no=IV-16&amp;src=TREATY" TargetMode="External"/><Relationship Id="rId12" Type="http://schemas.openxmlformats.org/officeDocument/2006/relationships/hyperlink" Target="https://documents.un.org/en/A/78/56"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uments.un.org/en/A/75/5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ds.gov.iq/"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ihchr.iq/"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 Id="rId9" Type="http://schemas.openxmlformats.org/officeDocument/2006/relationships/hyperlink" Target="mailto:contact@zagros-centre.org"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ads\OneDrive\Documents2\Mod&#232;les%20Office%20personnalis&#233;s\Page_Officiel-CentreZagros-Bo-Rapport.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2025-06-23T10:17:15+00:00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4AD7F97-E845-4922-9599-9607E7D22E3F}"/>
</file>

<file path=customXml/itemProps2.xml><?xml version="1.0" encoding="utf-8"?>
<ds:datastoreItem xmlns:ds="http://schemas.openxmlformats.org/officeDocument/2006/customXml" ds:itemID="{8D97B367-E425-4FAD-B5AB-017E48E8E224}"/>
</file>

<file path=customXml/itemProps3.xml><?xml version="1.0" encoding="utf-8"?>
<ds:datastoreItem xmlns:ds="http://schemas.openxmlformats.org/officeDocument/2006/customXml" ds:itemID="{D75D311A-B3EB-4F8A-BDA5-983D1428A02F}"/>
</file>

<file path=docProps/app.xml><?xml version="1.0" encoding="utf-8"?>
<Properties xmlns="http://schemas.openxmlformats.org/officeDocument/2006/extended-properties" xmlns:vt="http://schemas.openxmlformats.org/officeDocument/2006/docPropsVTypes">
  <Template>Page_Officiel-CentreZagros-Bo-Rapport</Template>
  <TotalTime>3</TotalTime>
  <Pages>5</Pages>
  <Words>1893</Words>
  <Characters>10792</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Azad Salawati</dc:creator>
  <cp:keywords/>
  <dc:description/>
  <cp:lastModifiedBy>Perrine Deja</cp:lastModifiedBy>
  <cp:revision>2</cp:revision>
  <cp:lastPrinted>2025-06-01T07:44:00Z</cp:lastPrinted>
  <dcterms:created xsi:type="dcterms:W3CDTF">2025-06-23T10:17:00Z</dcterms:created>
  <dcterms:modified xsi:type="dcterms:W3CDTF">2025-06-23T10:17:00Z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