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72264" w14:textId="77777777" w:rsidR="000B1E41" w:rsidRPr="00F8040A" w:rsidRDefault="000B1E41" w:rsidP="00CD5D76">
      <w:pPr>
        <w:spacing w:after="0" w:line="360" w:lineRule="auto"/>
        <w:jc w:val="both"/>
        <w:rPr>
          <w:rFonts w:ascii="Times New Roman" w:hAnsi="Times New Roman" w:cs="Times New Roman"/>
          <w:b/>
          <w:bCs/>
          <w:sz w:val="28"/>
          <w:szCs w:val="28"/>
        </w:rPr>
      </w:pPr>
      <w:r w:rsidRPr="00F8040A">
        <w:rPr>
          <w:rFonts w:ascii="Times New Roman" w:hAnsi="Times New Roman" w:cs="Times New Roman"/>
          <w:b/>
          <w:bCs/>
          <w:sz w:val="28"/>
          <w:szCs w:val="28"/>
        </w:rPr>
        <w:t xml:space="preserve">                                        REPUBLIQUE DU NIGER</w:t>
      </w:r>
    </w:p>
    <w:p w14:paraId="5E2F0ED3" w14:textId="77777777" w:rsidR="000B1E41" w:rsidRPr="00F8040A" w:rsidRDefault="000B1E41" w:rsidP="00CD5D76">
      <w:pPr>
        <w:spacing w:after="0"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                                               </w:t>
      </w:r>
      <w:r w:rsidRPr="00F8040A">
        <w:rPr>
          <w:rFonts w:ascii="Times New Roman" w:hAnsi="Times New Roman" w:cs="Times New Roman"/>
          <w:noProof/>
          <w:sz w:val="28"/>
          <w:szCs w:val="28"/>
          <w:lang w:val="en-GB" w:eastAsia="en-GB"/>
        </w:rPr>
        <w:drawing>
          <wp:anchor distT="0" distB="0" distL="114300" distR="114300" simplePos="0" relativeHeight="251659264" behindDoc="0" locked="0" layoutInCell="1" allowOverlap="1" wp14:anchorId="33F38878" wp14:editId="20C73904">
            <wp:simplePos x="0" y="0"/>
            <wp:positionH relativeFrom="page">
              <wp:align>center</wp:align>
            </wp:positionH>
            <wp:positionV relativeFrom="paragraph">
              <wp:posOffset>8255</wp:posOffset>
            </wp:positionV>
            <wp:extent cx="2286000" cy="1514475"/>
            <wp:effectExtent l="0" t="0" r="0" b="9525"/>
            <wp:wrapSquare wrapText="lef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anchor>
        </w:drawing>
      </w:r>
    </w:p>
    <w:p w14:paraId="4E588CD8" w14:textId="77777777" w:rsidR="000B1E41" w:rsidRPr="00F8040A" w:rsidRDefault="000B1E41" w:rsidP="00CD5D76">
      <w:pPr>
        <w:spacing w:after="0" w:line="360" w:lineRule="auto"/>
        <w:jc w:val="both"/>
        <w:rPr>
          <w:rFonts w:ascii="Times New Roman" w:hAnsi="Times New Roman" w:cs="Times New Roman"/>
          <w:sz w:val="28"/>
          <w:szCs w:val="28"/>
        </w:rPr>
      </w:pPr>
    </w:p>
    <w:p w14:paraId="36201AAD" w14:textId="77777777" w:rsidR="000B1E41" w:rsidRPr="00F8040A" w:rsidRDefault="000B1E41" w:rsidP="00CD5D76">
      <w:pPr>
        <w:spacing w:after="0" w:line="360" w:lineRule="auto"/>
        <w:jc w:val="both"/>
        <w:rPr>
          <w:rFonts w:ascii="Times New Roman" w:hAnsi="Times New Roman" w:cs="Times New Roman"/>
          <w:sz w:val="28"/>
          <w:szCs w:val="28"/>
        </w:rPr>
      </w:pPr>
    </w:p>
    <w:p w14:paraId="08AC4162" w14:textId="77777777" w:rsidR="000B1E41" w:rsidRPr="00F8040A" w:rsidRDefault="000B1E41" w:rsidP="00CD5D76">
      <w:pPr>
        <w:spacing w:after="0" w:line="360" w:lineRule="auto"/>
        <w:jc w:val="both"/>
        <w:rPr>
          <w:rFonts w:ascii="Times New Roman" w:hAnsi="Times New Roman" w:cs="Times New Roman"/>
          <w:sz w:val="28"/>
          <w:szCs w:val="28"/>
        </w:rPr>
      </w:pPr>
    </w:p>
    <w:p w14:paraId="5354FA9B" w14:textId="77777777" w:rsidR="000B1E41" w:rsidRPr="00F8040A" w:rsidRDefault="000B1E41" w:rsidP="00CD5D76">
      <w:pPr>
        <w:spacing w:after="0" w:line="360" w:lineRule="auto"/>
        <w:ind w:left="4111" w:hanging="1279"/>
        <w:jc w:val="both"/>
        <w:rPr>
          <w:rFonts w:ascii="Times New Roman" w:hAnsi="Times New Roman" w:cs="Times New Roman"/>
          <w:b/>
          <w:sz w:val="28"/>
          <w:szCs w:val="28"/>
        </w:rPr>
      </w:pPr>
      <w:r w:rsidRPr="00F8040A">
        <w:rPr>
          <w:rFonts w:ascii="Times New Roman" w:hAnsi="Times New Roman" w:cs="Times New Roman"/>
          <w:b/>
          <w:i/>
          <w:sz w:val="28"/>
          <w:szCs w:val="28"/>
        </w:rPr>
        <w:t xml:space="preserve">    Fraternité-Travail-Progrès</w:t>
      </w:r>
    </w:p>
    <w:p w14:paraId="7E1EFA60" w14:textId="77777777" w:rsidR="000B1E41" w:rsidRPr="00F8040A" w:rsidRDefault="000B1E41" w:rsidP="00CD5D76">
      <w:pPr>
        <w:spacing w:after="0" w:line="360" w:lineRule="auto"/>
        <w:rPr>
          <w:rFonts w:ascii="Times New Roman" w:hAnsi="Times New Roman" w:cs="Times New Roman"/>
          <w:b/>
          <w:sz w:val="28"/>
          <w:szCs w:val="28"/>
        </w:rPr>
      </w:pPr>
    </w:p>
    <w:p w14:paraId="05782E90" w14:textId="77777777" w:rsidR="008C11A4" w:rsidRPr="008C11A4" w:rsidRDefault="008C11A4" w:rsidP="00CD5D76">
      <w:pPr>
        <w:pBdr>
          <w:top w:val="single" w:sz="4" w:space="1" w:color="auto"/>
          <w:left w:val="single" w:sz="4" w:space="4" w:color="auto"/>
          <w:bottom w:val="single" w:sz="4" w:space="1" w:color="auto"/>
          <w:right w:val="single" w:sz="4" w:space="4" w:color="auto"/>
        </w:pBdr>
        <w:spacing w:after="0" w:line="360" w:lineRule="auto"/>
        <w:jc w:val="both"/>
        <w:rPr>
          <w:rFonts w:ascii="Times New Roman" w:hAnsi="Times New Roman" w:cs="Times New Roman"/>
          <w:b/>
          <w:sz w:val="24"/>
          <w:szCs w:val="24"/>
        </w:rPr>
      </w:pPr>
      <w:r w:rsidRPr="008C11A4">
        <w:rPr>
          <w:rFonts w:ascii="Times New Roman" w:hAnsi="Times New Roman" w:cs="Times New Roman"/>
          <w:b/>
          <w:sz w:val="24"/>
          <w:szCs w:val="24"/>
        </w:rPr>
        <w:t xml:space="preserve">SUITE DES </w:t>
      </w:r>
      <w:r w:rsidR="000B1E41" w:rsidRPr="008C11A4">
        <w:rPr>
          <w:rFonts w:ascii="Times New Roman" w:hAnsi="Times New Roman" w:cs="Times New Roman"/>
          <w:b/>
          <w:sz w:val="24"/>
          <w:szCs w:val="24"/>
        </w:rPr>
        <w:t xml:space="preserve">REPONSES DE LA DELEGATION AUX QUESTIONS </w:t>
      </w:r>
      <w:r w:rsidRPr="008C11A4">
        <w:rPr>
          <w:rFonts w:ascii="Times New Roman" w:hAnsi="Times New Roman" w:cs="Times New Roman"/>
          <w:b/>
          <w:sz w:val="24"/>
          <w:szCs w:val="24"/>
        </w:rPr>
        <w:t>POSEES AU COURS DU DIALOGUE INTERACTIF A L’OCCASION DE LA PRESENTATION DU 2</w:t>
      </w:r>
      <w:r w:rsidRPr="008C11A4">
        <w:rPr>
          <w:rFonts w:ascii="Times New Roman" w:hAnsi="Times New Roman" w:cs="Times New Roman"/>
          <w:b/>
          <w:sz w:val="24"/>
          <w:szCs w:val="24"/>
          <w:vertAlign w:val="superscript"/>
        </w:rPr>
        <w:t>EME</w:t>
      </w:r>
      <w:r w:rsidRPr="008C11A4">
        <w:rPr>
          <w:rFonts w:ascii="Times New Roman" w:hAnsi="Times New Roman" w:cs="Times New Roman"/>
          <w:b/>
          <w:sz w:val="24"/>
          <w:szCs w:val="24"/>
        </w:rPr>
        <w:t xml:space="preserve"> RAPPORT PERIODIQUE DU NIGER SUR LA MISE EN ŒUVRE DE LA CMW</w:t>
      </w:r>
    </w:p>
    <w:p w14:paraId="6E9EFD30" w14:textId="77777777" w:rsidR="000B1E41" w:rsidRDefault="000B1E41" w:rsidP="00CD5D76">
      <w:pPr>
        <w:spacing w:after="0" w:line="360" w:lineRule="auto"/>
        <w:rPr>
          <w:rFonts w:ascii="Times New Roman" w:hAnsi="Times New Roman" w:cs="Times New Roman"/>
          <w:b/>
          <w:sz w:val="28"/>
          <w:szCs w:val="28"/>
        </w:rPr>
      </w:pPr>
    </w:p>
    <w:p w14:paraId="64640116" w14:textId="77777777" w:rsidR="003854E8" w:rsidRDefault="003854E8" w:rsidP="00CD5D76">
      <w:pPr>
        <w:spacing w:after="0" w:line="360" w:lineRule="auto"/>
        <w:rPr>
          <w:rFonts w:ascii="Times New Roman" w:hAnsi="Times New Roman" w:cs="Times New Roman"/>
          <w:b/>
          <w:sz w:val="28"/>
          <w:szCs w:val="28"/>
        </w:rPr>
      </w:pPr>
    </w:p>
    <w:p w14:paraId="6B8AA37F" w14:textId="77777777" w:rsidR="003854E8" w:rsidRDefault="003854E8" w:rsidP="00CD5D76">
      <w:pPr>
        <w:spacing w:after="0" w:line="360" w:lineRule="auto"/>
        <w:rPr>
          <w:rFonts w:ascii="Times New Roman" w:hAnsi="Times New Roman" w:cs="Times New Roman"/>
          <w:b/>
          <w:sz w:val="28"/>
          <w:szCs w:val="28"/>
        </w:rPr>
      </w:pPr>
    </w:p>
    <w:p w14:paraId="40AF3EAA" w14:textId="77777777" w:rsidR="003854E8" w:rsidRDefault="003854E8" w:rsidP="00CD5D76">
      <w:pPr>
        <w:spacing w:after="0" w:line="360" w:lineRule="auto"/>
        <w:rPr>
          <w:rFonts w:ascii="Times New Roman" w:hAnsi="Times New Roman" w:cs="Times New Roman"/>
          <w:b/>
          <w:sz w:val="28"/>
          <w:szCs w:val="28"/>
        </w:rPr>
      </w:pPr>
    </w:p>
    <w:p w14:paraId="1E03DF98" w14:textId="77777777" w:rsidR="003854E8" w:rsidRDefault="003854E8" w:rsidP="00CD5D76">
      <w:pPr>
        <w:spacing w:after="0" w:line="360" w:lineRule="auto"/>
        <w:rPr>
          <w:rFonts w:ascii="Times New Roman" w:hAnsi="Times New Roman" w:cs="Times New Roman"/>
          <w:b/>
          <w:sz w:val="28"/>
          <w:szCs w:val="28"/>
        </w:rPr>
      </w:pPr>
    </w:p>
    <w:p w14:paraId="15A589E9" w14:textId="77777777" w:rsidR="003854E8" w:rsidRDefault="003854E8" w:rsidP="00CD5D76">
      <w:pPr>
        <w:spacing w:after="0" w:line="360" w:lineRule="auto"/>
        <w:rPr>
          <w:rFonts w:ascii="Times New Roman" w:hAnsi="Times New Roman" w:cs="Times New Roman"/>
          <w:b/>
          <w:sz w:val="28"/>
          <w:szCs w:val="28"/>
        </w:rPr>
      </w:pPr>
    </w:p>
    <w:p w14:paraId="0AA87242" w14:textId="77777777" w:rsidR="003854E8" w:rsidRDefault="003854E8" w:rsidP="00CD5D76">
      <w:pPr>
        <w:spacing w:after="0" w:line="360" w:lineRule="auto"/>
        <w:rPr>
          <w:rFonts w:ascii="Times New Roman" w:hAnsi="Times New Roman" w:cs="Times New Roman"/>
          <w:b/>
          <w:sz w:val="28"/>
          <w:szCs w:val="28"/>
        </w:rPr>
      </w:pPr>
    </w:p>
    <w:p w14:paraId="7B3413CE" w14:textId="77777777" w:rsidR="003854E8" w:rsidRDefault="003854E8" w:rsidP="00CD5D76">
      <w:pPr>
        <w:spacing w:after="0" w:line="360" w:lineRule="auto"/>
        <w:rPr>
          <w:rFonts w:ascii="Times New Roman" w:hAnsi="Times New Roman" w:cs="Times New Roman"/>
          <w:b/>
          <w:sz w:val="28"/>
          <w:szCs w:val="28"/>
        </w:rPr>
      </w:pPr>
    </w:p>
    <w:p w14:paraId="17E8D121" w14:textId="77777777" w:rsidR="003854E8" w:rsidRDefault="003854E8" w:rsidP="00CD5D76">
      <w:pPr>
        <w:spacing w:after="0" w:line="360" w:lineRule="auto"/>
        <w:rPr>
          <w:rFonts w:ascii="Times New Roman" w:hAnsi="Times New Roman" w:cs="Times New Roman"/>
          <w:b/>
          <w:sz w:val="28"/>
          <w:szCs w:val="28"/>
        </w:rPr>
      </w:pPr>
    </w:p>
    <w:p w14:paraId="59ABAC3D" w14:textId="77777777" w:rsidR="003854E8" w:rsidRDefault="003854E8" w:rsidP="00CD5D76">
      <w:pPr>
        <w:spacing w:after="0" w:line="360" w:lineRule="auto"/>
        <w:rPr>
          <w:rFonts w:ascii="Times New Roman" w:hAnsi="Times New Roman" w:cs="Times New Roman"/>
          <w:b/>
          <w:sz w:val="28"/>
          <w:szCs w:val="28"/>
        </w:rPr>
      </w:pPr>
    </w:p>
    <w:p w14:paraId="29FB846A" w14:textId="77777777" w:rsidR="003854E8" w:rsidRDefault="003854E8" w:rsidP="00CD5D76">
      <w:pPr>
        <w:spacing w:after="0" w:line="360" w:lineRule="auto"/>
        <w:rPr>
          <w:rFonts w:ascii="Times New Roman" w:hAnsi="Times New Roman" w:cs="Times New Roman"/>
          <w:b/>
          <w:sz w:val="28"/>
          <w:szCs w:val="28"/>
        </w:rPr>
      </w:pPr>
    </w:p>
    <w:p w14:paraId="3113B1B2" w14:textId="77777777" w:rsidR="003854E8" w:rsidRDefault="003854E8" w:rsidP="00CD5D76">
      <w:pPr>
        <w:spacing w:after="0" w:line="360" w:lineRule="auto"/>
        <w:rPr>
          <w:rFonts w:ascii="Times New Roman" w:hAnsi="Times New Roman" w:cs="Times New Roman"/>
          <w:b/>
          <w:sz w:val="28"/>
          <w:szCs w:val="28"/>
        </w:rPr>
      </w:pPr>
    </w:p>
    <w:p w14:paraId="5B94D5AD" w14:textId="77777777" w:rsidR="003854E8" w:rsidRDefault="003854E8" w:rsidP="00CD5D76">
      <w:pPr>
        <w:spacing w:after="0" w:line="360" w:lineRule="auto"/>
        <w:rPr>
          <w:rFonts w:ascii="Times New Roman" w:hAnsi="Times New Roman" w:cs="Times New Roman"/>
          <w:b/>
          <w:sz w:val="28"/>
          <w:szCs w:val="28"/>
        </w:rPr>
      </w:pPr>
    </w:p>
    <w:p w14:paraId="77D629C8" w14:textId="77777777" w:rsidR="003854E8" w:rsidRDefault="003854E8" w:rsidP="00CD5D76">
      <w:pPr>
        <w:spacing w:after="0" w:line="360" w:lineRule="auto"/>
        <w:rPr>
          <w:rFonts w:ascii="Times New Roman" w:hAnsi="Times New Roman" w:cs="Times New Roman"/>
          <w:b/>
          <w:sz w:val="28"/>
          <w:szCs w:val="28"/>
        </w:rPr>
      </w:pPr>
    </w:p>
    <w:p w14:paraId="6E0DD8FC" w14:textId="77777777" w:rsidR="003854E8" w:rsidRDefault="003854E8" w:rsidP="00CD5D76">
      <w:pPr>
        <w:spacing w:after="0" w:line="360" w:lineRule="auto"/>
        <w:rPr>
          <w:rFonts w:ascii="Times New Roman" w:hAnsi="Times New Roman" w:cs="Times New Roman"/>
          <w:b/>
          <w:sz w:val="28"/>
          <w:szCs w:val="28"/>
        </w:rPr>
      </w:pPr>
    </w:p>
    <w:p w14:paraId="244A3B27" w14:textId="77777777" w:rsidR="003854E8" w:rsidRDefault="003854E8" w:rsidP="00CD5D76">
      <w:pPr>
        <w:spacing w:after="0" w:line="360" w:lineRule="auto"/>
        <w:rPr>
          <w:rFonts w:ascii="Times New Roman" w:hAnsi="Times New Roman" w:cs="Times New Roman"/>
          <w:b/>
          <w:sz w:val="28"/>
          <w:szCs w:val="28"/>
        </w:rPr>
      </w:pPr>
    </w:p>
    <w:p w14:paraId="4ECC0788" w14:textId="77777777" w:rsidR="003854E8" w:rsidRDefault="003854E8" w:rsidP="00CD5D76">
      <w:pPr>
        <w:spacing w:after="0" w:line="360" w:lineRule="auto"/>
        <w:rPr>
          <w:rFonts w:ascii="Times New Roman" w:hAnsi="Times New Roman" w:cs="Times New Roman"/>
          <w:b/>
          <w:sz w:val="28"/>
          <w:szCs w:val="28"/>
        </w:rPr>
      </w:pPr>
    </w:p>
    <w:p w14:paraId="0449C760" w14:textId="77777777" w:rsidR="004A3609" w:rsidRDefault="004A3609" w:rsidP="003854E8">
      <w:pPr>
        <w:spacing w:after="0" w:line="360" w:lineRule="auto"/>
        <w:jc w:val="right"/>
        <w:rPr>
          <w:rFonts w:ascii="Times New Roman" w:hAnsi="Times New Roman" w:cs="Times New Roman"/>
          <w:b/>
          <w:sz w:val="28"/>
          <w:szCs w:val="28"/>
        </w:rPr>
      </w:pPr>
    </w:p>
    <w:p w14:paraId="1D724E9F" w14:textId="77777777" w:rsidR="003854E8" w:rsidRPr="00F8040A" w:rsidRDefault="003854E8" w:rsidP="003854E8">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Genève 10 avril 2025</w:t>
      </w:r>
    </w:p>
    <w:p w14:paraId="453EEBB3" w14:textId="77777777" w:rsidR="000B1E41" w:rsidRPr="003854E8" w:rsidRDefault="000B1E41" w:rsidP="00CD5D76">
      <w:pPr>
        <w:pStyle w:val="ListParagraph"/>
        <w:numPr>
          <w:ilvl w:val="0"/>
          <w:numId w:val="1"/>
        </w:numPr>
        <w:spacing w:after="0" w:line="360" w:lineRule="auto"/>
        <w:rPr>
          <w:rFonts w:ascii="Times New Roman" w:hAnsi="Times New Roman" w:cs="Times New Roman"/>
          <w:b/>
          <w:sz w:val="24"/>
          <w:szCs w:val="24"/>
        </w:rPr>
      </w:pPr>
      <w:r w:rsidRPr="003854E8">
        <w:rPr>
          <w:rFonts w:ascii="Times New Roman" w:hAnsi="Times New Roman" w:cs="Times New Roman"/>
          <w:b/>
          <w:sz w:val="24"/>
          <w:szCs w:val="24"/>
        </w:rPr>
        <w:lastRenderedPageBreak/>
        <w:t xml:space="preserve">Réponse </w:t>
      </w:r>
      <w:r w:rsidR="008C11A4" w:rsidRPr="003854E8">
        <w:rPr>
          <w:rFonts w:ascii="Times New Roman" w:hAnsi="Times New Roman" w:cs="Times New Roman"/>
          <w:b/>
          <w:sz w:val="24"/>
          <w:szCs w:val="24"/>
        </w:rPr>
        <w:t>à la question relative aux voies de recours en cas de condamnation pour infraction relative à l’immigration</w:t>
      </w:r>
    </w:p>
    <w:p w14:paraId="19E505E0" w14:textId="77777777" w:rsidR="00A85E1C" w:rsidRPr="00CD5D76" w:rsidRDefault="000678D8" w:rsidP="00CD5D76">
      <w:pPr>
        <w:spacing w:after="0" w:line="360" w:lineRule="auto"/>
        <w:jc w:val="both"/>
        <w:rPr>
          <w:rFonts w:ascii="Times New Roman" w:hAnsi="Times New Roman" w:cs="Times New Roman"/>
          <w:sz w:val="24"/>
          <w:szCs w:val="24"/>
        </w:rPr>
      </w:pPr>
      <w:r w:rsidRPr="00CD5D76">
        <w:rPr>
          <w:rFonts w:ascii="Times New Roman" w:hAnsi="Times New Roman" w:cs="Times New Roman"/>
          <w:sz w:val="24"/>
          <w:szCs w:val="24"/>
        </w:rPr>
        <w:t xml:space="preserve">Les voies de recours sont les mêmes pour toutes les infractions qu’elles aient été commises par un nigérien ou un étranger. Qu’il s’agisse d’une contravention, d’un délit ou d’un crime les voies de recours ordinaires sont les suivantes : </w:t>
      </w:r>
    </w:p>
    <w:p w14:paraId="021F1FAC" w14:textId="77777777" w:rsidR="000678D8" w:rsidRPr="00CD5D76" w:rsidRDefault="000678D8" w:rsidP="00CD5D76">
      <w:pPr>
        <w:pStyle w:val="ListParagraph"/>
        <w:numPr>
          <w:ilvl w:val="0"/>
          <w:numId w:val="12"/>
        </w:numPr>
        <w:spacing w:after="0" w:line="360" w:lineRule="auto"/>
        <w:jc w:val="both"/>
        <w:rPr>
          <w:rFonts w:ascii="Times New Roman" w:hAnsi="Times New Roman" w:cs="Times New Roman"/>
          <w:sz w:val="24"/>
          <w:szCs w:val="24"/>
        </w:rPr>
      </w:pPr>
      <w:r w:rsidRPr="00CD5D76">
        <w:rPr>
          <w:rFonts w:ascii="Times New Roman" w:hAnsi="Times New Roman" w:cs="Times New Roman"/>
          <w:sz w:val="24"/>
          <w:szCs w:val="24"/>
        </w:rPr>
        <w:t>Appel de la décision devant la cour d’appel ;</w:t>
      </w:r>
    </w:p>
    <w:p w14:paraId="7F0EACEC" w14:textId="77777777" w:rsidR="000678D8" w:rsidRPr="00CD5D76" w:rsidRDefault="000678D8" w:rsidP="00CD5D76">
      <w:pPr>
        <w:pStyle w:val="ListParagraph"/>
        <w:numPr>
          <w:ilvl w:val="0"/>
          <w:numId w:val="12"/>
        </w:numPr>
        <w:spacing w:after="0" w:line="360" w:lineRule="auto"/>
        <w:jc w:val="both"/>
        <w:rPr>
          <w:rFonts w:ascii="Times New Roman" w:hAnsi="Times New Roman" w:cs="Times New Roman"/>
          <w:sz w:val="24"/>
          <w:szCs w:val="24"/>
        </w:rPr>
      </w:pPr>
      <w:r w:rsidRPr="00CD5D76">
        <w:rPr>
          <w:rFonts w:ascii="Times New Roman" w:hAnsi="Times New Roman" w:cs="Times New Roman"/>
          <w:sz w:val="24"/>
          <w:szCs w:val="24"/>
        </w:rPr>
        <w:t xml:space="preserve">L’opposition devant la </w:t>
      </w:r>
      <w:r w:rsidR="0083621A" w:rsidRPr="00CD5D76">
        <w:rPr>
          <w:rFonts w:ascii="Times New Roman" w:hAnsi="Times New Roman" w:cs="Times New Roman"/>
          <w:sz w:val="24"/>
          <w:szCs w:val="24"/>
        </w:rPr>
        <w:t>même</w:t>
      </w:r>
      <w:r w:rsidRPr="00CD5D76">
        <w:rPr>
          <w:rFonts w:ascii="Times New Roman" w:hAnsi="Times New Roman" w:cs="Times New Roman"/>
          <w:sz w:val="24"/>
          <w:szCs w:val="24"/>
        </w:rPr>
        <w:t xml:space="preserve"> juridiction qui a rendu une </w:t>
      </w:r>
      <w:r w:rsidR="0083621A" w:rsidRPr="00CD5D76">
        <w:rPr>
          <w:rFonts w:ascii="Times New Roman" w:hAnsi="Times New Roman" w:cs="Times New Roman"/>
          <w:sz w:val="24"/>
          <w:szCs w:val="24"/>
        </w:rPr>
        <w:t>décision</w:t>
      </w:r>
      <w:r w:rsidRPr="00CD5D76">
        <w:rPr>
          <w:rFonts w:ascii="Times New Roman" w:hAnsi="Times New Roman" w:cs="Times New Roman"/>
          <w:sz w:val="24"/>
          <w:szCs w:val="24"/>
        </w:rPr>
        <w:t xml:space="preserve"> par défaut.</w:t>
      </w:r>
    </w:p>
    <w:p w14:paraId="710CD6B7" w14:textId="77777777" w:rsidR="000678D8" w:rsidRPr="00CD5D76" w:rsidRDefault="000678D8" w:rsidP="00CD5D76">
      <w:pPr>
        <w:spacing w:after="0" w:line="360" w:lineRule="auto"/>
        <w:jc w:val="both"/>
        <w:rPr>
          <w:rFonts w:ascii="Times New Roman" w:hAnsi="Times New Roman" w:cs="Times New Roman"/>
          <w:sz w:val="24"/>
          <w:szCs w:val="24"/>
        </w:rPr>
      </w:pPr>
      <w:r w:rsidRPr="00CD5D76">
        <w:rPr>
          <w:rFonts w:ascii="Times New Roman" w:hAnsi="Times New Roman" w:cs="Times New Roman"/>
          <w:sz w:val="24"/>
          <w:szCs w:val="24"/>
        </w:rPr>
        <w:t>Les voies de recours extraordinaires</w:t>
      </w:r>
      <w:r w:rsidR="0083621A" w:rsidRPr="00CD5D76">
        <w:rPr>
          <w:rFonts w:ascii="Times New Roman" w:hAnsi="Times New Roman" w:cs="Times New Roman"/>
          <w:sz w:val="24"/>
          <w:szCs w:val="24"/>
        </w:rPr>
        <w:t xml:space="preserve"> sont : </w:t>
      </w:r>
    </w:p>
    <w:p w14:paraId="14961A80" w14:textId="77777777" w:rsidR="0083621A" w:rsidRPr="00CD5D76" w:rsidRDefault="0083621A" w:rsidP="00CD5D76">
      <w:pPr>
        <w:pStyle w:val="ListParagraph"/>
        <w:numPr>
          <w:ilvl w:val="0"/>
          <w:numId w:val="12"/>
        </w:numPr>
        <w:spacing w:after="0" w:line="360" w:lineRule="auto"/>
        <w:jc w:val="both"/>
        <w:rPr>
          <w:rFonts w:ascii="Times New Roman" w:hAnsi="Times New Roman" w:cs="Times New Roman"/>
          <w:sz w:val="24"/>
          <w:szCs w:val="24"/>
        </w:rPr>
      </w:pPr>
      <w:r w:rsidRPr="00CD5D76">
        <w:rPr>
          <w:rFonts w:ascii="Times New Roman" w:hAnsi="Times New Roman" w:cs="Times New Roman"/>
          <w:sz w:val="24"/>
          <w:szCs w:val="24"/>
        </w:rPr>
        <w:t>Le pourvoi en cassation devant la Cour d’Etat ;</w:t>
      </w:r>
    </w:p>
    <w:p w14:paraId="5D836941" w14:textId="77777777" w:rsidR="0083621A" w:rsidRPr="00CD5D76" w:rsidRDefault="0083621A" w:rsidP="00CD5D76">
      <w:pPr>
        <w:pStyle w:val="ListParagraph"/>
        <w:numPr>
          <w:ilvl w:val="0"/>
          <w:numId w:val="12"/>
        </w:numPr>
        <w:spacing w:after="0" w:line="360" w:lineRule="auto"/>
        <w:jc w:val="both"/>
        <w:rPr>
          <w:rFonts w:ascii="Times New Roman" w:hAnsi="Times New Roman" w:cs="Times New Roman"/>
          <w:sz w:val="24"/>
          <w:szCs w:val="24"/>
        </w:rPr>
      </w:pPr>
      <w:r w:rsidRPr="00CD5D76">
        <w:rPr>
          <w:rFonts w:ascii="Times New Roman" w:hAnsi="Times New Roman" w:cs="Times New Roman"/>
          <w:sz w:val="24"/>
          <w:szCs w:val="24"/>
        </w:rPr>
        <w:t>La demande en révision.</w:t>
      </w:r>
    </w:p>
    <w:p w14:paraId="1569CAC4" w14:textId="77777777" w:rsidR="0083621A" w:rsidRPr="00CD5D76" w:rsidRDefault="0083621A" w:rsidP="00CD5D76">
      <w:pPr>
        <w:pStyle w:val="ListParagraph"/>
        <w:numPr>
          <w:ilvl w:val="0"/>
          <w:numId w:val="1"/>
        </w:numPr>
        <w:spacing w:after="0" w:line="360" w:lineRule="auto"/>
        <w:jc w:val="both"/>
        <w:rPr>
          <w:rFonts w:ascii="Times New Roman" w:hAnsi="Times New Roman" w:cs="Times New Roman"/>
          <w:b/>
          <w:sz w:val="24"/>
          <w:szCs w:val="24"/>
        </w:rPr>
      </w:pPr>
      <w:r w:rsidRPr="00CD5D76">
        <w:rPr>
          <w:rFonts w:ascii="Times New Roman" w:hAnsi="Times New Roman" w:cs="Times New Roman"/>
          <w:b/>
          <w:sz w:val="24"/>
          <w:szCs w:val="24"/>
        </w:rPr>
        <w:t>Réponse à la question relative aux violences basées sur le genre</w:t>
      </w:r>
    </w:p>
    <w:p w14:paraId="1694871D" w14:textId="77777777" w:rsidR="0083621A" w:rsidRPr="00CD5D76" w:rsidRDefault="0083621A" w:rsidP="00CD5D76">
      <w:pPr>
        <w:spacing w:after="0" w:line="360" w:lineRule="auto"/>
        <w:jc w:val="both"/>
        <w:rPr>
          <w:rFonts w:ascii="Times New Roman" w:eastAsia="Calibri" w:hAnsi="Times New Roman" w:cs="Times New Roman"/>
          <w:sz w:val="24"/>
          <w:szCs w:val="24"/>
        </w:rPr>
      </w:pPr>
      <w:r w:rsidRPr="00CD5D76">
        <w:rPr>
          <w:rFonts w:ascii="Times New Roman" w:eastAsia="Calibri" w:hAnsi="Times New Roman" w:cs="Times New Roman"/>
          <w:sz w:val="24"/>
          <w:szCs w:val="24"/>
        </w:rPr>
        <w:t>La politique Nationale de Genre (PNG) a été Adoptée depuis 2008, elle a été révisée en 2017 pour tenir compte des défis environnementaux et sécuritaires et ceux liés à la migration. Elle est assortie d’un plan d’action.</w:t>
      </w:r>
    </w:p>
    <w:p w14:paraId="5B102911" w14:textId="77777777" w:rsidR="0083621A" w:rsidRPr="00CD5D76" w:rsidRDefault="0083621A" w:rsidP="00CD5D76">
      <w:pPr>
        <w:spacing w:after="0" w:line="360" w:lineRule="auto"/>
        <w:jc w:val="both"/>
        <w:rPr>
          <w:rFonts w:ascii="Times New Roman" w:eastAsia="Calibri" w:hAnsi="Times New Roman" w:cs="Times New Roman"/>
          <w:bCs/>
          <w:sz w:val="24"/>
          <w:szCs w:val="24"/>
        </w:rPr>
      </w:pPr>
      <w:r w:rsidRPr="00CD5D76">
        <w:rPr>
          <w:rFonts w:ascii="Times New Roman" w:eastAsia="Calibri" w:hAnsi="Times New Roman" w:cs="Times New Roman"/>
          <w:bCs/>
          <w:sz w:val="24"/>
          <w:szCs w:val="24"/>
        </w:rPr>
        <w:t>La Stratégie Nationale de Prévention et de Réponse aux Violences Basées sur le genre</w:t>
      </w:r>
    </w:p>
    <w:p w14:paraId="16046099" w14:textId="77777777" w:rsidR="003854E8" w:rsidRDefault="0083621A" w:rsidP="003854E8">
      <w:pPr>
        <w:spacing w:after="0" w:line="360" w:lineRule="auto"/>
        <w:jc w:val="both"/>
        <w:rPr>
          <w:rFonts w:ascii="Times New Roman" w:eastAsia="Calibri" w:hAnsi="Times New Roman" w:cs="Times New Roman"/>
          <w:sz w:val="24"/>
          <w:szCs w:val="24"/>
        </w:rPr>
      </w:pPr>
      <w:r w:rsidRPr="00CD5D76">
        <w:rPr>
          <w:rFonts w:ascii="Times New Roman" w:eastAsia="Calibri" w:hAnsi="Times New Roman" w:cs="Times New Roman"/>
          <w:sz w:val="24"/>
          <w:szCs w:val="24"/>
        </w:rPr>
        <w:t>a été adoptée en 2017, dans le cadre de l’opérationnalisation de la PNG et a été suivie d’un plan d’action 2017-2022. Le ministère de la justice en partenariat avec ONU-FEMME, a élaboré un avant-projet de loi sur les VBG qui est en cours de finalisation. Dans ce sens, il a également mis en place un Comité National chargé de la relecture et de l’adaptation du code pénal et de procédure pénale pour prendre en compte certains cas de VBG qui n’y figurent pas.</w:t>
      </w:r>
    </w:p>
    <w:p w14:paraId="40FA84E1" w14:textId="77777777" w:rsidR="00CD5D76" w:rsidRPr="003854E8" w:rsidRDefault="0083621A" w:rsidP="003854E8">
      <w:pPr>
        <w:spacing w:after="0" w:line="360" w:lineRule="auto"/>
        <w:jc w:val="both"/>
        <w:rPr>
          <w:rFonts w:ascii="Times New Roman" w:eastAsia="Calibri" w:hAnsi="Times New Roman" w:cs="Times New Roman"/>
          <w:sz w:val="24"/>
          <w:szCs w:val="24"/>
        </w:rPr>
      </w:pPr>
      <w:r w:rsidRPr="00CD5D76">
        <w:rPr>
          <w:rFonts w:ascii="Times New Roman" w:eastAsia="Calibri" w:hAnsi="Times New Roman" w:cs="Times New Roman"/>
          <w:sz w:val="24"/>
          <w:szCs w:val="24"/>
        </w:rPr>
        <w:t>Concernant l’accessibilité à des services de qualité et acceptables des victimes de violences basées sur le genre, il a été créé des centres de prise en charge holistique des survivantes dans les régions de Maradi, de Tahoua, de Zinder, Niamey et Tillabéri dans le cadre du programme Spotlight qui vise à éliminer les violences sexuelles et basées sur le genre, les pratiques néfastes.</w:t>
      </w:r>
      <w:r w:rsidR="00CD5D76" w:rsidRPr="00CD5D76">
        <w:rPr>
          <w:rFonts w:ascii="Times New Roman" w:hAnsi="Times New Roman" w:cs="Times New Roman"/>
          <w:sz w:val="24"/>
          <w:szCs w:val="24"/>
        </w:rPr>
        <w:t xml:space="preserve"> Ces centres d’accueil offrent plusieurs services essentiels sans distinction d’origine nationale à savoir :</w:t>
      </w:r>
    </w:p>
    <w:p w14:paraId="65C88786" w14:textId="77777777" w:rsidR="00CD5D76" w:rsidRPr="00CD5D76" w:rsidRDefault="00CD5D76" w:rsidP="00CD5D76">
      <w:pPr>
        <w:numPr>
          <w:ilvl w:val="0"/>
          <w:numId w:val="14"/>
        </w:numPr>
        <w:spacing w:before="100" w:beforeAutospacing="1" w:after="0" w:line="360" w:lineRule="auto"/>
        <w:jc w:val="both"/>
        <w:rPr>
          <w:rFonts w:ascii="Times New Roman" w:eastAsia="Times New Roman" w:hAnsi="Times New Roman" w:cs="Times New Roman"/>
          <w:sz w:val="24"/>
          <w:szCs w:val="24"/>
          <w:lang w:eastAsia="fr-FR"/>
        </w:rPr>
      </w:pPr>
      <w:r w:rsidRPr="00CD5D76">
        <w:rPr>
          <w:rFonts w:ascii="Times New Roman" w:eastAsia="Times New Roman" w:hAnsi="Times New Roman" w:cs="Times New Roman"/>
          <w:b/>
          <w:bCs/>
          <w:sz w:val="24"/>
          <w:szCs w:val="24"/>
          <w:lang w:eastAsia="fr-FR"/>
        </w:rPr>
        <w:t>Aide médicale et psychosociale</w:t>
      </w:r>
      <w:r w:rsidRPr="00CD5D76">
        <w:rPr>
          <w:rFonts w:ascii="Times New Roman" w:eastAsia="Times New Roman" w:hAnsi="Times New Roman" w:cs="Times New Roman"/>
          <w:sz w:val="24"/>
          <w:szCs w:val="24"/>
          <w:lang w:eastAsia="fr-FR"/>
        </w:rPr>
        <w:t xml:space="preserve"> : les victimes reçoivent des soins médicaux adaptés et un soutien psychologique pour les aider à surmonter les traumatismes.</w:t>
      </w:r>
    </w:p>
    <w:p w14:paraId="59040D13" w14:textId="77777777" w:rsidR="00CD5D76" w:rsidRPr="00CD5D76" w:rsidRDefault="00CD5D76" w:rsidP="00CD5D76">
      <w:pPr>
        <w:numPr>
          <w:ilvl w:val="0"/>
          <w:numId w:val="14"/>
        </w:numPr>
        <w:spacing w:before="100" w:beforeAutospacing="1" w:after="0" w:line="360" w:lineRule="auto"/>
        <w:jc w:val="both"/>
        <w:rPr>
          <w:rFonts w:ascii="Times New Roman" w:eastAsia="Times New Roman" w:hAnsi="Times New Roman" w:cs="Times New Roman"/>
          <w:sz w:val="24"/>
          <w:szCs w:val="24"/>
          <w:lang w:eastAsia="fr-FR"/>
        </w:rPr>
      </w:pPr>
      <w:r w:rsidRPr="00CD5D76">
        <w:rPr>
          <w:rFonts w:ascii="Times New Roman" w:eastAsia="Times New Roman" w:hAnsi="Times New Roman" w:cs="Times New Roman"/>
          <w:b/>
          <w:bCs/>
          <w:sz w:val="24"/>
          <w:szCs w:val="24"/>
          <w:lang w:eastAsia="fr-FR"/>
        </w:rPr>
        <w:t>Assistance juridique et administrative</w:t>
      </w:r>
      <w:r w:rsidRPr="00CD5D76">
        <w:rPr>
          <w:rFonts w:ascii="Times New Roman" w:eastAsia="Times New Roman" w:hAnsi="Times New Roman" w:cs="Times New Roman"/>
          <w:sz w:val="24"/>
          <w:szCs w:val="24"/>
          <w:lang w:eastAsia="fr-FR"/>
        </w:rPr>
        <w:t xml:space="preserve"> : les victimes peuvent bénéficier d'un accompagnement pour faire valoir leurs droits et obtenir une protection légale.</w:t>
      </w:r>
    </w:p>
    <w:p w14:paraId="0B76733D" w14:textId="77777777" w:rsidR="00CD5D76" w:rsidRPr="00CD5D76" w:rsidRDefault="00CD5D76" w:rsidP="00CD5D76">
      <w:pPr>
        <w:numPr>
          <w:ilvl w:val="0"/>
          <w:numId w:val="14"/>
        </w:numPr>
        <w:spacing w:before="100" w:beforeAutospacing="1" w:after="0" w:line="360" w:lineRule="auto"/>
        <w:jc w:val="both"/>
        <w:rPr>
          <w:rFonts w:ascii="Times New Roman" w:eastAsia="Times New Roman" w:hAnsi="Times New Roman" w:cs="Times New Roman"/>
          <w:sz w:val="24"/>
          <w:szCs w:val="24"/>
          <w:lang w:eastAsia="fr-FR"/>
        </w:rPr>
      </w:pPr>
      <w:r w:rsidRPr="00CD5D76">
        <w:rPr>
          <w:rFonts w:ascii="Times New Roman" w:eastAsia="Times New Roman" w:hAnsi="Times New Roman" w:cs="Times New Roman"/>
          <w:b/>
          <w:bCs/>
          <w:sz w:val="24"/>
          <w:szCs w:val="24"/>
          <w:lang w:eastAsia="fr-FR"/>
        </w:rPr>
        <w:t>Soutien socioéconomique</w:t>
      </w:r>
      <w:r w:rsidRPr="00CD5D76">
        <w:rPr>
          <w:rFonts w:ascii="Times New Roman" w:eastAsia="Times New Roman" w:hAnsi="Times New Roman" w:cs="Times New Roman"/>
          <w:sz w:val="24"/>
          <w:szCs w:val="24"/>
          <w:lang w:eastAsia="fr-FR"/>
        </w:rPr>
        <w:t xml:space="preserve"> : cela inclut des programmes de réintégration et d'autonomisation pour aider les victimes à reconstruire leur vie.</w:t>
      </w:r>
    </w:p>
    <w:p w14:paraId="5A2F9CC3" w14:textId="77777777" w:rsidR="00CD5D76" w:rsidRPr="00CD5D76" w:rsidRDefault="00CD5D76" w:rsidP="00CD5D76">
      <w:pPr>
        <w:numPr>
          <w:ilvl w:val="0"/>
          <w:numId w:val="14"/>
        </w:numPr>
        <w:spacing w:before="100" w:beforeAutospacing="1" w:after="0" w:line="360" w:lineRule="auto"/>
        <w:jc w:val="both"/>
        <w:rPr>
          <w:rFonts w:ascii="Times New Roman" w:eastAsia="Times New Roman" w:hAnsi="Times New Roman" w:cs="Times New Roman"/>
          <w:sz w:val="24"/>
          <w:szCs w:val="24"/>
          <w:lang w:eastAsia="fr-FR"/>
        </w:rPr>
      </w:pPr>
      <w:r w:rsidRPr="00CD5D76">
        <w:rPr>
          <w:rFonts w:ascii="Times New Roman" w:eastAsia="Times New Roman" w:hAnsi="Times New Roman" w:cs="Times New Roman"/>
          <w:b/>
          <w:bCs/>
          <w:sz w:val="24"/>
          <w:szCs w:val="24"/>
          <w:lang w:eastAsia="fr-FR"/>
        </w:rPr>
        <w:t>Sensibilisation et prévention</w:t>
      </w:r>
      <w:r w:rsidRPr="00CD5D76">
        <w:rPr>
          <w:rFonts w:ascii="Times New Roman" w:eastAsia="Times New Roman" w:hAnsi="Times New Roman" w:cs="Times New Roman"/>
          <w:sz w:val="24"/>
          <w:szCs w:val="24"/>
          <w:lang w:eastAsia="fr-FR"/>
        </w:rPr>
        <w:t xml:space="preserve"> : Des campagnes sont menées pour informer les communautés sur les risques et les conséquences des violences basées sur le genre.</w:t>
      </w:r>
    </w:p>
    <w:p w14:paraId="6F9DC81E" w14:textId="77777777" w:rsidR="00CD5D76" w:rsidRPr="00CD5D76" w:rsidRDefault="00CD5D76" w:rsidP="00CD5D76">
      <w:pPr>
        <w:spacing w:before="100" w:beforeAutospacing="1" w:after="0" w:line="360" w:lineRule="auto"/>
        <w:jc w:val="both"/>
        <w:rPr>
          <w:rFonts w:ascii="Times New Roman" w:eastAsia="Times New Roman" w:hAnsi="Times New Roman" w:cs="Times New Roman"/>
          <w:sz w:val="24"/>
          <w:szCs w:val="24"/>
          <w:lang w:eastAsia="fr-FR"/>
        </w:rPr>
      </w:pPr>
      <w:r w:rsidRPr="00CD5D76">
        <w:rPr>
          <w:rFonts w:ascii="Times New Roman" w:eastAsia="Times New Roman" w:hAnsi="Times New Roman" w:cs="Times New Roman"/>
          <w:bCs/>
          <w:sz w:val="24"/>
          <w:szCs w:val="24"/>
          <w:lang w:eastAsia="fr-FR"/>
        </w:rPr>
        <w:lastRenderedPageBreak/>
        <w:t>Nous ne disposons pas des statistiques fiables sur le nombre de victimes ayant séjourné dans ces centres</w:t>
      </w:r>
      <w:r w:rsidRPr="00CD5D76">
        <w:rPr>
          <w:rFonts w:ascii="Times New Roman" w:eastAsia="Times New Roman" w:hAnsi="Times New Roman" w:cs="Times New Roman"/>
          <w:sz w:val="24"/>
          <w:szCs w:val="24"/>
          <w:lang w:eastAsia="fr-FR"/>
        </w:rPr>
        <w:t>.</w:t>
      </w:r>
    </w:p>
    <w:p w14:paraId="13131A97" w14:textId="77777777" w:rsidR="003854E8" w:rsidRPr="003854E8" w:rsidRDefault="003854E8" w:rsidP="003854E8">
      <w:pPr>
        <w:pStyle w:val="ListParagraph"/>
        <w:numPr>
          <w:ilvl w:val="0"/>
          <w:numId w:val="1"/>
        </w:numPr>
        <w:spacing w:after="0" w:line="360" w:lineRule="auto"/>
        <w:jc w:val="both"/>
        <w:rPr>
          <w:rFonts w:ascii="Times New Roman" w:hAnsi="Times New Roman" w:cs="Times New Roman"/>
          <w:b/>
          <w:sz w:val="24"/>
          <w:szCs w:val="24"/>
        </w:rPr>
      </w:pPr>
      <w:r w:rsidRPr="003854E8">
        <w:rPr>
          <w:rFonts w:ascii="Times New Roman" w:hAnsi="Times New Roman" w:cs="Times New Roman"/>
          <w:b/>
          <w:sz w:val="24"/>
          <w:szCs w:val="24"/>
        </w:rPr>
        <w:t xml:space="preserve">Réponse à la question relative au </w:t>
      </w:r>
      <w:r>
        <w:rPr>
          <w:rFonts w:ascii="Times New Roman" w:hAnsi="Times New Roman" w:cs="Times New Roman"/>
          <w:b/>
          <w:sz w:val="24"/>
          <w:szCs w:val="24"/>
        </w:rPr>
        <w:t>changement climatique</w:t>
      </w:r>
    </w:p>
    <w:p w14:paraId="5EEFD7B7" w14:textId="77777777" w:rsidR="00CE56A2" w:rsidRPr="00884C32" w:rsidRDefault="00CE56A2" w:rsidP="00884C32">
      <w:pPr>
        <w:spacing w:after="0" w:line="360" w:lineRule="auto"/>
        <w:jc w:val="both"/>
        <w:rPr>
          <w:rFonts w:ascii="Times New Roman" w:hAnsi="Times New Roman" w:cs="Times New Roman"/>
          <w:sz w:val="24"/>
          <w:szCs w:val="24"/>
        </w:rPr>
      </w:pPr>
      <w:r w:rsidRPr="00884C32">
        <w:rPr>
          <w:rFonts w:ascii="Times New Roman" w:hAnsi="Times New Roman" w:cs="Times New Roman"/>
          <w:sz w:val="24"/>
          <w:szCs w:val="24"/>
        </w:rPr>
        <w:t>L’Etat du Niger a toujours été soucieux des impacts de changements climatiques sur sa population, en particulier les femmes rurales, les femmes déplacées, les refugiées, ou les migrantes. C’est pourquoi pour réduire les effets de ces changements climatiques, il a entrepris depuis 2016, un vaste programme d’électrification rurale afin de permettre à la population rurale, d’avoir accès à l’électricité et d’entreprendre des activités génératrices des revenus.</w:t>
      </w:r>
    </w:p>
    <w:p w14:paraId="32335E8C" w14:textId="77777777" w:rsidR="00884C32" w:rsidRDefault="00CE56A2" w:rsidP="00884C32">
      <w:pPr>
        <w:spacing w:after="0" w:line="360" w:lineRule="auto"/>
        <w:jc w:val="both"/>
        <w:rPr>
          <w:rFonts w:ascii="Times New Roman" w:hAnsi="Times New Roman" w:cs="Times New Roman"/>
          <w:sz w:val="24"/>
          <w:szCs w:val="24"/>
        </w:rPr>
      </w:pPr>
      <w:r w:rsidRPr="00884C32">
        <w:rPr>
          <w:rFonts w:ascii="Times New Roman" w:hAnsi="Times New Roman" w:cs="Times New Roman"/>
          <w:sz w:val="24"/>
          <w:szCs w:val="24"/>
        </w:rPr>
        <w:t>Il y a lieu de noter que les changements climatiques, au Niger, frappent indifféremment les hommes comme les femmes</w:t>
      </w:r>
      <w:r w:rsidR="003854E8" w:rsidRPr="00884C32">
        <w:rPr>
          <w:rFonts w:ascii="Times New Roman" w:hAnsi="Times New Roman" w:cs="Times New Roman"/>
          <w:sz w:val="24"/>
          <w:szCs w:val="24"/>
        </w:rPr>
        <w:t>, nationaux comme étrangers.</w:t>
      </w:r>
      <w:r w:rsidRPr="00884C32">
        <w:rPr>
          <w:rFonts w:ascii="Times New Roman" w:hAnsi="Times New Roman" w:cs="Times New Roman"/>
          <w:sz w:val="24"/>
          <w:szCs w:val="24"/>
        </w:rPr>
        <w:t xml:space="preserve"> </w:t>
      </w:r>
    </w:p>
    <w:p w14:paraId="77BEFD3E" w14:textId="77777777" w:rsidR="003854E8" w:rsidRPr="003854E8" w:rsidRDefault="003854E8" w:rsidP="00884C32">
      <w:pPr>
        <w:spacing w:after="0" w:line="360" w:lineRule="auto"/>
        <w:jc w:val="both"/>
        <w:rPr>
          <w:rFonts w:ascii="Times New Roman" w:hAnsi="Times New Roman" w:cs="Times New Roman"/>
          <w:sz w:val="24"/>
          <w:szCs w:val="24"/>
        </w:rPr>
      </w:pPr>
      <w:r w:rsidRPr="00884C32">
        <w:rPr>
          <w:rFonts w:ascii="Times New Roman" w:eastAsia="Times New Roman" w:hAnsi="Times New Roman" w:cs="Times New Roman"/>
          <w:sz w:val="24"/>
          <w:szCs w:val="24"/>
          <w:lang w:eastAsia="fr-FR"/>
        </w:rPr>
        <w:t>Parmi l</w:t>
      </w:r>
      <w:r w:rsidRPr="003854E8">
        <w:rPr>
          <w:rFonts w:ascii="Times New Roman" w:eastAsia="Times New Roman" w:hAnsi="Times New Roman" w:cs="Times New Roman"/>
          <w:sz w:val="24"/>
          <w:szCs w:val="24"/>
          <w:lang w:eastAsia="fr-FR"/>
        </w:rPr>
        <w:t>es impacts significatifs sur les migrations,</w:t>
      </w:r>
      <w:r w:rsidRPr="00884C32">
        <w:rPr>
          <w:rFonts w:ascii="Times New Roman" w:eastAsia="Times New Roman" w:hAnsi="Times New Roman" w:cs="Times New Roman"/>
          <w:sz w:val="24"/>
          <w:szCs w:val="24"/>
          <w:lang w:eastAsia="fr-FR"/>
        </w:rPr>
        <w:t xml:space="preserve"> on peut citer</w:t>
      </w:r>
      <w:r w:rsidRPr="003854E8">
        <w:rPr>
          <w:rFonts w:ascii="Times New Roman" w:eastAsia="Times New Roman" w:hAnsi="Times New Roman" w:cs="Times New Roman"/>
          <w:sz w:val="24"/>
          <w:szCs w:val="24"/>
          <w:lang w:eastAsia="fr-FR"/>
        </w:rPr>
        <w:t xml:space="preserve"> notamment :</w:t>
      </w:r>
    </w:p>
    <w:p w14:paraId="7506324D" w14:textId="77777777" w:rsidR="003854E8" w:rsidRPr="003854E8" w:rsidRDefault="003854E8" w:rsidP="00884C32">
      <w:pPr>
        <w:numPr>
          <w:ilvl w:val="0"/>
          <w:numId w:val="16"/>
        </w:numPr>
        <w:spacing w:before="100" w:beforeAutospacing="1" w:after="100" w:afterAutospacing="1" w:line="360" w:lineRule="auto"/>
        <w:jc w:val="both"/>
        <w:rPr>
          <w:rFonts w:ascii="Times New Roman" w:eastAsia="Times New Roman" w:hAnsi="Times New Roman" w:cs="Times New Roman"/>
          <w:sz w:val="24"/>
          <w:szCs w:val="24"/>
          <w:lang w:eastAsia="fr-FR"/>
        </w:rPr>
      </w:pPr>
      <w:r w:rsidRPr="00884C32">
        <w:rPr>
          <w:rFonts w:ascii="Times New Roman" w:eastAsia="Times New Roman" w:hAnsi="Times New Roman" w:cs="Times New Roman"/>
          <w:b/>
          <w:bCs/>
          <w:sz w:val="24"/>
          <w:szCs w:val="24"/>
          <w:lang w:eastAsia="fr-FR"/>
        </w:rPr>
        <w:t>Déplacement interne</w:t>
      </w:r>
      <w:r w:rsidRPr="003854E8">
        <w:rPr>
          <w:rFonts w:ascii="Times New Roman" w:eastAsia="Times New Roman" w:hAnsi="Times New Roman" w:cs="Times New Roman"/>
          <w:sz w:val="24"/>
          <w:szCs w:val="24"/>
          <w:lang w:eastAsia="fr-FR"/>
        </w:rPr>
        <w:t xml:space="preserve"> : </w:t>
      </w:r>
      <w:r w:rsidRPr="00884C32">
        <w:rPr>
          <w:rFonts w:ascii="Times New Roman" w:eastAsia="Times New Roman" w:hAnsi="Times New Roman" w:cs="Times New Roman"/>
          <w:sz w:val="24"/>
          <w:szCs w:val="24"/>
          <w:lang w:eastAsia="fr-FR"/>
        </w:rPr>
        <w:t>l</w:t>
      </w:r>
      <w:r w:rsidRPr="003854E8">
        <w:rPr>
          <w:rFonts w:ascii="Times New Roman" w:eastAsia="Times New Roman" w:hAnsi="Times New Roman" w:cs="Times New Roman"/>
          <w:sz w:val="24"/>
          <w:szCs w:val="24"/>
          <w:lang w:eastAsia="fr-FR"/>
        </w:rPr>
        <w:t>es sécheresses, la désertification et les inondations poussent de nombreuses personnes à quitter leurs villages pour chercher des opportunités économiques dans les zones urbaines</w:t>
      </w:r>
      <w:r w:rsidRPr="00884C32">
        <w:rPr>
          <w:rFonts w:ascii="Times New Roman" w:eastAsia="Times New Roman" w:hAnsi="Times New Roman" w:cs="Times New Roman"/>
          <w:sz w:val="24"/>
          <w:szCs w:val="24"/>
          <w:lang w:eastAsia="fr-FR"/>
        </w:rPr>
        <w:t> ;</w:t>
      </w:r>
    </w:p>
    <w:p w14:paraId="09C49AB4" w14:textId="77777777" w:rsidR="003854E8" w:rsidRPr="003854E8" w:rsidRDefault="003854E8" w:rsidP="00884C32">
      <w:pPr>
        <w:numPr>
          <w:ilvl w:val="0"/>
          <w:numId w:val="16"/>
        </w:numPr>
        <w:spacing w:before="100" w:beforeAutospacing="1" w:after="100" w:afterAutospacing="1" w:line="360" w:lineRule="auto"/>
        <w:jc w:val="both"/>
        <w:rPr>
          <w:rFonts w:ascii="Times New Roman" w:eastAsia="Times New Roman" w:hAnsi="Times New Roman" w:cs="Times New Roman"/>
          <w:sz w:val="24"/>
          <w:szCs w:val="24"/>
          <w:lang w:eastAsia="fr-FR"/>
        </w:rPr>
      </w:pPr>
      <w:r w:rsidRPr="00884C32">
        <w:rPr>
          <w:rFonts w:ascii="Times New Roman" w:eastAsia="Times New Roman" w:hAnsi="Times New Roman" w:cs="Times New Roman"/>
          <w:b/>
          <w:bCs/>
          <w:sz w:val="24"/>
          <w:szCs w:val="24"/>
          <w:lang w:eastAsia="fr-FR"/>
        </w:rPr>
        <w:t>Migration transfrontalière</w:t>
      </w:r>
      <w:r w:rsidRPr="003854E8">
        <w:rPr>
          <w:rFonts w:ascii="Times New Roman" w:eastAsia="Times New Roman" w:hAnsi="Times New Roman" w:cs="Times New Roman"/>
          <w:sz w:val="24"/>
          <w:szCs w:val="24"/>
          <w:lang w:eastAsia="fr-FR"/>
        </w:rPr>
        <w:t xml:space="preserve"> : </w:t>
      </w:r>
      <w:r w:rsidR="00884C32" w:rsidRPr="00884C32">
        <w:rPr>
          <w:rFonts w:ascii="Times New Roman" w:eastAsia="Times New Roman" w:hAnsi="Times New Roman" w:cs="Times New Roman"/>
          <w:sz w:val="24"/>
          <w:szCs w:val="24"/>
          <w:lang w:eastAsia="fr-FR"/>
        </w:rPr>
        <w:t>c</w:t>
      </w:r>
      <w:r w:rsidRPr="003854E8">
        <w:rPr>
          <w:rFonts w:ascii="Times New Roman" w:eastAsia="Times New Roman" w:hAnsi="Times New Roman" w:cs="Times New Roman"/>
          <w:sz w:val="24"/>
          <w:szCs w:val="24"/>
          <w:lang w:eastAsia="fr-FR"/>
        </w:rPr>
        <w:t>ertains habitants migrent vers d'autres pays en raison de la dégradation des terres agricoles et du manque de ressources</w:t>
      </w:r>
      <w:r w:rsidR="00884C32" w:rsidRPr="00884C32">
        <w:rPr>
          <w:rFonts w:ascii="Times New Roman" w:eastAsia="Times New Roman" w:hAnsi="Times New Roman" w:cs="Times New Roman"/>
          <w:sz w:val="24"/>
          <w:szCs w:val="24"/>
          <w:lang w:eastAsia="fr-FR"/>
        </w:rPr>
        <w:t> ;</w:t>
      </w:r>
    </w:p>
    <w:p w14:paraId="566FA010" w14:textId="77777777" w:rsidR="003854E8" w:rsidRPr="003854E8" w:rsidRDefault="003854E8" w:rsidP="00884C32">
      <w:pPr>
        <w:numPr>
          <w:ilvl w:val="0"/>
          <w:numId w:val="16"/>
        </w:numPr>
        <w:spacing w:before="100" w:beforeAutospacing="1" w:after="100" w:afterAutospacing="1" w:line="360" w:lineRule="auto"/>
        <w:jc w:val="both"/>
        <w:rPr>
          <w:rFonts w:ascii="Times New Roman" w:eastAsia="Times New Roman" w:hAnsi="Times New Roman" w:cs="Times New Roman"/>
          <w:sz w:val="24"/>
          <w:szCs w:val="24"/>
          <w:lang w:eastAsia="fr-FR"/>
        </w:rPr>
      </w:pPr>
      <w:r w:rsidRPr="00884C32">
        <w:rPr>
          <w:rFonts w:ascii="Times New Roman" w:eastAsia="Times New Roman" w:hAnsi="Times New Roman" w:cs="Times New Roman"/>
          <w:b/>
          <w:bCs/>
          <w:sz w:val="24"/>
          <w:szCs w:val="24"/>
          <w:lang w:eastAsia="fr-FR"/>
        </w:rPr>
        <w:t>Conflits liés aux ressources</w:t>
      </w:r>
      <w:r w:rsidRPr="003854E8">
        <w:rPr>
          <w:rFonts w:ascii="Times New Roman" w:eastAsia="Times New Roman" w:hAnsi="Times New Roman" w:cs="Times New Roman"/>
          <w:sz w:val="24"/>
          <w:szCs w:val="24"/>
          <w:lang w:eastAsia="fr-FR"/>
        </w:rPr>
        <w:t xml:space="preserve"> : </w:t>
      </w:r>
      <w:r w:rsidR="00884C32" w:rsidRPr="00884C32">
        <w:rPr>
          <w:rFonts w:ascii="Times New Roman" w:eastAsia="Times New Roman" w:hAnsi="Times New Roman" w:cs="Times New Roman"/>
          <w:sz w:val="24"/>
          <w:szCs w:val="24"/>
          <w:lang w:eastAsia="fr-FR"/>
        </w:rPr>
        <w:t>l</w:t>
      </w:r>
      <w:r w:rsidRPr="003854E8">
        <w:rPr>
          <w:rFonts w:ascii="Times New Roman" w:eastAsia="Times New Roman" w:hAnsi="Times New Roman" w:cs="Times New Roman"/>
          <w:sz w:val="24"/>
          <w:szCs w:val="24"/>
          <w:lang w:eastAsia="fr-FR"/>
        </w:rPr>
        <w:t>a raréfaction des ressources naturelles, comme l'eau et les terres cultivables, exacerbe les tensions et peut entraîner des déplacements forcés.</w:t>
      </w:r>
    </w:p>
    <w:p w14:paraId="135C7A41" w14:textId="77777777" w:rsidR="003854E8" w:rsidRPr="003854E8" w:rsidRDefault="003854E8" w:rsidP="00884C32">
      <w:pPr>
        <w:numPr>
          <w:ilvl w:val="0"/>
          <w:numId w:val="16"/>
        </w:numPr>
        <w:spacing w:before="100" w:beforeAutospacing="1" w:after="100" w:afterAutospacing="1" w:line="360" w:lineRule="auto"/>
        <w:jc w:val="both"/>
        <w:rPr>
          <w:rFonts w:ascii="Times New Roman" w:eastAsia="Times New Roman" w:hAnsi="Times New Roman" w:cs="Times New Roman"/>
          <w:sz w:val="24"/>
          <w:szCs w:val="24"/>
          <w:lang w:eastAsia="fr-FR"/>
        </w:rPr>
      </w:pPr>
      <w:r w:rsidRPr="00884C32">
        <w:rPr>
          <w:rFonts w:ascii="Times New Roman" w:eastAsia="Times New Roman" w:hAnsi="Times New Roman" w:cs="Times New Roman"/>
          <w:b/>
          <w:bCs/>
          <w:sz w:val="24"/>
          <w:szCs w:val="24"/>
          <w:lang w:eastAsia="fr-FR"/>
        </w:rPr>
        <w:t>Vulnérabilité accrue</w:t>
      </w:r>
      <w:r w:rsidRPr="003854E8">
        <w:rPr>
          <w:rFonts w:ascii="Times New Roman" w:eastAsia="Times New Roman" w:hAnsi="Times New Roman" w:cs="Times New Roman"/>
          <w:sz w:val="24"/>
          <w:szCs w:val="24"/>
          <w:lang w:eastAsia="fr-FR"/>
        </w:rPr>
        <w:t xml:space="preserve"> : </w:t>
      </w:r>
      <w:r w:rsidR="00884C32" w:rsidRPr="00884C32">
        <w:rPr>
          <w:rFonts w:ascii="Times New Roman" w:eastAsia="Times New Roman" w:hAnsi="Times New Roman" w:cs="Times New Roman"/>
          <w:sz w:val="24"/>
          <w:szCs w:val="24"/>
          <w:lang w:eastAsia="fr-FR"/>
        </w:rPr>
        <w:t>l</w:t>
      </w:r>
      <w:r w:rsidRPr="003854E8">
        <w:rPr>
          <w:rFonts w:ascii="Times New Roman" w:eastAsia="Times New Roman" w:hAnsi="Times New Roman" w:cs="Times New Roman"/>
          <w:sz w:val="24"/>
          <w:szCs w:val="24"/>
          <w:lang w:eastAsia="fr-FR"/>
        </w:rPr>
        <w:t>es migrants climatiques sont souvent confrontés à des conditions de vie précaires et à des défis pour s'intégrer dans de nouvelles communautés.</w:t>
      </w:r>
    </w:p>
    <w:p w14:paraId="5DCACD6D" w14:textId="77777777" w:rsidR="00884C32" w:rsidRPr="00884C32" w:rsidRDefault="003854E8" w:rsidP="004A3609">
      <w:pPr>
        <w:spacing w:before="100" w:beforeAutospacing="1" w:after="100" w:afterAutospacing="1" w:line="360" w:lineRule="auto"/>
        <w:jc w:val="both"/>
        <w:rPr>
          <w:rFonts w:ascii="Times New Roman" w:eastAsia="Times New Roman" w:hAnsi="Times New Roman" w:cs="Times New Roman"/>
          <w:sz w:val="24"/>
          <w:szCs w:val="24"/>
          <w:lang w:eastAsia="fr-FR"/>
        </w:rPr>
      </w:pPr>
      <w:r w:rsidRPr="003854E8">
        <w:rPr>
          <w:rFonts w:ascii="Times New Roman" w:eastAsia="Times New Roman" w:hAnsi="Times New Roman" w:cs="Times New Roman"/>
          <w:sz w:val="24"/>
          <w:szCs w:val="24"/>
          <w:lang w:eastAsia="fr-FR"/>
        </w:rPr>
        <w:t>Ces migrations sont souvent perçues comme une stratégie d'adaptation face aux changements environnementaux, bien que cela reste une solution complexe et incertaine</w:t>
      </w:r>
      <w:r w:rsidR="00884C32">
        <w:rPr>
          <w:rFonts w:ascii="Times New Roman" w:eastAsia="Times New Roman" w:hAnsi="Times New Roman" w:cs="Times New Roman"/>
          <w:sz w:val="24"/>
          <w:szCs w:val="24"/>
          <w:lang w:eastAsia="fr-FR"/>
        </w:rPr>
        <w:t>.</w:t>
      </w:r>
      <w:r w:rsidR="00884C32" w:rsidRPr="00884C32">
        <w:rPr>
          <w:rFonts w:ascii="Times New Roman" w:hAnsi="Times New Roman" w:cs="Times New Roman"/>
          <w:sz w:val="28"/>
          <w:szCs w:val="28"/>
        </w:rPr>
        <w:t xml:space="preserve"> </w:t>
      </w:r>
      <w:r w:rsidR="00884C32" w:rsidRPr="00884C32">
        <w:rPr>
          <w:rFonts w:ascii="Times New Roman" w:eastAsia="Times New Roman" w:hAnsi="Times New Roman" w:cs="Times New Roman"/>
          <w:sz w:val="24"/>
          <w:szCs w:val="24"/>
          <w:lang w:eastAsia="fr-FR"/>
        </w:rPr>
        <w:t>La problématique du changement climatique et ses conséquences majeures à savoir les migrations et les déplacements surtout internes des populations occupe une place importante dans l’agenda politique national. Le Niger, pays sahélien, est particulièrement vulnérable face à ces changements climatiques qui affectent les secteurs vitaux comme l’agriculture, l’élevage, la pêche, l’exploitation des ressources ligneuses.</w:t>
      </w:r>
    </w:p>
    <w:p w14:paraId="4837C92E" w14:textId="77777777" w:rsidR="00884C32" w:rsidRPr="00884C32" w:rsidRDefault="00884C32" w:rsidP="004A3609">
      <w:pPr>
        <w:spacing w:before="100" w:beforeAutospacing="1" w:after="100" w:afterAutospacing="1" w:line="360" w:lineRule="auto"/>
        <w:jc w:val="both"/>
        <w:rPr>
          <w:rFonts w:ascii="Times New Roman" w:eastAsia="Times New Roman" w:hAnsi="Times New Roman" w:cs="Times New Roman"/>
          <w:sz w:val="24"/>
          <w:szCs w:val="24"/>
          <w:lang w:eastAsia="fr-FR"/>
        </w:rPr>
      </w:pPr>
      <w:r w:rsidRPr="00884C32">
        <w:rPr>
          <w:rFonts w:ascii="Times New Roman" w:eastAsia="Times New Roman" w:hAnsi="Times New Roman" w:cs="Times New Roman"/>
          <w:sz w:val="24"/>
          <w:szCs w:val="24"/>
          <w:lang w:eastAsia="fr-FR"/>
        </w:rPr>
        <w:t>Pour ce faire, le Niger conscient des risques associés à ces changements climatiques a réalisé en 2022 un plan National d’adaptation aux changements climatique</w:t>
      </w:r>
      <w:r>
        <w:rPr>
          <w:rFonts w:ascii="Times New Roman" w:eastAsia="Times New Roman" w:hAnsi="Times New Roman" w:cs="Times New Roman"/>
          <w:sz w:val="24"/>
          <w:szCs w:val="24"/>
          <w:lang w:eastAsia="fr-FR"/>
        </w:rPr>
        <w:t>s</w:t>
      </w:r>
      <w:r w:rsidRPr="00884C32">
        <w:rPr>
          <w:rFonts w:ascii="Times New Roman" w:eastAsia="Times New Roman" w:hAnsi="Times New Roman" w:cs="Times New Roman"/>
          <w:sz w:val="24"/>
          <w:szCs w:val="24"/>
          <w:lang w:eastAsia="fr-FR"/>
        </w:rPr>
        <w:t>. L’</w:t>
      </w:r>
      <w:r>
        <w:rPr>
          <w:rFonts w:ascii="Times New Roman" w:eastAsia="Times New Roman" w:hAnsi="Times New Roman" w:cs="Times New Roman"/>
          <w:sz w:val="24"/>
          <w:szCs w:val="24"/>
          <w:lang w:eastAsia="fr-FR"/>
        </w:rPr>
        <w:t>i</w:t>
      </w:r>
      <w:r w:rsidRPr="00884C32">
        <w:rPr>
          <w:rFonts w:ascii="Times New Roman" w:eastAsia="Times New Roman" w:hAnsi="Times New Roman" w:cs="Times New Roman"/>
          <w:sz w:val="24"/>
          <w:szCs w:val="24"/>
          <w:lang w:eastAsia="fr-FR"/>
        </w:rPr>
        <w:t xml:space="preserve">ntégration des aspects </w:t>
      </w:r>
      <w:r>
        <w:rPr>
          <w:rFonts w:ascii="Times New Roman" w:eastAsia="Times New Roman" w:hAnsi="Times New Roman" w:cs="Times New Roman"/>
          <w:sz w:val="24"/>
          <w:szCs w:val="24"/>
          <w:lang w:eastAsia="fr-FR"/>
        </w:rPr>
        <w:t>e</w:t>
      </w:r>
      <w:r w:rsidRPr="00884C32">
        <w:rPr>
          <w:rFonts w:ascii="Times New Roman" w:eastAsia="Times New Roman" w:hAnsi="Times New Roman" w:cs="Times New Roman"/>
          <w:sz w:val="24"/>
          <w:szCs w:val="24"/>
          <w:lang w:eastAsia="fr-FR"/>
        </w:rPr>
        <w:t xml:space="preserve">nvironnement et changements climatiques dans la Politique Nationale de la Migration est en cours. </w:t>
      </w:r>
    </w:p>
    <w:p w14:paraId="1F2DC9D9" w14:textId="77777777" w:rsidR="003854E8" w:rsidRPr="003854E8" w:rsidRDefault="003854E8" w:rsidP="004A3609">
      <w:pPr>
        <w:spacing w:before="100" w:beforeAutospacing="1" w:after="100" w:afterAutospacing="1" w:line="360" w:lineRule="auto"/>
        <w:jc w:val="both"/>
        <w:rPr>
          <w:rFonts w:ascii="Times New Roman" w:eastAsia="Times New Roman" w:hAnsi="Times New Roman" w:cs="Times New Roman"/>
          <w:sz w:val="24"/>
          <w:szCs w:val="24"/>
          <w:lang w:eastAsia="fr-FR"/>
        </w:rPr>
      </w:pPr>
    </w:p>
    <w:p w14:paraId="3AA53F08" w14:textId="77777777" w:rsidR="00CE56A2" w:rsidRPr="00884C32" w:rsidRDefault="005C6473" w:rsidP="00884C32">
      <w:pPr>
        <w:pStyle w:val="ListParagraph"/>
        <w:numPr>
          <w:ilvl w:val="0"/>
          <w:numId w:val="1"/>
        </w:numPr>
        <w:spacing w:after="0" w:line="360" w:lineRule="auto"/>
        <w:jc w:val="both"/>
        <w:rPr>
          <w:rFonts w:ascii="Times New Roman" w:hAnsi="Times New Roman" w:cs="Times New Roman"/>
          <w:b/>
          <w:sz w:val="24"/>
          <w:szCs w:val="24"/>
        </w:rPr>
      </w:pPr>
      <w:r w:rsidRPr="00884C32">
        <w:rPr>
          <w:rFonts w:ascii="Times New Roman" w:hAnsi="Times New Roman" w:cs="Times New Roman"/>
          <w:b/>
          <w:sz w:val="24"/>
          <w:szCs w:val="24"/>
        </w:rPr>
        <w:lastRenderedPageBreak/>
        <w:t>Réponses</w:t>
      </w:r>
      <w:r w:rsidR="001A2B5C" w:rsidRPr="00884C32">
        <w:rPr>
          <w:rFonts w:ascii="Times New Roman" w:hAnsi="Times New Roman" w:cs="Times New Roman"/>
          <w:b/>
          <w:sz w:val="24"/>
          <w:szCs w:val="24"/>
        </w:rPr>
        <w:t xml:space="preserve"> aux </w:t>
      </w:r>
      <w:r w:rsidR="00884C32">
        <w:rPr>
          <w:rFonts w:ascii="Times New Roman" w:hAnsi="Times New Roman" w:cs="Times New Roman"/>
          <w:b/>
          <w:sz w:val="24"/>
          <w:szCs w:val="24"/>
        </w:rPr>
        <w:t>données statistiques</w:t>
      </w:r>
    </w:p>
    <w:p w14:paraId="706FEE65" w14:textId="77777777" w:rsidR="00A85DDE" w:rsidRPr="00A85DDE" w:rsidRDefault="00CE56A2" w:rsidP="00A85DDE">
      <w:pPr>
        <w:spacing w:after="0" w:line="360" w:lineRule="auto"/>
        <w:jc w:val="both"/>
        <w:rPr>
          <w:rFonts w:ascii="Times New Roman" w:hAnsi="Times New Roman" w:cs="Times New Roman"/>
          <w:sz w:val="24"/>
          <w:szCs w:val="24"/>
        </w:rPr>
      </w:pPr>
      <w:r w:rsidRPr="00884C32">
        <w:rPr>
          <w:rFonts w:ascii="Times New Roman" w:hAnsi="Times New Roman" w:cs="Times New Roman"/>
          <w:sz w:val="24"/>
          <w:szCs w:val="24"/>
        </w:rPr>
        <w:t>La question de la collecte des données est une priorité nationale pour le Niger et particulièrement pour le Ministère de l’Intérieur, en charge de la gestion des questions de réfugiés et celles liées aux questions de migrations. Déjà, en 2015, une stratégie de collecte des données au niveau sectoriel s’inscrivant dans la Stratégie Nationale du Développement de la Statistique (SNDS) est élaborée « pour l’édification d’une fonction statistique dotée de moyens techniques, humains, matériels et financiers requis pour contribuer efficacement à la conception, au suivi et à l’évaluation des politiques, programmes et plans de développement économique et social »</w:t>
      </w:r>
      <w:r w:rsidR="00884C32">
        <w:rPr>
          <w:rFonts w:ascii="Times New Roman" w:hAnsi="Times New Roman" w:cs="Times New Roman"/>
          <w:sz w:val="24"/>
          <w:szCs w:val="24"/>
        </w:rPr>
        <w:t>.</w:t>
      </w:r>
      <w:r w:rsidRPr="00884C32">
        <w:rPr>
          <w:rFonts w:ascii="Times New Roman" w:hAnsi="Times New Roman" w:cs="Times New Roman"/>
          <w:sz w:val="24"/>
          <w:szCs w:val="24"/>
        </w:rPr>
        <w:t xml:space="preserve"> Dans ce cadre, la Direction de la Réglementation et des Statistiques Migrations du Ministère de l’Intérieur sous l’égide de la Direction de la Surveillance du Territoire (DST) a élaboré, à cet effet, trois indicateurs pour les entrées et sorties du territoire national ainsi qu’un indicateur spécifique portant sur les personnes arrêtées pour la traite des êtres humains.</w:t>
      </w:r>
      <w:r w:rsidR="00A85DDE" w:rsidRPr="00A85DDE">
        <w:rPr>
          <w:rFonts w:eastAsia="PMingLiU" w:cstheme="minorHAnsi"/>
          <w:sz w:val="28"/>
          <w:szCs w:val="28"/>
        </w:rPr>
        <w:t xml:space="preserve"> </w:t>
      </w:r>
    </w:p>
    <w:p w14:paraId="11198664" w14:textId="77777777" w:rsidR="00A85DDE" w:rsidRPr="00A85DDE" w:rsidRDefault="00A85DDE" w:rsidP="00A85DDE">
      <w:pPr>
        <w:pStyle w:val="ListParagraph"/>
        <w:numPr>
          <w:ilvl w:val="0"/>
          <w:numId w:val="1"/>
        </w:num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Réponse à la question relative à la mise en œuvre de la PNM</w:t>
      </w:r>
    </w:p>
    <w:p w14:paraId="1B455AC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Dans le cadre de la mise en œuvre du plan d’action de la politique Nationale de la Migration plusieurs actions ont été réalisées dans plusieurs domaines notamment dans la sensibilisation qui a permis une meilleure connaissance du phénomène migratoire par les communautés et une prise en compte de la problématique par certaines dans les plans de développement communautaire de certaines communes ; et le renforcement des capacités des acteurs sur les droits des migrants. Une revue à mi-parcours réalisée en début 2023 a permis d’avoir </w:t>
      </w:r>
      <w:r>
        <w:rPr>
          <w:rFonts w:ascii="Times New Roman" w:hAnsi="Times New Roman" w:cs="Times New Roman"/>
          <w:sz w:val="24"/>
          <w:szCs w:val="24"/>
        </w:rPr>
        <w:t>plusieurs</w:t>
      </w:r>
      <w:r w:rsidRPr="00A85DDE">
        <w:rPr>
          <w:rFonts w:ascii="Times New Roman" w:hAnsi="Times New Roman" w:cs="Times New Roman"/>
          <w:sz w:val="24"/>
          <w:szCs w:val="24"/>
        </w:rPr>
        <w:t xml:space="preserve"> résultats</w:t>
      </w:r>
      <w:r>
        <w:rPr>
          <w:rFonts w:ascii="Times New Roman" w:hAnsi="Times New Roman" w:cs="Times New Roman"/>
          <w:sz w:val="24"/>
          <w:szCs w:val="24"/>
        </w:rPr>
        <w:t>. Des</w:t>
      </w:r>
      <w:r w:rsidRPr="00A85DDE">
        <w:rPr>
          <w:rFonts w:ascii="Times New Roman" w:hAnsi="Times New Roman" w:cs="Times New Roman"/>
          <w:sz w:val="24"/>
          <w:szCs w:val="24"/>
        </w:rPr>
        <w:t xml:space="preserve"> couches sociales ont été soutenues dans le cadre de la mise en œuvre de </w:t>
      </w:r>
      <w:r>
        <w:rPr>
          <w:rFonts w:ascii="Times New Roman" w:hAnsi="Times New Roman" w:cs="Times New Roman"/>
          <w:sz w:val="24"/>
          <w:szCs w:val="24"/>
        </w:rPr>
        <w:t xml:space="preserve">cette </w:t>
      </w:r>
      <w:r w:rsidRPr="00A85DDE">
        <w:rPr>
          <w:rFonts w:ascii="Times New Roman" w:hAnsi="Times New Roman" w:cs="Times New Roman"/>
          <w:sz w:val="24"/>
          <w:szCs w:val="24"/>
        </w:rPr>
        <w:t xml:space="preserve">Politique </w:t>
      </w:r>
      <w:r>
        <w:rPr>
          <w:rFonts w:ascii="Times New Roman" w:hAnsi="Times New Roman" w:cs="Times New Roman"/>
          <w:sz w:val="24"/>
          <w:szCs w:val="24"/>
        </w:rPr>
        <w:t>N</w:t>
      </w:r>
      <w:r w:rsidRPr="00A85DDE">
        <w:rPr>
          <w:rFonts w:ascii="Times New Roman" w:hAnsi="Times New Roman" w:cs="Times New Roman"/>
          <w:sz w:val="24"/>
          <w:szCs w:val="24"/>
        </w:rPr>
        <w:t xml:space="preserve">ationale de la </w:t>
      </w:r>
      <w:r>
        <w:rPr>
          <w:rFonts w:ascii="Times New Roman" w:hAnsi="Times New Roman" w:cs="Times New Roman"/>
          <w:sz w:val="24"/>
          <w:szCs w:val="24"/>
        </w:rPr>
        <w:t>M</w:t>
      </w:r>
      <w:r w:rsidRPr="00A85DDE">
        <w:rPr>
          <w:rFonts w:ascii="Times New Roman" w:hAnsi="Times New Roman" w:cs="Times New Roman"/>
          <w:sz w:val="24"/>
          <w:szCs w:val="24"/>
        </w:rPr>
        <w:t xml:space="preserve">igration. </w:t>
      </w:r>
      <w:r>
        <w:rPr>
          <w:rFonts w:ascii="Times New Roman" w:hAnsi="Times New Roman" w:cs="Times New Roman"/>
          <w:sz w:val="24"/>
          <w:szCs w:val="24"/>
        </w:rPr>
        <w:t xml:space="preserve">Les </w:t>
      </w:r>
      <w:r w:rsidRPr="00A85DDE">
        <w:rPr>
          <w:rFonts w:ascii="Times New Roman" w:hAnsi="Times New Roman" w:cs="Times New Roman"/>
          <w:sz w:val="24"/>
          <w:szCs w:val="24"/>
        </w:rPr>
        <w:t>bénéficiaires spécifiques sont les femmes, les personnes âgées, les enfants et les personnes handicapées. Au total 6 490 886 bénéficiaires spécifiques ont été appuyées. On dénombre en premier lieu les femmes avec un effectif de</w:t>
      </w:r>
      <w:r w:rsidRPr="00A85DDE">
        <w:rPr>
          <w:rFonts w:ascii="Times New Roman" w:hAnsi="Times New Roman" w:cs="Times New Roman"/>
          <w:b/>
          <w:sz w:val="24"/>
          <w:szCs w:val="24"/>
        </w:rPr>
        <w:t xml:space="preserve"> </w:t>
      </w:r>
      <w:r w:rsidRPr="00A85DDE">
        <w:rPr>
          <w:rFonts w:ascii="Times New Roman" w:hAnsi="Times New Roman" w:cs="Times New Roman"/>
          <w:sz w:val="24"/>
          <w:szCs w:val="24"/>
        </w:rPr>
        <w:t>3 415 662 soit 52,62%, suivies des personnes âgées, 2 005 703 soit 30,90%, vient en troisième position les enfants, 16,46% et enfin les personnes handicapées 0,02%.</w:t>
      </w:r>
    </w:p>
    <w:p w14:paraId="4EB97EAE" w14:textId="77777777" w:rsidR="00A85DDE" w:rsidRPr="00A85DDE" w:rsidRDefault="00A85DDE" w:rsidP="00A85DDE">
      <w:pPr>
        <w:spacing w:after="0" w:line="360" w:lineRule="auto"/>
        <w:jc w:val="both"/>
        <w:rPr>
          <w:rFonts w:ascii="Times New Roman" w:hAnsi="Times New Roman" w:cs="Times New Roman"/>
          <w:b/>
          <w:bCs/>
          <w:sz w:val="24"/>
          <w:szCs w:val="24"/>
          <w:u w:val="single"/>
        </w:rPr>
      </w:pPr>
      <w:r w:rsidRPr="00A85DDE">
        <w:rPr>
          <w:rFonts w:ascii="Times New Roman" w:hAnsi="Times New Roman" w:cs="Times New Roman"/>
          <w:b/>
          <w:bCs/>
          <w:sz w:val="24"/>
          <w:szCs w:val="24"/>
          <w:u w:val="single"/>
        </w:rPr>
        <w:t>Pourcentage des bénéficiaires selon les régions</w:t>
      </w:r>
    </w:p>
    <w:tbl>
      <w:tblPr>
        <w:tblW w:w="9708" w:type="dxa"/>
        <w:jc w:val="center"/>
        <w:tblCellMar>
          <w:left w:w="70" w:type="dxa"/>
          <w:right w:w="70" w:type="dxa"/>
        </w:tblCellMar>
        <w:tblLook w:val="04A0" w:firstRow="1" w:lastRow="0" w:firstColumn="1" w:lastColumn="0" w:noHBand="0" w:noVBand="1"/>
      </w:tblPr>
      <w:tblGrid>
        <w:gridCol w:w="2140"/>
        <w:gridCol w:w="873"/>
        <w:gridCol w:w="680"/>
        <w:gridCol w:w="741"/>
        <w:gridCol w:w="834"/>
        <w:gridCol w:w="900"/>
        <w:gridCol w:w="860"/>
        <w:gridCol w:w="1020"/>
        <w:gridCol w:w="780"/>
        <w:gridCol w:w="880"/>
      </w:tblGrid>
      <w:tr w:rsidR="00A85DDE" w:rsidRPr="00A85DDE" w14:paraId="34521F1E" w14:textId="77777777" w:rsidTr="00CE6B72">
        <w:trPr>
          <w:trHeight w:val="290"/>
          <w:jc w:val="center"/>
        </w:trPr>
        <w:tc>
          <w:tcPr>
            <w:tcW w:w="16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D3DBDFD" w14:textId="77777777" w:rsidR="00A85DDE" w:rsidRPr="00A85DDE" w:rsidRDefault="00A85DDE" w:rsidP="00A85DDE">
            <w:pPr>
              <w:spacing w:after="0" w:line="360" w:lineRule="auto"/>
              <w:jc w:val="both"/>
              <w:rPr>
                <w:rFonts w:ascii="Times New Roman" w:hAnsi="Times New Roman" w:cs="Times New Roman"/>
                <w:b/>
                <w:bCs/>
                <w:sz w:val="24"/>
                <w:szCs w:val="24"/>
              </w:rPr>
            </w:pPr>
            <w:r w:rsidRPr="00A85DDE">
              <w:rPr>
                <w:rFonts w:ascii="Times New Roman" w:hAnsi="Times New Roman" w:cs="Times New Roman"/>
                <w:b/>
                <w:bCs/>
                <w:sz w:val="24"/>
                <w:szCs w:val="24"/>
              </w:rPr>
              <w:t>Types</w:t>
            </w:r>
            <w:r w:rsidR="00CE6B72">
              <w:rPr>
                <w:rFonts w:ascii="Times New Roman" w:hAnsi="Times New Roman" w:cs="Times New Roman"/>
                <w:b/>
                <w:bCs/>
                <w:sz w:val="24"/>
                <w:szCs w:val="24"/>
              </w:rPr>
              <w:t xml:space="preserve"> </w:t>
            </w:r>
            <w:r w:rsidRPr="00A85DDE">
              <w:rPr>
                <w:rFonts w:ascii="Times New Roman" w:hAnsi="Times New Roman" w:cs="Times New Roman"/>
                <w:b/>
                <w:bCs/>
                <w:sz w:val="24"/>
                <w:szCs w:val="24"/>
              </w:rPr>
              <w:t>de Bénéficiaire</w:t>
            </w:r>
          </w:p>
        </w:tc>
        <w:tc>
          <w:tcPr>
            <w:tcW w:w="8012" w:type="dxa"/>
            <w:gridSpan w:val="9"/>
            <w:tcBorders>
              <w:top w:val="single" w:sz="4" w:space="0" w:color="auto"/>
              <w:left w:val="nil"/>
              <w:bottom w:val="single" w:sz="4" w:space="0" w:color="auto"/>
              <w:right w:val="single" w:sz="4" w:space="0" w:color="000000"/>
            </w:tcBorders>
            <w:shd w:val="clear" w:color="auto" w:fill="FBE4D5" w:themeFill="accent2" w:themeFillTint="33"/>
            <w:vAlign w:val="center"/>
            <w:hideMark/>
          </w:tcPr>
          <w:p w14:paraId="04AE7884"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les bénéficiaires des interventions des acteurs  </w:t>
            </w:r>
          </w:p>
        </w:tc>
      </w:tr>
      <w:tr w:rsidR="00A85DDE" w:rsidRPr="00A85DDE" w14:paraId="731290BE" w14:textId="77777777" w:rsidTr="00CE6B72">
        <w:trPr>
          <w:trHeight w:val="30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4D80A07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1317" w:type="dxa"/>
            <w:tcBorders>
              <w:top w:val="nil"/>
              <w:left w:val="nil"/>
              <w:bottom w:val="single" w:sz="4" w:space="0" w:color="auto"/>
              <w:right w:val="single" w:sz="4" w:space="0" w:color="auto"/>
            </w:tcBorders>
            <w:shd w:val="clear" w:color="auto" w:fill="auto"/>
            <w:vAlign w:val="center"/>
            <w:hideMark/>
          </w:tcPr>
          <w:p w14:paraId="5A988B2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Agadez</w:t>
            </w:r>
          </w:p>
        </w:tc>
        <w:tc>
          <w:tcPr>
            <w:tcW w:w="680" w:type="dxa"/>
            <w:tcBorders>
              <w:top w:val="nil"/>
              <w:left w:val="nil"/>
              <w:bottom w:val="single" w:sz="4" w:space="0" w:color="auto"/>
              <w:right w:val="single" w:sz="4" w:space="0" w:color="auto"/>
            </w:tcBorders>
            <w:shd w:val="clear" w:color="auto" w:fill="auto"/>
            <w:vAlign w:val="center"/>
            <w:hideMark/>
          </w:tcPr>
          <w:p w14:paraId="29206C62"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Diffa</w:t>
            </w:r>
          </w:p>
        </w:tc>
        <w:tc>
          <w:tcPr>
            <w:tcW w:w="741" w:type="dxa"/>
            <w:tcBorders>
              <w:top w:val="nil"/>
              <w:left w:val="nil"/>
              <w:bottom w:val="single" w:sz="4" w:space="0" w:color="auto"/>
              <w:right w:val="single" w:sz="4" w:space="0" w:color="auto"/>
            </w:tcBorders>
            <w:shd w:val="clear" w:color="auto" w:fill="auto"/>
            <w:vAlign w:val="center"/>
            <w:hideMark/>
          </w:tcPr>
          <w:p w14:paraId="5BEAAB1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Dosso</w:t>
            </w:r>
          </w:p>
        </w:tc>
        <w:tc>
          <w:tcPr>
            <w:tcW w:w="834" w:type="dxa"/>
            <w:tcBorders>
              <w:top w:val="nil"/>
              <w:left w:val="nil"/>
              <w:bottom w:val="single" w:sz="4" w:space="0" w:color="auto"/>
              <w:right w:val="single" w:sz="4" w:space="0" w:color="auto"/>
            </w:tcBorders>
            <w:shd w:val="clear" w:color="auto" w:fill="auto"/>
            <w:vAlign w:val="center"/>
            <w:hideMark/>
          </w:tcPr>
          <w:p w14:paraId="54B17F3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Maradi</w:t>
            </w:r>
          </w:p>
        </w:tc>
        <w:tc>
          <w:tcPr>
            <w:tcW w:w="900" w:type="dxa"/>
            <w:tcBorders>
              <w:top w:val="nil"/>
              <w:left w:val="nil"/>
              <w:bottom w:val="single" w:sz="4" w:space="0" w:color="auto"/>
              <w:right w:val="single" w:sz="4" w:space="0" w:color="auto"/>
            </w:tcBorders>
            <w:shd w:val="clear" w:color="auto" w:fill="auto"/>
            <w:vAlign w:val="center"/>
            <w:hideMark/>
          </w:tcPr>
          <w:p w14:paraId="386B661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Niamey</w:t>
            </w:r>
          </w:p>
        </w:tc>
        <w:tc>
          <w:tcPr>
            <w:tcW w:w="860" w:type="dxa"/>
            <w:tcBorders>
              <w:top w:val="nil"/>
              <w:left w:val="nil"/>
              <w:bottom w:val="single" w:sz="4" w:space="0" w:color="auto"/>
              <w:right w:val="single" w:sz="4" w:space="0" w:color="auto"/>
            </w:tcBorders>
            <w:shd w:val="clear" w:color="auto" w:fill="auto"/>
            <w:vAlign w:val="center"/>
            <w:hideMark/>
          </w:tcPr>
          <w:p w14:paraId="0B38177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Tahoua</w:t>
            </w:r>
          </w:p>
        </w:tc>
        <w:tc>
          <w:tcPr>
            <w:tcW w:w="1020" w:type="dxa"/>
            <w:tcBorders>
              <w:top w:val="nil"/>
              <w:left w:val="nil"/>
              <w:bottom w:val="single" w:sz="4" w:space="0" w:color="auto"/>
              <w:right w:val="single" w:sz="4" w:space="0" w:color="auto"/>
            </w:tcBorders>
            <w:shd w:val="clear" w:color="auto" w:fill="auto"/>
            <w:vAlign w:val="center"/>
            <w:hideMark/>
          </w:tcPr>
          <w:p w14:paraId="01E7D512" w14:textId="77777777" w:rsidR="00A85DDE" w:rsidRPr="00A85DDE" w:rsidRDefault="00A85DDE" w:rsidP="00A85DDE">
            <w:pPr>
              <w:spacing w:after="0" w:line="360" w:lineRule="auto"/>
              <w:jc w:val="both"/>
              <w:rPr>
                <w:rFonts w:ascii="Times New Roman" w:hAnsi="Times New Roman" w:cs="Times New Roman"/>
                <w:sz w:val="24"/>
                <w:szCs w:val="24"/>
              </w:rPr>
            </w:pPr>
            <w:proofErr w:type="spellStart"/>
            <w:r w:rsidRPr="00A85DDE">
              <w:rPr>
                <w:rFonts w:ascii="Times New Roman" w:hAnsi="Times New Roman" w:cs="Times New Roman"/>
                <w:bCs/>
                <w:sz w:val="24"/>
                <w:szCs w:val="24"/>
              </w:rPr>
              <w:t>Tillabery</w:t>
            </w:r>
            <w:proofErr w:type="spellEnd"/>
          </w:p>
        </w:tc>
        <w:tc>
          <w:tcPr>
            <w:tcW w:w="780" w:type="dxa"/>
            <w:tcBorders>
              <w:top w:val="nil"/>
              <w:left w:val="nil"/>
              <w:bottom w:val="single" w:sz="4" w:space="0" w:color="auto"/>
              <w:right w:val="single" w:sz="4" w:space="0" w:color="auto"/>
            </w:tcBorders>
            <w:shd w:val="clear" w:color="auto" w:fill="auto"/>
            <w:vAlign w:val="center"/>
            <w:hideMark/>
          </w:tcPr>
          <w:p w14:paraId="35E5BB8D"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Zinder</w:t>
            </w:r>
          </w:p>
        </w:tc>
        <w:tc>
          <w:tcPr>
            <w:tcW w:w="880" w:type="dxa"/>
            <w:tcBorders>
              <w:top w:val="nil"/>
              <w:left w:val="nil"/>
              <w:bottom w:val="single" w:sz="4" w:space="0" w:color="auto"/>
              <w:right w:val="single" w:sz="4" w:space="0" w:color="auto"/>
            </w:tcBorders>
            <w:shd w:val="clear" w:color="auto" w:fill="auto"/>
            <w:vAlign w:val="center"/>
            <w:hideMark/>
          </w:tcPr>
          <w:p w14:paraId="4958E9E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Total</w:t>
            </w:r>
          </w:p>
        </w:tc>
      </w:tr>
      <w:tr w:rsidR="00A85DDE" w:rsidRPr="00A85DDE" w14:paraId="39509489" w14:textId="77777777" w:rsidTr="00CE6B72">
        <w:trPr>
          <w:trHeight w:val="43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2A47C7F4"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Les migrants/ Migrantes</w:t>
            </w:r>
          </w:p>
        </w:tc>
        <w:tc>
          <w:tcPr>
            <w:tcW w:w="1317" w:type="dxa"/>
            <w:tcBorders>
              <w:top w:val="nil"/>
              <w:left w:val="nil"/>
              <w:bottom w:val="single" w:sz="4" w:space="0" w:color="auto"/>
              <w:right w:val="single" w:sz="4" w:space="0" w:color="auto"/>
            </w:tcBorders>
            <w:shd w:val="clear" w:color="auto" w:fill="auto"/>
            <w:vAlign w:val="center"/>
            <w:hideMark/>
          </w:tcPr>
          <w:p w14:paraId="1ECEAA1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23,9</w:t>
            </w:r>
          </w:p>
        </w:tc>
        <w:tc>
          <w:tcPr>
            <w:tcW w:w="680" w:type="dxa"/>
            <w:tcBorders>
              <w:top w:val="nil"/>
              <w:left w:val="nil"/>
              <w:bottom w:val="single" w:sz="4" w:space="0" w:color="auto"/>
              <w:right w:val="single" w:sz="4" w:space="0" w:color="auto"/>
            </w:tcBorders>
            <w:shd w:val="clear" w:color="auto" w:fill="auto"/>
            <w:vAlign w:val="center"/>
            <w:hideMark/>
          </w:tcPr>
          <w:p w14:paraId="79601503"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31,8</w:t>
            </w:r>
          </w:p>
        </w:tc>
        <w:tc>
          <w:tcPr>
            <w:tcW w:w="741" w:type="dxa"/>
            <w:tcBorders>
              <w:top w:val="nil"/>
              <w:left w:val="nil"/>
              <w:bottom w:val="single" w:sz="4" w:space="0" w:color="auto"/>
              <w:right w:val="single" w:sz="4" w:space="0" w:color="auto"/>
            </w:tcBorders>
            <w:shd w:val="clear" w:color="auto" w:fill="auto"/>
            <w:vAlign w:val="center"/>
            <w:hideMark/>
          </w:tcPr>
          <w:p w14:paraId="7612FA1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0,0</w:t>
            </w:r>
          </w:p>
        </w:tc>
        <w:tc>
          <w:tcPr>
            <w:tcW w:w="834" w:type="dxa"/>
            <w:tcBorders>
              <w:top w:val="nil"/>
              <w:left w:val="nil"/>
              <w:bottom w:val="single" w:sz="4" w:space="0" w:color="auto"/>
              <w:right w:val="single" w:sz="4" w:space="0" w:color="auto"/>
            </w:tcBorders>
            <w:shd w:val="clear" w:color="auto" w:fill="auto"/>
            <w:vAlign w:val="center"/>
            <w:hideMark/>
          </w:tcPr>
          <w:p w14:paraId="51104042"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24</w:t>
            </w:r>
          </w:p>
        </w:tc>
        <w:tc>
          <w:tcPr>
            <w:tcW w:w="900" w:type="dxa"/>
            <w:tcBorders>
              <w:top w:val="nil"/>
              <w:left w:val="nil"/>
              <w:bottom w:val="single" w:sz="4" w:space="0" w:color="auto"/>
              <w:right w:val="single" w:sz="4" w:space="0" w:color="auto"/>
            </w:tcBorders>
            <w:shd w:val="clear" w:color="auto" w:fill="auto"/>
            <w:vAlign w:val="center"/>
            <w:hideMark/>
          </w:tcPr>
          <w:p w14:paraId="777DF4F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38,1   </w:t>
            </w:r>
          </w:p>
        </w:tc>
        <w:tc>
          <w:tcPr>
            <w:tcW w:w="860" w:type="dxa"/>
            <w:tcBorders>
              <w:top w:val="nil"/>
              <w:left w:val="nil"/>
              <w:bottom w:val="single" w:sz="4" w:space="0" w:color="auto"/>
              <w:right w:val="single" w:sz="4" w:space="0" w:color="auto"/>
            </w:tcBorders>
            <w:shd w:val="clear" w:color="auto" w:fill="auto"/>
            <w:vAlign w:val="center"/>
            <w:hideMark/>
          </w:tcPr>
          <w:p w14:paraId="362BDBD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27,8   </w:t>
            </w:r>
          </w:p>
        </w:tc>
        <w:tc>
          <w:tcPr>
            <w:tcW w:w="1020" w:type="dxa"/>
            <w:tcBorders>
              <w:top w:val="nil"/>
              <w:left w:val="nil"/>
              <w:bottom w:val="single" w:sz="4" w:space="0" w:color="auto"/>
              <w:right w:val="single" w:sz="4" w:space="0" w:color="auto"/>
            </w:tcBorders>
            <w:shd w:val="clear" w:color="auto" w:fill="auto"/>
            <w:vAlign w:val="center"/>
            <w:hideMark/>
          </w:tcPr>
          <w:p w14:paraId="4B9E53D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25,0   </w:t>
            </w:r>
          </w:p>
        </w:tc>
        <w:tc>
          <w:tcPr>
            <w:tcW w:w="780" w:type="dxa"/>
            <w:tcBorders>
              <w:top w:val="nil"/>
              <w:left w:val="nil"/>
              <w:bottom w:val="single" w:sz="4" w:space="0" w:color="auto"/>
              <w:right w:val="single" w:sz="4" w:space="0" w:color="auto"/>
            </w:tcBorders>
            <w:shd w:val="clear" w:color="auto" w:fill="auto"/>
            <w:vAlign w:val="center"/>
            <w:hideMark/>
          </w:tcPr>
          <w:p w14:paraId="140480C2"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50,0   </w:t>
            </w:r>
          </w:p>
        </w:tc>
        <w:tc>
          <w:tcPr>
            <w:tcW w:w="880" w:type="dxa"/>
            <w:tcBorders>
              <w:top w:val="nil"/>
              <w:left w:val="nil"/>
              <w:bottom w:val="single" w:sz="4" w:space="0" w:color="auto"/>
              <w:right w:val="single" w:sz="4" w:space="0" w:color="auto"/>
            </w:tcBorders>
            <w:shd w:val="clear" w:color="auto" w:fill="auto"/>
            <w:noWrap/>
            <w:vAlign w:val="center"/>
            <w:hideMark/>
          </w:tcPr>
          <w:p w14:paraId="0BCC57C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      31,3   </w:t>
            </w:r>
          </w:p>
        </w:tc>
      </w:tr>
      <w:tr w:rsidR="00A85DDE" w:rsidRPr="00A85DDE" w14:paraId="77BCC42E" w14:textId="77777777" w:rsidTr="00CE6B72">
        <w:trPr>
          <w:trHeight w:val="58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635F0F6E"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lastRenderedPageBreak/>
              <w:t>réfugiés/demandeurs d’asile /Personnes déplacées internes</w:t>
            </w:r>
          </w:p>
        </w:tc>
        <w:tc>
          <w:tcPr>
            <w:tcW w:w="1317" w:type="dxa"/>
            <w:tcBorders>
              <w:top w:val="nil"/>
              <w:left w:val="nil"/>
              <w:bottom w:val="single" w:sz="4" w:space="0" w:color="auto"/>
              <w:right w:val="single" w:sz="4" w:space="0" w:color="auto"/>
            </w:tcBorders>
            <w:shd w:val="clear" w:color="auto" w:fill="auto"/>
            <w:vAlign w:val="center"/>
            <w:hideMark/>
          </w:tcPr>
          <w:p w14:paraId="50DFC9A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28,3</w:t>
            </w:r>
          </w:p>
        </w:tc>
        <w:tc>
          <w:tcPr>
            <w:tcW w:w="680" w:type="dxa"/>
            <w:tcBorders>
              <w:top w:val="nil"/>
              <w:left w:val="nil"/>
              <w:bottom w:val="single" w:sz="4" w:space="0" w:color="auto"/>
              <w:right w:val="single" w:sz="4" w:space="0" w:color="auto"/>
            </w:tcBorders>
            <w:shd w:val="clear" w:color="auto" w:fill="auto"/>
            <w:vAlign w:val="center"/>
            <w:hideMark/>
          </w:tcPr>
          <w:p w14:paraId="3446D0B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36,4</w:t>
            </w:r>
          </w:p>
        </w:tc>
        <w:tc>
          <w:tcPr>
            <w:tcW w:w="741" w:type="dxa"/>
            <w:tcBorders>
              <w:top w:val="nil"/>
              <w:left w:val="nil"/>
              <w:bottom w:val="single" w:sz="4" w:space="0" w:color="auto"/>
              <w:right w:val="single" w:sz="4" w:space="0" w:color="auto"/>
            </w:tcBorders>
            <w:shd w:val="clear" w:color="auto" w:fill="auto"/>
            <w:vAlign w:val="center"/>
            <w:hideMark/>
          </w:tcPr>
          <w:p w14:paraId="1BC21BA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33,3</w:t>
            </w:r>
          </w:p>
        </w:tc>
        <w:tc>
          <w:tcPr>
            <w:tcW w:w="834" w:type="dxa"/>
            <w:tcBorders>
              <w:top w:val="nil"/>
              <w:left w:val="nil"/>
              <w:bottom w:val="single" w:sz="4" w:space="0" w:color="auto"/>
              <w:right w:val="single" w:sz="4" w:space="0" w:color="auto"/>
            </w:tcBorders>
            <w:shd w:val="clear" w:color="auto" w:fill="auto"/>
            <w:vAlign w:val="center"/>
            <w:hideMark/>
          </w:tcPr>
          <w:p w14:paraId="00AAC1D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40</w:t>
            </w:r>
          </w:p>
        </w:tc>
        <w:tc>
          <w:tcPr>
            <w:tcW w:w="900" w:type="dxa"/>
            <w:tcBorders>
              <w:top w:val="nil"/>
              <w:left w:val="nil"/>
              <w:bottom w:val="single" w:sz="4" w:space="0" w:color="auto"/>
              <w:right w:val="single" w:sz="4" w:space="0" w:color="auto"/>
            </w:tcBorders>
            <w:shd w:val="clear" w:color="auto" w:fill="auto"/>
            <w:vAlign w:val="center"/>
            <w:hideMark/>
          </w:tcPr>
          <w:p w14:paraId="31DAFA1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21,4   </w:t>
            </w:r>
          </w:p>
        </w:tc>
        <w:tc>
          <w:tcPr>
            <w:tcW w:w="860" w:type="dxa"/>
            <w:tcBorders>
              <w:top w:val="nil"/>
              <w:left w:val="nil"/>
              <w:bottom w:val="single" w:sz="4" w:space="0" w:color="auto"/>
              <w:right w:val="single" w:sz="4" w:space="0" w:color="auto"/>
            </w:tcBorders>
            <w:shd w:val="clear" w:color="auto" w:fill="auto"/>
            <w:vAlign w:val="center"/>
            <w:hideMark/>
          </w:tcPr>
          <w:p w14:paraId="38BA46C3"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30,6   </w:t>
            </w:r>
          </w:p>
        </w:tc>
        <w:tc>
          <w:tcPr>
            <w:tcW w:w="1020" w:type="dxa"/>
            <w:tcBorders>
              <w:top w:val="nil"/>
              <w:left w:val="nil"/>
              <w:bottom w:val="single" w:sz="4" w:space="0" w:color="auto"/>
              <w:right w:val="single" w:sz="4" w:space="0" w:color="auto"/>
            </w:tcBorders>
            <w:shd w:val="clear" w:color="auto" w:fill="auto"/>
            <w:vAlign w:val="center"/>
            <w:hideMark/>
          </w:tcPr>
          <w:p w14:paraId="5D39817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25,0   </w:t>
            </w:r>
          </w:p>
        </w:tc>
        <w:tc>
          <w:tcPr>
            <w:tcW w:w="780" w:type="dxa"/>
            <w:tcBorders>
              <w:top w:val="nil"/>
              <w:left w:val="nil"/>
              <w:bottom w:val="single" w:sz="4" w:space="0" w:color="auto"/>
              <w:right w:val="single" w:sz="4" w:space="0" w:color="auto"/>
            </w:tcBorders>
            <w:shd w:val="clear" w:color="auto" w:fill="auto"/>
            <w:vAlign w:val="center"/>
            <w:hideMark/>
          </w:tcPr>
          <w:p w14:paraId="0228937E"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13,3   </w:t>
            </w:r>
          </w:p>
        </w:tc>
        <w:tc>
          <w:tcPr>
            <w:tcW w:w="880" w:type="dxa"/>
            <w:tcBorders>
              <w:top w:val="nil"/>
              <w:left w:val="nil"/>
              <w:bottom w:val="single" w:sz="4" w:space="0" w:color="auto"/>
              <w:right w:val="single" w:sz="4" w:space="0" w:color="auto"/>
            </w:tcBorders>
            <w:shd w:val="clear" w:color="auto" w:fill="auto"/>
            <w:noWrap/>
            <w:vAlign w:val="center"/>
            <w:hideMark/>
          </w:tcPr>
          <w:p w14:paraId="69AEF36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      28,7   </w:t>
            </w:r>
          </w:p>
        </w:tc>
      </w:tr>
      <w:tr w:rsidR="00A85DDE" w:rsidRPr="00A85DDE" w14:paraId="728A47BF" w14:textId="77777777" w:rsidTr="00CE6B72">
        <w:trPr>
          <w:trHeight w:val="477"/>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1FBF230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Familles de migrants/ Les communautés d’accueil</w:t>
            </w:r>
          </w:p>
        </w:tc>
        <w:tc>
          <w:tcPr>
            <w:tcW w:w="1317" w:type="dxa"/>
            <w:tcBorders>
              <w:top w:val="nil"/>
              <w:left w:val="nil"/>
              <w:bottom w:val="single" w:sz="4" w:space="0" w:color="auto"/>
              <w:right w:val="single" w:sz="4" w:space="0" w:color="auto"/>
            </w:tcBorders>
            <w:shd w:val="clear" w:color="auto" w:fill="auto"/>
            <w:vAlign w:val="center"/>
            <w:hideMark/>
          </w:tcPr>
          <w:p w14:paraId="02AFA96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28,3</w:t>
            </w:r>
          </w:p>
        </w:tc>
        <w:tc>
          <w:tcPr>
            <w:tcW w:w="680" w:type="dxa"/>
            <w:tcBorders>
              <w:top w:val="nil"/>
              <w:left w:val="nil"/>
              <w:bottom w:val="single" w:sz="4" w:space="0" w:color="auto"/>
              <w:right w:val="single" w:sz="4" w:space="0" w:color="auto"/>
            </w:tcBorders>
            <w:shd w:val="clear" w:color="auto" w:fill="auto"/>
            <w:vAlign w:val="center"/>
            <w:hideMark/>
          </w:tcPr>
          <w:p w14:paraId="2801759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28,8</w:t>
            </w:r>
          </w:p>
        </w:tc>
        <w:tc>
          <w:tcPr>
            <w:tcW w:w="741" w:type="dxa"/>
            <w:tcBorders>
              <w:top w:val="nil"/>
              <w:left w:val="nil"/>
              <w:bottom w:val="single" w:sz="4" w:space="0" w:color="auto"/>
              <w:right w:val="single" w:sz="4" w:space="0" w:color="auto"/>
            </w:tcBorders>
            <w:shd w:val="clear" w:color="auto" w:fill="auto"/>
            <w:vAlign w:val="center"/>
            <w:hideMark/>
          </w:tcPr>
          <w:p w14:paraId="5B08A754"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66,7</w:t>
            </w:r>
          </w:p>
        </w:tc>
        <w:tc>
          <w:tcPr>
            <w:tcW w:w="834" w:type="dxa"/>
            <w:tcBorders>
              <w:top w:val="nil"/>
              <w:left w:val="nil"/>
              <w:bottom w:val="single" w:sz="4" w:space="0" w:color="auto"/>
              <w:right w:val="single" w:sz="4" w:space="0" w:color="auto"/>
            </w:tcBorders>
            <w:shd w:val="clear" w:color="auto" w:fill="auto"/>
            <w:vAlign w:val="center"/>
            <w:hideMark/>
          </w:tcPr>
          <w:p w14:paraId="760815F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28</w:t>
            </w:r>
          </w:p>
        </w:tc>
        <w:tc>
          <w:tcPr>
            <w:tcW w:w="900" w:type="dxa"/>
            <w:tcBorders>
              <w:top w:val="nil"/>
              <w:left w:val="nil"/>
              <w:bottom w:val="single" w:sz="4" w:space="0" w:color="auto"/>
              <w:right w:val="single" w:sz="4" w:space="0" w:color="auto"/>
            </w:tcBorders>
            <w:shd w:val="clear" w:color="auto" w:fill="auto"/>
            <w:vAlign w:val="center"/>
            <w:hideMark/>
          </w:tcPr>
          <w:p w14:paraId="2F3F4D0B"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26,2   </w:t>
            </w:r>
          </w:p>
        </w:tc>
        <w:tc>
          <w:tcPr>
            <w:tcW w:w="860" w:type="dxa"/>
            <w:tcBorders>
              <w:top w:val="nil"/>
              <w:left w:val="nil"/>
              <w:bottom w:val="single" w:sz="4" w:space="0" w:color="auto"/>
              <w:right w:val="single" w:sz="4" w:space="0" w:color="auto"/>
            </w:tcBorders>
            <w:shd w:val="clear" w:color="auto" w:fill="auto"/>
            <w:vAlign w:val="center"/>
            <w:hideMark/>
          </w:tcPr>
          <w:p w14:paraId="2A7B6E5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25,0   </w:t>
            </w:r>
          </w:p>
        </w:tc>
        <w:tc>
          <w:tcPr>
            <w:tcW w:w="1020" w:type="dxa"/>
            <w:tcBorders>
              <w:top w:val="nil"/>
              <w:left w:val="nil"/>
              <w:bottom w:val="single" w:sz="4" w:space="0" w:color="auto"/>
              <w:right w:val="single" w:sz="4" w:space="0" w:color="auto"/>
            </w:tcBorders>
            <w:shd w:val="clear" w:color="auto" w:fill="auto"/>
            <w:vAlign w:val="center"/>
            <w:hideMark/>
          </w:tcPr>
          <w:p w14:paraId="5C450D8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30,0   </w:t>
            </w:r>
          </w:p>
        </w:tc>
        <w:tc>
          <w:tcPr>
            <w:tcW w:w="780" w:type="dxa"/>
            <w:tcBorders>
              <w:top w:val="nil"/>
              <w:left w:val="nil"/>
              <w:bottom w:val="single" w:sz="4" w:space="0" w:color="auto"/>
              <w:right w:val="single" w:sz="4" w:space="0" w:color="auto"/>
            </w:tcBorders>
            <w:shd w:val="clear" w:color="auto" w:fill="auto"/>
            <w:vAlign w:val="center"/>
            <w:hideMark/>
          </w:tcPr>
          <w:p w14:paraId="60248234"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33,3   </w:t>
            </w:r>
          </w:p>
        </w:tc>
        <w:tc>
          <w:tcPr>
            <w:tcW w:w="880" w:type="dxa"/>
            <w:tcBorders>
              <w:top w:val="nil"/>
              <w:left w:val="nil"/>
              <w:bottom w:val="single" w:sz="4" w:space="0" w:color="auto"/>
              <w:right w:val="single" w:sz="4" w:space="0" w:color="auto"/>
            </w:tcBorders>
            <w:shd w:val="clear" w:color="auto" w:fill="auto"/>
            <w:noWrap/>
            <w:vAlign w:val="center"/>
            <w:hideMark/>
          </w:tcPr>
          <w:p w14:paraId="73A3EB64"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      28,7   </w:t>
            </w:r>
          </w:p>
        </w:tc>
      </w:tr>
      <w:tr w:rsidR="00A85DDE" w:rsidRPr="00A85DDE" w14:paraId="5A502C28" w14:textId="77777777" w:rsidTr="00CE6B72">
        <w:trPr>
          <w:trHeight w:val="300"/>
          <w:jc w:val="center"/>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3DEF644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Autres</w:t>
            </w:r>
          </w:p>
        </w:tc>
        <w:tc>
          <w:tcPr>
            <w:tcW w:w="1317" w:type="dxa"/>
            <w:tcBorders>
              <w:top w:val="nil"/>
              <w:left w:val="nil"/>
              <w:bottom w:val="single" w:sz="4" w:space="0" w:color="auto"/>
              <w:right w:val="single" w:sz="4" w:space="0" w:color="auto"/>
            </w:tcBorders>
            <w:shd w:val="clear" w:color="auto" w:fill="auto"/>
            <w:vAlign w:val="center"/>
            <w:hideMark/>
          </w:tcPr>
          <w:p w14:paraId="23E77F7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19,6</w:t>
            </w:r>
          </w:p>
        </w:tc>
        <w:tc>
          <w:tcPr>
            <w:tcW w:w="680" w:type="dxa"/>
            <w:tcBorders>
              <w:top w:val="nil"/>
              <w:left w:val="nil"/>
              <w:bottom w:val="single" w:sz="4" w:space="0" w:color="auto"/>
              <w:right w:val="single" w:sz="4" w:space="0" w:color="auto"/>
            </w:tcBorders>
            <w:shd w:val="clear" w:color="auto" w:fill="auto"/>
            <w:vAlign w:val="center"/>
            <w:hideMark/>
          </w:tcPr>
          <w:p w14:paraId="0311D97E"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3,0</w:t>
            </w:r>
          </w:p>
        </w:tc>
        <w:tc>
          <w:tcPr>
            <w:tcW w:w="741" w:type="dxa"/>
            <w:tcBorders>
              <w:top w:val="nil"/>
              <w:left w:val="nil"/>
              <w:bottom w:val="single" w:sz="4" w:space="0" w:color="auto"/>
              <w:right w:val="single" w:sz="4" w:space="0" w:color="auto"/>
            </w:tcBorders>
            <w:shd w:val="clear" w:color="auto" w:fill="auto"/>
            <w:vAlign w:val="center"/>
            <w:hideMark/>
          </w:tcPr>
          <w:p w14:paraId="5ED1616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0,0</w:t>
            </w:r>
          </w:p>
        </w:tc>
        <w:tc>
          <w:tcPr>
            <w:tcW w:w="834" w:type="dxa"/>
            <w:tcBorders>
              <w:top w:val="nil"/>
              <w:left w:val="nil"/>
              <w:bottom w:val="single" w:sz="4" w:space="0" w:color="auto"/>
              <w:right w:val="single" w:sz="4" w:space="0" w:color="auto"/>
            </w:tcBorders>
            <w:shd w:val="clear" w:color="auto" w:fill="auto"/>
            <w:vAlign w:val="center"/>
            <w:hideMark/>
          </w:tcPr>
          <w:p w14:paraId="2192BA3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8</w:t>
            </w:r>
          </w:p>
        </w:tc>
        <w:tc>
          <w:tcPr>
            <w:tcW w:w="900" w:type="dxa"/>
            <w:tcBorders>
              <w:top w:val="nil"/>
              <w:left w:val="nil"/>
              <w:bottom w:val="single" w:sz="4" w:space="0" w:color="auto"/>
              <w:right w:val="single" w:sz="4" w:space="0" w:color="auto"/>
            </w:tcBorders>
            <w:shd w:val="clear" w:color="auto" w:fill="auto"/>
            <w:vAlign w:val="center"/>
            <w:hideMark/>
          </w:tcPr>
          <w:p w14:paraId="14FD810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14,3   </w:t>
            </w:r>
          </w:p>
        </w:tc>
        <w:tc>
          <w:tcPr>
            <w:tcW w:w="860" w:type="dxa"/>
            <w:tcBorders>
              <w:top w:val="nil"/>
              <w:left w:val="nil"/>
              <w:bottom w:val="single" w:sz="4" w:space="0" w:color="auto"/>
              <w:right w:val="single" w:sz="4" w:space="0" w:color="auto"/>
            </w:tcBorders>
            <w:shd w:val="clear" w:color="auto" w:fill="auto"/>
            <w:vAlign w:val="center"/>
            <w:hideMark/>
          </w:tcPr>
          <w:p w14:paraId="5C4BCF3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16,7   </w:t>
            </w:r>
          </w:p>
        </w:tc>
        <w:tc>
          <w:tcPr>
            <w:tcW w:w="1020" w:type="dxa"/>
            <w:tcBorders>
              <w:top w:val="nil"/>
              <w:left w:val="nil"/>
              <w:bottom w:val="single" w:sz="4" w:space="0" w:color="auto"/>
              <w:right w:val="single" w:sz="4" w:space="0" w:color="auto"/>
            </w:tcBorders>
            <w:shd w:val="clear" w:color="auto" w:fill="auto"/>
            <w:vAlign w:val="center"/>
            <w:hideMark/>
          </w:tcPr>
          <w:p w14:paraId="635983D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20,0   </w:t>
            </w:r>
          </w:p>
        </w:tc>
        <w:tc>
          <w:tcPr>
            <w:tcW w:w="780" w:type="dxa"/>
            <w:tcBorders>
              <w:top w:val="nil"/>
              <w:left w:val="nil"/>
              <w:bottom w:val="single" w:sz="4" w:space="0" w:color="auto"/>
              <w:right w:val="single" w:sz="4" w:space="0" w:color="auto"/>
            </w:tcBorders>
            <w:shd w:val="clear" w:color="auto" w:fill="auto"/>
            <w:vAlign w:val="center"/>
            <w:hideMark/>
          </w:tcPr>
          <w:p w14:paraId="7C23A98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Cs/>
                <w:sz w:val="24"/>
                <w:szCs w:val="24"/>
              </w:rPr>
              <w:t xml:space="preserve">      3,3   </w:t>
            </w:r>
          </w:p>
        </w:tc>
        <w:tc>
          <w:tcPr>
            <w:tcW w:w="880" w:type="dxa"/>
            <w:tcBorders>
              <w:top w:val="nil"/>
              <w:left w:val="nil"/>
              <w:bottom w:val="single" w:sz="4" w:space="0" w:color="auto"/>
              <w:right w:val="single" w:sz="4" w:space="0" w:color="auto"/>
            </w:tcBorders>
            <w:shd w:val="clear" w:color="auto" w:fill="auto"/>
            <w:noWrap/>
            <w:vAlign w:val="center"/>
            <w:hideMark/>
          </w:tcPr>
          <w:p w14:paraId="7F2C1C8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      11,2   </w:t>
            </w:r>
          </w:p>
        </w:tc>
      </w:tr>
      <w:tr w:rsidR="00CE6B72" w:rsidRPr="00A85DDE" w14:paraId="5C26138A" w14:textId="77777777" w:rsidTr="00CE6B72">
        <w:trPr>
          <w:trHeight w:val="300"/>
          <w:jc w:val="center"/>
        </w:trPr>
        <w:tc>
          <w:tcPr>
            <w:tcW w:w="1696" w:type="dxa"/>
            <w:tcBorders>
              <w:top w:val="nil"/>
              <w:left w:val="single" w:sz="4" w:space="0" w:color="auto"/>
              <w:bottom w:val="single" w:sz="4" w:space="0" w:color="auto"/>
              <w:right w:val="single" w:sz="4" w:space="0" w:color="auto"/>
            </w:tcBorders>
            <w:shd w:val="clear" w:color="auto" w:fill="FFD966" w:themeFill="accent4" w:themeFillTint="99"/>
            <w:vAlign w:val="center"/>
            <w:hideMark/>
          </w:tcPr>
          <w:p w14:paraId="50BAD9C4"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Total</w:t>
            </w:r>
          </w:p>
        </w:tc>
        <w:tc>
          <w:tcPr>
            <w:tcW w:w="1317" w:type="dxa"/>
            <w:tcBorders>
              <w:top w:val="nil"/>
              <w:left w:val="nil"/>
              <w:bottom w:val="single" w:sz="4" w:space="0" w:color="auto"/>
              <w:right w:val="single" w:sz="4" w:space="0" w:color="auto"/>
            </w:tcBorders>
            <w:shd w:val="clear" w:color="auto" w:fill="FFD966" w:themeFill="accent4" w:themeFillTint="99"/>
            <w:vAlign w:val="center"/>
            <w:hideMark/>
          </w:tcPr>
          <w:p w14:paraId="2B4108E0"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100,0</w:t>
            </w:r>
          </w:p>
        </w:tc>
        <w:tc>
          <w:tcPr>
            <w:tcW w:w="680" w:type="dxa"/>
            <w:tcBorders>
              <w:top w:val="nil"/>
              <w:left w:val="nil"/>
              <w:bottom w:val="single" w:sz="4" w:space="0" w:color="auto"/>
              <w:right w:val="single" w:sz="4" w:space="0" w:color="auto"/>
            </w:tcBorders>
            <w:shd w:val="clear" w:color="auto" w:fill="FFD966" w:themeFill="accent4" w:themeFillTint="99"/>
            <w:vAlign w:val="center"/>
            <w:hideMark/>
          </w:tcPr>
          <w:p w14:paraId="78FE3697"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100,0</w:t>
            </w:r>
          </w:p>
        </w:tc>
        <w:tc>
          <w:tcPr>
            <w:tcW w:w="741" w:type="dxa"/>
            <w:tcBorders>
              <w:top w:val="nil"/>
              <w:left w:val="nil"/>
              <w:bottom w:val="single" w:sz="4" w:space="0" w:color="auto"/>
              <w:right w:val="single" w:sz="4" w:space="0" w:color="auto"/>
            </w:tcBorders>
            <w:shd w:val="clear" w:color="auto" w:fill="FFD966" w:themeFill="accent4" w:themeFillTint="99"/>
            <w:vAlign w:val="center"/>
            <w:hideMark/>
          </w:tcPr>
          <w:p w14:paraId="4B81280E"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100,0</w:t>
            </w:r>
          </w:p>
        </w:tc>
        <w:tc>
          <w:tcPr>
            <w:tcW w:w="834" w:type="dxa"/>
            <w:tcBorders>
              <w:top w:val="nil"/>
              <w:left w:val="nil"/>
              <w:bottom w:val="single" w:sz="4" w:space="0" w:color="auto"/>
              <w:right w:val="single" w:sz="4" w:space="0" w:color="auto"/>
            </w:tcBorders>
            <w:shd w:val="clear" w:color="auto" w:fill="FFD966" w:themeFill="accent4" w:themeFillTint="99"/>
            <w:vAlign w:val="center"/>
            <w:hideMark/>
          </w:tcPr>
          <w:p w14:paraId="34EA7BD3"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100</w:t>
            </w:r>
          </w:p>
        </w:tc>
        <w:tc>
          <w:tcPr>
            <w:tcW w:w="900" w:type="dxa"/>
            <w:tcBorders>
              <w:top w:val="nil"/>
              <w:left w:val="nil"/>
              <w:bottom w:val="single" w:sz="4" w:space="0" w:color="auto"/>
              <w:right w:val="single" w:sz="4" w:space="0" w:color="auto"/>
            </w:tcBorders>
            <w:shd w:val="clear" w:color="auto" w:fill="FFD966" w:themeFill="accent4" w:themeFillTint="99"/>
            <w:vAlign w:val="center"/>
            <w:hideMark/>
          </w:tcPr>
          <w:p w14:paraId="229D2638"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   100,0   </w:t>
            </w:r>
          </w:p>
        </w:tc>
        <w:tc>
          <w:tcPr>
            <w:tcW w:w="860" w:type="dxa"/>
            <w:tcBorders>
              <w:top w:val="nil"/>
              <w:left w:val="nil"/>
              <w:bottom w:val="single" w:sz="4" w:space="0" w:color="auto"/>
              <w:right w:val="single" w:sz="4" w:space="0" w:color="auto"/>
            </w:tcBorders>
            <w:shd w:val="clear" w:color="auto" w:fill="FFD966" w:themeFill="accent4" w:themeFillTint="99"/>
            <w:vAlign w:val="center"/>
            <w:hideMark/>
          </w:tcPr>
          <w:p w14:paraId="01D000A6"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  100,0   </w:t>
            </w:r>
          </w:p>
        </w:tc>
        <w:tc>
          <w:tcPr>
            <w:tcW w:w="1020" w:type="dxa"/>
            <w:tcBorders>
              <w:top w:val="nil"/>
              <w:left w:val="nil"/>
              <w:bottom w:val="single" w:sz="4" w:space="0" w:color="auto"/>
              <w:right w:val="single" w:sz="4" w:space="0" w:color="auto"/>
            </w:tcBorders>
            <w:shd w:val="clear" w:color="auto" w:fill="FFD966" w:themeFill="accent4" w:themeFillTint="99"/>
            <w:vAlign w:val="center"/>
            <w:hideMark/>
          </w:tcPr>
          <w:p w14:paraId="23B58CAA"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     100,0   </w:t>
            </w:r>
          </w:p>
        </w:tc>
        <w:tc>
          <w:tcPr>
            <w:tcW w:w="780" w:type="dxa"/>
            <w:tcBorders>
              <w:top w:val="nil"/>
              <w:left w:val="nil"/>
              <w:bottom w:val="single" w:sz="4" w:space="0" w:color="auto"/>
              <w:right w:val="single" w:sz="4" w:space="0" w:color="auto"/>
            </w:tcBorders>
            <w:shd w:val="clear" w:color="auto" w:fill="FFD966" w:themeFill="accent4" w:themeFillTint="99"/>
            <w:vAlign w:val="center"/>
            <w:hideMark/>
          </w:tcPr>
          <w:p w14:paraId="06E21D9F"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 100,0   </w:t>
            </w:r>
          </w:p>
        </w:tc>
        <w:tc>
          <w:tcPr>
            <w:tcW w:w="880" w:type="dxa"/>
            <w:tcBorders>
              <w:top w:val="nil"/>
              <w:left w:val="nil"/>
              <w:bottom w:val="single" w:sz="4" w:space="0" w:color="auto"/>
              <w:right w:val="single" w:sz="4" w:space="0" w:color="auto"/>
            </w:tcBorders>
            <w:shd w:val="clear" w:color="auto" w:fill="FFD966" w:themeFill="accent4" w:themeFillTint="99"/>
            <w:noWrap/>
            <w:vAlign w:val="center"/>
            <w:hideMark/>
          </w:tcPr>
          <w:p w14:paraId="2B97084C"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    100,0   </w:t>
            </w:r>
          </w:p>
        </w:tc>
      </w:tr>
    </w:tbl>
    <w:p w14:paraId="3BC87D5C" w14:textId="77777777" w:rsidR="00A85DDE" w:rsidRPr="00A85DDE" w:rsidRDefault="00A85DDE" w:rsidP="00A85DDE">
      <w:pPr>
        <w:spacing w:after="0" w:line="360" w:lineRule="auto"/>
        <w:jc w:val="both"/>
        <w:rPr>
          <w:rFonts w:ascii="Times New Roman" w:hAnsi="Times New Roman" w:cs="Times New Roman"/>
          <w:b/>
          <w:sz w:val="24"/>
          <w:szCs w:val="24"/>
        </w:rPr>
      </w:pPr>
      <w:r w:rsidRPr="00A85DDE">
        <w:rPr>
          <w:rFonts w:ascii="Times New Roman" w:hAnsi="Times New Roman" w:cs="Times New Roman"/>
          <w:sz w:val="24"/>
          <w:szCs w:val="24"/>
        </w:rPr>
        <w:t xml:space="preserve">   </w:t>
      </w:r>
    </w:p>
    <w:p w14:paraId="157DFF4D" w14:textId="77777777" w:rsidR="00A85DDE" w:rsidRPr="00A85DDE" w:rsidRDefault="00A85DDE" w:rsidP="00A85DDE">
      <w:pPr>
        <w:pStyle w:val="ListParagraph"/>
        <w:numPr>
          <w:ilvl w:val="0"/>
          <w:numId w:val="1"/>
        </w:num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 xml:space="preserve">Réponse à la question sur les transferts reçus et les transferts émis par les travailleurs migrants.  </w:t>
      </w:r>
    </w:p>
    <w:p w14:paraId="1DB7EE63"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Ces transferts sont pratiquement en croissance d’une année à l’autre</w:t>
      </w:r>
      <w:r>
        <w:rPr>
          <w:rFonts w:ascii="Times New Roman" w:hAnsi="Times New Roman" w:cs="Times New Roman"/>
          <w:sz w:val="24"/>
          <w:szCs w:val="24"/>
        </w:rPr>
        <w:t>.</w:t>
      </w:r>
      <w:r w:rsidRPr="00A85DDE">
        <w:rPr>
          <w:rFonts w:ascii="Times New Roman" w:hAnsi="Times New Roman" w:cs="Times New Roman"/>
          <w:sz w:val="24"/>
          <w:szCs w:val="24"/>
        </w:rPr>
        <w:t xml:space="preserve"> </w:t>
      </w:r>
      <w:r>
        <w:rPr>
          <w:rFonts w:ascii="Times New Roman" w:hAnsi="Times New Roman" w:cs="Times New Roman"/>
          <w:sz w:val="24"/>
          <w:szCs w:val="24"/>
        </w:rPr>
        <w:t>L</w:t>
      </w:r>
      <w:r w:rsidRPr="00A85DDE">
        <w:rPr>
          <w:rFonts w:ascii="Times New Roman" w:hAnsi="Times New Roman" w:cs="Times New Roman"/>
          <w:sz w:val="24"/>
          <w:szCs w:val="24"/>
        </w:rPr>
        <w:t>es migrants à l’extérieur constituent une force économique dynamique avec laquelle il faut compter pour le développement du pays</w:t>
      </w:r>
    </w:p>
    <w:p w14:paraId="34411565" w14:textId="77777777" w:rsidR="00A85DDE" w:rsidRPr="00A85DDE" w:rsidRDefault="00A85DDE" w:rsidP="00A85DDE">
      <w:pPr>
        <w:spacing w:after="0" w:line="360" w:lineRule="auto"/>
        <w:jc w:val="both"/>
        <w:rPr>
          <w:rFonts w:ascii="Times New Roman" w:hAnsi="Times New Roman" w:cs="Times New Roman"/>
          <w:b/>
          <w:bCs/>
          <w:sz w:val="24"/>
          <w:szCs w:val="24"/>
          <w:u w:val="single"/>
        </w:rPr>
      </w:pPr>
      <w:r w:rsidRPr="00A85DDE">
        <w:rPr>
          <w:rFonts w:ascii="Times New Roman" w:hAnsi="Times New Roman" w:cs="Times New Roman"/>
          <w:b/>
          <w:bCs/>
          <w:sz w:val="24"/>
          <w:szCs w:val="24"/>
          <w:u w:val="single"/>
        </w:rPr>
        <w:t xml:space="preserve">Tableau </w:t>
      </w:r>
      <w:r w:rsidRPr="00A85DDE">
        <w:rPr>
          <w:rFonts w:ascii="Times New Roman" w:hAnsi="Times New Roman" w:cs="Times New Roman"/>
          <w:b/>
          <w:bCs/>
          <w:sz w:val="24"/>
          <w:szCs w:val="24"/>
          <w:u w:val="single"/>
        </w:rPr>
        <w:fldChar w:fldCharType="begin"/>
      </w:r>
      <w:r w:rsidRPr="00A85DDE">
        <w:rPr>
          <w:rFonts w:ascii="Times New Roman" w:hAnsi="Times New Roman" w:cs="Times New Roman"/>
          <w:b/>
          <w:bCs/>
          <w:sz w:val="24"/>
          <w:szCs w:val="24"/>
          <w:u w:val="single"/>
        </w:rPr>
        <w:instrText xml:space="preserve"> SEQ Tableau \* ARABIC </w:instrText>
      </w:r>
      <w:r w:rsidRPr="00A85DDE">
        <w:rPr>
          <w:rFonts w:ascii="Times New Roman" w:hAnsi="Times New Roman" w:cs="Times New Roman"/>
          <w:b/>
          <w:bCs/>
          <w:sz w:val="24"/>
          <w:szCs w:val="24"/>
          <w:u w:val="single"/>
        </w:rPr>
        <w:fldChar w:fldCharType="separate"/>
      </w:r>
      <w:r w:rsidRPr="00A85DDE">
        <w:rPr>
          <w:rFonts w:ascii="Times New Roman" w:hAnsi="Times New Roman" w:cs="Times New Roman"/>
          <w:b/>
          <w:bCs/>
          <w:sz w:val="24"/>
          <w:szCs w:val="24"/>
          <w:u w:val="single"/>
        </w:rPr>
        <w:t>20</w:t>
      </w:r>
      <w:r w:rsidRPr="00A85DDE">
        <w:rPr>
          <w:rFonts w:ascii="Times New Roman" w:hAnsi="Times New Roman" w:cs="Times New Roman"/>
          <w:sz w:val="24"/>
          <w:szCs w:val="24"/>
        </w:rPr>
        <w:fldChar w:fldCharType="end"/>
      </w:r>
      <w:r w:rsidRPr="00A85DDE">
        <w:rPr>
          <w:rFonts w:ascii="Times New Roman" w:hAnsi="Times New Roman" w:cs="Times New Roman"/>
          <w:b/>
          <w:bCs/>
          <w:sz w:val="24"/>
          <w:szCs w:val="24"/>
          <w:u w:val="single"/>
        </w:rPr>
        <w:t>: Les montants des transferts des migrants selon les années</w:t>
      </w:r>
    </w:p>
    <w:p w14:paraId="3FDE9DD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noProof/>
          <w:sz w:val="24"/>
          <w:szCs w:val="24"/>
        </w:rPr>
        <w:drawing>
          <wp:inline distT="0" distB="0" distL="0" distR="0" wp14:anchorId="5BF07E23" wp14:editId="3423E4C6">
            <wp:extent cx="5764530" cy="1453727"/>
            <wp:effectExtent l="0" t="0" r="762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4530" cy="1453727"/>
                    </a:xfrm>
                    <a:prstGeom prst="rect">
                      <a:avLst/>
                    </a:prstGeom>
                    <a:noFill/>
                    <a:ln>
                      <a:noFill/>
                    </a:ln>
                  </pic:spPr>
                </pic:pic>
              </a:graphicData>
            </a:graphic>
          </wp:inline>
        </w:drawing>
      </w:r>
    </w:p>
    <w:p w14:paraId="5A59BB8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Source : compilation des données de l’INS</w:t>
      </w:r>
    </w:p>
    <w:p w14:paraId="3F7D4C38" w14:textId="77777777" w:rsidR="00A85DDE" w:rsidRPr="00A85DDE" w:rsidRDefault="00A85DDE" w:rsidP="00A85DDE">
      <w:pPr>
        <w:pStyle w:val="ListParagraph"/>
        <w:numPr>
          <w:ilvl w:val="0"/>
          <w:numId w:val="1"/>
        </w:numPr>
        <w:spacing w:after="0" w:line="360" w:lineRule="auto"/>
        <w:jc w:val="both"/>
        <w:rPr>
          <w:rFonts w:ascii="Times New Roman" w:hAnsi="Times New Roman" w:cs="Times New Roman"/>
          <w:b/>
          <w:sz w:val="24"/>
          <w:szCs w:val="24"/>
        </w:rPr>
      </w:pPr>
      <w:r w:rsidRPr="00A85DDE">
        <w:rPr>
          <w:rFonts w:ascii="Times New Roman" w:hAnsi="Times New Roman" w:cs="Times New Roman"/>
          <w:b/>
          <w:sz w:val="24"/>
          <w:szCs w:val="24"/>
        </w:rPr>
        <w:t>Réponse à la question sur les centres de Transit de l’OIM</w:t>
      </w:r>
    </w:p>
    <w:p w14:paraId="44E1D01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L’OIM dispose de sept (07) centres de transit au Niger (1 à Assamaka, 1 à Arlit, 1 à Agadez, 1 à </w:t>
      </w:r>
      <w:proofErr w:type="spellStart"/>
      <w:r w:rsidRPr="00A85DDE">
        <w:rPr>
          <w:rFonts w:ascii="Times New Roman" w:hAnsi="Times New Roman" w:cs="Times New Roman"/>
          <w:sz w:val="24"/>
          <w:szCs w:val="24"/>
        </w:rPr>
        <w:t>Dirkou</w:t>
      </w:r>
      <w:proofErr w:type="spellEnd"/>
      <w:r w:rsidRPr="00A85DDE">
        <w:rPr>
          <w:rFonts w:ascii="Times New Roman" w:hAnsi="Times New Roman" w:cs="Times New Roman"/>
          <w:sz w:val="24"/>
          <w:szCs w:val="24"/>
        </w:rPr>
        <w:t xml:space="preserve"> et 3 à Niamey. A la date du 03 avril 2025 la situation dans ces centres de transit se présente comme suit. </w:t>
      </w:r>
    </w:p>
    <w:tbl>
      <w:tblPr>
        <w:tblW w:w="8730" w:type="dxa"/>
        <w:shd w:val="clear" w:color="auto" w:fill="FFFFFF"/>
        <w:tblCellMar>
          <w:left w:w="0" w:type="dxa"/>
          <w:right w:w="0" w:type="dxa"/>
        </w:tblCellMar>
        <w:tblLook w:val="04A0" w:firstRow="1" w:lastRow="0" w:firstColumn="1" w:lastColumn="0" w:noHBand="0" w:noVBand="1"/>
      </w:tblPr>
      <w:tblGrid>
        <w:gridCol w:w="1774"/>
        <w:gridCol w:w="1086"/>
        <w:gridCol w:w="1086"/>
        <w:gridCol w:w="1086"/>
        <w:gridCol w:w="1086"/>
        <w:gridCol w:w="1334"/>
        <w:gridCol w:w="1384"/>
        <w:gridCol w:w="221"/>
        <w:gridCol w:w="5"/>
      </w:tblGrid>
      <w:tr w:rsidR="00A85DDE" w:rsidRPr="00A85DDE" w14:paraId="05F89191" w14:textId="77777777" w:rsidTr="000918A1">
        <w:trPr>
          <w:trHeight w:val="870"/>
        </w:trPr>
        <w:tc>
          <w:tcPr>
            <w:tcW w:w="1200" w:type="dxa"/>
            <w:tcBorders>
              <w:top w:val="single" w:sz="8" w:space="0" w:color="000000"/>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25F8003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3600" w:type="dxa"/>
            <w:gridSpan w:val="3"/>
            <w:tcBorders>
              <w:top w:val="single" w:sz="8" w:space="0" w:color="000000"/>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362CB78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CENTRE</w:t>
            </w:r>
          </w:p>
        </w:tc>
        <w:tc>
          <w:tcPr>
            <w:tcW w:w="1200" w:type="dxa"/>
            <w:tcBorders>
              <w:top w:val="single" w:sz="8" w:space="0" w:color="000000"/>
              <w:left w:val="nil"/>
              <w:bottom w:val="single" w:sz="8" w:space="0" w:color="000000"/>
              <w:right w:val="single" w:sz="8" w:space="0" w:color="000000"/>
            </w:tcBorders>
            <w:shd w:val="clear" w:color="auto" w:fill="D9D9D9"/>
            <w:noWrap/>
            <w:tcMar>
              <w:top w:w="0" w:type="dxa"/>
              <w:left w:w="108" w:type="dxa"/>
              <w:bottom w:w="0" w:type="dxa"/>
              <w:right w:w="108" w:type="dxa"/>
            </w:tcMar>
            <w:vAlign w:val="bottom"/>
            <w:hideMark/>
          </w:tcPr>
          <w:p w14:paraId="6C89EB24"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Nombres</w:t>
            </w:r>
          </w:p>
        </w:tc>
        <w:tc>
          <w:tcPr>
            <w:tcW w:w="1480" w:type="dxa"/>
            <w:tcBorders>
              <w:top w:val="single" w:sz="8" w:space="0" w:color="000000"/>
              <w:left w:val="nil"/>
              <w:bottom w:val="single" w:sz="8" w:space="0" w:color="000000"/>
              <w:right w:val="single" w:sz="8" w:space="0" w:color="000000"/>
            </w:tcBorders>
            <w:shd w:val="clear" w:color="auto" w:fill="D9D9D9"/>
            <w:noWrap/>
            <w:tcMar>
              <w:top w:w="0" w:type="dxa"/>
              <w:left w:w="108" w:type="dxa"/>
              <w:bottom w:w="0" w:type="dxa"/>
              <w:right w:w="108" w:type="dxa"/>
            </w:tcMar>
            <w:vAlign w:val="bottom"/>
            <w:hideMark/>
          </w:tcPr>
          <w:p w14:paraId="020EC542"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Capacités</w:t>
            </w:r>
          </w:p>
        </w:tc>
        <w:tc>
          <w:tcPr>
            <w:tcW w:w="1214"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bottom"/>
            <w:hideMark/>
          </w:tcPr>
          <w:p w14:paraId="0BB22E26"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Taux d'occupation</w:t>
            </w:r>
          </w:p>
        </w:tc>
        <w:tc>
          <w:tcPr>
            <w:tcW w:w="20" w:type="dxa"/>
            <w:tcBorders>
              <w:top w:val="nil"/>
              <w:left w:val="nil"/>
              <w:bottom w:val="nil"/>
              <w:right w:val="nil"/>
            </w:tcBorders>
            <w:shd w:val="clear" w:color="auto" w:fill="FFFFFF"/>
            <w:vAlign w:val="center"/>
            <w:hideMark/>
          </w:tcPr>
          <w:p w14:paraId="4DA131F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6" w:type="dxa"/>
            <w:tcBorders>
              <w:top w:val="nil"/>
              <w:left w:val="nil"/>
              <w:bottom w:val="nil"/>
              <w:right w:val="nil"/>
            </w:tcBorders>
            <w:shd w:val="clear" w:color="auto" w:fill="FFFFFF"/>
            <w:vAlign w:val="center"/>
            <w:hideMark/>
          </w:tcPr>
          <w:p w14:paraId="3C077AA3"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541B1272" w14:textId="77777777" w:rsidTr="000918A1">
        <w:trPr>
          <w:trHeight w:val="290"/>
        </w:trPr>
        <w:tc>
          <w:tcPr>
            <w:tcW w:w="1200" w:type="dxa"/>
            <w:vMerge w:val="restart"/>
            <w:tcBorders>
              <w:top w:val="nil"/>
              <w:left w:val="single" w:sz="8" w:space="0" w:color="000000"/>
              <w:bottom w:val="single" w:sz="8" w:space="0" w:color="000000"/>
              <w:right w:val="single" w:sz="8" w:space="0" w:color="000000"/>
            </w:tcBorders>
            <w:shd w:val="clear" w:color="auto" w:fill="FBE2D5"/>
            <w:tcMar>
              <w:top w:w="0" w:type="dxa"/>
              <w:left w:w="108" w:type="dxa"/>
              <w:bottom w:w="0" w:type="dxa"/>
              <w:right w:w="108" w:type="dxa"/>
            </w:tcMar>
            <w:vAlign w:val="center"/>
            <w:hideMark/>
          </w:tcPr>
          <w:p w14:paraId="2BF50CB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NIAMEY</w:t>
            </w: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72F4B1C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AIGLE</w:t>
            </w:r>
          </w:p>
        </w:tc>
        <w:tc>
          <w:tcPr>
            <w:tcW w:w="120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3055D49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25</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67C9C43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90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279CC52"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28%</w:t>
            </w:r>
          </w:p>
        </w:tc>
        <w:tc>
          <w:tcPr>
            <w:tcW w:w="20" w:type="dxa"/>
            <w:tcBorders>
              <w:top w:val="nil"/>
              <w:left w:val="nil"/>
              <w:bottom w:val="nil"/>
              <w:right w:val="nil"/>
            </w:tcBorders>
            <w:shd w:val="clear" w:color="auto" w:fill="FFFFFF"/>
            <w:vAlign w:val="center"/>
            <w:hideMark/>
          </w:tcPr>
          <w:p w14:paraId="55A04B2B"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6" w:type="dxa"/>
            <w:tcBorders>
              <w:top w:val="nil"/>
              <w:left w:val="nil"/>
              <w:bottom w:val="nil"/>
              <w:right w:val="nil"/>
            </w:tcBorders>
            <w:shd w:val="clear" w:color="auto" w:fill="FFFFFF"/>
            <w:vAlign w:val="center"/>
            <w:hideMark/>
          </w:tcPr>
          <w:p w14:paraId="01708140"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39DE17B4" w14:textId="77777777" w:rsidTr="000918A1">
        <w:trPr>
          <w:trHeight w:val="290"/>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2D9F80F9"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5B23A26D"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SONUCI</w:t>
            </w:r>
          </w:p>
        </w:tc>
        <w:tc>
          <w:tcPr>
            <w:tcW w:w="120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011B24DD"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43</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0961F00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60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0D4209C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72%</w:t>
            </w:r>
          </w:p>
        </w:tc>
        <w:tc>
          <w:tcPr>
            <w:tcW w:w="20" w:type="dxa"/>
            <w:tcBorders>
              <w:top w:val="nil"/>
              <w:left w:val="nil"/>
              <w:bottom w:val="nil"/>
              <w:right w:val="nil"/>
            </w:tcBorders>
            <w:shd w:val="clear" w:color="auto" w:fill="FFFFFF"/>
            <w:vAlign w:val="center"/>
            <w:hideMark/>
          </w:tcPr>
          <w:p w14:paraId="397EA08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6" w:type="dxa"/>
            <w:tcBorders>
              <w:top w:val="nil"/>
              <w:left w:val="nil"/>
              <w:bottom w:val="nil"/>
              <w:right w:val="nil"/>
            </w:tcBorders>
            <w:shd w:val="clear" w:color="auto" w:fill="FFFFFF"/>
            <w:vAlign w:val="center"/>
            <w:hideMark/>
          </w:tcPr>
          <w:p w14:paraId="49E03856"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6F2100EC" w14:textId="77777777" w:rsidTr="000918A1">
        <w:trPr>
          <w:trHeight w:val="290"/>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184033C7"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720F158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FRANCOPHONIE</w:t>
            </w:r>
          </w:p>
        </w:tc>
        <w:tc>
          <w:tcPr>
            <w:tcW w:w="120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7BA041B"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7</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63C69D5"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60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16B4EB0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12%</w:t>
            </w:r>
          </w:p>
        </w:tc>
        <w:tc>
          <w:tcPr>
            <w:tcW w:w="20" w:type="dxa"/>
            <w:tcBorders>
              <w:top w:val="nil"/>
              <w:left w:val="nil"/>
              <w:bottom w:val="nil"/>
              <w:right w:val="nil"/>
            </w:tcBorders>
            <w:shd w:val="clear" w:color="auto" w:fill="FFFFFF"/>
            <w:vAlign w:val="center"/>
            <w:hideMark/>
          </w:tcPr>
          <w:p w14:paraId="35A9D69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6" w:type="dxa"/>
            <w:tcBorders>
              <w:top w:val="nil"/>
              <w:left w:val="nil"/>
              <w:bottom w:val="nil"/>
              <w:right w:val="nil"/>
            </w:tcBorders>
            <w:shd w:val="clear" w:color="auto" w:fill="FFFFFF"/>
            <w:vAlign w:val="center"/>
            <w:hideMark/>
          </w:tcPr>
          <w:p w14:paraId="4F9A57A4"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084A6486" w14:textId="77777777" w:rsidTr="000918A1">
        <w:trPr>
          <w:trHeight w:val="290"/>
        </w:trPr>
        <w:tc>
          <w:tcPr>
            <w:tcW w:w="1200" w:type="dxa"/>
            <w:vMerge w:val="restart"/>
            <w:tcBorders>
              <w:top w:val="nil"/>
              <w:left w:val="single" w:sz="8" w:space="0" w:color="000000"/>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602D4F7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AGADEZ</w:t>
            </w:r>
          </w:p>
        </w:tc>
        <w:tc>
          <w:tcPr>
            <w:tcW w:w="3600" w:type="dxa"/>
            <w:gridSpan w:val="3"/>
            <w:vMerge w:val="restart"/>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454ECAF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AGADEZ</w:t>
            </w:r>
          </w:p>
        </w:tc>
        <w:tc>
          <w:tcPr>
            <w:tcW w:w="1200" w:type="dxa"/>
            <w:vMerge w:val="restart"/>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7ACD692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1 218</w:t>
            </w:r>
          </w:p>
        </w:tc>
        <w:tc>
          <w:tcPr>
            <w:tcW w:w="1480" w:type="dxa"/>
            <w:vMerge w:val="restart"/>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3547EDF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900</w:t>
            </w:r>
          </w:p>
        </w:tc>
        <w:tc>
          <w:tcPr>
            <w:tcW w:w="1214" w:type="dxa"/>
            <w:vMerge w:val="restart"/>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237FD1E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135%</w:t>
            </w:r>
          </w:p>
        </w:tc>
        <w:tc>
          <w:tcPr>
            <w:tcW w:w="20" w:type="dxa"/>
            <w:tcBorders>
              <w:top w:val="nil"/>
              <w:left w:val="nil"/>
              <w:bottom w:val="nil"/>
              <w:right w:val="nil"/>
            </w:tcBorders>
            <w:shd w:val="clear" w:color="auto" w:fill="FFFFFF"/>
            <w:vAlign w:val="center"/>
            <w:hideMark/>
          </w:tcPr>
          <w:p w14:paraId="79A449DB"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w:t>
            </w:r>
          </w:p>
        </w:tc>
        <w:tc>
          <w:tcPr>
            <w:tcW w:w="6" w:type="dxa"/>
            <w:tcBorders>
              <w:top w:val="nil"/>
              <w:left w:val="nil"/>
              <w:bottom w:val="nil"/>
              <w:right w:val="nil"/>
            </w:tcBorders>
            <w:shd w:val="clear" w:color="auto" w:fill="FFFFFF"/>
            <w:vAlign w:val="center"/>
            <w:hideMark/>
          </w:tcPr>
          <w:p w14:paraId="2EB24694"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5ED2933E" w14:textId="77777777" w:rsidTr="000918A1">
        <w:trPr>
          <w:trHeight w:val="290"/>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28FF2A78"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0" w:type="auto"/>
            <w:gridSpan w:val="3"/>
            <w:vMerge/>
            <w:tcBorders>
              <w:top w:val="nil"/>
              <w:left w:val="nil"/>
              <w:bottom w:val="single" w:sz="8" w:space="0" w:color="000000"/>
              <w:right w:val="single" w:sz="8" w:space="0" w:color="000000"/>
            </w:tcBorders>
            <w:shd w:val="clear" w:color="auto" w:fill="FFFFFF"/>
            <w:vAlign w:val="center"/>
            <w:hideMark/>
          </w:tcPr>
          <w:p w14:paraId="600D0380"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14:paraId="6E4C3165"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14:paraId="7C0FDF1B"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14:paraId="07EF12E9"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36" w:type="dxa"/>
            <w:shd w:val="clear" w:color="auto" w:fill="FFFFFF"/>
            <w:noWrap/>
            <w:tcMar>
              <w:top w:w="0" w:type="dxa"/>
              <w:left w:w="108" w:type="dxa"/>
              <w:bottom w:w="0" w:type="dxa"/>
              <w:right w:w="108" w:type="dxa"/>
            </w:tcMar>
            <w:vAlign w:val="bottom"/>
            <w:hideMark/>
          </w:tcPr>
          <w:p w14:paraId="79B5311C"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6" w:type="dxa"/>
            <w:tcBorders>
              <w:top w:val="nil"/>
              <w:left w:val="nil"/>
              <w:bottom w:val="nil"/>
              <w:right w:val="nil"/>
            </w:tcBorders>
            <w:shd w:val="clear" w:color="auto" w:fill="FFFFFF"/>
            <w:vAlign w:val="center"/>
            <w:hideMark/>
          </w:tcPr>
          <w:p w14:paraId="3729EF6A"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4939B0E2" w14:textId="77777777" w:rsidTr="000918A1">
        <w:trPr>
          <w:trHeight w:val="290"/>
        </w:trPr>
        <w:tc>
          <w:tcPr>
            <w:tcW w:w="1200" w:type="dxa"/>
            <w:vMerge w:val="restart"/>
            <w:tcBorders>
              <w:top w:val="nil"/>
              <w:left w:val="single" w:sz="8" w:space="0" w:color="000000"/>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4F67944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ARLIT</w:t>
            </w: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53B0511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ARLIT CENTRE</w:t>
            </w:r>
          </w:p>
        </w:tc>
        <w:tc>
          <w:tcPr>
            <w:tcW w:w="120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2E22DAE2"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582</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0A33E48D"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500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03D39D8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116%</w:t>
            </w:r>
          </w:p>
        </w:tc>
        <w:tc>
          <w:tcPr>
            <w:tcW w:w="36" w:type="dxa"/>
            <w:shd w:val="clear" w:color="auto" w:fill="FFFFFF"/>
            <w:tcMar>
              <w:top w:w="0" w:type="dxa"/>
              <w:left w:w="108" w:type="dxa"/>
              <w:bottom w:w="0" w:type="dxa"/>
              <w:right w:w="108" w:type="dxa"/>
            </w:tcMar>
            <w:vAlign w:val="center"/>
            <w:hideMark/>
          </w:tcPr>
          <w:p w14:paraId="684F5FF7"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6" w:type="dxa"/>
            <w:tcBorders>
              <w:top w:val="nil"/>
              <w:left w:val="nil"/>
              <w:bottom w:val="nil"/>
              <w:right w:val="nil"/>
            </w:tcBorders>
            <w:shd w:val="clear" w:color="auto" w:fill="FFFFFF"/>
            <w:vAlign w:val="center"/>
            <w:hideMark/>
          </w:tcPr>
          <w:p w14:paraId="482186B5"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198CB9F4" w14:textId="77777777" w:rsidTr="000918A1">
        <w:trPr>
          <w:trHeight w:val="290"/>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4543B3DB"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5157A5A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ARLIT SITE</w:t>
            </w:r>
          </w:p>
        </w:tc>
        <w:tc>
          <w:tcPr>
            <w:tcW w:w="120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2A7B1AB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591</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FBC9B8C"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800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11A8252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74%</w:t>
            </w:r>
          </w:p>
        </w:tc>
        <w:tc>
          <w:tcPr>
            <w:tcW w:w="36" w:type="dxa"/>
            <w:shd w:val="clear" w:color="auto" w:fill="FFFFFF"/>
            <w:tcMar>
              <w:top w:w="0" w:type="dxa"/>
              <w:left w:w="108" w:type="dxa"/>
              <w:bottom w:w="0" w:type="dxa"/>
              <w:right w:w="108" w:type="dxa"/>
            </w:tcMar>
            <w:vAlign w:val="center"/>
            <w:hideMark/>
          </w:tcPr>
          <w:p w14:paraId="7AA4F93D"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6" w:type="dxa"/>
            <w:tcBorders>
              <w:top w:val="nil"/>
              <w:left w:val="nil"/>
              <w:bottom w:val="nil"/>
              <w:right w:val="nil"/>
            </w:tcBorders>
            <w:shd w:val="clear" w:color="auto" w:fill="FFFFFF"/>
            <w:vAlign w:val="center"/>
            <w:hideMark/>
          </w:tcPr>
          <w:p w14:paraId="25FA9757"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0E1ADE41" w14:textId="77777777" w:rsidTr="000918A1">
        <w:trPr>
          <w:trHeight w:val="290"/>
        </w:trPr>
        <w:tc>
          <w:tcPr>
            <w:tcW w:w="1200" w:type="dxa"/>
            <w:tcBorders>
              <w:top w:val="nil"/>
              <w:left w:val="single" w:sz="8" w:space="0" w:color="000000"/>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46C674D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ASSAMAKA</w:t>
            </w: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467D6CF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ASSAMAKA</w:t>
            </w:r>
          </w:p>
        </w:tc>
        <w:tc>
          <w:tcPr>
            <w:tcW w:w="120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54C937A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456</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6692DA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1 500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C084E28"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30%</w:t>
            </w:r>
          </w:p>
        </w:tc>
        <w:tc>
          <w:tcPr>
            <w:tcW w:w="36" w:type="dxa"/>
            <w:shd w:val="clear" w:color="auto" w:fill="FFFFFF"/>
            <w:tcMar>
              <w:top w:w="0" w:type="dxa"/>
              <w:left w:w="108" w:type="dxa"/>
              <w:bottom w:w="0" w:type="dxa"/>
              <w:right w:w="108" w:type="dxa"/>
            </w:tcMar>
            <w:vAlign w:val="center"/>
            <w:hideMark/>
          </w:tcPr>
          <w:p w14:paraId="75AB381C"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6" w:type="dxa"/>
            <w:tcBorders>
              <w:top w:val="nil"/>
              <w:left w:val="nil"/>
              <w:bottom w:val="nil"/>
              <w:right w:val="nil"/>
            </w:tcBorders>
            <w:shd w:val="clear" w:color="auto" w:fill="FFFFFF"/>
            <w:vAlign w:val="center"/>
            <w:hideMark/>
          </w:tcPr>
          <w:p w14:paraId="4494735F"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7658AF99" w14:textId="77777777" w:rsidTr="000918A1">
        <w:trPr>
          <w:trHeight w:val="290"/>
        </w:trPr>
        <w:tc>
          <w:tcPr>
            <w:tcW w:w="1200" w:type="dxa"/>
            <w:tcBorders>
              <w:top w:val="nil"/>
              <w:left w:val="single" w:sz="8" w:space="0" w:color="000000"/>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37CD15D1"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DIRKOU</w:t>
            </w: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51CAC13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DIRKOU</w:t>
            </w:r>
          </w:p>
        </w:tc>
        <w:tc>
          <w:tcPr>
            <w:tcW w:w="1200" w:type="dxa"/>
            <w:tcBorders>
              <w:top w:val="nil"/>
              <w:left w:val="nil"/>
              <w:bottom w:val="nil"/>
              <w:right w:val="single" w:sz="8" w:space="0" w:color="000000"/>
            </w:tcBorders>
            <w:shd w:val="clear" w:color="auto" w:fill="FFFFFF"/>
            <w:noWrap/>
            <w:tcMar>
              <w:top w:w="0" w:type="dxa"/>
              <w:left w:w="108" w:type="dxa"/>
              <w:bottom w:w="0" w:type="dxa"/>
              <w:right w:w="108" w:type="dxa"/>
            </w:tcMar>
            <w:vAlign w:val="bottom"/>
            <w:hideMark/>
          </w:tcPr>
          <w:p w14:paraId="6A63A0CA"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89</w:t>
            </w:r>
          </w:p>
        </w:tc>
        <w:tc>
          <w:tcPr>
            <w:tcW w:w="1480" w:type="dxa"/>
            <w:tcBorders>
              <w:top w:val="nil"/>
              <w:left w:val="nil"/>
              <w:bottom w:val="nil"/>
              <w:right w:val="single" w:sz="8" w:space="0" w:color="000000"/>
            </w:tcBorders>
            <w:shd w:val="clear" w:color="auto" w:fill="FFFFFF"/>
            <w:noWrap/>
            <w:tcMar>
              <w:top w:w="0" w:type="dxa"/>
              <w:left w:w="108" w:type="dxa"/>
              <w:bottom w:w="0" w:type="dxa"/>
              <w:right w:w="108" w:type="dxa"/>
            </w:tcMar>
            <w:vAlign w:val="bottom"/>
            <w:hideMark/>
          </w:tcPr>
          <w:p w14:paraId="0B1C539B"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30</w:t>
            </w:r>
          </w:p>
        </w:tc>
        <w:tc>
          <w:tcPr>
            <w:tcW w:w="1214" w:type="dxa"/>
            <w:tcBorders>
              <w:top w:val="nil"/>
              <w:left w:val="nil"/>
              <w:bottom w:val="nil"/>
              <w:right w:val="single" w:sz="8" w:space="0" w:color="000000"/>
            </w:tcBorders>
            <w:shd w:val="clear" w:color="auto" w:fill="FFFFFF"/>
            <w:noWrap/>
            <w:tcMar>
              <w:top w:w="0" w:type="dxa"/>
              <w:left w:w="108" w:type="dxa"/>
              <w:bottom w:w="0" w:type="dxa"/>
              <w:right w:w="108" w:type="dxa"/>
            </w:tcMar>
            <w:vAlign w:val="bottom"/>
            <w:hideMark/>
          </w:tcPr>
          <w:p w14:paraId="58C01C33"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297%</w:t>
            </w:r>
          </w:p>
        </w:tc>
        <w:tc>
          <w:tcPr>
            <w:tcW w:w="36" w:type="dxa"/>
            <w:shd w:val="clear" w:color="auto" w:fill="FFFFFF"/>
            <w:tcMar>
              <w:top w:w="0" w:type="dxa"/>
              <w:left w:w="108" w:type="dxa"/>
              <w:bottom w:w="0" w:type="dxa"/>
              <w:right w:w="108" w:type="dxa"/>
            </w:tcMar>
            <w:vAlign w:val="center"/>
            <w:hideMark/>
          </w:tcPr>
          <w:p w14:paraId="5D06C7E3"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6" w:type="dxa"/>
            <w:tcBorders>
              <w:top w:val="nil"/>
              <w:left w:val="nil"/>
              <w:bottom w:val="nil"/>
              <w:right w:val="nil"/>
            </w:tcBorders>
            <w:shd w:val="clear" w:color="auto" w:fill="FFFFFF"/>
            <w:vAlign w:val="center"/>
            <w:hideMark/>
          </w:tcPr>
          <w:p w14:paraId="682F36DD"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00633254" w14:textId="77777777" w:rsidTr="000918A1">
        <w:trPr>
          <w:trHeight w:val="530"/>
        </w:trPr>
        <w:tc>
          <w:tcPr>
            <w:tcW w:w="1200" w:type="dxa"/>
            <w:tcBorders>
              <w:top w:val="nil"/>
              <w:left w:val="single" w:sz="8" w:space="0" w:color="000000"/>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43556F54"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HAMDALLAYE</w:t>
            </w:r>
          </w:p>
        </w:tc>
        <w:tc>
          <w:tcPr>
            <w:tcW w:w="3600" w:type="dxa"/>
            <w:gridSpan w:val="3"/>
            <w:tcBorders>
              <w:top w:val="nil"/>
              <w:left w:val="nil"/>
              <w:bottom w:val="single" w:sz="8" w:space="0" w:color="000000"/>
              <w:right w:val="single" w:sz="8" w:space="0" w:color="000000"/>
            </w:tcBorders>
            <w:shd w:val="clear" w:color="auto" w:fill="FBE2D5"/>
            <w:tcMar>
              <w:top w:w="0" w:type="dxa"/>
              <w:left w:w="108" w:type="dxa"/>
              <w:bottom w:w="0" w:type="dxa"/>
              <w:right w:w="108" w:type="dxa"/>
            </w:tcMar>
            <w:vAlign w:val="bottom"/>
            <w:hideMark/>
          </w:tcPr>
          <w:p w14:paraId="3F9CAEF9"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b/>
                <w:bCs/>
                <w:sz w:val="24"/>
                <w:szCs w:val="24"/>
              </w:rPr>
              <w:t>HAMDALLAYE (MIGRANTS ET REFUGIES)</w:t>
            </w:r>
          </w:p>
        </w:tc>
        <w:tc>
          <w:tcPr>
            <w:tcW w:w="1200" w:type="dxa"/>
            <w:tcBorders>
              <w:top w:val="single" w:sz="8" w:space="0" w:color="000000"/>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78F16EE7"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503</w:t>
            </w:r>
          </w:p>
        </w:tc>
        <w:tc>
          <w:tcPr>
            <w:tcW w:w="1480" w:type="dxa"/>
            <w:tcBorders>
              <w:top w:val="single" w:sz="8" w:space="0" w:color="000000"/>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61389C1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600</w:t>
            </w:r>
          </w:p>
        </w:tc>
        <w:tc>
          <w:tcPr>
            <w:tcW w:w="1214" w:type="dxa"/>
            <w:tcBorders>
              <w:top w:val="single" w:sz="8" w:space="0" w:color="000000"/>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53C7ED4D"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84%</w:t>
            </w:r>
          </w:p>
        </w:tc>
        <w:tc>
          <w:tcPr>
            <w:tcW w:w="36" w:type="dxa"/>
            <w:shd w:val="clear" w:color="auto" w:fill="FFFFFF"/>
            <w:tcMar>
              <w:top w:w="0" w:type="dxa"/>
              <w:left w:w="108" w:type="dxa"/>
              <w:bottom w:w="0" w:type="dxa"/>
              <w:right w:w="108" w:type="dxa"/>
            </w:tcMar>
            <w:vAlign w:val="center"/>
            <w:hideMark/>
          </w:tcPr>
          <w:p w14:paraId="37E7747F"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6" w:type="dxa"/>
            <w:tcBorders>
              <w:top w:val="nil"/>
              <w:left w:val="nil"/>
              <w:bottom w:val="nil"/>
              <w:right w:val="nil"/>
            </w:tcBorders>
            <w:shd w:val="clear" w:color="auto" w:fill="FFFFFF"/>
            <w:vAlign w:val="center"/>
            <w:hideMark/>
          </w:tcPr>
          <w:p w14:paraId="456CF797" w14:textId="77777777" w:rsidR="00A85DDE" w:rsidRPr="00A85DDE" w:rsidRDefault="00A85DDE" w:rsidP="00A85DDE">
            <w:pPr>
              <w:spacing w:after="0" w:line="360" w:lineRule="auto"/>
              <w:jc w:val="both"/>
              <w:rPr>
                <w:rFonts w:ascii="Times New Roman" w:hAnsi="Times New Roman" w:cs="Times New Roman"/>
                <w:sz w:val="24"/>
                <w:szCs w:val="24"/>
              </w:rPr>
            </w:pPr>
          </w:p>
        </w:tc>
      </w:tr>
      <w:tr w:rsidR="00A85DDE" w:rsidRPr="00A85DDE" w14:paraId="3F582A2C" w14:textId="77777777" w:rsidTr="000918A1">
        <w:trPr>
          <w:trHeight w:val="290"/>
        </w:trPr>
        <w:tc>
          <w:tcPr>
            <w:tcW w:w="1200" w:type="dxa"/>
            <w:shd w:val="clear" w:color="auto" w:fill="FFFFFF"/>
            <w:noWrap/>
            <w:tcMar>
              <w:top w:w="0" w:type="dxa"/>
              <w:left w:w="108" w:type="dxa"/>
              <w:bottom w:w="0" w:type="dxa"/>
              <w:right w:w="108" w:type="dxa"/>
            </w:tcMar>
            <w:vAlign w:val="bottom"/>
            <w:hideMark/>
          </w:tcPr>
          <w:p w14:paraId="788E6527"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1200" w:type="dxa"/>
            <w:shd w:val="clear" w:color="auto" w:fill="FFFFFF"/>
            <w:noWrap/>
            <w:tcMar>
              <w:top w:w="0" w:type="dxa"/>
              <w:left w:w="108" w:type="dxa"/>
              <w:bottom w:w="0" w:type="dxa"/>
              <w:right w:w="108" w:type="dxa"/>
            </w:tcMar>
            <w:vAlign w:val="bottom"/>
            <w:hideMark/>
          </w:tcPr>
          <w:p w14:paraId="09CB828F"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1200" w:type="dxa"/>
            <w:shd w:val="clear" w:color="auto" w:fill="FFFFFF"/>
            <w:noWrap/>
            <w:tcMar>
              <w:top w:w="0" w:type="dxa"/>
              <w:left w:w="108" w:type="dxa"/>
              <w:bottom w:w="0" w:type="dxa"/>
              <w:right w:w="108" w:type="dxa"/>
            </w:tcMar>
            <w:vAlign w:val="bottom"/>
            <w:hideMark/>
          </w:tcPr>
          <w:p w14:paraId="5F5C4D56"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1200" w:type="dxa"/>
            <w:shd w:val="clear" w:color="auto" w:fill="FFFFFF"/>
            <w:noWrap/>
            <w:tcMar>
              <w:top w:w="0" w:type="dxa"/>
              <w:left w:w="108" w:type="dxa"/>
              <w:bottom w:w="0" w:type="dxa"/>
              <w:right w:w="108" w:type="dxa"/>
            </w:tcMar>
            <w:vAlign w:val="bottom"/>
            <w:hideMark/>
          </w:tcPr>
          <w:p w14:paraId="730FCE94"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1200" w:type="dxa"/>
            <w:tcBorders>
              <w:top w:val="nil"/>
              <w:left w:val="single" w:sz="8" w:space="0" w:color="000000"/>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40750B03"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3 514</w:t>
            </w:r>
          </w:p>
        </w:tc>
        <w:tc>
          <w:tcPr>
            <w:tcW w:w="1480"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653446AF"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4540</w:t>
            </w:r>
          </w:p>
        </w:tc>
        <w:tc>
          <w:tcPr>
            <w:tcW w:w="1214" w:type="dxa"/>
            <w:tcBorders>
              <w:top w:val="nil"/>
              <w:left w:val="nil"/>
              <w:bottom w:val="single" w:sz="8" w:space="0" w:color="000000"/>
              <w:right w:val="single" w:sz="8" w:space="0" w:color="000000"/>
            </w:tcBorders>
            <w:shd w:val="clear" w:color="auto" w:fill="FFFFFF"/>
            <w:noWrap/>
            <w:tcMar>
              <w:top w:w="0" w:type="dxa"/>
              <w:left w:w="108" w:type="dxa"/>
              <w:bottom w:w="0" w:type="dxa"/>
              <w:right w:w="108" w:type="dxa"/>
            </w:tcMar>
            <w:vAlign w:val="bottom"/>
            <w:hideMark/>
          </w:tcPr>
          <w:p w14:paraId="21888430" w14:textId="77777777" w:rsidR="00A85DDE" w:rsidRP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77%</w:t>
            </w:r>
          </w:p>
        </w:tc>
        <w:tc>
          <w:tcPr>
            <w:tcW w:w="0" w:type="auto"/>
            <w:shd w:val="clear" w:color="auto" w:fill="FFFFFF"/>
            <w:vAlign w:val="center"/>
            <w:hideMark/>
          </w:tcPr>
          <w:p w14:paraId="0D43EC66" w14:textId="77777777" w:rsidR="00A85DDE" w:rsidRPr="00A85DDE" w:rsidRDefault="00A85DDE" w:rsidP="00A85DDE">
            <w:pPr>
              <w:spacing w:after="0" w:line="360" w:lineRule="auto"/>
              <w:jc w:val="both"/>
              <w:rPr>
                <w:rFonts w:ascii="Times New Roman" w:hAnsi="Times New Roman" w:cs="Times New Roman"/>
                <w:sz w:val="24"/>
                <w:szCs w:val="24"/>
              </w:rPr>
            </w:pPr>
          </w:p>
        </w:tc>
        <w:tc>
          <w:tcPr>
            <w:tcW w:w="0" w:type="auto"/>
            <w:shd w:val="clear" w:color="auto" w:fill="FFFFFF"/>
            <w:vAlign w:val="center"/>
            <w:hideMark/>
          </w:tcPr>
          <w:p w14:paraId="01D0B90F" w14:textId="77777777" w:rsidR="00A85DDE" w:rsidRPr="00A85DDE" w:rsidRDefault="00A85DDE" w:rsidP="00A85DDE">
            <w:pPr>
              <w:spacing w:after="0" w:line="360" w:lineRule="auto"/>
              <w:jc w:val="both"/>
              <w:rPr>
                <w:rFonts w:ascii="Times New Roman" w:hAnsi="Times New Roman" w:cs="Times New Roman"/>
                <w:sz w:val="24"/>
                <w:szCs w:val="24"/>
              </w:rPr>
            </w:pPr>
          </w:p>
        </w:tc>
      </w:tr>
    </w:tbl>
    <w:p w14:paraId="3456BCE5" w14:textId="77777777" w:rsidR="00A85DDE" w:rsidRPr="00A85DDE" w:rsidRDefault="00A85DDE" w:rsidP="00A85DDE">
      <w:pPr>
        <w:spacing w:after="0" w:line="360" w:lineRule="auto"/>
        <w:jc w:val="both"/>
        <w:rPr>
          <w:rFonts w:ascii="Times New Roman" w:hAnsi="Times New Roman" w:cs="Times New Roman"/>
          <w:sz w:val="24"/>
          <w:szCs w:val="24"/>
        </w:rPr>
      </w:pPr>
    </w:p>
    <w:p w14:paraId="7E995EAD" w14:textId="77777777" w:rsidR="00A85DDE" w:rsidRPr="00D06877" w:rsidRDefault="00D06877" w:rsidP="00A85DDE">
      <w:pPr>
        <w:pStyle w:val="ListParagraph"/>
        <w:numPr>
          <w:ilvl w:val="0"/>
          <w:numId w:val="1"/>
        </w:numPr>
        <w:spacing w:after="0" w:line="360" w:lineRule="auto"/>
        <w:jc w:val="both"/>
        <w:rPr>
          <w:rFonts w:ascii="Times New Roman" w:hAnsi="Times New Roman" w:cs="Times New Roman"/>
          <w:b/>
          <w:sz w:val="24"/>
          <w:szCs w:val="24"/>
        </w:rPr>
      </w:pPr>
      <w:r w:rsidRPr="00D06877">
        <w:rPr>
          <w:rFonts w:ascii="Times New Roman" w:hAnsi="Times New Roman" w:cs="Times New Roman"/>
          <w:b/>
          <w:sz w:val="24"/>
          <w:szCs w:val="24"/>
        </w:rPr>
        <w:t>Réponse</w:t>
      </w:r>
      <w:r w:rsidR="00A85DDE" w:rsidRPr="00D06877">
        <w:rPr>
          <w:rFonts w:ascii="Times New Roman" w:hAnsi="Times New Roman" w:cs="Times New Roman"/>
          <w:b/>
          <w:sz w:val="24"/>
          <w:szCs w:val="24"/>
        </w:rPr>
        <w:t xml:space="preserve"> à la question </w:t>
      </w:r>
      <w:r w:rsidRPr="00D06877">
        <w:rPr>
          <w:rFonts w:ascii="Times New Roman" w:hAnsi="Times New Roman" w:cs="Times New Roman"/>
          <w:b/>
          <w:sz w:val="24"/>
          <w:szCs w:val="24"/>
        </w:rPr>
        <w:t>relative au Mémorandum</w:t>
      </w:r>
      <w:r w:rsidR="00A85DDE" w:rsidRPr="00D06877">
        <w:rPr>
          <w:rFonts w:ascii="Times New Roman" w:hAnsi="Times New Roman" w:cs="Times New Roman"/>
          <w:b/>
          <w:sz w:val="24"/>
          <w:szCs w:val="24"/>
        </w:rPr>
        <w:t xml:space="preserve"> Niger – HCR- OIM</w:t>
      </w:r>
    </w:p>
    <w:p w14:paraId="5CD2099C" w14:textId="77777777" w:rsidR="00A85DDE" w:rsidRDefault="00A85DDE" w:rsidP="00A85DDE">
      <w:pPr>
        <w:spacing w:after="0" w:line="360" w:lineRule="auto"/>
        <w:jc w:val="both"/>
        <w:rPr>
          <w:rFonts w:ascii="Times New Roman" w:hAnsi="Times New Roman" w:cs="Times New Roman"/>
          <w:sz w:val="24"/>
          <w:szCs w:val="24"/>
        </w:rPr>
      </w:pPr>
      <w:r w:rsidRPr="00A85DDE">
        <w:rPr>
          <w:rFonts w:ascii="Times New Roman" w:hAnsi="Times New Roman" w:cs="Times New Roman"/>
          <w:sz w:val="24"/>
          <w:szCs w:val="24"/>
        </w:rPr>
        <w:t xml:space="preserve">Ce mémorandum date du 02 mars 2017 détermine le rôle de chaque partie dans le cadre de la gestion de la migration mixte. Il permet de mettre en commun les efforts de façon concertée face à la multiplication et à la diversité des flux migratoires. Ce mémorandum est en phase d’être repris par les trois parties afin de redéfinir les rôles de chacun. </w:t>
      </w:r>
    </w:p>
    <w:p w14:paraId="00C77BC5" w14:textId="77777777" w:rsidR="00D06877" w:rsidRDefault="00D06877" w:rsidP="00D06877">
      <w:pPr>
        <w:pStyle w:val="ListParagraph"/>
        <w:numPr>
          <w:ilvl w:val="0"/>
          <w:numId w:val="1"/>
        </w:numPr>
        <w:spacing w:after="0" w:line="360" w:lineRule="auto"/>
        <w:jc w:val="both"/>
        <w:rPr>
          <w:rFonts w:ascii="Times New Roman" w:hAnsi="Times New Roman" w:cs="Times New Roman"/>
          <w:b/>
          <w:sz w:val="24"/>
          <w:szCs w:val="24"/>
        </w:rPr>
      </w:pPr>
      <w:r w:rsidRPr="00D06877">
        <w:rPr>
          <w:rFonts w:ascii="Times New Roman" w:hAnsi="Times New Roman" w:cs="Times New Roman"/>
          <w:b/>
          <w:sz w:val="24"/>
          <w:szCs w:val="24"/>
        </w:rPr>
        <w:t>Réponse à la question relative à l’accord de Samoa</w:t>
      </w:r>
      <w:r>
        <w:rPr>
          <w:rFonts w:ascii="Times New Roman" w:hAnsi="Times New Roman" w:cs="Times New Roman"/>
          <w:b/>
          <w:sz w:val="24"/>
          <w:szCs w:val="24"/>
        </w:rPr>
        <w:t xml:space="preserve"> et autres interrogations des experts du Comité</w:t>
      </w:r>
    </w:p>
    <w:p w14:paraId="7FE3DCB9"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bCs/>
          <w:sz w:val="24"/>
          <w:szCs w:val="24"/>
        </w:rPr>
        <w:t>Le</w:t>
      </w:r>
      <w:r w:rsidRPr="00D06877">
        <w:rPr>
          <w:rFonts w:ascii="Times New Roman" w:hAnsi="Times New Roman" w:cs="Times New Roman"/>
          <w:color w:val="000000" w:themeColor="text1"/>
          <w:sz w:val="24"/>
          <w:szCs w:val="24"/>
        </w:rPr>
        <w:t xml:space="preserve"> nouvel Accord de partenariat ou </w:t>
      </w:r>
      <w:r w:rsidRPr="00D06877">
        <w:rPr>
          <w:rFonts w:ascii="Times New Roman" w:hAnsi="Times New Roman" w:cs="Times New Roman"/>
          <w:sz w:val="24"/>
          <w:szCs w:val="24"/>
        </w:rPr>
        <w:t>Accord post-Cotonou, dénommé « Accord de Samoa » a été signé le 15 novembre 2023 à Apia (Etat indépendant de Samoa) entre l’Union Européenne (UE) et ses Etats membres, d’une part, et les membres de l’Organisation des Etats d’Afrique, des Caraïbes et du Pacifique (OEACP), d’autre part.  L’original du texte, signé et paraphé, est disponible pour les Etats-parties depuis la fin du mois de juin 2024, afin de leur permettre de débuter la procédure de ratification. Mais d’ores et déjà, certaines dispositions de cet Accord sont entrées en vigueur depuis janvier 2024</w:t>
      </w:r>
      <w:r w:rsidRPr="00D06877">
        <w:rPr>
          <w:rFonts w:ascii="Times New Roman" w:hAnsi="Times New Roman" w:cs="Times New Roman"/>
          <w:color w:val="000000" w:themeColor="text1"/>
          <w:sz w:val="24"/>
          <w:szCs w:val="24"/>
        </w:rPr>
        <w:t>, conformément à son article 98, paragraphe 4.</w:t>
      </w:r>
    </w:p>
    <w:p w14:paraId="6397B332"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sz w:val="24"/>
          <w:szCs w:val="24"/>
        </w:rPr>
        <w:t xml:space="preserve">Pour ce qui est des « retours, réadmissions », le nouvel Accord de Samoa fait obligations au Niger (article 74, alinéa 1) de coopérer en matière de retour et de réadmission et de veiller à ce que les droits et la dignité des personnes soient pleinement protégés et respectés, y compris dans toute procédure mise en œuvre pour le retour de migrants en séjour irrégulier vers leur pays d'origine. En la matière, les seules formalités exigées sont relatives à la mise en œuvre des processus de vérification, au moyen des procédures d'identification les plus appropriées et les plus efficientes en vue de déterminer la nationalité de la personne concernée et de délivrer les documents de voyage appropriés à des fins de retour. Toutefois, aucune disposition dudit </w:t>
      </w:r>
      <w:r w:rsidRPr="00D06877">
        <w:rPr>
          <w:rFonts w:ascii="Times New Roman" w:hAnsi="Times New Roman" w:cs="Times New Roman"/>
          <w:sz w:val="24"/>
          <w:szCs w:val="24"/>
        </w:rPr>
        <w:lastRenderedPageBreak/>
        <w:t>Accord n’empêche le retour d'une personne en vertu de dispositions formelles ou informelles entre l'État auquel une demande de réadmission est soumise et l'État demandeur.</w:t>
      </w:r>
    </w:p>
    <w:p w14:paraId="4DC272A2"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sz w:val="24"/>
          <w:szCs w:val="24"/>
        </w:rPr>
        <w:t>Quant à la réintégration durable des migrants,  l’article 75 de l’Accord de Samoa prévoit la possibilité pour les parties de coopérer et de promouvoir le retour volontaire ainsi qu’à faciliter la réintégration durable des personnes faisant l'objet d'un retour, y compris, selon le cas, au moyen de programmes de réintégration durable, tout en accordant une attention particulière  aux besoins des personnes faisant l'objet d'un retour qui se trouvent dans des situations de vulnérabilité, tels que les enfants, les personnes âgées, les personnes handicapées et les victimes de la traite des êtres humains. En cas de désaccords sur la portée des dispositions juridiques susmentionnées, ils pourraient être traités lors du « Dialogue de partenariat » prévu par l’article 3, alinéa 1 dudit Accord, en vue de déboucher sur des engagements et, s’il y a lieu, des actions de part et d’autre, aux fins de leur mise en œuvre effective.</w:t>
      </w:r>
    </w:p>
    <w:p w14:paraId="37B49927"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bCs/>
          <w:sz w:val="24"/>
          <w:szCs w:val="24"/>
        </w:rPr>
        <w:t xml:space="preserve">La mise en œuvre du projet Migration Protection Return and Réintégration (MPRR) avec l’appui de l’OIM dont l’objectif est d’accompagner les migrants de retour a permis de soutenir individuellement, collectivement et de façon communautaire de milliers de migrants de retour et des membres de leurs familles.   </w:t>
      </w:r>
    </w:p>
    <w:p w14:paraId="26644104"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bCs/>
          <w:sz w:val="24"/>
          <w:szCs w:val="24"/>
        </w:rPr>
        <w:t>Le renforcement des capacités de la police des frontières était l’occasion de sensibiliser sur la protection internationale, les procédures de référencement, les partenaires de prise en charge et la conduite à tenir pour porter assistance aux personnes vulnérables en quête de protection. Le droit à la liberté de circuler est reconnu par la loi sur l’asile à l’endroit des réfugiés qui peuvent s’établir dans les zones de leur choix sur toute l’étendue du territoire. Les documents pouvant leur faciliter le déplacement leur sont accessibles.</w:t>
      </w:r>
    </w:p>
    <w:p w14:paraId="6F1EF3BE"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bCs/>
          <w:sz w:val="24"/>
          <w:szCs w:val="24"/>
        </w:rPr>
        <w:t>Concernant les autres mesures permettant d’améliorer la coopération entre les services de police, de gendarmerie</w:t>
      </w:r>
      <w:r w:rsidRPr="00D06877">
        <w:rPr>
          <w:rFonts w:ascii="Times New Roman" w:hAnsi="Times New Roman" w:cs="Times New Roman"/>
          <w:sz w:val="24"/>
          <w:szCs w:val="24"/>
        </w:rPr>
        <w:t xml:space="preserve"> et de sécurité intérieure et de favoriser la liberté de circulation et d’établissement ainsi que les « échanges de compétences et d’expériences, l’ANLTP en collaboration avec ses partenaires, a organisé :</w:t>
      </w:r>
    </w:p>
    <w:p w14:paraId="1179B032"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 xml:space="preserve">de 2018 à 2022 </w:t>
      </w:r>
      <w:r w:rsidRPr="00FB61A3">
        <w:rPr>
          <w:rFonts w:ascii="Times New Roman" w:hAnsi="Times New Roman" w:cs="Times New Roman"/>
          <w:sz w:val="24"/>
          <w:szCs w:val="24"/>
        </w:rPr>
        <w:t xml:space="preserve">cinq (5) ateliers de travail pour l’harmonisation d’une politique pénale sur l’application de </w:t>
      </w:r>
      <w:r>
        <w:rPr>
          <w:rFonts w:ascii="Times New Roman" w:hAnsi="Times New Roman" w:cs="Times New Roman"/>
          <w:sz w:val="24"/>
          <w:szCs w:val="24"/>
        </w:rPr>
        <w:t xml:space="preserve">la </w:t>
      </w:r>
      <w:r w:rsidRPr="00FB61A3">
        <w:rPr>
          <w:rFonts w:ascii="Times New Roman" w:hAnsi="Times New Roman" w:cs="Times New Roman"/>
          <w:sz w:val="24"/>
          <w:szCs w:val="24"/>
        </w:rPr>
        <w:t xml:space="preserve">loi 2015-036, </w:t>
      </w:r>
      <w:r>
        <w:rPr>
          <w:rFonts w:ascii="Times New Roman" w:hAnsi="Times New Roman" w:cs="Times New Roman"/>
          <w:sz w:val="24"/>
          <w:szCs w:val="24"/>
        </w:rPr>
        <w:t>touchant 75</w:t>
      </w:r>
      <w:r w:rsidRPr="00FB61A3">
        <w:rPr>
          <w:rFonts w:ascii="Times New Roman" w:hAnsi="Times New Roman" w:cs="Times New Roman"/>
          <w:sz w:val="24"/>
          <w:szCs w:val="24"/>
        </w:rPr>
        <w:t xml:space="preserve"> policiers, gendarmes et </w:t>
      </w:r>
      <w:r>
        <w:rPr>
          <w:rFonts w:ascii="Times New Roman" w:hAnsi="Times New Roman" w:cs="Times New Roman"/>
          <w:sz w:val="24"/>
          <w:szCs w:val="24"/>
        </w:rPr>
        <w:t xml:space="preserve">agents des </w:t>
      </w:r>
      <w:r w:rsidRPr="00FB61A3">
        <w:rPr>
          <w:rFonts w:ascii="Times New Roman" w:hAnsi="Times New Roman" w:cs="Times New Roman"/>
          <w:sz w:val="24"/>
          <w:szCs w:val="24"/>
        </w:rPr>
        <w:t>bureaux régionaux de l’ANLTP</w:t>
      </w:r>
      <w:r>
        <w:rPr>
          <w:rFonts w:ascii="Times New Roman" w:hAnsi="Times New Roman" w:cs="Times New Roman"/>
          <w:sz w:val="24"/>
          <w:szCs w:val="24"/>
        </w:rPr>
        <w:t> ;</w:t>
      </w:r>
      <w:r w:rsidRPr="00FB61A3">
        <w:rPr>
          <w:rFonts w:ascii="Times New Roman" w:hAnsi="Times New Roman" w:cs="Times New Roman"/>
          <w:sz w:val="24"/>
          <w:szCs w:val="24"/>
        </w:rPr>
        <w:t xml:space="preserve"> </w:t>
      </w:r>
    </w:p>
    <w:p w14:paraId="04691E7F"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sidRPr="00FB61A3">
        <w:rPr>
          <w:rFonts w:ascii="Times New Roman" w:hAnsi="Times New Roman" w:cs="Times New Roman"/>
          <w:sz w:val="24"/>
          <w:szCs w:val="24"/>
        </w:rPr>
        <w:t>la mise en place</w:t>
      </w:r>
      <w:r>
        <w:rPr>
          <w:rFonts w:ascii="Times New Roman" w:hAnsi="Times New Roman" w:cs="Times New Roman"/>
          <w:sz w:val="24"/>
          <w:szCs w:val="24"/>
        </w:rPr>
        <w:t xml:space="preserve"> en 2021</w:t>
      </w:r>
      <w:r w:rsidRPr="00FB61A3">
        <w:rPr>
          <w:rFonts w:ascii="Times New Roman" w:hAnsi="Times New Roman" w:cs="Times New Roman"/>
          <w:sz w:val="24"/>
          <w:szCs w:val="24"/>
        </w:rPr>
        <w:t xml:space="preserve"> d’un groupe de travail conjoint Niger-Nigeria regroupant la police des frontières et de l’immigration ;</w:t>
      </w:r>
    </w:p>
    <w:p w14:paraId="4FC3A7AE"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sidRPr="00FB61A3">
        <w:rPr>
          <w:rFonts w:ascii="Times New Roman" w:hAnsi="Times New Roman" w:cs="Times New Roman"/>
          <w:sz w:val="24"/>
          <w:szCs w:val="24"/>
        </w:rPr>
        <w:lastRenderedPageBreak/>
        <w:t xml:space="preserve">un (1) atelier de formation </w:t>
      </w:r>
      <w:r>
        <w:rPr>
          <w:rFonts w:ascii="Times New Roman" w:hAnsi="Times New Roman" w:cs="Times New Roman"/>
          <w:sz w:val="24"/>
          <w:szCs w:val="24"/>
        </w:rPr>
        <w:t xml:space="preserve">en 2022 </w:t>
      </w:r>
      <w:r w:rsidRPr="00FB61A3">
        <w:rPr>
          <w:rFonts w:ascii="Times New Roman" w:hAnsi="Times New Roman" w:cs="Times New Roman"/>
          <w:sz w:val="24"/>
          <w:szCs w:val="24"/>
        </w:rPr>
        <w:t>sur la Convention sur la protection des droits de tous les travailleurs migrants et des membres de leur famille au profit de</w:t>
      </w:r>
      <w:r>
        <w:rPr>
          <w:rFonts w:ascii="Times New Roman" w:hAnsi="Times New Roman" w:cs="Times New Roman"/>
          <w:sz w:val="24"/>
          <w:szCs w:val="24"/>
        </w:rPr>
        <w:t xml:space="preserve"> 30</w:t>
      </w:r>
      <w:r w:rsidRPr="00FB61A3">
        <w:rPr>
          <w:rFonts w:ascii="Times New Roman" w:hAnsi="Times New Roman" w:cs="Times New Roman"/>
          <w:sz w:val="24"/>
          <w:szCs w:val="24"/>
        </w:rPr>
        <w:t xml:space="preserve"> magistrats, policiers et gendarmes ;</w:t>
      </w:r>
    </w:p>
    <w:p w14:paraId="2004AB3C"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sidRPr="00FB61A3">
        <w:rPr>
          <w:rFonts w:ascii="Times New Roman" w:hAnsi="Times New Roman" w:cs="Times New Roman"/>
          <w:sz w:val="24"/>
          <w:szCs w:val="24"/>
        </w:rPr>
        <w:t xml:space="preserve"> cinq (5) ateliers de formation sur la traite des personnes et le trafic illicite de migrants au profit de</w:t>
      </w:r>
      <w:r>
        <w:rPr>
          <w:rFonts w:ascii="Times New Roman" w:hAnsi="Times New Roman" w:cs="Times New Roman"/>
          <w:sz w:val="24"/>
          <w:szCs w:val="24"/>
        </w:rPr>
        <w:t xml:space="preserve"> 89 </w:t>
      </w:r>
      <w:r w:rsidRPr="00FB61A3">
        <w:rPr>
          <w:rFonts w:ascii="Times New Roman" w:hAnsi="Times New Roman" w:cs="Times New Roman"/>
          <w:sz w:val="24"/>
          <w:szCs w:val="24"/>
        </w:rPr>
        <w:t>femmes FDS</w:t>
      </w:r>
      <w:r>
        <w:rPr>
          <w:rFonts w:ascii="Times New Roman" w:hAnsi="Times New Roman" w:cs="Times New Roman"/>
          <w:sz w:val="24"/>
          <w:szCs w:val="24"/>
        </w:rPr>
        <w:t> ;</w:t>
      </w:r>
    </w:p>
    <w:p w14:paraId="6E29DB49"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sidRPr="00FB61A3">
        <w:rPr>
          <w:rFonts w:ascii="Times New Roman" w:hAnsi="Times New Roman" w:cs="Times New Roman"/>
          <w:sz w:val="24"/>
          <w:szCs w:val="24"/>
        </w:rPr>
        <w:t xml:space="preserve">la mise en place </w:t>
      </w:r>
      <w:r>
        <w:rPr>
          <w:rFonts w:ascii="Times New Roman" w:hAnsi="Times New Roman" w:cs="Times New Roman"/>
          <w:sz w:val="24"/>
          <w:szCs w:val="24"/>
        </w:rPr>
        <w:t xml:space="preserve">le 13 mars 2017 </w:t>
      </w:r>
      <w:r w:rsidRPr="00FB61A3">
        <w:rPr>
          <w:rFonts w:ascii="Times New Roman" w:hAnsi="Times New Roman" w:cs="Times New Roman"/>
          <w:sz w:val="24"/>
          <w:szCs w:val="24"/>
        </w:rPr>
        <w:t>d’une équipe conjointe d’investigation composée de policiers nigériens, français et espagnols ;</w:t>
      </w:r>
    </w:p>
    <w:p w14:paraId="56CE6C17"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 xml:space="preserve">la signature le 16 août 2022 de </w:t>
      </w:r>
      <w:r w:rsidRPr="00FB61A3">
        <w:rPr>
          <w:rFonts w:ascii="Times New Roman" w:hAnsi="Times New Roman" w:cs="Times New Roman"/>
          <w:sz w:val="24"/>
          <w:szCs w:val="24"/>
        </w:rPr>
        <w:t>la déclaration d’intention de coopération entre les agences nigérienne et marocaine de lutte contre la traite de personnes ;</w:t>
      </w:r>
    </w:p>
    <w:p w14:paraId="48158FD6" w14:textId="77777777" w:rsidR="00D06877" w:rsidRPr="00FB61A3" w:rsidRDefault="00D06877" w:rsidP="00D06877">
      <w:pPr>
        <w:pStyle w:val="ListParagraph"/>
        <w:numPr>
          <w:ilvl w:val="0"/>
          <w:numId w:val="17"/>
        </w:numPr>
        <w:spacing w:after="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 xml:space="preserve">la signature le 21 février 2023 de </w:t>
      </w:r>
      <w:r w:rsidRPr="00FB61A3">
        <w:rPr>
          <w:rFonts w:ascii="Times New Roman" w:hAnsi="Times New Roman" w:cs="Times New Roman"/>
          <w:sz w:val="24"/>
          <w:szCs w:val="24"/>
        </w:rPr>
        <w:t>la déclaration d’intention de coopération entre les agences nigérienne et mauritanienne de lutte contre la traite de personnes.</w:t>
      </w:r>
    </w:p>
    <w:p w14:paraId="7E3BEAA4" w14:textId="77777777" w:rsidR="00D06877" w:rsidRPr="00D06877" w:rsidRDefault="00D06877" w:rsidP="00D06877">
      <w:pPr>
        <w:spacing w:line="360" w:lineRule="auto"/>
        <w:jc w:val="both"/>
        <w:rPr>
          <w:rFonts w:ascii="Times New Roman" w:hAnsi="Times New Roman" w:cs="Times New Roman"/>
          <w:sz w:val="24"/>
          <w:szCs w:val="24"/>
        </w:rPr>
      </w:pPr>
      <w:r w:rsidRPr="00D06877">
        <w:rPr>
          <w:rFonts w:ascii="Times New Roman" w:hAnsi="Times New Roman" w:cs="Times New Roman"/>
          <w:bCs/>
          <w:sz w:val="24"/>
          <w:szCs w:val="24"/>
        </w:rPr>
        <w:t>Aussi</w:t>
      </w:r>
      <w:r w:rsidRPr="00D06877">
        <w:rPr>
          <w:rFonts w:ascii="Times New Roman" w:hAnsi="Times New Roman" w:cs="Times New Roman"/>
          <w:sz w:val="24"/>
          <w:szCs w:val="24"/>
        </w:rPr>
        <w:t>, une recommandation a-t-elle été formulée lors de la réunion du Cadre de Concertation sur la Migration (CCM) portant sur la création d’une unité d’enquêtes mixte composée de policiers, gendarmes et gardes, sur la traite des personnes et le trafic illicite de migrants.</w:t>
      </w:r>
      <w:permStart w:id="2086486803" w:edGrp="everyone"/>
      <w:permEnd w:id="2086486803"/>
    </w:p>
    <w:p w14:paraId="5BA596FA" w14:textId="77777777" w:rsidR="00D06877" w:rsidRPr="00D06877" w:rsidRDefault="00D06877" w:rsidP="00D06877">
      <w:pPr>
        <w:spacing w:after="0" w:line="360" w:lineRule="auto"/>
        <w:jc w:val="both"/>
        <w:rPr>
          <w:rFonts w:ascii="Times New Roman" w:hAnsi="Times New Roman" w:cs="Times New Roman"/>
          <w:b/>
          <w:sz w:val="24"/>
          <w:szCs w:val="24"/>
        </w:rPr>
      </w:pPr>
    </w:p>
    <w:p w14:paraId="7A9DE955" w14:textId="77777777" w:rsidR="00CE56A2" w:rsidRDefault="00CE56A2" w:rsidP="00884C32">
      <w:pPr>
        <w:spacing w:after="0" w:line="360" w:lineRule="auto"/>
        <w:jc w:val="both"/>
        <w:rPr>
          <w:rFonts w:ascii="Times New Roman" w:hAnsi="Times New Roman" w:cs="Times New Roman"/>
          <w:sz w:val="24"/>
          <w:szCs w:val="24"/>
        </w:rPr>
      </w:pPr>
    </w:p>
    <w:p w14:paraId="170D4D07" w14:textId="77777777" w:rsidR="00A85DDE" w:rsidRPr="00884C32" w:rsidRDefault="00A85DDE" w:rsidP="00884C32">
      <w:pPr>
        <w:spacing w:after="0" w:line="360" w:lineRule="auto"/>
        <w:jc w:val="both"/>
        <w:rPr>
          <w:rFonts w:ascii="Times New Roman" w:hAnsi="Times New Roman" w:cs="Times New Roman"/>
          <w:sz w:val="24"/>
          <w:szCs w:val="24"/>
        </w:rPr>
      </w:pPr>
    </w:p>
    <w:p w14:paraId="7450D5CA" w14:textId="77777777" w:rsidR="000B1E41" w:rsidRPr="00F8040A" w:rsidRDefault="000B1E41" w:rsidP="00CD5D76">
      <w:pPr>
        <w:spacing w:after="0" w:line="360" w:lineRule="auto"/>
        <w:rPr>
          <w:rFonts w:ascii="Times New Roman" w:hAnsi="Times New Roman" w:cs="Times New Roman"/>
          <w:b/>
          <w:sz w:val="28"/>
          <w:szCs w:val="28"/>
        </w:rPr>
      </w:pPr>
    </w:p>
    <w:sectPr w:rsidR="000B1E41" w:rsidRPr="00F8040A" w:rsidSect="003854E8">
      <w:footerReference w:type="default" r:id="rId12"/>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57812" w14:textId="77777777" w:rsidR="00077940" w:rsidRDefault="00077940" w:rsidP="00594003">
      <w:pPr>
        <w:spacing w:after="0" w:line="240" w:lineRule="auto"/>
      </w:pPr>
      <w:r>
        <w:separator/>
      </w:r>
    </w:p>
  </w:endnote>
  <w:endnote w:type="continuationSeparator" w:id="0">
    <w:p w14:paraId="141C329E" w14:textId="77777777" w:rsidR="00077940" w:rsidRDefault="00077940" w:rsidP="00594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181668"/>
      <w:docPartObj>
        <w:docPartGallery w:val="Page Numbers (Bottom of Page)"/>
        <w:docPartUnique/>
      </w:docPartObj>
    </w:sdtPr>
    <w:sdtEndPr/>
    <w:sdtContent>
      <w:p w14:paraId="469AE826" w14:textId="77777777" w:rsidR="00594003" w:rsidRDefault="00594003">
        <w:pPr>
          <w:pStyle w:val="Footer"/>
          <w:jc w:val="center"/>
        </w:pPr>
        <w:r>
          <w:fldChar w:fldCharType="begin"/>
        </w:r>
        <w:r>
          <w:instrText>PAGE   \* MERGEFORMAT</w:instrText>
        </w:r>
        <w:r>
          <w:fldChar w:fldCharType="separate"/>
        </w:r>
        <w:r>
          <w:t>2</w:t>
        </w:r>
        <w:r>
          <w:fldChar w:fldCharType="end"/>
        </w:r>
      </w:p>
    </w:sdtContent>
  </w:sdt>
  <w:p w14:paraId="3FC8DA63" w14:textId="77777777" w:rsidR="00594003" w:rsidRDefault="00594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EE6FA" w14:textId="77777777" w:rsidR="00077940" w:rsidRDefault="00077940" w:rsidP="00594003">
      <w:pPr>
        <w:spacing w:after="0" w:line="240" w:lineRule="auto"/>
      </w:pPr>
      <w:r>
        <w:separator/>
      </w:r>
    </w:p>
  </w:footnote>
  <w:footnote w:type="continuationSeparator" w:id="0">
    <w:p w14:paraId="149FC496" w14:textId="77777777" w:rsidR="00077940" w:rsidRDefault="00077940" w:rsidP="00594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C4E6E"/>
    <w:multiLevelType w:val="hybridMultilevel"/>
    <w:tmpl w:val="E4367CE0"/>
    <w:lvl w:ilvl="0" w:tplc="3A4029F4">
      <w:start w:val="1"/>
      <w:numFmt w:val="decimal"/>
      <w:lvlText w:val="%1."/>
      <w:lvlJc w:val="left"/>
      <w:pPr>
        <w:ind w:left="1920" w:hanging="360"/>
      </w:pPr>
      <w:rPr>
        <w:rFonts w:hint="default"/>
        <w:color w:val="000000"/>
        <w:sz w:val="24"/>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 w15:restartNumberingAfterBreak="0">
    <w:nsid w:val="0AEB1AB5"/>
    <w:multiLevelType w:val="hybridMultilevel"/>
    <w:tmpl w:val="A60463AA"/>
    <w:lvl w:ilvl="0" w:tplc="EDEE543E">
      <w:start w:val="1"/>
      <w:numFmt w:val="bullet"/>
      <w:lvlText w:val=""/>
      <w:lvlJc w:val="left"/>
      <w:pPr>
        <w:tabs>
          <w:tab w:val="num" w:pos="720"/>
        </w:tabs>
        <w:ind w:left="720" w:hanging="360"/>
      </w:pPr>
      <w:rPr>
        <w:rFonts w:ascii="Wingdings" w:hAnsi="Wingdings" w:hint="default"/>
      </w:rPr>
    </w:lvl>
    <w:lvl w:ilvl="1" w:tplc="569892E4" w:tentative="1">
      <w:start w:val="1"/>
      <w:numFmt w:val="bullet"/>
      <w:lvlText w:val=""/>
      <w:lvlJc w:val="left"/>
      <w:pPr>
        <w:tabs>
          <w:tab w:val="num" w:pos="1440"/>
        </w:tabs>
        <w:ind w:left="1440" w:hanging="360"/>
      </w:pPr>
      <w:rPr>
        <w:rFonts w:ascii="Wingdings" w:hAnsi="Wingdings" w:hint="default"/>
      </w:rPr>
    </w:lvl>
    <w:lvl w:ilvl="2" w:tplc="B7A4AAC2" w:tentative="1">
      <w:start w:val="1"/>
      <w:numFmt w:val="bullet"/>
      <w:lvlText w:val=""/>
      <w:lvlJc w:val="left"/>
      <w:pPr>
        <w:tabs>
          <w:tab w:val="num" w:pos="2160"/>
        </w:tabs>
        <w:ind w:left="2160" w:hanging="360"/>
      </w:pPr>
      <w:rPr>
        <w:rFonts w:ascii="Wingdings" w:hAnsi="Wingdings" w:hint="default"/>
      </w:rPr>
    </w:lvl>
    <w:lvl w:ilvl="3" w:tplc="58B6B75E" w:tentative="1">
      <w:start w:val="1"/>
      <w:numFmt w:val="bullet"/>
      <w:lvlText w:val=""/>
      <w:lvlJc w:val="left"/>
      <w:pPr>
        <w:tabs>
          <w:tab w:val="num" w:pos="2880"/>
        </w:tabs>
        <w:ind w:left="2880" w:hanging="360"/>
      </w:pPr>
      <w:rPr>
        <w:rFonts w:ascii="Wingdings" w:hAnsi="Wingdings" w:hint="default"/>
      </w:rPr>
    </w:lvl>
    <w:lvl w:ilvl="4" w:tplc="346C8AB6" w:tentative="1">
      <w:start w:val="1"/>
      <w:numFmt w:val="bullet"/>
      <w:lvlText w:val=""/>
      <w:lvlJc w:val="left"/>
      <w:pPr>
        <w:tabs>
          <w:tab w:val="num" w:pos="3600"/>
        </w:tabs>
        <w:ind w:left="3600" w:hanging="360"/>
      </w:pPr>
      <w:rPr>
        <w:rFonts w:ascii="Wingdings" w:hAnsi="Wingdings" w:hint="default"/>
      </w:rPr>
    </w:lvl>
    <w:lvl w:ilvl="5" w:tplc="DE2A9454" w:tentative="1">
      <w:start w:val="1"/>
      <w:numFmt w:val="bullet"/>
      <w:lvlText w:val=""/>
      <w:lvlJc w:val="left"/>
      <w:pPr>
        <w:tabs>
          <w:tab w:val="num" w:pos="4320"/>
        </w:tabs>
        <w:ind w:left="4320" w:hanging="360"/>
      </w:pPr>
      <w:rPr>
        <w:rFonts w:ascii="Wingdings" w:hAnsi="Wingdings" w:hint="default"/>
      </w:rPr>
    </w:lvl>
    <w:lvl w:ilvl="6" w:tplc="FB3CBBAE" w:tentative="1">
      <w:start w:val="1"/>
      <w:numFmt w:val="bullet"/>
      <w:lvlText w:val=""/>
      <w:lvlJc w:val="left"/>
      <w:pPr>
        <w:tabs>
          <w:tab w:val="num" w:pos="5040"/>
        </w:tabs>
        <w:ind w:left="5040" w:hanging="360"/>
      </w:pPr>
      <w:rPr>
        <w:rFonts w:ascii="Wingdings" w:hAnsi="Wingdings" w:hint="default"/>
      </w:rPr>
    </w:lvl>
    <w:lvl w:ilvl="7" w:tplc="81C4DBCE" w:tentative="1">
      <w:start w:val="1"/>
      <w:numFmt w:val="bullet"/>
      <w:lvlText w:val=""/>
      <w:lvlJc w:val="left"/>
      <w:pPr>
        <w:tabs>
          <w:tab w:val="num" w:pos="5760"/>
        </w:tabs>
        <w:ind w:left="5760" w:hanging="360"/>
      </w:pPr>
      <w:rPr>
        <w:rFonts w:ascii="Wingdings" w:hAnsi="Wingdings" w:hint="default"/>
      </w:rPr>
    </w:lvl>
    <w:lvl w:ilvl="8" w:tplc="EB66411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0C0045"/>
    <w:multiLevelType w:val="hybridMultilevel"/>
    <w:tmpl w:val="499A10AE"/>
    <w:lvl w:ilvl="0" w:tplc="695202F8">
      <w:start w:val="1"/>
      <w:numFmt w:val="decimal"/>
      <w:lvlText w:val="%1."/>
      <w:lvlJc w:val="left"/>
      <w:pPr>
        <w:ind w:left="360" w:hanging="360"/>
      </w:pPr>
      <w:rPr>
        <w:rFonts w:ascii="Times New Roman" w:hAnsi="Times New Roman" w:cs="Times New Roman" w:hint="default"/>
        <w:b/>
        <w:bCs/>
        <w:i w:val="0"/>
        <w:iCs/>
        <w:color w:val="auto"/>
      </w:rPr>
    </w:lvl>
    <w:lvl w:ilvl="1" w:tplc="A94A168C">
      <w:numFmt w:val="bullet"/>
      <w:lvlText w:val="-"/>
      <w:lvlJc w:val="left"/>
      <w:pPr>
        <w:ind w:left="938" w:hanging="360"/>
      </w:pPr>
      <w:rPr>
        <w:rFonts w:ascii="Times New Roman" w:eastAsiaTheme="minorHAnsi" w:hAnsi="Times New Roman" w:cs="Times New Roman" w:hint="default"/>
      </w:r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3" w15:restartNumberingAfterBreak="0">
    <w:nsid w:val="15BB4B27"/>
    <w:multiLevelType w:val="hybridMultilevel"/>
    <w:tmpl w:val="42460334"/>
    <w:lvl w:ilvl="0" w:tplc="0608BAC8">
      <w:start w:val="17"/>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E24134"/>
    <w:multiLevelType w:val="hybridMultilevel"/>
    <w:tmpl w:val="8F9A84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BDE4810"/>
    <w:multiLevelType w:val="hybridMultilevel"/>
    <w:tmpl w:val="B4C21A78"/>
    <w:lvl w:ilvl="0" w:tplc="40B85C3A">
      <w:start w:val="3"/>
      <w:numFmt w:val="bullet"/>
      <w:lvlText w:val="-"/>
      <w:lvlJc w:val="left"/>
      <w:pPr>
        <w:ind w:left="550" w:hanging="360"/>
      </w:pPr>
      <w:rPr>
        <w:rFonts w:ascii="Calibri" w:eastAsiaTheme="minorHAnsi" w:hAnsi="Calibri" w:cs="Calibri" w:hint="default"/>
      </w:rPr>
    </w:lvl>
    <w:lvl w:ilvl="1" w:tplc="040C0003" w:tentative="1">
      <w:start w:val="1"/>
      <w:numFmt w:val="bullet"/>
      <w:lvlText w:val="o"/>
      <w:lvlJc w:val="left"/>
      <w:pPr>
        <w:ind w:left="1270" w:hanging="360"/>
      </w:pPr>
      <w:rPr>
        <w:rFonts w:ascii="Courier New" w:hAnsi="Courier New" w:cs="Courier New" w:hint="default"/>
      </w:rPr>
    </w:lvl>
    <w:lvl w:ilvl="2" w:tplc="040C0005" w:tentative="1">
      <w:start w:val="1"/>
      <w:numFmt w:val="bullet"/>
      <w:lvlText w:val=""/>
      <w:lvlJc w:val="left"/>
      <w:pPr>
        <w:ind w:left="1990" w:hanging="360"/>
      </w:pPr>
      <w:rPr>
        <w:rFonts w:ascii="Wingdings" w:hAnsi="Wingdings" w:hint="default"/>
      </w:rPr>
    </w:lvl>
    <w:lvl w:ilvl="3" w:tplc="040C0001" w:tentative="1">
      <w:start w:val="1"/>
      <w:numFmt w:val="bullet"/>
      <w:lvlText w:val=""/>
      <w:lvlJc w:val="left"/>
      <w:pPr>
        <w:ind w:left="2710" w:hanging="360"/>
      </w:pPr>
      <w:rPr>
        <w:rFonts w:ascii="Symbol" w:hAnsi="Symbol" w:hint="default"/>
      </w:rPr>
    </w:lvl>
    <w:lvl w:ilvl="4" w:tplc="040C0003" w:tentative="1">
      <w:start w:val="1"/>
      <w:numFmt w:val="bullet"/>
      <w:lvlText w:val="o"/>
      <w:lvlJc w:val="left"/>
      <w:pPr>
        <w:ind w:left="3430" w:hanging="360"/>
      </w:pPr>
      <w:rPr>
        <w:rFonts w:ascii="Courier New" w:hAnsi="Courier New" w:cs="Courier New" w:hint="default"/>
      </w:rPr>
    </w:lvl>
    <w:lvl w:ilvl="5" w:tplc="040C0005" w:tentative="1">
      <w:start w:val="1"/>
      <w:numFmt w:val="bullet"/>
      <w:lvlText w:val=""/>
      <w:lvlJc w:val="left"/>
      <w:pPr>
        <w:ind w:left="4150" w:hanging="360"/>
      </w:pPr>
      <w:rPr>
        <w:rFonts w:ascii="Wingdings" w:hAnsi="Wingdings" w:hint="default"/>
      </w:rPr>
    </w:lvl>
    <w:lvl w:ilvl="6" w:tplc="040C0001" w:tentative="1">
      <w:start w:val="1"/>
      <w:numFmt w:val="bullet"/>
      <w:lvlText w:val=""/>
      <w:lvlJc w:val="left"/>
      <w:pPr>
        <w:ind w:left="4870" w:hanging="360"/>
      </w:pPr>
      <w:rPr>
        <w:rFonts w:ascii="Symbol" w:hAnsi="Symbol" w:hint="default"/>
      </w:rPr>
    </w:lvl>
    <w:lvl w:ilvl="7" w:tplc="040C0003" w:tentative="1">
      <w:start w:val="1"/>
      <w:numFmt w:val="bullet"/>
      <w:lvlText w:val="o"/>
      <w:lvlJc w:val="left"/>
      <w:pPr>
        <w:ind w:left="5590" w:hanging="360"/>
      </w:pPr>
      <w:rPr>
        <w:rFonts w:ascii="Courier New" w:hAnsi="Courier New" w:cs="Courier New" w:hint="default"/>
      </w:rPr>
    </w:lvl>
    <w:lvl w:ilvl="8" w:tplc="040C0005" w:tentative="1">
      <w:start w:val="1"/>
      <w:numFmt w:val="bullet"/>
      <w:lvlText w:val=""/>
      <w:lvlJc w:val="left"/>
      <w:pPr>
        <w:ind w:left="6310" w:hanging="360"/>
      </w:pPr>
      <w:rPr>
        <w:rFonts w:ascii="Wingdings" w:hAnsi="Wingdings" w:hint="default"/>
      </w:rPr>
    </w:lvl>
  </w:abstractNum>
  <w:abstractNum w:abstractNumId="6" w15:restartNumberingAfterBreak="0">
    <w:nsid w:val="237A4900"/>
    <w:multiLevelType w:val="hybridMultilevel"/>
    <w:tmpl w:val="16A89AF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99D00F4"/>
    <w:multiLevelType w:val="hybridMultilevel"/>
    <w:tmpl w:val="7BDC2542"/>
    <w:lvl w:ilvl="0" w:tplc="6FD0F75E">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EF616FB"/>
    <w:multiLevelType w:val="hybridMultilevel"/>
    <w:tmpl w:val="3402A56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0716E64"/>
    <w:multiLevelType w:val="multilevel"/>
    <w:tmpl w:val="6368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754364"/>
    <w:multiLevelType w:val="hybridMultilevel"/>
    <w:tmpl w:val="14D6A9A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514755C5"/>
    <w:multiLevelType w:val="hybridMultilevel"/>
    <w:tmpl w:val="6832D154"/>
    <w:lvl w:ilvl="0" w:tplc="37E6DA7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A16553F"/>
    <w:multiLevelType w:val="hybridMultilevel"/>
    <w:tmpl w:val="C31CA384"/>
    <w:lvl w:ilvl="0" w:tplc="A3E2B496">
      <w:numFmt w:val="bullet"/>
      <w:lvlText w:val="-"/>
      <w:lvlJc w:val="left"/>
      <w:pPr>
        <w:ind w:left="-981" w:hanging="360"/>
      </w:pPr>
      <w:rPr>
        <w:rFonts w:ascii="Times New Roman" w:eastAsiaTheme="minorHAnsi" w:hAnsi="Times New Roman" w:cs="Times New Roman" w:hint="default"/>
        <w:color w:val="auto"/>
      </w:rPr>
    </w:lvl>
    <w:lvl w:ilvl="1" w:tplc="040C0003" w:tentative="1">
      <w:start w:val="1"/>
      <w:numFmt w:val="bullet"/>
      <w:lvlText w:val="o"/>
      <w:lvlJc w:val="left"/>
      <w:pPr>
        <w:ind w:left="-261" w:hanging="360"/>
      </w:pPr>
      <w:rPr>
        <w:rFonts w:ascii="Courier New" w:hAnsi="Courier New" w:cs="Courier New" w:hint="default"/>
      </w:rPr>
    </w:lvl>
    <w:lvl w:ilvl="2" w:tplc="040C0005" w:tentative="1">
      <w:start w:val="1"/>
      <w:numFmt w:val="bullet"/>
      <w:lvlText w:val=""/>
      <w:lvlJc w:val="left"/>
      <w:pPr>
        <w:ind w:left="459" w:hanging="360"/>
      </w:pPr>
      <w:rPr>
        <w:rFonts w:ascii="Wingdings" w:hAnsi="Wingdings" w:hint="default"/>
      </w:rPr>
    </w:lvl>
    <w:lvl w:ilvl="3" w:tplc="040C0001" w:tentative="1">
      <w:start w:val="1"/>
      <w:numFmt w:val="bullet"/>
      <w:lvlText w:val=""/>
      <w:lvlJc w:val="left"/>
      <w:pPr>
        <w:ind w:left="1179" w:hanging="360"/>
      </w:pPr>
      <w:rPr>
        <w:rFonts w:ascii="Symbol" w:hAnsi="Symbol" w:hint="default"/>
      </w:rPr>
    </w:lvl>
    <w:lvl w:ilvl="4" w:tplc="040C0003" w:tentative="1">
      <w:start w:val="1"/>
      <w:numFmt w:val="bullet"/>
      <w:lvlText w:val="o"/>
      <w:lvlJc w:val="left"/>
      <w:pPr>
        <w:ind w:left="1899" w:hanging="360"/>
      </w:pPr>
      <w:rPr>
        <w:rFonts w:ascii="Courier New" w:hAnsi="Courier New" w:cs="Courier New" w:hint="default"/>
      </w:rPr>
    </w:lvl>
    <w:lvl w:ilvl="5" w:tplc="040C0005" w:tentative="1">
      <w:start w:val="1"/>
      <w:numFmt w:val="bullet"/>
      <w:lvlText w:val=""/>
      <w:lvlJc w:val="left"/>
      <w:pPr>
        <w:ind w:left="2619" w:hanging="360"/>
      </w:pPr>
      <w:rPr>
        <w:rFonts w:ascii="Wingdings" w:hAnsi="Wingdings" w:hint="default"/>
      </w:rPr>
    </w:lvl>
    <w:lvl w:ilvl="6" w:tplc="040C0001" w:tentative="1">
      <w:start w:val="1"/>
      <w:numFmt w:val="bullet"/>
      <w:lvlText w:val=""/>
      <w:lvlJc w:val="left"/>
      <w:pPr>
        <w:ind w:left="3339" w:hanging="360"/>
      </w:pPr>
      <w:rPr>
        <w:rFonts w:ascii="Symbol" w:hAnsi="Symbol" w:hint="default"/>
      </w:rPr>
    </w:lvl>
    <w:lvl w:ilvl="7" w:tplc="040C0003" w:tentative="1">
      <w:start w:val="1"/>
      <w:numFmt w:val="bullet"/>
      <w:lvlText w:val="o"/>
      <w:lvlJc w:val="left"/>
      <w:pPr>
        <w:ind w:left="4059" w:hanging="360"/>
      </w:pPr>
      <w:rPr>
        <w:rFonts w:ascii="Courier New" w:hAnsi="Courier New" w:cs="Courier New" w:hint="default"/>
      </w:rPr>
    </w:lvl>
    <w:lvl w:ilvl="8" w:tplc="040C0005" w:tentative="1">
      <w:start w:val="1"/>
      <w:numFmt w:val="bullet"/>
      <w:lvlText w:val=""/>
      <w:lvlJc w:val="left"/>
      <w:pPr>
        <w:ind w:left="4779" w:hanging="360"/>
      </w:pPr>
      <w:rPr>
        <w:rFonts w:ascii="Wingdings" w:hAnsi="Wingdings" w:hint="default"/>
      </w:rPr>
    </w:lvl>
  </w:abstractNum>
  <w:abstractNum w:abstractNumId="13" w15:restartNumberingAfterBreak="0">
    <w:nsid w:val="5E675934"/>
    <w:multiLevelType w:val="hybridMultilevel"/>
    <w:tmpl w:val="65E2FC16"/>
    <w:lvl w:ilvl="0" w:tplc="937CA444">
      <w:start w:val="17"/>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FFF719C"/>
    <w:multiLevelType w:val="hybridMultilevel"/>
    <w:tmpl w:val="8F9A84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3B90AD4"/>
    <w:multiLevelType w:val="hybridMultilevel"/>
    <w:tmpl w:val="9578BF40"/>
    <w:lvl w:ilvl="0" w:tplc="72D01B48">
      <w:start w:val="1"/>
      <w:numFmt w:val="decimal"/>
      <w:lvlText w:val="%1)"/>
      <w:lvlJc w:val="left"/>
      <w:pPr>
        <w:ind w:left="720" w:hanging="360"/>
      </w:pPr>
      <w:rPr>
        <w:rFonts w:hint="default"/>
        <w:b/>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6AF27A3"/>
    <w:multiLevelType w:val="hybridMultilevel"/>
    <w:tmpl w:val="4798EF9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2AB5853"/>
    <w:multiLevelType w:val="multilevel"/>
    <w:tmpl w:val="4E8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615372">
    <w:abstractNumId w:val="4"/>
  </w:num>
  <w:num w:numId="2" w16cid:durableId="197284700">
    <w:abstractNumId w:val="3"/>
  </w:num>
  <w:num w:numId="3" w16cid:durableId="1421291949">
    <w:abstractNumId w:val="11"/>
  </w:num>
  <w:num w:numId="4" w16cid:durableId="620965938">
    <w:abstractNumId w:val="6"/>
  </w:num>
  <w:num w:numId="5" w16cid:durableId="364209386">
    <w:abstractNumId w:val="16"/>
  </w:num>
  <w:num w:numId="6" w16cid:durableId="813451946">
    <w:abstractNumId w:val="1"/>
  </w:num>
  <w:num w:numId="7" w16cid:durableId="1468938935">
    <w:abstractNumId w:val="10"/>
  </w:num>
  <w:num w:numId="8" w16cid:durableId="992760179">
    <w:abstractNumId w:val="13"/>
  </w:num>
  <w:num w:numId="9" w16cid:durableId="336270971">
    <w:abstractNumId w:val="15"/>
  </w:num>
  <w:num w:numId="10" w16cid:durableId="1907102904">
    <w:abstractNumId w:val="5"/>
  </w:num>
  <w:num w:numId="11" w16cid:durableId="1622372440">
    <w:abstractNumId w:val="0"/>
  </w:num>
  <w:num w:numId="12" w16cid:durableId="815298681">
    <w:abstractNumId w:val="7"/>
  </w:num>
  <w:num w:numId="13" w16cid:durableId="545487406">
    <w:abstractNumId w:val="8"/>
  </w:num>
  <w:num w:numId="14" w16cid:durableId="1049501792">
    <w:abstractNumId w:val="17"/>
  </w:num>
  <w:num w:numId="15" w16cid:durableId="1182084011">
    <w:abstractNumId w:val="14"/>
  </w:num>
  <w:num w:numId="16" w16cid:durableId="680350246">
    <w:abstractNumId w:val="9"/>
  </w:num>
  <w:num w:numId="17" w16cid:durableId="205028155">
    <w:abstractNumId w:val="12"/>
  </w:num>
  <w:num w:numId="18" w16cid:durableId="1811046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ocumentProtection w:edit="readOnly" w:formatting="1" w:enforcement="1" w:cryptProviderType="rsaAES" w:cryptAlgorithmClass="hash" w:cryptAlgorithmType="typeAny" w:cryptAlgorithmSid="14" w:cryptSpinCount="100000" w:hash="GdnFGagBpiCPNuu4C73UYVSA97CA/a18+aqInqLXOVKt3TgoYuvJrBOdgX1a1mYQ9eFi9grf3u/NRKkjUuHrSA==" w:salt="gtDIkdId5oiO/vPWtHh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41"/>
    <w:rsid w:val="000678D8"/>
    <w:rsid w:val="00077940"/>
    <w:rsid w:val="000B1E41"/>
    <w:rsid w:val="001A2B5C"/>
    <w:rsid w:val="0022570B"/>
    <w:rsid w:val="003854E8"/>
    <w:rsid w:val="004A3609"/>
    <w:rsid w:val="00594003"/>
    <w:rsid w:val="005C6473"/>
    <w:rsid w:val="00751DDC"/>
    <w:rsid w:val="008042CA"/>
    <w:rsid w:val="0083621A"/>
    <w:rsid w:val="00880CFD"/>
    <w:rsid w:val="00884C32"/>
    <w:rsid w:val="008C11A4"/>
    <w:rsid w:val="009C4E5F"/>
    <w:rsid w:val="009C782C"/>
    <w:rsid w:val="00A85DDE"/>
    <w:rsid w:val="00A85E1C"/>
    <w:rsid w:val="00CA32B1"/>
    <w:rsid w:val="00CD5D76"/>
    <w:rsid w:val="00CE4869"/>
    <w:rsid w:val="00CE56A2"/>
    <w:rsid w:val="00CE6B72"/>
    <w:rsid w:val="00D06877"/>
    <w:rsid w:val="00DD779D"/>
    <w:rsid w:val="00E549E5"/>
    <w:rsid w:val="00F8040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F0423"/>
  <w15:chartTrackingRefBased/>
  <w15:docId w15:val="{7D8E9775-DAFC-4CFC-A6AB-C58C8F85A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Colorful List Accent 1,t  BASdePAGE,AFM puces,Avenir,Paragraphe de liste (sdt),PUCES,Bullets,List Bulet,AB List 1,Bullet Points,ProcessA,Liste couleur - Accent 14,List Bullet Mary,normal,Normal1,Normal2,Normal3,Normal4,L_4,L"/>
    <w:basedOn w:val="Normal"/>
    <w:link w:val="ListParagraphChar"/>
    <w:uiPriority w:val="34"/>
    <w:qFormat/>
    <w:rsid w:val="000B1E41"/>
    <w:pPr>
      <w:ind w:left="720"/>
      <w:contextualSpacing/>
    </w:pPr>
  </w:style>
  <w:style w:type="paragraph" w:customStyle="1" w:styleId="SingleTxtG">
    <w:name w:val="_ Single Txt_G"/>
    <w:basedOn w:val="Normal"/>
    <w:link w:val="SingleTxtGChar"/>
    <w:qFormat/>
    <w:rsid w:val="000B1E4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0B1E41"/>
    <w:rPr>
      <w:rFonts w:ascii="Times New Roman" w:hAnsi="Times New Roman" w:cs="Times New Roman"/>
      <w:sz w:val="20"/>
      <w:szCs w:val="20"/>
      <w:lang w:val="en-GB"/>
    </w:rPr>
  </w:style>
  <w:style w:type="paragraph" w:styleId="NormalWeb">
    <w:name w:val="Normal (Web)"/>
    <w:basedOn w:val="Normal"/>
    <w:uiPriority w:val="99"/>
    <w:unhideWhenUsed/>
    <w:rsid w:val="008042CA"/>
    <w:pPr>
      <w:spacing w:before="100" w:beforeAutospacing="1" w:after="100" w:afterAutospacing="1" w:line="240" w:lineRule="auto"/>
    </w:pPr>
    <w:rPr>
      <w:rFonts w:ascii="Times New Roman" w:eastAsia="Times New Roman" w:hAnsi="Times New Roman" w:cs="Times New Roman"/>
      <w:sz w:val="24"/>
      <w:szCs w:val="24"/>
      <w:lang w:eastAsia="fr-FR"/>
      <w14:ligatures w14:val="standardContextual"/>
    </w:rPr>
  </w:style>
  <w:style w:type="character" w:customStyle="1" w:styleId="ListParagraphChar">
    <w:name w:val="List Paragraph Char"/>
    <w:aliases w:val="References Char,Colorful List Accent 1 Char,t  BASdePAGE Char,AFM puces Char,Avenir Char,Paragraphe de liste (sdt) Char,PUCES Char,Bullets Char,List Bulet Char,AB List 1 Char,Bullet Points Char,ProcessA Char,List Bullet Mary Char"/>
    <w:link w:val="ListParagraph"/>
    <w:uiPriority w:val="34"/>
    <w:qFormat/>
    <w:locked/>
    <w:rsid w:val="008042CA"/>
  </w:style>
  <w:style w:type="paragraph" w:styleId="NoSpacing">
    <w:name w:val="No Spacing"/>
    <w:uiPriority w:val="1"/>
    <w:qFormat/>
    <w:rsid w:val="008042CA"/>
    <w:pPr>
      <w:spacing w:after="0" w:line="240" w:lineRule="auto"/>
    </w:pPr>
    <w:rPr>
      <w:kern w:val="2"/>
      <w14:ligatures w14:val="standardContextual"/>
    </w:rPr>
  </w:style>
  <w:style w:type="paragraph" w:styleId="Header">
    <w:name w:val="header"/>
    <w:basedOn w:val="Normal"/>
    <w:link w:val="HeaderChar"/>
    <w:uiPriority w:val="99"/>
    <w:unhideWhenUsed/>
    <w:rsid w:val="005940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4003"/>
  </w:style>
  <w:style w:type="paragraph" w:styleId="Footer">
    <w:name w:val="footer"/>
    <w:basedOn w:val="Normal"/>
    <w:link w:val="FooterChar"/>
    <w:uiPriority w:val="99"/>
    <w:unhideWhenUsed/>
    <w:rsid w:val="005940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4003"/>
  </w:style>
  <w:style w:type="character" w:styleId="Strong">
    <w:name w:val="Strong"/>
    <w:basedOn w:val="DefaultParagraphFont"/>
    <w:uiPriority w:val="22"/>
    <w:qFormat/>
    <w:rsid w:val="00CD5D76"/>
    <w:rPr>
      <w:b/>
      <w:bCs/>
    </w:rPr>
  </w:style>
  <w:style w:type="character" w:customStyle="1" w:styleId="mx-05">
    <w:name w:val="mx-0.5"/>
    <w:basedOn w:val="DefaultParagraphFont"/>
    <w:rsid w:val="00CD5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70343">
      <w:bodyDiv w:val="1"/>
      <w:marLeft w:val="0"/>
      <w:marRight w:val="0"/>
      <w:marTop w:val="0"/>
      <w:marBottom w:val="0"/>
      <w:divBdr>
        <w:top w:val="none" w:sz="0" w:space="0" w:color="auto"/>
        <w:left w:val="none" w:sz="0" w:space="0" w:color="auto"/>
        <w:bottom w:val="none" w:sz="0" w:space="0" w:color="auto"/>
        <w:right w:val="none" w:sz="0" w:space="0" w:color="auto"/>
      </w:divBdr>
    </w:div>
    <w:div w:id="157635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2025-04-11T06:52:53+00:00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0769D0-D2D4-4D26-BD46-3799D636839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7CA4D2E7-CA14-424C-B7F1-735FB725E425}">
  <ds:schemaRefs>
    <ds:schemaRef ds:uri="http://schemas.microsoft.com/sharepoint/v3/contenttype/forms"/>
  </ds:schemaRefs>
</ds:datastoreItem>
</file>

<file path=customXml/itemProps3.xml><?xml version="1.0" encoding="utf-8"?>
<ds:datastoreItem xmlns:ds="http://schemas.openxmlformats.org/officeDocument/2006/customXml" ds:itemID="{1D503DF6-8236-4D6B-A6A7-B09372C2A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2230</Words>
  <Characters>12713</Characters>
  <Application>Microsoft Office Word</Application>
  <DocSecurity>8</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Maman Sani DJIBAGE</dc:creator>
  <cp:keywords/>
  <dc:description/>
  <cp:lastModifiedBy>Isabelle Fleche</cp:lastModifiedBy>
  <cp:revision>4</cp:revision>
  <dcterms:created xsi:type="dcterms:W3CDTF">2025-04-10T20:34:00Z</dcterms:created>
  <dcterms:modified xsi:type="dcterms:W3CDTF">2025-04-11T07:15:00Z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