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9F8EE5" w14:textId="0554F9EA" w:rsidR="00674E54" w:rsidRPr="00674E54" w:rsidRDefault="00674E54" w:rsidP="00674E54">
      <w:pPr>
        <w:spacing w:before="240" w:after="240" w:line="276" w:lineRule="auto"/>
        <w:jc w:val="center"/>
        <w:rPr>
          <w:rFonts w:ascii="Arial" w:eastAsia="Arial" w:hAnsi="Arial" w:cs="Arial"/>
          <w:b/>
          <w:bCs/>
          <w:color w:val="000000" w:themeColor="text1"/>
          <w:sz w:val="32"/>
          <w:szCs w:val="32"/>
          <w:u w:val="single"/>
          <w:lang w:val="es-ES" w:eastAsia="es-ES"/>
        </w:rPr>
      </w:pPr>
      <w:r w:rsidRPr="00674E54">
        <w:rPr>
          <w:rFonts w:ascii="Arial" w:eastAsia="Arial" w:hAnsi="Arial" w:cs="Arial"/>
          <w:b/>
          <w:bCs/>
          <w:color w:val="000000" w:themeColor="text1"/>
          <w:sz w:val="32"/>
          <w:szCs w:val="32"/>
          <w:u w:val="single"/>
          <w:lang w:val="es-ES" w:eastAsia="es-ES"/>
        </w:rPr>
        <w:t>Comité de Derechos del Niño</w:t>
      </w:r>
    </w:p>
    <w:p w14:paraId="672E1DF9" w14:textId="77777777" w:rsidR="00674E54" w:rsidRPr="00674E54" w:rsidRDefault="00674E54" w:rsidP="00674E54">
      <w:pPr>
        <w:spacing w:before="240" w:after="240" w:line="276" w:lineRule="auto"/>
        <w:jc w:val="center"/>
        <w:rPr>
          <w:rFonts w:ascii="Arial" w:eastAsia="Arial" w:hAnsi="Arial" w:cs="Arial"/>
          <w:b/>
          <w:bCs/>
          <w:color w:val="000000" w:themeColor="text1"/>
          <w:sz w:val="32"/>
          <w:szCs w:val="32"/>
          <w:u w:val="single"/>
          <w:lang w:val="es-ES" w:eastAsia="es-ES"/>
        </w:rPr>
      </w:pPr>
      <w:r w:rsidRPr="00674E54">
        <w:rPr>
          <w:rFonts w:ascii="Arial" w:eastAsia="Arial" w:hAnsi="Arial" w:cs="Arial"/>
          <w:b/>
          <w:bCs/>
          <w:color w:val="000000" w:themeColor="text1"/>
          <w:sz w:val="32"/>
          <w:szCs w:val="32"/>
          <w:u w:val="single"/>
          <w:lang w:val="es-ES" w:eastAsia="es-ES"/>
        </w:rPr>
        <w:t xml:space="preserve">Sesión 77 </w:t>
      </w:r>
    </w:p>
    <w:p w14:paraId="2119D18D" w14:textId="77777777" w:rsidR="00674E54" w:rsidRPr="00674E54" w:rsidRDefault="00674E54" w:rsidP="00674E54">
      <w:pPr>
        <w:spacing w:before="240" w:after="240" w:line="276" w:lineRule="auto"/>
        <w:jc w:val="center"/>
        <w:rPr>
          <w:rFonts w:ascii="Arial" w:eastAsia="Arial" w:hAnsi="Arial" w:cs="Arial"/>
          <w:b/>
          <w:bCs/>
          <w:color w:val="000000" w:themeColor="text1"/>
          <w:sz w:val="32"/>
          <w:szCs w:val="32"/>
          <w:u w:val="single"/>
          <w:lang w:val="es-ES" w:eastAsia="es-ES"/>
        </w:rPr>
      </w:pPr>
    </w:p>
    <w:p w14:paraId="1D3024BE" w14:textId="335F6A19" w:rsidR="00674E54" w:rsidRPr="00674E54" w:rsidRDefault="00674E54" w:rsidP="00674E54">
      <w:pPr>
        <w:spacing w:before="240" w:after="240" w:line="276" w:lineRule="auto"/>
        <w:jc w:val="center"/>
        <w:rPr>
          <w:rFonts w:ascii="Arial" w:eastAsia="Arial" w:hAnsi="Arial" w:cs="Arial"/>
          <w:b/>
          <w:bCs/>
          <w:color w:val="000000" w:themeColor="text1"/>
          <w:sz w:val="32"/>
          <w:szCs w:val="32"/>
          <w:u w:val="single"/>
          <w:lang w:val="es-ES" w:eastAsia="es-ES"/>
        </w:rPr>
      </w:pPr>
      <w:r w:rsidRPr="00674E54">
        <w:rPr>
          <w:rFonts w:ascii="Arial" w:eastAsia="Arial" w:hAnsi="Arial" w:cs="Arial"/>
          <w:b/>
          <w:bCs/>
          <w:color w:val="000000" w:themeColor="text1"/>
          <w:sz w:val="32"/>
          <w:szCs w:val="32"/>
          <w:u w:val="single"/>
          <w:lang w:val="es-ES" w:eastAsia="es-ES"/>
        </w:rPr>
        <w:t xml:space="preserve">Informe Alternativo para la evaluación de Panamá </w:t>
      </w:r>
    </w:p>
    <w:p w14:paraId="6E760BEF" w14:textId="77777777" w:rsidR="00674E54" w:rsidRPr="00674E54" w:rsidRDefault="00674E54" w:rsidP="00674E54">
      <w:pPr>
        <w:spacing w:before="240" w:after="240" w:line="276" w:lineRule="auto"/>
        <w:jc w:val="center"/>
        <w:rPr>
          <w:rFonts w:ascii="Arial" w:eastAsia="Arial" w:hAnsi="Arial" w:cs="Arial"/>
          <w:b/>
          <w:bCs/>
          <w:color w:val="000000" w:themeColor="text1"/>
          <w:sz w:val="32"/>
          <w:szCs w:val="32"/>
          <w:u w:val="single"/>
          <w:lang w:val="es-ES" w:eastAsia="es-ES"/>
        </w:rPr>
      </w:pPr>
    </w:p>
    <w:p w14:paraId="706F3965" w14:textId="77777777" w:rsidR="00674E54" w:rsidRPr="00674E54" w:rsidRDefault="00674E54" w:rsidP="00674E54">
      <w:pPr>
        <w:spacing w:before="240" w:after="240" w:line="276" w:lineRule="auto"/>
        <w:jc w:val="center"/>
        <w:rPr>
          <w:rFonts w:ascii="Arial" w:eastAsia="Arial" w:hAnsi="Arial" w:cs="Arial"/>
          <w:b/>
          <w:bCs/>
          <w:color w:val="000000" w:themeColor="text1"/>
          <w:sz w:val="32"/>
          <w:szCs w:val="32"/>
          <w:u w:val="single"/>
          <w:lang w:val="es-ES" w:eastAsia="es-ES"/>
        </w:rPr>
      </w:pPr>
      <w:r w:rsidRPr="00674E54">
        <w:rPr>
          <w:rFonts w:ascii="Arial" w:eastAsia="Arial" w:hAnsi="Arial" w:cs="Arial"/>
          <w:b/>
          <w:bCs/>
          <w:color w:val="000000" w:themeColor="text1"/>
          <w:sz w:val="32"/>
          <w:szCs w:val="32"/>
          <w:u w:val="single"/>
          <w:lang w:val="es-ES" w:eastAsia="es-ES"/>
        </w:rPr>
        <w:t xml:space="preserve">La situación de los niños, niñas y adolescentes en zonas rurales: </w:t>
      </w:r>
    </w:p>
    <w:p w14:paraId="41B4BB46" w14:textId="56689625" w:rsidR="00674E54" w:rsidRDefault="00674E54" w:rsidP="00674E54">
      <w:pPr>
        <w:spacing w:before="240" w:after="240" w:line="276" w:lineRule="auto"/>
        <w:jc w:val="center"/>
        <w:rPr>
          <w:rFonts w:ascii="Arial" w:eastAsia="Arial" w:hAnsi="Arial" w:cs="Arial"/>
          <w:b/>
          <w:bCs/>
          <w:color w:val="000000" w:themeColor="text1"/>
          <w:sz w:val="32"/>
          <w:szCs w:val="32"/>
          <w:u w:val="single"/>
          <w:lang w:val="es-ES" w:eastAsia="es-ES"/>
        </w:rPr>
      </w:pPr>
      <w:r w:rsidRPr="00674E54">
        <w:rPr>
          <w:rFonts w:ascii="Arial" w:eastAsia="Arial" w:hAnsi="Arial" w:cs="Arial"/>
          <w:b/>
          <w:bCs/>
          <w:color w:val="000000" w:themeColor="text1"/>
          <w:sz w:val="32"/>
          <w:szCs w:val="32"/>
          <w:u w:val="single"/>
          <w:lang w:val="es-ES" w:eastAsia="es-ES"/>
        </w:rPr>
        <w:t>El caso de la Comunidad d</w:t>
      </w:r>
      <w:r>
        <w:rPr>
          <w:rFonts w:ascii="Arial" w:eastAsia="Arial" w:hAnsi="Arial" w:cs="Arial"/>
          <w:b/>
          <w:bCs/>
          <w:color w:val="000000" w:themeColor="text1"/>
          <w:sz w:val="32"/>
          <w:szCs w:val="32"/>
          <w:u w:val="single"/>
          <w:lang w:val="es-ES" w:eastAsia="es-ES"/>
        </w:rPr>
        <w:t>e</w:t>
      </w:r>
      <w:r w:rsidRPr="00674E54">
        <w:rPr>
          <w:rFonts w:ascii="Arial" w:eastAsia="Arial" w:hAnsi="Arial" w:cs="Arial"/>
          <w:b/>
          <w:bCs/>
          <w:color w:val="000000" w:themeColor="text1"/>
          <w:sz w:val="32"/>
          <w:szCs w:val="32"/>
          <w:u w:val="single"/>
          <w:lang w:val="es-ES" w:eastAsia="es-ES"/>
        </w:rPr>
        <w:t xml:space="preserve">l </w:t>
      </w:r>
      <w:proofErr w:type="spellStart"/>
      <w:r w:rsidRPr="00674E54">
        <w:rPr>
          <w:rFonts w:ascii="Arial" w:eastAsia="Arial" w:hAnsi="Arial" w:cs="Arial"/>
          <w:b/>
          <w:bCs/>
          <w:color w:val="000000" w:themeColor="text1"/>
          <w:sz w:val="32"/>
          <w:szCs w:val="32"/>
          <w:u w:val="single"/>
          <w:lang w:val="es-ES" w:eastAsia="es-ES"/>
        </w:rPr>
        <w:t>Harino</w:t>
      </w:r>
      <w:proofErr w:type="spellEnd"/>
    </w:p>
    <w:p w14:paraId="28042BC6" w14:textId="77777777" w:rsidR="00674E54" w:rsidRDefault="00674E54" w:rsidP="00674E54">
      <w:pPr>
        <w:spacing w:before="240" w:after="240" w:line="276" w:lineRule="auto"/>
        <w:jc w:val="center"/>
        <w:rPr>
          <w:rFonts w:ascii="Arial" w:eastAsia="Arial" w:hAnsi="Arial" w:cs="Arial"/>
          <w:b/>
          <w:bCs/>
          <w:color w:val="000000" w:themeColor="text1"/>
          <w:sz w:val="32"/>
          <w:szCs w:val="32"/>
          <w:u w:val="single"/>
          <w:lang w:val="es-ES" w:eastAsia="es-ES"/>
        </w:rPr>
      </w:pPr>
    </w:p>
    <w:p w14:paraId="43101363" w14:textId="5AC4893E" w:rsidR="00674E54" w:rsidRPr="00674E54" w:rsidRDefault="00674E54" w:rsidP="00674E54">
      <w:pPr>
        <w:spacing w:before="240" w:after="240" w:line="276" w:lineRule="auto"/>
        <w:jc w:val="center"/>
        <w:rPr>
          <w:rFonts w:ascii="Arial" w:eastAsia="Arial" w:hAnsi="Arial" w:cs="Arial"/>
          <w:b/>
          <w:bCs/>
          <w:color w:val="000000" w:themeColor="text1"/>
          <w:sz w:val="32"/>
          <w:szCs w:val="32"/>
          <w:u w:val="single"/>
          <w:lang w:val="es-ES" w:eastAsia="es-ES"/>
        </w:rPr>
      </w:pPr>
      <w:r>
        <w:rPr>
          <w:rFonts w:ascii="Arial" w:eastAsia="Arial" w:hAnsi="Arial" w:cs="Arial"/>
          <w:b/>
          <w:bCs/>
          <w:color w:val="000000" w:themeColor="text1"/>
          <w:sz w:val="32"/>
          <w:szCs w:val="32"/>
          <w:u w:val="single"/>
          <w:lang w:val="es-ES" w:eastAsia="es-ES"/>
        </w:rPr>
        <w:t>Enero 2017</w:t>
      </w:r>
    </w:p>
    <w:p w14:paraId="65D65941" w14:textId="211BC045" w:rsidR="00674E54" w:rsidRDefault="00674E54" w:rsidP="00674E54">
      <w:pPr>
        <w:jc w:val="center"/>
        <w:rPr>
          <w:rFonts w:ascii="Arial" w:eastAsia="Arial" w:hAnsi="Arial" w:cs="Arial"/>
          <w:b/>
          <w:bCs/>
          <w:color w:val="000000" w:themeColor="text1"/>
          <w:sz w:val="22"/>
          <w:szCs w:val="22"/>
          <w:lang w:val="es-ES" w:eastAsia="es-ES"/>
        </w:rPr>
      </w:pPr>
      <w:r w:rsidRPr="00170895">
        <w:rPr>
          <w:rFonts w:ascii="Times New Roman" w:hAnsi="Times New Roman" w:cs="Times New Roman"/>
          <w:noProof/>
          <w:lang w:eastAsia="en-GB"/>
        </w:rPr>
        <w:drawing>
          <wp:inline distT="0" distB="0" distL="0" distR="0" wp14:anchorId="40ABEA89" wp14:editId="22166AF0">
            <wp:extent cx="3116753" cy="2960370"/>
            <wp:effectExtent l="0" t="0" r="762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25316" cy="2968504"/>
                    </a:xfrm>
                    <a:prstGeom prst="rect">
                      <a:avLst/>
                    </a:prstGeom>
                    <a:noFill/>
                    <a:ln>
                      <a:noFill/>
                    </a:ln>
                  </pic:spPr>
                </pic:pic>
              </a:graphicData>
            </a:graphic>
          </wp:inline>
        </w:drawing>
      </w:r>
      <w:r>
        <w:rPr>
          <w:rFonts w:ascii="Arial" w:eastAsia="Arial" w:hAnsi="Arial" w:cs="Arial"/>
          <w:b/>
          <w:bCs/>
          <w:color w:val="000000" w:themeColor="text1"/>
          <w:sz w:val="22"/>
          <w:szCs w:val="22"/>
          <w:lang w:val="es-ES" w:eastAsia="es-ES"/>
        </w:rPr>
        <w:br w:type="page"/>
      </w:r>
    </w:p>
    <w:p w14:paraId="1158FA58" w14:textId="65255FBA" w:rsidR="00674E54" w:rsidRPr="00674E54" w:rsidRDefault="00674E54" w:rsidP="00674E54">
      <w:pPr>
        <w:spacing w:before="240" w:after="240" w:line="276" w:lineRule="auto"/>
        <w:jc w:val="both"/>
        <w:rPr>
          <w:rFonts w:ascii="Arial" w:eastAsia="Arial" w:hAnsi="Arial" w:cs="Arial"/>
          <w:b/>
          <w:bCs/>
          <w:color w:val="000000" w:themeColor="text1"/>
          <w:sz w:val="22"/>
          <w:szCs w:val="22"/>
          <w:lang w:val="es-GT" w:eastAsia="es-ES"/>
        </w:rPr>
      </w:pPr>
      <w:r w:rsidRPr="37E26D7F">
        <w:rPr>
          <w:rFonts w:ascii="Arial" w:eastAsia="Arial" w:hAnsi="Arial" w:cs="Arial"/>
          <w:b/>
          <w:bCs/>
          <w:color w:val="000000" w:themeColor="text1"/>
          <w:sz w:val="22"/>
          <w:szCs w:val="22"/>
          <w:lang w:val="es-ES" w:eastAsia="es-ES"/>
        </w:rPr>
        <w:lastRenderedPageBreak/>
        <w:t>El informe es presentado por:</w:t>
      </w:r>
    </w:p>
    <w:p w14:paraId="1D88CF86"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37E26D7F">
        <w:rPr>
          <w:rFonts w:ascii="Arial" w:eastAsia="Arial" w:hAnsi="Arial" w:cs="Arial"/>
          <w:b/>
          <w:bCs/>
          <w:color w:val="000000" w:themeColor="text1"/>
          <w:sz w:val="22"/>
          <w:szCs w:val="22"/>
          <w:lang w:val="es-ES" w:eastAsia="es-ES"/>
        </w:rPr>
        <w:t>Profesor Giovanny Miranda:</w:t>
      </w:r>
      <w:r w:rsidRPr="37E26D7F">
        <w:rPr>
          <w:rFonts w:ascii="Arial" w:eastAsia="Arial" w:hAnsi="Arial" w:cs="Arial"/>
          <w:color w:val="000000" w:themeColor="text1"/>
          <w:sz w:val="22"/>
          <w:szCs w:val="22"/>
          <w:lang w:val="es-ES" w:eastAsia="es-ES"/>
        </w:rPr>
        <w:t xml:space="preserve"> El profesor tiene 20 años de experiencia trabajando con diversas comunidades del Distrito de </w:t>
      </w:r>
      <w:proofErr w:type="spellStart"/>
      <w:r w:rsidRPr="37E26D7F">
        <w:rPr>
          <w:rFonts w:ascii="Arial" w:eastAsia="Arial" w:hAnsi="Arial" w:cs="Arial"/>
          <w:color w:val="000000" w:themeColor="text1"/>
          <w:sz w:val="22"/>
          <w:szCs w:val="22"/>
          <w:lang w:val="es-ES" w:eastAsia="es-ES"/>
        </w:rPr>
        <w:t>Capira</w:t>
      </w:r>
      <w:proofErr w:type="spellEnd"/>
      <w:r w:rsidRPr="37E26D7F">
        <w:rPr>
          <w:rFonts w:ascii="Arial" w:eastAsia="Arial" w:hAnsi="Arial" w:cs="Arial"/>
          <w:color w:val="000000" w:themeColor="text1"/>
          <w:sz w:val="22"/>
          <w:szCs w:val="22"/>
          <w:lang w:val="es-ES" w:eastAsia="es-ES"/>
        </w:rPr>
        <w:t xml:space="preserve"> como activista voluntario en temas de pobreza rural y desarrollo comunitario. Inició su labor través de la iglesia, para luego continuar trabajando de manera individual. Desde el año 2015, junto con un grupo de personas comprometidas con la causa formativa de los ciudadanos, creó la ONG Independientes por Panamá. Esta ONG busca empoderar a los ciudadanos con perfil de liderazgo en las comunidades con los conocimientos necesarios para que puedan accionar positivamente en su entorno y articular con los principales actores de su gobierno local a fin de darle solución a problemas sociales recurrentes en relación con educación, desarrollo comunitario y salud.</w:t>
      </w:r>
    </w:p>
    <w:p w14:paraId="248DFB15" w14:textId="77777777" w:rsidR="00674E54" w:rsidRDefault="00674E54" w:rsidP="00674E54">
      <w:pPr>
        <w:jc w:val="both"/>
        <w:rPr>
          <w:rFonts w:ascii="Arial" w:eastAsia="Arial" w:hAnsi="Arial" w:cs="Arial"/>
          <w:sz w:val="22"/>
          <w:szCs w:val="22"/>
          <w:lang w:val="es"/>
        </w:rPr>
      </w:pPr>
      <w:r w:rsidRPr="37E26D7F">
        <w:rPr>
          <w:rFonts w:ascii="Arial" w:eastAsia="Arial" w:hAnsi="Arial" w:cs="Arial"/>
          <w:b/>
          <w:bCs/>
          <w:sz w:val="22"/>
          <w:szCs w:val="22"/>
          <w:lang w:val="es"/>
        </w:rPr>
        <w:t>Red Internacional de Derechos Humanos (RIDH)</w:t>
      </w:r>
      <w:r w:rsidRPr="37E26D7F">
        <w:rPr>
          <w:rStyle w:val="FootnoteReference"/>
          <w:rFonts w:ascii="Arial" w:eastAsia="Arial" w:hAnsi="Arial" w:cs="Arial"/>
          <w:b/>
          <w:bCs/>
          <w:sz w:val="22"/>
          <w:szCs w:val="22"/>
          <w:lang w:val="es"/>
        </w:rPr>
        <w:footnoteReference w:id="1"/>
      </w:r>
      <w:r w:rsidRPr="37E26D7F">
        <w:rPr>
          <w:rFonts w:ascii="Arial" w:eastAsia="Arial" w:hAnsi="Arial" w:cs="Arial"/>
          <w:b/>
          <w:bCs/>
          <w:sz w:val="22"/>
          <w:szCs w:val="22"/>
          <w:lang w:val="es"/>
        </w:rPr>
        <w:t xml:space="preserve">: </w:t>
      </w:r>
      <w:r w:rsidRPr="37E26D7F">
        <w:rPr>
          <w:rFonts w:ascii="Arial" w:eastAsia="Arial" w:hAnsi="Arial" w:cs="Arial"/>
          <w:sz w:val="22"/>
          <w:szCs w:val="22"/>
          <w:lang w:val="es"/>
        </w:rPr>
        <w:t xml:space="preserve">Organización no gubernamental con sede en Ginebra-Suiza que contribuye al fortalecimiento de las capacidades de los actores vinculados a la promoción y protección de los derechos humanos proporcionando información, análisis y apoyo técnico en los procesos en que éstos participen. Realizan una labor de intermediación en procesos de incidencia y diálogo que tengan como fin la realización de los derechos humanos en un contexto determinado. </w:t>
      </w:r>
    </w:p>
    <w:p w14:paraId="281D20C2" w14:textId="77777777" w:rsidR="00674E54" w:rsidRDefault="00674E54">
      <w:pPr>
        <w:rPr>
          <w:rFonts w:ascii="Arial" w:eastAsia="Arial" w:hAnsi="Arial" w:cs="Arial"/>
          <w:b/>
          <w:bCs/>
          <w:color w:val="000000" w:themeColor="text1"/>
          <w:sz w:val="22"/>
          <w:szCs w:val="22"/>
          <w:lang w:val="es-ES" w:eastAsia="es-ES"/>
        </w:rPr>
      </w:pPr>
      <w:r>
        <w:rPr>
          <w:rFonts w:ascii="Arial" w:eastAsia="Arial" w:hAnsi="Arial" w:cs="Arial"/>
          <w:b/>
          <w:bCs/>
          <w:color w:val="000000" w:themeColor="text1"/>
          <w:sz w:val="22"/>
          <w:szCs w:val="22"/>
          <w:lang w:val="es-ES" w:eastAsia="es-ES"/>
        </w:rPr>
        <w:br w:type="page"/>
      </w:r>
    </w:p>
    <w:p w14:paraId="058D2557" w14:textId="28503565" w:rsidR="00674E54" w:rsidRPr="00674E54" w:rsidRDefault="00674E54" w:rsidP="00674E54">
      <w:pPr>
        <w:spacing w:before="240" w:after="240" w:line="276" w:lineRule="auto"/>
        <w:jc w:val="both"/>
        <w:rPr>
          <w:rFonts w:ascii="Arial" w:eastAsia="Arial" w:hAnsi="Arial" w:cs="Arial"/>
          <w:b/>
          <w:bCs/>
          <w:color w:val="000000" w:themeColor="text1"/>
          <w:sz w:val="22"/>
          <w:szCs w:val="22"/>
          <w:lang w:val="es-GT" w:eastAsia="es-ES"/>
        </w:rPr>
      </w:pPr>
      <w:r w:rsidRPr="37E26D7F">
        <w:rPr>
          <w:rFonts w:ascii="Arial" w:eastAsia="Arial" w:hAnsi="Arial" w:cs="Arial"/>
          <w:b/>
          <w:bCs/>
          <w:color w:val="000000" w:themeColor="text1"/>
          <w:sz w:val="22"/>
          <w:szCs w:val="22"/>
          <w:lang w:val="es-ES" w:eastAsia="es-ES"/>
        </w:rPr>
        <w:t>Introducción</w:t>
      </w:r>
    </w:p>
    <w:p w14:paraId="12DE2AA3" w14:textId="77777777" w:rsidR="00674E54" w:rsidRPr="00CC1D31" w:rsidRDefault="00674E54" w:rsidP="00674E54">
      <w:pPr>
        <w:spacing w:before="240" w:after="240" w:line="276" w:lineRule="auto"/>
        <w:jc w:val="both"/>
        <w:rPr>
          <w:rFonts w:ascii="Arial" w:eastAsia="Arial" w:hAnsi="Arial" w:cs="Arial"/>
          <w:sz w:val="22"/>
          <w:szCs w:val="22"/>
          <w:lang w:val="es-PA"/>
        </w:rPr>
      </w:pPr>
      <w:r w:rsidRPr="37E26D7F">
        <w:rPr>
          <w:rFonts w:ascii="Arial" w:eastAsia="Arial" w:hAnsi="Arial" w:cs="Arial"/>
          <w:color w:val="000000" w:themeColor="text1"/>
          <w:sz w:val="22"/>
          <w:szCs w:val="22"/>
          <w:lang w:val="es-ES" w:eastAsia="es-ES"/>
        </w:rPr>
        <w:t xml:space="preserve">Alrededor del 27.7% de la población panameña vive en áreas rurales. Muchas de estas comunidades se enfrentan a altos índices de pobreza y no reciben la atención adecuada por parte del Estado. </w:t>
      </w:r>
      <w:r w:rsidRPr="37E26D7F">
        <w:rPr>
          <w:rFonts w:ascii="Arial" w:eastAsia="Arial" w:hAnsi="Arial" w:cs="Arial"/>
          <w:sz w:val="22"/>
          <w:szCs w:val="22"/>
          <w:lang w:val="es-PA"/>
        </w:rPr>
        <w:t xml:space="preserve">El Distrito de Capira tiene una población que ronda los 37,000 habitantes (según censo 2010) y está constituido por 13 corregimientos, de los cuales siete se encuentran en áreas de difícil acceso y presentan condiciones de pobreza y sub desarrollo. </w:t>
      </w:r>
    </w:p>
    <w:p w14:paraId="7016733F"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37E26D7F">
        <w:rPr>
          <w:rFonts w:ascii="Arial" w:eastAsia="Arial" w:hAnsi="Arial" w:cs="Arial"/>
          <w:color w:val="000000" w:themeColor="text1"/>
          <w:sz w:val="22"/>
          <w:szCs w:val="22"/>
          <w:lang w:val="es-ES" w:eastAsia="es-ES"/>
        </w:rPr>
        <w:t xml:space="preserve">El presente informe tiene por objetivo ilustrar el caso de la comunidad del </w:t>
      </w:r>
      <w:proofErr w:type="spellStart"/>
      <w:r w:rsidRPr="37E26D7F">
        <w:rPr>
          <w:rFonts w:ascii="Arial" w:eastAsia="Arial" w:hAnsi="Arial" w:cs="Arial"/>
          <w:color w:val="000000" w:themeColor="text1"/>
          <w:sz w:val="22"/>
          <w:szCs w:val="22"/>
          <w:lang w:val="es-ES" w:eastAsia="es-ES"/>
        </w:rPr>
        <w:t>Harino</w:t>
      </w:r>
      <w:proofErr w:type="spellEnd"/>
      <w:r w:rsidRPr="37E26D7F">
        <w:rPr>
          <w:rFonts w:ascii="Arial" w:eastAsia="Arial" w:hAnsi="Arial" w:cs="Arial"/>
          <w:color w:val="000000" w:themeColor="text1"/>
          <w:sz w:val="22"/>
          <w:szCs w:val="22"/>
          <w:lang w:val="es-ES" w:eastAsia="es-ES"/>
        </w:rPr>
        <w:t xml:space="preserve"> del corregimiento de </w:t>
      </w:r>
      <w:proofErr w:type="spellStart"/>
      <w:r w:rsidRPr="37E26D7F">
        <w:rPr>
          <w:rFonts w:ascii="Arial" w:eastAsia="Arial" w:hAnsi="Arial" w:cs="Arial"/>
          <w:color w:val="000000" w:themeColor="text1"/>
          <w:sz w:val="22"/>
          <w:szCs w:val="22"/>
          <w:lang w:val="es-ES" w:eastAsia="es-ES"/>
        </w:rPr>
        <w:t>Ciri</w:t>
      </w:r>
      <w:proofErr w:type="spellEnd"/>
      <w:r w:rsidRPr="37E26D7F">
        <w:rPr>
          <w:rFonts w:ascii="Arial" w:eastAsia="Arial" w:hAnsi="Arial" w:cs="Arial"/>
          <w:color w:val="000000" w:themeColor="text1"/>
          <w:sz w:val="22"/>
          <w:szCs w:val="22"/>
          <w:lang w:val="es-ES" w:eastAsia="es-ES"/>
        </w:rPr>
        <w:t xml:space="preserve"> Grande en el Distrito de </w:t>
      </w:r>
      <w:proofErr w:type="spellStart"/>
      <w:r w:rsidRPr="37E26D7F">
        <w:rPr>
          <w:rFonts w:ascii="Arial" w:eastAsia="Arial" w:hAnsi="Arial" w:cs="Arial"/>
          <w:color w:val="000000" w:themeColor="text1"/>
          <w:sz w:val="22"/>
          <w:szCs w:val="22"/>
          <w:lang w:val="es-ES" w:eastAsia="es-ES"/>
        </w:rPr>
        <w:t>Capira</w:t>
      </w:r>
      <w:proofErr w:type="spellEnd"/>
      <w:r w:rsidRPr="37E26D7F">
        <w:rPr>
          <w:rFonts w:ascii="Arial" w:eastAsia="Arial" w:hAnsi="Arial" w:cs="Arial"/>
          <w:color w:val="000000" w:themeColor="text1"/>
          <w:sz w:val="22"/>
          <w:szCs w:val="22"/>
          <w:lang w:val="es-ES" w:eastAsia="es-ES"/>
        </w:rPr>
        <w:t xml:space="preserve">, el cual es representativo del resto de </w:t>
      </w:r>
      <w:proofErr w:type="spellStart"/>
      <w:r w:rsidRPr="37E26D7F">
        <w:rPr>
          <w:rFonts w:ascii="Arial" w:eastAsia="Arial" w:hAnsi="Arial" w:cs="Arial"/>
          <w:color w:val="000000" w:themeColor="text1"/>
          <w:sz w:val="22"/>
          <w:szCs w:val="22"/>
          <w:lang w:val="es-ES" w:eastAsia="es-ES"/>
        </w:rPr>
        <w:t>Capira</w:t>
      </w:r>
      <w:proofErr w:type="spellEnd"/>
      <w:r w:rsidRPr="37E26D7F">
        <w:rPr>
          <w:rFonts w:ascii="Arial" w:eastAsia="Arial" w:hAnsi="Arial" w:cs="Arial"/>
          <w:color w:val="000000" w:themeColor="text1"/>
          <w:sz w:val="22"/>
          <w:szCs w:val="22"/>
          <w:lang w:val="es-ES" w:eastAsia="es-ES"/>
        </w:rPr>
        <w:t xml:space="preserve"> y del resto de comunidades en área rural que comparten condiciones similares.</w:t>
      </w:r>
    </w:p>
    <w:p w14:paraId="75E61F54" w14:textId="77777777" w:rsidR="00674E54" w:rsidRPr="00674E54" w:rsidRDefault="00674E54" w:rsidP="00674E54">
      <w:pPr>
        <w:spacing w:before="240" w:after="240" w:line="276" w:lineRule="auto"/>
        <w:outlineLvl w:val="0"/>
        <w:rPr>
          <w:rFonts w:ascii="Arial" w:eastAsia="Arial" w:hAnsi="Arial" w:cs="Arial"/>
          <w:b/>
          <w:bCs/>
          <w:sz w:val="22"/>
          <w:szCs w:val="22"/>
          <w:lang w:val="es-GT"/>
        </w:rPr>
      </w:pPr>
    </w:p>
    <w:p w14:paraId="184CDD64" w14:textId="77777777" w:rsidR="00674E54" w:rsidRPr="00674E54" w:rsidRDefault="00674E54" w:rsidP="00674E54">
      <w:pPr>
        <w:spacing w:before="240" w:after="240" w:line="276" w:lineRule="auto"/>
        <w:jc w:val="both"/>
        <w:outlineLvl w:val="0"/>
        <w:rPr>
          <w:rFonts w:ascii="Arial" w:eastAsia="Arial" w:hAnsi="Arial" w:cs="Arial"/>
          <w:b/>
          <w:bCs/>
          <w:sz w:val="22"/>
          <w:szCs w:val="22"/>
          <w:lang w:val="es-GT"/>
        </w:rPr>
      </w:pPr>
      <w:r w:rsidRPr="00674E54">
        <w:rPr>
          <w:rFonts w:ascii="Arial" w:eastAsia="Arial" w:hAnsi="Arial" w:cs="Arial"/>
          <w:b/>
          <w:bCs/>
          <w:sz w:val="22"/>
          <w:szCs w:val="22"/>
          <w:lang w:val="es-GT"/>
        </w:rPr>
        <w:t>Salud</w:t>
      </w:r>
    </w:p>
    <w:p w14:paraId="57D6132D" w14:textId="77777777" w:rsidR="00674E54" w:rsidRPr="00674E54" w:rsidRDefault="00674E54" w:rsidP="00674E54">
      <w:pPr>
        <w:spacing w:before="240" w:after="240" w:line="276" w:lineRule="auto"/>
        <w:rPr>
          <w:rFonts w:ascii="Arial" w:eastAsia="Arial" w:hAnsi="Arial" w:cs="Arial"/>
          <w:color w:val="000000" w:themeColor="text1"/>
          <w:sz w:val="22"/>
          <w:szCs w:val="22"/>
          <w:lang w:val="es-GT" w:eastAsia="es-ES"/>
        </w:rPr>
      </w:pPr>
      <w:r w:rsidRPr="00674E54">
        <w:rPr>
          <w:rFonts w:ascii="Arial" w:eastAsia="Arial" w:hAnsi="Arial" w:cs="Arial"/>
          <w:color w:val="000000" w:themeColor="text1"/>
          <w:sz w:val="22"/>
          <w:szCs w:val="22"/>
          <w:lang w:val="es-GT" w:eastAsia="es-ES"/>
        </w:rPr>
        <w:t>El artículo 24 de la Convención de Derechos del Niño estipula lo siguiente:</w:t>
      </w:r>
    </w:p>
    <w:p w14:paraId="4AAA9AFC" w14:textId="77777777" w:rsidR="00674E54" w:rsidRPr="00674E54" w:rsidRDefault="00674E54" w:rsidP="00674E54">
      <w:pPr>
        <w:spacing w:before="240" w:after="240" w:line="276" w:lineRule="auto"/>
        <w:jc w:val="both"/>
        <w:rPr>
          <w:rFonts w:ascii="Arial" w:eastAsia="Times New Roman" w:hAnsi="Arial" w:cs="Arial"/>
          <w:color w:val="000000" w:themeColor="text1"/>
          <w:sz w:val="20"/>
          <w:szCs w:val="20"/>
          <w:lang w:val="es-GT" w:eastAsia="es-ES"/>
        </w:rPr>
      </w:pPr>
      <w:r w:rsidRPr="00674E54">
        <w:rPr>
          <w:rFonts w:ascii="Arial" w:eastAsia="Times New Roman" w:hAnsi="Arial" w:cs="Arial"/>
          <w:i/>
          <w:iCs/>
          <w:color w:val="000000" w:themeColor="text1"/>
          <w:sz w:val="20"/>
          <w:szCs w:val="20"/>
          <w:lang w:val="es-GT" w:eastAsia="es-ES"/>
        </w:rPr>
        <w:t>"</w:t>
      </w:r>
      <w:r w:rsidRPr="37E26D7F">
        <w:rPr>
          <w:rFonts w:ascii="Arial" w:hAnsi="Arial" w:cs="Arial"/>
          <w:i/>
          <w:iCs/>
          <w:color w:val="000000" w:themeColor="text1"/>
          <w:sz w:val="20"/>
          <w:szCs w:val="20"/>
          <w:lang w:val="es-ES" w:eastAsia="en-GB"/>
        </w:rPr>
        <w:t>Los Estados Partes reconocen el derecho del niño al disfrute del más alto nivel posible de salud y a servicios para el tratamiento de las enfermedades y la rehabilitación de la salud. Los Estados Partes se esforzarán por asegurar que ningún niño sea privado de su derecho al disfrute de esos servicios sanitarios."</w:t>
      </w:r>
      <w:r w:rsidRPr="37E26D7F">
        <w:rPr>
          <w:rFonts w:ascii="Arial" w:hAnsi="Arial" w:cs="Arial"/>
          <w:color w:val="000000" w:themeColor="text1"/>
          <w:sz w:val="20"/>
          <w:szCs w:val="20"/>
          <w:lang w:val="es-ES" w:eastAsia="en-GB"/>
        </w:rPr>
        <w:t xml:space="preserve"> (</w:t>
      </w:r>
      <w:r w:rsidRPr="00674E54">
        <w:rPr>
          <w:rFonts w:ascii="Arial" w:eastAsia="Times New Roman" w:hAnsi="Arial" w:cs="Arial"/>
          <w:color w:val="000000" w:themeColor="text1"/>
          <w:sz w:val="20"/>
          <w:szCs w:val="20"/>
          <w:lang w:val="es-GT" w:eastAsia="es-ES"/>
        </w:rPr>
        <w:t>párr. 1)</w:t>
      </w:r>
    </w:p>
    <w:p w14:paraId="0E089622" w14:textId="77777777" w:rsidR="00674E54" w:rsidRPr="00674E54" w:rsidRDefault="00674E54" w:rsidP="00674E54">
      <w:pPr>
        <w:spacing w:before="240" w:after="240" w:line="276" w:lineRule="auto"/>
        <w:jc w:val="both"/>
        <w:rPr>
          <w:rFonts w:ascii="Arial" w:hAnsi="Arial" w:cs="Arial"/>
          <w:color w:val="000000" w:themeColor="text1"/>
          <w:sz w:val="22"/>
          <w:szCs w:val="22"/>
          <w:lang w:val="es-GT" w:eastAsia="en-GB"/>
        </w:rPr>
      </w:pPr>
      <w:r w:rsidRPr="37E26D7F">
        <w:rPr>
          <w:rFonts w:ascii="Arial" w:hAnsi="Arial" w:cs="Arial"/>
          <w:color w:val="000000" w:themeColor="text1"/>
          <w:sz w:val="22"/>
          <w:szCs w:val="22"/>
          <w:lang w:val="es-ES" w:eastAsia="en-GB"/>
        </w:rPr>
        <w:t>Más aun el Estado de Panamá en su Código de Familia</w:t>
      </w:r>
      <w:r w:rsidRPr="37E26D7F">
        <w:rPr>
          <w:rStyle w:val="FootnoteReference"/>
          <w:rFonts w:ascii="Arial" w:hAnsi="Arial" w:cs="Arial"/>
          <w:color w:val="000000" w:themeColor="text1"/>
          <w:sz w:val="22"/>
          <w:szCs w:val="22"/>
          <w:lang w:val="es-ES" w:eastAsia="en-GB"/>
        </w:rPr>
        <w:footnoteReference w:id="2"/>
      </w:r>
      <w:r w:rsidRPr="37E26D7F">
        <w:rPr>
          <w:rFonts w:ascii="Arial" w:hAnsi="Arial" w:cs="Arial"/>
          <w:color w:val="000000" w:themeColor="text1"/>
          <w:sz w:val="22"/>
          <w:szCs w:val="22"/>
          <w:lang w:val="es-ES" w:eastAsia="en-GB"/>
        </w:rPr>
        <w:t>, Capítulo I, artículo 485 estipula:</w:t>
      </w:r>
    </w:p>
    <w:p w14:paraId="7A744EFE" w14:textId="77777777" w:rsidR="00674E54" w:rsidRPr="00674E54" w:rsidRDefault="00674E54" w:rsidP="00674E54">
      <w:pPr>
        <w:spacing w:before="240" w:after="240" w:line="276" w:lineRule="auto"/>
        <w:jc w:val="both"/>
        <w:rPr>
          <w:rFonts w:ascii="Arial" w:hAnsi="Arial" w:cs="Arial"/>
          <w:i/>
          <w:iCs/>
          <w:color w:val="000000" w:themeColor="text1"/>
          <w:sz w:val="20"/>
          <w:szCs w:val="20"/>
          <w:lang w:val="es-GT" w:eastAsia="en-GB"/>
        </w:rPr>
      </w:pPr>
      <w:r w:rsidRPr="37E26D7F">
        <w:rPr>
          <w:rFonts w:ascii="Arial" w:hAnsi="Arial" w:cs="Arial"/>
          <w:i/>
          <w:iCs/>
          <w:color w:val="000000" w:themeColor="text1"/>
          <w:sz w:val="20"/>
          <w:szCs w:val="20"/>
          <w:lang w:val="es-ES" w:eastAsia="en-GB"/>
        </w:rPr>
        <w:t>“El Estado protege la salud física, mental y moral de los menores nacionales o extranjeros que se encuentren en el territorio nacional y de los nacionales que se encuentren en el extranjero y garantiza el derecho de estos al hogar, a la alimentación, a la salud y a la educación.”</w:t>
      </w:r>
    </w:p>
    <w:p w14:paraId="5B0772C3" w14:textId="77777777" w:rsidR="00674E54" w:rsidRPr="00674E54" w:rsidRDefault="00674E54" w:rsidP="00674E54">
      <w:pPr>
        <w:spacing w:before="240" w:after="240" w:line="276" w:lineRule="auto"/>
        <w:jc w:val="both"/>
        <w:rPr>
          <w:rFonts w:ascii="Arial" w:eastAsia="Times New Roman" w:hAnsi="Arial" w:cs="Arial"/>
          <w:color w:val="000000" w:themeColor="text1"/>
          <w:sz w:val="22"/>
          <w:szCs w:val="22"/>
          <w:lang w:val="es-GT" w:eastAsia="es-ES"/>
        </w:rPr>
      </w:pPr>
      <w:r w:rsidRPr="00674E54">
        <w:rPr>
          <w:rFonts w:ascii="Arial" w:eastAsia="Times New Roman" w:hAnsi="Arial" w:cs="Arial"/>
          <w:color w:val="000000" w:themeColor="text1"/>
          <w:sz w:val="22"/>
          <w:szCs w:val="22"/>
          <w:lang w:val="es-GT" w:eastAsia="es-ES"/>
        </w:rPr>
        <w:t xml:space="preserve">Esto significa que el Estado de Panamá debe </w:t>
      </w:r>
      <w:r w:rsidRPr="00674E54">
        <w:rPr>
          <w:rFonts w:ascii="Arial" w:eastAsia="Times New Roman" w:hAnsi="Arial" w:cs="Arial"/>
          <w:b/>
          <w:bCs/>
          <w:color w:val="000000" w:themeColor="text1"/>
          <w:sz w:val="22"/>
          <w:szCs w:val="22"/>
          <w:lang w:val="es-GT" w:eastAsia="es-ES"/>
        </w:rPr>
        <w:t>garantizar el acceso a servicios de salud en todo su territorio</w:t>
      </w:r>
      <w:r w:rsidRPr="00674E54">
        <w:rPr>
          <w:rFonts w:ascii="Arial" w:eastAsia="Times New Roman" w:hAnsi="Arial" w:cs="Arial"/>
          <w:color w:val="000000" w:themeColor="text1"/>
          <w:sz w:val="22"/>
          <w:szCs w:val="22"/>
          <w:lang w:val="es-GT" w:eastAsia="es-ES"/>
        </w:rPr>
        <w:t>, sin importar cuán lejana se encuentre de los centros urbanos. La comunidad del Harino, por su situación de pobreza y de carencia de servicios básicos, presenta problemas de salud en su población infantil. Usualmente, las situaciones más problemáticas son las enfermedades de la piel, de vías respiratorias, del estómago, desnutrición, picaduras de insectos, entre otros. Se han organizado giras médicas, sin embargo, no se realizan con la frecuencia que se requiere. Los centros de salud más cercanos no cuentan con insumos ni médicos y no existen especialidades médicas. Salir a la ciudad de La Chorrera por atención medica tiene un costo de unos 20 dólares por pasaje, lo cual está por encima de las posibilidades de muchas de las familias.</w:t>
      </w:r>
    </w:p>
    <w:p w14:paraId="47CA92DC" w14:textId="77777777" w:rsidR="00674E54" w:rsidRPr="00674E54" w:rsidRDefault="00674E54" w:rsidP="00674E54">
      <w:pPr>
        <w:spacing w:before="240" w:after="240" w:line="276" w:lineRule="auto"/>
        <w:jc w:val="both"/>
        <w:rPr>
          <w:rFonts w:ascii="Arial" w:hAnsi="Arial" w:cs="Arial"/>
          <w:color w:val="000000" w:themeColor="text1"/>
          <w:sz w:val="22"/>
          <w:szCs w:val="22"/>
          <w:lang w:val="es-GT" w:eastAsia="en-GB"/>
        </w:rPr>
      </w:pPr>
      <w:r w:rsidRPr="00674E54">
        <w:rPr>
          <w:rFonts w:ascii="Arial" w:eastAsia="Times New Roman" w:hAnsi="Arial" w:cs="Arial"/>
          <w:color w:val="000000" w:themeColor="text1"/>
          <w:sz w:val="22"/>
          <w:szCs w:val="22"/>
          <w:lang w:val="es-GT" w:eastAsia="es-ES"/>
        </w:rPr>
        <w:t xml:space="preserve">Uno de los problemas más graves en la región es la </w:t>
      </w:r>
      <w:r w:rsidRPr="00674E54">
        <w:rPr>
          <w:rFonts w:ascii="Arial" w:eastAsia="Times New Roman" w:hAnsi="Arial" w:cs="Arial"/>
          <w:b/>
          <w:bCs/>
          <w:color w:val="000000" w:themeColor="text1"/>
          <w:sz w:val="22"/>
          <w:szCs w:val="22"/>
          <w:lang w:val="es-GT" w:eastAsia="es-ES"/>
        </w:rPr>
        <w:t>desnutrición</w:t>
      </w:r>
      <w:r w:rsidRPr="00674E54">
        <w:rPr>
          <w:rFonts w:ascii="Arial" w:eastAsia="Times New Roman" w:hAnsi="Arial" w:cs="Arial"/>
          <w:color w:val="000000" w:themeColor="text1"/>
          <w:sz w:val="22"/>
          <w:szCs w:val="22"/>
          <w:lang w:val="es-GT" w:eastAsia="es-ES"/>
        </w:rPr>
        <w:t xml:space="preserve">. Los niveles de pobreza en esta región no permiten una nutrición apropiada, principalmente en infantes y niños menores de 10 años. </w:t>
      </w:r>
      <w:r w:rsidRPr="00674E54">
        <w:rPr>
          <w:rFonts w:ascii="Arial" w:eastAsia="Times New Roman" w:hAnsi="Arial" w:cs="Arial"/>
          <w:b/>
          <w:bCs/>
          <w:color w:val="000000" w:themeColor="text1"/>
          <w:sz w:val="22"/>
          <w:szCs w:val="22"/>
          <w:lang w:val="es-GT" w:eastAsia="es-ES"/>
        </w:rPr>
        <w:t>Esto impacta directamente su rendimiento educativo y su desarrollo natural</w:t>
      </w:r>
      <w:r w:rsidRPr="00674E54">
        <w:rPr>
          <w:rFonts w:ascii="Arial" w:eastAsia="Times New Roman" w:hAnsi="Arial" w:cs="Arial"/>
          <w:color w:val="000000" w:themeColor="text1"/>
          <w:sz w:val="22"/>
          <w:szCs w:val="22"/>
          <w:lang w:val="es-GT" w:eastAsia="es-ES"/>
        </w:rPr>
        <w:t xml:space="preserve">. Las escuelas (en algunos casos) han implementado programas de granjas auto sostenibles para garantizar al menos una comida al día de sus estudiantes, pero la falta de apoyo, por un lado, y de organización de algunas comunidades, por otro, no permite que estos programas sean sostenibles a largo plazo. </w:t>
      </w:r>
    </w:p>
    <w:p w14:paraId="4170CA9A" w14:textId="77777777" w:rsidR="00674E54" w:rsidRPr="00674E54" w:rsidRDefault="00674E54" w:rsidP="00674E54">
      <w:pPr>
        <w:spacing w:before="240" w:after="240" w:line="276" w:lineRule="auto"/>
        <w:jc w:val="both"/>
        <w:rPr>
          <w:rFonts w:ascii="Arial" w:hAnsi="Arial" w:cs="Arial"/>
          <w:color w:val="000000" w:themeColor="text1"/>
          <w:sz w:val="22"/>
          <w:szCs w:val="22"/>
          <w:lang w:val="es-GT" w:eastAsia="en-GB"/>
        </w:rPr>
      </w:pPr>
      <w:r w:rsidRPr="00674E54">
        <w:rPr>
          <w:rFonts w:ascii="Arial" w:eastAsia="Times New Roman" w:hAnsi="Arial" w:cs="Arial"/>
          <w:color w:val="000000" w:themeColor="text1"/>
          <w:sz w:val="22"/>
          <w:szCs w:val="22"/>
          <w:lang w:val="es-GT" w:eastAsia="es-ES"/>
        </w:rPr>
        <w:t xml:space="preserve">La ratificación de la Convención en cuestión por el Estado panameño lo compromete a adoptar las medidas necesarias para </w:t>
      </w:r>
      <w:r w:rsidRPr="00674E54">
        <w:rPr>
          <w:rFonts w:ascii="Arial" w:eastAsia="Times New Roman" w:hAnsi="Arial" w:cs="Arial"/>
          <w:i/>
          <w:iCs/>
          <w:color w:val="000000" w:themeColor="text1"/>
          <w:sz w:val="20"/>
          <w:szCs w:val="20"/>
          <w:lang w:val="es-GT" w:eastAsia="es-ES"/>
        </w:rPr>
        <w:t>"</w:t>
      </w:r>
      <w:r w:rsidRPr="37E26D7F">
        <w:rPr>
          <w:rFonts w:ascii="Arial" w:hAnsi="Arial" w:cs="Arial"/>
          <w:i/>
          <w:iCs/>
          <w:color w:val="000000" w:themeColor="text1"/>
          <w:sz w:val="20"/>
          <w:szCs w:val="20"/>
          <w:lang w:val="es-ES" w:eastAsia="en-GB"/>
        </w:rPr>
        <w:t>combatir las enfermedades y la malnutrición en el marco de la atención primaria de la salud mediante, entre otras cosas, la aplicación de la tecnología disponible y el suministro de alimentos nutritivos adecuados y agua potable salubre, teniendo en cuenta los peligros y riesgos de contaminación del medio ambiente"</w:t>
      </w:r>
      <w:r w:rsidRPr="37E26D7F">
        <w:rPr>
          <w:rFonts w:ascii="Arial" w:hAnsi="Arial" w:cs="Arial"/>
          <w:color w:val="000000" w:themeColor="text1"/>
          <w:sz w:val="22"/>
          <w:szCs w:val="22"/>
          <w:lang w:val="es-ES" w:eastAsia="en-GB"/>
        </w:rPr>
        <w:t xml:space="preserve"> (art. 24, párr. 2c). Lo anterior significa que el Estado debería de implementar medidas para apoyar a la comunidad y a las organizaciones que intentan remediar el problema de la desnutrición.</w:t>
      </w:r>
    </w:p>
    <w:p w14:paraId="1F195721" w14:textId="77777777" w:rsidR="00674E54" w:rsidRPr="00674E54" w:rsidRDefault="00674E54" w:rsidP="00674E54">
      <w:pPr>
        <w:spacing w:before="240" w:after="240" w:line="276" w:lineRule="auto"/>
        <w:jc w:val="both"/>
        <w:rPr>
          <w:rFonts w:ascii="Arial" w:eastAsia="Times New Roman" w:hAnsi="Arial" w:cs="Arial"/>
          <w:color w:val="000000" w:themeColor="text1"/>
          <w:sz w:val="22"/>
          <w:szCs w:val="22"/>
          <w:lang w:val="es-GT" w:eastAsia="es-ES"/>
        </w:rPr>
      </w:pPr>
      <w:r w:rsidRPr="37E26D7F">
        <w:rPr>
          <w:rFonts w:ascii="Arial" w:hAnsi="Arial" w:cs="Arial"/>
          <w:color w:val="000000" w:themeColor="text1"/>
          <w:sz w:val="22"/>
          <w:szCs w:val="22"/>
          <w:lang w:val="es-ES" w:eastAsia="en-GB"/>
        </w:rPr>
        <w:t xml:space="preserve">En relación con lo anterior y la obligación del Estado de brindar agua potable salubre, cabe señalar que </w:t>
      </w:r>
      <w:r w:rsidRPr="00674E54">
        <w:rPr>
          <w:rFonts w:ascii="Arial" w:eastAsia="Times New Roman" w:hAnsi="Arial" w:cs="Arial"/>
          <w:color w:val="000000" w:themeColor="text1"/>
          <w:sz w:val="22"/>
          <w:szCs w:val="22"/>
          <w:lang w:val="es-GT" w:eastAsia="es-ES"/>
        </w:rPr>
        <w:t>la región de Capira no cuenta con un acueducto, por lo que la gente debe abastecerse por cuenta propia. El agua que se consume proviene de pozos subterráneos y de ríos cercanos que no pasa por mayores tratamientos para un mejor consumo. Además, no existen planes para mejorar estas condiciones, al menos a mediano plazo, y muchos habitantes consumen el agua de fuentes naturales y a través de tuberías de PVC, con la ayuda de una bomba y un sistema de gravedad para distribuir el agua.</w:t>
      </w:r>
    </w:p>
    <w:p w14:paraId="2A305705" w14:textId="77777777" w:rsidR="00674E54" w:rsidRPr="00674E54" w:rsidRDefault="00674E54" w:rsidP="00674E54">
      <w:pPr>
        <w:spacing w:before="240" w:after="240" w:line="276" w:lineRule="auto"/>
        <w:jc w:val="both"/>
        <w:rPr>
          <w:rFonts w:ascii="Arial" w:eastAsia="Times New Roman" w:hAnsi="Arial" w:cs="Arial"/>
          <w:color w:val="000000" w:themeColor="text1"/>
          <w:sz w:val="22"/>
          <w:szCs w:val="22"/>
          <w:lang w:val="es-GT" w:eastAsia="es-ES"/>
        </w:rPr>
      </w:pPr>
    </w:p>
    <w:p w14:paraId="1B871FFA" w14:textId="77777777" w:rsidR="00674E54" w:rsidRPr="00674E54" w:rsidRDefault="00674E54" w:rsidP="00674E54">
      <w:pPr>
        <w:spacing w:before="240" w:after="240" w:line="276" w:lineRule="auto"/>
        <w:jc w:val="both"/>
        <w:rPr>
          <w:rFonts w:ascii="Arial" w:eastAsia="Times New Roman" w:hAnsi="Arial" w:cs="Arial"/>
          <w:b/>
          <w:bCs/>
          <w:color w:val="000000" w:themeColor="text1"/>
          <w:sz w:val="22"/>
          <w:szCs w:val="22"/>
          <w:lang w:val="es-GT" w:eastAsia="es-ES"/>
        </w:rPr>
      </w:pPr>
      <w:r w:rsidRPr="00674E54">
        <w:rPr>
          <w:rFonts w:ascii="Arial" w:eastAsia="Times New Roman" w:hAnsi="Arial" w:cs="Arial"/>
          <w:b/>
          <w:bCs/>
          <w:color w:val="000000" w:themeColor="text1"/>
          <w:sz w:val="22"/>
          <w:szCs w:val="22"/>
          <w:lang w:val="es-GT" w:eastAsia="es-ES"/>
        </w:rPr>
        <w:t>Educación</w:t>
      </w:r>
    </w:p>
    <w:p w14:paraId="29E28666" w14:textId="77777777" w:rsidR="00674E54" w:rsidRPr="00674E54" w:rsidRDefault="00674E54" w:rsidP="00674E54">
      <w:pPr>
        <w:spacing w:before="240" w:after="240" w:line="276" w:lineRule="auto"/>
        <w:jc w:val="both"/>
        <w:rPr>
          <w:rFonts w:ascii="Arial" w:eastAsia="Times New Roman" w:hAnsi="Arial" w:cs="Arial"/>
          <w:color w:val="000000" w:themeColor="text1"/>
          <w:sz w:val="22"/>
          <w:szCs w:val="22"/>
          <w:lang w:val="es-GT" w:eastAsia="es-ES"/>
        </w:rPr>
      </w:pPr>
      <w:r w:rsidRPr="00674E54">
        <w:rPr>
          <w:rFonts w:ascii="Arial" w:eastAsia="Times New Roman" w:hAnsi="Arial" w:cs="Arial"/>
          <w:color w:val="000000" w:themeColor="text1"/>
          <w:sz w:val="22"/>
          <w:szCs w:val="22"/>
          <w:lang w:val="es-GT" w:eastAsia="es-ES"/>
        </w:rPr>
        <w:t>En el contexto de la educación, el artículo 28 de la Convención para los Derechos del Niño establece lo siguiente:</w:t>
      </w:r>
    </w:p>
    <w:p w14:paraId="724AC2F4" w14:textId="77777777" w:rsidR="00674E54" w:rsidRPr="00674E54" w:rsidRDefault="00674E54" w:rsidP="00674E54">
      <w:pPr>
        <w:spacing w:before="240" w:after="240" w:line="276" w:lineRule="auto"/>
        <w:jc w:val="both"/>
        <w:rPr>
          <w:rFonts w:ascii="Arial" w:eastAsia="Times New Roman" w:hAnsi="Arial" w:cs="Arial"/>
          <w:color w:val="000000" w:themeColor="text1"/>
          <w:sz w:val="22"/>
          <w:szCs w:val="22"/>
          <w:lang w:val="es-GT" w:eastAsia="es-ES"/>
        </w:rPr>
      </w:pPr>
      <w:r w:rsidRPr="00674E54">
        <w:rPr>
          <w:rFonts w:ascii="Arial" w:eastAsia="Times New Roman" w:hAnsi="Arial" w:cs="Arial"/>
          <w:i/>
          <w:iCs/>
          <w:color w:val="000000" w:themeColor="text1"/>
          <w:sz w:val="20"/>
          <w:szCs w:val="20"/>
          <w:lang w:val="es-GT" w:eastAsia="es-ES"/>
        </w:rPr>
        <w:t>"</w:t>
      </w:r>
      <w:r w:rsidRPr="37E26D7F">
        <w:rPr>
          <w:rFonts w:ascii="Arial" w:eastAsia="Times New Roman" w:hAnsi="Arial" w:cs="Arial"/>
          <w:i/>
          <w:iCs/>
          <w:color w:val="000000" w:themeColor="text1"/>
          <w:sz w:val="20"/>
          <w:szCs w:val="20"/>
          <w:lang w:val="es-ES" w:eastAsia="es-ES"/>
        </w:rPr>
        <w:t>Los Estados Partes reconocen el derecho del niño a la educación y, a fin de que se pueda ejercer progresivamente y en condiciones de igualdad de oportunidades ese derecho, deberán en particular (...) (</w:t>
      </w:r>
      <w:proofErr w:type="spellStart"/>
      <w:r w:rsidRPr="37E26D7F">
        <w:rPr>
          <w:rFonts w:ascii="Arial" w:eastAsia="Times New Roman" w:hAnsi="Arial" w:cs="Arial"/>
          <w:i/>
          <w:iCs/>
          <w:color w:val="000000" w:themeColor="text1"/>
          <w:sz w:val="20"/>
          <w:szCs w:val="20"/>
          <w:lang w:val="es-ES" w:eastAsia="es-ES"/>
        </w:rPr>
        <w:t>e</w:t>
      </w:r>
      <w:proofErr w:type="spellEnd"/>
      <w:r w:rsidRPr="37E26D7F">
        <w:rPr>
          <w:rFonts w:ascii="Arial" w:eastAsia="Times New Roman" w:hAnsi="Arial" w:cs="Arial"/>
          <w:i/>
          <w:iCs/>
          <w:color w:val="000000" w:themeColor="text1"/>
          <w:sz w:val="20"/>
          <w:szCs w:val="20"/>
          <w:lang w:val="es-ES" w:eastAsia="es-ES"/>
        </w:rPr>
        <w:t>) Adoptar medidas para fomentar la asistencia regular a las escuelas y reducir las tasas de deserción escolar."</w:t>
      </w:r>
      <w:r w:rsidRPr="37E26D7F">
        <w:rPr>
          <w:rFonts w:ascii="Arial" w:eastAsia="Times New Roman" w:hAnsi="Arial" w:cs="Arial"/>
          <w:color w:val="000000" w:themeColor="text1"/>
          <w:sz w:val="20"/>
          <w:szCs w:val="20"/>
          <w:lang w:val="es-ES" w:eastAsia="es-ES"/>
        </w:rPr>
        <w:t xml:space="preserve"> </w:t>
      </w:r>
      <w:r w:rsidRPr="37E26D7F">
        <w:rPr>
          <w:rFonts w:ascii="Arial" w:eastAsia="Times New Roman" w:hAnsi="Arial" w:cs="Arial"/>
          <w:color w:val="000000" w:themeColor="text1"/>
          <w:sz w:val="22"/>
          <w:szCs w:val="22"/>
          <w:lang w:val="es-ES" w:eastAsia="es-ES"/>
        </w:rPr>
        <w:t>(párr. 1e)</w:t>
      </w:r>
    </w:p>
    <w:p w14:paraId="39260AEB" w14:textId="77777777" w:rsidR="00674E54" w:rsidRPr="00674E54" w:rsidRDefault="00674E54" w:rsidP="00674E54">
      <w:pPr>
        <w:spacing w:before="240" w:after="240" w:line="276" w:lineRule="auto"/>
        <w:jc w:val="both"/>
        <w:rPr>
          <w:rFonts w:ascii="Arial" w:eastAsia="Times New Roman" w:hAnsi="Arial" w:cs="Arial"/>
          <w:i/>
          <w:iCs/>
          <w:color w:val="000000" w:themeColor="text1"/>
          <w:sz w:val="20"/>
          <w:szCs w:val="20"/>
          <w:lang w:val="es-GT" w:eastAsia="es-ES"/>
        </w:rPr>
      </w:pPr>
      <w:r w:rsidRPr="37E26D7F">
        <w:rPr>
          <w:rFonts w:ascii="Arial" w:eastAsia="Times New Roman" w:hAnsi="Arial" w:cs="Arial"/>
          <w:color w:val="000000" w:themeColor="text1"/>
          <w:sz w:val="22"/>
          <w:szCs w:val="22"/>
          <w:lang w:val="es-ES" w:eastAsia="es-ES"/>
        </w:rPr>
        <w:t xml:space="preserve">La Ley Orgánica de Educación de Panamá (24 de septiembre de 1946), con las modificaciones introducidas por la Ley 34 del 6 de julio de 1995 señala en su art. 1: </w:t>
      </w:r>
    </w:p>
    <w:p w14:paraId="037DB204" w14:textId="77777777" w:rsidR="00674E54" w:rsidRPr="00674E54" w:rsidRDefault="00674E54" w:rsidP="00674E54">
      <w:pPr>
        <w:spacing w:before="240" w:after="240" w:line="276" w:lineRule="auto"/>
        <w:jc w:val="both"/>
        <w:rPr>
          <w:rFonts w:ascii="Arial" w:eastAsia="Times New Roman" w:hAnsi="Arial" w:cs="Arial"/>
          <w:i/>
          <w:iCs/>
          <w:color w:val="000000" w:themeColor="text1"/>
          <w:sz w:val="20"/>
          <w:szCs w:val="20"/>
          <w:lang w:val="es-GT" w:eastAsia="es-ES"/>
        </w:rPr>
      </w:pPr>
      <w:r w:rsidRPr="37E26D7F">
        <w:rPr>
          <w:rFonts w:ascii="Arial" w:eastAsia="Times New Roman" w:hAnsi="Arial" w:cs="Arial"/>
          <w:i/>
          <w:iCs/>
          <w:color w:val="000000" w:themeColor="text1"/>
          <w:sz w:val="20"/>
          <w:szCs w:val="20"/>
          <w:lang w:val="es-ES" w:eastAsia="es-ES"/>
        </w:rPr>
        <w:t>“La educación es un derecho y un deber de la persona humana, sin distingo de edad, etnia, sexo, religión, posición económica, social o ideas políticas. Corresponde al Estado el deber de organizar y dirigir el servicio público de la educación, a fin de garantizar la eficiencia y efectividad del sistema educativo nacional, que comprende tanto la educación oficial, impartida por las dependencias oficiales, como la educación particular, impartida por personas o entidades privadas”.</w:t>
      </w:r>
    </w:p>
    <w:p w14:paraId="0822F25D" w14:textId="77777777" w:rsidR="00674E54" w:rsidRPr="00674E54" w:rsidRDefault="00674E54" w:rsidP="00674E54">
      <w:pPr>
        <w:spacing w:before="240" w:after="240" w:line="276" w:lineRule="auto"/>
        <w:rPr>
          <w:rFonts w:ascii="Arial" w:eastAsia="Arial" w:hAnsi="Arial" w:cs="Arial"/>
          <w:color w:val="000000" w:themeColor="text1"/>
          <w:sz w:val="22"/>
          <w:szCs w:val="22"/>
          <w:lang w:val="es-GT" w:eastAsia="es-ES"/>
        </w:rPr>
      </w:pPr>
      <w:r w:rsidRPr="37E26D7F">
        <w:rPr>
          <w:rFonts w:ascii="Arial" w:eastAsia="Arial" w:hAnsi="Arial" w:cs="Arial"/>
          <w:color w:val="000000"/>
          <w:sz w:val="22"/>
          <w:szCs w:val="22"/>
          <w:lang w:val="es-ES" w:eastAsia="es-ES"/>
        </w:rPr>
        <w:t>Según datos de la Contraloría General de Panamá, un total de 43,247 niños no asisten a la escuela. De esta cifra, 20,970 corresponden al área urbana, 15,653 a las áreas rurales y 6,624 a las comarcas indígenas</w:t>
      </w:r>
      <w:r w:rsidRPr="37E26D7F">
        <w:rPr>
          <w:rStyle w:val="FootnoteReference"/>
          <w:rFonts w:ascii="Arial" w:eastAsia="Arial" w:hAnsi="Arial" w:cs="Arial"/>
          <w:color w:val="000000"/>
          <w:sz w:val="22"/>
          <w:szCs w:val="22"/>
          <w:lang w:val="es-ES" w:eastAsia="es-ES"/>
        </w:rPr>
        <w:footnoteReference w:id="3"/>
      </w:r>
      <w:r w:rsidRPr="37E26D7F">
        <w:rPr>
          <w:rFonts w:ascii="Arial" w:eastAsia="Arial" w:hAnsi="Arial" w:cs="Arial"/>
          <w:color w:val="000000"/>
          <w:sz w:val="22"/>
          <w:szCs w:val="22"/>
          <w:lang w:val="es-ES" w:eastAsia="es-ES"/>
        </w:rPr>
        <w:t>.</w:t>
      </w:r>
    </w:p>
    <w:p w14:paraId="3FB88206"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themeColor="text1"/>
          <w:sz w:val="22"/>
          <w:szCs w:val="22"/>
          <w:lang w:val="es-GT" w:eastAsia="es-ES"/>
        </w:rPr>
        <w:t xml:space="preserve">El </w:t>
      </w:r>
      <w:r w:rsidRPr="00674E54">
        <w:rPr>
          <w:rFonts w:ascii="Arial" w:eastAsia="Arial" w:hAnsi="Arial" w:cs="Arial"/>
          <w:b/>
          <w:bCs/>
          <w:color w:val="000000" w:themeColor="text1"/>
          <w:sz w:val="22"/>
          <w:szCs w:val="22"/>
          <w:lang w:val="es-GT" w:eastAsia="es-ES"/>
        </w:rPr>
        <w:t>acceso a la educación</w:t>
      </w:r>
      <w:r w:rsidRPr="00674E54">
        <w:rPr>
          <w:rFonts w:ascii="Arial" w:eastAsia="Arial" w:hAnsi="Arial" w:cs="Arial"/>
          <w:color w:val="000000" w:themeColor="text1"/>
          <w:sz w:val="22"/>
          <w:szCs w:val="22"/>
          <w:lang w:val="es-GT" w:eastAsia="es-ES"/>
        </w:rPr>
        <w:t xml:space="preserve"> en el distrito de Capira, por ser un área rural, presenta varios obstáculos. En primer lugar, hay regiones que no cuentan con centros escolares de nivel de pre media o media y las distancias involucran costos que los padres de familia no pueden asumir. Esto es porque no existe transporte público de manera regular y el que está disponible puede llegar a ser muy costoso. Además, los caminos no son asfaltados y los estudiantes deben recorrer largas distancias, incluso atravesar ríos sin puentes, para llegar a su centro escolar, y esto, en muchos casos, sin haber desayunado. Esto afecta su rendimiento y perjudica el proceso de aprendizaje del estudiante.  </w:t>
      </w:r>
    </w:p>
    <w:p w14:paraId="2460E86A" w14:textId="77777777" w:rsidR="00674E54" w:rsidRPr="00C54715" w:rsidRDefault="00674E54" w:rsidP="00674E54">
      <w:pPr>
        <w:spacing w:before="240" w:after="240" w:line="276" w:lineRule="auto"/>
        <w:jc w:val="both"/>
        <w:rPr>
          <w:rFonts w:ascii="Arial" w:eastAsia="Arial" w:hAnsi="Arial" w:cs="Arial"/>
          <w:sz w:val="22"/>
          <w:szCs w:val="22"/>
          <w:lang w:val="es-PA"/>
        </w:rPr>
      </w:pPr>
      <w:r w:rsidRPr="00674E54">
        <w:rPr>
          <w:rFonts w:ascii="Arial" w:eastAsia="Arial" w:hAnsi="Arial" w:cs="Arial"/>
          <w:color w:val="000000" w:themeColor="text1"/>
          <w:sz w:val="22"/>
          <w:szCs w:val="22"/>
          <w:lang w:val="es-GT" w:eastAsia="es-ES"/>
        </w:rPr>
        <w:t>De los 37,000 habitantes del Distrito de Capira, 17,428 estudiantes declararon no terminar sus estudios o no lograron estudiar, según el último censo practicado por la Contraloría General de la República en el 2010.</w:t>
      </w:r>
      <w:r w:rsidRPr="37E26D7F">
        <w:rPr>
          <w:rFonts w:ascii="Arial" w:eastAsia="Arial" w:hAnsi="Arial" w:cs="Arial"/>
          <w:sz w:val="22"/>
          <w:szCs w:val="22"/>
          <w:lang w:val="es-PA"/>
        </w:rPr>
        <w:t xml:space="preserve"> Esta cifra representa casi el 50% del total poblacional. Las causas de esta situación son variadas, sin embargo, podemos destacar algunas, tales como bajos ingresos, desintegración familiar y difícil acceso a la educación.</w:t>
      </w:r>
    </w:p>
    <w:p w14:paraId="34C0E1E1" w14:textId="77777777" w:rsidR="00674E54" w:rsidRPr="00C54715" w:rsidRDefault="00674E54" w:rsidP="00674E54">
      <w:pPr>
        <w:spacing w:before="240" w:after="240" w:line="276" w:lineRule="auto"/>
        <w:jc w:val="both"/>
        <w:rPr>
          <w:rFonts w:ascii="Arial" w:eastAsia="Arial" w:hAnsi="Arial" w:cs="Arial"/>
          <w:sz w:val="22"/>
          <w:szCs w:val="22"/>
          <w:lang w:val="es-PA"/>
        </w:rPr>
      </w:pPr>
      <w:r w:rsidRPr="37E26D7F">
        <w:rPr>
          <w:rFonts w:ascii="Arial" w:eastAsia="Arial" w:hAnsi="Arial" w:cs="Arial"/>
          <w:b/>
          <w:bCs/>
          <w:sz w:val="22"/>
          <w:szCs w:val="22"/>
          <w:lang w:val="es-PA"/>
        </w:rPr>
        <w:t>Por cada 10 estudiantes que terminan el nivel primario, solo 3 continúan el nivel secundario y solo 1 sigue la educación superior</w:t>
      </w:r>
      <w:r w:rsidRPr="37E26D7F">
        <w:rPr>
          <w:rFonts w:ascii="Arial" w:eastAsia="Arial" w:hAnsi="Arial" w:cs="Arial"/>
          <w:sz w:val="22"/>
          <w:szCs w:val="22"/>
          <w:lang w:val="es-PA"/>
        </w:rPr>
        <w:t>. La mitad de los corregimientos de Capira se encuentran en zonas rurales; los bajos ingresos obligan a las familias a limitar su carrera educativa básica e intermedia y a decidir entre estudiar o dedicarse a trabajar en labores agrícolas. En las zonas urbanas del distrito, la principal desventaja es la limitada oferta educativa, lo que obliga a las familias a viajar hacia el distrito de La Chorrera para estudiar un bachiller lo que encarece el estudio.</w:t>
      </w:r>
    </w:p>
    <w:p w14:paraId="66A6577E"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themeColor="text1"/>
          <w:sz w:val="22"/>
          <w:szCs w:val="22"/>
          <w:lang w:val="es-GT" w:eastAsia="es-ES"/>
        </w:rPr>
        <w:t xml:space="preserve">En la comunidad del Harino, hay </w:t>
      </w:r>
      <w:r w:rsidRPr="37E26D7F">
        <w:rPr>
          <w:rFonts w:ascii="Arial" w:eastAsia="Arial" w:hAnsi="Arial" w:cs="Arial"/>
          <w:color w:val="000000" w:themeColor="text1"/>
          <w:sz w:val="22"/>
          <w:szCs w:val="22"/>
          <w:lang w:val="es-ES" w:eastAsia="es-ES"/>
        </w:rPr>
        <w:t>una sola escuela a la cual asisten unos 80 niños en edad escolar para el nivel primario, quienes llegan de comunidades cercanas. Cuenta con dos maestras y una directora, y sus dos únicos salones carecen de equipo básico para estudiar. Asimismo, no cuenta con electricidad ni agua potable y debe cultivar productos agrícolas para sustento de algunos estudiantes que vienen de muy lejos y a los cuales ofrece alojamiento.</w:t>
      </w:r>
    </w:p>
    <w:p w14:paraId="1677660D" w14:textId="77777777" w:rsidR="00674E54" w:rsidRPr="00C11A87" w:rsidRDefault="00674E54" w:rsidP="00674E54">
      <w:pPr>
        <w:spacing w:before="240" w:after="240" w:line="276" w:lineRule="auto"/>
        <w:jc w:val="both"/>
        <w:rPr>
          <w:rFonts w:ascii="Arial" w:eastAsia="Arial" w:hAnsi="Arial" w:cs="Arial"/>
          <w:sz w:val="22"/>
          <w:szCs w:val="22"/>
          <w:lang w:val="es-PA"/>
        </w:rPr>
      </w:pPr>
      <w:r w:rsidRPr="37E26D7F">
        <w:rPr>
          <w:rFonts w:ascii="Arial" w:eastAsia="Arial" w:hAnsi="Arial" w:cs="Arial"/>
          <w:sz w:val="22"/>
          <w:szCs w:val="22"/>
          <w:lang w:val="es-PA"/>
        </w:rPr>
        <w:t>En el caso de las comunidades más apartadas, la situación es más desalentadora, ya que, por carencia de recursos económicos, una gran cantidad de jóvenes solo terminan el nivel primario y abandonan el sistema educativo para dedicarse a labores agrícolas y servicios domésticos sub pagados lo que en consecuencia los lleva a que permanezcan en el mismo circulo de pobreza una generación tras otra.</w:t>
      </w:r>
    </w:p>
    <w:p w14:paraId="7D92BC10" w14:textId="77777777" w:rsidR="00674E54" w:rsidRPr="00674E54" w:rsidRDefault="00674E54" w:rsidP="00674E54">
      <w:pPr>
        <w:spacing w:before="240" w:after="240" w:line="276" w:lineRule="auto"/>
        <w:jc w:val="both"/>
        <w:rPr>
          <w:rFonts w:ascii="Arial" w:eastAsia="Arial" w:hAnsi="Arial" w:cs="Arial"/>
          <w:color w:val="000000" w:themeColor="text1"/>
          <w:sz w:val="20"/>
          <w:szCs w:val="20"/>
          <w:lang w:val="es-GT" w:eastAsia="es-ES"/>
        </w:rPr>
      </w:pPr>
      <w:r w:rsidRPr="00674E54">
        <w:rPr>
          <w:rFonts w:ascii="Arial" w:eastAsia="Arial" w:hAnsi="Arial" w:cs="Arial"/>
          <w:color w:val="000000" w:themeColor="text1"/>
          <w:sz w:val="22"/>
          <w:szCs w:val="22"/>
          <w:lang w:val="es-GT" w:eastAsia="es-ES"/>
        </w:rPr>
        <w:t xml:space="preserve">Estos factores dificultan la asistencia a la escuela y contribuyen a la </w:t>
      </w:r>
      <w:r w:rsidRPr="00674E54">
        <w:rPr>
          <w:rFonts w:ascii="Arial" w:eastAsia="Arial" w:hAnsi="Arial" w:cs="Arial"/>
          <w:b/>
          <w:bCs/>
          <w:color w:val="000000" w:themeColor="text1"/>
          <w:sz w:val="22"/>
          <w:szCs w:val="22"/>
          <w:lang w:val="es-GT" w:eastAsia="es-ES"/>
        </w:rPr>
        <w:t>deserción escolar</w:t>
      </w:r>
      <w:r w:rsidRPr="00674E54">
        <w:rPr>
          <w:rFonts w:ascii="Arial" w:eastAsia="Arial" w:hAnsi="Arial" w:cs="Arial"/>
          <w:color w:val="000000" w:themeColor="text1"/>
          <w:sz w:val="22"/>
          <w:szCs w:val="22"/>
          <w:lang w:val="es-GT" w:eastAsia="es-ES"/>
        </w:rPr>
        <w:t>. En un estudio realizado por el profesor Giovanny Miranda, con datos estadísticos de la Contraloría General de la República de Panamá (INEC) en áreas rurales del distrito de Capira, la deserción escolar alcanza el 70%, una vez terminado el ciclo de educación básico.</w:t>
      </w:r>
    </w:p>
    <w:p w14:paraId="0145ACA0"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themeColor="text1"/>
          <w:sz w:val="22"/>
          <w:szCs w:val="22"/>
          <w:lang w:val="es-GT" w:eastAsia="es-ES"/>
        </w:rPr>
        <w:t xml:space="preserve">Por otro lado, la </w:t>
      </w:r>
      <w:r w:rsidRPr="00674E54">
        <w:rPr>
          <w:rFonts w:ascii="Arial" w:eastAsia="Arial" w:hAnsi="Arial" w:cs="Arial"/>
          <w:b/>
          <w:bCs/>
          <w:color w:val="000000" w:themeColor="text1"/>
          <w:sz w:val="22"/>
          <w:szCs w:val="22"/>
          <w:lang w:val="es-GT" w:eastAsia="es-ES"/>
        </w:rPr>
        <w:t>calidad de la educación</w:t>
      </w:r>
      <w:r w:rsidRPr="00674E54">
        <w:rPr>
          <w:rFonts w:ascii="Arial" w:eastAsia="Arial" w:hAnsi="Arial" w:cs="Arial"/>
          <w:color w:val="000000" w:themeColor="text1"/>
          <w:sz w:val="22"/>
          <w:szCs w:val="22"/>
          <w:lang w:val="es-GT" w:eastAsia="es-ES"/>
        </w:rPr>
        <w:t xml:space="preserve"> es deficiente y no existe supervisión continua del Ministerio de Educación MEDUCA para garantizar el estándar de educación establecido. Los centros escolares carecen de los insumos necesarios para poder funcionar de manera adecuada puesto que, sin electricidad, es imposible contar con equipos informáticos para los estudiantes. La ausencia de baños higiénicos, bibliotecas y áreas de deporte, y los salones de clases que alcanzan altas temperaturas evitan un ambiente apropiado para el estudio. </w:t>
      </w:r>
    </w:p>
    <w:p w14:paraId="68FC1E82"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themeColor="text1"/>
          <w:sz w:val="22"/>
          <w:szCs w:val="22"/>
          <w:lang w:val="es-GT" w:eastAsia="es-ES"/>
        </w:rPr>
        <w:t>Además, Los colegios no cuentan con los recursos escolares necesarios para los contenidos escolares por desarrollar y, muchas veces, los docentes no poseen la preparación pedagógica necesaria para enfrentar estas dificultades. A través de organizaciones de padres de familia y donantes externos, algunos colegios reciben ciertos apoyos como libros y útiles escolares para su funcionamiento. Sin embargo, los recursos son siempre escasos y las necesidades van en aumento en una región donde los adultos son en su mayoría campesinos con ingresos inferiores al salario mínimo. Es la responsabilidad del Estado sustentar estas escuelas e implementar medidas que faciliten el acceso a ellas y una experiencia educativa conforme a la Convención.</w:t>
      </w:r>
    </w:p>
    <w:p w14:paraId="2B2B5DC3"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p>
    <w:p w14:paraId="39B8BC6F" w14:textId="77777777" w:rsidR="00674E54" w:rsidRPr="00674E54" w:rsidRDefault="00674E54" w:rsidP="00674E54">
      <w:pPr>
        <w:spacing w:before="240" w:after="240" w:line="276" w:lineRule="auto"/>
        <w:jc w:val="both"/>
        <w:rPr>
          <w:rFonts w:ascii="Arial" w:eastAsia="Arial" w:hAnsi="Arial" w:cs="Arial"/>
          <w:b/>
          <w:bCs/>
          <w:color w:val="000000" w:themeColor="text1"/>
          <w:sz w:val="22"/>
          <w:szCs w:val="22"/>
          <w:lang w:val="es-GT" w:eastAsia="es-ES"/>
        </w:rPr>
      </w:pPr>
      <w:r w:rsidRPr="00674E54">
        <w:rPr>
          <w:rFonts w:ascii="Arial" w:eastAsia="Arial" w:hAnsi="Arial" w:cs="Arial"/>
          <w:b/>
          <w:bCs/>
          <w:color w:val="000000" w:themeColor="text1"/>
          <w:sz w:val="22"/>
          <w:szCs w:val="22"/>
          <w:lang w:val="es-GT" w:eastAsia="es-ES"/>
        </w:rPr>
        <w:t>Trabajo infantil</w:t>
      </w:r>
    </w:p>
    <w:p w14:paraId="7F21C9CF"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themeColor="text1"/>
          <w:sz w:val="22"/>
          <w:szCs w:val="22"/>
          <w:lang w:val="es-GT" w:eastAsia="es-ES"/>
        </w:rPr>
        <w:t>El Artículo 32 de la Convención establece lo siguiente:</w:t>
      </w:r>
    </w:p>
    <w:p w14:paraId="4E480215" w14:textId="77777777" w:rsidR="00674E54" w:rsidRPr="00674E54" w:rsidRDefault="00674E54" w:rsidP="00674E54">
      <w:pPr>
        <w:spacing w:before="240" w:after="240" w:line="276" w:lineRule="auto"/>
        <w:jc w:val="both"/>
        <w:rPr>
          <w:rFonts w:ascii="Arial" w:eastAsia="Arial" w:hAnsi="Arial" w:cs="Arial"/>
          <w:i/>
          <w:iCs/>
          <w:color w:val="000000" w:themeColor="text1"/>
          <w:sz w:val="20"/>
          <w:szCs w:val="20"/>
          <w:lang w:val="es-GT" w:eastAsia="en-GB"/>
        </w:rPr>
      </w:pPr>
      <w:r w:rsidRPr="37E26D7F">
        <w:rPr>
          <w:rFonts w:ascii="Arial" w:eastAsia="Arial" w:hAnsi="Arial" w:cs="Arial"/>
          <w:i/>
          <w:iCs/>
          <w:color w:val="000000" w:themeColor="text1"/>
          <w:sz w:val="20"/>
          <w:szCs w:val="20"/>
          <w:lang w:val="es-ES" w:eastAsia="en-GB"/>
        </w:rPr>
        <w:t>"Los Estados Partes reconocen el derecho del niño a estar protegido contra la explotación económica y contra el desempeño de cualquier trabajo que pueda ser peligroso o entorpecer su educación, o que sea nocivo para su salud o para su desarrollo físico, mental, espiritual, moral o social." (párr. 1)</w:t>
      </w:r>
    </w:p>
    <w:p w14:paraId="3B84D172" w14:textId="77777777" w:rsidR="00674E54" w:rsidRPr="00674E54" w:rsidRDefault="00674E54" w:rsidP="00674E54">
      <w:pPr>
        <w:spacing w:before="240" w:after="240" w:line="276" w:lineRule="auto"/>
        <w:jc w:val="both"/>
        <w:rPr>
          <w:rFonts w:ascii="Arial" w:eastAsia="Arial" w:hAnsi="Arial" w:cs="Arial"/>
          <w:i/>
          <w:iCs/>
          <w:color w:val="000000" w:themeColor="text1"/>
          <w:sz w:val="20"/>
          <w:szCs w:val="20"/>
          <w:lang w:val="es-GT" w:eastAsia="en-GB"/>
        </w:rPr>
      </w:pPr>
      <w:r w:rsidRPr="37E26D7F">
        <w:rPr>
          <w:rFonts w:ascii="Arial" w:eastAsia="Arial" w:hAnsi="Arial" w:cs="Arial"/>
          <w:color w:val="000000" w:themeColor="text1"/>
          <w:sz w:val="22"/>
          <w:szCs w:val="22"/>
          <w:lang w:val="es-ES" w:eastAsia="en-GB"/>
        </w:rPr>
        <w:t xml:space="preserve">El Código de la Familia en su artículo 508 señala: </w:t>
      </w:r>
      <w:r w:rsidRPr="37E26D7F">
        <w:rPr>
          <w:rFonts w:ascii="Arial" w:eastAsia="Arial" w:hAnsi="Arial" w:cs="Arial"/>
          <w:i/>
          <w:iCs/>
          <w:color w:val="000000" w:themeColor="text1"/>
          <w:sz w:val="20"/>
          <w:szCs w:val="20"/>
          <w:lang w:val="es-ES" w:eastAsia="en-GB"/>
        </w:rPr>
        <w:t>"Se entiende por menor trabajador en condiciones no autorizadas por la ley, al menor de catorce años (14) de edad en cualquier caso de ocupación laboral; y a quien, siendo mayor de dicha edad, pero menor de dieciocho (18) años de edad, desempeña actividades laborales expresamente prohibidas por la ley."</w:t>
      </w:r>
    </w:p>
    <w:p w14:paraId="7163D8E1" w14:textId="77777777" w:rsidR="00674E54" w:rsidRPr="00674E54" w:rsidRDefault="00674E54" w:rsidP="00674E54">
      <w:pPr>
        <w:spacing w:before="240" w:after="240" w:line="276" w:lineRule="auto"/>
        <w:jc w:val="both"/>
        <w:rPr>
          <w:rFonts w:ascii="Arial" w:eastAsia="Arial" w:hAnsi="Arial" w:cs="Arial"/>
          <w:i/>
          <w:iCs/>
          <w:color w:val="000000" w:themeColor="text1"/>
          <w:sz w:val="20"/>
          <w:szCs w:val="20"/>
          <w:lang w:val="es-GT" w:eastAsia="en-GB"/>
        </w:rPr>
      </w:pPr>
      <w:r w:rsidRPr="37E26D7F">
        <w:rPr>
          <w:rFonts w:ascii="Arial" w:eastAsia="Arial" w:hAnsi="Arial" w:cs="Arial"/>
          <w:color w:val="000000" w:themeColor="text1"/>
          <w:sz w:val="22"/>
          <w:szCs w:val="22"/>
          <w:lang w:val="es-ES" w:eastAsia="en-GB"/>
        </w:rPr>
        <w:t>El artículo 509 añade:</w:t>
      </w:r>
      <w:r w:rsidRPr="37E26D7F">
        <w:rPr>
          <w:rFonts w:ascii="Arial" w:eastAsia="Arial" w:hAnsi="Arial" w:cs="Arial"/>
          <w:i/>
          <w:iCs/>
          <w:color w:val="000000" w:themeColor="text1"/>
          <w:sz w:val="20"/>
          <w:szCs w:val="20"/>
          <w:lang w:val="es-ES" w:eastAsia="en-GB"/>
        </w:rPr>
        <w:t xml:space="preserve"> "Es prohibido cualquier trabajo a menores de catorce (14), años de edad, salvo lo preceptuado en el artículo 716 de este Código."</w:t>
      </w:r>
    </w:p>
    <w:p w14:paraId="1E84211B" w14:textId="77777777" w:rsidR="00674E54" w:rsidRPr="00674E54" w:rsidRDefault="00674E54" w:rsidP="00674E54">
      <w:pPr>
        <w:spacing w:before="240" w:after="240" w:line="276" w:lineRule="auto"/>
        <w:jc w:val="both"/>
        <w:rPr>
          <w:rFonts w:ascii="Arial" w:eastAsia="Arial" w:hAnsi="Arial" w:cs="Arial"/>
          <w:i/>
          <w:iCs/>
          <w:color w:val="000000" w:themeColor="text1"/>
          <w:sz w:val="20"/>
          <w:szCs w:val="20"/>
          <w:lang w:val="es-GT" w:eastAsia="en-GB"/>
        </w:rPr>
      </w:pPr>
      <w:r w:rsidRPr="37E26D7F">
        <w:rPr>
          <w:rFonts w:ascii="Arial" w:eastAsia="Arial" w:hAnsi="Arial" w:cs="Arial"/>
          <w:color w:val="000000" w:themeColor="text1"/>
          <w:sz w:val="22"/>
          <w:szCs w:val="22"/>
          <w:lang w:val="es-ES" w:eastAsia="en-GB"/>
        </w:rPr>
        <w:t xml:space="preserve">Además, Panamá ratificó el Convenio sobre la Prohibición de las Peores Formas de Trabajo Infantil y la Acción Inmediata para su Eliminación (1999), lo que llevó a la adopción de la Ley Nº 18 de 15 de junio de 2000, que en su artículo 2 señala </w:t>
      </w:r>
      <w:r w:rsidRPr="37E26D7F">
        <w:rPr>
          <w:rFonts w:ascii="Arial" w:eastAsia="Arial" w:hAnsi="Arial" w:cs="Arial"/>
          <w:i/>
          <w:iCs/>
          <w:color w:val="000000" w:themeColor="text1"/>
          <w:sz w:val="20"/>
          <w:szCs w:val="20"/>
          <w:lang w:val="es-ES" w:eastAsia="en-GB"/>
        </w:rPr>
        <w:t>“A los efectos del presente Convenio, el término “niño” designa a toda persona menor de 18 años”.</w:t>
      </w:r>
    </w:p>
    <w:p w14:paraId="4DF6DBE7"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n-GB"/>
        </w:rPr>
      </w:pPr>
      <w:r w:rsidRPr="37E26D7F">
        <w:rPr>
          <w:rFonts w:ascii="Arial" w:eastAsia="Arial" w:hAnsi="Arial" w:cs="Arial"/>
          <w:color w:val="000000"/>
          <w:sz w:val="22"/>
          <w:szCs w:val="22"/>
          <w:lang w:val="es-ES" w:eastAsia="en-GB"/>
        </w:rPr>
        <w:t>Según la Encuesta de Trabajo Infantil de 2016</w:t>
      </w:r>
      <w:r w:rsidRPr="37E26D7F">
        <w:rPr>
          <w:rStyle w:val="FootnoteReference"/>
          <w:rFonts w:ascii="Arial" w:eastAsia="Arial" w:hAnsi="Arial" w:cs="Arial"/>
          <w:color w:val="000000"/>
          <w:sz w:val="22"/>
          <w:szCs w:val="22"/>
          <w:lang w:val="es-ES" w:eastAsia="en-GB"/>
        </w:rPr>
        <w:footnoteReference w:id="4"/>
      </w:r>
      <w:r w:rsidRPr="37E26D7F">
        <w:rPr>
          <w:rFonts w:ascii="Arial" w:eastAsia="Arial" w:hAnsi="Arial" w:cs="Arial"/>
          <w:color w:val="000000"/>
          <w:sz w:val="22"/>
          <w:szCs w:val="22"/>
          <w:lang w:val="es-ES" w:eastAsia="en-GB"/>
        </w:rPr>
        <w:t>, que estimó un total de 2,671,233 personas en las 573,431 viviendas particulares ocupadas con población objetivo. El área urbana concentró el 63.5% de la población, mientras que el área rural agrupó el 27.7% y en las comarcas indígena el 8.8%. En la encuesta de 2016 se estimaron 963,848 menores en edades de 5 a 17 años, al desagregar esta población por grupo etario, se obtuvo que el 37.9% de menores corresponden a las edades de 5-9 años, el 38.7% a las edades de 10-14 años y el 23.4% a las edades de 15-17 años.</w:t>
      </w:r>
    </w:p>
    <w:p w14:paraId="125F179E"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n-GB"/>
        </w:rPr>
      </w:pPr>
      <w:r w:rsidRPr="37E26D7F">
        <w:rPr>
          <w:rFonts w:ascii="Arial" w:eastAsia="Arial" w:hAnsi="Arial" w:cs="Arial"/>
          <w:color w:val="000000" w:themeColor="text1"/>
          <w:sz w:val="22"/>
          <w:szCs w:val="22"/>
          <w:lang w:val="es-ES" w:eastAsia="en-GB"/>
        </w:rPr>
        <w:t>La encuesta indica que la población entre 5 a 17 años que se encuentra realizando trabajo infantil es de 23,855. Dividiéndolo por grupos de edad, se obtuvo que el 24.8 % de los menores tienen entre 5-9 años, el 50.7% tiene entre 10-14 años y el 24.4% corresponde a las edades de 15 a 17 años.</w:t>
      </w:r>
    </w:p>
    <w:p w14:paraId="6519D50C"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n-GB"/>
        </w:rPr>
      </w:pPr>
      <w:r w:rsidRPr="37E26D7F">
        <w:rPr>
          <w:rFonts w:ascii="Arial" w:eastAsia="Arial" w:hAnsi="Arial" w:cs="Arial"/>
          <w:color w:val="000000" w:themeColor="text1"/>
          <w:sz w:val="22"/>
          <w:szCs w:val="22"/>
          <w:lang w:val="es-ES" w:eastAsia="en-GB"/>
        </w:rPr>
        <w:t>De esto se desprende que el 22% pertenece al área urbana, mientras que el 46.6% y el 31.4% se encuentran en las zonas rurales e indígenas respectivamente, con una mediana de ingreso mensual estimada en 100 balboas, según la encuesta realizada en octubre de 2016. De estos, el 47.5% trabajan en turno diurno, y el 42.5% en turno vespertino, dificultando que puedan estudiar al mismo tiempo que trabajan.</w:t>
      </w:r>
    </w:p>
    <w:p w14:paraId="2B0F2698"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themeColor="text1"/>
          <w:sz w:val="22"/>
          <w:szCs w:val="22"/>
          <w:lang w:val="es-GT" w:eastAsia="es-ES"/>
        </w:rPr>
        <w:t xml:space="preserve">El </w:t>
      </w:r>
      <w:r w:rsidRPr="00674E54">
        <w:rPr>
          <w:rFonts w:ascii="Arial" w:eastAsia="Arial" w:hAnsi="Arial" w:cs="Arial"/>
          <w:b/>
          <w:bCs/>
          <w:color w:val="000000" w:themeColor="text1"/>
          <w:sz w:val="22"/>
          <w:szCs w:val="22"/>
          <w:lang w:val="es-GT" w:eastAsia="es-ES"/>
        </w:rPr>
        <w:t>trabajo infantil</w:t>
      </w:r>
      <w:r w:rsidRPr="00674E54">
        <w:rPr>
          <w:rFonts w:ascii="Arial" w:eastAsia="Arial" w:hAnsi="Arial" w:cs="Arial"/>
          <w:color w:val="000000" w:themeColor="text1"/>
          <w:sz w:val="22"/>
          <w:szCs w:val="22"/>
          <w:lang w:val="es-GT" w:eastAsia="es-ES"/>
        </w:rPr>
        <w:t xml:space="preserve"> es una realidad permanente de la región de Capira que se manifiesta en distintas formas. Por un lado, </w:t>
      </w:r>
      <w:r w:rsidRPr="00674E54">
        <w:rPr>
          <w:rFonts w:ascii="Arial" w:eastAsia="Arial" w:hAnsi="Arial" w:cs="Arial"/>
          <w:b/>
          <w:bCs/>
          <w:color w:val="000000" w:themeColor="text1"/>
          <w:sz w:val="22"/>
          <w:szCs w:val="22"/>
          <w:lang w:val="es-GT" w:eastAsia="es-ES"/>
        </w:rPr>
        <w:t>muchos niños trabajan en el campo</w:t>
      </w:r>
      <w:r w:rsidRPr="00674E54">
        <w:rPr>
          <w:rFonts w:ascii="Arial" w:eastAsia="Arial" w:hAnsi="Arial" w:cs="Arial"/>
          <w:color w:val="000000" w:themeColor="text1"/>
          <w:sz w:val="22"/>
          <w:szCs w:val="22"/>
          <w:lang w:val="es-GT" w:eastAsia="es-ES"/>
        </w:rPr>
        <w:t xml:space="preserve"> desde temprana edad. Abandonan el colegio, una vez alcanzada la adolescencia, si no poseen posibilidades económicas de continuar, y se dedican a labores agrícolas con otros miembros de su familia. Esto los expone a un ambiente malsano: un problema recurrente es la ingesta de bebidas alcohólicas a temprana edad, práctica realizada con regularidad por sus padres y reproducida por los niños en el entorno del trabajo. Un factor contribuyente a la situación de trabajo infantil es que los salarios en el campo rondan los 10 dólares el día, lo que dificulta para los habitantes lograr salir del círculo de pobreza en el que se encuentran.</w:t>
      </w:r>
    </w:p>
    <w:p w14:paraId="7F486B02"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sz w:val="22"/>
          <w:szCs w:val="22"/>
          <w:lang w:val="es-GT" w:eastAsia="es-ES"/>
        </w:rPr>
        <w:t xml:space="preserve">Por otro lado, hay </w:t>
      </w:r>
      <w:r w:rsidRPr="00674E54">
        <w:rPr>
          <w:rFonts w:ascii="Arial" w:eastAsia="Arial" w:hAnsi="Arial" w:cs="Arial"/>
          <w:b/>
          <w:bCs/>
          <w:color w:val="000000"/>
          <w:sz w:val="22"/>
          <w:szCs w:val="22"/>
          <w:lang w:val="es-GT" w:eastAsia="es-ES"/>
        </w:rPr>
        <w:t>muchas niñas que se dedican al trabajo doméstico</w:t>
      </w:r>
      <w:r w:rsidRPr="00674E54">
        <w:rPr>
          <w:rFonts w:ascii="Arial" w:eastAsia="Arial" w:hAnsi="Arial" w:cs="Arial"/>
          <w:color w:val="000000"/>
          <w:sz w:val="22"/>
          <w:szCs w:val="22"/>
          <w:lang w:val="es-GT" w:eastAsia="es-ES"/>
        </w:rPr>
        <w:t>. Estas terminan el ciclo básico de educación, o el nivel de pre media en el mejor de los casos, y abandonan los estudios con el propósito de trabajar para aportar a la economía de su hogar. Por lo general, son contratadas como empleadas domésticas en áreas urbanas, lejos de su hogar, lo cual las expone a riesgos como abuso sexual, físico o psicológico o explotación laboral. Existen programas de gobierno que buscan mitigar esta realidad, pero su alcance es limitado o nulo en estas regiones. Cabe señalar que Panamá ratificó en 2015 el Convenio 189 sobre las Trabadoras y los Trabajadores Domésticos, lo cual lo compromete a implementar medidas para lograr "la abolición efectiva del trabajo infantil"</w:t>
      </w:r>
      <w:r w:rsidRPr="37E26D7F">
        <w:rPr>
          <w:rStyle w:val="FootnoteReference"/>
          <w:rFonts w:ascii="Arial" w:eastAsia="Arial" w:hAnsi="Arial" w:cs="Arial"/>
          <w:color w:val="000000"/>
          <w:sz w:val="22"/>
          <w:szCs w:val="22"/>
          <w:lang w:eastAsia="es-ES"/>
        </w:rPr>
        <w:footnoteReference w:id="5"/>
      </w:r>
      <w:r w:rsidRPr="00674E54">
        <w:rPr>
          <w:rFonts w:ascii="Arial" w:eastAsia="Arial" w:hAnsi="Arial" w:cs="Arial"/>
          <w:color w:val="000000"/>
          <w:sz w:val="22"/>
          <w:szCs w:val="22"/>
          <w:lang w:val="es-GT" w:eastAsia="es-ES"/>
        </w:rPr>
        <w:t>.</w:t>
      </w:r>
    </w:p>
    <w:p w14:paraId="183E2B1B"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sz w:val="22"/>
          <w:szCs w:val="22"/>
          <w:lang w:val="es-GT" w:eastAsia="es-ES"/>
        </w:rPr>
        <w:t xml:space="preserve"> </w:t>
      </w:r>
    </w:p>
    <w:p w14:paraId="24087C8F" w14:textId="77777777" w:rsidR="00674E54" w:rsidRPr="00674E54" w:rsidRDefault="00674E54" w:rsidP="00674E54">
      <w:pPr>
        <w:spacing w:before="240" w:after="240" w:line="276" w:lineRule="auto"/>
        <w:jc w:val="both"/>
        <w:rPr>
          <w:rFonts w:ascii="Arial" w:eastAsia="Arial" w:hAnsi="Arial" w:cs="Arial"/>
          <w:b/>
          <w:bCs/>
          <w:color w:val="000000" w:themeColor="text1"/>
          <w:sz w:val="22"/>
          <w:szCs w:val="22"/>
          <w:lang w:val="es-GT" w:eastAsia="es-ES"/>
        </w:rPr>
      </w:pPr>
      <w:r w:rsidRPr="00674E54">
        <w:rPr>
          <w:rFonts w:ascii="Arial" w:eastAsia="Arial" w:hAnsi="Arial" w:cs="Arial"/>
          <w:b/>
          <w:bCs/>
          <w:color w:val="000000" w:themeColor="text1"/>
          <w:sz w:val="22"/>
          <w:szCs w:val="22"/>
          <w:lang w:val="es-GT" w:eastAsia="es-ES"/>
        </w:rPr>
        <w:t>Concubinato forzado</w:t>
      </w:r>
    </w:p>
    <w:p w14:paraId="749F33F1"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themeColor="text1"/>
          <w:sz w:val="22"/>
          <w:szCs w:val="22"/>
          <w:lang w:val="es-GT" w:eastAsia="es-ES"/>
        </w:rPr>
        <w:t>El artículo 19 de la Convención de Derechos del Niño establece lo siguiente:</w:t>
      </w:r>
    </w:p>
    <w:p w14:paraId="1A989505" w14:textId="77777777" w:rsidR="00674E54" w:rsidRPr="00674E54" w:rsidRDefault="00674E54" w:rsidP="00674E54">
      <w:pPr>
        <w:spacing w:before="240" w:after="240" w:line="276" w:lineRule="auto"/>
        <w:jc w:val="both"/>
        <w:rPr>
          <w:rFonts w:ascii="Arial" w:eastAsia="Arial" w:hAnsi="Arial" w:cs="Arial"/>
          <w:i/>
          <w:iCs/>
          <w:sz w:val="20"/>
          <w:szCs w:val="20"/>
          <w:lang w:val="es-GT"/>
        </w:rPr>
      </w:pPr>
      <w:r w:rsidRPr="37E26D7F">
        <w:rPr>
          <w:rFonts w:ascii="Arial" w:eastAsia="Arial" w:hAnsi="Arial" w:cs="Arial"/>
          <w:i/>
          <w:iCs/>
          <w:sz w:val="20"/>
          <w:szCs w:val="20"/>
          <w:lang w:val="es-ES"/>
        </w:rPr>
        <w:t>"Los Estados Partes adoptarán todas las medidas legislativas, administrativas, sociales y educativas apropiadas para proteger al niño contra toda forma de perjuicio o abuso físico o mental, descuido o trato negligente, malos tratos o explotación, incluido el abuso sexual, mientras el niño se encuentre bajo la custodia de los padres, de un representante legal o de cualquier otra persona que lo tenga a su cargo." (párr. 1)</w:t>
      </w:r>
    </w:p>
    <w:p w14:paraId="6A99AD04" w14:textId="77777777" w:rsidR="00674E54" w:rsidRPr="00674E54" w:rsidRDefault="00674E54" w:rsidP="00674E54">
      <w:pPr>
        <w:pStyle w:val="Heading3"/>
        <w:ind w:left="0" w:firstLine="0"/>
      </w:pPr>
      <w:r w:rsidRPr="00674E54">
        <w:t xml:space="preserve">El artículo 34 dice que </w:t>
      </w:r>
      <w:r w:rsidRPr="00674E54">
        <w:rPr>
          <w:i/>
        </w:rPr>
        <w:t>"Los Estados Partes se comprometen a proteger al niño contra todas las formas de explotación y abusos sexuales."</w:t>
      </w:r>
      <w:r w:rsidRPr="00674E54">
        <w:t xml:space="preserve"> (párr. 1)</w:t>
      </w:r>
    </w:p>
    <w:p w14:paraId="248F683E" w14:textId="77777777" w:rsidR="00674E54" w:rsidRPr="00674E54" w:rsidRDefault="00674E54" w:rsidP="00674E54">
      <w:pPr>
        <w:spacing w:before="240" w:after="240" w:line="276" w:lineRule="auto"/>
        <w:jc w:val="both"/>
        <w:rPr>
          <w:rFonts w:ascii="Arial" w:eastAsia="Arial" w:hAnsi="Arial" w:cs="Arial"/>
          <w:sz w:val="22"/>
          <w:szCs w:val="22"/>
          <w:lang w:val="es-GT"/>
        </w:rPr>
      </w:pPr>
      <w:r w:rsidRPr="37E26D7F">
        <w:rPr>
          <w:rFonts w:ascii="Arial" w:eastAsia="Arial" w:hAnsi="Arial" w:cs="Arial"/>
          <w:sz w:val="22"/>
          <w:szCs w:val="22"/>
          <w:lang w:val="es-ES"/>
        </w:rPr>
        <w:t>Además, e</w:t>
      </w:r>
      <w:r w:rsidRPr="00674E54">
        <w:rPr>
          <w:rFonts w:ascii="Arial" w:eastAsia="Arial" w:hAnsi="Arial" w:cs="Arial"/>
          <w:color w:val="000000" w:themeColor="text1"/>
          <w:sz w:val="22"/>
          <w:szCs w:val="22"/>
          <w:lang w:val="es-GT" w:eastAsia="es-ES"/>
        </w:rPr>
        <w:t xml:space="preserve">l Código de la Familia establece en su artículo 501 que </w:t>
      </w:r>
      <w:r w:rsidRPr="00674E54">
        <w:rPr>
          <w:rFonts w:ascii="Arial" w:eastAsia="Arial" w:hAnsi="Arial" w:cs="Arial"/>
          <w:color w:val="000000" w:themeColor="text1"/>
          <w:sz w:val="20"/>
          <w:szCs w:val="20"/>
          <w:lang w:val="es-GT" w:eastAsia="es-ES"/>
        </w:rPr>
        <w:t xml:space="preserve">"el menor es víctima cuando (…) </w:t>
      </w:r>
      <w:r w:rsidRPr="37E26D7F">
        <w:rPr>
          <w:rFonts w:ascii="Arial" w:eastAsia="Arial" w:hAnsi="Arial" w:cs="Arial"/>
          <w:sz w:val="20"/>
          <w:szCs w:val="20"/>
          <w:lang w:val="es-ES"/>
        </w:rPr>
        <w:t>Se cometa o se permita que otros cometan abuso sexual con el menor u otros actos lascivos o impúdicos, aunque no impliquen acceso carnal".</w:t>
      </w:r>
      <w:bookmarkStart w:id="0" w:name="_GoBack"/>
      <w:bookmarkEnd w:id="0"/>
    </w:p>
    <w:p w14:paraId="2C9EDAAE" w14:textId="77777777" w:rsidR="00674E54" w:rsidRPr="00674E54" w:rsidRDefault="00674E54" w:rsidP="00674E54">
      <w:pPr>
        <w:spacing w:before="240" w:after="240" w:line="276" w:lineRule="auto"/>
        <w:jc w:val="both"/>
        <w:rPr>
          <w:rFonts w:ascii="Arial" w:eastAsia="Arial" w:hAnsi="Arial" w:cs="Arial"/>
          <w:sz w:val="22"/>
          <w:szCs w:val="22"/>
          <w:lang w:val="es-GT"/>
        </w:rPr>
      </w:pPr>
      <w:r w:rsidRPr="37E26D7F">
        <w:rPr>
          <w:rFonts w:ascii="Arial" w:eastAsia="Arial" w:hAnsi="Arial" w:cs="Arial"/>
          <w:sz w:val="22"/>
          <w:szCs w:val="22"/>
          <w:lang w:val="es-ES"/>
        </w:rPr>
        <w:t>Teniendo esto en mente, las niñas que se encuentren en situación de concubinato forzado, obligadas a llevar a término embarazos precoces para después ser abandonadas, deben beneficiar de mayor atención y acción concreta por parte del Estado.</w:t>
      </w:r>
    </w:p>
    <w:p w14:paraId="65381BFA"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r w:rsidRPr="00674E54">
        <w:rPr>
          <w:rFonts w:ascii="Arial" w:eastAsia="Arial" w:hAnsi="Arial" w:cs="Arial"/>
          <w:color w:val="000000" w:themeColor="text1"/>
          <w:sz w:val="22"/>
          <w:szCs w:val="22"/>
          <w:lang w:val="es-GT" w:eastAsia="es-ES"/>
        </w:rPr>
        <w:t xml:space="preserve">En Capira, y en muchas áreas rurales, hay </w:t>
      </w:r>
      <w:r w:rsidRPr="00674E54">
        <w:rPr>
          <w:rFonts w:ascii="Arial" w:eastAsia="Arial" w:hAnsi="Arial" w:cs="Arial"/>
          <w:b/>
          <w:bCs/>
          <w:color w:val="000000" w:themeColor="text1"/>
          <w:sz w:val="22"/>
          <w:szCs w:val="22"/>
          <w:lang w:val="es-GT" w:eastAsia="es-ES"/>
        </w:rPr>
        <w:t>muchas niñas entre 12 y 15 años que viven en concubinato con adultos</w:t>
      </w:r>
      <w:r w:rsidRPr="00674E54">
        <w:rPr>
          <w:rFonts w:ascii="Arial" w:eastAsia="Arial" w:hAnsi="Arial" w:cs="Arial"/>
          <w:color w:val="000000" w:themeColor="text1"/>
          <w:sz w:val="22"/>
          <w:szCs w:val="22"/>
          <w:lang w:val="es-GT" w:eastAsia="es-ES"/>
        </w:rPr>
        <w:t xml:space="preserve">. Abandonan sus estudios por involucrarse en una relación marital, lo que trae como consecuencia abusos sexuales (al no tener edad legal para consentir), embarazos prematuros, abandono y pobreza. Este tipo de relación puede ocurrir entre miembros de la misma familia, sin embargo, en la región de Capira, la incidencia de estos casos es poca. Las relaciones en concubinato con menores de edad no son duraderas y, una vez que las niñas quedan embarazadas, son muy pocos los adultos que permanecen con ellas. Hay poco apoyo de las autoridades y se denuncia muy poco estos casos a causa de una normalización de la situación para los miembros de la comunidad. </w:t>
      </w:r>
    </w:p>
    <w:p w14:paraId="34962CB3" w14:textId="77777777" w:rsidR="00674E54" w:rsidRPr="00674E54" w:rsidRDefault="00674E54" w:rsidP="00674E54">
      <w:pPr>
        <w:spacing w:before="240" w:after="240" w:line="276" w:lineRule="auto"/>
        <w:jc w:val="both"/>
        <w:rPr>
          <w:rFonts w:ascii="Arial" w:eastAsia="Arial" w:hAnsi="Arial" w:cs="Arial"/>
          <w:color w:val="000000" w:themeColor="text1"/>
          <w:sz w:val="22"/>
          <w:szCs w:val="22"/>
          <w:lang w:val="es-GT" w:eastAsia="es-ES"/>
        </w:rPr>
      </w:pPr>
    </w:p>
    <w:p w14:paraId="003D9191" w14:textId="77777777" w:rsidR="00674E54" w:rsidRPr="00674E54" w:rsidRDefault="00674E54" w:rsidP="00674E54">
      <w:pPr>
        <w:spacing w:before="240" w:after="240" w:line="276" w:lineRule="auto"/>
        <w:jc w:val="both"/>
        <w:rPr>
          <w:rFonts w:ascii="Arial" w:eastAsia="Arial" w:hAnsi="Arial" w:cs="Arial"/>
          <w:b/>
          <w:bCs/>
          <w:color w:val="000000" w:themeColor="text1"/>
          <w:sz w:val="26"/>
          <w:szCs w:val="26"/>
          <w:lang w:val="es-ES" w:eastAsia="es-ES"/>
        </w:rPr>
      </w:pPr>
      <w:r w:rsidRPr="00674E54">
        <w:rPr>
          <w:rFonts w:ascii="Arial" w:eastAsia="Arial" w:hAnsi="Arial" w:cs="Arial"/>
          <w:b/>
          <w:bCs/>
          <w:color w:val="000000" w:themeColor="text1"/>
          <w:sz w:val="26"/>
          <w:szCs w:val="26"/>
          <w:lang w:val="es-ES" w:eastAsia="es-ES"/>
        </w:rPr>
        <w:t>Recomendaciones:</w:t>
      </w:r>
    </w:p>
    <w:p w14:paraId="427C965A" w14:textId="77777777" w:rsidR="00674E54" w:rsidRPr="00674E54" w:rsidRDefault="00674E54" w:rsidP="00674E54">
      <w:pPr>
        <w:pStyle w:val="ListParagraph"/>
        <w:rPr>
          <w:sz w:val="26"/>
          <w:szCs w:val="26"/>
          <w:lang w:val="es-ES" w:eastAsia="es-ES"/>
        </w:rPr>
      </w:pPr>
      <w:r w:rsidRPr="00674E54">
        <w:rPr>
          <w:sz w:val="26"/>
          <w:szCs w:val="26"/>
          <w:lang w:val="es-ES" w:eastAsia="es-ES"/>
        </w:rPr>
        <w:t>Realizar un estudio profundo e independiente sobre los factores de riesgo que provocan los problemas de abandono escolar en esta región y en las zonas rurales en general.</w:t>
      </w:r>
    </w:p>
    <w:p w14:paraId="736B4FEF" w14:textId="77777777" w:rsidR="00674E54" w:rsidRPr="00674E54" w:rsidRDefault="00674E54" w:rsidP="00674E54">
      <w:pPr>
        <w:pStyle w:val="ListParagraph"/>
        <w:numPr>
          <w:ilvl w:val="0"/>
          <w:numId w:val="0"/>
        </w:numPr>
        <w:ind w:left="720"/>
        <w:rPr>
          <w:sz w:val="26"/>
          <w:szCs w:val="26"/>
          <w:lang w:val="es-ES" w:eastAsia="es-ES"/>
        </w:rPr>
      </w:pPr>
    </w:p>
    <w:p w14:paraId="6801652E" w14:textId="40A0C9D2" w:rsidR="00674E54" w:rsidRPr="00674E54" w:rsidRDefault="00674E54" w:rsidP="00674E54">
      <w:pPr>
        <w:pStyle w:val="ListParagraph"/>
        <w:rPr>
          <w:sz w:val="26"/>
          <w:szCs w:val="26"/>
          <w:lang w:val="es-ES" w:eastAsia="es-ES"/>
        </w:rPr>
      </w:pPr>
      <w:r w:rsidRPr="00674E54">
        <w:rPr>
          <w:sz w:val="26"/>
          <w:szCs w:val="26"/>
          <w:lang w:val="es-ES" w:eastAsia="es-ES"/>
        </w:rPr>
        <w:t>Establecer un plan de sensibilización con la comunidad sobre su situación actual y su corresponsabilidad en las posibles soluciones.</w:t>
      </w:r>
    </w:p>
    <w:p w14:paraId="18939744" w14:textId="77777777" w:rsidR="00674E54" w:rsidRPr="00674E54" w:rsidRDefault="00674E54" w:rsidP="00674E54">
      <w:pPr>
        <w:pStyle w:val="ListParagraph"/>
        <w:numPr>
          <w:ilvl w:val="1"/>
          <w:numId w:val="17"/>
        </w:numPr>
        <w:rPr>
          <w:sz w:val="26"/>
          <w:szCs w:val="26"/>
          <w:lang w:val="es-ES" w:eastAsia="es-ES"/>
        </w:rPr>
      </w:pPr>
      <w:r w:rsidRPr="00674E54">
        <w:rPr>
          <w:sz w:val="26"/>
          <w:szCs w:val="26"/>
          <w:lang w:val="es-ES" w:eastAsia="es-ES"/>
        </w:rPr>
        <w:t>Establecer campañas de sensibilización en cuanto a prácticas tradicionales nocivas, como el concubinato de niñas y el consumo de alcohol por menores.</w:t>
      </w:r>
    </w:p>
    <w:p w14:paraId="711EC159" w14:textId="77777777" w:rsidR="00674E54" w:rsidRPr="00674E54" w:rsidRDefault="00674E54" w:rsidP="00674E54">
      <w:pPr>
        <w:pStyle w:val="ListParagraph"/>
        <w:numPr>
          <w:ilvl w:val="1"/>
          <w:numId w:val="17"/>
        </w:numPr>
        <w:rPr>
          <w:sz w:val="26"/>
          <w:szCs w:val="26"/>
          <w:lang w:val="es-ES" w:eastAsia="es-ES"/>
        </w:rPr>
      </w:pPr>
      <w:r w:rsidRPr="00674E54">
        <w:rPr>
          <w:sz w:val="26"/>
          <w:szCs w:val="26"/>
          <w:lang w:val="es-ES" w:eastAsia="es-ES"/>
        </w:rPr>
        <w:t>Implementar mecanismos de protección y de denuncia para situaciones de abuso y violencia, dirigidos hacia NNA.</w:t>
      </w:r>
    </w:p>
    <w:p w14:paraId="12F26399" w14:textId="77777777" w:rsidR="00674E54" w:rsidRPr="00674E54" w:rsidRDefault="00674E54" w:rsidP="00674E54">
      <w:pPr>
        <w:pStyle w:val="ListParagraph"/>
        <w:numPr>
          <w:ilvl w:val="0"/>
          <w:numId w:val="0"/>
        </w:numPr>
        <w:ind w:left="1440"/>
        <w:rPr>
          <w:sz w:val="26"/>
          <w:szCs w:val="26"/>
          <w:lang w:val="es-ES" w:eastAsia="es-ES"/>
        </w:rPr>
      </w:pPr>
    </w:p>
    <w:p w14:paraId="43EC75A2" w14:textId="77777777" w:rsidR="00674E54" w:rsidRPr="00674E54" w:rsidRDefault="00674E54" w:rsidP="00674E54">
      <w:pPr>
        <w:pStyle w:val="ListParagraph"/>
        <w:rPr>
          <w:sz w:val="26"/>
          <w:szCs w:val="26"/>
          <w:lang w:val="es-ES" w:eastAsia="es-ES"/>
        </w:rPr>
      </w:pPr>
      <w:r w:rsidRPr="00674E54">
        <w:rPr>
          <w:sz w:val="26"/>
          <w:szCs w:val="26"/>
          <w:lang w:val="es-ES" w:eastAsia="es-ES"/>
        </w:rPr>
        <w:t>Identificar y apoyar proyectos locales orientados en mejorar las condiciones de riesgo social, como la desnutrición y el acceso a centros educativos.</w:t>
      </w:r>
    </w:p>
    <w:p w14:paraId="77E3A7DE" w14:textId="77777777" w:rsidR="00674E54" w:rsidRPr="00674E54" w:rsidRDefault="00674E54" w:rsidP="00674E54">
      <w:pPr>
        <w:pStyle w:val="ListParagraph"/>
        <w:numPr>
          <w:ilvl w:val="0"/>
          <w:numId w:val="0"/>
        </w:numPr>
        <w:ind w:left="720"/>
        <w:rPr>
          <w:sz w:val="26"/>
          <w:szCs w:val="26"/>
          <w:lang w:val="es-ES" w:eastAsia="es-ES"/>
        </w:rPr>
      </w:pPr>
    </w:p>
    <w:p w14:paraId="73ABD955" w14:textId="7122C058" w:rsidR="00674E54" w:rsidRPr="00674E54" w:rsidRDefault="00674E54" w:rsidP="00674E54">
      <w:pPr>
        <w:pStyle w:val="ListParagraph"/>
        <w:rPr>
          <w:sz w:val="26"/>
          <w:szCs w:val="26"/>
          <w:lang w:val="es-ES" w:eastAsia="es-ES"/>
        </w:rPr>
      </w:pPr>
      <w:r w:rsidRPr="00674E54">
        <w:rPr>
          <w:sz w:val="26"/>
          <w:szCs w:val="26"/>
          <w:lang w:val="es-ES" w:eastAsia="es-ES"/>
        </w:rPr>
        <w:t>Adelantar conversaciones con el gobierno sobre tareas conjuntas e involucrar instituciones, ONG y sociedad civil en el manejo y seguimiento de estas acciones.</w:t>
      </w:r>
    </w:p>
    <w:p w14:paraId="5D39DF50" w14:textId="77777777" w:rsidR="00674E54" w:rsidRPr="00674E54" w:rsidRDefault="00674E54" w:rsidP="00674E54">
      <w:pPr>
        <w:pStyle w:val="ListParagraph"/>
        <w:numPr>
          <w:ilvl w:val="0"/>
          <w:numId w:val="0"/>
        </w:numPr>
        <w:ind w:left="720"/>
        <w:rPr>
          <w:sz w:val="26"/>
          <w:szCs w:val="26"/>
          <w:lang w:val="es-ES" w:eastAsia="es-ES"/>
        </w:rPr>
      </w:pPr>
    </w:p>
    <w:p w14:paraId="2BB4DD40" w14:textId="77777777" w:rsidR="00674E54" w:rsidRPr="00674E54" w:rsidRDefault="00674E54" w:rsidP="00674E54">
      <w:pPr>
        <w:pStyle w:val="ListParagraph"/>
        <w:rPr>
          <w:sz w:val="26"/>
          <w:szCs w:val="26"/>
          <w:lang w:val="es-ES" w:eastAsia="es-ES"/>
        </w:rPr>
      </w:pPr>
      <w:r w:rsidRPr="00674E54">
        <w:rPr>
          <w:sz w:val="26"/>
          <w:szCs w:val="26"/>
          <w:lang w:val="es-ES" w:eastAsia="es-ES"/>
        </w:rPr>
        <w:t xml:space="preserve">Implementación de un programa a mediano plazo a través de ONG o entidades del gobierno que busque reducir la deserción escolar a través de acciones concretas en conjunto con las autoridades y la comunidad. </w:t>
      </w:r>
    </w:p>
    <w:p w14:paraId="5498B4D8" w14:textId="77777777" w:rsidR="00674E54" w:rsidRPr="00674E54" w:rsidRDefault="00674E54" w:rsidP="00674E54">
      <w:pPr>
        <w:pStyle w:val="ListParagraph"/>
        <w:numPr>
          <w:ilvl w:val="1"/>
          <w:numId w:val="17"/>
        </w:numPr>
        <w:rPr>
          <w:sz w:val="26"/>
          <w:szCs w:val="26"/>
          <w:lang w:val="es-ES" w:eastAsia="es-ES"/>
        </w:rPr>
      </w:pPr>
      <w:r w:rsidRPr="00674E54">
        <w:rPr>
          <w:sz w:val="26"/>
          <w:szCs w:val="26"/>
          <w:lang w:val="es-ES" w:eastAsia="es-ES"/>
        </w:rPr>
        <w:t>Capacitación de docentes y mejoras a la infraestructura escolar (electricidad, huertas y alojamiento para estudiantes).</w:t>
      </w:r>
    </w:p>
    <w:p w14:paraId="015E9F16" w14:textId="77777777" w:rsidR="00674E54" w:rsidRPr="00674E54" w:rsidRDefault="00674E54" w:rsidP="00674E54">
      <w:pPr>
        <w:spacing w:line="276" w:lineRule="auto"/>
        <w:ind w:firstLine="709"/>
        <w:rPr>
          <w:rFonts w:ascii="Arial" w:eastAsia="Arial" w:hAnsi="Arial" w:cs="Arial"/>
          <w:color w:val="000000" w:themeColor="text1"/>
          <w:sz w:val="26"/>
          <w:szCs w:val="26"/>
          <w:lang w:val="es-ES" w:eastAsia="es-ES"/>
        </w:rPr>
      </w:pPr>
    </w:p>
    <w:p w14:paraId="2609AF97" w14:textId="77777777" w:rsidR="00674E54" w:rsidRPr="00674E54" w:rsidRDefault="00674E54" w:rsidP="00674E54">
      <w:pPr>
        <w:spacing w:line="276" w:lineRule="auto"/>
        <w:ind w:firstLine="709"/>
        <w:rPr>
          <w:rFonts w:ascii="Arial" w:eastAsia="Arial" w:hAnsi="Arial" w:cs="Arial"/>
          <w:color w:val="000000" w:themeColor="text1"/>
          <w:sz w:val="22"/>
          <w:szCs w:val="22"/>
          <w:lang w:val="es-ES" w:eastAsia="es-ES"/>
        </w:rPr>
      </w:pPr>
    </w:p>
    <w:p w14:paraId="5CA1E7DB" w14:textId="77777777" w:rsidR="00674E54" w:rsidRPr="00674E54" w:rsidRDefault="00674E54" w:rsidP="00674E54">
      <w:pPr>
        <w:jc w:val="both"/>
        <w:rPr>
          <w:rFonts w:ascii="Arial" w:eastAsia="Arial" w:hAnsi="Arial" w:cs="Arial"/>
          <w:lang w:val="es-ES"/>
        </w:rPr>
      </w:pPr>
    </w:p>
    <w:p w14:paraId="44CE086D" w14:textId="77777777" w:rsidR="00BE6641" w:rsidRPr="00674E54" w:rsidRDefault="00BE6641" w:rsidP="00A52BAE">
      <w:pPr>
        <w:jc w:val="both"/>
        <w:rPr>
          <w:rFonts w:ascii="Times New Roman" w:hAnsi="Times New Roman" w:cs="Times New Roman"/>
          <w:lang w:val="es-ES"/>
        </w:rPr>
      </w:pPr>
    </w:p>
    <w:sectPr w:rsidR="00BE6641" w:rsidRPr="00674E54" w:rsidSect="00981D35">
      <w:headerReference w:type="default" r:id="rId8"/>
      <w:footerReference w:type="default" r:id="rId9"/>
      <w:pgSz w:w="12240" w:h="15840" w:code="1"/>
      <w:pgMar w:top="2448" w:right="1080" w:bottom="2044" w:left="108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7F636" w14:textId="77777777" w:rsidR="00E45156" w:rsidRDefault="00E45156" w:rsidP="00BE6641">
      <w:r>
        <w:separator/>
      </w:r>
    </w:p>
  </w:endnote>
  <w:endnote w:type="continuationSeparator" w:id="0">
    <w:p w14:paraId="5153400F" w14:textId="77777777" w:rsidR="00E45156" w:rsidRDefault="00E45156" w:rsidP="00BE6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F" w:usb2="00000012" w:usb3="00000000" w:csb0="0002009F" w:csb1="00000000"/>
  </w:font>
  <w:font w:name="Helvetica">
    <w:panose1 w:val="00000000000000000000"/>
    <w:charset w:val="00"/>
    <w:family w:val="swiss"/>
    <w:pitch w:val="variable"/>
    <w:sig w:usb0="E00002FF" w:usb1="5000785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CBE8D" w14:textId="77777777" w:rsidR="006D52D2" w:rsidRDefault="006D52D2" w:rsidP="007B39F2">
    <w:pPr>
      <w:pStyle w:val="Footer"/>
      <w:ind w:right="15"/>
    </w:pPr>
    <w:r>
      <w:rPr>
        <w:noProof/>
        <w:lang w:val="en-GB" w:eastAsia="en-GB"/>
      </w:rPr>
      <w:drawing>
        <wp:inline distT="0" distB="0" distL="0" distR="0" wp14:anchorId="288DD446" wp14:editId="6415598B">
          <wp:extent cx="6373219" cy="720000"/>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png"/>
                  <pic:cNvPicPr/>
                </pic:nvPicPr>
                <pic:blipFill>
                  <a:blip r:embed="rId1">
                    <a:extLst>
                      <a:ext uri="{28A0092B-C50C-407E-A947-70E740481C1C}">
                        <a14:useLocalDpi xmlns:a14="http://schemas.microsoft.com/office/drawing/2010/main" val="0"/>
                      </a:ext>
                    </a:extLst>
                  </a:blip>
                  <a:stretch>
                    <a:fillRect/>
                  </a:stretch>
                </pic:blipFill>
                <pic:spPr>
                  <a:xfrm>
                    <a:off x="0" y="0"/>
                    <a:ext cx="6373219" cy="720000"/>
                  </a:xfrm>
                  <a:prstGeom prst="rect">
                    <a:avLst/>
                  </a:prstGeom>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4DDF16" w14:textId="77777777" w:rsidR="00E45156" w:rsidRDefault="00E45156" w:rsidP="00BE6641">
      <w:r>
        <w:separator/>
      </w:r>
    </w:p>
  </w:footnote>
  <w:footnote w:type="continuationSeparator" w:id="0">
    <w:p w14:paraId="58E51558" w14:textId="77777777" w:rsidR="00E45156" w:rsidRDefault="00E45156" w:rsidP="00BE6641">
      <w:r>
        <w:continuationSeparator/>
      </w:r>
    </w:p>
  </w:footnote>
  <w:footnote w:id="1">
    <w:p w14:paraId="78F93A30" w14:textId="77777777" w:rsidR="00674E54" w:rsidRDefault="00674E54" w:rsidP="00674E54">
      <w:pPr>
        <w:jc w:val="both"/>
        <w:rPr>
          <w:rFonts w:ascii="Arial" w:eastAsia="Arial" w:hAnsi="Arial" w:cs="Arial"/>
          <w:sz w:val="18"/>
          <w:szCs w:val="18"/>
          <w:lang w:val="es-EC"/>
        </w:rPr>
      </w:pPr>
      <w:r w:rsidRPr="37E26D7F">
        <w:rPr>
          <w:rStyle w:val="FootnoteReference"/>
          <w:rFonts w:ascii="Arial" w:eastAsia="Arial" w:hAnsi="Arial" w:cs="Arial"/>
          <w:sz w:val="18"/>
          <w:szCs w:val="18"/>
        </w:rPr>
        <w:footnoteRef/>
      </w:r>
      <w:r w:rsidRPr="00674E54">
        <w:rPr>
          <w:rFonts w:ascii="Arial" w:eastAsia="Arial" w:hAnsi="Arial" w:cs="Arial"/>
          <w:sz w:val="18"/>
          <w:szCs w:val="18"/>
          <w:lang w:val="es-GT"/>
        </w:rPr>
        <w:t xml:space="preserve"> </w:t>
      </w:r>
      <w:r w:rsidRPr="37E26D7F">
        <w:rPr>
          <w:rFonts w:ascii="Arial" w:eastAsia="Arial" w:hAnsi="Arial" w:cs="Arial"/>
          <w:color w:val="000000" w:themeColor="text1"/>
          <w:sz w:val="18"/>
          <w:szCs w:val="18"/>
          <w:lang w:val="es-EC"/>
        </w:rPr>
        <w:t xml:space="preserve">Para más información: </w:t>
      </w:r>
      <w:hyperlink r:id="rId1">
        <w:r w:rsidRPr="37E26D7F">
          <w:rPr>
            <w:rStyle w:val="Hyperlink"/>
            <w:rFonts w:ascii="Arial" w:eastAsia="Arial" w:hAnsi="Arial" w:cs="Arial"/>
            <w:lang w:val="es-EC"/>
          </w:rPr>
          <w:t>http://ridh.org/</w:t>
        </w:r>
      </w:hyperlink>
      <w:r w:rsidRPr="37E26D7F">
        <w:rPr>
          <w:rFonts w:ascii="Arial" w:eastAsia="Arial" w:hAnsi="Arial" w:cs="Arial"/>
          <w:sz w:val="18"/>
          <w:szCs w:val="18"/>
          <w:lang w:val="es-EC"/>
        </w:rPr>
        <w:t>. Redes sociales: Red Internacional de Derechos Humanos (Facebook) y RIDH_INHR (Twitter).</w:t>
      </w:r>
    </w:p>
  </w:footnote>
  <w:footnote w:id="2">
    <w:p w14:paraId="0C3A49CA" w14:textId="77777777" w:rsidR="00674E54" w:rsidRDefault="00674E54" w:rsidP="00674E54">
      <w:pPr>
        <w:pStyle w:val="FootnoteText"/>
        <w:rPr>
          <w:rFonts w:ascii="Arial" w:eastAsia="Arial" w:hAnsi="Arial" w:cs="Arial"/>
          <w:sz w:val="18"/>
          <w:szCs w:val="18"/>
        </w:rPr>
      </w:pPr>
      <w:r w:rsidRPr="37E26D7F">
        <w:rPr>
          <w:rStyle w:val="FootnoteReference"/>
          <w:rFonts w:ascii="Arial" w:eastAsia="Arial" w:hAnsi="Arial" w:cs="Arial"/>
          <w:sz w:val="18"/>
          <w:szCs w:val="18"/>
        </w:rPr>
        <w:footnoteRef/>
      </w:r>
      <w:r w:rsidRPr="37E26D7F">
        <w:rPr>
          <w:rFonts w:ascii="Arial" w:eastAsia="Arial" w:hAnsi="Arial" w:cs="Arial"/>
          <w:sz w:val="18"/>
          <w:szCs w:val="18"/>
        </w:rPr>
        <w:t>http://www.ilo.org/dyn/natlex/docs/ELECTRONIC/82627/90647/F437434136/PAN%201994%20L%2082627.pdf</w:t>
      </w:r>
    </w:p>
  </w:footnote>
  <w:footnote w:id="3">
    <w:p w14:paraId="332D71B9" w14:textId="77777777" w:rsidR="00674E54" w:rsidRDefault="00674E54" w:rsidP="00674E54">
      <w:pPr>
        <w:pStyle w:val="FootnoteText"/>
        <w:rPr>
          <w:rFonts w:ascii="Arial" w:eastAsia="Arial" w:hAnsi="Arial" w:cs="Arial"/>
          <w:sz w:val="18"/>
          <w:szCs w:val="18"/>
        </w:rPr>
      </w:pPr>
      <w:r w:rsidRPr="37E26D7F">
        <w:rPr>
          <w:rStyle w:val="FootnoteReference"/>
          <w:rFonts w:ascii="Arial" w:eastAsia="Arial" w:hAnsi="Arial" w:cs="Arial"/>
          <w:sz w:val="18"/>
          <w:szCs w:val="18"/>
        </w:rPr>
        <w:footnoteRef/>
      </w:r>
      <w:r w:rsidRPr="37E26D7F">
        <w:rPr>
          <w:rFonts w:ascii="Arial" w:eastAsia="Arial" w:hAnsi="Arial" w:cs="Arial"/>
          <w:sz w:val="18"/>
          <w:szCs w:val="18"/>
        </w:rPr>
        <w:t xml:space="preserve"> Contraloría General de la República de Panamá, Instituto Nacional de Estadística y Censo. Cuadro 441-15.  Asistencia Escolar y Realiza Tareas del Hogar. Véase en: </w:t>
      </w:r>
      <w:hyperlink r:id="rId2" w:history="1">
        <w:r w:rsidRPr="37E26D7F">
          <w:rPr>
            <w:rStyle w:val="Hyperlink"/>
            <w:rFonts w:ascii="Arial" w:eastAsia="Arial" w:hAnsi="Arial" w:cs="Arial"/>
          </w:rPr>
          <w:t>https://www.contraloria.gob.pa/INEC/archivos/P8031441-15.pdf</w:t>
        </w:r>
      </w:hyperlink>
    </w:p>
    <w:p w14:paraId="7170878B" w14:textId="77777777" w:rsidR="00674E54" w:rsidRDefault="00674E54" w:rsidP="00674E54">
      <w:pPr>
        <w:pStyle w:val="FootnoteText"/>
      </w:pPr>
    </w:p>
  </w:footnote>
  <w:footnote w:id="4">
    <w:p w14:paraId="050CC853" w14:textId="77777777" w:rsidR="00674E54" w:rsidRDefault="00674E54" w:rsidP="00674E54">
      <w:pPr>
        <w:pStyle w:val="FootnoteText"/>
        <w:rPr>
          <w:rFonts w:ascii="Arial" w:eastAsia="Arial" w:hAnsi="Arial" w:cs="Arial"/>
          <w:sz w:val="18"/>
          <w:szCs w:val="18"/>
        </w:rPr>
      </w:pPr>
      <w:r w:rsidRPr="37E26D7F">
        <w:rPr>
          <w:rStyle w:val="FootnoteReference"/>
          <w:rFonts w:ascii="Arial" w:eastAsia="Arial" w:hAnsi="Arial" w:cs="Arial"/>
          <w:sz w:val="18"/>
          <w:szCs w:val="18"/>
        </w:rPr>
        <w:footnoteRef/>
      </w:r>
      <w:r w:rsidRPr="37E26D7F">
        <w:rPr>
          <w:rFonts w:ascii="Arial" w:eastAsia="Arial" w:hAnsi="Arial" w:cs="Arial"/>
          <w:sz w:val="18"/>
          <w:szCs w:val="18"/>
        </w:rPr>
        <w:t xml:space="preserve"> https://www.contraloria.gob.pa/INEC/archivos/P8031Comentarios.pdf</w:t>
      </w:r>
    </w:p>
  </w:footnote>
  <w:footnote w:id="5">
    <w:p w14:paraId="566DD01F" w14:textId="77777777" w:rsidR="00674E54" w:rsidRPr="005B54C5" w:rsidRDefault="00674E54" w:rsidP="00674E54">
      <w:pPr>
        <w:pStyle w:val="FootnoteText"/>
        <w:rPr>
          <w:rFonts w:ascii="Arial" w:eastAsia="Arial" w:hAnsi="Arial" w:cs="Arial"/>
          <w:sz w:val="18"/>
          <w:szCs w:val="18"/>
        </w:rPr>
      </w:pPr>
      <w:r w:rsidRPr="37E26D7F">
        <w:rPr>
          <w:rStyle w:val="FootnoteReference"/>
          <w:rFonts w:ascii="Arial" w:eastAsia="Arial" w:hAnsi="Arial" w:cs="Arial"/>
          <w:sz w:val="18"/>
          <w:szCs w:val="18"/>
        </w:rPr>
        <w:footnoteRef/>
      </w:r>
      <w:r w:rsidRPr="37E26D7F">
        <w:rPr>
          <w:rFonts w:ascii="Arial" w:eastAsia="Arial" w:hAnsi="Arial" w:cs="Arial"/>
          <w:sz w:val="18"/>
          <w:szCs w:val="18"/>
        </w:rPr>
        <w:t xml:space="preserve"> Convenio 189 sobre las Trabajadoras y los Trabajadores Domésticos, art. 3, párr. 2c.</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53923" w14:textId="77777777" w:rsidR="006D52D2" w:rsidRDefault="006D52D2" w:rsidP="00153A91">
    <w:pPr>
      <w:pStyle w:val="Header"/>
    </w:pPr>
    <w:r>
      <w:rPr>
        <w:noProof/>
        <w:lang w:val="en-GB" w:eastAsia="en-GB"/>
      </w:rPr>
      <w:drawing>
        <wp:inline distT="0" distB="0" distL="0" distR="0" wp14:anchorId="0515B82E" wp14:editId="2D476F84">
          <wp:extent cx="6400800" cy="903605"/>
          <wp:effectExtent l="0" t="0" r="0" b="1079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6400800" cy="903605"/>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singleLevel"/>
    <w:tmpl w:val="00000002"/>
    <w:name w:val="WW8Num3"/>
    <w:lvl w:ilvl="0">
      <w:start w:val="1"/>
      <w:numFmt w:val="bullet"/>
      <w:lvlText w:val=""/>
      <w:lvlJc w:val="left"/>
      <w:pPr>
        <w:tabs>
          <w:tab w:val="num" w:pos="0"/>
        </w:tabs>
        <w:ind w:left="720" w:hanging="360"/>
      </w:pPr>
      <w:rPr>
        <w:rFonts w:ascii="Symbol" w:hAnsi="Symbol" w:cs="Times"/>
      </w:rPr>
    </w:lvl>
  </w:abstractNum>
  <w:abstractNum w:abstractNumId="2">
    <w:nsid w:val="117314E0"/>
    <w:multiLevelType w:val="hybridMultilevel"/>
    <w:tmpl w:val="BBE6F2E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1A973FCD"/>
    <w:multiLevelType w:val="hybridMultilevel"/>
    <w:tmpl w:val="AE14E8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C8E355F"/>
    <w:multiLevelType w:val="hybridMultilevel"/>
    <w:tmpl w:val="C1F2053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208009A5"/>
    <w:multiLevelType w:val="hybridMultilevel"/>
    <w:tmpl w:val="73FC055A"/>
    <w:lvl w:ilvl="0" w:tplc="C422D024">
      <w:start w:val="1"/>
      <w:numFmt w:val="bullet"/>
      <w:lvlText w:val=""/>
      <w:lvlJc w:val="left"/>
      <w:pPr>
        <w:ind w:left="720" w:hanging="360"/>
      </w:pPr>
      <w:rPr>
        <w:rFonts w:ascii="Symbol" w:hAnsi="Symbol" w:hint="default"/>
      </w:rPr>
    </w:lvl>
    <w:lvl w:ilvl="1" w:tplc="84D6A65A">
      <w:start w:val="1"/>
      <w:numFmt w:val="bullet"/>
      <w:lvlText w:val="o"/>
      <w:lvlJc w:val="left"/>
      <w:pPr>
        <w:ind w:left="1440" w:hanging="360"/>
      </w:pPr>
      <w:rPr>
        <w:rFonts w:ascii="Courier New" w:hAnsi="Courier New" w:hint="default"/>
      </w:rPr>
    </w:lvl>
    <w:lvl w:ilvl="2" w:tplc="494407B0">
      <w:start w:val="1"/>
      <w:numFmt w:val="bullet"/>
      <w:lvlText w:val=""/>
      <w:lvlJc w:val="left"/>
      <w:pPr>
        <w:ind w:left="2160" w:hanging="360"/>
      </w:pPr>
      <w:rPr>
        <w:rFonts w:ascii="Wingdings" w:hAnsi="Wingdings" w:hint="default"/>
      </w:rPr>
    </w:lvl>
    <w:lvl w:ilvl="3" w:tplc="5322C4BE">
      <w:start w:val="1"/>
      <w:numFmt w:val="bullet"/>
      <w:lvlText w:val=""/>
      <w:lvlJc w:val="left"/>
      <w:pPr>
        <w:ind w:left="2880" w:hanging="360"/>
      </w:pPr>
      <w:rPr>
        <w:rFonts w:ascii="Symbol" w:hAnsi="Symbol" w:hint="default"/>
      </w:rPr>
    </w:lvl>
    <w:lvl w:ilvl="4" w:tplc="55FAEFF0">
      <w:start w:val="1"/>
      <w:numFmt w:val="bullet"/>
      <w:lvlText w:val="o"/>
      <w:lvlJc w:val="left"/>
      <w:pPr>
        <w:ind w:left="3600" w:hanging="360"/>
      </w:pPr>
      <w:rPr>
        <w:rFonts w:ascii="Courier New" w:hAnsi="Courier New" w:hint="default"/>
      </w:rPr>
    </w:lvl>
    <w:lvl w:ilvl="5" w:tplc="50E6EAB4">
      <w:start w:val="1"/>
      <w:numFmt w:val="bullet"/>
      <w:lvlText w:val=""/>
      <w:lvlJc w:val="left"/>
      <w:pPr>
        <w:ind w:left="4320" w:hanging="360"/>
      </w:pPr>
      <w:rPr>
        <w:rFonts w:ascii="Wingdings" w:hAnsi="Wingdings" w:hint="default"/>
      </w:rPr>
    </w:lvl>
    <w:lvl w:ilvl="6" w:tplc="8082A41E">
      <w:start w:val="1"/>
      <w:numFmt w:val="bullet"/>
      <w:lvlText w:val=""/>
      <w:lvlJc w:val="left"/>
      <w:pPr>
        <w:ind w:left="5040" w:hanging="360"/>
      </w:pPr>
      <w:rPr>
        <w:rFonts w:ascii="Symbol" w:hAnsi="Symbol" w:hint="default"/>
      </w:rPr>
    </w:lvl>
    <w:lvl w:ilvl="7" w:tplc="7DDA8D66">
      <w:start w:val="1"/>
      <w:numFmt w:val="bullet"/>
      <w:lvlText w:val="o"/>
      <w:lvlJc w:val="left"/>
      <w:pPr>
        <w:ind w:left="5760" w:hanging="360"/>
      </w:pPr>
      <w:rPr>
        <w:rFonts w:ascii="Courier New" w:hAnsi="Courier New" w:hint="default"/>
      </w:rPr>
    </w:lvl>
    <w:lvl w:ilvl="8" w:tplc="FAE4BC14">
      <w:start w:val="1"/>
      <w:numFmt w:val="bullet"/>
      <w:lvlText w:val=""/>
      <w:lvlJc w:val="left"/>
      <w:pPr>
        <w:ind w:left="6480" w:hanging="360"/>
      </w:pPr>
      <w:rPr>
        <w:rFonts w:ascii="Wingdings" w:hAnsi="Wingdings" w:hint="default"/>
      </w:rPr>
    </w:lvl>
  </w:abstractNum>
  <w:abstractNum w:abstractNumId="6">
    <w:nsid w:val="2B951D4E"/>
    <w:multiLevelType w:val="hybridMultilevel"/>
    <w:tmpl w:val="7A4C38D6"/>
    <w:lvl w:ilvl="0" w:tplc="CF269952">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3F570E2"/>
    <w:multiLevelType w:val="hybridMultilevel"/>
    <w:tmpl w:val="FB9890E8"/>
    <w:lvl w:ilvl="0" w:tplc="A560DDB2">
      <w:start w:val="1"/>
      <w:numFmt w:val="bullet"/>
      <w:pStyle w:val="ListParagraph"/>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49862E9"/>
    <w:multiLevelType w:val="hybridMultilevel"/>
    <w:tmpl w:val="80DE359C"/>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9">
    <w:nsid w:val="3B515619"/>
    <w:multiLevelType w:val="multilevel"/>
    <w:tmpl w:val="6476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0F07A0"/>
    <w:multiLevelType w:val="hybridMultilevel"/>
    <w:tmpl w:val="760643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60E401C"/>
    <w:multiLevelType w:val="hybridMultilevel"/>
    <w:tmpl w:val="56AC83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73A741D"/>
    <w:multiLevelType w:val="hybridMultilevel"/>
    <w:tmpl w:val="AC84C506"/>
    <w:lvl w:ilvl="0" w:tplc="FE6C28E0">
      <w:start w:val="1"/>
      <w:numFmt w:val="bullet"/>
      <w:lvlText w:val=""/>
      <w:lvlJc w:val="left"/>
      <w:pPr>
        <w:ind w:left="720" w:hanging="360"/>
      </w:pPr>
      <w:rPr>
        <w:rFonts w:ascii="Symbol" w:hAnsi="Symbol" w:hint="default"/>
      </w:rPr>
    </w:lvl>
    <w:lvl w:ilvl="1" w:tplc="87343950">
      <w:start w:val="1"/>
      <w:numFmt w:val="bullet"/>
      <w:lvlText w:val="o"/>
      <w:lvlJc w:val="left"/>
      <w:pPr>
        <w:ind w:left="1440" w:hanging="360"/>
      </w:pPr>
      <w:rPr>
        <w:rFonts w:ascii="Courier New" w:hAnsi="Courier New" w:hint="default"/>
      </w:rPr>
    </w:lvl>
    <w:lvl w:ilvl="2" w:tplc="26F880C0">
      <w:start w:val="1"/>
      <w:numFmt w:val="bullet"/>
      <w:lvlText w:val=""/>
      <w:lvlJc w:val="left"/>
      <w:pPr>
        <w:ind w:left="2160" w:hanging="360"/>
      </w:pPr>
      <w:rPr>
        <w:rFonts w:ascii="Wingdings" w:hAnsi="Wingdings" w:hint="default"/>
      </w:rPr>
    </w:lvl>
    <w:lvl w:ilvl="3" w:tplc="C6FA0A92">
      <w:start w:val="1"/>
      <w:numFmt w:val="bullet"/>
      <w:lvlText w:val=""/>
      <w:lvlJc w:val="left"/>
      <w:pPr>
        <w:ind w:left="2880" w:hanging="360"/>
      </w:pPr>
      <w:rPr>
        <w:rFonts w:ascii="Symbol" w:hAnsi="Symbol" w:hint="default"/>
      </w:rPr>
    </w:lvl>
    <w:lvl w:ilvl="4" w:tplc="C6F89932">
      <w:start w:val="1"/>
      <w:numFmt w:val="bullet"/>
      <w:lvlText w:val="o"/>
      <w:lvlJc w:val="left"/>
      <w:pPr>
        <w:ind w:left="3600" w:hanging="360"/>
      </w:pPr>
      <w:rPr>
        <w:rFonts w:ascii="Courier New" w:hAnsi="Courier New" w:hint="default"/>
      </w:rPr>
    </w:lvl>
    <w:lvl w:ilvl="5" w:tplc="8F60E0CA">
      <w:start w:val="1"/>
      <w:numFmt w:val="bullet"/>
      <w:lvlText w:val=""/>
      <w:lvlJc w:val="left"/>
      <w:pPr>
        <w:ind w:left="4320" w:hanging="360"/>
      </w:pPr>
      <w:rPr>
        <w:rFonts w:ascii="Wingdings" w:hAnsi="Wingdings" w:hint="default"/>
      </w:rPr>
    </w:lvl>
    <w:lvl w:ilvl="6" w:tplc="44CE2606">
      <w:start w:val="1"/>
      <w:numFmt w:val="bullet"/>
      <w:lvlText w:val=""/>
      <w:lvlJc w:val="left"/>
      <w:pPr>
        <w:ind w:left="5040" w:hanging="360"/>
      </w:pPr>
      <w:rPr>
        <w:rFonts w:ascii="Symbol" w:hAnsi="Symbol" w:hint="default"/>
      </w:rPr>
    </w:lvl>
    <w:lvl w:ilvl="7" w:tplc="2D800014">
      <w:start w:val="1"/>
      <w:numFmt w:val="bullet"/>
      <w:lvlText w:val="o"/>
      <w:lvlJc w:val="left"/>
      <w:pPr>
        <w:ind w:left="5760" w:hanging="360"/>
      </w:pPr>
      <w:rPr>
        <w:rFonts w:ascii="Courier New" w:hAnsi="Courier New" w:hint="default"/>
      </w:rPr>
    </w:lvl>
    <w:lvl w:ilvl="8" w:tplc="4AC0FB96">
      <w:start w:val="1"/>
      <w:numFmt w:val="bullet"/>
      <w:lvlText w:val=""/>
      <w:lvlJc w:val="left"/>
      <w:pPr>
        <w:ind w:left="6480" w:hanging="360"/>
      </w:pPr>
      <w:rPr>
        <w:rFonts w:ascii="Wingdings" w:hAnsi="Wingdings" w:hint="default"/>
      </w:rPr>
    </w:lvl>
  </w:abstractNum>
  <w:abstractNum w:abstractNumId="13">
    <w:nsid w:val="6BCB1B47"/>
    <w:multiLevelType w:val="hybridMultilevel"/>
    <w:tmpl w:val="B36E17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BDA617F"/>
    <w:multiLevelType w:val="hybridMultilevel"/>
    <w:tmpl w:val="02B059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2142E92"/>
    <w:multiLevelType w:val="hybridMultilevel"/>
    <w:tmpl w:val="77B0FE8C"/>
    <w:lvl w:ilvl="0" w:tplc="040C0001">
      <w:start w:val="1"/>
      <w:numFmt w:val="bullet"/>
      <w:lvlText w:val=""/>
      <w:lvlJc w:val="left"/>
      <w:pPr>
        <w:ind w:left="773" w:hanging="360"/>
      </w:pPr>
      <w:rPr>
        <w:rFonts w:ascii="Symbol" w:hAnsi="Symbol" w:hint="default"/>
      </w:rPr>
    </w:lvl>
    <w:lvl w:ilvl="1" w:tplc="040C0003" w:tentative="1">
      <w:start w:val="1"/>
      <w:numFmt w:val="bullet"/>
      <w:lvlText w:val="o"/>
      <w:lvlJc w:val="left"/>
      <w:pPr>
        <w:ind w:left="1493" w:hanging="360"/>
      </w:pPr>
      <w:rPr>
        <w:rFonts w:ascii="Courier New" w:hAnsi="Courier New" w:hint="default"/>
      </w:rPr>
    </w:lvl>
    <w:lvl w:ilvl="2" w:tplc="040C0005" w:tentative="1">
      <w:start w:val="1"/>
      <w:numFmt w:val="bullet"/>
      <w:lvlText w:val=""/>
      <w:lvlJc w:val="left"/>
      <w:pPr>
        <w:ind w:left="2213" w:hanging="360"/>
      </w:pPr>
      <w:rPr>
        <w:rFonts w:ascii="Wingdings" w:hAnsi="Wingdings" w:hint="default"/>
      </w:rPr>
    </w:lvl>
    <w:lvl w:ilvl="3" w:tplc="040C0001" w:tentative="1">
      <w:start w:val="1"/>
      <w:numFmt w:val="bullet"/>
      <w:lvlText w:val=""/>
      <w:lvlJc w:val="left"/>
      <w:pPr>
        <w:ind w:left="2933" w:hanging="360"/>
      </w:pPr>
      <w:rPr>
        <w:rFonts w:ascii="Symbol" w:hAnsi="Symbol" w:hint="default"/>
      </w:rPr>
    </w:lvl>
    <w:lvl w:ilvl="4" w:tplc="040C0003" w:tentative="1">
      <w:start w:val="1"/>
      <w:numFmt w:val="bullet"/>
      <w:lvlText w:val="o"/>
      <w:lvlJc w:val="left"/>
      <w:pPr>
        <w:ind w:left="3653" w:hanging="360"/>
      </w:pPr>
      <w:rPr>
        <w:rFonts w:ascii="Courier New" w:hAnsi="Courier New" w:hint="default"/>
      </w:rPr>
    </w:lvl>
    <w:lvl w:ilvl="5" w:tplc="040C0005" w:tentative="1">
      <w:start w:val="1"/>
      <w:numFmt w:val="bullet"/>
      <w:lvlText w:val=""/>
      <w:lvlJc w:val="left"/>
      <w:pPr>
        <w:ind w:left="4373" w:hanging="360"/>
      </w:pPr>
      <w:rPr>
        <w:rFonts w:ascii="Wingdings" w:hAnsi="Wingdings" w:hint="default"/>
      </w:rPr>
    </w:lvl>
    <w:lvl w:ilvl="6" w:tplc="040C0001" w:tentative="1">
      <w:start w:val="1"/>
      <w:numFmt w:val="bullet"/>
      <w:lvlText w:val=""/>
      <w:lvlJc w:val="left"/>
      <w:pPr>
        <w:ind w:left="5093" w:hanging="360"/>
      </w:pPr>
      <w:rPr>
        <w:rFonts w:ascii="Symbol" w:hAnsi="Symbol" w:hint="default"/>
      </w:rPr>
    </w:lvl>
    <w:lvl w:ilvl="7" w:tplc="040C0003" w:tentative="1">
      <w:start w:val="1"/>
      <w:numFmt w:val="bullet"/>
      <w:lvlText w:val="o"/>
      <w:lvlJc w:val="left"/>
      <w:pPr>
        <w:ind w:left="5813" w:hanging="360"/>
      </w:pPr>
      <w:rPr>
        <w:rFonts w:ascii="Courier New" w:hAnsi="Courier New" w:hint="default"/>
      </w:rPr>
    </w:lvl>
    <w:lvl w:ilvl="8" w:tplc="040C0005" w:tentative="1">
      <w:start w:val="1"/>
      <w:numFmt w:val="bullet"/>
      <w:lvlText w:val=""/>
      <w:lvlJc w:val="left"/>
      <w:pPr>
        <w:ind w:left="6533" w:hanging="360"/>
      </w:pPr>
      <w:rPr>
        <w:rFonts w:ascii="Wingdings" w:hAnsi="Wingdings" w:hint="default"/>
      </w:rPr>
    </w:lvl>
  </w:abstractNum>
  <w:abstractNum w:abstractNumId="16">
    <w:nsid w:val="7C39645E"/>
    <w:multiLevelType w:val="hybridMultilevel"/>
    <w:tmpl w:val="640C9472"/>
    <w:lvl w:ilvl="0" w:tplc="040C0001">
      <w:start w:val="1"/>
      <w:numFmt w:val="bullet"/>
      <w:lvlText w:val=""/>
      <w:lvlJc w:val="left"/>
      <w:pPr>
        <w:ind w:left="920" w:hanging="360"/>
      </w:pPr>
      <w:rPr>
        <w:rFonts w:ascii="Symbol" w:hAnsi="Symbol" w:hint="default"/>
      </w:rPr>
    </w:lvl>
    <w:lvl w:ilvl="1" w:tplc="040C0003" w:tentative="1">
      <w:start w:val="1"/>
      <w:numFmt w:val="bullet"/>
      <w:lvlText w:val="o"/>
      <w:lvlJc w:val="left"/>
      <w:pPr>
        <w:ind w:left="1640" w:hanging="360"/>
      </w:pPr>
      <w:rPr>
        <w:rFonts w:ascii="Courier New" w:hAnsi="Courier New" w:hint="default"/>
      </w:rPr>
    </w:lvl>
    <w:lvl w:ilvl="2" w:tplc="040C0005" w:tentative="1">
      <w:start w:val="1"/>
      <w:numFmt w:val="bullet"/>
      <w:lvlText w:val=""/>
      <w:lvlJc w:val="left"/>
      <w:pPr>
        <w:ind w:left="2360" w:hanging="360"/>
      </w:pPr>
      <w:rPr>
        <w:rFonts w:ascii="Wingdings" w:hAnsi="Wingdings" w:hint="default"/>
      </w:rPr>
    </w:lvl>
    <w:lvl w:ilvl="3" w:tplc="040C0001" w:tentative="1">
      <w:start w:val="1"/>
      <w:numFmt w:val="bullet"/>
      <w:lvlText w:val=""/>
      <w:lvlJc w:val="left"/>
      <w:pPr>
        <w:ind w:left="3080" w:hanging="360"/>
      </w:pPr>
      <w:rPr>
        <w:rFonts w:ascii="Symbol" w:hAnsi="Symbol" w:hint="default"/>
      </w:rPr>
    </w:lvl>
    <w:lvl w:ilvl="4" w:tplc="040C0003" w:tentative="1">
      <w:start w:val="1"/>
      <w:numFmt w:val="bullet"/>
      <w:lvlText w:val="o"/>
      <w:lvlJc w:val="left"/>
      <w:pPr>
        <w:ind w:left="3800" w:hanging="360"/>
      </w:pPr>
      <w:rPr>
        <w:rFonts w:ascii="Courier New" w:hAnsi="Courier New" w:hint="default"/>
      </w:rPr>
    </w:lvl>
    <w:lvl w:ilvl="5" w:tplc="040C0005" w:tentative="1">
      <w:start w:val="1"/>
      <w:numFmt w:val="bullet"/>
      <w:lvlText w:val=""/>
      <w:lvlJc w:val="left"/>
      <w:pPr>
        <w:ind w:left="4520" w:hanging="360"/>
      </w:pPr>
      <w:rPr>
        <w:rFonts w:ascii="Wingdings" w:hAnsi="Wingdings" w:hint="default"/>
      </w:rPr>
    </w:lvl>
    <w:lvl w:ilvl="6" w:tplc="040C0001" w:tentative="1">
      <w:start w:val="1"/>
      <w:numFmt w:val="bullet"/>
      <w:lvlText w:val=""/>
      <w:lvlJc w:val="left"/>
      <w:pPr>
        <w:ind w:left="5240" w:hanging="360"/>
      </w:pPr>
      <w:rPr>
        <w:rFonts w:ascii="Symbol" w:hAnsi="Symbol" w:hint="default"/>
      </w:rPr>
    </w:lvl>
    <w:lvl w:ilvl="7" w:tplc="040C0003" w:tentative="1">
      <w:start w:val="1"/>
      <w:numFmt w:val="bullet"/>
      <w:lvlText w:val="o"/>
      <w:lvlJc w:val="left"/>
      <w:pPr>
        <w:ind w:left="5960" w:hanging="360"/>
      </w:pPr>
      <w:rPr>
        <w:rFonts w:ascii="Courier New" w:hAnsi="Courier New" w:hint="default"/>
      </w:rPr>
    </w:lvl>
    <w:lvl w:ilvl="8" w:tplc="040C0005" w:tentative="1">
      <w:start w:val="1"/>
      <w:numFmt w:val="bullet"/>
      <w:lvlText w:val=""/>
      <w:lvlJc w:val="left"/>
      <w:pPr>
        <w:ind w:left="6680" w:hanging="360"/>
      </w:pPr>
      <w:rPr>
        <w:rFonts w:ascii="Wingdings" w:hAnsi="Wingdings" w:hint="default"/>
      </w:rPr>
    </w:lvl>
  </w:abstractNum>
  <w:num w:numId="1">
    <w:abstractNumId w:val="8"/>
  </w:num>
  <w:num w:numId="2">
    <w:abstractNumId w:val="6"/>
  </w:num>
  <w:num w:numId="3">
    <w:abstractNumId w:val="15"/>
  </w:num>
  <w:num w:numId="4">
    <w:abstractNumId w:val="10"/>
  </w:num>
  <w:num w:numId="5">
    <w:abstractNumId w:val="11"/>
  </w:num>
  <w:num w:numId="6">
    <w:abstractNumId w:val="14"/>
  </w:num>
  <w:num w:numId="7">
    <w:abstractNumId w:val="1"/>
  </w:num>
  <w:num w:numId="8">
    <w:abstractNumId w:val="9"/>
  </w:num>
  <w:num w:numId="9">
    <w:abstractNumId w:val="0"/>
  </w:num>
  <w:num w:numId="10">
    <w:abstractNumId w:val="13"/>
  </w:num>
  <w:num w:numId="11">
    <w:abstractNumId w:val="3"/>
  </w:num>
  <w:num w:numId="12">
    <w:abstractNumId w:val="2"/>
  </w:num>
  <w:num w:numId="13">
    <w:abstractNumId w:val="16"/>
  </w:num>
  <w:num w:numId="14">
    <w:abstractNumId w:val="4"/>
  </w:num>
  <w:num w:numId="15">
    <w:abstractNumId w:val="12"/>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attachedTemplate r:id="rId1"/>
  <w:defaultTabStop w:val="708"/>
  <w:hyphenationZone w:val="425"/>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B6"/>
    <w:rsid w:val="000D0231"/>
    <w:rsid w:val="00140229"/>
    <w:rsid w:val="00153A91"/>
    <w:rsid w:val="001628F0"/>
    <w:rsid w:val="001B2442"/>
    <w:rsid w:val="00252B66"/>
    <w:rsid w:val="00265054"/>
    <w:rsid w:val="002A058B"/>
    <w:rsid w:val="002A4AD8"/>
    <w:rsid w:val="002B56AC"/>
    <w:rsid w:val="002B64B7"/>
    <w:rsid w:val="002C7BBB"/>
    <w:rsid w:val="00320BB6"/>
    <w:rsid w:val="00366D46"/>
    <w:rsid w:val="003A43E1"/>
    <w:rsid w:val="004577BA"/>
    <w:rsid w:val="004923F2"/>
    <w:rsid w:val="004C3587"/>
    <w:rsid w:val="00515E2F"/>
    <w:rsid w:val="00521CCD"/>
    <w:rsid w:val="005260C4"/>
    <w:rsid w:val="00531F3F"/>
    <w:rsid w:val="00561718"/>
    <w:rsid w:val="005663E5"/>
    <w:rsid w:val="005C576A"/>
    <w:rsid w:val="006013C6"/>
    <w:rsid w:val="00602547"/>
    <w:rsid w:val="00640E4D"/>
    <w:rsid w:val="00651722"/>
    <w:rsid w:val="00655202"/>
    <w:rsid w:val="00674E54"/>
    <w:rsid w:val="006B6916"/>
    <w:rsid w:val="006D52D2"/>
    <w:rsid w:val="006F19B7"/>
    <w:rsid w:val="007409C8"/>
    <w:rsid w:val="007B39F2"/>
    <w:rsid w:val="00853457"/>
    <w:rsid w:val="00874959"/>
    <w:rsid w:val="008B5DB0"/>
    <w:rsid w:val="00910955"/>
    <w:rsid w:val="00952175"/>
    <w:rsid w:val="00981D35"/>
    <w:rsid w:val="009A7855"/>
    <w:rsid w:val="00A1053D"/>
    <w:rsid w:val="00A208A8"/>
    <w:rsid w:val="00A52BAE"/>
    <w:rsid w:val="00AE6DB9"/>
    <w:rsid w:val="00AF5A4F"/>
    <w:rsid w:val="00B722A1"/>
    <w:rsid w:val="00B9536E"/>
    <w:rsid w:val="00BB7D95"/>
    <w:rsid w:val="00BE6641"/>
    <w:rsid w:val="00BF29B1"/>
    <w:rsid w:val="00CC1F71"/>
    <w:rsid w:val="00CC3F0E"/>
    <w:rsid w:val="00CD7294"/>
    <w:rsid w:val="00DA2D46"/>
    <w:rsid w:val="00E45156"/>
    <w:rsid w:val="00F24A1F"/>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22A39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382">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2">
    <w:name w:val="heading 2"/>
    <w:basedOn w:val="Normal"/>
    <w:next w:val="Normal"/>
    <w:link w:val="Heading2Char"/>
    <w:unhideWhenUsed/>
    <w:qFormat/>
    <w:rsid w:val="003A43E1"/>
    <w:pPr>
      <w:keepNext/>
      <w:keepLines/>
      <w:spacing w:before="480" w:after="240"/>
      <w:jc w:val="both"/>
      <w:outlineLvl w:val="1"/>
    </w:pPr>
    <w:rPr>
      <w:rFonts w:ascii="Helvetica" w:eastAsiaTheme="majorEastAsia" w:hAnsi="Helvetica" w:cstheme="majorBidi"/>
      <w:b/>
      <w:bCs/>
      <w:sz w:val="32"/>
      <w:szCs w:val="26"/>
      <w:lang w:val="fr-FR" w:eastAsia="fr-FR"/>
    </w:rPr>
  </w:style>
  <w:style w:type="paragraph" w:styleId="Heading3">
    <w:name w:val="heading 3"/>
    <w:basedOn w:val="Normal"/>
    <w:next w:val="Normal"/>
    <w:link w:val="Heading3Char"/>
    <w:autoRedefine/>
    <w:unhideWhenUsed/>
    <w:qFormat/>
    <w:rsid w:val="00674E54"/>
    <w:pPr>
      <w:keepNext/>
      <w:keepLines/>
      <w:spacing w:before="240" w:after="240" w:line="276" w:lineRule="auto"/>
      <w:ind w:left="-284" w:firstLine="284"/>
      <w:jc w:val="both"/>
      <w:outlineLvl w:val="2"/>
    </w:pPr>
    <w:rPr>
      <w:rFonts w:ascii="Helvetica" w:eastAsiaTheme="majorEastAsia" w:hAnsi="Helvetica" w:cstheme="majorBidi"/>
      <w:bCs/>
      <w:color w:val="262626" w:themeColor="text1" w:themeTint="D9"/>
      <w:sz w:val="22"/>
      <w:szCs w:val="22"/>
      <w:lang w:val="es-GT" w:eastAsia="fr-FR"/>
    </w:rPr>
  </w:style>
  <w:style w:type="paragraph" w:styleId="Heading4">
    <w:name w:val="heading 4"/>
    <w:basedOn w:val="Normal"/>
    <w:next w:val="Normal"/>
    <w:link w:val="Heading4Char"/>
    <w:autoRedefine/>
    <w:unhideWhenUsed/>
    <w:qFormat/>
    <w:rsid w:val="003A43E1"/>
    <w:pPr>
      <w:keepNext/>
      <w:keepLines/>
      <w:spacing w:before="240" w:after="120"/>
      <w:jc w:val="both"/>
      <w:outlineLvl w:val="3"/>
    </w:pPr>
    <w:rPr>
      <w:rFonts w:ascii="Helvetica" w:eastAsiaTheme="majorEastAsia" w:hAnsi="Helvetica" w:cstheme="majorBidi"/>
      <w:bCs/>
      <w:iCs/>
      <w:sz w:val="22"/>
      <w:u w:val="single"/>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A43E1"/>
    <w:rPr>
      <w:rFonts w:ascii="Helvetica" w:eastAsiaTheme="majorEastAsia" w:hAnsi="Helvetica" w:cstheme="majorBidi"/>
      <w:b/>
      <w:bCs/>
      <w:sz w:val="32"/>
      <w:szCs w:val="26"/>
      <w:lang w:val="fr-FR" w:eastAsia="fr-FR"/>
    </w:rPr>
  </w:style>
  <w:style w:type="character" w:customStyle="1" w:styleId="Heading3Char">
    <w:name w:val="Heading 3 Char"/>
    <w:basedOn w:val="DefaultParagraphFont"/>
    <w:link w:val="Heading3"/>
    <w:rsid w:val="00674E54"/>
    <w:rPr>
      <w:rFonts w:ascii="Helvetica" w:eastAsiaTheme="majorEastAsia" w:hAnsi="Helvetica" w:cstheme="majorBidi"/>
      <w:bCs/>
      <w:color w:val="262626" w:themeColor="text1" w:themeTint="D9"/>
      <w:sz w:val="22"/>
      <w:szCs w:val="22"/>
      <w:lang w:val="es-GT" w:eastAsia="fr-FR"/>
    </w:rPr>
  </w:style>
  <w:style w:type="character" w:customStyle="1" w:styleId="Heading4Char">
    <w:name w:val="Heading 4 Char"/>
    <w:basedOn w:val="DefaultParagraphFont"/>
    <w:link w:val="Heading4"/>
    <w:rsid w:val="003A43E1"/>
    <w:rPr>
      <w:rFonts w:ascii="Helvetica" w:eastAsiaTheme="majorEastAsia" w:hAnsi="Helvetica" w:cstheme="majorBidi"/>
      <w:bCs/>
      <w:iCs/>
      <w:sz w:val="22"/>
      <w:u w:val="single"/>
      <w:lang w:val="fr-FR" w:eastAsia="fr-FR"/>
    </w:rPr>
  </w:style>
  <w:style w:type="paragraph" w:styleId="Header">
    <w:name w:val="header"/>
    <w:basedOn w:val="Normal"/>
    <w:link w:val="HeaderChar"/>
    <w:uiPriority w:val="99"/>
    <w:unhideWhenUsed/>
    <w:rsid w:val="00BE6641"/>
    <w:pPr>
      <w:tabs>
        <w:tab w:val="center" w:pos="4419"/>
        <w:tab w:val="right" w:pos="8838"/>
      </w:tabs>
    </w:pPr>
  </w:style>
  <w:style w:type="character" w:customStyle="1" w:styleId="HeaderChar">
    <w:name w:val="Header Char"/>
    <w:basedOn w:val="DefaultParagraphFont"/>
    <w:link w:val="Header"/>
    <w:uiPriority w:val="99"/>
    <w:rsid w:val="00BE6641"/>
  </w:style>
  <w:style w:type="paragraph" w:styleId="Footer">
    <w:name w:val="footer"/>
    <w:basedOn w:val="Normal"/>
    <w:link w:val="FooterChar"/>
    <w:uiPriority w:val="99"/>
    <w:unhideWhenUsed/>
    <w:rsid w:val="00BE6641"/>
    <w:pPr>
      <w:tabs>
        <w:tab w:val="center" w:pos="4419"/>
        <w:tab w:val="right" w:pos="8838"/>
      </w:tabs>
    </w:pPr>
  </w:style>
  <w:style w:type="character" w:customStyle="1" w:styleId="FooterChar">
    <w:name w:val="Footer Char"/>
    <w:basedOn w:val="DefaultParagraphFont"/>
    <w:link w:val="Footer"/>
    <w:uiPriority w:val="99"/>
    <w:rsid w:val="00BE6641"/>
  </w:style>
  <w:style w:type="paragraph" w:styleId="ListParagraph">
    <w:name w:val="List Paragraph"/>
    <w:basedOn w:val="Normal"/>
    <w:autoRedefine/>
    <w:uiPriority w:val="34"/>
    <w:qFormat/>
    <w:rsid w:val="00674E54"/>
    <w:pPr>
      <w:numPr>
        <w:numId w:val="17"/>
      </w:numPr>
      <w:spacing w:before="400" w:after="400" w:line="276" w:lineRule="auto"/>
      <w:contextualSpacing/>
      <w:jc w:val="both"/>
    </w:pPr>
    <w:rPr>
      <w:rFonts w:ascii="Helvetica" w:eastAsia="Cambria" w:hAnsi="Helvetica" w:cs="Times New Roman"/>
      <w:sz w:val="22"/>
      <w:lang w:val="fr-FR"/>
    </w:rPr>
  </w:style>
  <w:style w:type="character" w:styleId="Hyperlink">
    <w:name w:val="Hyperlink"/>
    <w:basedOn w:val="DefaultParagraphFont"/>
    <w:uiPriority w:val="99"/>
    <w:unhideWhenUsed/>
    <w:rsid w:val="00CC3F0E"/>
    <w:rPr>
      <w:color w:val="0563C1" w:themeColor="hyperlink"/>
      <w:u w:val="single"/>
    </w:rPr>
  </w:style>
  <w:style w:type="paragraph" w:styleId="NormalWeb">
    <w:name w:val="Normal (Web)"/>
    <w:basedOn w:val="Normal"/>
    <w:uiPriority w:val="99"/>
    <w:rsid w:val="00640E4D"/>
    <w:pPr>
      <w:spacing w:beforeLines="1" w:line="288" w:lineRule="auto"/>
    </w:pPr>
    <w:rPr>
      <w:rFonts w:ascii="Times" w:hAnsi="Times" w:cs="Times New Roman"/>
      <w:sz w:val="20"/>
      <w:szCs w:val="20"/>
      <w:lang w:val="fr-FR" w:eastAsia="fr-FR"/>
    </w:rPr>
  </w:style>
  <w:style w:type="paragraph" w:customStyle="1" w:styleId="western">
    <w:name w:val="western"/>
    <w:basedOn w:val="Normal"/>
    <w:rsid w:val="001B2442"/>
    <w:pPr>
      <w:spacing w:beforeLines="1"/>
    </w:pPr>
    <w:rPr>
      <w:rFonts w:ascii="Times New Roman" w:hAnsi="Times New Roman"/>
      <w:color w:val="000000"/>
      <w:lang w:val="fr-FR" w:eastAsia="fr-FR"/>
    </w:rPr>
  </w:style>
  <w:style w:type="character" w:styleId="Strong">
    <w:name w:val="Strong"/>
    <w:qFormat/>
    <w:rsid w:val="006013C6"/>
    <w:rPr>
      <w:b/>
      <w:bCs/>
    </w:rPr>
  </w:style>
  <w:style w:type="character" w:customStyle="1" w:styleId="Textoennegrita">
    <w:name w:val="Texto en negrita"/>
    <w:rsid w:val="006013C6"/>
    <w:rPr>
      <w:b/>
      <w:bCs/>
    </w:rPr>
  </w:style>
  <w:style w:type="paragraph" w:customStyle="1" w:styleId="Standard">
    <w:name w:val="Standard"/>
    <w:rsid w:val="006013C6"/>
    <w:pPr>
      <w:widowControl w:val="0"/>
      <w:suppressAutoHyphens/>
      <w:textAlignment w:val="baseline"/>
    </w:pPr>
    <w:rPr>
      <w:rFonts w:ascii="Times New Roman" w:eastAsia="Times New Roman" w:hAnsi="Times New Roman" w:cs="Times New Roman"/>
      <w:kern w:val="1"/>
      <w:lang w:val="de-DE" w:eastAsia="zh-CN"/>
    </w:rPr>
  </w:style>
  <w:style w:type="character" w:customStyle="1" w:styleId="StrongEmphasis">
    <w:name w:val="Strong Emphasis"/>
    <w:rsid w:val="00A52BAE"/>
    <w:rPr>
      <w:b/>
      <w:bCs/>
    </w:rPr>
  </w:style>
  <w:style w:type="paragraph" w:styleId="BalloonText">
    <w:name w:val="Balloon Text"/>
    <w:basedOn w:val="Normal"/>
    <w:link w:val="BalloonTextChar"/>
    <w:rsid w:val="00A1053D"/>
    <w:rPr>
      <w:rFonts w:ascii="Lucida Grande" w:hAnsi="Lucida Grande" w:cs="Lucida Grande"/>
      <w:sz w:val="18"/>
      <w:szCs w:val="18"/>
    </w:rPr>
  </w:style>
  <w:style w:type="character" w:customStyle="1" w:styleId="BalloonTextChar">
    <w:name w:val="Balloon Text Char"/>
    <w:basedOn w:val="DefaultParagraphFont"/>
    <w:link w:val="BalloonText"/>
    <w:rsid w:val="00A1053D"/>
    <w:rPr>
      <w:rFonts w:ascii="Lucida Grande" w:hAnsi="Lucida Grande" w:cs="Lucida Grande"/>
      <w:sz w:val="18"/>
      <w:szCs w:val="18"/>
    </w:rPr>
  </w:style>
  <w:style w:type="character" w:styleId="CommentReference">
    <w:name w:val="annotation reference"/>
    <w:basedOn w:val="DefaultParagraphFont"/>
    <w:uiPriority w:val="99"/>
    <w:semiHidden/>
    <w:unhideWhenUsed/>
    <w:rsid w:val="00674E54"/>
    <w:rPr>
      <w:sz w:val="18"/>
      <w:szCs w:val="18"/>
    </w:rPr>
  </w:style>
  <w:style w:type="paragraph" w:styleId="CommentText">
    <w:name w:val="annotation text"/>
    <w:basedOn w:val="Normal"/>
    <w:link w:val="CommentTextChar"/>
    <w:uiPriority w:val="99"/>
    <w:semiHidden/>
    <w:unhideWhenUsed/>
    <w:rsid w:val="00674E54"/>
    <w:rPr>
      <w:rFonts w:eastAsiaTheme="minorHAnsi"/>
      <w:lang w:val="es-ES" w:eastAsia="en-US"/>
    </w:rPr>
  </w:style>
  <w:style w:type="character" w:customStyle="1" w:styleId="CommentTextChar">
    <w:name w:val="Comment Text Char"/>
    <w:basedOn w:val="DefaultParagraphFont"/>
    <w:link w:val="CommentText"/>
    <w:uiPriority w:val="99"/>
    <w:semiHidden/>
    <w:rsid w:val="00674E54"/>
    <w:rPr>
      <w:rFonts w:eastAsiaTheme="minorHAnsi"/>
      <w:lang w:val="es-ES" w:eastAsia="en-US"/>
    </w:rPr>
  </w:style>
  <w:style w:type="paragraph" w:styleId="FootnoteText">
    <w:name w:val="footnote text"/>
    <w:basedOn w:val="Normal"/>
    <w:link w:val="FootnoteTextChar"/>
    <w:uiPriority w:val="99"/>
    <w:unhideWhenUsed/>
    <w:rsid w:val="00674E54"/>
    <w:rPr>
      <w:rFonts w:eastAsiaTheme="minorHAnsi"/>
      <w:lang w:val="es-ES" w:eastAsia="en-US"/>
    </w:rPr>
  </w:style>
  <w:style w:type="character" w:customStyle="1" w:styleId="FootnoteTextChar">
    <w:name w:val="Footnote Text Char"/>
    <w:basedOn w:val="DefaultParagraphFont"/>
    <w:link w:val="FootnoteText"/>
    <w:uiPriority w:val="99"/>
    <w:rsid w:val="00674E54"/>
    <w:rPr>
      <w:rFonts w:eastAsiaTheme="minorHAnsi"/>
      <w:lang w:val="es-ES" w:eastAsia="en-US"/>
    </w:rPr>
  </w:style>
  <w:style w:type="character" w:styleId="FootnoteReference">
    <w:name w:val="footnote reference"/>
    <w:basedOn w:val="DefaultParagraphFont"/>
    <w:uiPriority w:val="99"/>
    <w:unhideWhenUsed/>
    <w:rsid w:val="00674E54"/>
    <w:rPr>
      <w:vertAlign w:val="superscript"/>
    </w:rPr>
  </w:style>
  <w:style w:type="paragraph" w:styleId="Revision">
    <w:name w:val="Revision"/>
    <w:hidden/>
    <w:semiHidden/>
    <w:rsid w:val="0067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191933">
      <w:bodyDiv w:val="1"/>
      <w:marLeft w:val="0"/>
      <w:marRight w:val="0"/>
      <w:marTop w:val="0"/>
      <w:marBottom w:val="0"/>
      <w:divBdr>
        <w:top w:val="none" w:sz="0" w:space="0" w:color="auto"/>
        <w:left w:val="none" w:sz="0" w:space="0" w:color="auto"/>
        <w:bottom w:val="none" w:sz="0" w:space="0" w:color="auto"/>
        <w:right w:val="none" w:sz="0" w:space="0" w:color="auto"/>
      </w:divBdr>
    </w:div>
    <w:div w:id="1365515938">
      <w:bodyDiv w:val="1"/>
      <w:marLeft w:val="0"/>
      <w:marRight w:val="0"/>
      <w:marTop w:val="0"/>
      <w:marBottom w:val="0"/>
      <w:divBdr>
        <w:top w:val="none" w:sz="0" w:space="0" w:color="auto"/>
        <w:left w:val="none" w:sz="0" w:space="0" w:color="auto"/>
        <w:bottom w:val="none" w:sz="0" w:space="0" w:color="auto"/>
        <w:right w:val="none" w:sz="0" w:space="0" w:color="auto"/>
      </w:divBdr>
    </w:div>
    <w:div w:id="1980457970">
      <w:bodyDiv w:val="1"/>
      <w:marLeft w:val="0"/>
      <w:marRight w:val="0"/>
      <w:marTop w:val="0"/>
      <w:marBottom w:val="0"/>
      <w:divBdr>
        <w:top w:val="none" w:sz="0" w:space="0" w:color="auto"/>
        <w:left w:val="none" w:sz="0" w:space="0" w:color="auto"/>
        <w:bottom w:val="none" w:sz="0" w:space="0" w:color="auto"/>
        <w:right w:val="none" w:sz="0" w:space="0" w:color="auto"/>
      </w:divBdr>
    </w:div>
    <w:div w:id="20129505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ridh.org/" TargetMode="External"/><Relationship Id="rId2" Type="http://schemas.openxmlformats.org/officeDocument/2006/relationships/hyperlink" Target="https://www.contraloria.gob.pa/INEC/archivos/P8031441-1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Mac%20HD:Users:elisegolay:Library:Application%20Support:Microsoft:Office:Mode&#768;les%20utilisateur:Mes%20mode&#768;les:TemplateRIDH.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26EC7B-FA39-4ABB-8F75-562EB08BBEA7}"/>
</file>

<file path=customXml/itemProps2.xml><?xml version="1.0" encoding="utf-8"?>
<ds:datastoreItem xmlns:ds="http://schemas.openxmlformats.org/officeDocument/2006/customXml" ds:itemID="{C06E6392-87A7-4989-8F1B-81B909AB6949}"/>
</file>

<file path=customXml/itemProps3.xml><?xml version="1.0" encoding="utf-8"?>
<ds:datastoreItem xmlns:ds="http://schemas.openxmlformats.org/officeDocument/2006/customXml" ds:itemID="{5C20E0DE-8ADC-4DBA-AF25-ED363827F7E9}"/>
</file>

<file path=docProps/app.xml><?xml version="1.0" encoding="utf-8"?>
<Properties xmlns="http://schemas.openxmlformats.org/officeDocument/2006/extended-properties" xmlns:vt="http://schemas.openxmlformats.org/officeDocument/2006/docPropsVTypes">
  <Template>Mac HD:Users:elisegolay:Library:Application Support:Microsoft:Office:Modèles utilisateur:Mes modèles:TemplateRIDH.dotx</Template>
  <TotalTime>3</TotalTime>
  <Pages>9</Pages>
  <Words>2741</Words>
  <Characters>15626</Characters>
  <Application>Microsoft Macintosh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+41763289219</Company>
  <LinksUpToDate>false</LinksUpToDate>
  <CharactersWithSpaces>18331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Golay</dc:creator>
  <cp:keywords/>
  <dc:description/>
  <cp:lastModifiedBy>Martha Jackson-Eade</cp:lastModifiedBy>
  <cp:revision>2</cp:revision>
  <cp:lastPrinted>2016-09-01T09:10:00Z</cp:lastPrinted>
  <dcterms:created xsi:type="dcterms:W3CDTF">2017-12-15T17:06:00Z</dcterms:created>
  <dcterms:modified xsi:type="dcterms:W3CDTF">2017-12-15T17:06:00Z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