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F9367" w14:textId="77777777" w:rsidR="00DD2958" w:rsidRDefault="00DD2958">
      <w:pPr>
        <w:pStyle w:val="SingleTxt"/>
        <w:jc w:val="center"/>
        <w:rPr>
          <w:sz w:val="42"/>
          <w:szCs w:val="42"/>
        </w:rPr>
      </w:pPr>
    </w:p>
    <w:p w14:paraId="6206A2D8" w14:textId="77777777" w:rsidR="00DD2958" w:rsidRDefault="00000000">
      <w:pPr>
        <w:pStyle w:val="SingleTxt"/>
        <w:jc w:val="center"/>
        <w:rPr>
          <w:sz w:val="42"/>
          <w:szCs w:val="42"/>
        </w:rPr>
      </w:pPr>
      <w:r>
        <w:rPr>
          <w:rFonts w:eastAsia="Liberation Serif"/>
          <w:b/>
          <w:bCs/>
          <w:sz w:val="42"/>
          <w:szCs w:val="42"/>
        </w:rPr>
        <w:t xml:space="preserve">Economic, Social and Cultural Rights in the United Kingdom of </w:t>
      </w:r>
    </w:p>
    <w:p w14:paraId="33A21CCC" w14:textId="77777777" w:rsidR="00DD2958" w:rsidRDefault="00000000">
      <w:pPr>
        <w:pStyle w:val="SingleTxt"/>
        <w:jc w:val="center"/>
        <w:rPr>
          <w:sz w:val="42"/>
          <w:szCs w:val="42"/>
        </w:rPr>
      </w:pPr>
      <w:r>
        <w:rPr>
          <w:rFonts w:eastAsia="Liberation Serif"/>
          <w:b/>
          <w:bCs/>
          <w:sz w:val="42"/>
          <w:szCs w:val="42"/>
        </w:rPr>
        <w:t>Great Britain and Northern Ireland</w:t>
      </w:r>
    </w:p>
    <w:p w14:paraId="6D37A043" w14:textId="77777777" w:rsidR="00DD2958" w:rsidRDefault="00000000">
      <w:pPr>
        <w:pStyle w:val="SingleTxt"/>
        <w:jc w:val="center"/>
        <w:rPr>
          <w:sz w:val="22"/>
          <w:szCs w:val="22"/>
        </w:rPr>
      </w:pPr>
      <w:r>
        <w:rPr>
          <w:rFonts w:eastAsia="Liberation Serif"/>
          <w:sz w:val="22"/>
          <w:szCs w:val="22"/>
        </w:rPr>
        <w:t>(Submission for the 77</w:t>
      </w:r>
      <w:r>
        <w:rPr>
          <w:rFonts w:eastAsia="Liberation Serif"/>
          <w:sz w:val="22"/>
          <w:szCs w:val="22"/>
          <w:vertAlign w:val="superscript"/>
        </w:rPr>
        <w:t>th</w:t>
      </w:r>
      <w:r>
        <w:rPr>
          <w:rFonts w:eastAsia="Liberation Serif"/>
          <w:sz w:val="22"/>
          <w:szCs w:val="22"/>
        </w:rPr>
        <w:t xml:space="preserve"> Session of </w:t>
      </w:r>
    </w:p>
    <w:p w14:paraId="0A0C2899" w14:textId="77777777" w:rsidR="00DD2958" w:rsidRDefault="00000000">
      <w:pPr>
        <w:pStyle w:val="SingleTxt"/>
        <w:jc w:val="center"/>
        <w:rPr>
          <w:sz w:val="22"/>
          <w:szCs w:val="22"/>
        </w:rPr>
      </w:pPr>
      <w:r>
        <w:rPr>
          <w:rFonts w:eastAsia="Liberation Serif"/>
          <w:sz w:val="22"/>
          <w:szCs w:val="22"/>
        </w:rPr>
        <w:t xml:space="preserve">the International Covenant on Economic, Social </w:t>
      </w:r>
    </w:p>
    <w:p w14:paraId="0F7E2B9C" w14:textId="77777777" w:rsidR="00DD2958" w:rsidRDefault="00000000">
      <w:pPr>
        <w:pStyle w:val="SingleTxt"/>
        <w:jc w:val="center"/>
        <w:rPr>
          <w:sz w:val="22"/>
          <w:szCs w:val="22"/>
        </w:rPr>
      </w:pPr>
      <w:r>
        <w:rPr>
          <w:rFonts w:eastAsia="Liberation Serif"/>
          <w:sz w:val="22"/>
          <w:szCs w:val="22"/>
        </w:rPr>
        <w:t>and Cultural Rights Committee)</w:t>
      </w:r>
    </w:p>
    <w:p w14:paraId="765BB1B9" w14:textId="0B36392F" w:rsidR="00DD2958" w:rsidRDefault="00000000">
      <w:pPr>
        <w:pStyle w:val="SingleTxt"/>
        <w:jc w:val="center"/>
        <w:rPr>
          <w:sz w:val="22"/>
          <w:szCs w:val="22"/>
        </w:rPr>
      </w:pPr>
      <w:r>
        <w:rPr>
          <w:rFonts w:eastAsia="Liberation Serif"/>
          <w:sz w:val="22"/>
          <w:szCs w:val="22"/>
          <w:u w:val="single"/>
        </w:rPr>
        <w:t>Submitted on 1</w:t>
      </w:r>
      <w:r w:rsidR="00A040CB">
        <w:rPr>
          <w:rFonts w:eastAsia="Liberation Serif"/>
          <w:sz w:val="22"/>
          <w:szCs w:val="22"/>
          <w:u w:val="single"/>
        </w:rPr>
        <w:t>3</w:t>
      </w:r>
      <w:r>
        <w:rPr>
          <w:rFonts w:eastAsia="Liberation Serif"/>
          <w:sz w:val="22"/>
          <w:szCs w:val="22"/>
          <w:u w:val="single"/>
        </w:rPr>
        <w:t xml:space="preserve"> January, 2025</w:t>
      </w:r>
    </w:p>
    <w:p w14:paraId="36BDECEF" w14:textId="77777777" w:rsidR="00DD2958" w:rsidRDefault="00000000">
      <w:pPr>
        <w:pStyle w:val="SingleTxt"/>
        <w:jc w:val="center"/>
        <w:rPr>
          <w:sz w:val="20"/>
          <w:szCs w:val="20"/>
        </w:rPr>
      </w:pPr>
      <w:r>
        <w:t>⁎</w:t>
      </w:r>
    </w:p>
    <w:p w14:paraId="2F3767DD" w14:textId="77777777" w:rsidR="00DD2958" w:rsidRDefault="00000000">
      <w:pPr>
        <w:pStyle w:val="SingleTxt"/>
        <w:jc w:val="center"/>
        <w:rPr>
          <w:sz w:val="42"/>
          <w:szCs w:val="42"/>
        </w:rPr>
      </w:pPr>
      <w:r>
        <w:rPr>
          <w:rFonts w:eastAsia="Liberation Serif"/>
          <w:b/>
          <w:bCs/>
          <w:sz w:val="42"/>
          <w:szCs w:val="42"/>
        </w:rPr>
        <w:t xml:space="preserve">International </w:t>
      </w:r>
      <w:proofErr w:type="spellStart"/>
      <w:r>
        <w:rPr>
          <w:rFonts w:eastAsia="Liberation Serif"/>
          <w:b/>
          <w:bCs/>
          <w:sz w:val="42"/>
          <w:szCs w:val="42"/>
        </w:rPr>
        <w:t>Probono</w:t>
      </w:r>
      <w:proofErr w:type="spellEnd"/>
      <w:r>
        <w:rPr>
          <w:rFonts w:eastAsia="Liberation Serif"/>
          <w:b/>
          <w:bCs/>
          <w:sz w:val="42"/>
          <w:szCs w:val="42"/>
        </w:rPr>
        <w:t xml:space="preserve"> </w:t>
      </w:r>
    </w:p>
    <w:p w14:paraId="7B98575B" w14:textId="77777777" w:rsidR="00DD2958" w:rsidRDefault="00000000">
      <w:pPr>
        <w:pStyle w:val="SingleTxt"/>
        <w:jc w:val="center"/>
        <w:rPr>
          <w:sz w:val="42"/>
          <w:szCs w:val="42"/>
        </w:rPr>
      </w:pPr>
      <w:r>
        <w:rPr>
          <w:rFonts w:eastAsia="Liberation Serif"/>
          <w:b/>
          <w:bCs/>
          <w:sz w:val="42"/>
          <w:szCs w:val="42"/>
        </w:rPr>
        <w:t xml:space="preserve">Legal Services Association </w:t>
      </w:r>
    </w:p>
    <w:p w14:paraId="1E5C489A" w14:textId="77777777" w:rsidR="00DD2958" w:rsidRDefault="00000000">
      <w:pPr>
        <w:pStyle w:val="SingleTxt"/>
        <w:rPr>
          <w:sz w:val="20"/>
          <w:szCs w:val="20"/>
        </w:rPr>
      </w:pPr>
      <w:r>
        <w:rPr>
          <w:rFonts w:eastAsia="Liberation Serif"/>
          <w:sz w:val="20"/>
          <w:szCs w:val="20"/>
        </w:rPr>
        <w:t xml:space="preserve">The International </w:t>
      </w:r>
      <w:proofErr w:type="spellStart"/>
      <w:r>
        <w:rPr>
          <w:rFonts w:eastAsia="Liberation Serif"/>
          <w:sz w:val="20"/>
          <w:szCs w:val="20"/>
        </w:rPr>
        <w:t>Probono</w:t>
      </w:r>
      <w:proofErr w:type="spellEnd"/>
      <w:r>
        <w:rPr>
          <w:rFonts w:eastAsia="Liberation Serif"/>
          <w:sz w:val="20"/>
          <w:szCs w:val="20"/>
        </w:rPr>
        <w:t xml:space="preserve"> Legal Services Association (“IPLSA”) is a non-profit organization that aims to improve access to justice for those in need. With the vision of facilitating and promoting cross-jurisdictional pro bono legal services, IPLSA provides both pro bono legal services, and training for local legal practitioners and those from overseas, working towards its goal of enhancing access to justice for all.</w:t>
      </w:r>
    </w:p>
    <w:p w14:paraId="555A103D" w14:textId="77777777" w:rsidR="00DD2958" w:rsidRDefault="00DD2958">
      <w:pPr>
        <w:pStyle w:val="SingleTxt"/>
        <w:rPr>
          <w:rFonts w:eastAsia="Liberation Serif"/>
          <w:sz w:val="12"/>
          <w:szCs w:val="12"/>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1914"/>
        <w:gridCol w:w="1297"/>
        <w:gridCol w:w="644"/>
        <w:gridCol w:w="1921"/>
        <w:gridCol w:w="639"/>
        <w:gridCol w:w="1294"/>
        <w:gridCol w:w="1929"/>
      </w:tblGrid>
      <w:tr w:rsidR="00DD2958" w14:paraId="200C3DA6" w14:textId="77777777">
        <w:tc>
          <w:tcPr>
            <w:tcW w:w="1914" w:type="dxa"/>
            <w:shd w:val="clear" w:color="auto" w:fill="39B540"/>
            <w:vAlign w:val="center"/>
          </w:tcPr>
          <w:p w14:paraId="7B2DDB42" w14:textId="77777777" w:rsidR="00DD2958" w:rsidRDefault="00DD2958">
            <w:pPr>
              <w:pStyle w:val="TableContents"/>
              <w:spacing w:line="360" w:lineRule="auto"/>
              <w:jc w:val="center"/>
              <w:rPr>
                <w:rFonts w:eastAsia="Liberation Serif"/>
              </w:rPr>
            </w:pPr>
          </w:p>
        </w:tc>
        <w:tc>
          <w:tcPr>
            <w:tcW w:w="1941" w:type="dxa"/>
            <w:gridSpan w:val="2"/>
            <w:shd w:val="clear" w:color="auto" w:fill="27AAE1"/>
            <w:vAlign w:val="center"/>
          </w:tcPr>
          <w:p w14:paraId="294170C8" w14:textId="77777777" w:rsidR="00DD2958" w:rsidRDefault="00DD2958">
            <w:pPr>
              <w:pStyle w:val="TableContents"/>
              <w:spacing w:line="360" w:lineRule="auto"/>
              <w:jc w:val="center"/>
              <w:rPr>
                <w:rFonts w:eastAsia="Liberation Serif"/>
              </w:rPr>
            </w:pPr>
          </w:p>
        </w:tc>
        <w:tc>
          <w:tcPr>
            <w:tcW w:w="1921" w:type="dxa"/>
            <w:shd w:val="clear" w:color="auto" w:fill="92278F"/>
            <w:vAlign w:val="center"/>
          </w:tcPr>
          <w:p w14:paraId="4E908198" w14:textId="77777777" w:rsidR="00DD2958" w:rsidRDefault="00DD2958">
            <w:pPr>
              <w:pStyle w:val="TableContents"/>
              <w:spacing w:line="360" w:lineRule="auto"/>
              <w:jc w:val="center"/>
              <w:rPr>
                <w:rFonts w:eastAsia="Liberation Serif"/>
              </w:rPr>
            </w:pPr>
          </w:p>
        </w:tc>
        <w:tc>
          <w:tcPr>
            <w:tcW w:w="1933" w:type="dxa"/>
            <w:gridSpan w:val="2"/>
            <w:shd w:val="clear" w:color="auto" w:fill="EC008C"/>
            <w:vAlign w:val="center"/>
          </w:tcPr>
          <w:p w14:paraId="18C8955D" w14:textId="77777777" w:rsidR="00DD2958" w:rsidRDefault="00DD2958">
            <w:pPr>
              <w:pStyle w:val="TableContents"/>
              <w:spacing w:line="360" w:lineRule="auto"/>
              <w:jc w:val="center"/>
              <w:rPr>
                <w:rFonts w:eastAsia="Liberation Serif"/>
              </w:rPr>
            </w:pPr>
          </w:p>
        </w:tc>
        <w:tc>
          <w:tcPr>
            <w:tcW w:w="1929" w:type="dxa"/>
            <w:shd w:val="clear" w:color="auto" w:fill="F7941D"/>
            <w:vAlign w:val="center"/>
          </w:tcPr>
          <w:p w14:paraId="6216CEE6" w14:textId="77777777" w:rsidR="00DD2958" w:rsidRDefault="00DD2958">
            <w:pPr>
              <w:pStyle w:val="TableContents"/>
              <w:spacing w:line="360" w:lineRule="auto"/>
              <w:jc w:val="center"/>
              <w:rPr>
                <w:rFonts w:eastAsia="Liberation Serif"/>
              </w:rPr>
            </w:pPr>
          </w:p>
        </w:tc>
      </w:tr>
      <w:tr w:rsidR="00DD2958" w14:paraId="75D3F7BE" w14:textId="77777777">
        <w:tc>
          <w:tcPr>
            <w:tcW w:w="3211" w:type="dxa"/>
            <w:gridSpan w:val="2"/>
            <w:vAlign w:val="center"/>
          </w:tcPr>
          <w:p w14:paraId="10A5D8F5" w14:textId="77777777" w:rsidR="00DD2958" w:rsidRDefault="00000000">
            <w:pPr>
              <w:pStyle w:val="LO-normal"/>
              <w:jc w:val="center"/>
              <w:rPr>
                <w:rFonts w:ascii="Times New Roman" w:eastAsia="Garamond" w:hAnsi="Times New Roman" w:cs="Garamond"/>
                <w:b/>
                <w:bCs/>
                <w:i/>
                <w:iCs/>
                <w:color w:val="000000"/>
                <w:sz w:val="18"/>
                <w:szCs w:val="18"/>
              </w:rPr>
            </w:pPr>
            <w:r>
              <w:rPr>
                <w:rFonts w:eastAsia="Liberation Serif" w:cs="Garamond"/>
                <w:b/>
                <w:bCs/>
                <w:color w:val="000000"/>
                <w:sz w:val="18"/>
                <w:szCs w:val="18"/>
              </w:rPr>
              <w:t xml:space="preserve">📧 </w:t>
            </w:r>
            <w:r>
              <w:rPr>
                <w:rFonts w:eastAsia="Liberation Serif" w:cs="Garamond"/>
                <w:b/>
                <w:bCs/>
                <w:i/>
                <w:iCs/>
                <w:color w:val="000000"/>
                <w:sz w:val="18"/>
                <w:szCs w:val="18"/>
              </w:rPr>
              <w:t xml:space="preserve">   E-mail: </w:t>
            </w:r>
            <w:hyperlink r:id="rId8">
              <w:r w:rsidR="00DD2958">
                <w:rPr>
                  <w:rStyle w:val="Hyperlink"/>
                  <w:rFonts w:eastAsia="Liberation Serif" w:cs="Garamond"/>
                  <w:b/>
                  <w:bCs/>
                  <w:i/>
                  <w:iCs/>
                  <w:color w:val="000000"/>
                  <w:sz w:val="18"/>
                  <w:szCs w:val="18"/>
                  <w:u w:val="none"/>
                </w:rPr>
                <w:t>info@iplsa.net</w:t>
              </w:r>
            </w:hyperlink>
          </w:p>
        </w:tc>
        <w:tc>
          <w:tcPr>
            <w:tcW w:w="3204" w:type="dxa"/>
            <w:gridSpan w:val="3"/>
            <w:vAlign w:val="center"/>
          </w:tcPr>
          <w:p w14:paraId="4580E5B4" w14:textId="77777777" w:rsidR="00DD2958" w:rsidRDefault="00000000">
            <w:pPr>
              <w:pStyle w:val="LO-normal"/>
              <w:jc w:val="center"/>
              <w:rPr>
                <w:rFonts w:eastAsia="Liberation Serif" w:cs="Garamond"/>
                <w:b/>
                <w:bCs/>
                <w:i/>
                <w:iCs/>
                <w:color w:val="000000"/>
                <w:sz w:val="18"/>
                <w:szCs w:val="18"/>
              </w:rPr>
            </w:pPr>
            <w:r>
              <w:rPr>
                <w:rFonts w:eastAsia="Liberation Serif" w:cs="Garamond"/>
                <w:b/>
                <w:bCs/>
                <w:i/>
                <w:iCs/>
                <w:color w:val="000000"/>
                <w:sz w:val="18"/>
                <w:szCs w:val="18"/>
              </w:rPr>
              <w:t>G2, Kai Wong Commercial Building, No. 222 Queen’s Road Central, Hong Kong</w:t>
            </w:r>
          </w:p>
        </w:tc>
        <w:tc>
          <w:tcPr>
            <w:tcW w:w="3223" w:type="dxa"/>
            <w:gridSpan w:val="2"/>
            <w:vAlign w:val="center"/>
          </w:tcPr>
          <w:p w14:paraId="7CF8F4CB" w14:textId="77777777" w:rsidR="00DD2958" w:rsidRDefault="00000000">
            <w:pPr>
              <w:pStyle w:val="LO-normal"/>
              <w:jc w:val="center"/>
              <w:rPr>
                <w:rFonts w:eastAsia="Liberation Serif" w:cs="Garamond"/>
                <w:b/>
                <w:bCs/>
                <w:i/>
                <w:iCs/>
                <w:color w:val="000000"/>
                <w:sz w:val="18"/>
                <w:szCs w:val="18"/>
              </w:rPr>
            </w:pPr>
            <w:r>
              <w:rPr>
                <w:rFonts w:eastAsia="Liberation Serif" w:cs="Garamond"/>
                <w:b/>
                <w:bCs/>
                <w:color w:val="000000"/>
                <w:sz w:val="18"/>
                <w:szCs w:val="18"/>
              </w:rPr>
              <w:t xml:space="preserve">🕿   </w:t>
            </w:r>
            <w:r>
              <w:rPr>
                <w:rFonts w:eastAsia="Liberation Serif" w:cs="Garamond"/>
                <w:b/>
                <w:bCs/>
                <w:i/>
                <w:iCs/>
                <w:color w:val="000000"/>
                <w:sz w:val="18"/>
                <w:szCs w:val="18"/>
              </w:rPr>
              <w:t>Tel.: +852 5448 8415</w:t>
            </w:r>
          </w:p>
        </w:tc>
      </w:tr>
    </w:tbl>
    <w:p w14:paraId="5FD438B8" w14:textId="237E18BC" w:rsidR="00DD2958" w:rsidRDefault="00000000">
      <w:pPr>
        <w:pStyle w:val="Heading1"/>
        <w:spacing w:line="360" w:lineRule="auto"/>
        <w:ind w:right="2381"/>
        <w:rPr>
          <w:rFonts w:eastAsia="Liberation Serif" w:cs="Times New Roman"/>
          <w:u w:val="single"/>
        </w:rPr>
      </w:pPr>
      <w:r>
        <w:br w:type="page"/>
      </w:r>
      <w:r>
        <w:rPr>
          <w:rFonts w:eastAsia="Liberation Serif" w:cs="Times New Roman"/>
          <w:u w:val="single"/>
        </w:rPr>
        <w:lastRenderedPageBreak/>
        <w:t>Introduction</w:t>
      </w:r>
    </w:p>
    <w:p w14:paraId="457386D8" w14:textId="185E2959" w:rsidR="005562F2" w:rsidRPr="003331DC" w:rsidRDefault="005562F2" w:rsidP="005562F2">
      <w:pPr>
        <w:pStyle w:val="LO-normal"/>
        <w:numPr>
          <w:ilvl w:val="0"/>
          <w:numId w:val="1"/>
        </w:numPr>
        <w:rPr>
          <w:sz w:val="25"/>
          <w:szCs w:val="25"/>
          <w:lang w:val="en-HK"/>
        </w:rPr>
      </w:pPr>
      <w:r w:rsidRPr="003331DC">
        <w:rPr>
          <w:sz w:val="25"/>
          <w:szCs w:val="25"/>
          <w:lang w:val="en-HK"/>
        </w:rPr>
        <w:t xml:space="preserve">This report addresses two </w:t>
      </w:r>
      <w:r w:rsidR="00444612" w:rsidRPr="003331DC">
        <w:rPr>
          <w:sz w:val="25"/>
          <w:szCs w:val="25"/>
          <w:lang w:val="en-HK"/>
        </w:rPr>
        <w:t>critical</w:t>
      </w:r>
      <w:r w:rsidRPr="003331DC">
        <w:rPr>
          <w:sz w:val="25"/>
          <w:szCs w:val="25"/>
          <w:lang w:val="en-HK"/>
        </w:rPr>
        <w:t xml:space="preserve"> issues concerning the United Kingdom of Great Britain and Northern Ireland's (the "UK") repeated failure to uphold its legal obligations under the provisions enshrined in the International Covenant on Economic, Social and Cultural Rights (</w:t>
      </w:r>
      <w:r w:rsidR="00B63FA3" w:rsidRPr="003331DC">
        <w:rPr>
          <w:sz w:val="25"/>
          <w:szCs w:val="25"/>
          <w:lang w:val="en-HK"/>
        </w:rPr>
        <w:t>“</w:t>
      </w:r>
      <w:r w:rsidRPr="003331DC">
        <w:rPr>
          <w:sz w:val="25"/>
          <w:szCs w:val="25"/>
          <w:lang w:val="en-HK"/>
        </w:rPr>
        <w:t>ICESCR</w:t>
      </w:r>
      <w:r w:rsidR="00B63FA3" w:rsidRPr="003331DC">
        <w:rPr>
          <w:sz w:val="25"/>
          <w:szCs w:val="25"/>
          <w:lang w:val="en-HK"/>
        </w:rPr>
        <w:t>”</w:t>
      </w:r>
      <w:r w:rsidRPr="003331DC">
        <w:rPr>
          <w:sz w:val="25"/>
          <w:szCs w:val="25"/>
          <w:lang w:val="en-HK"/>
        </w:rPr>
        <w:t>). The two issues identified are</w:t>
      </w:r>
      <w:r w:rsidR="00444612" w:rsidRPr="003331DC">
        <w:rPr>
          <w:sz w:val="25"/>
          <w:szCs w:val="25"/>
          <w:lang w:val="en-HK"/>
        </w:rPr>
        <w:t xml:space="preserve"> as follows</w:t>
      </w:r>
      <w:r w:rsidRPr="003331DC">
        <w:rPr>
          <w:sz w:val="25"/>
          <w:szCs w:val="25"/>
          <w:lang w:val="en-HK"/>
        </w:rPr>
        <w:t>:</w:t>
      </w:r>
    </w:p>
    <w:p w14:paraId="7C08EAF3" w14:textId="6F55B3AE" w:rsidR="005562F2" w:rsidRPr="003331DC" w:rsidRDefault="005562F2" w:rsidP="005562F2">
      <w:pPr>
        <w:pStyle w:val="LO-normal"/>
        <w:numPr>
          <w:ilvl w:val="1"/>
          <w:numId w:val="1"/>
        </w:numPr>
        <w:rPr>
          <w:sz w:val="25"/>
          <w:szCs w:val="25"/>
          <w:lang w:val="en-HK"/>
        </w:rPr>
      </w:pPr>
      <w:r w:rsidRPr="003331DC">
        <w:rPr>
          <w:sz w:val="25"/>
          <w:szCs w:val="25"/>
          <w:lang w:val="en-HK"/>
        </w:rPr>
        <w:t>The</w:t>
      </w:r>
      <w:r w:rsidR="000F4869" w:rsidRPr="003331DC">
        <w:rPr>
          <w:sz w:val="25"/>
          <w:szCs w:val="25"/>
          <w:lang w:val="en-HK"/>
        </w:rPr>
        <w:t xml:space="preserve"> </w:t>
      </w:r>
      <w:r w:rsidR="00B63FA3" w:rsidRPr="003331DC">
        <w:rPr>
          <w:sz w:val="25"/>
          <w:szCs w:val="25"/>
          <w:lang w:val="en-HK"/>
        </w:rPr>
        <w:t xml:space="preserve">UK’s systematic exploit of Hong Kong’s British National (Overseas) [“BN(O)”] </w:t>
      </w:r>
      <w:r w:rsidR="00C77D9E" w:rsidRPr="003331DC">
        <w:rPr>
          <w:sz w:val="25"/>
          <w:szCs w:val="25"/>
          <w:lang w:val="en-HK"/>
        </w:rPr>
        <w:t>im</w:t>
      </w:r>
      <w:r w:rsidRPr="003331DC">
        <w:rPr>
          <w:sz w:val="25"/>
          <w:szCs w:val="25"/>
          <w:lang w:val="en-HK"/>
        </w:rPr>
        <w:t>migrants; and</w:t>
      </w:r>
    </w:p>
    <w:p w14:paraId="7D2A6E59" w14:textId="1FE401DE" w:rsidR="005562F2" w:rsidRPr="003331DC" w:rsidRDefault="005562F2" w:rsidP="005562F2">
      <w:pPr>
        <w:pStyle w:val="LO-normal"/>
        <w:numPr>
          <w:ilvl w:val="1"/>
          <w:numId w:val="1"/>
        </w:numPr>
        <w:rPr>
          <w:sz w:val="25"/>
          <w:szCs w:val="25"/>
          <w:lang w:val="en-HK"/>
        </w:rPr>
      </w:pPr>
      <w:r w:rsidRPr="003331DC">
        <w:rPr>
          <w:sz w:val="25"/>
          <w:szCs w:val="25"/>
          <w:lang w:val="en-HK"/>
        </w:rPr>
        <w:t>The</w:t>
      </w:r>
      <w:r w:rsidR="00B63FA3" w:rsidRPr="003331DC">
        <w:rPr>
          <w:sz w:val="25"/>
          <w:szCs w:val="25"/>
          <w:lang w:val="en-HK"/>
        </w:rPr>
        <w:t xml:space="preserve"> UK’s</w:t>
      </w:r>
      <w:r w:rsidRPr="003331DC">
        <w:rPr>
          <w:sz w:val="25"/>
          <w:szCs w:val="25"/>
          <w:lang w:val="en-HK"/>
        </w:rPr>
        <w:t xml:space="preserve"> systematic suppression of free speech, particularly against independent journalists who are actively reporting on urgent matters related to the ongoing genocide of Palestinians and Israeli apartheid.</w:t>
      </w:r>
    </w:p>
    <w:p w14:paraId="5FD8591F" w14:textId="0170C6A2" w:rsidR="005562F2" w:rsidRPr="003331DC" w:rsidRDefault="005562F2" w:rsidP="005562F2">
      <w:pPr>
        <w:pStyle w:val="LO-normal"/>
        <w:numPr>
          <w:ilvl w:val="0"/>
          <w:numId w:val="1"/>
        </w:numPr>
        <w:rPr>
          <w:sz w:val="25"/>
          <w:szCs w:val="25"/>
          <w:lang w:val="en-HK"/>
        </w:rPr>
      </w:pPr>
      <w:r w:rsidRPr="003331DC">
        <w:rPr>
          <w:sz w:val="25"/>
          <w:szCs w:val="25"/>
          <w:lang w:val="en-HK"/>
        </w:rPr>
        <w:t>Furthermore, this report highlights the UK's shortcomings in fulfilling its legal obligations under the ICESCR, specifically Articles 5</w:t>
      </w:r>
      <w:r w:rsidR="00204C66" w:rsidRPr="003331DC">
        <w:rPr>
          <w:sz w:val="25"/>
          <w:szCs w:val="25"/>
          <w:lang w:val="en-HK"/>
        </w:rPr>
        <w:t xml:space="preserve"> and </w:t>
      </w:r>
      <w:r w:rsidRPr="003331DC">
        <w:rPr>
          <w:sz w:val="25"/>
          <w:szCs w:val="25"/>
          <w:lang w:val="en-HK"/>
        </w:rPr>
        <w:t>6, in relation to the aforementioned issues:</w:t>
      </w:r>
    </w:p>
    <w:p w14:paraId="4909D0DF" w14:textId="2755D827" w:rsidR="00444612" w:rsidRPr="003331DC" w:rsidRDefault="00444612" w:rsidP="005562F2">
      <w:pPr>
        <w:pStyle w:val="LO-normal"/>
        <w:numPr>
          <w:ilvl w:val="1"/>
          <w:numId w:val="1"/>
        </w:numPr>
        <w:rPr>
          <w:b/>
          <w:bCs/>
          <w:sz w:val="25"/>
          <w:szCs w:val="25"/>
          <w:lang w:val="en-HK"/>
        </w:rPr>
      </w:pPr>
      <w:r w:rsidRPr="003331DC">
        <w:rPr>
          <w:sz w:val="25"/>
          <w:szCs w:val="25"/>
        </w:rPr>
        <w:t>The UK’s non-compliance with Article 6 of the ICESCR is evident in its inadequate recognition of the right to work for BN(O) immigrants from Hong Kong. This includes a lack of sufficient vocational and technical support to facilitate their economic, social, and cultural development within the UK</w:t>
      </w:r>
      <w:r w:rsidRPr="003331DC">
        <w:rPr>
          <w:sz w:val="25"/>
          <w:szCs w:val="25"/>
        </w:rPr>
        <w:t>; and</w:t>
      </w:r>
    </w:p>
    <w:p w14:paraId="27A4BAB1" w14:textId="77777777" w:rsidR="00444612" w:rsidRPr="003331DC" w:rsidRDefault="00444612" w:rsidP="005562F2">
      <w:pPr>
        <w:pStyle w:val="LO-normal"/>
        <w:numPr>
          <w:ilvl w:val="0"/>
          <w:numId w:val="1"/>
        </w:numPr>
        <w:rPr>
          <w:sz w:val="25"/>
          <w:szCs w:val="25"/>
          <w:lang w:val="en-HK"/>
        </w:rPr>
      </w:pPr>
      <w:r w:rsidRPr="003331DC">
        <w:rPr>
          <w:sz w:val="25"/>
          <w:szCs w:val="25"/>
        </w:rPr>
        <w:t>The failures concerning Article 5 of the ICESCR are manifested in the ongoing suppression of free speech, particularly regarding the genocide occurring in the Occupied Palestinian Territories, where a significant number of the population, including many children under 18, are being targeted and killed by the Israeli regime.</w:t>
      </w:r>
    </w:p>
    <w:p w14:paraId="08AB537F" w14:textId="3C449D59" w:rsidR="00524B31" w:rsidRPr="001535DD" w:rsidRDefault="00444612" w:rsidP="001535DD">
      <w:pPr>
        <w:pStyle w:val="LO-normal"/>
        <w:numPr>
          <w:ilvl w:val="0"/>
          <w:numId w:val="1"/>
        </w:numPr>
        <w:rPr>
          <w:sz w:val="25"/>
          <w:szCs w:val="25"/>
          <w:lang w:val="en-HK"/>
        </w:rPr>
      </w:pPr>
      <w:r w:rsidRPr="003331DC">
        <w:rPr>
          <w:sz w:val="25"/>
          <w:szCs w:val="25"/>
          <w:lang w:val="en-HK"/>
        </w:rPr>
        <w:t>The subsequent sections of this report will elaborate on the points outlined above. The first section summarises the current status of the expanded BN(O) visa scheme, which has seen over two hundred and twenty thousand Hong Kong residents apply for visas. This section examines how the BN(O) visa scheme may be predatory, placing many BN(O) passport holders at increased risk of removal and poverty as they deplete their essential savings to fulfil the five-year commitment period before being eligible to apply for British citizenship.</w:t>
      </w:r>
    </w:p>
    <w:p w14:paraId="019FD592" w14:textId="3C747607" w:rsidR="00444612" w:rsidRPr="003331DC" w:rsidRDefault="00444612" w:rsidP="00444612">
      <w:pPr>
        <w:pStyle w:val="LO-normal"/>
        <w:numPr>
          <w:ilvl w:val="0"/>
          <w:numId w:val="1"/>
        </w:numPr>
        <w:rPr>
          <w:sz w:val="25"/>
          <w:szCs w:val="25"/>
          <w:lang w:val="en-HK"/>
        </w:rPr>
      </w:pPr>
      <w:r w:rsidRPr="003331DC">
        <w:rPr>
          <w:sz w:val="25"/>
          <w:szCs w:val="25"/>
          <w:lang w:val="en-HK"/>
        </w:rPr>
        <w:lastRenderedPageBreak/>
        <w:t>The second section addresses the misuse of counter-terrorism laws in the UK against independent journalists, particularly at entry points such as ports and airports. Laws such as the Terrorism Act 2000, originally intended to target suspected terrorists, are increasingly being employed to suppress the rights of independent journalists to free speech and assembly. This section briefly discusses how these actions appear to support Israel’s unlawful occupation of Palestinian territories and the systemic discrimination against Palestinians. Each section concludes with findings and recommendations aimed at both the Committee and the State Party, outlining effective measures to remedy the violations examined, in accordance with Article 2 of the ICESCR.</w:t>
      </w:r>
    </w:p>
    <w:p w14:paraId="3CC99A5A" w14:textId="7FCB2545" w:rsidR="000868C8" w:rsidRDefault="00444612" w:rsidP="000868C8">
      <w:pPr>
        <w:pStyle w:val="Heading1"/>
        <w:spacing w:line="360" w:lineRule="auto"/>
        <w:ind w:right="170"/>
        <w:rPr>
          <w:rFonts w:eastAsia="Liberation Serif"/>
          <w:u w:val="single"/>
        </w:rPr>
      </w:pPr>
      <w:r>
        <w:rPr>
          <w:rFonts w:eastAsia="Liberation Serif"/>
          <w:u w:val="single"/>
        </w:rPr>
        <w:t>Section</w:t>
      </w:r>
      <w:r w:rsidR="000868C8">
        <w:rPr>
          <w:rFonts w:eastAsia="Liberation Serif"/>
          <w:u w:val="single"/>
        </w:rPr>
        <w:t xml:space="preserve"> 1 – Vulnerable Hong Kongers in the UK</w:t>
      </w:r>
    </w:p>
    <w:p w14:paraId="265CC1E1" w14:textId="474356AE" w:rsidR="00524B31" w:rsidRPr="00D53EA2" w:rsidRDefault="000868C8" w:rsidP="007A4032">
      <w:pPr>
        <w:pStyle w:val="LO-normal"/>
        <w:numPr>
          <w:ilvl w:val="0"/>
          <w:numId w:val="1"/>
        </w:numPr>
        <w:overflowPunct/>
        <w:rPr>
          <w:sz w:val="25"/>
          <w:szCs w:val="25"/>
          <w:lang w:val="en-HK"/>
        </w:rPr>
      </w:pPr>
      <w:r w:rsidRPr="00D53EA2">
        <w:rPr>
          <w:sz w:val="25"/>
          <w:szCs w:val="25"/>
          <w:lang w:val="en-HK"/>
        </w:rPr>
        <w:t xml:space="preserve">Many Hong Kong </w:t>
      </w:r>
      <w:r w:rsidR="00C77D9E" w:rsidRPr="00D53EA2">
        <w:rPr>
          <w:sz w:val="25"/>
          <w:szCs w:val="25"/>
          <w:lang w:val="en-HK"/>
        </w:rPr>
        <w:t>im</w:t>
      </w:r>
      <w:r w:rsidRPr="00D53EA2">
        <w:rPr>
          <w:sz w:val="25"/>
          <w:szCs w:val="25"/>
          <w:lang w:val="en-HK"/>
        </w:rPr>
        <w:t>migrants who have emigrated to the UK under the impression that changes to the British National (Overseas) [BN(O)] immigration policy would be beneficial have found this not to be the case for the majority of eligible Hong Kongers. This was evidenced by IPLSA’s research paper submitted to the 140</w:t>
      </w:r>
      <w:r w:rsidRPr="00D53EA2">
        <w:rPr>
          <w:sz w:val="25"/>
          <w:szCs w:val="25"/>
          <w:vertAlign w:val="superscript"/>
          <w:lang w:val="en-HK"/>
        </w:rPr>
        <w:t>th</w:t>
      </w:r>
      <w:r w:rsidR="008A13E3" w:rsidRPr="00D53EA2">
        <w:rPr>
          <w:sz w:val="25"/>
          <w:szCs w:val="25"/>
          <w:lang w:val="en-HK"/>
        </w:rPr>
        <w:t xml:space="preserve"> </w:t>
      </w:r>
      <w:r w:rsidRPr="00D53EA2">
        <w:rPr>
          <w:sz w:val="25"/>
          <w:szCs w:val="25"/>
          <w:lang w:val="en-HK"/>
        </w:rPr>
        <w:t>Session of the International Covenant on Civil and Political Rights Committee in the first quarter of 2024 as an early warning.</w:t>
      </w:r>
      <w:r w:rsidR="005E47FC" w:rsidRPr="003331DC">
        <w:rPr>
          <w:rStyle w:val="FootnoteReference"/>
          <w:sz w:val="25"/>
          <w:szCs w:val="25"/>
          <w:lang w:val="en-HK"/>
        </w:rPr>
        <w:footnoteReference w:id="1"/>
      </w:r>
      <w:r w:rsidRPr="00D53EA2">
        <w:rPr>
          <w:sz w:val="25"/>
          <w:szCs w:val="25"/>
          <w:lang w:val="en-HK"/>
        </w:rPr>
        <w:t xml:space="preserve"> Unfortunately, the content of th</w:t>
      </w:r>
      <w:r w:rsidR="008A13E3" w:rsidRPr="00D53EA2">
        <w:rPr>
          <w:sz w:val="25"/>
          <w:szCs w:val="25"/>
          <w:lang w:val="en-HK"/>
        </w:rPr>
        <w:t>e</w:t>
      </w:r>
      <w:r w:rsidRPr="00D53EA2">
        <w:rPr>
          <w:sz w:val="25"/>
          <w:szCs w:val="25"/>
          <w:lang w:val="en-HK"/>
        </w:rPr>
        <w:t xml:space="preserve"> research was not reflected during the Question and Answers session of the UK’s State Party Report. IPLSA’s</w:t>
      </w:r>
      <w:r w:rsidR="008A13E3" w:rsidRPr="00D53EA2">
        <w:rPr>
          <w:sz w:val="25"/>
          <w:szCs w:val="25"/>
          <w:lang w:val="en-HK"/>
        </w:rPr>
        <w:t xml:space="preserve"> past</w:t>
      </w:r>
      <w:r w:rsidRPr="00D53EA2">
        <w:rPr>
          <w:sz w:val="25"/>
          <w:szCs w:val="25"/>
          <w:lang w:val="en-HK"/>
        </w:rPr>
        <w:t xml:space="preserve"> findings revealed that the alterations to the UK’s immigration policy have proven detrimental to many Hong Kong residents while simultaneously being financially advantageous for the UK. Hong Kongers </w:t>
      </w:r>
      <w:proofErr w:type="gramStart"/>
      <w:r w:rsidRPr="00D53EA2">
        <w:rPr>
          <w:sz w:val="25"/>
          <w:szCs w:val="25"/>
          <w:lang w:val="en-HK"/>
        </w:rPr>
        <w:t>are</w:t>
      </w:r>
      <w:proofErr w:type="gramEnd"/>
      <w:r w:rsidRPr="00D53EA2">
        <w:rPr>
          <w:sz w:val="25"/>
          <w:szCs w:val="25"/>
          <w:lang w:val="en-HK"/>
        </w:rPr>
        <w:t xml:space="preserve"> compelled to expend a significant portion of their savings on BN(O) visa applications, which do not guarantee citizenship. In this context, the UK profits from both the visa applications and the tax revenue generated during the five-year commitment period. Many </w:t>
      </w:r>
      <w:r w:rsidR="00C77D9E" w:rsidRPr="00D53EA2">
        <w:rPr>
          <w:sz w:val="25"/>
          <w:szCs w:val="25"/>
          <w:lang w:val="en-HK"/>
        </w:rPr>
        <w:t>im</w:t>
      </w:r>
      <w:r w:rsidRPr="00D53EA2">
        <w:rPr>
          <w:sz w:val="25"/>
          <w:szCs w:val="25"/>
          <w:lang w:val="en-HK"/>
        </w:rPr>
        <w:t xml:space="preserve">migrants face the risk of removal as they struggle to secure appropriate employment, which complicates their efforts to renew their BN(O) visa if their initial citizenship application is unsuccessful. </w:t>
      </w:r>
      <w:r w:rsidR="00524B31" w:rsidRPr="00D53EA2">
        <w:rPr>
          <w:sz w:val="25"/>
          <w:szCs w:val="25"/>
          <w:lang w:val="en-HK"/>
        </w:rPr>
        <w:br w:type="page"/>
      </w:r>
    </w:p>
    <w:p w14:paraId="3728398A" w14:textId="08C91CA6" w:rsidR="000868C8" w:rsidRPr="003331DC" w:rsidRDefault="000868C8" w:rsidP="000868C8">
      <w:pPr>
        <w:pStyle w:val="LO-normal"/>
        <w:numPr>
          <w:ilvl w:val="0"/>
          <w:numId w:val="1"/>
        </w:numPr>
        <w:rPr>
          <w:sz w:val="25"/>
          <w:szCs w:val="25"/>
          <w:lang w:val="en-HK"/>
        </w:rPr>
      </w:pPr>
      <w:r w:rsidRPr="003331DC">
        <w:rPr>
          <w:sz w:val="25"/>
          <w:szCs w:val="25"/>
          <w:lang w:val="en-HK"/>
        </w:rPr>
        <w:lastRenderedPageBreak/>
        <w:t xml:space="preserve">This stands in stark contrast to the UK’s purported intention of providing a safe </w:t>
      </w:r>
      <w:r w:rsidR="008A13E3" w:rsidRPr="003331DC">
        <w:rPr>
          <w:sz w:val="25"/>
          <w:szCs w:val="25"/>
          <w:lang w:val="en-HK"/>
        </w:rPr>
        <w:t xml:space="preserve">and smooth </w:t>
      </w:r>
      <w:r w:rsidRPr="003331DC">
        <w:rPr>
          <w:sz w:val="25"/>
          <w:szCs w:val="25"/>
          <w:lang w:val="en-HK"/>
        </w:rPr>
        <w:t>transition for BN(O) passport holders, particularly in light of the national security laws enacted in the Hong Kong Special Administrative Region, suggesting that the UK government may have ulterior motives behind these extraordinary changes.</w:t>
      </w:r>
    </w:p>
    <w:p w14:paraId="3C226CF7" w14:textId="4C9AFEBF" w:rsidR="00781573" w:rsidRPr="003331DC" w:rsidRDefault="00781573" w:rsidP="000868C8">
      <w:pPr>
        <w:pStyle w:val="LO-normal"/>
        <w:numPr>
          <w:ilvl w:val="0"/>
          <w:numId w:val="1"/>
        </w:numPr>
        <w:rPr>
          <w:sz w:val="25"/>
          <w:szCs w:val="25"/>
          <w:lang w:val="en-HK"/>
        </w:rPr>
      </w:pPr>
      <w:r w:rsidRPr="003331DC">
        <w:rPr>
          <w:sz w:val="25"/>
          <w:szCs w:val="25"/>
        </w:rPr>
        <w:t>The changes to the immigration policies regarding BN(O) status were introduced by then-Prime Minister Boris Johnson as a demonstration of "Britain’s ties of history and friendship with the people of Hong Kong."</w:t>
      </w:r>
      <w:r w:rsidR="00524B31" w:rsidRPr="003331DC">
        <w:rPr>
          <w:rStyle w:val="FootnoteReference"/>
          <w:sz w:val="25"/>
          <w:szCs w:val="25"/>
        </w:rPr>
        <w:t xml:space="preserve"> </w:t>
      </w:r>
      <w:r w:rsidR="00524B31" w:rsidRPr="003331DC">
        <w:rPr>
          <w:rStyle w:val="FootnoteReference"/>
          <w:sz w:val="25"/>
          <w:szCs w:val="25"/>
        </w:rPr>
        <w:footnoteReference w:id="2"/>
      </w:r>
      <w:r w:rsidRPr="003331DC">
        <w:rPr>
          <w:sz w:val="25"/>
          <w:szCs w:val="25"/>
        </w:rPr>
        <w:t xml:space="preserve"> These changes were intended to enable any holder of a BN(O) passport from Hong Kong to come to the UK and secure further immigration rights, including the right to work and a pathway to citizenship. However, this narrative fails to acknowledge the troubled history of the BN(O) scheme itself. The primary purpose of the BN(O) status, established under the Nationality Act of 1981, was to ensure that the majority of the Hong Kong population would not have an automatic right of abode in the United Kingdom following the city’s return to the People’s Republic of China on 1 July 1997, as articulated by then Home Secretary William Whitelaw.</w:t>
      </w:r>
      <w:r w:rsidR="00524B31" w:rsidRPr="003331DC">
        <w:rPr>
          <w:rStyle w:val="FootnoteReference"/>
          <w:sz w:val="25"/>
          <w:szCs w:val="25"/>
        </w:rPr>
        <w:footnoteReference w:id="3"/>
      </w:r>
    </w:p>
    <w:p w14:paraId="7506114D" w14:textId="039EA234" w:rsidR="00D25258" w:rsidRPr="003331DC" w:rsidRDefault="000868C8" w:rsidP="000868C8">
      <w:pPr>
        <w:pStyle w:val="LO-normal"/>
        <w:numPr>
          <w:ilvl w:val="0"/>
          <w:numId w:val="1"/>
        </w:numPr>
        <w:rPr>
          <w:sz w:val="25"/>
          <w:szCs w:val="25"/>
          <w:lang w:val="en-HK"/>
        </w:rPr>
      </w:pPr>
      <w:r w:rsidRPr="003331DC">
        <w:rPr>
          <w:sz w:val="25"/>
          <w:szCs w:val="25"/>
          <w:lang w:val="en-HK"/>
        </w:rPr>
        <w:t xml:space="preserve">Moreover, the current outlook of the BN(O) visa scheme bears resemblance to the infamous Windrush Scandal, particularly in the context of the UK’s post-Brexit economic challenges. Just as Caribbean individuals who came to the UK’s aid to address labour shortages in the post-World War II era faced difficulties, Hong Kongers now find themselves in a similar predicament. Compounding this issue, many BN(O) visa applicants invest their own savings into the UK economy while </w:t>
      </w:r>
      <w:r w:rsidR="007F792C" w:rsidRPr="003331DC">
        <w:rPr>
          <w:sz w:val="25"/>
          <w:szCs w:val="25"/>
          <w:lang w:val="en-HK"/>
        </w:rPr>
        <w:t xml:space="preserve">only able to secure </w:t>
      </w:r>
      <w:r w:rsidRPr="003331DC">
        <w:rPr>
          <w:sz w:val="25"/>
          <w:szCs w:val="25"/>
          <w:lang w:val="en-HK"/>
        </w:rPr>
        <w:t>low-</w:t>
      </w:r>
      <w:r w:rsidR="007F792C" w:rsidRPr="003331DC">
        <w:rPr>
          <w:sz w:val="25"/>
          <w:szCs w:val="25"/>
          <w:lang w:val="en-HK"/>
        </w:rPr>
        <w:t xml:space="preserve">skilled </w:t>
      </w:r>
      <w:r w:rsidRPr="003331DC">
        <w:rPr>
          <w:sz w:val="25"/>
          <w:szCs w:val="25"/>
          <w:lang w:val="en-HK"/>
        </w:rPr>
        <w:t>labour</w:t>
      </w:r>
      <w:r w:rsidR="007F792C" w:rsidRPr="003331DC">
        <w:rPr>
          <w:sz w:val="25"/>
          <w:szCs w:val="25"/>
          <w:lang w:val="en-HK"/>
        </w:rPr>
        <w:t xml:space="preserve"> roles</w:t>
      </w:r>
      <w:r w:rsidR="00C77D9E" w:rsidRPr="003331DC">
        <w:rPr>
          <w:sz w:val="25"/>
          <w:szCs w:val="25"/>
          <w:lang w:val="en-HK"/>
        </w:rPr>
        <w:t xml:space="preserve"> to sustain their 5-year stay in the UK</w:t>
      </w:r>
      <w:r w:rsidRPr="003331DC">
        <w:rPr>
          <w:sz w:val="25"/>
          <w:szCs w:val="25"/>
          <w:lang w:val="en-HK"/>
        </w:rPr>
        <w:t>.</w:t>
      </w:r>
    </w:p>
    <w:p w14:paraId="77C1501F" w14:textId="77777777" w:rsidR="00D25258" w:rsidRPr="003331DC" w:rsidRDefault="00D25258">
      <w:pPr>
        <w:overflowPunct/>
        <w:rPr>
          <w:sz w:val="25"/>
          <w:szCs w:val="25"/>
          <w:lang w:val="en-HK"/>
        </w:rPr>
      </w:pPr>
      <w:r w:rsidRPr="003331DC">
        <w:rPr>
          <w:sz w:val="25"/>
          <w:szCs w:val="25"/>
          <w:lang w:val="en-HK"/>
        </w:rPr>
        <w:br w:type="page"/>
      </w:r>
    </w:p>
    <w:p w14:paraId="5F2731D5" w14:textId="1C1DD2EB" w:rsidR="00831067" w:rsidRPr="003331DC" w:rsidRDefault="00831067" w:rsidP="00831067">
      <w:pPr>
        <w:pStyle w:val="LO-normal"/>
        <w:numPr>
          <w:ilvl w:val="0"/>
          <w:numId w:val="1"/>
        </w:numPr>
        <w:rPr>
          <w:sz w:val="25"/>
          <w:szCs w:val="25"/>
          <w:lang w:val="en-HK"/>
        </w:rPr>
      </w:pPr>
      <w:r w:rsidRPr="003331DC">
        <w:rPr>
          <w:rFonts w:eastAsia="Liberation Serif" w:cs="Times New Roman"/>
          <w:sz w:val="25"/>
          <w:szCs w:val="25"/>
        </w:rPr>
        <w:lastRenderedPageBreak/>
        <w:t>Based on a survey conducted by the Welcoming Committee for Hong Kongers,</w:t>
      </w:r>
      <w:r w:rsidRPr="003331DC">
        <w:rPr>
          <w:rStyle w:val="FootnoteReference"/>
          <w:rFonts w:eastAsia="Liberation Serif" w:cs="Times New Roman"/>
          <w:sz w:val="25"/>
          <w:szCs w:val="25"/>
        </w:rPr>
        <w:footnoteReference w:id="4"/>
      </w:r>
      <w:r w:rsidRPr="003331DC">
        <w:rPr>
          <w:rFonts w:eastAsia="Liberation Serif" w:cs="Times New Roman"/>
          <w:sz w:val="25"/>
          <w:szCs w:val="25"/>
        </w:rPr>
        <w:t xml:space="preserve"> it was revealed that nearly half of the working BN(O) </w:t>
      </w:r>
      <w:r w:rsidR="00C77D9E" w:rsidRPr="003331DC">
        <w:rPr>
          <w:rFonts w:eastAsia="Liberation Serif" w:cs="Times New Roman"/>
          <w:sz w:val="25"/>
          <w:szCs w:val="25"/>
        </w:rPr>
        <w:t>im</w:t>
      </w:r>
      <w:r w:rsidRPr="003331DC">
        <w:rPr>
          <w:rFonts w:eastAsia="Liberation Serif" w:cs="Times New Roman"/>
          <w:sz w:val="25"/>
          <w:szCs w:val="25"/>
        </w:rPr>
        <w:t>migrants surveyed encountered difficulties in finding employment that aligned with their skills and previous professional experiences in Hong Kong.  The respondents identified their limited proficiency in the English language and the fact that their qualifications were not recognized by prospective British employers as key factors contributing to the challenges they are currently facing.</w:t>
      </w:r>
      <w:r w:rsidRPr="003331DC">
        <w:rPr>
          <w:rStyle w:val="FootnoteReference"/>
          <w:rFonts w:eastAsia="Liberation Serif" w:cs="Times New Roman"/>
          <w:sz w:val="25"/>
          <w:szCs w:val="25"/>
        </w:rPr>
        <w:footnoteReference w:id="5"/>
      </w:r>
      <w:r w:rsidRPr="003331DC">
        <w:rPr>
          <w:rFonts w:eastAsia="Liberation Serif" w:cs="Times New Roman"/>
          <w:sz w:val="25"/>
          <w:szCs w:val="25"/>
        </w:rPr>
        <w:t xml:space="preserve">  As a result, these </w:t>
      </w:r>
      <w:r w:rsidR="00C77D9E" w:rsidRPr="003331DC">
        <w:rPr>
          <w:rFonts w:eastAsia="Liberation Serif" w:cs="Times New Roman"/>
          <w:sz w:val="25"/>
          <w:szCs w:val="25"/>
        </w:rPr>
        <w:t>im</w:t>
      </w:r>
      <w:r w:rsidRPr="003331DC">
        <w:rPr>
          <w:rFonts w:eastAsia="Liberation Serif" w:cs="Times New Roman"/>
          <w:sz w:val="25"/>
          <w:szCs w:val="25"/>
        </w:rPr>
        <w:t xml:space="preserve">migrants are having to resort to working in low-skilled positions, despite the fact that an overwhelming majority of BN(O) </w:t>
      </w:r>
      <w:r w:rsidR="00C77D9E" w:rsidRPr="003331DC">
        <w:rPr>
          <w:rFonts w:eastAsia="Liberation Serif" w:cs="Times New Roman"/>
          <w:sz w:val="25"/>
          <w:szCs w:val="25"/>
        </w:rPr>
        <w:t>im</w:t>
      </w:r>
      <w:r w:rsidRPr="003331DC">
        <w:rPr>
          <w:rFonts w:eastAsia="Liberation Serif" w:cs="Times New Roman"/>
          <w:sz w:val="25"/>
          <w:szCs w:val="25"/>
        </w:rPr>
        <w:t>migrants possess a graduate or postgraduate degree.</w:t>
      </w:r>
      <w:r w:rsidRPr="003331DC">
        <w:rPr>
          <w:rStyle w:val="FootnoteReference"/>
          <w:rFonts w:eastAsia="Liberation Serif" w:cs="Times New Roman"/>
          <w:sz w:val="25"/>
          <w:szCs w:val="25"/>
        </w:rPr>
        <w:footnoteReference w:id="6"/>
      </w:r>
      <w:r w:rsidRPr="003331DC">
        <w:rPr>
          <w:sz w:val="25"/>
          <w:szCs w:val="25"/>
          <w:lang w:val="en-HK"/>
        </w:rPr>
        <w:t xml:space="preserve">  Additionally, of the </w:t>
      </w:r>
      <w:r w:rsidR="000868C8" w:rsidRPr="003331DC">
        <w:rPr>
          <w:sz w:val="25"/>
          <w:szCs w:val="25"/>
          <w:lang w:val="en-HK"/>
        </w:rPr>
        <w:t xml:space="preserve">2,000 BN(O) </w:t>
      </w:r>
      <w:r w:rsidR="00C77D9E" w:rsidRPr="003331DC">
        <w:rPr>
          <w:sz w:val="25"/>
          <w:szCs w:val="25"/>
          <w:lang w:val="en-HK"/>
        </w:rPr>
        <w:t>im</w:t>
      </w:r>
      <w:r w:rsidR="000868C8" w:rsidRPr="003331DC">
        <w:rPr>
          <w:sz w:val="25"/>
          <w:szCs w:val="25"/>
          <w:lang w:val="en-HK"/>
        </w:rPr>
        <w:t xml:space="preserve">migrants </w:t>
      </w:r>
      <w:r w:rsidRPr="003331DC">
        <w:rPr>
          <w:sz w:val="25"/>
          <w:szCs w:val="25"/>
          <w:lang w:val="en-HK"/>
        </w:rPr>
        <w:t xml:space="preserve">surveyed, </w:t>
      </w:r>
      <w:r w:rsidR="000868C8" w:rsidRPr="003331DC">
        <w:rPr>
          <w:sz w:val="25"/>
          <w:szCs w:val="25"/>
          <w:lang w:val="en-HK"/>
        </w:rPr>
        <w:t xml:space="preserve">55% report being financially worse off after relocating to the UK, 29% feel emotionally worse off, and 15% indicate they are physically worse off. These findings underscore the multifaceted difficulties and negative impacts faced by </w:t>
      </w:r>
      <w:r w:rsidR="00BF6CF6" w:rsidRPr="003331DC">
        <w:rPr>
          <w:sz w:val="25"/>
          <w:szCs w:val="25"/>
          <w:lang w:val="en-HK"/>
        </w:rPr>
        <w:t xml:space="preserve">many </w:t>
      </w:r>
      <w:r w:rsidR="000868C8" w:rsidRPr="003331DC">
        <w:rPr>
          <w:sz w:val="25"/>
          <w:szCs w:val="25"/>
          <w:lang w:val="en-HK"/>
        </w:rPr>
        <w:t xml:space="preserve">BN(O) </w:t>
      </w:r>
      <w:r w:rsidR="00C77D9E" w:rsidRPr="003331DC">
        <w:rPr>
          <w:sz w:val="25"/>
          <w:szCs w:val="25"/>
          <w:lang w:val="en-HK"/>
        </w:rPr>
        <w:t>im</w:t>
      </w:r>
      <w:r w:rsidR="000868C8" w:rsidRPr="003331DC">
        <w:rPr>
          <w:sz w:val="25"/>
          <w:szCs w:val="25"/>
          <w:lang w:val="en-HK"/>
        </w:rPr>
        <w:t>migrants.</w:t>
      </w:r>
      <w:r w:rsidR="00D25258" w:rsidRPr="003331DC">
        <w:rPr>
          <w:rStyle w:val="FootnoteReference"/>
          <w:sz w:val="25"/>
          <w:szCs w:val="25"/>
        </w:rPr>
        <w:t xml:space="preserve"> </w:t>
      </w:r>
      <w:r w:rsidR="00D25258" w:rsidRPr="003331DC">
        <w:rPr>
          <w:rStyle w:val="FootnoteReference"/>
          <w:sz w:val="25"/>
          <w:szCs w:val="25"/>
        </w:rPr>
        <w:footnoteReference w:id="7"/>
      </w:r>
    </w:p>
    <w:p w14:paraId="02A29A47" w14:textId="0DAE06EF" w:rsidR="005A36EE" w:rsidRPr="003331DC" w:rsidRDefault="00831067" w:rsidP="00827E9F">
      <w:pPr>
        <w:pStyle w:val="LO-normal"/>
        <w:numPr>
          <w:ilvl w:val="0"/>
          <w:numId w:val="1"/>
        </w:numPr>
        <w:rPr>
          <w:rFonts w:eastAsia="Liberation Serif" w:cs="Times New Roman"/>
          <w:sz w:val="25"/>
          <w:szCs w:val="25"/>
        </w:rPr>
      </w:pPr>
      <w:r w:rsidRPr="003331DC">
        <w:rPr>
          <w:rFonts w:eastAsia="Liberation Serif" w:cs="Times New Roman"/>
          <w:sz w:val="25"/>
          <w:szCs w:val="25"/>
        </w:rPr>
        <w:t xml:space="preserve">Granting exceptional rights to Hong Kongers brings with it a duty on the part of the UK to provide exceptional care to Hong Kongers who have emigrated or who are planning to emigrate.  However, the UK government has been negligent in this respect.  Little support has been provided for struggling Hong Kongers, such as access to benefits, including </w:t>
      </w:r>
      <w:r w:rsidR="00C77D9E" w:rsidRPr="003331DC">
        <w:rPr>
          <w:rFonts w:eastAsia="Liberation Serif" w:cs="Times New Roman"/>
          <w:sz w:val="25"/>
          <w:szCs w:val="25"/>
        </w:rPr>
        <w:t xml:space="preserve">rental </w:t>
      </w:r>
      <w:r w:rsidRPr="003331DC">
        <w:rPr>
          <w:rFonts w:eastAsia="Liberation Serif" w:cs="Times New Roman"/>
          <w:sz w:val="25"/>
          <w:szCs w:val="25"/>
        </w:rPr>
        <w:t xml:space="preserve">housing, </w:t>
      </w:r>
      <w:r w:rsidR="00C77D9E" w:rsidRPr="003331DC">
        <w:rPr>
          <w:rFonts w:eastAsia="Liberation Serif" w:cs="Times New Roman"/>
          <w:sz w:val="25"/>
          <w:szCs w:val="25"/>
        </w:rPr>
        <w:t xml:space="preserve">Home Fee status when accessing higher education, </w:t>
      </w:r>
      <w:r w:rsidRPr="003331DC">
        <w:rPr>
          <w:rFonts w:eastAsia="Liberation Serif" w:cs="Times New Roman"/>
          <w:sz w:val="25"/>
          <w:szCs w:val="25"/>
        </w:rPr>
        <w:t>and employment support.</w:t>
      </w:r>
      <w:r w:rsidR="00C77D9E" w:rsidRPr="003331DC">
        <w:rPr>
          <w:rFonts w:eastAsia="Liberation Serif" w:cs="Times New Roman"/>
          <w:sz w:val="25"/>
          <w:szCs w:val="25"/>
        </w:rPr>
        <w:t xml:space="preserve">  For example, students granted visa under the Ukraine schemes are eligible for home fee status,</w:t>
      </w:r>
      <w:r w:rsidR="00D25258" w:rsidRPr="003331DC">
        <w:rPr>
          <w:rStyle w:val="FootnoteReference"/>
          <w:rFonts w:eastAsia="Liberation Serif" w:cs="Times New Roman"/>
          <w:sz w:val="25"/>
          <w:szCs w:val="25"/>
        </w:rPr>
        <w:footnoteReference w:id="8"/>
      </w:r>
      <w:r w:rsidR="00C77D9E" w:rsidRPr="003331DC">
        <w:rPr>
          <w:rFonts w:eastAsia="Liberation Serif" w:cs="Times New Roman"/>
          <w:sz w:val="25"/>
          <w:szCs w:val="25"/>
        </w:rPr>
        <w:t xml:space="preserve"> whereas BN(O) applicants are not able to access this privilege.</w:t>
      </w:r>
      <w:r w:rsidR="007F3C71" w:rsidRPr="003331DC">
        <w:rPr>
          <w:rFonts w:eastAsia="Liberation Serif" w:cs="Times New Roman"/>
          <w:sz w:val="25"/>
          <w:szCs w:val="25"/>
        </w:rPr>
        <w:t xml:space="preserve">  Similarly, BN(O) immigrants have to rely on renting expensive private housing whilst at the same time not eligible to access public funds unless destitute</w:t>
      </w:r>
      <w:r w:rsidR="00FE7E33" w:rsidRPr="003331DC">
        <w:rPr>
          <w:rFonts w:eastAsia="Liberation Serif" w:cs="Times New Roman"/>
          <w:sz w:val="25"/>
          <w:szCs w:val="25"/>
        </w:rPr>
        <w:t>.</w:t>
      </w:r>
    </w:p>
    <w:p w14:paraId="684CA962" w14:textId="77777777" w:rsidR="005A36EE" w:rsidRPr="003331DC" w:rsidRDefault="005A36EE">
      <w:pPr>
        <w:overflowPunct/>
        <w:rPr>
          <w:rFonts w:eastAsia="Liberation Serif" w:cs="Times New Roman"/>
          <w:sz w:val="25"/>
          <w:szCs w:val="25"/>
        </w:rPr>
      </w:pPr>
      <w:r w:rsidRPr="003331DC">
        <w:rPr>
          <w:rFonts w:eastAsia="Liberation Serif" w:cs="Times New Roman"/>
          <w:sz w:val="25"/>
          <w:szCs w:val="25"/>
        </w:rPr>
        <w:br w:type="page"/>
      </w:r>
    </w:p>
    <w:p w14:paraId="2BA00863" w14:textId="6BB46564" w:rsidR="00BF4F96" w:rsidRPr="003331DC" w:rsidRDefault="000868C8" w:rsidP="00827E9F">
      <w:pPr>
        <w:pStyle w:val="LO-normal"/>
        <w:numPr>
          <w:ilvl w:val="0"/>
          <w:numId w:val="1"/>
        </w:numPr>
        <w:rPr>
          <w:sz w:val="25"/>
          <w:szCs w:val="25"/>
          <w:lang w:val="en-HK"/>
        </w:rPr>
      </w:pPr>
      <w:r w:rsidRPr="003331DC">
        <w:rPr>
          <w:sz w:val="25"/>
          <w:szCs w:val="25"/>
          <w:lang w:val="en-HK"/>
        </w:rPr>
        <w:lastRenderedPageBreak/>
        <w:t xml:space="preserve">In the </w:t>
      </w:r>
      <w:r w:rsidR="005A25C4" w:rsidRPr="003331DC">
        <w:rPr>
          <w:sz w:val="25"/>
          <w:szCs w:val="25"/>
          <w:lang w:val="en-HK"/>
        </w:rPr>
        <w:t xml:space="preserve">first </w:t>
      </w:r>
      <w:r w:rsidRPr="003331DC">
        <w:rPr>
          <w:sz w:val="25"/>
          <w:szCs w:val="25"/>
          <w:lang w:val="en-HK"/>
        </w:rPr>
        <w:t xml:space="preserve">three years since the new BN(O) scheme came into effect, </w:t>
      </w:r>
      <w:r w:rsidR="00BF6CF6" w:rsidRPr="003331DC">
        <w:rPr>
          <w:sz w:val="25"/>
          <w:szCs w:val="25"/>
          <w:lang w:val="en-HK"/>
        </w:rPr>
        <w:t>IPLSA</w:t>
      </w:r>
      <w:r w:rsidRPr="003331DC">
        <w:rPr>
          <w:sz w:val="25"/>
          <w:szCs w:val="25"/>
          <w:lang w:val="en-HK"/>
        </w:rPr>
        <w:t xml:space="preserve"> </w:t>
      </w:r>
      <w:r w:rsidR="00BF6CF6" w:rsidRPr="003331DC">
        <w:rPr>
          <w:sz w:val="25"/>
          <w:szCs w:val="25"/>
          <w:lang w:val="en-HK"/>
        </w:rPr>
        <w:t xml:space="preserve">has </w:t>
      </w:r>
      <w:r w:rsidRPr="003331DC">
        <w:rPr>
          <w:sz w:val="25"/>
          <w:szCs w:val="25"/>
          <w:lang w:val="en-HK"/>
        </w:rPr>
        <w:t xml:space="preserve">conservatively estimated </w:t>
      </w:r>
      <w:r w:rsidR="00BF6CF6" w:rsidRPr="003331DC">
        <w:rPr>
          <w:sz w:val="25"/>
          <w:szCs w:val="25"/>
          <w:lang w:val="en-HK"/>
        </w:rPr>
        <w:t xml:space="preserve">that </w:t>
      </w:r>
      <w:r w:rsidR="00BF4F96" w:rsidRPr="003331DC">
        <w:rPr>
          <w:rFonts w:eastAsia="Liberation Serif" w:cs="Times New Roman"/>
          <w:sz w:val="25"/>
          <w:szCs w:val="25"/>
        </w:rPr>
        <w:t>the income from visa applications and six months of rent together arrives at a conservative estimation of £1.372 billion of income from Hong Kongers.</w:t>
      </w:r>
      <w:r w:rsidR="00BF4F96" w:rsidRPr="003331DC">
        <w:rPr>
          <w:sz w:val="25"/>
          <w:szCs w:val="25"/>
          <w:lang w:val="en-HK"/>
        </w:rPr>
        <w:t xml:space="preserve">  </w:t>
      </w:r>
      <w:r w:rsidR="00BF4F96" w:rsidRPr="003331DC">
        <w:rPr>
          <w:rFonts w:eastAsia="Liberation Serif" w:cs="Times New Roman"/>
          <w:sz w:val="25"/>
          <w:szCs w:val="25"/>
        </w:rPr>
        <w:t xml:space="preserve">This figure neither includes the additional income from early adopters of the BN(O) scheme, which opened on 31 January, 2021, nor does it factor in those who have opted to purchase properties rather than rent, which further contributes to both the UK economy and to the UK Treasury through taxes.  It is worth noting that the UK’s goal of </w:t>
      </w:r>
      <w:r w:rsidRPr="003331DC">
        <w:rPr>
          <w:sz w:val="25"/>
          <w:szCs w:val="25"/>
          <w:lang w:val="en-HK"/>
        </w:rPr>
        <w:t xml:space="preserve">£2.9 billion over five years from an estimated 258,000 to 322,400 BN(O) </w:t>
      </w:r>
      <w:r w:rsidR="00BF4F96" w:rsidRPr="003331DC">
        <w:rPr>
          <w:rFonts w:eastAsia="Liberation Serif" w:cs="Times New Roman"/>
          <w:sz w:val="25"/>
          <w:szCs w:val="25"/>
        </w:rPr>
        <w:t>could potentially have been achieved within a two or three-year period (2021-2023) rather than a five-year period through both application fees and the economic benefits to the UK economy derived from the cost of more than six months of rent and other costs of living.  The BN(O) visa scheme, therefore, has become one of the fastest-growing and most popular schemes to have directly benefited the UK, which is why the UK has extended the BN(O) visa scheme to allow young Hong Kong residents to apply independently of their parents.</w:t>
      </w:r>
      <w:r w:rsidR="00BF4F96" w:rsidRPr="003331DC">
        <w:rPr>
          <w:rStyle w:val="FootnoteReference"/>
          <w:rFonts w:eastAsia="Liberation Serif" w:cs="Times New Roman"/>
          <w:sz w:val="25"/>
          <w:szCs w:val="25"/>
        </w:rPr>
        <w:footnoteReference w:id="9"/>
      </w:r>
    </w:p>
    <w:p w14:paraId="6F5C96DC" w14:textId="334DCE80" w:rsidR="000868C8" w:rsidRPr="003331DC" w:rsidRDefault="000868C8" w:rsidP="00717657">
      <w:pPr>
        <w:pStyle w:val="LO-normal"/>
        <w:numPr>
          <w:ilvl w:val="0"/>
          <w:numId w:val="1"/>
        </w:numPr>
        <w:rPr>
          <w:sz w:val="25"/>
          <w:szCs w:val="25"/>
          <w:lang w:val="en-HK"/>
        </w:rPr>
      </w:pPr>
      <w:r w:rsidRPr="003331DC">
        <w:rPr>
          <w:sz w:val="25"/>
          <w:szCs w:val="25"/>
          <w:lang w:val="en-HK"/>
        </w:rPr>
        <w:t xml:space="preserve">The UK government must be fully prepared and committed to implementing its BN(O) scheme, taking all necessary steps to not only facilitate the flourishing of BN(O) </w:t>
      </w:r>
      <w:r w:rsidR="005A36EE" w:rsidRPr="003331DC">
        <w:rPr>
          <w:sz w:val="25"/>
          <w:szCs w:val="25"/>
          <w:lang w:val="en-HK"/>
        </w:rPr>
        <w:t xml:space="preserve">immigrants </w:t>
      </w:r>
      <w:r w:rsidRPr="003331DC">
        <w:rPr>
          <w:sz w:val="25"/>
          <w:szCs w:val="25"/>
          <w:lang w:val="en-HK"/>
        </w:rPr>
        <w:t xml:space="preserve">in the UK but also to address and improve the treatment of vulnerable individuals, including those from Hong Kong seeking asylum. The current BN(O) scheme, which has facilitated the arrival of </w:t>
      </w:r>
      <w:r w:rsidR="00467DDB" w:rsidRPr="003331DC">
        <w:rPr>
          <w:sz w:val="25"/>
          <w:szCs w:val="25"/>
        </w:rPr>
        <w:t>158,000</w:t>
      </w:r>
      <w:r w:rsidR="005A36EE" w:rsidRPr="003331DC">
        <w:rPr>
          <w:sz w:val="25"/>
          <w:szCs w:val="25"/>
        </w:rPr>
        <w:t xml:space="preserve"> successful out-of-country</w:t>
      </w:r>
      <w:r w:rsidR="00467DDB" w:rsidRPr="003331DC">
        <w:rPr>
          <w:sz w:val="25"/>
          <w:szCs w:val="25"/>
          <w:lang w:val="en-HK"/>
        </w:rPr>
        <w:t xml:space="preserve"> </w:t>
      </w:r>
      <w:r w:rsidR="00BF6CF6" w:rsidRPr="003331DC">
        <w:rPr>
          <w:sz w:val="25"/>
          <w:szCs w:val="25"/>
          <w:lang w:val="en-HK"/>
        </w:rPr>
        <w:t xml:space="preserve">BN(O) </w:t>
      </w:r>
      <w:r w:rsidR="00C77D9E" w:rsidRPr="003331DC">
        <w:rPr>
          <w:sz w:val="25"/>
          <w:szCs w:val="25"/>
          <w:lang w:val="en-HK"/>
        </w:rPr>
        <w:t>applicants</w:t>
      </w:r>
      <w:r w:rsidR="00F91187" w:rsidRPr="003331DC">
        <w:rPr>
          <w:sz w:val="25"/>
          <w:szCs w:val="25"/>
          <w:lang w:val="en-HK"/>
        </w:rPr>
        <w:t xml:space="preserve"> and 41,305 </w:t>
      </w:r>
      <w:r w:rsidR="005A36EE" w:rsidRPr="003331DC">
        <w:rPr>
          <w:sz w:val="25"/>
          <w:szCs w:val="25"/>
          <w:lang w:val="en-HK"/>
        </w:rPr>
        <w:t xml:space="preserve">successful </w:t>
      </w:r>
      <w:r w:rsidR="00F91187" w:rsidRPr="003331DC">
        <w:rPr>
          <w:sz w:val="25"/>
          <w:szCs w:val="25"/>
          <w:lang w:val="en-HK"/>
        </w:rPr>
        <w:t>in-country BN(O) applicants</w:t>
      </w:r>
      <w:r w:rsidRPr="003331DC">
        <w:rPr>
          <w:sz w:val="25"/>
          <w:szCs w:val="25"/>
          <w:lang w:val="en-HK"/>
        </w:rPr>
        <w:t>,</w:t>
      </w:r>
      <w:r w:rsidR="00467DDB" w:rsidRPr="003331DC">
        <w:rPr>
          <w:rStyle w:val="FootnoteReference"/>
          <w:sz w:val="25"/>
          <w:szCs w:val="25"/>
          <w:lang w:val="en-HK"/>
        </w:rPr>
        <w:footnoteReference w:id="10"/>
      </w:r>
      <w:r w:rsidRPr="003331DC">
        <w:rPr>
          <w:sz w:val="25"/>
          <w:szCs w:val="25"/>
          <w:lang w:val="en-HK"/>
        </w:rPr>
        <w:t xml:space="preserve"> seems to exploit the capital and labour potential of Hong Kongers while providing them with </w:t>
      </w:r>
      <w:r w:rsidR="005A25C4" w:rsidRPr="003331DC">
        <w:rPr>
          <w:sz w:val="25"/>
          <w:szCs w:val="25"/>
          <w:lang w:val="en-HK"/>
        </w:rPr>
        <w:t>minimal</w:t>
      </w:r>
      <w:r w:rsidRPr="003331DC">
        <w:rPr>
          <w:sz w:val="25"/>
          <w:szCs w:val="25"/>
          <w:lang w:val="en-HK"/>
        </w:rPr>
        <w:t xml:space="preserve"> support. This approach</w:t>
      </w:r>
      <w:r w:rsidR="005A25C4" w:rsidRPr="003331DC">
        <w:rPr>
          <w:sz w:val="25"/>
          <w:szCs w:val="25"/>
          <w:lang w:val="en-HK"/>
        </w:rPr>
        <w:t xml:space="preserve"> seemingly</w:t>
      </w:r>
      <w:r w:rsidRPr="003331DC">
        <w:rPr>
          <w:sz w:val="25"/>
          <w:szCs w:val="25"/>
          <w:lang w:val="en-HK"/>
        </w:rPr>
        <w:t xml:space="preserve"> aims to maximise income derived from Hong Kongers while simultaneously addressing various deficits faced by the UK post-Brexit</w:t>
      </w:r>
      <w:r w:rsidR="005A36EE" w:rsidRPr="003331DC">
        <w:rPr>
          <w:sz w:val="25"/>
          <w:szCs w:val="25"/>
          <w:lang w:val="en-HK"/>
        </w:rPr>
        <w:t>, i.e., low-skilled labour deficits</w:t>
      </w:r>
      <w:r w:rsidRPr="003331DC">
        <w:rPr>
          <w:sz w:val="25"/>
          <w:szCs w:val="25"/>
          <w:lang w:val="en-HK"/>
        </w:rPr>
        <w:t xml:space="preserve">. Furthermore, the implementation of the BN(O) scheme means that </w:t>
      </w:r>
      <w:r w:rsidRPr="003331DC">
        <w:rPr>
          <w:sz w:val="25"/>
          <w:szCs w:val="25"/>
          <w:lang w:val="en-HK"/>
        </w:rPr>
        <w:lastRenderedPageBreak/>
        <w:t>individuals who are not adequately prepared to navigate the challenges associated with acquiring British citizenship, even outside of the new visa programme, are likely to struggle with the cultural, financial, and linguistic obstacles they encounter in the UK. Failing to complete the five-year process will not only leave them in a worse position than if they had not immigrated under the scheme but will also render them increasingly vulnerable, akin to Hong Kong asylum seekers who have already endured numerous violations of their civil and political rights.</w:t>
      </w:r>
    </w:p>
    <w:p w14:paraId="16114058" w14:textId="77777777" w:rsidR="000868C8" w:rsidRPr="003331DC" w:rsidRDefault="000868C8" w:rsidP="000868C8">
      <w:pPr>
        <w:pStyle w:val="LO-normal"/>
        <w:numPr>
          <w:ilvl w:val="0"/>
          <w:numId w:val="1"/>
        </w:numPr>
        <w:rPr>
          <w:sz w:val="25"/>
          <w:szCs w:val="25"/>
          <w:lang w:val="en-HK"/>
        </w:rPr>
      </w:pPr>
      <w:r w:rsidRPr="003331DC">
        <w:rPr>
          <w:sz w:val="25"/>
          <w:szCs w:val="25"/>
          <w:lang w:val="en-HK"/>
        </w:rPr>
        <w:t>In light of the above, IPLSA recommends the following actions for the State Party:</w:t>
      </w:r>
    </w:p>
    <w:p w14:paraId="01832145" w14:textId="361CC34D" w:rsidR="000868C8" w:rsidRPr="003331DC" w:rsidRDefault="000868C8" w:rsidP="000868C8">
      <w:pPr>
        <w:pStyle w:val="LO-normal"/>
        <w:numPr>
          <w:ilvl w:val="1"/>
          <w:numId w:val="1"/>
        </w:numPr>
        <w:rPr>
          <w:sz w:val="25"/>
          <w:szCs w:val="25"/>
          <w:lang w:val="en-HK"/>
        </w:rPr>
      </w:pPr>
      <w:r w:rsidRPr="003331DC">
        <w:rPr>
          <w:sz w:val="25"/>
          <w:szCs w:val="25"/>
          <w:lang w:val="en-HK"/>
        </w:rPr>
        <w:t>To provide Hong Kong residents with increased funding, resources, and integration support to fully realise their right to work, enabling them to achieve steady economic, social, and cultural development in their new home in the UK, as per Article 6 of the ICESCR.</w:t>
      </w:r>
    </w:p>
    <w:p w14:paraId="28FC07F4" w14:textId="77777777" w:rsidR="000868C8" w:rsidRPr="003331DC" w:rsidRDefault="000868C8" w:rsidP="000868C8">
      <w:pPr>
        <w:pStyle w:val="LO-normal"/>
        <w:numPr>
          <w:ilvl w:val="0"/>
          <w:numId w:val="1"/>
        </w:numPr>
        <w:rPr>
          <w:sz w:val="25"/>
          <w:szCs w:val="25"/>
          <w:lang w:val="en-HK"/>
        </w:rPr>
      </w:pPr>
      <w:r w:rsidRPr="003331DC">
        <w:rPr>
          <w:sz w:val="25"/>
          <w:szCs w:val="25"/>
          <w:lang w:val="en-HK"/>
        </w:rPr>
        <w:t>IPLSA further recommends that the Committee:</w:t>
      </w:r>
    </w:p>
    <w:p w14:paraId="060A2A53" w14:textId="0A5FB72C" w:rsidR="000868C8" w:rsidRPr="003331DC" w:rsidRDefault="000868C8" w:rsidP="000868C8">
      <w:pPr>
        <w:pStyle w:val="LO-normal"/>
        <w:numPr>
          <w:ilvl w:val="1"/>
          <w:numId w:val="1"/>
        </w:numPr>
        <w:rPr>
          <w:sz w:val="25"/>
          <w:szCs w:val="25"/>
          <w:lang w:val="en-HK"/>
        </w:rPr>
      </w:pPr>
      <w:r w:rsidRPr="003331DC">
        <w:rPr>
          <w:sz w:val="25"/>
          <w:szCs w:val="25"/>
          <w:lang w:val="en-HK"/>
        </w:rPr>
        <w:t xml:space="preserve">Closely monitor the situation of Hong Kong BN(O) </w:t>
      </w:r>
      <w:r w:rsidR="00C77D9E" w:rsidRPr="003331DC">
        <w:rPr>
          <w:sz w:val="25"/>
          <w:szCs w:val="25"/>
          <w:lang w:val="en-HK"/>
        </w:rPr>
        <w:t>im</w:t>
      </w:r>
      <w:r w:rsidRPr="003331DC">
        <w:rPr>
          <w:sz w:val="25"/>
          <w:szCs w:val="25"/>
          <w:lang w:val="en-HK"/>
        </w:rPr>
        <w:t>migrants in the UK, documenting any human rights violations or breaches of international agreements, and providing impartial reports to the international community to prevent a recurrence of incidents similar to the Windrush Scandal.</w:t>
      </w:r>
    </w:p>
    <w:p w14:paraId="5DCC8C11" w14:textId="77777777" w:rsidR="00D53EA2" w:rsidRDefault="00D53EA2">
      <w:pPr>
        <w:overflowPunct/>
        <w:rPr>
          <w:b/>
          <w:bCs/>
          <w:sz w:val="28"/>
          <w:szCs w:val="28"/>
          <w:u w:val="single"/>
        </w:rPr>
      </w:pPr>
      <w:r>
        <w:rPr>
          <w:u w:val="single"/>
        </w:rPr>
        <w:br w:type="page"/>
      </w:r>
    </w:p>
    <w:p w14:paraId="43B52FC7" w14:textId="52A6A31E" w:rsidR="00D872A9" w:rsidRPr="00901C32" w:rsidRDefault="00444612" w:rsidP="00D872A9">
      <w:pPr>
        <w:pStyle w:val="Heading1"/>
        <w:spacing w:line="360" w:lineRule="auto"/>
        <w:ind w:right="2381"/>
        <w:rPr>
          <w:u w:val="single"/>
        </w:rPr>
      </w:pPr>
      <w:r w:rsidRPr="00901C32">
        <w:rPr>
          <w:u w:val="single"/>
        </w:rPr>
        <w:lastRenderedPageBreak/>
        <w:t>Section</w:t>
      </w:r>
      <w:r w:rsidR="00D872A9" w:rsidRPr="00901C32">
        <w:rPr>
          <w:u w:val="single"/>
        </w:rPr>
        <w:t xml:space="preserve"> 2 – </w:t>
      </w:r>
      <w:r w:rsidR="00EB495F" w:rsidRPr="00901C32">
        <w:rPr>
          <w:u w:val="single"/>
        </w:rPr>
        <w:t>Erosion of Freedom of Speech, Protest and Assembly in the UK</w:t>
      </w:r>
    </w:p>
    <w:p w14:paraId="2C89E30D" w14:textId="258A0452" w:rsidR="002D484E" w:rsidRPr="003331DC" w:rsidRDefault="00C51C43" w:rsidP="00D31E66">
      <w:pPr>
        <w:pStyle w:val="LO-normal"/>
        <w:numPr>
          <w:ilvl w:val="0"/>
          <w:numId w:val="1"/>
        </w:numPr>
        <w:rPr>
          <w:sz w:val="25"/>
          <w:szCs w:val="25"/>
        </w:rPr>
      </w:pPr>
      <w:r w:rsidRPr="003331DC">
        <w:rPr>
          <w:sz w:val="25"/>
          <w:szCs w:val="25"/>
        </w:rPr>
        <w:t xml:space="preserve">The use </w:t>
      </w:r>
      <w:r w:rsidR="005B7344" w:rsidRPr="003331DC">
        <w:rPr>
          <w:sz w:val="25"/>
          <w:szCs w:val="25"/>
        </w:rPr>
        <w:t>of security-related legislation to suppress political dissent, intimidate human rights defenders, and silence independent journalism has emerged as a concerning pattern across the UK.</w:t>
      </w:r>
      <w:r w:rsidRPr="003331DC">
        <w:rPr>
          <w:sz w:val="25"/>
          <w:szCs w:val="25"/>
        </w:rPr>
        <w:t xml:space="preserve"> This systemic </w:t>
      </w:r>
      <w:r w:rsidR="005B7344" w:rsidRPr="003331DC">
        <w:rPr>
          <w:sz w:val="25"/>
          <w:szCs w:val="25"/>
        </w:rPr>
        <w:t>erosion of freedoms undermines</w:t>
      </w:r>
      <w:r w:rsidRPr="003331DC">
        <w:rPr>
          <w:sz w:val="25"/>
          <w:szCs w:val="25"/>
        </w:rPr>
        <w:t xml:space="preserve"> the credibility and effectiveness of international human rights mechanisms, effectively emboldening the UK to continue their repressive practices with impunity.  </w:t>
      </w:r>
      <w:r w:rsidR="005B7344" w:rsidRPr="003331DC">
        <w:rPr>
          <w:sz w:val="25"/>
          <w:szCs w:val="25"/>
        </w:rPr>
        <w:t>Numerous instances have been observed where the State Party has increasingly misapplied the provisions of the Terrorism Act 2000 to arrest, and at times detain, political dissidents and independent journalists. Those targeted have had their electronic devices confiscated, electronic data retained, and have been subjected to photographing, interrogation, and the collection of biometric data such as fingerprints and DNA samples.</w:t>
      </w:r>
    </w:p>
    <w:p w14:paraId="203A6A98" w14:textId="77777777" w:rsidR="005B7344" w:rsidRPr="003331DC" w:rsidRDefault="005B7344" w:rsidP="00D31E66">
      <w:pPr>
        <w:pStyle w:val="LO-normal"/>
        <w:numPr>
          <w:ilvl w:val="0"/>
          <w:numId w:val="1"/>
        </w:numPr>
        <w:rPr>
          <w:sz w:val="25"/>
          <w:szCs w:val="25"/>
        </w:rPr>
      </w:pPr>
      <w:r w:rsidRPr="003331DC">
        <w:rPr>
          <w:sz w:val="25"/>
          <w:szCs w:val="25"/>
        </w:rPr>
        <w:t>In one notable case, a 65-year-old Scottish independent journalist was subjected to the abusive application of counter-terrorism and state security powers, seemingly triggered by his attendance at a pro-Palestinian rally in Iceland and his public expression of support for the Palestinian right to self-defence. Alarmingly, on 16 October 2023, the Scottish police informed him that he was under investigation pursuant to Section 7 of the Terrorism Act 2000—a clear deviation from the intended use of anti-terrorism legislation. Upon detention, he was denied the right to remain silent and was obliged to provide full and accurate information in response to any questions posed, as failure to do so constituted a criminal offence. Consequently, he was compelled to disclose passwords to his personal devices, under threat of criminal sanction. Alongside the ransacking of his personal belongings, the police also confiscated his bank cards and made copies of his bank account details.</w:t>
      </w:r>
    </w:p>
    <w:p w14:paraId="33CB3611" w14:textId="4948D3E7" w:rsidR="003331DC" w:rsidRPr="00D53EA2" w:rsidRDefault="005B7344" w:rsidP="0080412E">
      <w:pPr>
        <w:pStyle w:val="LO-normal"/>
        <w:numPr>
          <w:ilvl w:val="0"/>
          <w:numId w:val="1"/>
        </w:numPr>
        <w:overflowPunct/>
        <w:rPr>
          <w:sz w:val="25"/>
          <w:szCs w:val="25"/>
        </w:rPr>
      </w:pPr>
      <w:r w:rsidRPr="00D53EA2">
        <w:rPr>
          <w:sz w:val="25"/>
          <w:szCs w:val="25"/>
        </w:rPr>
        <w:t xml:space="preserve">In another similar instance, a 32-year-old Syrian-British independent journalist was arrested at London Heathrow Airport under Section 12 of the Terrorism Act 2000 on 22 August 2024. The police accused him of allegedly expressing an opinion or belief supportive of a proscribed organisation; however, the specific organisation in question was </w:t>
      </w:r>
      <w:r w:rsidRPr="00D53EA2">
        <w:rPr>
          <w:sz w:val="25"/>
          <w:szCs w:val="25"/>
        </w:rPr>
        <w:lastRenderedPageBreak/>
        <w:t>never disclosed to him at any relevant time. He was not permitted to inform his family of his situation, and during transport from Heathrow to a police station, he was handcuffed and placed in an excessively cramped vehicle, making it difficult for him to maintain his balance. Upon arrival at the station, he underwent another thorough search in a room illuminated with UV lights, had a range of biometric data collected, and had his suitcase ransacked, resulting in the seizure of essential professional equipment. This effectively deprived him of the tools necessary for his journalistic work</w:t>
      </w:r>
      <w:r w:rsidRPr="00D53EA2">
        <w:rPr>
          <w:sz w:val="25"/>
          <w:szCs w:val="25"/>
        </w:rPr>
        <w:t>, in particular his ability to speak truth to power</w:t>
      </w:r>
      <w:r w:rsidRPr="00D53EA2">
        <w:rPr>
          <w:sz w:val="25"/>
          <w:szCs w:val="25"/>
        </w:rPr>
        <w:t>. The cell in which he was held lacked windows, heating, and basic amenities such as toilet paper. He was subjected to continuous video and audio recording, even during private moments, contributing to a sense of humiliation, intimidation, and dehumanisation, all underscored by a presumption of guilt.</w:t>
      </w:r>
    </w:p>
    <w:p w14:paraId="0C0ECE96" w14:textId="62DCB2F3" w:rsidR="005B7344" w:rsidRPr="003331DC" w:rsidRDefault="005B7344" w:rsidP="00FF6527">
      <w:pPr>
        <w:pStyle w:val="LO-normal"/>
        <w:numPr>
          <w:ilvl w:val="0"/>
          <w:numId w:val="1"/>
        </w:numPr>
        <w:rPr>
          <w:sz w:val="25"/>
          <w:szCs w:val="25"/>
        </w:rPr>
      </w:pPr>
      <w:r w:rsidRPr="003331DC">
        <w:rPr>
          <w:sz w:val="25"/>
          <w:szCs w:val="25"/>
        </w:rPr>
        <w:t xml:space="preserve">The aforementioned cases cast serious doubts on the </w:t>
      </w:r>
      <w:r w:rsidRPr="003331DC">
        <w:rPr>
          <w:sz w:val="25"/>
          <w:szCs w:val="25"/>
        </w:rPr>
        <w:t>UK’</w:t>
      </w:r>
      <w:r w:rsidRPr="003331DC">
        <w:rPr>
          <w:sz w:val="25"/>
          <w:szCs w:val="25"/>
        </w:rPr>
        <w:t>s commitment to safeguarding freedom of the press and the right to free expression, particularly concerning coverage of the ongoing genocide in the Occupied Palestinian Territories. IPLSA further emphasises that the State Party frequently resorts to detaining its political targets without formally arresting them. This legal distinction allows the State Party to effectively deny its political targets the right to legal representation and advice, thereby obstructing their access to justice. The misuse of the term 'detention' as a legal classification not only challenges established legal definitions but also raises significant concerns regarding due process and the protection of individual liberties.</w:t>
      </w:r>
    </w:p>
    <w:p w14:paraId="7242A988" w14:textId="3F4D3FD6" w:rsidR="00444612" w:rsidRPr="003331DC" w:rsidRDefault="005B7344" w:rsidP="00FF6527">
      <w:pPr>
        <w:pStyle w:val="LO-normal"/>
        <w:numPr>
          <w:ilvl w:val="0"/>
          <w:numId w:val="1"/>
        </w:numPr>
        <w:rPr>
          <w:sz w:val="25"/>
          <w:szCs w:val="25"/>
          <w:lang w:val="en-HK"/>
        </w:rPr>
      </w:pPr>
      <w:r w:rsidRPr="003331DC">
        <w:rPr>
          <w:sz w:val="25"/>
          <w:szCs w:val="25"/>
        </w:rPr>
        <w:t>Based on the cases presented above, the State Party's suppression of free speech, particularly against independent journalists on its own soil, and its abuse of counter-terrorism laws to target, intimidate, and silence British journalists who illuminate the ongoing genocide of Palestinians and Israel's perpetuating system of apartheid, seem to reflect the State Party's tacit support for the actions and policies of the Israeli government regarding its treatment of Palestinians. This stands in stark contrast to the UK's commitments under the</w:t>
      </w:r>
      <w:r w:rsidR="004F68CA" w:rsidRPr="003331DC">
        <w:rPr>
          <w:sz w:val="25"/>
          <w:szCs w:val="25"/>
        </w:rPr>
        <w:t xml:space="preserve"> </w:t>
      </w:r>
      <w:r w:rsidRPr="003331DC">
        <w:rPr>
          <w:sz w:val="25"/>
          <w:szCs w:val="25"/>
        </w:rPr>
        <w:t xml:space="preserve">ICESCR and the spirit of the Universal Declaration of Human Rights. IPLSA contends that the State Party has engaged in activities aimed at the </w:t>
      </w:r>
      <w:r w:rsidRPr="003331DC">
        <w:rPr>
          <w:sz w:val="25"/>
          <w:szCs w:val="25"/>
        </w:rPr>
        <w:lastRenderedPageBreak/>
        <w:t xml:space="preserve">destruction of rights enshrined in the ICESCR, or alternatively, has interpreted these rights in a manner that preserves the Zionist culture of Israel at the expense of the liberties guaranteed to Palestinians under </w:t>
      </w:r>
      <w:r w:rsidR="004F68CA" w:rsidRPr="003331DC">
        <w:rPr>
          <w:sz w:val="25"/>
          <w:szCs w:val="25"/>
        </w:rPr>
        <w:t xml:space="preserve">either the ICESCR or </w:t>
      </w:r>
      <w:r w:rsidRPr="003331DC">
        <w:rPr>
          <w:sz w:val="25"/>
          <w:szCs w:val="25"/>
        </w:rPr>
        <w:t>the Universal Declaration of Human Rights.</w:t>
      </w:r>
    </w:p>
    <w:p w14:paraId="70EE4D06" w14:textId="77777777" w:rsidR="00444612" w:rsidRPr="003331DC" w:rsidRDefault="00444612" w:rsidP="00444612">
      <w:pPr>
        <w:pStyle w:val="LO-normal"/>
        <w:numPr>
          <w:ilvl w:val="0"/>
          <w:numId w:val="1"/>
        </w:numPr>
        <w:rPr>
          <w:sz w:val="25"/>
          <w:szCs w:val="25"/>
          <w:lang w:val="en-HK"/>
        </w:rPr>
      </w:pPr>
      <w:r w:rsidRPr="003331DC">
        <w:rPr>
          <w:sz w:val="25"/>
          <w:szCs w:val="25"/>
          <w:lang w:val="en-HK"/>
        </w:rPr>
        <w:t>In light of the above, IPLSA recommends that the State Party take the following actions:</w:t>
      </w:r>
    </w:p>
    <w:p w14:paraId="3B6935AC" w14:textId="3D0CC4C4" w:rsidR="00444612" w:rsidRPr="003331DC" w:rsidRDefault="00444612" w:rsidP="00444612">
      <w:pPr>
        <w:pStyle w:val="LO-normal"/>
        <w:numPr>
          <w:ilvl w:val="1"/>
          <w:numId w:val="1"/>
        </w:numPr>
        <w:rPr>
          <w:sz w:val="25"/>
          <w:szCs w:val="25"/>
          <w:lang w:val="en-HK"/>
        </w:rPr>
      </w:pPr>
      <w:r w:rsidRPr="003331DC">
        <w:rPr>
          <w:sz w:val="25"/>
          <w:szCs w:val="25"/>
          <w:lang w:val="en-HK"/>
        </w:rPr>
        <w:t>Cease the abuse of counter-terrorism laws to target and suppress British journalists voicing concerns regarding Israel’s treatment of Palestinians; and</w:t>
      </w:r>
    </w:p>
    <w:p w14:paraId="4E3CD423" w14:textId="7CCDAA54" w:rsidR="00444612" w:rsidRPr="003331DC" w:rsidRDefault="00444612" w:rsidP="00444612">
      <w:pPr>
        <w:pStyle w:val="LO-normal"/>
        <w:numPr>
          <w:ilvl w:val="1"/>
          <w:numId w:val="1"/>
        </w:numPr>
        <w:rPr>
          <w:sz w:val="25"/>
          <w:szCs w:val="25"/>
          <w:lang w:val="en-HK"/>
        </w:rPr>
      </w:pPr>
      <w:r w:rsidRPr="003331DC">
        <w:rPr>
          <w:sz w:val="25"/>
          <w:szCs w:val="25"/>
          <w:lang w:val="en-HK"/>
        </w:rPr>
        <w:t>Effectively denounce Israel’s campaign to exterminate the Palestinian populace by suspending arms and other forms of military aid to Israel.</w:t>
      </w:r>
    </w:p>
    <w:p w14:paraId="7F982B4C" w14:textId="77777777" w:rsidR="00444612" w:rsidRPr="003331DC" w:rsidRDefault="00444612" w:rsidP="00444612">
      <w:pPr>
        <w:pStyle w:val="LO-normal"/>
        <w:numPr>
          <w:ilvl w:val="0"/>
          <w:numId w:val="1"/>
        </w:numPr>
        <w:rPr>
          <w:sz w:val="25"/>
          <w:szCs w:val="25"/>
          <w:lang w:val="en-HK"/>
        </w:rPr>
      </w:pPr>
      <w:r w:rsidRPr="003331DC">
        <w:rPr>
          <w:sz w:val="25"/>
          <w:szCs w:val="25"/>
          <w:lang w:val="en-HK"/>
        </w:rPr>
        <w:t>Furthermore, IPLSA recommends that the Committee:</w:t>
      </w:r>
    </w:p>
    <w:p w14:paraId="4158FAAA" w14:textId="6BACE005" w:rsidR="00FF6527" w:rsidRPr="003331DC" w:rsidRDefault="00444612" w:rsidP="00444612">
      <w:pPr>
        <w:pStyle w:val="LO-normal"/>
        <w:numPr>
          <w:ilvl w:val="1"/>
          <w:numId w:val="1"/>
        </w:numPr>
        <w:rPr>
          <w:sz w:val="25"/>
          <w:szCs w:val="25"/>
          <w:lang w:val="en-HK"/>
        </w:rPr>
      </w:pPr>
      <w:r w:rsidRPr="003331DC">
        <w:rPr>
          <w:sz w:val="25"/>
          <w:szCs w:val="25"/>
          <w:lang w:val="en-HK"/>
        </w:rPr>
        <w:t>Closely monitor the detentions and arrests of independent journalists in the UK, documenting any human rights violations or breaches of international agreements, and providing impartial reports to the international community to prevent the recurrence of incidents similar to those mentioned in this section.</w:t>
      </w:r>
    </w:p>
    <w:sectPr w:rsidR="00FF6527" w:rsidRPr="003331DC" w:rsidSect="00901C32">
      <w:headerReference w:type="default" r:id="rId9"/>
      <w:footerReference w:type="default" r:id="rId10"/>
      <w:pgSz w:w="11906" w:h="16838"/>
      <w:pgMar w:top="2694" w:right="1134" w:bottom="1693" w:left="1134" w:header="1134" w:footer="1134"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79D7FE" w14:textId="77777777" w:rsidR="0067246F" w:rsidRDefault="0067246F">
      <w:r>
        <w:separator/>
      </w:r>
    </w:p>
  </w:endnote>
  <w:endnote w:type="continuationSeparator" w:id="0">
    <w:p w14:paraId="40DFFE33" w14:textId="77777777" w:rsidR="0067246F" w:rsidRDefault="00672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A0000AAF" w:usb1="500078FB" w:usb2="00000000"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OpenSymbol">
    <w:altName w:val="Arial Unicode MS"/>
    <w:panose1 w:val="05010000000000000000"/>
    <w:charset w:val="00"/>
    <w:family w:val="auto"/>
    <w:pitch w:val="variable"/>
    <w:sig w:usb0="800000AF" w:usb1="1001ECEA" w:usb2="00000000" w:usb3="00000000" w:csb0="80000001" w:csb1="00000000"/>
  </w:font>
  <w:font w:name="Liberation Mono">
    <w:altName w:val="Courier New"/>
    <w:panose1 w:val="02070409020205020404"/>
    <w:charset w:val="00"/>
    <w:family w:val="modern"/>
    <w:pitch w:val="fixed"/>
    <w:sig w:usb0="E0000AFF" w:usb1="400078FF" w:usb2="00000001" w:usb3="00000000" w:csb0="000001B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
    <w:altName w:val="PMingLiU"/>
    <w:charset w:val="88"/>
    <w:family w:val="roman"/>
    <w:pitch w:val="variable"/>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5CB6C" w14:textId="77777777" w:rsidR="00DD2958" w:rsidRDefault="00000000">
    <w:pPr>
      <w:pStyle w:val="Footer"/>
      <w:jc w:val="center"/>
    </w:pPr>
    <w:r>
      <w:fldChar w:fldCharType="begin"/>
    </w:r>
    <w:r>
      <w:instrText xml:space="preserve"> PAGE </w:instrText>
    </w:r>
    <w:r>
      <w:fldChar w:fldCharType="separate"/>
    </w:r>
    <w:r>
      <w:t>35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585A0C" w14:textId="77777777" w:rsidR="0067246F" w:rsidRDefault="0067246F">
      <w:pPr>
        <w:rPr>
          <w:sz w:val="12"/>
        </w:rPr>
      </w:pPr>
      <w:r>
        <w:separator/>
      </w:r>
    </w:p>
  </w:footnote>
  <w:footnote w:type="continuationSeparator" w:id="0">
    <w:p w14:paraId="36429286" w14:textId="77777777" w:rsidR="0067246F" w:rsidRDefault="0067246F">
      <w:pPr>
        <w:rPr>
          <w:sz w:val="12"/>
        </w:rPr>
      </w:pPr>
      <w:r>
        <w:continuationSeparator/>
      </w:r>
    </w:p>
  </w:footnote>
  <w:footnote w:id="1">
    <w:p w14:paraId="60F37BCE" w14:textId="37D660D5" w:rsidR="005E47FC" w:rsidRPr="005E47FC" w:rsidRDefault="005E47FC">
      <w:pPr>
        <w:pStyle w:val="FootnoteText"/>
        <w:rPr>
          <w:lang w:val="en-HK"/>
        </w:rPr>
      </w:pPr>
      <w:r>
        <w:rPr>
          <w:rStyle w:val="FootnoteReference"/>
        </w:rPr>
        <w:footnoteRef/>
      </w:r>
      <w:r>
        <w:t xml:space="preserve"> </w:t>
      </w:r>
      <w:r>
        <w:rPr>
          <w:lang w:val="en-HK"/>
        </w:rPr>
        <w:tab/>
      </w:r>
      <w:r w:rsidR="007F792C">
        <w:rPr>
          <w:lang w:val="en-HK"/>
        </w:rPr>
        <w:t xml:space="preserve">Available at: </w:t>
      </w:r>
      <w:hyperlink r:id="rId1" w:history="1">
        <w:r w:rsidR="00524B31" w:rsidRPr="000B27A8">
          <w:rPr>
            <w:rStyle w:val="Hyperlink"/>
            <w:lang w:val="en-HK"/>
          </w:rPr>
          <w:t>https://tbinternet.ohchr.org/_layouts/15/treatybodyexternal/D</w:t>
        </w:r>
        <w:r w:rsidR="00524B31" w:rsidRPr="000B27A8">
          <w:rPr>
            <w:rStyle w:val="Hyperlink"/>
            <w:lang w:val="en-HK"/>
          </w:rPr>
          <w:t>o</w:t>
        </w:r>
        <w:r w:rsidR="00524B31" w:rsidRPr="000B27A8">
          <w:rPr>
            <w:rStyle w:val="Hyperlink"/>
            <w:lang w:val="en-HK"/>
          </w:rPr>
          <w:t>wnload.aspx?symbolno=INT%2FCC</w:t>
        </w:r>
        <w:r w:rsidR="00524B31" w:rsidRPr="000B27A8">
          <w:rPr>
            <w:rStyle w:val="Hyperlink"/>
            <w:lang w:val="en-HK"/>
          </w:rPr>
          <w:t>P</w:t>
        </w:r>
        <w:r w:rsidR="00524B31" w:rsidRPr="000B27A8">
          <w:rPr>
            <w:rStyle w:val="Hyperlink"/>
            <w:lang w:val="en-HK"/>
          </w:rPr>
          <w:t>R%2FCSS%2FGBR%2F57181&amp;Lang=en</w:t>
        </w:r>
      </w:hyperlink>
      <w:r w:rsidR="00524B31">
        <w:rPr>
          <w:lang w:val="en-HK"/>
        </w:rPr>
        <w:t xml:space="preserve"> </w:t>
      </w:r>
    </w:p>
  </w:footnote>
  <w:footnote w:id="2">
    <w:p w14:paraId="30C671BC" w14:textId="77777777" w:rsidR="00524B31" w:rsidRDefault="00524B31" w:rsidP="00524B31">
      <w:pPr>
        <w:pStyle w:val="FootnoteText"/>
      </w:pPr>
      <w:r>
        <w:rPr>
          <w:rStyle w:val="FootnoteCharacters"/>
        </w:rPr>
        <w:footnoteRef/>
      </w:r>
      <w:r>
        <w:rPr>
          <w:rStyle w:val="Hyperlink"/>
          <w:color w:val="000000"/>
          <w:u w:val="none"/>
        </w:rPr>
        <w:tab/>
        <w:t xml:space="preserve">Johnson, B., (2020).  “For Hongkongers fearing for their way of life, Britain will provide an alternative” </w:t>
      </w:r>
      <w:r>
        <w:rPr>
          <w:rStyle w:val="Hyperlink"/>
          <w:i/>
          <w:iCs/>
          <w:color w:val="000000"/>
          <w:u w:val="none"/>
        </w:rPr>
        <w:t xml:space="preserve">South China Morning Post. </w:t>
      </w:r>
      <w:r>
        <w:rPr>
          <w:rStyle w:val="Hyperlink"/>
          <w:color w:val="000000"/>
          <w:u w:val="none"/>
        </w:rPr>
        <w:t xml:space="preserve">Accessed 3 January, 2024. Available at: </w:t>
      </w:r>
      <w:hyperlink r:id="rId2">
        <w:r>
          <w:rPr>
            <w:rStyle w:val="Hyperlink"/>
          </w:rPr>
          <w:t>https://www.scmp.com/comment/opinion/article/3087252/hongkongers-fearing-their-way-life-britain-will-provide-alternative</w:t>
        </w:r>
      </w:hyperlink>
    </w:p>
  </w:footnote>
  <w:footnote w:id="3">
    <w:p w14:paraId="712BCEA9" w14:textId="2947F6B4" w:rsidR="00524B31" w:rsidRPr="00524B31" w:rsidRDefault="00524B31" w:rsidP="00524B31">
      <w:pPr>
        <w:pStyle w:val="FootnoteText"/>
      </w:pPr>
      <w:r>
        <w:rPr>
          <w:rStyle w:val="FootnoteReference"/>
        </w:rPr>
        <w:footnoteRef/>
      </w:r>
      <w:r>
        <w:t xml:space="preserve"> </w:t>
      </w:r>
      <w:r>
        <w:tab/>
      </w:r>
      <w:r>
        <w:t xml:space="preserve">Hurst, M., (2022). “Britain’s Approach to the Negotiations over the Future of Hong Kong, 1979–1982”, </w:t>
      </w:r>
      <w:r>
        <w:rPr>
          <w:i/>
          <w:iCs/>
        </w:rPr>
        <w:t>The International History Review</w:t>
      </w:r>
      <w:r>
        <w:t>, 44:6, 1386-1401, DOI: 10.1080/07075332.2021.2024588</w:t>
      </w:r>
    </w:p>
  </w:footnote>
  <w:footnote w:id="4">
    <w:p w14:paraId="2FBAAF1A" w14:textId="7A996090" w:rsidR="00831067" w:rsidRDefault="00831067" w:rsidP="00D25258">
      <w:pPr>
        <w:pStyle w:val="FootnoteText"/>
      </w:pPr>
      <w:r>
        <w:rPr>
          <w:rStyle w:val="FootnoteCharacters"/>
        </w:rPr>
        <w:footnoteRef/>
      </w:r>
      <w:r>
        <w:rPr>
          <w:rStyle w:val="Hyperlink"/>
          <w:color w:val="000000"/>
          <w:u w:val="none"/>
        </w:rPr>
        <w:tab/>
      </w:r>
      <w:r w:rsidR="00D25258">
        <w:rPr>
          <w:rStyle w:val="Hyperlink"/>
          <w:color w:val="000000"/>
          <w:u w:val="none"/>
        </w:rPr>
        <w:t>Rolfe, H. &amp; Benson, T. (2023). From HK to UK: Hong Kongers’ new lives in Britain</w:t>
      </w:r>
      <w:r w:rsidR="00D25258">
        <w:rPr>
          <w:rStyle w:val="Hyperlink"/>
          <w:i/>
          <w:color w:val="000000"/>
          <w:u w:val="none"/>
        </w:rPr>
        <w:t>.</w:t>
      </w:r>
      <w:r w:rsidR="00D25258">
        <w:rPr>
          <w:rStyle w:val="Hyperlink"/>
          <w:color w:val="000000"/>
          <w:u w:val="none"/>
        </w:rPr>
        <w:t xml:space="preserve"> </w:t>
      </w:r>
      <w:r w:rsidR="00D25258">
        <w:rPr>
          <w:rStyle w:val="Hyperlink"/>
          <w:i/>
          <w:iCs/>
          <w:color w:val="000000"/>
          <w:u w:val="none"/>
        </w:rPr>
        <w:t>Welcoming Committee for Hong Kongers,</w:t>
      </w:r>
      <w:r w:rsidR="00D25258">
        <w:rPr>
          <w:rStyle w:val="Hyperlink"/>
          <w:color w:val="000000"/>
          <w:u w:val="none"/>
        </w:rPr>
        <w:t xml:space="preserve"> p. 35. Accessed 3 January, 2024. Available at: </w:t>
      </w:r>
      <w:hyperlink r:id="rId3">
        <w:r w:rsidR="00D25258">
          <w:rPr>
            <w:rStyle w:val="Hyperlink"/>
          </w:rPr>
          <w:t>https://www.britishfuture.org/publication/from-hk-to-uk-hong-kongers-new-lives-in-britain/</w:t>
        </w:r>
      </w:hyperlink>
    </w:p>
  </w:footnote>
  <w:footnote w:id="5">
    <w:p w14:paraId="27DC40E7" w14:textId="77777777" w:rsidR="00831067" w:rsidRDefault="00831067" w:rsidP="00831067">
      <w:pPr>
        <w:pStyle w:val="FootnoteText"/>
      </w:pPr>
      <w:r>
        <w:rPr>
          <w:rStyle w:val="FootnoteCharacters"/>
        </w:rPr>
        <w:footnoteRef/>
      </w:r>
      <w:r>
        <w:rPr>
          <w:rStyle w:val="Hyperlink"/>
          <w:color w:val="000000"/>
          <w:u w:val="none"/>
        </w:rPr>
        <w:tab/>
        <w:t xml:space="preserve">Rolfe, H. &amp; Benson, T., op. cit., </w:t>
      </w:r>
      <w:r>
        <w:t>p. 75.</w:t>
      </w:r>
    </w:p>
  </w:footnote>
  <w:footnote w:id="6">
    <w:p w14:paraId="47B2AA32" w14:textId="3B1E31E0" w:rsidR="00831067" w:rsidRDefault="00831067" w:rsidP="00831067">
      <w:pPr>
        <w:pStyle w:val="FootnoteText"/>
      </w:pPr>
      <w:r>
        <w:rPr>
          <w:rStyle w:val="FootnoteCharacters"/>
        </w:rPr>
        <w:footnoteRef/>
      </w:r>
      <w:r>
        <w:rPr>
          <w:rStyle w:val="Hyperlink"/>
          <w:color w:val="000000"/>
          <w:u w:val="none"/>
        </w:rPr>
        <w:tab/>
        <w:t>Rolfe, H. &amp; Benson, T., op. cit., p. 8</w:t>
      </w:r>
      <w:r w:rsidR="00947452">
        <w:rPr>
          <w:rStyle w:val="Hyperlink"/>
          <w:color w:val="000000"/>
          <w:u w:val="none"/>
        </w:rPr>
        <w:t>.</w:t>
      </w:r>
    </w:p>
  </w:footnote>
  <w:footnote w:id="7">
    <w:p w14:paraId="55B1ABEF" w14:textId="77777777" w:rsidR="00D25258" w:rsidRDefault="00D25258" w:rsidP="00D25258">
      <w:pPr>
        <w:pStyle w:val="FootnoteText"/>
        <w:jc w:val="both"/>
      </w:pPr>
      <w:r>
        <w:rPr>
          <w:rStyle w:val="FootnoteCharacters"/>
        </w:rPr>
        <w:footnoteRef/>
      </w:r>
      <w:r>
        <w:rPr>
          <w:rStyle w:val="Hyperlink"/>
          <w:color w:val="000000"/>
          <w:u w:val="none"/>
        </w:rPr>
        <w:tab/>
        <w:t xml:space="preserve">Rolfe, H. &amp; Benson, T., op. cit., </w:t>
      </w:r>
      <w:r>
        <w:t>p. 98.</w:t>
      </w:r>
    </w:p>
  </w:footnote>
  <w:footnote w:id="8">
    <w:p w14:paraId="2EA6CDEF" w14:textId="6ADC1D78" w:rsidR="00D25258" w:rsidRPr="00D25258" w:rsidRDefault="00D25258" w:rsidP="00886289">
      <w:pPr>
        <w:pStyle w:val="FootnoteText"/>
        <w:rPr>
          <w:lang w:val="en-HK"/>
        </w:rPr>
      </w:pPr>
      <w:r>
        <w:rPr>
          <w:rStyle w:val="FootnoteReference"/>
        </w:rPr>
        <w:footnoteRef/>
      </w:r>
      <w:r>
        <w:t xml:space="preserve"> </w:t>
      </w:r>
      <w:r>
        <w:rPr>
          <w:lang w:val="en-HK"/>
        </w:rPr>
        <w:tab/>
      </w:r>
      <w:r w:rsidR="00886289" w:rsidRPr="00886289">
        <w:rPr>
          <w:lang w:val="en-HK"/>
        </w:rPr>
        <w:t xml:space="preserve">UK Parliament (2024) </w:t>
      </w:r>
      <w:r w:rsidR="00886289" w:rsidRPr="00886289">
        <w:rPr>
          <w:i/>
          <w:iCs/>
          <w:lang w:val="en-HK"/>
        </w:rPr>
        <w:t>Support for students from Ukraine in UK higher education</w:t>
      </w:r>
      <w:r w:rsidR="00886289" w:rsidRPr="00886289">
        <w:rPr>
          <w:lang w:val="en-HK"/>
        </w:rPr>
        <w:t xml:space="preserve">, </w:t>
      </w:r>
      <w:r w:rsidR="00886289" w:rsidRPr="00886289">
        <w:rPr>
          <w:i/>
          <w:iCs/>
          <w:lang w:val="en-HK"/>
        </w:rPr>
        <w:t>The House of Commons Library</w:t>
      </w:r>
      <w:r w:rsidR="00886289" w:rsidRPr="00886289">
        <w:rPr>
          <w:lang w:val="en-HK"/>
        </w:rPr>
        <w:t xml:space="preserve">. Available at: </w:t>
      </w:r>
      <w:hyperlink r:id="rId4" w:history="1">
        <w:r w:rsidR="00886289" w:rsidRPr="000B27A8">
          <w:rPr>
            <w:rStyle w:val="Hyperlink"/>
            <w:lang w:val="en-HK"/>
          </w:rPr>
          <w:t>https://commonslibrary.parliament.uk/support-for-students-from-ukraine-in-uk-higher-education</w:t>
        </w:r>
      </w:hyperlink>
      <w:r w:rsidR="00886289">
        <w:rPr>
          <w:lang w:val="en-HK"/>
        </w:rPr>
        <w:t xml:space="preserve"> </w:t>
      </w:r>
      <w:r w:rsidR="00886289" w:rsidRPr="00886289">
        <w:rPr>
          <w:lang w:val="en-HK"/>
        </w:rPr>
        <w:t xml:space="preserve"> (Accessed: 13 January 2025). </w:t>
      </w:r>
    </w:p>
  </w:footnote>
  <w:footnote w:id="9">
    <w:p w14:paraId="6C6406CB" w14:textId="77777777" w:rsidR="00BF4F96" w:rsidRDefault="00BF4F96" w:rsidP="00BF4F96">
      <w:pPr>
        <w:pStyle w:val="FootnoteText"/>
      </w:pPr>
      <w:r>
        <w:rPr>
          <w:rStyle w:val="FootnoteCharacters"/>
        </w:rPr>
        <w:footnoteRef/>
      </w:r>
      <w:r>
        <w:rPr>
          <w:rStyle w:val="Hyperlink"/>
          <w:color w:val="000000"/>
          <w:u w:val="none"/>
        </w:rPr>
        <w:tab/>
        <w:t>Westbrook, L. &amp; Mok, D., (2022). “Britain plans extension of BN(O) visa scheme to allow Hongkongers aged 18 to 24 to apply independently of parents”,</w:t>
      </w:r>
      <w:r>
        <w:rPr>
          <w:rStyle w:val="Hyperlink"/>
          <w:i/>
          <w:iCs/>
          <w:color w:val="000000"/>
          <w:u w:val="none"/>
        </w:rPr>
        <w:t xml:space="preserve"> South China Morning Post. </w:t>
      </w:r>
      <w:r>
        <w:rPr>
          <w:rStyle w:val="Hyperlink"/>
          <w:color w:val="000000"/>
          <w:u w:val="none"/>
        </w:rPr>
        <w:t xml:space="preserve">Accessed 3 January, 2024. Available at: </w:t>
      </w:r>
      <w:hyperlink r:id="rId5">
        <w:r>
          <w:rPr>
            <w:rStyle w:val="Hyperlink"/>
          </w:rPr>
          <w:t>https://www.scmp.com/news/hong-kong/society/article/3168295/emigration-wave-continues-about-100000-hongkongers-apply-bno</w:t>
        </w:r>
      </w:hyperlink>
      <w:r>
        <w:t xml:space="preserve"> </w:t>
      </w:r>
    </w:p>
  </w:footnote>
  <w:footnote w:id="10">
    <w:p w14:paraId="62535FBF" w14:textId="7EAD7ED9" w:rsidR="00467DDB" w:rsidRPr="00467DDB" w:rsidRDefault="00467DDB" w:rsidP="00173C3B">
      <w:pPr>
        <w:pStyle w:val="FootnoteText"/>
        <w:rPr>
          <w:lang w:val="en-HK"/>
        </w:rPr>
      </w:pPr>
      <w:r>
        <w:rPr>
          <w:rStyle w:val="FootnoteReference"/>
        </w:rPr>
        <w:footnoteRef/>
      </w:r>
      <w:r>
        <w:t xml:space="preserve"> </w:t>
      </w:r>
      <w:r w:rsidR="00173C3B">
        <w:tab/>
      </w:r>
      <w:r w:rsidR="00173C3B" w:rsidRPr="00173C3B">
        <w:rPr>
          <w:lang w:val="en-HK"/>
        </w:rPr>
        <w:t xml:space="preserve">UK Home Office (2024) </w:t>
      </w:r>
      <w:r w:rsidR="00173C3B" w:rsidRPr="00173C3B">
        <w:rPr>
          <w:i/>
          <w:iCs/>
          <w:lang w:val="en-HK"/>
        </w:rPr>
        <w:t xml:space="preserve">How many people come to the UK via safe and legal (humanitarian) </w:t>
      </w:r>
      <w:proofErr w:type="gramStart"/>
      <w:r w:rsidR="00173C3B" w:rsidRPr="00173C3B">
        <w:rPr>
          <w:i/>
          <w:iCs/>
          <w:lang w:val="en-HK"/>
        </w:rPr>
        <w:t>routes?</w:t>
      </w:r>
      <w:r w:rsidR="00173C3B" w:rsidRPr="00173C3B">
        <w:rPr>
          <w:lang w:val="en-HK"/>
        </w:rPr>
        <w:t>,</w:t>
      </w:r>
      <w:proofErr w:type="gramEnd"/>
      <w:r w:rsidR="00173C3B" w:rsidRPr="00173C3B">
        <w:rPr>
          <w:lang w:val="en-HK"/>
        </w:rPr>
        <w:t xml:space="preserve"> </w:t>
      </w:r>
      <w:r w:rsidR="00173C3B" w:rsidRPr="00173C3B">
        <w:rPr>
          <w:i/>
          <w:iCs/>
          <w:lang w:val="en-HK"/>
        </w:rPr>
        <w:t>GOV.UK</w:t>
      </w:r>
      <w:r w:rsidR="00173C3B" w:rsidRPr="00173C3B">
        <w:rPr>
          <w:lang w:val="en-HK"/>
        </w:rPr>
        <w:t xml:space="preserve">. Available at: </w:t>
      </w:r>
      <w:hyperlink r:id="rId6" w:history="1">
        <w:r w:rsidR="00173C3B" w:rsidRPr="000B27A8">
          <w:rPr>
            <w:rStyle w:val="Hyperlink"/>
            <w:lang w:val="en-HK"/>
          </w:rPr>
          <w:t>https://www.gov.uk/government/statistics/immigration-system-statistics-year-ending-september-2024/how-many-people-come-to-the-uk-via-safe-and-legal-humanitarian-routes</w:t>
        </w:r>
      </w:hyperlink>
      <w:r w:rsidR="00173C3B">
        <w:rPr>
          <w:lang w:val="en-HK"/>
        </w:rPr>
        <w:t xml:space="preserve"> </w:t>
      </w:r>
      <w:r w:rsidR="00173C3B" w:rsidRPr="00173C3B">
        <w:rPr>
          <w:lang w:val="en-HK"/>
        </w:rPr>
        <w:t>(Accessed: 13 January 2025)</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F070D" w14:textId="77777777" w:rsidR="00DD2958" w:rsidRDefault="00000000">
    <w:pPr>
      <w:pStyle w:val="Header"/>
    </w:pPr>
    <w:r>
      <w:rPr>
        <w:noProof/>
      </w:rPr>
      <w:drawing>
        <wp:anchor distT="0" distB="0" distL="0" distR="0" simplePos="0" relativeHeight="34" behindDoc="1" locked="0" layoutInCell="0" allowOverlap="1" wp14:anchorId="7B6C164E" wp14:editId="7CA0BA73">
          <wp:simplePos x="0" y="0"/>
          <wp:positionH relativeFrom="column">
            <wp:posOffset>616585</wp:posOffset>
          </wp:positionH>
          <wp:positionV relativeFrom="paragraph">
            <wp:posOffset>-104140</wp:posOffset>
          </wp:positionV>
          <wp:extent cx="4887595" cy="946150"/>
          <wp:effectExtent l="0" t="0" r="0" b="0"/>
          <wp:wrapNone/>
          <wp:docPr id="1084081333" name="image2.png"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A close up of a sign&#10;&#10;Description automatically generated"/>
                  <pic:cNvPicPr>
                    <a:picLocks noChangeAspect="1" noChangeArrowheads="1"/>
                  </pic:cNvPicPr>
                </pic:nvPicPr>
                <pic:blipFill>
                  <a:blip r:embed="rId1"/>
                  <a:srcRect r="2704"/>
                  <a:stretch>
                    <a:fillRect/>
                  </a:stretch>
                </pic:blipFill>
                <pic:spPr bwMode="auto">
                  <a:xfrm>
                    <a:off x="0" y="0"/>
                    <a:ext cx="4887595" cy="946150"/>
                  </a:xfrm>
                  <a:prstGeom prst="rect">
                    <a:avLst/>
                  </a:prstGeom>
                </pic:spPr>
              </pic:pic>
            </a:graphicData>
          </a:graphic>
        </wp:anchor>
      </w:drawing>
    </w:r>
  </w:p>
  <w:p w14:paraId="4B0E438E" w14:textId="77777777" w:rsidR="00DD2958" w:rsidRDefault="00DD2958">
    <w:pPr>
      <w:pStyle w:val="Header"/>
    </w:pPr>
  </w:p>
  <w:p w14:paraId="7D428383" w14:textId="77777777" w:rsidR="00DD2958" w:rsidRDefault="00DD29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F5CFE"/>
    <w:multiLevelType w:val="multilevel"/>
    <w:tmpl w:val="A6743B50"/>
    <w:lvl w:ilvl="0">
      <w:start w:val="1"/>
      <w:numFmt w:val="decimal"/>
      <w:lvlText w:val="%1."/>
      <w:lvlJc w:val="left"/>
      <w:pPr>
        <w:tabs>
          <w:tab w:val="num" w:pos="720"/>
        </w:tabs>
        <w:ind w:left="720" w:hanging="360"/>
      </w:pPr>
      <w:rPr>
        <w:b w:val="0"/>
        <w:bCs w:val="0"/>
        <w:i w:val="0"/>
        <w:iCs w:val="0"/>
      </w:rPr>
    </w:lvl>
    <w:lvl w:ilvl="1">
      <w:start w:val="1"/>
      <w:numFmt w:val="lowerLetter"/>
      <w:lvlText w:val="(%2)"/>
      <w:lvlJc w:val="left"/>
      <w:pPr>
        <w:tabs>
          <w:tab w:val="num" w:pos="1080"/>
        </w:tabs>
        <w:ind w:left="1080" w:hanging="360"/>
      </w:pPr>
      <w:rPr>
        <w:i w:val="0"/>
        <w:iCs w:val="0"/>
      </w:rPr>
    </w:lvl>
    <w:lvl w:ilvl="2">
      <w:start w:val="1"/>
      <w:numFmt w:val="decimal"/>
      <w:lvlText w:val="%3."/>
      <w:lvlJc w:val="left"/>
      <w:pPr>
        <w:tabs>
          <w:tab w:val="num" w:pos="1440"/>
        </w:tabs>
        <w:ind w:left="1440" w:hanging="360"/>
      </w:pPr>
      <w:rPr>
        <w:i w:val="0"/>
        <w:iCs w:val="0"/>
      </w:rPr>
    </w:lvl>
    <w:lvl w:ilvl="3">
      <w:start w:val="1"/>
      <w:numFmt w:val="decimal"/>
      <w:lvlText w:val="%4."/>
      <w:lvlJc w:val="left"/>
      <w:pPr>
        <w:tabs>
          <w:tab w:val="num" w:pos="1800"/>
        </w:tabs>
        <w:ind w:left="1800" w:hanging="360"/>
      </w:pPr>
      <w:rPr>
        <w:i w:val="0"/>
        <w:iCs w:val="0"/>
      </w:rPr>
    </w:lvl>
    <w:lvl w:ilvl="4">
      <w:start w:val="1"/>
      <w:numFmt w:val="decimal"/>
      <w:lvlText w:val="%5."/>
      <w:lvlJc w:val="left"/>
      <w:pPr>
        <w:tabs>
          <w:tab w:val="num" w:pos="2160"/>
        </w:tabs>
        <w:ind w:left="2160" w:hanging="360"/>
      </w:pPr>
      <w:rPr>
        <w:i w:val="0"/>
        <w:iCs w:val="0"/>
      </w:rPr>
    </w:lvl>
    <w:lvl w:ilvl="5">
      <w:start w:val="1"/>
      <w:numFmt w:val="decimal"/>
      <w:lvlText w:val="%6."/>
      <w:lvlJc w:val="left"/>
      <w:pPr>
        <w:tabs>
          <w:tab w:val="num" w:pos="2520"/>
        </w:tabs>
        <w:ind w:left="2520" w:hanging="360"/>
      </w:pPr>
      <w:rPr>
        <w:i w:val="0"/>
        <w:iCs w:val="0"/>
      </w:rPr>
    </w:lvl>
    <w:lvl w:ilvl="6">
      <w:start w:val="1"/>
      <w:numFmt w:val="decimal"/>
      <w:lvlText w:val="%7."/>
      <w:lvlJc w:val="left"/>
      <w:pPr>
        <w:tabs>
          <w:tab w:val="num" w:pos="2880"/>
        </w:tabs>
        <w:ind w:left="2880" w:hanging="360"/>
      </w:pPr>
      <w:rPr>
        <w:i w:val="0"/>
        <w:iCs w:val="0"/>
      </w:rPr>
    </w:lvl>
    <w:lvl w:ilvl="7">
      <w:start w:val="1"/>
      <w:numFmt w:val="decimal"/>
      <w:lvlText w:val="%8."/>
      <w:lvlJc w:val="left"/>
      <w:pPr>
        <w:tabs>
          <w:tab w:val="num" w:pos="3240"/>
        </w:tabs>
        <w:ind w:left="3240" w:hanging="360"/>
      </w:pPr>
      <w:rPr>
        <w:i w:val="0"/>
        <w:iCs w:val="0"/>
      </w:rPr>
    </w:lvl>
    <w:lvl w:ilvl="8">
      <w:start w:val="1"/>
      <w:numFmt w:val="decimal"/>
      <w:lvlText w:val="%9."/>
      <w:lvlJc w:val="left"/>
      <w:pPr>
        <w:tabs>
          <w:tab w:val="num" w:pos="3600"/>
        </w:tabs>
        <w:ind w:left="3600" w:hanging="360"/>
      </w:pPr>
      <w:rPr>
        <w:i w:val="0"/>
        <w:iCs w:val="0"/>
      </w:rPr>
    </w:lvl>
  </w:abstractNum>
  <w:abstractNum w:abstractNumId="1" w15:restartNumberingAfterBreak="0">
    <w:nsid w:val="053A2ABF"/>
    <w:multiLevelType w:val="multilevel"/>
    <w:tmpl w:val="1B7E0F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79153D7"/>
    <w:multiLevelType w:val="multilevel"/>
    <w:tmpl w:val="B5CCE514"/>
    <w:lvl w:ilvl="0">
      <w:start w:val="1"/>
      <w:numFmt w:val="decimal"/>
      <w:lvlText w:val="%1."/>
      <w:lvlJc w:val="left"/>
      <w:pPr>
        <w:tabs>
          <w:tab w:val="num" w:pos="720"/>
        </w:tabs>
        <w:ind w:left="720" w:hanging="360"/>
      </w:pPr>
      <w:rPr>
        <w:b w:val="0"/>
        <w:bCs w:val="0"/>
        <w:i w:val="0"/>
        <w:iCs w:val="0"/>
      </w:rPr>
    </w:lvl>
    <w:lvl w:ilvl="1">
      <w:start w:val="1"/>
      <w:numFmt w:val="lowerLetter"/>
      <w:lvlText w:val="(%2)"/>
      <w:lvlJc w:val="left"/>
      <w:pPr>
        <w:tabs>
          <w:tab w:val="num" w:pos="1080"/>
        </w:tabs>
        <w:ind w:left="1080" w:hanging="360"/>
      </w:pPr>
      <w:rPr>
        <w:b w:val="0"/>
        <w:bCs w:val="0"/>
        <w:i w:val="0"/>
        <w:iCs w:val="0"/>
      </w:rPr>
    </w:lvl>
    <w:lvl w:ilvl="2">
      <w:start w:val="1"/>
      <w:numFmt w:val="decimal"/>
      <w:lvlText w:val="%3."/>
      <w:lvlJc w:val="left"/>
      <w:pPr>
        <w:tabs>
          <w:tab w:val="num" w:pos="1440"/>
        </w:tabs>
        <w:ind w:left="1440" w:hanging="360"/>
      </w:pPr>
      <w:rPr>
        <w:i w:val="0"/>
        <w:iCs w:val="0"/>
      </w:rPr>
    </w:lvl>
    <w:lvl w:ilvl="3">
      <w:start w:val="1"/>
      <w:numFmt w:val="decimal"/>
      <w:lvlText w:val="%4."/>
      <w:lvlJc w:val="left"/>
      <w:pPr>
        <w:tabs>
          <w:tab w:val="num" w:pos="1800"/>
        </w:tabs>
        <w:ind w:left="1800" w:hanging="360"/>
      </w:pPr>
      <w:rPr>
        <w:i w:val="0"/>
        <w:iCs w:val="0"/>
      </w:rPr>
    </w:lvl>
    <w:lvl w:ilvl="4">
      <w:start w:val="1"/>
      <w:numFmt w:val="decimal"/>
      <w:lvlText w:val="%5."/>
      <w:lvlJc w:val="left"/>
      <w:pPr>
        <w:tabs>
          <w:tab w:val="num" w:pos="2160"/>
        </w:tabs>
        <w:ind w:left="2160" w:hanging="360"/>
      </w:pPr>
      <w:rPr>
        <w:i w:val="0"/>
        <w:iCs w:val="0"/>
      </w:rPr>
    </w:lvl>
    <w:lvl w:ilvl="5">
      <w:start w:val="1"/>
      <w:numFmt w:val="decimal"/>
      <w:lvlText w:val="%6."/>
      <w:lvlJc w:val="left"/>
      <w:pPr>
        <w:tabs>
          <w:tab w:val="num" w:pos="2520"/>
        </w:tabs>
        <w:ind w:left="2520" w:hanging="360"/>
      </w:pPr>
      <w:rPr>
        <w:i w:val="0"/>
        <w:iCs w:val="0"/>
      </w:rPr>
    </w:lvl>
    <w:lvl w:ilvl="6">
      <w:start w:val="1"/>
      <w:numFmt w:val="decimal"/>
      <w:lvlText w:val="%7."/>
      <w:lvlJc w:val="left"/>
      <w:pPr>
        <w:tabs>
          <w:tab w:val="num" w:pos="2880"/>
        </w:tabs>
        <w:ind w:left="2880" w:hanging="360"/>
      </w:pPr>
      <w:rPr>
        <w:i w:val="0"/>
        <w:iCs w:val="0"/>
      </w:rPr>
    </w:lvl>
    <w:lvl w:ilvl="7">
      <w:start w:val="1"/>
      <w:numFmt w:val="decimal"/>
      <w:lvlText w:val="%8."/>
      <w:lvlJc w:val="left"/>
      <w:pPr>
        <w:tabs>
          <w:tab w:val="num" w:pos="3240"/>
        </w:tabs>
        <w:ind w:left="3240" w:hanging="360"/>
      </w:pPr>
      <w:rPr>
        <w:i w:val="0"/>
        <w:iCs w:val="0"/>
      </w:rPr>
    </w:lvl>
    <w:lvl w:ilvl="8">
      <w:start w:val="1"/>
      <w:numFmt w:val="decimal"/>
      <w:lvlText w:val="%9."/>
      <w:lvlJc w:val="left"/>
      <w:pPr>
        <w:tabs>
          <w:tab w:val="num" w:pos="3600"/>
        </w:tabs>
        <w:ind w:left="3600" w:hanging="360"/>
      </w:pPr>
      <w:rPr>
        <w:i w:val="0"/>
        <w:iCs w:val="0"/>
      </w:rPr>
    </w:lvl>
  </w:abstractNum>
  <w:abstractNum w:abstractNumId="3" w15:restartNumberingAfterBreak="0">
    <w:nsid w:val="5416083A"/>
    <w:multiLevelType w:val="multilevel"/>
    <w:tmpl w:val="A1105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224436"/>
    <w:multiLevelType w:val="multilevel"/>
    <w:tmpl w:val="0F92C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4250817">
    <w:abstractNumId w:val="2"/>
  </w:num>
  <w:num w:numId="2" w16cid:durableId="217055818">
    <w:abstractNumId w:val="1"/>
  </w:num>
  <w:num w:numId="3" w16cid:durableId="431970839">
    <w:abstractNumId w:val="0"/>
  </w:num>
  <w:num w:numId="4" w16cid:durableId="524028626">
    <w:abstractNumId w:val="4"/>
  </w:num>
  <w:num w:numId="5" w16cid:durableId="11122144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9"/>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958"/>
    <w:rsid w:val="00020020"/>
    <w:rsid w:val="00034074"/>
    <w:rsid w:val="00057FC4"/>
    <w:rsid w:val="00077076"/>
    <w:rsid w:val="000868C8"/>
    <w:rsid w:val="00091FE9"/>
    <w:rsid w:val="000B1F8A"/>
    <w:rsid w:val="000B589B"/>
    <w:rsid w:val="000B747D"/>
    <w:rsid w:val="000C1005"/>
    <w:rsid w:val="000F410C"/>
    <w:rsid w:val="000F4869"/>
    <w:rsid w:val="001535DD"/>
    <w:rsid w:val="00173C3B"/>
    <w:rsid w:val="00186DED"/>
    <w:rsid w:val="001936C9"/>
    <w:rsid w:val="001A4FEB"/>
    <w:rsid w:val="001B6F19"/>
    <w:rsid w:val="001E4044"/>
    <w:rsid w:val="00204C66"/>
    <w:rsid w:val="00220512"/>
    <w:rsid w:val="002260AE"/>
    <w:rsid w:val="002570DB"/>
    <w:rsid w:val="00261CCE"/>
    <w:rsid w:val="002641AA"/>
    <w:rsid w:val="002922FF"/>
    <w:rsid w:val="002D484E"/>
    <w:rsid w:val="003331DC"/>
    <w:rsid w:val="003539F4"/>
    <w:rsid w:val="00362402"/>
    <w:rsid w:val="00394EC6"/>
    <w:rsid w:val="00417EA2"/>
    <w:rsid w:val="00433618"/>
    <w:rsid w:val="00442FFF"/>
    <w:rsid w:val="00444612"/>
    <w:rsid w:val="0046079F"/>
    <w:rsid w:val="004639FD"/>
    <w:rsid w:val="00467DDB"/>
    <w:rsid w:val="00496252"/>
    <w:rsid w:val="004B7D74"/>
    <w:rsid w:val="004D3661"/>
    <w:rsid w:val="004E04CE"/>
    <w:rsid w:val="004F68CA"/>
    <w:rsid w:val="00524B31"/>
    <w:rsid w:val="00532A35"/>
    <w:rsid w:val="005360D0"/>
    <w:rsid w:val="005557C1"/>
    <w:rsid w:val="005562F2"/>
    <w:rsid w:val="0058030D"/>
    <w:rsid w:val="00595B85"/>
    <w:rsid w:val="005A25C4"/>
    <w:rsid w:val="005A36EE"/>
    <w:rsid w:val="005B445F"/>
    <w:rsid w:val="005B7344"/>
    <w:rsid w:val="005E3A93"/>
    <w:rsid w:val="005E3F27"/>
    <w:rsid w:val="005E47FC"/>
    <w:rsid w:val="00612BFE"/>
    <w:rsid w:val="0065219C"/>
    <w:rsid w:val="006647CC"/>
    <w:rsid w:val="0067246F"/>
    <w:rsid w:val="00676D09"/>
    <w:rsid w:val="00693D5D"/>
    <w:rsid w:val="006C42FA"/>
    <w:rsid w:val="006D4959"/>
    <w:rsid w:val="007300D8"/>
    <w:rsid w:val="00733EC9"/>
    <w:rsid w:val="00777D34"/>
    <w:rsid w:val="00781573"/>
    <w:rsid w:val="007860E3"/>
    <w:rsid w:val="007D19D6"/>
    <w:rsid w:val="007F2A85"/>
    <w:rsid w:val="007F3C71"/>
    <w:rsid w:val="007F792C"/>
    <w:rsid w:val="00821B34"/>
    <w:rsid w:val="00827E9F"/>
    <w:rsid w:val="00831067"/>
    <w:rsid w:val="0087373B"/>
    <w:rsid w:val="00877450"/>
    <w:rsid w:val="00877BAF"/>
    <w:rsid w:val="00886289"/>
    <w:rsid w:val="008A13E3"/>
    <w:rsid w:val="008A6E92"/>
    <w:rsid w:val="008B0A11"/>
    <w:rsid w:val="00901C32"/>
    <w:rsid w:val="009352B8"/>
    <w:rsid w:val="00947452"/>
    <w:rsid w:val="00975BBE"/>
    <w:rsid w:val="009D4611"/>
    <w:rsid w:val="009F09A4"/>
    <w:rsid w:val="009F3347"/>
    <w:rsid w:val="00A040CB"/>
    <w:rsid w:val="00A3056F"/>
    <w:rsid w:val="00A86820"/>
    <w:rsid w:val="00AD0CBD"/>
    <w:rsid w:val="00B63FA3"/>
    <w:rsid w:val="00BB7A4C"/>
    <w:rsid w:val="00BC349B"/>
    <w:rsid w:val="00BC3A3C"/>
    <w:rsid w:val="00BF4F96"/>
    <w:rsid w:val="00BF6CF6"/>
    <w:rsid w:val="00C118FB"/>
    <w:rsid w:val="00C51C43"/>
    <w:rsid w:val="00C77D9E"/>
    <w:rsid w:val="00D223FC"/>
    <w:rsid w:val="00D25258"/>
    <w:rsid w:val="00D31E66"/>
    <w:rsid w:val="00D34B20"/>
    <w:rsid w:val="00D53EA2"/>
    <w:rsid w:val="00D54776"/>
    <w:rsid w:val="00D64202"/>
    <w:rsid w:val="00D872A9"/>
    <w:rsid w:val="00DA4E5C"/>
    <w:rsid w:val="00DD2958"/>
    <w:rsid w:val="00DE070F"/>
    <w:rsid w:val="00DF6644"/>
    <w:rsid w:val="00E6036C"/>
    <w:rsid w:val="00E911AF"/>
    <w:rsid w:val="00E94249"/>
    <w:rsid w:val="00EB2445"/>
    <w:rsid w:val="00EB4169"/>
    <w:rsid w:val="00EB495F"/>
    <w:rsid w:val="00ED0539"/>
    <w:rsid w:val="00ED1EE1"/>
    <w:rsid w:val="00EF153C"/>
    <w:rsid w:val="00EF2B23"/>
    <w:rsid w:val="00F3118D"/>
    <w:rsid w:val="00F53BD6"/>
    <w:rsid w:val="00F57CAD"/>
    <w:rsid w:val="00F73D02"/>
    <w:rsid w:val="00F77C13"/>
    <w:rsid w:val="00F91187"/>
    <w:rsid w:val="00FD0479"/>
    <w:rsid w:val="00FE7E33"/>
    <w:rsid w:val="00FF5926"/>
    <w:rsid w:val="00FF652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3A5AE"/>
  <w15:docId w15:val="{AE9C4251-33AA-444D-A255-F0F1BAAE1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Lucida Sans"/>
        <w:kern w:val="2"/>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pPr>
    <w:rPr>
      <w:sz w:val="24"/>
    </w:rPr>
  </w:style>
  <w:style w:type="paragraph" w:styleId="Heading1">
    <w:name w:val="heading 1"/>
    <w:basedOn w:val="Heading"/>
    <w:next w:val="BodyText"/>
    <w:uiPriority w:val="9"/>
    <w:qFormat/>
    <w:pPr>
      <w:outlineLvl w:val="0"/>
    </w:pPr>
    <w:rPr>
      <w:rFonts w:ascii="Liberation Serif" w:eastAsia="NSimSun" w:hAnsi="Liberation Serif"/>
      <w:b/>
      <w:bCs/>
    </w:rPr>
  </w:style>
  <w:style w:type="paragraph" w:styleId="Heading2">
    <w:name w:val="heading 2"/>
    <w:basedOn w:val="Heading"/>
    <w:next w:val="BodyText"/>
    <w:uiPriority w:val="9"/>
    <w:semiHidden/>
    <w:unhideWhenUsed/>
    <w:qFormat/>
    <w:pPr>
      <w:spacing w:before="200"/>
      <w:outlineLvl w:val="1"/>
    </w:pPr>
    <w:rPr>
      <w:rFonts w:ascii="Liberation Serif" w:eastAsia="NSimSun" w:hAnsi="Liberation Serif"/>
      <w:b/>
      <w:bCs/>
      <w:sz w:val="36"/>
      <w:szCs w:val="36"/>
    </w:rPr>
  </w:style>
  <w:style w:type="paragraph" w:styleId="Heading3">
    <w:name w:val="heading 3"/>
    <w:basedOn w:val="Heading"/>
    <w:next w:val="BodyText"/>
    <w:uiPriority w:val="9"/>
    <w:semiHidden/>
    <w:unhideWhenUsed/>
    <w:qFormat/>
    <w:pPr>
      <w:spacing w:before="140"/>
      <w:outlineLvl w:val="2"/>
    </w:pPr>
    <w:rPr>
      <w:rFonts w:ascii="Liberation Serif" w:eastAsia="NSimSun" w:hAnsi="Liberation Serif"/>
      <w:b/>
      <w:bCs/>
    </w:rPr>
  </w:style>
  <w:style w:type="paragraph" w:styleId="Heading4">
    <w:name w:val="heading 4"/>
    <w:basedOn w:val="Heading"/>
    <w:next w:val="BodyText"/>
    <w:uiPriority w:val="9"/>
    <w:semiHidden/>
    <w:unhideWhenUsed/>
    <w:qFormat/>
    <w:pPr>
      <w:spacing w:before="120"/>
      <w:outlineLvl w:val="3"/>
    </w:pPr>
    <w:rPr>
      <w:rFonts w:ascii="Liberation Serif" w:eastAsia="NSimSun" w:hAnsi="Liberation Serif"/>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qFormat/>
    <w:rPr>
      <w:i w:val="0"/>
      <w:iCs w:val="0"/>
    </w:rPr>
  </w:style>
  <w:style w:type="character" w:customStyle="1" w:styleId="Bullets">
    <w:name w:val="Bullets"/>
    <w:qFormat/>
    <w:rPr>
      <w:rFonts w:ascii="OpenSymbol" w:eastAsia="OpenSymbol" w:hAnsi="OpenSymbol" w:cs="OpenSymbol"/>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styleId="Hyperlink">
    <w:name w:val="Hyperlink"/>
    <w:rPr>
      <w:color w:val="000080"/>
      <w:u w:val="single"/>
    </w:rPr>
  </w:style>
  <w:style w:type="character" w:styleId="FollowedHyperlink">
    <w:name w:val="FollowedHyperlink"/>
    <w:rPr>
      <w:color w:val="800000"/>
      <w:u w:val="single"/>
    </w:rPr>
  </w:style>
  <w:style w:type="character" w:styleId="Strong">
    <w:name w:val="Strong"/>
    <w:qFormat/>
    <w:rPr>
      <w:b/>
      <w:bCs/>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customStyle="1" w:styleId="FootnoteTextChar">
    <w:name w:val="Footnote Text Char"/>
    <w:basedOn w:val="DefaultParagraphFont"/>
    <w:link w:val="FootnoteText"/>
    <w:qFormat/>
    <w:rPr>
      <w:sz w:val="20"/>
      <w:szCs w:val="20"/>
    </w:rPr>
  </w:style>
  <w:style w:type="character" w:styleId="UnresolvedMention">
    <w:name w:val="Unresolved Mention"/>
    <w:basedOn w:val="DefaultParagraphFont"/>
    <w:qFormat/>
    <w:rPr>
      <w:color w:val="605E5C"/>
      <w:shd w:val="clear" w:color="auto" w:fill="E1DFDD"/>
    </w:rPr>
  </w:style>
  <w:style w:type="character" w:customStyle="1" w:styleId="SourceText">
    <w:name w:val="Source Text"/>
    <w:qFormat/>
    <w:rPr>
      <w:rFonts w:ascii="Liberation Mono" w:eastAsia="NSimSun" w:hAnsi="Liberation Mono" w:cs="Liberation Mono"/>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SingleTxt">
    <w:name w:val="__Single Txt"/>
    <w:basedOn w:val="Normal"/>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60" w:lineRule="auto"/>
      <w:ind w:left="1267" w:right="1267"/>
      <w:jc w:val="both"/>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styleId="Footer">
    <w:name w:val="footer"/>
    <w:basedOn w:val="HeaderandFooter"/>
  </w:style>
  <w:style w:type="paragraph" w:customStyle="1" w:styleId="TableContents">
    <w:name w:val="Table Contents"/>
    <w:basedOn w:val="Normal"/>
    <w:qFormat/>
    <w:pPr>
      <w:widowControl w:val="0"/>
      <w:suppressLineNumbers/>
    </w:pPr>
  </w:style>
  <w:style w:type="paragraph" w:customStyle="1" w:styleId="LO-normal">
    <w:name w:val="LO-normal"/>
    <w:qFormat/>
    <w:pPr>
      <w:widowControl w:val="0"/>
      <w:overflowPunct w:val="0"/>
      <w:spacing w:before="114" w:after="114" w:line="360" w:lineRule="auto"/>
      <w:jc w:val="both"/>
    </w:pPr>
    <w:rPr>
      <w:sz w:val="24"/>
    </w:rPr>
  </w:style>
  <w:style w:type="paragraph" w:styleId="FootnoteText">
    <w:name w:val="footnote text"/>
    <w:basedOn w:val="Normal"/>
    <w:link w:val="FootnoteTextChar"/>
    <w:pPr>
      <w:suppressLineNumbers/>
      <w:ind w:left="340" w:hanging="340"/>
    </w:pPr>
    <w:rPr>
      <w:sz w:val="20"/>
      <w:szCs w:val="20"/>
    </w:rPr>
  </w:style>
  <w:style w:type="paragraph" w:customStyle="1" w:styleId="SingleTxtG">
    <w:name w:val="_ Single Txt_G"/>
    <w:basedOn w:val="Normal"/>
    <w:qFormat/>
    <w:pPr>
      <w:tabs>
        <w:tab w:val="left" w:pos="1701"/>
        <w:tab w:val="left" w:pos="2268"/>
        <w:tab w:val="left" w:pos="2835"/>
      </w:tabs>
      <w:snapToGrid w:val="0"/>
      <w:spacing w:after="120"/>
      <w:ind w:left="1134" w:right="1134"/>
      <w:jc w:val="both"/>
    </w:pPr>
    <w:rPr>
      <w:rFonts w:eastAsia="Calibri"/>
    </w:rPr>
  </w:style>
  <w:style w:type="paragraph" w:customStyle="1" w:styleId="TableHeading">
    <w:name w:val="Table Heading"/>
    <w:basedOn w:val="TableContents"/>
    <w:qFormat/>
    <w:pPr>
      <w:jc w:val="center"/>
    </w:pPr>
    <w:rPr>
      <w:b/>
      <w:bCs/>
    </w:rPr>
  </w:style>
  <w:style w:type="paragraph" w:customStyle="1" w:styleId="Default">
    <w:name w:val="Default"/>
    <w:qFormat/>
    <w:pPr>
      <w:overflowPunct w:val="0"/>
    </w:pPr>
    <w:rPr>
      <w:rFonts w:ascii=".." w:hAnsi=".."/>
      <w:color w:val="000000"/>
      <w:sz w:val="24"/>
    </w:rPr>
  </w:style>
  <w:style w:type="paragraph" w:styleId="NormalWeb">
    <w:name w:val="Normal (Web)"/>
    <w:basedOn w:val="Normal"/>
    <w:uiPriority w:val="99"/>
    <w:qFormat/>
    <w:rPr>
      <w:rFonts w:ascii="Times New Roman" w:hAnsi="Times New Roman" w:cs="Mangal"/>
      <w:szCs w:val="21"/>
    </w:rPr>
  </w:style>
  <w:style w:type="paragraph" w:styleId="ListParagraph">
    <w:name w:val="List Paragraph"/>
    <w:basedOn w:val="Normal"/>
    <w:qFormat/>
    <w:pPr>
      <w:ind w:left="720"/>
      <w:contextualSpacing/>
    </w:pPr>
    <w:rPr>
      <w:rFonts w:cs="Mangal"/>
      <w:szCs w:val="21"/>
    </w:rPr>
  </w:style>
  <w:style w:type="paragraph" w:customStyle="1" w:styleId="PreformattedText">
    <w:name w:val="Preformatted Text"/>
    <w:basedOn w:val="Normal"/>
    <w:qFormat/>
    <w:rPr>
      <w:rFonts w:ascii="Liberation Mono" w:hAnsi="Liberation Mono" w:cs="Liberation Mon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352840">
      <w:bodyDiv w:val="1"/>
      <w:marLeft w:val="0"/>
      <w:marRight w:val="0"/>
      <w:marTop w:val="0"/>
      <w:marBottom w:val="0"/>
      <w:divBdr>
        <w:top w:val="none" w:sz="0" w:space="0" w:color="auto"/>
        <w:left w:val="none" w:sz="0" w:space="0" w:color="auto"/>
        <w:bottom w:val="none" w:sz="0" w:space="0" w:color="auto"/>
        <w:right w:val="none" w:sz="0" w:space="0" w:color="auto"/>
      </w:divBdr>
    </w:div>
    <w:div w:id="186524183">
      <w:bodyDiv w:val="1"/>
      <w:marLeft w:val="0"/>
      <w:marRight w:val="0"/>
      <w:marTop w:val="0"/>
      <w:marBottom w:val="0"/>
      <w:divBdr>
        <w:top w:val="none" w:sz="0" w:space="0" w:color="auto"/>
        <w:left w:val="none" w:sz="0" w:space="0" w:color="auto"/>
        <w:bottom w:val="none" w:sz="0" w:space="0" w:color="auto"/>
        <w:right w:val="none" w:sz="0" w:space="0" w:color="auto"/>
      </w:divBdr>
    </w:div>
    <w:div w:id="731856341">
      <w:bodyDiv w:val="1"/>
      <w:marLeft w:val="0"/>
      <w:marRight w:val="0"/>
      <w:marTop w:val="0"/>
      <w:marBottom w:val="0"/>
      <w:divBdr>
        <w:top w:val="none" w:sz="0" w:space="0" w:color="auto"/>
        <w:left w:val="none" w:sz="0" w:space="0" w:color="auto"/>
        <w:bottom w:val="none" w:sz="0" w:space="0" w:color="auto"/>
        <w:right w:val="none" w:sz="0" w:space="0" w:color="auto"/>
      </w:divBdr>
    </w:div>
    <w:div w:id="1075660553">
      <w:bodyDiv w:val="1"/>
      <w:marLeft w:val="0"/>
      <w:marRight w:val="0"/>
      <w:marTop w:val="0"/>
      <w:marBottom w:val="0"/>
      <w:divBdr>
        <w:top w:val="none" w:sz="0" w:space="0" w:color="auto"/>
        <w:left w:val="none" w:sz="0" w:space="0" w:color="auto"/>
        <w:bottom w:val="none" w:sz="0" w:space="0" w:color="auto"/>
        <w:right w:val="none" w:sz="0" w:space="0" w:color="auto"/>
      </w:divBdr>
    </w:div>
    <w:div w:id="1078819340">
      <w:bodyDiv w:val="1"/>
      <w:marLeft w:val="0"/>
      <w:marRight w:val="0"/>
      <w:marTop w:val="0"/>
      <w:marBottom w:val="0"/>
      <w:divBdr>
        <w:top w:val="none" w:sz="0" w:space="0" w:color="auto"/>
        <w:left w:val="none" w:sz="0" w:space="0" w:color="auto"/>
        <w:bottom w:val="none" w:sz="0" w:space="0" w:color="auto"/>
        <w:right w:val="none" w:sz="0" w:space="0" w:color="auto"/>
      </w:divBdr>
    </w:div>
    <w:div w:id="1273437178">
      <w:bodyDiv w:val="1"/>
      <w:marLeft w:val="0"/>
      <w:marRight w:val="0"/>
      <w:marTop w:val="0"/>
      <w:marBottom w:val="0"/>
      <w:divBdr>
        <w:top w:val="none" w:sz="0" w:space="0" w:color="auto"/>
        <w:left w:val="none" w:sz="0" w:space="0" w:color="auto"/>
        <w:bottom w:val="none" w:sz="0" w:space="0" w:color="auto"/>
        <w:right w:val="none" w:sz="0" w:space="0" w:color="auto"/>
      </w:divBdr>
    </w:div>
    <w:div w:id="1366636567">
      <w:bodyDiv w:val="1"/>
      <w:marLeft w:val="0"/>
      <w:marRight w:val="0"/>
      <w:marTop w:val="0"/>
      <w:marBottom w:val="0"/>
      <w:divBdr>
        <w:top w:val="none" w:sz="0" w:space="0" w:color="auto"/>
        <w:left w:val="none" w:sz="0" w:space="0" w:color="auto"/>
        <w:bottom w:val="none" w:sz="0" w:space="0" w:color="auto"/>
        <w:right w:val="none" w:sz="0" w:space="0" w:color="auto"/>
      </w:divBdr>
    </w:div>
    <w:div w:id="1933929391">
      <w:bodyDiv w:val="1"/>
      <w:marLeft w:val="0"/>
      <w:marRight w:val="0"/>
      <w:marTop w:val="0"/>
      <w:marBottom w:val="0"/>
      <w:divBdr>
        <w:top w:val="none" w:sz="0" w:space="0" w:color="auto"/>
        <w:left w:val="none" w:sz="0" w:space="0" w:color="auto"/>
        <w:bottom w:val="none" w:sz="0" w:space="0" w:color="auto"/>
        <w:right w:val="none" w:sz="0" w:space="0" w:color="auto"/>
      </w:divBdr>
    </w:div>
    <w:div w:id="1945845292">
      <w:bodyDiv w:val="1"/>
      <w:marLeft w:val="0"/>
      <w:marRight w:val="0"/>
      <w:marTop w:val="0"/>
      <w:marBottom w:val="0"/>
      <w:divBdr>
        <w:top w:val="none" w:sz="0" w:space="0" w:color="auto"/>
        <w:left w:val="none" w:sz="0" w:space="0" w:color="auto"/>
        <w:bottom w:val="none" w:sz="0" w:space="0" w:color="auto"/>
        <w:right w:val="none" w:sz="0" w:space="0" w:color="auto"/>
      </w:divBdr>
    </w:div>
    <w:div w:id="1992976330">
      <w:bodyDiv w:val="1"/>
      <w:marLeft w:val="0"/>
      <w:marRight w:val="0"/>
      <w:marTop w:val="0"/>
      <w:marBottom w:val="0"/>
      <w:divBdr>
        <w:top w:val="none" w:sz="0" w:space="0" w:color="auto"/>
        <w:left w:val="none" w:sz="0" w:space="0" w:color="auto"/>
        <w:bottom w:val="none" w:sz="0" w:space="0" w:color="auto"/>
        <w:right w:val="none" w:sz="0" w:space="0" w:color="auto"/>
      </w:divBdr>
    </w:div>
    <w:div w:id="2035112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iplsa.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britishfuture.org/publication/from-hk-to-uk-hong-kongers-new-lives-in-britain/" TargetMode="External"/><Relationship Id="rId2" Type="http://schemas.openxmlformats.org/officeDocument/2006/relationships/hyperlink" Target="https://www.scmp.com/comment/opinion/article/3087252/hongkongers-fearing-their-way-life-britain-will-provide-alternative" TargetMode="External"/><Relationship Id="rId1" Type="http://schemas.openxmlformats.org/officeDocument/2006/relationships/hyperlink" Target="https://tbinternet.ohchr.org/_layouts/15/treatybodyexternal/Download.aspx?symbolno=INT%2FCCPR%2FCSS%2FGBR%2F57181&amp;Lang=en" TargetMode="External"/><Relationship Id="rId6" Type="http://schemas.openxmlformats.org/officeDocument/2006/relationships/hyperlink" Target="https://www.gov.uk/government/statistics/immigration-system-statistics-year-ending-september-2024/how-many-people-come-to-the-uk-via-safe-and-legal-humanitarian-routes" TargetMode="External"/><Relationship Id="rId5" Type="http://schemas.openxmlformats.org/officeDocument/2006/relationships/hyperlink" Target="https://www.scmp.com/news/hong-kong/society/article/3168295/emigration-wave-continues-about-100000-hongkongers-apply-bno" TargetMode="External"/><Relationship Id="rId4" Type="http://schemas.openxmlformats.org/officeDocument/2006/relationships/hyperlink" Target="https://commonslibrary.parliament.uk/support-for-students-from-ukraine-in-uk-higher-educa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1DA28-FE54-495B-B927-E8B5042F0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2601</Words>
  <Characters>14829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季利</dc:creator>
  <dc:description/>
  <cp:lastModifiedBy>Jason Todd</cp:lastModifiedBy>
  <cp:revision>2</cp:revision>
  <cp:lastPrinted>2024-01-16T22:28:00Z</cp:lastPrinted>
  <dcterms:created xsi:type="dcterms:W3CDTF">2025-01-13T09:21:00Z</dcterms:created>
  <dcterms:modified xsi:type="dcterms:W3CDTF">2025-01-13T09:21:00Z</dcterms:modified>
  <dc:language>en-GB</dc:language>
</cp:coreProperties>
</file>