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4BA" w:rsidRPr="00711640" w:rsidRDefault="000B24BA" w:rsidP="000B24BA">
      <w:pPr>
        <w:spacing w:before="100" w:beforeAutospacing="1" w:after="100" w:afterAutospacing="1" w:line="360" w:lineRule="auto"/>
        <w:jc w:val="center"/>
        <w:rPr>
          <w:b/>
          <w:lang w:val="en-US"/>
        </w:rPr>
      </w:pPr>
      <w:bookmarkStart w:id="0" w:name="_GoBack"/>
      <w:bookmarkEnd w:id="0"/>
    </w:p>
    <w:p w:rsidR="00623229" w:rsidRPr="00711640" w:rsidRDefault="00623229" w:rsidP="000B24BA">
      <w:pPr>
        <w:spacing w:before="100" w:beforeAutospacing="1" w:after="100" w:afterAutospacing="1" w:line="360" w:lineRule="auto"/>
        <w:jc w:val="center"/>
        <w:rPr>
          <w:b/>
          <w:lang w:val="en-US"/>
        </w:rPr>
      </w:pPr>
      <w:r w:rsidRPr="00711640">
        <w:rPr>
          <w:b/>
          <w:lang w:val="en-US"/>
        </w:rPr>
        <w:t>National Commission for Human Rights and Citizenship of Cabo Verde (CNDHC) Contributions for the Combined Periodic Report II, III and IV of the Republic of Cabo Verde to the Committee on the Rights of the Child</w:t>
      </w:r>
    </w:p>
    <w:p w:rsidR="00623229" w:rsidRPr="00711640" w:rsidRDefault="00623229" w:rsidP="000B24BA">
      <w:pPr>
        <w:spacing w:before="100" w:beforeAutospacing="1" w:after="100" w:afterAutospacing="1" w:line="360" w:lineRule="auto"/>
        <w:jc w:val="both"/>
        <w:rPr>
          <w:lang w:val="en-US"/>
        </w:rPr>
      </w:pPr>
    </w:p>
    <w:p w:rsidR="00623229" w:rsidRPr="00711640" w:rsidRDefault="00623229" w:rsidP="000B24BA">
      <w:pPr>
        <w:spacing w:before="100" w:beforeAutospacing="1" w:after="100" w:afterAutospacing="1" w:line="360" w:lineRule="auto"/>
        <w:jc w:val="both"/>
        <w:rPr>
          <w:b/>
          <w:lang w:val="en-US"/>
        </w:rPr>
      </w:pPr>
      <w:r w:rsidRPr="00711640">
        <w:rPr>
          <w:b/>
          <w:lang w:val="en-US"/>
        </w:rPr>
        <w:t>Introduction</w:t>
      </w:r>
    </w:p>
    <w:p w:rsidR="00623229" w:rsidRPr="00711640" w:rsidRDefault="00623229" w:rsidP="000B24BA">
      <w:pPr>
        <w:spacing w:before="100" w:beforeAutospacing="1" w:after="100" w:afterAutospacing="1" w:line="360" w:lineRule="auto"/>
        <w:jc w:val="both"/>
        <w:rPr>
          <w:lang w:val="en-US"/>
        </w:rPr>
      </w:pPr>
      <w:r w:rsidRPr="00711640">
        <w:rPr>
          <w:lang w:val="en-US"/>
        </w:rPr>
        <w:t>On submission of the Combined Periodic Report II, III and IV of the Republic of Cabo Verde on the implementation of the Convention on the Rights of the Child (CDC) in March 2017, the National Commission for Human Rights and Citizenship (CNDHC) is pleased to submit this contribution to UN Committee on the Rights of the Child, containing its perspective on the implementation of CDC in Cabo Verde, as well as its opinions and recommendations in this regard. This document sought to respond to the List of Issues submitted to the State party by the Committee on the Rights of the Child on November 5, 2018 for its 81st session, to be held from May 13 to 31, 2019.</w:t>
      </w:r>
    </w:p>
    <w:p w:rsidR="0044613C" w:rsidRPr="00711640" w:rsidRDefault="0044613C" w:rsidP="000B24BA">
      <w:pPr>
        <w:spacing w:before="100" w:beforeAutospacing="1" w:after="100" w:afterAutospacing="1" w:line="360" w:lineRule="auto"/>
        <w:jc w:val="both"/>
        <w:rPr>
          <w:lang w:val="en-US"/>
        </w:rPr>
      </w:pPr>
    </w:p>
    <w:p w:rsidR="00623229" w:rsidRPr="00711640" w:rsidRDefault="00623229" w:rsidP="000B24BA">
      <w:pPr>
        <w:spacing w:before="100" w:beforeAutospacing="1" w:after="100" w:afterAutospacing="1" w:line="360" w:lineRule="auto"/>
        <w:jc w:val="both"/>
        <w:rPr>
          <w:b/>
          <w:lang w:val="en-US"/>
        </w:rPr>
      </w:pPr>
      <w:r w:rsidRPr="00711640">
        <w:rPr>
          <w:b/>
          <w:lang w:val="en-US"/>
        </w:rPr>
        <w:t>1. Regulation of the ECA, minimum age of marriage and any distinction in rights and protection provided to children and adolescents</w:t>
      </w:r>
    </w:p>
    <w:p w:rsidR="00623229" w:rsidRPr="00711640" w:rsidRDefault="00623229" w:rsidP="000B24BA">
      <w:pPr>
        <w:spacing w:before="100" w:beforeAutospacing="1" w:after="100" w:afterAutospacing="1" w:line="360" w:lineRule="auto"/>
        <w:jc w:val="both"/>
        <w:rPr>
          <w:lang w:val="en-US"/>
        </w:rPr>
      </w:pPr>
      <w:r w:rsidRPr="00711640">
        <w:rPr>
          <w:lang w:val="en-US"/>
        </w:rPr>
        <w:t>Some articles of Child and Adolescent Statute (ECA), adopted in 2013, is currently being revised, and a draft regulation was also presented.</w:t>
      </w:r>
    </w:p>
    <w:p w:rsidR="00623229" w:rsidRPr="00711640" w:rsidRDefault="00623229" w:rsidP="000B24BA">
      <w:pPr>
        <w:spacing w:before="100" w:beforeAutospacing="1" w:after="100" w:afterAutospacing="1" w:line="360" w:lineRule="auto"/>
        <w:jc w:val="both"/>
        <w:rPr>
          <w:lang w:val="en-US"/>
        </w:rPr>
      </w:pPr>
      <w:r w:rsidRPr="00711640">
        <w:rPr>
          <w:lang w:val="en-US"/>
        </w:rPr>
        <w:t xml:space="preserve">According to the Cabo Verdean Civil Code (Decree-Law no. 31-A / 1999), marriage can be contracted from the age of 18 years and is subject to strict criteria in terms of validity, namely civil registration. However, the same law provides for marriages of spouses from the age of 16, provided there is no opposition from the parents or guardians of the child. In case of opposition, the marriage can only be performed after the Family and Minor Court has given a favorable decision. There have been early marriages, although there is no pronouncement and measures </w:t>
      </w:r>
      <w:r w:rsidRPr="00711640">
        <w:rPr>
          <w:lang w:val="en-US"/>
        </w:rPr>
        <w:lastRenderedPageBreak/>
        <w:t>to that effect. At the same time, data from the 2010 Census indicate that there are 238 girls aged between 12 and 14 years old living in non-marital partnership, although the law does not recognize such partnership and thus establishes them as a crime of sexual abuse of minors, a situation that calls for analysis and measures to protect girls.</w:t>
      </w:r>
    </w:p>
    <w:p w:rsidR="00623229" w:rsidRPr="00711640" w:rsidRDefault="00623229" w:rsidP="000B24BA">
      <w:pPr>
        <w:spacing w:before="100" w:beforeAutospacing="1" w:after="100" w:afterAutospacing="1" w:line="360" w:lineRule="auto"/>
        <w:jc w:val="both"/>
        <w:rPr>
          <w:lang w:val="en-US"/>
        </w:rPr>
      </w:pPr>
      <w:r w:rsidRPr="00711640">
        <w:rPr>
          <w:lang w:val="en-US"/>
        </w:rPr>
        <w:t>The ECA provides for some differences in the rights and protection of children and adolescents, namely: Article 43 on sexual and reproductive health, at number 3, allows only adolescents from 14 years old to request and receive, by themselves, sexual and reproductive health services; the same article in its number 6 allows adolescents, which covers the age group 12-17 years, to oppose medical interventions, not giving this prerogative to children; article 61 establishes as minimum age for paid work 15 years, and in its number 3 establishes that in case of violation the minimum working age, only adolescents are entitled to all benefits and remuneration relating to the existing employment relationship, thus excluding children who have worked illegally.</w:t>
      </w:r>
    </w:p>
    <w:p w:rsidR="00623229" w:rsidRPr="00711640" w:rsidRDefault="00623229" w:rsidP="000B24BA">
      <w:pPr>
        <w:spacing w:before="100" w:beforeAutospacing="1" w:after="100" w:afterAutospacing="1" w:line="360" w:lineRule="auto"/>
        <w:jc w:val="both"/>
        <w:rPr>
          <w:lang w:val="en-US"/>
        </w:rPr>
      </w:pPr>
    </w:p>
    <w:p w:rsidR="00623229" w:rsidRPr="00711640" w:rsidRDefault="00623229" w:rsidP="000B24BA">
      <w:pPr>
        <w:spacing w:before="100" w:beforeAutospacing="1" w:after="100" w:afterAutospacing="1" w:line="360" w:lineRule="auto"/>
        <w:jc w:val="both"/>
        <w:rPr>
          <w:b/>
          <w:lang w:val="en-US"/>
        </w:rPr>
      </w:pPr>
      <w:r w:rsidRPr="00711640">
        <w:rPr>
          <w:b/>
          <w:lang w:val="en-US"/>
        </w:rPr>
        <w:t>2. Comprehensive Policy and Strategy for Children's Rights, Child and Adolescent Observatory, Reception and Processing Complaints</w:t>
      </w:r>
    </w:p>
    <w:p w:rsidR="00623229" w:rsidRPr="00711640" w:rsidRDefault="00623229" w:rsidP="000B24BA">
      <w:pPr>
        <w:spacing w:before="100" w:beforeAutospacing="1" w:after="100" w:afterAutospacing="1" w:line="360" w:lineRule="auto"/>
        <w:jc w:val="both"/>
        <w:rPr>
          <w:lang w:val="en-US"/>
        </w:rPr>
      </w:pPr>
      <w:r w:rsidRPr="00711640">
        <w:rPr>
          <w:b/>
          <w:lang w:val="en-US"/>
        </w:rPr>
        <w:t>a)</w:t>
      </w:r>
      <w:r w:rsidRPr="00711640">
        <w:rPr>
          <w:lang w:val="en-US"/>
        </w:rPr>
        <w:t xml:space="preserve"> At the initiative of the Cabo Verdean Institute for Children and Adolescents (ICCA) and the United Nations Joint Office in Cabo Verde, is under preparation the Policy for the Protection of Children and Adolescents in Cabo Verde, as well as its National Action Plan for the 2019/2020 biennium.</w:t>
      </w:r>
    </w:p>
    <w:p w:rsidR="00623229" w:rsidRPr="00711640" w:rsidRDefault="00623229" w:rsidP="000B24BA">
      <w:pPr>
        <w:spacing w:before="100" w:beforeAutospacing="1" w:after="100" w:afterAutospacing="1" w:line="360" w:lineRule="auto"/>
        <w:jc w:val="both"/>
        <w:rPr>
          <w:lang w:val="en-US"/>
        </w:rPr>
      </w:pPr>
      <w:r w:rsidRPr="00711640">
        <w:rPr>
          <w:b/>
          <w:lang w:val="en-US"/>
        </w:rPr>
        <w:t>b)</w:t>
      </w:r>
      <w:r w:rsidRPr="00711640">
        <w:rPr>
          <w:lang w:val="en-US"/>
        </w:rPr>
        <w:t xml:space="preserve"> In Article 73, the ECA establishes the creation within the National Commission for Human Rights and Citizenship (CNDHC), an</w:t>
      </w:r>
      <w:r w:rsidR="00B3277F">
        <w:rPr>
          <w:lang w:val="en-US"/>
        </w:rPr>
        <w:t>d</w:t>
      </w:r>
      <w:r w:rsidRPr="00711640">
        <w:rPr>
          <w:lang w:val="en-US"/>
        </w:rPr>
        <w:t xml:space="preserve"> Child and Adolescent Observatory, and it's in the implementation phase through the recruitment of a technician for the purpose.</w:t>
      </w:r>
    </w:p>
    <w:p w:rsidR="00623229" w:rsidRPr="00711640" w:rsidRDefault="00623229" w:rsidP="000B24BA">
      <w:pPr>
        <w:spacing w:before="100" w:beforeAutospacing="1" w:after="100" w:afterAutospacing="1" w:line="360" w:lineRule="auto"/>
        <w:jc w:val="both"/>
        <w:rPr>
          <w:lang w:val="en-US"/>
        </w:rPr>
      </w:pPr>
      <w:r w:rsidRPr="00711640">
        <w:rPr>
          <w:b/>
          <w:lang w:val="en-US"/>
        </w:rPr>
        <w:t>c)</w:t>
      </w:r>
      <w:r w:rsidRPr="00711640">
        <w:rPr>
          <w:lang w:val="en-US"/>
        </w:rPr>
        <w:t xml:space="preserve"> Some institutions that are part of the </w:t>
      </w:r>
      <w:r w:rsidR="00F075B6" w:rsidRPr="00711640">
        <w:rPr>
          <w:lang w:val="en-US"/>
        </w:rPr>
        <w:t>children’s</w:t>
      </w:r>
      <w:r w:rsidRPr="00711640">
        <w:rPr>
          <w:lang w:val="en-US"/>
        </w:rPr>
        <w:t xml:space="preserve"> rights protection system enshrined in Article 70 of the ECA receive and process complaints about child rights violations, namely: the Cabo Verdean Institute for Children and Adolescents (ICCA), The Public Prosecution, the Municipal Committees for the Defense of Children and Adolescents Rights and the National Commission </w:t>
      </w:r>
      <w:r w:rsidRPr="00711640">
        <w:rPr>
          <w:lang w:val="en-US"/>
        </w:rPr>
        <w:lastRenderedPageBreak/>
        <w:t>for Human Rights and Citizenship. The National Police (PN) also receives complaints about child rights violations.</w:t>
      </w:r>
    </w:p>
    <w:p w:rsidR="00623229" w:rsidRPr="00711640" w:rsidRDefault="00623229" w:rsidP="000B24BA">
      <w:pPr>
        <w:spacing w:before="100" w:beforeAutospacing="1" w:after="100" w:afterAutospacing="1" w:line="360" w:lineRule="auto"/>
        <w:jc w:val="both"/>
        <w:rPr>
          <w:lang w:val="en-US"/>
        </w:rPr>
      </w:pPr>
    </w:p>
    <w:p w:rsidR="00623229" w:rsidRPr="00711640" w:rsidRDefault="00623229" w:rsidP="000B24BA">
      <w:pPr>
        <w:spacing w:before="100" w:beforeAutospacing="1" w:after="100" w:afterAutospacing="1" w:line="360" w:lineRule="auto"/>
        <w:jc w:val="both"/>
        <w:rPr>
          <w:b/>
          <w:lang w:val="en-US"/>
        </w:rPr>
      </w:pPr>
      <w:r w:rsidRPr="00711640">
        <w:rPr>
          <w:b/>
          <w:lang w:val="en-US"/>
        </w:rPr>
        <w:t>3. Combating patriarchal attitudes and stereotypes concerning the roles of men and women that have negative impact on girls' right to non-discrimination, child marriage and genital mutilation of children in migrant communities</w:t>
      </w:r>
    </w:p>
    <w:p w:rsidR="00090909" w:rsidRPr="00711640" w:rsidRDefault="00623229" w:rsidP="000B24BA">
      <w:pPr>
        <w:spacing w:before="100" w:beforeAutospacing="1" w:after="100" w:afterAutospacing="1" w:line="360" w:lineRule="auto"/>
        <w:jc w:val="both"/>
        <w:rPr>
          <w:lang w:val="en-US"/>
        </w:rPr>
      </w:pPr>
      <w:r w:rsidRPr="00711640">
        <w:rPr>
          <w:lang w:val="en-US"/>
        </w:rPr>
        <w:t>The Cabo Verdean Institute for Gender Equality and Equity (ICIEG), in partnership with the Ministry of Education, has implemented the Equality Promoting Schools Project involving schools in the islands of Fogo, Sal and Urban Praia. The project, which developed and publicized television spots, aimed to train teachers to promote gender equality and combat gender-based violence (GBV) through classroom, school and educational community activities.</w:t>
      </w:r>
      <w:r w:rsidR="00090909" w:rsidRPr="00711640">
        <w:rPr>
          <w:lang w:val="en-US"/>
        </w:rPr>
        <w:t xml:space="preserve"> With regard to combating occupational segregation, the Ministry of Education has implemented measures such as the Study Programme for Entrepreneurship, with subject addresses gender issue from the point of view of prejudices about the nature of work based on gender and discrimination and inequality in the workplace. Despite efforts, stereotypes still persist, as well as a long work to combat occupational segregation.</w:t>
      </w:r>
    </w:p>
    <w:p w:rsidR="00090909" w:rsidRPr="00711640" w:rsidRDefault="00090909" w:rsidP="000B24BA">
      <w:pPr>
        <w:spacing w:before="100" w:beforeAutospacing="1" w:after="100" w:afterAutospacing="1" w:line="360" w:lineRule="auto"/>
        <w:jc w:val="both"/>
        <w:rPr>
          <w:lang w:val="en-US"/>
        </w:rPr>
      </w:pPr>
      <w:r w:rsidRPr="00711640">
        <w:rPr>
          <w:lang w:val="en-US"/>
        </w:rPr>
        <w:t>Female genital mutilation, although not a national culture practical, raises concerns, given the growing number of immigrants from countries where practice is part of the culture, it is or was legalized. There is some difficulty in identifying the situation due to the inhibition of reporting such occurrences. In Cabo Verde there is no specific crime in this sense, which in itself constitutes a gap, but falls within the scope of the crime of Gender-Based Violence, according to article 23, paragraph 2 of the Special Law Against Violence Based on Gender (</w:t>
      </w:r>
      <w:r w:rsidR="002561A6">
        <w:rPr>
          <w:lang w:val="en-US"/>
        </w:rPr>
        <w:t>Law No.</w:t>
      </w:r>
      <w:r w:rsidRPr="00711640">
        <w:rPr>
          <w:lang w:val="en-US"/>
        </w:rPr>
        <w:t xml:space="preserve">84 / VII / 2011), regarding common assault and simple homicide. The Second Action Plan and Social Inclusion of Immigrants (Resolution No. 3/2019), in force for the period 2018-2020, provides for a study on cultural practices and gender relations within the Immigrants communities. At the same time, the CNDHC recommends the broad debate on this practice and the adoption of preventive and intervention measures that guarantee the right of girls and women to physical and mental integrity, be it national or foreign. The CNDHC recommends supervising the exit and entry of the minor children of immigrants from the national territory, since civil society organizations have been alerting the sending of children to carry out genital mutilation in the </w:t>
      </w:r>
      <w:r w:rsidR="00045125" w:rsidRPr="00711640">
        <w:rPr>
          <w:lang w:val="en-US"/>
        </w:rPr>
        <w:t>parent’s</w:t>
      </w:r>
      <w:r w:rsidRPr="00711640">
        <w:rPr>
          <w:lang w:val="en-US"/>
        </w:rPr>
        <w:t xml:space="preserve"> country of origin.</w:t>
      </w:r>
    </w:p>
    <w:p w:rsidR="00090909" w:rsidRPr="00711640" w:rsidRDefault="00090909" w:rsidP="000B24BA">
      <w:pPr>
        <w:spacing w:before="100" w:beforeAutospacing="1" w:after="100" w:afterAutospacing="1" w:line="360" w:lineRule="auto"/>
        <w:jc w:val="both"/>
        <w:rPr>
          <w:lang w:val="en-US"/>
        </w:rPr>
      </w:pPr>
    </w:p>
    <w:p w:rsidR="00090909" w:rsidRPr="00711640" w:rsidRDefault="00090909" w:rsidP="000B24BA">
      <w:pPr>
        <w:spacing w:before="100" w:beforeAutospacing="1" w:after="100" w:afterAutospacing="1" w:line="360" w:lineRule="auto"/>
        <w:jc w:val="both"/>
        <w:rPr>
          <w:b/>
          <w:lang w:val="en-US"/>
        </w:rPr>
      </w:pPr>
      <w:r w:rsidRPr="00711640">
        <w:rPr>
          <w:b/>
          <w:lang w:val="en-US"/>
        </w:rPr>
        <w:t>4. Corporal punishment in the family and school</w:t>
      </w:r>
    </w:p>
    <w:p w:rsidR="00090909" w:rsidRPr="00711640" w:rsidRDefault="00090909" w:rsidP="000B24BA">
      <w:pPr>
        <w:spacing w:before="100" w:beforeAutospacing="1" w:after="100" w:afterAutospacing="1" w:line="360" w:lineRule="auto"/>
        <w:jc w:val="both"/>
        <w:rPr>
          <w:lang w:val="en-US"/>
        </w:rPr>
      </w:pPr>
      <w:r w:rsidRPr="00711640">
        <w:rPr>
          <w:lang w:val="en-US"/>
        </w:rPr>
        <w:t>The use of correctional corporal punishment against the child is still practical in the country, although there is a legal prohibition in this regard. The Civil Code prohibits corporal punishment (Article 128) and the Penal Code prohibits and punishes (Article 133), including both punishment at home and at school. With regard to corporal punishment and the correction power of parents, the ECA states that parents must always be aware of the children and adolescents right to education free of violence, corporal punishment, psychic offenses and other measures against dignity, which are inadmissible (Article 31). In turn, it provides guarantees for children who have suffered physical offenses to benefit from institutional reception programs (Article 124). As regards corporal punishment in schools, the ECA establishes that school policies and regulations must have a primarily pedagogical function, and it is expressly prohibited to apply physical or humiliating sanctions against children or adolescents, including stud</w:t>
      </w:r>
      <w:r w:rsidR="00045125" w:rsidRPr="00711640">
        <w:rPr>
          <w:lang w:val="en-US"/>
        </w:rPr>
        <w:t>ents who have become pregnant (</w:t>
      </w:r>
      <w:r w:rsidRPr="00711640">
        <w:rPr>
          <w:lang w:val="en-US"/>
        </w:rPr>
        <w:t>Articles 17 and 51). In terms of litigation, cases of corporal punishment are difficult to account for, as they are registered as common assault   cases or maltreatment, depending on frequency and severity.</w:t>
      </w:r>
    </w:p>
    <w:p w:rsidR="00090909" w:rsidRPr="00711640" w:rsidRDefault="00090909" w:rsidP="000B24BA">
      <w:pPr>
        <w:spacing w:before="100" w:beforeAutospacing="1" w:after="100" w:afterAutospacing="1" w:line="360" w:lineRule="auto"/>
        <w:jc w:val="both"/>
        <w:rPr>
          <w:lang w:val="en-US"/>
        </w:rPr>
      </w:pPr>
    </w:p>
    <w:p w:rsidR="00542E3D" w:rsidRPr="00711640" w:rsidRDefault="00090909" w:rsidP="000B24BA">
      <w:pPr>
        <w:spacing w:before="100" w:beforeAutospacing="1" w:after="100" w:afterAutospacing="1" w:line="360" w:lineRule="auto"/>
        <w:jc w:val="both"/>
        <w:rPr>
          <w:b/>
          <w:lang w:val="en-US"/>
        </w:rPr>
      </w:pPr>
      <w:r w:rsidRPr="00711640">
        <w:rPr>
          <w:b/>
          <w:lang w:val="en-US"/>
        </w:rPr>
        <w:t>5. Actions taken to promote in the family environment equal responsibility of mothers and fathers in raising their children and measures taken to support single-parent-families, monitoring of domestic violence situations and abuse</w:t>
      </w:r>
    </w:p>
    <w:p w:rsidR="007278B6" w:rsidRPr="00711640" w:rsidRDefault="007278B6" w:rsidP="000B24BA">
      <w:pPr>
        <w:spacing w:before="100" w:beforeAutospacing="1" w:after="100" w:afterAutospacing="1" w:line="360" w:lineRule="auto"/>
        <w:jc w:val="both"/>
        <w:rPr>
          <w:lang w:val="en-US"/>
        </w:rPr>
      </w:pPr>
      <w:r w:rsidRPr="00711640">
        <w:rPr>
          <w:lang w:val="en-US"/>
        </w:rPr>
        <w:t xml:space="preserve">In 2013, the CNDHC promoted the national campaign "Ami ê pai" (I am a father), instigating responsible parenthood, through community meetings in all islands, television spots and others means. Still with regard to parental responsibility, there have been no continuous actions aimed at raising awareness to </w:t>
      </w:r>
      <w:r w:rsidR="00542E3D" w:rsidRPr="00711640">
        <w:rPr>
          <w:lang w:val="en-US"/>
        </w:rPr>
        <w:t>disclose</w:t>
      </w:r>
      <w:r w:rsidRPr="00711640">
        <w:rPr>
          <w:lang w:val="en-US"/>
        </w:rPr>
        <w:t xml:space="preserve"> information that it's possible to request the Public Prosecutor, for free, to hold the parents responsible for their minor children in terms of child support or other rights or on the possibility to prosecute for the lack of these benefits, in accordance with article 284 of the Cabo Verdean Criminal Code.</w:t>
      </w:r>
    </w:p>
    <w:p w:rsidR="00E96CE0" w:rsidRPr="00711640" w:rsidRDefault="007278B6" w:rsidP="000B24BA">
      <w:pPr>
        <w:spacing w:before="100" w:beforeAutospacing="1" w:after="100" w:afterAutospacing="1" w:line="360" w:lineRule="auto"/>
        <w:jc w:val="both"/>
        <w:rPr>
          <w:lang w:val="en-US"/>
        </w:rPr>
      </w:pPr>
      <w:r w:rsidRPr="00711640">
        <w:rPr>
          <w:lang w:val="en-US"/>
        </w:rPr>
        <w:t xml:space="preserve">With regard to support for single-parent families, there are no specific measures targeted to this group. However, in the Government's "Single Social Inclusion Income" program, which aims to facilitate families to access basic conditions, </w:t>
      </w:r>
      <w:r w:rsidR="001257B0" w:rsidRPr="00711640">
        <w:rPr>
          <w:lang w:val="en-US"/>
        </w:rPr>
        <w:t xml:space="preserve">the </w:t>
      </w:r>
      <w:r w:rsidRPr="00711640">
        <w:rPr>
          <w:lang w:val="en-US"/>
        </w:rPr>
        <w:t>single-parent families fulfill priority requirements as potential beneficiaries of the program.</w:t>
      </w:r>
    </w:p>
    <w:p w:rsidR="00BC3B01" w:rsidRPr="00711640" w:rsidRDefault="00BC3B01" w:rsidP="000B24BA">
      <w:pPr>
        <w:spacing w:before="100" w:beforeAutospacing="1" w:after="100" w:afterAutospacing="1" w:line="360" w:lineRule="auto"/>
        <w:jc w:val="both"/>
        <w:rPr>
          <w:lang w:val="en-US"/>
        </w:rPr>
      </w:pPr>
      <w:r w:rsidRPr="00711640">
        <w:rPr>
          <w:lang w:val="en-US"/>
        </w:rPr>
        <w:t>With regard to domestic violence and abuse, the Cabo Verdean Institute for Children and Adolescents carries out free psychological counseling for children and young people between the ages of 8 and 17, as well as family counseling, and referral to other institutions the household members who need specialized institutional support, such as the Trindade Psychiatric Hospital, which has been providing treatm</w:t>
      </w:r>
      <w:r w:rsidR="00060777">
        <w:rPr>
          <w:lang w:val="en-US"/>
        </w:rPr>
        <w:t>ent for drug addiction to family</w:t>
      </w:r>
      <w:r w:rsidRPr="00711640">
        <w:rPr>
          <w:lang w:val="en-US"/>
        </w:rPr>
        <w:t xml:space="preserve"> members of minors at risk. It also promotes reintegration into the extended family environment when the violation of children's rights has taken place within the nuclear family, as well as the reintegration of minors into foster care.</w:t>
      </w:r>
    </w:p>
    <w:p w:rsidR="00BC3B01" w:rsidRPr="00711640" w:rsidRDefault="00BC3B01" w:rsidP="000B24BA">
      <w:pPr>
        <w:spacing w:before="100" w:beforeAutospacing="1" w:after="100" w:afterAutospacing="1" w:line="360" w:lineRule="auto"/>
        <w:jc w:val="both"/>
        <w:rPr>
          <w:lang w:val="en-US"/>
        </w:rPr>
      </w:pPr>
    </w:p>
    <w:p w:rsidR="00BC3B01" w:rsidRPr="00711640" w:rsidRDefault="00BC3B01" w:rsidP="000B24BA">
      <w:pPr>
        <w:spacing w:before="100" w:beforeAutospacing="1" w:after="100" w:afterAutospacing="1" w:line="360" w:lineRule="auto"/>
        <w:jc w:val="both"/>
        <w:rPr>
          <w:b/>
          <w:lang w:val="en-US"/>
        </w:rPr>
      </w:pPr>
      <w:r w:rsidRPr="00711640">
        <w:rPr>
          <w:b/>
          <w:lang w:val="en-US"/>
        </w:rPr>
        <w:t>6. Confidential child complaint mechanisms</w:t>
      </w:r>
    </w:p>
    <w:p w:rsidR="00BC3B01" w:rsidRPr="00711640" w:rsidRDefault="00BC3B01" w:rsidP="000B24BA">
      <w:pPr>
        <w:spacing w:before="100" w:beforeAutospacing="1" w:after="100" w:afterAutospacing="1" w:line="360" w:lineRule="auto"/>
        <w:jc w:val="both"/>
        <w:rPr>
          <w:lang w:val="en-US"/>
        </w:rPr>
      </w:pPr>
      <w:r w:rsidRPr="00711640">
        <w:rPr>
          <w:lang w:val="en-US"/>
        </w:rPr>
        <w:t>There are no specific mechanisms for children to make complaints, and these may use the Cabo Verdean Institute for Children and Adolescents, or as soon as they turn 16, to the Public Prosecutor, according to article 104A of the Criminal Code, referring to right of complaint. However, in 2018 the CNDHC issued a recommendation to the Government for the ratification of the Optional Protocol on a Communications Procedure.</w:t>
      </w:r>
    </w:p>
    <w:p w:rsidR="00711640" w:rsidRPr="00711640" w:rsidRDefault="00711640" w:rsidP="000B24BA">
      <w:pPr>
        <w:spacing w:before="100" w:beforeAutospacing="1" w:after="100" w:afterAutospacing="1" w:line="360" w:lineRule="auto"/>
        <w:jc w:val="both"/>
        <w:rPr>
          <w:lang w:val="en-US"/>
        </w:rPr>
      </w:pPr>
    </w:p>
    <w:p w:rsidR="00BC3B01" w:rsidRPr="00711640" w:rsidRDefault="00BC3B01" w:rsidP="000B24BA">
      <w:pPr>
        <w:spacing w:before="100" w:beforeAutospacing="1" w:after="100" w:afterAutospacing="1" w:line="360" w:lineRule="auto"/>
        <w:jc w:val="both"/>
        <w:rPr>
          <w:b/>
          <w:lang w:val="en-US"/>
        </w:rPr>
      </w:pPr>
      <w:r w:rsidRPr="00711640">
        <w:rPr>
          <w:b/>
          <w:lang w:val="en-US"/>
        </w:rPr>
        <w:t>7. Perinatal infections, anaemia, acute respiratory infections, diarrheal diseases, anaemia of pregnant women, sexual and reproductive health education, teenage pregnancies</w:t>
      </w:r>
    </w:p>
    <w:p w:rsidR="00BC3B01" w:rsidRPr="00711640" w:rsidRDefault="00BC3B01" w:rsidP="000B24BA">
      <w:pPr>
        <w:spacing w:before="100" w:beforeAutospacing="1" w:after="100" w:afterAutospacing="1" w:line="360" w:lineRule="auto"/>
        <w:jc w:val="both"/>
        <w:rPr>
          <w:lang w:val="en-US"/>
        </w:rPr>
      </w:pPr>
      <w:r w:rsidRPr="00711640">
        <w:rPr>
          <w:lang w:val="en-US"/>
        </w:rPr>
        <w:t>With regard to the prevention of perinatal infections, the Government has adopted a series of measures, namely the acquisition of essential medicines for prevention and supply of the Hospitals and Health Centers; the strengthening of tetanus vaccination for the prevention of maternal and neonatal morbidity; the development of protocols for basic obstetric and neonatal care and emergency care; the training of technicians in prenatal care; obstetric and neonatal basic and emergency care are part of the prevention and treatment of perinatal infections in the mother and newborn.</w:t>
      </w:r>
    </w:p>
    <w:p w:rsidR="00BC3B01" w:rsidRPr="00711640" w:rsidRDefault="00BC3B01" w:rsidP="000B24BA">
      <w:pPr>
        <w:spacing w:before="100" w:beforeAutospacing="1" w:after="100" w:afterAutospacing="1" w:line="360" w:lineRule="auto"/>
        <w:jc w:val="both"/>
        <w:rPr>
          <w:lang w:val="en-US"/>
        </w:rPr>
      </w:pPr>
      <w:r w:rsidRPr="00711640">
        <w:rPr>
          <w:lang w:val="en-US"/>
        </w:rPr>
        <w:t>The Government has also adopted measures aimed at combating anaemia in children under 5 and pregnant women, namely: creation of iron supplementation protocols; annual deworming of pre-school children; iron and folic acid supplementation for pregnant women and postpartum women;</w:t>
      </w:r>
    </w:p>
    <w:p w:rsidR="00BC3B01" w:rsidRPr="00711640" w:rsidRDefault="00BC3B01" w:rsidP="000B24BA">
      <w:pPr>
        <w:spacing w:before="100" w:beforeAutospacing="1" w:after="100" w:afterAutospacing="1" w:line="360" w:lineRule="auto"/>
        <w:jc w:val="both"/>
        <w:rPr>
          <w:lang w:val="en-US"/>
        </w:rPr>
      </w:pPr>
      <w:r w:rsidRPr="00711640">
        <w:rPr>
          <w:lang w:val="en-US"/>
        </w:rPr>
        <w:t>With regard to the Sexual and Reproductive Health services, there is the governmental intention of promoting gratuity, expanding and promoting access for both women and men. Most of the services are provided free of charge to the entire population under the Primary Care Package of Primary Health Care and with integrated care for childhood illnesses. However, given the substantial number of early pregnancies, the CNDHC recommends the Government rethink the measures adopted in this regard.</w:t>
      </w:r>
    </w:p>
    <w:p w:rsidR="004F64C3" w:rsidRPr="00711640" w:rsidRDefault="004F64C3" w:rsidP="000B24BA">
      <w:pPr>
        <w:spacing w:before="100" w:beforeAutospacing="1" w:after="100" w:afterAutospacing="1" w:line="360" w:lineRule="auto"/>
        <w:jc w:val="both"/>
        <w:rPr>
          <w:lang w:val="en-US"/>
        </w:rPr>
      </w:pPr>
      <w:r w:rsidRPr="00711640">
        <w:rPr>
          <w:lang w:val="en-US"/>
        </w:rPr>
        <w:t>Pregnant women have free access to Sexual and Reproductive Health services, including prenatal HIV testing, pre and postnatal care. On the other hand, there are evidence that people in rural areas still find difficult in the access to sexual and reproductive health, and even more access to consultations with specialists in all health facilities. In spite of the efforts, it is verified that the programs directed to the Sexual and Reproductive Health have not yet achieved an action that reaches the reality of the situation of the people, citing here the gaps in the service, with lack in the provision of information and guidelines; difficulty in marking and conducting exams.</w:t>
      </w:r>
    </w:p>
    <w:p w:rsidR="00711640" w:rsidRPr="00711640" w:rsidRDefault="00711640" w:rsidP="000B24BA">
      <w:pPr>
        <w:spacing w:before="100" w:beforeAutospacing="1" w:after="100" w:afterAutospacing="1" w:line="360" w:lineRule="auto"/>
        <w:jc w:val="both"/>
        <w:rPr>
          <w:lang w:val="en-US"/>
        </w:rPr>
      </w:pPr>
    </w:p>
    <w:p w:rsidR="004F64C3" w:rsidRPr="00711640" w:rsidRDefault="004F64C3" w:rsidP="000B24BA">
      <w:pPr>
        <w:spacing w:before="100" w:beforeAutospacing="1" w:after="100" w:afterAutospacing="1" w:line="360" w:lineRule="auto"/>
        <w:jc w:val="both"/>
        <w:rPr>
          <w:b/>
          <w:lang w:val="en-US"/>
        </w:rPr>
      </w:pPr>
      <w:r w:rsidRPr="00711640">
        <w:rPr>
          <w:b/>
          <w:lang w:val="en-US"/>
        </w:rPr>
        <w:t>10. Child Labour</w:t>
      </w:r>
    </w:p>
    <w:p w:rsidR="004F64C3" w:rsidRPr="00711640" w:rsidRDefault="004F64C3" w:rsidP="000B24BA">
      <w:pPr>
        <w:spacing w:before="100" w:beforeAutospacing="1" w:after="100" w:afterAutospacing="1" w:line="360" w:lineRule="auto"/>
        <w:jc w:val="both"/>
        <w:rPr>
          <w:lang w:val="en-US"/>
        </w:rPr>
      </w:pPr>
      <w:r w:rsidRPr="00711640">
        <w:rPr>
          <w:lang w:val="en-US"/>
        </w:rPr>
        <w:t>Article 261 of the Labour Code (CL) and 61 of the Statute of the Child and Adolescent (ECA) establish the minimum age for the paid work in 15 years, and the conditions of work in the case of minors are set out in article 265 of the Labour Code. Cabo Verde has been adopting an articulated set of legislative and institutional measures aimed at combating child labour. In Articles 60 to 68, the ECA defined protection measures for child labour and in 2016 the List of Dangerous Work for Children and Adolescents (Law No. 113 / VIII / 2016) entered into force. The National Committee for the Prevention and Combating of Child Labour (2013) - PETI and the National Action Plan for the Prevention and Eradication of Child Labour - PANPETI (Resolution No. 43/2014) was created. In spite of the legislative measures adopted, there are still situations of street vendor children who carry out the activity unaccompanied; children working in agriculture, thus compromising their school performance, physical well-being and social interaction; children accompanying their parents or other relatives in the fishing effort. The CNDHC recommends harmonizing national legislation with the Convention on the Rights of the Child, aimed at combating child labour more effectively.</w:t>
      </w:r>
    </w:p>
    <w:p w:rsidR="004F64C3" w:rsidRPr="00711640" w:rsidRDefault="004F64C3" w:rsidP="000B24BA">
      <w:pPr>
        <w:spacing w:before="100" w:beforeAutospacing="1" w:after="100" w:afterAutospacing="1" w:line="360" w:lineRule="auto"/>
        <w:jc w:val="both"/>
        <w:rPr>
          <w:lang w:val="en-US"/>
        </w:rPr>
      </w:pPr>
    </w:p>
    <w:p w:rsidR="004F64C3" w:rsidRPr="00711640" w:rsidRDefault="004F64C3" w:rsidP="000B24BA">
      <w:pPr>
        <w:spacing w:before="100" w:beforeAutospacing="1" w:after="100" w:afterAutospacing="1" w:line="360" w:lineRule="auto"/>
        <w:jc w:val="both"/>
        <w:rPr>
          <w:b/>
          <w:lang w:val="en-US"/>
        </w:rPr>
      </w:pPr>
      <w:r w:rsidRPr="00711640">
        <w:rPr>
          <w:b/>
          <w:lang w:val="en-US"/>
        </w:rPr>
        <w:t>11. Measures taken to prohibit and criminalize the use, procurement or offering of children under 18 years of age for prostitution or pornographic purposes</w:t>
      </w:r>
    </w:p>
    <w:p w:rsidR="004F64C3" w:rsidRPr="00711640" w:rsidRDefault="004F64C3" w:rsidP="000B24BA">
      <w:pPr>
        <w:spacing w:before="100" w:beforeAutospacing="1" w:after="100" w:afterAutospacing="1" w:line="360" w:lineRule="auto"/>
        <w:jc w:val="both"/>
        <w:rPr>
          <w:lang w:val="en-US"/>
        </w:rPr>
      </w:pPr>
      <w:r w:rsidRPr="00711640">
        <w:rPr>
          <w:lang w:val="en-US"/>
        </w:rPr>
        <w:t>The Criminal Code revision has strengthened the legal framework for combating violence against children by maintaining criminal offenses related to sexual offenses and by adding Article 145A which punishes the use of child for prostitution purposes. In addition, it aggravates the majority of sentences for sexual offenses, increases the age of article 145 on the sexual abuse of children between 14 and 16 years of age for children between the ages of 14 and 18 and revises articles 148 and 149 to criminalize the facilitation, or benefit, of the prostitution of children aged 16 to 18 years. It typifies trafficking in persons, including minors, for the sexual exploitation purpose (Article 271a). However, it does not yet criminalize cybercrime, which uses information and communication technologies to commit sexual crimes against minors. The drafting of a draft law on the sexual abuse and exploitation of children and adolescents is underway, which, among other matters, covers cybercrime. The National List of Dangerous Child Labour adopted in 2016 applies to both children under the age of 16 and those under the age of 18, depending on the type of work, including, among the worst forms of child labour, the use, procuring or prostitution, the production of pornography or pornographic spectacles. Networks and Committees have been developed with a view to working to combat this scourge. In 2014, the National Committee to Combat Abuse and Sexual Exploitation of Children and Adolescents (Committee for Children and Adolescents) was created to advise and coordinate public and private activities and services with intervention in this field. There is also an Interinstitutional Network on Prevention, Protection and Fight against Sexual Abuse and Exploitation of Children and Adolescents, created in 2007, coordinated by ICCA and involving several other institutions. The National Plan for Combating Sexual Violence against Children and Adolescents - 2017-2019, which follows the two previous plans to combat sexual violence, respectively 2005 and 2010, and the National Plan against Trafficking in Persons (Resolution 40/2018), valid for a period of 3 years from the date of its publication.</w:t>
      </w:r>
    </w:p>
    <w:p w:rsidR="005D5F9D" w:rsidRPr="00711640" w:rsidRDefault="005D5F9D" w:rsidP="000B24BA">
      <w:pPr>
        <w:spacing w:before="100" w:beforeAutospacing="1" w:after="100" w:afterAutospacing="1" w:line="360" w:lineRule="auto"/>
        <w:jc w:val="both"/>
        <w:rPr>
          <w:lang w:val="en-US"/>
        </w:rPr>
      </w:pPr>
    </w:p>
    <w:p w:rsidR="005D5F9D" w:rsidRPr="00711640" w:rsidRDefault="005D5F9D" w:rsidP="000B24BA">
      <w:pPr>
        <w:spacing w:before="100" w:beforeAutospacing="1" w:after="100" w:afterAutospacing="1" w:line="360" w:lineRule="auto"/>
        <w:jc w:val="both"/>
        <w:rPr>
          <w:b/>
          <w:lang w:val="en-US"/>
        </w:rPr>
      </w:pPr>
      <w:r w:rsidRPr="00711640">
        <w:rPr>
          <w:b/>
          <w:lang w:val="en-US"/>
        </w:rPr>
        <w:t>12. Juvenile justice: extrajudicial and non-custodial measures adopted</w:t>
      </w:r>
    </w:p>
    <w:p w:rsidR="005D5F9D" w:rsidRPr="00711640" w:rsidRDefault="005D5F9D" w:rsidP="000B24BA">
      <w:pPr>
        <w:spacing w:before="100" w:beforeAutospacing="1" w:after="100" w:afterAutospacing="1" w:line="360" w:lineRule="auto"/>
        <w:jc w:val="both"/>
        <w:rPr>
          <w:lang w:val="en-US"/>
        </w:rPr>
      </w:pPr>
      <w:r w:rsidRPr="00711640">
        <w:rPr>
          <w:lang w:val="en-US"/>
        </w:rPr>
        <w:t>In terms of the legal framework, the Criminal Code maintains that children under 16 years are not subject to prosecution (Article 17) and the possibility of freezing the</w:t>
      </w:r>
      <w:r w:rsidR="002541E8" w:rsidRPr="00711640">
        <w:rPr>
          <w:lang w:val="en-US"/>
        </w:rPr>
        <w:t xml:space="preserve"> sentence for minors under the </w:t>
      </w:r>
      <w:r w:rsidRPr="00711640">
        <w:rPr>
          <w:lang w:val="en-US"/>
        </w:rPr>
        <w:t>18 years at the time of practice (article 84). Legislative Decree No. 2/2006, of November 27, which came into force in February 2007, remains unchanged, providing for various socio-educational tutoring measures applicable to minors who have committed acts comparable to crime. The measures are: admonition, reparation to the offended, community</w:t>
      </w:r>
      <w:r w:rsidR="007D0A85" w:rsidRPr="00711640">
        <w:rPr>
          <w:lang w:val="en-US"/>
        </w:rPr>
        <w:t xml:space="preserve"> service</w:t>
      </w:r>
      <w:r w:rsidRPr="00711640">
        <w:rPr>
          <w:lang w:val="en-US"/>
        </w:rPr>
        <w:t>, imposition of rules of conduct, imposition of obligations and, in the last case, internment. It is clear that priority has been given to other measures than internment, which applies only in cases of high severity where other measures do not justify it.</w:t>
      </w:r>
    </w:p>
    <w:p w:rsidR="005D5F9D" w:rsidRPr="00711640" w:rsidRDefault="005D5F9D" w:rsidP="000B24BA">
      <w:pPr>
        <w:spacing w:before="100" w:beforeAutospacing="1" w:after="100" w:afterAutospacing="1" w:line="360" w:lineRule="auto"/>
        <w:jc w:val="both"/>
        <w:rPr>
          <w:lang w:val="en-US"/>
        </w:rPr>
      </w:pPr>
      <w:r w:rsidRPr="00711640">
        <w:rPr>
          <w:lang w:val="en-US"/>
        </w:rPr>
        <w:t>In order to ensure that child inmates are separated from adults, both the Regulation for Praia's Central Prison and the Enforcement of Amended Deprivation Act in 2018 provide for the separation of prisoners aged 16 to 21 from other inmates. According to information gathered by the CNDHC during the visits to the country's prisons in 2017, in relation to this separation, the Praia and São Vicente Central Prisons are able to comply with the law and comply with the legal requirements. However, those in Fogo and Sal are partially compliant (only separate cells), while in Santo Antão does not have the conditions to be in conformity. It remains to be seen that policy measures to combat juvenile crime have not had the desired effect. There is still a strong interinstitutional role in a systematic way, encompassing both family, social, cultural and economic factors. It is also pointed out the lack of specific programs for young people serving prison sentences. With regard to the Orlando Pantera Socio-Educational Center, an institution that welcomes minors of both sexes in conflict with the law, the CNDHC recommends a systematic work to reintegrate the inmates by promoting contact between the youth and family, recreational activities and the development of personal and social skills, as well as the promotion of vocational training.</w:t>
      </w:r>
    </w:p>
    <w:p w:rsidR="005D5F9D" w:rsidRPr="00711640" w:rsidRDefault="005D5F9D" w:rsidP="000B24BA">
      <w:pPr>
        <w:spacing w:before="100" w:beforeAutospacing="1" w:after="100" w:afterAutospacing="1" w:line="360" w:lineRule="auto"/>
        <w:jc w:val="both"/>
        <w:rPr>
          <w:lang w:val="en-US"/>
        </w:rPr>
      </w:pPr>
    </w:p>
    <w:p w:rsidR="005D5F9D" w:rsidRPr="00711640" w:rsidRDefault="005D5F9D" w:rsidP="000B24BA">
      <w:pPr>
        <w:spacing w:before="100" w:beforeAutospacing="1" w:after="100" w:afterAutospacing="1" w:line="360" w:lineRule="auto"/>
        <w:jc w:val="both"/>
        <w:rPr>
          <w:b/>
          <w:lang w:val="en-US"/>
        </w:rPr>
      </w:pPr>
      <w:r w:rsidRPr="00711640">
        <w:rPr>
          <w:b/>
          <w:lang w:val="en-US"/>
        </w:rPr>
        <w:t>20. Other priority areas for the implementation of the Convention on the Rights of the Child</w:t>
      </w:r>
    </w:p>
    <w:p w:rsidR="005D5F9D" w:rsidRPr="00711640" w:rsidRDefault="005D5F9D" w:rsidP="000B24BA">
      <w:pPr>
        <w:spacing w:before="100" w:beforeAutospacing="1" w:after="100" w:afterAutospacing="1" w:line="360" w:lineRule="auto"/>
        <w:jc w:val="both"/>
        <w:rPr>
          <w:b/>
          <w:lang w:val="en-US"/>
        </w:rPr>
      </w:pPr>
      <w:r w:rsidRPr="00711640">
        <w:rPr>
          <w:b/>
          <w:lang w:val="en-US"/>
        </w:rPr>
        <w:t>Use of alcohol by children and adolescents</w:t>
      </w:r>
    </w:p>
    <w:p w:rsidR="005D5F9D" w:rsidRPr="00711640" w:rsidRDefault="005D5F9D" w:rsidP="000B24BA">
      <w:pPr>
        <w:spacing w:before="100" w:beforeAutospacing="1" w:after="100" w:afterAutospacing="1" w:line="360" w:lineRule="auto"/>
        <w:jc w:val="both"/>
        <w:rPr>
          <w:lang w:val="en-US"/>
        </w:rPr>
      </w:pPr>
      <w:r w:rsidRPr="00711640">
        <w:rPr>
          <w:lang w:val="en-US"/>
        </w:rPr>
        <w:t xml:space="preserve">The lack of application of the Law 27 / V / 97, provisions which prohibits the sale, offer or supply, in any way, of alcoholic beverages to persons under 18 years of age, as well as favoring, facilitating or inciting of consumption and prohibits their entry into premises intended for sale or supply, unless accompanied by family members or officials, is a concern. </w:t>
      </w:r>
    </w:p>
    <w:p w:rsidR="005D5F9D" w:rsidRPr="00711640" w:rsidRDefault="005D5F9D" w:rsidP="000B24BA">
      <w:pPr>
        <w:spacing w:before="100" w:beforeAutospacing="1" w:after="100" w:afterAutospacing="1" w:line="360" w:lineRule="auto"/>
        <w:jc w:val="both"/>
        <w:rPr>
          <w:lang w:val="en-US"/>
        </w:rPr>
      </w:pPr>
      <w:r w:rsidRPr="00711640">
        <w:rPr>
          <w:lang w:val="en-US"/>
        </w:rPr>
        <w:t>Surveillance of sites is not carried out, which favors the exposure of children in these places, which are clear scenarios for the possibility of sexual exploitation, consumption of other drugs, among others. However, Law No. 51 / IX / 2019, which establishes the distribution, sale and consumption of alcoholic beverages, reinforces preventive measures and enforcement mechanisms in this area.</w:t>
      </w:r>
    </w:p>
    <w:p w:rsidR="005D5F9D" w:rsidRPr="00711640" w:rsidRDefault="005D5F9D" w:rsidP="000B24BA">
      <w:pPr>
        <w:spacing w:before="100" w:beforeAutospacing="1" w:after="100" w:afterAutospacing="1" w:line="360" w:lineRule="auto"/>
        <w:jc w:val="both"/>
        <w:rPr>
          <w:b/>
          <w:lang w:val="en-US"/>
        </w:rPr>
      </w:pPr>
      <w:r w:rsidRPr="00711640">
        <w:rPr>
          <w:b/>
          <w:lang w:val="en-US"/>
        </w:rPr>
        <w:t>Disappearance of children and adolescents</w:t>
      </w:r>
    </w:p>
    <w:p w:rsidR="005D5F9D" w:rsidRPr="00711640" w:rsidRDefault="005D5F9D" w:rsidP="000B24BA">
      <w:pPr>
        <w:spacing w:before="100" w:beforeAutospacing="1" w:after="100" w:afterAutospacing="1" w:line="360" w:lineRule="auto"/>
        <w:jc w:val="both"/>
        <w:rPr>
          <w:lang w:val="en-US"/>
        </w:rPr>
      </w:pPr>
      <w:r w:rsidRPr="00711640">
        <w:rPr>
          <w:lang w:val="en-US"/>
        </w:rPr>
        <w:t>ECA points out that it is the State's duty to protect children and adolescents against unauthorized and illegal movement in the national territory or to leave the country (Article 32), a form of prevention also against trafficking in minors. The criminalization of trafficking in persons is recent, and by 2016, with a year in force, there had been no case of trafficking or kidnapping of minors, although 4 cases of missing children were under investigation by the Judiciary Police in 2018. The disappearance of children demand</w:t>
      </w:r>
      <w:r w:rsidR="00711640" w:rsidRPr="00711640">
        <w:rPr>
          <w:lang w:val="en-US"/>
        </w:rPr>
        <w:t>s</w:t>
      </w:r>
      <w:r w:rsidRPr="00711640">
        <w:rPr>
          <w:lang w:val="en-US"/>
        </w:rPr>
        <w:t xml:space="preserve"> some positioning by the national authorities, since up to the present date the whereabouts of minors and the cause of their disappearance are unknown.</w:t>
      </w:r>
    </w:p>
    <w:p w:rsidR="005D5F9D" w:rsidRPr="00711640" w:rsidRDefault="005D5F9D" w:rsidP="000B24BA">
      <w:pPr>
        <w:spacing w:before="100" w:beforeAutospacing="1" w:after="100" w:afterAutospacing="1" w:line="360" w:lineRule="auto"/>
        <w:jc w:val="both"/>
        <w:rPr>
          <w:b/>
          <w:lang w:val="en-US"/>
        </w:rPr>
      </w:pPr>
      <w:r w:rsidRPr="00711640">
        <w:rPr>
          <w:b/>
          <w:lang w:val="en-US"/>
        </w:rPr>
        <w:t>Children and adolescents on the street</w:t>
      </w:r>
    </w:p>
    <w:p w:rsidR="005D5F9D" w:rsidRPr="00711640" w:rsidRDefault="005D5F9D" w:rsidP="000B24BA">
      <w:pPr>
        <w:spacing w:before="100" w:beforeAutospacing="1" w:after="100" w:afterAutospacing="1" w:line="360" w:lineRule="auto"/>
        <w:jc w:val="both"/>
        <w:rPr>
          <w:lang w:val="en-US"/>
        </w:rPr>
      </w:pPr>
      <w:r w:rsidRPr="00711640">
        <w:rPr>
          <w:lang w:val="en-US"/>
        </w:rPr>
        <w:t xml:space="preserve">In the Cabo Verdean urban centers, children have been staying in commercial establishments for long hours, demanding food. We identify the emerging phenomenon of </w:t>
      </w:r>
      <w:r w:rsidR="00303911" w:rsidRPr="00303911">
        <w:rPr>
          <w:lang w:val="en-US"/>
        </w:rPr>
        <w:t>immigrant</w:t>
      </w:r>
      <w:r w:rsidR="00303911" w:rsidRPr="00303911">
        <w:rPr>
          <w:color w:val="FF0000"/>
          <w:lang w:val="en-US"/>
        </w:rPr>
        <w:t xml:space="preserve"> </w:t>
      </w:r>
      <w:r w:rsidRPr="00711640">
        <w:rPr>
          <w:lang w:val="en-US"/>
        </w:rPr>
        <w:t xml:space="preserve">street children, </w:t>
      </w:r>
      <w:r w:rsidR="007354A3">
        <w:rPr>
          <w:lang w:val="en-US"/>
        </w:rPr>
        <w:t xml:space="preserve">especially children of immigrants, </w:t>
      </w:r>
      <w:r w:rsidRPr="00711640">
        <w:rPr>
          <w:lang w:val="en-US"/>
        </w:rPr>
        <w:t>in the capital of the country Praia and in the City of Mindelo. These situations require measures by the competent authorities, since they place children at risk, namely the school dropout, use of alcohol and other drugs, sexual abuse, among others.</w:t>
      </w:r>
    </w:p>
    <w:p w:rsidR="005D5F9D" w:rsidRPr="00711640" w:rsidRDefault="005D5F9D" w:rsidP="000B24BA">
      <w:pPr>
        <w:spacing w:before="100" w:beforeAutospacing="1" w:after="100" w:afterAutospacing="1" w:line="360" w:lineRule="auto"/>
        <w:jc w:val="both"/>
        <w:rPr>
          <w:b/>
          <w:lang w:val="en-US"/>
        </w:rPr>
      </w:pPr>
      <w:r w:rsidRPr="00711640">
        <w:rPr>
          <w:b/>
          <w:lang w:val="en-US"/>
        </w:rPr>
        <w:t>Mental health of children and adolescents</w:t>
      </w:r>
    </w:p>
    <w:p w:rsidR="005A2D9B" w:rsidRPr="00711640" w:rsidRDefault="005A2D9B" w:rsidP="000B24BA">
      <w:pPr>
        <w:spacing w:before="100" w:beforeAutospacing="1" w:after="100" w:afterAutospacing="1" w:line="360" w:lineRule="auto"/>
        <w:jc w:val="both"/>
        <w:rPr>
          <w:lang w:val="en-US"/>
        </w:rPr>
      </w:pPr>
      <w:r w:rsidRPr="00711640">
        <w:rPr>
          <w:lang w:val="en-US"/>
        </w:rPr>
        <w:t>With regard to the mental health of children and adolescents, there are shortcomings that undermine the full realization of this right enshrined in Article 24 of the Convention on the Rights of the Child, namely: the lack of mental health servic</w:t>
      </w:r>
      <w:r w:rsidR="000B24BA" w:rsidRPr="00711640">
        <w:rPr>
          <w:lang w:val="en-US"/>
        </w:rPr>
        <w:t>es aimed at this target public,</w:t>
      </w:r>
      <w:r w:rsidRPr="00711640">
        <w:rPr>
          <w:lang w:val="en-US"/>
        </w:rPr>
        <w:t xml:space="preserve"> they are taken care of in the services for adults at the health centers and hospitals. The CNDHC recommends the mobilization by the Government of specialists in pediatric psychology and pediatric psychiatry, thereby reducing cases of ill children without diagnosis and treatment. It is also urgent to make available specific psychotropic drugs for children, since these have been making use of medicines for adults adapted to the needs of children.</w:t>
      </w:r>
    </w:p>
    <w:sectPr w:rsidR="005A2D9B" w:rsidRPr="00711640" w:rsidSect="00046FD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2D6" w:rsidRDefault="003A42D6" w:rsidP="001237AA">
      <w:pPr>
        <w:spacing w:after="0" w:line="240" w:lineRule="auto"/>
      </w:pPr>
      <w:r>
        <w:separator/>
      </w:r>
    </w:p>
  </w:endnote>
  <w:endnote w:type="continuationSeparator" w:id="0">
    <w:p w:rsidR="003A42D6" w:rsidRDefault="003A42D6" w:rsidP="0012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741" w:rsidRDefault="00CF3741" w:rsidP="00CF3741">
    <w:pPr>
      <w:pStyle w:val="Footer"/>
      <w:jc w:val="center"/>
      <w:rPr>
        <w:sz w:val="16"/>
        <w:szCs w:val="16"/>
      </w:rPr>
    </w:pPr>
  </w:p>
  <w:p w:rsidR="00CF3741" w:rsidRPr="003A3EB0" w:rsidRDefault="00CF3741" w:rsidP="00CF3741">
    <w:pPr>
      <w:pStyle w:val="Footer"/>
      <w:jc w:val="center"/>
      <w:rPr>
        <w:sz w:val="18"/>
        <w:szCs w:val="18"/>
      </w:rPr>
    </w:pPr>
    <w:r w:rsidRPr="009A5CDF">
      <w:rPr>
        <w:noProof/>
        <w:sz w:val="18"/>
        <w:szCs w:val="18"/>
        <w:lang w:val="en-GB" w:eastAsia="en-GB"/>
      </w:rPr>
      <mc:AlternateContent>
        <mc:Choice Requires="wps">
          <w:drawing>
            <wp:anchor distT="4294967295" distB="4294967295" distL="114300" distR="114300" simplePos="0" relativeHeight="251664384" behindDoc="0" locked="0" layoutInCell="1" allowOverlap="1" wp14:anchorId="3623C66B" wp14:editId="157FB836">
              <wp:simplePos x="0" y="0"/>
              <wp:positionH relativeFrom="column">
                <wp:posOffset>0</wp:posOffset>
              </wp:positionH>
              <wp:positionV relativeFrom="paragraph">
                <wp:posOffset>5079</wp:posOffset>
              </wp:positionV>
              <wp:extent cx="5372100" cy="0"/>
              <wp:effectExtent l="0" t="0" r="19050" b="19050"/>
              <wp:wrapNone/>
              <wp:docPr id="6" name="Conexão recta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72100" cy="0"/>
                      </a:xfrm>
                      <a:prstGeom prst="line">
                        <a:avLst/>
                      </a:prstGeom>
                      <a:noFill/>
                      <a:ln w="12700" cap="flat" cmpd="sng" algn="ctr">
                        <a:solidFill>
                          <a:srgbClr val="0070C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9A76EC2" id="Conexão recta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pt" to="42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" strokecolor="#0070c0" strokeweight="1pt">
              <o:lock v:ext="edit" shapetype="f"/>
            </v:lin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5FCAB214" wp14:editId="7E1E8786">
              <wp:simplePos x="0" y="0"/>
              <wp:positionH relativeFrom="column">
                <wp:posOffset>1080135</wp:posOffset>
              </wp:positionH>
              <wp:positionV relativeFrom="paragraph">
                <wp:posOffset>9700895</wp:posOffset>
              </wp:positionV>
              <wp:extent cx="5363845" cy="635"/>
              <wp:effectExtent l="0" t="19050" r="8255" b="37465"/>
              <wp:wrapNone/>
              <wp:docPr id="3" name="Conexão recta unidireccional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845" cy="635"/>
                      </a:xfrm>
                      <a:prstGeom prst="straightConnector1">
                        <a:avLst/>
                      </a:prstGeom>
                      <a:noFill/>
                      <a:ln w="38100" cmpd="sng">
                        <a:solidFill>
                          <a:srgbClr val="0070C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3503FA" id="_x0000_t32" coordsize="21600,21600" o:spt="32" o:oned="t" path="m,l21600,21600e" filled="f">
              <v:path arrowok="t" fillok="f" o:connecttype="none"/>
              <o:lock v:ext="edit" shapetype="t"/>
            </v:shapetype>
            <v:shape id="Conexão recta unidireccional 3" o:spid="_x0000_s1026" type="#_x0000_t32" style="position:absolute;margin-left:85.05pt;margin-top:763.85pt;width:422.3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" strokecolor="#0070c0" strokeweight="3pt"/>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74420CD9" wp14:editId="24F3D3B3">
              <wp:simplePos x="0" y="0"/>
              <wp:positionH relativeFrom="column">
                <wp:posOffset>1080135</wp:posOffset>
              </wp:positionH>
              <wp:positionV relativeFrom="paragraph">
                <wp:posOffset>9700895</wp:posOffset>
              </wp:positionV>
              <wp:extent cx="5363845" cy="635"/>
              <wp:effectExtent l="0" t="19050" r="8255" b="37465"/>
              <wp:wrapNone/>
              <wp:docPr id="2" name="Conexão recta unidireccional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845" cy="635"/>
                      </a:xfrm>
                      <a:prstGeom prst="straightConnector1">
                        <a:avLst/>
                      </a:prstGeom>
                      <a:noFill/>
                      <a:ln w="38100" cmpd="sng">
                        <a:solidFill>
                          <a:srgbClr val="0070C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8764C0" id="Conexão recta unidireccional 2" o:spid="_x0000_s1026" type="#_x0000_t32" style="position:absolute;margin-left:85.05pt;margin-top:763.85pt;width:422.35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" strokecolor="#0070c0" strokeweight="3pt"/>
          </w:pict>
        </mc:Fallback>
      </mc:AlternateContent>
    </w:r>
    <w:r w:rsidRPr="00095A72">
      <w:rPr>
        <w:sz w:val="16"/>
        <w:szCs w:val="16"/>
      </w:rPr>
      <w:t xml:space="preserve">Comissão Nacional para os Direitos Humanos e a Cidadania – Rua Cidade do Funchal – nº 2 – 1º andar </w:t>
    </w:r>
    <w:r>
      <w:rPr>
        <w:sz w:val="16"/>
        <w:szCs w:val="16"/>
      </w:rPr>
      <w:t>- Achada Santo António</w:t>
    </w:r>
  </w:p>
  <w:p w:rsidR="00CF3741" w:rsidRPr="00095A72" w:rsidRDefault="00CF3741" w:rsidP="00CF3741">
    <w:pPr>
      <w:pStyle w:val="Footer"/>
      <w:jc w:val="center"/>
      <w:rPr>
        <w:sz w:val="16"/>
        <w:szCs w:val="16"/>
      </w:rPr>
    </w:pPr>
    <w:r w:rsidRPr="00095A72">
      <w:rPr>
        <w:sz w:val="16"/>
        <w:szCs w:val="16"/>
      </w:rPr>
      <w:t>C.P. 191 – Praia – Cab</w:t>
    </w:r>
    <w:r>
      <w:rPr>
        <w:sz w:val="16"/>
        <w:szCs w:val="16"/>
      </w:rPr>
      <w:t>o Verde - Tel.: (+238) 2624506</w:t>
    </w:r>
    <w:r w:rsidRPr="00095A72">
      <w:rPr>
        <w:sz w:val="16"/>
        <w:szCs w:val="16"/>
      </w:rPr>
      <w:t xml:space="preserve"> – Tlm.: 9979687</w:t>
    </w:r>
  </w:p>
  <w:p w:rsidR="00CF3741" w:rsidRPr="00095A72" w:rsidRDefault="00CF3741" w:rsidP="00CF3741">
    <w:pPr>
      <w:pStyle w:val="Footer"/>
      <w:jc w:val="center"/>
      <w:rPr>
        <w:sz w:val="16"/>
        <w:szCs w:val="16"/>
      </w:rPr>
    </w:pPr>
    <w:r>
      <w:rPr>
        <w:sz w:val="16"/>
        <w:szCs w:val="16"/>
      </w:rPr>
      <w:t xml:space="preserve">E-mail: </w:t>
    </w:r>
    <w:hyperlink r:id="rId1" w:history="1">
      <w:r w:rsidRPr="00232CF5">
        <w:rPr>
          <w:rStyle w:val="Hyperlink"/>
          <w:sz w:val="16"/>
          <w:szCs w:val="16"/>
        </w:rPr>
        <w:t>cndhc@cndhc.gov.cv</w:t>
      </w:r>
    </w:hyperlink>
    <w:r>
      <w:rPr>
        <w:sz w:val="16"/>
        <w:szCs w:val="16"/>
      </w:rPr>
      <w:t xml:space="preserve"> – Site</w:t>
    </w:r>
    <w:r w:rsidRPr="00095A72">
      <w:rPr>
        <w:sz w:val="16"/>
        <w:szCs w:val="16"/>
      </w:rPr>
      <w:t xml:space="preserve">: </w:t>
    </w:r>
    <w:hyperlink r:id="rId2" w:history="1">
      <w:r w:rsidRPr="00232CF5">
        <w:rPr>
          <w:rStyle w:val="Hyperlink"/>
          <w:sz w:val="16"/>
          <w:szCs w:val="16"/>
        </w:rPr>
        <w:t>www.cndhc.org.cv</w:t>
      </w:r>
    </w:hyperlink>
  </w:p>
  <w:p w:rsidR="00F81C1B" w:rsidRDefault="00F81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2D6" w:rsidRDefault="003A42D6" w:rsidP="001237AA">
      <w:pPr>
        <w:spacing w:after="0" w:line="240" w:lineRule="auto"/>
      </w:pPr>
      <w:r>
        <w:separator/>
      </w:r>
    </w:p>
  </w:footnote>
  <w:footnote w:type="continuationSeparator" w:id="0">
    <w:p w:rsidR="003A42D6" w:rsidRDefault="003A42D6" w:rsidP="00123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C1B" w:rsidRDefault="005743DC" w:rsidP="00F81C1B">
    <w:pPr>
      <w:pStyle w:val="Header"/>
      <w:tabs>
        <w:tab w:val="clear" w:pos="4252"/>
        <w:tab w:val="clear" w:pos="8504"/>
        <w:tab w:val="left" w:pos="1695"/>
      </w:tabs>
      <w:jc w:val="center"/>
    </w:pPr>
    <w:sdt>
      <w:sdtPr>
        <w:id w:val="419142761"/>
        <w:docPartObj>
          <w:docPartGallery w:val="Page Numbers (Margins)"/>
          <w:docPartUnique/>
        </w:docPartObj>
      </w:sdtPr>
      <w:sdtEndPr/>
      <w:sdtContent>
        <w:r w:rsidR="008E1A9B">
          <w:rPr>
            <w:noProof/>
            <w:lang w:val="en-GB" w:eastAsia="en-GB"/>
          </w:rPr>
          <mc:AlternateContent>
            <mc:Choice Requires="wps">
              <w:drawing>
                <wp:anchor distT="0" distB="0" distL="114300" distR="114300" simplePos="0" relativeHeight="251662336" behindDoc="0" locked="0" layoutInCell="0" allowOverlap="1">
                  <wp:simplePos x="0" y="0"/>
                  <wp:positionH relativeFrom="rightMargin">
                    <wp:align>right</wp:align>
                  </wp:positionH>
                  <wp:positionV relativeFrom="margin">
                    <wp:align>center</wp:align>
                  </wp:positionV>
                  <wp:extent cx="864235" cy="329565"/>
                  <wp:effectExtent l="0" t="0" r="0" b="381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235"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13E0" w:rsidRDefault="00C513E0">
                              <w:pPr>
                                <w:pBdr>
                                  <w:bottom w:val="single" w:sz="4" w:space="1" w:color="auto"/>
                                </w:pBdr>
                              </w:pPr>
                              <w:r>
                                <w:fldChar w:fldCharType="begin"/>
                              </w:r>
                              <w:r>
                                <w:instrText>PAGE   \* MERGEFORMAT</w:instrText>
                              </w:r>
                              <w:r>
                                <w:fldChar w:fldCharType="separate"/>
                              </w:r>
                              <w:r w:rsidR="005743DC">
                                <w:rPr>
                                  <w:noProof/>
                                </w:rPr>
                                <w:t>1</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angle 3" o:spid="_x0000_s1026" style="position:absolute;left:0;text-align:left;margin-left:16.85pt;margin-top:0;width:68.05pt;height:25.95pt;z-index:251662336;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" o:allowincell="f" stroked="f">
                  <v:textbox>
                    <w:txbxContent>
                      <w:p w:rsidR="00C513E0" w:rsidRDefault="00C513E0">
                        <w:pPr>
                          <w:pBdr>
                            <w:bottom w:val="single" w:sz="4" w:space="1" w:color="auto"/>
                          </w:pBdr>
                        </w:pPr>
                        <w:r>
                          <w:fldChar w:fldCharType="begin"/>
                        </w:r>
                        <w:r>
                          <w:instrText>PAGE   \* MERGEFORMAT</w:instrText>
                        </w:r>
                        <w:r>
                          <w:fldChar w:fldCharType="separate"/>
                        </w:r>
                        <w:r w:rsidR="005743DC">
                          <w:rPr>
                            <w:noProof/>
                          </w:rPr>
                          <w:t>1</w:t>
                        </w:r>
                        <w:r>
                          <w:fldChar w:fldCharType="end"/>
                        </w:r>
                      </w:p>
                    </w:txbxContent>
                  </v:textbox>
                  <w10:wrap anchorx="margin" anchory="margin"/>
                </v:rect>
              </w:pict>
            </mc:Fallback>
          </mc:AlternateContent>
        </w:r>
      </w:sdtContent>
    </w:sdt>
    <w:r w:rsidR="00F81C1B">
      <w:rPr>
        <w:noProof/>
        <w:lang w:val="en-GB" w:eastAsia="en-GB"/>
      </w:rPr>
      <w:drawing>
        <wp:inline distT="0" distB="0" distL="0" distR="0">
          <wp:extent cx="1038860" cy="1045876"/>
          <wp:effectExtent l="0" t="0" r="8890"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1062497"/>
                  </a:xfrm>
                  <a:prstGeom prst="rect">
                    <a:avLst/>
                  </a:prstGeom>
                  <a:noFill/>
                </pic:spPr>
              </pic:pic>
            </a:graphicData>
          </a:graphic>
        </wp:inline>
      </w:drawing>
    </w:r>
  </w:p>
  <w:p w:rsidR="00761CF8" w:rsidRDefault="00761CF8" w:rsidP="00F81C1B">
    <w:pPr>
      <w:pStyle w:val="Header"/>
      <w:tabs>
        <w:tab w:val="clear" w:pos="4252"/>
        <w:tab w:val="clear" w:pos="8504"/>
        <w:tab w:val="left" w:pos="169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1F7BA6"/>
    <w:multiLevelType w:val="hybridMultilevel"/>
    <w:tmpl w:val="3EE4FF4A"/>
    <w:lvl w:ilvl="0" w:tplc="9CD08484">
      <w:start w:val="1"/>
      <w:numFmt w:val="decimal"/>
      <w:lvlText w:val="%1."/>
      <w:lvlJc w:val="left"/>
      <w:pPr>
        <w:ind w:left="720" w:hanging="360"/>
      </w:pPr>
      <w:rPr>
        <w:rFonts w:asciiTheme="minorHAnsi" w:hAnsiTheme="minorHAnsi" w:hint="default"/>
        <w:b w:val="0"/>
        <w:sz w:val="22"/>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4AD348A2"/>
    <w:multiLevelType w:val="hybridMultilevel"/>
    <w:tmpl w:val="706C536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DB1"/>
    <w:rsid w:val="00003617"/>
    <w:rsid w:val="00012C52"/>
    <w:rsid w:val="000319A8"/>
    <w:rsid w:val="00040B18"/>
    <w:rsid w:val="00045125"/>
    <w:rsid w:val="00046FD8"/>
    <w:rsid w:val="00060777"/>
    <w:rsid w:val="00080663"/>
    <w:rsid w:val="00090909"/>
    <w:rsid w:val="000917C3"/>
    <w:rsid w:val="000A3820"/>
    <w:rsid w:val="000A7373"/>
    <w:rsid w:val="000B24BA"/>
    <w:rsid w:val="000B35BE"/>
    <w:rsid w:val="000B35DA"/>
    <w:rsid w:val="000B5FBD"/>
    <w:rsid w:val="000C024F"/>
    <w:rsid w:val="000C399B"/>
    <w:rsid w:val="000D5AB9"/>
    <w:rsid w:val="000E32DD"/>
    <w:rsid w:val="000E383D"/>
    <w:rsid w:val="000E6298"/>
    <w:rsid w:val="000F6D87"/>
    <w:rsid w:val="00102089"/>
    <w:rsid w:val="001054FD"/>
    <w:rsid w:val="00111DE6"/>
    <w:rsid w:val="00111EE3"/>
    <w:rsid w:val="001237AA"/>
    <w:rsid w:val="001257B0"/>
    <w:rsid w:val="00136DAE"/>
    <w:rsid w:val="001417E4"/>
    <w:rsid w:val="001521DD"/>
    <w:rsid w:val="00157F27"/>
    <w:rsid w:val="0016506D"/>
    <w:rsid w:val="001814A1"/>
    <w:rsid w:val="00184442"/>
    <w:rsid w:val="00184944"/>
    <w:rsid w:val="001C1ABD"/>
    <w:rsid w:val="001C55C9"/>
    <w:rsid w:val="001D1C00"/>
    <w:rsid w:val="001D6700"/>
    <w:rsid w:val="001E2EB4"/>
    <w:rsid w:val="00200511"/>
    <w:rsid w:val="00204549"/>
    <w:rsid w:val="00207D33"/>
    <w:rsid w:val="00210230"/>
    <w:rsid w:val="00211B36"/>
    <w:rsid w:val="00221A36"/>
    <w:rsid w:val="00252D3A"/>
    <w:rsid w:val="00253B5E"/>
    <w:rsid w:val="002541E8"/>
    <w:rsid w:val="002561A6"/>
    <w:rsid w:val="00262106"/>
    <w:rsid w:val="00266194"/>
    <w:rsid w:val="00273F83"/>
    <w:rsid w:val="00275224"/>
    <w:rsid w:val="002841B4"/>
    <w:rsid w:val="002912CE"/>
    <w:rsid w:val="002A3B8D"/>
    <w:rsid w:val="002B6ABD"/>
    <w:rsid w:val="002C130E"/>
    <w:rsid w:val="002C2555"/>
    <w:rsid w:val="002D100C"/>
    <w:rsid w:val="002D43BE"/>
    <w:rsid w:val="002E236B"/>
    <w:rsid w:val="002F33B8"/>
    <w:rsid w:val="00301E74"/>
    <w:rsid w:val="00303911"/>
    <w:rsid w:val="003107F9"/>
    <w:rsid w:val="00317951"/>
    <w:rsid w:val="00325A60"/>
    <w:rsid w:val="00343298"/>
    <w:rsid w:val="003558DD"/>
    <w:rsid w:val="00355B99"/>
    <w:rsid w:val="003653CA"/>
    <w:rsid w:val="0037557E"/>
    <w:rsid w:val="00376E3E"/>
    <w:rsid w:val="0037732A"/>
    <w:rsid w:val="00382E0A"/>
    <w:rsid w:val="00386BA7"/>
    <w:rsid w:val="00387FE9"/>
    <w:rsid w:val="00391227"/>
    <w:rsid w:val="00396607"/>
    <w:rsid w:val="003A42D6"/>
    <w:rsid w:val="003B1CEE"/>
    <w:rsid w:val="003B3C2F"/>
    <w:rsid w:val="003D421B"/>
    <w:rsid w:val="003F2178"/>
    <w:rsid w:val="00400D88"/>
    <w:rsid w:val="00401237"/>
    <w:rsid w:val="00402A2A"/>
    <w:rsid w:val="00404FA5"/>
    <w:rsid w:val="00423C31"/>
    <w:rsid w:val="00437076"/>
    <w:rsid w:val="00441242"/>
    <w:rsid w:val="0044613C"/>
    <w:rsid w:val="0046198D"/>
    <w:rsid w:val="00464463"/>
    <w:rsid w:val="00466105"/>
    <w:rsid w:val="00473781"/>
    <w:rsid w:val="00473B10"/>
    <w:rsid w:val="004752D4"/>
    <w:rsid w:val="00493EAD"/>
    <w:rsid w:val="00495CD7"/>
    <w:rsid w:val="004972A9"/>
    <w:rsid w:val="00497487"/>
    <w:rsid w:val="004A6100"/>
    <w:rsid w:val="004B2CDD"/>
    <w:rsid w:val="004C754F"/>
    <w:rsid w:val="004D5C64"/>
    <w:rsid w:val="004E13D0"/>
    <w:rsid w:val="004F64C3"/>
    <w:rsid w:val="005063B7"/>
    <w:rsid w:val="00526C4D"/>
    <w:rsid w:val="00542E3D"/>
    <w:rsid w:val="00552606"/>
    <w:rsid w:val="00562CD5"/>
    <w:rsid w:val="00571D52"/>
    <w:rsid w:val="005743DC"/>
    <w:rsid w:val="00584385"/>
    <w:rsid w:val="00594114"/>
    <w:rsid w:val="00597D0E"/>
    <w:rsid w:val="005A2D9B"/>
    <w:rsid w:val="005A40D9"/>
    <w:rsid w:val="005C38F5"/>
    <w:rsid w:val="005D5F9D"/>
    <w:rsid w:val="005E34F3"/>
    <w:rsid w:val="005E458F"/>
    <w:rsid w:val="00623013"/>
    <w:rsid w:val="00623229"/>
    <w:rsid w:val="00654AB5"/>
    <w:rsid w:val="00660327"/>
    <w:rsid w:val="0066392A"/>
    <w:rsid w:val="00671A6B"/>
    <w:rsid w:val="006A0083"/>
    <w:rsid w:val="006C6766"/>
    <w:rsid w:val="006D00CD"/>
    <w:rsid w:val="006D3344"/>
    <w:rsid w:val="006D63A8"/>
    <w:rsid w:val="006E5341"/>
    <w:rsid w:val="006F32F9"/>
    <w:rsid w:val="007013D8"/>
    <w:rsid w:val="00704086"/>
    <w:rsid w:val="00711640"/>
    <w:rsid w:val="00721AAE"/>
    <w:rsid w:val="007278B6"/>
    <w:rsid w:val="007354A3"/>
    <w:rsid w:val="00741ADF"/>
    <w:rsid w:val="0074553D"/>
    <w:rsid w:val="00761CF8"/>
    <w:rsid w:val="007644FF"/>
    <w:rsid w:val="007701D6"/>
    <w:rsid w:val="00781C40"/>
    <w:rsid w:val="00790FA1"/>
    <w:rsid w:val="00797261"/>
    <w:rsid w:val="00797528"/>
    <w:rsid w:val="007A4419"/>
    <w:rsid w:val="007B504B"/>
    <w:rsid w:val="007B7204"/>
    <w:rsid w:val="007C26F4"/>
    <w:rsid w:val="007C3F80"/>
    <w:rsid w:val="007D0A85"/>
    <w:rsid w:val="007D36CF"/>
    <w:rsid w:val="007D575C"/>
    <w:rsid w:val="007F78FA"/>
    <w:rsid w:val="008044BE"/>
    <w:rsid w:val="00822803"/>
    <w:rsid w:val="00836430"/>
    <w:rsid w:val="00836913"/>
    <w:rsid w:val="00837D78"/>
    <w:rsid w:val="0084170E"/>
    <w:rsid w:val="0084401A"/>
    <w:rsid w:val="00845081"/>
    <w:rsid w:val="008471E8"/>
    <w:rsid w:val="00865A8F"/>
    <w:rsid w:val="00871F8F"/>
    <w:rsid w:val="00891319"/>
    <w:rsid w:val="008A14BB"/>
    <w:rsid w:val="008B057B"/>
    <w:rsid w:val="008B4F21"/>
    <w:rsid w:val="008B50A5"/>
    <w:rsid w:val="008C33B4"/>
    <w:rsid w:val="008C5A15"/>
    <w:rsid w:val="008C7DAF"/>
    <w:rsid w:val="008D0591"/>
    <w:rsid w:val="008D2909"/>
    <w:rsid w:val="008E0852"/>
    <w:rsid w:val="008E1A9B"/>
    <w:rsid w:val="008E37CB"/>
    <w:rsid w:val="008E3ACF"/>
    <w:rsid w:val="008E6313"/>
    <w:rsid w:val="008F0875"/>
    <w:rsid w:val="0091439F"/>
    <w:rsid w:val="0092672B"/>
    <w:rsid w:val="00954DB1"/>
    <w:rsid w:val="0095640C"/>
    <w:rsid w:val="0096653D"/>
    <w:rsid w:val="00977383"/>
    <w:rsid w:val="00983FF2"/>
    <w:rsid w:val="00990B16"/>
    <w:rsid w:val="0099780D"/>
    <w:rsid w:val="009C0329"/>
    <w:rsid w:val="009F6181"/>
    <w:rsid w:val="00A122D2"/>
    <w:rsid w:val="00A140D5"/>
    <w:rsid w:val="00A20DEC"/>
    <w:rsid w:val="00A261AE"/>
    <w:rsid w:val="00A30791"/>
    <w:rsid w:val="00A34C47"/>
    <w:rsid w:val="00A44109"/>
    <w:rsid w:val="00A449B5"/>
    <w:rsid w:val="00A52FC1"/>
    <w:rsid w:val="00A82314"/>
    <w:rsid w:val="00AB4F2E"/>
    <w:rsid w:val="00AC3676"/>
    <w:rsid w:val="00AE3DD5"/>
    <w:rsid w:val="00B00865"/>
    <w:rsid w:val="00B1156D"/>
    <w:rsid w:val="00B117DD"/>
    <w:rsid w:val="00B17386"/>
    <w:rsid w:val="00B218E1"/>
    <w:rsid w:val="00B2722B"/>
    <w:rsid w:val="00B3277F"/>
    <w:rsid w:val="00B352F6"/>
    <w:rsid w:val="00B4109C"/>
    <w:rsid w:val="00B41CF5"/>
    <w:rsid w:val="00B62468"/>
    <w:rsid w:val="00B71108"/>
    <w:rsid w:val="00B96665"/>
    <w:rsid w:val="00BA32F6"/>
    <w:rsid w:val="00BC229E"/>
    <w:rsid w:val="00BC3B01"/>
    <w:rsid w:val="00BD434E"/>
    <w:rsid w:val="00BD7C2B"/>
    <w:rsid w:val="00BE09D9"/>
    <w:rsid w:val="00BE28D1"/>
    <w:rsid w:val="00BE2BEC"/>
    <w:rsid w:val="00BF6414"/>
    <w:rsid w:val="00C01A49"/>
    <w:rsid w:val="00C13144"/>
    <w:rsid w:val="00C3721A"/>
    <w:rsid w:val="00C513E0"/>
    <w:rsid w:val="00C52181"/>
    <w:rsid w:val="00C645AB"/>
    <w:rsid w:val="00C6758E"/>
    <w:rsid w:val="00C74995"/>
    <w:rsid w:val="00C90AA0"/>
    <w:rsid w:val="00CA6BC4"/>
    <w:rsid w:val="00CC3E83"/>
    <w:rsid w:val="00CF3741"/>
    <w:rsid w:val="00D12AB8"/>
    <w:rsid w:val="00D218BB"/>
    <w:rsid w:val="00D32565"/>
    <w:rsid w:val="00D352C9"/>
    <w:rsid w:val="00D367EB"/>
    <w:rsid w:val="00D4295F"/>
    <w:rsid w:val="00D556E6"/>
    <w:rsid w:val="00D5753F"/>
    <w:rsid w:val="00D7066F"/>
    <w:rsid w:val="00D75990"/>
    <w:rsid w:val="00D77EC6"/>
    <w:rsid w:val="00D838AF"/>
    <w:rsid w:val="00DA129F"/>
    <w:rsid w:val="00DB530F"/>
    <w:rsid w:val="00DC3629"/>
    <w:rsid w:val="00DC7887"/>
    <w:rsid w:val="00DF3AC5"/>
    <w:rsid w:val="00E0656F"/>
    <w:rsid w:val="00E15C9C"/>
    <w:rsid w:val="00E204C9"/>
    <w:rsid w:val="00E22679"/>
    <w:rsid w:val="00E27360"/>
    <w:rsid w:val="00E40388"/>
    <w:rsid w:val="00E46569"/>
    <w:rsid w:val="00E54A53"/>
    <w:rsid w:val="00E563A6"/>
    <w:rsid w:val="00E86850"/>
    <w:rsid w:val="00E92722"/>
    <w:rsid w:val="00E96CE0"/>
    <w:rsid w:val="00EA0080"/>
    <w:rsid w:val="00EB0262"/>
    <w:rsid w:val="00ED3541"/>
    <w:rsid w:val="00EE0743"/>
    <w:rsid w:val="00EF07B3"/>
    <w:rsid w:val="00EF444F"/>
    <w:rsid w:val="00EF4D1B"/>
    <w:rsid w:val="00EF6CB8"/>
    <w:rsid w:val="00EF7D1A"/>
    <w:rsid w:val="00F0490E"/>
    <w:rsid w:val="00F075B6"/>
    <w:rsid w:val="00F24AE0"/>
    <w:rsid w:val="00F3693D"/>
    <w:rsid w:val="00F64827"/>
    <w:rsid w:val="00F74640"/>
    <w:rsid w:val="00F81C1B"/>
    <w:rsid w:val="00F95D6A"/>
    <w:rsid w:val="00FB17DB"/>
    <w:rsid w:val="00FB2964"/>
    <w:rsid w:val="00FB3FE2"/>
    <w:rsid w:val="00FC1160"/>
    <w:rsid w:val="00FC4BAB"/>
    <w:rsid w:val="00FE0CFD"/>
    <w:rsid w:val="00FF2209"/>
    <w:rsid w:val="00FF76C1"/>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CA8470B-EA53-4505-9FF1-CE2AB6C7A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2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237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pt-PT"/>
    </w:rPr>
  </w:style>
  <w:style w:type="character" w:customStyle="1" w:styleId="HTMLPreformattedChar">
    <w:name w:val="HTML Preformatted Char"/>
    <w:basedOn w:val="DefaultParagraphFont"/>
    <w:link w:val="HTMLPreformatted"/>
    <w:uiPriority w:val="99"/>
    <w:rsid w:val="001237AA"/>
    <w:rPr>
      <w:rFonts w:ascii="Courier New" w:eastAsia="Times New Roman" w:hAnsi="Courier New" w:cs="Times New Roman"/>
      <w:sz w:val="20"/>
      <w:szCs w:val="20"/>
      <w:lang w:eastAsia="pt-PT"/>
    </w:rPr>
  </w:style>
  <w:style w:type="paragraph" w:styleId="FootnoteText">
    <w:name w:val="footnote text"/>
    <w:aliases w:val="Texto de nota de rodapé Carácter Carácter,Texto de nota de rodapé Carácter Carácter Carácter,Texto de nota de rodapé Carácter Carácter Carácter Carácter, Char,Footnote Text Char1 Char,Footnote Text Char Char Char,ft,ft2,fn"/>
    <w:basedOn w:val="Normal"/>
    <w:link w:val="FootnoteTextChar"/>
    <w:uiPriority w:val="99"/>
    <w:unhideWhenUsed/>
    <w:qFormat/>
    <w:rsid w:val="001237AA"/>
    <w:pPr>
      <w:spacing w:after="0" w:line="240" w:lineRule="auto"/>
    </w:pPr>
    <w:rPr>
      <w:sz w:val="20"/>
      <w:szCs w:val="20"/>
    </w:rPr>
  </w:style>
  <w:style w:type="character" w:customStyle="1" w:styleId="FootnoteTextChar">
    <w:name w:val="Footnote Text Char"/>
    <w:aliases w:val="Texto de nota de rodapé Carácter Carácter Char,Texto de nota de rodapé Carácter Carácter Carácter Char,Texto de nota de rodapé Carácter Carácter Carácter Carácter Char, Char Char,Footnote Text Char1 Char Char,ft Char,ft2 Char,fn Char"/>
    <w:basedOn w:val="DefaultParagraphFont"/>
    <w:link w:val="FootnoteText"/>
    <w:uiPriority w:val="99"/>
    <w:rsid w:val="001237AA"/>
    <w:rPr>
      <w:sz w:val="20"/>
      <w:szCs w:val="20"/>
    </w:rPr>
  </w:style>
  <w:style w:type="character" w:styleId="FootnoteReference">
    <w:name w:val="footnote reference"/>
    <w:aliases w:val="ftref,Char Char,Footnote Reference Char Char Char,Carattere Char Carattere Carattere Char Carattere Char Carattere Char Char Char1 Char,Carattere Carattere Char Char Char Carattere Char,16 Poin,ftref Char,BVI fnr Char,4_G"/>
    <w:basedOn w:val="DefaultParagraphFont"/>
    <w:unhideWhenUsed/>
    <w:qFormat/>
    <w:rsid w:val="001237AA"/>
    <w:rPr>
      <w:vertAlign w:val="superscript"/>
    </w:rPr>
  </w:style>
  <w:style w:type="paragraph" w:styleId="ListParagraph">
    <w:name w:val="List Paragraph"/>
    <w:basedOn w:val="Normal"/>
    <w:uiPriority w:val="34"/>
    <w:qFormat/>
    <w:rsid w:val="00D32565"/>
    <w:pPr>
      <w:ind w:left="720"/>
      <w:contextualSpacing/>
    </w:pPr>
  </w:style>
  <w:style w:type="paragraph" w:styleId="Header">
    <w:name w:val="header"/>
    <w:basedOn w:val="Normal"/>
    <w:link w:val="HeaderChar"/>
    <w:uiPriority w:val="99"/>
    <w:unhideWhenUsed/>
    <w:rsid w:val="00F81C1B"/>
    <w:pPr>
      <w:tabs>
        <w:tab w:val="center" w:pos="4252"/>
        <w:tab w:val="right" w:pos="8504"/>
      </w:tabs>
      <w:spacing w:after="0" w:line="240" w:lineRule="auto"/>
    </w:pPr>
  </w:style>
  <w:style w:type="character" w:customStyle="1" w:styleId="HeaderChar">
    <w:name w:val="Header Char"/>
    <w:basedOn w:val="DefaultParagraphFont"/>
    <w:link w:val="Header"/>
    <w:uiPriority w:val="99"/>
    <w:rsid w:val="00F81C1B"/>
  </w:style>
  <w:style w:type="paragraph" w:styleId="Footer">
    <w:name w:val="footer"/>
    <w:basedOn w:val="Normal"/>
    <w:link w:val="FooterChar"/>
    <w:uiPriority w:val="99"/>
    <w:unhideWhenUsed/>
    <w:rsid w:val="00F81C1B"/>
    <w:pPr>
      <w:tabs>
        <w:tab w:val="center" w:pos="4252"/>
        <w:tab w:val="right" w:pos="8504"/>
      </w:tabs>
      <w:spacing w:after="0" w:line="240" w:lineRule="auto"/>
    </w:pPr>
  </w:style>
  <w:style w:type="character" w:customStyle="1" w:styleId="FooterChar">
    <w:name w:val="Footer Char"/>
    <w:basedOn w:val="DefaultParagraphFont"/>
    <w:link w:val="Footer"/>
    <w:uiPriority w:val="99"/>
    <w:rsid w:val="00F81C1B"/>
  </w:style>
  <w:style w:type="character" w:styleId="Hyperlink">
    <w:name w:val="Hyperlink"/>
    <w:uiPriority w:val="99"/>
    <w:unhideWhenUsed/>
    <w:rsid w:val="00F81C1B"/>
    <w:rPr>
      <w:color w:val="0000FF"/>
      <w:u w:val="single"/>
    </w:rPr>
  </w:style>
  <w:style w:type="paragraph" w:styleId="BalloonText">
    <w:name w:val="Balloon Text"/>
    <w:basedOn w:val="Normal"/>
    <w:link w:val="BalloonTextChar"/>
    <w:uiPriority w:val="99"/>
    <w:semiHidden/>
    <w:unhideWhenUsed/>
    <w:rsid w:val="005C38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8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2" Type="http://schemas.openxmlformats.org/officeDocument/2006/relationships/hyperlink" Target="http://www.cndhc.org.cv" TargetMode="External"/><Relationship Id="rId1" Type="http://schemas.openxmlformats.org/officeDocument/2006/relationships/hyperlink" Target="mailto:cndhc@cndhc.gov.c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D0C5A-EB7D-4C41-8D30-2C7BDB776A78}"/>
</file>

<file path=customXml/itemProps2.xml><?xml version="1.0" encoding="utf-8"?>
<ds:datastoreItem xmlns:ds="http://schemas.openxmlformats.org/officeDocument/2006/customXml" ds:itemID="{820CF58E-CD72-4564-97B3-BF263819F2B3}"/>
</file>

<file path=customXml/itemProps3.xml><?xml version="1.0" encoding="utf-8"?>
<ds:datastoreItem xmlns:ds="http://schemas.openxmlformats.org/officeDocument/2006/customXml" ds:itemID="{F4F7C651-BB41-4137-9F19-A41D3C2FEDE7}"/>
</file>

<file path=customXml/itemProps4.xml><?xml version="1.0" encoding="utf-8"?>
<ds:datastoreItem xmlns:ds="http://schemas.openxmlformats.org/officeDocument/2006/customXml" ds:itemID="{44D9ECF3-2735-40C7-BE70-7AE5F9955E2F}"/>
</file>

<file path=docProps/app.xml><?xml version="1.0" encoding="utf-8"?>
<Properties xmlns="http://schemas.openxmlformats.org/officeDocument/2006/extended-properties" xmlns:vt="http://schemas.openxmlformats.org/officeDocument/2006/docPropsVTypes">
  <Template>Normal.dotm</Template>
  <TotalTime>2</TotalTime>
  <Pages>10</Pages>
  <Words>3144</Words>
  <Characters>17927</Characters>
  <Application>Microsoft Office Word</Application>
  <DocSecurity>0</DocSecurity>
  <Lines>149</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21029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CNDHC - Marisia Sonia Delgado Nascimento</dc:creator>
  <cp:keywords/>
  <dc:description/>
  <cp:lastModifiedBy>BOIT James</cp:lastModifiedBy>
  <cp:revision>2</cp:revision>
  <cp:lastPrinted>2019-04-15T11:42:00Z</cp:lastPrinted>
  <dcterms:created xsi:type="dcterms:W3CDTF">2019-04-18T09:28:00Z</dcterms:created>
  <dcterms:modified xsi:type="dcterms:W3CDTF">2019-04-18T09:28:00Z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