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F39" w:rsidRDefault="00064D46" w:rsidP="00776D93">
      <w:pPr>
        <w:widowControl w:val="0"/>
        <w:pBdr>
          <w:top w:val="nil"/>
          <w:left w:val="nil"/>
          <w:bottom w:val="nil"/>
          <w:right w:val="nil"/>
          <w:between w:val="nil"/>
        </w:pBdr>
        <w:spacing w:after="0" w:line="276" w:lineRule="auto"/>
        <w:rPr>
          <w:rFonts w:ascii="Garamond" w:eastAsia="Garamond" w:hAnsi="Garamond" w:cs="Garamond"/>
          <w:b/>
          <w:sz w:val="24"/>
          <w:szCs w:val="24"/>
        </w:rPr>
      </w:pPr>
      <w:r>
        <w:rPr>
          <w:noProof/>
          <w:color w:val="000000"/>
          <w:lang w:val="en-GB" w:eastAsia="en-GB"/>
        </w:rPr>
        <w:drawing>
          <wp:inline distT="0" distB="0" distL="0" distR="0" wp14:anchorId="164C55C3" wp14:editId="0982CCCB">
            <wp:extent cx="1219200" cy="633413"/>
            <wp:effectExtent l="0" t="0" r="0" b="0"/>
            <wp:docPr id="19"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9"/>
                    <a:srcRect/>
                    <a:stretch>
                      <a:fillRect/>
                    </a:stretch>
                  </pic:blipFill>
                  <pic:spPr>
                    <a:xfrm>
                      <a:off x="0" y="0"/>
                      <a:ext cx="1231047" cy="639568"/>
                    </a:xfrm>
                    <a:prstGeom prst="rect">
                      <a:avLst/>
                    </a:prstGeom>
                    <a:ln/>
                  </pic:spPr>
                </pic:pic>
              </a:graphicData>
            </a:graphic>
          </wp:inline>
        </w:drawing>
      </w:r>
    </w:p>
    <w:p w:rsidR="00133919" w:rsidRDefault="006973FE" w:rsidP="008D78E6">
      <w:pPr>
        <w:spacing w:line="240" w:lineRule="auto"/>
        <w:ind w:left="187"/>
        <w:jc w:val="center"/>
        <w:rPr>
          <w:rFonts w:ascii="Garamond" w:eastAsia="Garamond" w:hAnsi="Garamond" w:cs="Garamond"/>
          <w:b/>
          <w:sz w:val="32"/>
          <w:szCs w:val="32"/>
        </w:rPr>
      </w:pPr>
      <w:r>
        <w:rPr>
          <w:rFonts w:ascii="Garamond" w:eastAsia="Garamond" w:hAnsi="Garamond" w:cs="Garamond"/>
          <w:b/>
          <w:sz w:val="32"/>
          <w:szCs w:val="32"/>
        </w:rPr>
        <w:t>LA SITUACIÓN DE LOS DERECHOS</w:t>
      </w:r>
      <w:r w:rsidR="00475F3E">
        <w:rPr>
          <w:rFonts w:ascii="Garamond" w:eastAsia="Garamond" w:hAnsi="Garamond" w:cs="Garamond"/>
          <w:b/>
          <w:sz w:val="32"/>
          <w:szCs w:val="32"/>
        </w:rPr>
        <w:t xml:space="preserve"> ECONÓMICOS, SOCIALES Y CULTURALES E</w:t>
      </w:r>
      <w:r>
        <w:rPr>
          <w:rFonts w:ascii="Garamond" w:eastAsia="Garamond" w:hAnsi="Garamond" w:cs="Garamond"/>
          <w:b/>
          <w:sz w:val="32"/>
          <w:szCs w:val="32"/>
        </w:rPr>
        <w:t>N EL PERÚ</w:t>
      </w:r>
    </w:p>
    <w:p w:rsidR="008D78E6" w:rsidRDefault="008D78E6" w:rsidP="008D78E6">
      <w:pPr>
        <w:pBdr>
          <w:top w:val="nil"/>
          <w:left w:val="nil"/>
          <w:bottom w:val="nil"/>
          <w:right w:val="nil"/>
          <w:between w:val="nil"/>
        </w:pBdr>
        <w:spacing w:line="240" w:lineRule="auto"/>
        <w:ind w:left="187"/>
        <w:jc w:val="both"/>
        <w:rPr>
          <w:rFonts w:ascii="Garamond" w:eastAsia="Garamond" w:hAnsi="Garamond" w:cs="Garamond"/>
          <w:b/>
          <w:color w:val="000000"/>
          <w:sz w:val="28"/>
          <w:szCs w:val="28"/>
        </w:rPr>
      </w:pPr>
    </w:p>
    <w:p w:rsidR="008D78E6" w:rsidRPr="008D78E6" w:rsidRDefault="008D78E6" w:rsidP="00C76EA7">
      <w:pPr>
        <w:spacing w:line="240" w:lineRule="auto"/>
        <w:ind w:left="187"/>
        <w:jc w:val="both"/>
        <w:rPr>
          <w:rFonts w:ascii="Garamond" w:eastAsia="Garamond" w:hAnsi="Garamond" w:cs="Garamond"/>
          <w:b/>
          <w:color w:val="000000"/>
          <w:sz w:val="28"/>
          <w:szCs w:val="28"/>
          <w:highlight w:val="yellow"/>
        </w:rPr>
      </w:pPr>
      <w:r>
        <w:rPr>
          <w:rFonts w:ascii="Garamond" w:eastAsia="Garamond" w:hAnsi="Garamond" w:cs="Garamond"/>
          <w:b/>
          <w:sz w:val="28"/>
          <w:szCs w:val="28"/>
        </w:rPr>
        <w:t xml:space="preserve">El </w:t>
      </w:r>
      <w:r w:rsidR="00475F3E">
        <w:rPr>
          <w:rFonts w:ascii="Garamond" w:eastAsia="Garamond" w:hAnsi="Garamond" w:cs="Garamond"/>
          <w:b/>
          <w:sz w:val="28"/>
          <w:szCs w:val="28"/>
        </w:rPr>
        <w:t>presente informe ha sido elaborado por el</w:t>
      </w:r>
      <w:r w:rsidRPr="008D78E6">
        <w:rPr>
          <w:rFonts w:ascii="Garamond" w:eastAsia="Garamond" w:hAnsi="Garamond" w:cs="Garamond"/>
          <w:b/>
          <w:sz w:val="28"/>
          <w:szCs w:val="28"/>
        </w:rPr>
        <w:t xml:space="preserve"> </w:t>
      </w:r>
      <w:bookmarkStart w:id="0" w:name="_GoBack"/>
      <w:r w:rsidRPr="008D78E6">
        <w:rPr>
          <w:rFonts w:ascii="Garamond" w:eastAsia="Garamond" w:hAnsi="Garamond" w:cs="Garamond"/>
          <w:b/>
          <w:sz w:val="28"/>
          <w:szCs w:val="28"/>
        </w:rPr>
        <w:t xml:space="preserve">Colectivo EPU de Perú </w:t>
      </w:r>
      <w:bookmarkEnd w:id="0"/>
      <w:r w:rsidRPr="008D78E6">
        <w:rPr>
          <w:rFonts w:ascii="Garamond" w:eastAsia="Garamond" w:hAnsi="Garamond" w:cs="Garamond"/>
          <w:b/>
          <w:sz w:val="28"/>
          <w:szCs w:val="28"/>
        </w:rPr>
        <w:t xml:space="preserve">para el cuarto ciclo del Examen Periódico Universal </w:t>
      </w:r>
      <w:r w:rsidR="00C76EA7">
        <w:rPr>
          <w:rFonts w:ascii="Garamond" w:eastAsia="Garamond" w:hAnsi="Garamond" w:cs="Garamond"/>
          <w:b/>
          <w:sz w:val="28"/>
          <w:szCs w:val="28"/>
        </w:rPr>
        <w:t xml:space="preserve">de la ONU en julio 2022. Ahora lo presentamos al Comité de Derechos Económicos, Sociales y Culturales – DESC </w:t>
      </w:r>
      <w:r w:rsidRPr="008D78E6">
        <w:rPr>
          <w:rFonts w:ascii="Garamond" w:eastAsia="Garamond" w:hAnsi="Garamond" w:cs="Garamond"/>
          <w:b/>
          <w:sz w:val="28"/>
          <w:szCs w:val="28"/>
        </w:rPr>
        <w:t>de las Naciones Unidas</w:t>
      </w:r>
      <w:r w:rsidR="00C76EA7">
        <w:rPr>
          <w:rFonts w:ascii="Garamond" w:eastAsia="Garamond" w:hAnsi="Garamond" w:cs="Garamond"/>
          <w:b/>
          <w:sz w:val="28"/>
          <w:szCs w:val="28"/>
        </w:rPr>
        <w:t xml:space="preserve">. Las siguientes organizaciones integran el Colectivo EPU de Perú: </w:t>
      </w:r>
    </w:p>
    <w:p w:rsidR="008D78E6" w:rsidRPr="008D78E6" w:rsidRDefault="008D78E6" w:rsidP="008D78E6">
      <w:pPr>
        <w:pBdr>
          <w:top w:val="nil"/>
          <w:left w:val="nil"/>
          <w:bottom w:val="nil"/>
          <w:right w:val="nil"/>
          <w:between w:val="nil"/>
        </w:pBdr>
        <w:spacing w:line="240" w:lineRule="auto"/>
        <w:ind w:left="187"/>
        <w:jc w:val="both"/>
        <w:rPr>
          <w:rFonts w:ascii="Garamond" w:eastAsia="Garamond" w:hAnsi="Garamond" w:cs="Garamond"/>
          <w:color w:val="000000"/>
          <w:sz w:val="28"/>
          <w:szCs w:val="28"/>
        </w:rPr>
      </w:pPr>
      <w:r w:rsidRPr="008D78E6">
        <w:rPr>
          <w:rFonts w:ascii="Garamond" w:eastAsia="Garamond" w:hAnsi="Garamond" w:cs="Garamond"/>
          <w:color w:val="000000"/>
          <w:sz w:val="28"/>
          <w:szCs w:val="28"/>
        </w:rPr>
        <w:t xml:space="preserve">Acción por los Niños; Aldeas Infantiles SOS; Campaña Peruana por el derecho a la Educación; Centro de Estudios y Publicaciones; CESIP; Centro de Desarrollo Étnico – CEDET; </w:t>
      </w:r>
      <w:r w:rsidRPr="008D78E6">
        <w:rPr>
          <w:rFonts w:ascii="Garamond" w:eastAsia="Garamond" w:hAnsi="Garamond" w:cs="Garamond"/>
          <w:color w:val="202124"/>
          <w:sz w:val="28"/>
          <w:szCs w:val="28"/>
        </w:rPr>
        <w:t>Centro de la Mujer Peruana Flora Tristá</w:t>
      </w:r>
      <w:r w:rsidRPr="008D78E6">
        <w:rPr>
          <w:rFonts w:ascii="Garamond" w:eastAsia="Garamond" w:hAnsi="Garamond" w:cs="Garamond"/>
          <w:color w:val="000000"/>
          <w:sz w:val="28"/>
          <w:szCs w:val="28"/>
        </w:rPr>
        <w:t>n; Comisión de Damas Invidentes del Perú – CODIP; Centro de Culturas Indígenas del Perú – Chirapaq; Escuela para el Desarrollo; Instituto Promoviendo Desarrollo Social – IPRODES; Mesa de Discapacidad y Derechos de la CNDDHH; Foro Educativo; Qosqo Maki; Save the Children; Voces Ciudadanas; Warmi Huarmi; World Vision Perú</w:t>
      </w:r>
      <w:r w:rsidR="00C76EA7">
        <w:rPr>
          <w:rFonts w:ascii="Garamond" w:eastAsia="Garamond" w:hAnsi="Garamond" w:cs="Garamond"/>
          <w:color w:val="000000"/>
          <w:sz w:val="28"/>
          <w:szCs w:val="28"/>
        </w:rPr>
        <w:t xml:space="preserve">; </w:t>
      </w:r>
      <w:r w:rsidRPr="008D78E6">
        <w:rPr>
          <w:rFonts w:ascii="Garamond" w:eastAsia="Garamond" w:hAnsi="Garamond" w:cs="Garamond"/>
          <w:color w:val="000000"/>
          <w:sz w:val="28"/>
          <w:szCs w:val="28"/>
        </w:rPr>
        <w:t>el Observatorio de los Derechos Sexuales y Reproductivos de las Persona</w:t>
      </w:r>
      <w:r w:rsidR="00C76EA7">
        <w:rPr>
          <w:rFonts w:ascii="Garamond" w:eastAsia="Garamond" w:hAnsi="Garamond" w:cs="Garamond"/>
          <w:color w:val="000000"/>
          <w:sz w:val="28"/>
          <w:szCs w:val="28"/>
        </w:rPr>
        <w:t>s con Discapacidad, ODISEX PERU y, Terre des Hommes Suisse.</w:t>
      </w:r>
    </w:p>
    <w:p w:rsidR="008D78E6" w:rsidRDefault="008D78E6" w:rsidP="008D78E6">
      <w:pPr>
        <w:pBdr>
          <w:top w:val="nil"/>
          <w:left w:val="nil"/>
          <w:bottom w:val="nil"/>
          <w:right w:val="nil"/>
          <w:between w:val="nil"/>
        </w:pBdr>
        <w:spacing w:after="0"/>
        <w:ind w:left="360"/>
        <w:jc w:val="both"/>
        <w:rPr>
          <w:rFonts w:ascii="Garamond" w:eastAsia="Garamond" w:hAnsi="Garamond" w:cs="Garamond"/>
          <w:color w:val="000000"/>
          <w:sz w:val="28"/>
          <w:szCs w:val="28"/>
        </w:rPr>
      </w:pPr>
    </w:p>
    <w:p w:rsidR="008D78E6" w:rsidRPr="00FE0DE5" w:rsidRDefault="008D78E6" w:rsidP="008D78E6">
      <w:pPr>
        <w:pBdr>
          <w:top w:val="nil"/>
          <w:left w:val="nil"/>
          <w:bottom w:val="nil"/>
          <w:right w:val="nil"/>
          <w:between w:val="nil"/>
        </w:pBdr>
        <w:spacing w:after="0"/>
        <w:ind w:left="720"/>
        <w:jc w:val="both"/>
        <w:rPr>
          <w:rFonts w:ascii="Garamond" w:eastAsia="Garamond" w:hAnsi="Garamond" w:cs="Garamond"/>
          <w:b/>
          <w:color w:val="000000"/>
          <w:sz w:val="28"/>
          <w:szCs w:val="28"/>
          <w:highlight w:val="yellow"/>
        </w:rPr>
      </w:pPr>
    </w:p>
    <w:tbl>
      <w:tblPr>
        <w:tblStyle w:val="af6"/>
        <w:tblW w:w="9350" w:type="dxa"/>
        <w:jc w:val="center"/>
        <w:tblInd w:w="0" w:type="dxa"/>
        <w:tblLayout w:type="fixed"/>
        <w:tblLook w:val="0400" w:firstRow="0" w:lastRow="0" w:firstColumn="0" w:lastColumn="0" w:noHBand="0" w:noVBand="1"/>
      </w:tblPr>
      <w:tblGrid>
        <w:gridCol w:w="1870"/>
        <w:gridCol w:w="1870"/>
        <w:gridCol w:w="1870"/>
        <w:gridCol w:w="1870"/>
        <w:gridCol w:w="1870"/>
      </w:tblGrid>
      <w:tr w:rsidR="008D78E6" w:rsidRPr="00E35204" w:rsidTr="004B1D93">
        <w:trPr>
          <w:jc w:val="center"/>
        </w:trPr>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1C5944BA" wp14:editId="27AE59B4">
                  <wp:extent cx="879231" cy="413034"/>
                  <wp:effectExtent l="0" t="0" r="0" b="6350"/>
                  <wp:docPr id="5" name="Imagen 5" descr="C:\Users\Sofia\Desktop\Logo_AccionporlosNin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ofia\Desktop\Logo_AccionporlosNino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17783" cy="431144"/>
                          </a:xfrm>
                          <a:prstGeom prst="rect">
                            <a:avLst/>
                          </a:prstGeom>
                          <a:noFill/>
                          <a:ln>
                            <a:noFill/>
                          </a:ln>
                        </pic:spPr>
                      </pic:pic>
                    </a:graphicData>
                  </a:graphic>
                </wp:inline>
              </w:drawing>
            </w:r>
          </w:p>
        </w:tc>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66B428D4" wp14:editId="288F3013">
                  <wp:extent cx="961292" cy="410308"/>
                  <wp:effectExtent l="0" t="0" r="0" b="0"/>
                  <wp:docPr id="8" name="image6.png" descr="C:\Users\Sofia\Downloads\AISOS. Logo-compuesto-s-eslogan.png"/>
                  <wp:cNvGraphicFramePr/>
                  <a:graphic xmlns:a="http://schemas.openxmlformats.org/drawingml/2006/main">
                    <a:graphicData uri="http://schemas.openxmlformats.org/drawingml/2006/picture">
                      <pic:pic xmlns:pic="http://schemas.openxmlformats.org/drawingml/2006/picture">
                        <pic:nvPicPr>
                          <pic:cNvPr id="0" name="image6.png" descr="C:\Users\Sofia\Downloads\AISOS. Logo-compuesto-s-eslogan.png"/>
                          <pic:cNvPicPr preferRelativeResize="0"/>
                        </pic:nvPicPr>
                        <pic:blipFill>
                          <a:blip r:embed="rId11"/>
                          <a:srcRect/>
                          <a:stretch>
                            <a:fillRect/>
                          </a:stretch>
                        </pic:blipFill>
                        <pic:spPr>
                          <a:xfrm>
                            <a:off x="0" y="0"/>
                            <a:ext cx="964627" cy="411731"/>
                          </a:xfrm>
                          <a:prstGeom prst="rect">
                            <a:avLst/>
                          </a:prstGeom>
                          <a:ln/>
                        </pic:spPr>
                      </pic:pic>
                    </a:graphicData>
                  </a:graphic>
                </wp:inline>
              </w:drawing>
            </w:r>
          </w:p>
        </w:tc>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18340153" wp14:editId="1E239E61">
                  <wp:extent cx="908295" cy="412750"/>
                  <wp:effectExtent l="0" t="0" r="6350" b="6350"/>
                  <wp:docPr id="11" name="image9.jpg" descr="C:\Users\Sofia\Downloads\CPDE.jpeg"/>
                  <wp:cNvGraphicFramePr/>
                  <a:graphic xmlns:a="http://schemas.openxmlformats.org/drawingml/2006/main">
                    <a:graphicData uri="http://schemas.openxmlformats.org/drawingml/2006/picture">
                      <pic:pic xmlns:pic="http://schemas.openxmlformats.org/drawingml/2006/picture">
                        <pic:nvPicPr>
                          <pic:cNvPr id="0" name="image9.jpg" descr="C:\Users\Sofia\Downloads\CPDE.jpeg"/>
                          <pic:cNvPicPr preferRelativeResize="0"/>
                        </pic:nvPicPr>
                        <pic:blipFill>
                          <a:blip r:embed="rId12"/>
                          <a:srcRect/>
                          <a:stretch>
                            <a:fillRect/>
                          </a:stretch>
                        </pic:blipFill>
                        <pic:spPr>
                          <a:xfrm>
                            <a:off x="0" y="0"/>
                            <a:ext cx="911448" cy="414183"/>
                          </a:xfrm>
                          <a:prstGeom prst="rect">
                            <a:avLst/>
                          </a:prstGeom>
                          <a:ln/>
                        </pic:spPr>
                      </pic:pic>
                    </a:graphicData>
                  </a:graphic>
                </wp:inline>
              </w:drawing>
            </w:r>
          </w:p>
        </w:tc>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hAnsi="Garamond"/>
                <w:color w:val="000000"/>
                <w:sz w:val="20"/>
                <w:szCs w:val="20"/>
              </w:rPr>
              <w:object w:dxaOrig="1403" w:dyaOrig="5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27pt" o:ole="">
                  <v:imagedata r:id="rId13" o:title=""/>
                </v:shape>
                <o:OLEObject Type="Embed" ProgID="PBrush" ShapeID="_x0000_i1025" DrawAspect="Content" ObjectID="_1721460466" r:id="rId14"/>
              </w:object>
            </w:r>
          </w:p>
        </w:tc>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577F9ED1" wp14:editId="55FC9EE0">
                  <wp:extent cx="1036489" cy="310662"/>
                  <wp:effectExtent l="0" t="0" r="0" b="0"/>
                  <wp:docPr id="12" name="image5.png" descr="C:\Users\Sofia\Downloads\logo 30 años escuela.png"/>
                  <wp:cNvGraphicFramePr/>
                  <a:graphic xmlns:a="http://schemas.openxmlformats.org/drawingml/2006/main">
                    <a:graphicData uri="http://schemas.openxmlformats.org/drawingml/2006/picture">
                      <pic:pic xmlns:pic="http://schemas.openxmlformats.org/drawingml/2006/picture">
                        <pic:nvPicPr>
                          <pic:cNvPr id="0" name="image5.png" descr="C:\Users\Sofia\Downloads\logo 30 años escuela.png"/>
                          <pic:cNvPicPr preferRelativeResize="0"/>
                        </pic:nvPicPr>
                        <pic:blipFill>
                          <a:blip r:embed="rId15"/>
                          <a:srcRect/>
                          <a:stretch>
                            <a:fillRect/>
                          </a:stretch>
                        </pic:blipFill>
                        <pic:spPr>
                          <a:xfrm>
                            <a:off x="0" y="0"/>
                            <a:ext cx="1039430" cy="311543"/>
                          </a:xfrm>
                          <a:prstGeom prst="rect">
                            <a:avLst/>
                          </a:prstGeom>
                          <a:ln/>
                        </pic:spPr>
                      </pic:pic>
                    </a:graphicData>
                  </a:graphic>
                </wp:inline>
              </w:drawing>
            </w:r>
          </w:p>
        </w:tc>
      </w:tr>
      <w:tr w:rsidR="008D78E6" w:rsidRPr="00E35204" w:rsidTr="004B1D93">
        <w:trPr>
          <w:trHeight w:val="863"/>
          <w:jc w:val="center"/>
        </w:trPr>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5767E73E" wp14:editId="481F16A1">
                  <wp:extent cx="1004707" cy="417524"/>
                  <wp:effectExtent l="0" t="0" r="0" b="0"/>
                  <wp:docPr id="13"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6"/>
                          <a:srcRect/>
                          <a:stretch>
                            <a:fillRect/>
                          </a:stretch>
                        </pic:blipFill>
                        <pic:spPr>
                          <a:xfrm>
                            <a:off x="0" y="0"/>
                            <a:ext cx="1004707" cy="417524"/>
                          </a:xfrm>
                          <a:prstGeom prst="rect">
                            <a:avLst/>
                          </a:prstGeom>
                          <a:ln/>
                        </pic:spPr>
                      </pic:pic>
                    </a:graphicData>
                  </a:graphic>
                </wp:inline>
              </w:drawing>
            </w:r>
          </w:p>
        </w:tc>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114300" distB="114300" distL="114300" distR="114300" wp14:anchorId="6BB407E9" wp14:editId="74A06549">
                  <wp:extent cx="674077" cy="468923"/>
                  <wp:effectExtent l="0" t="0" r="0" b="762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676859" cy="470858"/>
                          </a:xfrm>
                          <a:prstGeom prst="rect">
                            <a:avLst/>
                          </a:prstGeom>
                          <a:ln/>
                        </pic:spPr>
                      </pic:pic>
                    </a:graphicData>
                  </a:graphic>
                </wp:inline>
              </w:drawing>
            </w:r>
          </w:p>
        </w:tc>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485A943C" wp14:editId="55F59F3B">
                  <wp:extent cx="638175" cy="497840"/>
                  <wp:effectExtent l="0" t="0" r="9525" b="0"/>
                  <wp:docPr id="15" name="image13.jpg" descr="C:\Users\Sofia\Downloads\LOGO MESA D&amp;DD.jpg"/>
                  <wp:cNvGraphicFramePr/>
                  <a:graphic xmlns:a="http://schemas.openxmlformats.org/drawingml/2006/main">
                    <a:graphicData uri="http://schemas.openxmlformats.org/drawingml/2006/picture">
                      <pic:pic xmlns:pic="http://schemas.openxmlformats.org/drawingml/2006/picture">
                        <pic:nvPicPr>
                          <pic:cNvPr id="0" name="image13.jpg" descr="C:\Users\Sofia\Downloads\LOGO MESA D&amp;DD.jpg"/>
                          <pic:cNvPicPr preferRelativeResize="0"/>
                        </pic:nvPicPr>
                        <pic:blipFill>
                          <a:blip r:embed="rId18"/>
                          <a:srcRect/>
                          <a:stretch>
                            <a:fillRect/>
                          </a:stretch>
                        </pic:blipFill>
                        <pic:spPr>
                          <a:xfrm>
                            <a:off x="0" y="0"/>
                            <a:ext cx="643362" cy="501886"/>
                          </a:xfrm>
                          <a:prstGeom prst="rect">
                            <a:avLst/>
                          </a:prstGeom>
                          <a:ln/>
                        </pic:spPr>
                      </pic:pic>
                    </a:graphicData>
                  </a:graphic>
                </wp:inline>
              </w:drawing>
            </w:r>
          </w:p>
        </w:tc>
        <w:tc>
          <w:tcPr>
            <w:tcW w:w="1870" w:type="dxa"/>
          </w:tcPr>
          <w:p w:rsidR="008D78E6" w:rsidRPr="00E35204" w:rsidRDefault="008D78E6" w:rsidP="004B1D93">
            <w:pPr>
              <w:pBdr>
                <w:top w:val="nil"/>
                <w:left w:val="nil"/>
                <w:bottom w:val="nil"/>
                <w:right w:val="nil"/>
                <w:between w:val="nil"/>
              </w:pBdr>
              <w:spacing w:line="259" w:lineRule="auto"/>
              <w:jc w:val="both"/>
              <w:rPr>
                <w:rFonts w:ascii="Garamond" w:hAnsi="Garamond"/>
                <w:color w:val="000000"/>
                <w:sz w:val="20"/>
                <w:szCs w:val="20"/>
              </w:rPr>
            </w:pPr>
          </w:p>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4AEA87AE" wp14:editId="2263F19C">
                  <wp:extent cx="1035725" cy="266915"/>
                  <wp:effectExtent l="0" t="0" r="0" b="0"/>
                  <wp:docPr id="16" name="Imagen 16" descr="C:\Users\Sofia\Desktop\Logo Sav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ofia\Desktop\Logo Save.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65457" cy="300348"/>
                          </a:xfrm>
                          <a:prstGeom prst="rect">
                            <a:avLst/>
                          </a:prstGeom>
                          <a:noFill/>
                          <a:ln>
                            <a:noFill/>
                          </a:ln>
                        </pic:spPr>
                      </pic:pic>
                    </a:graphicData>
                  </a:graphic>
                </wp:inline>
              </w:drawing>
            </w:r>
          </w:p>
        </w:tc>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6F38A784" wp14:editId="6B7F557B">
                  <wp:extent cx="685800" cy="498230"/>
                  <wp:effectExtent l="0" t="0" r="0" b="0"/>
                  <wp:docPr id="17" name="image12.jpg" descr="C:\Users\Sofia\Downloads\LOGO-VOCES CIUDADANAS (1).jpg"/>
                  <wp:cNvGraphicFramePr/>
                  <a:graphic xmlns:a="http://schemas.openxmlformats.org/drawingml/2006/main">
                    <a:graphicData uri="http://schemas.openxmlformats.org/drawingml/2006/picture">
                      <pic:pic xmlns:pic="http://schemas.openxmlformats.org/drawingml/2006/picture">
                        <pic:nvPicPr>
                          <pic:cNvPr id="0" name="image12.jpg" descr="C:\Users\Sofia\Downloads\LOGO-VOCES CIUDADANAS (1).jpg"/>
                          <pic:cNvPicPr preferRelativeResize="0"/>
                        </pic:nvPicPr>
                        <pic:blipFill>
                          <a:blip r:embed="rId20"/>
                          <a:srcRect/>
                          <a:stretch>
                            <a:fillRect/>
                          </a:stretch>
                        </pic:blipFill>
                        <pic:spPr>
                          <a:xfrm>
                            <a:off x="0" y="0"/>
                            <a:ext cx="695652" cy="505388"/>
                          </a:xfrm>
                          <a:prstGeom prst="rect">
                            <a:avLst/>
                          </a:prstGeom>
                          <a:ln/>
                        </pic:spPr>
                      </pic:pic>
                    </a:graphicData>
                  </a:graphic>
                </wp:inline>
              </w:drawing>
            </w:r>
          </w:p>
        </w:tc>
      </w:tr>
      <w:tr w:rsidR="008D78E6" w:rsidRPr="00E35204" w:rsidTr="004B1D93">
        <w:trPr>
          <w:jc w:val="center"/>
        </w:trPr>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0EFF4A7F" wp14:editId="72D99285">
                  <wp:extent cx="523987" cy="504093"/>
                  <wp:effectExtent l="0" t="0" r="0" b="0"/>
                  <wp:docPr id="21" name="Imagen 21" descr="C:\Users\Sofia\Desktop\Logo CODI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ofia\Desktop\Logo CODIP.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8942" cy="556961"/>
                          </a:xfrm>
                          <a:prstGeom prst="rect">
                            <a:avLst/>
                          </a:prstGeom>
                          <a:noFill/>
                          <a:ln>
                            <a:noFill/>
                          </a:ln>
                        </pic:spPr>
                      </pic:pic>
                    </a:graphicData>
                  </a:graphic>
                </wp:inline>
              </w:drawing>
            </w:r>
          </w:p>
        </w:tc>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1FD6F4D9" wp14:editId="147BFE7A">
                  <wp:extent cx="684231" cy="474345"/>
                  <wp:effectExtent l="0" t="0" r="1905" b="1905"/>
                  <wp:docPr id="29" name="Imagen 29" descr="C:\Users\Sofia\Downloads\Cesi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ofia\Downloads\Cesip.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4965" cy="502584"/>
                          </a:xfrm>
                          <a:prstGeom prst="rect">
                            <a:avLst/>
                          </a:prstGeom>
                          <a:noFill/>
                          <a:ln>
                            <a:noFill/>
                          </a:ln>
                        </pic:spPr>
                      </pic:pic>
                    </a:graphicData>
                  </a:graphic>
                </wp:inline>
              </w:drawing>
            </w:r>
          </w:p>
        </w:tc>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hAnsi="Garamond"/>
                <w:color w:val="000000"/>
                <w:sz w:val="20"/>
                <w:szCs w:val="20"/>
              </w:rPr>
              <w:object w:dxaOrig="1486" w:dyaOrig="905">
                <v:shape id="_x0000_i1026" type="#_x0000_t75" style="width:62.25pt;height:38.25pt" o:ole="">
                  <v:imagedata r:id="rId23" o:title=""/>
                </v:shape>
                <o:OLEObject Type="Embed" ProgID="PBrush" ShapeID="_x0000_i1026" DrawAspect="Content" ObjectID="_1721460467" r:id="rId24"/>
              </w:object>
            </w:r>
          </w:p>
        </w:tc>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73DE5965" wp14:editId="3418780B">
                  <wp:extent cx="1073785" cy="403860"/>
                  <wp:effectExtent l="0" t="0" r="0" b="0"/>
                  <wp:docPr id="30" name="image14.png" descr="C:\Users\Sofia\Downloads\World Vision Logo.png"/>
                  <wp:cNvGraphicFramePr/>
                  <a:graphic xmlns:a="http://schemas.openxmlformats.org/drawingml/2006/main">
                    <a:graphicData uri="http://schemas.openxmlformats.org/drawingml/2006/picture">
                      <pic:pic xmlns:pic="http://schemas.openxmlformats.org/drawingml/2006/picture">
                        <pic:nvPicPr>
                          <pic:cNvPr id="0" name="image14.png" descr="C:\Users\Sofia\Downloads\World Vision Logo.png"/>
                          <pic:cNvPicPr preferRelativeResize="0"/>
                        </pic:nvPicPr>
                        <pic:blipFill>
                          <a:blip r:embed="rId25"/>
                          <a:srcRect/>
                          <a:stretch>
                            <a:fillRect/>
                          </a:stretch>
                        </pic:blipFill>
                        <pic:spPr>
                          <a:xfrm>
                            <a:off x="0" y="0"/>
                            <a:ext cx="1074301" cy="404054"/>
                          </a:xfrm>
                          <a:prstGeom prst="rect">
                            <a:avLst/>
                          </a:prstGeom>
                          <a:ln/>
                        </pic:spPr>
                      </pic:pic>
                    </a:graphicData>
                  </a:graphic>
                </wp:inline>
              </w:drawing>
            </w:r>
          </w:p>
        </w:tc>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29C21DAE" wp14:editId="16F97454">
                  <wp:extent cx="943464" cy="404446"/>
                  <wp:effectExtent l="0" t="0" r="0" b="0"/>
                  <wp:docPr id="31" name="image7.jpg" descr="C:\Users\Sofia\Downloads\Odisex Perú JPG-01 (2) (1).jpg"/>
                  <wp:cNvGraphicFramePr/>
                  <a:graphic xmlns:a="http://schemas.openxmlformats.org/drawingml/2006/main">
                    <a:graphicData uri="http://schemas.openxmlformats.org/drawingml/2006/picture">
                      <pic:pic xmlns:pic="http://schemas.openxmlformats.org/drawingml/2006/picture">
                        <pic:nvPicPr>
                          <pic:cNvPr id="0" name="image7.jpg" descr="C:\Users\Sofia\Downloads\Odisex Perú JPG-01 (2) (1).jpg"/>
                          <pic:cNvPicPr preferRelativeResize="0"/>
                        </pic:nvPicPr>
                        <pic:blipFill>
                          <a:blip r:embed="rId26"/>
                          <a:srcRect/>
                          <a:stretch>
                            <a:fillRect/>
                          </a:stretch>
                        </pic:blipFill>
                        <pic:spPr>
                          <a:xfrm>
                            <a:off x="0" y="0"/>
                            <a:ext cx="948620" cy="406656"/>
                          </a:xfrm>
                          <a:prstGeom prst="rect">
                            <a:avLst/>
                          </a:prstGeom>
                          <a:ln/>
                        </pic:spPr>
                      </pic:pic>
                    </a:graphicData>
                  </a:graphic>
                </wp:inline>
              </w:drawing>
            </w:r>
          </w:p>
        </w:tc>
      </w:tr>
      <w:tr w:rsidR="008D78E6" w:rsidRPr="00E35204" w:rsidTr="004B1D93">
        <w:trPr>
          <w:jc w:val="center"/>
        </w:trPr>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Pr>
                <w:color w:val="auto"/>
              </w:rPr>
              <w:object w:dxaOrig="9828" w:dyaOrig="11412">
                <v:shape id="_x0000_i1027" type="#_x0000_t75" style="width:35.25pt;height:41.25pt" o:ole="">
                  <v:imagedata r:id="rId27" o:title=""/>
                </v:shape>
                <o:OLEObject Type="Embed" ProgID="PBrush" ShapeID="_x0000_i1027" DrawAspect="Content" ObjectID="_1721460468" r:id="rId28"/>
              </w:object>
            </w:r>
          </w:p>
        </w:tc>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7AF0855E" wp14:editId="78395298">
                  <wp:extent cx="468923" cy="500521"/>
                  <wp:effectExtent l="0" t="0" r="7620" b="0"/>
                  <wp:docPr id="32" name="Imagen 32" descr="C:\Users\Sofia\Desktop\Logo Chirapa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ofia\Desktop\Logo Chirapaq.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5121" cy="517811"/>
                          </a:xfrm>
                          <a:prstGeom prst="rect">
                            <a:avLst/>
                          </a:prstGeom>
                          <a:noFill/>
                          <a:ln>
                            <a:noFill/>
                          </a:ln>
                        </pic:spPr>
                      </pic:pic>
                    </a:graphicData>
                  </a:graphic>
                </wp:inline>
              </w:drawing>
            </w:r>
          </w:p>
        </w:tc>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4A227D57" wp14:editId="282F50A4">
                  <wp:extent cx="873369" cy="397201"/>
                  <wp:effectExtent l="0" t="0" r="3175" b="3175"/>
                  <wp:docPr id="33" name="Imagen 33" descr="C:\Users\Sofia\Downloads\WhatsApp Image 2022-06-30 at 4.15.4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ofia\Downloads\WhatsApp Image 2022-06-30 at 4.15.42 PM.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87728" cy="403731"/>
                          </a:xfrm>
                          <a:prstGeom prst="rect">
                            <a:avLst/>
                          </a:prstGeom>
                          <a:noFill/>
                          <a:ln>
                            <a:noFill/>
                          </a:ln>
                        </pic:spPr>
                      </pic:pic>
                    </a:graphicData>
                  </a:graphic>
                </wp:inline>
              </w:drawing>
            </w:r>
          </w:p>
        </w:tc>
        <w:tc>
          <w:tcPr>
            <w:tcW w:w="1870" w:type="dxa"/>
          </w:tcPr>
          <w:p w:rsidR="008D78E6" w:rsidRPr="00E35204" w:rsidRDefault="008D78E6"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Pr>
                <w:color w:val="auto"/>
              </w:rPr>
              <w:object w:dxaOrig="8328" w:dyaOrig="7680">
                <v:shape id="_x0000_i1028" type="#_x0000_t75" style="width:46.5pt;height:43.5pt" o:ole="">
                  <v:imagedata r:id="rId31" o:title=""/>
                </v:shape>
                <o:OLEObject Type="Embed" ProgID="PBrush" ShapeID="_x0000_i1028" DrawAspect="Content" ObjectID="_1721460469" r:id="rId32"/>
              </w:object>
            </w:r>
          </w:p>
        </w:tc>
        <w:tc>
          <w:tcPr>
            <w:tcW w:w="1870" w:type="dxa"/>
          </w:tcPr>
          <w:p w:rsidR="008D78E6" w:rsidRPr="00E35204" w:rsidRDefault="005276D5" w:rsidP="004B1D93">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Pr>
                <w:rFonts w:ascii="Garamond" w:eastAsia="Garamond" w:hAnsi="Garamond" w:cs="Garamond"/>
                <w:b/>
                <w:noProof/>
                <w:color w:val="000000"/>
                <w:sz w:val="20"/>
                <w:szCs w:val="20"/>
                <w:lang w:val="en-GB" w:eastAsia="en-GB"/>
              </w:rPr>
              <w:drawing>
                <wp:inline distT="0" distB="0" distL="0" distR="0">
                  <wp:extent cx="958441" cy="30480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Logo Terre des Hommes.jpe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966391" cy="307328"/>
                          </a:xfrm>
                          <a:prstGeom prst="rect">
                            <a:avLst/>
                          </a:prstGeom>
                        </pic:spPr>
                      </pic:pic>
                    </a:graphicData>
                  </a:graphic>
                </wp:inline>
              </w:drawing>
            </w:r>
          </w:p>
        </w:tc>
      </w:tr>
    </w:tbl>
    <w:p w:rsidR="008D78E6" w:rsidRDefault="005276D5" w:rsidP="005276D5">
      <w:pPr>
        <w:pBdr>
          <w:top w:val="nil"/>
          <w:left w:val="nil"/>
          <w:bottom w:val="nil"/>
          <w:right w:val="nil"/>
          <w:between w:val="nil"/>
        </w:pBdr>
        <w:ind w:left="720"/>
        <w:jc w:val="center"/>
        <w:rPr>
          <w:rFonts w:ascii="Garamond" w:eastAsia="Garamond" w:hAnsi="Garamond" w:cs="Garamond"/>
          <w:b/>
          <w:color w:val="000000"/>
          <w:sz w:val="24"/>
          <w:szCs w:val="24"/>
        </w:rPr>
      </w:pPr>
      <w:r>
        <w:rPr>
          <w:noProof/>
          <w:color w:val="000000"/>
          <w:lang w:val="en-GB" w:eastAsia="en-GB"/>
        </w:rPr>
        <w:drawing>
          <wp:inline distT="0" distB="0" distL="0" distR="0" wp14:anchorId="1A849D48" wp14:editId="6C928907">
            <wp:extent cx="904875" cy="585787"/>
            <wp:effectExtent l="0" t="0" r="0" b="5080"/>
            <wp:docPr id="36"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9"/>
                    <a:srcRect/>
                    <a:stretch>
                      <a:fillRect/>
                    </a:stretch>
                  </pic:blipFill>
                  <pic:spPr>
                    <a:xfrm>
                      <a:off x="0" y="0"/>
                      <a:ext cx="924737" cy="598645"/>
                    </a:xfrm>
                    <a:prstGeom prst="rect">
                      <a:avLst/>
                    </a:prstGeom>
                    <a:ln/>
                  </pic:spPr>
                </pic:pic>
              </a:graphicData>
            </a:graphic>
          </wp:inline>
        </w:drawing>
      </w:r>
    </w:p>
    <w:p w:rsidR="001B6DEB" w:rsidRDefault="001B6DEB" w:rsidP="005276D5">
      <w:pPr>
        <w:pBdr>
          <w:top w:val="nil"/>
          <w:left w:val="nil"/>
          <w:bottom w:val="nil"/>
          <w:right w:val="nil"/>
          <w:between w:val="nil"/>
        </w:pBdr>
        <w:ind w:left="720"/>
        <w:jc w:val="center"/>
        <w:rPr>
          <w:rFonts w:ascii="Garamond" w:eastAsia="Garamond" w:hAnsi="Garamond" w:cs="Garamond"/>
          <w:b/>
          <w:color w:val="000000"/>
          <w:sz w:val="24"/>
          <w:szCs w:val="24"/>
        </w:rPr>
      </w:pPr>
    </w:p>
    <w:p w:rsidR="00552D89" w:rsidRDefault="00552D89">
      <w:pPr>
        <w:numPr>
          <w:ilvl w:val="0"/>
          <w:numId w:val="5"/>
        </w:numPr>
        <w:pBdr>
          <w:top w:val="nil"/>
          <w:left w:val="nil"/>
          <w:bottom w:val="nil"/>
          <w:right w:val="nil"/>
          <w:between w:val="nil"/>
        </w:pBdr>
        <w:spacing w:after="0"/>
        <w:jc w:val="both"/>
        <w:rPr>
          <w:b/>
          <w:color w:val="000000"/>
          <w:sz w:val="26"/>
          <w:szCs w:val="26"/>
        </w:rPr>
      </w:pPr>
      <w:r>
        <w:rPr>
          <w:rFonts w:ascii="Garamond" w:eastAsia="Garamond" w:hAnsi="Garamond" w:cs="Garamond"/>
          <w:b/>
          <w:color w:val="000000"/>
          <w:sz w:val="26"/>
          <w:szCs w:val="26"/>
        </w:rPr>
        <w:lastRenderedPageBreak/>
        <w:t xml:space="preserve">DERECHO A UNA VIDA LIBRE DE VIOLENCIA </w:t>
      </w:r>
    </w:p>
    <w:p w:rsidR="00552D89" w:rsidRDefault="00552D89">
      <w:pPr>
        <w:numPr>
          <w:ilvl w:val="1"/>
          <w:numId w:val="5"/>
        </w:numPr>
        <w:pBdr>
          <w:top w:val="nil"/>
          <w:left w:val="nil"/>
          <w:bottom w:val="nil"/>
          <w:right w:val="nil"/>
          <w:between w:val="nil"/>
        </w:pBdr>
        <w:jc w:val="both"/>
        <w:rPr>
          <w:b/>
          <w:color w:val="000000"/>
          <w:sz w:val="26"/>
          <w:szCs w:val="26"/>
        </w:rPr>
      </w:pPr>
      <w:r>
        <w:rPr>
          <w:rFonts w:ascii="Garamond" w:eastAsia="Garamond" w:hAnsi="Garamond" w:cs="Garamond"/>
          <w:b/>
          <w:color w:val="000000"/>
          <w:sz w:val="26"/>
          <w:szCs w:val="26"/>
        </w:rPr>
        <w:t>Derecho a una vida libre de violencia para niñas, niños y adolescentes</w:t>
      </w:r>
    </w:p>
    <w:p w:rsidR="00552D89" w:rsidRDefault="00552D89">
      <w:pPr>
        <w:jc w:val="center"/>
        <w:rPr>
          <w:rFonts w:ascii="Garamond" w:eastAsia="Garamond" w:hAnsi="Garamond" w:cs="Garamond"/>
          <w:b/>
          <w:sz w:val="24"/>
          <w:szCs w:val="24"/>
          <w:highlight w:val="yellow"/>
        </w:rPr>
      </w:pPr>
    </w:p>
    <w:tbl>
      <w:tblPr>
        <w:tblStyle w:val="a1"/>
        <w:tblW w:w="936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620"/>
        <w:gridCol w:w="7740"/>
      </w:tblGrid>
      <w:tr w:rsidR="00552D89" w:rsidTr="00975F39">
        <w:trPr>
          <w:cnfStyle w:val="100000000000" w:firstRow="1" w:lastRow="0" w:firstColumn="0" w:lastColumn="0" w:oddVBand="0" w:evenVBand="0" w:oddHBand="0" w:evenHBand="0" w:firstRowFirstColumn="0" w:firstRowLastColumn="0" w:lastRowFirstColumn="0" w:lastRowLastColumn="0"/>
          <w:trHeight w:val="1097"/>
        </w:trPr>
        <w:tc>
          <w:tcPr>
            <w:cnfStyle w:val="001000000000" w:firstRow="0" w:lastRow="0" w:firstColumn="1" w:lastColumn="0" w:oddVBand="0" w:evenVBand="0" w:oddHBand="0" w:evenHBand="0" w:firstRowFirstColumn="0" w:firstRowLastColumn="0" w:lastRowFirstColumn="0" w:lastRowLastColumn="0"/>
            <w:tcW w:w="1620" w:type="dxa"/>
            <w:vAlign w:val="center"/>
          </w:tcPr>
          <w:p w:rsidR="00552D89" w:rsidRPr="00812DBF" w:rsidRDefault="00552D89">
            <w:pPr>
              <w:rPr>
                <w:rFonts w:ascii="Garamond" w:eastAsia="Garamond" w:hAnsi="Garamond" w:cs="Garamond"/>
              </w:rPr>
            </w:pPr>
            <w:r w:rsidRPr="00812DBF">
              <w:rPr>
                <w:rFonts w:ascii="Garamond" w:eastAsia="Garamond" w:hAnsi="Garamond" w:cs="Garamond"/>
                <w:b w:val="0"/>
                <w:color w:val="4472C4"/>
              </w:rPr>
              <w:t>RECOMENDACIÓN</w:t>
            </w:r>
          </w:p>
        </w:tc>
        <w:tc>
          <w:tcPr>
            <w:tcW w:w="7740" w:type="dxa"/>
            <w:vAlign w:val="center"/>
          </w:tcPr>
          <w:p w:rsidR="00334116" w:rsidRPr="00812DBF" w:rsidRDefault="00334116">
            <w:pPr>
              <w:jc w:val="both"/>
              <w:cnfStyle w:val="100000000000" w:firstRow="1" w:lastRow="0" w:firstColumn="0" w:lastColumn="0" w:oddVBand="0" w:evenVBand="0" w:oddHBand="0" w:evenHBand="0" w:firstRowFirstColumn="0" w:firstRowLastColumn="0" w:lastRowFirstColumn="0" w:lastRowLastColumn="0"/>
              <w:rPr>
                <w:rFonts w:ascii="Garamond" w:eastAsia="Garamond" w:hAnsi="Garamond" w:cs="Garamond"/>
                <w:b w:val="0"/>
                <w:color w:val="000000"/>
              </w:rPr>
            </w:pPr>
            <w:r w:rsidRPr="00812DBF">
              <w:rPr>
                <w:rFonts w:ascii="Garamond" w:eastAsia="Garamond" w:hAnsi="Garamond" w:cs="Garamond"/>
                <w:b w:val="0"/>
                <w:color w:val="000000"/>
              </w:rPr>
              <w:t>CEDAW, 2022</w:t>
            </w:r>
          </w:p>
          <w:p w:rsidR="00552D89" w:rsidRPr="00812DBF" w:rsidRDefault="00552D89">
            <w:pPr>
              <w:jc w:val="both"/>
              <w:cnfStyle w:val="100000000000" w:firstRow="1"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b w:val="0"/>
                <w:color w:val="000000"/>
              </w:rPr>
              <w:t>EPU 2017</w:t>
            </w:r>
            <w:r w:rsidRPr="00812DBF">
              <w:rPr>
                <w:rFonts w:ascii="Garamond" w:eastAsia="Garamond" w:hAnsi="Garamond" w:cs="Garamond"/>
                <w:b w:val="0"/>
                <w:color w:val="000000"/>
                <w:vertAlign w:val="superscript"/>
              </w:rPr>
              <w:endnoteReference w:id="1"/>
            </w:r>
            <w:r w:rsidRPr="00812DBF">
              <w:rPr>
                <w:rFonts w:ascii="Garamond" w:eastAsia="Garamond" w:hAnsi="Garamond" w:cs="Garamond"/>
                <w:b w:val="0"/>
                <w:color w:val="000000"/>
              </w:rPr>
              <w:t>.</w:t>
            </w:r>
          </w:p>
          <w:p w:rsidR="00552D89" w:rsidRPr="00812DBF" w:rsidRDefault="00552D89">
            <w:pPr>
              <w:jc w:val="both"/>
              <w:cnfStyle w:val="100000000000" w:firstRow="1" w:lastRow="0" w:firstColumn="0" w:lastColumn="0" w:oddVBand="0" w:evenVBand="0" w:oddHBand="0" w:evenHBand="0" w:firstRowFirstColumn="0" w:firstRowLastColumn="0" w:lastRowFirstColumn="0" w:lastRowLastColumn="0"/>
              <w:rPr>
                <w:rFonts w:ascii="Garamond" w:eastAsia="Garamond" w:hAnsi="Garamond" w:cs="Garamond"/>
              </w:rPr>
            </w:pPr>
            <w:r w:rsidRPr="00812DBF">
              <w:rPr>
                <w:rFonts w:ascii="Garamond" w:eastAsia="Garamond" w:hAnsi="Garamond" w:cs="Garamond"/>
                <w:b w:val="0"/>
                <w:color w:val="000000"/>
              </w:rPr>
              <w:t>Comité de los Derechos del Niño</w:t>
            </w:r>
            <w:r w:rsidRPr="00812DBF">
              <w:rPr>
                <w:rFonts w:ascii="Garamond" w:eastAsia="Garamond" w:hAnsi="Garamond" w:cs="Garamond"/>
                <w:b w:val="0"/>
                <w:color w:val="000000"/>
                <w:vertAlign w:val="superscript"/>
              </w:rPr>
              <w:endnoteReference w:id="2"/>
            </w:r>
            <w:r w:rsidRPr="00812DBF">
              <w:rPr>
                <w:rFonts w:ascii="Garamond" w:eastAsia="Garamond" w:hAnsi="Garamond" w:cs="Garamond"/>
                <w:b w:val="0"/>
                <w:color w:val="000000"/>
              </w:rPr>
              <w:t xml:space="preserve"> y ODS</w:t>
            </w:r>
            <w:r w:rsidRPr="00812DBF">
              <w:rPr>
                <w:rFonts w:ascii="Garamond" w:eastAsia="Garamond" w:hAnsi="Garamond" w:cs="Garamond"/>
                <w:b w:val="0"/>
                <w:color w:val="000000"/>
                <w:vertAlign w:val="superscript"/>
              </w:rPr>
              <w:endnoteReference w:id="3"/>
            </w:r>
            <w:r w:rsidRPr="00812DBF">
              <w:rPr>
                <w:rFonts w:ascii="Garamond" w:eastAsia="Garamond" w:hAnsi="Garamond" w:cs="Garamond"/>
                <w:b w:val="0"/>
                <w:color w:val="000000"/>
              </w:rPr>
              <w:t>.</w:t>
            </w:r>
          </w:p>
        </w:tc>
      </w:tr>
      <w:tr w:rsidR="00552D89" w:rsidTr="00975F39">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1620" w:type="dxa"/>
            <w:shd w:val="clear" w:color="auto" w:fill="B4C6E7" w:themeFill="accent5" w:themeFillTint="66"/>
          </w:tcPr>
          <w:p w:rsidR="00552D89" w:rsidRPr="00812DBF" w:rsidRDefault="00552D89">
            <w:pPr>
              <w:pBdr>
                <w:top w:val="nil"/>
                <w:left w:val="nil"/>
                <w:bottom w:val="nil"/>
                <w:right w:val="nil"/>
                <w:between w:val="nil"/>
              </w:pBdr>
              <w:jc w:val="both"/>
              <w:rPr>
                <w:rFonts w:ascii="Garamond" w:eastAsia="Garamond" w:hAnsi="Garamond" w:cs="Garamond"/>
                <w:color w:val="4472C4"/>
              </w:rPr>
            </w:pPr>
            <w:r w:rsidRPr="00812DBF">
              <w:rPr>
                <w:rFonts w:ascii="Garamond" w:eastAsia="Garamond" w:hAnsi="Garamond" w:cs="Garamond"/>
                <w:b w:val="0"/>
                <w:color w:val="4472C4"/>
              </w:rPr>
              <w:t>1. NIVEL DE IMPLEMENTACIÓN</w:t>
            </w:r>
          </w:p>
        </w:tc>
        <w:tc>
          <w:tcPr>
            <w:tcW w:w="7740" w:type="dxa"/>
            <w:shd w:val="clear" w:color="auto" w:fill="B4C6E7" w:themeFill="accent5" w:themeFillTint="66"/>
          </w:tcPr>
          <w:p w:rsidR="00552D89" w:rsidRPr="00812DBF" w:rsidRDefault="00552D89">
            <w:pPr>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rPr>
            </w:pPr>
          </w:p>
          <w:p w:rsidR="00552D89" w:rsidRPr="00812DBF" w:rsidRDefault="00552D89">
            <w:pP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b/>
                <w:color w:val="ED7D31"/>
              </w:rPr>
            </w:pPr>
            <w:r w:rsidRPr="00812DBF">
              <w:rPr>
                <w:rFonts w:ascii="Garamond" w:eastAsia="Garamond" w:hAnsi="Garamond" w:cs="Garamond"/>
                <w:b/>
                <w:color w:val="ED7D31"/>
              </w:rPr>
              <w:t>Aplicado parcialmente</w:t>
            </w:r>
          </w:p>
          <w:p w:rsidR="00552D89" w:rsidRPr="00812DBF" w:rsidRDefault="00552D89">
            <w:pPr>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highlight w:val="yellow"/>
              </w:rPr>
            </w:pPr>
          </w:p>
        </w:tc>
      </w:tr>
      <w:tr w:rsidR="00552D89" w:rsidTr="00975F39">
        <w:tc>
          <w:tcPr>
            <w:cnfStyle w:val="001000000000" w:firstRow="0" w:lastRow="0" w:firstColumn="1" w:lastColumn="0" w:oddVBand="0" w:evenVBand="0" w:oddHBand="0" w:evenHBand="0" w:firstRowFirstColumn="0" w:firstRowLastColumn="0" w:lastRowFirstColumn="0" w:lastRowLastColumn="0"/>
            <w:tcW w:w="1620" w:type="dxa"/>
          </w:tcPr>
          <w:p w:rsidR="00552D89" w:rsidRPr="00812DBF" w:rsidRDefault="00552D89">
            <w:pPr>
              <w:pBdr>
                <w:top w:val="nil"/>
                <w:left w:val="nil"/>
                <w:bottom w:val="nil"/>
                <w:right w:val="nil"/>
                <w:between w:val="nil"/>
              </w:pBdr>
              <w:jc w:val="both"/>
              <w:rPr>
                <w:rFonts w:ascii="Garamond" w:eastAsia="Garamond" w:hAnsi="Garamond" w:cs="Garamond"/>
                <w:color w:val="4472C4"/>
              </w:rPr>
            </w:pPr>
          </w:p>
          <w:p w:rsidR="00552D89" w:rsidRPr="00812DBF" w:rsidRDefault="00552D89">
            <w:pPr>
              <w:pBdr>
                <w:top w:val="nil"/>
                <w:left w:val="nil"/>
                <w:bottom w:val="nil"/>
                <w:right w:val="nil"/>
                <w:between w:val="nil"/>
              </w:pBdr>
              <w:jc w:val="both"/>
              <w:rPr>
                <w:rFonts w:ascii="Garamond" w:eastAsia="Garamond" w:hAnsi="Garamond" w:cs="Garamond"/>
                <w:color w:val="4472C4"/>
              </w:rPr>
            </w:pPr>
            <w:r w:rsidRPr="00812DBF">
              <w:rPr>
                <w:rFonts w:ascii="Garamond" w:eastAsia="Garamond" w:hAnsi="Garamond" w:cs="Garamond"/>
                <w:b w:val="0"/>
                <w:color w:val="4472C4"/>
              </w:rPr>
              <w:t>2. CONTEXTO</w:t>
            </w:r>
          </w:p>
          <w:p w:rsidR="00552D89" w:rsidRPr="00812DBF" w:rsidRDefault="00552D89">
            <w:pPr>
              <w:pBdr>
                <w:top w:val="nil"/>
                <w:left w:val="nil"/>
                <w:bottom w:val="nil"/>
                <w:right w:val="nil"/>
                <w:between w:val="nil"/>
              </w:pBdr>
              <w:ind w:left="720"/>
              <w:jc w:val="both"/>
              <w:rPr>
                <w:rFonts w:ascii="Garamond" w:eastAsia="Garamond" w:hAnsi="Garamond" w:cs="Garamond"/>
                <w:color w:val="4472C4"/>
              </w:rPr>
            </w:pPr>
          </w:p>
        </w:tc>
        <w:tc>
          <w:tcPr>
            <w:tcW w:w="7740" w:type="dxa"/>
          </w:tcPr>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highlight w:val="white"/>
              </w:rPr>
            </w:pPr>
            <w:r w:rsidRPr="00812DBF">
              <w:rPr>
                <w:rFonts w:ascii="Garamond" w:eastAsia="Garamond" w:hAnsi="Garamond" w:cs="Garamond"/>
                <w:color w:val="000000"/>
              </w:rPr>
              <w:t>Existe un marco normativo que establece un</w:t>
            </w:r>
            <w:r w:rsidR="004B1D93" w:rsidRPr="00812DBF">
              <w:rPr>
                <w:rFonts w:ascii="Garamond" w:eastAsia="Garamond" w:hAnsi="Garamond" w:cs="Garamond"/>
                <w:color w:val="000000"/>
              </w:rPr>
              <w:t xml:space="preserve"> sistema de protección hacia</w:t>
            </w:r>
            <w:r w:rsidRPr="00812DBF">
              <w:rPr>
                <w:rFonts w:ascii="Garamond" w:eastAsia="Garamond" w:hAnsi="Garamond" w:cs="Garamond"/>
                <w:color w:val="000000"/>
              </w:rPr>
              <w:t xml:space="preserve"> niñas, niños y adolescentes (NNA</w:t>
            </w:r>
            <w:r w:rsidRPr="00812DBF">
              <w:rPr>
                <w:rFonts w:ascii="Garamond" w:eastAsia="Garamond" w:hAnsi="Garamond" w:cs="Garamond"/>
                <w:color w:val="000000"/>
                <w:vertAlign w:val="superscript"/>
              </w:rPr>
              <w:endnoteReference w:id="4"/>
            </w:r>
            <w:r w:rsidRPr="00812DBF">
              <w:rPr>
                <w:rFonts w:ascii="Garamond" w:eastAsia="Garamond" w:hAnsi="Garamond" w:cs="Garamond"/>
                <w:color w:val="000000"/>
              </w:rPr>
              <w:t>) víctimas de todo tipo de violencia acorde con el derecho internacional de los derechos humanos</w:t>
            </w:r>
            <w:r w:rsidRPr="00812DBF">
              <w:rPr>
                <w:rFonts w:ascii="Garamond" w:eastAsia="Garamond" w:hAnsi="Garamond" w:cs="Garamond"/>
                <w:color w:val="000000"/>
                <w:vertAlign w:val="superscript"/>
              </w:rPr>
              <w:endnoteReference w:id="5"/>
            </w:r>
            <w:r w:rsidRPr="00812DBF">
              <w:rPr>
                <w:rFonts w:ascii="Garamond" w:eastAsia="Garamond" w:hAnsi="Garamond" w:cs="Garamond"/>
                <w:color w:val="000000"/>
              </w:rPr>
              <w:t xml:space="preserve">. Sin embargo, no se </w:t>
            </w:r>
            <w:r w:rsidRPr="00812DBF">
              <w:rPr>
                <w:rFonts w:ascii="Garamond" w:eastAsia="Garamond" w:hAnsi="Garamond" w:cs="Garamond"/>
                <w:color w:val="000000"/>
                <w:highlight w:val="white"/>
              </w:rPr>
              <w:t>implementa en su totalidad.</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color w:val="000000"/>
              </w:rPr>
              <w:t>Las penas son altas, cadena perpetua a violadores de NNA menores de 14 años y 30 a 35 años para mayores de 14 hasta 18 años, pero no se aplican. Incluso existe la imprescriptibilidad de la pena y de la acción penal.</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b/>
                <w:color w:val="000000"/>
              </w:rPr>
              <w:t>Violencia contra NNA</w:t>
            </w:r>
            <w:r w:rsidRPr="00812DBF">
              <w:rPr>
                <w:rFonts w:ascii="Garamond" w:eastAsia="Garamond" w:hAnsi="Garamond" w:cs="Garamond"/>
                <w:color w:val="000000"/>
              </w:rPr>
              <w:t>:</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color w:val="000000"/>
              </w:rPr>
              <w:t>El Centro de Em</w:t>
            </w:r>
            <w:r w:rsidR="00E4667A" w:rsidRPr="00812DBF">
              <w:rPr>
                <w:rFonts w:ascii="Garamond" w:eastAsia="Garamond" w:hAnsi="Garamond" w:cs="Garamond"/>
                <w:color w:val="000000"/>
              </w:rPr>
              <w:t xml:space="preserve">ergencia Mujer de enero a junio </w:t>
            </w:r>
            <w:r w:rsidRPr="00812DBF">
              <w:rPr>
                <w:rFonts w:ascii="Garamond" w:eastAsia="Garamond" w:hAnsi="Garamond" w:cs="Garamond"/>
                <w:color w:val="000000"/>
              </w:rPr>
              <w:t>del 2022</w:t>
            </w:r>
            <w:r w:rsidR="00E4667A" w:rsidRPr="00812DBF">
              <w:rPr>
                <w:rFonts w:ascii="Garamond" w:eastAsia="Garamond" w:hAnsi="Garamond" w:cs="Garamond"/>
                <w:color w:val="000000"/>
              </w:rPr>
              <w:t>: registró 2</w:t>
            </w:r>
            <w:r w:rsidRPr="00812DBF">
              <w:rPr>
                <w:rFonts w:ascii="Garamond" w:eastAsia="Garamond" w:hAnsi="Garamond" w:cs="Garamond"/>
                <w:color w:val="000000"/>
              </w:rPr>
              <w:t>7,</w:t>
            </w:r>
            <w:r w:rsidR="00E4667A" w:rsidRPr="00812DBF">
              <w:rPr>
                <w:rFonts w:ascii="Garamond" w:eastAsia="Garamond" w:hAnsi="Garamond" w:cs="Garamond"/>
                <w:color w:val="000000"/>
              </w:rPr>
              <w:t xml:space="preserve">155 casos de violencia física (7512), </w:t>
            </w:r>
            <w:r w:rsidRPr="00812DBF">
              <w:rPr>
                <w:rFonts w:ascii="Garamond" w:eastAsia="Garamond" w:hAnsi="Garamond" w:cs="Garamond"/>
                <w:color w:val="000000"/>
              </w:rPr>
              <w:t>psicológica</w:t>
            </w:r>
            <w:r w:rsidR="00E4667A" w:rsidRPr="00812DBF">
              <w:rPr>
                <w:rFonts w:ascii="Garamond" w:eastAsia="Garamond" w:hAnsi="Garamond" w:cs="Garamond"/>
                <w:color w:val="000000"/>
              </w:rPr>
              <w:t xml:space="preserve"> (10,166), </w:t>
            </w:r>
            <w:r w:rsidRPr="00812DBF">
              <w:rPr>
                <w:rFonts w:ascii="Garamond" w:eastAsia="Garamond" w:hAnsi="Garamond" w:cs="Garamond"/>
                <w:color w:val="000000"/>
              </w:rPr>
              <w:t>sexual</w:t>
            </w:r>
            <w:r w:rsidR="00E4667A" w:rsidRPr="00812DBF">
              <w:rPr>
                <w:rFonts w:ascii="Garamond" w:eastAsia="Garamond" w:hAnsi="Garamond" w:cs="Garamond"/>
                <w:color w:val="000000"/>
              </w:rPr>
              <w:t xml:space="preserve"> (9306)</w:t>
            </w:r>
            <w:r w:rsidRPr="00812DBF">
              <w:rPr>
                <w:rFonts w:ascii="Garamond" w:eastAsia="Garamond" w:hAnsi="Garamond" w:cs="Garamond"/>
                <w:color w:val="000000"/>
              </w:rPr>
              <w:t xml:space="preserve"> y económica</w:t>
            </w:r>
            <w:r w:rsidR="00E4667A" w:rsidRPr="00812DBF">
              <w:rPr>
                <w:rFonts w:ascii="Garamond" w:eastAsia="Garamond" w:hAnsi="Garamond" w:cs="Garamond"/>
                <w:color w:val="000000"/>
              </w:rPr>
              <w:t xml:space="preserve"> (171)</w:t>
            </w:r>
            <w:r w:rsidRPr="00812DBF">
              <w:rPr>
                <w:rFonts w:ascii="Garamond" w:eastAsia="Garamond" w:hAnsi="Garamond" w:cs="Garamond"/>
                <w:color w:val="000000"/>
              </w:rPr>
              <w:t xml:space="preserve"> contra NNA. En el 2021, 52,104 casos de violencia física 29.9%, psicológica 39.6%, sexual 29.9% y económica 0.6% contra NNA. En el 2020, 35,661 casos de violencia física 29%, psicológica 43% y sexual 27%. En el 2019, 55,565 casos de violencia física 32%, psicológica 45% y sexual 22%</w:t>
            </w:r>
            <w:r w:rsidRPr="00812DBF">
              <w:rPr>
                <w:rFonts w:ascii="Garamond" w:eastAsia="Garamond" w:hAnsi="Garamond" w:cs="Garamond"/>
                <w:color w:val="000000"/>
                <w:vertAlign w:val="superscript"/>
              </w:rPr>
              <w:endnoteReference w:id="6"/>
            </w:r>
            <w:r w:rsidRPr="00812DBF">
              <w:rPr>
                <w:rFonts w:ascii="Garamond" w:eastAsia="Garamond" w:hAnsi="Garamond" w:cs="Garamond"/>
                <w:color w:val="000000"/>
              </w:rPr>
              <w:t>.</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b/>
                <w:color w:val="000000"/>
              </w:rPr>
              <w:t>Salud Mental</w:t>
            </w:r>
            <w:r w:rsidRPr="00812DBF">
              <w:rPr>
                <w:rFonts w:ascii="Garamond" w:eastAsia="Garamond" w:hAnsi="Garamond" w:cs="Garamond"/>
                <w:color w:val="000000"/>
              </w:rPr>
              <w:t>, debido a la pandemia por la Covid-19 aumentó la violencia contra NNA. En el 2021, el 60.3% de los niños de 6 a 11 años, el 44.4% en edades de 1.5 a 5 años y el 59.3% de los adolescentes sufrieron maltrato físico de sus cuidadores</w:t>
            </w:r>
            <w:r w:rsidRPr="00812DBF">
              <w:rPr>
                <w:rFonts w:ascii="Garamond" w:eastAsia="Garamond" w:hAnsi="Garamond" w:cs="Garamond"/>
                <w:color w:val="000000"/>
                <w:vertAlign w:val="superscript"/>
              </w:rPr>
              <w:endnoteReference w:id="7"/>
            </w:r>
            <w:r w:rsidRPr="00812DBF">
              <w:rPr>
                <w:rFonts w:ascii="Garamond" w:eastAsia="Garamond" w:hAnsi="Garamond" w:cs="Garamond"/>
                <w:color w:val="000000"/>
              </w:rPr>
              <w:t>.</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rPr>
            </w:pPr>
            <w:r w:rsidRPr="00812DBF">
              <w:rPr>
                <w:rFonts w:ascii="Garamond" w:eastAsia="Garamond" w:hAnsi="Garamond" w:cs="Garamond"/>
                <w:b/>
                <w:color w:val="000000"/>
              </w:rPr>
              <w:t>Violencia sexual tiene rostro de niña y adolescente</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color w:val="000000"/>
              </w:rPr>
              <w:t xml:space="preserve">De enero a </w:t>
            </w:r>
            <w:r w:rsidR="00E4667A" w:rsidRPr="00812DBF">
              <w:rPr>
                <w:rFonts w:ascii="Garamond" w:eastAsia="Garamond" w:hAnsi="Garamond" w:cs="Garamond"/>
                <w:color w:val="000000"/>
              </w:rPr>
              <w:t>junio</w:t>
            </w:r>
            <w:r w:rsidRPr="00812DBF">
              <w:rPr>
                <w:rFonts w:ascii="Garamond" w:eastAsia="Garamond" w:hAnsi="Garamond" w:cs="Garamond"/>
                <w:color w:val="000000"/>
              </w:rPr>
              <w:t xml:space="preserve"> del 2022, se registró </w:t>
            </w:r>
            <w:r w:rsidR="00E4667A" w:rsidRPr="00812DBF">
              <w:rPr>
                <w:rFonts w:ascii="Garamond" w:eastAsia="Garamond" w:hAnsi="Garamond" w:cs="Garamond"/>
                <w:color w:val="000000"/>
              </w:rPr>
              <w:t>9306</w:t>
            </w:r>
            <w:r w:rsidRPr="00812DBF">
              <w:rPr>
                <w:rFonts w:ascii="Garamond" w:eastAsia="Garamond" w:hAnsi="Garamond" w:cs="Garamond"/>
                <w:color w:val="000000"/>
              </w:rPr>
              <w:t xml:space="preserve"> casos de </w:t>
            </w:r>
            <w:r w:rsidRPr="00812DBF">
              <w:rPr>
                <w:rFonts w:ascii="Garamond" w:eastAsia="Garamond" w:hAnsi="Garamond" w:cs="Garamond"/>
                <w:b/>
                <w:color w:val="000000"/>
              </w:rPr>
              <w:t>violencia sexual</w:t>
            </w:r>
            <w:r w:rsidR="00E4667A" w:rsidRPr="00812DBF">
              <w:rPr>
                <w:rFonts w:ascii="Garamond" w:eastAsia="Garamond" w:hAnsi="Garamond" w:cs="Garamond"/>
                <w:color w:val="000000"/>
              </w:rPr>
              <w:t xml:space="preserve"> contra</w:t>
            </w:r>
            <w:r w:rsidRPr="00812DBF">
              <w:rPr>
                <w:rFonts w:ascii="Garamond" w:eastAsia="Garamond" w:hAnsi="Garamond" w:cs="Garamond"/>
                <w:color w:val="000000"/>
              </w:rPr>
              <w:t xml:space="preserve"> NNA entre 0 y 17 años</w:t>
            </w:r>
            <w:r w:rsidR="00812DBF" w:rsidRPr="00812DBF">
              <w:rPr>
                <w:rFonts w:ascii="Garamond" w:eastAsia="Garamond" w:hAnsi="Garamond" w:cs="Garamond"/>
                <w:color w:val="000000"/>
              </w:rPr>
              <w:t xml:space="preserve"> y, en el 78.8% de los casos existe una relación de tipo familiar entre el posible perpetrador y la víctima</w:t>
            </w:r>
            <w:r w:rsidRPr="00812DBF">
              <w:rPr>
                <w:rFonts w:ascii="Garamond" w:eastAsia="Garamond" w:hAnsi="Garamond" w:cs="Garamond"/>
                <w:color w:val="000000"/>
              </w:rPr>
              <w:t>. Entre enero y diciembre del 2021, 22,456 casos, el 94.5% mujeres; y, el 69.6% NNA entre 0 y 17 años; en el año 2020, 13,843 casos, 93.7% mujeres y, 69.2% NNA de 0 a 17; en el 2019, 18,044 casos, 93.9% mujeres; 68.5% NNA de 0 a 17 años; y, en el 2018, 12,839, 93% mujeres y, 69.8% NNA entre 0 y 17 años</w:t>
            </w:r>
            <w:r w:rsidRPr="00812DBF">
              <w:rPr>
                <w:rFonts w:ascii="Garamond" w:eastAsia="Garamond" w:hAnsi="Garamond" w:cs="Garamond"/>
                <w:color w:val="000000"/>
                <w:vertAlign w:val="superscript"/>
              </w:rPr>
              <w:endnoteReference w:id="8"/>
            </w:r>
            <w:r w:rsidR="00E4667A" w:rsidRPr="00812DBF">
              <w:rPr>
                <w:rFonts w:ascii="Garamond" w:eastAsia="Garamond" w:hAnsi="Garamond" w:cs="Garamond"/>
                <w:color w:val="000000"/>
              </w:rPr>
              <w:t xml:space="preserve">. </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highlight w:val="white"/>
              </w:rPr>
            </w:pP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highlight w:val="white"/>
              </w:rPr>
            </w:pPr>
            <w:r w:rsidRPr="00812DBF">
              <w:rPr>
                <w:rFonts w:ascii="Garamond" w:eastAsia="Garamond" w:hAnsi="Garamond" w:cs="Garamond"/>
                <w:color w:val="000000"/>
              </w:rPr>
              <w:t>En el 2021, MINSA</w:t>
            </w:r>
            <w:r w:rsidRPr="00812DBF">
              <w:rPr>
                <w:rFonts w:ascii="Garamond" w:eastAsia="Garamond" w:hAnsi="Garamond" w:cs="Garamond"/>
                <w:color w:val="000000"/>
                <w:vertAlign w:val="superscript"/>
              </w:rPr>
              <w:endnoteReference w:id="9"/>
            </w:r>
            <w:r w:rsidRPr="00812DBF">
              <w:rPr>
                <w:rFonts w:ascii="Garamond" w:eastAsia="Garamond" w:hAnsi="Garamond" w:cs="Garamond"/>
                <w:color w:val="000000"/>
              </w:rPr>
              <w:t xml:space="preserve"> entregó el </w:t>
            </w:r>
            <w:r w:rsidRPr="00812DBF">
              <w:rPr>
                <w:rFonts w:ascii="Garamond" w:eastAsia="Garamond" w:hAnsi="Garamond" w:cs="Garamond"/>
                <w:b/>
                <w:color w:val="000000"/>
              </w:rPr>
              <w:t>kit de emergencia sexual</w:t>
            </w:r>
            <w:r w:rsidRPr="00812DBF">
              <w:rPr>
                <w:rFonts w:ascii="Garamond" w:eastAsia="Garamond" w:hAnsi="Garamond" w:cs="Garamond"/>
                <w:color w:val="000000"/>
              </w:rPr>
              <w:t xml:space="preserve"> sólo a 2,519 víctimas de violación sexual (el 65 % son NNA); en el 2020 a 1,325 y, en el 2019 a 564. Pero, solo el 5% de las víctimas de violencia sexual acuden a un servicio de salud.</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highlight w:val="white"/>
              </w:rPr>
            </w:pP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color w:val="000000"/>
              </w:rPr>
              <w:t xml:space="preserve">El </w:t>
            </w:r>
            <w:r w:rsidRPr="00812DBF">
              <w:rPr>
                <w:rFonts w:ascii="Garamond" w:eastAsia="Garamond" w:hAnsi="Garamond" w:cs="Garamond"/>
                <w:b/>
                <w:color w:val="000000"/>
              </w:rPr>
              <w:t>agresor es un pariente de la víctima o una persona conocida</w:t>
            </w:r>
            <w:r w:rsidRPr="00812DBF">
              <w:rPr>
                <w:rFonts w:ascii="Garamond" w:eastAsia="Garamond" w:hAnsi="Garamond" w:cs="Garamond"/>
                <w:color w:val="000000"/>
              </w:rPr>
              <w:t>. El 51% de los agresores de NNA víctimas de violencia sexual eran del entorno familiar (tío, padrastro, padre, primo, hermano y abuelo) y en el 59.4% de los casos ocurrió más de una vez</w:t>
            </w:r>
            <w:r w:rsidRPr="00812DBF">
              <w:rPr>
                <w:rFonts w:ascii="Garamond" w:eastAsia="Garamond" w:hAnsi="Garamond" w:cs="Garamond"/>
                <w:color w:val="000000"/>
                <w:vertAlign w:val="superscript"/>
              </w:rPr>
              <w:endnoteReference w:id="10"/>
            </w:r>
            <w:r w:rsidRPr="00812DBF">
              <w:rPr>
                <w:rFonts w:ascii="Garamond" w:eastAsia="Garamond" w:hAnsi="Garamond" w:cs="Garamond"/>
                <w:color w:val="000000"/>
              </w:rPr>
              <w:t>.</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highlight w:val="white"/>
              </w:rPr>
            </w:pP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b/>
                <w:color w:val="000000"/>
              </w:rPr>
              <w:t xml:space="preserve">No hay data unificada, </w:t>
            </w:r>
            <w:r w:rsidRPr="00812DBF">
              <w:rPr>
                <w:rFonts w:ascii="Garamond" w:eastAsia="Garamond" w:hAnsi="Garamond" w:cs="Garamond"/>
                <w:color w:val="000000"/>
              </w:rPr>
              <w:t>ni sobre la judicialización de los casos ni respecto de la carga procesal: “las víctimas sufren desprotección, falta de debida diligencia y la inoperancia del sistema de justicia penal</w:t>
            </w:r>
            <w:r w:rsidRPr="00812DBF">
              <w:rPr>
                <w:rFonts w:ascii="Garamond" w:eastAsia="Garamond" w:hAnsi="Garamond" w:cs="Garamond"/>
                <w:color w:val="000000"/>
                <w:vertAlign w:val="superscript"/>
              </w:rPr>
              <w:endnoteReference w:id="11"/>
            </w:r>
            <w:r w:rsidRPr="00812DBF">
              <w:rPr>
                <w:rFonts w:ascii="Garamond" w:eastAsia="Garamond" w:hAnsi="Garamond" w:cs="Garamond"/>
                <w:color w:val="000000"/>
              </w:rPr>
              <w:t>.</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color w:val="000000"/>
              </w:rPr>
              <w:lastRenderedPageBreak/>
              <w:t>No se ha implementado un sistema único de reporte de las incidencias de violencia contra NNA, se evidencia en la poca articulación entre operadores, incidiendo en la no mejora ni fortalecimiento de los servicios de protección.</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rPr>
            </w:pPr>
            <w:r w:rsidRPr="00812DBF">
              <w:rPr>
                <w:rFonts w:ascii="Garamond" w:eastAsia="Garamond" w:hAnsi="Garamond" w:cs="Garamond"/>
                <w:b/>
                <w:color w:val="000000"/>
              </w:rPr>
              <w:t>Castigo físico y humillant</w:t>
            </w:r>
            <w:r w:rsidR="00031D4D" w:rsidRPr="00812DBF">
              <w:rPr>
                <w:rFonts w:ascii="Garamond" w:eastAsia="Garamond" w:hAnsi="Garamond" w:cs="Garamond"/>
                <w:b/>
                <w:color w:val="000000"/>
              </w:rPr>
              <w:t>e</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color w:val="000000"/>
              </w:rPr>
              <w:t>En el año 2019, el 52.2% de niñas y niños entre los 9 y 11 años reportó que había sido víctima de violencia física, más de 60% en el caso de adolescentes entre 12 y 17 años; y, más del 90% de los que fueron víctima de violencia física indicaron que un integrante de su familia había sido el causante.</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color w:val="000000"/>
              </w:rPr>
              <w:t xml:space="preserve">En 2019, el </w:t>
            </w:r>
            <w:r w:rsidRPr="00812DBF">
              <w:rPr>
                <w:rFonts w:ascii="Garamond" w:eastAsia="Garamond" w:hAnsi="Garamond" w:cs="Garamond"/>
                <w:b/>
                <w:color w:val="000000"/>
              </w:rPr>
              <w:t>índice de tolerancia social hacia la violencia a NNA</w:t>
            </w:r>
            <w:r w:rsidRPr="00812DBF">
              <w:rPr>
                <w:rFonts w:ascii="Garamond" w:eastAsia="Garamond" w:hAnsi="Garamond" w:cs="Garamond"/>
                <w:color w:val="000000"/>
              </w:rPr>
              <w:t xml:space="preserve"> fue de 58.5%.</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rPr>
            </w:pP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rPr>
            </w:pPr>
            <w:r w:rsidRPr="00812DBF">
              <w:rPr>
                <w:rFonts w:ascii="Garamond" w:eastAsia="Garamond" w:hAnsi="Garamond" w:cs="Garamond"/>
                <w:b/>
                <w:color w:val="000000"/>
              </w:rPr>
              <w:t>Niñas desaparecidas</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color w:val="000000"/>
              </w:rPr>
              <w:t>En enero del 2022, Defensoría del Pueblo reportó 443 NNA como desaparecidos, 378 eran niñas y adolescentes mujeres (85% afirma la relación género y edad de las víctimas como factores de vulnerabilidad). En 2021, desaparecieron más de 5,900 mujeres en su mayoría niñas y adolescentes (3,897), 7% más que las cifras del 2020</w:t>
            </w:r>
            <w:r w:rsidRPr="00812DBF">
              <w:rPr>
                <w:rFonts w:ascii="Garamond" w:eastAsia="Garamond" w:hAnsi="Garamond" w:cs="Garamond"/>
                <w:color w:val="000000"/>
                <w:vertAlign w:val="superscript"/>
              </w:rPr>
              <w:endnoteReference w:id="12"/>
            </w:r>
            <w:r w:rsidRPr="00812DBF">
              <w:rPr>
                <w:rFonts w:ascii="Garamond" w:eastAsia="Garamond" w:hAnsi="Garamond" w:cs="Garamond"/>
                <w:color w:val="000000"/>
              </w:rPr>
              <w:t xml:space="preserve">. </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rPr>
            </w:pPr>
            <w:r w:rsidRPr="00812DBF">
              <w:rPr>
                <w:rFonts w:ascii="Garamond" w:eastAsia="Garamond" w:hAnsi="Garamond" w:cs="Garamond"/>
                <w:b/>
                <w:color w:val="000000"/>
              </w:rPr>
              <w:t>Embarazo forzado</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color w:val="000000"/>
              </w:rPr>
              <w:t>En el 2020, de los 1158 nacidos vivos de mujeres menores de 15 años de edad: 895 tenían 14 años cuando dieron a luz; 216 tenían 13 años; 38 tenían 12 años, 9 tenían entre 9 y 11 años de edad, según MINSA. Y, en el 2019, 1,029 tenían 14 años de edad</w:t>
            </w:r>
            <w:r w:rsidRPr="00812DBF">
              <w:rPr>
                <w:rFonts w:ascii="Garamond" w:eastAsia="Garamond" w:hAnsi="Garamond" w:cs="Garamond"/>
                <w:color w:val="000000"/>
                <w:vertAlign w:val="superscript"/>
              </w:rPr>
              <w:endnoteReference w:id="13"/>
            </w:r>
            <w:r w:rsidRPr="00812DBF">
              <w:rPr>
                <w:rFonts w:ascii="Garamond" w:eastAsia="Garamond" w:hAnsi="Garamond" w:cs="Garamond"/>
                <w:color w:val="000000"/>
              </w:rPr>
              <w:t xml:space="preserve">. </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rPr>
            </w:pPr>
            <w:r w:rsidRPr="00812DBF">
              <w:rPr>
                <w:rFonts w:ascii="Garamond" w:eastAsia="Garamond" w:hAnsi="Garamond" w:cs="Garamond"/>
                <w:b/>
                <w:color w:val="000000"/>
              </w:rPr>
              <w:t xml:space="preserve">Violencia y desprotección familiar </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color w:val="000000"/>
              </w:rPr>
              <w:t>La violencia es uno de los principales factores del abandono y la desprotección familiar hacia NNA, generando una recarga laboral en las UPE</w:t>
            </w:r>
            <w:r w:rsidRPr="00812DBF">
              <w:rPr>
                <w:rFonts w:ascii="Garamond" w:eastAsia="Garamond" w:hAnsi="Garamond" w:cs="Garamond"/>
                <w:color w:val="000000"/>
                <w:vertAlign w:val="superscript"/>
              </w:rPr>
              <w:endnoteReference w:id="14"/>
            </w:r>
            <w:r w:rsidRPr="00812DBF">
              <w:rPr>
                <w:rFonts w:ascii="Garamond" w:eastAsia="Garamond" w:hAnsi="Garamond" w:cs="Garamond"/>
                <w:color w:val="000000"/>
              </w:rPr>
              <w:t>. Solo en 2019, se atendieron 28,936 casos; en 2020, 17,608 casos; y, en 2021, 22,109 casos</w:t>
            </w:r>
            <w:r w:rsidRPr="00812DBF">
              <w:rPr>
                <w:rFonts w:ascii="Garamond" w:eastAsia="Garamond" w:hAnsi="Garamond" w:cs="Garamond"/>
                <w:color w:val="000000"/>
                <w:vertAlign w:val="superscript"/>
              </w:rPr>
              <w:endnoteReference w:id="15"/>
            </w:r>
            <w:r w:rsidRPr="00812DBF">
              <w:rPr>
                <w:rFonts w:ascii="Garamond" w:eastAsia="Garamond" w:hAnsi="Garamond" w:cs="Garamond"/>
                <w:color w:val="000000"/>
              </w:rPr>
              <w:t xml:space="preserve">. </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color w:val="000000"/>
              </w:rPr>
              <w:t>Aquellos que son declarados en desprotección familiar, son derivados a Centros de Acogida Residencial (CAR)</w:t>
            </w:r>
            <w:r w:rsidRPr="00812DBF">
              <w:rPr>
                <w:rFonts w:ascii="Garamond" w:eastAsia="Garamond" w:hAnsi="Garamond" w:cs="Garamond"/>
                <w:color w:val="000000"/>
                <w:vertAlign w:val="superscript"/>
              </w:rPr>
              <w:endnoteReference w:id="16"/>
            </w:r>
            <w:r w:rsidRPr="00812DBF">
              <w:rPr>
                <w:rFonts w:ascii="Garamond" w:eastAsia="Garamond" w:hAnsi="Garamond" w:cs="Garamond"/>
                <w:color w:val="000000"/>
              </w:rPr>
              <w:t>, donde no todos cumplen con las competencias para la atención adecuada. No hay data sobre la violencia interna en CAR</w:t>
            </w:r>
            <w:r w:rsidRPr="00812DBF">
              <w:rPr>
                <w:rFonts w:ascii="Garamond" w:eastAsia="Garamond" w:hAnsi="Garamond" w:cs="Garamond"/>
                <w:color w:val="000000"/>
                <w:vertAlign w:val="superscript"/>
              </w:rPr>
              <w:endnoteReference w:id="17"/>
            </w:r>
            <w:r w:rsidRPr="00812DBF">
              <w:rPr>
                <w:rFonts w:ascii="Garamond" w:eastAsia="Garamond" w:hAnsi="Garamond" w:cs="Garamond"/>
                <w:color w:val="000000"/>
              </w:rPr>
              <w:t>, pero sí se han identificado casos de violencia y maltrato</w:t>
            </w:r>
            <w:r w:rsidRPr="00812DBF">
              <w:rPr>
                <w:rFonts w:ascii="Garamond" w:eastAsia="Garamond" w:hAnsi="Garamond" w:cs="Garamond"/>
                <w:color w:val="000000"/>
                <w:vertAlign w:val="superscript"/>
              </w:rPr>
              <w:endnoteReference w:id="18"/>
            </w:r>
            <w:r w:rsidRPr="00812DBF">
              <w:rPr>
                <w:rFonts w:ascii="Garamond" w:eastAsia="Garamond" w:hAnsi="Garamond" w:cs="Garamond"/>
                <w:color w:val="000000"/>
              </w:rPr>
              <w:t>. Según MIMP</w:t>
            </w:r>
            <w:r w:rsidRPr="00812DBF">
              <w:rPr>
                <w:rFonts w:ascii="Garamond" w:eastAsia="Garamond" w:hAnsi="Garamond" w:cs="Garamond"/>
                <w:color w:val="000000"/>
                <w:vertAlign w:val="superscript"/>
              </w:rPr>
              <w:endnoteReference w:id="19"/>
            </w:r>
            <w:r w:rsidRPr="00812DBF">
              <w:rPr>
                <w:rFonts w:ascii="Garamond" w:eastAsia="Garamond" w:hAnsi="Garamond" w:cs="Garamond"/>
                <w:color w:val="000000"/>
              </w:rPr>
              <w:t>, los reingresos son de 58.98% por causa de violencia; 50.78% por negligencia o descuido y, 22.27% por conductas de riesgo en la familia de origen</w:t>
            </w:r>
            <w:r w:rsidRPr="00812DBF">
              <w:rPr>
                <w:rFonts w:ascii="Garamond" w:eastAsia="Garamond" w:hAnsi="Garamond" w:cs="Garamond"/>
                <w:color w:val="000000"/>
                <w:vertAlign w:val="superscript"/>
              </w:rPr>
              <w:endnoteReference w:id="20"/>
            </w:r>
            <w:r w:rsidRPr="00812DBF">
              <w:rPr>
                <w:rFonts w:ascii="Garamond" w:eastAsia="Garamond" w:hAnsi="Garamond" w:cs="Garamond"/>
                <w:color w:val="000000"/>
              </w:rPr>
              <w:t>. La oferta de cuidado alternativo para proteger a NNA no es adecuada ni suficiente.</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b/>
                <w:color w:val="000000"/>
              </w:rPr>
              <w:t>NNA en situación de calle,</w:t>
            </w:r>
            <w:r w:rsidRPr="00812DBF">
              <w:rPr>
                <w:rFonts w:ascii="Garamond" w:eastAsia="Garamond" w:hAnsi="Garamond" w:cs="Garamond"/>
                <w:color w:val="000000"/>
              </w:rPr>
              <w:t xml:space="preserve"> son llevados a realizar trabajos peligrosos en las minas, a ser explotados sexual y laboralmente.</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highlight w:val="white"/>
              </w:rPr>
            </w:pPr>
            <w:r w:rsidRPr="00812DBF">
              <w:rPr>
                <w:rFonts w:ascii="Garamond" w:eastAsia="Garamond" w:hAnsi="Garamond" w:cs="Garamond"/>
                <w:b/>
                <w:color w:val="000000"/>
                <w:highlight w:val="white"/>
              </w:rPr>
              <w:t>NNA migrante</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color w:val="000000"/>
              </w:rPr>
              <w:t>De enero a octubre de 2020, el CEM</w:t>
            </w:r>
            <w:r w:rsidRPr="00812DBF">
              <w:rPr>
                <w:rFonts w:ascii="Garamond" w:eastAsia="Garamond" w:hAnsi="Garamond" w:cs="Garamond"/>
                <w:color w:val="000000"/>
                <w:vertAlign w:val="superscript"/>
              </w:rPr>
              <w:endnoteReference w:id="21"/>
            </w:r>
            <w:r w:rsidRPr="00812DBF">
              <w:rPr>
                <w:rFonts w:ascii="Garamond" w:eastAsia="Garamond" w:hAnsi="Garamond" w:cs="Garamond"/>
                <w:color w:val="000000"/>
              </w:rPr>
              <w:t xml:space="preserve"> atendió un total de 1019 extranjeros, el 90,4% fueron mujeres y el 23,3% de NNA fueron víctimas de actos de violencia</w:t>
            </w:r>
            <w:r w:rsidRPr="00812DBF">
              <w:rPr>
                <w:rFonts w:ascii="Garamond" w:eastAsia="Garamond" w:hAnsi="Garamond" w:cs="Garamond"/>
                <w:color w:val="000000"/>
                <w:vertAlign w:val="superscript"/>
              </w:rPr>
              <w:endnoteReference w:id="22"/>
            </w:r>
            <w:r w:rsidRPr="00812DBF">
              <w:rPr>
                <w:rFonts w:ascii="Garamond" w:eastAsia="Garamond" w:hAnsi="Garamond" w:cs="Garamond"/>
                <w:color w:val="000000"/>
              </w:rPr>
              <w:t>.</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rPr>
            </w:pPr>
            <w:r w:rsidRPr="00812DBF">
              <w:rPr>
                <w:rFonts w:ascii="Garamond" w:eastAsia="Garamond" w:hAnsi="Garamond" w:cs="Garamond"/>
                <w:b/>
                <w:color w:val="000000"/>
              </w:rPr>
              <w:t>DEMUNA</w:t>
            </w:r>
            <w:r w:rsidRPr="00812DBF">
              <w:rPr>
                <w:rFonts w:ascii="Garamond" w:eastAsia="Garamond" w:hAnsi="Garamond" w:cs="Garamond"/>
                <w:b/>
                <w:color w:val="000000"/>
                <w:vertAlign w:val="superscript"/>
              </w:rPr>
              <w:endnoteReference w:id="23"/>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rPr>
            </w:pPr>
            <w:r w:rsidRPr="00812DBF">
              <w:rPr>
                <w:rFonts w:ascii="Garamond" w:eastAsia="Garamond" w:hAnsi="Garamond" w:cs="Garamond"/>
                <w:color w:val="000000"/>
              </w:rPr>
              <w:t>Es el servicio más próximo y especializado para brindar apoyo y asesoría a NNA. Hay 1,890 DEMUNAS, solo 380 han sido acreditadas para operar. En zonas rurales no hay Demuna, agravando las posibilidades de denuncia y defensa hacia la niñez</w:t>
            </w:r>
            <w:r w:rsidRPr="00812DBF">
              <w:rPr>
                <w:rFonts w:ascii="Garamond" w:eastAsia="Garamond" w:hAnsi="Garamond" w:cs="Garamond"/>
                <w:color w:val="000000"/>
                <w:vertAlign w:val="superscript"/>
              </w:rPr>
              <w:endnoteReference w:id="24"/>
            </w:r>
            <w:r w:rsidRPr="00812DBF">
              <w:rPr>
                <w:rFonts w:ascii="Garamond" w:eastAsia="Garamond" w:hAnsi="Garamond" w:cs="Garamond"/>
                <w:color w:val="000000"/>
              </w:rPr>
              <w:t xml:space="preserve">. </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rPr>
            </w:pPr>
            <w:r w:rsidRPr="00812DBF">
              <w:rPr>
                <w:rFonts w:ascii="Garamond" w:eastAsia="Garamond" w:hAnsi="Garamond" w:cs="Garamond"/>
                <w:b/>
                <w:color w:val="000000"/>
              </w:rPr>
              <w:t>PRESUPUESTO PÚBLICO</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r w:rsidRPr="00812DBF">
              <w:rPr>
                <w:rFonts w:ascii="Garamond" w:eastAsia="Garamond" w:hAnsi="Garamond" w:cs="Garamond"/>
                <w:color w:val="000000"/>
              </w:rPr>
              <w:t>Las asignaciones en el presupuesto público para poner fin a la violencia contra NNA se encuentran dispersas en otros presupuestos, no específicos y son de escasa magnitud para enfrentar el problema</w:t>
            </w:r>
            <w:r w:rsidRPr="00812DBF">
              <w:rPr>
                <w:rFonts w:ascii="Garamond" w:eastAsia="Garamond" w:hAnsi="Garamond" w:cs="Garamond"/>
                <w:color w:val="000000"/>
                <w:vertAlign w:val="superscript"/>
              </w:rPr>
              <w:endnoteReference w:id="25"/>
            </w:r>
            <w:r w:rsidRPr="00812DBF">
              <w:rPr>
                <w:rFonts w:ascii="Garamond" w:eastAsia="Garamond" w:hAnsi="Garamond" w:cs="Garamond"/>
                <w:color w:val="000000"/>
              </w:rPr>
              <w:t xml:space="preserve">. </w:t>
            </w:r>
          </w:p>
          <w:p w:rsidR="00552D89" w:rsidRPr="00812DBF" w:rsidRDefault="00552D89">
            <w:pPr>
              <w:jc w:val="both"/>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rPr>
            </w:pPr>
          </w:p>
        </w:tc>
      </w:tr>
      <w:tr w:rsidR="00552D89" w:rsidTr="00975F39">
        <w:trPr>
          <w:cnfStyle w:val="000000100000" w:firstRow="0" w:lastRow="0" w:firstColumn="0" w:lastColumn="0" w:oddVBand="0" w:evenVBand="0" w:oddHBand="1" w:evenHBand="0" w:firstRowFirstColumn="0" w:firstRowLastColumn="0" w:lastRowFirstColumn="0" w:lastRowLastColumn="0"/>
          <w:trHeight w:val="1530"/>
        </w:trPr>
        <w:tc>
          <w:tcPr>
            <w:cnfStyle w:val="001000000000" w:firstRow="0" w:lastRow="0" w:firstColumn="1" w:lastColumn="0" w:oddVBand="0" w:evenVBand="0" w:oddHBand="0" w:evenHBand="0" w:firstRowFirstColumn="0" w:firstRowLastColumn="0" w:lastRowFirstColumn="0" w:lastRowLastColumn="0"/>
            <w:tcW w:w="1620" w:type="dxa"/>
            <w:shd w:val="clear" w:color="auto" w:fill="B4C6E7" w:themeFill="accent5" w:themeFillTint="66"/>
          </w:tcPr>
          <w:p w:rsidR="00552D89" w:rsidRPr="00812DBF" w:rsidRDefault="00552D89">
            <w:pPr>
              <w:pBdr>
                <w:top w:val="nil"/>
                <w:left w:val="nil"/>
                <w:bottom w:val="nil"/>
                <w:right w:val="nil"/>
                <w:between w:val="nil"/>
              </w:pBdr>
              <w:jc w:val="both"/>
              <w:rPr>
                <w:rFonts w:ascii="Garamond" w:eastAsia="Garamond" w:hAnsi="Garamond" w:cs="Garamond"/>
                <w:color w:val="0070C0"/>
              </w:rPr>
            </w:pPr>
            <w:r w:rsidRPr="00812DBF">
              <w:rPr>
                <w:rFonts w:ascii="Garamond" w:eastAsia="Garamond" w:hAnsi="Garamond" w:cs="Garamond"/>
                <w:b w:val="0"/>
                <w:color w:val="0070C0"/>
              </w:rPr>
              <w:lastRenderedPageBreak/>
              <w:t>3. RECOMENDACIONES AL ESTADO PERUANO:</w:t>
            </w:r>
          </w:p>
          <w:p w:rsidR="00552D89" w:rsidRPr="00812DBF" w:rsidRDefault="00552D89">
            <w:pPr>
              <w:pBdr>
                <w:top w:val="nil"/>
                <w:left w:val="nil"/>
                <w:bottom w:val="nil"/>
                <w:right w:val="nil"/>
                <w:between w:val="nil"/>
              </w:pBdr>
              <w:jc w:val="both"/>
              <w:rPr>
                <w:rFonts w:ascii="Garamond" w:eastAsia="Garamond" w:hAnsi="Garamond" w:cs="Garamond"/>
                <w:color w:val="0070C0"/>
              </w:rPr>
            </w:pPr>
          </w:p>
        </w:tc>
        <w:tc>
          <w:tcPr>
            <w:tcW w:w="7740" w:type="dxa"/>
            <w:shd w:val="clear" w:color="auto" w:fill="B4C6E7" w:themeFill="accent5" w:themeFillTint="66"/>
          </w:tcPr>
          <w:p w:rsidR="00552D89" w:rsidRPr="00812DBF" w:rsidRDefault="00552D89">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auto"/>
              </w:rPr>
            </w:pPr>
            <w:r w:rsidRPr="00812DBF">
              <w:rPr>
                <w:rFonts w:ascii="Garamond" w:eastAsia="Garamond" w:hAnsi="Garamond" w:cs="Garamond"/>
                <w:color w:val="auto"/>
              </w:rPr>
              <w:t>• Unificar un sistema de datos articulado, desagregado e interinstitucional sobre los casos de violencia a NNA que contribuya a la elaboración de políticas públicas en favor de NNA</w:t>
            </w:r>
            <w:r w:rsidRPr="00812DBF">
              <w:rPr>
                <w:rFonts w:ascii="Garamond" w:eastAsia="Garamond" w:hAnsi="Garamond" w:cs="Garamond"/>
                <w:color w:val="auto"/>
                <w:vertAlign w:val="superscript"/>
              </w:rPr>
              <w:endnoteReference w:id="26"/>
            </w:r>
            <w:r w:rsidRPr="00812DBF">
              <w:rPr>
                <w:rFonts w:ascii="Garamond" w:eastAsia="Garamond" w:hAnsi="Garamond" w:cs="Garamond"/>
                <w:color w:val="auto"/>
              </w:rPr>
              <w:t>.</w:t>
            </w:r>
          </w:p>
          <w:p w:rsidR="00552D89" w:rsidRPr="00812DBF" w:rsidRDefault="00552D89">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auto"/>
              </w:rPr>
            </w:pPr>
          </w:p>
          <w:p w:rsidR="00552D89" w:rsidRPr="00812DBF" w:rsidRDefault="00552D89">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auto"/>
              </w:rPr>
            </w:pPr>
            <w:r w:rsidRPr="00812DBF">
              <w:rPr>
                <w:rFonts w:ascii="Garamond" w:eastAsia="Garamond" w:hAnsi="Garamond" w:cs="Garamond"/>
                <w:color w:val="auto"/>
              </w:rPr>
              <w:t>• Crear juzgados y fiscalías especializadas y amigables para atender a NNA víctimas y testigos de violencia</w:t>
            </w:r>
            <w:r w:rsidRPr="00812DBF">
              <w:rPr>
                <w:rFonts w:ascii="Garamond" w:eastAsia="Garamond" w:hAnsi="Garamond" w:cs="Garamond"/>
                <w:color w:val="auto"/>
                <w:vertAlign w:val="superscript"/>
              </w:rPr>
              <w:endnoteReference w:id="27"/>
            </w:r>
            <w:r w:rsidRPr="00812DBF">
              <w:rPr>
                <w:rFonts w:ascii="Garamond" w:eastAsia="Garamond" w:hAnsi="Garamond" w:cs="Garamond"/>
                <w:color w:val="auto"/>
              </w:rPr>
              <w:t>.</w:t>
            </w:r>
          </w:p>
          <w:p w:rsidR="00552D89" w:rsidRPr="00812DBF" w:rsidRDefault="00552D89">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auto"/>
              </w:rPr>
            </w:pPr>
          </w:p>
          <w:p w:rsidR="00552D89" w:rsidRPr="00812DBF" w:rsidRDefault="00552D89">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auto"/>
              </w:rPr>
            </w:pPr>
            <w:r w:rsidRPr="00812DBF">
              <w:rPr>
                <w:rFonts w:ascii="Garamond" w:eastAsia="Garamond" w:hAnsi="Garamond" w:cs="Garamond"/>
                <w:color w:val="auto"/>
              </w:rPr>
              <w:t>• Implementar y difundir el registro único de agresores para el acceso a la población como mecanismo de transparencia y protección</w:t>
            </w:r>
            <w:r w:rsidRPr="00812DBF">
              <w:rPr>
                <w:rFonts w:ascii="Garamond" w:eastAsia="Garamond" w:hAnsi="Garamond" w:cs="Garamond"/>
                <w:color w:val="auto"/>
                <w:vertAlign w:val="superscript"/>
              </w:rPr>
              <w:endnoteReference w:id="28"/>
            </w:r>
            <w:r w:rsidRPr="00812DBF">
              <w:rPr>
                <w:rFonts w:ascii="Garamond" w:eastAsia="Garamond" w:hAnsi="Garamond" w:cs="Garamond"/>
                <w:color w:val="auto"/>
              </w:rPr>
              <w:t>.</w:t>
            </w:r>
          </w:p>
          <w:p w:rsidR="00552D89" w:rsidRPr="00812DBF" w:rsidRDefault="00552D89">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auto"/>
                <w:highlight w:val="green"/>
              </w:rPr>
            </w:pPr>
            <w:r w:rsidRPr="00812DBF">
              <w:rPr>
                <w:rFonts w:ascii="Garamond" w:eastAsia="Garamond" w:hAnsi="Garamond" w:cs="Garamond"/>
                <w:color w:val="auto"/>
                <w:highlight w:val="green"/>
              </w:rPr>
              <w:t xml:space="preserve"> </w:t>
            </w:r>
          </w:p>
          <w:p w:rsidR="00552D89" w:rsidRPr="00812DBF" w:rsidRDefault="00552D89">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auto"/>
              </w:rPr>
            </w:pPr>
            <w:r w:rsidRPr="00812DBF">
              <w:rPr>
                <w:rFonts w:ascii="Garamond" w:eastAsia="Garamond" w:hAnsi="Garamond" w:cs="Garamond"/>
                <w:color w:val="auto"/>
              </w:rPr>
              <w:t>• Implementar políticas y normas de control migratorio que permitan la reunificación familiar de las NNA migrantes no acompañados y separados</w:t>
            </w:r>
            <w:r w:rsidRPr="00812DBF">
              <w:rPr>
                <w:rFonts w:ascii="Garamond" w:eastAsia="Garamond" w:hAnsi="Garamond" w:cs="Garamond"/>
                <w:color w:val="auto"/>
                <w:vertAlign w:val="superscript"/>
              </w:rPr>
              <w:endnoteReference w:id="29"/>
            </w:r>
            <w:r w:rsidRPr="00812DBF">
              <w:rPr>
                <w:rFonts w:ascii="Garamond" w:eastAsia="Garamond" w:hAnsi="Garamond" w:cs="Garamond"/>
                <w:color w:val="auto"/>
              </w:rPr>
              <w:t>.</w:t>
            </w:r>
          </w:p>
          <w:p w:rsidR="00552D89" w:rsidRPr="00812DBF" w:rsidRDefault="00552D89">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auto"/>
              </w:rPr>
            </w:pPr>
          </w:p>
          <w:p w:rsidR="00552D89" w:rsidRPr="00812DBF" w:rsidRDefault="00552D89">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auto"/>
              </w:rPr>
            </w:pPr>
            <w:r w:rsidRPr="00812DBF">
              <w:rPr>
                <w:rFonts w:ascii="Garamond" w:eastAsia="Garamond" w:hAnsi="Garamond" w:cs="Garamond"/>
                <w:color w:val="auto"/>
              </w:rPr>
              <w:t>• Creación de un programa de fortalecimiento familiar para prevenir situaciones de violencia y restituir el derecho a vivir en familia</w:t>
            </w:r>
            <w:r w:rsidRPr="00812DBF">
              <w:rPr>
                <w:rFonts w:ascii="Garamond" w:eastAsia="Garamond" w:hAnsi="Garamond" w:cs="Garamond"/>
                <w:color w:val="auto"/>
                <w:vertAlign w:val="superscript"/>
              </w:rPr>
              <w:endnoteReference w:id="30"/>
            </w:r>
            <w:r w:rsidRPr="00812DBF">
              <w:rPr>
                <w:rFonts w:ascii="Garamond" w:eastAsia="Garamond" w:hAnsi="Garamond" w:cs="Garamond"/>
                <w:color w:val="auto"/>
              </w:rPr>
              <w:t>.</w:t>
            </w:r>
          </w:p>
          <w:p w:rsidR="00552D89" w:rsidRPr="00812DBF" w:rsidRDefault="00552D89">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b/>
                <w:color w:val="auto"/>
              </w:rPr>
            </w:pPr>
          </w:p>
          <w:p w:rsidR="00552D89" w:rsidRPr="00812DBF" w:rsidRDefault="00552D89">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auto"/>
              </w:rPr>
            </w:pPr>
            <w:r w:rsidRPr="00812DBF">
              <w:rPr>
                <w:rFonts w:ascii="Garamond" w:eastAsia="Garamond" w:hAnsi="Garamond" w:cs="Garamond"/>
                <w:color w:val="auto"/>
              </w:rPr>
              <w:t xml:space="preserve">• Capacitación y sensibilización a operadores de UPES, policía y serenazgo sobre NNA en situación de calle. </w:t>
            </w:r>
          </w:p>
          <w:p w:rsidR="00552D89" w:rsidRPr="00812DBF" w:rsidRDefault="00552D89">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b/>
                <w:color w:val="auto"/>
                <w:highlight w:val="white"/>
              </w:rPr>
            </w:pPr>
          </w:p>
          <w:p w:rsidR="00552D89" w:rsidRPr="00812DBF" w:rsidRDefault="00552D89">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auto"/>
                <w:highlight w:val="yellow"/>
              </w:rPr>
            </w:pPr>
            <w:r w:rsidRPr="00812DBF">
              <w:rPr>
                <w:rFonts w:ascii="Garamond" w:eastAsia="Garamond" w:hAnsi="Garamond" w:cs="Garamond"/>
                <w:color w:val="auto"/>
              </w:rPr>
              <w:t>• Asegurar la entrega y uso adecuado del KIT DE EMERGENCIA a NNA víctimas de violencia sexual</w:t>
            </w:r>
            <w:r w:rsidRPr="00812DBF">
              <w:rPr>
                <w:rFonts w:ascii="Garamond" w:eastAsia="Garamond" w:hAnsi="Garamond" w:cs="Garamond"/>
                <w:color w:val="auto"/>
                <w:vertAlign w:val="superscript"/>
              </w:rPr>
              <w:endnoteReference w:id="31"/>
            </w:r>
            <w:r w:rsidRPr="00812DBF">
              <w:rPr>
                <w:rFonts w:ascii="Garamond" w:eastAsia="Garamond" w:hAnsi="Garamond" w:cs="Garamond"/>
                <w:color w:val="auto"/>
              </w:rPr>
              <w:t>.</w:t>
            </w:r>
          </w:p>
          <w:p w:rsidR="00552D89" w:rsidRPr="00812DBF" w:rsidRDefault="00552D89">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auto"/>
                <w:highlight w:val="yellow"/>
              </w:rPr>
            </w:pPr>
          </w:p>
          <w:p w:rsidR="00552D89" w:rsidRPr="00812DBF" w:rsidRDefault="00552D89">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auto"/>
                <w:highlight w:val="green"/>
              </w:rPr>
            </w:pPr>
            <w:r w:rsidRPr="00812DBF">
              <w:rPr>
                <w:rFonts w:ascii="Garamond" w:eastAsia="Garamond" w:hAnsi="Garamond" w:cs="Garamond"/>
                <w:color w:val="auto"/>
              </w:rPr>
              <w:t>• Crear e implementar un programa presupuestal orientado a resultados, destinado a prevenir y eliminar la violencia contra NNA</w:t>
            </w:r>
            <w:r w:rsidRPr="00812DBF">
              <w:rPr>
                <w:rFonts w:ascii="Garamond" w:eastAsia="Garamond" w:hAnsi="Garamond" w:cs="Garamond"/>
                <w:color w:val="auto"/>
                <w:vertAlign w:val="superscript"/>
              </w:rPr>
              <w:endnoteReference w:id="32"/>
            </w:r>
            <w:r w:rsidRPr="00812DBF">
              <w:rPr>
                <w:rFonts w:ascii="Garamond" w:eastAsia="Garamond" w:hAnsi="Garamond" w:cs="Garamond"/>
                <w:color w:val="auto"/>
              </w:rPr>
              <w:t>.</w:t>
            </w:r>
          </w:p>
          <w:p w:rsidR="00552D89" w:rsidRPr="00812DBF" w:rsidRDefault="00552D89">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auto"/>
              </w:rPr>
            </w:pPr>
          </w:p>
          <w:p w:rsidR="00552D89" w:rsidRPr="00812DBF" w:rsidRDefault="00552D89" w:rsidP="002413DC">
            <w:pPr>
              <w:jc w:val="both"/>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auto"/>
                <w:vertAlign w:val="superscript"/>
              </w:rPr>
            </w:pPr>
            <w:r w:rsidRPr="00812DBF">
              <w:rPr>
                <w:rFonts w:ascii="Garamond" w:eastAsia="Garamond" w:hAnsi="Garamond" w:cs="Garamond"/>
                <w:color w:val="auto"/>
              </w:rPr>
              <w:t>• Aprobar el “Plan de Acción Específico para la Eliminar Violencia contra Niñas, Niños y Adolescentes”</w:t>
            </w:r>
            <w:r w:rsidRPr="00812DBF">
              <w:rPr>
                <w:rFonts w:ascii="Garamond" w:eastAsia="Garamond" w:hAnsi="Garamond" w:cs="Garamond"/>
                <w:color w:val="auto"/>
                <w:vertAlign w:val="superscript"/>
              </w:rPr>
              <w:endnoteReference w:id="33"/>
            </w:r>
            <w:r w:rsidRPr="00812DBF">
              <w:rPr>
                <w:rFonts w:ascii="Garamond" w:eastAsia="Garamond" w:hAnsi="Garamond" w:cs="Garamond"/>
                <w:color w:val="auto"/>
                <w:vertAlign w:val="superscript"/>
              </w:rPr>
              <w:t>.</w:t>
            </w:r>
          </w:p>
        </w:tc>
      </w:tr>
    </w:tbl>
    <w:p w:rsidR="00552D89" w:rsidRDefault="00552D89">
      <w:pPr>
        <w:rPr>
          <w:b/>
          <w:sz w:val="28"/>
          <w:szCs w:val="28"/>
        </w:rPr>
      </w:pPr>
    </w:p>
    <w:p w:rsidR="00552D89" w:rsidRDefault="00552D89">
      <w:pPr>
        <w:numPr>
          <w:ilvl w:val="1"/>
          <w:numId w:val="5"/>
        </w:numPr>
        <w:pBdr>
          <w:top w:val="nil"/>
          <w:left w:val="nil"/>
          <w:bottom w:val="nil"/>
          <w:right w:val="nil"/>
          <w:between w:val="nil"/>
        </w:pBdr>
        <w:jc w:val="both"/>
        <w:rPr>
          <w:b/>
          <w:color w:val="000000"/>
          <w:sz w:val="26"/>
          <w:szCs w:val="26"/>
        </w:rPr>
      </w:pPr>
      <w:r>
        <w:rPr>
          <w:rFonts w:ascii="Garamond" w:eastAsia="Garamond" w:hAnsi="Garamond" w:cs="Garamond"/>
          <w:b/>
          <w:color w:val="000000"/>
          <w:sz w:val="26"/>
          <w:szCs w:val="26"/>
        </w:rPr>
        <w:t>Derecho a acceder a la justicia en casos de violencia contra la mujer</w:t>
      </w:r>
    </w:p>
    <w:tbl>
      <w:tblPr>
        <w:tblStyle w:val="a2"/>
        <w:tblW w:w="936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1620"/>
        <w:gridCol w:w="7740"/>
      </w:tblGrid>
      <w:tr w:rsidR="00552D89" w:rsidTr="00171314">
        <w:trPr>
          <w:trHeight w:val="926"/>
        </w:trPr>
        <w:tc>
          <w:tcPr>
            <w:tcW w:w="1620" w:type="dxa"/>
            <w:vAlign w:val="center"/>
          </w:tcPr>
          <w:p w:rsidR="00552D89" w:rsidRPr="00171314" w:rsidRDefault="00552D89" w:rsidP="002413DC">
            <w:pPr>
              <w:spacing w:after="0" w:line="240" w:lineRule="auto"/>
              <w:jc w:val="both"/>
              <w:rPr>
                <w:rFonts w:ascii="Garamond" w:eastAsia="Garamond" w:hAnsi="Garamond" w:cs="Garamond"/>
                <w:b/>
                <w:color w:val="4472C4"/>
              </w:rPr>
            </w:pPr>
            <w:r w:rsidRPr="00171314">
              <w:rPr>
                <w:rFonts w:ascii="Garamond" w:eastAsia="Garamond" w:hAnsi="Garamond" w:cs="Garamond"/>
                <w:b/>
                <w:color w:val="4472C4"/>
              </w:rPr>
              <w:t>RECOMENDACIÓN</w:t>
            </w:r>
          </w:p>
        </w:tc>
        <w:tc>
          <w:tcPr>
            <w:tcW w:w="7740" w:type="dxa"/>
            <w:vAlign w:val="center"/>
          </w:tcPr>
          <w:p w:rsidR="00552D89" w:rsidRPr="00171314" w:rsidRDefault="00552D89" w:rsidP="002413DC">
            <w:pPr>
              <w:spacing w:after="0" w:line="240" w:lineRule="auto"/>
              <w:jc w:val="both"/>
              <w:rPr>
                <w:rFonts w:ascii="Garamond" w:eastAsia="Garamond" w:hAnsi="Garamond" w:cs="Garamond"/>
              </w:rPr>
            </w:pPr>
            <w:r w:rsidRPr="00171314">
              <w:rPr>
                <w:rFonts w:ascii="Garamond" w:eastAsia="Garamond" w:hAnsi="Garamond" w:cs="Garamond"/>
              </w:rPr>
              <w:t>EPU 2017</w:t>
            </w:r>
            <w:r w:rsidRPr="00171314">
              <w:rPr>
                <w:rFonts w:ascii="Garamond" w:eastAsia="Garamond" w:hAnsi="Garamond" w:cs="Garamond"/>
                <w:vertAlign w:val="superscript"/>
              </w:rPr>
              <w:endnoteReference w:id="34"/>
            </w:r>
          </w:p>
          <w:p w:rsidR="00552D89" w:rsidRPr="00171314" w:rsidRDefault="00552D89" w:rsidP="002413DC">
            <w:pPr>
              <w:spacing w:after="0" w:line="240" w:lineRule="auto"/>
              <w:jc w:val="both"/>
              <w:rPr>
                <w:rFonts w:ascii="Garamond" w:eastAsia="Garamond" w:hAnsi="Garamond" w:cs="Garamond"/>
              </w:rPr>
            </w:pPr>
            <w:r w:rsidRPr="00171314">
              <w:rPr>
                <w:rFonts w:ascii="Garamond" w:eastAsia="Garamond" w:hAnsi="Garamond" w:cs="Garamond"/>
              </w:rPr>
              <w:t>CEDAW 2022</w:t>
            </w:r>
          </w:p>
        </w:tc>
      </w:tr>
      <w:tr w:rsidR="00552D89" w:rsidTr="00975F39">
        <w:trPr>
          <w:trHeight w:val="710"/>
        </w:trPr>
        <w:tc>
          <w:tcPr>
            <w:tcW w:w="1620" w:type="dxa"/>
            <w:shd w:val="clear" w:color="auto" w:fill="B4C6E7"/>
          </w:tcPr>
          <w:p w:rsidR="00552D89" w:rsidRPr="00171314" w:rsidRDefault="00552D89">
            <w:pPr>
              <w:pBdr>
                <w:top w:val="nil"/>
                <w:left w:val="nil"/>
                <w:bottom w:val="nil"/>
                <w:right w:val="nil"/>
                <w:between w:val="nil"/>
              </w:pBdr>
              <w:jc w:val="both"/>
              <w:rPr>
                <w:rFonts w:ascii="Garamond" w:eastAsia="Garamond" w:hAnsi="Garamond" w:cs="Garamond"/>
                <w:color w:val="4472C4"/>
              </w:rPr>
            </w:pPr>
            <w:r w:rsidRPr="00171314">
              <w:rPr>
                <w:rFonts w:ascii="Garamond" w:eastAsia="Garamond" w:hAnsi="Garamond" w:cs="Garamond"/>
                <w:b/>
                <w:color w:val="4472C4"/>
              </w:rPr>
              <w:t>1. NIVEL DE IMPLEMENTACIÓN</w:t>
            </w:r>
          </w:p>
        </w:tc>
        <w:tc>
          <w:tcPr>
            <w:tcW w:w="7740" w:type="dxa"/>
            <w:shd w:val="clear" w:color="auto" w:fill="B4C6E7"/>
          </w:tcPr>
          <w:p w:rsidR="00552D89" w:rsidRPr="00171314" w:rsidRDefault="00552D89">
            <w:pPr>
              <w:rPr>
                <w:rFonts w:ascii="Garamond" w:eastAsia="Garamond" w:hAnsi="Garamond" w:cs="Garamond"/>
                <w:b/>
                <w:color w:val="ED7D31"/>
              </w:rPr>
            </w:pPr>
            <w:r w:rsidRPr="00171314">
              <w:rPr>
                <w:rFonts w:ascii="Garamond" w:eastAsia="Garamond" w:hAnsi="Garamond" w:cs="Garamond"/>
                <w:b/>
                <w:color w:val="ED7D31"/>
              </w:rPr>
              <w:t>Aplicado parcialmente</w:t>
            </w:r>
          </w:p>
        </w:tc>
      </w:tr>
      <w:tr w:rsidR="00552D89" w:rsidTr="00975F39">
        <w:tc>
          <w:tcPr>
            <w:tcW w:w="1620" w:type="dxa"/>
          </w:tcPr>
          <w:p w:rsidR="00552D89" w:rsidRPr="00171314" w:rsidRDefault="00552D89">
            <w:pPr>
              <w:pBdr>
                <w:top w:val="nil"/>
                <w:left w:val="nil"/>
                <w:bottom w:val="nil"/>
                <w:right w:val="nil"/>
                <w:between w:val="nil"/>
              </w:pBdr>
              <w:jc w:val="both"/>
              <w:rPr>
                <w:rFonts w:ascii="Garamond" w:eastAsia="Garamond" w:hAnsi="Garamond" w:cs="Garamond"/>
                <w:color w:val="4472C4"/>
              </w:rPr>
            </w:pPr>
          </w:p>
          <w:p w:rsidR="00552D89" w:rsidRPr="00171314" w:rsidRDefault="00552D89">
            <w:pPr>
              <w:pBdr>
                <w:top w:val="nil"/>
                <w:left w:val="nil"/>
                <w:bottom w:val="nil"/>
                <w:right w:val="nil"/>
                <w:between w:val="nil"/>
              </w:pBdr>
              <w:jc w:val="both"/>
              <w:rPr>
                <w:rFonts w:ascii="Garamond" w:eastAsia="Garamond" w:hAnsi="Garamond" w:cs="Garamond"/>
                <w:color w:val="4472C4"/>
              </w:rPr>
            </w:pPr>
            <w:r w:rsidRPr="00171314">
              <w:rPr>
                <w:rFonts w:ascii="Garamond" w:eastAsia="Garamond" w:hAnsi="Garamond" w:cs="Garamond"/>
                <w:b/>
                <w:color w:val="4472C4"/>
              </w:rPr>
              <w:t>2. CONTEXTO</w:t>
            </w:r>
          </w:p>
          <w:p w:rsidR="00552D89" w:rsidRPr="00171314" w:rsidRDefault="00552D89">
            <w:pPr>
              <w:pBdr>
                <w:top w:val="nil"/>
                <w:left w:val="nil"/>
                <w:bottom w:val="nil"/>
                <w:right w:val="nil"/>
                <w:between w:val="nil"/>
              </w:pBdr>
              <w:ind w:left="720"/>
              <w:jc w:val="both"/>
              <w:rPr>
                <w:rFonts w:ascii="Garamond" w:eastAsia="Garamond" w:hAnsi="Garamond" w:cs="Garamond"/>
                <w:color w:val="4472C4"/>
              </w:rPr>
            </w:pPr>
          </w:p>
        </w:tc>
        <w:tc>
          <w:tcPr>
            <w:tcW w:w="7740" w:type="dxa"/>
          </w:tcPr>
          <w:p w:rsidR="00552D89" w:rsidRPr="00171314" w:rsidRDefault="00552D89">
            <w:pPr>
              <w:spacing w:after="0" w:line="240" w:lineRule="auto"/>
              <w:jc w:val="both"/>
              <w:rPr>
                <w:rFonts w:ascii="Garamond" w:eastAsia="Garamond" w:hAnsi="Garamond" w:cs="Garamond"/>
                <w:color w:val="000000"/>
              </w:rPr>
            </w:pPr>
            <w:r w:rsidRPr="00171314">
              <w:rPr>
                <w:rFonts w:ascii="Garamond" w:eastAsia="Garamond" w:hAnsi="Garamond" w:cs="Garamond"/>
                <w:color w:val="000000"/>
              </w:rPr>
              <w:t>Existen avances en el marco normativo de prevención y atención de la Violencia Basada en Género - VBG</w:t>
            </w:r>
            <w:r w:rsidRPr="00171314">
              <w:rPr>
                <w:rFonts w:ascii="Garamond" w:eastAsia="Garamond" w:hAnsi="Garamond" w:cs="Garamond"/>
                <w:color w:val="000000"/>
                <w:vertAlign w:val="superscript"/>
              </w:rPr>
              <w:endnoteReference w:id="35"/>
            </w:r>
            <w:r w:rsidRPr="00171314">
              <w:rPr>
                <w:rFonts w:ascii="Garamond" w:eastAsia="Garamond" w:hAnsi="Garamond" w:cs="Garamond"/>
                <w:color w:val="000000"/>
              </w:rPr>
              <w:t>, pero su implementación se enfrenta a problemas estructurales como los estereotipos de género en los operadores de justicia y la naturalización de la VBG contra las mujeres. Además de la insuficiente voluntad política por el Ejecutivo para implementarlo y el conservadurismo por la mayoría de bancadas en el Legislativo, que amenazan continuamente con generar retrocesos en las políticas de igualdad de género y lucha contra la VBG. Y, la Alta prevalencia de las diversas formas de violencia contra las mujeres.</w:t>
            </w:r>
          </w:p>
          <w:p w:rsidR="00552D89" w:rsidRPr="00171314" w:rsidRDefault="00552D89">
            <w:pPr>
              <w:spacing w:after="0" w:line="240" w:lineRule="auto"/>
              <w:jc w:val="both"/>
              <w:rPr>
                <w:rFonts w:ascii="Garamond" w:eastAsia="Garamond" w:hAnsi="Garamond" w:cs="Garamond"/>
                <w:color w:val="000000"/>
              </w:rPr>
            </w:pPr>
          </w:p>
          <w:p w:rsidR="00552D89" w:rsidRPr="00171314" w:rsidRDefault="00552D89">
            <w:pPr>
              <w:spacing w:after="0" w:line="240" w:lineRule="auto"/>
              <w:jc w:val="both"/>
              <w:rPr>
                <w:rFonts w:ascii="Garamond" w:eastAsia="Garamond" w:hAnsi="Garamond" w:cs="Garamond"/>
                <w:b/>
                <w:color w:val="000000"/>
              </w:rPr>
            </w:pPr>
            <w:r w:rsidRPr="00171314">
              <w:rPr>
                <w:rFonts w:ascii="Garamond" w:eastAsia="Garamond" w:hAnsi="Garamond" w:cs="Garamond"/>
                <w:b/>
                <w:color w:val="000000"/>
              </w:rPr>
              <w:t xml:space="preserve">Violencia por parte de pareja o ex pareja  </w:t>
            </w:r>
          </w:p>
          <w:p w:rsidR="00552D89" w:rsidRPr="00171314" w:rsidRDefault="00552D89">
            <w:pPr>
              <w:spacing w:after="0" w:line="240" w:lineRule="auto"/>
              <w:jc w:val="both"/>
              <w:rPr>
                <w:rFonts w:ascii="Garamond" w:eastAsia="Garamond" w:hAnsi="Garamond" w:cs="Garamond"/>
                <w:color w:val="000000"/>
              </w:rPr>
            </w:pPr>
            <w:r w:rsidRPr="00171314">
              <w:rPr>
                <w:rFonts w:ascii="Garamond" w:eastAsia="Garamond" w:hAnsi="Garamond" w:cs="Garamond"/>
                <w:color w:val="000000"/>
              </w:rPr>
              <w:t xml:space="preserve">En el 2020, el 54.8% de mujeres sufrieron algún tipo de violencia por parte de sus esposos o compañeros. Hubo más casos en el área urbana (55,3%) que en el área rural (52,3%). Del total de víctimas, sólo el 26.2% acudió a una institución pública a buscar apoyo; este porcentaje fue menor al reportado en el 2019 (29.5%), lo cual refleja que las barreras en </w:t>
            </w:r>
            <w:r w:rsidRPr="00171314">
              <w:rPr>
                <w:rFonts w:ascii="Garamond" w:eastAsia="Garamond" w:hAnsi="Garamond" w:cs="Garamond"/>
                <w:color w:val="000000"/>
              </w:rPr>
              <w:lastRenderedPageBreak/>
              <w:t>el acceso a los servicios de protección y justicia incrementaron durante la emergencia sanitaria, ENDES.</w:t>
            </w:r>
          </w:p>
          <w:p w:rsidR="00552D89" w:rsidRPr="00171314" w:rsidRDefault="00552D89">
            <w:pPr>
              <w:spacing w:after="0" w:line="240" w:lineRule="auto"/>
              <w:jc w:val="both"/>
              <w:rPr>
                <w:rFonts w:ascii="Garamond" w:eastAsia="Garamond" w:hAnsi="Garamond" w:cs="Garamond"/>
                <w:color w:val="000000"/>
              </w:rPr>
            </w:pPr>
          </w:p>
          <w:p w:rsidR="00552D89" w:rsidRPr="00171314" w:rsidRDefault="00552D89">
            <w:pPr>
              <w:spacing w:after="0" w:line="240" w:lineRule="auto"/>
              <w:jc w:val="both"/>
              <w:rPr>
                <w:rFonts w:ascii="Garamond" w:eastAsia="Garamond" w:hAnsi="Garamond" w:cs="Garamond"/>
                <w:b/>
                <w:color w:val="000000"/>
              </w:rPr>
            </w:pPr>
            <w:r w:rsidRPr="00171314">
              <w:rPr>
                <w:rFonts w:ascii="Garamond" w:eastAsia="Garamond" w:hAnsi="Garamond" w:cs="Garamond"/>
                <w:b/>
                <w:color w:val="000000"/>
              </w:rPr>
              <w:t>Feminicidios y tentativas de feminicidio</w:t>
            </w:r>
          </w:p>
          <w:p w:rsidR="00552D89" w:rsidRPr="00171314" w:rsidRDefault="00552D89">
            <w:pPr>
              <w:spacing w:after="0" w:line="240" w:lineRule="auto"/>
              <w:jc w:val="both"/>
              <w:rPr>
                <w:rFonts w:ascii="Garamond" w:eastAsia="Garamond" w:hAnsi="Garamond" w:cs="Garamond"/>
                <w:color w:val="000000"/>
              </w:rPr>
            </w:pPr>
            <w:r w:rsidRPr="00171314">
              <w:rPr>
                <w:rFonts w:ascii="Garamond" w:eastAsia="Garamond" w:hAnsi="Garamond" w:cs="Garamond"/>
                <w:color w:val="000000"/>
              </w:rPr>
              <w:t xml:space="preserve">En el 2021, hubo 136 feminicidios (en 2020, 131); la mayoría de casos ocurrieron </w:t>
            </w:r>
            <w:r w:rsidR="00F4477C" w:rsidRPr="00171314">
              <w:rPr>
                <w:rFonts w:ascii="Garamond" w:eastAsia="Garamond" w:hAnsi="Garamond" w:cs="Garamond"/>
                <w:color w:val="000000"/>
              </w:rPr>
              <w:t>en Lima Metropolitana</w:t>
            </w:r>
            <w:r w:rsidRPr="00171314">
              <w:rPr>
                <w:rFonts w:ascii="Garamond" w:eastAsia="Garamond" w:hAnsi="Garamond" w:cs="Garamond"/>
                <w:color w:val="000000"/>
              </w:rPr>
              <w:t>, seguido por Arequipa, Cusco, San Martín y Callao.</w:t>
            </w:r>
            <w:r w:rsidR="00F4477C" w:rsidRPr="00171314">
              <w:rPr>
                <w:rFonts w:ascii="Garamond" w:eastAsia="Garamond" w:hAnsi="Garamond" w:cs="Garamond"/>
                <w:color w:val="000000"/>
              </w:rPr>
              <w:t xml:space="preserve"> </w:t>
            </w:r>
            <w:r w:rsidRPr="00171314">
              <w:rPr>
                <w:rFonts w:ascii="Garamond" w:eastAsia="Garamond" w:hAnsi="Garamond" w:cs="Garamond"/>
                <w:color w:val="000000"/>
              </w:rPr>
              <w:t xml:space="preserve">El 82.4% de víctimas eran adultas y 4.4% eran adultas mayores. El 59.6% de casos fueron perpetrados por las parejas de las víctimas, el 15.4% por ex parejas, y el 6.6% por un familiar. Ese mismo año, ocurrieron 293 tentativas de feminicidio. </w:t>
            </w:r>
            <w:r w:rsidR="00F4477C" w:rsidRPr="00171314">
              <w:rPr>
                <w:rFonts w:ascii="Garamond" w:eastAsia="Garamond" w:hAnsi="Garamond" w:cs="Garamond"/>
                <w:color w:val="000000"/>
              </w:rPr>
              <w:t>Al mes de junio</w:t>
            </w:r>
            <w:r w:rsidRPr="00171314">
              <w:rPr>
                <w:rFonts w:ascii="Garamond" w:eastAsia="Garamond" w:hAnsi="Garamond" w:cs="Garamond"/>
                <w:color w:val="000000"/>
              </w:rPr>
              <w:t xml:space="preserve"> de 2022, se han reportado</w:t>
            </w:r>
            <w:r w:rsidR="00F4477C" w:rsidRPr="00171314">
              <w:rPr>
                <w:rFonts w:ascii="Garamond" w:eastAsia="Garamond" w:hAnsi="Garamond" w:cs="Garamond"/>
                <w:color w:val="000000"/>
              </w:rPr>
              <w:t xml:space="preserve"> 122 tentativas de feminicidio y</w:t>
            </w:r>
            <w:r w:rsidRPr="00171314">
              <w:rPr>
                <w:rFonts w:ascii="Garamond" w:eastAsia="Garamond" w:hAnsi="Garamond" w:cs="Garamond"/>
                <w:color w:val="000000"/>
              </w:rPr>
              <w:t xml:space="preserve"> </w:t>
            </w:r>
            <w:r w:rsidR="00F4477C" w:rsidRPr="00171314">
              <w:rPr>
                <w:rFonts w:ascii="Garamond" w:eastAsia="Garamond" w:hAnsi="Garamond" w:cs="Garamond"/>
                <w:color w:val="000000"/>
              </w:rPr>
              <w:t>61</w:t>
            </w:r>
            <w:r w:rsidRPr="00171314">
              <w:rPr>
                <w:rFonts w:ascii="Garamond" w:eastAsia="Garamond" w:hAnsi="Garamond" w:cs="Garamond"/>
                <w:color w:val="000000"/>
              </w:rPr>
              <w:t xml:space="preserve"> casos con características de feminicidio</w:t>
            </w:r>
            <w:r w:rsidR="00F4477C" w:rsidRPr="00171314">
              <w:rPr>
                <w:rFonts w:ascii="Garamond" w:eastAsia="Garamond" w:hAnsi="Garamond" w:cs="Garamond"/>
                <w:color w:val="000000"/>
              </w:rPr>
              <w:t>: 16.4% niñas y adolescentes; 80.3% adultas y 3.3% adultas mayores. En el 50.8% de los casos fue la pareja el perpetrador</w:t>
            </w:r>
            <w:r w:rsidRPr="00171314">
              <w:rPr>
                <w:rFonts w:ascii="Garamond" w:eastAsia="Garamond" w:hAnsi="Garamond" w:cs="Garamond"/>
                <w:color w:val="000000"/>
              </w:rPr>
              <w:t xml:space="preserve"> (MIMP</w:t>
            </w:r>
            <w:r w:rsidRPr="00171314">
              <w:rPr>
                <w:rFonts w:ascii="Garamond" w:eastAsia="Garamond" w:hAnsi="Garamond" w:cs="Garamond"/>
                <w:color w:val="000000"/>
                <w:vertAlign w:val="superscript"/>
              </w:rPr>
              <w:endnoteReference w:id="36"/>
            </w:r>
            <w:r w:rsidRPr="00171314">
              <w:rPr>
                <w:rFonts w:ascii="Garamond" w:eastAsia="Garamond" w:hAnsi="Garamond" w:cs="Garamond"/>
                <w:color w:val="000000"/>
              </w:rPr>
              <w:t>).</w:t>
            </w:r>
          </w:p>
          <w:p w:rsidR="00552D89" w:rsidRPr="00171314" w:rsidRDefault="00552D89">
            <w:pPr>
              <w:spacing w:after="0" w:line="240" w:lineRule="auto"/>
              <w:jc w:val="both"/>
              <w:rPr>
                <w:rFonts w:ascii="Garamond" w:eastAsia="Garamond" w:hAnsi="Garamond" w:cs="Garamond"/>
                <w:color w:val="000000"/>
              </w:rPr>
            </w:pPr>
          </w:p>
          <w:p w:rsidR="00552D89" w:rsidRPr="00171314" w:rsidRDefault="00552D89">
            <w:pPr>
              <w:spacing w:after="0" w:line="240" w:lineRule="auto"/>
              <w:jc w:val="both"/>
              <w:rPr>
                <w:rFonts w:ascii="Garamond" w:eastAsia="Garamond" w:hAnsi="Garamond" w:cs="Garamond"/>
                <w:b/>
                <w:color w:val="000000"/>
              </w:rPr>
            </w:pPr>
            <w:r w:rsidRPr="00171314">
              <w:rPr>
                <w:rFonts w:ascii="Garamond" w:eastAsia="Garamond" w:hAnsi="Garamond" w:cs="Garamond"/>
                <w:b/>
                <w:color w:val="000000"/>
              </w:rPr>
              <w:t>Manifestaciones de violencia sexual</w:t>
            </w:r>
          </w:p>
          <w:p w:rsidR="00552D89" w:rsidRPr="00171314" w:rsidRDefault="00552D89">
            <w:pPr>
              <w:spacing w:after="0" w:line="240" w:lineRule="auto"/>
              <w:jc w:val="both"/>
              <w:rPr>
                <w:rFonts w:ascii="Garamond" w:eastAsia="Garamond" w:hAnsi="Garamond" w:cs="Garamond"/>
                <w:color w:val="000000"/>
              </w:rPr>
            </w:pPr>
            <w:r w:rsidRPr="00171314">
              <w:rPr>
                <w:rFonts w:ascii="Garamond" w:eastAsia="Garamond" w:hAnsi="Garamond" w:cs="Garamond"/>
                <w:color w:val="000000"/>
              </w:rPr>
              <w:t xml:space="preserve">MIMP reportó 22456 atenciones en el año 2021; 605 de ellos fueron contra mujeres con alguna discapacidad mental o física; 29, contra mujeres de la comunidad LGTBIQ. Aproximadamente, el 30% de víctimas eran mujeres adultas. 10 251 casos fueron denunciados por violación sexual; 5117, por actos contra el pudor y 615 por hostigamiento sexual. En el 2022, los casos atendidos por violencia sexual de enero a mayo ascendieron a 10787; el 94.8 % de víctimas eran mujeres. La mayoría de casos ocurrieron en Lima (27.7%), seguido de Arequipa (8.7%), La Libertad (5.1%) y Junín (4.7%). </w:t>
            </w:r>
          </w:p>
          <w:p w:rsidR="00552D89" w:rsidRPr="00171314" w:rsidRDefault="00552D89">
            <w:pPr>
              <w:spacing w:after="0" w:line="240" w:lineRule="auto"/>
              <w:jc w:val="both"/>
              <w:rPr>
                <w:rFonts w:ascii="Garamond" w:eastAsia="Garamond" w:hAnsi="Garamond" w:cs="Garamond"/>
              </w:rPr>
            </w:pPr>
          </w:p>
          <w:p w:rsidR="00552D89" w:rsidRPr="00171314" w:rsidRDefault="00F4477C">
            <w:pPr>
              <w:spacing w:after="0" w:line="240" w:lineRule="auto"/>
              <w:jc w:val="both"/>
              <w:rPr>
                <w:rFonts w:ascii="Garamond" w:eastAsia="Garamond" w:hAnsi="Garamond" w:cs="Garamond"/>
                <w:color w:val="000000"/>
              </w:rPr>
            </w:pPr>
            <w:r w:rsidRPr="00171314">
              <w:rPr>
                <w:rFonts w:ascii="Garamond" w:eastAsia="Garamond" w:hAnsi="Garamond" w:cs="Garamond"/>
                <w:color w:val="000000"/>
              </w:rPr>
              <w:t xml:space="preserve">De enero a junio </w:t>
            </w:r>
            <w:r w:rsidR="00552D89" w:rsidRPr="00171314">
              <w:rPr>
                <w:rFonts w:ascii="Garamond" w:eastAsia="Garamond" w:hAnsi="Garamond" w:cs="Garamond"/>
                <w:color w:val="000000"/>
              </w:rPr>
              <w:t xml:space="preserve">de 2022 se reportaron </w:t>
            </w:r>
            <w:r w:rsidR="00291A97" w:rsidRPr="00171314">
              <w:rPr>
                <w:rFonts w:ascii="Garamond" w:eastAsia="Garamond" w:hAnsi="Garamond" w:cs="Garamond"/>
                <w:color w:val="000000"/>
              </w:rPr>
              <w:t>44</w:t>
            </w:r>
            <w:r w:rsidR="00552D89" w:rsidRPr="00171314">
              <w:rPr>
                <w:rFonts w:ascii="Garamond" w:eastAsia="Garamond" w:hAnsi="Garamond" w:cs="Garamond"/>
                <w:color w:val="000000"/>
              </w:rPr>
              <w:t xml:space="preserve"> casos de trata con fines de explotación sexual, el 8</w:t>
            </w:r>
            <w:r w:rsidR="00291A97" w:rsidRPr="00171314">
              <w:rPr>
                <w:rFonts w:ascii="Garamond" w:eastAsia="Garamond" w:hAnsi="Garamond" w:cs="Garamond"/>
                <w:color w:val="000000"/>
              </w:rPr>
              <w:t>6.4</w:t>
            </w:r>
            <w:r w:rsidR="00552D89" w:rsidRPr="00171314">
              <w:rPr>
                <w:rFonts w:ascii="Garamond" w:eastAsia="Garamond" w:hAnsi="Garamond" w:cs="Garamond"/>
                <w:color w:val="000000"/>
              </w:rPr>
              <w:t xml:space="preserve">% contra </w:t>
            </w:r>
            <w:r w:rsidR="00291A97" w:rsidRPr="00171314">
              <w:rPr>
                <w:rFonts w:ascii="Garamond" w:eastAsia="Garamond" w:hAnsi="Garamond" w:cs="Garamond"/>
                <w:color w:val="000000"/>
              </w:rPr>
              <w:t>NNA y 13.6% contra mujeres adultas.</w:t>
            </w:r>
          </w:p>
          <w:p w:rsidR="00552D89" w:rsidRPr="00171314" w:rsidRDefault="00552D89">
            <w:pPr>
              <w:spacing w:after="0" w:line="240" w:lineRule="auto"/>
              <w:jc w:val="both"/>
              <w:rPr>
                <w:rFonts w:ascii="Garamond" w:eastAsia="Garamond" w:hAnsi="Garamond" w:cs="Garamond"/>
                <w:color w:val="000000"/>
              </w:rPr>
            </w:pPr>
          </w:p>
          <w:p w:rsidR="00552D89" w:rsidRPr="00171314" w:rsidRDefault="00552D89">
            <w:pPr>
              <w:spacing w:after="0" w:line="240" w:lineRule="auto"/>
              <w:jc w:val="both"/>
              <w:rPr>
                <w:rFonts w:ascii="Garamond" w:eastAsia="Garamond" w:hAnsi="Garamond" w:cs="Garamond"/>
                <w:b/>
                <w:color w:val="000000"/>
              </w:rPr>
            </w:pPr>
            <w:r w:rsidRPr="00171314">
              <w:rPr>
                <w:rFonts w:ascii="Garamond" w:eastAsia="Garamond" w:hAnsi="Garamond" w:cs="Garamond"/>
                <w:b/>
                <w:color w:val="000000"/>
              </w:rPr>
              <w:t>Acoso sexual en espacios públicos</w:t>
            </w:r>
          </w:p>
          <w:p w:rsidR="00552D89" w:rsidRPr="00171314" w:rsidRDefault="00552D89">
            <w:pPr>
              <w:spacing w:after="0" w:line="240" w:lineRule="auto"/>
              <w:jc w:val="both"/>
              <w:rPr>
                <w:rFonts w:ascii="Garamond" w:eastAsia="Garamond" w:hAnsi="Garamond" w:cs="Garamond"/>
                <w:color w:val="000000"/>
              </w:rPr>
            </w:pPr>
            <w:r w:rsidRPr="00171314">
              <w:rPr>
                <w:rFonts w:ascii="Garamond" w:eastAsia="Garamond" w:hAnsi="Garamond" w:cs="Garamond"/>
                <w:color w:val="000000"/>
              </w:rPr>
              <w:t xml:space="preserve">En 2021, 522 casos atendidos en CEM. El 57.9% de víctimas fueron mujeres adultas; la mayoría ocurrió en Lima (29.6%), Arequipa (7.9%) y La Libertad (6.6%). De enero a mayo de 2022, se denunciaron 127 casos. </w:t>
            </w:r>
          </w:p>
          <w:p w:rsidR="00552D89" w:rsidRPr="00171314" w:rsidRDefault="00552D89">
            <w:pPr>
              <w:spacing w:after="0" w:line="240" w:lineRule="auto"/>
              <w:jc w:val="both"/>
              <w:rPr>
                <w:rFonts w:ascii="Garamond" w:eastAsia="Garamond" w:hAnsi="Garamond" w:cs="Garamond"/>
                <w:b/>
              </w:rPr>
            </w:pPr>
          </w:p>
          <w:p w:rsidR="00552D89" w:rsidRPr="00171314" w:rsidRDefault="00552D89">
            <w:pPr>
              <w:spacing w:after="0" w:line="240" w:lineRule="auto"/>
              <w:jc w:val="both"/>
              <w:rPr>
                <w:rFonts w:ascii="Garamond" w:eastAsia="Garamond" w:hAnsi="Garamond" w:cs="Garamond"/>
                <w:b/>
                <w:color w:val="000000"/>
              </w:rPr>
            </w:pPr>
            <w:r w:rsidRPr="00171314">
              <w:rPr>
                <w:rFonts w:ascii="Garamond" w:eastAsia="Garamond" w:hAnsi="Garamond" w:cs="Garamond"/>
                <w:b/>
                <w:color w:val="000000"/>
              </w:rPr>
              <w:t>Acoso político</w:t>
            </w:r>
          </w:p>
          <w:p w:rsidR="00552D89" w:rsidRPr="00171314" w:rsidRDefault="00552D89">
            <w:pPr>
              <w:spacing w:after="0" w:line="240" w:lineRule="auto"/>
              <w:jc w:val="both"/>
              <w:rPr>
                <w:rFonts w:ascii="Garamond" w:eastAsia="Garamond" w:hAnsi="Garamond" w:cs="Garamond"/>
                <w:color w:val="000000"/>
              </w:rPr>
            </w:pPr>
            <w:r w:rsidRPr="00171314">
              <w:rPr>
                <w:rFonts w:ascii="Garamond" w:eastAsia="Garamond" w:hAnsi="Garamond" w:cs="Garamond"/>
                <w:color w:val="000000"/>
              </w:rPr>
              <w:t>De julio a diciembre del 2021 se atendieron 4 casos de acoso político. De enero a mayo de 2022, 4 casos. Todas mujeres de 18 a 59 años.</w:t>
            </w:r>
          </w:p>
          <w:p w:rsidR="00552D89" w:rsidRPr="00171314" w:rsidRDefault="00552D89">
            <w:pPr>
              <w:spacing w:after="0" w:line="240" w:lineRule="auto"/>
              <w:jc w:val="both"/>
              <w:rPr>
                <w:rFonts w:ascii="Garamond" w:eastAsia="Garamond" w:hAnsi="Garamond" w:cs="Garamond"/>
                <w:color w:val="000000"/>
              </w:rPr>
            </w:pPr>
          </w:p>
          <w:p w:rsidR="00552D89" w:rsidRPr="00171314" w:rsidRDefault="00552D89">
            <w:pPr>
              <w:spacing w:after="0" w:line="240" w:lineRule="auto"/>
              <w:jc w:val="both"/>
              <w:rPr>
                <w:rFonts w:ascii="Garamond" w:eastAsia="Garamond" w:hAnsi="Garamond" w:cs="Garamond"/>
                <w:b/>
                <w:color w:val="000000"/>
              </w:rPr>
            </w:pPr>
            <w:r w:rsidRPr="00171314">
              <w:rPr>
                <w:rFonts w:ascii="Garamond" w:eastAsia="Garamond" w:hAnsi="Garamond" w:cs="Garamond"/>
                <w:b/>
                <w:color w:val="000000"/>
              </w:rPr>
              <w:t>Desapariciones de mujeres</w:t>
            </w:r>
          </w:p>
          <w:p w:rsidR="00552D89" w:rsidRPr="00171314" w:rsidRDefault="00552D89">
            <w:pPr>
              <w:spacing w:after="0" w:line="240" w:lineRule="auto"/>
              <w:jc w:val="both"/>
              <w:rPr>
                <w:rFonts w:ascii="Garamond" w:eastAsia="Garamond" w:hAnsi="Garamond" w:cs="Garamond"/>
                <w:color w:val="000000"/>
              </w:rPr>
            </w:pPr>
            <w:r w:rsidRPr="00171314">
              <w:rPr>
                <w:rFonts w:ascii="Garamond" w:eastAsia="Garamond" w:hAnsi="Garamond" w:cs="Garamond"/>
                <w:color w:val="000000"/>
              </w:rPr>
              <w:t>En el 2021, la Defensoría del Pueblo reportó 5 904 notas de alerta por desaparición de niñas, adolescentes y mujeres adultas (16 en promedio por día), 7% más que en el 2020, 5521. Del total, 34% fueron de mujeres adultas. Lima (2260), Lambayeque (311), Cusco (287), Arequipa (278) y La Libertad (252) es donde hay más registros. Es alarmante, teniendo en cuenta que las desaparecidas pueden terminar asesinadas (feminicidio) o reclutadas en redes de explotación sexual y por lo tanto ser víctima de la trata. En el 2020, el 25% de las víctimas de feminicidio habían sido reportada como desaparecidas</w:t>
            </w:r>
            <w:r w:rsidRPr="00171314">
              <w:rPr>
                <w:rFonts w:ascii="Garamond" w:eastAsia="Garamond" w:hAnsi="Garamond" w:cs="Garamond"/>
                <w:color w:val="000000"/>
                <w:vertAlign w:val="superscript"/>
              </w:rPr>
              <w:endnoteReference w:id="37"/>
            </w:r>
            <w:r w:rsidRPr="00171314">
              <w:rPr>
                <w:rFonts w:ascii="Garamond" w:eastAsia="Garamond" w:hAnsi="Garamond" w:cs="Garamond"/>
                <w:color w:val="000000"/>
              </w:rPr>
              <w:t>.</w:t>
            </w:r>
          </w:p>
          <w:p w:rsidR="00552D89" w:rsidRPr="00171314" w:rsidRDefault="00552D89">
            <w:pPr>
              <w:spacing w:after="0" w:line="240" w:lineRule="auto"/>
              <w:jc w:val="both"/>
              <w:rPr>
                <w:rFonts w:ascii="Garamond" w:eastAsia="Garamond" w:hAnsi="Garamond" w:cs="Garamond"/>
                <w:color w:val="000000"/>
              </w:rPr>
            </w:pPr>
          </w:p>
          <w:p w:rsidR="00552D89" w:rsidRPr="00171314" w:rsidRDefault="00552D89">
            <w:pPr>
              <w:spacing w:after="0" w:line="240" w:lineRule="auto"/>
              <w:jc w:val="both"/>
              <w:rPr>
                <w:rFonts w:ascii="Garamond" w:eastAsia="Garamond" w:hAnsi="Garamond" w:cs="Garamond"/>
                <w:b/>
                <w:color w:val="000000"/>
              </w:rPr>
            </w:pPr>
            <w:r w:rsidRPr="00171314">
              <w:rPr>
                <w:rFonts w:ascii="Garamond" w:eastAsia="Garamond" w:hAnsi="Garamond" w:cs="Garamond"/>
                <w:b/>
                <w:color w:val="000000"/>
              </w:rPr>
              <w:t xml:space="preserve">Problemas en los servicios durante la pandemia </w:t>
            </w:r>
          </w:p>
          <w:p w:rsidR="00552D89" w:rsidRPr="00171314" w:rsidRDefault="00552D89">
            <w:pPr>
              <w:spacing w:after="0" w:line="240" w:lineRule="auto"/>
              <w:jc w:val="both"/>
              <w:rPr>
                <w:rFonts w:ascii="Garamond" w:eastAsia="Garamond" w:hAnsi="Garamond" w:cs="Garamond"/>
                <w:color w:val="000000"/>
              </w:rPr>
            </w:pPr>
            <w:r w:rsidRPr="00171314">
              <w:rPr>
                <w:rFonts w:ascii="Garamond" w:eastAsia="Garamond" w:hAnsi="Garamond" w:cs="Garamond"/>
                <w:color w:val="000000"/>
              </w:rPr>
              <w:t>Durante la pandemia, los números de personas atendidas en los CEM disminuyeron en 40%, debido a que los CEM fueron temporalmente suspendidos entre abril y junio del 2020. También descendió la emisión de medidas de protección, en el 2020 se dictaron 230 623, mientras que, en el 2019, se dictaron 278 717 y en el 2018, 244 831.</w:t>
            </w:r>
          </w:p>
          <w:p w:rsidR="00552D89" w:rsidRPr="00171314" w:rsidRDefault="00552D89">
            <w:pPr>
              <w:spacing w:after="0" w:line="240" w:lineRule="auto"/>
              <w:jc w:val="both"/>
              <w:rPr>
                <w:rFonts w:ascii="Garamond" w:eastAsia="Garamond" w:hAnsi="Garamond" w:cs="Garamond"/>
                <w:color w:val="000000"/>
              </w:rPr>
            </w:pPr>
          </w:p>
          <w:p w:rsidR="00552D89" w:rsidRPr="00171314" w:rsidRDefault="00552D89">
            <w:pPr>
              <w:spacing w:after="0" w:line="240" w:lineRule="auto"/>
              <w:jc w:val="both"/>
              <w:rPr>
                <w:rFonts w:ascii="Garamond" w:eastAsia="Garamond" w:hAnsi="Garamond" w:cs="Garamond"/>
                <w:b/>
                <w:color w:val="000000"/>
              </w:rPr>
            </w:pPr>
            <w:r w:rsidRPr="00171314">
              <w:rPr>
                <w:rFonts w:ascii="Garamond" w:eastAsia="Garamond" w:hAnsi="Garamond" w:cs="Garamond"/>
                <w:b/>
                <w:color w:val="000000"/>
              </w:rPr>
              <w:t>Tolerancia social a la violencia contra las mujeres</w:t>
            </w:r>
          </w:p>
          <w:p w:rsidR="00552D89" w:rsidRPr="00171314" w:rsidRDefault="00552D89">
            <w:pPr>
              <w:spacing w:after="0" w:line="240" w:lineRule="auto"/>
              <w:jc w:val="both"/>
              <w:rPr>
                <w:rFonts w:ascii="Garamond" w:eastAsia="Garamond" w:hAnsi="Garamond" w:cs="Garamond"/>
                <w:color w:val="000000"/>
              </w:rPr>
            </w:pPr>
            <w:r w:rsidRPr="00171314">
              <w:rPr>
                <w:rFonts w:ascii="Garamond" w:eastAsia="Garamond" w:hAnsi="Garamond" w:cs="Garamond"/>
                <w:color w:val="000000"/>
              </w:rPr>
              <w:t xml:space="preserve">El 33% de la población considera que “mujer infiel debe tener alguna forma de castigo por parte de su pareja”, el 53% considera que debe cumplir su “rol” de madre y esposa, </w:t>
            </w:r>
            <w:r w:rsidRPr="00171314">
              <w:rPr>
                <w:rFonts w:ascii="Garamond" w:eastAsia="Garamond" w:hAnsi="Garamond" w:cs="Garamond"/>
                <w:color w:val="000000"/>
              </w:rPr>
              <w:lastRenderedPageBreak/>
              <w:t>después cumplir sus sueños, y el 26% que debe estar dispuesta a tener relaciones sexuales cuando su pareja lo desee (ENARES).</w:t>
            </w:r>
          </w:p>
          <w:p w:rsidR="00552D89" w:rsidRPr="00171314" w:rsidRDefault="00552D89">
            <w:pPr>
              <w:spacing w:after="0" w:line="240" w:lineRule="auto"/>
              <w:jc w:val="both"/>
              <w:rPr>
                <w:rFonts w:ascii="Garamond" w:eastAsia="Garamond" w:hAnsi="Garamond" w:cs="Garamond"/>
                <w:color w:val="000000"/>
              </w:rPr>
            </w:pPr>
          </w:p>
        </w:tc>
      </w:tr>
      <w:tr w:rsidR="00552D89" w:rsidTr="00975F39">
        <w:trPr>
          <w:trHeight w:val="1530"/>
        </w:trPr>
        <w:tc>
          <w:tcPr>
            <w:tcW w:w="1620" w:type="dxa"/>
            <w:shd w:val="clear" w:color="auto" w:fill="B4C6E7"/>
          </w:tcPr>
          <w:p w:rsidR="00552D89" w:rsidRPr="00171314" w:rsidRDefault="00552D89">
            <w:pPr>
              <w:pBdr>
                <w:top w:val="nil"/>
                <w:left w:val="nil"/>
                <w:bottom w:val="nil"/>
                <w:right w:val="nil"/>
                <w:between w:val="nil"/>
              </w:pBdr>
              <w:jc w:val="both"/>
              <w:rPr>
                <w:rFonts w:ascii="Garamond" w:eastAsia="Garamond" w:hAnsi="Garamond" w:cs="Garamond"/>
                <w:color w:val="0070C0"/>
              </w:rPr>
            </w:pPr>
            <w:r w:rsidRPr="00171314">
              <w:rPr>
                <w:rFonts w:ascii="Garamond" w:eastAsia="Garamond" w:hAnsi="Garamond" w:cs="Garamond"/>
                <w:b/>
                <w:color w:val="0070C0"/>
              </w:rPr>
              <w:lastRenderedPageBreak/>
              <w:t>3. RECOMENDACIONES AL ESTADO PERUANO</w:t>
            </w:r>
          </w:p>
          <w:p w:rsidR="00552D89" w:rsidRPr="00171314" w:rsidRDefault="00552D89">
            <w:pPr>
              <w:pBdr>
                <w:top w:val="nil"/>
                <w:left w:val="nil"/>
                <w:bottom w:val="nil"/>
                <w:right w:val="nil"/>
                <w:between w:val="nil"/>
              </w:pBdr>
              <w:jc w:val="both"/>
              <w:rPr>
                <w:rFonts w:ascii="Garamond" w:eastAsia="Garamond" w:hAnsi="Garamond" w:cs="Garamond"/>
                <w:color w:val="0070C0"/>
              </w:rPr>
            </w:pPr>
          </w:p>
        </w:tc>
        <w:tc>
          <w:tcPr>
            <w:tcW w:w="7740" w:type="dxa"/>
            <w:shd w:val="clear" w:color="auto" w:fill="B4C6E7"/>
          </w:tcPr>
          <w:p w:rsidR="00552D89" w:rsidRPr="00171314" w:rsidRDefault="00552D89">
            <w:pPr>
              <w:spacing w:after="0" w:line="240" w:lineRule="auto"/>
              <w:jc w:val="both"/>
              <w:rPr>
                <w:rFonts w:ascii="Garamond" w:eastAsia="Garamond" w:hAnsi="Garamond" w:cs="Garamond"/>
              </w:rPr>
            </w:pPr>
            <w:r w:rsidRPr="00171314">
              <w:rPr>
                <w:rFonts w:ascii="Garamond" w:eastAsia="Garamond" w:hAnsi="Garamond" w:cs="Garamond"/>
              </w:rPr>
              <w:t xml:space="preserve">• </w:t>
            </w:r>
            <w:r w:rsidRPr="00171314">
              <w:rPr>
                <w:rFonts w:ascii="Garamond" w:eastAsia="Garamond" w:hAnsi="Garamond" w:cs="Garamond"/>
                <w:b/>
              </w:rPr>
              <w:t>Sistema de Justicia</w:t>
            </w:r>
            <w:r w:rsidRPr="00171314">
              <w:rPr>
                <w:rFonts w:ascii="Garamond" w:eastAsia="Garamond" w:hAnsi="Garamond" w:cs="Garamond"/>
              </w:rPr>
              <w:t xml:space="preserve">: Asignar de mayores recursos presupuestales, logísticos y humanos al Sistema Nacional Especializado de Justicia para la Protección y Sanción de la Violencia contra las Mujeres e integrantes del grupo familiar. </w:t>
            </w:r>
          </w:p>
          <w:p w:rsidR="00552D89" w:rsidRPr="00171314" w:rsidRDefault="00552D89">
            <w:pPr>
              <w:spacing w:after="0" w:line="240" w:lineRule="auto"/>
              <w:jc w:val="both"/>
              <w:rPr>
                <w:rFonts w:ascii="Garamond" w:eastAsia="Garamond" w:hAnsi="Garamond" w:cs="Garamond"/>
              </w:rPr>
            </w:pPr>
            <w:r w:rsidRPr="00171314">
              <w:rPr>
                <w:rFonts w:ascii="Garamond" w:eastAsia="Garamond" w:hAnsi="Garamond" w:cs="Garamond"/>
              </w:rPr>
              <w:t>• Debe ampliarse la cobertura de los Juzgados y Fiscalías Especializadas en todas las regiones del país</w:t>
            </w:r>
            <w:r w:rsidRPr="00171314">
              <w:rPr>
                <w:rFonts w:ascii="Garamond" w:eastAsia="Garamond" w:hAnsi="Garamond" w:cs="Garamond"/>
                <w:vertAlign w:val="superscript"/>
              </w:rPr>
              <w:endnoteReference w:id="38"/>
            </w:r>
            <w:r w:rsidRPr="00171314">
              <w:rPr>
                <w:rFonts w:ascii="Garamond" w:eastAsia="Garamond" w:hAnsi="Garamond" w:cs="Garamond"/>
              </w:rPr>
              <w:t>.</w:t>
            </w:r>
          </w:p>
          <w:p w:rsidR="00552D89" w:rsidRPr="00171314" w:rsidRDefault="00552D89">
            <w:pPr>
              <w:spacing w:after="0" w:line="240" w:lineRule="auto"/>
              <w:jc w:val="both"/>
              <w:rPr>
                <w:rFonts w:ascii="Garamond" w:eastAsia="Garamond" w:hAnsi="Garamond" w:cs="Garamond"/>
              </w:rPr>
            </w:pPr>
            <w:r w:rsidRPr="00171314">
              <w:rPr>
                <w:rFonts w:ascii="Garamond" w:eastAsia="Garamond" w:hAnsi="Garamond" w:cs="Garamond"/>
              </w:rPr>
              <w:t xml:space="preserve">• Acceso a la justicia para mujeres, niñas y adolescentes con discapacidad. </w:t>
            </w:r>
          </w:p>
          <w:p w:rsidR="00552D89" w:rsidRPr="00171314" w:rsidRDefault="00552D89">
            <w:pPr>
              <w:spacing w:after="0" w:line="240" w:lineRule="auto"/>
              <w:jc w:val="both"/>
              <w:rPr>
                <w:rFonts w:ascii="Garamond" w:eastAsia="Garamond" w:hAnsi="Garamond" w:cs="Garamond"/>
              </w:rPr>
            </w:pPr>
            <w:r w:rsidRPr="00171314">
              <w:rPr>
                <w:rFonts w:ascii="Garamond" w:eastAsia="Garamond" w:hAnsi="Garamond" w:cs="Garamond"/>
              </w:rPr>
              <w:t xml:space="preserve">• Elevar a nivel de Dirección la sección de Familia y Violencia contra las Mujeres y Grupo Familiar de la </w:t>
            </w:r>
            <w:r w:rsidRPr="00171314">
              <w:rPr>
                <w:rFonts w:ascii="Garamond" w:eastAsia="Garamond" w:hAnsi="Garamond" w:cs="Garamond"/>
                <w:b/>
              </w:rPr>
              <w:t>Policía</w:t>
            </w:r>
            <w:r w:rsidRPr="00171314">
              <w:rPr>
                <w:rFonts w:ascii="Garamond" w:eastAsia="Garamond" w:hAnsi="Garamond" w:cs="Garamond"/>
              </w:rPr>
              <w:t>, deben ser responsables de recibir e investigar las denuncias de casos de violencia</w:t>
            </w:r>
            <w:r w:rsidRPr="00171314">
              <w:rPr>
                <w:rFonts w:ascii="Garamond" w:eastAsia="Garamond" w:hAnsi="Garamond" w:cs="Garamond"/>
                <w:vertAlign w:val="superscript"/>
              </w:rPr>
              <w:endnoteReference w:id="39"/>
            </w:r>
            <w:r w:rsidRPr="00171314">
              <w:rPr>
                <w:rFonts w:ascii="Garamond" w:eastAsia="Garamond" w:hAnsi="Garamond" w:cs="Garamond"/>
              </w:rPr>
              <w:t>.</w:t>
            </w:r>
          </w:p>
          <w:p w:rsidR="00552D89" w:rsidRPr="00171314" w:rsidRDefault="00552D89">
            <w:pPr>
              <w:spacing w:after="0" w:line="240" w:lineRule="auto"/>
              <w:jc w:val="both"/>
              <w:rPr>
                <w:rFonts w:ascii="Garamond" w:eastAsia="Garamond" w:hAnsi="Garamond" w:cs="Garamond"/>
              </w:rPr>
            </w:pPr>
            <w:r w:rsidRPr="00171314">
              <w:rPr>
                <w:rFonts w:ascii="Garamond" w:eastAsia="Garamond" w:hAnsi="Garamond" w:cs="Garamond"/>
              </w:rPr>
              <w:t xml:space="preserve">• Garantizar la implementación de programas de </w:t>
            </w:r>
            <w:r w:rsidRPr="00171314">
              <w:rPr>
                <w:rFonts w:ascii="Garamond" w:eastAsia="Garamond" w:hAnsi="Garamond" w:cs="Garamond"/>
                <w:b/>
              </w:rPr>
              <w:t xml:space="preserve">capacitación continuos y obligatorios </w:t>
            </w:r>
            <w:r w:rsidRPr="00171314">
              <w:rPr>
                <w:rFonts w:ascii="Garamond" w:eastAsia="Garamond" w:hAnsi="Garamond" w:cs="Garamond"/>
              </w:rPr>
              <w:t>en normativa sobre prevención y atención de la VBG así como los enfoques pertinentes</w:t>
            </w:r>
            <w:r w:rsidRPr="00171314">
              <w:rPr>
                <w:rFonts w:ascii="Garamond" w:eastAsia="Garamond" w:hAnsi="Garamond" w:cs="Garamond"/>
                <w:vertAlign w:val="superscript"/>
              </w:rPr>
              <w:endnoteReference w:id="40"/>
            </w:r>
            <w:r w:rsidRPr="00171314">
              <w:rPr>
                <w:rFonts w:ascii="Garamond" w:eastAsia="Garamond" w:hAnsi="Garamond" w:cs="Garamond"/>
              </w:rPr>
              <w:t xml:space="preserve"> que apunten a la especialización en todo el sistema nacional de justicia y servicios de atención</w:t>
            </w:r>
            <w:r w:rsidRPr="00171314">
              <w:rPr>
                <w:rFonts w:ascii="Garamond" w:eastAsia="Garamond" w:hAnsi="Garamond" w:cs="Garamond"/>
                <w:vertAlign w:val="superscript"/>
              </w:rPr>
              <w:endnoteReference w:id="41"/>
            </w:r>
            <w:r w:rsidRPr="00171314">
              <w:rPr>
                <w:rFonts w:ascii="Garamond" w:eastAsia="Garamond" w:hAnsi="Garamond" w:cs="Garamond"/>
              </w:rPr>
              <w:t>.</w:t>
            </w:r>
          </w:p>
          <w:p w:rsidR="00552D89" w:rsidRPr="00171314" w:rsidRDefault="00552D89">
            <w:pPr>
              <w:spacing w:after="0" w:line="240" w:lineRule="auto"/>
              <w:jc w:val="both"/>
              <w:rPr>
                <w:rFonts w:ascii="Garamond" w:eastAsia="Garamond" w:hAnsi="Garamond" w:cs="Garamond"/>
              </w:rPr>
            </w:pPr>
            <w:r w:rsidRPr="00171314">
              <w:rPr>
                <w:rFonts w:ascii="Garamond" w:eastAsia="Garamond" w:hAnsi="Garamond" w:cs="Garamond"/>
              </w:rPr>
              <w:t xml:space="preserve">• Incrementar el </w:t>
            </w:r>
            <w:r w:rsidRPr="00171314">
              <w:rPr>
                <w:rFonts w:ascii="Garamond" w:eastAsia="Garamond" w:hAnsi="Garamond" w:cs="Garamond"/>
                <w:b/>
              </w:rPr>
              <w:t>presupuesto</w:t>
            </w:r>
            <w:r w:rsidRPr="00171314">
              <w:rPr>
                <w:rFonts w:ascii="Garamond" w:eastAsia="Garamond" w:hAnsi="Garamond" w:cs="Garamond"/>
              </w:rPr>
              <w:t xml:space="preserve"> -PPOR 1002- especialmente para los productos de prevención de la VBG y otros que incorporen la interseccionalidad. Así como el cumplimiento de la Estrategia Nacional de Prevención</w:t>
            </w:r>
            <w:r w:rsidRPr="00171314">
              <w:rPr>
                <w:rFonts w:ascii="Garamond" w:eastAsia="Garamond" w:hAnsi="Garamond" w:cs="Garamond"/>
                <w:vertAlign w:val="superscript"/>
              </w:rPr>
              <w:endnoteReference w:id="42"/>
            </w:r>
            <w:r w:rsidRPr="00171314">
              <w:rPr>
                <w:rFonts w:ascii="Garamond" w:eastAsia="Garamond" w:hAnsi="Garamond" w:cs="Garamond"/>
              </w:rPr>
              <w:t>.</w:t>
            </w:r>
          </w:p>
          <w:p w:rsidR="00552D89" w:rsidRPr="00171314" w:rsidRDefault="00552D89">
            <w:pPr>
              <w:spacing w:after="0" w:line="240" w:lineRule="auto"/>
              <w:jc w:val="both"/>
              <w:rPr>
                <w:rFonts w:ascii="Garamond" w:eastAsia="Garamond" w:hAnsi="Garamond" w:cs="Garamond"/>
              </w:rPr>
            </w:pPr>
            <w:r w:rsidRPr="00171314">
              <w:rPr>
                <w:rFonts w:ascii="Garamond" w:eastAsia="Garamond" w:hAnsi="Garamond" w:cs="Garamond"/>
              </w:rPr>
              <w:t>• Presupuesto para implementar las Alertas de emergencia a través del SISMATE</w:t>
            </w:r>
            <w:r w:rsidRPr="00171314">
              <w:rPr>
                <w:rFonts w:ascii="Garamond" w:eastAsia="Garamond" w:hAnsi="Garamond" w:cs="Garamond"/>
                <w:vertAlign w:val="superscript"/>
              </w:rPr>
              <w:endnoteReference w:id="43"/>
            </w:r>
            <w:r w:rsidRPr="00171314">
              <w:rPr>
                <w:rFonts w:ascii="Garamond" w:eastAsia="Garamond" w:hAnsi="Garamond" w:cs="Garamond"/>
              </w:rPr>
              <w:t xml:space="preserve">  y otros componentes del Sistema Nacional de Búsqueda de personas desaparecidas</w:t>
            </w:r>
            <w:r w:rsidRPr="00171314">
              <w:rPr>
                <w:rFonts w:ascii="Garamond" w:eastAsia="Garamond" w:hAnsi="Garamond" w:cs="Garamond"/>
                <w:vertAlign w:val="superscript"/>
              </w:rPr>
              <w:endnoteReference w:id="44"/>
            </w:r>
            <w:r w:rsidRPr="00171314">
              <w:rPr>
                <w:rFonts w:ascii="Garamond" w:eastAsia="Garamond" w:hAnsi="Garamond" w:cs="Garamond"/>
              </w:rPr>
              <w:t xml:space="preserve">. </w:t>
            </w:r>
          </w:p>
          <w:p w:rsidR="00552D89" w:rsidRPr="00171314" w:rsidRDefault="00552D89" w:rsidP="0044391E">
            <w:pPr>
              <w:spacing w:after="0" w:line="240" w:lineRule="auto"/>
              <w:jc w:val="both"/>
              <w:rPr>
                <w:rFonts w:ascii="Garamond" w:eastAsia="Garamond" w:hAnsi="Garamond" w:cs="Garamond"/>
              </w:rPr>
            </w:pPr>
            <w:r w:rsidRPr="00171314">
              <w:rPr>
                <w:rFonts w:ascii="Garamond" w:eastAsia="Garamond" w:hAnsi="Garamond" w:cs="Garamond"/>
              </w:rPr>
              <w:t xml:space="preserve">• </w:t>
            </w:r>
            <w:r w:rsidRPr="00171314">
              <w:rPr>
                <w:rFonts w:ascii="Garamond" w:eastAsia="Garamond" w:hAnsi="Garamond" w:cs="Garamond"/>
                <w:b/>
              </w:rPr>
              <w:t>Modificar Protocolo</w:t>
            </w:r>
            <w:r w:rsidRPr="00171314">
              <w:rPr>
                <w:rFonts w:ascii="Garamond" w:eastAsia="Garamond" w:hAnsi="Garamond" w:cs="Garamond"/>
              </w:rPr>
              <w:t xml:space="preserve"> Interinstitucional de Búsqueda de Personas Desaparecidas en situación de vulnerabilidad para activar alerta de emergencia en todos los casos en que desaparezca una mujer, independientemente de si se encuentra o no en una situación de alto riesgo en todo su ciclo de vida.  </w:t>
            </w:r>
          </w:p>
          <w:p w:rsidR="00552D89" w:rsidRPr="00171314" w:rsidRDefault="00552D89">
            <w:pPr>
              <w:spacing w:after="0" w:line="240" w:lineRule="auto"/>
              <w:jc w:val="both"/>
              <w:rPr>
                <w:rFonts w:ascii="Garamond" w:eastAsia="Garamond" w:hAnsi="Garamond" w:cs="Garamond"/>
              </w:rPr>
            </w:pPr>
            <w:r w:rsidRPr="00171314">
              <w:rPr>
                <w:rFonts w:ascii="Garamond" w:eastAsia="Garamond" w:hAnsi="Garamond" w:cs="Garamond"/>
              </w:rPr>
              <w:t>•</w:t>
            </w:r>
            <w:r w:rsidRPr="00171314">
              <w:rPr>
                <w:rFonts w:ascii="Garamond" w:eastAsia="Garamond" w:hAnsi="Garamond" w:cs="Garamond"/>
                <w:b/>
              </w:rPr>
              <w:t>Tipificar el delito de desaparición perpetrada por particulares</w:t>
            </w:r>
            <w:r w:rsidRPr="00171314">
              <w:rPr>
                <w:rFonts w:ascii="Garamond" w:eastAsia="Garamond" w:hAnsi="Garamond" w:cs="Garamond"/>
              </w:rPr>
              <w:t xml:space="preserve">, con agravante si éste ocurre por móviles de discriminación o violencia de género. </w:t>
            </w:r>
          </w:p>
          <w:p w:rsidR="00552D89" w:rsidRPr="00171314" w:rsidRDefault="00552D89">
            <w:pPr>
              <w:spacing w:after="0" w:line="240" w:lineRule="auto"/>
              <w:jc w:val="both"/>
              <w:rPr>
                <w:rFonts w:ascii="Garamond" w:eastAsia="Garamond" w:hAnsi="Garamond" w:cs="Garamond"/>
              </w:rPr>
            </w:pPr>
            <w:r w:rsidRPr="00171314">
              <w:rPr>
                <w:rFonts w:ascii="Garamond" w:eastAsia="Garamond" w:hAnsi="Garamond" w:cs="Garamond"/>
              </w:rPr>
              <w:t>• Exigir el cumplimiento del mandato de búsqueda de mujeres desaparecidas y el reconocimiento como víctimas a los familiares para su atención en los servicios</w:t>
            </w:r>
            <w:r w:rsidRPr="00171314">
              <w:rPr>
                <w:rFonts w:ascii="Garamond" w:eastAsia="Garamond" w:hAnsi="Garamond" w:cs="Garamond"/>
                <w:vertAlign w:val="superscript"/>
              </w:rPr>
              <w:endnoteReference w:id="45"/>
            </w:r>
            <w:r w:rsidRPr="00171314">
              <w:rPr>
                <w:rFonts w:ascii="Garamond" w:eastAsia="Garamond" w:hAnsi="Garamond" w:cs="Garamond"/>
              </w:rPr>
              <w:t>.</w:t>
            </w:r>
          </w:p>
          <w:p w:rsidR="00552D89" w:rsidRPr="00171314" w:rsidRDefault="00552D89">
            <w:pPr>
              <w:spacing w:after="0" w:line="240" w:lineRule="auto"/>
              <w:jc w:val="both"/>
              <w:rPr>
                <w:rFonts w:ascii="Garamond" w:eastAsia="Garamond" w:hAnsi="Garamond" w:cs="Garamond"/>
              </w:rPr>
            </w:pPr>
            <w:r w:rsidRPr="00171314">
              <w:rPr>
                <w:rFonts w:ascii="Garamond" w:eastAsia="Garamond" w:hAnsi="Garamond" w:cs="Garamond"/>
              </w:rPr>
              <w:t xml:space="preserve">• </w:t>
            </w:r>
            <w:r w:rsidRPr="00171314">
              <w:rPr>
                <w:rFonts w:ascii="Garamond" w:eastAsia="Garamond" w:hAnsi="Garamond" w:cs="Garamond"/>
                <w:b/>
                <w:color w:val="000000"/>
              </w:rPr>
              <w:t xml:space="preserve">Interseccionalidad: </w:t>
            </w:r>
            <w:r w:rsidRPr="00171314">
              <w:rPr>
                <w:rFonts w:ascii="Garamond" w:eastAsia="Garamond" w:hAnsi="Garamond" w:cs="Garamond"/>
                <w:color w:val="000000"/>
              </w:rPr>
              <w:t>Estado debe investigar, recoger datos y elaborar informe sobre crímenes de odio</w:t>
            </w:r>
            <w:r w:rsidRPr="00171314">
              <w:rPr>
                <w:rFonts w:ascii="Garamond" w:eastAsia="Garamond" w:hAnsi="Garamond" w:cs="Garamond"/>
              </w:rPr>
              <w:t>, violencia contra mujeres con discapacidad y mujeres indígenas</w:t>
            </w:r>
            <w:r w:rsidRPr="00171314">
              <w:rPr>
                <w:rFonts w:ascii="Garamond" w:eastAsia="Garamond" w:hAnsi="Garamond" w:cs="Garamond"/>
                <w:color w:val="000000"/>
              </w:rPr>
              <w:t>.</w:t>
            </w:r>
          </w:p>
        </w:tc>
      </w:tr>
    </w:tbl>
    <w:p w:rsidR="00552D89" w:rsidRDefault="00552D89">
      <w:pPr>
        <w:spacing w:after="0" w:line="240" w:lineRule="auto"/>
        <w:rPr>
          <w:rFonts w:ascii="Times New Roman" w:eastAsia="Times New Roman" w:hAnsi="Times New Roman" w:cs="Times New Roman"/>
          <w:sz w:val="24"/>
          <w:szCs w:val="24"/>
        </w:rPr>
      </w:pPr>
    </w:p>
    <w:p w:rsidR="00552D89" w:rsidRDefault="00552D89">
      <w:pPr>
        <w:spacing w:after="0" w:line="240" w:lineRule="auto"/>
        <w:rPr>
          <w:rFonts w:ascii="Times New Roman" w:eastAsia="Times New Roman" w:hAnsi="Times New Roman" w:cs="Times New Roman"/>
          <w:sz w:val="24"/>
          <w:szCs w:val="24"/>
        </w:rPr>
      </w:pPr>
    </w:p>
    <w:p w:rsidR="00552D89" w:rsidRDefault="00552D89">
      <w:pPr>
        <w:spacing w:after="0" w:line="240" w:lineRule="auto"/>
        <w:rPr>
          <w:rFonts w:ascii="Times New Roman" w:eastAsia="Times New Roman" w:hAnsi="Times New Roman" w:cs="Times New Roman"/>
          <w:sz w:val="24"/>
          <w:szCs w:val="24"/>
        </w:rPr>
      </w:pPr>
    </w:p>
    <w:p w:rsidR="00552D89" w:rsidRDefault="00552D89">
      <w:pPr>
        <w:numPr>
          <w:ilvl w:val="0"/>
          <w:numId w:val="5"/>
        </w:numPr>
        <w:pBdr>
          <w:top w:val="nil"/>
          <w:left w:val="nil"/>
          <w:bottom w:val="nil"/>
          <w:right w:val="nil"/>
          <w:between w:val="nil"/>
        </w:pBdr>
        <w:spacing w:after="0"/>
        <w:rPr>
          <w:rFonts w:ascii="Garamond" w:eastAsia="Garamond" w:hAnsi="Garamond" w:cs="Garamond"/>
          <w:b/>
          <w:color w:val="000000"/>
          <w:sz w:val="28"/>
          <w:szCs w:val="28"/>
        </w:rPr>
      </w:pPr>
      <w:r>
        <w:rPr>
          <w:rFonts w:ascii="Garamond" w:eastAsia="Garamond" w:hAnsi="Garamond" w:cs="Garamond"/>
          <w:b/>
          <w:color w:val="000000"/>
          <w:sz w:val="28"/>
          <w:szCs w:val="28"/>
        </w:rPr>
        <w:t>DERECHO A LA SALUD</w:t>
      </w:r>
    </w:p>
    <w:p w:rsidR="00552D89" w:rsidRDefault="00552D89">
      <w:pPr>
        <w:pBdr>
          <w:top w:val="nil"/>
          <w:left w:val="nil"/>
          <w:bottom w:val="nil"/>
          <w:right w:val="nil"/>
          <w:between w:val="nil"/>
        </w:pBdr>
        <w:ind w:left="720"/>
        <w:rPr>
          <w:rFonts w:ascii="Garamond" w:eastAsia="Garamond" w:hAnsi="Garamond" w:cs="Garamond"/>
          <w:b/>
          <w:color w:val="000000"/>
          <w:sz w:val="28"/>
          <w:szCs w:val="28"/>
        </w:rPr>
      </w:pPr>
    </w:p>
    <w:tbl>
      <w:tblPr>
        <w:tblStyle w:val="a3"/>
        <w:tblW w:w="945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1620"/>
        <w:gridCol w:w="7830"/>
      </w:tblGrid>
      <w:tr w:rsidR="00552D89" w:rsidRPr="00171314">
        <w:trPr>
          <w:trHeight w:val="888"/>
        </w:trPr>
        <w:tc>
          <w:tcPr>
            <w:tcW w:w="1620" w:type="dxa"/>
            <w:vAlign w:val="center"/>
          </w:tcPr>
          <w:p w:rsidR="00552D89" w:rsidRPr="00171314" w:rsidRDefault="00552D89">
            <w:pPr>
              <w:spacing w:after="0" w:line="240" w:lineRule="auto"/>
              <w:jc w:val="both"/>
              <w:rPr>
                <w:rFonts w:ascii="Garamond" w:eastAsia="Garamond" w:hAnsi="Garamond" w:cs="Garamond"/>
                <w:b/>
                <w:color w:val="4472C4"/>
              </w:rPr>
            </w:pPr>
            <w:r w:rsidRPr="00171314">
              <w:rPr>
                <w:rFonts w:ascii="Garamond" w:eastAsia="Garamond" w:hAnsi="Garamond" w:cs="Garamond"/>
                <w:b/>
                <w:color w:val="4472C4"/>
              </w:rPr>
              <w:t>RECOMENDACIÓN</w:t>
            </w:r>
          </w:p>
        </w:tc>
        <w:tc>
          <w:tcPr>
            <w:tcW w:w="7830" w:type="dxa"/>
            <w:vAlign w:val="center"/>
          </w:tcPr>
          <w:p w:rsidR="00552D89" w:rsidRPr="00171314" w:rsidRDefault="00552D89">
            <w:pPr>
              <w:spacing w:after="0" w:line="240" w:lineRule="auto"/>
              <w:jc w:val="both"/>
              <w:rPr>
                <w:rFonts w:ascii="Garamond" w:eastAsia="Garamond" w:hAnsi="Garamond" w:cs="Garamond"/>
              </w:rPr>
            </w:pPr>
            <w:r w:rsidRPr="00171314">
              <w:rPr>
                <w:rFonts w:ascii="Garamond" w:eastAsia="Garamond" w:hAnsi="Garamond" w:cs="Garamond"/>
                <w:b/>
                <w:color w:val="000000"/>
              </w:rPr>
              <w:t>Agua potable</w:t>
            </w:r>
            <w:r w:rsidRPr="00171314">
              <w:rPr>
                <w:rFonts w:ascii="Garamond" w:eastAsia="Garamond" w:hAnsi="Garamond" w:cs="Garamond"/>
                <w:color w:val="000000"/>
              </w:rPr>
              <w:t xml:space="preserve">, </w:t>
            </w:r>
            <w:r w:rsidR="00776D93">
              <w:rPr>
                <w:rFonts w:ascii="Garamond" w:eastAsia="Garamond" w:hAnsi="Garamond" w:cs="Garamond"/>
                <w:color w:val="000000"/>
              </w:rPr>
              <w:t xml:space="preserve">Cedaw 2022 y </w:t>
            </w:r>
            <w:r w:rsidRPr="00171314">
              <w:rPr>
                <w:rFonts w:ascii="Garamond" w:eastAsia="Garamond" w:hAnsi="Garamond" w:cs="Garamond"/>
                <w:color w:val="000000"/>
              </w:rPr>
              <w:t>EPU 2017</w:t>
            </w:r>
            <w:r w:rsidRPr="00171314">
              <w:rPr>
                <w:rFonts w:ascii="Garamond" w:eastAsia="Garamond" w:hAnsi="Garamond" w:cs="Garamond"/>
                <w:color w:val="000000"/>
                <w:vertAlign w:val="superscript"/>
              </w:rPr>
              <w:endnoteReference w:id="46"/>
            </w:r>
            <w:r w:rsidRPr="00171314">
              <w:rPr>
                <w:rFonts w:ascii="Garamond" w:eastAsia="Garamond" w:hAnsi="Garamond" w:cs="Garamond"/>
                <w:color w:val="000000"/>
              </w:rPr>
              <w:t>.</w:t>
            </w:r>
          </w:p>
        </w:tc>
      </w:tr>
      <w:tr w:rsidR="00552D89" w:rsidRPr="00171314">
        <w:trPr>
          <w:trHeight w:val="463"/>
        </w:trPr>
        <w:tc>
          <w:tcPr>
            <w:tcW w:w="1620" w:type="dxa"/>
            <w:shd w:val="clear" w:color="auto" w:fill="B4C6E7"/>
          </w:tcPr>
          <w:p w:rsidR="00552D89" w:rsidRPr="00171314" w:rsidRDefault="00552D89">
            <w:pPr>
              <w:pBdr>
                <w:top w:val="nil"/>
                <w:left w:val="nil"/>
                <w:bottom w:val="nil"/>
                <w:right w:val="nil"/>
                <w:between w:val="nil"/>
              </w:pBdr>
              <w:spacing w:after="0" w:line="240" w:lineRule="auto"/>
              <w:jc w:val="both"/>
              <w:rPr>
                <w:rFonts w:ascii="Garamond" w:eastAsia="Garamond" w:hAnsi="Garamond" w:cs="Garamond"/>
                <w:color w:val="4472C4"/>
              </w:rPr>
            </w:pPr>
            <w:r w:rsidRPr="00171314">
              <w:rPr>
                <w:rFonts w:ascii="Garamond" w:eastAsia="Garamond" w:hAnsi="Garamond" w:cs="Garamond"/>
                <w:b/>
                <w:color w:val="4472C4"/>
              </w:rPr>
              <w:t>1. NIVEL DE IMPLEMENTACIÓN:</w:t>
            </w:r>
          </w:p>
        </w:tc>
        <w:tc>
          <w:tcPr>
            <w:tcW w:w="7830" w:type="dxa"/>
            <w:shd w:val="clear" w:color="auto" w:fill="B4C6E7"/>
          </w:tcPr>
          <w:p w:rsidR="00552D89" w:rsidRPr="00171314" w:rsidRDefault="00552D89" w:rsidP="00B8046E">
            <w:pPr>
              <w:spacing w:after="0" w:line="240" w:lineRule="auto"/>
              <w:jc w:val="both"/>
              <w:rPr>
                <w:rFonts w:ascii="Garamond" w:eastAsia="Garamond" w:hAnsi="Garamond" w:cs="Garamond"/>
              </w:rPr>
            </w:pPr>
          </w:p>
          <w:p w:rsidR="00552D89" w:rsidRPr="00171314" w:rsidRDefault="00552D89" w:rsidP="00B8046E">
            <w:pPr>
              <w:spacing w:after="0" w:line="240" w:lineRule="auto"/>
              <w:jc w:val="both"/>
              <w:rPr>
                <w:rFonts w:ascii="Garamond" w:eastAsia="Garamond" w:hAnsi="Garamond" w:cs="Garamond"/>
                <w:b/>
                <w:color w:val="ED7D31"/>
              </w:rPr>
            </w:pPr>
            <w:r w:rsidRPr="00171314">
              <w:rPr>
                <w:rFonts w:ascii="Garamond" w:eastAsia="Garamond" w:hAnsi="Garamond" w:cs="Garamond"/>
                <w:b/>
                <w:color w:val="ED7D31"/>
              </w:rPr>
              <w:t>Aplicado parcialmente</w:t>
            </w:r>
          </w:p>
          <w:p w:rsidR="00552D89" w:rsidRPr="00171314" w:rsidRDefault="00552D89" w:rsidP="00B8046E">
            <w:pPr>
              <w:spacing w:after="0" w:line="240" w:lineRule="auto"/>
              <w:jc w:val="both"/>
              <w:rPr>
                <w:rFonts w:ascii="Garamond" w:eastAsia="Garamond" w:hAnsi="Garamond" w:cs="Garamond"/>
                <w:highlight w:val="yellow"/>
              </w:rPr>
            </w:pPr>
          </w:p>
        </w:tc>
      </w:tr>
      <w:tr w:rsidR="00552D89" w:rsidRPr="00171314">
        <w:tc>
          <w:tcPr>
            <w:tcW w:w="1620" w:type="dxa"/>
          </w:tcPr>
          <w:p w:rsidR="00552D89" w:rsidRPr="00171314" w:rsidRDefault="00552D89">
            <w:pPr>
              <w:pBdr>
                <w:top w:val="nil"/>
                <w:left w:val="nil"/>
                <w:bottom w:val="nil"/>
                <w:right w:val="nil"/>
                <w:between w:val="nil"/>
              </w:pBdr>
              <w:spacing w:after="0" w:line="240" w:lineRule="auto"/>
              <w:jc w:val="both"/>
              <w:rPr>
                <w:rFonts w:ascii="Garamond" w:eastAsia="Garamond" w:hAnsi="Garamond" w:cs="Garamond"/>
                <w:color w:val="4472C4"/>
              </w:rPr>
            </w:pPr>
          </w:p>
          <w:p w:rsidR="00552D89" w:rsidRPr="00171314" w:rsidRDefault="00552D89">
            <w:pPr>
              <w:pBdr>
                <w:top w:val="nil"/>
                <w:left w:val="nil"/>
                <w:bottom w:val="nil"/>
                <w:right w:val="nil"/>
                <w:between w:val="nil"/>
              </w:pBdr>
              <w:spacing w:after="0" w:line="240" w:lineRule="auto"/>
              <w:jc w:val="both"/>
              <w:rPr>
                <w:rFonts w:ascii="Garamond" w:eastAsia="Garamond" w:hAnsi="Garamond" w:cs="Garamond"/>
                <w:color w:val="4472C4"/>
              </w:rPr>
            </w:pPr>
            <w:r w:rsidRPr="00171314">
              <w:rPr>
                <w:rFonts w:ascii="Garamond" w:eastAsia="Garamond" w:hAnsi="Garamond" w:cs="Garamond"/>
                <w:b/>
                <w:color w:val="4472C4"/>
              </w:rPr>
              <w:t>2. CONTEXTO:</w:t>
            </w:r>
          </w:p>
          <w:p w:rsidR="00552D89" w:rsidRPr="00171314" w:rsidRDefault="00552D89">
            <w:pPr>
              <w:pBdr>
                <w:top w:val="nil"/>
                <w:left w:val="nil"/>
                <w:bottom w:val="nil"/>
                <w:right w:val="nil"/>
                <w:between w:val="nil"/>
              </w:pBdr>
              <w:spacing w:after="0" w:line="240" w:lineRule="auto"/>
              <w:ind w:left="720"/>
              <w:jc w:val="both"/>
              <w:rPr>
                <w:rFonts w:ascii="Garamond" w:eastAsia="Garamond" w:hAnsi="Garamond" w:cs="Garamond"/>
                <w:color w:val="4472C4"/>
              </w:rPr>
            </w:pPr>
          </w:p>
        </w:tc>
        <w:tc>
          <w:tcPr>
            <w:tcW w:w="7830" w:type="dxa"/>
          </w:tcPr>
          <w:p w:rsidR="00552D89" w:rsidRPr="00171314" w:rsidRDefault="00552D89" w:rsidP="00B8046E">
            <w:pPr>
              <w:spacing w:after="0" w:line="240" w:lineRule="auto"/>
              <w:jc w:val="both"/>
              <w:rPr>
                <w:rFonts w:ascii="Garamond" w:eastAsia="Garamond" w:hAnsi="Garamond" w:cs="Garamond"/>
                <w:color w:val="000000"/>
              </w:rPr>
            </w:pPr>
            <w:r w:rsidRPr="00171314">
              <w:rPr>
                <w:rFonts w:ascii="Garamond" w:eastAsia="Garamond" w:hAnsi="Garamond" w:cs="Garamond"/>
                <w:color w:val="000000"/>
              </w:rPr>
              <w:t xml:space="preserve">Cobertura de </w:t>
            </w:r>
            <w:r w:rsidRPr="00171314">
              <w:rPr>
                <w:rFonts w:ascii="Garamond" w:eastAsia="Garamond" w:hAnsi="Garamond" w:cs="Garamond"/>
                <w:b/>
                <w:color w:val="000000"/>
              </w:rPr>
              <w:t>agua potable y saneamiento</w:t>
            </w:r>
            <w:r w:rsidRPr="00171314">
              <w:rPr>
                <w:rFonts w:ascii="Garamond" w:eastAsia="Garamond" w:hAnsi="Garamond" w:cs="Garamond"/>
                <w:color w:val="000000"/>
              </w:rPr>
              <w:t xml:space="preserve"> es deficiente evidenciándose durante la pandemia en </w:t>
            </w:r>
            <w:r w:rsidRPr="00171314">
              <w:rPr>
                <w:rFonts w:ascii="Garamond" w:eastAsia="Garamond" w:hAnsi="Garamond" w:cs="Garamond"/>
              </w:rPr>
              <w:t>establecimientos</w:t>
            </w:r>
            <w:r w:rsidRPr="00171314">
              <w:rPr>
                <w:rFonts w:ascii="Garamond" w:eastAsia="Garamond" w:hAnsi="Garamond" w:cs="Garamond"/>
                <w:color w:val="000000"/>
              </w:rPr>
              <w:t xml:space="preserve"> de Salud y Educación periurbanos y rurales.</w:t>
            </w:r>
          </w:p>
          <w:p w:rsidR="00552D89" w:rsidRPr="00171314" w:rsidRDefault="00552D89" w:rsidP="00B8046E">
            <w:pPr>
              <w:spacing w:after="0" w:line="240" w:lineRule="auto"/>
              <w:jc w:val="both"/>
              <w:rPr>
                <w:rFonts w:ascii="Garamond" w:eastAsia="Garamond" w:hAnsi="Garamond" w:cs="Garamond"/>
                <w:color w:val="000000"/>
              </w:rPr>
            </w:pPr>
            <w:r w:rsidRPr="00171314">
              <w:rPr>
                <w:rFonts w:ascii="Garamond" w:eastAsia="Garamond" w:hAnsi="Garamond" w:cs="Garamond"/>
                <w:color w:val="000000"/>
              </w:rPr>
              <w:t>Información del 2020</w:t>
            </w:r>
            <w:r w:rsidRPr="00171314">
              <w:rPr>
                <w:rFonts w:ascii="Garamond" w:eastAsia="Garamond" w:hAnsi="Garamond" w:cs="Garamond"/>
                <w:color w:val="000000"/>
                <w:vertAlign w:val="superscript"/>
              </w:rPr>
              <w:endnoteReference w:id="47"/>
            </w:r>
            <w:r w:rsidRPr="00171314">
              <w:rPr>
                <w:rFonts w:ascii="Garamond" w:eastAsia="Garamond" w:hAnsi="Garamond" w:cs="Garamond"/>
              </w:rPr>
              <w:t xml:space="preserve"> no</w:t>
            </w:r>
            <w:r w:rsidRPr="00171314">
              <w:rPr>
                <w:rFonts w:ascii="Garamond" w:eastAsia="Garamond" w:hAnsi="Garamond" w:cs="Garamond"/>
                <w:color w:val="000000"/>
              </w:rPr>
              <w:t xml:space="preserve"> permite ver brechas en zonas rurales ni acceso de Personas </w:t>
            </w:r>
            <w:r w:rsidRPr="00171314">
              <w:rPr>
                <w:rFonts w:ascii="Garamond" w:eastAsia="Garamond" w:hAnsi="Garamond" w:cs="Garamond"/>
              </w:rPr>
              <w:t>C</w:t>
            </w:r>
            <w:r w:rsidRPr="00171314">
              <w:rPr>
                <w:rFonts w:ascii="Garamond" w:eastAsia="Garamond" w:hAnsi="Garamond" w:cs="Garamond"/>
                <w:color w:val="000000"/>
              </w:rPr>
              <w:t>on Discapacidad (PCD).</w:t>
            </w:r>
            <w:r w:rsidRPr="00171314">
              <w:rPr>
                <w:rFonts w:ascii="Garamond" w:eastAsia="Garamond" w:hAnsi="Garamond" w:cs="Garamond"/>
                <w:color w:val="000000"/>
                <w:vertAlign w:val="superscript"/>
              </w:rPr>
              <w:endnoteReference w:id="48"/>
            </w:r>
          </w:p>
        </w:tc>
      </w:tr>
      <w:tr w:rsidR="00552D89" w:rsidRPr="00171314">
        <w:trPr>
          <w:trHeight w:val="1230"/>
        </w:trPr>
        <w:tc>
          <w:tcPr>
            <w:tcW w:w="1620" w:type="dxa"/>
            <w:shd w:val="clear" w:color="auto" w:fill="B4C6E7"/>
          </w:tcPr>
          <w:p w:rsidR="00552D89" w:rsidRPr="00171314" w:rsidRDefault="00552D89">
            <w:pPr>
              <w:pBdr>
                <w:top w:val="nil"/>
                <w:left w:val="nil"/>
                <w:bottom w:val="nil"/>
                <w:right w:val="nil"/>
                <w:between w:val="nil"/>
              </w:pBdr>
              <w:spacing w:after="0" w:line="240" w:lineRule="auto"/>
              <w:jc w:val="both"/>
              <w:rPr>
                <w:rFonts w:ascii="Garamond" w:eastAsia="Garamond" w:hAnsi="Garamond" w:cs="Garamond"/>
                <w:color w:val="0070C0"/>
              </w:rPr>
            </w:pPr>
            <w:r w:rsidRPr="00171314">
              <w:rPr>
                <w:rFonts w:ascii="Garamond" w:eastAsia="Garamond" w:hAnsi="Garamond" w:cs="Garamond"/>
                <w:b/>
                <w:color w:val="0070C0"/>
              </w:rPr>
              <w:t>3. RECOMENDACIONES AL ESTADO PERUANO:</w:t>
            </w:r>
          </w:p>
        </w:tc>
        <w:tc>
          <w:tcPr>
            <w:tcW w:w="7830" w:type="dxa"/>
            <w:shd w:val="clear" w:color="auto" w:fill="B4C6E7"/>
          </w:tcPr>
          <w:p w:rsidR="00552D89" w:rsidRPr="00171314" w:rsidRDefault="00552D89" w:rsidP="00B8046E">
            <w:pPr>
              <w:spacing w:after="0" w:line="240" w:lineRule="auto"/>
              <w:jc w:val="both"/>
              <w:rPr>
                <w:rFonts w:ascii="Garamond" w:eastAsia="Garamond" w:hAnsi="Garamond" w:cs="Garamond"/>
              </w:rPr>
            </w:pPr>
          </w:p>
          <w:p w:rsidR="00552D89" w:rsidRPr="00171314" w:rsidRDefault="00552D89" w:rsidP="00B8046E">
            <w:pPr>
              <w:spacing w:after="0" w:line="240" w:lineRule="auto"/>
              <w:jc w:val="both"/>
              <w:rPr>
                <w:rFonts w:ascii="Garamond" w:eastAsia="Garamond" w:hAnsi="Garamond" w:cs="Garamond"/>
                <w:highlight w:val="yellow"/>
              </w:rPr>
            </w:pPr>
            <w:r w:rsidRPr="00171314">
              <w:rPr>
                <w:rFonts w:ascii="Garamond" w:eastAsia="Garamond" w:hAnsi="Garamond" w:cs="Garamond"/>
              </w:rPr>
              <w:t>Dotar con partidas para reducir brecha de cobertura de agua potable y saneamiento en 70% en servicios de Salud y Educación periurbanos, rurales, comunidad indígena y PCD.</w:t>
            </w:r>
          </w:p>
        </w:tc>
      </w:tr>
    </w:tbl>
    <w:tbl>
      <w:tblPr>
        <w:tblStyle w:val="a4"/>
        <w:tblW w:w="945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1620"/>
        <w:gridCol w:w="7830"/>
      </w:tblGrid>
      <w:tr w:rsidR="00552D89" w:rsidRPr="00776D93">
        <w:trPr>
          <w:trHeight w:val="762"/>
        </w:trPr>
        <w:tc>
          <w:tcPr>
            <w:tcW w:w="1620" w:type="dxa"/>
            <w:vAlign w:val="center"/>
          </w:tcPr>
          <w:p w:rsidR="00552D89" w:rsidRPr="00776D93" w:rsidRDefault="00552D89">
            <w:pPr>
              <w:spacing w:after="0" w:line="240" w:lineRule="auto"/>
              <w:jc w:val="both"/>
              <w:rPr>
                <w:rFonts w:ascii="Garamond" w:eastAsia="Garamond" w:hAnsi="Garamond" w:cs="Garamond"/>
                <w:color w:val="0070C0"/>
              </w:rPr>
            </w:pPr>
          </w:p>
          <w:p w:rsidR="00552D89" w:rsidRPr="00776D93" w:rsidRDefault="00552D89">
            <w:pPr>
              <w:spacing w:after="0" w:line="240" w:lineRule="auto"/>
              <w:jc w:val="both"/>
              <w:rPr>
                <w:rFonts w:ascii="Garamond" w:eastAsia="Garamond" w:hAnsi="Garamond" w:cs="Garamond"/>
                <w:b/>
                <w:color w:val="4472C4"/>
              </w:rPr>
            </w:pPr>
            <w:r w:rsidRPr="00776D93">
              <w:rPr>
                <w:rFonts w:ascii="Garamond" w:eastAsia="Garamond" w:hAnsi="Garamond" w:cs="Garamond"/>
                <w:b/>
                <w:color w:val="4472C4"/>
              </w:rPr>
              <w:t>RECOMENDACIÓN</w:t>
            </w:r>
          </w:p>
          <w:p w:rsidR="00552D89" w:rsidRPr="00776D93" w:rsidRDefault="00552D89">
            <w:pPr>
              <w:spacing w:after="0" w:line="240" w:lineRule="auto"/>
              <w:jc w:val="both"/>
              <w:rPr>
                <w:rFonts w:ascii="Garamond" w:eastAsia="Garamond" w:hAnsi="Garamond" w:cs="Garamond"/>
              </w:rPr>
            </w:pPr>
          </w:p>
        </w:tc>
        <w:tc>
          <w:tcPr>
            <w:tcW w:w="7830" w:type="dxa"/>
            <w:vAlign w:val="center"/>
          </w:tcPr>
          <w:p w:rsidR="00552D89" w:rsidRPr="00776D93" w:rsidRDefault="00552D89">
            <w:pPr>
              <w:spacing w:after="0" w:line="240" w:lineRule="auto"/>
              <w:jc w:val="both"/>
              <w:rPr>
                <w:rFonts w:ascii="Garamond" w:eastAsia="Garamond" w:hAnsi="Garamond" w:cs="Garamond"/>
              </w:rPr>
            </w:pPr>
            <w:r w:rsidRPr="00776D93">
              <w:rPr>
                <w:rFonts w:ascii="Garamond" w:eastAsia="Garamond" w:hAnsi="Garamond" w:cs="Garamond"/>
                <w:b/>
              </w:rPr>
              <w:t>Garantizar servicios de salud</w:t>
            </w:r>
            <w:r w:rsidRPr="00776D93">
              <w:rPr>
                <w:rFonts w:ascii="Garamond" w:eastAsia="Garamond" w:hAnsi="Garamond" w:cs="Garamond"/>
              </w:rPr>
              <w:t xml:space="preserve">, </w:t>
            </w:r>
            <w:r w:rsidRPr="00776D93">
              <w:rPr>
                <w:rFonts w:ascii="Garamond" w:eastAsia="Garamond" w:hAnsi="Garamond" w:cs="Garamond"/>
                <w:color w:val="000000"/>
              </w:rPr>
              <w:t>EPU 2017</w:t>
            </w:r>
            <w:r w:rsidRPr="00776D93">
              <w:rPr>
                <w:rFonts w:ascii="Garamond" w:eastAsia="Garamond" w:hAnsi="Garamond" w:cs="Garamond"/>
                <w:color w:val="000000"/>
                <w:vertAlign w:val="superscript"/>
              </w:rPr>
              <w:endnoteReference w:id="49"/>
            </w:r>
            <w:r w:rsidRPr="00776D93">
              <w:rPr>
                <w:rFonts w:ascii="Garamond" w:eastAsia="Garamond" w:hAnsi="Garamond" w:cs="Garamond"/>
                <w:color w:val="000000"/>
              </w:rPr>
              <w:t>.</w:t>
            </w:r>
          </w:p>
        </w:tc>
      </w:tr>
      <w:tr w:rsidR="00552D89" w:rsidRPr="00776D93">
        <w:trPr>
          <w:trHeight w:val="463"/>
        </w:trPr>
        <w:tc>
          <w:tcPr>
            <w:tcW w:w="1620" w:type="dxa"/>
            <w:shd w:val="clear" w:color="auto" w:fill="B4C6E7"/>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4472C4"/>
              </w:rPr>
            </w:pPr>
            <w:r w:rsidRPr="00776D93">
              <w:rPr>
                <w:rFonts w:ascii="Garamond" w:eastAsia="Garamond" w:hAnsi="Garamond" w:cs="Garamond"/>
                <w:b/>
                <w:color w:val="4472C4"/>
              </w:rPr>
              <w:t>1. NIVEL DE IMPLEMENTACIÓN:</w:t>
            </w:r>
          </w:p>
        </w:tc>
        <w:tc>
          <w:tcPr>
            <w:tcW w:w="7830" w:type="dxa"/>
            <w:shd w:val="clear" w:color="auto" w:fill="B4C6E7"/>
          </w:tcPr>
          <w:p w:rsidR="00552D89" w:rsidRPr="00776D93" w:rsidRDefault="00552D89">
            <w:pPr>
              <w:spacing w:after="0" w:line="240" w:lineRule="auto"/>
              <w:jc w:val="both"/>
              <w:rPr>
                <w:rFonts w:ascii="Garamond" w:eastAsia="Garamond" w:hAnsi="Garamond" w:cs="Garamond"/>
              </w:rPr>
            </w:pPr>
          </w:p>
          <w:p w:rsidR="00552D89" w:rsidRPr="00776D93" w:rsidRDefault="00552D89">
            <w:pPr>
              <w:spacing w:after="0" w:line="240" w:lineRule="auto"/>
              <w:jc w:val="both"/>
              <w:rPr>
                <w:rFonts w:ascii="Garamond" w:eastAsia="Garamond" w:hAnsi="Garamond" w:cs="Garamond"/>
                <w:b/>
                <w:color w:val="FF0000"/>
              </w:rPr>
            </w:pPr>
            <w:r w:rsidRPr="00776D93">
              <w:rPr>
                <w:rFonts w:ascii="Garamond" w:eastAsia="Garamond" w:hAnsi="Garamond" w:cs="Garamond"/>
                <w:b/>
                <w:color w:val="FF0000"/>
              </w:rPr>
              <w:t>No se ha aplicado</w:t>
            </w:r>
          </w:p>
          <w:p w:rsidR="00552D89" w:rsidRPr="00776D93" w:rsidRDefault="00552D89">
            <w:pPr>
              <w:spacing w:after="0" w:line="240" w:lineRule="auto"/>
              <w:jc w:val="both"/>
              <w:rPr>
                <w:rFonts w:ascii="Garamond" w:eastAsia="Garamond" w:hAnsi="Garamond" w:cs="Garamond"/>
                <w:highlight w:val="yellow"/>
              </w:rPr>
            </w:pPr>
          </w:p>
        </w:tc>
      </w:tr>
      <w:tr w:rsidR="00552D89" w:rsidRPr="00776D93">
        <w:tc>
          <w:tcPr>
            <w:tcW w:w="1620" w:type="dxa"/>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4472C4"/>
              </w:rPr>
            </w:pPr>
          </w:p>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4472C4"/>
              </w:rPr>
            </w:pPr>
            <w:r w:rsidRPr="00776D93">
              <w:rPr>
                <w:rFonts w:ascii="Garamond" w:eastAsia="Garamond" w:hAnsi="Garamond" w:cs="Garamond"/>
                <w:b/>
                <w:color w:val="4472C4"/>
              </w:rPr>
              <w:t>2. CONTEXTO:</w:t>
            </w:r>
          </w:p>
          <w:p w:rsidR="00552D89" w:rsidRPr="00776D93" w:rsidRDefault="00552D89">
            <w:pPr>
              <w:pBdr>
                <w:top w:val="nil"/>
                <w:left w:val="nil"/>
                <w:bottom w:val="nil"/>
                <w:right w:val="nil"/>
                <w:between w:val="nil"/>
              </w:pBdr>
              <w:spacing w:after="0" w:line="240" w:lineRule="auto"/>
              <w:ind w:left="720"/>
              <w:jc w:val="both"/>
              <w:rPr>
                <w:rFonts w:ascii="Garamond" w:eastAsia="Garamond" w:hAnsi="Garamond" w:cs="Garamond"/>
                <w:color w:val="4472C4"/>
              </w:rPr>
            </w:pPr>
          </w:p>
        </w:tc>
        <w:tc>
          <w:tcPr>
            <w:tcW w:w="7830" w:type="dxa"/>
          </w:tcPr>
          <w:p w:rsidR="00552D89" w:rsidRPr="00776D93" w:rsidRDefault="00552D89" w:rsidP="00B8046E">
            <w:pPr>
              <w:spacing w:after="0" w:line="240" w:lineRule="auto"/>
              <w:jc w:val="both"/>
              <w:rPr>
                <w:rFonts w:ascii="Garamond" w:eastAsia="Garamond" w:hAnsi="Garamond" w:cs="Garamond"/>
              </w:rPr>
            </w:pPr>
            <w:r w:rsidRPr="00776D93">
              <w:rPr>
                <w:rFonts w:ascii="Garamond" w:eastAsia="Garamond" w:hAnsi="Garamond" w:cs="Garamond"/>
                <w:color w:val="000000"/>
              </w:rPr>
              <w:t xml:space="preserve">En </w:t>
            </w:r>
            <w:r w:rsidRPr="00776D93">
              <w:rPr>
                <w:rFonts w:ascii="Garamond" w:eastAsia="Garamond" w:hAnsi="Garamond" w:cs="Garamond"/>
              </w:rPr>
              <w:t>2018, los niños menores de 5 años perdieron 181,480 años de vida ajustados por discapacidad (AVISA) producto de diversas enfermedades, representando el 10.7%</w:t>
            </w:r>
            <w:r w:rsidRPr="00776D93">
              <w:rPr>
                <w:rFonts w:ascii="Garamond" w:eastAsia="Garamond" w:hAnsi="Garamond" w:cs="Garamond"/>
                <w:vertAlign w:val="superscript"/>
              </w:rPr>
              <w:endnoteReference w:id="50"/>
            </w:r>
            <w:r w:rsidRPr="00776D93">
              <w:rPr>
                <w:rFonts w:ascii="Garamond" w:eastAsia="Garamond" w:hAnsi="Garamond" w:cs="Garamond"/>
              </w:rPr>
              <w:t>.</w:t>
            </w:r>
          </w:p>
          <w:p w:rsidR="00552D89" w:rsidRPr="00776D93" w:rsidRDefault="00552D89" w:rsidP="00B8046E">
            <w:pPr>
              <w:spacing w:after="0" w:line="240" w:lineRule="auto"/>
              <w:jc w:val="both"/>
              <w:rPr>
                <w:rFonts w:ascii="Garamond" w:eastAsia="Garamond" w:hAnsi="Garamond" w:cs="Garamond"/>
              </w:rPr>
            </w:pPr>
            <w:r w:rsidRPr="00776D93">
              <w:rPr>
                <w:rFonts w:ascii="Garamond" w:eastAsia="Garamond" w:hAnsi="Garamond" w:cs="Garamond"/>
              </w:rPr>
              <w:t>La principal pérdida de años saludables en mujeres fue por enfermedades no transmisibles; seguidas de enfermedades transmisibles, accidentes y lesiones</w:t>
            </w:r>
            <w:r w:rsidRPr="00776D93">
              <w:rPr>
                <w:rFonts w:ascii="Garamond" w:eastAsia="Garamond" w:hAnsi="Garamond" w:cs="Garamond"/>
                <w:vertAlign w:val="superscript"/>
              </w:rPr>
              <w:endnoteReference w:id="51"/>
            </w:r>
            <w:r w:rsidRPr="00776D93">
              <w:rPr>
                <w:rFonts w:ascii="Garamond" w:eastAsia="Garamond" w:hAnsi="Garamond" w:cs="Garamond"/>
              </w:rPr>
              <w:t>.</w:t>
            </w:r>
          </w:p>
          <w:p w:rsidR="00552D89" w:rsidRPr="00776D93" w:rsidRDefault="00552D89" w:rsidP="00B8046E">
            <w:pPr>
              <w:spacing w:after="0" w:line="240" w:lineRule="auto"/>
              <w:jc w:val="both"/>
              <w:rPr>
                <w:rFonts w:ascii="Garamond" w:eastAsia="Garamond" w:hAnsi="Garamond" w:cs="Garamond"/>
                <w:color w:val="000000"/>
              </w:rPr>
            </w:pPr>
            <w:r w:rsidRPr="00776D93">
              <w:rPr>
                <w:rFonts w:ascii="Garamond" w:eastAsia="Garamond" w:hAnsi="Garamond" w:cs="Garamond"/>
              </w:rPr>
              <w:t>El 20% de niños y niñas padecen trastornos de conducta y de las emociones</w:t>
            </w:r>
            <w:r w:rsidRPr="00776D93">
              <w:rPr>
                <w:rFonts w:ascii="Garamond" w:eastAsia="Garamond" w:hAnsi="Garamond" w:cs="Garamond"/>
                <w:vertAlign w:val="superscript"/>
              </w:rPr>
              <w:endnoteReference w:id="52"/>
            </w:r>
            <w:r w:rsidRPr="00776D93">
              <w:rPr>
                <w:rFonts w:ascii="Garamond" w:eastAsia="Garamond" w:hAnsi="Garamond" w:cs="Garamond"/>
              </w:rPr>
              <w:t>.</w:t>
            </w:r>
          </w:p>
        </w:tc>
      </w:tr>
      <w:tr w:rsidR="00552D89" w:rsidRPr="00776D93">
        <w:trPr>
          <w:trHeight w:val="1530"/>
        </w:trPr>
        <w:tc>
          <w:tcPr>
            <w:tcW w:w="1620" w:type="dxa"/>
            <w:shd w:val="clear" w:color="auto" w:fill="B4C6E7"/>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0070C0"/>
              </w:rPr>
            </w:pPr>
            <w:r w:rsidRPr="00776D93">
              <w:rPr>
                <w:rFonts w:ascii="Garamond" w:eastAsia="Garamond" w:hAnsi="Garamond" w:cs="Garamond"/>
                <w:b/>
                <w:color w:val="0070C0"/>
              </w:rPr>
              <w:t>3. RECOMENDACIONES AL ESTADO PERUANO:</w:t>
            </w:r>
          </w:p>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0070C0"/>
              </w:rPr>
            </w:pPr>
          </w:p>
        </w:tc>
        <w:tc>
          <w:tcPr>
            <w:tcW w:w="7830" w:type="dxa"/>
            <w:shd w:val="clear" w:color="auto" w:fill="B4C6E7"/>
          </w:tcPr>
          <w:p w:rsidR="00552D89" w:rsidRPr="00776D93" w:rsidRDefault="00552D89" w:rsidP="00B8046E">
            <w:pPr>
              <w:spacing w:after="0" w:line="240" w:lineRule="auto"/>
              <w:jc w:val="both"/>
              <w:rPr>
                <w:rFonts w:ascii="Garamond" w:eastAsia="Garamond" w:hAnsi="Garamond" w:cs="Garamond"/>
              </w:rPr>
            </w:pPr>
            <w:r w:rsidRPr="00776D93">
              <w:rPr>
                <w:rFonts w:ascii="Garamond" w:eastAsia="Garamond" w:hAnsi="Garamond" w:cs="Garamond"/>
              </w:rPr>
              <w:t>•</w:t>
            </w:r>
            <w:r w:rsidRPr="00776D93">
              <w:t xml:space="preserve"> </w:t>
            </w:r>
            <w:r w:rsidRPr="00776D93">
              <w:rPr>
                <w:rFonts w:ascii="Garamond" w:eastAsia="Garamond" w:hAnsi="Garamond" w:cs="Garamond"/>
                <w:b/>
              </w:rPr>
              <w:t>Reincorporación al 100% del personal asistencial</w:t>
            </w:r>
            <w:r w:rsidRPr="00776D93">
              <w:rPr>
                <w:rFonts w:ascii="Garamond" w:eastAsia="Garamond" w:hAnsi="Garamond" w:cs="Garamond"/>
              </w:rPr>
              <w:t xml:space="preserve"> y administrativo en los centros de salud, con 4 dosis de vacuna contra COVID-19, para atención al público. </w:t>
            </w:r>
          </w:p>
          <w:p w:rsidR="00552D89" w:rsidRPr="00776D93" w:rsidRDefault="00552D89" w:rsidP="00B8046E">
            <w:pPr>
              <w:spacing w:after="0" w:line="240" w:lineRule="auto"/>
              <w:jc w:val="both"/>
              <w:rPr>
                <w:rFonts w:ascii="Garamond" w:eastAsia="Garamond" w:hAnsi="Garamond" w:cs="Garamond"/>
              </w:rPr>
            </w:pPr>
            <w:r w:rsidRPr="00776D93">
              <w:rPr>
                <w:rFonts w:ascii="Garamond" w:eastAsia="Garamond" w:hAnsi="Garamond" w:cs="Garamond"/>
              </w:rPr>
              <w:t xml:space="preserve">• </w:t>
            </w:r>
            <w:r w:rsidRPr="00776D93">
              <w:rPr>
                <w:rFonts w:ascii="Garamond" w:eastAsia="Garamond" w:hAnsi="Garamond" w:cs="Garamond"/>
                <w:b/>
              </w:rPr>
              <w:t>Garantizar suministro de medicamentos</w:t>
            </w:r>
            <w:r w:rsidRPr="00776D93">
              <w:rPr>
                <w:rFonts w:ascii="Garamond" w:eastAsia="Garamond" w:hAnsi="Garamond" w:cs="Garamond"/>
              </w:rPr>
              <w:t>: biológicos, vacunas, terapias, rehabilitación y todo lo requerido para atención integral en particular en las zonas rurales y remotas.</w:t>
            </w:r>
          </w:p>
          <w:p w:rsidR="00552D89" w:rsidRPr="00776D93" w:rsidRDefault="00552D89" w:rsidP="00B8046E">
            <w:pPr>
              <w:spacing w:after="0" w:line="240" w:lineRule="auto"/>
              <w:jc w:val="both"/>
              <w:rPr>
                <w:rFonts w:ascii="Garamond" w:eastAsia="Garamond" w:hAnsi="Garamond" w:cs="Garamond"/>
              </w:rPr>
            </w:pPr>
            <w:r w:rsidRPr="00776D93">
              <w:rPr>
                <w:rFonts w:ascii="Garamond" w:eastAsia="Garamond" w:hAnsi="Garamond" w:cs="Garamond"/>
              </w:rPr>
              <w:t xml:space="preserve">• </w:t>
            </w:r>
            <w:r w:rsidRPr="00776D93">
              <w:rPr>
                <w:rFonts w:ascii="Garamond" w:eastAsia="Garamond" w:hAnsi="Garamond" w:cs="Garamond"/>
                <w:b/>
              </w:rPr>
              <w:t>Ampliar las prestaciones del Plan de Salud</w:t>
            </w:r>
            <w:r w:rsidRPr="00776D93">
              <w:rPr>
                <w:rFonts w:ascii="Garamond" w:eastAsia="Garamond" w:hAnsi="Garamond" w:cs="Garamond"/>
              </w:rPr>
              <w:t xml:space="preserve"> (PEAS) para las Personas con Discapacidad (PCDs).</w:t>
            </w:r>
          </w:p>
          <w:p w:rsidR="00552D89" w:rsidRPr="00776D93" w:rsidRDefault="00552D89" w:rsidP="00B8046E">
            <w:pPr>
              <w:spacing w:after="0" w:line="240" w:lineRule="auto"/>
              <w:jc w:val="both"/>
              <w:rPr>
                <w:rFonts w:ascii="Garamond" w:eastAsia="Garamond" w:hAnsi="Garamond" w:cs="Garamond"/>
              </w:rPr>
            </w:pPr>
            <w:r w:rsidRPr="00776D93">
              <w:rPr>
                <w:rFonts w:ascii="Garamond" w:eastAsia="Garamond" w:hAnsi="Garamond" w:cs="Garamond"/>
              </w:rPr>
              <w:t>• Priorizar la salud integral de las PCD, con acceso a servicios que cumplan condiciones de calidad, aceptabilidad, accesibilidad y disponibilidad con cobertura al seguro integral.</w:t>
            </w:r>
          </w:p>
          <w:p w:rsidR="00552D89" w:rsidRPr="00776D93" w:rsidRDefault="00552D89" w:rsidP="00B8046E">
            <w:pPr>
              <w:spacing w:after="0" w:line="240" w:lineRule="auto"/>
              <w:jc w:val="both"/>
              <w:rPr>
                <w:rFonts w:ascii="Garamond" w:eastAsia="Garamond" w:hAnsi="Garamond" w:cs="Garamond"/>
              </w:rPr>
            </w:pPr>
            <w:r w:rsidRPr="00776D93">
              <w:rPr>
                <w:rFonts w:ascii="Garamond" w:eastAsia="Garamond" w:hAnsi="Garamond" w:cs="Garamond"/>
              </w:rPr>
              <w:t>• Implementar protocolos de atención diferenciada a PCD.</w:t>
            </w:r>
          </w:p>
          <w:p w:rsidR="00552D89" w:rsidRPr="00776D93" w:rsidRDefault="00552D89" w:rsidP="00B8046E">
            <w:pPr>
              <w:spacing w:after="0" w:line="240" w:lineRule="auto"/>
              <w:jc w:val="both"/>
              <w:rPr>
                <w:rFonts w:ascii="Garamond" w:eastAsia="Garamond" w:hAnsi="Garamond" w:cs="Garamond"/>
              </w:rPr>
            </w:pPr>
            <w:r w:rsidRPr="00776D93">
              <w:rPr>
                <w:rFonts w:ascii="Garamond" w:eastAsia="Garamond" w:hAnsi="Garamond" w:cs="Garamond"/>
              </w:rPr>
              <w:t>• Garantizar que SuSsalud fiscalice y atienda denuncias oportunamente</w:t>
            </w:r>
            <w:r w:rsidRPr="00776D93">
              <w:rPr>
                <w:rFonts w:ascii="Garamond" w:eastAsia="Garamond" w:hAnsi="Garamond" w:cs="Garamond"/>
                <w:vertAlign w:val="superscript"/>
              </w:rPr>
              <w:endnoteReference w:id="53"/>
            </w:r>
            <w:r w:rsidRPr="00776D93">
              <w:rPr>
                <w:rFonts w:ascii="Garamond" w:eastAsia="Garamond" w:hAnsi="Garamond" w:cs="Garamond"/>
              </w:rPr>
              <w:t>.</w:t>
            </w:r>
          </w:p>
          <w:p w:rsidR="00552D89" w:rsidRPr="00776D93" w:rsidRDefault="00552D89" w:rsidP="00B8046E">
            <w:pPr>
              <w:spacing w:after="0" w:line="240" w:lineRule="auto"/>
              <w:jc w:val="both"/>
              <w:rPr>
                <w:rFonts w:ascii="Garamond" w:eastAsia="Garamond" w:hAnsi="Garamond" w:cs="Garamond"/>
              </w:rPr>
            </w:pPr>
            <w:r w:rsidRPr="00776D93">
              <w:rPr>
                <w:rFonts w:ascii="Garamond" w:eastAsia="Garamond" w:hAnsi="Garamond" w:cs="Garamond"/>
              </w:rPr>
              <w:t>• Capacitación a todo el personal de los centros de salud con enfoque de derechos humanos, de discapacidad, género e interseccionalidad.</w:t>
            </w:r>
          </w:p>
          <w:p w:rsidR="00552D89" w:rsidRPr="00776D93" w:rsidRDefault="00552D89" w:rsidP="00B8046E">
            <w:pPr>
              <w:spacing w:after="0" w:line="240" w:lineRule="auto"/>
              <w:jc w:val="both"/>
              <w:rPr>
                <w:rFonts w:ascii="Garamond" w:eastAsia="Garamond" w:hAnsi="Garamond" w:cs="Garamond"/>
              </w:rPr>
            </w:pPr>
            <w:r w:rsidRPr="00776D93">
              <w:rPr>
                <w:rFonts w:ascii="Garamond" w:eastAsia="Garamond" w:hAnsi="Garamond" w:cs="Garamond"/>
              </w:rPr>
              <w:t>• Campañas para reeducar en nutrición y cuidado de la salud integral de la niñez y adolescencia.</w:t>
            </w:r>
          </w:p>
        </w:tc>
      </w:tr>
    </w:tbl>
    <w:p w:rsidR="00552D89" w:rsidRDefault="00552D89">
      <w:pPr>
        <w:rPr>
          <w:rFonts w:ascii="Garamond" w:eastAsia="Garamond" w:hAnsi="Garamond" w:cs="Garamond"/>
          <w:b/>
          <w:sz w:val="24"/>
          <w:szCs w:val="24"/>
        </w:rPr>
      </w:pPr>
    </w:p>
    <w:tbl>
      <w:tblPr>
        <w:tblStyle w:val="a5"/>
        <w:tblW w:w="945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1620"/>
        <w:gridCol w:w="7830"/>
      </w:tblGrid>
      <w:tr w:rsidR="00552D89">
        <w:trPr>
          <w:trHeight w:val="960"/>
        </w:trPr>
        <w:tc>
          <w:tcPr>
            <w:tcW w:w="1620" w:type="dxa"/>
            <w:vAlign w:val="center"/>
          </w:tcPr>
          <w:p w:rsidR="00552D89" w:rsidRPr="00776D93" w:rsidRDefault="00552D89">
            <w:pPr>
              <w:spacing w:after="0" w:line="240" w:lineRule="auto"/>
              <w:jc w:val="both"/>
              <w:rPr>
                <w:rFonts w:ascii="Garamond" w:eastAsia="Garamond" w:hAnsi="Garamond" w:cs="Garamond"/>
                <w:color w:val="0070C0"/>
              </w:rPr>
            </w:pPr>
          </w:p>
          <w:p w:rsidR="00552D89" w:rsidRPr="00776D93" w:rsidRDefault="00552D89">
            <w:pPr>
              <w:spacing w:after="0" w:line="240" w:lineRule="auto"/>
              <w:jc w:val="both"/>
              <w:rPr>
                <w:rFonts w:ascii="Garamond" w:eastAsia="Garamond" w:hAnsi="Garamond" w:cs="Garamond"/>
                <w:b/>
                <w:color w:val="4472C4"/>
              </w:rPr>
            </w:pPr>
            <w:r w:rsidRPr="00776D93">
              <w:rPr>
                <w:rFonts w:ascii="Garamond" w:eastAsia="Garamond" w:hAnsi="Garamond" w:cs="Garamond"/>
                <w:b/>
                <w:color w:val="4472C4"/>
              </w:rPr>
              <w:t>RECOMENDACIÓN</w:t>
            </w:r>
          </w:p>
        </w:tc>
        <w:tc>
          <w:tcPr>
            <w:tcW w:w="7830" w:type="dxa"/>
            <w:vAlign w:val="center"/>
          </w:tcPr>
          <w:p w:rsidR="00552D89" w:rsidRPr="00776D93" w:rsidRDefault="00552D89">
            <w:pPr>
              <w:spacing w:after="0" w:line="240" w:lineRule="auto"/>
              <w:jc w:val="both"/>
              <w:rPr>
                <w:rFonts w:ascii="Garamond" w:eastAsia="Garamond" w:hAnsi="Garamond" w:cs="Garamond"/>
              </w:rPr>
            </w:pPr>
            <w:r w:rsidRPr="00776D93">
              <w:rPr>
                <w:rFonts w:ascii="Garamond" w:eastAsia="Garamond" w:hAnsi="Garamond" w:cs="Garamond"/>
                <w:b/>
                <w:color w:val="000000"/>
              </w:rPr>
              <w:t>Mortalidad materna</w:t>
            </w:r>
            <w:r w:rsidRPr="00776D93">
              <w:rPr>
                <w:rFonts w:ascii="Garamond" w:eastAsia="Garamond" w:hAnsi="Garamond" w:cs="Garamond"/>
                <w:color w:val="000000"/>
              </w:rPr>
              <w:t>, EPU 2017</w:t>
            </w:r>
            <w:r w:rsidRPr="00776D93">
              <w:rPr>
                <w:rFonts w:ascii="Garamond" w:eastAsia="Garamond" w:hAnsi="Garamond" w:cs="Garamond"/>
                <w:color w:val="000000"/>
                <w:vertAlign w:val="superscript"/>
              </w:rPr>
              <w:endnoteReference w:id="54"/>
            </w:r>
            <w:r w:rsidRPr="00776D93">
              <w:rPr>
                <w:rFonts w:ascii="Garamond" w:eastAsia="Garamond" w:hAnsi="Garamond" w:cs="Garamond"/>
                <w:color w:val="000000"/>
              </w:rPr>
              <w:t>.</w:t>
            </w:r>
          </w:p>
        </w:tc>
      </w:tr>
      <w:tr w:rsidR="00552D89">
        <w:trPr>
          <w:trHeight w:val="463"/>
        </w:trPr>
        <w:tc>
          <w:tcPr>
            <w:tcW w:w="1620" w:type="dxa"/>
            <w:shd w:val="clear" w:color="auto" w:fill="B4C6E7"/>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4472C4"/>
              </w:rPr>
            </w:pPr>
            <w:r w:rsidRPr="00776D93">
              <w:rPr>
                <w:rFonts w:ascii="Garamond" w:eastAsia="Garamond" w:hAnsi="Garamond" w:cs="Garamond"/>
                <w:b/>
                <w:color w:val="4472C4"/>
              </w:rPr>
              <w:t>1. NIVEL DE IMPLEMENTACIÓN:</w:t>
            </w:r>
          </w:p>
        </w:tc>
        <w:tc>
          <w:tcPr>
            <w:tcW w:w="7830" w:type="dxa"/>
            <w:shd w:val="clear" w:color="auto" w:fill="B4C6E7"/>
          </w:tcPr>
          <w:p w:rsidR="00552D89" w:rsidRPr="00776D93" w:rsidRDefault="00552D89">
            <w:pPr>
              <w:spacing w:after="0" w:line="240" w:lineRule="auto"/>
              <w:jc w:val="both"/>
              <w:rPr>
                <w:rFonts w:ascii="Garamond" w:eastAsia="Garamond" w:hAnsi="Garamond" w:cs="Garamond"/>
              </w:rPr>
            </w:pPr>
          </w:p>
          <w:p w:rsidR="00552D89" w:rsidRPr="00776D93" w:rsidRDefault="00552D89">
            <w:pPr>
              <w:spacing w:after="0" w:line="240" w:lineRule="auto"/>
              <w:jc w:val="both"/>
              <w:rPr>
                <w:rFonts w:ascii="Garamond" w:eastAsia="Garamond" w:hAnsi="Garamond" w:cs="Garamond"/>
                <w:b/>
                <w:color w:val="FF0000"/>
              </w:rPr>
            </w:pPr>
            <w:r w:rsidRPr="00776D93">
              <w:rPr>
                <w:rFonts w:ascii="Garamond" w:eastAsia="Garamond" w:hAnsi="Garamond" w:cs="Garamond"/>
                <w:b/>
                <w:color w:val="FF0000"/>
              </w:rPr>
              <w:t>No se ha aplicado, en retroceso.</w:t>
            </w:r>
          </w:p>
          <w:p w:rsidR="00552D89" w:rsidRPr="00776D93" w:rsidRDefault="00552D89">
            <w:pPr>
              <w:spacing w:after="0" w:line="240" w:lineRule="auto"/>
              <w:jc w:val="both"/>
              <w:rPr>
                <w:rFonts w:ascii="Garamond" w:eastAsia="Garamond" w:hAnsi="Garamond" w:cs="Garamond"/>
                <w:highlight w:val="yellow"/>
              </w:rPr>
            </w:pPr>
          </w:p>
        </w:tc>
      </w:tr>
      <w:tr w:rsidR="00552D89">
        <w:tc>
          <w:tcPr>
            <w:tcW w:w="1620" w:type="dxa"/>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4472C4"/>
              </w:rPr>
            </w:pPr>
          </w:p>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4472C4"/>
              </w:rPr>
            </w:pPr>
            <w:r w:rsidRPr="00776D93">
              <w:rPr>
                <w:rFonts w:ascii="Garamond" w:eastAsia="Garamond" w:hAnsi="Garamond" w:cs="Garamond"/>
                <w:b/>
                <w:color w:val="4472C4"/>
              </w:rPr>
              <w:t>2. CONTEXTO:</w:t>
            </w:r>
          </w:p>
          <w:p w:rsidR="00552D89" w:rsidRPr="00776D93" w:rsidRDefault="00552D89">
            <w:pPr>
              <w:pBdr>
                <w:top w:val="nil"/>
                <w:left w:val="nil"/>
                <w:bottom w:val="nil"/>
                <w:right w:val="nil"/>
                <w:between w:val="nil"/>
              </w:pBdr>
              <w:spacing w:after="0" w:line="240" w:lineRule="auto"/>
              <w:ind w:left="720"/>
              <w:jc w:val="both"/>
              <w:rPr>
                <w:rFonts w:ascii="Garamond" w:eastAsia="Garamond" w:hAnsi="Garamond" w:cs="Garamond"/>
                <w:color w:val="4472C4"/>
              </w:rPr>
            </w:pPr>
          </w:p>
        </w:tc>
        <w:tc>
          <w:tcPr>
            <w:tcW w:w="7830" w:type="dxa"/>
          </w:tcPr>
          <w:p w:rsidR="00552D89" w:rsidRPr="00776D93" w:rsidRDefault="00552D89" w:rsidP="00B8046E">
            <w:pPr>
              <w:spacing w:after="0" w:line="240" w:lineRule="auto"/>
              <w:jc w:val="both"/>
              <w:rPr>
                <w:rFonts w:ascii="Garamond" w:eastAsia="Garamond" w:hAnsi="Garamond" w:cs="Garamond"/>
                <w:color w:val="000000"/>
              </w:rPr>
            </w:pPr>
            <w:r w:rsidRPr="00776D93">
              <w:rPr>
                <w:rFonts w:ascii="Garamond" w:eastAsia="Garamond" w:hAnsi="Garamond" w:cs="Garamond"/>
                <w:color w:val="000000"/>
              </w:rPr>
              <w:t xml:space="preserve">Elevada tasa de mortalidad materna. Hay mayor riesgo en zonas rurales con bajo nivel de accesibilidad a los servicios de salud. Mortalidad materna disminuyó hasta 2019, con la pandemia aumentó durante el 2020 y el 2021 debido al cierre del primer nivel de atención, reducción de camas UCI y por la COVID-19.          </w:t>
            </w:r>
          </w:p>
        </w:tc>
      </w:tr>
      <w:tr w:rsidR="00552D89">
        <w:trPr>
          <w:trHeight w:val="1221"/>
        </w:trPr>
        <w:tc>
          <w:tcPr>
            <w:tcW w:w="1620" w:type="dxa"/>
            <w:shd w:val="clear" w:color="auto" w:fill="B4C6E7"/>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0070C0"/>
              </w:rPr>
            </w:pPr>
            <w:r w:rsidRPr="00776D93">
              <w:rPr>
                <w:rFonts w:ascii="Garamond" w:eastAsia="Garamond" w:hAnsi="Garamond" w:cs="Garamond"/>
                <w:b/>
                <w:color w:val="0070C0"/>
              </w:rPr>
              <w:t>3. RECOMENDACIONES AL ESTADO PERUANO:</w:t>
            </w:r>
          </w:p>
        </w:tc>
        <w:tc>
          <w:tcPr>
            <w:tcW w:w="7830" w:type="dxa"/>
            <w:shd w:val="clear" w:color="auto" w:fill="B4C6E7"/>
          </w:tcPr>
          <w:p w:rsidR="00552D89" w:rsidRPr="00776D93" w:rsidRDefault="00552D89">
            <w:pPr>
              <w:spacing w:after="0" w:line="240" w:lineRule="auto"/>
              <w:jc w:val="both"/>
              <w:rPr>
                <w:rFonts w:ascii="Garamond" w:eastAsia="Garamond" w:hAnsi="Garamond" w:cs="Garamond"/>
              </w:rPr>
            </w:pPr>
          </w:p>
          <w:p w:rsidR="00552D89" w:rsidRPr="00776D93" w:rsidRDefault="00552D89">
            <w:pPr>
              <w:spacing w:after="0" w:line="240" w:lineRule="auto"/>
              <w:jc w:val="both"/>
              <w:rPr>
                <w:rFonts w:ascii="Garamond" w:eastAsia="Garamond" w:hAnsi="Garamond" w:cs="Garamond"/>
                <w:highlight w:val="yellow"/>
              </w:rPr>
            </w:pPr>
            <w:r w:rsidRPr="00776D93">
              <w:rPr>
                <w:rFonts w:ascii="Garamond" w:eastAsia="Garamond" w:hAnsi="Garamond" w:cs="Garamond"/>
              </w:rPr>
              <w:t>• Reabrir primer nivel de atención al 100%, recuperar y ampliar disponibilidad de camas UCI para emergencias materno-neonatales.</w:t>
            </w:r>
          </w:p>
        </w:tc>
      </w:tr>
    </w:tbl>
    <w:p w:rsidR="00552D89" w:rsidRDefault="00552D89">
      <w:pPr>
        <w:rPr>
          <w:rFonts w:ascii="Garamond" w:eastAsia="Garamond" w:hAnsi="Garamond" w:cs="Garamond"/>
          <w:b/>
          <w:sz w:val="24"/>
          <w:szCs w:val="24"/>
        </w:rPr>
      </w:pPr>
    </w:p>
    <w:p w:rsidR="00552D89" w:rsidRDefault="00552D89">
      <w:pPr>
        <w:rPr>
          <w:rFonts w:ascii="Garamond" w:eastAsia="Garamond" w:hAnsi="Garamond" w:cs="Garamond"/>
          <w:b/>
          <w:sz w:val="24"/>
          <w:szCs w:val="24"/>
        </w:rPr>
      </w:pPr>
    </w:p>
    <w:tbl>
      <w:tblPr>
        <w:tblStyle w:val="a6"/>
        <w:tblW w:w="945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1620"/>
        <w:gridCol w:w="7830"/>
      </w:tblGrid>
      <w:tr w:rsidR="00552D89">
        <w:trPr>
          <w:trHeight w:val="789"/>
        </w:trPr>
        <w:tc>
          <w:tcPr>
            <w:tcW w:w="1620" w:type="dxa"/>
            <w:vAlign w:val="center"/>
          </w:tcPr>
          <w:p w:rsidR="00552D89" w:rsidRPr="00776D93" w:rsidRDefault="00552D89">
            <w:pPr>
              <w:spacing w:after="0" w:line="240" w:lineRule="auto"/>
              <w:jc w:val="both"/>
              <w:rPr>
                <w:rFonts w:ascii="Garamond" w:eastAsia="Garamond" w:hAnsi="Garamond" w:cs="Garamond"/>
                <w:color w:val="0070C0"/>
              </w:rPr>
            </w:pPr>
          </w:p>
          <w:p w:rsidR="00552D89" w:rsidRPr="00776D93" w:rsidRDefault="00552D89">
            <w:pPr>
              <w:spacing w:after="0" w:line="240" w:lineRule="auto"/>
              <w:jc w:val="both"/>
              <w:rPr>
                <w:rFonts w:ascii="Garamond" w:eastAsia="Garamond" w:hAnsi="Garamond" w:cs="Garamond"/>
                <w:b/>
                <w:color w:val="4472C4"/>
              </w:rPr>
            </w:pPr>
            <w:r w:rsidRPr="00776D93">
              <w:rPr>
                <w:rFonts w:ascii="Garamond" w:eastAsia="Garamond" w:hAnsi="Garamond" w:cs="Garamond"/>
                <w:b/>
                <w:color w:val="4472C4"/>
              </w:rPr>
              <w:t>RECOMENDACIÓN</w:t>
            </w:r>
          </w:p>
          <w:p w:rsidR="00552D89" w:rsidRPr="00776D93" w:rsidRDefault="00552D89">
            <w:pPr>
              <w:spacing w:after="0" w:line="240" w:lineRule="auto"/>
              <w:jc w:val="both"/>
              <w:rPr>
                <w:rFonts w:ascii="Garamond" w:eastAsia="Garamond" w:hAnsi="Garamond" w:cs="Garamond"/>
              </w:rPr>
            </w:pPr>
          </w:p>
        </w:tc>
        <w:tc>
          <w:tcPr>
            <w:tcW w:w="7830" w:type="dxa"/>
            <w:vAlign w:val="center"/>
          </w:tcPr>
          <w:p w:rsidR="00552D89" w:rsidRPr="00776D93" w:rsidRDefault="00552D89">
            <w:pPr>
              <w:spacing w:after="0" w:line="240" w:lineRule="auto"/>
              <w:jc w:val="both"/>
              <w:rPr>
                <w:rFonts w:ascii="Garamond" w:eastAsia="Garamond" w:hAnsi="Garamond" w:cs="Garamond"/>
              </w:rPr>
            </w:pPr>
            <w:r w:rsidRPr="00776D93">
              <w:rPr>
                <w:rFonts w:ascii="Garamond" w:eastAsia="Garamond" w:hAnsi="Garamond" w:cs="Garamond"/>
                <w:b/>
                <w:color w:val="000000"/>
              </w:rPr>
              <w:t>Educación sexual integral</w:t>
            </w:r>
            <w:r w:rsidRPr="00776D93">
              <w:rPr>
                <w:rFonts w:ascii="Garamond" w:eastAsia="Garamond" w:hAnsi="Garamond" w:cs="Garamond"/>
                <w:color w:val="000000"/>
              </w:rPr>
              <w:t>, EPU 2017</w:t>
            </w:r>
            <w:r w:rsidRPr="00776D93">
              <w:rPr>
                <w:rFonts w:ascii="Garamond" w:eastAsia="Garamond" w:hAnsi="Garamond" w:cs="Garamond"/>
                <w:color w:val="000000"/>
                <w:vertAlign w:val="superscript"/>
              </w:rPr>
              <w:endnoteReference w:id="55"/>
            </w:r>
            <w:r w:rsidRPr="00776D93">
              <w:rPr>
                <w:rFonts w:ascii="Garamond" w:eastAsia="Garamond" w:hAnsi="Garamond" w:cs="Garamond"/>
                <w:color w:val="000000"/>
              </w:rPr>
              <w:t>.</w:t>
            </w:r>
          </w:p>
        </w:tc>
      </w:tr>
      <w:tr w:rsidR="00552D89">
        <w:trPr>
          <w:trHeight w:val="463"/>
        </w:trPr>
        <w:tc>
          <w:tcPr>
            <w:tcW w:w="1620" w:type="dxa"/>
            <w:shd w:val="clear" w:color="auto" w:fill="B4C6E7"/>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4472C4"/>
              </w:rPr>
            </w:pPr>
            <w:r w:rsidRPr="00776D93">
              <w:rPr>
                <w:rFonts w:ascii="Garamond" w:eastAsia="Garamond" w:hAnsi="Garamond" w:cs="Garamond"/>
                <w:b/>
                <w:color w:val="4472C4"/>
              </w:rPr>
              <w:lastRenderedPageBreak/>
              <w:t>1. NIVEL DE IMPLEMENTACIÓN:</w:t>
            </w:r>
          </w:p>
        </w:tc>
        <w:tc>
          <w:tcPr>
            <w:tcW w:w="7830" w:type="dxa"/>
            <w:shd w:val="clear" w:color="auto" w:fill="B4C6E7"/>
          </w:tcPr>
          <w:p w:rsidR="00552D89" w:rsidRPr="00776D93" w:rsidRDefault="00552D89">
            <w:pPr>
              <w:spacing w:after="0" w:line="240" w:lineRule="auto"/>
              <w:jc w:val="both"/>
              <w:rPr>
                <w:rFonts w:ascii="Garamond" w:eastAsia="Garamond" w:hAnsi="Garamond" w:cs="Garamond"/>
              </w:rPr>
            </w:pPr>
          </w:p>
          <w:p w:rsidR="00552D89" w:rsidRPr="00776D93" w:rsidRDefault="00552D89">
            <w:pPr>
              <w:spacing w:after="0" w:line="240" w:lineRule="auto"/>
              <w:jc w:val="both"/>
              <w:rPr>
                <w:rFonts w:ascii="Garamond" w:eastAsia="Garamond" w:hAnsi="Garamond" w:cs="Garamond"/>
                <w:b/>
                <w:color w:val="ED7D31"/>
              </w:rPr>
            </w:pPr>
            <w:r w:rsidRPr="00776D93">
              <w:rPr>
                <w:rFonts w:ascii="Garamond" w:eastAsia="Garamond" w:hAnsi="Garamond" w:cs="Garamond"/>
                <w:b/>
                <w:color w:val="ED7D31"/>
              </w:rPr>
              <w:t>Aplicado parcialmente</w:t>
            </w:r>
          </w:p>
          <w:p w:rsidR="00552D89" w:rsidRPr="00776D93" w:rsidRDefault="00552D89">
            <w:pPr>
              <w:spacing w:after="0" w:line="240" w:lineRule="auto"/>
              <w:jc w:val="both"/>
              <w:rPr>
                <w:rFonts w:ascii="Garamond" w:eastAsia="Garamond" w:hAnsi="Garamond" w:cs="Garamond"/>
                <w:highlight w:val="yellow"/>
              </w:rPr>
            </w:pPr>
          </w:p>
        </w:tc>
      </w:tr>
      <w:tr w:rsidR="00552D89">
        <w:tc>
          <w:tcPr>
            <w:tcW w:w="1620" w:type="dxa"/>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4472C4"/>
              </w:rPr>
            </w:pPr>
          </w:p>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4472C4"/>
              </w:rPr>
            </w:pPr>
            <w:r w:rsidRPr="00776D93">
              <w:rPr>
                <w:rFonts w:ascii="Garamond" w:eastAsia="Garamond" w:hAnsi="Garamond" w:cs="Garamond"/>
                <w:b/>
                <w:color w:val="4472C4"/>
              </w:rPr>
              <w:t>2. CONTEXTO:</w:t>
            </w:r>
          </w:p>
          <w:p w:rsidR="00552D89" w:rsidRPr="00776D93" w:rsidRDefault="00552D89">
            <w:pPr>
              <w:pBdr>
                <w:top w:val="nil"/>
                <w:left w:val="nil"/>
                <w:bottom w:val="nil"/>
                <w:right w:val="nil"/>
                <w:between w:val="nil"/>
              </w:pBdr>
              <w:spacing w:after="0" w:line="240" w:lineRule="auto"/>
              <w:ind w:left="720"/>
              <w:jc w:val="both"/>
              <w:rPr>
                <w:rFonts w:ascii="Garamond" w:eastAsia="Garamond" w:hAnsi="Garamond" w:cs="Garamond"/>
                <w:color w:val="4472C4"/>
              </w:rPr>
            </w:pPr>
          </w:p>
        </w:tc>
        <w:tc>
          <w:tcPr>
            <w:tcW w:w="7830" w:type="dxa"/>
          </w:tcPr>
          <w:p w:rsidR="00552D89" w:rsidRPr="00776D93" w:rsidRDefault="00552D89">
            <w:pPr>
              <w:spacing w:after="0" w:line="240" w:lineRule="auto"/>
              <w:jc w:val="both"/>
              <w:rPr>
                <w:rFonts w:ascii="Garamond" w:eastAsia="Garamond" w:hAnsi="Garamond" w:cs="Garamond"/>
                <w:color w:val="000000"/>
              </w:rPr>
            </w:pPr>
            <w:r w:rsidRPr="00776D93">
              <w:rPr>
                <w:rFonts w:ascii="Garamond" w:eastAsia="Garamond" w:hAnsi="Garamond" w:cs="Garamond"/>
                <w:color w:val="000000"/>
              </w:rPr>
              <w:t xml:space="preserve">Se incluyó la </w:t>
            </w:r>
            <w:r w:rsidRPr="00776D93">
              <w:rPr>
                <w:rFonts w:ascii="Garamond" w:eastAsia="Garamond" w:hAnsi="Garamond" w:cs="Garamond"/>
              </w:rPr>
              <w:t>ESI</w:t>
            </w:r>
            <w:r w:rsidRPr="00776D93">
              <w:rPr>
                <w:rFonts w:ascii="Garamond" w:eastAsia="Garamond" w:hAnsi="Garamond" w:cs="Garamond"/>
                <w:vertAlign w:val="superscript"/>
              </w:rPr>
              <w:endnoteReference w:id="56"/>
            </w:r>
            <w:r w:rsidRPr="00776D93">
              <w:rPr>
                <w:rFonts w:ascii="Garamond" w:eastAsia="Garamond" w:hAnsi="Garamond" w:cs="Garamond"/>
              </w:rPr>
              <w:t xml:space="preserve"> </w:t>
            </w:r>
            <w:r w:rsidRPr="00776D93">
              <w:rPr>
                <w:rFonts w:ascii="Garamond" w:eastAsia="Garamond" w:hAnsi="Garamond" w:cs="Garamond"/>
                <w:color w:val="000000"/>
              </w:rPr>
              <w:t>en el currículo en el 2016 y se elaboró una Guía en el 2021.</w:t>
            </w:r>
          </w:p>
          <w:p w:rsidR="00552D89" w:rsidRPr="00776D93" w:rsidRDefault="00552D89">
            <w:pPr>
              <w:spacing w:after="0" w:line="240" w:lineRule="auto"/>
              <w:jc w:val="both"/>
              <w:rPr>
                <w:rFonts w:ascii="Garamond" w:eastAsia="Garamond" w:hAnsi="Garamond" w:cs="Garamond"/>
                <w:color w:val="000000"/>
              </w:rPr>
            </w:pPr>
            <w:r w:rsidRPr="00776D93">
              <w:rPr>
                <w:rFonts w:ascii="Garamond" w:eastAsia="Garamond" w:hAnsi="Garamond" w:cs="Garamond"/>
                <w:color w:val="000000"/>
              </w:rPr>
              <w:t>Se acaba de aprobar una Ley 31498, que amenaza su permanencia en el curriculum</w:t>
            </w:r>
            <w:r w:rsidRPr="00776D93">
              <w:rPr>
                <w:rFonts w:ascii="Garamond" w:eastAsia="Garamond" w:hAnsi="Garamond" w:cs="Garamond"/>
                <w:color w:val="000000"/>
                <w:vertAlign w:val="superscript"/>
              </w:rPr>
              <w:endnoteReference w:id="57"/>
            </w:r>
            <w:r w:rsidRPr="00776D93">
              <w:rPr>
                <w:rFonts w:ascii="Garamond" w:eastAsia="Garamond" w:hAnsi="Garamond" w:cs="Garamond"/>
                <w:color w:val="000000"/>
              </w:rPr>
              <w:t xml:space="preserve"> arriesgando el cumplimiento de la recomendación dirigida a prevenir el embarazo de niñas y adolescentes y prevenir la violencia.</w:t>
            </w:r>
          </w:p>
        </w:tc>
      </w:tr>
      <w:tr w:rsidR="00552D89">
        <w:trPr>
          <w:trHeight w:val="1185"/>
        </w:trPr>
        <w:tc>
          <w:tcPr>
            <w:tcW w:w="1620" w:type="dxa"/>
            <w:shd w:val="clear" w:color="auto" w:fill="B4C6E7"/>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0070C0"/>
              </w:rPr>
            </w:pPr>
            <w:r w:rsidRPr="00776D93">
              <w:rPr>
                <w:rFonts w:ascii="Garamond" w:eastAsia="Garamond" w:hAnsi="Garamond" w:cs="Garamond"/>
                <w:b/>
                <w:color w:val="0070C0"/>
              </w:rPr>
              <w:t>3. RECOMENDACIONES AL ESTADO PERUANO:</w:t>
            </w:r>
          </w:p>
        </w:tc>
        <w:tc>
          <w:tcPr>
            <w:tcW w:w="7830" w:type="dxa"/>
            <w:shd w:val="clear" w:color="auto" w:fill="B4C6E7"/>
          </w:tcPr>
          <w:p w:rsidR="00552D89" w:rsidRPr="00776D93" w:rsidRDefault="00552D89">
            <w:pPr>
              <w:spacing w:after="0" w:line="240" w:lineRule="auto"/>
              <w:jc w:val="both"/>
              <w:rPr>
                <w:rFonts w:ascii="Garamond" w:eastAsia="Garamond" w:hAnsi="Garamond" w:cs="Garamond"/>
                <w:color w:val="000000"/>
              </w:rPr>
            </w:pPr>
            <w:r w:rsidRPr="00776D93">
              <w:rPr>
                <w:rFonts w:ascii="Garamond" w:eastAsia="Garamond" w:hAnsi="Garamond" w:cs="Garamond"/>
              </w:rPr>
              <w:t xml:space="preserve">• Derogar la </w:t>
            </w:r>
            <w:r w:rsidRPr="00776D93">
              <w:rPr>
                <w:rFonts w:ascii="Garamond" w:eastAsia="Garamond" w:hAnsi="Garamond" w:cs="Garamond"/>
                <w:color w:val="000000"/>
              </w:rPr>
              <w:t>Ley N°31498</w:t>
            </w:r>
            <w:r w:rsidRPr="00776D93">
              <w:rPr>
                <w:rFonts w:ascii="Garamond" w:eastAsia="Garamond" w:hAnsi="Garamond" w:cs="Garamond"/>
                <w:color w:val="000000"/>
                <w:vertAlign w:val="superscript"/>
              </w:rPr>
              <w:endnoteReference w:id="58"/>
            </w:r>
            <w:r w:rsidRPr="00776D93">
              <w:rPr>
                <w:rFonts w:ascii="Garamond" w:eastAsia="Garamond" w:hAnsi="Garamond" w:cs="Garamond"/>
                <w:color w:val="000000"/>
              </w:rPr>
              <w:t>.</w:t>
            </w:r>
          </w:p>
          <w:p w:rsidR="00552D89" w:rsidRPr="00776D93" w:rsidRDefault="00552D89">
            <w:pPr>
              <w:spacing w:after="0" w:line="240" w:lineRule="auto"/>
              <w:jc w:val="both"/>
              <w:rPr>
                <w:rFonts w:ascii="Garamond" w:eastAsia="Garamond" w:hAnsi="Garamond" w:cs="Garamond"/>
              </w:rPr>
            </w:pPr>
            <w:r w:rsidRPr="00776D93">
              <w:rPr>
                <w:rFonts w:ascii="Garamond" w:eastAsia="Garamond" w:hAnsi="Garamond" w:cs="Garamond"/>
              </w:rPr>
              <w:t>Garantizar el cumplimiento de los Lineamientos para una educación sexual integral aprobado por R.V.M 169-2021-MINEDU.</w:t>
            </w:r>
          </w:p>
          <w:p w:rsidR="00552D89" w:rsidRPr="00776D93" w:rsidRDefault="00552D89">
            <w:pPr>
              <w:spacing w:after="0" w:line="240" w:lineRule="auto"/>
              <w:jc w:val="both"/>
              <w:rPr>
                <w:rFonts w:ascii="Garamond" w:eastAsia="Garamond" w:hAnsi="Garamond" w:cs="Garamond"/>
                <w:highlight w:val="yellow"/>
              </w:rPr>
            </w:pPr>
            <w:r w:rsidRPr="00776D93">
              <w:rPr>
                <w:rFonts w:ascii="Garamond" w:eastAsia="Garamond" w:hAnsi="Garamond" w:cs="Garamond"/>
              </w:rPr>
              <w:t xml:space="preserve">• </w:t>
            </w:r>
            <w:r w:rsidRPr="00776D93">
              <w:rPr>
                <w:rFonts w:ascii="Garamond" w:eastAsia="Garamond" w:hAnsi="Garamond" w:cs="Garamond"/>
                <w:color w:val="000000"/>
              </w:rPr>
              <w:t>Implementar en el currículum la ESI con enfoque de discapacidad e interseccionalidad</w:t>
            </w:r>
            <w:r w:rsidRPr="00776D93">
              <w:rPr>
                <w:rFonts w:ascii="Garamond" w:eastAsia="Garamond" w:hAnsi="Garamond" w:cs="Garamond"/>
                <w:color w:val="202124"/>
                <w:vertAlign w:val="superscript"/>
              </w:rPr>
              <w:endnoteReference w:id="59"/>
            </w:r>
            <w:r w:rsidRPr="00776D93">
              <w:rPr>
                <w:rFonts w:ascii="Garamond" w:eastAsia="Garamond" w:hAnsi="Garamond" w:cs="Garamond"/>
                <w:color w:val="202124"/>
                <w:vertAlign w:val="superscript"/>
              </w:rPr>
              <w:t>.</w:t>
            </w:r>
          </w:p>
        </w:tc>
      </w:tr>
    </w:tbl>
    <w:p w:rsidR="00552D89" w:rsidRDefault="00552D89">
      <w:pPr>
        <w:rPr>
          <w:rFonts w:ascii="Garamond" w:eastAsia="Garamond" w:hAnsi="Garamond" w:cs="Garamond"/>
          <w:b/>
          <w:sz w:val="24"/>
          <w:szCs w:val="24"/>
        </w:rPr>
      </w:pPr>
    </w:p>
    <w:p w:rsidR="00552D89" w:rsidRDefault="00552D89">
      <w:pPr>
        <w:jc w:val="center"/>
        <w:rPr>
          <w:rFonts w:ascii="Garamond" w:eastAsia="Garamond" w:hAnsi="Garamond" w:cs="Garamond"/>
          <w:b/>
          <w:sz w:val="28"/>
          <w:szCs w:val="28"/>
        </w:rPr>
      </w:pPr>
    </w:p>
    <w:tbl>
      <w:tblPr>
        <w:tblStyle w:val="a7"/>
        <w:tblW w:w="945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1620"/>
        <w:gridCol w:w="7830"/>
      </w:tblGrid>
      <w:tr w:rsidR="00552D89" w:rsidRPr="00776D93">
        <w:trPr>
          <w:trHeight w:val="663"/>
        </w:trPr>
        <w:tc>
          <w:tcPr>
            <w:tcW w:w="1620" w:type="dxa"/>
            <w:vAlign w:val="center"/>
          </w:tcPr>
          <w:p w:rsidR="00552D89" w:rsidRPr="00776D93" w:rsidRDefault="00552D89">
            <w:pPr>
              <w:spacing w:after="0" w:line="240" w:lineRule="auto"/>
              <w:jc w:val="both"/>
              <w:rPr>
                <w:rFonts w:ascii="Garamond" w:eastAsia="Garamond" w:hAnsi="Garamond" w:cs="Garamond"/>
                <w:color w:val="2F5496"/>
              </w:rPr>
            </w:pPr>
          </w:p>
          <w:p w:rsidR="00552D89" w:rsidRPr="00776D93" w:rsidRDefault="00552D89">
            <w:pPr>
              <w:spacing w:after="0" w:line="240" w:lineRule="auto"/>
              <w:jc w:val="both"/>
              <w:rPr>
                <w:rFonts w:ascii="Garamond" w:eastAsia="Garamond" w:hAnsi="Garamond" w:cs="Garamond"/>
                <w:b/>
                <w:color w:val="2F5496"/>
              </w:rPr>
            </w:pPr>
            <w:r w:rsidRPr="00776D93">
              <w:rPr>
                <w:rFonts w:ascii="Garamond" w:eastAsia="Garamond" w:hAnsi="Garamond" w:cs="Garamond"/>
                <w:b/>
                <w:color w:val="2F5496"/>
              </w:rPr>
              <w:t>RECOMENDACIÓN</w:t>
            </w:r>
          </w:p>
        </w:tc>
        <w:tc>
          <w:tcPr>
            <w:tcW w:w="7830" w:type="dxa"/>
            <w:vAlign w:val="center"/>
          </w:tcPr>
          <w:p w:rsidR="00552D89" w:rsidRPr="00776D93" w:rsidRDefault="00552D89">
            <w:pPr>
              <w:spacing w:after="0" w:line="240" w:lineRule="auto"/>
              <w:jc w:val="both"/>
              <w:rPr>
                <w:rFonts w:ascii="Garamond" w:eastAsia="Garamond" w:hAnsi="Garamond" w:cs="Garamond"/>
              </w:rPr>
            </w:pPr>
            <w:r w:rsidRPr="00776D93">
              <w:rPr>
                <w:rFonts w:ascii="Garamond" w:eastAsia="Garamond" w:hAnsi="Garamond" w:cs="Garamond"/>
                <w:b/>
                <w:color w:val="000000"/>
              </w:rPr>
              <w:t>Aborto terapéutico</w:t>
            </w:r>
            <w:r w:rsidRPr="00776D93">
              <w:rPr>
                <w:rFonts w:ascii="Garamond" w:eastAsia="Garamond" w:hAnsi="Garamond" w:cs="Garamond"/>
                <w:color w:val="000000"/>
              </w:rPr>
              <w:t>, EPU 2017</w:t>
            </w:r>
            <w:r w:rsidRPr="00776D93">
              <w:rPr>
                <w:rFonts w:ascii="Garamond" w:eastAsia="Garamond" w:hAnsi="Garamond" w:cs="Garamond"/>
                <w:color w:val="000000"/>
                <w:vertAlign w:val="superscript"/>
              </w:rPr>
              <w:endnoteReference w:id="60"/>
            </w:r>
          </w:p>
        </w:tc>
      </w:tr>
      <w:tr w:rsidR="00552D89" w:rsidRPr="00776D93">
        <w:trPr>
          <w:trHeight w:val="463"/>
        </w:trPr>
        <w:tc>
          <w:tcPr>
            <w:tcW w:w="1620" w:type="dxa"/>
            <w:shd w:val="clear" w:color="auto" w:fill="B4C6E7"/>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2F5496"/>
              </w:rPr>
            </w:pPr>
            <w:r w:rsidRPr="00776D93">
              <w:rPr>
                <w:rFonts w:ascii="Garamond" w:eastAsia="Garamond" w:hAnsi="Garamond" w:cs="Garamond"/>
                <w:b/>
                <w:color w:val="2F5496"/>
              </w:rPr>
              <w:t>1. NIVEL DE IMPLEMENTACIÓN:</w:t>
            </w:r>
          </w:p>
        </w:tc>
        <w:tc>
          <w:tcPr>
            <w:tcW w:w="7830" w:type="dxa"/>
            <w:shd w:val="clear" w:color="auto" w:fill="B4C6E7"/>
          </w:tcPr>
          <w:p w:rsidR="00552D89" w:rsidRPr="00776D93" w:rsidRDefault="00552D89">
            <w:pPr>
              <w:spacing w:after="0" w:line="240" w:lineRule="auto"/>
              <w:jc w:val="both"/>
              <w:rPr>
                <w:rFonts w:ascii="Garamond" w:eastAsia="Garamond" w:hAnsi="Garamond" w:cs="Garamond"/>
              </w:rPr>
            </w:pPr>
          </w:p>
          <w:p w:rsidR="00552D89" w:rsidRPr="00776D93" w:rsidRDefault="00552D89">
            <w:pPr>
              <w:spacing w:after="0" w:line="240" w:lineRule="auto"/>
              <w:jc w:val="both"/>
              <w:rPr>
                <w:rFonts w:ascii="Garamond" w:eastAsia="Garamond" w:hAnsi="Garamond" w:cs="Garamond"/>
                <w:b/>
                <w:color w:val="ED7D31"/>
              </w:rPr>
            </w:pPr>
            <w:r w:rsidRPr="00776D93">
              <w:rPr>
                <w:rFonts w:ascii="Garamond" w:eastAsia="Garamond" w:hAnsi="Garamond" w:cs="Garamond"/>
                <w:b/>
                <w:color w:val="ED7D31"/>
              </w:rPr>
              <w:t>Aplicado parcialmente, en riesgo de retroceso.</w:t>
            </w:r>
          </w:p>
          <w:p w:rsidR="00552D89" w:rsidRPr="00776D93" w:rsidRDefault="00552D89">
            <w:pPr>
              <w:spacing w:after="0" w:line="240" w:lineRule="auto"/>
              <w:jc w:val="both"/>
              <w:rPr>
                <w:rFonts w:ascii="Garamond" w:eastAsia="Garamond" w:hAnsi="Garamond" w:cs="Garamond"/>
                <w:highlight w:val="yellow"/>
              </w:rPr>
            </w:pPr>
          </w:p>
        </w:tc>
      </w:tr>
      <w:tr w:rsidR="00552D89" w:rsidRPr="00776D93">
        <w:tc>
          <w:tcPr>
            <w:tcW w:w="1620" w:type="dxa"/>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2F5496"/>
              </w:rPr>
            </w:pPr>
          </w:p>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2F5496"/>
              </w:rPr>
            </w:pPr>
            <w:r w:rsidRPr="00776D93">
              <w:rPr>
                <w:rFonts w:ascii="Garamond" w:eastAsia="Garamond" w:hAnsi="Garamond" w:cs="Garamond"/>
                <w:b/>
                <w:color w:val="2F5496"/>
              </w:rPr>
              <w:t>2. CONTEXTO:</w:t>
            </w:r>
          </w:p>
          <w:p w:rsidR="00552D89" w:rsidRPr="00776D93" w:rsidRDefault="00552D89">
            <w:pPr>
              <w:pBdr>
                <w:top w:val="nil"/>
                <w:left w:val="nil"/>
                <w:bottom w:val="nil"/>
                <w:right w:val="nil"/>
                <w:between w:val="nil"/>
              </w:pBdr>
              <w:spacing w:after="0" w:line="240" w:lineRule="auto"/>
              <w:ind w:left="720"/>
              <w:jc w:val="both"/>
              <w:rPr>
                <w:rFonts w:ascii="Garamond" w:eastAsia="Garamond" w:hAnsi="Garamond" w:cs="Garamond"/>
                <w:color w:val="2F5496"/>
              </w:rPr>
            </w:pPr>
          </w:p>
        </w:tc>
        <w:tc>
          <w:tcPr>
            <w:tcW w:w="7830" w:type="dxa"/>
          </w:tcPr>
          <w:p w:rsidR="00552D89" w:rsidRPr="00776D93" w:rsidRDefault="00552D89">
            <w:pPr>
              <w:spacing w:after="0" w:line="240" w:lineRule="auto"/>
              <w:jc w:val="both"/>
              <w:rPr>
                <w:rFonts w:ascii="Garamond" w:eastAsia="Garamond" w:hAnsi="Garamond" w:cs="Garamond"/>
              </w:rPr>
            </w:pPr>
            <w:r w:rsidRPr="00776D93">
              <w:rPr>
                <w:rFonts w:ascii="Garamond" w:eastAsia="Garamond" w:hAnsi="Garamond" w:cs="Garamond"/>
              </w:rPr>
              <w:t>Congreso aprobó el predictamen P.L. N° 1520 que pondría en riesgo el acceso de niñas y mujeres al aborto terapéutico</w:t>
            </w:r>
            <w:r w:rsidRPr="00776D93">
              <w:rPr>
                <w:rFonts w:ascii="Garamond" w:eastAsia="Garamond" w:hAnsi="Garamond" w:cs="Garamond"/>
                <w:vertAlign w:val="superscript"/>
              </w:rPr>
              <w:endnoteReference w:id="61"/>
            </w:r>
            <w:r w:rsidRPr="00776D93">
              <w:rPr>
                <w:rFonts w:ascii="Garamond" w:eastAsia="Garamond" w:hAnsi="Garamond" w:cs="Garamond"/>
              </w:rPr>
              <w:t>.</w:t>
            </w:r>
          </w:p>
          <w:p w:rsidR="00552D89" w:rsidRPr="00776D93" w:rsidRDefault="00552D89">
            <w:pPr>
              <w:spacing w:after="0" w:line="240" w:lineRule="auto"/>
              <w:jc w:val="both"/>
              <w:rPr>
                <w:rFonts w:ascii="Garamond" w:eastAsia="Garamond" w:hAnsi="Garamond" w:cs="Garamond"/>
                <w:color w:val="000000"/>
              </w:rPr>
            </w:pPr>
            <w:r w:rsidRPr="00776D93">
              <w:rPr>
                <w:rFonts w:ascii="Garamond" w:eastAsia="Garamond" w:hAnsi="Garamond" w:cs="Garamond"/>
                <w:color w:val="202124"/>
              </w:rPr>
              <w:t>Los prejuicios y estereotipos nocivos frente a la discapacidad conllevan a que familiares, pareja y profesionales de la salud decidan por el aborto en casos de mujeres con discapacidad embarazadas para evitar niñez con discapacidad, sin contar con el consentimiento informado</w:t>
            </w:r>
            <w:r w:rsidRPr="00776D93">
              <w:rPr>
                <w:rFonts w:ascii="Garamond" w:eastAsia="Garamond" w:hAnsi="Garamond" w:cs="Garamond"/>
                <w:vertAlign w:val="superscript"/>
              </w:rPr>
              <w:endnoteReference w:id="62"/>
            </w:r>
            <w:r w:rsidRPr="00776D93">
              <w:rPr>
                <w:rFonts w:ascii="Garamond" w:eastAsia="Garamond" w:hAnsi="Garamond" w:cs="Garamond"/>
                <w:color w:val="202124"/>
              </w:rPr>
              <w:t>.</w:t>
            </w:r>
          </w:p>
        </w:tc>
      </w:tr>
      <w:tr w:rsidR="00552D89" w:rsidRPr="00776D93">
        <w:trPr>
          <w:trHeight w:val="1530"/>
        </w:trPr>
        <w:tc>
          <w:tcPr>
            <w:tcW w:w="1620" w:type="dxa"/>
            <w:shd w:val="clear" w:color="auto" w:fill="B4C6E7"/>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2F5496"/>
              </w:rPr>
            </w:pPr>
            <w:r w:rsidRPr="00776D93">
              <w:rPr>
                <w:rFonts w:ascii="Garamond" w:eastAsia="Garamond" w:hAnsi="Garamond" w:cs="Garamond"/>
                <w:b/>
                <w:color w:val="2F5496"/>
              </w:rPr>
              <w:t>3. RECOMENDACIONES AL ESTADO PERUANO:</w:t>
            </w:r>
          </w:p>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2F5496"/>
              </w:rPr>
            </w:pPr>
          </w:p>
        </w:tc>
        <w:tc>
          <w:tcPr>
            <w:tcW w:w="7830" w:type="dxa"/>
            <w:shd w:val="clear" w:color="auto" w:fill="B4C6E7"/>
          </w:tcPr>
          <w:p w:rsidR="00552D89" w:rsidRPr="00776D93" w:rsidRDefault="00552D89">
            <w:pPr>
              <w:numPr>
                <w:ilvl w:val="0"/>
                <w:numId w:val="11"/>
              </w:numPr>
              <w:pBdr>
                <w:top w:val="nil"/>
                <w:left w:val="nil"/>
                <w:bottom w:val="nil"/>
                <w:right w:val="nil"/>
                <w:between w:val="nil"/>
              </w:pBdr>
              <w:spacing w:after="0" w:line="240" w:lineRule="auto"/>
              <w:ind w:left="254" w:hanging="270"/>
              <w:jc w:val="both"/>
              <w:rPr>
                <w:rFonts w:ascii="Garamond" w:eastAsia="Garamond" w:hAnsi="Garamond" w:cs="Garamond"/>
                <w:color w:val="202124"/>
              </w:rPr>
            </w:pPr>
            <w:r w:rsidRPr="00776D93">
              <w:rPr>
                <w:rFonts w:ascii="Garamond" w:eastAsia="Garamond" w:hAnsi="Garamond" w:cs="Garamond"/>
                <w:color w:val="202124"/>
              </w:rPr>
              <w:t>Mantener legislación aprobada sobre el aborto terapéutico, desarrollar servicios orientados a la atención de madres niñas y adolescentes menores de 14 años respecto a salud y DSR.</w:t>
            </w:r>
          </w:p>
          <w:p w:rsidR="00552D89" w:rsidRPr="00776D93" w:rsidRDefault="00552D89">
            <w:pPr>
              <w:numPr>
                <w:ilvl w:val="0"/>
                <w:numId w:val="11"/>
              </w:numPr>
              <w:pBdr>
                <w:top w:val="nil"/>
                <w:left w:val="nil"/>
                <w:bottom w:val="nil"/>
                <w:right w:val="nil"/>
                <w:between w:val="nil"/>
              </w:pBdr>
              <w:spacing w:after="0" w:line="240" w:lineRule="auto"/>
              <w:ind w:left="254" w:hanging="270"/>
              <w:jc w:val="both"/>
              <w:rPr>
                <w:rFonts w:ascii="Garamond" w:eastAsia="Garamond" w:hAnsi="Garamond" w:cs="Garamond"/>
                <w:color w:val="202124"/>
              </w:rPr>
            </w:pPr>
            <w:r w:rsidRPr="00776D93">
              <w:rPr>
                <w:rFonts w:ascii="Garamond" w:eastAsia="Garamond" w:hAnsi="Garamond" w:cs="Garamond"/>
                <w:color w:val="202124"/>
              </w:rPr>
              <w:t>Garantizar Implementación del Protocolo de Aborto Terapéutico adecuando su aplicación de niñas y adolescentes víctimas de embarazos forzados.</w:t>
            </w:r>
          </w:p>
          <w:p w:rsidR="00552D89" w:rsidRPr="00776D93" w:rsidRDefault="00552D89">
            <w:pPr>
              <w:numPr>
                <w:ilvl w:val="0"/>
                <w:numId w:val="11"/>
              </w:numPr>
              <w:pBdr>
                <w:top w:val="nil"/>
                <w:left w:val="nil"/>
                <w:bottom w:val="nil"/>
                <w:right w:val="nil"/>
                <w:between w:val="nil"/>
              </w:pBdr>
              <w:spacing w:after="0" w:line="240" w:lineRule="auto"/>
              <w:ind w:left="254" w:hanging="270"/>
              <w:jc w:val="both"/>
              <w:rPr>
                <w:rFonts w:ascii="Garamond" w:eastAsia="Garamond" w:hAnsi="Garamond" w:cs="Garamond"/>
                <w:color w:val="202124"/>
              </w:rPr>
            </w:pPr>
            <w:r w:rsidRPr="00776D93">
              <w:rPr>
                <w:rFonts w:ascii="Garamond" w:eastAsia="Garamond" w:hAnsi="Garamond" w:cs="Garamond"/>
                <w:color w:val="202124"/>
              </w:rPr>
              <w:t>Incluir indicadores de discapacidad en el registro de aborto “terapéutico”.</w:t>
            </w:r>
          </w:p>
          <w:p w:rsidR="00552D89" w:rsidRPr="00776D93" w:rsidRDefault="00552D89">
            <w:pPr>
              <w:numPr>
                <w:ilvl w:val="0"/>
                <w:numId w:val="11"/>
              </w:numPr>
              <w:pBdr>
                <w:top w:val="nil"/>
                <w:left w:val="nil"/>
                <w:bottom w:val="nil"/>
                <w:right w:val="nil"/>
                <w:between w:val="nil"/>
              </w:pBdr>
              <w:spacing w:after="0" w:line="240" w:lineRule="auto"/>
              <w:ind w:left="254" w:hanging="270"/>
              <w:jc w:val="both"/>
              <w:rPr>
                <w:rFonts w:ascii="Garamond" w:eastAsia="Garamond" w:hAnsi="Garamond" w:cs="Garamond"/>
                <w:color w:val="202124"/>
              </w:rPr>
            </w:pPr>
            <w:r w:rsidRPr="00776D93">
              <w:rPr>
                <w:rFonts w:ascii="Garamond" w:eastAsia="Garamond" w:hAnsi="Garamond" w:cs="Garamond"/>
                <w:color w:val="202124"/>
              </w:rPr>
              <w:t>Exhortar al Estado el desarrollo de investigaciones sobre mujeres con discapacidad esterilizadas sin su consentimiento.</w:t>
            </w:r>
          </w:p>
        </w:tc>
      </w:tr>
    </w:tbl>
    <w:p w:rsidR="00552D89" w:rsidRDefault="00552D89">
      <w:pPr>
        <w:jc w:val="center"/>
        <w:rPr>
          <w:rFonts w:ascii="Garamond" w:eastAsia="Garamond" w:hAnsi="Garamond" w:cs="Garamond"/>
          <w:b/>
          <w:sz w:val="28"/>
          <w:szCs w:val="28"/>
        </w:rPr>
      </w:pPr>
    </w:p>
    <w:tbl>
      <w:tblPr>
        <w:tblStyle w:val="a8"/>
        <w:tblW w:w="9456"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1621"/>
        <w:gridCol w:w="7835"/>
      </w:tblGrid>
      <w:tr w:rsidR="00552D89">
        <w:trPr>
          <w:trHeight w:val="225"/>
        </w:trPr>
        <w:tc>
          <w:tcPr>
            <w:tcW w:w="1621" w:type="dxa"/>
            <w:tcBorders>
              <w:top w:val="single" w:sz="4" w:space="0" w:color="000000"/>
              <w:left w:val="single" w:sz="4" w:space="0" w:color="8EAADB"/>
              <w:bottom w:val="single" w:sz="4" w:space="0" w:color="000000"/>
              <w:right w:val="single" w:sz="4" w:space="0" w:color="8EAADB"/>
            </w:tcBorders>
            <w:shd w:val="clear" w:color="auto" w:fill="FFFFFF"/>
          </w:tcPr>
          <w:p w:rsidR="00552D89" w:rsidRPr="00776D93" w:rsidRDefault="00552D89">
            <w:pPr>
              <w:rPr>
                <w:rFonts w:ascii="Garamond" w:eastAsia="Garamond" w:hAnsi="Garamond" w:cs="Garamond"/>
                <w:color w:val="2F5496"/>
              </w:rPr>
            </w:pPr>
            <w:r w:rsidRPr="00776D93">
              <w:rPr>
                <w:rFonts w:ascii="Garamond" w:eastAsia="Garamond" w:hAnsi="Garamond" w:cs="Garamond"/>
                <w:color w:val="2F5496"/>
              </w:rPr>
              <w:t>RECOMENDACIÓN</w:t>
            </w:r>
          </w:p>
        </w:tc>
        <w:tc>
          <w:tcPr>
            <w:tcW w:w="7835" w:type="dxa"/>
            <w:tcBorders>
              <w:top w:val="single" w:sz="4" w:space="0" w:color="000000"/>
              <w:left w:val="single" w:sz="4" w:space="0" w:color="8EAADB"/>
              <w:bottom w:val="single" w:sz="4" w:space="0" w:color="000000"/>
              <w:right w:val="single" w:sz="4" w:space="0" w:color="8EAADB"/>
            </w:tcBorders>
            <w:shd w:val="clear" w:color="auto" w:fill="FFFFFF"/>
          </w:tcPr>
          <w:p w:rsidR="00552D89" w:rsidRPr="00776D93" w:rsidRDefault="00552D89" w:rsidP="008629DA">
            <w:pPr>
              <w:spacing w:after="0" w:line="240" w:lineRule="auto"/>
              <w:jc w:val="both"/>
              <w:rPr>
                <w:rFonts w:ascii="Garamond" w:eastAsia="Garamond" w:hAnsi="Garamond" w:cs="Garamond"/>
                <w:color w:val="000000"/>
              </w:rPr>
            </w:pPr>
            <w:r w:rsidRPr="00776D93">
              <w:rPr>
                <w:rFonts w:ascii="Garamond" w:eastAsia="Garamond" w:hAnsi="Garamond" w:cs="Garamond"/>
                <w:b/>
                <w:color w:val="000000"/>
              </w:rPr>
              <w:t>Acceso a salud sexual y reproductiva</w:t>
            </w:r>
            <w:r w:rsidRPr="00776D93">
              <w:rPr>
                <w:rFonts w:ascii="Garamond" w:eastAsia="Garamond" w:hAnsi="Garamond" w:cs="Garamond"/>
                <w:color w:val="000000"/>
              </w:rPr>
              <w:t>, EPU 2017</w:t>
            </w:r>
            <w:r w:rsidRPr="00776D93">
              <w:rPr>
                <w:rFonts w:ascii="Garamond" w:eastAsia="Garamond" w:hAnsi="Garamond" w:cs="Garamond"/>
                <w:color w:val="000000"/>
                <w:vertAlign w:val="superscript"/>
              </w:rPr>
              <w:endnoteReference w:id="63"/>
            </w:r>
          </w:p>
        </w:tc>
      </w:tr>
      <w:tr w:rsidR="00552D89">
        <w:trPr>
          <w:trHeight w:val="225"/>
        </w:trPr>
        <w:tc>
          <w:tcPr>
            <w:tcW w:w="1621" w:type="dxa"/>
            <w:tcBorders>
              <w:top w:val="single" w:sz="4" w:space="0" w:color="000000"/>
              <w:left w:val="single" w:sz="4" w:space="0" w:color="8EAADB"/>
              <w:bottom w:val="single" w:sz="4" w:space="0" w:color="000000"/>
              <w:right w:val="single" w:sz="4" w:space="0" w:color="8EAADB"/>
            </w:tcBorders>
            <w:shd w:val="clear" w:color="auto" w:fill="B4C6E7"/>
          </w:tcPr>
          <w:p w:rsidR="00552D89" w:rsidRPr="00776D93" w:rsidRDefault="00552D89">
            <w:pPr>
              <w:numPr>
                <w:ilvl w:val="0"/>
                <w:numId w:val="7"/>
              </w:numPr>
              <w:pBdr>
                <w:top w:val="nil"/>
                <w:left w:val="nil"/>
                <w:bottom w:val="nil"/>
                <w:right w:val="nil"/>
                <w:between w:val="nil"/>
              </w:pBdr>
              <w:ind w:left="160" w:hanging="180"/>
              <w:jc w:val="both"/>
              <w:rPr>
                <w:rFonts w:ascii="Garamond" w:eastAsia="Garamond" w:hAnsi="Garamond" w:cs="Garamond"/>
                <w:color w:val="2F5496"/>
              </w:rPr>
            </w:pPr>
            <w:r w:rsidRPr="00776D93">
              <w:rPr>
                <w:rFonts w:ascii="Garamond" w:eastAsia="Garamond" w:hAnsi="Garamond" w:cs="Garamond"/>
                <w:color w:val="2F5496"/>
              </w:rPr>
              <w:t>NIVEL DE IMPLEMENTACIÓN</w:t>
            </w:r>
          </w:p>
        </w:tc>
        <w:tc>
          <w:tcPr>
            <w:tcW w:w="7835" w:type="dxa"/>
            <w:tcBorders>
              <w:top w:val="single" w:sz="4" w:space="0" w:color="000000"/>
              <w:left w:val="single" w:sz="4" w:space="0" w:color="8EAADB"/>
              <w:bottom w:val="single" w:sz="4" w:space="0" w:color="000000"/>
              <w:right w:val="single" w:sz="4" w:space="0" w:color="8EAADB"/>
            </w:tcBorders>
            <w:shd w:val="clear" w:color="auto" w:fill="B4C6E7"/>
          </w:tcPr>
          <w:p w:rsidR="00552D89" w:rsidRPr="00776D93" w:rsidRDefault="00552D89">
            <w:pPr>
              <w:spacing w:after="0" w:line="240" w:lineRule="auto"/>
              <w:jc w:val="both"/>
              <w:rPr>
                <w:rFonts w:ascii="Garamond" w:eastAsia="Garamond" w:hAnsi="Garamond" w:cs="Garamond"/>
                <w:color w:val="ED7D31"/>
              </w:rPr>
            </w:pPr>
            <w:r w:rsidRPr="00776D93">
              <w:rPr>
                <w:rFonts w:ascii="Garamond" w:eastAsia="Garamond" w:hAnsi="Garamond" w:cs="Garamond"/>
                <w:color w:val="ED7D31"/>
              </w:rPr>
              <w:t>Aplicado parcialmente</w:t>
            </w:r>
          </w:p>
          <w:p w:rsidR="00552D89" w:rsidRPr="00776D93" w:rsidRDefault="00552D89">
            <w:pPr>
              <w:spacing w:after="0" w:line="240" w:lineRule="auto"/>
              <w:jc w:val="both"/>
              <w:rPr>
                <w:rFonts w:ascii="Garamond" w:eastAsia="Garamond" w:hAnsi="Garamond" w:cs="Garamond"/>
                <w:color w:val="000000"/>
              </w:rPr>
            </w:pPr>
            <w:r w:rsidRPr="00776D93">
              <w:rPr>
                <w:rFonts w:ascii="Garamond" w:eastAsia="Garamond" w:hAnsi="Garamond" w:cs="Garamond"/>
                <w:color w:val="ED7D31"/>
              </w:rPr>
              <w:t>Posibles retrocesos</w:t>
            </w:r>
          </w:p>
        </w:tc>
      </w:tr>
      <w:tr w:rsidR="00552D89">
        <w:trPr>
          <w:trHeight w:val="444"/>
        </w:trPr>
        <w:tc>
          <w:tcPr>
            <w:tcW w:w="1621" w:type="dxa"/>
            <w:tcBorders>
              <w:top w:val="single" w:sz="4" w:space="0" w:color="000000"/>
              <w:left w:val="single" w:sz="4" w:space="0" w:color="8EAADB"/>
              <w:bottom w:val="single" w:sz="4" w:space="0" w:color="000000"/>
              <w:right w:val="single" w:sz="4" w:space="0" w:color="8EAADB"/>
            </w:tcBorders>
            <w:shd w:val="clear" w:color="auto" w:fill="FFFFFF"/>
          </w:tcPr>
          <w:p w:rsidR="00552D89" w:rsidRPr="00776D93" w:rsidRDefault="00552D89">
            <w:pPr>
              <w:numPr>
                <w:ilvl w:val="0"/>
                <w:numId w:val="7"/>
              </w:numPr>
              <w:pBdr>
                <w:top w:val="nil"/>
                <w:left w:val="nil"/>
                <w:bottom w:val="nil"/>
                <w:right w:val="nil"/>
                <w:between w:val="nil"/>
              </w:pBdr>
              <w:ind w:left="160" w:hanging="180"/>
              <w:jc w:val="both"/>
              <w:rPr>
                <w:rFonts w:ascii="Garamond" w:eastAsia="Garamond" w:hAnsi="Garamond" w:cs="Garamond"/>
                <w:color w:val="2F5496"/>
              </w:rPr>
            </w:pPr>
            <w:r w:rsidRPr="00776D93">
              <w:rPr>
                <w:rFonts w:ascii="Garamond" w:eastAsia="Garamond" w:hAnsi="Garamond" w:cs="Garamond"/>
                <w:color w:val="2F5496"/>
              </w:rPr>
              <w:t>CONTEXTO</w:t>
            </w:r>
          </w:p>
        </w:tc>
        <w:tc>
          <w:tcPr>
            <w:tcW w:w="7835" w:type="dxa"/>
            <w:tcBorders>
              <w:top w:val="single" w:sz="4" w:space="0" w:color="000000"/>
              <w:left w:val="single" w:sz="4" w:space="0" w:color="8EAADB"/>
              <w:bottom w:val="single" w:sz="4" w:space="0" w:color="000000"/>
              <w:right w:val="single" w:sz="4" w:space="0" w:color="8EAADB"/>
            </w:tcBorders>
            <w:shd w:val="clear" w:color="auto" w:fill="FFFFFF"/>
          </w:tcPr>
          <w:p w:rsidR="00552D89" w:rsidRPr="00776D93" w:rsidRDefault="00552D89">
            <w:pPr>
              <w:spacing w:after="0" w:line="240" w:lineRule="auto"/>
              <w:jc w:val="both"/>
              <w:rPr>
                <w:rFonts w:ascii="Garamond" w:eastAsia="Garamond" w:hAnsi="Garamond" w:cs="Garamond"/>
              </w:rPr>
            </w:pPr>
            <w:r w:rsidRPr="00776D93">
              <w:rPr>
                <w:rFonts w:ascii="Garamond" w:eastAsia="Garamond" w:hAnsi="Garamond" w:cs="Garamond"/>
              </w:rPr>
              <w:t>Durante la pandemia se deshabilitaron los servicios de provisión de anticonceptivos y las campañas educativas DSR</w:t>
            </w:r>
            <w:r w:rsidRPr="00776D93">
              <w:rPr>
                <w:rFonts w:ascii="Garamond" w:eastAsia="Garamond" w:hAnsi="Garamond" w:cs="Garamond"/>
                <w:vertAlign w:val="superscript"/>
              </w:rPr>
              <w:endnoteReference w:id="64"/>
            </w:r>
            <w:r w:rsidRPr="00776D93">
              <w:rPr>
                <w:rFonts w:ascii="Garamond" w:eastAsia="Garamond" w:hAnsi="Garamond" w:cs="Garamond"/>
              </w:rPr>
              <w:t>. Propuestas conservadoras ganan espacio en Ejecutivo y Congreso arriesgando los pocos avances logrados.</w:t>
            </w:r>
          </w:p>
          <w:p w:rsidR="00552D89" w:rsidRPr="00776D93" w:rsidRDefault="00552D89">
            <w:pPr>
              <w:spacing w:after="0" w:line="240" w:lineRule="auto"/>
              <w:jc w:val="both"/>
              <w:rPr>
                <w:rFonts w:ascii="Garamond" w:eastAsia="Garamond" w:hAnsi="Garamond" w:cs="Garamond"/>
                <w:color w:val="202124"/>
              </w:rPr>
            </w:pPr>
            <w:r w:rsidRPr="00776D93">
              <w:rPr>
                <w:rFonts w:ascii="Garamond" w:eastAsia="Garamond" w:hAnsi="Garamond" w:cs="Garamond"/>
              </w:rPr>
              <w:t>Patrones culturales: 52,7% de encuestados respalda que la mujer debe cumplir “rol de madre y esposa” y luego sus propios sueños</w:t>
            </w:r>
            <w:r w:rsidRPr="00776D93">
              <w:rPr>
                <w:rFonts w:ascii="Garamond" w:eastAsia="Garamond" w:hAnsi="Garamond" w:cs="Garamond"/>
                <w:vertAlign w:val="superscript"/>
              </w:rPr>
              <w:endnoteReference w:id="65"/>
            </w:r>
            <w:r w:rsidRPr="00776D93">
              <w:rPr>
                <w:rFonts w:ascii="Garamond" w:eastAsia="Garamond" w:hAnsi="Garamond" w:cs="Garamond"/>
              </w:rPr>
              <w:t xml:space="preserve">. </w:t>
            </w:r>
            <w:r w:rsidRPr="00776D93">
              <w:rPr>
                <w:rFonts w:ascii="Garamond" w:eastAsia="Garamond" w:hAnsi="Garamond" w:cs="Garamond"/>
                <w:color w:val="202124"/>
              </w:rPr>
              <w:t>“En Puno, se encontró que es común asumir la maternidad a edades tempranas”</w:t>
            </w:r>
            <w:r w:rsidRPr="00776D93">
              <w:rPr>
                <w:rFonts w:ascii="Garamond" w:eastAsia="Garamond" w:hAnsi="Garamond" w:cs="Garamond"/>
                <w:color w:val="202124"/>
                <w:vertAlign w:val="superscript"/>
              </w:rPr>
              <w:endnoteReference w:id="66"/>
            </w:r>
            <w:r w:rsidRPr="00776D93">
              <w:rPr>
                <w:rFonts w:ascii="Garamond" w:eastAsia="Garamond" w:hAnsi="Garamond" w:cs="Garamond"/>
                <w:color w:val="202124"/>
              </w:rPr>
              <w:t>.</w:t>
            </w:r>
          </w:p>
          <w:p w:rsidR="00552D89" w:rsidRPr="00776D93" w:rsidRDefault="00552D89">
            <w:pPr>
              <w:spacing w:after="0" w:line="240" w:lineRule="auto"/>
              <w:jc w:val="both"/>
              <w:rPr>
                <w:rFonts w:ascii="Garamond" w:eastAsia="Garamond" w:hAnsi="Garamond" w:cs="Garamond"/>
                <w:color w:val="202124"/>
              </w:rPr>
            </w:pPr>
          </w:p>
          <w:p w:rsidR="00552D89" w:rsidRPr="00776D93" w:rsidRDefault="00552D89">
            <w:pPr>
              <w:spacing w:after="0" w:line="240" w:lineRule="auto"/>
              <w:jc w:val="both"/>
              <w:rPr>
                <w:rFonts w:ascii="Garamond" w:eastAsia="Garamond" w:hAnsi="Garamond" w:cs="Garamond"/>
              </w:rPr>
            </w:pPr>
            <w:r w:rsidRPr="00776D93">
              <w:rPr>
                <w:rFonts w:ascii="Garamond" w:eastAsia="Garamond" w:hAnsi="Garamond" w:cs="Garamond"/>
                <w:color w:val="202124"/>
              </w:rPr>
              <w:lastRenderedPageBreak/>
              <w:t>ENDES 2021, el 78,1% de mujeres actualmente unidas</w:t>
            </w:r>
            <w:r w:rsidRPr="00776D93">
              <w:rPr>
                <w:rFonts w:ascii="Garamond" w:eastAsia="Garamond" w:hAnsi="Garamond" w:cs="Garamond"/>
                <w:color w:val="202124"/>
                <w:vertAlign w:val="superscript"/>
              </w:rPr>
              <w:endnoteReference w:id="67"/>
            </w:r>
            <w:r w:rsidRPr="00776D93">
              <w:rPr>
                <w:rFonts w:ascii="Garamond" w:eastAsia="Garamond" w:hAnsi="Garamond" w:cs="Garamond"/>
                <w:color w:val="202124"/>
              </w:rPr>
              <w:t xml:space="preserve"> estaban usando algún método anticonceptivo al ser entrevistadas. El Sector público es el mayor proveedor de métodos anticonceptivos modernos</w:t>
            </w:r>
            <w:r w:rsidRPr="00776D93">
              <w:rPr>
                <w:rFonts w:ascii="Garamond" w:eastAsia="Garamond" w:hAnsi="Garamond" w:cs="Garamond"/>
                <w:vertAlign w:val="superscript"/>
              </w:rPr>
              <w:endnoteReference w:id="68"/>
            </w:r>
            <w:r w:rsidRPr="00776D93">
              <w:rPr>
                <w:rFonts w:ascii="Garamond" w:eastAsia="Garamond" w:hAnsi="Garamond" w:cs="Garamond"/>
                <w:color w:val="202124"/>
              </w:rPr>
              <w:t>.</w:t>
            </w:r>
          </w:p>
          <w:p w:rsidR="00552D89" w:rsidRPr="00776D93" w:rsidRDefault="00552D89">
            <w:pPr>
              <w:spacing w:after="0" w:line="240" w:lineRule="auto"/>
              <w:jc w:val="both"/>
              <w:rPr>
                <w:rFonts w:ascii="Garamond" w:eastAsia="Garamond" w:hAnsi="Garamond" w:cs="Garamond"/>
                <w:color w:val="000000"/>
              </w:rPr>
            </w:pPr>
            <w:r w:rsidRPr="00776D93">
              <w:rPr>
                <w:rFonts w:ascii="Garamond" w:eastAsia="Garamond" w:hAnsi="Garamond" w:cs="Garamond"/>
                <w:color w:val="000000"/>
              </w:rPr>
              <w:t>El uso de cualquier método anticonceptivo, entre MEF</w:t>
            </w:r>
            <w:r w:rsidRPr="00776D93">
              <w:rPr>
                <w:rFonts w:ascii="Garamond" w:eastAsia="Garamond" w:hAnsi="Garamond" w:cs="Garamond"/>
                <w:color w:val="000000"/>
                <w:vertAlign w:val="superscript"/>
              </w:rPr>
              <w:endnoteReference w:id="69"/>
            </w:r>
            <w:r w:rsidRPr="00776D93">
              <w:rPr>
                <w:rFonts w:ascii="Garamond" w:eastAsia="Garamond" w:hAnsi="Garamond" w:cs="Garamond"/>
                <w:color w:val="000000"/>
              </w:rPr>
              <w:t xml:space="preserve"> con discapacidad es de 68,5% y métodos modernos, el 60,7% de MEF con discapacidad</w:t>
            </w:r>
            <w:r w:rsidRPr="00776D93">
              <w:rPr>
                <w:rFonts w:ascii="Garamond" w:eastAsia="Garamond" w:hAnsi="Garamond" w:cs="Garamond"/>
                <w:color w:val="000000"/>
                <w:vertAlign w:val="superscript"/>
              </w:rPr>
              <w:endnoteReference w:id="70"/>
            </w:r>
            <w:r w:rsidRPr="00776D93">
              <w:rPr>
                <w:rFonts w:ascii="Garamond" w:eastAsia="Garamond" w:hAnsi="Garamond" w:cs="Garamond"/>
                <w:color w:val="000000"/>
              </w:rPr>
              <w:t>.</w:t>
            </w:r>
          </w:p>
          <w:p w:rsidR="00552D89" w:rsidRPr="00776D93" w:rsidRDefault="00552D89" w:rsidP="00FD264B">
            <w:pPr>
              <w:spacing w:after="0" w:line="240" w:lineRule="auto"/>
              <w:jc w:val="both"/>
              <w:rPr>
                <w:rFonts w:ascii="Garamond" w:eastAsia="Garamond" w:hAnsi="Garamond" w:cs="Garamond"/>
              </w:rPr>
            </w:pPr>
            <w:r w:rsidRPr="00776D93">
              <w:rPr>
                <w:rFonts w:ascii="Garamond" w:eastAsia="Garamond" w:hAnsi="Garamond" w:cs="Garamond"/>
                <w:color w:val="000000"/>
              </w:rPr>
              <w:t>La infección por VPH</w:t>
            </w:r>
            <w:r w:rsidRPr="00776D93">
              <w:rPr>
                <w:rFonts w:ascii="Garamond" w:eastAsia="Garamond" w:hAnsi="Garamond" w:cs="Garamond"/>
                <w:color w:val="000000"/>
                <w:vertAlign w:val="superscript"/>
              </w:rPr>
              <w:endnoteReference w:id="71"/>
            </w:r>
            <w:r w:rsidRPr="00776D93">
              <w:rPr>
                <w:rFonts w:ascii="Garamond" w:eastAsia="Garamond" w:hAnsi="Garamond" w:cs="Garamond"/>
                <w:color w:val="000000"/>
              </w:rPr>
              <w:t xml:space="preserve"> es la más frecuente entre adolescentes y jóvenes</w:t>
            </w:r>
            <w:r w:rsidRPr="00776D93">
              <w:rPr>
                <w:rFonts w:ascii="Garamond" w:eastAsia="Garamond" w:hAnsi="Garamond" w:cs="Garamond"/>
                <w:color w:val="000000"/>
                <w:vertAlign w:val="superscript"/>
              </w:rPr>
              <w:endnoteReference w:id="72"/>
            </w:r>
            <w:r w:rsidRPr="00776D93">
              <w:rPr>
                <w:rFonts w:ascii="Garamond" w:eastAsia="Garamond" w:hAnsi="Garamond" w:cs="Garamond"/>
                <w:color w:val="000000"/>
              </w:rPr>
              <w:t xml:space="preserve">. Brecha de cobertura: primera dosis en adolescentes de 9 a 13 años </w:t>
            </w:r>
            <w:r w:rsidRPr="00776D93">
              <w:rPr>
                <w:rFonts w:ascii="Garamond" w:eastAsia="Garamond" w:hAnsi="Garamond" w:cs="Garamond"/>
              </w:rPr>
              <w:t>a</w:t>
            </w:r>
            <w:r w:rsidRPr="00776D93">
              <w:rPr>
                <w:rFonts w:ascii="Garamond" w:eastAsia="Garamond" w:hAnsi="Garamond" w:cs="Garamond"/>
                <w:color w:val="000000"/>
              </w:rPr>
              <w:t>l 2021 fue 71% y 58% en la segunda dosis</w:t>
            </w:r>
            <w:r w:rsidRPr="00776D93">
              <w:rPr>
                <w:rFonts w:ascii="Garamond" w:eastAsia="Garamond" w:hAnsi="Garamond" w:cs="Garamond"/>
                <w:color w:val="000000"/>
                <w:vertAlign w:val="superscript"/>
              </w:rPr>
              <w:endnoteReference w:id="73"/>
            </w:r>
            <w:r w:rsidRPr="00776D93">
              <w:rPr>
                <w:rFonts w:ascii="Garamond" w:eastAsia="Garamond" w:hAnsi="Garamond" w:cs="Garamond"/>
                <w:color w:val="000000"/>
              </w:rPr>
              <w:t xml:space="preserve">. </w:t>
            </w:r>
          </w:p>
        </w:tc>
      </w:tr>
      <w:tr w:rsidR="00552D89">
        <w:trPr>
          <w:trHeight w:val="675"/>
        </w:trPr>
        <w:tc>
          <w:tcPr>
            <w:tcW w:w="1621" w:type="dxa"/>
            <w:tcBorders>
              <w:top w:val="single" w:sz="4" w:space="0" w:color="000000"/>
              <w:left w:val="single" w:sz="4" w:space="0" w:color="8EAADB"/>
              <w:bottom w:val="single" w:sz="4" w:space="0" w:color="000000"/>
              <w:right w:val="single" w:sz="4" w:space="0" w:color="8EAADB"/>
            </w:tcBorders>
            <w:shd w:val="clear" w:color="auto" w:fill="B4C6E7"/>
          </w:tcPr>
          <w:p w:rsidR="00552D89" w:rsidRPr="00776D93" w:rsidRDefault="00552D89">
            <w:pPr>
              <w:numPr>
                <w:ilvl w:val="0"/>
                <w:numId w:val="7"/>
              </w:numPr>
              <w:pBdr>
                <w:top w:val="nil"/>
                <w:left w:val="nil"/>
                <w:bottom w:val="nil"/>
                <w:right w:val="nil"/>
                <w:between w:val="nil"/>
              </w:pBdr>
              <w:ind w:left="160" w:hanging="180"/>
              <w:jc w:val="both"/>
              <w:rPr>
                <w:rFonts w:ascii="Garamond" w:eastAsia="Garamond" w:hAnsi="Garamond" w:cs="Garamond"/>
                <w:color w:val="2F5496"/>
              </w:rPr>
            </w:pPr>
            <w:r w:rsidRPr="00776D93">
              <w:rPr>
                <w:rFonts w:ascii="Garamond" w:eastAsia="Garamond" w:hAnsi="Garamond" w:cs="Garamond"/>
                <w:color w:val="2F5496"/>
              </w:rPr>
              <w:lastRenderedPageBreak/>
              <w:t>RECOMENDACIÓN AL ESTADO PERUANO</w:t>
            </w:r>
          </w:p>
        </w:tc>
        <w:tc>
          <w:tcPr>
            <w:tcW w:w="7835" w:type="dxa"/>
            <w:tcBorders>
              <w:top w:val="single" w:sz="4" w:space="0" w:color="000000"/>
              <w:left w:val="single" w:sz="4" w:space="0" w:color="8EAADB"/>
              <w:bottom w:val="single" w:sz="4" w:space="0" w:color="000000"/>
              <w:right w:val="single" w:sz="4" w:space="0" w:color="8EAADB"/>
            </w:tcBorders>
            <w:shd w:val="clear" w:color="auto" w:fill="B4C6E7"/>
          </w:tcPr>
          <w:p w:rsidR="00552D89" w:rsidRPr="00776D93" w:rsidRDefault="00552D89">
            <w:pPr>
              <w:numPr>
                <w:ilvl w:val="0"/>
                <w:numId w:val="8"/>
              </w:numPr>
              <w:pBdr>
                <w:top w:val="nil"/>
                <w:left w:val="nil"/>
                <w:bottom w:val="nil"/>
                <w:right w:val="nil"/>
                <w:between w:val="nil"/>
              </w:pBdr>
              <w:spacing w:after="0" w:line="240" w:lineRule="auto"/>
              <w:ind w:left="254"/>
              <w:jc w:val="both"/>
              <w:rPr>
                <w:rFonts w:ascii="Garamond" w:eastAsia="Garamond" w:hAnsi="Garamond" w:cs="Garamond"/>
                <w:color w:val="000000"/>
              </w:rPr>
            </w:pPr>
            <w:r w:rsidRPr="00776D93">
              <w:rPr>
                <w:rFonts w:ascii="Garamond" w:eastAsia="Garamond" w:hAnsi="Garamond" w:cs="Garamond"/>
                <w:color w:val="000000"/>
              </w:rPr>
              <w:t>Estado debe implementar y asegurar un Plan de Emergencia de provisión de servicios sexuales y reproductivos en momentos de crisis.</w:t>
            </w:r>
          </w:p>
          <w:p w:rsidR="00552D89" w:rsidRPr="00776D93" w:rsidRDefault="00552D89">
            <w:pPr>
              <w:numPr>
                <w:ilvl w:val="0"/>
                <w:numId w:val="12"/>
              </w:numPr>
              <w:pBdr>
                <w:top w:val="nil"/>
                <w:left w:val="nil"/>
                <w:bottom w:val="nil"/>
                <w:right w:val="nil"/>
                <w:between w:val="nil"/>
              </w:pBdr>
              <w:spacing w:after="0" w:line="240" w:lineRule="auto"/>
              <w:ind w:left="254" w:hanging="283"/>
              <w:jc w:val="both"/>
              <w:rPr>
                <w:rFonts w:ascii="Garamond" w:eastAsia="Garamond" w:hAnsi="Garamond" w:cs="Garamond"/>
                <w:color w:val="202124"/>
              </w:rPr>
            </w:pPr>
            <w:r w:rsidRPr="00776D93">
              <w:rPr>
                <w:rFonts w:ascii="Garamond" w:eastAsia="Garamond" w:hAnsi="Garamond" w:cs="Garamond"/>
                <w:color w:val="202124"/>
              </w:rPr>
              <w:t>Incorporar vacunación contra VPH a niños conforme al Reglamento de la Ley N° 31336.</w:t>
            </w:r>
            <w:r w:rsidRPr="00776D93">
              <w:rPr>
                <w:rFonts w:ascii="Garamond" w:eastAsia="Garamond" w:hAnsi="Garamond" w:cs="Garamond"/>
                <w:color w:val="000000"/>
                <w:vertAlign w:val="superscript"/>
              </w:rPr>
              <w:endnoteReference w:id="74"/>
            </w:r>
          </w:p>
          <w:p w:rsidR="00552D89" w:rsidRPr="00776D93" w:rsidRDefault="00552D89">
            <w:pPr>
              <w:numPr>
                <w:ilvl w:val="0"/>
                <w:numId w:val="12"/>
              </w:numPr>
              <w:pBdr>
                <w:top w:val="nil"/>
                <w:left w:val="nil"/>
                <w:bottom w:val="nil"/>
                <w:right w:val="nil"/>
                <w:between w:val="nil"/>
              </w:pBdr>
              <w:spacing w:after="0" w:line="240" w:lineRule="auto"/>
              <w:ind w:left="254" w:hanging="283"/>
              <w:jc w:val="both"/>
              <w:rPr>
                <w:rFonts w:ascii="Garamond" w:eastAsia="Garamond" w:hAnsi="Garamond" w:cs="Garamond"/>
                <w:color w:val="202124"/>
              </w:rPr>
            </w:pPr>
            <w:r w:rsidRPr="00776D93">
              <w:rPr>
                <w:rFonts w:ascii="Garamond" w:eastAsia="Garamond" w:hAnsi="Garamond" w:cs="Garamond"/>
                <w:color w:val="202124"/>
              </w:rPr>
              <w:t>Reforzar campaña de difusión de vacunación contra VPH en niñas y niños.</w:t>
            </w:r>
          </w:p>
          <w:p w:rsidR="00552D89" w:rsidRPr="00776D93" w:rsidRDefault="00552D89" w:rsidP="007C4C69">
            <w:pPr>
              <w:numPr>
                <w:ilvl w:val="0"/>
                <w:numId w:val="12"/>
              </w:numPr>
              <w:pBdr>
                <w:top w:val="nil"/>
                <w:left w:val="nil"/>
                <w:bottom w:val="nil"/>
                <w:right w:val="nil"/>
                <w:between w:val="nil"/>
              </w:pBdr>
              <w:spacing w:after="0" w:line="240" w:lineRule="auto"/>
              <w:ind w:left="344"/>
              <w:jc w:val="both"/>
              <w:rPr>
                <w:rFonts w:ascii="Garamond" w:eastAsia="Garamond" w:hAnsi="Garamond" w:cs="Garamond"/>
                <w:color w:val="000000"/>
              </w:rPr>
            </w:pPr>
            <w:r w:rsidRPr="00776D93">
              <w:rPr>
                <w:rFonts w:ascii="Garamond" w:eastAsia="Garamond" w:hAnsi="Garamond" w:cs="Garamond"/>
                <w:color w:val="202124"/>
              </w:rPr>
              <w:t>Estado incorpore indicadores de discapacidad en todo los estudios, encuestas y recojo de información.</w:t>
            </w:r>
          </w:p>
        </w:tc>
      </w:tr>
    </w:tbl>
    <w:p w:rsidR="00552D89" w:rsidRDefault="00552D89">
      <w:pPr>
        <w:rPr>
          <w:rFonts w:ascii="Garamond" w:eastAsia="Garamond" w:hAnsi="Garamond" w:cs="Garamond"/>
          <w:b/>
          <w:sz w:val="28"/>
          <w:szCs w:val="28"/>
        </w:rPr>
      </w:pPr>
    </w:p>
    <w:tbl>
      <w:tblPr>
        <w:tblStyle w:val="a9"/>
        <w:tblW w:w="9456"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1621"/>
        <w:gridCol w:w="7835"/>
      </w:tblGrid>
      <w:tr w:rsidR="00552D89" w:rsidRPr="00776D93">
        <w:trPr>
          <w:trHeight w:val="456"/>
        </w:trPr>
        <w:tc>
          <w:tcPr>
            <w:tcW w:w="1621" w:type="dxa"/>
            <w:tcBorders>
              <w:top w:val="single" w:sz="4" w:space="0" w:color="000000"/>
              <w:left w:val="single" w:sz="4" w:space="0" w:color="8EAADB"/>
              <w:bottom w:val="single" w:sz="4" w:space="0" w:color="000000"/>
              <w:right w:val="single" w:sz="4" w:space="0" w:color="8EAADB"/>
            </w:tcBorders>
            <w:shd w:val="clear" w:color="auto" w:fill="FFFFFF"/>
          </w:tcPr>
          <w:p w:rsidR="00552D89" w:rsidRPr="00776D93" w:rsidRDefault="00552D89">
            <w:pPr>
              <w:jc w:val="both"/>
              <w:rPr>
                <w:rFonts w:ascii="Garamond" w:eastAsia="Garamond" w:hAnsi="Garamond" w:cs="Garamond"/>
                <w:color w:val="2F5496"/>
              </w:rPr>
            </w:pPr>
            <w:r w:rsidRPr="00776D93">
              <w:rPr>
                <w:rFonts w:ascii="Garamond" w:eastAsia="Garamond" w:hAnsi="Garamond" w:cs="Garamond"/>
                <w:color w:val="2F5496"/>
              </w:rPr>
              <w:t>RECOMENDACIÓN</w:t>
            </w:r>
          </w:p>
        </w:tc>
        <w:tc>
          <w:tcPr>
            <w:tcW w:w="7835" w:type="dxa"/>
            <w:tcBorders>
              <w:top w:val="single" w:sz="4" w:space="0" w:color="000000"/>
              <w:left w:val="single" w:sz="4" w:space="0" w:color="8EAADB"/>
              <w:bottom w:val="single" w:sz="4" w:space="0" w:color="000000"/>
              <w:right w:val="single" w:sz="4" w:space="0" w:color="8EAADB"/>
            </w:tcBorders>
            <w:shd w:val="clear" w:color="auto" w:fill="FFFFFF"/>
          </w:tcPr>
          <w:p w:rsidR="00552D89" w:rsidRPr="00776D93" w:rsidRDefault="00552D89">
            <w:pPr>
              <w:spacing w:after="0" w:line="240" w:lineRule="auto"/>
              <w:jc w:val="both"/>
              <w:rPr>
                <w:rFonts w:ascii="Garamond" w:eastAsia="Garamond" w:hAnsi="Garamond" w:cs="Garamond"/>
              </w:rPr>
            </w:pPr>
            <w:r w:rsidRPr="00776D93">
              <w:rPr>
                <w:rFonts w:ascii="Garamond" w:eastAsia="Garamond" w:hAnsi="Garamond" w:cs="Garamond"/>
                <w:b/>
              </w:rPr>
              <w:t>Salud de niños indígenas</w:t>
            </w:r>
            <w:r w:rsidRPr="00776D93">
              <w:rPr>
                <w:rFonts w:ascii="Garamond" w:eastAsia="Garamond" w:hAnsi="Garamond" w:cs="Garamond"/>
              </w:rPr>
              <w:t>, EPU 2017</w:t>
            </w:r>
            <w:r w:rsidRPr="00776D93">
              <w:rPr>
                <w:rFonts w:ascii="Garamond" w:eastAsia="Garamond" w:hAnsi="Garamond" w:cs="Garamond"/>
                <w:vertAlign w:val="superscript"/>
              </w:rPr>
              <w:endnoteReference w:id="75"/>
            </w:r>
          </w:p>
        </w:tc>
      </w:tr>
      <w:tr w:rsidR="00552D89" w:rsidRPr="00776D93">
        <w:trPr>
          <w:trHeight w:val="537"/>
        </w:trPr>
        <w:tc>
          <w:tcPr>
            <w:tcW w:w="1621" w:type="dxa"/>
            <w:tcBorders>
              <w:top w:val="single" w:sz="4" w:space="0" w:color="000000"/>
              <w:left w:val="single" w:sz="4" w:space="0" w:color="8EAADB"/>
              <w:bottom w:val="single" w:sz="4" w:space="0" w:color="000000"/>
              <w:right w:val="single" w:sz="4" w:space="0" w:color="8EAADB"/>
            </w:tcBorders>
            <w:shd w:val="clear" w:color="auto" w:fill="B4C6E7"/>
          </w:tcPr>
          <w:p w:rsidR="00552D89" w:rsidRPr="00776D93" w:rsidRDefault="00552D89">
            <w:pPr>
              <w:rPr>
                <w:rFonts w:ascii="Garamond" w:eastAsia="Garamond" w:hAnsi="Garamond" w:cs="Garamond"/>
                <w:color w:val="2F5496"/>
              </w:rPr>
            </w:pPr>
            <w:r w:rsidRPr="00776D93">
              <w:rPr>
                <w:rFonts w:ascii="Garamond" w:eastAsia="Garamond" w:hAnsi="Garamond" w:cs="Garamond"/>
                <w:color w:val="2F5496"/>
              </w:rPr>
              <w:t>1. NIVEL DE IMPLEMENTACIÓN</w:t>
            </w:r>
          </w:p>
        </w:tc>
        <w:tc>
          <w:tcPr>
            <w:tcW w:w="7835" w:type="dxa"/>
            <w:tcBorders>
              <w:top w:val="single" w:sz="4" w:space="0" w:color="000000"/>
              <w:left w:val="single" w:sz="4" w:space="0" w:color="8EAADB"/>
              <w:bottom w:val="single" w:sz="4" w:space="0" w:color="000000"/>
              <w:right w:val="single" w:sz="4" w:space="0" w:color="8EAADB"/>
            </w:tcBorders>
            <w:shd w:val="clear" w:color="auto" w:fill="B4C6E7"/>
          </w:tcPr>
          <w:p w:rsidR="00552D89" w:rsidRPr="00776D93" w:rsidRDefault="00552D89">
            <w:pPr>
              <w:spacing w:after="0" w:line="240" w:lineRule="auto"/>
              <w:jc w:val="both"/>
              <w:rPr>
                <w:rFonts w:ascii="Garamond" w:eastAsia="Garamond" w:hAnsi="Garamond" w:cs="Garamond"/>
                <w:color w:val="FF0000"/>
              </w:rPr>
            </w:pPr>
          </w:p>
          <w:p w:rsidR="00552D89" w:rsidRPr="00776D93" w:rsidRDefault="00552D89">
            <w:pPr>
              <w:spacing w:after="0" w:line="240" w:lineRule="auto"/>
              <w:jc w:val="both"/>
              <w:rPr>
                <w:rFonts w:ascii="Garamond" w:eastAsia="Garamond" w:hAnsi="Garamond" w:cs="Garamond"/>
                <w:color w:val="202124"/>
              </w:rPr>
            </w:pPr>
            <w:r w:rsidRPr="00776D93">
              <w:rPr>
                <w:rFonts w:ascii="Garamond" w:eastAsia="Garamond" w:hAnsi="Garamond" w:cs="Garamond"/>
                <w:color w:val="FF0000"/>
              </w:rPr>
              <w:t>NO SE HA APLICADO.</w:t>
            </w:r>
          </w:p>
        </w:tc>
      </w:tr>
      <w:tr w:rsidR="00552D89" w:rsidRPr="00776D93">
        <w:trPr>
          <w:trHeight w:val="180"/>
        </w:trPr>
        <w:tc>
          <w:tcPr>
            <w:tcW w:w="1621" w:type="dxa"/>
            <w:tcBorders>
              <w:top w:val="single" w:sz="4" w:space="0" w:color="000000"/>
              <w:left w:val="single" w:sz="4" w:space="0" w:color="8EAADB"/>
              <w:bottom w:val="single" w:sz="4" w:space="0" w:color="000000"/>
              <w:right w:val="single" w:sz="4" w:space="0" w:color="8EAADB"/>
            </w:tcBorders>
            <w:shd w:val="clear" w:color="auto" w:fill="FFFFFF"/>
          </w:tcPr>
          <w:p w:rsidR="00552D89" w:rsidRPr="00776D93" w:rsidRDefault="00552D89">
            <w:pPr>
              <w:jc w:val="both"/>
              <w:rPr>
                <w:rFonts w:ascii="Garamond" w:eastAsia="Garamond" w:hAnsi="Garamond" w:cs="Garamond"/>
                <w:color w:val="2F5496"/>
              </w:rPr>
            </w:pPr>
            <w:r w:rsidRPr="00776D93">
              <w:rPr>
                <w:rFonts w:ascii="Garamond" w:eastAsia="Garamond" w:hAnsi="Garamond" w:cs="Garamond"/>
                <w:color w:val="2F5496"/>
              </w:rPr>
              <w:t>2. CONTEXTO</w:t>
            </w:r>
          </w:p>
        </w:tc>
        <w:tc>
          <w:tcPr>
            <w:tcW w:w="7835" w:type="dxa"/>
            <w:tcBorders>
              <w:top w:val="single" w:sz="4" w:space="0" w:color="000000"/>
              <w:left w:val="single" w:sz="4" w:space="0" w:color="8EAADB"/>
              <w:bottom w:val="single" w:sz="4" w:space="0" w:color="000000"/>
              <w:right w:val="single" w:sz="4" w:space="0" w:color="8EAADB"/>
            </w:tcBorders>
            <w:shd w:val="clear" w:color="auto" w:fill="FFFFFF"/>
          </w:tcPr>
          <w:p w:rsidR="00552D89" w:rsidRPr="00776D93" w:rsidRDefault="00552D89">
            <w:pPr>
              <w:spacing w:after="0" w:line="240" w:lineRule="auto"/>
              <w:jc w:val="both"/>
              <w:rPr>
                <w:rFonts w:ascii="Garamond" w:eastAsia="Garamond" w:hAnsi="Garamond" w:cs="Garamond"/>
                <w:color w:val="000000"/>
              </w:rPr>
            </w:pPr>
            <w:r w:rsidRPr="00776D93">
              <w:rPr>
                <w:rFonts w:ascii="Garamond" w:eastAsia="Garamond" w:hAnsi="Garamond" w:cs="Garamond"/>
              </w:rPr>
              <w:t>La desnutrición entre la población indígena es alta, 49.7% tiene desnutrición crónica infantil</w:t>
            </w:r>
            <w:r w:rsidRPr="00776D93">
              <w:rPr>
                <w:rFonts w:ascii="Garamond" w:eastAsia="Garamond" w:hAnsi="Garamond" w:cs="Garamond"/>
                <w:vertAlign w:val="superscript"/>
              </w:rPr>
              <w:endnoteReference w:id="76"/>
            </w:r>
            <w:r w:rsidRPr="00776D93">
              <w:rPr>
                <w:rFonts w:ascii="Garamond" w:eastAsia="Garamond" w:hAnsi="Garamond" w:cs="Garamond"/>
              </w:rPr>
              <w:t>.</w:t>
            </w:r>
          </w:p>
          <w:p w:rsidR="00552D89" w:rsidRPr="00776D93" w:rsidRDefault="00552D89">
            <w:pPr>
              <w:spacing w:after="0" w:line="240" w:lineRule="auto"/>
              <w:jc w:val="both"/>
              <w:rPr>
                <w:rFonts w:ascii="Garamond" w:eastAsia="Garamond" w:hAnsi="Garamond" w:cs="Garamond"/>
              </w:rPr>
            </w:pPr>
            <w:r w:rsidRPr="00776D93">
              <w:rPr>
                <w:rFonts w:ascii="Garamond" w:eastAsia="Garamond" w:hAnsi="Garamond" w:cs="Garamond"/>
              </w:rPr>
              <w:t>El perfil de morbilidad de la población afroperuana muestra que las infecciones respiratorias agudas altas representan la primera causa de morbilidad en todas las etapas de la vida</w:t>
            </w:r>
            <w:r w:rsidRPr="00776D93">
              <w:rPr>
                <w:rFonts w:ascii="Garamond" w:eastAsia="Garamond" w:hAnsi="Garamond" w:cs="Garamond"/>
                <w:vertAlign w:val="superscript"/>
              </w:rPr>
              <w:endnoteReference w:id="77"/>
            </w:r>
            <w:r w:rsidRPr="00776D93">
              <w:rPr>
                <w:rFonts w:ascii="Garamond" w:eastAsia="Garamond" w:hAnsi="Garamond" w:cs="Garamond"/>
              </w:rPr>
              <w:t>.</w:t>
            </w:r>
          </w:p>
          <w:p w:rsidR="00552D89" w:rsidRPr="00776D93" w:rsidRDefault="00552D89">
            <w:pPr>
              <w:spacing w:after="0" w:line="240" w:lineRule="auto"/>
              <w:jc w:val="both"/>
              <w:rPr>
                <w:rFonts w:ascii="Garamond" w:eastAsia="Garamond" w:hAnsi="Garamond" w:cs="Garamond"/>
                <w:color w:val="000000"/>
              </w:rPr>
            </w:pPr>
            <w:r w:rsidRPr="00776D93">
              <w:rPr>
                <w:rFonts w:ascii="Garamond" w:eastAsia="Garamond" w:hAnsi="Garamond" w:cs="Garamond"/>
              </w:rPr>
              <w:t>La movilidad impacta de manera diferenciada en distintos grupos de población migrante</w:t>
            </w:r>
            <w:r w:rsidRPr="00776D93">
              <w:rPr>
                <w:rFonts w:ascii="Garamond" w:eastAsia="Garamond" w:hAnsi="Garamond" w:cs="Garamond"/>
                <w:vertAlign w:val="superscript"/>
              </w:rPr>
              <w:endnoteReference w:id="78"/>
            </w:r>
            <w:r w:rsidRPr="00776D93">
              <w:rPr>
                <w:rFonts w:ascii="Garamond" w:eastAsia="Garamond" w:hAnsi="Garamond" w:cs="Garamond"/>
              </w:rPr>
              <w:t>.</w:t>
            </w:r>
          </w:p>
        </w:tc>
      </w:tr>
      <w:tr w:rsidR="00552D89" w:rsidRPr="00776D93">
        <w:trPr>
          <w:trHeight w:val="270"/>
        </w:trPr>
        <w:tc>
          <w:tcPr>
            <w:tcW w:w="1621" w:type="dxa"/>
            <w:tcBorders>
              <w:top w:val="single" w:sz="4" w:space="0" w:color="000000"/>
              <w:left w:val="single" w:sz="4" w:space="0" w:color="8EAADB"/>
              <w:bottom w:val="single" w:sz="4" w:space="0" w:color="000000"/>
              <w:right w:val="single" w:sz="4" w:space="0" w:color="8EAADB"/>
            </w:tcBorders>
            <w:shd w:val="clear" w:color="auto" w:fill="B4C6E7"/>
          </w:tcPr>
          <w:p w:rsidR="00552D89" w:rsidRPr="00776D93" w:rsidRDefault="00552D89">
            <w:pPr>
              <w:jc w:val="both"/>
              <w:rPr>
                <w:rFonts w:ascii="Garamond" w:eastAsia="Garamond" w:hAnsi="Garamond" w:cs="Garamond"/>
                <w:color w:val="2F5496"/>
              </w:rPr>
            </w:pPr>
            <w:r w:rsidRPr="00776D93">
              <w:rPr>
                <w:rFonts w:ascii="Garamond" w:eastAsia="Garamond" w:hAnsi="Garamond" w:cs="Garamond"/>
                <w:color w:val="2F5496"/>
              </w:rPr>
              <w:t>3. RECOMENDACIÓN</w:t>
            </w:r>
          </w:p>
        </w:tc>
        <w:tc>
          <w:tcPr>
            <w:tcW w:w="7835" w:type="dxa"/>
            <w:tcBorders>
              <w:top w:val="single" w:sz="4" w:space="0" w:color="000000"/>
              <w:left w:val="single" w:sz="4" w:space="0" w:color="8EAADB"/>
              <w:bottom w:val="single" w:sz="4" w:space="0" w:color="000000"/>
              <w:right w:val="single" w:sz="4" w:space="0" w:color="8EAADB"/>
            </w:tcBorders>
            <w:shd w:val="clear" w:color="auto" w:fill="B4C6E7"/>
          </w:tcPr>
          <w:p w:rsidR="00552D89" w:rsidRPr="00776D93" w:rsidRDefault="00552D89">
            <w:pPr>
              <w:numPr>
                <w:ilvl w:val="0"/>
                <w:numId w:val="1"/>
              </w:numPr>
              <w:pBdr>
                <w:top w:val="nil"/>
                <w:left w:val="nil"/>
                <w:bottom w:val="nil"/>
                <w:right w:val="nil"/>
                <w:between w:val="nil"/>
              </w:pBdr>
              <w:spacing w:after="0" w:line="240" w:lineRule="auto"/>
              <w:jc w:val="both"/>
              <w:rPr>
                <w:rFonts w:ascii="Garamond" w:eastAsia="Garamond" w:hAnsi="Garamond" w:cs="Garamond"/>
                <w:color w:val="000000"/>
              </w:rPr>
            </w:pPr>
            <w:r w:rsidRPr="00776D93">
              <w:rPr>
                <w:rFonts w:ascii="Garamond" w:eastAsia="Garamond" w:hAnsi="Garamond" w:cs="Garamond"/>
                <w:color w:val="000000"/>
              </w:rPr>
              <w:t>Incrementar los Programas Presupuestales en Salud Materno Neonatal y Articulado Nutricional en las zonas rurales y de población indígena.</w:t>
            </w:r>
          </w:p>
          <w:p w:rsidR="00552D89" w:rsidRPr="00776D93" w:rsidRDefault="00552D89">
            <w:pPr>
              <w:numPr>
                <w:ilvl w:val="0"/>
                <w:numId w:val="1"/>
              </w:numPr>
              <w:pBdr>
                <w:top w:val="nil"/>
                <w:left w:val="nil"/>
                <w:bottom w:val="nil"/>
                <w:right w:val="nil"/>
                <w:between w:val="nil"/>
              </w:pBdr>
              <w:spacing w:after="0" w:line="240" w:lineRule="auto"/>
              <w:jc w:val="both"/>
              <w:rPr>
                <w:rFonts w:ascii="Garamond" w:eastAsia="Garamond" w:hAnsi="Garamond" w:cs="Garamond"/>
                <w:color w:val="000000"/>
              </w:rPr>
            </w:pPr>
            <w:r w:rsidRPr="00776D93">
              <w:rPr>
                <w:rFonts w:ascii="Garamond" w:eastAsia="Garamond" w:hAnsi="Garamond" w:cs="Garamond"/>
                <w:color w:val="000000"/>
              </w:rPr>
              <w:t>Fortalecer el Programa Educación Intercultural Bilingüe para que los niños, niñas y adolescentes indígenas accedan a información sobre salud. </w:t>
            </w:r>
          </w:p>
          <w:p w:rsidR="00552D89" w:rsidRPr="00776D93" w:rsidRDefault="00552D89">
            <w:pPr>
              <w:numPr>
                <w:ilvl w:val="0"/>
                <w:numId w:val="1"/>
              </w:numPr>
              <w:pBdr>
                <w:top w:val="nil"/>
                <w:left w:val="nil"/>
                <w:bottom w:val="nil"/>
                <w:right w:val="nil"/>
                <w:between w:val="nil"/>
              </w:pBdr>
              <w:spacing w:after="0" w:line="240" w:lineRule="auto"/>
              <w:jc w:val="both"/>
              <w:rPr>
                <w:rFonts w:ascii="Garamond" w:eastAsia="Garamond" w:hAnsi="Garamond" w:cs="Garamond"/>
                <w:color w:val="202124"/>
              </w:rPr>
            </w:pPr>
            <w:r w:rsidRPr="00776D93">
              <w:rPr>
                <w:rFonts w:ascii="Garamond" w:eastAsia="Garamond" w:hAnsi="Garamond" w:cs="Garamond"/>
                <w:color w:val="202124"/>
              </w:rPr>
              <w:t xml:space="preserve">Eliminar barreras en la comunicación e información que impiden acceso a los servicios de salud a las PCD. </w:t>
            </w:r>
          </w:p>
          <w:p w:rsidR="00552D89" w:rsidRPr="00776D93" w:rsidRDefault="00552D89">
            <w:pPr>
              <w:numPr>
                <w:ilvl w:val="0"/>
                <w:numId w:val="1"/>
              </w:numPr>
              <w:pBdr>
                <w:top w:val="nil"/>
                <w:left w:val="nil"/>
                <w:bottom w:val="nil"/>
                <w:right w:val="nil"/>
                <w:between w:val="nil"/>
              </w:pBdr>
              <w:spacing w:after="0" w:line="240" w:lineRule="auto"/>
              <w:jc w:val="both"/>
              <w:rPr>
                <w:rFonts w:ascii="Garamond" w:eastAsia="Garamond" w:hAnsi="Garamond" w:cs="Garamond"/>
                <w:color w:val="202124"/>
              </w:rPr>
            </w:pPr>
            <w:r w:rsidRPr="00776D93">
              <w:rPr>
                <w:rFonts w:ascii="Garamond" w:eastAsia="Garamond" w:hAnsi="Garamond" w:cs="Garamond"/>
                <w:color w:val="202124"/>
              </w:rPr>
              <w:t>Reforma del SISFHO, con indicadores que contemplen población migrante, con discapacidad, LGTBIQ+, Afrodescendientes e Indígenas.</w:t>
            </w:r>
          </w:p>
          <w:p w:rsidR="00552D89" w:rsidRPr="00776D93" w:rsidRDefault="00552D89">
            <w:pPr>
              <w:spacing w:after="0" w:line="240" w:lineRule="auto"/>
              <w:jc w:val="both"/>
              <w:rPr>
                <w:rFonts w:ascii="Garamond" w:eastAsia="Garamond" w:hAnsi="Garamond" w:cs="Garamond"/>
                <w:color w:val="000000"/>
              </w:rPr>
            </w:pPr>
          </w:p>
        </w:tc>
      </w:tr>
    </w:tbl>
    <w:p w:rsidR="00552D89" w:rsidRDefault="00552D89">
      <w:pPr>
        <w:rPr>
          <w:rFonts w:ascii="Garamond" w:eastAsia="Garamond" w:hAnsi="Garamond" w:cs="Garamond"/>
          <w:b/>
          <w:sz w:val="28"/>
          <w:szCs w:val="28"/>
        </w:rPr>
      </w:pPr>
    </w:p>
    <w:tbl>
      <w:tblPr>
        <w:tblStyle w:val="aa"/>
        <w:tblW w:w="945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1620"/>
        <w:gridCol w:w="7830"/>
      </w:tblGrid>
      <w:tr w:rsidR="00552D89">
        <w:trPr>
          <w:trHeight w:val="789"/>
        </w:trPr>
        <w:tc>
          <w:tcPr>
            <w:tcW w:w="1620" w:type="dxa"/>
            <w:vAlign w:val="center"/>
          </w:tcPr>
          <w:p w:rsidR="00552D89" w:rsidRDefault="00552D89">
            <w:pPr>
              <w:spacing w:after="0" w:line="240" w:lineRule="auto"/>
              <w:jc w:val="both"/>
              <w:rPr>
                <w:rFonts w:ascii="Garamond" w:eastAsia="Garamond" w:hAnsi="Garamond" w:cs="Garamond"/>
                <w:color w:val="0070C0"/>
                <w:sz w:val="20"/>
                <w:szCs w:val="20"/>
              </w:rPr>
            </w:pPr>
          </w:p>
          <w:p w:rsidR="00552D89" w:rsidRDefault="00552D89">
            <w:pPr>
              <w:spacing w:after="0" w:line="240" w:lineRule="auto"/>
              <w:jc w:val="both"/>
              <w:rPr>
                <w:rFonts w:ascii="Garamond" w:eastAsia="Garamond" w:hAnsi="Garamond" w:cs="Garamond"/>
                <w:b/>
                <w:color w:val="4472C4"/>
                <w:sz w:val="20"/>
                <w:szCs w:val="20"/>
              </w:rPr>
            </w:pPr>
            <w:r>
              <w:rPr>
                <w:rFonts w:ascii="Garamond" w:eastAsia="Garamond" w:hAnsi="Garamond" w:cs="Garamond"/>
                <w:b/>
                <w:color w:val="4472C4"/>
                <w:sz w:val="20"/>
                <w:szCs w:val="20"/>
              </w:rPr>
              <w:t>RECOMENDACIÓN</w:t>
            </w:r>
          </w:p>
          <w:p w:rsidR="00552D89" w:rsidRDefault="00552D89">
            <w:pPr>
              <w:spacing w:after="0" w:line="240" w:lineRule="auto"/>
              <w:jc w:val="both"/>
              <w:rPr>
                <w:rFonts w:ascii="Garamond" w:eastAsia="Garamond" w:hAnsi="Garamond" w:cs="Garamond"/>
                <w:sz w:val="20"/>
                <w:szCs w:val="20"/>
              </w:rPr>
            </w:pPr>
          </w:p>
        </w:tc>
        <w:tc>
          <w:tcPr>
            <w:tcW w:w="7830" w:type="dxa"/>
            <w:vAlign w:val="center"/>
          </w:tcPr>
          <w:p w:rsidR="00552D89" w:rsidRDefault="00552D89">
            <w:pPr>
              <w:spacing w:after="0" w:line="240" w:lineRule="auto"/>
              <w:jc w:val="both"/>
              <w:rPr>
                <w:rFonts w:ascii="Garamond" w:eastAsia="Garamond" w:hAnsi="Garamond" w:cs="Garamond"/>
                <w:sz w:val="20"/>
                <w:szCs w:val="20"/>
              </w:rPr>
            </w:pPr>
            <w:r>
              <w:rPr>
                <w:rFonts w:ascii="Garamond" w:eastAsia="Garamond" w:hAnsi="Garamond" w:cs="Garamond"/>
                <w:color w:val="000000"/>
                <w:sz w:val="24"/>
                <w:szCs w:val="24"/>
              </w:rPr>
              <w:t>Pobreza, EPU 2017</w:t>
            </w:r>
            <w:r>
              <w:rPr>
                <w:rFonts w:ascii="Garamond" w:eastAsia="Garamond" w:hAnsi="Garamond" w:cs="Garamond"/>
                <w:color w:val="000000"/>
                <w:sz w:val="24"/>
                <w:szCs w:val="24"/>
                <w:vertAlign w:val="superscript"/>
              </w:rPr>
              <w:endnoteReference w:id="79"/>
            </w:r>
          </w:p>
        </w:tc>
      </w:tr>
      <w:tr w:rsidR="00552D89">
        <w:trPr>
          <w:trHeight w:val="463"/>
        </w:trPr>
        <w:tc>
          <w:tcPr>
            <w:tcW w:w="1620" w:type="dxa"/>
            <w:shd w:val="clear" w:color="auto" w:fill="B4C6E7"/>
          </w:tcPr>
          <w:p w:rsidR="00552D89" w:rsidRDefault="00552D89">
            <w:pPr>
              <w:pBdr>
                <w:top w:val="nil"/>
                <w:left w:val="nil"/>
                <w:bottom w:val="nil"/>
                <w:right w:val="nil"/>
                <w:between w:val="nil"/>
              </w:pBdr>
              <w:spacing w:after="0" w:line="240" w:lineRule="auto"/>
              <w:jc w:val="both"/>
              <w:rPr>
                <w:rFonts w:ascii="Garamond" w:eastAsia="Garamond" w:hAnsi="Garamond" w:cs="Garamond"/>
                <w:color w:val="4472C4"/>
                <w:sz w:val="20"/>
                <w:szCs w:val="20"/>
              </w:rPr>
            </w:pPr>
            <w:r>
              <w:rPr>
                <w:rFonts w:ascii="Garamond" w:eastAsia="Garamond" w:hAnsi="Garamond" w:cs="Garamond"/>
                <w:b/>
                <w:color w:val="4472C4"/>
                <w:sz w:val="20"/>
                <w:szCs w:val="20"/>
              </w:rPr>
              <w:t>1. NIVEL DE IMPLEMENTACIÓN</w:t>
            </w:r>
          </w:p>
        </w:tc>
        <w:tc>
          <w:tcPr>
            <w:tcW w:w="7830" w:type="dxa"/>
            <w:shd w:val="clear" w:color="auto" w:fill="B4C6E7"/>
          </w:tcPr>
          <w:p w:rsidR="00552D89" w:rsidRDefault="00552D89">
            <w:pPr>
              <w:spacing w:after="0" w:line="240" w:lineRule="auto"/>
              <w:jc w:val="both"/>
              <w:rPr>
                <w:rFonts w:ascii="Garamond" w:eastAsia="Garamond" w:hAnsi="Garamond" w:cs="Garamond"/>
                <w:sz w:val="20"/>
                <w:szCs w:val="20"/>
              </w:rPr>
            </w:pPr>
          </w:p>
          <w:p w:rsidR="00552D89" w:rsidRDefault="00552D89">
            <w:pPr>
              <w:spacing w:after="0" w:line="240" w:lineRule="auto"/>
              <w:jc w:val="both"/>
              <w:rPr>
                <w:rFonts w:ascii="Garamond" w:eastAsia="Garamond" w:hAnsi="Garamond" w:cs="Garamond"/>
                <w:b/>
                <w:color w:val="ED7D31"/>
                <w:sz w:val="24"/>
                <w:szCs w:val="24"/>
              </w:rPr>
            </w:pPr>
            <w:r>
              <w:rPr>
                <w:rFonts w:ascii="Garamond" w:eastAsia="Garamond" w:hAnsi="Garamond" w:cs="Garamond"/>
                <w:b/>
                <w:color w:val="ED7D31"/>
                <w:sz w:val="24"/>
                <w:szCs w:val="24"/>
              </w:rPr>
              <w:t>Aplicado parcialmente</w:t>
            </w:r>
          </w:p>
          <w:p w:rsidR="00552D89" w:rsidRDefault="00552D89">
            <w:pPr>
              <w:spacing w:after="0" w:line="240" w:lineRule="auto"/>
              <w:jc w:val="both"/>
              <w:rPr>
                <w:rFonts w:ascii="Garamond" w:eastAsia="Garamond" w:hAnsi="Garamond" w:cs="Garamond"/>
                <w:sz w:val="20"/>
                <w:szCs w:val="20"/>
                <w:highlight w:val="yellow"/>
              </w:rPr>
            </w:pPr>
          </w:p>
        </w:tc>
      </w:tr>
      <w:tr w:rsidR="00552D89">
        <w:tc>
          <w:tcPr>
            <w:tcW w:w="1620" w:type="dxa"/>
          </w:tcPr>
          <w:p w:rsidR="00552D89" w:rsidRDefault="00552D89">
            <w:pPr>
              <w:pBdr>
                <w:top w:val="nil"/>
                <w:left w:val="nil"/>
                <w:bottom w:val="nil"/>
                <w:right w:val="nil"/>
                <w:between w:val="nil"/>
              </w:pBdr>
              <w:spacing w:after="0" w:line="240" w:lineRule="auto"/>
              <w:jc w:val="both"/>
              <w:rPr>
                <w:rFonts w:ascii="Garamond" w:eastAsia="Garamond" w:hAnsi="Garamond" w:cs="Garamond"/>
                <w:color w:val="4472C4"/>
                <w:sz w:val="20"/>
                <w:szCs w:val="20"/>
              </w:rPr>
            </w:pPr>
          </w:p>
          <w:p w:rsidR="00552D89" w:rsidRDefault="00552D89">
            <w:pPr>
              <w:pBdr>
                <w:top w:val="nil"/>
                <w:left w:val="nil"/>
                <w:bottom w:val="nil"/>
                <w:right w:val="nil"/>
                <w:between w:val="nil"/>
              </w:pBdr>
              <w:spacing w:after="0" w:line="240" w:lineRule="auto"/>
              <w:jc w:val="both"/>
              <w:rPr>
                <w:rFonts w:ascii="Garamond" w:eastAsia="Garamond" w:hAnsi="Garamond" w:cs="Garamond"/>
                <w:color w:val="4472C4"/>
                <w:sz w:val="20"/>
                <w:szCs w:val="20"/>
              </w:rPr>
            </w:pPr>
            <w:r>
              <w:rPr>
                <w:rFonts w:ascii="Garamond" w:eastAsia="Garamond" w:hAnsi="Garamond" w:cs="Garamond"/>
                <w:b/>
                <w:color w:val="4472C4"/>
                <w:sz w:val="20"/>
                <w:szCs w:val="20"/>
              </w:rPr>
              <w:t>2. CONTEXTO</w:t>
            </w:r>
          </w:p>
          <w:p w:rsidR="00552D89" w:rsidRDefault="00552D89">
            <w:pPr>
              <w:pBdr>
                <w:top w:val="nil"/>
                <w:left w:val="nil"/>
                <w:bottom w:val="nil"/>
                <w:right w:val="nil"/>
                <w:between w:val="nil"/>
              </w:pBdr>
              <w:spacing w:after="0" w:line="240" w:lineRule="auto"/>
              <w:ind w:left="720"/>
              <w:jc w:val="both"/>
              <w:rPr>
                <w:rFonts w:ascii="Garamond" w:eastAsia="Garamond" w:hAnsi="Garamond" w:cs="Garamond"/>
                <w:color w:val="4472C4"/>
                <w:sz w:val="20"/>
                <w:szCs w:val="20"/>
              </w:rPr>
            </w:pPr>
          </w:p>
        </w:tc>
        <w:tc>
          <w:tcPr>
            <w:tcW w:w="7830" w:type="dxa"/>
          </w:tcPr>
          <w:p w:rsidR="00552D89" w:rsidRPr="00776D93" w:rsidRDefault="00552D89">
            <w:pPr>
              <w:spacing w:after="0" w:line="240" w:lineRule="auto"/>
              <w:jc w:val="both"/>
              <w:rPr>
                <w:rFonts w:ascii="Garamond" w:eastAsia="Garamond" w:hAnsi="Garamond" w:cs="Garamond"/>
                <w:color w:val="000000"/>
              </w:rPr>
            </w:pPr>
            <w:r w:rsidRPr="00776D93">
              <w:rPr>
                <w:rFonts w:ascii="Garamond" w:eastAsia="Garamond" w:hAnsi="Garamond" w:cs="Garamond"/>
                <w:color w:val="000000"/>
              </w:rPr>
              <w:t>La pandemia implicó un aumento de 9 puntos en la pobreza monetaria.</w:t>
            </w:r>
            <w:r w:rsidRPr="00776D93">
              <w:rPr>
                <w:rFonts w:ascii="Garamond" w:eastAsia="Garamond" w:hAnsi="Garamond" w:cs="Garamond"/>
                <w:color w:val="404040"/>
              </w:rPr>
              <w:t xml:space="preserve"> </w:t>
            </w:r>
            <w:r w:rsidRPr="00776D93">
              <w:rPr>
                <w:rFonts w:ascii="Garamond" w:eastAsia="Garamond" w:hAnsi="Garamond" w:cs="Garamond"/>
                <w:color w:val="000000"/>
              </w:rPr>
              <w:t>El 35,4% de la población de 0 a 17 años de edad está en condición de pobreza.</w:t>
            </w:r>
            <w:r w:rsidRPr="00776D93">
              <w:rPr>
                <w:rFonts w:ascii="Garamond" w:eastAsia="Garamond" w:hAnsi="Garamond" w:cs="Garamond"/>
                <w:color w:val="000000"/>
                <w:vertAlign w:val="superscript"/>
              </w:rPr>
              <w:endnoteReference w:id="80"/>
            </w:r>
            <w:r w:rsidRPr="00776D93">
              <w:rPr>
                <w:rFonts w:ascii="Garamond" w:eastAsia="Garamond" w:hAnsi="Garamond" w:cs="Garamond"/>
                <w:color w:val="000000"/>
              </w:rPr>
              <w:t xml:space="preserve"> </w:t>
            </w:r>
          </w:p>
          <w:p w:rsidR="00552D89" w:rsidRPr="00776D93" w:rsidRDefault="00552D89">
            <w:pPr>
              <w:spacing w:after="0" w:line="240" w:lineRule="auto"/>
              <w:jc w:val="both"/>
              <w:rPr>
                <w:rFonts w:ascii="Garamond" w:eastAsia="Garamond" w:hAnsi="Garamond" w:cs="Garamond"/>
                <w:color w:val="000000"/>
              </w:rPr>
            </w:pPr>
            <w:r w:rsidRPr="00776D93">
              <w:rPr>
                <w:rFonts w:ascii="Garamond" w:eastAsia="Garamond" w:hAnsi="Garamond" w:cs="Garamond"/>
              </w:rPr>
              <w:lastRenderedPageBreak/>
              <w:t>En 2018, el 4,2% de personas de 15 y más años de edad que consumió alcohol sufrió trastornos, 0,6 puntos porcentuales más con respecto a 2017. La prevalencia fue notablemente mayor en varones (7,3%) con respecto a las mujeres (1,3%)</w:t>
            </w:r>
            <w:r w:rsidRPr="00776D93">
              <w:rPr>
                <w:rFonts w:ascii="Garamond" w:eastAsia="Garamond" w:hAnsi="Garamond" w:cs="Garamond"/>
                <w:vertAlign w:val="superscript"/>
              </w:rPr>
              <w:endnoteReference w:id="81"/>
            </w:r>
            <w:r w:rsidRPr="00776D93">
              <w:rPr>
                <w:rFonts w:ascii="Garamond" w:eastAsia="Garamond" w:hAnsi="Garamond" w:cs="Garamond"/>
              </w:rPr>
              <w:t>.</w:t>
            </w:r>
          </w:p>
          <w:p w:rsidR="00552D89" w:rsidRPr="00776D93" w:rsidRDefault="00552D89">
            <w:pPr>
              <w:spacing w:after="0" w:line="240" w:lineRule="auto"/>
              <w:jc w:val="both"/>
              <w:rPr>
                <w:rFonts w:ascii="Garamond" w:eastAsia="Garamond" w:hAnsi="Garamond" w:cs="Garamond"/>
                <w:color w:val="000000"/>
              </w:rPr>
            </w:pPr>
            <w:r w:rsidRPr="00776D93">
              <w:rPr>
                <w:rFonts w:ascii="Garamond" w:eastAsia="Garamond" w:hAnsi="Garamond" w:cs="Garamond"/>
                <w:color w:val="000000"/>
              </w:rPr>
              <w:t>Anualmente el 20,7% de la población mayor de 12 años de edad padece algún tipo de trastorno mental</w:t>
            </w:r>
            <w:r w:rsidRPr="00776D93">
              <w:rPr>
                <w:rFonts w:ascii="Garamond" w:eastAsia="Garamond" w:hAnsi="Garamond" w:cs="Garamond"/>
                <w:color w:val="000000"/>
                <w:vertAlign w:val="superscript"/>
              </w:rPr>
              <w:endnoteReference w:id="82"/>
            </w:r>
            <w:r w:rsidRPr="00776D93">
              <w:rPr>
                <w:rFonts w:ascii="Garamond" w:eastAsia="Garamond" w:hAnsi="Garamond" w:cs="Garamond"/>
                <w:color w:val="000000"/>
              </w:rPr>
              <w:t>.</w:t>
            </w:r>
          </w:p>
        </w:tc>
      </w:tr>
      <w:tr w:rsidR="00552D89">
        <w:trPr>
          <w:trHeight w:val="1530"/>
        </w:trPr>
        <w:tc>
          <w:tcPr>
            <w:tcW w:w="1620" w:type="dxa"/>
            <w:shd w:val="clear" w:color="auto" w:fill="B4C6E7"/>
          </w:tcPr>
          <w:p w:rsidR="00552D89" w:rsidRDefault="00552D89">
            <w:pPr>
              <w:pBdr>
                <w:top w:val="nil"/>
                <w:left w:val="nil"/>
                <w:bottom w:val="nil"/>
                <w:right w:val="nil"/>
                <w:between w:val="nil"/>
              </w:pBdr>
              <w:spacing w:after="0" w:line="240" w:lineRule="auto"/>
              <w:jc w:val="both"/>
              <w:rPr>
                <w:rFonts w:ascii="Garamond" w:eastAsia="Garamond" w:hAnsi="Garamond" w:cs="Garamond"/>
                <w:color w:val="0070C0"/>
                <w:sz w:val="20"/>
                <w:szCs w:val="20"/>
              </w:rPr>
            </w:pPr>
            <w:r>
              <w:rPr>
                <w:rFonts w:ascii="Garamond" w:eastAsia="Garamond" w:hAnsi="Garamond" w:cs="Garamond"/>
                <w:b/>
                <w:color w:val="0070C0"/>
                <w:sz w:val="20"/>
                <w:szCs w:val="20"/>
              </w:rPr>
              <w:lastRenderedPageBreak/>
              <w:t>3. RECOMENDACIONES AL ESTADO PERUANO:</w:t>
            </w:r>
          </w:p>
          <w:p w:rsidR="00552D89" w:rsidRDefault="00552D89">
            <w:pPr>
              <w:pBdr>
                <w:top w:val="nil"/>
                <w:left w:val="nil"/>
                <w:bottom w:val="nil"/>
                <w:right w:val="nil"/>
                <w:between w:val="nil"/>
              </w:pBdr>
              <w:spacing w:after="0" w:line="240" w:lineRule="auto"/>
              <w:jc w:val="both"/>
              <w:rPr>
                <w:rFonts w:ascii="Garamond" w:eastAsia="Garamond" w:hAnsi="Garamond" w:cs="Garamond"/>
                <w:color w:val="0070C0"/>
                <w:sz w:val="20"/>
                <w:szCs w:val="20"/>
              </w:rPr>
            </w:pPr>
          </w:p>
        </w:tc>
        <w:tc>
          <w:tcPr>
            <w:tcW w:w="7830" w:type="dxa"/>
            <w:shd w:val="clear" w:color="auto" w:fill="B4C6E7"/>
          </w:tcPr>
          <w:p w:rsidR="00552D89" w:rsidRPr="00776D93" w:rsidRDefault="00552D89">
            <w:pPr>
              <w:numPr>
                <w:ilvl w:val="0"/>
                <w:numId w:val="2"/>
              </w:numPr>
              <w:pBdr>
                <w:top w:val="nil"/>
                <w:left w:val="nil"/>
                <w:bottom w:val="nil"/>
                <w:right w:val="nil"/>
                <w:between w:val="nil"/>
              </w:pBdr>
              <w:spacing w:after="0" w:line="240" w:lineRule="auto"/>
              <w:jc w:val="both"/>
              <w:rPr>
                <w:rFonts w:ascii="Garamond" w:eastAsia="Garamond" w:hAnsi="Garamond" w:cs="Garamond"/>
                <w:color w:val="000000"/>
              </w:rPr>
            </w:pPr>
            <w:r w:rsidRPr="00776D93">
              <w:rPr>
                <w:rFonts w:ascii="Garamond" w:eastAsia="Garamond" w:hAnsi="Garamond" w:cs="Garamond"/>
                <w:color w:val="232323"/>
              </w:rPr>
              <w:t>Ampliar partida presupuestal a la Dirección de Salud Mental de acuerdo a la Política de Salud Mental.</w:t>
            </w:r>
          </w:p>
          <w:p w:rsidR="00552D89" w:rsidRPr="00776D93" w:rsidRDefault="00552D89">
            <w:pPr>
              <w:numPr>
                <w:ilvl w:val="0"/>
                <w:numId w:val="2"/>
              </w:numPr>
              <w:pBdr>
                <w:top w:val="nil"/>
                <w:left w:val="nil"/>
                <w:bottom w:val="nil"/>
                <w:right w:val="nil"/>
                <w:between w:val="nil"/>
              </w:pBdr>
              <w:spacing w:after="0" w:line="240" w:lineRule="auto"/>
              <w:jc w:val="both"/>
              <w:rPr>
                <w:rFonts w:ascii="Garamond" w:eastAsia="Garamond" w:hAnsi="Garamond" w:cs="Garamond"/>
                <w:color w:val="000000"/>
              </w:rPr>
            </w:pPr>
            <w:r w:rsidRPr="00776D93">
              <w:rPr>
                <w:rFonts w:ascii="Garamond" w:eastAsia="Garamond" w:hAnsi="Garamond" w:cs="Garamond"/>
                <w:color w:val="232323"/>
              </w:rPr>
              <w:t>Asumir la pluralidad y multidimensionalidad de los Enfoques señalados en el Plan de Salud mental 2020-2021.</w:t>
            </w:r>
            <w:r w:rsidRPr="00776D93">
              <w:rPr>
                <w:rFonts w:ascii="Garamond" w:eastAsia="Garamond" w:hAnsi="Garamond" w:cs="Garamond"/>
                <w:color w:val="000000"/>
                <w:vertAlign w:val="superscript"/>
              </w:rPr>
              <w:endnoteReference w:id="83"/>
            </w:r>
            <w:r w:rsidRPr="00776D93">
              <w:rPr>
                <w:rFonts w:ascii="Garamond" w:eastAsia="Garamond" w:hAnsi="Garamond" w:cs="Garamond"/>
                <w:color w:val="232323"/>
              </w:rPr>
              <w:t> </w:t>
            </w:r>
          </w:p>
          <w:p w:rsidR="00552D89" w:rsidRPr="00776D93" w:rsidRDefault="00552D89">
            <w:pPr>
              <w:numPr>
                <w:ilvl w:val="0"/>
                <w:numId w:val="2"/>
              </w:numPr>
              <w:pBdr>
                <w:top w:val="nil"/>
                <w:left w:val="nil"/>
                <w:bottom w:val="nil"/>
                <w:right w:val="nil"/>
                <w:between w:val="nil"/>
              </w:pBdr>
              <w:spacing w:after="0" w:line="240" w:lineRule="auto"/>
              <w:jc w:val="both"/>
              <w:rPr>
                <w:rFonts w:ascii="Garamond" w:eastAsia="Garamond" w:hAnsi="Garamond" w:cs="Garamond"/>
                <w:color w:val="000000"/>
              </w:rPr>
            </w:pPr>
            <w:r w:rsidRPr="00776D93">
              <w:rPr>
                <w:rFonts w:ascii="Garamond" w:eastAsia="Garamond" w:hAnsi="Garamond" w:cs="Garamond"/>
                <w:color w:val="000000"/>
              </w:rPr>
              <w:t>Visibilizar a nivel de Dirección la Oficina Tutoría y Orientación Educativa fortaleciendo esta línea de acción. </w:t>
            </w:r>
          </w:p>
          <w:p w:rsidR="00552D89" w:rsidRPr="00776D93" w:rsidRDefault="00552D89">
            <w:pPr>
              <w:numPr>
                <w:ilvl w:val="0"/>
                <w:numId w:val="2"/>
              </w:numPr>
              <w:pBdr>
                <w:top w:val="nil"/>
                <w:left w:val="nil"/>
                <w:bottom w:val="nil"/>
                <w:right w:val="nil"/>
                <w:between w:val="nil"/>
              </w:pBdr>
              <w:spacing w:after="0" w:line="240" w:lineRule="auto"/>
              <w:jc w:val="both"/>
              <w:rPr>
                <w:rFonts w:ascii="Garamond" w:eastAsia="Garamond" w:hAnsi="Garamond" w:cs="Garamond"/>
                <w:color w:val="000000"/>
              </w:rPr>
            </w:pPr>
            <w:r w:rsidRPr="00776D93">
              <w:rPr>
                <w:rFonts w:ascii="Garamond" w:eastAsia="Garamond" w:hAnsi="Garamond" w:cs="Garamond"/>
                <w:color w:val="000000"/>
              </w:rPr>
              <w:t>Fortalecer la atención psicológica en los CEMs para niñez y adolescentes y el acompañamiento psicológico en la implementación del Programa de Desarrollo Infantil Temprano</w:t>
            </w:r>
            <w:r w:rsidRPr="00776D93">
              <w:rPr>
                <w:rFonts w:ascii="Garamond" w:hAnsi="Garamond"/>
                <w:color w:val="000000"/>
                <w:vertAlign w:val="superscript"/>
              </w:rPr>
              <w:endnoteReference w:id="84"/>
            </w:r>
            <w:r w:rsidRPr="00776D93">
              <w:rPr>
                <w:rFonts w:ascii="Garamond" w:eastAsia="Garamond" w:hAnsi="Garamond" w:cs="Garamond"/>
                <w:color w:val="000000"/>
              </w:rPr>
              <w:t>.</w:t>
            </w:r>
          </w:p>
        </w:tc>
      </w:tr>
    </w:tbl>
    <w:p w:rsidR="00552D89" w:rsidRDefault="00552D89"/>
    <w:tbl>
      <w:tblPr>
        <w:tblStyle w:val="ab"/>
        <w:tblW w:w="945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1620"/>
        <w:gridCol w:w="7830"/>
      </w:tblGrid>
      <w:tr w:rsidR="00552D89" w:rsidRPr="00776D93" w:rsidTr="001B6DEB">
        <w:trPr>
          <w:trHeight w:val="575"/>
        </w:trPr>
        <w:tc>
          <w:tcPr>
            <w:tcW w:w="1620" w:type="dxa"/>
            <w:vAlign w:val="center"/>
          </w:tcPr>
          <w:p w:rsidR="00552D89" w:rsidRPr="00776D93" w:rsidRDefault="00552D89">
            <w:pPr>
              <w:spacing w:after="0" w:line="240" w:lineRule="auto"/>
              <w:jc w:val="both"/>
              <w:rPr>
                <w:rFonts w:ascii="Garamond" w:eastAsia="Garamond" w:hAnsi="Garamond" w:cs="Garamond"/>
                <w:b/>
                <w:color w:val="4472C4"/>
                <w:sz w:val="20"/>
                <w:szCs w:val="20"/>
              </w:rPr>
            </w:pPr>
            <w:r w:rsidRPr="00776D93">
              <w:rPr>
                <w:rFonts w:ascii="Garamond" w:eastAsia="Garamond" w:hAnsi="Garamond" w:cs="Garamond"/>
                <w:b/>
                <w:color w:val="4472C4"/>
                <w:sz w:val="20"/>
                <w:szCs w:val="20"/>
              </w:rPr>
              <w:t>RECOMENDACIÓN</w:t>
            </w:r>
          </w:p>
          <w:p w:rsidR="00552D89" w:rsidRPr="00776D93" w:rsidRDefault="00552D89">
            <w:pPr>
              <w:spacing w:after="0" w:line="240" w:lineRule="auto"/>
              <w:jc w:val="both"/>
              <w:rPr>
                <w:rFonts w:ascii="Garamond" w:eastAsia="Garamond" w:hAnsi="Garamond" w:cs="Garamond"/>
                <w:sz w:val="20"/>
                <w:szCs w:val="20"/>
              </w:rPr>
            </w:pPr>
          </w:p>
        </w:tc>
        <w:tc>
          <w:tcPr>
            <w:tcW w:w="7830" w:type="dxa"/>
            <w:vAlign w:val="center"/>
          </w:tcPr>
          <w:p w:rsidR="00552D89" w:rsidRPr="00776D93" w:rsidRDefault="00552D89" w:rsidP="007C4C69">
            <w:pPr>
              <w:spacing w:after="0" w:line="240" w:lineRule="auto"/>
              <w:jc w:val="both"/>
              <w:rPr>
                <w:rFonts w:ascii="Garamond" w:eastAsia="Garamond" w:hAnsi="Garamond" w:cs="Garamond"/>
                <w:sz w:val="20"/>
                <w:szCs w:val="20"/>
              </w:rPr>
            </w:pPr>
            <w:r w:rsidRPr="00776D93">
              <w:rPr>
                <w:rFonts w:ascii="Garamond" w:eastAsia="Garamond" w:hAnsi="Garamond" w:cs="Garamond"/>
                <w:b/>
                <w:sz w:val="20"/>
                <w:szCs w:val="20"/>
              </w:rPr>
              <w:t>Empleo para PCD</w:t>
            </w:r>
            <w:r w:rsidRPr="00776D93">
              <w:rPr>
                <w:rFonts w:ascii="Garamond" w:eastAsia="Garamond" w:hAnsi="Garamond" w:cs="Garamond"/>
                <w:sz w:val="20"/>
                <w:szCs w:val="20"/>
              </w:rPr>
              <w:t>, EPU 2017</w:t>
            </w:r>
            <w:r w:rsidRPr="00776D93">
              <w:rPr>
                <w:rFonts w:ascii="Garamond" w:eastAsia="Garamond" w:hAnsi="Garamond" w:cs="Garamond"/>
                <w:sz w:val="20"/>
                <w:szCs w:val="20"/>
                <w:vertAlign w:val="superscript"/>
              </w:rPr>
              <w:endnoteReference w:id="85"/>
            </w:r>
          </w:p>
        </w:tc>
      </w:tr>
      <w:tr w:rsidR="00552D89" w:rsidRPr="00776D93">
        <w:trPr>
          <w:trHeight w:val="463"/>
        </w:trPr>
        <w:tc>
          <w:tcPr>
            <w:tcW w:w="1620" w:type="dxa"/>
            <w:shd w:val="clear" w:color="auto" w:fill="B4C6E7"/>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4472C4"/>
                <w:sz w:val="20"/>
                <w:szCs w:val="20"/>
              </w:rPr>
            </w:pPr>
            <w:r w:rsidRPr="00776D93">
              <w:rPr>
                <w:rFonts w:ascii="Garamond" w:eastAsia="Garamond" w:hAnsi="Garamond" w:cs="Garamond"/>
                <w:b/>
                <w:color w:val="4472C4"/>
                <w:sz w:val="20"/>
                <w:szCs w:val="20"/>
              </w:rPr>
              <w:t>1. NIVEL DE IMPLEMENTACIÓN</w:t>
            </w:r>
          </w:p>
        </w:tc>
        <w:tc>
          <w:tcPr>
            <w:tcW w:w="7830" w:type="dxa"/>
            <w:shd w:val="clear" w:color="auto" w:fill="B4C6E7"/>
          </w:tcPr>
          <w:p w:rsidR="00552D89" w:rsidRPr="00776D93" w:rsidRDefault="00552D89">
            <w:pPr>
              <w:spacing w:after="0" w:line="240" w:lineRule="auto"/>
              <w:jc w:val="both"/>
              <w:rPr>
                <w:rFonts w:ascii="Garamond" w:eastAsia="Garamond" w:hAnsi="Garamond" w:cs="Garamond"/>
                <w:sz w:val="20"/>
                <w:szCs w:val="20"/>
              </w:rPr>
            </w:pPr>
          </w:p>
          <w:p w:rsidR="00552D89" w:rsidRPr="00776D93" w:rsidRDefault="00552D89">
            <w:pPr>
              <w:spacing w:after="0" w:line="240" w:lineRule="auto"/>
              <w:jc w:val="both"/>
              <w:rPr>
                <w:rFonts w:ascii="Garamond" w:eastAsia="Garamond" w:hAnsi="Garamond" w:cs="Garamond"/>
                <w:b/>
                <w:color w:val="ED7D31"/>
                <w:sz w:val="20"/>
                <w:szCs w:val="20"/>
              </w:rPr>
            </w:pPr>
            <w:r w:rsidRPr="00776D93">
              <w:rPr>
                <w:rFonts w:ascii="Garamond" w:eastAsia="Garamond" w:hAnsi="Garamond" w:cs="Garamond"/>
                <w:b/>
                <w:color w:val="FF0000"/>
                <w:sz w:val="20"/>
                <w:szCs w:val="20"/>
              </w:rPr>
              <w:t>No se ha aplicado</w:t>
            </w:r>
          </w:p>
          <w:p w:rsidR="00552D89" w:rsidRPr="00776D93" w:rsidRDefault="00552D89">
            <w:pPr>
              <w:spacing w:after="0" w:line="240" w:lineRule="auto"/>
              <w:jc w:val="both"/>
              <w:rPr>
                <w:rFonts w:ascii="Garamond" w:eastAsia="Garamond" w:hAnsi="Garamond" w:cs="Garamond"/>
                <w:sz w:val="20"/>
                <w:szCs w:val="20"/>
                <w:highlight w:val="yellow"/>
              </w:rPr>
            </w:pPr>
          </w:p>
        </w:tc>
      </w:tr>
      <w:tr w:rsidR="00552D89" w:rsidRPr="00776D93">
        <w:tc>
          <w:tcPr>
            <w:tcW w:w="1620" w:type="dxa"/>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4472C4"/>
                <w:sz w:val="20"/>
                <w:szCs w:val="20"/>
              </w:rPr>
            </w:pPr>
          </w:p>
          <w:p w:rsidR="00552D89" w:rsidRPr="00776D93" w:rsidRDefault="00552D89" w:rsidP="007C4C69">
            <w:pPr>
              <w:pBdr>
                <w:top w:val="nil"/>
                <w:left w:val="nil"/>
                <w:bottom w:val="nil"/>
                <w:right w:val="nil"/>
                <w:between w:val="nil"/>
              </w:pBdr>
              <w:spacing w:after="0" w:line="240" w:lineRule="auto"/>
              <w:jc w:val="both"/>
              <w:rPr>
                <w:rFonts w:ascii="Garamond" w:eastAsia="Garamond" w:hAnsi="Garamond" w:cs="Garamond"/>
                <w:color w:val="4472C4"/>
                <w:sz w:val="20"/>
                <w:szCs w:val="20"/>
              </w:rPr>
            </w:pPr>
            <w:r w:rsidRPr="00776D93">
              <w:rPr>
                <w:rFonts w:ascii="Garamond" w:eastAsia="Garamond" w:hAnsi="Garamond" w:cs="Garamond"/>
                <w:b/>
                <w:color w:val="4472C4"/>
                <w:sz w:val="20"/>
                <w:szCs w:val="20"/>
              </w:rPr>
              <w:t>2. CONTEXTO</w:t>
            </w:r>
          </w:p>
        </w:tc>
        <w:tc>
          <w:tcPr>
            <w:tcW w:w="7830" w:type="dxa"/>
          </w:tcPr>
          <w:p w:rsidR="00552D89" w:rsidRPr="00776D93" w:rsidRDefault="00552D89" w:rsidP="007C4C69">
            <w:pPr>
              <w:spacing w:after="0" w:line="240" w:lineRule="auto"/>
              <w:jc w:val="both"/>
              <w:rPr>
                <w:rFonts w:ascii="Garamond" w:eastAsia="Garamond" w:hAnsi="Garamond" w:cs="Garamond"/>
                <w:sz w:val="20"/>
                <w:szCs w:val="20"/>
              </w:rPr>
            </w:pPr>
            <w:r w:rsidRPr="00776D93">
              <w:rPr>
                <w:rFonts w:ascii="Garamond" w:eastAsia="Garamond" w:hAnsi="Garamond" w:cs="Garamond"/>
                <w:sz w:val="20"/>
                <w:szCs w:val="20"/>
              </w:rPr>
              <w:t>El DS N°1468 facilitó medidas de accesibilidad al trabajo remoto o la licencia remunerada a PCD y a sus familiares, cuando sean apoyos de una PCD o con diagnóstico de COVID-19. Sin embargo, hubo denuncias de despidos a MCD en diversos municipios locales</w:t>
            </w:r>
            <w:r w:rsidRPr="00776D93">
              <w:rPr>
                <w:rFonts w:ascii="Garamond" w:eastAsia="Garamond" w:hAnsi="Garamond" w:cs="Garamond"/>
                <w:sz w:val="20"/>
                <w:szCs w:val="20"/>
                <w:vertAlign w:val="superscript"/>
              </w:rPr>
              <w:endnoteReference w:id="86"/>
            </w:r>
            <w:r w:rsidRPr="00776D93">
              <w:rPr>
                <w:rFonts w:ascii="Garamond" w:eastAsia="Garamond" w:hAnsi="Garamond" w:cs="Garamond"/>
                <w:sz w:val="20"/>
                <w:szCs w:val="20"/>
              </w:rPr>
              <w:t>.</w:t>
            </w:r>
          </w:p>
          <w:p w:rsidR="00552D89" w:rsidRPr="00776D93" w:rsidRDefault="00552D89" w:rsidP="007C4C69">
            <w:pPr>
              <w:spacing w:after="0" w:line="240" w:lineRule="auto"/>
              <w:jc w:val="both"/>
              <w:rPr>
                <w:rFonts w:ascii="Garamond" w:eastAsia="Garamond" w:hAnsi="Garamond" w:cs="Garamond"/>
                <w:sz w:val="20"/>
                <w:szCs w:val="20"/>
              </w:rPr>
            </w:pPr>
            <w:r w:rsidRPr="00776D93">
              <w:rPr>
                <w:rFonts w:ascii="Garamond" w:eastAsia="Garamond" w:hAnsi="Garamond" w:cs="Garamond"/>
                <w:sz w:val="20"/>
                <w:szCs w:val="20"/>
              </w:rPr>
              <w:t xml:space="preserve">No existe información actualizada sobre la situación del empleo de MCD en el contexto de la pandemia. </w:t>
            </w:r>
          </w:p>
        </w:tc>
      </w:tr>
      <w:tr w:rsidR="00552D89" w:rsidRPr="00776D93" w:rsidTr="007C4C69">
        <w:trPr>
          <w:trHeight w:val="1304"/>
        </w:trPr>
        <w:tc>
          <w:tcPr>
            <w:tcW w:w="1620" w:type="dxa"/>
            <w:shd w:val="clear" w:color="auto" w:fill="B4C6E7"/>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0070C0"/>
                <w:sz w:val="20"/>
                <w:szCs w:val="20"/>
              </w:rPr>
            </w:pPr>
            <w:r w:rsidRPr="00776D93">
              <w:rPr>
                <w:rFonts w:ascii="Garamond" w:eastAsia="Garamond" w:hAnsi="Garamond" w:cs="Garamond"/>
                <w:b/>
                <w:color w:val="0070C0"/>
                <w:sz w:val="20"/>
                <w:szCs w:val="20"/>
              </w:rPr>
              <w:t>3. RECOMENDACIONES AL ESTADO PERUANO</w:t>
            </w:r>
          </w:p>
        </w:tc>
        <w:tc>
          <w:tcPr>
            <w:tcW w:w="7830" w:type="dxa"/>
            <w:shd w:val="clear" w:color="auto" w:fill="B4C6E7"/>
          </w:tcPr>
          <w:p w:rsidR="00552D89" w:rsidRPr="00776D93" w:rsidRDefault="00552D89" w:rsidP="007C4C69">
            <w:pPr>
              <w:numPr>
                <w:ilvl w:val="0"/>
                <w:numId w:val="3"/>
              </w:numPr>
              <w:pBdr>
                <w:top w:val="nil"/>
                <w:left w:val="nil"/>
                <w:bottom w:val="nil"/>
                <w:right w:val="nil"/>
                <w:between w:val="nil"/>
              </w:pBdr>
              <w:spacing w:after="0" w:line="240" w:lineRule="auto"/>
              <w:ind w:left="343"/>
              <w:jc w:val="both"/>
              <w:rPr>
                <w:rFonts w:ascii="Garamond" w:eastAsia="Garamond" w:hAnsi="Garamond" w:cs="Garamond"/>
                <w:color w:val="202124"/>
                <w:sz w:val="20"/>
                <w:szCs w:val="20"/>
              </w:rPr>
            </w:pPr>
            <w:r w:rsidRPr="00776D93">
              <w:rPr>
                <w:rFonts w:ascii="Garamond" w:eastAsia="Garamond" w:hAnsi="Garamond" w:cs="Garamond"/>
                <w:color w:val="202124"/>
                <w:sz w:val="20"/>
                <w:szCs w:val="20"/>
              </w:rPr>
              <w:t>Exhortar al cumplimiento de cuotas laborales 5% de las PCD en sector público y 3% en sector privado, proponiendo incentivos.</w:t>
            </w:r>
          </w:p>
          <w:p w:rsidR="00552D89" w:rsidRPr="00776D93" w:rsidRDefault="00552D89" w:rsidP="007C4C69">
            <w:pPr>
              <w:numPr>
                <w:ilvl w:val="0"/>
                <w:numId w:val="3"/>
              </w:numPr>
              <w:pBdr>
                <w:top w:val="nil"/>
                <w:left w:val="nil"/>
                <w:bottom w:val="nil"/>
                <w:right w:val="nil"/>
                <w:between w:val="nil"/>
              </w:pBdr>
              <w:spacing w:after="0" w:line="240" w:lineRule="auto"/>
              <w:ind w:left="343"/>
              <w:jc w:val="both"/>
              <w:rPr>
                <w:rFonts w:ascii="Garamond" w:eastAsia="Garamond" w:hAnsi="Garamond" w:cs="Garamond"/>
                <w:color w:val="202124"/>
                <w:sz w:val="20"/>
                <w:szCs w:val="20"/>
              </w:rPr>
            </w:pPr>
            <w:r w:rsidRPr="00776D93">
              <w:rPr>
                <w:rFonts w:ascii="Garamond" w:eastAsia="Garamond" w:hAnsi="Garamond" w:cs="Garamond"/>
                <w:color w:val="202124"/>
                <w:sz w:val="20"/>
                <w:szCs w:val="20"/>
              </w:rPr>
              <w:t>Mejorar procesos de fiscalización en la inserción laboral de PCD.</w:t>
            </w:r>
          </w:p>
          <w:p w:rsidR="00552D89" w:rsidRPr="00776D93" w:rsidRDefault="00552D89" w:rsidP="007C4C69">
            <w:pPr>
              <w:numPr>
                <w:ilvl w:val="0"/>
                <w:numId w:val="3"/>
              </w:numPr>
              <w:pBdr>
                <w:top w:val="nil"/>
                <w:left w:val="nil"/>
                <w:bottom w:val="nil"/>
                <w:right w:val="nil"/>
                <w:between w:val="nil"/>
              </w:pBdr>
              <w:spacing w:after="0" w:line="240" w:lineRule="auto"/>
              <w:ind w:left="343"/>
              <w:jc w:val="both"/>
              <w:rPr>
                <w:rFonts w:ascii="Garamond" w:eastAsia="Garamond" w:hAnsi="Garamond" w:cs="Garamond"/>
                <w:color w:val="202124"/>
                <w:sz w:val="20"/>
                <w:szCs w:val="20"/>
              </w:rPr>
            </w:pPr>
            <w:r w:rsidRPr="00776D93">
              <w:rPr>
                <w:rFonts w:ascii="Garamond" w:eastAsia="Garamond" w:hAnsi="Garamond" w:cs="Garamond"/>
                <w:color w:val="202124"/>
                <w:sz w:val="20"/>
                <w:szCs w:val="20"/>
              </w:rPr>
              <w:t>Asesoramiento especializado por el Estado a las empresas para la inserción laboral</w:t>
            </w:r>
            <w:r w:rsidRPr="00776D93">
              <w:rPr>
                <w:rFonts w:ascii="Garamond" w:eastAsia="Garamond" w:hAnsi="Garamond" w:cs="Garamond"/>
                <w:color w:val="000000"/>
                <w:sz w:val="20"/>
                <w:szCs w:val="20"/>
                <w:vertAlign w:val="superscript"/>
              </w:rPr>
              <w:endnoteReference w:id="87"/>
            </w:r>
            <w:r w:rsidRPr="00776D93">
              <w:rPr>
                <w:rFonts w:ascii="Garamond" w:eastAsia="Garamond" w:hAnsi="Garamond" w:cs="Garamond"/>
                <w:color w:val="202124"/>
                <w:sz w:val="20"/>
                <w:szCs w:val="20"/>
              </w:rPr>
              <w:t xml:space="preserve">. </w:t>
            </w:r>
          </w:p>
          <w:p w:rsidR="00552D89" w:rsidRPr="00776D93" w:rsidRDefault="00552D89" w:rsidP="007C4C69">
            <w:pPr>
              <w:numPr>
                <w:ilvl w:val="0"/>
                <w:numId w:val="3"/>
              </w:numPr>
              <w:pBdr>
                <w:top w:val="nil"/>
                <w:left w:val="nil"/>
                <w:bottom w:val="nil"/>
                <w:right w:val="nil"/>
                <w:between w:val="nil"/>
              </w:pBdr>
              <w:spacing w:after="0" w:line="240" w:lineRule="auto"/>
              <w:ind w:left="343"/>
              <w:jc w:val="both"/>
              <w:rPr>
                <w:rFonts w:ascii="Garamond" w:eastAsia="Garamond" w:hAnsi="Garamond" w:cs="Garamond"/>
                <w:color w:val="202124"/>
                <w:sz w:val="20"/>
                <w:szCs w:val="20"/>
              </w:rPr>
            </w:pPr>
            <w:r w:rsidRPr="00776D93">
              <w:rPr>
                <w:rFonts w:ascii="Garamond" w:eastAsia="Garamond" w:hAnsi="Garamond" w:cs="Garamond"/>
                <w:color w:val="202124"/>
                <w:sz w:val="20"/>
                <w:szCs w:val="20"/>
              </w:rPr>
              <w:t>Efectivizar la implementación de la Ley de Teletrabajo</w:t>
            </w:r>
            <w:r w:rsidRPr="00776D93">
              <w:rPr>
                <w:rFonts w:ascii="Garamond" w:eastAsia="Garamond" w:hAnsi="Garamond" w:cs="Garamond"/>
                <w:color w:val="202124"/>
                <w:sz w:val="20"/>
                <w:szCs w:val="20"/>
                <w:vertAlign w:val="superscript"/>
              </w:rPr>
              <w:endnoteReference w:id="88"/>
            </w:r>
            <w:r w:rsidRPr="00776D93">
              <w:rPr>
                <w:rFonts w:ascii="Garamond" w:eastAsia="Garamond" w:hAnsi="Garamond" w:cs="Garamond"/>
                <w:color w:val="202124"/>
                <w:sz w:val="20"/>
                <w:szCs w:val="20"/>
              </w:rPr>
              <w:t xml:space="preserve"> y la modalidad remota para PCD.</w:t>
            </w:r>
          </w:p>
          <w:p w:rsidR="00552D89" w:rsidRPr="00776D93" w:rsidRDefault="00552D89" w:rsidP="007C4C69">
            <w:pPr>
              <w:spacing w:after="0" w:line="240" w:lineRule="auto"/>
              <w:jc w:val="both"/>
              <w:rPr>
                <w:rFonts w:ascii="Garamond" w:eastAsia="Garamond" w:hAnsi="Garamond" w:cs="Garamond"/>
                <w:sz w:val="20"/>
                <w:szCs w:val="20"/>
                <w:highlight w:val="yellow"/>
              </w:rPr>
            </w:pPr>
          </w:p>
        </w:tc>
      </w:tr>
    </w:tbl>
    <w:p w:rsidR="00552D89" w:rsidRDefault="00552D89"/>
    <w:tbl>
      <w:tblPr>
        <w:tblStyle w:val="ac"/>
        <w:tblW w:w="945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1620"/>
        <w:gridCol w:w="7830"/>
      </w:tblGrid>
      <w:tr w:rsidR="00552D89">
        <w:trPr>
          <w:trHeight w:val="789"/>
        </w:trPr>
        <w:tc>
          <w:tcPr>
            <w:tcW w:w="1620" w:type="dxa"/>
            <w:vAlign w:val="center"/>
          </w:tcPr>
          <w:p w:rsidR="00552D89" w:rsidRPr="00776D93" w:rsidRDefault="00776D93">
            <w:pPr>
              <w:spacing w:after="0" w:line="240" w:lineRule="auto"/>
              <w:jc w:val="both"/>
              <w:rPr>
                <w:rFonts w:ascii="Garamond" w:eastAsia="Garamond" w:hAnsi="Garamond" w:cs="Garamond"/>
                <w:b/>
                <w:color w:val="4472C4"/>
                <w:sz w:val="20"/>
                <w:szCs w:val="20"/>
              </w:rPr>
            </w:pPr>
            <w:r>
              <w:rPr>
                <w:rFonts w:ascii="Garamond" w:eastAsia="Garamond" w:hAnsi="Garamond" w:cs="Garamond"/>
                <w:b/>
                <w:color w:val="4472C4"/>
                <w:sz w:val="20"/>
                <w:szCs w:val="20"/>
              </w:rPr>
              <w:t>RECOMENDACIÓN</w:t>
            </w:r>
          </w:p>
        </w:tc>
        <w:tc>
          <w:tcPr>
            <w:tcW w:w="7830" w:type="dxa"/>
            <w:vAlign w:val="center"/>
          </w:tcPr>
          <w:p w:rsidR="00552D89" w:rsidRPr="00776D93" w:rsidRDefault="00552D89">
            <w:pPr>
              <w:spacing w:after="0" w:line="240" w:lineRule="auto"/>
              <w:jc w:val="both"/>
              <w:rPr>
                <w:rFonts w:ascii="Garamond" w:eastAsia="Garamond" w:hAnsi="Garamond" w:cs="Garamond"/>
                <w:sz w:val="20"/>
                <w:szCs w:val="20"/>
              </w:rPr>
            </w:pPr>
            <w:r w:rsidRPr="00776D93">
              <w:rPr>
                <w:rFonts w:ascii="Garamond" w:eastAsia="Garamond" w:hAnsi="Garamond" w:cs="Garamond"/>
                <w:b/>
                <w:sz w:val="20"/>
                <w:szCs w:val="20"/>
              </w:rPr>
              <w:t>Capacidad jurídica de personas con discapacidad</w:t>
            </w:r>
            <w:r w:rsidRPr="00776D93">
              <w:rPr>
                <w:rFonts w:ascii="Garamond" w:eastAsia="Garamond" w:hAnsi="Garamond" w:cs="Garamond"/>
                <w:sz w:val="20"/>
                <w:szCs w:val="20"/>
              </w:rPr>
              <w:t xml:space="preserve">, </w:t>
            </w:r>
            <w:r w:rsidRPr="00776D93">
              <w:rPr>
                <w:rFonts w:ascii="Garamond" w:eastAsia="Garamond" w:hAnsi="Garamond" w:cs="Garamond"/>
                <w:sz w:val="20"/>
                <w:szCs w:val="20"/>
                <w:highlight w:val="white"/>
              </w:rPr>
              <w:t>EPU 2017</w:t>
            </w:r>
            <w:r w:rsidRPr="00776D93">
              <w:rPr>
                <w:rFonts w:ascii="Garamond" w:eastAsia="Garamond" w:hAnsi="Garamond" w:cs="Garamond"/>
                <w:sz w:val="20"/>
                <w:szCs w:val="20"/>
                <w:highlight w:val="white"/>
                <w:vertAlign w:val="superscript"/>
              </w:rPr>
              <w:endnoteReference w:id="89"/>
            </w:r>
            <w:r w:rsidRPr="00776D93">
              <w:rPr>
                <w:rFonts w:ascii="Garamond" w:eastAsia="Garamond" w:hAnsi="Garamond" w:cs="Garamond"/>
                <w:sz w:val="20"/>
                <w:szCs w:val="20"/>
              </w:rPr>
              <w:t>.</w:t>
            </w:r>
          </w:p>
        </w:tc>
      </w:tr>
      <w:tr w:rsidR="00552D89">
        <w:trPr>
          <w:trHeight w:val="463"/>
        </w:trPr>
        <w:tc>
          <w:tcPr>
            <w:tcW w:w="1620" w:type="dxa"/>
            <w:shd w:val="clear" w:color="auto" w:fill="B4C6E7"/>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4472C4"/>
                <w:sz w:val="20"/>
                <w:szCs w:val="20"/>
              </w:rPr>
            </w:pPr>
            <w:r w:rsidRPr="00776D93">
              <w:rPr>
                <w:rFonts w:ascii="Garamond" w:eastAsia="Garamond" w:hAnsi="Garamond" w:cs="Garamond"/>
                <w:b/>
                <w:color w:val="4472C4"/>
                <w:sz w:val="20"/>
                <w:szCs w:val="20"/>
              </w:rPr>
              <w:t>1. NIVEL DE IMPLEMENTACIÓN:</w:t>
            </w:r>
          </w:p>
        </w:tc>
        <w:tc>
          <w:tcPr>
            <w:tcW w:w="7830" w:type="dxa"/>
            <w:shd w:val="clear" w:color="auto" w:fill="B4C6E7"/>
          </w:tcPr>
          <w:p w:rsidR="00552D89" w:rsidRPr="00776D93" w:rsidRDefault="00552D89">
            <w:pPr>
              <w:spacing w:after="0" w:line="240" w:lineRule="auto"/>
              <w:jc w:val="both"/>
              <w:rPr>
                <w:rFonts w:ascii="Garamond" w:eastAsia="Garamond" w:hAnsi="Garamond" w:cs="Garamond"/>
                <w:sz w:val="20"/>
                <w:szCs w:val="20"/>
              </w:rPr>
            </w:pPr>
          </w:p>
          <w:p w:rsidR="00552D89" w:rsidRPr="00776D93" w:rsidRDefault="00552D89">
            <w:pPr>
              <w:spacing w:after="0" w:line="240" w:lineRule="auto"/>
              <w:jc w:val="both"/>
              <w:rPr>
                <w:rFonts w:ascii="Garamond" w:eastAsia="Garamond" w:hAnsi="Garamond" w:cs="Garamond"/>
                <w:b/>
                <w:color w:val="ED7D31"/>
                <w:sz w:val="20"/>
                <w:szCs w:val="20"/>
              </w:rPr>
            </w:pPr>
            <w:r w:rsidRPr="00776D93">
              <w:rPr>
                <w:rFonts w:ascii="Garamond" w:eastAsia="Garamond" w:hAnsi="Garamond" w:cs="Garamond"/>
                <w:b/>
                <w:color w:val="ED7D31"/>
                <w:sz w:val="20"/>
                <w:szCs w:val="20"/>
              </w:rPr>
              <w:t>Aplicado parcialmente</w:t>
            </w:r>
          </w:p>
          <w:p w:rsidR="00552D89" w:rsidRPr="00776D93" w:rsidRDefault="00552D89">
            <w:pPr>
              <w:spacing w:after="0" w:line="240" w:lineRule="auto"/>
              <w:jc w:val="both"/>
              <w:rPr>
                <w:rFonts w:ascii="Garamond" w:eastAsia="Garamond" w:hAnsi="Garamond" w:cs="Garamond"/>
                <w:sz w:val="20"/>
                <w:szCs w:val="20"/>
                <w:highlight w:val="yellow"/>
              </w:rPr>
            </w:pPr>
          </w:p>
        </w:tc>
      </w:tr>
      <w:tr w:rsidR="00552D89">
        <w:tc>
          <w:tcPr>
            <w:tcW w:w="1620" w:type="dxa"/>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4472C4"/>
                <w:sz w:val="20"/>
                <w:szCs w:val="20"/>
              </w:rPr>
            </w:pPr>
            <w:r w:rsidRPr="00776D93">
              <w:rPr>
                <w:rFonts w:ascii="Garamond" w:eastAsia="Garamond" w:hAnsi="Garamond" w:cs="Garamond"/>
                <w:b/>
                <w:color w:val="4472C4"/>
                <w:sz w:val="20"/>
                <w:szCs w:val="20"/>
              </w:rPr>
              <w:t>2. CONTEXTO:</w:t>
            </w:r>
          </w:p>
        </w:tc>
        <w:tc>
          <w:tcPr>
            <w:tcW w:w="7830" w:type="dxa"/>
          </w:tcPr>
          <w:p w:rsidR="00552D89" w:rsidRPr="00776D93" w:rsidRDefault="00552D89" w:rsidP="007C4C69">
            <w:pPr>
              <w:spacing w:after="0" w:line="240" w:lineRule="auto"/>
              <w:jc w:val="both"/>
              <w:rPr>
                <w:rFonts w:ascii="Garamond" w:eastAsia="Garamond" w:hAnsi="Garamond" w:cs="Garamond"/>
                <w:sz w:val="20"/>
                <w:szCs w:val="20"/>
              </w:rPr>
            </w:pPr>
            <w:r w:rsidRPr="00776D93">
              <w:rPr>
                <w:rFonts w:ascii="Garamond" w:eastAsia="Garamond" w:hAnsi="Garamond" w:cs="Garamond"/>
                <w:sz w:val="20"/>
                <w:szCs w:val="20"/>
              </w:rPr>
              <w:t>Perú reconoce y regula la capacidad jurídica de las Personas con Discapacidad - PCD</w:t>
            </w:r>
            <w:r w:rsidRPr="00776D93">
              <w:rPr>
                <w:rFonts w:ascii="Garamond" w:eastAsia="Garamond" w:hAnsi="Garamond" w:cs="Garamond"/>
                <w:sz w:val="20"/>
                <w:szCs w:val="20"/>
                <w:vertAlign w:val="superscript"/>
              </w:rPr>
              <w:endnoteReference w:id="90"/>
            </w:r>
            <w:r w:rsidRPr="00776D93">
              <w:rPr>
                <w:rFonts w:ascii="Garamond" w:eastAsia="Garamond" w:hAnsi="Garamond" w:cs="Garamond"/>
                <w:sz w:val="20"/>
                <w:szCs w:val="20"/>
              </w:rPr>
              <w:t>.</w:t>
            </w:r>
          </w:p>
        </w:tc>
      </w:tr>
      <w:tr w:rsidR="00552D89">
        <w:trPr>
          <w:trHeight w:val="1196"/>
        </w:trPr>
        <w:tc>
          <w:tcPr>
            <w:tcW w:w="1620" w:type="dxa"/>
            <w:shd w:val="clear" w:color="auto" w:fill="B4C6E7"/>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0070C0"/>
                <w:sz w:val="20"/>
                <w:szCs w:val="20"/>
              </w:rPr>
            </w:pPr>
            <w:r w:rsidRPr="00776D93">
              <w:rPr>
                <w:rFonts w:ascii="Garamond" w:eastAsia="Garamond" w:hAnsi="Garamond" w:cs="Garamond"/>
                <w:b/>
                <w:color w:val="0070C0"/>
                <w:sz w:val="20"/>
                <w:szCs w:val="20"/>
              </w:rPr>
              <w:t>3. RECOMENDACIONES AL ESTADO PERUANO:</w:t>
            </w:r>
          </w:p>
        </w:tc>
        <w:tc>
          <w:tcPr>
            <w:tcW w:w="7830" w:type="dxa"/>
            <w:shd w:val="clear" w:color="auto" w:fill="B4C6E7"/>
          </w:tcPr>
          <w:p w:rsidR="00552D89" w:rsidRPr="00776D93" w:rsidRDefault="00552D89">
            <w:pPr>
              <w:numPr>
                <w:ilvl w:val="0"/>
                <w:numId w:val="4"/>
              </w:numPr>
              <w:pBdr>
                <w:top w:val="nil"/>
                <w:left w:val="nil"/>
                <w:bottom w:val="nil"/>
                <w:right w:val="nil"/>
                <w:between w:val="nil"/>
              </w:pBdr>
              <w:spacing w:after="0" w:line="240" w:lineRule="auto"/>
              <w:ind w:left="434"/>
              <w:jc w:val="both"/>
              <w:rPr>
                <w:rFonts w:ascii="Garamond" w:eastAsia="Garamond" w:hAnsi="Garamond" w:cs="Garamond"/>
                <w:color w:val="000000"/>
                <w:sz w:val="20"/>
                <w:szCs w:val="20"/>
              </w:rPr>
            </w:pPr>
            <w:r w:rsidRPr="00776D93">
              <w:rPr>
                <w:rFonts w:ascii="Garamond" w:eastAsia="Garamond" w:hAnsi="Garamond" w:cs="Garamond"/>
                <w:color w:val="000000"/>
                <w:sz w:val="20"/>
                <w:szCs w:val="20"/>
              </w:rPr>
              <w:t>Capacitar a funcionarios y servidores públicos sobre la capacidad jurídica de las PCD.</w:t>
            </w:r>
          </w:p>
          <w:p w:rsidR="00552D89" w:rsidRPr="00776D93" w:rsidRDefault="00552D89">
            <w:pPr>
              <w:numPr>
                <w:ilvl w:val="0"/>
                <w:numId w:val="4"/>
              </w:numPr>
              <w:pBdr>
                <w:top w:val="nil"/>
                <w:left w:val="nil"/>
                <w:bottom w:val="nil"/>
                <w:right w:val="nil"/>
                <w:between w:val="nil"/>
              </w:pBdr>
              <w:spacing w:after="0" w:line="240" w:lineRule="auto"/>
              <w:ind w:left="434"/>
              <w:jc w:val="both"/>
              <w:rPr>
                <w:rFonts w:ascii="Garamond" w:eastAsia="Garamond" w:hAnsi="Garamond" w:cs="Garamond"/>
                <w:color w:val="000000"/>
                <w:sz w:val="20"/>
                <w:szCs w:val="20"/>
              </w:rPr>
            </w:pPr>
            <w:r w:rsidRPr="00776D93">
              <w:rPr>
                <w:rFonts w:ascii="Garamond" w:eastAsia="Garamond" w:hAnsi="Garamond" w:cs="Garamond"/>
                <w:color w:val="000000"/>
                <w:sz w:val="20"/>
                <w:szCs w:val="20"/>
              </w:rPr>
              <w:t>Supervisar cumplimiento y celeridad de la des interdicción de las PCD.</w:t>
            </w:r>
          </w:p>
        </w:tc>
      </w:tr>
    </w:tbl>
    <w:p w:rsidR="00552D89" w:rsidRDefault="00552D89"/>
    <w:tbl>
      <w:tblPr>
        <w:tblStyle w:val="ad"/>
        <w:tblW w:w="945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1620"/>
        <w:gridCol w:w="7830"/>
      </w:tblGrid>
      <w:tr w:rsidR="00552D89" w:rsidRPr="00776D93">
        <w:trPr>
          <w:trHeight w:val="789"/>
        </w:trPr>
        <w:tc>
          <w:tcPr>
            <w:tcW w:w="1620" w:type="dxa"/>
            <w:vAlign w:val="center"/>
          </w:tcPr>
          <w:p w:rsidR="00552D89" w:rsidRPr="00776D93" w:rsidRDefault="00776D93">
            <w:pPr>
              <w:spacing w:after="0" w:line="240" w:lineRule="auto"/>
              <w:jc w:val="both"/>
              <w:rPr>
                <w:rFonts w:ascii="Garamond" w:eastAsia="Garamond" w:hAnsi="Garamond" w:cs="Garamond"/>
                <w:b/>
                <w:color w:val="4472C4"/>
                <w:sz w:val="20"/>
                <w:szCs w:val="20"/>
              </w:rPr>
            </w:pPr>
            <w:r>
              <w:rPr>
                <w:rFonts w:ascii="Garamond" w:eastAsia="Garamond" w:hAnsi="Garamond" w:cs="Garamond"/>
                <w:b/>
                <w:color w:val="4472C4"/>
                <w:sz w:val="20"/>
                <w:szCs w:val="20"/>
              </w:rPr>
              <w:t>RECOMENDACIÓN</w:t>
            </w:r>
          </w:p>
        </w:tc>
        <w:tc>
          <w:tcPr>
            <w:tcW w:w="7830" w:type="dxa"/>
            <w:vAlign w:val="center"/>
          </w:tcPr>
          <w:p w:rsidR="00552D89" w:rsidRPr="00776D93" w:rsidRDefault="00552D89" w:rsidP="007C4C69">
            <w:pPr>
              <w:spacing w:line="240" w:lineRule="auto"/>
              <w:rPr>
                <w:sz w:val="20"/>
                <w:szCs w:val="20"/>
              </w:rPr>
            </w:pPr>
            <w:r w:rsidRPr="00776D93">
              <w:rPr>
                <w:rFonts w:ascii="Garamond" w:eastAsia="Garamond" w:hAnsi="Garamond" w:cs="Garamond"/>
                <w:b/>
                <w:sz w:val="20"/>
                <w:szCs w:val="20"/>
              </w:rPr>
              <w:t>Igualdad de oportunidades PCD</w:t>
            </w:r>
            <w:r w:rsidRPr="00776D93">
              <w:rPr>
                <w:rFonts w:ascii="Garamond" w:eastAsia="Garamond" w:hAnsi="Garamond" w:cs="Garamond"/>
                <w:sz w:val="20"/>
                <w:szCs w:val="20"/>
              </w:rPr>
              <w:t>, EPU 2017</w:t>
            </w:r>
            <w:r w:rsidRPr="00776D93">
              <w:rPr>
                <w:rFonts w:ascii="Garamond" w:eastAsia="Garamond" w:hAnsi="Garamond" w:cs="Garamond"/>
                <w:sz w:val="20"/>
                <w:szCs w:val="20"/>
                <w:vertAlign w:val="superscript"/>
              </w:rPr>
              <w:endnoteReference w:id="91"/>
            </w:r>
            <w:r w:rsidRPr="00776D93">
              <w:rPr>
                <w:rFonts w:ascii="Garamond" w:eastAsia="Garamond" w:hAnsi="Garamond" w:cs="Garamond"/>
                <w:sz w:val="20"/>
                <w:szCs w:val="20"/>
              </w:rPr>
              <w:t>.</w:t>
            </w:r>
          </w:p>
        </w:tc>
      </w:tr>
      <w:tr w:rsidR="00552D89" w:rsidRPr="00776D93">
        <w:trPr>
          <w:trHeight w:val="463"/>
        </w:trPr>
        <w:tc>
          <w:tcPr>
            <w:tcW w:w="1620" w:type="dxa"/>
            <w:shd w:val="clear" w:color="auto" w:fill="B4C6E7"/>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4472C4"/>
                <w:sz w:val="20"/>
                <w:szCs w:val="20"/>
              </w:rPr>
            </w:pPr>
            <w:r w:rsidRPr="00776D93">
              <w:rPr>
                <w:rFonts w:ascii="Garamond" w:eastAsia="Garamond" w:hAnsi="Garamond" w:cs="Garamond"/>
                <w:b/>
                <w:color w:val="4472C4"/>
                <w:sz w:val="20"/>
                <w:szCs w:val="20"/>
              </w:rPr>
              <w:lastRenderedPageBreak/>
              <w:t>1. NIVEL DE IMPLEMENTACIÓN:</w:t>
            </w:r>
          </w:p>
        </w:tc>
        <w:tc>
          <w:tcPr>
            <w:tcW w:w="7830" w:type="dxa"/>
            <w:shd w:val="clear" w:color="auto" w:fill="B4C6E7"/>
          </w:tcPr>
          <w:p w:rsidR="00552D89" w:rsidRPr="00776D93" w:rsidRDefault="00552D89">
            <w:pPr>
              <w:spacing w:after="0" w:line="240" w:lineRule="auto"/>
              <w:jc w:val="both"/>
              <w:rPr>
                <w:rFonts w:ascii="Garamond" w:eastAsia="Garamond" w:hAnsi="Garamond" w:cs="Garamond"/>
                <w:sz w:val="20"/>
                <w:szCs w:val="20"/>
              </w:rPr>
            </w:pPr>
          </w:p>
          <w:p w:rsidR="00552D89" w:rsidRPr="00776D93" w:rsidRDefault="00552D89">
            <w:pPr>
              <w:shd w:val="clear" w:color="auto" w:fill="B4C6E7"/>
              <w:spacing w:after="0" w:line="240" w:lineRule="auto"/>
              <w:jc w:val="both"/>
              <w:rPr>
                <w:rFonts w:ascii="Garamond" w:eastAsia="Garamond" w:hAnsi="Garamond" w:cs="Garamond"/>
                <w:b/>
                <w:color w:val="ED7D31"/>
                <w:sz w:val="20"/>
                <w:szCs w:val="20"/>
              </w:rPr>
            </w:pPr>
            <w:r w:rsidRPr="00776D93">
              <w:rPr>
                <w:rFonts w:ascii="Garamond" w:eastAsia="Garamond" w:hAnsi="Garamond" w:cs="Garamond"/>
                <w:b/>
                <w:color w:val="ED7D31"/>
                <w:sz w:val="20"/>
                <w:szCs w:val="20"/>
              </w:rPr>
              <w:t>Aplicado parcialmente</w:t>
            </w:r>
            <w:r w:rsidRPr="00776D93">
              <w:rPr>
                <w:rFonts w:ascii="Garamond" w:eastAsia="Garamond" w:hAnsi="Garamond" w:cs="Garamond"/>
                <w:b/>
                <w:color w:val="ED7D31"/>
                <w:sz w:val="20"/>
                <w:szCs w:val="20"/>
                <w:vertAlign w:val="superscript"/>
              </w:rPr>
              <w:endnoteReference w:id="92"/>
            </w:r>
          </w:p>
          <w:p w:rsidR="00552D89" w:rsidRPr="00776D93" w:rsidRDefault="00552D89">
            <w:pPr>
              <w:spacing w:after="0" w:line="240" w:lineRule="auto"/>
              <w:jc w:val="both"/>
              <w:rPr>
                <w:rFonts w:ascii="Garamond" w:eastAsia="Garamond" w:hAnsi="Garamond" w:cs="Garamond"/>
                <w:sz w:val="20"/>
                <w:szCs w:val="20"/>
                <w:highlight w:val="yellow"/>
              </w:rPr>
            </w:pPr>
          </w:p>
        </w:tc>
      </w:tr>
      <w:tr w:rsidR="00552D89" w:rsidRPr="00776D93" w:rsidTr="00776D93">
        <w:trPr>
          <w:trHeight w:val="665"/>
        </w:trPr>
        <w:tc>
          <w:tcPr>
            <w:tcW w:w="1620" w:type="dxa"/>
          </w:tcPr>
          <w:p w:rsidR="00552D89" w:rsidRPr="00776D93" w:rsidRDefault="00552D89" w:rsidP="00776D93">
            <w:pPr>
              <w:pBdr>
                <w:top w:val="nil"/>
                <w:left w:val="nil"/>
                <w:bottom w:val="nil"/>
                <w:right w:val="nil"/>
                <w:between w:val="nil"/>
              </w:pBdr>
              <w:spacing w:after="0" w:line="240" w:lineRule="auto"/>
              <w:jc w:val="both"/>
              <w:rPr>
                <w:rFonts w:ascii="Garamond" w:eastAsia="Garamond" w:hAnsi="Garamond" w:cs="Garamond"/>
                <w:color w:val="4472C4"/>
                <w:sz w:val="20"/>
                <w:szCs w:val="20"/>
              </w:rPr>
            </w:pPr>
            <w:r w:rsidRPr="00776D93">
              <w:rPr>
                <w:rFonts w:ascii="Garamond" w:eastAsia="Garamond" w:hAnsi="Garamond" w:cs="Garamond"/>
                <w:b/>
                <w:color w:val="4472C4"/>
                <w:sz w:val="20"/>
                <w:szCs w:val="20"/>
              </w:rPr>
              <w:t>2. CONTEXTO:</w:t>
            </w:r>
          </w:p>
        </w:tc>
        <w:tc>
          <w:tcPr>
            <w:tcW w:w="7830" w:type="dxa"/>
          </w:tcPr>
          <w:p w:rsidR="00552D89" w:rsidRPr="00776D93" w:rsidRDefault="00552D89">
            <w:pPr>
              <w:spacing w:line="240" w:lineRule="auto"/>
              <w:jc w:val="both"/>
              <w:rPr>
                <w:rFonts w:ascii="Garamond" w:eastAsia="Garamond" w:hAnsi="Garamond" w:cs="Garamond"/>
                <w:color w:val="26292E"/>
                <w:sz w:val="20"/>
                <w:szCs w:val="20"/>
                <w:highlight w:val="white"/>
              </w:rPr>
            </w:pPr>
            <w:r w:rsidRPr="00776D93">
              <w:rPr>
                <w:rFonts w:ascii="Garamond" w:eastAsia="Garamond" w:hAnsi="Garamond" w:cs="Garamond"/>
                <w:color w:val="26292E"/>
                <w:sz w:val="20"/>
                <w:szCs w:val="20"/>
                <w:highlight w:val="white"/>
              </w:rPr>
              <w:t>Las PCD representan el 10.3% de la población nacional (3’ 209,261 personas). Según sexo, las mujeres representan el grupo mayoritario con el 56.7%, más del 40% tiene 60 años y más</w:t>
            </w:r>
            <w:r w:rsidRPr="00776D93">
              <w:rPr>
                <w:rFonts w:ascii="Garamond" w:eastAsia="Garamond" w:hAnsi="Garamond" w:cs="Garamond"/>
                <w:color w:val="26292E"/>
                <w:sz w:val="20"/>
                <w:szCs w:val="20"/>
                <w:highlight w:val="white"/>
                <w:vertAlign w:val="superscript"/>
              </w:rPr>
              <w:endnoteReference w:id="93"/>
            </w:r>
            <w:r w:rsidRPr="00776D93">
              <w:rPr>
                <w:rFonts w:ascii="Garamond" w:eastAsia="Garamond" w:hAnsi="Garamond" w:cs="Garamond"/>
                <w:color w:val="26292E"/>
                <w:sz w:val="20"/>
                <w:szCs w:val="20"/>
                <w:highlight w:val="white"/>
              </w:rPr>
              <w:t xml:space="preserve">. </w:t>
            </w:r>
          </w:p>
        </w:tc>
      </w:tr>
      <w:tr w:rsidR="00552D89" w:rsidRPr="00776D93">
        <w:trPr>
          <w:trHeight w:val="1176"/>
        </w:trPr>
        <w:tc>
          <w:tcPr>
            <w:tcW w:w="1620" w:type="dxa"/>
            <w:shd w:val="clear" w:color="auto" w:fill="B4C6E7"/>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0070C0"/>
                <w:sz w:val="20"/>
                <w:szCs w:val="20"/>
              </w:rPr>
            </w:pPr>
            <w:r w:rsidRPr="00776D93">
              <w:rPr>
                <w:rFonts w:ascii="Garamond" w:eastAsia="Garamond" w:hAnsi="Garamond" w:cs="Garamond"/>
                <w:b/>
                <w:color w:val="0070C0"/>
                <w:sz w:val="20"/>
                <w:szCs w:val="20"/>
              </w:rPr>
              <w:t>3. RECOMENDACIONES AL ESTADO PERUANO:</w:t>
            </w:r>
          </w:p>
        </w:tc>
        <w:tc>
          <w:tcPr>
            <w:tcW w:w="7830" w:type="dxa"/>
            <w:shd w:val="clear" w:color="auto" w:fill="B4C6E7"/>
          </w:tcPr>
          <w:p w:rsidR="00552D89" w:rsidRPr="00776D93" w:rsidRDefault="00552D89">
            <w:pPr>
              <w:spacing w:before="240" w:after="240" w:line="240" w:lineRule="auto"/>
              <w:rPr>
                <w:rFonts w:ascii="Garamond" w:eastAsia="Garamond" w:hAnsi="Garamond" w:cs="Garamond"/>
                <w:sz w:val="20"/>
                <w:szCs w:val="20"/>
                <w:highlight w:val="cyan"/>
              </w:rPr>
            </w:pPr>
            <w:r w:rsidRPr="00776D93">
              <w:rPr>
                <w:rFonts w:ascii="Garamond" w:eastAsia="Garamond" w:hAnsi="Garamond" w:cs="Garamond"/>
                <w:sz w:val="20"/>
                <w:szCs w:val="20"/>
              </w:rPr>
              <w:t>• Exigir el cumplimiento a los diferentes niveles de gobierno, destinar el 1% del presupuesto para la atención de las PCD, como las adecuaciones urbanísticas y arquitectónicas, sujetas a fiscalización</w:t>
            </w:r>
            <w:r w:rsidRPr="00776D93">
              <w:rPr>
                <w:rFonts w:ascii="Garamond" w:eastAsia="Garamond" w:hAnsi="Garamond" w:cs="Garamond"/>
                <w:sz w:val="20"/>
                <w:szCs w:val="20"/>
                <w:vertAlign w:val="superscript"/>
              </w:rPr>
              <w:endnoteReference w:id="94"/>
            </w:r>
            <w:r w:rsidRPr="00776D93">
              <w:rPr>
                <w:rFonts w:ascii="Garamond" w:eastAsia="Garamond" w:hAnsi="Garamond" w:cs="Garamond"/>
                <w:sz w:val="20"/>
                <w:szCs w:val="20"/>
              </w:rPr>
              <w:t>.</w:t>
            </w:r>
          </w:p>
        </w:tc>
      </w:tr>
    </w:tbl>
    <w:p w:rsidR="00552D89" w:rsidRDefault="00552D89"/>
    <w:tbl>
      <w:tblPr>
        <w:tblStyle w:val="ae"/>
        <w:tblW w:w="945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1620"/>
        <w:gridCol w:w="7830"/>
      </w:tblGrid>
      <w:tr w:rsidR="00552D89" w:rsidRPr="00776D93" w:rsidTr="00776D93">
        <w:trPr>
          <w:trHeight w:val="683"/>
        </w:trPr>
        <w:tc>
          <w:tcPr>
            <w:tcW w:w="1620" w:type="dxa"/>
            <w:vAlign w:val="center"/>
          </w:tcPr>
          <w:p w:rsidR="00552D89" w:rsidRPr="00776D93" w:rsidRDefault="00552D89">
            <w:pPr>
              <w:spacing w:after="0" w:line="240" w:lineRule="auto"/>
              <w:jc w:val="both"/>
              <w:rPr>
                <w:rFonts w:ascii="Garamond" w:eastAsia="Garamond" w:hAnsi="Garamond" w:cs="Garamond"/>
                <w:b/>
                <w:color w:val="4472C4"/>
                <w:sz w:val="20"/>
                <w:szCs w:val="20"/>
              </w:rPr>
            </w:pPr>
            <w:r w:rsidRPr="00776D93">
              <w:rPr>
                <w:rFonts w:ascii="Garamond" w:eastAsia="Garamond" w:hAnsi="Garamond" w:cs="Garamond"/>
                <w:b/>
                <w:color w:val="4472C4"/>
                <w:sz w:val="20"/>
                <w:szCs w:val="20"/>
              </w:rPr>
              <w:t>RECOMENDACIÓN</w:t>
            </w:r>
          </w:p>
        </w:tc>
        <w:tc>
          <w:tcPr>
            <w:tcW w:w="7830" w:type="dxa"/>
            <w:vAlign w:val="center"/>
          </w:tcPr>
          <w:p w:rsidR="00552D89" w:rsidRPr="00776D93" w:rsidRDefault="00552D89">
            <w:pPr>
              <w:spacing w:after="0" w:line="240" w:lineRule="auto"/>
              <w:jc w:val="both"/>
              <w:rPr>
                <w:rFonts w:ascii="Garamond" w:eastAsia="Garamond" w:hAnsi="Garamond" w:cs="Garamond"/>
                <w:sz w:val="20"/>
                <w:szCs w:val="20"/>
              </w:rPr>
            </w:pPr>
            <w:r w:rsidRPr="00776D93">
              <w:rPr>
                <w:rFonts w:ascii="Garamond" w:eastAsia="Garamond" w:hAnsi="Garamond" w:cs="Garamond"/>
                <w:b/>
                <w:sz w:val="20"/>
                <w:szCs w:val="20"/>
                <w:highlight w:val="white"/>
              </w:rPr>
              <w:t>Personas con Discapacidad</w:t>
            </w:r>
            <w:r w:rsidRPr="00776D93">
              <w:rPr>
                <w:rFonts w:ascii="Garamond" w:eastAsia="Garamond" w:hAnsi="Garamond" w:cs="Garamond"/>
                <w:sz w:val="20"/>
                <w:szCs w:val="20"/>
                <w:highlight w:val="white"/>
              </w:rPr>
              <w:t>, EPU 2017</w:t>
            </w:r>
            <w:r w:rsidRPr="00776D93">
              <w:rPr>
                <w:rFonts w:ascii="Garamond" w:eastAsia="Garamond" w:hAnsi="Garamond" w:cs="Garamond"/>
                <w:sz w:val="20"/>
                <w:szCs w:val="20"/>
                <w:highlight w:val="white"/>
                <w:vertAlign w:val="superscript"/>
              </w:rPr>
              <w:endnoteReference w:id="95"/>
            </w:r>
            <w:r w:rsidRPr="00776D93">
              <w:rPr>
                <w:rFonts w:ascii="Garamond" w:eastAsia="Garamond" w:hAnsi="Garamond" w:cs="Garamond"/>
                <w:sz w:val="20"/>
                <w:szCs w:val="20"/>
              </w:rPr>
              <w:t>.</w:t>
            </w:r>
          </w:p>
        </w:tc>
      </w:tr>
      <w:tr w:rsidR="00552D89" w:rsidRPr="00776D93">
        <w:trPr>
          <w:trHeight w:val="463"/>
        </w:trPr>
        <w:tc>
          <w:tcPr>
            <w:tcW w:w="1620" w:type="dxa"/>
            <w:shd w:val="clear" w:color="auto" w:fill="B4C6E7"/>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4472C4"/>
                <w:sz w:val="20"/>
                <w:szCs w:val="20"/>
              </w:rPr>
            </w:pPr>
            <w:r w:rsidRPr="00776D93">
              <w:rPr>
                <w:rFonts w:ascii="Garamond" w:eastAsia="Garamond" w:hAnsi="Garamond" w:cs="Garamond"/>
                <w:b/>
                <w:color w:val="4472C4"/>
                <w:sz w:val="20"/>
                <w:szCs w:val="20"/>
              </w:rPr>
              <w:t>1. NIVEL DE IMPLEMENTACIÓN:</w:t>
            </w:r>
          </w:p>
        </w:tc>
        <w:tc>
          <w:tcPr>
            <w:tcW w:w="7830" w:type="dxa"/>
            <w:shd w:val="clear" w:color="auto" w:fill="B4C6E7"/>
          </w:tcPr>
          <w:p w:rsidR="00552D89" w:rsidRPr="00776D93" w:rsidRDefault="00552D89">
            <w:pPr>
              <w:spacing w:after="0" w:line="240" w:lineRule="auto"/>
              <w:jc w:val="center"/>
              <w:rPr>
                <w:rFonts w:ascii="Garamond" w:eastAsia="Garamond" w:hAnsi="Garamond" w:cs="Garamond"/>
                <w:sz w:val="20"/>
                <w:szCs w:val="20"/>
              </w:rPr>
            </w:pPr>
          </w:p>
          <w:p w:rsidR="00552D89" w:rsidRPr="00776D93" w:rsidRDefault="00552D89">
            <w:pPr>
              <w:spacing w:after="0" w:line="240" w:lineRule="auto"/>
              <w:jc w:val="center"/>
              <w:rPr>
                <w:rFonts w:ascii="Garamond" w:eastAsia="Garamond" w:hAnsi="Garamond" w:cs="Garamond"/>
                <w:b/>
                <w:color w:val="ED7D31"/>
                <w:sz w:val="20"/>
                <w:szCs w:val="20"/>
              </w:rPr>
            </w:pPr>
            <w:r w:rsidRPr="00776D93">
              <w:rPr>
                <w:rFonts w:ascii="Garamond" w:eastAsia="Garamond" w:hAnsi="Garamond" w:cs="Garamond"/>
                <w:b/>
                <w:color w:val="ED7D31"/>
                <w:sz w:val="20"/>
                <w:szCs w:val="20"/>
              </w:rPr>
              <w:t>Aplicado parcialmente</w:t>
            </w:r>
          </w:p>
          <w:p w:rsidR="00552D89" w:rsidRPr="00776D93" w:rsidRDefault="00552D89">
            <w:pPr>
              <w:spacing w:after="0" w:line="240" w:lineRule="auto"/>
              <w:jc w:val="center"/>
              <w:rPr>
                <w:rFonts w:ascii="Garamond" w:eastAsia="Garamond" w:hAnsi="Garamond" w:cs="Garamond"/>
                <w:sz w:val="20"/>
                <w:szCs w:val="20"/>
                <w:highlight w:val="yellow"/>
              </w:rPr>
            </w:pPr>
          </w:p>
        </w:tc>
      </w:tr>
      <w:tr w:rsidR="00552D89" w:rsidRPr="00776D93" w:rsidTr="00776D93">
        <w:trPr>
          <w:trHeight w:val="836"/>
        </w:trPr>
        <w:tc>
          <w:tcPr>
            <w:tcW w:w="1620" w:type="dxa"/>
          </w:tcPr>
          <w:p w:rsidR="00552D89" w:rsidRPr="00776D93" w:rsidRDefault="001B6DEB" w:rsidP="001B6DEB">
            <w:pPr>
              <w:pBdr>
                <w:top w:val="nil"/>
                <w:left w:val="nil"/>
                <w:bottom w:val="nil"/>
                <w:right w:val="nil"/>
                <w:between w:val="nil"/>
              </w:pBdr>
              <w:jc w:val="both"/>
              <w:rPr>
                <w:rFonts w:ascii="Garamond" w:eastAsia="Garamond" w:hAnsi="Garamond" w:cs="Garamond"/>
                <w:color w:val="4472C4"/>
                <w:sz w:val="20"/>
                <w:szCs w:val="20"/>
              </w:rPr>
            </w:pPr>
            <w:r>
              <w:rPr>
                <w:rFonts w:ascii="Garamond" w:eastAsia="Garamond" w:hAnsi="Garamond" w:cs="Garamond"/>
                <w:b/>
                <w:color w:val="4472C4"/>
                <w:sz w:val="20"/>
                <w:szCs w:val="20"/>
              </w:rPr>
              <w:t>2. CONTEXTO</w:t>
            </w:r>
          </w:p>
        </w:tc>
        <w:tc>
          <w:tcPr>
            <w:tcW w:w="7830" w:type="dxa"/>
          </w:tcPr>
          <w:p w:rsidR="00552D89" w:rsidRPr="00776D93" w:rsidRDefault="00552D89">
            <w:pPr>
              <w:spacing w:after="0" w:line="240" w:lineRule="auto"/>
              <w:jc w:val="both"/>
              <w:rPr>
                <w:rFonts w:ascii="Garamond" w:eastAsia="Garamond" w:hAnsi="Garamond" w:cs="Garamond"/>
                <w:color w:val="000000"/>
                <w:sz w:val="20"/>
                <w:szCs w:val="20"/>
              </w:rPr>
            </w:pPr>
            <w:r w:rsidRPr="00776D93">
              <w:rPr>
                <w:rFonts w:ascii="Garamond" w:eastAsia="Garamond" w:hAnsi="Garamond" w:cs="Garamond"/>
                <w:color w:val="000000"/>
                <w:sz w:val="20"/>
                <w:szCs w:val="20"/>
              </w:rPr>
              <w:t>No se cuenta con un Observatorio que monitoree el cumplimiento y acceso real al derecho a la salud</w:t>
            </w:r>
            <w:r w:rsidRPr="00776D93">
              <w:rPr>
                <w:rFonts w:ascii="Garamond" w:eastAsia="Garamond" w:hAnsi="Garamond" w:cs="Garamond"/>
                <w:color w:val="000000"/>
                <w:sz w:val="20"/>
                <w:szCs w:val="20"/>
                <w:vertAlign w:val="superscript"/>
              </w:rPr>
              <w:endnoteReference w:id="96"/>
            </w:r>
            <w:r w:rsidRPr="00776D93">
              <w:rPr>
                <w:rFonts w:ascii="Garamond" w:eastAsia="Garamond" w:hAnsi="Garamond" w:cs="Garamond"/>
                <w:color w:val="000000"/>
                <w:sz w:val="20"/>
                <w:szCs w:val="20"/>
              </w:rPr>
              <w:t>.</w:t>
            </w:r>
          </w:p>
          <w:p w:rsidR="00552D89" w:rsidRPr="00776D93" w:rsidRDefault="00552D89" w:rsidP="007C4C69">
            <w:pPr>
              <w:spacing w:after="0" w:line="240" w:lineRule="auto"/>
              <w:jc w:val="both"/>
              <w:rPr>
                <w:rFonts w:ascii="Garamond" w:eastAsia="Garamond" w:hAnsi="Garamond" w:cs="Garamond"/>
                <w:color w:val="000000"/>
                <w:sz w:val="20"/>
                <w:szCs w:val="20"/>
              </w:rPr>
            </w:pPr>
            <w:r w:rsidRPr="00776D93">
              <w:rPr>
                <w:rFonts w:ascii="Garamond" w:eastAsia="Garamond" w:hAnsi="Garamond" w:cs="Garamond"/>
                <w:color w:val="000000"/>
                <w:sz w:val="20"/>
                <w:szCs w:val="20"/>
              </w:rPr>
              <w:t>La Política Nacional no se ha implementado PNMDD</w:t>
            </w:r>
            <w:r w:rsidRPr="00776D93">
              <w:rPr>
                <w:rFonts w:ascii="Garamond" w:eastAsia="Garamond" w:hAnsi="Garamond" w:cs="Garamond"/>
                <w:color w:val="000000"/>
                <w:sz w:val="20"/>
                <w:szCs w:val="20"/>
                <w:vertAlign w:val="superscript"/>
              </w:rPr>
              <w:endnoteReference w:id="97"/>
            </w:r>
            <w:r w:rsidRPr="00776D93">
              <w:rPr>
                <w:rFonts w:ascii="Garamond" w:eastAsia="Garamond" w:hAnsi="Garamond" w:cs="Garamond"/>
                <w:color w:val="000000"/>
                <w:sz w:val="20"/>
                <w:szCs w:val="20"/>
              </w:rPr>
              <w:t>.</w:t>
            </w:r>
          </w:p>
        </w:tc>
      </w:tr>
      <w:tr w:rsidR="00552D89" w:rsidRPr="00776D93" w:rsidTr="00776D93">
        <w:trPr>
          <w:trHeight w:val="1313"/>
        </w:trPr>
        <w:tc>
          <w:tcPr>
            <w:tcW w:w="1620" w:type="dxa"/>
            <w:shd w:val="clear" w:color="auto" w:fill="B4C6E7"/>
          </w:tcPr>
          <w:p w:rsidR="00552D89" w:rsidRPr="00776D93" w:rsidRDefault="00552D89">
            <w:pPr>
              <w:pBdr>
                <w:top w:val="nil"/>
                <w:left w:val="nil"/>
                <w:bottom w:val="nil"/>
                <w:right w:val="nil"/>
                <w:between w:val="nil"/>
              </w:pBdr>
              <w:spacing w:after="0" w:line="240" w:lineRule="auto"/>
              <w:jc w:val="both"/>
              <w:rPr>
                <w:rFonts w:ascii="Garamond" w:eastAsia="Garamond" w:hAnsi="Garamond" w:cs="Garamond"/>
                <w:color w:val="0070C0"/>
                <w:sz w:val="20"/>
                <w:szCs w:val="20"/>
              </w:rPr>
            </w:pPr>
            <w:r w:rsidRPr="00776D93">
              <w:rPr>
                <w:rFonts w:ascii="Garamond" w:eastAsia="Garamond" w:hAnsi="Garamond" w:cs="Garamond"/>
                <w:b/>
                <w:color w:val="0070C0"/>
                <w:sz w:val="20"/>
                <w:szCs w:val="20"/>
              </w:rPr>
              <w:t>3. RECOMENDACIONES AL ESTADO PERUANO</w:t>
            </w:r>
          </w:p>
        </w:tc>
        <w:tc>
          <w:tcPr>
            <w:tcW w:w="7830" w:type="dxa"/>
            <w:shd w:val="clear" w:color="auto" w:fill="B4C6E7"/>
          </w:tcPr>
          <w:p w:rsidR="00552D89" w:rsidRPr="00776D93" w:rsidRDefault="00552D89">
            <w:pPr>
              <w:spacing w:after="0" w:line="240" w:lineRule="auto"/>
              <w:jc w:val="both"/>
              <w:rPr>
                <w:rFonts w:ascii="Garamond" w:eastAsia="Garamond" w:hAnsi="Garamond" w:cs="Garamond"/>
                <w:sz w:val="20"/>
                <w:szCs w:val="20"/>
              </w:rPr>
            </w:pPr>
          </w:p>
          <w:p w:rsidR="00552D89" w:rsidRPr="00776D93" w:rsidRDefault="00552D89">
            <w:pPr>
              <w:numPr>
                <w:ilvl w:val="0"/>
                <w:numId w:val="8"/>
              </w:numPr>
              <w:pBdr>
                <w:top w:val="nil"/>
                <w:left w:val="nil"/>
                <w:bottom w:val="nil"/>
                <w:right w:val="nil"/>
                <w:between w:val="nil"/>
              </w:pBdr>
              <w:spacing w:after="0" w:line="240" w:lineRule="auto"/>
              <w:ind w:left="343" w:hanging="343"/>
              <w:jc w:val="both"/>
              <w:rPr>
                <w:rFonts w:ascii="Garamond" w:eastAsia="Garamond" w:hAnsi="Garamond" w:cs="Garamond"/>
                <w:color w:val="000000"/>
                <w:sz w:val="20"/>
                <w:szCs w:val="20"/>
              </w:rPr>
            </w:pPr>
            <w:r w:rsidRPr="00776D93">
              <w:rPr>
                <w:rFonts w:ascii="Garamond" w:eastAsia="Garamond" w:hAnsi="Garamond" w:cs="Garamond"/>
                <w:color w:val="000000"/>
                <w:sz w:val="20"/>
                <w:szCs w:val="20"/>
              </w:rPr>
              <w:t>Articulación Multisectorial contemplando indicadores de discapacidad.</w:t>
            </w:r>
            <w:r w:rsidRPr="00776D93">
              <w:rPr>
                <w:rFonts w:ascii="Garamond" w:hAnsi="Garamond"/>
                <w:color w:val="000000"/>
                <w:sz w:val="20"/>
                <w:szCs w:val="20"/>
                <w:vertAlign w:val="superscript"/>
              </w:rPr>
              <w:endnoteReference w:id="98"/>
            </w:r>
          </w:p>
          <w:p w:rsidR="00552D89" w:rsidRPr="00776D93" w:rsidRDefault="00552D89">
            <w:pPr>
              <w:numPr>
                <w:ilvl w:val="0"/>
                <w:numId w:val="6"/>
              </w:numPr>
              <w:pBdr>
                <w:top w:val="nil"/>
                <w:left w:val="nil"/>
                <w:bottom w:val="nil"/>
                <w:right w:val="nil"/>
                <w:between w:val="nil"/>
              </w:pBdr>
              <w:spacing w:after="0" w:line="240" w:lineRule="auto"/>
              <w:jc w:val="both"/>
              <w:rPr>
                <w:rFonts w:ascii="Garamond" w:eastAsia="Garamond" w:hAnsi="Garamond" w:cs="Garamond"/>
                <w:color w:val="000000"/>
                <w:sz w:val="20"/>
                <w:szCs w:val="20"/>
              </w:rPr>
            </w:pPr>
            <w:r w:rsidRPr="00776D93">
              <w:rPr>
                <w:rFonts w:ascii="Garamond" w:eastAsia="Garamond" w:hAnsi="Garamond" w:cs="Garamond"/>
                <w:color w:val="000000"/>
                <w:sz w:val="20"/>
                <w:szCs w:val="20"/>
              </w:rPr>
              <w:t>Implementar la PNMND en los diferentes niveles de gobierno.</w:t>
            </w:r>
          </w:p>
        </w:tc>
      </w:tr>
    </w:tbl>
    <w:p w:rsidR="00552D89" w:rsidRDefault="00552D89">
      <w:pPr>
        <w:pBdr>
          <w:top w:val="nil"/>
          <w:left w:val="nil"/>
          <w:bottom w:val="nil"/>
          <w:right w:val="nil"/>
          <w:between w:val="nil"/>
        </w:pBdr>
        <w:spacing w:after="0"/>
        <w:ind w:left="720"/>
        <w:rPr>
          <w:rFonts w:ascii="Garamond" w:eastAsia="Garamond" w:hAnsi="Garamond" w:cs="Garamond"/>
          <w:b/>
          <w:color w:val="000000"/>
          <w:sz w:val="24"/>
          <w:szCs w:val="24"/>
        </w:rPr>
      </w:pPr>
    </w:p>
    <w:p w:rsidR="00552D89" w:rsidRDefault="00552D89">
      <w:pPr>
        <w:pBdr>
          <w:top w:val="nil"/>
          <w:left w:val="nil"/>
          <w:bottom w:val="nil"/>
          <w:right w:val="nil"/>
          <w:between w:val="nil"/>
        </w:pBdr>
        <w:spacing w:after="0"/>
        <w:ind w:left="720"/>
        <w:rPr>
          <w:rFonts w:ascii="Garamond" w:eastAsia="Garamond" w:hAnsi="Garamond" w:cs="Garamond"/>
          <w:b/>
          <w:color w:val="000000"/>
          <w:sz w:val="24"/>
          <w:szCs w:val="24"/>
        </w:rPr>
      </w:pPr>
    </w:p>
    <w:p w:rsidR="00552D89" w:rsidRPr="007C4C69" w:rsidRDefault="00552D89">
      <w:pPr>
        <w:numPr>
          <w:ilvl w:val="0"/>
          <w:numId w:val="5"/>
        </w:numPr>
        <w:pBdr>
          <w:top w:val="nil"/>
          <w:left w:val="nil"/>
          <w:bottom w:val="nil"/>
          <w:right w:val="nil"/>
          <w:between w:val="nil"/>
        </w:pBdr>
        <w:spacing w:after="0"/>
        <w:rPr>
          <w:rFonts w:ascii="Garamond" w:eastAsia="Garamond" w:hAnsi="Garamond" w:cs="Garamond"/>
          <w:b/>
          <w:color w:val="000000"/>
          <w:sz w:val="28"/>
          <w:szCs w:val="28"/>
        </w:rPr>
      </w:pPr>
      <w:r>
        <w:rPr>
          <w:rFonts w:ascii="Garamond" w:eastAsia="Garamond" w:hAnsi="Garamond" w:cs="Garamond"/>
          <w:b/>
          <w:sz w:val="28"/>
          <w:szCs w:val="28"/>
        </w:rPr>
        <w:t>El derecho a educación e inclusión de calidad</w:t>
      </w:r>
    </w:p>
    <w:p w:rsidR="00552D89" w:rsidRDefault="00552D89" w:rsidP="007C4C69">
      <w:pPr>
        <w:pBdr>
          <w:top w:val="nil"/>
          <w:left w:val="nil"/>
          <w:bottom w:val="nil"/>
          <w:right w:val="nil"/>
          <w:between w:val="nil"/>
        </w:pBdr>
        <w:spacing w:after="0"/>
        <w:rPr>
          <w:rFonts w:ascii="Garamond" w:eastAsia="Garamond" w:hAnsi="Garamond" w:cs="Garamond"/>
          <w:b/>
          <w:sz w:val="28"/>
          <w:szCs w:val="28"/>
        </w:rPr>
      </w:pPr>
    </w:p>
    <w:tbl>
      <w:tblPr>
        <w:tblW w:w="945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620"/>
        <w:gridCol w:w="7830"/>
      </w:tblGrid>
      <w:tr w:rsidR="00552D89" w:rsidRPr="00776D93" w:rsidTr="001B6DEB">
        <w:trPr>
          <w:trHeight w:val="719"/>
        </w:trPr>
        <w:tc>
          <w:tcPr>
            <w:tcW w:w="1620" w:type="dxa"/>
            <w:vAlign w:val="center"/>
          </w:tcPr>
          <w:p w:rsidR="00552D89" w:rsidRPr="001B6DEB" w:rsidRDefault="00552D89" w:rsidP="00FE0DE5">
            <w:pPr>
              <w:spacing w:after="0" w:line="240" w:lineRule="auto"/>
              <w:jc w:val="both"/>
              <w:rPr>
                <w:rFonts w:ascii="Garamond" w:eastAsia="Garamond" w:hAnsi="Garamond" w:cs="Garamond"/>
                <w:b/>
                <w:color w:val="4472C4" w:themeColor="accent5"/>
                <w:sz w:val="20"/>
                <w:szCs w:val="20"/>
              </w:rPr>
            </w:pPr>
            <w:r w:rsidRPr="00776D93">
              <w:rPr>
                <w:rFonts w:ascii="Garamond" w:eastAsia="Garamond" w:hAnsi="Garamond" w:cs="Garamond"/>
                <w:b/>
                <w:color w:val="4472C4" w:themeColor="accent5"/>
                <w:sz w:val="20"/>
                <w:szCs w:val="20"/>
              </w:rPr>
              <w:t>RECOMENDACIÓN</w:t>
            </w:r>
          </w:p>
        </w:tc>
        <w:tc>
          <w:tcPr>
            <w:tcW w:w="7830" w:type="dxa"/>
            <w:vAlign w:val="center"/>
          </w:tcPr>
          <w:p w:rsidR="00552D89" w:rsidRPr="001B6DEB" w:rsidRDefault="00552D89" w:rsidP="001B6DEB">
            <w:pPr>
              <w:spacing w:after="0" w:line="240" w:lineRule="auto"/>
              <w:rPr>
                <w:rFonts w:ascii="Garamond" w:hAnsi="Garamond" w:cstheme="majorHAnsi"/>
                <w:b/>
                <w:sz w:val="20"/>
                <w:szCs w:val="20"/>
              </w:rPr>
            </w:pPr>
            <w:r w:rsidRPr="00776D93">
              <w:rPr>
                <w:rFonts w:ascii="Garamond" w:hAnsi="Garamond" w:cstheme="majorHAnsi"/>
                <w:b/>
                <w:sz w:val="20"/>
                <w:szCs w:val="20"/>
              </w:rPr>
              <w:t>Educación sexual integral,</w:t>
            </w:r>
            <w:r w:rsidRPr="00776D93">
              <w:rPr>
                <w:rFonts w:ascii="Garamond" w:hAnsi="Garamond" w:cstheme="majorHAnsi"/>
                <w:sz w:val="20"/>
                <w:szCs w:val="20"/>
              </w:rPr>
              <w:t xml:space="preserve"> EPU 2017</w:t>
            </w:r>
            <w:r w:rsidRPr="00776D93">
              <w:rPr>
                <w:rStyle w:val="EndnoteReference"/>
                <w:rFonts w:ascii="Garamond" w:hAnsi="Garamond" w:cstheme="majorHAnsi"/>
                <w:sz w:val="20"/>
                <w:szCs w:val="20"/>
              </w:rPr>
              <w:endnoteReference w:id="99"/>
            </w:r>
            <w:r w:rsidRPr="00776D93">
              <w:rPr>
                <w:rFonts w:ascii="Garamond" w:hAnsi="Garamond" w:cstheme="majorHAnsi"/>
                <w:sz w:val="20"/>
                <w:szCs w:val="20"/>
              </w:rPr>
              <w:t xml:space="preserve"> </w:t>
            </w:r>
          </w:p>
        </w:tc>
      </w:tr>
      <w:tr w:rsidR="00552D89" w:rsidRPr="00776D93" w:rsidTr="00FE0DE5">
        <w:trPr>
          <w:trHeight w:val="463"/>
        </w:trPr>
        <w:tc>
          <w:tcPr>
            <w:tcW w:w="1620" w:type="dxa"/>
            <w:shd w:val="clear" w:color="auto" w:fill="B4C6E7" w:themeFill="accent5" w:themeFillTint="66"/>
          </w:tcPr>
          <w:p w:rsidR="00552D89" w:rsidRPr="00776D93" w:rsidRDefault="00552D89" w:rsidP="00FE0DE5">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r w:rsidRPr="00776D93">
              <w:rPr>
                <w:rFonts w:ascii="Garamond" w:eastAsia="Garamond" w:hAnsi="Garamond" w:cs="Garamond"/>
                <w:b/>
                <w:color w:val="4472C4" w:themeColor="accent5"/>
                <w:sz w:val="20"/>
                <w:szCs w:val="20"/>
              </w:rPr>
              <w:t>1. NIVEL DE IMPLEMENTACIÓN</w:t>
            </w:r>
          </w:p>
        </w:tc>
        <w:tc>
          <w:tcPr>
            <w:tcW w:w="7830" w:type="dxa"/>
            <w:shd w:val="clear" w:color="auto" w:fill="B4C6E7" w:themeFill="accent5" w:themeFillTint="66"/>
          </w:tcPr>
          <w:p w:rsidR="00552D89" w:rsidRPr="00776D93" w:rsidRDefault="00552D89" w:rsidP="00FE0DE5">
            <w:pPr>
              <w:spacing w:after="0" w:line="240" w:lineRule="auto"/>
              <w:jc w:val="both"/>
              <w:rPr>
                <w:rFonts w:ascii="Garamond" w:eastAsia="Garamond" w:hAnsi="Garamond" w:cs="Garamond"/>
                <w:sz w:val="20"/>
                <w:szCs w:val="20"/>
              </w:rPr>
            </w:pPr>
          </w:p>
          <w:p w:rsidR="00552D89" w:rsidRPr="00776D93" w:rsidRDefault="00552D89" w:rsidP="00FE0DE5">
            <w:pPr>
              <w:spacing w:after="0" w:line="240" w:lineRule="auto"/>
              <w:jc w:val="both"/>
              <w:rPr>
                <w:rFonts w:ascii="Garamond" w:eastAsia="Garamond" w:hAnsi="Garamond" w:cs="Garamond"/>
                <w:b/>
                <w:color w:val="FF0000"/>
                <w:sz w:val="20"/>
                <w:szCs w:val="20"/>
              </w:rPr>
            </w:pPr>
            <w:r w:rsidRPr="00776D93">
              <w:rPr>
                <w:rFonts w:ascii="Garamond" w:eastAsia="Garamond" w:hAnsi="Garamond" w:cs="Garamond"/>
                <w:b/>
                <w:color w:val="FF0000"/>
                <w:sz w:val="20"/>
                <w:szCs w:val="20"/>
              </w:rPr>
              <w:t>No se ha aplicado</w:t>
            </w:r>
          </w:p>
          <w:p w:rsidR="00552D89" w:rsidRPr="00776D93" w:rsidRDefault="00552D89" w:rsidP="00FE0DE5">
            <w:pPr>
              <w:spacing w:after="0" w:line="240" w:lineRule="auto"/>
              <w:jc w:val="both"/>
              <w:rPr>
                <w:rFonts w:ascii="Garamond" w:eastAsia="Garamond" w:hAnsi="Garamond" w:cs="Garamond"/>
                <w:sz w:val="20"/>
                <w:szCs w:val="20"/>
                <w:highlight w:val="yellow"/>
              </w:rPr>
            </w:pPr>
          </w:p>
        </w:tc>
      </w:tr>
      <w:tr w:rsidR="00552D89" w:rsidRPr="00776D93" w:rsidTr="00117121">
        <w:tc>
          <w:tcPr>
            <w:tcW w:w="1620" w:type="dxa"/>
          </w:tcPr>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p>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r w:rsidRPr="00776D93">
              <w:rPr>
                <w:rFonts w:ascii="Garamond" w:eastAsia="Garamond" w:hAnsi="Garamond" w:cs="Garamond"/>
                <w:b/>
                <w:color w:val="4472C4" w:themeColor="accent5"/>
                <w:sz w:val="20"/>
                <w:szCs w:val="20"/>
              </w:rPr>
              <w:t>2. CONTEXTO</w:t>
            </w:r>
          </w:p>
          <w:p w:rsidR="00552D89" w:rsidRPr="00776D93" w:rsidRDefault="00552D89" w:rsidP="00117121">
            <w:pPr>
              <w:pBdr>
                <w:top w:val="nil"/>
                <w:left w:val="nil"/>
                <w:bottom w:val="nil"/>
                <w:right w:val="nil"/>
                <w:between w:val="nil"/>
              </w:pBdr>
              <w:spacing w:after="0" w:line="240" w:lineRule="auto"/>
              <w:ind w:left="720"/>
              <w:jc w:val="both"/>
              <w:rPr>
                <w:rFonts w:ascii="Garamond" w:eastAsia="Garamond" w:hAnsi="Garamond" w:cs="Garamond"/>
                <w:color w:val="4472C4" w:themeColor="accent5"/>
                <w:sz w:val="20"/>
                <w:szCs w:val="20"/>
              </w:rPr>
            </w:pPr>
          </w:p>
        </w:tc>
        <w:tc>
          <w:tcPr>
            <w:tcW w:w="7830" w:type="dxa"/>
          </w:tcPr>
          <w:p w:rsidR="00552D89" w:rsidRPr="00776D93" w:rsidRDefault="00552D89" w:rsidP="00FE0DE5">
            <w:pPr>
              <w:spacing w:after="0" w:line="240" w:lineRule="auto"/>
              <w:jc w:val="both"/>
              <w:rPr>
                <w:rFonts w:ascii="Garamond" w:hAnsi="Garamond" w:cstheme="majorHAnsi"/>
                <w:sz w:val="20"/>
                <w:szCs w:val="20"/>
              </w:rPr>
            </w:pPr>
            <w:r w:rsidRPr="00776D93">
              <w:rPr>
                <w:rFonts w:ascii="Garamond" w:hAnsi="Garamond" w:cstheme="majorHAnsi"/>
                <w:sz w:val="20"/>
                <w:szCs w:val="20"/>
              </w:rPr>
              <w:t>El currículo nacional de educación básica, CNEB</w:t>
            </w:r>
            <w:r w:rsidRPr="00776D93">
              <w:rPr>
                <w:rStyle w:val="EndnoteReference"/>
                <w:rFonts w:ascii="Garamond" w:hAnsi="Garamond" w:cstheme="majorHAnsi"/>
                <w:sz w:val="20"/>
                <w:szCs w:val="20"/>
              </w:rPr>
              <w:endnoteReference w:id="100"/>
            </w:r>
            <w:r w:rsidRPr="00776D93">
              <w:rPr>
                <w:rFonts w:ascii="Garamond" w:hAnsi="Garamond" w:cstheme="majorHAnsi"/>
                <w:sz w:val="20"/>
                <w:szCs w:val="20"/>
              </w:rPr>
              <w:t>, y la serie de currículos de formación docente para educación inicial, primaria y secundaria</w:t>
            </w:r>
            <w:r w:rsidRPr="00776D93">
              <w:rPr>
                <w:rStyle w:val="EndnoteReference"/>
                <w:rFonts w:ascii="Garamond" w:hAnsi="Garamond" w:cstheme="majorHAnsi"/>
                <w:sz w:val="20"/>
                <w:szCs w:val="20"/>
              </w:rPr>
              <w:endnoteReference w:id="101"/>
            </w:r>
            <w:r w:rsidRPr="00776D93">
              <w:rPr>
                <w:rFonts w:ascii="Garamond" w:hAnsi="Garamond" w:cstheme="majorHAnsi"/>
                <w:sz w:val="20"/>
                <w:szCs w:val="20"/>
              </w:rPr>
              <w:t xml:space="preserve"> demandan el enfoque transversal de género, que incluye el desarrollo de la ESI y la salud sexual y reproductiva pero los docentes no han sido preparados para implementarlas en las escuelas ni en los centros de formación docente. La falta de ESI ha contribuido al incremento del embarazo adolescente, casi siempre producto de la violencia sexual contra niñas y adolescentes. </w:t>
            </w:r>
          </w:p>
          <w:p w:rsidR="00552D89" w:rsidRPr="00776D93" w:rsidRDefault="00552D89" w:rsidP="00FE0DE5">
            <w:pPr>
              <w:spacing w:after="0" w:line="240" w:lineRule="auto"/>
              <w:jc w:val="both"/>
              <w:rPr>
                <w:rFonts w:ascii="Garamond" w:eastAsia="Garamond" w:hAnsi="Garamond" w:cs="Garamond"/>
                <w:color w:val="000000"/>
                <w:sz w:val="20"/>
                <w:szCs w:val="20"/>
              </w:rPr>
            </w:pPr>
            <w:r w:rsidRPr="00776D93">
              <w:rPr>
                <w:rFonts w:ascii="Garamond" w:hAnsi="Garamond" w:cstheme="majorHAnsi"/>
                <w:sz w:val="20"/>
                <w:szCs w:val="20"/>
              </w:rPr>
              <w:t>La ley 31498</w:t>
            </w:r>
            <w:r w:rsidRPr="00776D93">
              <w:rPr>
                <w:rStyle w:val="EndnoteReference"/>
                <w:rFonts w:ascii="Garamond" w:hAnsi="Garamond" w:cstheme="majorHAnsi"/>
                <w:sz w:val="20"/>
                <w:szCs w:val="20"/>
              </w:rPr>
              <w:endnoteReference w:id="102"/>
            </w:r>
            <w:r w:rsidRPr="00776D93">
              <w:rPr>
                <w:rFonts w:ascii="Garamond" w:hAnsi="Garamond" w:cstheme="majorHAnsi"/>
                <w:sz w:val="20"/>
                <w:szCs w:val="20"/>
              </w:rPr>
              <w:t xml:space="preserve"> no permitirá que la ESI sea implementada en las escuelas públicas.</w:t>
            </w:r>
          </w:p>
        </w:tc>
      </w:tr>
      <w:tr w:rsidR="00552D89" w:rsidRPr="00776D93" w:rsidTr="00FE0DE5">
        <w:trPr>
          <w:trHeight w:val="1241"/>
        </w:trPr>
        <w:tc>
          <w:tcPr>
            <w:tcW w:w="1620" w:type="dxa"/>
            <w:shd w:val="clear" w:color="auto" w:fill="B4C6E7" w:themeFill="accent5" w:themeFillTint="66"/>
          </w:tcPr>
          <w:p w:rsidR="00552D89" w:rsidRPr="00776D93" w:rsidRDefault="00552D89" w:rsidP="00FE0DE5">
            <w:pPr>
              <w:pBdr>
                <w:top w:val="nil"/>
                <w:left w:val="nil"/>
                <w:bottom w:val="nil"/>
                <w:right w:val="nil"/>
                <w:between w:val="nil"/>
              </w:pBdr>
              <w:spacing w:after="0" w:line="240" w:lineRule="auto"/>
              <w:jc w:val="both"/>
              <w:rPr>
                <w:rFonts w:ascii="Garamond" w:eastAsia="Garamond" w:hAnsi="Garamond" w:cs="Garamond"/>
                <w:color w:val="0070C0"/>
                <w:sz w:val="20"/>
                <w:szCs w:val="20"/>
              </w:rPr>
            </w:pPr>
            <w:r w:rsidRPr="00776D93">
              <w:rPr>
                <w:rFonts w:ascii="Garamond" w:eastAsia="Garamond" w:hAnsi="Garamond" w:cs="Garamond"/>
                <w:b/>
                <w:color w:val="0070C0"/>
                <w:sz w:val="20"/>
                <w:szCs w:val="20"/>
              </w:rPr>
              <w:t>3. RECOMENDACIONES AL ESTADO PERUANO</w:t>
            </w:r>
          </w:p>
        </w:tc>
        <w:tc>
          <w:tcPr>
            <w:tcW w:w="7830" w:type="dxa"/>
            <w:shd w:val="clear" w:color="auto" w:fill="B4C6E7" w:themeFill="accent5" w:themeFillTint="66"/>
          </w:tcPr>
          <w:p w:rsidR="00552D89" w:rsidRPr="00776D93" w:rsidRDefault="00552D89" w:rsidP="00FE0DE5">
            <w:pPr>
              <w:spacing w:after="0" w:line="240" w:lineRule="auto"/>
              <w:jc w:val="both"/>
              <w:rPr>
                <w:rFonts w:ascii="Garamond" w:eastAsia="Garamond" w:hAnsi="Garamond" w:cs="Garamond"/>
                <w:sz w:val="20"/>
                <w:szCs w:val="20"/>
              </w:rPr>
            </w:pPr>
            <w:r w:rsidRPr="00776D93">
              <w:rPr>
                <w:rFonts w:ascii="Garamond" w:eastAsia="Garamond" w:hAnsi="Garamond" w:cs="Garamond"/>
                <w:sz w:val="20"/>
                <w:szCs w:val="20"/>
              </w:rPr>
              <w:t>• Derogar la Ley 31498.</w:t>
            </w:r>
          </w:p>
          <w:p w:rsidR="00552D89" w:rsidRPr="00776D93" w:rsidRDefault="00552D89" w:rsidP="00FE0DE5">
            <w:pPr>
              <w:spacing w:after="0" w:line="240" w:lineRule="auto"/>
              <w:jc w:val="both"/>
              <w:rPr>
                <w:rFonts w:ascii="Garamond" w:eastAsia="Garamond" w:hAnsi="Garamond" w:cs="Garamond"/>
                <w:sz w:val="20"/>
                <w:szCs w:val="20"/>
                <w:highlight w:val="yellow"/>
              </w:rPr>
            </w:pPr>
            <w:r w:rsidRPr="00776D93">
              <w:rPr>
                <w:rFonts w:ascii="Garamond" w:eastAsia="Garamond" w:hAnsi="Garamond" w:cs="Garamond"/>
                <w:sz w:val="20"/>
                <w:szCs w:val="20"/>
              </w:rPr>
              <w:t>•</w:t>
            </w:r>
            <w:r w:rsidRPr="00776D93">
              <w:rPr>
                <w:rFonts w:ascii="Garamond" w:hAnsi="Garamond" w:cstheme="majorHAnsi"/>
                <w:sz w:val="20"/>
                <w:szCs w:val="20"/>
              </w:rPr>
              <w:t xml:space="preserve"> Dictar medidas urgentes para preparar al magisterio en el desarrollo de la ESI y salud sexual y reproductiva en la educación básica y en los programas de formación inicial y continua de los docentes.</w:t>
            </w:r>
          </w:p>
        </w:tc>
      </w:tr>
      <w:tr w:rsidR="00552D89" w:rsidRPr="00776D93" w:rsidTr="00117121">
        <w:trPr>
          <w:trHeight w:val="789"/>
        </w:trPr>
        <w:tc>
          <w:tcPr>
            <w:tcW w:w="1620" w:type="dxa"/>
            <w:vAlign w:val="center"/>
          </w:tcPr>
          <w:p w:rsidR="00552D89" w:rsidRPr="00776D93" w:rsidRDefault="00552D89" w:rsidP="00117121">
            <w:pPr>
              <w:spacing w:after="0" w:line="240" w:lineRule="auto"/>
              <w:jc w:val="both"/>
              <w:rPr>
                <w:rFonts w:ascii="Garamond" w:eastAsia="Garamond" w:hAnsi="Garamond" w:cs="Garamond"/>
                <w:color w:val="0070C0"/>
                <w:sz w:val="20"/>
                <w:szCs w:val="20"/>
              </w:rPr>
            </w:pPr>
          </w:p>
          <w:p w:rsidR="00552D89" w:rsidRPr="00776D93" w:rsidRDefault="00552D89" w:rsidP="00117121">
            <w:pPr>
              <w:spacing w:after="0" w:line="240" w:lineRule="auto"/>
              <w:jc w:val="both"/>
              <w:rPr>
                <w:rFonts w:ascii="Garamond" w:eastAsia="Garamond" w:hAnsi="Garamond" w:cs="Garamond"/>
                <w:b/>
                <w:color w:val="4472C4" w:themeColor="accent5"/>
                <w:sz w:val="20"/>
                <w:szCs w:val="20"/>
              </w:rPr>
            </w:pPr>
            <w:r w:rsidRPr="00776D93">
              <w:rPr>
                <w:rFonts w:ascii="Garamond" w:eastAsia="Garamond" w:hAnsi="Garamond" w:cs="Garamond"/>
                <w:b/>
                <w:color w:val="4472C4" w:themeColor="accent5"/>
                <w:sz w:val="20"/>
                <w:szCs w:val="20"/>
              </w:rPr>
              <w:t>RECOMENDACIÓN</w:t>
            </w:r>
          </w:p>
          <w:p w:rsidR="00552D89" w:rsidRPr="00776D93" w:rsidRDefault="00552D89" w:rsidP="00117121">
            <w:pPr>
              <w:spacing w:after="0" w:line="240" w:lineRule="auto"/>
              <w:jc w:val="both"/>
              <w:rPr>
                <w:rFonts w:ascii="Garamond" w:eastAsia="Garamond" w:hAnsi="Garamond" w:cs="Garamond"/>
                <w:sz w:val="20"/>
                <w:szCs w:val="20"/>
              </w:rPr>
            </w:pPr>
          </w:p>
        </w:tc>
        <w:tc>
          <w:tcPr>
            <w:tcW w:w="7830" w:type="dxa"/>
            <w:vAlign w:val="center"/>
          </w:tcPr>
          <w:p w:rsidR="00552D89" w:rsidRPr="00776D93" w:rsidRDefault="00552D89" w:rsidP="00FE0DE5">
            <w:pPr>
              <w:spacing w:after="0" w:line="240" w:lineRule="auto"/>
              <w:jc w:val="both"/>
              <w:rPr>
                <w:rFonts w:ascii="Garamond" w:hAnsi="Garamond" w:cstheme="majorHAnsi"/>
                <w:sz w:val="20"/>
                <w:szCs w:val="20"/>
              </w:rPr>
            </w:pPr>
            <w:r w:rsidRPr="00776D93">
              <w:rPr>
                <w:rFonts w:ascii="Garamond" w:eastAsia="Garamond" w:hAnsi="Garamond" w:cs="Garamond"/>
                <w:b/>
                <w:sz w:val="20"/>
                <w:szCs w:val="20"/>
              </w:rPr>
              <w:t>Educación Básica Universal</w:t>
            </w:r>
            <w:r w:rsidRPr="00776D93">
              <w:rPr>
                <w:rFonts w:ascii="Garamond" w:eastAsia="Garamond" w:hAnsi="Garamond" w:cs="Garamond"/>
                <w:sz w:val="20"/>
                <w:szCs w:val="20"/>
              </w:rPr>
              <w:t xml:space="preserve">, EPU </w:t>
            </w:r>
            <w:r w:rsidRPr="00776D93">
              <w:rPr>
                <w:rFonts w:ascii="Garamond" w:hAnsi="Garamond" w:cstheme="majorHAnsi"/>
                <w:sz w:val="20"/>
                <w:szCs w:val="20"/>
              </w:rPr>
              <w:t>2012</w:t>
            </w:r>
            <w:r w:rsidRPr="00776D93">
              <w:rPr>
                <w:rStyle w:val="EndnoteReference"/>
                <w:rFonts w:ascii="Garamond" w:hAnsi="Garamond" w:cstheme="majorHAnsi"/>
                <w:sz w:val="20"/>
                <w:szCs w:val="20"/>
              </w:rPr>
              <w:endnoteReference w:id="103"/>
            </w:r>
            <w:r w:rsidRPr="00776D93">
              <w:rPr>
                <w:rFonts w:ascii="Garamond" w:hAnsi="Garamond" w:cstheme="majorHAnsi"/>
                <w:sz w:val="20"/>
                <w:szCs w:val="20"/>
              </w:rPr>
              <w:t xml:space="preserve"> y 2017</w:t>
            </w:r>
            <w:r w:rsidRPr="00776D93">
              <w:rPr>
                <w:rStyle w:val="EndnoteReference"/>
                <w:rFonts w:ascii="Garamond" w:hAnsi="Garamond" w:cstheme="majorHAnsi"/>
                <w:sz w:val="20"/>
                <w:szCs w:val="20"/>
              </w:rPr>
              <w:endnoteReference w:id="104"/>
            </w:r>
          </w:p>
          <w:p w:rsidR="00552D89" w:rsidRPr="00776D93" w:rsidRDefault="00552D89" w:rsidP="00FE0DE5">
            <w:pPr>
              <w:spacing w:after="0" w:line="240" w:lineRule="auto"/>
              <w:jc w:val="both"/>
              <w:rPr>
                <w:rFonts w:ascii="Garamond" w:hAnsi="Garamond" w:cstheme="majorHAnsi"/>
                <w:sz w:val="20"/>
                <w:szCs w:val="20"/>
              </w:rPr>
            </w:pPr>
            <w:r w:rsidRPr="00776D93">
              <w:rPr>
                <w:rFonts w:ascii="Garamond" w:hAnsi="Garamond" w:cstheme="majorHAnsi"/>
                <w:sz w:val="20"/>
                <w:szCs w:val="20"/>
              </w:rPr>
              <w:t>ODS 4.1, 4.2 y 4.6</w:t>
            </w:r>
            <w:r w:rsidRPr="00776D93">
              <w:rPr>
                <w:rStyle w:val="EndnoteReference"/>
                <w:rFonts w:ascii="Garamond" w:hAnsi="Garamond" w:cstheme="majorHAnsi"/>
                <w:sz w:val="20"/>
                <w:szCs w:val="20"/>
              </w:rPr>
              <w:endnoteReference w:id="105"/>
            </w:r>
          </w:p>
          <w:p w:rsidR="00552D89" w:rsidRPr="00776D93" w:rsidRDefault="00552D89" w:rsidP="00FE0DE5">
            <w:pPr>
              <w:spacing w:after="0" w:line="240" w:lineRule="auto"/>
              <w:jc w:val="both"/>
              <w:rPr>
                <w:rFonts w:ascii="Garamond" w:hAnsi="Garamond" w:cstheme="majorHAnsi"/>
                <w:sz w:val="20"/>
                <w:szCs w:val="20"/>
              </w:rPr>
            </w:pPr>
            <w:r w:rsidRPr="00776D93">
              <w:rPr>
                <w:rFonts w:ascii="Garamond" w:hAnsi="Garamond" w:cstheme="majorHAnsi"/>
                <w:sz w:val="20"/>
                <w:szCs w:val="20"/>
              </w:rPr>
              <w:t>Proyecto Educativo Nacional</w:t>
            </w:r>
            <w:r w:rsidRPr="00776D93">
              <w:rPr>
                <w:rStyle w:val="EndnoteReference"/>
                <w:rFonts w:ascii="Garamond" w:hAnsi="Garamond" w:cstheme="majorHAnsi"/>
                <w:sz w:val="20"/>
                <w:szCs w:val="20"/>
              </w:rPr>
              <w:endnoteReference w:id="106"/>
            </w:r>
          </w:p>
        </w:tc>
      </w:tr>
      <w:tr w:rsidR="00552D89" w:rsidRPr="00776D93" w:rsidTr="00FE0DE5">
        <w:trPr>
          <w:trHeight w:val="463"/>
        </w:trPr>
        <w:tc>
          <w:tcPr>
            <w:tcW w:w="1620" w:type="dxa"/>
            <w:shd w:val="clear" w:color="auto" w:fill="B4C6E7" w:themeFill="accent5" w:themeFillTint="66"/>
          </w:tcPr>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r w:rsidRPr="00776D93">
              <w:rPr>
                <w:rFonts w:ascii="Garamond" w:eastAsia="Garamond" w:hAnsi="Garamond" w:cs="Garamond"/>
                <w:b/>
                <w:color w:val="4472C4" w:themeColor="accent5"/>
                <w:sz w:val="20"/>
                <w:szCs w:val="20"/>
              </w:rPr>
              <w:lastRenderedPageBreak/>
              <w:t>1. NIVEL DE IMPLEMENTACIÓN</w:t>
            </w:r>
          </w:p>
        </w:tc>
        <w:tc>
          <w:tcPr>
            <w:tcW w:w="7830" w:type="dxa"/>
            <w:shd w:val="clear" w:color="auto" w:fill="B4C6E7" w:themeFill="accent5" w:themeFillTint="66"/>
          </w:tcPr>
          <w:p w:rsidR="00552D89" w:rsidRPr="00776D93" w:rsidRDefault="00552D89" w:rsidP="00FE0DE5">
            <w:pPr>
              <w:spacing w:after="0" w:line="240" w:lineRule="auto"/>
              <w:jc w:val="both"/>
              <w:rPr>
                <w:rFonts w:ascii="Garamond" w:eastAsia="Garamond" w:hAnsi="Garamond" w:cs="Garamond"/>
                <w:sz w:val="20"/>
                <w:szCs w:val="20"/>
              </w:rPr>
            </w:pPr>
          </w:p>
          <w:p w:rsidR="00552D89" w:rsidRPr="00776D93" w:rsidRDefault="00552D89" w:rsidP="00FE0DE5">
            <w:pPr>
              <w:spacing w:after="0" w:line="240" w:lineRule="auto"/>
              <w:jc w:val="both"/>
              <w:rPr>
                <w:rFonts w:ascii="Garamond" w:eastAsia="Garamond" w:hAnsi="Garamond" w:cs="Garamond"/>
                <w:sz w:val="20"/>
                <w:szCs w:val="20"/>
                <w:highlight w:val="yellow"/>
              </w:rPr>
            </w:pPr>
            <w:r w:rsidRPr="00776D93">
              <w:rPr>
                <w:rFonts w:ascii="Garamond" w:eastAsia="Garamond" w:hAnsi="Garamond" w:cs="Garamond"/>
                <w:b/>
                <w:color w:val="ED7D31" w:themeColor="accent2"/>
                <w:sz w:val="20"/>
                <w:szCs w:val="20"/>
              </w:rPr>
              <w:t>Aplicado parcialmente</w:t>
            </w:r>
          </w:p>
        </w:tc>
      </w:tr>
      <w:tr w:rsidR="00552D89" w:rsidRPr="00776D93" w:rsidTr="00117121">
        <w:tc>
          <w:tcPr>
            <w:tcW w:w="1620" w:type="dxa"/>
          </w:tcPr>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p>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r w:rsidRPr="00776D93">
              <w:rPr>
                <w:rFonts w:ascii="Garamond" w:eastAsia="Garamond" w:hAnsi="Garamond" w:cs="Garamond"/>
                <w:b/>
                <w:color w:val="4472C4" w:themeColor="accent5"/>
                <w:sz w:val="20"/>
                <w:szCs w:val="20"/>
              </w:rPr>
              <w:t>2. CONTEXTO</w:t>
            </w:r>
          </w:p>
          <w:p w:rsidR="00552D89" w:rsidRPr="00776D93" w:rsidRDefault="00552D89" w:rsidP="00117121">
            <w:pPr>
              <w:pBdr>
                <w:top w:val="nil"/>
                <w:left w:val="nil"/>
                <w:bottom w:val="nil"/>
                <w:right w:val="nil"/>
                <w:between w:val="nil"/>
              </w:pBdr>
              <w:spacing w:after="0" w:line="240" w:lineRule="auto"/>
              <w:ind w:left="720"/>
              <w:jc w:val="both"/>
              <w:rPr>
                <w:rFonts w:ascii="Garamond" w:eastAsia="Garamond" w:hAnsi="Garamond" w:cs="Garamond"/>
                <w:color w:val="4472C4" w:themeColor="accent5"/>
                <w:sz w:val="20"/>
                <w:szCs w:val="20"/>
              </w:rPr>
            </w:pPr>
          </w:p>
        </w:tc>
        <w:tc>
          <w:tcPr>
            <w:tcW w:w="7830" w:type="dxa"/>
          </w:tcPr>
          <w:p w:rsidR="00552D89" w:rsidRPr="00776D93" w:rsidRDefault="00552D89" w:rsidP="00FE0DE5">
            <w:pPr>
              <w:spacing w:after="0" w:line="240" w:lineRule="auto"/>
              <w:jc w:val="both"/>
              <w:rPr>
                <w:rFonts w:ascii="Garamond" w:hAnsi="Garamond" w:cstheme="majorHAnsi"/>
                <w:sz w:val="20"/>
                <w:szCs w:val="20"/>
              </w:rPr>
            </w:pPr>
            <w:r w:rsidRPr="00776D93">
              <w:rPr>
                <w:rFonts w:ascii="Garamond" w:hAnsi="Garamond" w:cstheme="majorHAnsi"/>
                <w:sz w:val="20"/>
                <w:szCs w:val="20"/>
              </w:rPr>
              <w:t>Hasta el 2019 hubo avances significativos en cobertura en los niveles de educación inicial (93.1%), primaria (97.1%) y secundaria (87%) a nivel nacional, incluyendo a la niñez pobre, indígena y de áreas rurales. La cobertura de programas de desarrollo infantil temprano (DIT) para menores de 3 años sí es de apenas el 11% de la población meta.</w:t>
            </w:r>
          </w:p>
          <w:p w:rsidR="00552D89" w:rsidRPr="00776D93" w:rsidRDefault="00552D89" w:rsidP="00FE0DE5">
            <w:pPr>
              <w:spacing w:after="0" w:line="240" w:lineRule="auto"/>
              <w:jc w:val="both"/>
              <w:rPr>
                <w:rFonts w:ascii="Garamond" w:hAnsi="Garamond" w:cstheme="majorHAnsi"/>
                <w:sz w:val="20"/>
                <w:szCs w:val="20"/>
              </w:rPr>
            </w:pPr>
            <w:r w:rsidRPr="00776D93">
              <w:rPr>
                <w:rFonts w:ascii="Garamond" w:hAnsi="Garamond" w:cstheme="majorHAnsi"/>
                <w:sz w:val="20"/>
                <w:szCs w:val="20"/>
              </w:rPr>
              <w:t>El cierre de las escuelas y la obligación de la educación a distancia por la pandemia impactó en el acceso y asistencia a las clases dictadas por radio, televisión e internet. El MINEDU produjo lecciones en lenguas originarias para radio e internet y un programa para TV en quechua, pero la falta de electricidad y conectividad imposibilitaron a la población escolar indígena en áreas rurales acceder a ellas. No hay data precisa sobre cuántos escolares pudieron beneficiarse efectivamente con esas lecciones. Esta desigualdad en infraestructura no ha permitido una asistencia regular a clases a distancia o incluso miles de escolares no accedieron a ellas.</w:t>
            </w:r>
          </w:p>
          <w:p w:rsidR="00552D89" w:rsidRPr="00776D93" w:rsidRDefault="00552D89" w:rsidP="00FE0DE5">
            <w:pPr>
              <w:spacing w:after="0" w:line="240" w:lineRule="auto"/>
              <w:jc w:val="both"/>
              <w:rPr>
                <w:rFonts w:ascii="Garamond" w:hAnsi="Garamond" w:cstheme="majorHAnsi"/>
                <w:sz w:val="20"/>
                <w:szCs w:val="20"/>
              </w:rPr>
            </w:pPr>
            <w:r w:rsidRPr="00776D93">
              <w:rPr>
                <w:rFonts w:ascii="Garamond" w:hAnsi="Garamond" w:cstheme="majorHAnsi"/>
                <w:sz w:val="20"/>
                <w:szCs w:val="20"/>
              </w:rPr>
              <w:t>Por razones económicas, más de 700 mil escolares dejaron de estudiar y una cifra similar migró de las escuelas privadas de bajo costo a la escuela pública, donde no todos han sido acogidos.</w:t>
            </w:r>
          </w:p>
          <w:p w:rsidR="00552D89" w:rsidRPr="00776D93" w:rsidRDefault="00552D89" w:rsidP="00FE0DE5">
            <w:pPr>
              <w:spacing w:after="0" w:line="240" w:lineRule="auto"/>
              <w:jc w:val="both"/>
              <w:rPr>
                <w:rFonts w:ascii="Garamond" w:hAnsi="Garamond" w:cstheme="majorHAnsi"/>
                <w:sz w:val="20"/>
                <w:szCs w:val="20"/>
              </w:rPr>
            </w:pPr>
          </w:p>
          <w:p w:rsidR="00552D89" w:rsidRPr="00776D93" w:rsidRDefault="00552D89" w:rsidP="00FE0DE5">
            <w:pPr>
              <w:spacing w:after="0" w:line="240" w:lineRule="auto"/>
              <w:jc w:val="both"/>
              <w:rPr>
                <w:rFonts w:ascii="Garamond" w:hAnsi="Garamond" w:cstheme="majorHAnsi"/>
                <w:b/>
                <w:sz w:val="20"/>
                <w:szCs w:val="20"/>
              </w:rPr>
            </w:pPr>
            <w:r w:rsidRPr="00776D93">
              <w:rPr>
                <w:rFonts w:ascii="Garamond" w:hAnsi="Garamond" w:cstheme="majorHAnsi"/>
                <w:b/>
                <w:sz w:val="20"/>
                <w:szCs w:val="20"/>
              </w:rPr>
              <w:t>Alfabetización</w:t>
            </w:r>
          </w:p>
          <w:p w:rsidR="00552D89" w:rsidRPr="00776D93" w:rsidRDefault="00552D89" w:rsidP="00284A7B">
            <w:pPr>
              <w:spacing w:after="0" w:line="240" w:lineRule="auto"/>
              <w:jc w:val="both"/>
              <w:rPr>
                <w:rFonts w:ascii="Garamond" w:eastAsia="Garamond" w:hAnsi="Garamond" w:cs="Garamond"/>
                <w:color w:val="000000"/>
                <w:sz w:val="20"/>
                <w:szCs w:val="20"/>
              </w:rPr>
            </w:pPr>
            <w:r w:rsidRPr="00776D93">
              <w:rPr>
                <w:rFonts w:ascii="Garamond" w:hAnsi="Garamond" w:cstheme="majorHAnsi"/>
                <w:sz w:val="20"/>
                <w:szCs w:val="20"/>
              </w:rPr>
              <w:t>En 2018</w:t>
            </w:r>
            <w:r w:rsidRPr="00776D93">
              <w:rPr>
                <w:rStyle w:val="EndnoteReference"/>
                <w:rFonts w:ascii="Garamond" w:hAnsi="Garamond" w:cstheme="majorHAnsi"/>
                <w:sz w:val="20"/>
                <w:szCs w:val="20"/>
              </w:rPr>
              <w:endnoteReference w:id="107"/>
            </w:r>
            <w:r w:rsidRPr="00776D93">
              <w:rPr>
                <w:rFonts w:ascii="Garamond" w:hAnsi="Garamond" w:cstheme="majorHAnsi"/>
                <w:sz w:val="20"/>
                <w:szCs w:val="20"/>
              </w:rPr>
              <w:t xml:space="preserve"> se registró 5,9% de analfabetismo; 3,4% en área urbana, 14,5 en área rural; 2,9% en hombres, 8,3% en mujeres; 3,0% en la Costa, 9,9 en la Sierra y 7,3% en la Selva. Afecta más a los pobres (14,1%) y a las mujeres pobres (21,5%). Analfabetismo y baja escolaridad son mayores en las mujeres indígenas: 27% alcanza nivel secundario, frente al 43.8% de los varones. 34% de mujeres indígenas mayores de 25 años no sabe leer ni escribir. El número de analfabetos en el país es mayor a los 8 millones.</w:t>
            </w:r>
          </w:p>
        </w:tc>
      </w:tr>
      <w:tr w:rsidR="00552D89" w:rsidRPr="00776D93" w:rsidTr="00FE0DE5">
        <w:trPr>
          <w:trHeight w:val="1530"/>
        </w:trPr>
        <w:tc>
          <w:tcPr>
            <w:tcW w:w="1620" w:type="dxa"/>
            <w:shd w:val="clear" w:color="auto" w:fill="B4C6E7" w:themeFill="accent5" w:themeFillTint="66"/>
          </w:tcPr>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0070C0"/>
                <w:sz w:val="20"/>
                <w:szCs w:val="20"/>
              </w:rPr>
            </w:pPr>
            <w:r w:rsidRPr="00776D93">
              <w:rPr>
                <w:rFonts w:ascii="Garamond" w:eastAsia="Garamond" w:hAnsi="Garamond" w:cs="Garamond"/>
                <w:b/>
                <w:color w:val="0070C0"/>
                <w:sz w:val="20"/>
                <w:szCs w:val="20"/>
              </w:rPr>
              <w:t>3. RECOMENDACIONES AL ESTADO PERUANO</w:t>
            </w:r>
          </w:p>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0070C0"/>
                <w:sz w:val="20"/>
                <w:szCs w:val="20"/>
              </w:rPr>
            </w:pPr>
          </w:p>
        </w:tc>
        <w:tc>
          <w:tcPr>
            <w:tcW w:w="7830" w:type="dxa"/>
            <w:shd w:val="clear" w:color="auto" w:fill="B4C6E7" w:themeFill="accent5" w:themeFillTint="66"/>
          </w:tcPr>
          <w:p w:rsidR="00552D89" w:rsidRPr="00776D93" w:rsidRDefault="00552D89" w:rsidP="00117121">
            <w:pPr>
              <w:spacing w:after="0" w:line="240" w:lineRule="auto"/>
              <w:jc w:val="both"/>
              <w:rPr>
                <w:rFonts w:ascii="Garamond" w:eastAsia="Garamond" w:hAnsi="Garamond" w:cs="Garamond"/>
                <w:sz w:val="20"/>
                <w:szCs w:val="20"/>
              </w:rPr>
            </w:pPr>
            <w:r w:rsidRPr="00776D93">
              <w:rPr>
                <w:rFonts w:ascii="Garamond" w:eastAsia="Garamond" w:hAnsi="Garamond" w:cs="Garamond"/>
                <w:sz w:val="20"/>
                <w:szCs w:val="20"/>
              </w:rPr>
              <w:t>•</w:t>
            </w:r>
            <w:r w:rsidRPr="00776D93">
              <w:rPr>
                <w:rFonts w:ascii="Garamond" w:hAnsi="Garamond"/>
                <w:sz w:val="20"/>
                <w:szCs w:val="20"/>
              </w:rPr>
              <w:t xml:space="preserve"> </w:t>
            </w:r>
            <w:r w:rsidRPr="00776D93">
              <w:rPr>
                <w:rFonts w:ascii="Garamond" w:eastAsia="Garamond" w:hAnsi="Garamond" w:cs="Garamond"/>
                <w:sz w:val="20"/>
                <w:szCs w:val="20"/>
              </w:rPr>
              <w:t xml:space="preserve">Medidas urgentes para recuperar a los escolares que dejaron de estudiar por razones económicas. </w:t>
            </w:r>
          </w:p>
          <w:p w:rsidR="00552D89" w:rsidRPr="00776D93" w:rsidRDefault="00552D89" w:rsidP="00117121">
            <w:pPr>
              <w:spacing w:after="0" w:line="240" w:lineRule="auto"/>
              <w:jc w:val="both"/>
              <w:rPr>
                <w:rFonts w:ascii="Garamond" w:eastAsia="Garamond" w:hAnsi="Garamond" w:cs="Garamond"/>
                <w:sz w:val="20"/>
                <w:szCs w:val="20"/>
              </w:rPr>
            </w:pPr>
            <w:r w:rsidRPr="00776D93">
              <w:rPr>
                <w:rFonts w:ascii="Garamond" w:eastAsia="Garamond" w:hAnsi="Garamond" w:cs="Garamond"/>
                <w:sz w:val="20"/>
                <w:szCs w:val="20"/>
              </w:rPr>
              <w:t>• Incrementar el presupuesto para crear las plazas de docentes y contar con los locales suficientes para recibir a los escolares trasladados de los colegios privados.</w:t>
            </w:r>
          </w:p>
          <w:p w:rsidR="00552D89" w:rsidRPr="00776D93" w:rsidRDefault="00552D89" w:rsidP="00117121">
            <w:pPr>
              <w:spacing w:after="0" w:line="240" w:lineRule="auto"/>
              <w:jc w:val="both"/>
              <w:rPr>
                <w:rFonts w:ascii="Garamond" w:eastAsia="Garamond" w:hAnsi="Garamond" w:cs="Garamond"/>
                <w:sz w:val="20"/>
                <w:szCs w:val="20"/>
              </w:rPr>
            </w:pPr>
            <w:r w:rsidRPr="00776D93">
              <w:rPr>
                <w:rFonts w:ascii="Garamond" w:eastAsia="Garamond" w:hAnsi="Garamond" w:cs="Garamond"/>
                <w:sz w:val="20"/>
                <w:szCs w:val="20"/>
              </w:rPr>
              <w:t xml:space="preserve">• Avanzar con las instalaciones de electricidad y conectividad en áreas rurales andinas y amazónicas que permitirán acceso a servicios de educación y salud. </w:t>
            </w:r>
          </w:p>
          <w:p w:rsidR="00552D89" w:rsidRPr="00776D93" w:rsidRDefault="00552D89" w:rsidP="00117121">
            <w:pPr>
              <w:spacing w:after="0" w:line="240" w:lineRule="auto"/>
              <w:jc w:val="both"/>
              <w:rPr>
                <w:rFonts w:ascii="Garamond" w:eastAsia="Garamond" w:hAnsi="Garamond" w:cs="Garamond"/>
                <w:sz w:val="20"/>
                <w:szCs w:val="20"/>
                <w:highlight w:val="yellow"/>
              </w:rPr>
            </w:pPr>
            <w:r w:rsidRPr="00776D93">
              <w:rPr>
                <w:rFonts w:ascii="Garamond" w:eastAsia="Garamond" w:hAnsi="Garamond" w:cs="Garamond"/>
                <w:sz w:val="20"/>
                <w:szCs w:val="20"/>
              </w:rPr>
              <w:t>• Ejecutar programas de alfabetización debidamente financiados en los distritos y provincias con mayor porcentaje de analfabetos en zonas urbanas y rurales.</w:t>
            </w:r>
          </w:p>
        </w:tc>
      </w:tr>
    </w:tbl>
    <w:p w:rsidR="00552D89" w:rsidRPr="00776D93" w:rsidRDefault="00552D89" w:rsidP="00FE0DE5">
      <w:pPr>
        <w:pStyle w:val="ListParagraph"/>
        <w:rPr>
          <w:rFonts w:ascii="Garamond" w:hAnsi="Garamond"/>
          <w:b/>
          <w:sz w:val="20"/>
          <w:szCs w:val="20"/>
        </w:rPr>
      </w:pPr>
    </w:p>
    <w:p w:rsidR="00552D89" w:rsidRPr="00776D93" w:rsidRDefault="00552D89" w:rsidP="00FE0DE5">
      <w:pPr>
        <w:pStyle w:val="ListParagraph"/>
        <w:rPr>
          <w:rFonts w:ascii="Garamond" w:hAnsi="Garamond"/>
          <w:b/>
          <w:sz w:val="20"/>
          <w:szCs w:val="20"/>
        </w:rPr>
      </w:pPr>
    </w:p>
    <w:tbl>
      <w:tblPr>
        <w:tblW w:w="945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620"/>
        <w:gridCol w:w="7830"/>
      </w:tblGrid>
      <w:tr w:rsidR="00552D89" w:rsidRPr="00776D93" w:rsidTr="00117121">
        <w:trPr>
          <w:trHeight w:val="789"/>
        </w:trPr>
        <w:tc>
          <w:tcPr>
            <w:tcW w:w="1620" w:type="dxa"/>
            <w:vAlign w:val="center"/>
          </w:tcPr>
          <w:p w:rsidR="00552D89" w:rsidRPr="00776D93" w:rsidRDefault="00552D89" w:rsidP="00FE0DE5">
            <w:pPr>
              <w:spacing w:after="0" w:line="240" w:lineRule="auto"/>
              <w:jc w:val="both"/>
              <w:rPr>
                <w:rFonts w:ascii="Garamond" w:eastAsia="Garamond" w:hAnsi="Garamond" w:cs="Garamond"/>
                <w:color w:val="0070C0"/>
                <w:sz w:val="20"/>
                <w:szCs w:val="20"/>
              </w:rPr>
            </w:pPr>
          </w:p>
          <w:p w:rsidR="00552D89" w:rsidRPr="00776D93" w:rsidRDefault="00552D89" w:rsidP="00FE0DE5">
            <w:pPr>
              <w:spacing w:after="0" w:line="240" w:lineRule="auto"/>
              <w:jc w:val="both"/>
              <w:rPr>
                <w:rFonts w:ascii="Garamond" w:eastAsia="Garamond" w:hAnsi="Garamond" w:cs="Garamond"/>
                <w:b/>
                <w:color w:val="4472C4" w:themeColor="accent5"/>
                <w:sz w:val="20"/>
                <w:szCs w:val="20"/>
              </w:rPr>
            </w:pPr>
            <w:r w:rsidRPr="00776D93">
              <w:rPr>
                <w:rFonts w:ascii="Garamond" w:eastAsia="Garamond" w:hAnsi="Garamond" w:cs="Garamond"/>
                <w:b/>
                <w:color w:val="4472C4" w:themeColor="accent5"/>
                <w:sz w:val="20"/>
                <w:szCs w:val="20"/>
              </w:rPr>
              <w:t>RECOMENDACIÓN</w:t>
            </w:r>
          </w:p>
          <w:p w:rsidR="00552D89" w:rsidRPr="00776D93" w:rsidRDefault="00552D89" w:rsidP="00FE0DE5">
            <w:pPr>
              <w:spacing w:after="0" w:line="240" w:lineRule="auto"/>
              <w:jc w:val="both"/>
              <w:rPr>
                <w:rFonts w:ascii="Garamond" w:eastAsia="Garamond" w:hAnsi="Garamond" w:cs="Garamond"/>
                <w:sz w:val="20"/>
                <w:szCs w:val="20"/>
              </w:rPr>
            </w:pPr>
          </w:p>
        </w:tc>
        <w:tc>
          <w:tcPr>
            <w:tcW w:w="7830" w:type="dxa"/>
            <w:vAlign w:val="center"/>
          </w:tcPr>
          <w:p w:rsidR="00552D89" w:rsidRPr="00776D93" w:rsidRDefault="00552D89" w:rsidP="00BE38C2">
            <w:pPr>
              <w:spacing w:after="0" w:line="240" w:lineRule="auto"/>
              <w:jc w:val="both"/>
              <w:rPr>
                <w:rFonts w:ascii="Garamond" w:eastAsia="Garamond" w:hAnsi="Garamond" w:cs="Garamond"/>
                <w:sz w:val="20"/>
                <w:szCs w:val="20"/>
              </w:rPr>
            </w:pPr>
            <w:r w:rsidRPr="00776D93">
              <w:rPr>
                <w:rFonts w:ascii="Garamond" w:eastAsia="Garamond" w:hAnsi="Garamond" w:cs="Garamond"/>
                <w:b/>
                <w:sz w:val="20"/>
                <w:szCs w:val="20"/>
              </w:rPr>
              <w:t>Educación e interculturalidad</w:t>
            </w:r>
            <w:r w:rsidRPr="00776D93">
              <w:rPr>
                <w:rFonts w:ascii="Garamond" w:eastAsia="Garamond" w:hAnsi="Garamond" w:cs="Garamond"/>
                <w:sz w:val="20"/>
                <w:szCs w:val="20"/>
              </w:rPr>
              <w:t xml:space="preserve">, </w:t>
            </w:r>
            <w:r w:rsidRPr="00776D93">
              <w:rPr>
                <w:rFonts w:ascii="Garamond" w:hAnsi="Garamond" w:cstheme="majorHAnsi"/>
                <w:sz w:val="20"/>
                <w:szCs w:val="20"/>
              </w:rPr>
              <w:t>EPU 2012</w:t>
            </w:r>
            <w:r w:rsidRPr="00776D93">
              <w:rPr>
                <w:rStyle w:val="EndnoteReference"/>
                <w:rFonts w:ascii="Garamond" w:hAnsi="Garamond" w:cstheme="majorHAnsi"/>
                <w:sz w:val="20"/>
                <w:szCs w:val="20"/>
              </w:rPr>
              <w:endnoteReference w:id="108"/>
            </w:r>
            <w:r w:rsidRPr="00776D93">
              <w:rPr>
                <w:rFonts w:ascii="Garamond" w:hAnsi="Garamond" w:cstheme="majorHAnsi"/>
                <w:sz w:val="20"/>
                <w:szCs w:val="20"/>
              </w:rPr>
              <w:t xml:space="preserve"> y 2017</w:t>
            </w:r>
            <w:r w:rsidRPr="00776D93">
              <w:rPr>
                <w:rStyle w:val="EndnoteReference"/>
                <w:rFonts w:ascii="Garamond" w:hAnsi="Garamond" w:cstheme="majorHAnsi"/>
                <w:sz w:val="20"/>
                <w:szCs w:val="20"/>
              </w:rPr>
              <w:endnoteReference w:id="109"/>
            </w:r>
          </w:p>
        </w:tc>
      </w:tr>
      <w:tr w:rsidR="00552D89" w:rsidRPr="00776D93" w:rsidTr="00FE0DE5">
        <w:trPr>
          <w:trHeight w:val="463"/>
        </w:trPr>
        <w:tc>
          <w:tcPr>
            <w:tcW w:w="1620" w:type="dxa"/>
            <w:shd w:val="clear" w:color="auto" w:fill="B4C6E7" w:themeFill="accent5" w:themeFillTint="66"/>
          </w:tcPr>
          <w:p w:rsidR="00552D89" w:rsidRPr="00776D93" w:rsidRDefault="00552D89" w:rsidP="00FE0DE5">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r w:rsidRPr="00776D93">
              <w:rPr>
                <w:rFonts w:ascii="Garamond" w:eastAsia="Garamond" w:hAnsi="Garamond" w:cs="Garamond"/>
                <w:b/>
                <w:color w:val="4472C4" w:themeColor="accent5"/>
                <w:sz w:val="20"/>
                <w:szCs w:val="20"/>
              </w:rPr>
              <w:t>1. NIVEL DE IMPLEMENTACIÓN</w:t>
            </w:r>
          </w:p>
        </w:tc>
        <w:tc>
          <w:tcPr>
            <w:tcW w:w="7830" w:type="dxa"/>
            <w:shd w:val="clear" w:color="auto" w:fill="B4C6E7" w:themeFill="accent5" w:themeFillTint="66"/>
          </w:tcPr>
          <w:p w:rsidR="00552D89" w:rsidRPr="00776D93" w:rsidRDefault="00552D89" w:rsidP="00FE0DE5">
            <w:pPr>
              <w:spacing w:after="0" w:line="240" w:lineRule="auto"/>
              <w:jc w:val="both"/>
              <w:rPr>
                <w:rFonts w:ascii="Garamond" w:eastAsia="Garamond" w:hAnsi="Garamond" w:cs="Garamond"/>
                <w:sz w:val="20"/>
                <w:szCs w:val="20"/>
              </w:rPr>
            </w:pPr>
          </w:p>
          <w:p w:rsidR="00552D89" w:rsidRPr="00776D93" w:rsidRDefault="00552D89" w:rsidP="00FE0DE5">
            <w:pPr>
              <w:spacing w:after="0" w:line="240" w:lineRule="auto"/>
              <w:jc w:val="both"/>
              <w:rPr>
                <w:rFonts w:ascii="Garamond" w:eastAsia="Garamond" w:hAnsi="Garamond" w:cs="Garamond"/>
                <w:b/>
                <w:color w:val="ED7D31" w:themeColor="accent2"/>
                <w:sz w:val="20"/>
                <w:szCs w:val="20"/>
              </w:rPr>
            </w:pPr>
            <w:r w:rsidRPr="00776D93">
              <w:rPr>
                <w:rFonts w:ascii="Garamond" w:eastAsia="Garamond" w:hAnsi="Garamond" w:cs="Garamond"/>
                <w:b/>
                <w:color w:val="ED7D31" w:themeColor="accent2"/>
                <w:sz w:val="20"/>
                <w:szCs w:val="20"/>
              </w:rPr>
              <w:t>Aplicado parcialmente</w:t>
            </w:r>
          </w:p>
          <w:p w:rsidR="00552D89" w:rsidRPr="00776D93" w:rsidRDefault="00552D89" w:rsidP="00FE0DE5">
            <w:pPr>
              <w:spacing w:after="0" w:line="240" w:lineRule="auto"/>
              <w:jc w:val="both"/>
              <w:rPr>
                <w:rFonts w:ascii="Garamond" w:eastAsia="Garamond" w:hAnsi="Garamond" w:cs="Garamond"/>
                <w:sz w:val="20"/>
                <w:szCs w:val="20"/>
                <w:highlight w:val="yellow"/>
              </w:rPr>
            </w:pPr>
          </w:p>
        </w:tc>
      </w:tr>
      <w:tr w:rsidR="00552D89" w:rsidRPr="00776D93" w:rsidTr="00117121">
        <w:tc>
          <w:tcPr>
            <w:tcW w:w="1620" w:type="dxa"/>
          </w:tcPr>
          <w:p w:rsidR="00552D89" w:rsidRPr="00776D93" w:rsidRDefault="00552D89" w:rsidP="00FE0DE5">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p>
          <w:p w:rsidR="00552D89" w:rsidRPr="00776D93" w:rsidRDefault="00552D89" w:rsidP="00FE0DE5">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r w:rsidRPr="00776D93">
              <w:rPr>
                <w:rFonts w:ascii="Garamond" w:eastAsia="Garamond" w:hAnsi="Garamond" w:cs="Garamond"/>
                <w:b/>
                <w:color w:val="4472C4" w:themeColor="accent5"/>
                <w:sz w:val="20"/>
                <w:szCs w:val="20"/>
              </w:rPr>
              <w:t>2. CONTEXTO</w:t>
            </w:r>
          </w:p>
          <w:p w:rsidR="00552D89" w:rsidRPr="00776D93" w:rsidRDefault="00552D89" w:rsidP="00FE0DE5">
            <w:pPr>
              <w:pBdr>
                <w:top w:val="nil"/>
                <w:left w:val="nil"/>
                <w:bottom w:val="nil"/>
                <w:right w:val="nil"/>
                <w:between w:val="nil"/>
              </w:pBdr>
              <w:spacing w:after="0" w:line="240" w:lineRule="auto"/>
              <w:ind w:left="720"/>
              <w:jc w:val="both"/>
              <w:rPr>
                <w:rFonts w:ascii="Garamond" w:eastAsia="Garamond" w:hAnsi="Garamond" w:cs="Garamond"/>
                <w:color w:val="4472C4" w:themeColor="accent5"/>
                <w:sz w:val="20"/>
                <w:szCs w:val="20"/>
              </w:rPr>
            </w:pPr>
          </w:p>
        </w:tc>
        <w:tc>
          <w:tcPr>
            <w:tcW w:w="7830" w:type="dxa"/>
          </w:tcPr>
          <w:p w:rsidR="00552D89" w:rsidRPr="00776D93" w:rsidRDefault="00552D89" w:rsidP="00FE0DE5">
            <w:pPr>
              <w:spacing w:after="0" w:line="240" w:lineRule="auto"/>
              <w:jc w:val="both"/>
              <w:rPr>
                <w:rFonts w:ascii="Garamond" w:hAnsi="Garamond" w:cstheme="majorHAnsi"/>
                <w:sz w:val="20"/>
                <w:szCs w:val="20"/>
              </w:rPr>
            </w:pPr>
            <w:r w:rsidRPr="00776D93">
              <w:rPr>
                <w:rFonts w:ascii="Garamond" w:hAnsi="Garamond" w:cstheme="majorHAnsi"/>
                <w:sz w:val="20"/>
                <w:szCs w:val="20"/>
              </w:rPr>
              <w:t>El marco normativo para la educación de calidad y el de Educación Intercultural Bilingüe - EIB es amplio, cuenta con enfoques</w:t>
            </w:r>
            <w:r w:rsidRPr="00776D93">
              <w:rPr>
                <w:rStyle w:val="EndnoteReference"/>
                <w:rFonts w:ascii="Garamond" w:hAnsi="Garamond" w:cstheme="majorHAnsi"/>
                <w:sz w:val="20"/>
                <w:szCs w:val="20"/>
              </w:rPr>
              <w:endnoteReference w:id="110"/>
            </w:r>
            <w:r w:rsidRPr="00776D93">
              <w:rPr>
                <w:rFonts w:ascii="Garamond" w:hAnsi="Garamond" w:cstheme="majorHAnsi"/>
                <w:sz w:val="20"/>
                <w:szCs w:val="20"/>
              </w:rPr>
              <w:t>, es acorde al ODS 4</w:t>
            </w:r>
            <w:r w:rsidRPr="00776D93">
              <w:rPr>
                <w:rStyle w:val="EndnoteReference"/>
                <w:rFonts w:ascii="Garamond" w:hAnsi="Garamond" w:cstheme="majorHAnsi"/>
                <w:sz w:val="20"/>
                <w:szCs w:val="20"/>
              </w:rPr>
              <w:endnoteReference w:id="111"/>
            </w:r>
            <w:r w:rsidRPr="00776D93">
              <w:rPr>
                <w:rFonts w:ascii="Garamond" w:hAnsi="Garamond" w:cstheme="majorHAnsi"/>
                <w:sz w:val="20"/>
                <w:szCs w:val="20"/>
              </w:rPr>
              <w:t>, pero ha sido insuficientemente implementado</w:t>
            </w:r>
            <w:r w:rsidRPr="00776D93">
              <w:rPr>
                <w:rStyle w:val="EndnoteReference"/>
                <w:rFonts w:ascii="Garamond" w:hAnsi="Garamond" w:cstheme="majorHAnsi"/>
                <w:sz w:val="20"/>
                <w:szCs w:val="20"/>
              </w:rPr>
              <w:endnoteReference w:id="112"/>
            </w:r>
            <w:r w:rsidRPr="00776D93">
              <w:rPr>
                <w:rFonts w:ascii="Garamond" w:hAnsi="Garamond" w:cstheme="majorHAnsi"/>
                <w:sz w:val="20"/>
                <w:szCs w:val="20"/>
              </w:rPr>
              <w:t xml:space="preserve">. </w:t>
            </w:r>
          </w:p>
          <w:p w:rsidR="00552D89" w:rsidRPr="00776D93" w:rsidRDefault="00552D89" w:rsidP="00FE0DE5">
            <w:pPr>
              <w:spacing w:after="0" w:line="240" w:lineRule="auto"/>
              <w:jc w:val="both"/>
              <w:rPr>
                <w:rFonts w:ascii="Garamond" w:hAnsi="Garamond" w:cstheme="majorHAnsi"/>
                <w:sz w:val="20"/>
                <w:szCs w:val="20"/>
              </w:rPr>
            </w:pPr>
            <w:r w:rsidRPr="00776D93">
              <w:rPr>
                <w:rFonts w:ascii="Garamond" w:hAnsi="Garamond" w:cstheme="majorHAnsi"/>
                <w:sz w:val="20"/>
                <w:szCs w:val="20"/>
              </w:rPr>
              <w:t>La Política el Plan Nacional de EIB</w:t>
            </w:r>
            <w:r w:rsidRPr="00776D93">
              <w:rPr>
                <w:rStyle w:val="EndnoteReference"/>
                <w:rFonts w:ascii="Garamond" w:hAnsi="Garamond" w:cstheme="majorHAnsi"/>
                <w:sz w:val="20"/>
                <w:szCs w:val="20"/>
              </w:rPr>
              <w:endnoteReference w:id="113"/>
            </w:r>
            <w:r w:rsidRPr="00776D93">
              <w:rPr>
                <w:rFonts w:ascii="Garamond" w:hAnsi="Garamond" w:cstheme="majorHAnsi"/>
                <w:sz w:val="20"/>
                <w:szCs w:val="20"/>
              </w:rPr>
              <w:t xml:space="preserve"> y la </w:t>
            </w:r>
            <w:r w:rsidRPr="00776D93">
              <w:rPr>
                <w:rFonts w:ascii="Garamond" w:hAnsi="Garamond"/>
                <w:sz w:val="20"/>
                <w:szCs w:val="20"/>
              </w:rPr>
              <w:t>Política Nacional de Lenguas Originarias, Tradición Oral e Interculturalidad al 2040</w:t>
            </w:r>
            <w:r w:rsidRPr="00776D93">
              <w:rPr>
                <w:rStyle w:val="EndnoteReference"/>
                <w:rFonts w:ascii="Garamond" w:hAnsi="Garamond"/>
                <w:sz w:val="20"/>
                <w:szCs w:val="20"/>
              </w:rPr>
              <w:endnoteReference w:id="114"/>
            </w:r>
            <w:r w:rsidRPr="00776D93">
              <w:rPr>
                <w:rFonts w:ascii="Garamond" w:hAnsi="Garamond"/>
                <w:sz w:val="20"/>
                <w:szCs w:val="20"/>
              </w:rPr>
              <w:t xml:space="preserve"> tienen poco avance en su implementación. </w:t>
            </w:r>
            <w:r w:rsidRPr="00776D93">
              <w:rPr>
                <w:rFonts w:ascii="Garamond" w:hAnsi="Garamond" w:cstheme="majorHAnsi"/>
                <w:sz w:val="20"/>
                <w:szCs w:val="20"/>
              </w:rPr>
              <w:t xml:space="preserve">Solo 2 de cada 10 comunidades indígenas ofrece educación secundaria. No hay EIB para secundaria, salvo algunos programas experimentales; tampoco programas EIB para indígenas jóvenes y adultas. </w:t>
            </w:r>
            <w:r w:rsidRPr="00776D93">
              <w:rPr>
                <w:rFonts w:ascii="Garamond" w:hAnsi="Garamond"/>
                <w:sz w:val="20"/>
                <w:szCs w:val="20"/>
              </w:rPr>
              <w:t>Además, se recortó el presupuesto para la formación inicial docente en EIB en un 50%</w:t>
            </w:r>
            <w:r w:rsidRPr="00776D93">
              <w:rPr>
                <w:rStyle w:val="EndnoteReference"/>
                <w:rFonts w:ascii="Garamond" w:hAnsi="Garamond"/>
                <w:sz w:val="20"/>
                <w:szCs w:val="20"/>
              </w:rPr>
              <w:endnoteReference w:id="115"/>
            </w:r>
            <w:r w:rsidRPr="00776D93">
              <w:rPr>
                <w:rFonts w:ascii="Garamond" w:hAnsi="Garamond"/>
                <w:sz w:val="20"/>
                <w:szCs w:val="20"/>
              </w:rPr>
              <w:t xml:space="preserve">. </w:t>
            </w:r>
            <w:r w:rsidRPr="00776D93">
              <w:rPr>
                <w:rFonts w:ascii="Garamond" w:hAnsi="Garamond" w:cstheme="majorHAnsi"/>
                <w:sz w:val="20"/>
                <w:szCs w:val="20"/>
              </w:rPr>
              <w:t xml:space="preserve">La falta de docentes formados en EIB limita las posibilidades de su desarrollo. </w:t>
            </w:r>
          </w:p>
          <w:p w:rsidR="00552D89" w:rsidRPr="00776D93" w:rsidRDefault="00552D89" w:rsidP="00FE0DE5">
            <w:pPr>
              <w:spacing w:after="0" w:line="240" w:lineRule="auto"/>
              <w:jc w:val="both"/>
              <w:rPr>
                <w:rFonts w:ascii="Garamond" w:hAnsi="Garamond" w:cstheme="majorHAnsi"/>
                <w:sz w:val="20"/>
                <w:szCs w:val="20"/>
              </w:rPr>
            </w:pPr>
            <w:r w:rsidRPr="00776D93">
              <w:rPr>
                <w:rFonts w:ascii="Garamond" w:hAnsi="Garamond" w:cstheme="majorHAnsi"/>
                <w:sz w:val="20"/>
                <w:szCs w:val="20"/>
              </w:rPr>
              <w:t>La política más reciente para la educación en áreas rurales</w:t>
            </w:r>
            <w:r w:rsidRPr="00776D93">
              <w:rPr>
                <w:rStyle w:val="EndnoteReference"/>
                <w:rFonts w:ascii="Garamond" w:hAnsi="Garamond" w:cstheme="majorHAnsi"/>
                <w:sz w:val="20"/>
                <w:szCs w:val="20"/>
              </w:rPr>
              <w:endnoteReference w:id="116"/>
            </w:r>
            <w:r w:rsidRPr="00776D93">
              <w:rPr>
                <w:rFonts w:ascii="Garamond" w:hAnsi="Garamond" w:cstheme="majorHAnsi"/>
                <w:sz w:val="20"/>
                <w:szCs w:val="20"/>
              </w:rPr>
              <w:t>no ha sido implementada.</w:t>
            </w:r>
          </w:p>
          <w:p w:rsidR="00552D89" w:rsidRPr="00776D93" w:rsidRDefault="00552D89" w:rsidP="00FE0DE5">
            <w:pPr>
              <w:spacing w:after="0" w:line="240" w:lineRule="auto"/>
              <w:jc w:val="both"/>
              <w:rPr>
                <w:rFonts w:ascii="Garamond" w:hAnsi="Garamond" w:cstheme="majorHAnsi"/>
                <w:sz w:val="20"/>
                <w:szCs w:val="20"/>
              </w:rPr>
            </w:pPr>
          </w:p>
          <w:p w:rsidR="00552D89" w:rsidRPr="00776D93" w:rsidRDefault="00552D89" w:rsidP="00FE0DE5">
            <w:pPr>
              <w:spacing w:after="0" w:line="240" w:lineRule="auto"/>
              <w:jc w:val="both"/>
              <w:rPr>
                <w:rFonts w:ascii="Garamond" w:hAnsi="Garamond" w:cstheme="majorHAnsi"/>
                <w:b/>
                <w:sz w:val="20"/>
                <w:szCs w:val="20"/>
              </w:rPr>
            </w:pPr>
            <w:r w:rsidRPr="00776D93">
              <w:rPr>
                <w:rFonts w:ascii="Garamond" w:hAnsi="Garamond" w:cstheme="majorHAnsi"/>
                <w:b/>
                <w:sz w:val="20"/>
                <w:szCs w:val="20"/>
              </w:rPr>
              <w:t>Resultados de evaluaciones de logros de aprendizaje</w:t>
            </w:r>
          </w:p>
          <w:p w:rsidR="00552D89" w:rsidRPr="00776D93" w:rsidRDefault="00552D89" w:rsidP="00FE0DE5">
            <w:pPr>
              <w:spacing w:after="0" w:line="240" w:lineRule="auto"/>
              <w:jc w:val="both"/>
              <w:rPr>
                <w:rFonts w:ascii="Garamond" w:hAnsi="Garamond"/>
                <w:sz w:val="20"/>
                <w:szCs w:val="20"/>
              </w:rPr>
            </w:pPr>
            <w:r w:rsidRPr="00776D93">
              <w:rPr>
                <w:rFonts w:ascii="Garamond" w:hAnsi="Garamond" w:cstheme="majorHAnsi"/>
                <w:sz w:val="20"/>
                <w:szCs w:val="20"/>
              </w:rPr>
              <w:t>Las pruebas censales (ECE) son indicadores de calidad. La ECE 2018</w:t>
            </w:r>
            <w:r w:rsidRPr="00776D93">
              <w:rPr>
                <w:rStyle w:val="EndnoteReference"/>
                <w:rFonts w:ascii="Garamond" w:hAnsi="Garamond" w:cstheme="majorHAnsi"/>
                <w:sz w:val="20"/>
                <w:szCs w:val="20"/>
              </w:rPr>
              <w:endnoteReference w:id="117"/>
            </w:r>
            <w:r w:rsidRPr="00776D93">
              <w:rPr>
                <w:rFonts w:ascii="Garamond" w:hAnsi="Garamond" w:cstheme="majorHAnsi"/>
                <w:sz w:val="20"/>
                <w:szCs w:val="20"/>
              </w:rPr>
              <w:t xml:space="preserve"> obtuvo mejores logros que en el 2016, pero siguen bajos. La inequidad es evidente en la brecha entre estudiantes con lengua castellana y lengua indígena, urbana vs rural. </w:t>
            </w:r>
            <w:r w:rsidRPr="00776D93">
              <w:rPr>
                <w:rFonts w:ascii="Garamond" w:hAnsi="Garamond"/>
                <w:sz w:val="20"/>
                <w:szCs w:val="20"/>
              </w:rPr>
              <w:t>Los resultados de las pruebas de lectura en escuelas EIB</w:t>
            </w:r>
            <w:r w:rsidRPr="00776D93">
              <w:rPr>
                <w:rStyle w:val="EndnoteReference"/>
                <w:rFonts w:ascii="Garamond" w:hAnsi="Garamond"/>
                <w:sz w:val="20"/>
                <w:szCs w:val="20"/>
              </w:rPr>
              <w:endnoteReference w:id="118"/>
            </w:r>
            <w:r w:rsidRPr="00776D93">
              <w:rPr>
                <w:rFonts w:ascii="Garamond" w:hAnsi="Garamond"/>
                <w:sz w:val="20"/>
                <w:szCs w:val="20"/>
              </w:rPr>
              <w:t xml:space="preserve"> fueron a veces más bajos en lengua indígena andina que en castellano como segunda lengua, CL2.</w:t>
            </w:r>
            <w:r w:rsidRPr="00776D93">
              <w:rPr>
                <w:rStyle w:val="EndnoteReference"/>
                <w:rFonts w:ascii="Garamond" w:hAnsi="Garamond"/>
                <w:sz w:val="20"/>
                <w:szCs w:val="20"/>
              </w:rPr>
              <w:endnoteReference w:id="119"/>
            </w:r>
            <w:r w:rsidRPr="00776D93">
              <w:rPr>
                <w:rFonts w:ascii="Garamond" w:hAnsi="Garamond"/>
                <w:sz w:val="20"/>
                <w:szCs w:val="20"/>
              </w:rPr>
              <w:t xml:space="preserve"> </w:t>
            </w:r>
          </w:p>
          <w:p w:rsidR="00552D89" w:rsidRPr="00776D93" w:rsidRDefault="00552D89" w:rsidP="00FE0DE5">
            <w:pPr>
              <w:spacing w:after="0" w:line="240" w:lineRule="auto"/>
              <w:jc w:val="both"/>
              <w:rPr>
                <w:rFonts w:ascii="Garamond" w:eastAsia="Garamond" w:hAnsi="Garamond" w:cs="Garamond"/>
                <w:color w:val="000000"/>
                <w:sz w:val="20"/>
                <w:szCs w:val="20"/>
              </w:rPr>
            </w:pPr>
            <w:r w:rsidRPr="00776D93">
              <w:rPr>
                <w:rFonts w:ascii="Garamond" w:hAnsi="Garamond"/>
                <w:sz w:val="20"/>
                <w:szCs w:val="20"/>
              </w:rPr>
              <w:lastRenderedPageBreak/>
              <w:t xml:space="preserve">Las ECE 2018 en 2º de secundaria tuvieron resultados dramáticos. Los logros satisfactorios a nivel nacional en Ciencia y tecnología (8,5%), Ciencias Sociales (11,6%), Matemáticas (14,1%) y Lectura (16,2%), encubren los resultados aún más bajos en áreas rurales, con lengua indígena y con gestión estatal vs gestión privada. </w:t>
            </w:r>
            <w:r w:rsidRPr="00776D93">
              <w:rPr>
                <w:rFonts w:ascii="Garamond" w:hAnsi="Garamond" w:cstheme="majorHAnsi"/>
                <w:sz w:val="20"/>
                <w:szCs w:val="20"/>
              </w:rPr>
              <w:t>Condiciones de pobreza y pobreza extrema en áreas rurales, unida a la falta de formación y capacitación del magisterio para desarrollar el CNEB y atender a la diversidad influyen en los bajos resultados en las ECE en esas comunidades</w:t>
            </w:r>
          </w:p>
        </w:tc>
      </w:tr>
      <w:tr w:rsidR="00552D89" w:rsidRPr="00776D93" w:rsidTr="00FE0DE5">
        <w:trPr>
          <w:trHeight w:val="1530"/>
        </w:trPr>
        <w:tc>
          <w:tcPr>
            <w:tcW w:w="1620" w:type="dxa"/>
            <w:shd w:val="clear" w:color="auto" w:fill="B4C6E7" w:themeFill="accent5" w:themeFillTint="66"/>
          </w:tcPr>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0070C0"/>
                <w:sz w:val="20"/>
                <w:szCs w:val="20"/>
              </w:rPr>
            </w:pPr>
            <w:r w:rsidRPr="00776D93">
              <w:rPr>
                <w:rFonts w:ascii="Garamond" w:eastAsia="Garamond" w:hAnsi="Garamond" w:cs="Garamond"/>
                <w:b/>
                <w:color w:val="0070C0"/>
                <w:sz w:val="20"/>
                <w:szCs w:val="20"/>
              </w:rPr>
              <w:lastRenderedPageBreak/>
              <w:t>3. RECOMENDACIONES AL ESTADO PERUANO</w:t>
            </w:r>
          </w:p>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0070C0"/>
                <w:sz w:val="20"/>
                <w:szCs w:val="20"/>
              </w:rPr>
            </w:pPr>
          </w:p>
        </w:tc>
        <w:tc>
          <w:tcPr>
            <w:tcW w:w="7830" w:type="dxa"/>
            <w:shd w:val="clear" w:color="auto" w:fill="B4C6E7" w:themeFill="accent5" w:themeFillTint="66"/>
          </w:tcPr>
          <w:p w:rsidR="00552D89" w:rsidRPr="00776D93" w:rsidRDefault="00552D89" w:rsidP="00FE0DE5">
            <w:pPr>
              <w:pStyle w:val="ListParagraph"/>
              <w:numPr>
                <w:ilvl w:val="0"/>
                <w:numId w:val="13"/>
              </w:numPr>
              <w:spacing w:after="0" w:line="240" w:lineRule="auto"/>
              <w:ind w:left="249" w:hanging="249"/>
              <w:jc w:val="both"/>
              <w:rPr>
                <w:rFonts w:ascii="Garamond" w:hAnsi="Garamond" w:cstheme="majorHAnsi"/>
                <w:sz w:val="20"/>
                <w:szCs w:val="20"/>
              </w:rPr>
            </w:pPr>
            <w:r w:rsidRPr="00776D93">
              <w:rPr>
                <w:rFonts w:ascii="Garamond" w:hAnsi="Garamond" w:cstheme="majorHAnsi"/>
                <w:sz w:val="20"/>
                <w:szCs w:val="20"/>
              </w:rPr>
              <w:t>Derogar la Ley 31498, afecta el derecho a una educación de calidad y desconoce la autoridad del MINEDU en temas educativos.</w:t>
            </w:r>
          </w:p>
          <w:p w:rsidR="00552D89" w:rsidRPr="00776D93" w:rsidRDefault="00552D89" w:rsidP="00FE0DE5">
            <w:pPr>
              <w:pStyle w:val="ListParagraph"/>
              <w:numPr>
                <w:ilvl w:val="0"/>
                <w:numId w:val="13"/>
              </w:numPr>
              <w:spacing w:after="0" w:line="240" w:lineRule="auto"/>
              <w:ind w:left="249" w:hanging="249"/>
              <w:jc w:val="both"/>
              <w:rPr>
                <w:rFonts w:ascii="Garamond" w:hAnsi="Garamond" w:cstheme="majorHAnsi"/>
                <w:sz w:val="20"/>
                <w:szCs w:val="20"/>
              </w:rPr>
            </w:pPr>
            <w:r w:rsidRPr="00776D93">
              <w:rPr>
                <w:rFonts w:ascii="Garamond" w:hAnsi="Garamond" w:cstheme="majorHAnsi"/>
                <w:sz w:val="20"/>
                <w:szCs w:val="20"/>
              </w:rPr>
              <w:t xml:space="preserve">Capacitar a los docentes prioritariamente en el desarrollo de los enfoques de derechos humanos, género, valoración y tratamiento de la diversidad y medio ambiente. </w:t>
            </w:r>
          </w:p>
          <w:p w:rsidR="00552D89" w:rsidRPr="00776D93" w:rsidRDefault="00552D89" w:rsidP="00FE0DE5">
            <w:pPr>
              <w:pStyle w:val="ListParagraph"/>
              <w:numPr>
                <w:ilvl w:val="0"/>
                <w:numId w:val="13"/>
              </w:numPr>
              <w:spacing w:after="0" w:line="240" w:lineRule="auto"/>
              <w:ind w:left="249" w:hanging="249"/>
              <w:jc w:val="both"/>
              <w:rPr>
                <w:rFonts w:ascii="Garamond" w:hAnsi="Garamond" w:cstheme="majorHAnsi"/>
                <w:sz w:val="20"/>
                <w:szCs w:val="20"/>
              </w:rPr>
            </w:pPr>
            <w:r w:rsidRPr="00776D93">
              <w:rPr>
                <w:rFonts w:ascii="Garamond" w:hAnsi="Garamond" w:cstheme="majorHAnsi"/>
                <w:sz w:val="20"/>
                <w:szCs w:val="20"/>
              </w:rPr>
              <w:t xml:space="preserve"> Emitir e implementar medidas de intervención multisectoriales que coadyuven al mejoramiento de la calidad educativa en áreas rurales.</w:t>
            </w:r>
          </w:p>
          <w:p w:rsidR="00552D89" w:rsidRPr="00776D93" w:rsidRDefault="00552D89" w:rsidP="00FE0DE5">
            <w:pPr>
              <w:pStyle w:val="ListParagraph"/>
              <w:numPr>
                <w:ilvl w:val="0"/>
                <w:numId w:val="13"/>
              </w:numPr>
              <w:spacing w:after="0" w:line="240" w:lineRule="auto"/>
              <w:ind w:left="249" w:hanging="249"/>
              <w:jc w:val="both"/>
              <w:rPr>
                <w:rFonts w:ascii="Garamond" w:hAnsi="Garamond" w:cstheme="majorHAnsi"/>
                <w:sz w:val="20"/>
                <w:szCs w:val="20"/>
              </w:rPr>
            </w:pPr>
            <w:r w:rsidRPr="00776D93">
              <w:rPr>
                <w:rFonts w:ascii="Garamond" w:hAnsi="Garamond" w:cstheme="majorHAnsi"/>
                <w:sz w:val="20"/>
                <w:szCs w:val="20"/>
              </w:rPr>
              <w:t>Destinar presupuesto para incrementar el número de escuelas de secundaria en áreas rurales.</w:t>
            </w:r>
          </w:p>
        </w:tc>
      </w:tr>
    </w:tbl>
    <w:p w:rsidR="00552D89" w:rsidRPr="00776D93" w:rsidRDefault="00552D89" w:rsidP="00FE0DE5">
      <w:pPr>
        <w:pStyle w:val="ListParagraph"/>
        <w:rPr>
          <w:rFonts w:ascii="Garamond" w:hAnsi="Garamond"/>
          <w:b/>
          <w:sz w:val="20"/>
          <w:szCs w:val="20"/>
        </w:rPr>
      </w:pPr>
    </w:p>
    <w:p w:rsidR="00552D89" w:rsidRPr="00776D93" w:rsidRDefault="00552D89" w:rsidP="00FE0DE5">
      <w:pPr>
        <w:pStyle w:val="ListParagraph"/>
        <w:rPr>
          <w:rFonts w:ascii="Garamond" w:hAnsi="Garamond"/>
          <w:b/>
          <w:sz w:val="20"/>
          <w:szCs w:val="20"/>
        </w:rPr>
      </w:pPr>
    </w:p>
    <w:p w:rsidR="00552D89" w:rsidRPr="00776D93" w:rsidRDefault="00552D89" w:rsidP="00FE0DE5">
      <w:pPr>
        <w:pStyle w:val="ListParagraph"/>
        <w:rPr>
          <w:rFonts w:ascii="Garamond" w:hAnsi="Garamond"/>
          <w:b/>
          <w:sz w:val="20"/>
          <w:szCs w:val="20"/>
        </w:rPr>
      </w:pPr>
    </w:p>
    <w:tbl>
      <w:tblPr>
        <w:tblW w:w="945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620"/>
        <w:gridCol w:w="7830"/>
      </w:tblGrid>
      <w:tr w:rsidR="00552D89" w:rsidRPr="00776D93" w:rsidTr="001B6DEB">
        <w:trPr>
          <w:trHeight w:val="710"/>
        </w:trPr>
        <w:tc>
          <w:tcPr>
            <w:tcW w:w="1620" w:type="dxa"/>
            <w:vAlign w:val="center"/>
          </w:tcPr>
          <w:p w:rsidR="00552D89" w:rsidRPr="001B6DEB" w:rsidRDefault="00552D89" w:rsidP="00117121">
            <w:pPr>
              <w:spacing w:after="0" w:line="240" w:lineRule="auto"/>
              <w:jc w:val="both"/>
              <w:rPr>
                <w:rFonts w:ascii="Garamond" w:eastAsia="Garamond" w:hAnsi="Garamond" w:cs="Garamond"/>
                <w:b/>
                <w:color w:val="4472C4" w:themeColor="accent5"/>
                <w:sz w:val="20"/>
                <w:szCs w:val="20"/>
              </w:rPr>
            </w:pPr>
            <w:r w:rsidRPr="00776D93">
              <w:rPr>
                <w:rFonts w:ascii="Garamond" w:eastAsia="Garamond" w:hAnsi="Garamond" w:cs="Garamond"/>
                <w:b/>
                <w:color w:val="4472C4" w:themeColor="accent5"/>
                <w:sz w:val="20"/>
                <w:szCs w:val="20"/>
              </w:rPr>
              <w:t>RECOMENDACIÓN</w:t>
            </w:r>
          </w:p>
        </w:tc>
        <w:tc>
          <w:tcPr>
            <w:tcW w:w="7830" w:type="dxa"/>
            <w:vAlign w:val="center"/>
          </w:tcPr>
          <w:p w:rsidR="00552D89" w:rsidRPr="00776D93" w:rsidRDefault="00552D89" w:rsidP="00117121">
            <w:pPr>
              <w:spacing w:after="0" w:line="240" w:lineRule="auto"/>
              <w:jc w:val="both"/>
              <w:rPr>
                <w:rFonts w:ascii="Garamond" w:eastAsia="Garamond" w:hAnsi="Garamond" w:cs="Garamond"/>
                <w:b/>
                <w:sz w:val="20"/>
                <w:szCs w:val="20"/>
              </w:rPr>
            </w:pPr>
            <w:r w:rsidRPr="00776D93">
              <w:rPr>
                <w:rFonts w:ascii="Garamond" w:eastAsia="Garamond" w:hAnsi="Garamond" w:cs="Garamond"/>
                <w:b/>
                <w:sz w:val="20"/>
                <w:szCs w:val="20"/>
              </w:rPr>
              <w:t>Educación para niñez y adolescencia afroperuana, EPU 2017</w:t>
            </w:r>
          </w:p>
        </w:tc>
      </w:tr>
      <w:tr w:rsidR="00552D89" w:rsidRPr="00776D93" w:rsidTr="00FE0DE5">
        <w:trPr>
          <w:trHeight w:val="463"/>
        </w:trPr>
        <w:tc>
          <w:tcPr>
            <w:tcW w:w="1620" w:type="dxa"/>
            <w:shd w:val="clear" w:color="auto" w:fill="B4C6E7" w:themeFill="accent5" w:themeFillTint="66"/>
          </w:tcPr>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r w:rsidRPr="00776D93">
              <w:rPr>
                <w:rFonts w:ascii="Garamond" w:eastAsia="Garamond" w:hAnsi="Garamond" w:cs="Garamond"/>
                <w:b/>
                <w:color w:val="4472C4" w:themeColor="accent5"/>
                <w:sz w:val="20"/>
                <w:szCs w:val="20"/>
              </w:rPr>
              <w:t>1. NIVEL DE IMPLEMENTACIÓN</w:t>
            </w:r>
          </w:p>
        </w:tc>
        <w:tc>
          <w:tcPr>
            <w:tcW w:w="7830" w:type="dxa"/>
            <w:shd w:val="clear" w:color="auto" w:fill="B4C6E7" w:themeFill="accent5" w:themeFillTint="66"/>
          </w:tcPr>
          <w:p w:rsidR="00552D89" w:rsidRPr="00776D93" w:rsidRDefault="00552D89" w:rsidP="00117121">
            <w:pPr>
              <w:spacing w:after="0" w:line="240" w:lineRule="auto"/>
              <w:jc w:val="both"/>
              <w:rPr>
                <w:rFonts w:ascii="Garamond" w:eastAsia="Garamond" w:hAnsi="Garamond" w:cs="Garamond"/>
                <w:sz w:val="20"/>
                <w:szCs w:val="20"/>
              </w:rPr>
            </w:pPr>
          </w:p>
          <w:p w:rsidR="00552D89" w:rsidRPr="00776D93" w:rsidRDefault="00552D89" w:rsidP="00117121">
            <w:pPr>
              <w:spacing w:after="0" w:line="240" w:lineRule="auto"/>
              <w:jc w:val="both"/>
              <w:rPr>
                <w:rFonts w:ascii="Garamond" w:eastAsia="Garamond" w:hAnsi="Garamond" w:cs="Garamond"/>
                <w:b/>
                <w:color w:val="ED7D31" w:themeColor="accent2"/>
                <w:sz w:val="20"/>
                <w:szCs w:val="20"/>
              </w:rPr>
            </w:pPr>
            <w:r w:rsidRPr="00776D93">
              <w:rPr>
                <w:rFonts w:ascii="Garamond" w:eastAsia="Garamond" w:hAnsi="Garamond" w:cs="Garamond"/>
                <w:b/>
                <w:color w:val="ED7D31" w:themeColor="accent2"/>
                <w:sz w:val="20"/>
                <w:szCs w:val="20"/>
              </w:rPr>
              <w:t>Aplicado parcialmente</w:t>
            </w:r>
          </w:p>
          <w:p w:rsidR="00552D89" w:rsidRPr="00776D93" w:rsidRDefault="00552D89" w:rsidP="00117121">
            <w:pPr>
              <w:spacing w:after="0" w:line="240" w:lineRule="auto"/>
              <w:jc w:val="both"/>
              <w:rPr>
                <w:rFonts w:ascii="Garamond" w:eastAsia="Garamond" w:hAnsi="Garamond" w:cs="Garamond"/>
                <w:sz w:val="20"/>
                <w:szCs w:val="20"/>
                <w:highlight w:val="yellow"/>
              </w:rPr>
            </w:pPr>
          </w:p>
        </w:tc>
      </w:tr>
      <w:tr w:rsidR="00552D89" w:rsidRPr="00776D93" w:rsidTr="00117121">
        <w:tc>
          <w:tcPr>
            <w:tcW w:w="1620" w:type="dxa"/>
          </w:tcPr>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p>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r w:rsidRPr="00776D93">
              <w:rPr>
                <w:rFonts w:ascii="Garamond" w:eastAsia="Garamond" w:hAnsi="Garamond" w:cs="Garamond"/>
                <w:b/>
                <w:color w:val="4472C4" w:themeColor="accent5"/>
                <w:sz w:val="20"/>
                <w:szCs w:val="20"/>
              </w:rPr>
              <w:t>2. CONTEXTO</w:t>
            </w:r>
          </w:p>
          <w:p w:rsidR="00552D89" w:rsidRPr="00776D93" w:rsidRDefault="00552D89" w:rsidP="00117121">
            <w:pPr>
              <w:pBdr>
                <w:top w:val="nil"/>
                <w:left w:val="nil"/>
                <w:bottom w:val="nil"/>
                <w:right w:val="nil"/>
                <w:between w:val="nil"/>
              </w:pBdr>
              <w:spacing w:after="0" w:line="240" w:lineRule="auto"/>
              <w:ind w:left="720"/>
              <w:jc w:val="both"/>
              <w:rPr>
                <w:rFonts w:ascii="Garamond" w:eastAsia="Garamond" w:hAnsi="Garamond" w:cs="Garamond"/>
                <w:color w:val="4472C4" w:themeColor="accent5"/>
                <w:sz w:val="20"/>
                <w:szCs w:val="20"/>
              </w:rPr>
            </w:pPr>
          </w:p>
        </w:tc>
        <w:tc>
          <w:tcPr>
            <w:tcW w:w="7830" w:type="dxa"/>
          </w:tcPr>
          <w:p w:rsidR="00552D89" w:rsidRPr="00776D93" w:rsidRDefault="00552D89" w:rsidP="00552D89">
            <w:pPr>
              <w:spacing w:after="0" w:line="240" w:lineRule="auto"/>
              <w:jc w:val="both"/>
              <w:rPr>
                <w:rFonts w:ascii="Garamond" w:eastAsia="Garamond" w:hAnsi="Garamond" w:cs="Garamond"/>
                <w:color w:val="000000"/>
                <w:sz w:val="20"/>
                <w:szCs w:val="20"/>
              </w:rPr>
            </w:pPr>
            <w:r w:rsidRPr="00776D93">
              <w:rPr>
                <w:rFonts w:ascii="Garamond" w:eastAsia="Times New Roman" w:hAnsi="Garamond" w:cs="Arial"/>
                <w:color w:val="202124"/>
                <w:sz w:val="20"/>
                <w:szCs w:val="20"/>
                <w:shd w:val="clear" w:color="auto" w:fill="FFFFFF"/>
              </w:rPr>
              <w:t>Existe </w:t>
            </w:r>
            <w:r w:rsidRPr="00776D93">
              <w:rPr>
                <w:rFonts w:ascii="Garamond" w:eastAsia="Times New Roman" w:hAnsi="Garamond" w:cs="Arial"/>
                <w:bCs/>
                <w:color w:val="202124"/>
                <w:sz w:val="20"/>
                <w:szCs w:val="20"/>
                <w:shd w:val="clear" w:color="auto" w:fill="FFFFFF"/>
              </w:rPr>
              <w:t>Plan Nacional de Desarrollo para Población Afroperuana</w:t>
            </w:r>
            <w:r w:rsidRPr="00776D93">
              <w:rPr>
                <w:rFonts w:ascii="Garamond" w:eastAsia="Times New Roman" w:hAnsi="Garamond" w:cs="Arial"/>
                <w:color w:val="202124"/>
                <w:sz w:val="20"/>
                <w:szCs w:val="20"/>
                <w:shd w:val="clear" w:color="auto" w:fill="FFFFFF"/>
              </w:rPr>
              <w:t>; Plan de Atención Educativa a la Población Escolar Afroperuana 2019-2020. Las brechas de atención educativa de los afroperuanos no están actualizadas, pero el acceso, permanencia y conclusión de la EBR de niñas, niños y adolescentes afroperuanos suelen estar por debajo de los promedios nacionales</w:t>
            </w:r>
            <w:r w:rsidRPr="00776D93">
              <w:rPr>
                <w:rStyle w:val="EndnoteReference"/>
                <w:rFonts w:ascii="Garamond" w:eastAsia="Times New Roman" w:hAnsi="Garamond" w:cs="Arial"/>
                <w:color w:val="202124"/>
                <w:sz w:val="20"/>
                <w:szCs w:val="20"/>
                <w:shd w:val="clear" w:color="auto" w:fill="FFFFFF"/>
              </w:rPr>
              <w:endnoteReference w:id="120"/>
            </w:r>
            <w:r w:rsidRPr="00776D93">
              <w:rPr>
                <w:rFonts w:ascii="Garamond" w:eastAsia="Times New Roman" w:hAnsi="Garamond" w:cs="Arial"/>
                <w:color w:val="202124"/>
                <w:sz w:val="20"/>
                <w:szCs w:val="20"/>
                <w:shd w:val="clear" w:color="auto" w:fill="FFFFFF"/>
              </w:rPr>
              <w:t>. Las principales razones de abandono o atraso escolar son la violencia y discriminación racial</w:t>
            </w:r>
            <w:r w:rsidRPr="00776D93">
              <w:rPr>
                <w:rStyle w:val="EndnoteReference"/>
                <w:rFonts w:ascii="Garamond" w:eastAsia="Times New Roman" w:hAnsi="Garamond" w:cs="Arial"/>
                <w:color w:val="202124"/>
                <w:sz w:val="20"/>
                <w:szCs w:val="20"/>
                <w:shd w:val="clear" w:color="auto" w:fill="FFFFFF"/>
              </w:rPr>
              <w:endnoteReference w:id="121"/>
            </w:r>
            <w:r w:rsidRPr="00776D93">
              <w:rPr>
                <w:rFonts w:ascii="Garamond" w:eastAsia="Times New Roman" w:hAnsi="Garamond" w:cs="Arial"/>
                <w:color w:val="202124"/>
                <w:sz w:val="20"/>
                <w:szCs w:val="20"/>
                <w:shd w:val="clear" w:color="auto" w:fill="FFFFFF"/>
              </w:rPr>
              <w:t>. La memoria histórica y aportes de la cultura afroperuana no se consideran en la EBR.</w:t>
            </w:r>
          </w:p>
        </w:tc>
      </w:tr>
      <w:tr w:rsidR="00552D89" w:rsidRPr="00776D93" w:rsidTr="00FE0DE5">
        <w:trPr>
          <w:trHeight w:val="1530"/>
        </w:trPr>
        <w:tc>
          <w:tcPr>
            <w:tcW w:w="1620" w:type="dxa"/>
            <w:shd w:val="clear" w:color="auto" w:fill="B4C6E7" w:themeFill="accent5" w:themeFillTint="66"/>
          </w:tcPr>
          <w:p w:rsidR="00552D89" w:rsidRPr="00776D93" w:rsidRDefault="00552D89" w:rsidP="00FE0DE5">
            <w:pPr>
              <w:pBdr>
                <w:top w:val="nil"/>
                <w:left w:val="nil"/>
                <w:bottom w:val="nil"/>
                <w:right w:val="nil"/>
                <w:between w:val="nil"/>
              </w:pBdr>
              <w:spacing w:after="0" w:line="240" w:lineRule="auto"/>
              <w:jc w:val="both"/>
              <w:rPr>
                <w:rFonts w:ascii="Garamond" w:eastAsia="Garamond" w:hAnsi="Garamond" w:cs="Garamond"/>
                <w:color w:val="0070C0"/>
                <w:sz w:val="20"/>
                <w:szCs w:val="20"/>
              </w:rPr>
            </w:pPr>
            <w:r w:rsidRPr="00776D93">
              <w:rPr>
                <w:rFonts w:ascii="Garamond" w:eastAsia="Garamond" w:hAnsi="Garamond" w:cs="Garamond"/>
                <w:b/>
                <w:color w:val="0070C0"/>
                <w:sz w:val="20"/>
                <w:szCs w:val="20"/>
              </w:rPr>
              <w:t>3. RECOMENDACIONES AL ESTADO PERUANO</w:t>
            </w:r>
          </w:p>
          <w:p w:rsidR="00552D89" w:rsidRPr="00776D93" w:rsidRDefault="00552D89" w:rsidP="00FE0DE5">
            <w:pPr>
              <w:pBdr>
                <w:top w:val="nil"/>
                <w:left w:val="nil"/>
                <w:bottom w:val="nil"/>
                <w:right w:val="nil"/>
                <w:between w:val="nil"/>
              </w:pBdr>
              <w:spacing w:after="0" w:line="240" w:lineRule="auto"/>
              <w:jc w:val="both"/>
              <w:rPr>
                <w:rFonts w:ascii="Garamond" w:eastAsia="Garamond" w:hAnsi="Garamond" w:cs="Garamond"/>
                <w:color w:val="0070C0"/>
                <w:sz w:val="20"/>
                <w:szCs w:val="20"/>
              </w:rPr>
            </w:pPr>
          </w:p>
        </w:tc>
        <w:tc>
          <w:tcPr>
            <w:tcW w:w="7830" w:type="dxa"/>
            <w:shd w:val="clear" w:color="auto" w:fill="B4C6E7" w:themeFill="accent5" w:themeFillTint="66"/>
          </w:tcPr>
          <w:p w:rsidR="00552D89" w:rsidRPr="00776D93" w:rsidRDefault="00552D89" w:rsidP="00FE0DE5">
            <w:pPr>
              <w:pStyle w:val="ListParagraph"/>
              <w:numPr>
                <w:ilvl w:val="0"/>
                <w:numId w:val="16"/>
              </w:numPr>
              <w:spacing w:after="0" w:line="240" w:lineRule="auto"/>
              <w:ind w:left="339" w:hanging="270"/>
              <w:jc w:val="both"/>
              <w:rPr>
                <w:rFonts w:ascii="Garamond" w:hAnsi="Garamond"/>
                <w:sz w:val="20"/>
                <w:szCs w:val="20"/>
              </w:rPr>
            </w:pPr>
            <w:r w:rsidRPr="00776D93">
              <w:rPr>
                <w:rFonts w:ascii="Garamond" w:hAnsi="Garamond"/>
                <w:sz w:val="20"/>
                <w:szCs w:val="20"/>
              </w:rPr>
              <w:t>Desarrollar estrategias para bajar los índices de violencia racial y discriminación en las escuelas.</w:t>
            </w:r>
          </w:p>
          <w:p w:rsidR="00552D89" w:rsidRPr="00776D93" w:rsidRDefault="00552D89" w:rsidP="00FE0DE5">
            <w:pPr>
              <w:pStyle w:val="ListParagraph"/>
              <w:numPr>
                <w:ilvl w:val="0"/>
                <w:numId w:val="14"/>
              </w:numPr>
              <w:spacing w:after="0" w:line="240" w:lineRule="auto"/>
              <w:ind w:left="339" w:hanging="270"/>
              <w:jc w:val="both"/>
              <w:rPr>
                <w:rFonts w:ascii="Garamond" w:hAnsi="Garamond"/>
                <w:sz w:val="20"/>
                <w:szCs w:val="20"/>
              </w:rPr>
            </w:pPr>
            <w:r w:rsidRPr="00776D93">
              <w:rPr>
                <w:rFonts w:ascii="Garamond" w:hAnsi="Garamond"/>
                <w:sz w:val="20"/>
                <w:szCs w:val="20"/>
              </w:rPr>
              <w:t>La identificación étnica en las escuelas debe expresarla el estudiante, sus padres o representantes legales, no la escuela.</w:t>
            </w:r>
          </w:p>
          <w:p w:rsidR="00552D89" w:rsidRPr="00776D93" w:rsidRDefault="00552D89" w:rsidP="00FE0DE5">
            <w:pPr>
              <w:pStyle w:val="ListParagraph"/>
              <w:numPr>
                <w:ilvl w:val="0"/>
                <w:numId w:val="14"/>
              </w:numPr>
              <w:spacing w:after="0" w:line="240" w:lineRule="auto"/>
              <w:ind w:left="339" w:hanging="270"/>
              <w:jc w:val="both"/>
              <w:rPr>
                <w:rFonts w:ascii="Garamond" w:hAnsi="Garamond"/>
                <w:sz w:val="20"/>
                <w:szCs w:val="20"/>
              </w:rPr>
            </w:pPr>
            <w:r w:rsidRPr="00776D93">
              <w:rPr>
                <w:rFonts w:ascii="Garamond" w:hAnsi="Garamond"/>
                <w:sz w:val="20"/>
                <w:szCs w:val="20"/>
              </w:rPr>
              <w:t>Formación docente en el manejo de los enfoques curriculares.</w:t>
            </w:r>
          </w:p>
          <w:p w:rsidR="00552D89" w:rsidRPr="00776D93" w:rsidRDefault="00552D89" w:rsidP="00FE0DE5">
            <w:pPr>
              <w:pStyle w:val="ListParagraph"/>
              <w:numPr>
                <w:ilvl w:val="0"/>
                <w:numId w:val="14"/>
              </w:numPr>
              <w:spacing w:after="0" w:line="240" w:lineRule="auto"/>
              <w:ind w:left="339" w:hanging="270"/>
              <w:jc w:val="both"/>
              <w:rPr>
                <w:rFonts w:ascii="Garamond" w:hAnsi="Garamond"/>
                <w:sz w:val="20"/>
                <w:szCs w:val="20"/>
              </w:rPr>
            </w:pPr>
            <w:r w:rsidRPr="00776D93">
              <w:rPr>
                <w:rFonts w:ascii="Garamond" w:hAnsi="Garamond"/>
                <w:sz w:val="20"/>
                <w:szCs w:val="20"/>
              </w:rPr>
              <w:t>Incorporar en el currículo educativo la historia y aportes de la cultura afroperuana.</w:t>
            </w:r>
          </w:p>
          <w:p w:rsidR="00552D89" w:rsidRPr="00776D93" w:rsidRDefault="00552D89" w:rsidP="00FE0DE5">
            <w:pPr>
              <w:pStyle w:val="ListParagraph"/>
              <w:spacing w:after="0" w:line="240" w:lineRule="auto"/>
              <w:ind w:left="339"/>
              <w:jc w:val="both"/>
              <w:rPr>
                <w:rFonts w:ascii="Garamond" w:eastAsia="Garamond" w:hAnsi="Garamond" w:cs="Garamond"/>
                <w:sz w:val="20"/>
                <w:szCs w:val="20"/>
                <w:highlight w:val="yellow"/>
              </w:rPr>
            </w:pPr>
          </w:p>
        </w:tc>
      </w:tr>
    </w:tbl>
    <w:p w:rsidR="00552D89" w:rsidRPr="00776D93" w:rsidRDefault="00552D89" w:rsidP="00FE0DE5">
      <w:pPr>
        <w:pStyle w:val="ListParagraph"/>
        <w:rPr>
          <w:rFonts w:ascii="Garamond" w:hAnsi="Garamond"/>
          <w:b/>
          <w:sz w:val="20"/>
          <w:szCs w:val="20"/>
        </w:rPr>
      </w:pPr>
    </w:p>
    <w:p w:rsidR="00552D89" w:rsidRPr="00776D93" w:rsidRDefault="00552D89" w:rsidP="00FE0DE5">
      <w:pPr>
        <w:pStyle w:val="ListParagraph"/>
        <w:rPr>
          <w:rFonts w:ascii="Garamond" w:hAnsi="Garamond"/>
          <w:b/>
          <w:sz w:val="20"/>
          <w:szCs w:val="20"/>
        </w:rPr>
      </w:pPr>
    </w:p>
    <w:tbl>
      <w:tblPr>
        <w:tblW w:w="945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620"/>
        <w:gridCol w:w="7830"/>
      </w:tblGrid>
      <w:tr w:rsidR="00552D89" w:rsidRPr="00776D93" w:rsidTr="00117121">
        <w:trPr>
          <w:trHeight w:val="789"/>
        </w:trPr>
        <w:tc>
          <w:tcPr>
            <w:tcW w:w="1620" w:type="dxa"/>
            <w:vAlign w:val="center"/>
          </w:tcPr>
          <w:p w:rsidR="00552D89" w:rsidRPr="00776D93" w:rsidRDefault="00552D89" w:rsidP="00FE0DE5">
            <w:pPr>
              <w:spacing w:after="0" w:line="240" w:lineRule="auto"/>
              <w:jc w:val="both"/>
              <w:rPr>
                <w:rFonts w:ascii="Garamond" w:eastAsia="Garamond" w:hAnsi="Garamond" w:cs="Garamond"/>
                <w:color w:val="0070C0"/>
                <w:sz w:val="20"/>
                <w:szCs w:val="20"/>
              </w:rPr>
            </w:pPr>
          </w:p>
          <w:p w:rsidR="00552D89" w:rsidRPr="00776D93" w:rsidRDefault="00552D89" w:rsidP="00FE0DE5">
            <w:pPr>
              <w:spacing w:after="0" w:line="240" w:lineRule="auto"/>
              <w:jc w:val="both"/>
              <w:rPr>
                <w:rFonts w:ascii="Garamond" w:eastAsia="Garamond" w:hAnsi="Garamond" w:cs="Garamond"/>
                <w:b/>
                <w:color w:val="4472C4" w:themeColor="accent5"/>
                <w:sz w:val="20"/>
                <w:szCs w:val="20"/>
              </w:rPr>
            </w:pPr>
            <w:r w:rsidRPr="00776D93">
              <w:rPr>
                <w:rFonts w:ascii="Garamond" w:eastAsia="Garamond" w:hAnsi="Garamond" w:cs="Garamond"/>
                <w:b/>
                <w:color w:val="4472C4" w:themeColor="accent5"/>
                <w:sz w:val="20"/>
                <w:szCs w:val="20"/>
              </w:rPr>
              <w:t>RECOMENDACIÓN</w:t>
            </w:r>
          </w:p>
          <w:p w:rsidR="00552D89" w:rsidRPr="00776D93" w:rsidRDefault="00552D89" w:rsidP="00FE0DE5">
            <w:pPr>
              <w:spacing w:after="0" w:line="240" w:lineRule="auto"/>
              <w:jc w:val="both"/>
              <w:rPr>
                <w:rFonts w:ascii="Garamond" w:eastAsia="Garamond" w:hAnsi="Garamond" w:cs="Garamond"/>
                <w:sz w:val="20"/>
                <w:szCs w:val="20"/>
              </w:rPr>
            </w:pPr>
          </w:p>
        </w:tc>
        <w:tc>
          <w:tcPr>
            <w:tcW w:w="7830" w:type="dxa"/>
            <w:vAlign w:val="center"/>
          </w:tcPr>
          <w:p w:rsidR="00552D89" w:rsidRPr="00776D93" w:rsidRDefault="00552D89" w:rsidP="00552D89">
            <w:pPr>
              <w:spacing w:after="0" w:line="240" w:lineRule="auto"/>
              <w:jc w:val="both"/>
              <w:rPr>
                <w:rFonts w:ascii="Garamond" w:eastAsia="Garamond" w:hAnsi="Garamond" w:cs="Garamond"/>
                <w:sz w:val="20"/>
                <w:szCs w:val="20"/>
              </w:rPr>
            </w:pPr>
            <w:r w:rsidRPr="00776D93">
              <w:rPr>
                <w:rFonts w:ascii="Garamond" w:eastAsia="Garamond" w:hAnsi="Garamond" w:cs="Garamond"/>
                <w:b/>
                <w:sz w:val="20"/>
                <w:szCs w:val="20"/>
              </w:rPr>
              <w:t>Educación de personas con discapacidad</w:t>
            </w:r>
            <w:r w:rsidRPr="00776D93">
              <w:rPr>
                <w:rFonts w:ascii="Garamond" w:eastAsia="Garamond" w:hAnsi="Garamond" w:cs="Garamond"/>
                <w:sz w:val="20"/>
                <w:szCs w:val="20"/>
              </w:rPr>
              <w:t xml:space="preserve"> – PCD, EPU 2017.</w:t>
            </w:r>
          </w:p>
        </w:tc>
      </w:tr>
      <w:tr w:rsidR="00552D89" w:rsidRPr="00776D93" w:rsidTr="00FE0DE5">
        <w:trPr>
          <w:trHeight w:val="463"/>
        </w:trPr>
        <w:tc>
          <w:tcPr>
            <w:tcW w:w="1620" w:type="dxa"/>
            <w:shd w:val="clear" w:color="auto" w:fill="B4C6E7" w:themeFill="accent5" w:themeFillTint="66"/>
          </w:tcPr>
          <w:p w:rsidR="00552D89" w:rsidRPr="00776D93" w:rsidRDefault="00552D89" w:rsidP="00FE0DE5">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r w:rsidRPr="00776D93">
              <w:rPr>
                <w:rFonts w:ascii="Garamond" w:eastAsia="Garamond" w:hAnsi="Garamond" w:cs="Garamond"/>
                <w:b/>
                <w:color w:val="4472C4" w:themeColor="accent5"/>
                <w:sz w:val="20"/>
                <w:szCs w:val="20"/>
              </w:rPr>
              <w:t>1. NIVEL DE IMPLEMENTACIÓN</w:t>
            </w:r>
          </w:p>
        </w:tc>
        <w:tc>
          <w:tcPr>
            <w:tcW w:w="7830" w:type="dxa"/>
            <w:shd w:val="clear" w:color="auto" w:fill="B4C6E7" w:themeFill="accent5" w:themeFillTint="66"/>
          </w:tcPr>
          <w:p w:rsidR="00552D89" w:rsidRPr="00776D93" w:rsidRDefault="00552D89" w:rsidP="00FE0DE5">
            <w:pPr>
              <w:spacing w:after="0" w:line="240" w:lineRule="auto"/>
              <w:jc w:val="both"/>
              <w:rPr>
                <w:rFonts w:ascii="Garamond" w:eastAsia="Garamond" w:hAnsi="Garamond" w:cs="Garamond"/>
                <w:sz w:val="20"/>
                <w:szCs w:val="20"/>
              </w:rPr>
            </w:pPr>
          </w:p>
          <w:p w:rsidR="00552D89" w:rsidRPr="00776D93" w:rsidRDefault="00552D89" w:rsidP="00FE0DE5">
            <w:pPr>
              <w:spacing w:after="0" w:line="240" w:lineRule="auto"/>
              <w:jc w:val="both"/>
              <w:rPr>
                <w:rFonts w:ascii="Garamond" w:eastAsia="Garamond" w:hAnsi="Garamond" w:cs="Garamond"/>
                <w:b/>
                <w:color w:val="ED7D31" w:themeColor="accent2"/>
                <w:sz w:val="20"/>
                <w:szCs w:val="20"/>
              </w:rPr>
            </w:pPr>
            <w:r w:rsidRPr="00776D93">
              <w:rPr>
                <w:rFonts w:ascii="Garamond" w:eastAsia="Garamond" w:hAnsi="Garamond" w:cs="Garamond"/>
                <w:b/>
                <w:color w:val="ED7D31" w:themeColor="accent2"/>
                <w:sz w:val="20"/>
                <w:szCs w:val="20"/>
              </w:rPr>
              <w:t>Aplicado parcialmente</w:t>
            </w:r>
          </w:p>
          <w:p w:rsidR="00552D89" w:rsidRPr="00776D93" w:rsidRDefault="00552D89" w:rsidP="00FE0DE5">
            <w:pPr>
              <w:spacing w:after="0" w:line="240" w:lineRule="auto"/>
              <w:jc w:val="both"/>
              <w:rPr>
                <w:rFonts w:ascii="Garamond" w:eastAsia="Garamond" w:hAnsi="Garamond" w:cs="Garamond"/>
                <w:sz w:val="20"/>
                <w:szCs w:val="20"/>
                <w:highlight w:val="yellow"/>
              </w:rPr>
            </w:pPr>
          </w:p>
        </w:tc>
      </w:tr>
      <w:tr w:rsidR="00552D89" w:rsidRPr="00776D93" w:rsidTr="00117121">
        <w:tc>
          <w:tcPr>
            <w:tcW w:w="1620" w:type="dxa"/>
          </w:tcPr>
          <w:p w:rsidR="00552D89" w:rsidRPr="00776D93" w:rsidRDefault="00552D89" w:rsidP="00FE0DE5">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p>
          <w:p w:rsidR="00552D89" w:rsidRPr="00776D93" w:rsidRDefault="00552D89" w:rsidP="00FE0DE5">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p>
          <w:p w:rsidR="00552D89" w:rsidRPr="00776D93" w:rsidRDefault="00552D89" w:rsidP="00FE0DE5">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r w:rsidRPr="00776D93">
              <w:rPr>
                <w:rFonts w:ascii="Garamond" w:eastAsia="Garamond" w:hAnsi="Garamond" w:cs="Garamond"/>
                <w:b/>
                <w:color w:val="4472C4" w:themeColor="accent5"/>
                <w:sz w:val="20"/>
                <w:szCs w:val="20"/>
              </w:rPr>
              <w:t>2. CONTEXTO</w:t>
            </w:r>
          </w:p>
          <w:p w:rsidR="00552D89" w:rsidRPr="00776D93" w:rsidRDefault="00552D89" w:rsidP="00FE0DE5">
            <w:pPr>
              <w:pBdr>
                <w:top w:val="nil"/>
                <w:left w:val="nil"/>
                <w:bottom w:val="nil"/>
                <w:right w:val="nil"/>
                <w:between w:val="nil"/>
              </w:pBdr>
              <w:spacing w:after="0" w:line="240" w:lineRule="auto"/>
              <w:ind w:left="720"/>
              <w:jc w:val="both"/>
              <w:rPr>
                <w:rFonts w:ascii="Garamond" w:eastAsia="Garamond" w:hAnsi="Garamond" w:cs="Garamond"/>
                <w:color w:val="4472C4" w:themeColor="accent5"/>
                <w:sz w:val="20"/>
                <w:szCs w:val="20"/>
              </w:rPr>
            </w:pPr>
          </w:p>
        </w:tc>
        <w:tc>
          <w:tcPr>
            <w:tcW w:w="7830" w:type="dxa"/>
          </w:tcPr>
          <w:p w:rsidR="00552D89" w:rsidRPr="00776D93" w:rsidRDefault="00552D89" w:rsidP="00FE0DE5">
            <w:pPr>
              <w:spacing w:after="0" w:line="240" w:lineRule="auto"/>
              <w:jc w:val="both"/>
              <w:rPr>
                <w:rFonts w:ascii="Garamond" w:eastAsia="Times New Roman" w:hAnsi="Garamond"/>
                <w:bCs/>
                <w:color w:val="000000" w:themeColor="text1"/>
                <w:sz w:val="20"/>
                <w:szCs w:val="20"/>
                <w:lang w:eastAsia="es-PE"/>
              </w:rPr>
            </w:pPr>
            <w:r w:rsidRPr="00776D93">
              <w:rPr>
                <w:rFonts w:ascii="Garamond" w:eastAsia="Times New Roman" w:hAnsi="Garamond"/>
                <w:bCs/>
                <w:color w:val="000000" w:themeColor="text1"/>
                <w:sz w:val="20"/>
                <w:szCs w:val="20"/>
                <w:lang w:eastAsia="es-PE"/>
              </w:rPr>
              <w:t>Se atiende en todo el sistema educativo cuando tienen discapacidad leve o moderada y por la Educación Básica Especial cuando tienen discapacidad severa. El 19,5% de las PCD no accede a la educación o está en el nivel inicial; el 41,0% está en primaria; el 27,0% en secundaria y apenas el 12,5% accede a algún año de educación superior.</w:t>
            </w:r>
          </w:p>
          <w:p w:rsidR="00552D89" w:rsidRPr="00776D93" w:rsidRDefault="00552D89" w:rsidP="00FE0DE5">
            <w:pPr>
              <w:spacing w:after="0" w:line="240" w:lineRule="auto"/>
              <w:jc w:val="both"/>
              <w:rPr>
                <w:rFonts w:ascii="Garamond" w:eastAsia="Times New Roman" w:hAnsi="Garamond"/>
                <w:bCs/>
                <w:color w:val="000000" w:themeColor="text1"/>
                <w:sz w:val="20"/>
                <w:szCs w:val="20"/>
                <w:lang w:eastAsia="es-PE"/>
              </w:rPr>
            </w:pPr>
            <w:r w:rsidRPr="00776D93">
              <w:rPr>
                <w:rFonts w:ascii="Garamond" w:eastAsia="Garamond" w:hAnsi="Garamond" w:cs="Garamond"/>
                <w:color w:val="000000"/>
                <w:sz w:val="20"/>
                <w:szCs w:val="20"/>
              </w:rPr>
              <w:t xml:space="preserve">El </w:t>
            </w:r>
            <w:r w:rsidRPr="00776D93">
              <w:rPr>
                <w:rFonts w:ascii="Garamond" w:eastAsia="Times New Roman" w:hAnsi="Garamond"/>
                <w:bCs/>
                <w:color w:val="000000" w:themeColor="text1"/>
                <w:sz w:val="20"/>
                <w:szCs w:val="20"/>
                <w:lang w:eastAsia="es-PE"/>
              </w:rPr>
              <w:t>analfabetismo de las PCD es mayor en las mujeres (33,6%) que en los hombres (19,1%). La brecha de analfabetismo por género es mayor en el área rural, favorable a los hombres</w:t>
            </w:r>
            <w:r w:rsidRPr="00776D93">
              <w:rPr>
                <w:rStyle w:val="EndnoteReference"/>
                <w:rFonts w:ascii="Garamond" w:eastAsia="Times New Roman" w:hAnsi="Garamond"/>
                <w:bCs/>
                <w:color w:val="000000" w:themeColor="text1"/>
                <w:sz w:val="20"/>
                <w:szCs w:val="20"/>
                <w:lang w:eastAsia="es-PE"/>
              </w:rPr>
              <w:endnoteReference w:id="122"/>
            </w:r>
            <w:r w:rsidRPr="00776D93">
              <w:rPr>
                <w:rFonts w:ascii="Garamond" w:eastAsia="Times New Roman" w:hAnsi="Garamond"/>
                <w:bCs/>
                <w:color w:val="000000" w:themeColor="text1"/>
                <w:sz w:val="20"/>
                <w:szCs w:val="20"/>
                <w:lang w:eastAsia="es-PE"/>
              </w:rPr>
              <w:t xml:space="preserve">. </w:t>
            </w:r>
          </w:p>
          <w:p w:rsidR="00552D89" w:rsidRPr="00776D93" w:rsidRDefault="00552D89" w:rsidP="00FE0DE5">
            <w:pPr>
              <w:spacing w:after="0" w:line="240" w:lineRule="auto"/>
              <w:jc w:val="both"/>
              <w:rPr>
                <w:rFonts w:ascii="Garamond" w:eastAsia="Times New Roman" w:hAnsi="Garamond"/>
                <w:color w:val="000000" w:themeColor="text1"/>
                <w:sz w:val="20"/>
                <w:szCs w:val="20"/>
                <w:lang w:eastAsia="es-PE"/>
              </w:rPr>
            </w:pPr>
            <w:r w:rsidRPr="00776D93">
              <w:rPr>
                <w:rFonts w:ascii="Garamond" w:eastAsia="Times New Roman" w:hAnsi="Garamond"/>
                <w:bCs/>
                <w:color w:val="000000" w:themeColor="text1"/>
                <w:sz w:val="20"/>
                <w:szCs w:val="20"/>
                <w:lang w:eastAsia="es-PE"/>
              </w:rPr>
              <w:t>La atención adecuada a la discapacidad es deficiente; no se distingue la diversidad y no se cumple la universalidad: no se enseña el lenguaje de señas peruano, no se usa el braille para aprender a leer y escribir según las normas del castellano, se reemplaza por el audio libro con el que no se aprende a leer. No dialogan la educación intercultural, la rural y la educación de PCD en el MINEDU y los contenidos que reciben son diferentes.</w:t>
            </w:r>
            <w:r w:rsidRPr="00776D93">
              <w:rPr>
                <w:rStyle w:val="EndnoteReference"/>
                <w:rFonts w:ascii="Garamond" w:eastAsia="Times New Roman" w:hAnsi="Garamond"/>
                <w:bCs/>
                <w:color w:val="000000" w:themeColor="text1"/>
                <w:sz w:val="20"/>
                <w:szCs w:val="20"/>
                <w:lang w:eastAsia="es-PE"/>
              </w:rPr>
              <w:endnoteReference w:id="123"/>
            </w:r>
          </w:p>
        </w:tc>
      </w:tr>
      <w:tr w:rsidR="00552D89" w:rsidRPr="00776D93" w:rsidTr="00FE0DE5">
        <w:trPr>
          <w:trHeight w:val="1530"/>
        </w:trPr>
        <w:tc>
          <w:tcPr>
            <w:tcW w:w="1620" w:type="dxa"/>
            <w:shd w:val="clear" w:color="auto" w:fill="B4C6E7" w:themeFill="accent5" w:themeFillTint="66"/>
          </w:tcPr>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0070C0"/>
                <w:sz w:val="20"/>
                <w:szCs w:val="20"/>
              </w:rPr>
            </w:pPr>
            <w:r w:rsidRPr="00776D93">
              <w:rPr>
                <w:rFonts w:ascii="Garamond" w:eastAsia="Garamond" w:hAnsi="Garamond" w:cs="Garamond"/>
                <w:b/>
                <w:color w:val="0070C0"/>
                <w:sz w:val="20"/>
                <w:szCs w:val="20"/>
              </w:rPr>
              <w:lastRenderedPageBreak/>
              <w:t>3. RECOMENDACIONES AL ESTADO PERUANO</w:t>
            </w:r>
          </w:p>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0070C0"/>
                <w:sz w:val="20"/>
                <w:szCs w:val="20"/>
              </w:rPr>
            </w:pPr>
          </w:p>
        </w:tc>
        <w:tc>
          <w:tcPr>
            <w:tcW w:w="7830" w:type="dxa"/>
            <w:shd w:val="clear" w:color="auto" w:fill="B4C6E7" w:themeFill="accent5" w:themeFillTint="66"/>
          </w:tcPr>
          <w:p w:rsidR="00552D89" w:rsidRPr="00776D93" w:rsidRDefault="00552D89" w:rsidP="00117121">
            <w:pPr>
              <w:spacing w:after="0" w:line="240" w:lineRule="auto"/>
              <w:jc w:val="both"/>
              <w:rPr>
                <w:rFonts w:ascii="Garamond" w:eastAsia="Garamond" w:hAnsi="Garamond" w:cs="Garamond"/>
                <w:sz w:val="20"/>
                <w:szCs w:val="20"/>
              </w:rPr>
            </w:pPr>
            <w:r w:rsidRPr="00776D93">
              <w:rPr>
                <w:rFonts w:ascii="Garamond" w:eastAsia="Garamond" w:hAnsi="Garamond" w:cs="Garamond"/>
                <w:sz w:val="20"/>
                <w:szCs w:val="20"/>
              </w:rPr>
              <w:t>•</w:t>
            </w:r>
            <w:r w:rsidRPr="00776D93">
              <w:rPr>
                <w:rFonts w:ascii="Garamond" w:hAnsi="Garamond"/>
                <w:sz w:val="20"/>
                <w:szCs w:val="20"/>
              </w:rPr>
              <w:t xml:space="preserve"> </w:t>
            </w:r>
            <w:r w:rsidRPr="00776D93">
              <w:rPr>
                <w:rFonts w:ascii="Garamond" w:eastAsia="Garamond" w:hAnsi="Garamond" w:cs="Garamond"/>
                <w:sz w:val="20"/>
                <w:szCs w:val="20"/>
              </w:rPr>
              <w:t>Implementar el Diseño Universal de Aprendizaje, DUA, para cerrar brechas de acceso de los niños, niñas y adolescentes CD.</w:t>
            </w:r>
          </w:p>
          <w:p w:rsidR="00552D89" w:rsidRPr="00776D93" w:rsidRDefault="00552D89" w:rsidP="00117121">
            <w:pPr>
              <w:spacing w:after="0" w:line="240" w:lineRule="auto"/>
              <w:jc w:val="both"/>
              <w:rPr>
                <w:rFonts w:ascii="Garamond" w:eastAsia="Garamond" w:hAnsi="Garamond" w:cs="Garamond"/>
                <w:sz w:val="20"/>
                <w:szCs w:val="20"/>
              </w:rPr>
            </w:pPr>
            <w:r w:rsidRPr="00776D93">
              <w:rPr>
                <w:rFonts w:ascii="Garamond" w:eastAsia="Garamond" w:hAnsi="Garamond" w:cs="Garamond"/>
                <w:sz w:val="20"/>
                <w:szCs w:val="20"/>
              </w:rPr>
              <w:t>• Aprobar e implementar el Plan Marco de la Educación Inclusiva.</w:t>
            </w:r>
          </w:p>
          <w:p w:rsidR="00552D89" w:rsidRPr="00776D93" w:rsidRDefault="00552D89" w:rsidP="00117121">
            <w:pPr>
              <w:spacing w:after="0" w:line="240" w:lineRule="auto"/>
              <w:jc w:val="both"/>
              <w:rPr>
                <w:rFonts w:ascii="Garamond" w:eastAsia="Garamond" w:hAnsi="Garamond" w:cs="Garamond"/>
                <w:sz w:val="20"/>
                <w:szCs w:val="20"/>
                <w:highlight w:val="yellow"/>
              </w:rPr>
            </w:pPr>
            <w:r w:rsidRPr="00776D93">
              <w:rPr>
                <w:rFonts w:ascii="Garamond" w:eastAsia="Garamond" w:hAnsi="Garamond" w:cs="Garamond"/>
                <w:sz w:val="20"/>
                <w:szCs w:val="20"/>
              </w:rPr>
              <w:t>• Cumplir con la Ley 29973 para la formación y tranversalización del enfoque de DDHH con perspectiva de discapacidad e interseccionalidad.</w:t>
            </w:r>
          </w:p>
        </w:tc>
      </w:tr>
    </w:tbl>
    <w:p w:rsidR="00552D89" w:rsidRPr="00776D93" w:rsidRDefault="00552D89" w:rsidP="00FE0DE5">
      <w:pPr>
        <w:pStyle w:val="ListParagraph"/>
        <w:rPr>
          <w:rFonts w:ascii="Garamond" w:hAnsi="Garamond"/>
          <w:b/>
          <w:sz w:val="20"/>
          <w:szCs w:val="20"/>
        </w:rPr>
      </w:pPr>
    </w:p>
    <w:p w:rsidR="00552D89" w:rsidRPr="00776D93" w:rsidRDefault="00552D89" w:rsidP="00FE0DE5">
      <w:pPr>
        <w:pStyle w:val="ListParagraph"/>
        <w:rPr>
          <w:rFonts w:ascii="Garamond" w:hAnsi="Garamond"/>
          <w:b/>
          <w:sz w:val="20"/>
          <w:szCs w:val="20"/>
        </w:rPr>
      </w:pPr>
    </w:p>
    <w:p w:rsidR="00552D89" w:rsidRPr="00776D93" w:rsidRDefault="00552D89" w:rsidP="00FE0DE5">
      <w:pPr>
        <w:pStyle w:val="ListParagraph"/>
        <w:rPr>
          <w:rFonts w:ascii="Garamond" w:hAnsi="Garamond"/>
          <w:b/>
          <w:sz w:val="20"/>
          <w:szCs w:val="20"/>
        </w:rPr>
      </w:pPr>
    </w:p>
    <w:tbl>
      <w:tblPr>
        <w:tblW w:w="945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620"/>
        <w:gridCol w:w="7830"/>
      </w:tblGrid>
      <w:tr w:rsidR="00552D89" w:rsidRPr="00776D93" w:rsidTr="00117121">
        <w:trPr>
          <w:trHeight w:val="789"/>
        </w:trPr>
        <w:tc>
          <w:tcPr>
            <w:tcW w:w="1620" w:type="dxa"/>
            <w:vAlign w:val="center"/>
          </w:tcPr>
          <w:p w:rsidR="00552D89" w:rsidRPr="00776D93" w:rsidRDefault="00552D89" w:rsidP="00117121">
            <w:pPr>
              <w:spacing w:after="0" w:line="240" w:lineRule="auto"/>
              <w:jc w:val="both"/>
              <w:rPr>
                <w:rFonts w:ascii="Garamond" w:eastAsia="Garamond" w:hAnsi="Garamond" w:cs="Garamond"/>
                <w:color w:val="0070C0"/>
                <w:sz w:val="20"/>
                <w:szCs w:val="20"/>
              </w:rPr>
            </w:pPr>
          </w:p>
          <w:p w:rsidR="00552D89" w:rsidRPr="00776D93" w:rsidRDefault="00552D89" w:rsidP="00117121">
            <w:pPr>
              <w:spacing w:after="0" w:line="240" w:lineRule="auto"/>
              <w:jc w:val="both"/>
              <w:rPr>
                <w:rFonts w:ascii="Garamond" w:eastAsia="Garamond" w:hAnsi="Garamond" w:cs="Garamond"/>
                <w:b/>
                <w:color w:val="4472C4" w:themeColor="accent5"/>
                <w:sz w:val="20"/>
                <w:szCs w:val="20"/>
              </w:rPr>
            </w:pPr>
            <w:r w:rsidRPr="00776D93">
              <w:rPr>
                <w:rFonts w:ascii="Garamond" w:eastAsia="Garamond" w:hAnsi="Garamond" w:cs="Garamond"/>
                <w:b/>
                <w:color w:val="4472C4" w:themeColor="accent5"/>
                <w:sz w:val="20"/>
                <w:szCs w:val="20"/>
              </w:rPr>
              <w:t>RECOMENDACIÓN</w:t>
            </w:r>
          </w:p>
          <w:p w:rsidR="00552D89" w:rsidRPr="00776D93" w:rsidRDefault="00552D89" w:rsidP="00117121">
            <w:pPr>
              <w:spacing w:after="0" w:line="240" w:lineRule="auto"/>
              <w:jc w:val="both"/>
              <w:rPr>
                <w:rFonts w:ascii="Garamond" w:eastAsia="Garamond" w:hAnsi="Garamond" w:cs="Garamond"/>
                <w:sz w:val="20"/>
                <w:szCs w:val="20"/>
              </w:rPr>
            </w:pPr>
          </w:p>
        </w:tc>
        <w:tc>
          <w:tcPr>
            <w:tcW w:w="7830" w:type="dxa"/>
            <w:vAlign w:val="center"/>
          </w:tcPr>
          <w:p w:rsidR="00552D89" w:rsidRPr="00776D93" w:rsidRDefault="00552D89" w:rsidP="00552D89">
            <w:pPr>
              <w:spacing w:after="0" w:line="240" w:lineRule="auto"/>
              <w:jc w:val="both"/>
              <w:rPr>
                <w:rFonts w:ascii="Garamond" w:eastAsia="Garamond" w:hAnsi="Garamond" w:cs="Garamond"/>
                <w:sz w:val="20"/>
                <w:szCs w:val="20"/>
              </w:rPr>
            </w:pPr>
            <w:r w:rsidRPr="00776D93">
              <w:rPr>
                <w:rFonts w:ascii="Garamond" w:eastAsia="Garamond" w:hAnsi="Garamond" w:cs="Garamond"/>
                <w:b/>
                <w:sz w:val="20"/>
                <w:szCs w:val="20"/>
              </w:rPr>
              <w:t>Educación niñez trabajadora,</w:t>
            </w:r>
            <w:r w:rsidRPr="00776D93">
              <w:rPr>
                <w:rFonts w:ascii="Garamond" w:eastAsia="Garamond" w:hAnsi="Garamond" w:cs="Garamond"/>
                <w:sz w:val="20"/>
                <w:szCs w:val="20"/>
              </w:rPr>
              <w:t xml:space="preserve"> </w:t>
            </w:r>
            <w:r w:rsidRPr="00776D93">
              <w:rPr>
                <w:rFonts w:ascii="Garamond" w:hAnsi="Garamond" w:cstheme="majorHAnsi"/>
                <w:sz w:val="20"/>
                <w:szCs w:val="20"/>
              </w:rPr>
              <w:t>EPU 2012</w:t>
            </w:r>
            <w:r w:rsidRPr="00776D93">
              <w:rPr>
                <w:rStyle w:val="EndnoteReference"/>
                <w:rFonts w:ascii="Garamond" w:hAnsi="Garamond" w:cstheme="majorHAnsi"/>
                <w:sz w:val="20"/>
                <w:szCs w:val="20"/>
              </w:rPr>
              <w:endnoteReference w:id="124"/>
            </w:r>
            <w:r w:rsidRPr="00776D93">
              <w:rPr>
                <w:rFonts w:ascii="Garamond" w:hAnsi="Garamond" w:cstheme="majorHAnsi"/>
                <w:sz w:val="20"/>
                <w:szCs w:val="20"/>
              </w:rPr>
              <w:t xml:space="preserve"> y 2017</w:t>
            </w:r>
            <w:r w:rsidRPr="00776D93">
              <w:rPr>
                <w:rStyle w:val="EndnoteReference"/>
                <w:rFonts w:ascii="Garamond" w:hAnsi="Garamond" w:cstheme="majorHAnsi"/>
                <w:sz w:val="20"/>
                <w:szCs w:val="20"/>
              </w:rPr>
              <w:endnoteReference w:id="125"/>
            </w:r>
          </w:p>
        </w:tc>
      </w:tr>
      <w:tr w:rsidR="00552D89" w:rsidRPr="00776D93" w:rsidTr="00FE0DE5">
        <w:trPr>
          <w:trHeight w:val="463"/>
        </w:trPr>
        <w:tc>
          <w:tcPr>
            <w:tcW w:w="1620" w:type="dxa"/>
            <w:shd w:val="clear" w:color="auto" w:fill="B4C6E7" w:themeFill="accent5" w:themeFillTint="66"/>
          </w:tcPr>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r w:rsidRPr="00776D93">
              <w:rPr>
                <w:rFonts w:ascii="Garamond" w:eastAsia="Garamond" w:hAnsi="Garamond" w:cs="Garamond"/>
                <w:b/>
                <w:color w:val="4472C4" w:themeColor="accent5"/>
                <w:sz w:val="20"/>
                <w:szCs w:val="20"/>
              </w:rPr>
              <w:t>1. NIVEL DE IMPLEMENTACIÓN:</w:t>
            </w:r>
          </w:p>
        </w:tc>
        <w:tc>
          <w:tcPr>
            <w:tcW w:w="7830" w:type="dxa"/>
            <w:shd w:val="clear" w:color="auto" w:fill="B4C6E7" w:themeFill="accent5" w:themeFillTint="66"/>
          </w:tcPr>
          <w:p w:rsidR="00552D89" w:rsidRPr="00776D93" w:rsidRDefault="00552D89" w:rsidP="00117121">
            <w:pPr>
              <w:spacing w:after="0" w:line="240" w:lineRule="auto"/>
              <w:jc w:val="both"/>
              <w:rPr>
                <w:rFonts w:ascii="Garamond" w:eastAsia="Garamond" w:hAnsi="Garamond" w:cs="Garamond"/>
                <w:sz w:val="20"/>
                <w:szCs w:val="20"/>
              </w:rPr>
            </w:pPr>
          </w:p>
          <w:p w:rsidR="00552D89" w:rsidRPr="00776D93" w:rsidRDefault="00552D89" w:rsidP="00117121">
            <w:pPr>
              <w:spacing w:after="0" w:line="240" w:lineRule="auto"/>
              <w:jc w:val="both"/>
              <w:rPr>
                <w:rFonts w:ascii="Garamond" w:eastAsia="Garamond" w:hAnsi="Garamond" w:cs="Garamond"/>
                <w:b/>
                <w:color w:val="ED7D31" w:themeColor="accent2"/>
                <w:sz w:val="20"/>
                <w:szCs w:val="20"/>
              </w:rPr>
            </w:pPr>
            <w:r w:rsidRPr="00776D93">
              <w:rPr>
                <w:rFonts w:ascii="Garamond" w:eastAsia="Garamond" w:hAnsi="Garamond" w:cs="Garamond"/>
                <w:b/>
                <w:color w:val="FF0000"/>
                <w:sz w:val="20"/>
                <w:szCs w:val="20"/>
              </w:rPr>
              <w:t>No se ha aplicado</w:t>
            </w:r>
          </w:p>
          <w:p w:rsidR="00552D89" w:rsidRPr="00776D93" w:rsidRDefault="00552D89" w:rsidP="00117121">
            <w:pPr>
              <w:spacing w:after="0" w:line="240" w:lineRule="auto"/>
              <w:jc w:val="both"/>
              <w:rPr>
                <w:rFonts w:ascii="Garamond" w:eastAsia="Garamond" w:hAnsi="Garamond" w:cs="Garamond"/>
                <w:sz w:val="20"/>
                <w:szCs w:val="20"/>
                <w:highlight w:val="yellow"/>
              </w:rPr>
            </w:pPr>
          </w:p>
        </w:tc>
      </w:tr>
      <w:tr w:rsidR="00552D89" w:rsidRPr="00776D93" w:rsidTr="00117121">
        <w:tc>
          <w:tcPr>
            <w:tcW w:w="1620" w:type="dxa"/>
          </w:tcPr>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p>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r w:rsidRPr="00776D93">
              <w:rPr>
                <w:rFonts w:ascii="Garamond" w:eastAsia="Garamond" w:hAnsi="Garamond" w:cs="Garamond"/>
                <w:b/>
                <w:color w:val="4472C4" w:themeColor="accent5"/>
                <w:sz w:val="20"/>
                <w:szCs w:val="20"/>
              </w:rPr>
              <w:t>2. CONTEXTO:</w:t>
            </w:r>
          </w:p>
          <w:p w:rsidR="00552D89" w:rsidRPr="00776D93" w:rsidRDefault="00552D89" w:rsidP="00117121">
            <w:pPr>
              <w:pBdr>
                <w:top w:val="nil"/>
                <w:left w:val="nil"/>
                <w:bottom w:val="nil"/>
                <w:right w:val="nil"/>
                <w:between w:val="nil"/>
              </w:pBdr>
              <w:spacing w:after="0" w:line="240" w:lineRule="auto"/>
              <w:ind w:left="720"/>
              <w:jc w:val="both"/>
              <w:rPr>
                <w:rFonts w:ascii="Garamond" w:eastAsia="Garamond" w:hAnsi="Garamond" w:cs="Garamond"/>
                <w:color w:val="4472C4" w:themeColor="accent5"/>
                <w:sz w:val="20"/>
                <w:szCs w:val="20"/>
              </w:rPr>
            </w:pPr>
          </w:p>
        </w:tc>
        <w:tc>
          <w:tcPr>
            <w:tcW w:w="7830" w:type="dxa"/>
          </w:tcPr>
          <w:p w:rsidR="00552D89" w:rsidRPr="00776D93" w:rsidRDefault="00552D89" w:rsidP="00117121">
            <w:pPr>
              <w:spacing w:after="0" w:line="240" w:lineRule="auto"/>
              <w:jc w:val="both"/>
              <w:rPr>
                <w:rFonts w:ascii="Garamond" w:hAnsi="Garamond" w:cstheme="majorHAnsi"/>
                <w:sz w:val="20"/>
                <w:szCs w:val="20"/>
              </w:rPr>
            </w:pPr>
            <w:r w:rsidRPr="00776D93">
              <w:rPr>
                <w:rFonts w:ascii="Garamond" w:hAnsi="Garamond" w:cstheme="majorHAnsi"/>
                <w:sz w:val="20"/>
                <w:szCs w:val="20"/>
              </w:rPr>
              <w:t>La edad mínima para el trabajo infantil sigue siendo 14 años. No existe una política que garantice el derecho a la educación a las niñas, niños y adolescentes que trabajan.</w:t>
            </w:r>
          </w:p>
          <w:p w:rsidR="00552D89" w:rsidRPr="00776D93" w:rsidRDefault="00552D89" w:rsidP="00117121">
            <w:pPr>
              <w:spacing w:after="0" w:line="240" w:lineRule="auto"/>
              <w:jc w:val="both"/>
              <w:rPr>
                <w:rFonts w:ascii="Garamond" w:hAnsi="Garamond" w:cstheme="majorHAnsi"/>
                <w:sz w:val="20"/>
                <w:szCs w:val="20"/>
              </w:rPr>
            </w:pPr>
            <w:r w:rsidRPr="00776D93">
              <w:rPr>
                <w:rFonts w:ascii="Garamond" w:hAnsi="Garamond" w:cstheme="majorHAnsi"/>
                <w:sz w:val="20"/>
                <w:szCs w:val="20"/>
              </w:rPr>
              <w:t>El trabajo infantil había disminuido de 2012 al 2019 y llegó al 25.8% de la población de 5 a 17 años. La pandemia provocó un aumento al 27.6% con 114,000 nuevos trabajadores infantiles.</w:t>
            </w:r>
          </w:p>
          <w:p w:rsidR="00552D89" w:rsidRPr="00776D93" w:rsidRDefault="00552D89" w:rsidP="00117121">
            <w:pPr>
              <w:spacing w:after="0" w:line="240" w:lineRule="auto"/>
              <w:jc w:val="both"/>
              <w:rPr>
                <w:rFonts w:ascii="Garamond" w:eastAsia="Garamond" w:hAnsi="Garamond" w:cs="Garamond"/>
                <w:color w:val="000000"/>
                <w:sz w:val="20"/>
                <w:szCs w:val="20"/>
              </w:rPr>
            </w:pPr>
            <w:r w:rsidRPr="00776D93">
              <w:rPr>
                <w:rFonts w:ascii="Garamond" w:hAnsi="Garamond" w:cstheme="majorHAnsi"/>
                <w:sz w:val="20"/>
                <w:szCs w:val="20"/>
              </w:rPr>
              <w:t>En el 2020, el 55.7% de la población de 6 a 16 años no se matriculó o no accedió a la educación a distancia por razones económicas; 8 de 10 estudia y trabaja; 2 de 10 no estudia. La repitencia y el atraso escolar es mayor entre los niñas, niñas y adolescentes que trabajan.  No hay información oficial a nivel nacional o sub-nacional sobre niñez y adolescencia en situación de calle que trabaje o estudie.</w:t>
            </w:r>
          </w:p>
        </w:tc>
      </w:tr>
      <w:tr w:rsidR="00552D89" w:rsidRPr="00776D93" w:rsidTr="00FE0DE5">
        <w:trPr>
          <w:trHeight w:val="1530"/>
        </w:trPr>
        <w:tc>
          <w:tcPr>
            <w:tcW w:w="1620" w:type="dxa"/>
            <w:shd w:val="clear" w:color="auto" w:fill="B4C6E7" w:themeFill="accent5" w:themeFillTint="66"/>
          </w:tcPr>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0070C0"/>
                <w:sz w:val="20"/>
                <w:szCs w:val="20"/>
              </w:rPr>
            </w:pPr>
            <w:r w:rsidRPr="00776D93">
              <w:rPr>
                <w:rFonts w:ascii="Garamond" w:eastAsia="Garamond" w:hAnsi="Garamond" w:cs="Garamond"/>
                <w:b/>
                <w:color w:val="0070C0"/>
                <w:sz w:val="20"/>
                <w:szCs w:val="20"/>
              </w:rPr>
              <w:t>3. RECOMENDACIONES AL ESTADO PERUANO:</w:t>
            </w:r>
          </w:p>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0070C0"/>
                <w:sz w:val="20"/>
                <w:szCs w:val="20"/>
              </w:rPr>
            </w:pPr>
          </w:p>
        </w:tc>
        <w:tc>
          <w:tcPr>
            <w:tcW w:w="7830" w:type="dxa"/>
            <w:shd w:val="clear" w:color="auto" w:fill="B4C6E7" w:themeFill="accent5" w:themeFillTint="66"/>
          </w:tcPr>
          <w:p w:rsidR="00552D89" w:rsidRPr="00776D93" w:rsidRDefault="00552D89" w:rsidP="00FE0DE5">
            <w:pPr>
              <w:pStyle w:val="ListParagraph"/>
              <w:numPr>
                <w:ilvl w:val="0"/>
                <w:numId w:val="15"/>
              </w:numPr>
              <w:spacing w:after="0" w:line="240" w:lineRule="auto"/>
              <w:ind w:left="245" w:hanging="245"/>
              <w:jc w:val="both"/>
              <w:rPr>
                <w:rFonts w:ascii="Garamond" w:hAnsi="Garamond" w:cstheme="majorHAnsi"/>
                <w:color w:val="000000" w:themeColor="text1"/>
                <w:sz w:val="20"/>
                <w:szCs w:val="20"/>
              </w:rPr>
            </w:pPr>
            <w:r w:rsidRPr="00776D93">
              <w:rPr>
                <w:rFonts w:ascii="Garamond" w:hAnsi="Garamond" w:cstheme="majorHAnsi"/>
                <w:color w:val="000000" w:themeColor="text1"/>
                <w:sz w:val="20"/>
                <w:szCs w:val="20"/>
              </w:rPr>
              <w:t>Emitir una política nacional marco que garantice la educación de las niñas, niños y adolescentes que trabajan, con su acceso a programas de calidad y pertinentes a las áreas rurales o urbano marginales donde residen.</w:t>
            </w:r>
          </w:p>
          <w:p w:rsidR="00552D89" w:rsidRPr="00776D93" w:rsidRDefault="00552D89" w:rsidP="00FE0DE5">
            <w:pPr>
              <w:pStyle w:val="ListParagraph"/>
              <w:numPr>
                <w:ilvl w:val="0"/>
                <w:numId w:val="15"/>
              </w:numPr>
              <w:spacing w:after="0" w:line="240" w:lineRule="auto"/>
              <w:ind w:left="245" w:hanging="245"/>
              <w:jc w:val="both"/>
              <w:rPr>
                <w:rFonts w:ascii="Garamond" w:hAnsi="Garamond" w:cstheme="majorHAnsi"/>
                <w:color w:val="000000" w:themeColor="text1"/>
                <w:sz w:val="20"/>
                <w:szCs w:val="20"/>
              </w:rPr>
            </w:pPr>
            <w:r w:rsidRPr="00776D93">
              <w:rPr>
                <w:rFonts w:ascii="Garamond" w:hAnsi="Garamond" w:cstheme="majorHAnsi"/>
                <w:color w:val="000000" w:themeColor="text1"/>
                <w:sz w:val="20"/>
                <w:szCs w:val="20"/>
              </w:rPr>
              <w:t>Propiciar políticas integrales, multisectoriales que posibiliten un registro desagregado de la situación educativa de la niñez y adolescencia que trabaja o vive en situación de calle.</w:t>
            </w:r>
          </w:p>
        </w:tc>
      </w:tr>
    </w:tbl>
    <w:p w:rsidR="00552D89" w:rsidRPr="00776D93" w:rsidRDefault="00552D89" w:rsidP="00FE0DE5">
      <w:pPr>
        <w:pStyle w:val="ListParagraph"/>
        <w:rPr>
          <w:rFonts w:ascii="Garamond" w:hAnsi="Garamond"/>
          <w:b/>
          <w:sz w:val="20"/>
          <w:szCs w:val="20"/>
        </w:rPr>
      </w:pPr>
    </w:p>
    <w:p w:rsidR="00552D89" w:rsidRPr="00776D93" w:rsidRDefault="00552D89" w:rsidP="00FE0DE5">
      <w:pPr>
        <w:pStyle w:val="ListParagraph"/>
        <w:rPr>
          <w:rFonts w:ascii="Garamond" w:hAnsi="Garamond"/>
          <w:b/>
          <w:sz w:val="20"/>
          <w:szCs w:val="20"/>
        </w:rPr>
      </w:pPr>
    </w:p>
    <w:p w:rsidR="00552D89" w:rsidRPr="00776D93" w:rsidRDefault="00552D89" w:rsidP="00FE0DE5">
      <w:pPr>
        <w:pStyle w:val="ListParagraph"/>
        <w:rPr>
          <w:rFonts w:ascii="Garamond" w:hAnsi="Garamond"/>
          <w:b/>
          <w:sz w:val="20"/>
          <w:szCs w:val="20"/>
        </w:rPr>
      </w:pPr>
    </w:p>
    <w:tbl>
      <w:tblPr>
        <w:tblW w:w="9450" w:type="dxa"/>
        <w:tblInd w:w="8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620"/>
        <w:gridCol w:w="7830"/>
      </w:tblGrid>
      <w:tr w:rsidR="00552D89" w:rsidRPr="00776D93" w:rsidTr="00117121">
        <w:trPr>
          <w:trHeight w:val="789"/>
        </w:trPr>
        <w:tc>
          <w:tcPr>
            <w:tcW w:w="1620" w:type="dxa"/>
            <w:vAlign w:val="center"/>
          </w:tcPr>
          <w:p w:rsidR="00552D89" w:rsidRPr="00776D93" w:rsidRDefault="00552D89" w:rsidP="00117121">
            <w:pPr>
              <w:spacing w:after="0" w:line="240" w:lineRule="auto"/>
              <w:jc w:val="both"/>
              <w:rPr>
                <w:rFonts w:ascii="Garamond" w:eastAsia="Garamond" w:hAnsi="Garamond" w:cs="Garamond"/>
                <w:color w:val="0070C0"/>
                <w:sz w:val="20"/>
                <w:szCs w:val="20"/>
              </w:rPr>
            </w:pPr>
          </w:p>
          <w:p w:rsidR="00552D89" w:rsidRPr="00776D93" w:rsidRDefault="00552D89" w:rsidP="00117121">
            <w:pPr>
              <w:spacing w:after="0" w:line="240" w:lineRule="auto"/>
              <w:jc w:val="both"/>
              <w:rPr>
                <w:rFonts w:ascii="Garamond" w:eastAsia="Garamond" w:hAnsi="Garamond" w:cs="Garamond"/>
                <w:b/>
                <w:color w:val="4472C4" w:themeColor="accent5"/>
                <w:sz w:val="20"/>
                <w:szCs w:val="20"/>
              </w:rPr>
            </w:pPr>
            <w:r w:rsidRPr="00776D93">
              <w:rPr>
                <w:rFonts w:ascii="Garamond" w:eastAsia="Garamond" w:hAnsi="Garamond" w:cs="Garamond"/>
                <w:b/>
                <w:color w:val="4472C4" w:themeColor="accent5"/>
                <w:sz w:val="20"/>
                <w:szCs w:val="20"/>
              </w:rPr>
              <w:t>RECOMENDACIÓN</w:t>
            </w:r>
          </w:p>
          <w:p w:rsidR="00552D89" w:rsidRPr="00776D93" w:rsidRDefault="00552D89" w:rsidP="00117121">
            <w:pPr>
              <w:spacing w:after="0" w:line="240" w:lineRule="auto"/>
              <w:jc w:val="both"/>
              <w:rPr>
                <w:rFonts w:ascii="Garamond" w:eastAsia="Garamond" w:hAnsi="Garamond" w:cs="Garamond"/>
                <w:sz w:val="20"/>
                <w:szCs w:val="20"/>
              </w:rPr>
            </w:pPr>
          </w:p>
        </w:tc>
        <w:tc>
          <w:tcPr>
            <w:tcW w:w="7830" w:type="dxa"/>
            <w:vAlign w:val="center"/>
          </w:tcPr>
          <w:p w:rsidR="00552D89" w:rsidRPr="00776D93" w:rsidRDefault="00552D89" w:rsidP="00117121">
            <w:pPr>
              <w:spacing w:after="0" w:line="240" w:lineRule="auto"/>
              <w:jc w:val="both"/>
              <w:rPr>
                <w:rFonts w:ascii="Garamond" w:eastAsia="Garamond" w:hAnsi="Garamond" w:cs="Garamond"/>
                <w:b/>
                <w:sz w:val="20"/>
                <w:szCs w:val="20"/>
              </w:rPr>
            </w:pPr>
            <w:r w:rsidRPr="00776D93">
              <w:rPr>
                <w:rFonts w:ascii="Garamond" w:eastAsia="Garamond" w:hAnsi="Garamond" w:cs="Garamond"/>
                <w:b/>
                <w:sz w:val="20"/>
                <w:szCs w:val="20"/>
              </w:rPr>
              <w:t xml:space="preserve">Educación para trabajadores migratorios, </w:t>
            </w:r>
            <w:r w:rsidRPr="00776D93">
              <w:rPr>
                <w:rFonts w:ascii="Garamond" w:hAnsi="Garamond" w:cstheme="majorHAnsi"/>
                <w:sz w:val="20"/>
                <w:szCs w:val="20"/>
              </w:rPr>
              <w:t>EPU 2017</w:t>
            </w:r>
            <w:r w:rsidRPr="00776D93">
              <w:rPr>
                <w:rStyle w:val="EndnoteReference"/>
                <w:rFonts w:ascii="Garamond" w:hAnsi="Garamond" w:cstheme="majorHAnsi"/>
                <w:sz w:val="20"/>
                <w:szCs w:val="20"/>
              </w:rPr>
              <w:endnoteReference w:id="126"/>
            </w:r>
          </w:p>
        </w:tc>
      </w:tr>
      <w:tr w:rsidR="00552D89" w:rsidRPr="00776D93" w:rsidTr="00FE0DE5">
        <w:trPr>
          <w:trHeight w:val="463"/>
        </w:trPr>
        <w:tc>
          <w:tcPr>
            <w:tcW w:w="1620" w:type="dxa"/>
            <w:shd w:val="clear" w:color="auto" w:fill="B4C6E7" w:themeFill="accent5" w:themeFillTint="66"/>
          </w:tcPr>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r w:rsidRPr="00776D93">
              <w:rPr>
                <w:rFonts w:ascii="Garamond" w:eastAsia="Garamond" w:hAnsi="Garamond" w:cs="Garamond"/>
                <w:b/>
                <w:color w:val="4472C4" w:themeColor="accent5"/>
                <w:sz w:val="20"/>
                <w:szCs w:val="20"/>
              </w:rPr>
              <w:t>1. NIVEL DE IMPLEMENTACIÓN</w:t>
            </w:r>
          </w:p>
        </w:tc>
        <w:tc>
          <w:tcPr>
            <w:tcW w:w="7830" w:type="dxa"/>
            <w:shd w:val="clear" w:color="auto" w:fill="B4C6E7" w:themeFill="accent5" w:themeFillTint="66"/>
          </w:tcPr>
          <w:p w:rsidR="00552D89" w:rsidRPr="00776D93" w:rsidRDefault="00552D89" w:rsidP="00117121">
            <w:pPr>
              <w:spacing w:after="0" w:line="240" w:lineRule="auto"/>
              <w:jc w:val="both"/>
              <w:rPr>
                <w:rFonts w:ascii="Garamond" w:eastAsia="Garamond" w:hAnsi="Garamond" w:cs="Garamond"/>
                <w:sz w:val="20"/>
                <w:szCs w:val="20"/>
              </w:rPr>
            </w:pPr>
          </w:p>
          <w:p w:rsidR="00552D89" w:rsidRPr="00776D93" w:rsidRDefault="00552D89" w:rsidP="00117121">
            <w:pPr>
              <w:spacing w:after="0" w:line="240" w:lineRule="auto"/>
              <w:jc w:val="both"/>
              <w:rPr>
                <w:rFonts w:ascii="Garamond" w:eastAsia="Garamond" w:hAnsi="Garamond" w:cs="Garamond"/>
                <w:b/>
                <w:color w:val="ED7D31" w:themeColor="accent2"/>
                <w:sz w:val="20"/>
                <w:szCs w:val="20"/>
              </w:rPr>
            </w:pPr>
            <w:r w:rsidRPr="00776D93">
              <w:rPr>
                <w:rFonts w:ascii="Garamond" w:eastAsia="Garamond" w:hAnsi="Garamond" w:cs="Garamond"/>
                <w:b/>
                <w:color w:val="ED7D31" w:themeColor="accent2"/>
                <w:sz w:val="20"/>
                <w:szCs w:val="20"/>
              </w:rPr>
              <w:t>Aplicado parcialmente</w:t>
            </w:r>
          </w:p>
          <w:p w:rsidR="00552D89" w:rsidRPr="00776D93" w:rsidRDefault="00552D89" w:rsidP="00117121">
            <w:pPr>
              <w:spacing w:after="0" w:line="240" w:lineRule="auto"/>
              <w:jc w:val="both"/>
              <w:rPr>
                <w:rFonts w:ascii="Garamond" w:eastAsia="Garamond" w:hAnsi="Garamond" w:cs="Garamond"/>
                <w:sz w:val="20"/>
                <w:szCs w:val="20"/>
                <w:highlight w:val="yellow"/>
              </w:rPr>
            </w:pPr>
          </w:p>
        </w:tc>
      </w:tr>
      <w:tr w:rsidR="00FE0DE5" w:rsidRPr="00776D93" w:rsidTr="00117121">
        <w:tc>
          <w:tcPr>
            <w:tcW w:w="1620" w:type="dxa"/>
          </w:tcPr>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p>
          <w:p w:rsidR="00552D89" w:rsidRPr="00776D93" w:rsidRDefault="00552D89" w:rsidP="00117121">
            <w:pPr>
              <w:pBdr>
                <w:top w:val="nil"/>
                <w:left w:val="nil"/>
                <w:bottom w:val="nil"/>
                <w:right w:val="nil"/>
                <w:between w:val="nil"/>
              </w:pBdr>
              <w:spacing w:after="0" w:line="240" w:lineRule="auto"/>
              <w:jc w:val="both"/>
              <w:rPr>
                <w:rFonts w:ascii="Garamond" w:eastAsia="Garamond" w:hAnsi="Garamond" w:cs="Garamond"/>
                <w:color w:val="4472C4" w:themeColor="accent5"/>
                <w:sz w:val="20"/>
                <w:szCs w:val="20"/>
              </w:rPr>
            </w:pPr>
            <w:r w:rsidRPr="00776D93">
              <w:rPr>
                <w:rFonts w:ascii="Garamond" w:eastAsia="Garamond" w:hAnsi="Garamond" w:cs="Garamond"/>
                <w:b/>
                <w:color w:val="4472C4" w:themeColor="accent5"/>
                <w:sz w:val="20"/>
                <w:szCs w:val="20"/>
              </w:rPr>
              <w:t>2. CONTEXTO:</w:t>
            </w:r>
          </w:p>
          <w:p w:rsidR="00552D89" w:rsidRPr="00776D93" w:rsidRDefault="00552D89" w:rsidP="00117121">
            <w:pPr>
              <w:pBdr>
                <w:top w:val="nil"/>
                <w:left w:val="nil"/>
                <w:bottom w:val="nil"/>
                <w:right w:val="nil"/>
                <w:between w:val="nil"/>
              </w:pBdr>
              <w:spacing w:after="0" w:line="240" w:lineRule="auto"/>
              <w:ind w:left="720"/>
              <w:jc w:val="both"/>
              <w:rPr>
                <w:rFonts w:ascii="Garamond" w:eastAsia="Garamond" w:hAnsi="Garamond" w:cs="Garamond"/>
                <w:color w:val="4472C4" w:themeColor="accent5"/>
                <w:sz w:val="20"/>
                <w:szCs w:val="20"/>
              </w:rPr>
            </w:pPr>
          </w:p>
        </w:tc>
        <w:tc>
          <w:tcPr>
            <w:tcW w:w="7830" w:type="dxa"/>
          </w:tcPr>
          <w:p w:rsidR="00FE0DE5" w:rsidRPr="00776D93" w:rsidRDefault="00552D89" w:rsidP="00117121">
            <w:pPr>
              <w:spacing w:after="0" w:line="240" w:lineRule="auto"/>
              <w:jc w:val="both"/>
              <w:rPr>
                <w:rFonts w:ascii="Garamond" w:eastAsia="Garamond" w:hAnsi="Garamond" w:cs="Garamond"/>
                <w:color w:val="000000"/>
                <w:sz w:val="20"/>
                <w:szCs w:val="20"/>
              </w:rPr>
            </w:pPr>
            <w:r w:rsidRPr="00776D93">
              <w:rPr>
                <w:rFonts w:ascii="Garamond" w:eastAsia="Garamond" w:hAnsi="Garamond" w:cs="Garamond"/>
                <w:color w:val="000000"/>
                <w:sz w:val="20"/>
                <w:szCs w:val="20"/>
              </w:rPr>
              <w:t xml:space="preserve">Desde </w:t>
            </w:r>
            <w:r w:rsidRPr="00776D93">
              <w:rPr>
                <w:rFonts w:ascii="Garamond" w:hAnsi="Garamond" w:cstheme="majorHAnsi"/>
                <w:color w:val="000000" w:themeColor="text1"/>
                <w:sz w:val="20"/>
                <w:szCs w:val="20"/>
              </w:rPr>
              <w:t xml:space="preserve">el 2017 a junio del 2020, ingresaron </w:t>
            </w:r>
            <w:r w:rsidRPr="00776D93">
              <w:rPr>
                <w:rFonts w:ascii="Garamond" w:hAnsi="Garamond"/>
                <w:color w:val="171717"/>
                <w:sz w:val="20"/>
                <w:szCs w:val="20"/>
              </w:rPr>
              <w:t>al país 1´299,952</w:t>
            </w:r>
            <w:r w:rsidRPr="00776D93">
              <w:rPr>
                <w:rFonts w:ascii="Garamond" w:hAnsi="Garamond" w:cstheme="majorHAnsi"/>
                <w:color w:val="000000" w:themeColor="text1"/>
                <w:sz w:val="20"/>
                <w:szCs w:val="20"/>
              </w:rPr>
              <w:t xml:space="preserve"> </w:t>
            </w:r>
            <w:r w:rsidRPr="00776D93">
              <w:rPr>
                <w:rFonts w:ascii="Garamond" w:hAnsi="Garamond"/>
                <w:color w:val="171717"/>
                <w:sz w:val="20"/>
                <w:szCs w:val="20"/>
              </w:rPr>
              <w:t xml:space="preserve">ciudadanos venezolanos. </w:t>
            </w:r>
            <w:r w:rsidRPr="00776D93">
              <w:rPr>
                <w:rFonts w:ascii="Garamond" w:hAnsi="Garamond"/>
                <w:color w:val="000000"/>
                <w:sz w:val="20"/>
                <w:szCs w:val="20"/>
              </w:rPr>
              <w:t>Además de ingresar al país con trayectorias educativas interrumpidas, las NNA venezolanos registran una muy baja asistencia escolar: uno de cada cuatro niñas y niños de 3 a 5 años asiste a educación inicial, el 46% de 6 a 11 años asiste a primaria, y el 40.2% de 12 a 16 años a secundaria. El estado peruano ha dado facilidades para la matrícula aún sin tener documento de identidad y certificados de estudios, pero los propios migrantes y los directivos en las escuelas desconocen esas normas. Hay más violencia y discriminación en las escuelas por ausencia de enfoque intercultural y de derechos</w:t>
            </w:r>
            <w:r w:rsidRPr="00776D93">
              <w:rPr>
                <w:rStyle w:val="EndnoteReference"/>
                <w:rFonts w:ascii="Garamond" w:hAnsi="Garamond"/>
                <w:color w:val="000000"/>
                <w:sz w:val="20"/>
                <w:szCs w:val="20"/>
              </w:rPr>
              <w:endnoteReference w:id="127"/>
            </w:r>
            <w:r w:rsidRPr="00776D93">
              <w:rPr>
                <w:rFonts w:ascii="Garamond" w:hAnsi="Garamond"/>
                <w:color w:val="000000"/>
                <w:sz w:val="20"/>
                <w:szCs w:val="20"/>
              </w:rPr>
              <w:t>.</w:t>
            </w:r>
          </w:p>
        </w:tc>
      </w:tr>
      <w:tr w:rsidR="00FE0DE5" w:rsidRPr="00776D93" w:rsidTr="00776D93">
        <w:trPr>
          <w:trHeight w:val="1160"/>
        </w:trPr>
        <w:tc>
          <w:tcPr>
            <w:tcW w:w="1620" w:type="dxa"/>
            <w:shd w:val="clear" w:color="auto" w:fill="B4C6E7" w:themeFill="accent5" w:themeFillTint="66"/>
          </w:tcPr>
          <w:p w:rsidR="00FE0DE5" w:rsidRPr="00776D93" w:rsidRDefault="00FE0DE5" w:rsidP="00117121">
            <w:pPr>
              <w:pBdr>
                <w:top w:val="nil"/>
                <w:left w:val="nil"/>
                <w:bottom w:val="nil"/>
                <w:right w:val="nil"/>
                <w:between w:val="nil"/>
              </w:pBdr>
              <w:spacing w:after="0" w:line="240" w:lineRule="auto"/>
              <w:jc w:val="both"/>
              <w:rPr>
                <w:rFonts w:ascii="Garamond" w:eastAsia="Garamond" w:hAnsi="Garamond" w:cs="Garamond"/>
                <w:color w:val="0070C0"/>
                <w:sz w:val="18"/>
                <w:szCs w:val="18"/>
              </w:rPr>
            </w:pPr>
            <w:r w:rsidRPr="00776D93">
              <w:rPr>
                <w:rFonts w:ascii="Garamond" w:eastAsia="Garamond" w:hAnsi="Garamond" w:cs="Garamond"/>
                <w:b/>
                <w:color w:val="0070C0"/>
                <w:sz w:val="18"/>
                <w:szCs w:val="18"/>
              </w:rPr>
              <w:t>3. RECOMENDACIONES AL ESTADO PERUANO:</w:t>
            </w:r>
          </w:p>
        </w:tc>
        <w:tc>
          <w:tcPr>
            <w:tcW w:w="7830" w:type="dxa"/>
            <w:shd w:val="clear" w:color="auto" w:fill="B4C6E7" w:themeFill="accent5" w:themeFillTint="66"/>
          </w:tcPr>
          <w:p w:rsidR="00FE0DE5" w:rsidRPr="00776D93" w:rsidRDefault="00FE0DE5" w:rsidP="00FE0DE5">
            <w:pPr>
              <w:pStyle w:val="ListParagraph"/>
              <w:numPr>
                <w:ilvl w:val="0"/>
                <w:numId w:val="15"/>
              </w:numPr>
              <w:spacing w:after="0" w:line="240" w:lineRule="auto"/>
              <w:ind w:left="249" w:hanging="249"/>
              <w:jc w:val="both"/>
              <w:rPr>
                <w:rFonts w:ascii="Garamond" w:hAnsi="Garamond" w:cstheme="majorHAnsi"/>
                <w:sz w:val="20"/>
                <w:szCs w:val="20"/>
              </w:rPr>
            </w:pPr>
            <w:r w:rsidRPr="00776D93">
              <w:rPr>
                <w:rFonts w:ascii="Garamond" w:hAnsi="Garamond" w:cstheme="majorHAnsi"/>
                <w:color w:val="000000" w:themeColor="text1"/>
                <w:sz w:val="20"/>
                <w:szCs w:val="20"/>
              </w:rPr>
              <w:t>Revisar los procedimientos de matrícula para que sea menos discrecionales y más equitativos.</w:t>
            </w:r>
          </w:p>
          <w:p w:rsidR="00FE0DE5" w:rsidRPr="00776D93" w:rsidRDefault="00FE0DE5" w:rsidP="00FE0DE5">
            <w:pPr>
              <w:pStyle w:val="ListParagraph"/>
              <w:numPr>
                <w:ilvl w:val="0"/>
                <w:numId w:val="15"/>
              </w:numPr>
              <w:spacing w:after="0" w:line="240" w:lineRule="auto"/>
              <w:ind w:left="249" w:hanging="249"/>
              <w:jc w:val="both"/>
              <w:rPr>
                <w:rFonts w:ascii="Garamond" w:hAnsi="Garamond" w:cstheme="majorHAnsi"/>
                <w:sz w:val="20"/>
                <w:szCs w:val="20"/>
              </w:rPr>
            </w:pPr>
            <w:r w:rsidRPr="00776D93">
              <w:rPr>
                <w:rFonts w:ascii="Garamond" w:hAnsi="Garamond" w:cstheme="majorHAnsi"/>
                <w:color w:val="000000" w:themeColor="text1"/>
                <w:sz w:val="20"/>
                <w:szCs w:val="20"/>
              </w:rPr>
              <w:t>Preparar a los docentes para desempeñarse con enfoque intercultural para una convivencia escolar integral.</w:t>
            </w:r>
          </w:p>
        </w:tc>
      </w:tr>
    </w:tbl>
    <w:p w:rsidR="00FE0DE5" w:rsidRDefault="00FE0DE5" w:rsidP="00FE0DE5">
      <w:pPr>
        <w:spacing w:before="240" w:after="240"/>
        <w:ind w:firstLine="720"/>
        <w:jc w:val="center"/>
        <w:rPr>
          <w:rFonts w:ascii="Garamond" w:eastAsia="Garamond" w:hAnsi="Garamond" w:cs="Garamond"/>
          <w:b/>
          <w:color w:val="000000"/>
          <w:sz w:val="24"/>
          <w:szCs w:val="24"/>
        </w:rPr>
      </w:pPr>
      <w:r>
        <w:rPr>
          <w:noProof/>
          <w:color w:val="000000"/>
          <w:lang w:val="en-GB" w:eastAsia="en-GB"/>
        </w:rPr>
        <w:lastRenderedPageBreak/>
        <w:drawing>
          <wp:inline distT="0" distB="0" distL="0" distR="0" wp14:anchorId="360001EC" wp14:editId="39569E77">
            <wp:extent cx="1465385" cy="773723"/>
            <wp:effectExtent l="0" t="0" r="1905" b="7620"/>
            <wp:docPr id="10"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9"/>
                    <a:srcRect/>
                    <a:stretch>
                      <a:fillRect/>
                    </a:stretch>
                  </pic:blipFill>
                  <pic:spPr>
                    <a:xfrm>
                      <a:off x="0" y="0"/>
                      <a:ext cx="1496550" cy="790178"/>
                    </a:xfrm>
                    <a:prstGeom prst="rect">
                      <a:avLst/>
                    </a:prstGeom>
                    <a:ln/>
                  </pic:spPr>
                </pic:pic>
              </a:graphicData>
            </a:graphic>
          </wp:inline>
        </w:drawing>
      </w:r>
    </w:p>
    <w:p w:rsidR="00133919" w:rsidRDefault="00133919">
      <w:pPr>
        <w:pBdr>
          <w:top w:val="nil"/>
          <w:left w:val="nil"/>
          <w:bottom w:val="nil"/>
          <w:right w:val="nil"/>
          <w:between w:val="nil"/>
        </w:pBdr>
        <w:spacing w:after="0"/>
        <w:ind w:left="720"/>
        <w:jc w:val="both"/>
        <w:rPr>
          <w:rFonts w:ascii="Garamond" w:eastAsia="Garamond" w:hAnsi="Garamond" w:cs="Garamond"/>
          <w:b/>
          <w:color w:val="000000"/>
          <w:sz w:val="24"/>
          <w:szCs w:val="24"/>
        </w:rPr>
      </w:pPr>
    </w:p>
    <w:p w:rsidR="00FE0DE5" w:rsidRPr="00FE0DE5" w:rsidRDefault="00FE0DE5">
      <w:pPr>
        <w:pBdr>
          <w:top w:val="nil"/>
          <w:left w:val="nil"/>
          <w:bottom w:val="nil"/>
          <w:right w:val="nil"/>
          <w:between w:val="nil"/>
        </w:pBdr>
        <w:spacing w:after="0"/>
        <w:ind w:left="720"/>
        <w:jc w:val="both"/>
        <w:rPr>
          <w:rFonts w:ascii="Garamond" w:eastAsia="Garamond" w:hAnsi="Garamond" w:cs="Garamond"/>
          <w:b/>
          <w:color w:val="000000"/>
          <w:sz w:val="28"/>
          <w:szCs w:val="28"/>
          <w:highlight w:val="yellow"/>
        </w:rPr>
      </w:pPr>
    </w:p>
    <w:tbl>
      <w:tblPr>
        <w:tblStyle w:val="af6"/>
        <w:tblW w:w="9350" w:type="dxa"/>
        <w:jc w:val="center"/>
        <w:tblInd w:w="0" w:type="dxa"/>
        <w:tblLayout w:type="fixed"/>
        <w:tblLook w:val="0400" w:firstRow="0" w:lastRow="0" w:firstColumn="0" w:lastColumn="0" w:noHBand="0" w:noVBand="1"/>
      </w:tblPr>
      <w:tblGrid>
        <w:gridCol w:w="1870"/>
        <w:gridCol w:w="1870"/>
        <w:gridCol w:w="1870"/>
        <w:gridCol w:w="1870"/>
        <w:gridCol w:w="1870"/>
      </w:tblGrid>
      <w:tr w:rsidR="00133919" w:rsidRPr="00E35204" w:rsidTr="008D78E6">
        <w:trPr>
          <w:jc w:val="center"/>
        </w:trPr>
        <w:tc>
          <w:tcPr>
            <w:tcW w:w="1870" w:type="dxa"/>
          </w:tcPr>
          <w:p w:rsidR="00133919" w:rsidRPr="00E35204" w:rsidRDefault="00E54B5B" w:rsidP="007B5FCE">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extent cx="879231" cy="413034"/>
                  <wp:effectExtent l="0" t="0" r="0" b="6350"/>
                  <wp:docPr id="2" name="Imagen 2" descr="C:\Users\Sofia\Desktop\Logo_AccionporlosNin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ofia\Desktop\Logo_AccionporlosNino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17783" cy="431144"/>
                          </a:xfrm>
                          <a:prstGeom prst="rect">
                            <a:avLst/>
                          </a:prstGeom>
                          <a:noFill/>
                          <a:ln>
                            <a:noFill/>
                          </a:ln>
                        </pic:spPr>
                      </pic:pic>
                    </a:graphicData>
                  </a:graphic>
                </wp:inline>
              </w:drawing>
            </w:r>
          </w:p>
        </w:tc>
        <w:tc>
          <w:tcPr>
            <w:tcW w:w="1870" w:type="dxa"/>
          </w:tcPr>
          <w:p w:rsidR="00133919" w:rsidRPr="00E35204" w:rsidRDefault="006973FE" w:rsidP="007B5FCE">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extent cx="961292" cy="410308"/>
                  <wp:effectExtent l="0" t="0" r="0" b="0"/>
                  <wp:docPr id="20" name="image6.png" descr="C:\Users\Sofia\Downloads\AISOS. Logo-compuesto-s-eslogan.png"/>
                  <wp:cNvGraphicFramePr/>
                  <a:graphic xmlns:a="http://schemas.openxmlformats.org/drawingml/2006/main">
                    <a:graphicData uri="http://schemas.openxmlformats.org/drawingml/2006/picture">
                      <pic:pic xmlns:pic="http://schemas.openxmlformats.org/drawingml/2006/picture">
                        <pic:nvPicPr>
                          <pic:cNvPr id="0" name="image6.png" descr="C:\Users\Sofia\Downloads\AISOS. Logo-compuesto-s-eslogan.png"/>
                          <pic:cNvPicPr preferRelativeResize="0"/>
                        </pic:nvPicPr>
                        <pic:blipFill>
                          <a:blip r:embed="rId11"/>
                          <a:srcRect/>
                          <a:stretch>
                            <a:fillRect/>
                          </a:stretch>
                        </pic:blipFill>
                        <pic:spPr>
                          <a:xfrm>
                            <a:off x="0" y="0"/>
                            <a:ext cx="964627" cy="411731"/>
                          </a:xfrm>
                          <a:prstGeom prst="rect">
                            <a:avLst/>
                          </a:prstGeom>
                          <a:ln/>
                        </pic:spPr>
                      </pic:pic>
                    </a:graphicData>
                  </a:graphic>
                </wp:inline>
              </w:drawing>
            </w:r>
          </w:p>
        </w:tc>
        <w:tc>
          <w:tcPr>
            <w:tcW w:w="1870" w:type="dxa"/>
          </w:tcPr>
          <w:p w:rsidR="00133919" w:rsidRPr="00E35204" w:rsidRDefault="006973FE">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extent cx="908295" cy="412750"/>
                  <wp:effectExtent l="0" t="0" r="6350" b="6350"/>
                  <wp:docPr id="22" name="image9.jpg" descr="C:\Users\Sofia\Downloads\CPDE.jpeg"/>
                  <wp:cNvGraphicFramePr/>
                  <a:graphic xmlns:a="http://schemas.openxmlformats.org/drawingml/2006/main">
                    <a:graphicData uri="http://schemas.openxmlformats.org/drawingml/2006/picture">
                      <pic:pic xmlns:pic="http://schemas.openxmlformats.org/drawingml/2006/picture">
                        <pic:nvPicPr>
                          <pic:cNvPr id="0" name="image9.jpg" descr="C:\Users\Sofia\Downloads\CPDE.jpeg"/>
                          <pic:cNvPicPr preferRelativeResize="0"/>
                        </pic:nvPicPr>
                        <pic:blipFill>
                          <a:blip r:embed="rId12"/>
                          <a:srcRect/>
                          <a:stretch>
                            <a:fillRect/>
                          </a:stretch>
                        </pic:blipFill>
                        <pic:spPr>
                          <a:xfrm>
                            <a:off x="0" y="0"/>
                            <a:ext cx="911448" cy="414183"/>
                          </a:xfrm>
                          <a:prstGeom prst="rect">
                            <a:avLst/>
                          </a:prstGeom>
                          <a:ln/>
                        </pic:spPr>
                      </pic:pic>
                    </a:graphicData>
                  </a:graphic>
                </wp:inline>
              </w:drawing>
            </w:r>
          </w:p>
        </w:tc>
        <w:tc>
          <w:tcPr>
            <w:tcW w:w="1870" w:type="dxa"/>
          </w:tcPr>
          <w:p w:rsidR="00133919" w:rsidRPr="00E35204" w:rsidRDefault="007B5FCE">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hAnsi="Garamond"/>
                <w:color w:val="000000"/>
                <w:sz w:val="20"/>
                <w:szCs w:val="20"/>
              </w:rPr>
              <w:object w:dxaOrig="1403" w:dyaOrig="526">
                <v:shape id="_x0000_i1029" type="#_x0000_t75" style="width:73.5pt;height:27pt" o:ole="">
                  <v:imagedata r:id="rId13" o:title=""/>
                </v:shape>
                <o:OLEObject Type="Embed" ProgID="PBrush" ShapeID="_x0000_i1029" DrawAspect="Content" ObjectID="_1721460470" r:id="rId34"/>
              </w:object>
            </w:r>
          </w:p>
        </w:tc>
        <w:tc>
          <w:tcPr>
            <w:tcW w:w="1870" w:type="dxa"/>
          </w:tcPr>
          <w:p w:rsidR="00133919" w:rsidRPr="00E35204" w:rsidRDefault="006973FE" w:rsidP="007B5FCE">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extent cx="1036489" cy="310662"/>
                  <wp:effectExtent l="0" t="0" r="0" b="0"/>
                  <wp:docPr id="24" name="image5.png" descr="C:\Users\Sofia\Downloads\logo 30 años escuela.png"/>
                  <wp:cNvGraphicFramePr/>
                  <a:graphic xmlns:a="http://schemas.openxmlformats.org/drawingml/2006/main">
                    <a:graphicData uri="http://schemas.openxmlformats.org/drawingml/2006/picture">
                      <pic:pic xmlns:pic="http://schemas.openxmlformats.org/drawingml/2006/picture">
                        <pic:nvPicPr>
                          <pic:cNvPr id="0" name="image5.png" descr="C:\Users\Sofia\Downloads\logo 30 años escuela.png"/>
                          <pic:cNvPicPr preferRelativeResize="0"/>
                        </pic:nvPicPr>
                        <pic:blipFill>
                          <a:blip r:embed="rId15"/>
                          <a:srcRect/>
                          <a:stretch>
                            <a:fillRect/>
                          </a:stretch>
                        </pic:blipFill>
                        <pic:spPr>
                          <a:xfrm>
                            <a:off x="0" y="0"/>
                            <a:ext cx="1039430" cy="311543"/>
                          </a:xfrm>
                          <a:prstGeom prst="rect">
                            <a:avLst/>
                          </a:prstGeom>
                          <a:ln/>
                        </pic:spPr>
                      </pic:pic>
                    </a:graphicData>
                  </a:graphic>
                </wp:inline>
              </w:drawing>
            </w:r>
          </w:p>
        </w:tc>
      </w:tr>
      <w:tr w:rsidR="00133919" w:rsidRPr="00E35204" w:rsidTr="008D78E6">
        <w:trPr>
          <w:trHeight w:val="863"/>
          <w:jc w:val="center"/>
        </w:trPr>
        <w:tc>
          <w:tcPr>
            <w:tcW w:w="1870" w:type="dxa"/>
          </w:tcPr>
          <w:p w:rsidR="00133919" w:rsidRPr="00E35204" w:rsidRDefault="006973FE" w:rsidP="007B5FCE">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extent cx="1004707" cy="417524"/>
                  <wp:effectExtent l="0" t="0" r="0" b="0"/>
                  <wp:docPr id="23"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6"/>
                          <a:srcRect/>
                          <a:stretch>
                            <a:fillRect/>
                          </a:stretch>
                        </pic:blipFill>
                        <pic:spPr>
                          <a:xfrm>
                            <a:off x="0" y="0"/>
                            <a:ext cx="1004707" cy="417524"/>
                          </a:xfrm>
                          <a:prstGeom prst="rect">
                            <a:avLst/>
                          </a:prstGeom>
                          <a:ln/>
                        </pic:spPr>
                      </pic:pic>
                    </a:graphicData>
                  </a:graphic>
                </wp:inline>
              </w:drawing>
            </w:r>
          </w:p>
        </w:tc>
        <w:tc>
          <w:tcPr>
            <w:tcW w:w="1870" w:type="dxa"/>
          </w:tcPr>
          <w:p w:rsidR="00133919" w:rsidRPr="00E35204" w:rsidRDefault="00E54B5B">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114300" distB="114300" distL="114300" distR="114300" wp14:anchorId="0C8051AA" wp14:editId="31C9A7B9">
                  <wp:extent cx="674077" cy="468923"/>
                  <wp:effectExtent l="0" t="0" r="0" b="762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676859" cy="470858"/>
                          </a:xfrm>
                          <a:prstGeom prst="rect">
                            <a:avLst/>
                          </a:prstGeom>
                          <a:ln/>
                        </pic:spPr>
                      </pic:pic>
                    </a:graphicData>
                  </a:graphic>
                </wp:inline>
              </w:drawing>
            </w:r>
          </w:p>
        </w:tc>
        <w:tc>
          <w:tcPr>
            <w:tcW w:w="1870" w:type="dxa"/>
          </w:tcPr>
          <w:p w:rsidR="00133919" w:rsidRPr="00E35204" w:rsidRDefault="00E54B5B" w:rsidP="00E54B5B">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572A84A8" wp14:editId="152FFF85">
                  <wp:extent cx="638175" cy="497840"/>
                  <wp:effectExtent l="0" t="0" r="9525" b="0"/>
                  <wp:docPr id="25" name="image13.jpg" descr="C:\Users\Sofia\Downloads\LOGO MESA D&amp;DD.jpg"/>
                  <wp:cNvGraphicFramePr/>
                  <a:graphic xmlns:a="http://schemas.openxmlformats.org/drawingml/2006/main">
                    <a:graphicData uri="http://schemas.openxmlformats.org/drawingml/2006/picture">
                      <pic:pic xmlns:pic="http://schemas.openxmlformats.org/drawingml/2006/picture">
                        <pic:nvPicPr>
                          <pic:cNvPr id="0" name="image13.jpg" descr="C:\Users\Sofia\Downloads\LOGO MESA D&amp;DD.jpg"/>
                          <pic:cNvPicPr preferRelativeResize="0"/>
                        </pic:nvPicPr>
                        <pic:blipFill>
                          <a:blip r:embed="rId18"/>
                          <a:srcRect/>
                          <a:stretch>
                            <a:fillRect/>
                          </a:stretch>
                        </pic:blipFill>
                        <pic:spPr>
                          <a:xfrm>
                            <a:off x="0" y="0"/>
                            <a:ext cx="643362" cy="501886"/>
                          </a:xfrm>
                          <a:prstGeom prst="rect">
                            <a:avLst/>
                          </a:prstGeom>
                          <a:ln/>
                        </pic:spPr>
                      </pic:pic>
                    </a:graphicData>
                  </a:graphic>
                </wp:inline>
              </w:drawing>
            </w:r>
          </w:p>
        </w:tc>
        <w:tc>
          <w:tcPr>
            <w:tcW w:w="1870" w:type="dxa"/>
          </w:tcPr>
          <w:p w:rsidR="00133919" w:rsidRPr="00E35204" w:rsidRDefault="00133919">
            <w:pPr>
              <w:pBdr>
                <w:top w:val="nil"/>
                <w:left w:val="nil"/>
                <w:bottom w:val="nil"/>
                <w:right w:val="nil"/>
                <w:between w:val="nil"/>
              </w:pBdr>
              <w:spacing w:line="259" w:lineRule="auto"/>
              <w:jc w:val="both"/>
              <w:rPr>
                <w:rFonts w:ascii="Garamond" w:hAnsi="Garamond"/>
                <w:color w:val="000000"/>
                <w:sz w:val="20"/>
                <w:szCs w:val="20"/>
              </w:rPr>
            </w:pPr>
          </w:p>
          <w:p w:rsidR="00133919" w:rsidRPr="00E35204" w:rsidRDefault="00E54B5B" w:rsidP="007B5FCE">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extent cx="1035725" cy="266915"/>
                  <wp:effectExtent l="0" t="0" r="0" b="0"/>
                  <wp:docPr id="1" name="Imagen 1" descr="C:\Users\Sofia\Desktop\Logo Sav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ofia\Desktop\Logo Save.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65457" cy="300348"/>
                          </a:xfrm>
                          <a:prstGeom prst="rect">
                            <a:avLst/>
                          </a:prstGeom>
                          <a:noFill/>
                          <a:ln>
                            <a:noFill/>
                          </a:ln>
                        </pic:spPr>
                      </pic:pic>
                    </a:graphicData>
                  </a:graphic>
                </wp:inline>
              </w:drawing>
            </w:r>
          </w:p>
        </w:tc>
        <w:tc>
          <w:tcPr>
            <w:tcW w:w="1870" w:type="dxa"/>
          </w:tcPr>
          <w:p w:rsidR="00133919" w:rsidRPr="00E35204" w:rsidRDefault="006973FE" w:rsidP="00E35204">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4263C69A" wp14:editId="08C6E082">
                  <wp:extent cx="685800" cy="498230"/>
                  <wp:effectExtent l="0" t="0" r="0" b="0"/>
                  <wp:docPr id="27" name="image12.jpg" descr="C:\Users\Sofia\Downloads\LOGO-VOCES CIUDADANAS (1).jpg"/>
                  <wp:cNvGraphicFramePr/>
                  <a:graphic xmlns:a="http://schemas.openxmlformats.org/drawingml/2006/main">
                    <a:graphicData uri="http://schemas.openxmlformats.org/drawingml/2006/picture">
                      <pic:pic xmlns:pic="http://schemas.openxmlformats.org/drawingml/2006/picture">
                        <pic:nvPicPr>
                          <pic:cNvPr id="0" name="image12.jpg" descr="C:\Users\Sofia\Downloads\LOGO-VOCES CIUDADANAS (1).jpg"/>
                          <pic:cNvPicPr preferRelativeResize="0"/>
                        </pic:nvPicPr>
                        <pic:blipFill>
                          <a:blip r:embed="rId20"/>
                          <a:srcRect/>
                          <a:stretch>
                            <a:fillRect/>
                          </a:stretch>
                        </pic:blipFill>
                        <pic:spPr>
                          <a:xfrm>
                            <a:off x="0" y="0"/>
                            <a:ext cx="695652" cy="505388"/>
                          </a:xfrm>
                          <a:prstGeom prst="rect">
                            <a:avLst/>
                          </a:prstGeom>
                          <a:ln/>
                        </pic:spPr>
                      </pic:pic>
                    </a:graphicData>
                  </a:graphic>
                </wp:inline>
              </w:drawing>
            </w:r>
          </w:p>
        </w:tc>
      </w:tr>
      <w:tr w:rsidR="00133919" w:rsidRPr="00E35204" w:rsidTr="008D78E6">
        <w:trPr>
          <w:jc w:val="center"/>
        </w:trPr>
        <w:tc>
          <w:tcPr>
            <w:tcW w:w="1870" w:type="dxa"/>
          </w:tcPr>
          <w:p w:rsidR="00133919" w:rsidRPr="00E35204" w:rsidRDefault="00E54B5B" w:rsidP="00E54B5B">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extent cx="523987" cy="504093"/>
                  <wp:effectExtent l="0" t="0" r="0" b="0"/>
                  <wp:docPr id="3" name="Imagen 3" descr="C:\Users\Sofia\Desktop\Logo CODI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ofia\Desktop\Logo CODIP.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8942" cy="556961"/>
                          </a:xfrm>
                          <a:prstGeom prst="rect">
                            <a:avLst/>
                          </a:prstGeom>
                          <a:noFill/>
                          <a:ln>
                            <a:noFill/>
                          </a:ln>
                        </pic:spPr>
                      </pic:pic>
                    </a:graphicData>
                  </a:graphic>
                </wp:inline>
              </w:drawing>
            </w:r>
          </w:p>
        </w:tc>
        <w:tc>
          <w:tcPr>
            <w:tcW w:w="1870" w:type="dxa"/>
          </w:tcPr>
          <w:p w:rsidR="00133919" w:rsidRPr="00E35204" w:rsidRDefault="00E54B5B" w:rsidP="00E54B5B">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extent cx="684231" cy="474345"/>
                  <wp:effectExtent l="0" t="0" r="1905" b="1905"/>
                  <wp:docPr id="4" name="Imagen 4" descr="C:\Users\Sofia\Downloads\Cesi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ofia\Downloads\Cesip.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4965" cy="502584"/>
                          </a:xfrm>
                          <a:prstGeom prst="rect">
                            <a:avLst/>
                          </a:prstGeom>
                          <a:noFill/>
                          <a:ln>
                            <a:noFill/>
                          </a:ln>
                        </pic:spPr>
                      </pic:pic>
                    </a:graphicData>
                  </a:graphic>
                </wp:inline>
              </w:drawing>
            </w:r>
          </w:p>
        </w:tc>
        <w:tc>
          <w:tcPr>
            <w:tcW w:w="1870" w:type="dxa"/>
          </w:tcPr>
          <w:p w:rsidR="00133919" w:rsidRPr="00E35204" w:rsidRDefault="00E35204" w:rsidP="007B5FCE">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hAnsi="Garamond"/>
                <w:color w:val="000000"/>
                <w:sz w:val="20"/>
                <w:szCs w:val="20"/>
              </w:rPr>
              <w:object w:dxaOrig="1486" w:dyaOrig="905">
                <v:shape id="_x0000_i1030" type="#_x0000_t75" style="width:62.25pt;height:38.25pt" o:ole="">
                  <v:imagedata r:id="rId23" o:title=""/>
                </v:shape>
                <o:OLEObject Type="Embed" ProgID="PBrush" ShapeID="_x0000_i1030" DrawAspect="Content" ObjectID="_1721460471" r:id="rId35"/>
              </w:object>
            </w:r>
          </w:p>
        </w:tc>
        <w:tc>
          <w:tcPr>
            <w:tcW w:w="1870" w:type="dxa"/>
          </w:tcPr>
          <w:p w:rsidR="00133919" w:rsidRPr="00E35204" w:rsidRDefault="00E54B5B" w:rsidP="007B5FCE">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689A9E64" wp14:editId="0EBB581E">
                  <wp:extent cx="1073785" cy="403860"/>
                  <wp:effectExtent l="0" t="0" r="0" b="0"/>
                  <wp:docPr id="26" name="image14.png" descr="C:\Users\Sofia\Downloads\World Vision Logo.png"/>
                  <wp:cNvGraphicFramePr/>
                  <a:graphic xmlns:a="http://schemas.openxmlformats.org/drawingml/2006/main">
                    <a:graphicData uri="http://schemas.openxmlformats.org/drawingml/2006/picture">
                      <pic:pic xmlns:pic="http://schemas.openxmlformats.org/drawingml/2006/picture">
                        <pic:nvPicPr>
                          <pic:cNvPr id="0" name="image14.png" descr="C:\Users\Sofia\Downloads\World Vision Logo.png"/>
                          <pic:cNvPicPr preferRelativeResize="0"/>
                        </pic:nvPicPr>
                        <pic:blipFill>
                          <a:blip r:embed="rId25"/>
                          <a:srcRect/>
                          <a:stretch>
                            <a:fillRect/>
                          </a:stretch>
                        </pic:blipFill>
                        <pic:spPr>
                          <a:xfrm>
                            <a:off x="0" y="0"/>
                            <a:ext cx="1074301" cy="404054"/>
                          </a:xfrm>
                          <a:prstGeom prst="rect">
                            <a:avLst/>
                          </a:prstGeom>
                          <a:ln/>
                        </pic:spPr>
                      </pic:pic>
                    </a:graphicData>
                  </a:graphic>
                </wp:inline>
              </w:drawing>
            </w:r>
          </w:p>
        </w:tc>
        <w:tc>
          <w:tcPr>
            <w:tcW w:w="1870" w:type="dxa"/>
          </w:tcPr>
          <w:p w:rsidR="00133919" w:rsidRPr="00E35204" w:rsidRDefault="00E54B5B" w:rsidP="007B5FCE">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14:anchorId="68DD97BD" wp14:editId="18132878">
                  <wp:extent cx="943464" cy="404446"/>
                  <wp:effectExtent l="0" t="0" r="0" b="0"/>
                  <wp:docPr id="28" name="image7.jpg" descr="C:\Users\Sofia\Downloads\Odisex Perú JPG-01 (2) (1).jpg"/>
                  <wp:cNvGraphicFramePr/>
                  <a:graphic xmlns:a="http://schemas.openxmlformats.org/drawingml/2006/main">
                    <a:graphicData uri="http://schemas.openxmlformats.org/drawingml/2006/picture">
                      <pic:pic xmlns:pic="http://schemas.openxmlformats.org/drawingml/2006/picture">
                        <pic:nvPicPr>
                          <pic:cNvPr id="0" name="image7.jpg" descr="C:\Users\Sofia\Downloads\Odisex Perú JPG-01 (2) (1).jpg"/>
                          <pic:cNvPicPr preferRelativeResize="0"/>
                        </pic:nvPicPr>
                        <pic:blipFill>
                          <a:blip r:embed="rId26"/>
                          <a:srcRect/>
                          <a:stretch>
                            <a:fillRect/>
                          </a:stretch>
                        </pic:blipFill>
                        <pic:spPr>
                          <a:xfrm>
                            <a:off x="0" y="0"/>
                            <a:ext cx="948620" cy="406656"/>
                          </a:xfrm>
                          <a:prstGeom prst="rect">
                            <a:avLst/>
                          </a:prstGeom>
                          <a:ln/>
                        </pic:spPr>
                      </pic:pic>
                    </a:graphicData>
                  </a:graphic>
                </wp:inline>
              </w:drawing>
            </w:r>
          </w:p>
        </w:tc>
      </w:tr>
      <w:tr w:rsidR="00133919" w:rsidRPr="00E35204" w:rsidTr="008D78E6">
        <w:trPr>
          <w:jc w:val="center"/>
        </w:trPr>
        <w:tc>
          <w:tcPr>
            <w:tcW w:w="1870" w:type="dxa"/>
          </w:tcPr>
          <w:p w:rsidR="00133919" w:rsidRPr="00E35204" w:rsidRDefault="00E35204" w:rsidP="007B5FCE">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Pr>
                <w:color w:val="auto"/>
              </w:rPr>
              <w:object w:dxaOrig="9828" w:dyaOrig="11412">
                <v:shape id="_x0000_i1031" type="#_x0000_t75" style="width:35.25pt;height:41.25pt" o:ole="">
                  <v:imagedata r:id="rId27" o:title=""/>
                </v:shape>
                <o:OLEObject Type="Embed" ProgID="PBrush" ShapeID="_x0000_i1031" DrawAspect="Content" ObjectID="_1721460472" r:id="rId36"/>
              </w:object>
            </w:r>
          </w:p>
        </w:tc>
        <w:tc>
          <w:tcPr>
            <w:tcW w:w="1870" w:type="dxa"/>
          </w:tcPr>
          <w:p w:rsidR="00133919" w:rsidRPr="00E35204" w:rsidRDefault="007B5FCE">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extent cx="468923" cy="500521"/>
                  <wp:effectExtent l="0" t="0" r="7620" b="0"/>
                  <wp:docPr id="6" name="Imagen 6" descr="C:\Users\Sofia\Desktop\Logo Chirapa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ofia\Desktop\Logo Chirapaq.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5121" cy="517811"/>
                          </a:xfrm>
                          <a:prstGeom prst="rect">
                            <a:avLst/>
                          </a:prstGeom>
                          <a:noFill/>
                          <a:ln>
                            <a:noFill/>
                          </a:ln>
                        </pic:spPr>
                      </pic:pic>
                    </a:graphicData>
                  </a:graphic>
                </wp:inline>
              </w:drawing>
            </w:r>
          </w:p>
        </w:tc>
        <w:tc>
          <w:tcPr>
            <w:tcW w:w="1870" w:type="dxa"/>
          </w:tcPr>
          <w:p w:rsidR="00133919" w:rsidRPr="00E35204" w:rsidRDefault="007B5FCE">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sidRPr="00E35204">
              <w:rPr>
                <w:rFonts w:ascii="Garamond" w:eastAsia="Garamond" w:hAnsi="Garamond" w:cs="Garamond"/>
                <w:b/>
                <w:noProof/>
                <w:color w:val="000000"/>
                <w:sz w:val="20"/>
                <w:szCs w:val="20"/>
                <w:lang w:val="en-GB" w:eastAsia="en-GB"/>
              </w:rPr>
              <w:drawing>
                <wp:inline distT="0" distB="0" distL="0" distR="0">
                  <wp:extent cx="873369" cy="397201"/>
                  <wp:effectExtent l="0" t="0" r="3175" b="3175"/>
                  <wp:docPr id="9" name="Imagen 9" descr="C:\Users\Sofia\Downloads\WhatsApp Image 2022-06-30 at 4.15.4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ofia\Downloads\WhatsApp Image 2022-06-30 at 4.15.42 PM.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87728" cy="403731"/>
                          </a:xfrm>
                          <a:prstGeom prst="rect">
                            <a:avLst/>
                          </a:prstGeom>
                          <a:noFill/>
                          <a:ln>
                            <a:noFill/>
                          </a:ln>
                        </pic:spPr>
                      </pic:pic>
                    </a:graphicData>
                  </a:graphic>
                </wp:inline>
              </w:drawing>
            </w:r>
          </w:p>
        </w:tc>
        <w:tc>
          <w:tcPr>
            <w:tcW w:w="1870" w:type="dxa"/>
          </w:tcPr>
          <w:p w:rsidR="00133919" w:rsidRPr="00E35204" w:rsidRDefault="00E35204">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Pr>
                <w:color w:val="auto"/>
              </w:rPr>
              <w:object w:dxaOrig="8328" w:dyaOrig="7680">
                <v:shape id="_x0000_i1032" type="#_x0000_t75" style="width:46.5pt;height:43.5pt" o:ole="">
                  <v:imagedata r:id="rId31" o:title=""/>
                </v:shape>
                <o:OLEObject Type="Embed" ProgID="PBrush" ShapeID="_x0000_i1032" DrawAspect="Content" ObjectID="_1721460473" r:id="rId37"/>
              </w:object>
            </w:r>
          </w:p>
        </w:tc>
        <w:tc>
          <w:tcPr>
            <w:tcW w:w="1870" w:type="dxa"/>
          </w:tcPr>
          <w:p w:rsidR="00133919" w:rsidRPr="00E35204" w:rsidRDefault="00DC7449" w:rsidP="007B5FCE">
            <w:pPr>
              <w:pBdr>
                <w:top w:val="nil"/>
                <w:left w:val="nil"/>
                <w:bottom w:val="nil"/>
                <w:right w:val="nil"/>
                <w:between w:val="nil"/>
              </w:pBdr>
              <w:spacing w:after="160" w:line="259" w:lineRule="auto"/>
              <w:jc w:val="center"/>
              <w:rPr>
                <w:rFonts w:ascii="Garamond" w:eastAsia="Garamond" w:hAnsi="Garamond" w:cs="Garamond"/>
                <w:b/>
                <w:color w:val="000000"/>
                <w:sz w:val="20"/>
                <w:szCs w:val="20"/>
              </w:rPr>
            </w:pPr>
            <w:r>
              <w:rPr>
                <w:rFonts w:ascii="Garamond" w:eastAsia="Garamond" w:hAnsi="Garamond" w:cs="Garamond"/>
                <w:b/>
                <w:noProof/>
                <w:color w:val="000000"/>
                <w:sz w:val="20"/>
                <w:szCs w:val="20"/>
                <w:lang w:val="en-GB" w:eastAsia="en-GB"/>
              </w:rPr>
              <w:drawing>
                <wp:inline distT="0" distB="0" distL="0" distR="0">
                  <wp:extent cx="1050290" cy="334010"/>
                  <wp:effectExtent l="0" t="0" r="0" b="889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Logo Terre des Hommes.jpe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050290" cy="334010"/>
                          </a:xfrm>
                          <a:prstGeom prst="rect">
                            <a:avLst/>
                          </a:prstGeom>
                        </pic:spPr>
                      </pic:pic>
                    </a:graphicData>
                  </a:graphic>
                </wp:inline>
              </w:drawing>
            </w:r>
          </w:p>
        </w:tc>
      </w:tr>
    </w:tbl>
    <w:p w:rsidR="00133919" w:rsidRDefault="00133919">
      <w:pPr>
        <w:pBdr>
          <w:top w:val="nil"/>
          <w:left w:val="nil"/>
          <w:bottom w:val="nil"/>
          <w:right w:val="nil"/>
          <w:between w:val="nil"/>
        </w:pBdr>
        <w:ind w:left="720"/>
        <w:jc w:val="both"/>
        <w:rPr>
          <w:rFonts w:ascii="Garamond" w:eastAsia="Garamond" w:hAnsi="Garamond" w:cs="Garamond"/>
          <w:b/>
          <w:color w:val="000000"/>
          <w:sz w:val="24"/>
          <w:szCs w:val="24"/>
        </w:rPr>
      </w:pPr>
    </w:p>
    <w:sectPr w:rsidR="00133919" w:rsidSect="008D78E6">
      <w:headerReference w:type="default" r:id="rId39"/>
      <w:pgSz w:w="12240" w:h="15840"/>
      <w:pgMar w:top="630" w:right="171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85F" w:rsidRDefault="0025585F">
      <w:pPr>
        <w:spacing w:after="0" w:line="240" w:lineRule="auto"/>
      </w:pPr>
      <w:r>
        <w:separator/>
      </w:r>
    </w:p>
  </w:endnote>
  <w:endnote w:type="continuationSeparator" w:id="0">
    <w:p w:rsidR="0025585F" w:rsidRDefault="0025585F">
      <w:pPr>
        <w:spacing w:after="0" w:line="240" w:lineRule="auto"/>
      </w:pPr>
      <w:r>
        <w:continuationSeparator/>
      </w:r>
    </w:p>
  </w:endnote>
  <w:endnote w:id="1">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111.9. Finlandia, garantizar acceso a servicios médicos a las víctimas de violencia sexual.</w:t>
      </w:r>
    </w:p>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eastAsia="Garamond" w:hAnsi="Garamond" w:cs="Garamond"/>
          <w:color w:val="000000"/>
          <w:sz w:val="16"/>
          <w:szCs w:val="16"/>
        </w:rPr>
        <w:t>111.102. Islandia, garantizar el acceso a los servicios médicos para las víctimas de la violencia sexual.</w:t>
      </w:r>
    </w:p>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eastAsia="Garamond" w:hAnsi="Garamond" w:cs="Garamond"/>
          <w:color w:val="000000"/>
          <w:sz w:val="16"/>
          <w:szCs w:val="16"/>
        </w:rPr>
        <w:t>111.118. República de Corea, Proseguir los esfuerzos para prevenir la violencia contra las niñas.</w:t>
      </w:r>
    </w:p>
    <w:p w:rsidR="00C76EA7" w:rsidRPr="00776D93" w:rsidRDefault="00C76EA7">
      <w:pPr>
        <w:pBdr>
          <w:top w:val="nil"/>
          <w:left w:val="nil"/>
          <w:bottom w:val="nil"/>
          <w:right w:val="nil"/>
          <w:between w:val="nil"/>
        </w:pBdr>
        <w:spacing w:after="0" w:line="240" w:lineRule="auto"/>
        <w:jc w:val="both"/>
        <w:rPr>
          <w:rFonts w:ascii="Garamond" w:eastAsia="Garamond" w:hAnsi="Garamond" w:cs="Garamond"/>
          <w:b/>
          <w:color w:val="000000"/>
          <w:sz w:val="16"/>
          <w:szCs w:val="16"/>
        </w:rPr>
      </w:pPr>
      <w:r w:rsidRPr="00776D93">
        <w:rPr>
          <w:rFonts w:ascii="Garamond" w:eastAsia="Garamond" w:hAnsi="Garamond" w:cs="Garamond"/>
          <w:color w:val="000000"/>
          <w:sz w:val="16"/>
          <w:szCs w:val="16"/>
        </w:rPr>
        <w:t>111.122. Ucrania, tomar medidas para combatir la violencia contra las niñas.</w:t>
      </w:r>
    </w:p>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eastAsia="Garamond" w:hAnsi="Garamond" w:cs="Garamond"/>
          <w:color w:val="000000"/>
          <w:sz w:val="16"/>
          <w:szCs w:val="16"/>
        </w:rPr>
        <w:t>111.123. Reino Unido e Irlanda. Reforzar la cooperación técnica con las organizaciones de las Naciones Unidas para ayudar a hacer frente a los problemas de violencia doméstica y violencia sexual, en particular la violencia contra las mujeres y las niñas, y asegurar que los autores de esos actos sean llevados ante la justicia.</w:t>
      </w:r>
    </w:p>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eastAsia="Garamond" w:hAnsi="Garamond" w:cs="Garamond"/>
          <w:color w:val="000000"/>
          <w:sz w:val="16"/>
          <w:szCs w:val="16"/>
        </w:rPr>
        <w:t>111.124. Chile. Aumentar los esfuerzos para eliminar todas las formas de violencia contra la mujer, especialmente la violencia sexual contra niñas y adolescentes.</w:t>
      </w:r>
    </w:p>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eastAsia="Garamond" w:hAnsi="Garamond" w:cs="Garamond"/>
          <w:color w:val="000000"/>
          <w:sz w:val="16"/>
          <w:szCs w:val="16"/>
        </w:rPr>
        <w:t>111.125. Venezuela. Proteger los derechos de las mujeres y las niñas contra la violencia de género, en particular la violencia doméstica.</w:t>
      </w:r>
    </w:p>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eastAsia="Garamond" w:hAnsi="Garamond" w:cs="Garamond"/>
          <w:color w:val="000000"/>
          <w:sz w:val="16"/>
          <w:szCs w:val="16"/>
        </w:rPr>
        <w:t>111.130. Francia. Intensificar los esfuerzos para combatir la violencia doméstica familiar y sexual.</w:t>
      </w:r>
    </w:p>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eastAsia="Garamond" w:hAnsi="Garamond" w:cs="Garamond"/>
          <w:color w:val="000000"/>
          <w:sz w:val="16"/>
          <w:szCs w:val="16"/>
        </w:rPr>
        <w:t>111.131. Grecia. Tomar todas las medidas efectivas a fin de abordar eficazmente los fenómenos denunciados de violencia contra las mujeres y las niñas, la violencia doméstica y sexual.</w:t>
      </w:r>
    </w:p>
  </w:endnote>
  <w:endnote w:id="2">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El Comité de los Derechos del Niño de la ONU en el año 2016 recomendó al Estado peruano: inciso 39, 40, 41, 42 y 56.</w:t>
      </w:r>
    </w:p>
  </w:endnote>
  <w:endnote w:id="3">
    <w:p w:rsidR="00C76EA7" w:rsidRPr="00776D93" w:rsidRDefault="00C76EA7">
      <w:pPr>
        <w:pBdr>
          <w:top w:val="nil"/>
          <w:left w:val="nil"/>
          <w:bottom w:val="nil"/>
          <w:right w:val="nil"/>
          <w:between w:val="nil"/>
        </w:pBdr>
        <w:spacing w:after="0" w:line="240" w:lineRule="auto"/>
        <w:jc w:val="both"/>
        <w:rPr>
          <w:rFonts w:ascii="Garamond" w:hAnsi="Garamond"/>
          <w:color w:val="000000"/>
          <w:sz w:val="16"/>
          <w:szCs w:val="16"/>
        </w:rPr>
      </w:pPr>
      <w:r w:rsidRPr="00776D93">
        <w:rPr>
          <w:rFonts w:ascii="Garamond" w:hAnsi="Garamond"/>
          <w:sz w:val="16"/>
          <w:szCs w:val="16"/>
          <w:vertAlign w:val="superscript"/>
        </w:rPr>
        <w:endnoteRef/>
      </w:r>
      <w:r w:rsidRPr="00776D93">
        <w:rPr>
          <w:rFonts w:ascii="Garamond" w:hAnsi="Garamond"/>
          <w:color w:val="000000"/>
          <w:sz w:val="16"/>
          <w:szCs w:val="16"/>
        </w:rPr>
        <w:t xml:space="preserve"> </w:t>
      </w:r>
      <w:r w:rsidRPr="00776D93">
        <w:rPr>
          <w:rFonts w:ascii="Garamond" w:eastAsia="Garamond" w:hAnsi="Garamond" w:cs="Garamond"/>
          <w:color w:val="000000"/>
          <w:sz w:val="16"/>
          <w:szCs w:val="16"/>
        </w:rPr>
        <w:t>ODS 16.2. Promover sociedades justas, pacíficas e inclusivas. Poner fin al maltrato, la explotación, la trata y todas las formas de violencia y tortura contra los niños.</w:t>
      </w:r>
    </w:p>
  </w:endnote>
  <w:endnote w:id="4">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NNA = Niñas, niños y adolescentes.</w:t>
      </w:r>
    </w:p>
  </w:endnote>
  <w:endnote w:id="5">
    <w:p w:rsidR="00C76EA7" w:rsidRPr="00776D93" w:rsidRDefault="00C76EA7">
      <w:pPr>
        <w:spacing w:after="0" w:line="240" w:lineRule="auto"/>
        <w:jc w:val="both"/>
        <w:rPr>
          <w:rFonts w:ascii="Garamond" w:eastAsia="Garamond" w:hAnsi="Garamond" w:cs="Garamond"/>
          <w:color w:val="2A2D2D"/>
          <w:sz w:val="16"/>
          <w:szCs w:val="16"/>
          <w:highlight w:val="white"/>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w:t>
      </w:r>
      <w:r w:rsidRPr="00776D93">
        <w:rPr>
          <w:rFonts w:ascii="Garamond" w:eastAsia="Garamond" w:hAnsi="Garamond" w:cs="Garamond"/>
          <w:color w:val="2A2D2D"/>
          <w:sz w:val="16"/>
          <w:szCs w:val="16"/>
          <w:highlight w:val="white"/>
        </w:rPr>
        <w:t>Ley N° 30364, Decreto Supremo Nº 009-2016-MIMP, aprobado el 26 de julio del 2016. Ley para prevenir, sancionar y erradicar la violencia contra las mujeres y los integrantes del grupo familiar y su reglamento.</w:t>
      </w:r>
    </w:p>
    <w:p w:rsidR="00C76EA7" w:rsidRPr="00776D93" w:rsidRDefault="00C76EA7">
      <w:pPr>
        <w:spacing w:after="0" w:line="240" w:lineRule="auto"/>
        <w:jc w:val="both"/>
        <w:rPr>
          <w:rFonts w:ascii="Garamond" w:eastAsia="Garamond" w:hAnsi="Garamond" w:cs="Garamond"/>
          <w:color w:val="2A2D2D"/>
          <w:sz w:val="16"/>
          <w:szCs w:val="16"/>
          <w:highlight w:val="white"/>
        </w:rPr>
      </w:pPr>
      <w:r w:rsidRPr="00776D93">
        <w:rPr>
          <w:rFonts w:ascii="Garamond" w:eastAsia="Garamond" w:hAnsi="Garamond" w:cs="Garamond"/>
          <w:color w:val="2A2D2D"/>
          <w:sz w:val="16"/>
          <w:szCs w:val="16"/>
          <w:highlight w:val="white"/>
        </w:rPr>
        <w:t>Protocolos de los diferentes Sectores: Policía Nacional, Ministerio Público, Poder Judicial y Ministerio de Salud para implementar la Ley N° 30364</w:t>
      </w:r>
    </w:p>
    <w:p w:rsidR="00C76EA7" w:rsidRPr="00776D93" w:rsidRDefault="00C76EA7">
      <w:pPr>
        <w:spacing w:after="0" w:line="240" w:lineRule="auto"/>
        <w:jc w:val="both"/>
        <w:rPr>
          <w:rFonts w:ascii="Garamond" w:eastAsia="Garamond" w:hAnsi="Garamond" w:cs="Garamond"/>
          <w:color w:val="2A2D2D"/>
          <w:sz w:val="16"/>
          <w:szCs w:val="16"/>
          <w:highlight w:val="white"/>
        </w:rPr>
      </w:pPr>
      <w:r w:rsidRPr="00776D93">
        <w:rPr>
          <w:rFonts w:ascii="Garamond" w:eastAsia="Garamond" w:hAnsi="Garamond" w:cs="Garamond"/>
          <w:color w:val="2A2D2D"/>
          <w:sz w:val="16"/>
          <w:szCs w:val="16"/>
          <w:highlight w:val="white"/>
        </w:rPr>
        <w:t>Decreto Supremo N° 012-2019-MIMP, que aprueba el Protocolo Base de Actuación Conjunta en el ámbito de la atención integral y protección frente a la violencia contra las mujeres y los integrantes del grupo familiar, Ley N.° 30364.</w:t>
      </w:r>
    </w:p>
    <w:p w:rsidR="00C76EA7" w:rsidRPr="00776D93" w:rsidRDefault="00C76EA7">
      <w:pPr>
        <w:spacing w:after="0" w:line="240" w:lineRule="auto"/>
        <w:jc w:val="both"/>
        <w:rPr>
          <w:rFonts w:ascii="Garamond" w:eastAsia="Garamond" w:hAnsi="Garamond" w:cs="Garamond"/>
          <w:sz w:val="16"/>
          <w:szCs w:val="16"/>
          <w:highlight w:val="white"/>
        </w:rPr>
      </w:pPr>
      <w:r w:rsidRPr="00776D93">
        <w:rPr>
          <w:rFonts w:ascii="Garamond" w:eastAsia="Garamond" w:hAnsi="Garamond" w:cs="Garamond"/>
          <w:color w:val="2A2D2D"/>
          <w:sz w:val="16"/>
          <w:szCs w:val="16"/>
          <w:highlight w:val="white"/>
        </w:rPr>
        <w:t xml:space="preserve">Decreto Supremo N° 008-2020-JUS, </w:t>
      </w:r>
      <w:r w:rsidRPr="00776D93">
        <w:rPr>
          <w:rFonts w:ascii="Garamond" w:eastAsia="Garamond" w:hAnsi="Garamond" w:cs="Garamond"/>
          <w:sz w:val="16"/>
          <w:szCs w:val="16"/>
          <w:highlight w:val="white"/>
        </w:rPr>
        <w:t>D.S. que aprueba el Protocolo de Actuación Conjunta entre el Centro Emergencia Mujer y los Servicios de Defensa Pública. (Ley N.° 30364).</w:t>
      </w:r>
    </w:p>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eastAsia="Garamond" w:hAnsi="Garamond" w:cs="Garamond"/>
          <w:color w:val="2A2D2D"/>
          <w:sz w:val="16"/>
          <w:szCs w:val="16"/>
          <w:highlight w:val="white"/>
        </w:rPr>
        <w:t>Ley N° 30403, Ley que prohíbe el uso del Castigo Físico y humillante, y su reglamento aprobado mediante D.S. N.º 003-2018-MIMP.</w:t>
      </w:r>
    </w:p>
  </w:endnote>
  <w:endnote w:id="6">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MIMP. Programa Nacional Aurora. Boletines Estadísticos: </w:t>
      </w:r>
      <w:hyperlink r:id="rId1">
        <w:r w:rsidRPr="00776D93">
          <w:rPr>
            <w:rFonts w:ascii="Garamond" w:eastAsia="Garamond" w:hAnsi="Garamond" w:cs="Garamond"/>
            <w:color w:val="1155CC"/>
            <w:sz w:val="16"/>
            <w:szCs w:val="16"/>
            <w:u w:val="single"/>
          </w:rPr>
          <w:t>https://portalestadistico.aurora.gob.pe/boletines/</w:t>
        </w:r>
      </w:hyperlink>
      <w:r w:rsidRPr="00776D93">
        <w:rPr>
          <w:rFonts w:ascii="Garamond" w:eastAsia="Garamond" w:hAnsi="Garamond" w:cs="Garamond"/>
          <w:sz w:val="16"/>
          <w:szCs w:val="16"/>
        </w:rPr>
        <w:t xml:space="preserve"> </w:t>
      </w:r>
    </w:p>
  </w:endnote>
  <w:endnote w:id="7">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Instituto Nacional de Salud Mental.</w:t>
      </w:r>
    </w:p>
  </w:endnote>
  <w:endnote w:id="8">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Programa Nacional Aurora, Portal Estadístico del Ministerio de la Mujer y Poblaciones Vulnerables - MIMP.</w:t>
      </w:r>
    </w:p>
  </w:endnote>
  <w:endnote w:id="9">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Ministerio de Salud del Perú.</w:t>
      </w:r>
    </w:p>
  </w:endnote>
  <w:endnote w:id="10">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MIMP. Observatorio Nacional de la Violencia contra las mujeres y los integrantes del grupo familiar. 26/06/2019: </w:t>
      </w:r>
      <w:hyperlink r:id="rId2">
        <w:r w:rsidRPr="00776D93">
          <w:rPr>
            <w:rFonts w:ascii="Garamond" w:eastAsia="Garamond" w:hAnsi="Garamond" w:cs="Garamond"/>
            <w:color w:val="1155CC"/>
            <w:sz w:val="16"/>
            <w:szCs w:val="16"/>
            <w:u w:val="single"/>
          </w:rPr>
          <w:t>https://observatorioviolencia.pe/principales-agresores-sexuales-a-ninas-ninos-y-adolescentes/</w:t>
        </w:r>
      </w:hyperlink>
      <w:r w:rsidRPr="00776D93">
        <w:rPr>
          <w:rFonts w:ascii="Garamond" w:eastAsia="Garamond" w:hAnsi="Garamond" w:cs="Garamond"/>
          <w:sz w:val="16"/>
          <w:szCs w:val="16"/>
        </w:rPr>
        <w:t xml:space="preserve"> </w:t>
      </w:r>
    </w:p>
  </w:endnote>
  <w:endnote w:id="11">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IPRODES. Niñez, Justicia y Delitos Sexuales. Informe presentado ante la CIDH. Ecuador, 2019.  P. 33 – 34: “i) la primera declaración no es en Cámara Gesell o entrevista única, ii) se les formula preguntas prejuiciosas o impertinentes sobre su vida sexual; iii) se revela la identidad de las víctimas; iv) poco uso de medidas de protección; v) conducido por magistrados no especializados, sin enfoque de género o del interés superior del niño; vi) la mayoría no cuenta con abogado gratuito ni especializado y, vii) los procesos son excesivamente prolongados”.</w:t>
      </w:r>
    </w:p>
  </w:endnote>
  <w:endnote w:id="12">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Defensoría del Pueblo. Enero 2022, “la pandemia por la Covid-19 influyó en el aumento de las desapariciones. </w:t>
      </w:r>
      <w:r w:rsidRPr="00776D93">
        <w:rPr>
          <w:rFonts w:ascii="Garamond" w:eastAsia="Garamond" w:hAnsi="Garamond" w:cs="Garamond"/>
          <w:color w:val="000000"/>
          <w:sz w:val="16"/>
          <w:szCs w:val="16"/>
        </w:rPr>
        <w:t>Problemas para denunciar: estereotipos de género, conservadurismo, no acceso a servicios dependiendo del operador de salud, justicia, entre otros.</w:t>
      </w:r>
      <w:r w:rsidRPr="00776D93">
        <w:rPr>
          <w:rFonts w:ascii="Garamond" w:eastAsia="Garamond" w:hAnsi="Garamond" w:cs="Garamond"/>
          <w:sz w:val="16"/>
          <w:szCs w:val="16"/>
        </w:rPr>
        <w:t xml:space="preserve">”: </w:t>
      </w:r>
      <w:hyperlink r:id="rId3">
        <w:r w:rsidRPr="00776D93">
          <w:rPr>
            <w:rFonts w:ascii="Garamond" w:eastAsia="Garamond" w:hAnsi="Garamond" w:cs="Garamond"/>
            <w:color w:val="1155CC"/>
            <w:sz w:val="16"/>
            <w:szCs w:val="16"/>
            <w:u w:val="single"/>
          </w:rPr>
          <w:t>https://www.defensoria.gob.pe/wp-content/uploads/2022/02/Reporte-Igualdad-y-No-Violencia-2.pdf</w:t>
        </w:r>
      </w:hyperlink>
      <w:r w:rsidRPr="00776D93">
        <w:rPr>
          <w:rFonts w:ascii="Garamond" w:eastAsia="Garamond" w:hAnsi="Garamond" w:cs="Garamond"/>
          <w:sz w:val="16"/>
          <w:szCs w:val="16"/>
        </w:rPr>
        <w:t xml:space="preserve"> </w:t>
      </w:r>
    </w:p>
  </w:endnote>
  <w:endnote w:id="13">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INEI. Perú Nacidos vivos de madres adolescentes 2019 - 2020: </w:t>
      </w:r>
      <w:hyperlink r:id="rId4">
        <w:r w:rsidRPr="00776D93">
          <w:rPr>
            <w:rFonts w:ascii="Garamond" w:eastAsia="Garamond" w:hAnsi="Garamond" w:cs="Garamond"/>
            <w:color w:val="1155CC"/>
            <w:sz w:val="16"/>
            <w:szCs w:val="16"/>
            <w:u w:val="single"/>
          </w:rPr>
          <w:t>https://www.inei.gob.pe/media/MenuRecursivo/publicaciones_digitales/Est/Lib1832/libro.pdf</w:t>
        </w:r>
      </w:hyperlink>
      <w:r w:rsidRPr="00776D93">
        <w:rPr>
          <w:rFonts w:ascii="Garamond" w:eastAsia="Garamond" w:hAnsi="Garamond" w:cs="Garamond"/>
          <w:sz w:val="16"/>
          <w:szCs w:val="16"/>
        </w:rPr>
        <w:t xml:space="preserve"> . </w:t>
      </w:r>
    </w:p>
  </w:endnote>
  <w:endnote w:id="14">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Unidades de Protección Especial: son 26 a nivel nacional y solo en las capitales. </w:t>
      </w:r>
    </w:p>
  </w:endnote>
  <w:endnote w:id="15">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MIMP. Unidades de protección especial del MIMP atendieron a más de 22 mil menores de edad en situación de desprotección durante el 2021. 07 de diciembre de 2021. https://www.gob.pe/institucion/mimp/noticias/568359-unidades-de-proteccion-especial-del-mimp-atendieron-a-mas-de-22-mil-menores-de-edad-en-situacion-de-desproteccion-durante-el-2021</w:t>
      </w:r>
    </w:p>
  </w:endnote>
  <w:endnote w:id="16">
    <w:p w:rsidR="00C76EA7" w:rsidRPr="00776D93" w:rsidRDefault="00C76EA7">
      <w:pPr>
        <w:spacing w:after="0" w:line="240" w:lineRule="auto"/>
        <w:jc w:val="both"/>
        <w:rPr>
          <w:rFonts w:ascii="Garamond" w:eastAsia="Garamond" w:hAnsi="Garamond" w:cs="Garamond"/>
          <w:sz w:val="16"/>
          <w:szCs w:val="16"/>
          <w:highlight w:val="yellow"/>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Los Centros de Acogida Residencial son albergues de carácter público, privado o mixto que brindan cuidado y protección a las NNA que son separadas de sus familias por diversos factores. Es uno de los tipos de modalidades de cuidado alternativo que predominan en el Perú.</w:t>
      </w:r>
    </w:p>
  </w:endnote>
  <w:endnote w:id="17">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El 92% de representantes de CAR entrevistados, consideran necesario una reforma del sistema nacional de protección, que sea capaz de garantizar la protección de la niñez y adolescencia ante situaciones extremas</w:t>
      </w:r>
    </w:p>
  </w:endnote>
  <w:endnote w:id="18">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El Comercio: MIMP envía a niños abandonados a centros de drogadictos: </w:t>
      </w:r>
      <w:hyperlink r:id="rId5">
        <w:r w:rsidRPr="00776D93">
          <w:rPr>
            <w:rFonts w:ascii="Garamond" w:eastAsia="Garamond" w:hAnsi="Garamond" w:cs="Garamond"/>
            <w:color w:val="0000FF"/>
            <w:sz w:val="16"/>
            <w:szCs w:val="16"/>
            <w:u w:val="single"/>
          </w:rPr>
          <w:t>https://elcomercio.pe/lima/sucesos/ministerio-de-la-mujer-y-poblaciones-vulnerables-denuncian-que-el-mimp-envia-a-menores-en-situacion-de-abandono-a-centro-de-rehabilitacion-para-drogadictos-rmmn-noticia/</w:t>
        </w:r>
      </w:hyperlink>
      <w:r w:rsidRPr="00776D93">
        <w:rPr>
          <w:rFonts w:ascii="Garamond" w:eastAsia="Garamond" w:hAnsi="Garamond" w:cs="Garamond"/>
          <w:color w:val="000000"/>
          <w:sz w:val="16"/>
          <w:szCs w:val="16"/>
        </w:rPr>
        <w:t xml:space="preserve"> ; La República: violan a niño en un CAR: </w:t>
      </w:r>
      <w:hyperlink r:id="rId6">
        <w:r w:rsidRPr="00776D93">
          <w:rPr>
            <w:rFonts w:ascii="Garamond" w:eastAsia="Garamond" w:hAnsi="Garamond" w:cs="Garamond"/>
            <w:color w:val="0000FF"/>
            <w:sz w:val="16"/>
            <w:szCs w:val="16"/>
            <w:u w:val="single"/>
          </w:rPr>
          <w:t>https://andina.pe/agencia/noticia-mimp-presentara-denuncia-penal-contra-car-privado-arequipa-violacion-a-nino-892427.aspx</w:t>
        </w:r>
      </w:hyperlink>
      <w:r w:rsidRPr="00776D93">
        <w:rPr>
          <w:rFonts w:ascii="Garamond" w:eastAsia="Garamond" w:hAnsi="Garamond" w:cs="Garamond"/>
          <w:color w:val="000000"/>
          <w:sz w:val="16"/>
          <w:szCs w:val="16"/>
        </w:rPr>
        <w:t xml:space="preserve"> </w:t>
      </w:r>
    </w:p>
  </w:endnote>
  <w:endnote w:id="19">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MIMP: Ministerio de la Mujer y Poblaciones Vulnerables. </w:t>
      </w:r>
    </w:p>
  </w:endnote>
  <w:endnote w:id="20">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Dirección de Protección Especial, 2021.</w:t>
      </w:r>
    </w:p>
  </w:endnote>
  <w:endnote w:id="21">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Centro de Emergencia Mujer, servicio especializado de atención para mujeres e integrantes de la familia que son víctimas y/o testigos de violencia.</w:t>
      </w:r>
    </w:p>
  </w:endnote>
  <w:endnote w:id="22">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“El 81,6% de los migrantes atendidos fueron venezolanos, y de la cifra total, el 54,2% no contaba con carné de extranjería en el momento de su atención”. Defensoría del Pueblo, pg. 54-55.</w:t>
      </w:r>
    </w:p>
  </w:endnote>
  <w:endnote w:id="23">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DEMUNA: Defensorías Municipales del Niño y del Adolescente.</w:t>
      </w:r>
    </w:p>
  </w:endnote>
  <w:endnote w:id="24">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En el 2018, la Defensoría del Pueblo advirtió que existen fiscalías que derivan casos a DEMUNA sin acreditación, lo que impide asumir la competencia respecto a la atención de situaciones de riesgo, generando mayor carga administrativa y demora en la atención y calificación de los diversos casos que se presentan.</w:t>
      </w:r>
    </w:p>
  </w:endnote>
  <w:endnote w:id="25">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En el presupuesto fiscal peruano, se utilizan los programas por resultados (PPOR); existen en materia de violencia familiar, desarrollo infantil temprano, atención a NNA en abandono, violencia contra la mujer; pero la magnitud y especificidad de la violencia contra NNA exige para su atención, una asignación presupuestal específica (PPOR) que permita el funcionamiento y eficacia de la normativa y de la institucionalidad que trata de enfrentar el problema.</w:t>
      </w:r>
    </w:p>
  </w:endnote>
  <w:endnote w:id="26">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Sistema unificado de datos que contenga un registro único de casos de violencia y desprotección, con datos fundamentales como edad, sexo, discapacidad, origen étnico, identidad, que incluya los factores de riesgo y el respectivo seguimiento del proceso hasta la restitución de sus derechos, con indicadores fiables para el seguimiento, vigilancia y toma de decisiones. </w:t>
      </w:r>
    </w:p>
  </w:endnote>
  <w:endnote w:id="27">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Garantizar que las NNA víctimas y testigos de violencia, accedan de manera efectiva, oportuna y con calidad a juzgados especializados dentro del sistema de justicia, que atienda diversos casos de violencia y desprotección, evitando su revictimización, asegurando un trato cordial y amigable, con profesionales especializados en la materia, y que cuenten con abogados de defensa gratuitos, capaces de brindar información acorde a la edad de las víctimas, así como de recoger y transmitir sus necesidades e inquietudes a la autoridad judicial para que adopte las medidas pertinentes, con la celeridad respectiva, en el marco del interés superior del niño.</w:t>
      </w:r>
    </w:p>
  </w:endnote>
  <w:endnote w:id="28">
    <w:p w:rsidR="00C76EA7" w:rsidRPr="00776D93" w:rsidRDefault="00C76EA7">
      <w:pPr>
        <w:spacing w:after="0" w:line="240" w:lineRule="auto"/>
        <w:jc w:val="both"/>
        <w:rPr>
          <w:rFonts w:ascii="Garamond" w:eastAsia="Garamond" w:hAnsi="Garamond" w:cs="Garamond"/>
          <w:sz w:val="16"/>
          <w:szCs w:val="16"/>
          <w:highlight w:val="white"/>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w:t>
      </w:r>
      <w:r w:rsidRPr="00776D93">
        <w:rPr>
          <w:rFonts w:ascii="Garamond" w:eastAsia="Garamond" w:hAnsi="Garamond" w:cs="Garamond"/>
          <w:sz w:val="16"/>
          <w:szCs w:val="16"/>
          <w:highlight w:val="white"/>
        </w:rPr>
        <w:t>Registro aprobado en el año 2018, mediante Ley N°30901, para garantizar que ninguna persona con antecedentes de violencia sexual y haber sido condenada por delitos sexuales y otros de violencia de género, pueda trabajar en instituciones educativas, centros de acogimiento residencial, instituciones del Estado o ámbitos privados que se encarguen del cuidado y la atención de niñas, niños y adolescentes. Actualmente, no es de conocimiento ni acceso público.</w:t>
      </w:r>
    </w:p>
  </w:endnote>
  <w:endnote w:id="29">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Las NNA migrantes no acompañados y separados tienen alto riesgo de ser víctimas de diversos tipos de violencia (trata, explotación laboral y sexual, trabajo infantil, violencia institucional, entre otros), por ello es importante que puedan obtener el estatus migratorio que les permita su reunificación familiar y acceder a servicios de protección. El MIMP debe coordinar con la Superintendencia Nacional de Migraciones esta regularización migratoria, en especial de las NNA con diferentes medidas de protección dictadas por las UPE, sea de acogimiento residencial o familiar</w:t>
      </w:r>
      <w:r w:rsidRPr="00776D93">
        <w:rPr>
          <w:rFonts w:ascii="Garamond" w:eastAsia="Garamond" w:hAnsi="Garamond" w:cs="Garamond"/>
          <w:b/>
          <w:sz w:val="16"/>
          <w:szCs w:val="16"/>
        </w:rPr>
        <w:t>.</w:t>
      </w:r>
    </w:p>
  </w:endnote>
  <w:endnote w:id="30">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hAnsi="Garamond"/>
          <w:color w:val="000000"/>
          <w:sz w:val="16"/>
          <w:szCs w:val="16"/>
        </w:rPr>
        <w:t xml:space="preserve"> </w:t>
      </w:r>
      <w:r w:rsidRPr="00776D93">
        <w:rPr>
          <w:rFonts w:ascii="Garamond" w:eastAsia="Garamond" w:hAnsi="Garamond" w:cs="Garamond"/>
          <w:color w:val="000000"/>
          <w:sz w:val="16"/>
          <w:szCs w:val="16"/>
        </w:rPr>
        <w:t>Garantiz</w:t>
      </w:r>
      <w:r w:rsidRPr="00776D93">
        <w:rPr>
          <w:rFonts w:ascii="Garamond" w:eastAsia="Garamond" w:hAnsi="Garamond" w:cs="Garamond"/>
          <w:color w:val="000000"/>
          <w:sz w:val="16"/>
          <w:szCs w:val="16"/>
          <w:highlight w:val="white"/>
        </w:rPr>
        <w:t>ar el fortalecimiento de las familias -mediante el desarrollo de competencias parentales, crianza positiva y buen trato de las familias- para prevenir situaciones de violencia que eviten la separación de las NNA de su entorno familiar. En caso de separación por graves tipos de violencia, asegurar su cuidado alternativo y pronto reintegro a la familia, previo trabajo para asegurar un entorno seguro y protector</w:t>
      </w:r>
      <w:r w:rsidRPr="00776D93">
        <w:rPr>
          <w:rFonts w:ascii="Garamond" w:eastAsia="Garamond" w:hAnsi="Garamond" w:cs="Garamond"/>
          <w:color w:val="000000"/>
          <w:sz w:val="16"/>
          <w:szCs w:val="16"/>
        </w:rPr>
        <w:t>.</w:t>
      </w:r>
    </w:p>
  </w:endnote>
  <w:endnote w:id="31">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Las NNA víctimas de violencia sexual deben recibir atención médica y se debe garantizar que los servicios de salud apliquen el Kit de emergencia para casos de abuso sexual y resguardar las pruebas judiciales</w:t>
      </w:r>
    </w:p>
  </w:endnote>
  <w:endnote w:id="32">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Garantizar el incremento del presupuesto y mejorar la calidad del gasto público para atender los diversos tipos de violencia contra la niñez y adolescencia, en los tres niveles de gobierno, asegurando una adecuada implementación de los servicios de protección, con materiales, herramientas de trabajo, ambientes especializados, así como profesionales capacitados para llegar y atender a las NNA en situación de exclusión y vulnerabilidad por factores económicos, sociales y culturales, así como por situaciones de pobreza y pobreza extrema.  </w:t>
      </w:r>
    </w:p>
  </w:endnote>
  <w:endnote w:id="33">
    <w:p w:rsidR="00C76EA7" w:rsidRPr="00776D93" w:rsidRDefault="00C76EA7">
      <w:pPr>
        <w:spacing w:after="0" w:line="240" w:lineRule="auto"/>
        <w:jc w:val="both"/>
        <w:rPr>
          <w:rFonts w:ascii="Garamond" w:eastAsia="Garamond" w:hAnsi="Garamond" w:cs="Garamond"/>
          <w:sz w:val="16"/>
          <w:szCs w:val="16"/>
        </w:rPr>
      </w:pPr>
      <w:bookmarkStart w:id="1" w:name="_heading=h.gjdgxs" w:colFirst="0" w:colLast="0"/>
      <w:bookmarkEnd w:id="1"/>
      <w:r w:rsidRPr="00776D93">
        <w:rPr>
          <w:rFonts w:ascii="Garamond" w:hAnsi="Garamond"/>
          <w:sz w:val="16"/>
          <w:szCs w:val="16"/>
          <w:vertAlign w:val="superscript"/>
        </w:rPr>
        <w:endnoteRef/>
      </w:r>
      <w:r w:rsidRPr="00776D93">
        <w:rPr>
          <w:rFonts w:ascii="Garamond" w:eastAsia="Garamond" w:hAnsi="Garamond" w:cs="Garamond"/>
          <w:sz w:val="16"/>
          <w:szCs w:val="16"/>
        </w:rPr>
        <w:t xml:space="preserve"> El Estado peruano tiene compromiso, como país pionero en el marco de la Alianza End Violence Against Children, aprobar, implementar con presupuesto un plan de acción para hacer frente a la violencia contra NNA, para que se emplee como una herramienta fundamental en la implementación de la política nacional multisectorial de las NNA al 2030. El “Plan de Acción Específico para la Eliminar Violencia contra NNA”, aún no se ha aprobado e integrado como herramienta para la implementación de la Política Nacional Multisectorial de las NNA al 2030, que se constituye en el marco de políticas públicas en temas de niñez y adolescencia.</w:t>
      </w:r>
    </w:p>
  </w:endnote>
  <w:endnote w:id="34">
    <w:p w:rsidR="00C76EA7" w:rsidRPr="00776D93" w:rsidRDefault="00C76EA7">
      <w:pPr>
        <w:pBdr>
          <w:top w:val="nil"/>
          <w:left w:val="nil"/>
          <w:bottom w:val="nil"/>
          <w:right w:val="nil"/>
          <w:between w:val="nil"/>
        </w:pBdr>
        <w:spacing w:after="0" w:line="240" w:lineRule="auto"/>
        <w:jc w:val="both"/>
        <w:rPr>
          <w:rFonts w:ascii="Garamond" w:hAnsi="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111.126 (Bélgica), 111.127(Canadá), 111.128 (Nicaragua), 111.132 (Israel), 111.133 (Japón), 111.131 (Grecia), 111.130 (Francia), 111.117 (Guatemala), Observaciones finales CEDAW 2022.</w:t>
      </w:r>
    </w:p>
  </w:endnote>
  <w:endnote w:id="35">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VBG: Violencia Basada en Género.</w:t>
      </w:r>
    </w:p>
  </w:endnote>
  <w:endnote w:id="36">
    <w:p w:rsidR="00C76EA7" w:rsidRPr="00776D93" w:rsidRDefault="00C76EA7">
      <w:pPr>
        <w:pBdr>
          <w:top w:val="nil"/>
          <w:left w:val="nil"/>
          <w:bottom w:val="nil"/>
          <w:right w:val="nil"/>
          <w:between w:val="nil"/>
        </w:pBdr>
        <w:spacing w:after="0" w:line="240" w:lineRule="auto"/>
        <w:jc w:val="both"/>
        <w:rPr>
          <w:rFonts w:ascii="Garamond" w:hAnsi="Garamond"/>
          <w:color w:val="000000"/>
          <w:sz w:val="16"/>
          <w:szCs w:val="16"/>
        </w:rPr>
      </w:pPr>
      <w:r w:rsidRPr="00776D93">
        <w:rPr>
          <w:rFonts w:ascii="Garamond" w:hAnsi="Garamond"/>
          <w:sz w:val="16"/>
          <w:szCs w:val="16"/>
          <w:vertAlign w:val="superscript"/>
        </w:rPr>
        <w:endnoteRef/>
      </w:r>
      <w:r w:rsidR="00F4477C" w:rsidRPr="00776D93">
        <w:rPr>
          <w:rFonts w:ascii="Garamond" w:eastAsia="Garamond" w:hAnsi="Garamond" w:cs="Garamond"/>
          <w:color w:val="000000"/>
          <w:sz w:val="16"/>
          <w:szCs w:val="16"/>
        </w:rPr>
        <w:t xml:space="preserve"> MIMP</w:t>
      </w:r>
      <w:r w:rsidRPr="00776D93">
        <w:rPr>
          <w:rFonts w:ascii="Garamond" w:eastAsia="Garamond" w:hAnsi="Garamond" w:cs="Garamond"/>
          <w:color w:val="000000"/>
          <w:sz w:val="16"/>
          <w:szCs w:val="16"/>
        </w:rPr>
        <w:t>.</w:t>
      </w:r>
      <w:r w:rsidR="00F4477C" w:rsidRPr="00776D93">
        <w:rPr>
          <w:rFonts w:ascii="Garamond" w:eastAsia="Garamond" w:hAnsi="Garamond" w:cs="Garamond"/>
          <w:color w:val="000000"/>
          <w:sz w:val="16"/>
          <w:szCs w:val="16"/>
        </w:rPr>
        <w:t xml:space="preserve"> </w:t>
      </w:r>
      <w:hyperlink r:id="rId7" w:history="1">
        <w:r w:rsidR="00F4477C" w:rsidRPr="00776D93">
          <w:rPr>
            <w:rStyle w:val="Hyperlink"/>
            <w:rFonts w:ascii="Garamond" w:eastAsia="Garamond" w:hAnsi="Garamond" w:cs="Garamond"/>
            <w:sz w:val="16"/>
            <w:szCs w:val="16"/>
          </w:rPr>
          <w:t>https://portalestadistico.aurora.gob.pe/formas-de-la-violencia-2022/</w:t>
        </w:r>
      </w:hyperlink>
      <w:r w:rsidR="00F4477C" w:rsidRPr="00776D93">
        <w:rPr>
          <w:rFonts w:ascii="Garamond" w:eastAsia="Garamond" w:hAnsi="Garamond" w:cs="Garamond"/>
          <w:color w:val="000000"/>
          <w:sz w:val="16"/>
          <w:szCs w:val="16"/>
        </w:rPr>
        <w:t xml:space="preserve"> </w:t>
      </w:r>
    </w:p>
  </w:endnote>
  <w:endnote w:id="37">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Defensoría del Pueblo.</w:t>
      </w:r>
    </w:p>
  </w:endnote>
  <w:endnote w:id="38">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Debe ampliarse la cobertura de los Juzgados y Fiscalías Especializadas en todas las regiones del país. Para 2022, estaba programada su total implementación a nivel nacional; pero luego se reprogramó hasta el 2026 mediante el Decreto Supremo 011-2021-MIMP. A junio de este año, solo existen juzgados especializados en 9 Cortes de Justicia a nivel nacional (de un total de 29 Cortes) y existen fiscal</w:t>
      </w:r>
      <w:r w:rsidRPr="00776D93">
        <w:rPr>
          <w:rFonts w:ascii="Garamond" w:hAnsi="Garamond"/>
          <w:sz w:val="16"/>
          <w:szCs w:val="16"/>
        </w:rPr>
        <w:t>í</w:t>
      </w:r>
      <w:r w:rsidRPr="00776D93">
        <w:rPr>
          <w:rFonts w:ascii="Garamond" w:eastAsia="Garamond" w:hAnsi="Garamond" w:cs="Garamond"/>
          <w:sz w:val="16"/>
          <w:szCs w:val="16"/>
        </w:rPr>
        <w:t>as especializadas en 21 distritos fiscales (de un total de 33).</w:t>
      </w:r>
    </w:p>
  </w:endnote>
  <w:endnote w:id="39">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La sección Familia de la Policía Nacional del Perú, acorde al artículo 60, inciso 4) de la Ley 30364. Actualmente sólo existen las Divisiones de Familia, que tienen un rango menor a una Dirección y no están adecuados a los enfoques de la Ley N° 30364-Ley para prevenir y sancionar la violencia contra las mujeres e integrantes del grupo familiar. Al crear una Dirección de Violencia contra las Mujeres e integrantes del Grupo Familiar se podrá promover la especialización en materia de lucha contra la violencia de género en la estructura orgánica de la Policía Nacional, así como fortalecer la institucionalidad de género</w:t>
      </w:r>
    </w:p>
  </w:endnote>
  <w:endnote w:id="40">
    <w:p w:rsidR="00C76EA7" w:rsidRPr="00776D93" w:rsidRDefault="00C76EA7" w:rsidP="00753FE4">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hAnsi="Garamond"/>
          <w:sz w:val="16"/>
          <w:szCs w:val="16"/>
        </w:rPr>
        <w:t xml:space="preserve"> </w:t>
      </w:r>
      <w:r w:rsidRPr="00776D93">
        <w:rPr>
          <w:rFonts w:ascii="Garamond" w:eastAsia="Garamond" w:hAnsi="Garamond" w:cs="Garamond"/>
          <w:sz w:val="16"/>
          <w:szCs w:val="16"/>
        </w:rPr>
        <w:t xml:space="preserve">Como son: Género, interculturalidad, interseccionalidad, discapacidad, diversidad sexual, derechos, entre otros. </w:t>
      </w:r>
    </w:p>
  </w:endnote>
  <w:endnote w:id="41">
    <w:p w:rsidR="00C76EA7" w:rsidRPr="00776D93" w:rsidRDefault="00C76EA7" w:rsidP="00753FE4">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hAnsi="Garamond"/>
          <w:sz w:val="16"/>
          <w:szCs w:val="16"/>
        </w:rPr>
        <w:t xml:space="preserve"> </w:t>
      </w:r>
      <w:r w:rsidRPr="00776D93">
        <w:rPr>
          <w:rFonts w:ascii="Garamond" w:eastAsia="Garamond" w:hAnsi="Garamond" w:cs="Garamond"/>
          <w:sz w:val="16"/>
          <w:szCs w:val="16"/>
        </w:rPr>
        <w:t xml:space="preserve">Si bien hay esfuerzos institucionales, no se garantiza la obligatoria participación y la sostenibilidad de los mismos. La Ley 30364 establece responsabilidades sectoriales para la capacitación al personal, sin embargo, ello no se aplica. </w:t>
      </w:r>
    </w:p>
  </w:endnote>
  <w:endnote w:id="42">
    <w:p w:rsidR="00C76EA7" w:rsidRPr="00776D93" w:rsidRDefault="00C76EA7" w:rsidP="00753FE4">
      <w:pPr>
        <w:spacing w:after="0" w:line="240" w:lineRule="auto"/>
        <w:jc w:val="both"/>
        <w:rPr>
          <w:rFonts w:ascii="Garamond" w:hAnsi="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Estrategia Nacional de Prevención de la Violencia de Género contra las Mujeres “Mujeres libres de violencia”, aprobado mediante Decreto Supremo N° 022-2021-MIMP. En el cumplimiento de esta política, se deben crear Observatorios Regionales de Violencia Contra las Mujeres e Integrantes del Grupo Familiar, encargados de recoger indicadores regionales sobre VBG. Disponible en: </w:t>
      </w:r>
      <w:hyperlink r:id="rId8" w:anchor=":~:text=N%C2%B0%20022%2D2021%2DMIMP,-EL%20PRESIDENTE%20DE&amp;text=Art%C3%ADculo%202.%2D%20Objetivo-,La%20Estrategia%20Nacional%20de%20Prevenci%C3%B3n%20de%20la%20Violencia%20de%20G%C3%A9nero,entornos%20de%20socializaci%C3%B3n%20y%20convivencia">
        <w:r w:rsidRPr="00776D93">
          <w:rPr>
            <w:rFonts w:ascii="Garamond" w:eastAsia="Garamond" w:hAnsi="Garamond" w:cs="Garamond"/>
            <w:color w:val="1155CC"/>
            <w:sz w:val="16"/>
            <w:szCs w:val="16"/>
            <w:u w:val="single"/>
          </w:rPr>
          <w:t>https://busquedas.elperuano.pe/normaslegales/decreto-supremo-que-aprueba-la-estrategia-nacional-de-preven-decreto-supremo-n-022-2021-mimp-1976374-3/#:~:text=N%C2%B0%20022%2D2021%2DMIMP,-EL%20PRESIDENTE%20DE&amp;text=Art%C3%ADculo%202.%2D%20Objetivo-,La%20Estrategia%20Nacional%20de%20Prevenci%C3%B3n%20de%20la%20Violencia%20de%20G%C3%A9nero,entornos%20de%20socializaci%C3%B3n%20y%20convivencia</w:t>
        </w:r>
      </w:hyperlink>
      <w:r w:rsidRPr="00776D93">
        <w:rPr>
          <w:rFonts w:ascii="Garamond" w:eastAsia="Garamond" w:hAnsi="Garamond" w:cs="Garamond"/>
          <w:sz w:val="16"/>
          <w:szCs w:val="16"/>
        </w:rPr>
        <w:t xml:space="preserve"> </w:t>
      </w:r>
    </w:p>
  </w:endnote>
  <w:endnote w:id="43">
    <w:p w:rsidR="00C76EA7" w:rsidRPr="00776D93" w:rsidRDefault="00C76EA7" w:rsidP="00753FE4">
      <w:pPr>
        <w:pBdr>
          <w:top w:val="nil"/>
          <w:left w:val="nil"/>
          <w:bottom w:val="nil"/>
          <w:right w:val="nil"/>
          <w:between w:val="nil"/>
        </w:pBdr>
        <w:spacing w:after="0" w:line="240" w:lineRule="auto"/>
        <w:jc w:val="both"/>
        <w:rPr>
          <w:rFonts w:ascii="Garamond" w:hAnsi="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SISMATE: Sistema de Mensajería de Alerta Temprana de Emergencia</w:t>
      </w:r>
      <w:r w:rsidRPr="00776D93">
        <w:rPr>
          <w:rFonts w:ascii="Garamond" w:eastAsia="Garamond" w:hAnsi="Garamond" w:cs="Garamond"/>
          <w:sz w:val="16"/>
          <w:szCs w:val="16"/>
        </w:rPr>
        <w:t xml:space="preserve">, </w:t>
      </w:r>
    </w:p>
  </w:endnote>
  <w:endnote w:id="44">
    <w:p w:rsidR="00C76EA7" w:rsidRPr="00776D93" w:rsidRDefault="00C76EA7" w:rsidP="00753FE4">
      <w:pPr>
        <w:spacing w:after="0" w:line="240" w:lineRule="auto"/>
        <w:jc w:val="both"/>
        <w:rPr>
          <w:rFonts w:ascii="Garamond" w:eastAsia="Garamond" w:hAnsi="Garamond" w:cs="Garamond"/>
          <w:color w:val="26292E"/>
          <w:sz w:val="16"/>
          <w:szCs w:val="16"/>
        </w:rPr>
      </w:pPr>
      <w:r w:rsidRPr="00776D93">
        <w:rPr>
          <w:rFonts w:ascii="Garamond" w:hAnsi="Garamond"/>
          <w:sz w:val="16"/>
          <w:szCs w:val="16"/>
          <w:vertAlign w:val="superscript"/>
        </w:rPr>
        <w:endnoteRef/>
      </w:r>
      <w:r w:rsidRPr="00776D93">
        <w:rPr>
          <w:rFonts w:ascii="Garamond" w:hAnsi="Garamond"/>
          <w:sz w:val="16"/>
          <w:szCs w:val="16"/>
        </w:rPr>
        <w:t xml:space="preserve"> </w:t>
      </w:r>
      <w:r w:rsidRPr="00776D93">
        <w:rPr>
          <w:rFonts w:ascii="Garamond" w:eastAsia="Garamond" w:hAnsi="Garamond" w:cs="Garamond"/>
          <w:color w:val="26292E"/>
          <w:sz w:val="16"/>
          <w:szCs w:val="16"/>
        </w:rPr>
        <w:t xml:space="preserve">El Sistema Nacional de Personas desaparecidas creado mediante D. Legislativo 1428 incluye el SISMATE, el portal de personas desaparecidas, el registro de personas desaparecidas y el Protocolo interinstitucional en casos de desaparición de personas en situación de vulnerabilidad y otros casos de desaparición. </w:t>
      </w:r>
      <w:r w:rsidRPr="00776D93">
        <w:rPr>
          <w:rFonts w:ascii="Garamond" w:eastAsia="Garamond" w:hAnsi="Garamond" w:cs="Garamond"/>
          <w:color w:val="26292E"/>
          <w:sz w:val="16"/>
          <w:szCs w:val="16"/>
          <w:highlight w:val="white"/>
        </w:rPr>
        <w:t xml:space="preserve">Actualmente contamos con la "Alerta de emergencia" para informar en una zona determinada sobre la desaparición de una persona en situación de vulnerabilidad (si se considera siempre a NNA), sin embargo, no se implementa.  Esta alerta se difundiría entre otros medios a por el SISMATE (mensajería de texto) así como por los otros medios de comunicación, similar a las alertas AMBER de otros países. </w:t>
      </w:r>
    </w:p>
  </w:endnote>
  <w:endnote w:id="45">
    <w:p w:rsidR="00C76EA7" w:rsidRPr="00776D93" w:rsidRDefault="00C76EA7" w:rsidP="00753FE4">
      <w:pPr>
        <w:spacing w:after="0" w:line="240" w:lineRule="auto"/>
        <w:jc w:val="both"/>
        <w:rPr>
          <w:rFonts w:ascii="Garamond" w:hAnsi="Garamond"/>
          <w:sz w:val="16"/>
          <w:szCs w:val="16"/>
        </w:rPr>
      </w:pPr>
      <w:r w:rsidRPr="00776D93">
        <w:rPr>
          <w:rFonts w:ascii="Garamond" w:hAnsi="Garamond"/>
          <w:sz w:val="16"/>
          <w:szCs w:val="16"/>
          <w:vertAlign w:val="superscript"/>
        </w:rPr>
        <w:endnoteRef/>
      </w:r>
      <w:r w:rsidRPr="00776D93">
        <w:rPr>
          <w:rFonts w:ascii="Garamond" w:hAnsi="Garamond"/>
          <w:sz w:val="16"/>
          <w:szCs w:val="16"/>
        </w:rPr>
        <w:t xml:space="preserve"> Actualmente se les reconoce como parte agraviada en las investigaciones y procesos penales, sin embargo, su reconocimiento legal como víctimas directas de esta forma de violencia (desaparición) permitiría mejorar su acceso a servicios y medidas de protección. </w:t>
      </w:r>
    </w:p>
  </w:endnote>
  <w:endnote w:id="46">
    <w:p w:rsidR="00C76EA7" w:rsidRPr="00776D93" w:rsidRDefault="00C76EA7" w:rsidP="00753FE4">
      <w:pPr>
        <w:spacing w:after="0" w:line="240" w:lineRule="auto"/>
        <w:jc w:val="both"/>
        <w:rPr>
          <w:rFonts w:ascii="Garamond" w:eastAsia="Garamond" w:hAnsi="Garamond" w:cs="Garamond"/>
          <w:color w:val="92D05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111.88. España Establecer una partida presupuestaria específica para abordar el acceso al agua potable y el saneamiento mediante una coordinación interministerial eficaz y la promulgación de leyes </w:t>
      </w:r>
    </w:p>
  </w:endnote>
  <w:endnote w:id="47">
    <w:p w:rsidR="00C76EA7" w:rsidRPr="00776D93" w:rsidRDefault="00C76EA7">
      <w:pP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INEI 2020, </w:t>
      </w:r>
      <w:hyperlink r:id="rId9">
        <w:r w:rsidRPr="00776D93">
          <w:rPr>
            <w:rFonts w:ascii="Garamond" w:eastAsia="Garamond" w:hAnsi="Garamond" w:cs="Garamond"/>
            <w:color w:val="0000FF"/>
            <w:sz w:val="16"/>
            <w:szCs w:val="16"/>
            <w:u w:val="single"/>
          </w:rPr>
          <w:t>https://www.inei.gob.pe/media/MenuRecursivo/boletines/boletin_agua_junio2020.pdf</w:t>
        </w:r>
      </w:hyperlink>
      <w:r w:rsidRPr="00776D93">
        <w:rPr>
          <w:rFonts w:ascii="Garamond" w:eastAsia="Garamond" w:hAnsi="Garamond" w:cs="Garamond"/>
          <w:color w:val="000000"/>
          <w:sz w:val="16"/>
          <w:szCs w:val="16"/>
        </w:rPr>
        <w:t xml:space="preserve">, ENDES, 2021: </w:t>
      </w:r>
      <w:hyperlink r:id="rId10">
        <w:r w:rsidRPr="00776D93">
          <w:rPr>
            <w:rFonts w:ascii="Garamond" w:eastAsia="Garamond" w:hAnsi="Garamond" w:cs="Garamond"/>
            <w:color w:val="0563C1"/>
            <w:sz w:val="16"/>
            <w:szCs w:val="16"/>
            <w:u w:val="single"/>
          </w:rPr>
          <w:t>https://proyectos.inei.gob.pe/endes/</w:t>
        </w:r>
      </w:hyperlink>
    </w:p>
  </w:endnote>
  <w:endnote w:id="48">
    <w:p w:rsidR="00C76EA7" w:rsidRPr="00776D93" w:rsidRDefault="00C76EA7">
      <w:pP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INEI 2021: </w:t>
      </w:r>
      <w:hyperlink r:id="rId11">
        <w:r w:rsidRPr="00776D93">
          <w:rPr>
            <w:rFonts w:ascii="Garamond" w:eastAsia="Garamond" w:hAnsi="Garamond" w:cs="Garamond"/>
            <w:color w:val="1155CC"/>
            <w:sz w:val="16"/>
            <w:szCs w:val="16"/>
            <w:u w:val="single"/>
          </w:rPr>
          <w:t>https://www.inei.gob.pe/media/MenuRecursivo/publicaciones_digitales/Est/Lib1769/libro.pdf</w:t>
        </w:r>
      </w:hyperlink>
      <w:r w:rsidRPr="00776D93">
        <w:rPr>
          <w:rFonts w:ascii="Garamond" w:eastAsia="Garamond" w:hAnsi="Garamond" w:cs="Garamond"/>
          <w:color w:val="000000"/>
          <w:sz w:val="16"/>
          <w:szCs w:val="16"/>
        </w:rPr>
        <w:t>, y</w:t>
      </w:r>
    </w:p>
    <w:p w:rsidR="00C76EA7" w:rsidRPr="00776D93" w:rsidRDefault="00C76EA7">
      <w:pPr>
        <w:spacing w:after="0" w:line="240" w:lineRule="auto"/>
        <w:jc w:val="both"/>
        <w:rPr>
          <w:rFonts w:ascii="Garamond" w:eastAsia="Garamond" w:hAnsi="Garamond" w:cs="Garamond"/>
          <w:color w:val="000000"/>
          <w:sz w:val="16"/>
          <w:szCs w:val="16"/>
          <w:highlight w:val="yellow"/>
        </w:rPr>
      </w:pPr>
      <w:r w:rsidRPr="00776D93">
        <w:rPr>
          <w:rFonts w:ascii="Garamond" w:eastAsia="Garamond" w:hAnsi="Garamond" w:cs="Garamond"/>
          <w:color w:val="000000"/>
          <w:sz w:val="16"/>
          <w:szCs w:val="16"/>
        </w:rPr>
        <w:t xml:space="preserve">INEI-2019: Caracterización de las condiciones de vida de la población con discapacidad. </w:t>
      </w:r>
      <w:r w:rsidRPr="00776D93">
        <w:rPr>
          <w:rFonts w:ascii="Garamond" w:eastAsia="Garamond" w:hAnsi="Garamond" w:cs="Garamond"/>
          <w:sz w:val="16"/>
          <w:szCs w:val="16"/>
        </w:rPr>
        <w:t>En adelante utilizaremos la sigla</w:t>
      </w:r>
      <w:r w:rsidRPr="00776D93">
        <w:rPr>
          <w:rFonts w:ascii="Garamond" w:eastAsia="Garamond" w:hAnsi="Garamond" w:cs="Garamond"/>
          <w:sz w:val="16"/>
          <w:szCs w:val="16"/>
          <w:highlight w:val="white"/>
        </w:rPr>
        <w:t xml:space="preserve"> PCD para referirnos a personas ó población con discapacidad </w:t>
      </w:r>
      <w:r w:rsidRPr="00776D93">
        <w:rPr>
          <w:rFonts w:ascii="Garamond" w:eastAsia="Garamond" w:hAnsi="Garamond" w:cs="Garamond"/>
          <w:sz w:val="16"/>
          <w:szCs w:val="16"/>
        </w:rPr>
        <w:t>y MCD mujeres con discapacidad.</w:t>
      </w:r>
    </w:p>
  </w:endnote>
  <w:endnote w:id="49">
    <w:p w:rsidR="00C76EA7" w:rsidRPr="00776D93" w:rsidRDefault="00C76EA7">
      <w:pP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111.92. Venezuela </w:t>
      </w:r>
      <w:r w:rsidRPr="00776D93">
        <w:rPr>
          <w:rFonts w:ascii="Garamond" w:eastAsia="Garamond" w:hAnsi="Garamond" w:cs="Garamond"/>
          <w:color w:val="202124"/>
          <w:sz w:val="16"/>
          <w:szCs w:val="16"/>
          <w:highlight w:val="white"/>
        </w:rPr>
        <w:t>Garantizar la disponibilidad y calidad de los servicios de salud, en particular en las zonas rurales y remotas</w:t>
      </w:r>
      <w:r w:rsidRPr="00776D93">
        <w:rPr>
          <w:rFonts w:ascii="Garamond" w:eastAsia="Garamond" w:hAnsi="Garamond" w:cs="Garamond"/>
          <w:sz w:val="16"/>
          <w:szCs w:val="16"/>
        </w:rPr>
        <w:t>.</w:t>
      </w:r>
    </w:p>
  </w:endnote>
  <w:endnote w:id="50">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Esto determina que por cada mil niños menores de 5 años se perdieran 258.3 años, Pág.10 </w:t>
      </w:r>
      <w:hyperlink r:id="rId12">
        <w:r w:rsidRPr="00776D93">
          <w:rPr>
            <w:rFonts w:ascii="Garamond" w:eastAsia="Garamond" w:hAnsi="Garamond" w:cs="Garamond"/>
            <w:color w:val="0000FF"/>
            <w:sz w:val="16"/>
            <w:szCs w:val="16"/>
            <w:u w:val="single"/>
          </w:rPr>
          <w:t>https://www.dge.gob.pe/portal/docs/tools/CargaEnfermedad/2020/LIMA.pdf</w:t>
        </w:r>
      </w:hyperlink>
    </w:p>
  </w:endnote>
  <w:endnote w:id="51">
    <w:p w:rsidR="00C76EA7" w:rsidRPr="00776D93" w:rsidRDefault="00C76EA7">
      <w:pP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Política Nacional Multisectorial en Salud -PNMS pg.23 </w:t>
      </w:r>
      <w:hyperlink r:id="rId13">
        <w:r w:rsidRPr="00776D93">
          <w:rPr>
            <w:rFonts w:ascii="Garamond" w:eastAsia="Garamond" w:hAnsi="Garamond" w:cs="Garamond"/>
            <w:color w:val="0000FF"/>
            <w:sz w:val="16"/>
            <w:szCs w:val="16"/>
            <w:u w:val="single"/>
          </w:rPr>
          <w:t>https://cdn.www.gob.pe/uploads/document/file/1272348/Pol%C3%ADtica%20Nacional%20Multisectorial%20de%20Salud%20al%202030.pdf</w:t>
        </w:r>
      </w:hyperlink>
    </w:p>
  </w:endnote>
  <w:endnote w:id="52">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PNMS Pág. 29 </w:t>
      </w:r>
      <w:hyperlink r:id="rId14">
        <w:r w:rsidRPr="00776D93">
          <w:rPr>
            <w:rFonts w:ascii="Garamond" w:eastAsia="Garamond" w:hAnsi="Garamond" w:cs="Garamond"/>
            <w:color w:val="0000FF"/>
            <w:sz w:val="16"/>
            <w:szCs w:val="16"/>
            <w:u w:val="single"/>
          </w:rPr>
          <w:t>https://cdn.www.gob.pe/uploads/document/file/1272348/Pol%C3%ADtica%20Nacional%20Multisectorial%20de%20Salud%20al%202030.pdf</w:t>
        </w:r>
      </w:hyperlink>
    </w:p>
  </w:endnote>
  <w:endnote w:id="53">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SuSalud: Superintendencia Nacional de Salud, apoya a los asegurados a realizar denuncias ante prestadoras públicas y privadas.</w:t>
      </w:r>
    </w:p>
  </w:endnote>
  <w:endnote w:id="54">
    <w:p w:rsidR="00C76EA7" w:rsidRPr="00776D93" w:rsidRDefault="00C76EA7">
      <w:pP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111.93. Maldivas Continuar mejorando los servicios de atención de la salud, junto con reducción de alta tasa de mortalidad materna.</w:t>
      </w:r>
    </w:p>
  </w:endnote>
  <w:endnote w:id="55">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111.94 Eslovenia, 111.141Portugal Garantizar la implementación de una educación sexual integral para mujeres y niñas, incluida información sobre la salud y los derechos sexuales y reproductivos.</w:t>
      </w:r>
    </w:p>
  </w:endnote>
  <w:endnote w:id="56">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ESI = Educación Sexual Integral.</w:t>
      </w:r>
    </w:p>
  </w:endnote>
  <w:endnote w:id="57">
    <w:p w:rsidR="00C76EA7" w:rsidRPr="00776D93" w:rsidRDefault="00C76EA7">
      <w:pP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Se promulgó la Ley N°31498 </w:t>
      </w:r>
      <w:r w:rsidRPr="00776D93">
        <w:rPr>
          <w:rFonts w:ascii="Garamond" w:eastAsia="Garamond" w:hAnsi="Garamond" w:cs="Garamond"/>
          <w:color w:val="112A3D"/>
          <w:sz w:val="16"/>
          <w:szCs w:val="16"/>
          <w:highlight w:val="white"/>
        </w:rPr>
        <w:t xml:space="preserve">que impulsa la calidad de los materiales y recursos educativos en el Perú”, </w:t>
      </w:r>
      <w:r w:rsidRPr="00776D93">
        <w:rPr>
          <w:rFonts w:ascii="Garamond" w:eastAsia="Garamond" w:hAnsi="Garamond" w:cs="Garamond"/>
          <w:color w:val="000000"/>
          <w:sz w:val="16"/>
          <w:szCs w:val="16"/>
          <w:highlight w:val="white"/>
        </w:rPr>
        <w:t>en donde se posibilita a los padres de familia realizar una participación más activa en la formación de los materiales educativos ya que el Poder Ejecutivo no realizó ninguna observación al proyecto, cabe señalar que, al no promulgarlo el Ejecutivo en el plazo establecido por la Constitución para ello (quince días, Artículo 108), la ley aprobada fue promulgada por la Presidenta del Congreso.</w:t>
      </w:r>
    </w:p>
  </w:endnote>
  <w:endnote w:id="58">
    <w:p w:rsidR="00C76EA7" w:rsidRPr="00776D93" w:rsidRDefault="00C76EA7" w:rsidP="008629DA">
      <w:pPr>
        <w:spacing w:after="0" w:line="240" w:lineRule="auto"/>
        <w:jc w:val="both"/>
        <w:rPr>
          <w:rFonts w:ascii="Garamond" w:hAnsi="Garamond"/>
          <w:sz w:val="16"/>
          <w:szCs w:val="16"/>
        </w:rPr>
      </w:pPr>
      <w:r w:rsidRPr="00776D93">
        <w:rPr>
          <w:rFonts w:ascii="Garamond" w:hAnsi="Garamond"/>
          <w:sz w:val="16"/>
          <w:szCs w:val="16"/>
          <w:vertAlign w:val="superscript"/>
        </w:rPr>
        <w:endnoteRef/>
      </w:r>
      <w:r w:rsidRPr="00776D93">
        <w:rPr>
          <w:rFonts w:ascii="Garamond" w:hAnsi="Garamond"/>
          <w:sz w:val="16"/>
          <w:szCs w:val="16"/>
        </w:rPr>
        <w:t xml:space="preserve"> Ley 31498: </w:t>
      </w:r>
      <w:hyperlink r:id="rId15" w:history="1">
        <w:r w:rsidRPr="00776D93">
          <w:rPr>
            <w:rStyle w:val="Hyperlink"/>
            <w:rFonts w:ascii="Garamond" w:hAnsi="Garamond"/>
            <w:sz w:val="16"/>
            <w:szCs w:val="16"/>
          </w:rPr>
          <w:t>https://busquedas.elperuano.pe/normaslegales/ley-que-impulsa-la-calidad-de-los-materiales-y-recursos-educ-ley-n-31498-2080217-1/</w:t>
        </w:r>
      </w:hyperlink>
      <w:r w:rsidRPr="00776D93">
        <w:rPr>
          <w:rFonts w:ascii="Garamond" w:hAnsi="Garamond"/>
          <w:sz w:val="16"/>
          <w:szCs w:val="16"/>
        </w:rPr>
        <w:t xml:space="preserve"> </w:t>
      </w:r>
    </w:p>
  </w:endnote>
  <w:endnote w:id="59">
    <w:p w:rsidR="00C76EA7" w:rsidRPr="00776D93" w:rsidRDefault="00C76EA7" w:rsidP="008629DA">
      <w:pPr>
        <w:spacing w:after="0" w:line="240" w:lineRule="auto"/>
        <w:jc w:val="both"/>
        <w:rPr>
          <w:rFonts w:ascii="Garamond" w:eastAsia="Garamond" w:hAnsi="Garamond" w:cs="Garamond"/>
          <w:color w:val="202124"/>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w:t>
      </w:r>
      <w:r w:rsidRPr="00776D93">
        <w:rPr>
          <w:rFonts w:ascii="Garamond" w:eastAsia="Garamond" w:hAnsi="Garamond" w:cs="Garamond"/>
          <w:color w:val="202124"/>
          <w:sz w:val="16"/>
          <w:szCs w:val="16"/>
        </w:rPr>
        <w:t>La Educación sexual integral es una medida preventiva del embarazo adolescente y de promoción de la salud. El enfoque de derechos humanos y de género se orienta a eliminar conductas de discriminación hacia la mujer en su diversidad y hacia la diversidad sexual afectando gravemente la salud de niños, niñas y adolescentes, mujeres en su diversidad y disidencias.</w:t>
      </w:r>
    </w:p>
  </w:endnote>
  <w:endnote w:id="60">
    <w:p w:rsidR="00C76EA7" w:rsidRPr="00776D93" w:rsidRDefault="00C76EA7" w:rsidP="008629DA">
      <w:pP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111.95 Eslovenia 111.99 Finlandia. Garantizar el acceso a servicios médicos. Revisar la interpretación restrictiva del aborto terapéutico y despenalizarlo en casos de violación, incesto y malformación grave del feto. </w:t>
      </w:r>
    </w:p>
  </w:endnote>
  <w:endnote w:id="61">
    <w:p w:rsidR="00C76EA7" w:rsidRPr="00776D93" w:rsidRDefault="00C76EA7" w:rsidP="008629DA">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El aborto terapéutico fue legalizado en el Perú desde 1924 en casos en los que la salud o la vida de la mujer están en riesgo inminente.</w:t>
      </w:r>
    </w:p>
  </w:endnote>
  <w:endnote w:id="62">
    <w:p w:rsidR="00C76EA7" w:rsidRPr="00776D93" w:rsidRDefault="00C76EA7" w:rsidP="008629DA">
      <w:pPr>
        <w:spacing w:after="0" w:line="240" w:lineRule="auto"/>
        <w:jc w:val="both"/>
        <w:rPr>
          <w:rFonts w:ascii="Garamond" w:eastAsia="Garamond" w:hAnsi="Garamond" w:cs="Garamond"/>
          <w:color w:val="202124"/>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No hay información precisa sobre la cantidad de abortos que se realizan en el Perú, de manera clandestina </w:t>
      </w:r>
      <w:r w:rsidRPr="00776D93">
        <w:rPr>
          <w:rFonts w:ascii="Garamond" w:eastAsia="Garamond" w:hAnsi="Garamond" w:cs="Garamond"/>
          <w:color w:val="202124"/>
          <w:sz w:val="16"/>
          <w:szCs w:val="16"/>
        </w:rPr>
        <w:t>ni hay estudios referidos a los abortos y esterilizaciones de mujeres con discapacidad.</w:t>
      </w:r>
    </w:p>
  </w:endnote>
  <w:endnote w:id="63">
    <w:p w:rsidR="00C76EA7" w:rsidRPr="00776D93" w:rsidRDefault="00C76EA7" w:rsidP="008629DA">
      <w:pP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111.101 Honduras. Adoptar una política integral para garantizar el acceso universal a la salud y los derechos reproductivos de conformidad con el programa de acción de la Conferencia de Beijing y en consonancia con la Agenda 2030 para el Desarrollo Sostenible. 111.118 República de Corea Proseguir los esfuerzos para prevenir la violencia contra las mujeres y las niñas y garantizarles servicios de calidad para su salud sexual y reproductiva.</w:t>
      </w:r>
    </w:p>
  </w:endnote>
  <w:endnote w:id="64">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DSR= Derechos sexuales y reproductivos.</w:t>
      </w:r>
    </w:p>
  </w:endnote>
  <w:endnote w:id="65">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Encuesta Nacional sobre Relaciones Sociales (ENARES):</w:t>
      </w:r>
      <w:hyperlink r:id="rId16">
        <w:r w:rsidRPr="00776D93">
          <w:rPr>
            <w:rFonts w:ascii="Garamond" w:eastAsia="Garamond" w:hAnsi="Garamond" w:cs="Garamond"/>
            <w:color w:val="0000FF"/>
            <w:sz w:val="16"/>
            <w:szCs w:val="16"/>
            <w:u w:val="single"/>
          </w:rPr>
          <w:t xml:space="preserve"> </w:t>
        </w:r>
      </w:hyperlink>
      <w:hyperlink r:id="rId17">
        <w:r w:rsidRPr="00776D93">
          <w:rPr>
            <w:rFonts w:ascii="Garamond" w:eastAsia="Garamond" w:hAnsi="Garamond" w:cs="Garamond"/>
            <w:color w:val="1155CC"/>
            <w:sz w:val="16"/>
            <w:szCs w:val="16"/>
            <w:u w:val="single"/>
          </w:rPr>
          <w:t>https://www.inei.gob.pe/media/MenuRecursivo/boletines/presentacion_enares_2019.pdf</w:t>
        </w:r>
      </w:hyperlink>
      <w:r w:rsidRPr="00776D93">
        <w:rPr>
          <w:rFonts w:ascii="Garamond" w:eastAsia="Garamond" w:hAnsi="Garamond" w:cs="Garamond"/>
          <w:sz w:val="16"/>
          <w:szCs w:val="16"/>
        </w:rPr>
        <w:t xml:space="preserve"> . </w:t>
      </w:r>
    </w:p>
    <w:p w:rsidR="00C76EA7" w:rsidRPr="00776D93" w:rsidRDefault="00C76EA7">
      <w:pPr>
        <w:spacing w:after="0" w:line="240" w:lineRule="auto"/>
        <w:jc w:val="both"/>
        <w:rPr>
          <w:rFonts w:ascii="Garamond" w:eastAsia="Garamond" w:hAnsi="Garamond" w:cs="Garamond"/>
          <w:sz w:val="16"/>
          <w:szCs w:val="16"/>
        </w:rPr>
      </w:pPr>
      <w:r w:rsidRPr="00776D93">
        <w:rPr>
          <w:rFonts w:ascii="Garamond" w:eastAsia="Garamond" w:hAnsi="Garamond" w:cs="Garamond"/>
          <w:sz w:val="16"/>
          <w:szCs w:val="16"/>
        </w:rPr>
        <w:t xml:space="preserve">“... Acorde a las investigaciones desarrolladas, en Lima se encontró diversos episodios en los que las participantes recibieron mensajes de censura en relación a sus anhelos de formar una familia, marcando una pauta en sus deseos y proyectos de vida. Se cuestiona el ejercicio de estos roles cuando la persona no cumple con los estándares normativos de lo que es ser “mujer”. A pesar de esto, se identificó, por parte de las participantes que son madres, una respuesta afirmativa de haber elegido este rol”.  Pág. 90 </w:t>
      </w:r>
      <w:hyperlink r:id="rId18">
        <w:r w:rsidRPr="00776D93">
          <w:rPr>
            <w:rFonts w:ascii="Garamond" w:eastAsia="Garamond" w:hAnsi="Garamond" w:cs="Garamond"/>
            <w:color w:val="0000FF"/>
            <w:sz w:val="16"/>
            <w:szCs w:val="16"/>
            <w:u w:val="single"/>
          </w:rPr>
          <w:t>https://generoydiscapacidad.org/data/publicacion/da2d9b_QUE-LA-DIFERENCIA-NO-SE-CONVIERTA-EN-VIOLENCIA.pdf</w:t>
        </w:r>
      </w:hyperlink>
    </w:p>
  </w:endnote>
  <w:endnote w:id="66">
    <w:p w:rsidR="00C76EA7" w:rsidRPr="00776D93" w:rsidRDefault="00C76EA7">
      <w:pP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w:t>
      </w:r>
      <w:r w:rsidRPr="00776D93">
        <w:rPr>
          <w:rFonts w:ascii="Garamond" w:eastAsia="Garamond" w:hAnsi="Garamond" w:cs="Garamond"/>
          <w:color w:val="202124"/>
          <w:sz w:val="16"/>
          <w:szCs w:val="16"/>
        </w:rPr>
        <w:t>Esto se da por embarazos no planificados o producto de agresiones sexuales (violación por integrante de la comunidad y por la pareja), lo que además abre paso a cuestionar la autonomía que tuvieron para tomar esta decisión”</w:t>
      </w:r>
      <w:r w:rsidRPr="00776D93">
        <w:rPr>
          <w:rFonts w:ascii="Garamond" w:eastAsia="Garamond" w:hAnsi="Garamond" w:cs="Garamond"/>
          <w:color w:val="000000"/>
          <w:sz w:val="16"/>
          <w:szCs w:val="16"/>
        </w:rPr>
        <w:t> </w:t>
      </w:r>
      <w:hyperlink r:id="rId19">
        <w:r w:rsidRPr="00776D93">
          <w:rPr>
            <w:rFonts w:ascii="Garamond" w:eastAsia="Garamond" w:hAnsi="Garamond" w:cs="Garamond"/>
            <w:color w:val="1155CC"/>
            <w:sz w:val="16"/>
            <w:szCs w:val="16"/>
            <w:u w:val="single"/>
          </w:rPr>
          <w:t>Género y Discapacidad (género discapacidad.org)</w:t>
        </w:r>
      </w:hyperlink>
      <w:r w:rsidRPr="00776D93">
        <w:rPr>
          <w:rFonts w:ascii="Garamond" w:eastAsia="Garamond" w:hAnsi="Garamond" w:cs="Garamond"/>
          <w:color w:val="000000"/>
          <w:sz w:val="16"/>
          <w:szCs w:val="16"/>
        </w:rPr>
        <w:t xml:space="preserve"> extraído el 2 de junio del 2022.</w:t>
      </w:r>
    </w:p>
  </w:endnote>
  <w:endnote w:id="67">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w:t>
      </w:r>
      <w:r w:rsidRPr="00776D93">
        <w:rPr>
          <w:rFonts w:ascii="Garamond" w:eastAsia="Garamond" w:hAnsi="Garamond" w:cs="Garamond"/>
          <w:color w:val="202124"/>
          <w:sz w:val="16"/>
          <w:szCs w:val="16"/>
        </w:rPr>
        <w:t>(casadas y/o convivientes de 15 a 49 años de edad)</w:t>
      </w:r>
    </w:p>
  </w:endnote>
  <w:endnote w:id="68">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w:t>
      </w:r>
      <w:hyperlink r:id="rId20">
        <w:r w:rsidRPr="00776D93">
          <w:rPr>
            <w:rFonts w:ascii="Garamond" w:eastAsia="Garamond" w:hAnsi="Garamond" w:cs="Garamond"/>
            <w:color w:val="1155CC"/>
            <w:sz w:val="16"/>
            <w:szCs w:val="16"/>
            <w:u w:val="single"/>
          </w:rPr>
          <w:t>Planificación familiar.pdf (</w:t>
        </w:r>
      </w:hyperlink>
      <w:hyperlink r:id="rId21">
        <w:r w:rsidRPr="00776D93">
          <w:rPr>
            <w:rFonts w:ascii="Garamond" w:eastAsia="Garamond" w:hAnsi="Garamond" w:cs="Garamond"/>
            <w:color w:val="1155CC"/>
            <w:sz w:val="16"/>
            <w:szCs w:val="16"/>
            <w:u w:val="single"/>
          </w:rPr>
          <w:t>www.gob.pe</w:t>
        </w:r>
      </w:hyperlink>
      <w:hyperlink r:id="rId22">
        <w:r w:rsidRPr="00776D93">
          <w:rPr>
            <w:rFonts w:ascii="Garamond" w:eastAsia="Garamond" w:hAnsi="Garamond" w:cs="Garamond"/>
            <w:color w:val="1155CC"/>
            <w:sz w:val="16"/>
            <w:szCs w:val="16"/>
            <w:u w:val="single"/>
          </w:rPr>
          <w:t>)</w:t>
        </w:r>
      </w:hyperlink>
      <w:r w:rsidRPr="00776D93">
        <w:rPr>
          <w:rFonts w:ascii="Garamond" w:eastAsia="Garamond" w:hAnsi="Garamond" w:cs="Garamond"/>
          <w:sz w:val="16"/>
          <w:szCs w:val="16"/>
        </w:rPr>
        <w:t xml:space="preserve"> gráfico 4.1 pág. 101.</w:t>
      </w:r>
    </w:p>
  </w:endnote>
  <w:endnote w:id="69">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MEF = Mujeres en edad fértil</w:t>
      </w:r>
    </w:p>
  </w:endnote>
  <w:endnote w:id="70">
    <w:p w:rsidR="00C76EA7" w:rsidRPr="00776D93" w:rsidRDefault="00C76EA7">
      <w:pP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INEI 2021: “Perú: Caracterización de las condiciones de vida de la población con discapacidad, 2019” </w:t>
      </w:r>
      <w:hyperlink r:id="rId23">
        <w:r w:rsidRPr="00776D93">
          <w:rPr>
            <w:rFonts w:ascii="Garamond" w:eastAsia="Garamond" w:hAnsi="Garamond" w:cs="Garamond"/>
            <w:color w:val="1155CC"/>
            <w:sz w:val="16"/>
            <w:szCs w:val="16"/>
            <w:u w:val="single"/>
          </w:rPr>
          <w:t>https://www.inei.gob.pe/media/MenuRecursivo/publicaciones_digitales/Est/Lib1769/libro.pd</w:t>
        </w:r>
      </w:hyperlink>
      <w:r w:rsidRPr="00776D93">
        <w:rPr>
          <w:rFonts w:ascii="Garamond" w:eastAsia="Garamond" w:hAnsi="Garamond" w:cs="Garamond"/>
          <w:sz w:val="16"/>
          <w:szCs w:val="16"/>
        </w:rPr>
        <w:t xml:space="preserve"> pág.85. cuadro 6.2.</w:t>
      </w:r>
    </w:p>
  </w:endnote>
  <w:endnote w:id="71">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VPH = VIRUS PAPILOMA HUMANO</w:t>
      </w:r>
    </w:p>
  </w:endnote>
  <w:endnote w:id="72">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w:t>
      </w:r>
      <w:hyperlink r:id="rId24" w:anchor=":~:text=El%20VPH%20es%20la%20infecci%C3%B3n,muchos%20tipos%20distintos%20de%20VPH">
        <w:r w:rsidRPr="00776D93">
          <w:rPr>
            <w:rFonts w:ascii="Garamond" w:eastAsia="Garamond" w:hAnsi="Garamond" w:cs="Garamond"/>
            <w:color w:val="0000FF"/>
            <w:sz w:val="16"/>
            <w:szCs w:val="16"/>
            <w:u w:val="single"/>
          </w:rPr>
          <w:t>https://www.cdc.gov/std/spanish/vph/stdfact-hpv-s.htm#:~:text=El%20VPH%20es%20la%20infecci%C3%B3n,muchos%20tipos%20distintos%20de%20VPH</w:t>
        </w:r>
      </w:hyperlink>
    </w:p>
  </w:endnote>
  <w:endnote w:id="73">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Tabla de inmunizaciones: </w:t>
      </w:r>
      <w:hyperlink r:id="rId25">
        <w:r w:rsidRPr="00776D93">
          <w:rPr>
            <w:rFonts w:ascii="Garamond" w:eastAsia="Garamond" w:hAnsi="Garamond" w:cs="Garamond"/>
            <w:color w:val="0000FF"/>
            <w:sz w:val="16"/>
            <w:szCs w:val="16"/>
            <w:u w:val="single"/>
          </w:rPr>
          <w:t>http://www.minsa.gob.pe/reunis/data/Inmunizaciones.asp</w:t>
        </w:r>
      </w:hyperlink>
    </w:p>
  </w:endnote>
  <w:endnote w:id="74">
    <w:p w:rsidR="00C76EA7" w:rsidRPr="00776D93" w:rsidRDefault="00C76EA7">
      <w:pP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R</w:t>
      </w:r>
      <w:r w:rsidRPr="00776D93">
        <w:rPr>
          <w:rFonts w:ascii="Garamond" w:eastAsia="Garamond" w:hAnsi="Garamond" w:cs="Garamond"/>
          <w:sz w:val="16"/>
          <w:szCs w:val="16"/>
        </w:rPr>
        <w:t>e</w:t>
      </w:r>
      <w:r w:rsidRPr="00776D93">
        <w:rPr>
          <w:rFonts w:ascii="Garamond" w:eastAsia="Garamond" w:hAnsi="Garamond" w:cs="Garamond"/>
          <w:color w:val="000000"/>
          <w:sz w:val="16"/>
          <w:szCs w:val="16"/>
        </w:rPr>
        <w:t>glamento</w:t>
      </w:r>
      <w:r w:rsidRPr="00776D93">
        <w:rPr>
          <w:rFonts w:ascii="Garamond" w:eastAsia="Garamond" w:hAnsi="Garamond" w:cs="Garamond"/>
          <w:sz w:val="16"/>
          <w:szCs w:val="16"/>
        </w:rPr>
        <w:t xml:space="preserve"> de la Ley de Cáncer, a</w:t>
      </w:r>
      <w:r w:rsidRPr="00776D93">
        <w:rPr>
          <w:rFonts w:ascii="Garamond" w:eastAsia="Garamond" w:hAnsi="Garamond" w:cs="Garamond"/>
          <w:color w:val="000000"/>
          <w:sz w:val="16"/>
          <w:szCs w:val="16"/>
        </w:rPr>
        <w:t>probado mediante Decreto Supremo N° 04-2022. Publicado el 29 de marzo del 2022.</w:t>
      </w:r>
    </w:p>
  </w:endnote>
  <w:endnote w:id="75">
    <w:p w:rsidR="00C76EA7" w:rsidRPr="00776D93" w:rsidRDefault="00C76EA7">
      <w:pP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111.143 Ucrania Intensificar los esfuerzos encaminados a promover los derechos de los niños, en particular de los niños indígenas, en cuanto al acceso a la educación y la atención de la salud </w:t>
      </w:r>
    </w:p>
  </w:endnote>
  <w:endnote w:id="76">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ENDES 2016. PNMS Pág. 29-30 Fig. 12 “la primera causa de morbilidad en todas las etapas de la vida son las infecciones respiratorias agudas altas” </w:t>
      </w:r>
      <w:hyperlink r:id="rId26">
        <w:r w:rsidRPr="00776D93">
          <w:rPr>
            <w:rFonts w:ascii="Garamond" w:eastAsia="Garamond" w:hAnsi="Garamond" w:cs="Garamond"/>
            <w:color w:val="0000FF"/>
            <w:sz w:val="16"/>
            <w:szCs w:val="16"/>
            <w:u w:val="single"/>
          </w:rPr>
          <w:t>https://cdn.www.gob.pe/uploads/document/file/1272348/Pol%C3%ADtica%20Nacional%20Multisectorial%20de%20Salud%20al%202030.pdf</w:t>
        </w:r>
      </w:hyperlink>
      <w:r w:rsidRPr="00776D93">
        <w:rPr>
          <w:rFonts w:ascii="Garamond" w:eastAsia="Garamond" w:hAnsi="Garamond" w:cs="Garamond"/>
          <w:color w:val="000000"/>
          <w:sz w:val="16"/>
          <w:szCs w:val="16"/>
        </w:rPr>
        <w:t>, recuperado el 28 de junio del 2022.</w:t>
      </w:r>
    </w:p>
  </w:endnote>
  <w:endnote w:id="77">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PNMS Pág. 32, Fig. 14: </w:t>
      </w:r>
      <w:hyperlink r:id="rId27">
        <w:r w:rsidRPr="00776D93">
          <w:rPr>
            <w:rFonts w:ascii="Garamond" w:eastAsia="Garamond" w:hAnsi="Garamond" w:cs="Garamond"/>
            <w:color w:val="0000FF"/>
            <w:sz w:val="16"/>
            <w:szCs w:val="16"/>
            <w:u w:val="single"/>
          </w:rPr>
          <w:t>https://cdn.www.gob.pe/uploads/document/file/1272348/Pol%C3%ADtica%20Nacional%20Multisectorial%20de%20Salud%20al%202030.pdf</w:t>
        </w:r>
      </w:hyperlink>
      <w:r w:rsidRPr="00776D93">
        <w:rPr>
          <w:rFonts w:ascii="Garamond" w:eastAsia="Garamond" w:hAnsi="Garamond" w:cs="Garamond"/>
          <w:color w:val="000000"/>
          <w:sz w:val="16"/>
          <w:szCs w:val="16"/>
        </w:rPr>
        <w:t>, recuperado el 28 de junio del 2022</w:t>
      </w:r>
    </w:p>
  </w:endnote>
  <w:endnote w:id="78">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PNMS Pág. 33, “…La Defensoría del Pueblo, en el Informe especial N° 23-2020-DP43 sobre migración interna y varadas durante la pandemia, ha detectado el fuerte impacto que la COVID-19 ha reflejado en tres grupos específicos: personas con discapacidad, niñas, niños y adolescentes, y personas de comunidades indígenas.” </w:t>
      </w:r>
      <w:hyperlink r:id="rId28">
        <w:r w:rsidRPr="00776D93">
          <w:rPr>
            <w:rFonts w:ascii="Garamond" w:eastAsia="Garamond" w:hAnsi="Garamond" w:cs="Garamond"/>
            <w:color w:val="0000FF"/>
            <w:sz w:val="16"/>
            <w:szCs w:val="16"/>
            <w:u w:val="single"/>
          </w:rPr>
          <w:t>https://cdn.www.gob.pe/uploads/document/file/1272348/Pol%C3%ADtica%20Nacional%20Multisectorial%20de%20Salud%20al%202030.pdf</w:t>
        </w:r>
      </w:hyperlink>
      <w:r w:rsidRPr="00776D93">
        <w:rPr>
          <w:rFonts w:ascii="Garamond" w:eastAsia="Garamond" w:hAnsi="Garamond" w:cs="Garamond"/>
          <w:color w:val="000000"/>
          <w:sz w:val="16"/>
          <w:szCs w:val="16"/>
        </w:rPr>
        <w:t xml:space="preserve"> recuperado el 28 de junio del 2022.</w:t>
      </w:r>
    </w:p>
  </w:endnote>
  <w:endnote w:id="79">
    <w:p w:rsidR="00C76EA7" w:rsidRPr="00776D93" w:rsidRDefault="00C76EA7">
      <w:pP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111.140 Bangladesh 111.146 India Seguir intensificando sus esfuerzos para reducir la pobreza infantil generalizada; y adoptar medidas concretas para hacer frente a la elevada tasa de adicción a las drogas y el alcohol entre los niños y los adolescentes.</w:t>
      </w:r>
    </w:p>
  </w:endnote>
  <w:endnote w:id="80">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Fuente: Instituto Nacional de Estadística e Informática </w:t>
      </w:r>
      <w:r w:rsidRPr="00776D93">
        <w:rPr>
          <w:rFonts w:ascii="Times New Roman" w:eastAsia="Times New Roman" w:hAnsi="Times New Roman" w:cs="Times New Roman"/>
          <w:sz w:val="16"/>
          <w:szCs w:val="16"/>
        </w:rPr>
        <w:t>‐</w:t>
      </w:r>
      <w:r w:rsidRPr="00776D93">
        <w:rPr>
          <w:rFonts w:ascii="Garamond" w:eastAsia="Garamond" w:hAnsi="Garamond" w:cs="Garamond"/>
          <w:sz w:val="16"/>
          <w:szCs w:val="16"/>
        </w:rPr>
        <w:t xml:space="preserve"> Encuesta Nacional de Hogares, 2021. </w:t>
      </w:r>
      <w:hyperlink r:id="rId29">
        <w:r w:rsidRPr="00776D93">
          <w:rPr>
            <w:rFonts w:ascii="Garamond" w:eastAsia="Garamond" w:hAnsi="Garamond" w:cs="Garamond"/>
            <w:color w:val="1155CC"/>
            <w:sz w:val="16"/>
            <w:szCs w:val="16"/>
            <w:u w:val="single"/>
          </w:rPr>
          <w:t>https://www.inei.gob.pe/media/MenuRecursivo/boletines/pobreza-monetaria-2021-cies-10-05-2022.pdf</w:t>
        </w:r>
      </w:hyperlink>
    </w:p>
    <w:p w:rsidR="00C76EA7" w:rsidRPr="00776D93" w:rsidRDefault="00C76EA7">
      <w:pPr>
        <w:spacing w:after="0" w:line="240" w:lineRule="auto"/>
        <w:jc w:val="both"/>
        <w:rPr>
          <w:rFonts w:ascii="Garamond" w:eastAsia="Garamond" w:hAnsi="Garamond" w:cs="Garamond"/>
          <w:sz w:val="16"/>
          <w:szCs w:val="16"/>
        </w:rPr>
      </w:pPr>
      <w:r w:rsidRPr="00776D93">
        <w:rPr>
          <w:rFonts w:ascii="Garamond" w:eastAsia="Garamond" w:hAnsi="Garamond" w:cs="Garamond"/>
          <w:sz w:val="16"/>
          <w:szCs w:val="16"/>
        </w:rPr>
        <w:t xml:space="preserve"> El segmento poblacional más afectado por la pobreza son los niños y adolescentes (de 0 a 17 años) donde la incidencia de pobreza es 35,4%, seguida de la población de 18 a 59 años de edad (22,6%).</w:t>
      </w:r>
    </w:p>
  </w:endnote>
  <w:endnote w:id="81">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PNMS Pág. 38: </w:t>
      </w:r>
      <w:hyperlink r:id="rId30">
        <w:r w:rsidRPr="00776D93">
          <w:rPr>
            <w:rFonts w:ascii="Garamond" w:eastAsia="Garamond" w:hAnsi="Garamond" w:cs="Garamond"/>
            <w:color w:val="0000FF"/>
            <w:sz w:val="16"/>
            <w:szCs w:val="16"/>
            <w:u w:val="single"/>
          </w:rPr>
          <w:t>https://cdn.www.gob.pe/uploads/document/file/1272348/Pol%C3%ADtica%20Nacional%20Multisectorial%20de%20Salud%20al%202030.pdf</w:t>
        </w:r>
      </w:hyperlink>
      <w:r w:rsidRPr="00776D93">
        <w:rPr>
          <w:rFonts w:ascii="Garamond" w:eastAsia="Garamond" w:hAnsi="Garamond" w:cs="Garamond"/>
          <w:color w:val="000000"/>
          <w:sz w:val="16"/>
          <w:szCs w:val="16"/>
        </w:rPr>
        <w:t xml:space="preserve"> </w:t>
      </w:r>
    </w:p>
  </w:endnote>
  <w:endnote w:id="82">
    <w:p w:rsidR="00C76EA7" w:rsidRPr="00776D93" w:rsidRDefault="00C76EA7">
      <w:pP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Lineamientos de Salud Mental 2018 del MINSA. Plan Nacional de Fortalecimiento de Servicios de Salud Mental Comunitaria 2018- 2021, Documento técnico aprobado por Resolución Ministerial Nº 356-2018/MINSA.Plan de salud mental 2020-2021 (en el contexto de COVID). </w:t>
      </w:r>
      <w:r w:rsidRPr="00776D93">
        <w:rPr>
          <w:rFonts w:ascii="Garamond" w:eastAsia="Garamond" w:hAnsi="Garamond" w:cs="Garamond"/>
          <w:sz w:val="16"/>
          <w:szCs w:val="16"/>
        </w:rPr>
        <w:t>Las prevalencias más altas se encuentran en las zonas urbanas de Ayacucho, Puerto Maldonado, Iquitos, Tumbes, Puno y Pucallpa. Los estudios realizados en las zonas rurales del país encontraron que esta prevalencia es de 10,4%, siendo mayor en la zona rural de la región Lima. Se ha puesto en marcha un Plan de Salud Mental.</w:t>
      </w:r>
    </w:p>
  </w:endnote>
  <w:endnote w:id="83">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El Plan de Salud mental contempla </w:t>
      </w:r>
      <w:r w:rsidRPr="00776D93">
        <w:rPr>
          <w:rFonts w:ascii="Garamond" w:eastAsia="Garamond" w:hAnsi="Garamond" w:cs="Garamond"/>
          <w:color w:val="232323"/>
          <w:sz w:val="16"/>
          <w:szCs w:val="16"/>
        </w:rPr>
        <w:t xml:space="preserve">tres componentes: 1) El preventivo y el de fortalecimiento de los servicios de atención. 2) Motivar una mayor formación de médicos psiquiatras y abrir plazas a nivel descentralizado.3) </w:t>
      </w:r>
      <w:r w:rsidRPr="00776D93">
        <w:rPr>
          <w:rFonts w:ascii="Garamond" w:eastAsia="Garamond" w:hAnsi="Garamond" w:cs="Garamond"/>
          <w:sz w:val="16"/>
          <w:szCs w:val="16"/>
        </w:rPr>
        <w:t>Seguir fortaleciendo y ampliando la cobertura de los Centros de Salud Mental Comunitarios.</w:t>
      </w:r>
    </w:p>
  </w:endnote>
  <w:endnote w:id="84">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Actualmente alojado en el Ministerio de Desarrollo e Inclusión Social (MIDIS)</w:t>
      </w:r>
    </w:p>
  </w:endnote>
  <w:endnote w:id="85">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111.149 Australia Proseguir los esfuerzos para proteger los derechos de las personas con discapacidad, y estudiar la forma de aumentar las oportunidades de empleo para las personas con discapacidad que viven en zonas rurales, las mujeres con discapacidad y las personas de edad con discapacidad.</w:t>
      </w:r>
    </w:p>
  </w:endnote>
  <w:endnote w:id="86">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Defensoría del Pueblo. (2020). La Defensoría del Pueblo alerta sobre despidos a personas con discapacidad. </w:t>
      </w:r>
      <w:hyperlink r:id="rId31" w:anchor=":~:text=En%20el%20contexto%20de%20la,el%20ejercicio%20de%20sus%20derechos">
        <w:r w:rsidRPr="00776D93">
          <w:rPr>
            <w:rFonts w:ascii="Garamond" w:eastAsia="Garamond" w:hAnsi="Garamond" w:cs="Garamond"/>
            <w:color w:val="0000FF"/>
            <w:sz w:val="16"/>
            <w:szCs w:val="16"/>
            <w:u w:val="single"/>
          </w:rPr>
          <w:t>https://www.defensoria.gob.pe/la-defensoria-del-pueblo-alerta-sobre-despidos-a-personas-con-discapacidad/#:~:text=En%20el%20contexto%20de%20la,el%20ejercicio%20de%20sus%20derechos</w:t>
        </w:r>
      </w:hyperlink>
      <w:r w:rsidRPr="00776D93">
        <w:rPr>
          <w:rFonts w:ascii="Garamond" w:eastAsia="Garamond" w:hAnsi="Garamond" w:cs="Garamond"/>
          <w:color w:val="000000"/>
          <w:sz w:val="16"/>
          <w:szCs w:val="16"/>
        </w:rPr>
        <w:t>.</w:t>
      </w:r>
    </w:p>
    <w:p w:rsidR="00C76EA7" w:rsidRPr="00776D93" w:rsidRDefault="00C76EA7">
      <w:pPr>
        <w:spacing w:after="0" w:line="240" w:lineRule="auto"/>
        <w:jc w:val="both"/>
        <w:rPr>
          <w:rFonts w:ascii="Garamond" w:eastAsia="Garamond" w:hAnsi="Garamond" w:cs="Garamond"/>
          <w:sz w:val="16"/>
          <w:szCs w:val="16"/>
        </w:rPr>
      </w:pPr>
      <w:r w:rsidRPr="00776D93">
        <w:rPr>
          <w:rFonts w:ascii="Garamond" w:eastAsia="Garamond" w:hAnsi="Garamond" w:cs="Garamond"/>
          <w:sz w:val="16"/>
          <w:szCs w:val="16"/>
        </w:rPr>
        <w:t>El mercado laboral de la población de 14 y más años, revelan que el 44,8% de las PCD y el 74,1% sin ella, forman parte de la PEA.  La tasa de desempleo es 3.9% a nivel nacional de la PCD y sin discapacidad. Según INEI- 2021: “Perú: Caracterización de las condiciones de vida de la población con discapacidad, 2019”</w:t>
      </w:r>
      <w:hyperlink r:id="rId32">
        <w:r w:rsidRPr="00776D93">
          <w:rPr>
            <w:rFonts w:ascii="Garamond" w:eastAsia="Garamond" w:hAnsi="Garamond" w:cs="Garamond"/>
            <w:color w:val="0000FF"/>
            <w:sz w:val="16"/>
            <w:szCs w:val="16"/>
            <w:u w:val="single"/>
          </w:rPr>
          <w:t xml:space="preserve"> </w:t>
        </w:r>
      </w:hyperlink>
      <w:hyperlink r:id="rId33">
        <w:r w:rsidRPr="00776D93">
          <w:rPr>
            <w:rFonts w:ascii="Garamond" w:eastAsia="Garamond" w:hAnsi="Garamond" w:cs="Garamond"/>
            <w:color w:val="1155CC"/>
            <w:sz w:val="16"/>
            <w:szCs w:val="16"/>
            <w:u w:val="single"/>
          </w:rPr>
          <w:t>https://www.inei.gob.pe/media/MenuRecursivo/publicaciones_digitales/Est/Lib1769/libro.pdf</w:t>
        </w:r>
      </w:hyperlink>
    </w:p>
  </w:endnote>
  <w:endnote w:id="87">
    <w:p w:rsidR="00C76EA7" w:rsidRPr="00776D93" w:rsidRDefault="00C76EA7">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Aplicando ajustes razonables y apoyos a fin de garantizar los puestos laborales ocupados por PCD.</w:t>
      </w:r>
    </w:p>
  </w:endnote>
  <w:endnote w:id="88">
    <w:p w:rsidR="00C76EA7" w:rsidRPr="00776D93" w:rsidRDefault="00C76EA7">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Ley que regula el Teletrabajo N°39936 </w:t>
      </w:r>
      <w:hyperlink r:id="rId34">
        <w:r w:rsidRPr="00776D93">
          <w:rPr>
            <w:rFonts w:ascii="Garamond" w:eastAsia="Garamond" w:hAnsi="Garamond" w:cs="Garamond"/>
            <w:color w:val="0000FF"/>
            <w:sz w:val="16"/>
            <w:szCs w:val="16"/>
            <w:u w:val="single"/>
          </w:rPr>
          <w:t>https://busquedas.elperuano.pe/normaslegales/ley-que-regula-el-teletrabajo-ley-n-30036-946195-3/</w:t>
        </w:r>
      </w:hyperlink>
      <w:r w:rsidRPr="00776D93">
        <w:rPr>
          <w:rFonts w:ascii="Garamond" w:eastAsia="Garamond" w:hAnsi="Garamond" w:cs="Garamond"/>
          <w:color w:val="000000"/>
          <w:sz w:val="16"/>
          <w:szCs w:val="16"/>
        </w:rPr>
        <w:t xml:space="preserve"> recuperado el 28 de junio del 2022.</w:t>
      </w:r>
    </w:p>
  </w:endnote>
  <w:endnote w:id="89">
    <w:p w:rsidR="00C76EA7" w:rsidRPr="00776D93" w:rsidRDefault="00C76EA7" w:rsidP="007C4C69">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111.150 Costa Rica 111.153 Israel Impulsar una reforma del Código Civil para proporcionar plena capacidad jurídica a las personas con discapacidad y así garantizar su autonomía y mejorar su inclusión social y garantizar que tengan acceso a una educación inclusiva y servicios de atención de la salud apropiados.</w:t>
      </w:r>
    </w:p>
  </w:endnote>
  <w:endnote w:id="90">
    <w:p w:rsidR="00C76EA7" w:rsidRPr="00776D93" w:rsidRDefault="00C76EA7" w:rsidP="007C4C69">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w:t>
      </w:r>
      <w:r w:rsidRPr="00776D93">
        <w:rPr>
          <w:rFonts w:ascii="Garamond" w:eastAsia="Garamond" w:hAnsi="Garamond" w:cs="Garamond"/>
          <w:sz w:val="16"/>
          <w:szCs w:val="16"/>
        </w:rPr>
        <w:t xml:space="preserve">D.S. N° 1384-2018. </w:t>
      </w:r>
      <w:r w:rsidRPr="00776D93">
        <w:rPr>
          <w:rFonts w:ascii="Garamond" w:eastAsia="Garamond" w:hAnsi="Garamond" w:cs="Garamond"/>
          <w:color w:val="000000"/>
          <w:sz w:val="16"/>
          <w:szCs w:val="16"/>
        </w:rPr>
        <w:t xml:space="preserve">Las personas con discapacidad tienen capacidad de ejercicio en igualdad de condiciones en todos los aspectos de la vida. </w:t>
      </w:r>
      <w:hyperlink r:id="rId35" w:anchor=":~:text=Toda%20persona%20tiene%20capacidad%20jur%C3%ADdica,los%20aspectos%20de%20la%20vida.%E2%80%9D">
        <w:r w:rsidRPr="00776D93">
          <w:rPr>
            <w:rFonts w:ascii="Garamond" w:eastAsia="Garamond" w:hAnsi="Garamond" w:cs="Garamond"/>
            <w:color w:val="0000FF"/>
            <w:sz w:val="16"/>
            <w:szCs w:val="16"/>
            <w:u w:val="single"/>
          </w:rPr>
          <w:t>https://busquedas.elperuano.pe/normaslegales/decreto-legislativo-que-reconoce-y-regula-la-capacidad-jurid-decreto-legislativo-n-1384-1687393-2/#:~:text=Toda%20persona%20tiene%20capacidad%20jur%C3%ADdica,los%20aspectos%20de%20la%20vida.%E2%80%9D</w:t>
        </w:r>
      </w:hyperlink>
    </w:p>
  </w:endnote>
  <w:endnote w:id="91">
    <w:p w:rsidR="00C76EA7" w:rsidRPr="00776D93" w:rsidRDefault="00C76EA7" w:rsidP="007C4C69">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111.151 Cuba Reformular el Plan de Igualdad de Oportunidades para las Personas con Discapacidad para armonizar con la Ley General de la Persona con Discapacidad.</w:t>
      </w:r>
    </w:p>
  </w:endnote>
  <w:endnote w:id="92">
    <w:p w:rsidR="00C76EA7" w:rsidRPr="00776D93" w:rsidRDefault="00C76EA7" w:rsidP="007C4C69">
      <w:pPr>
        <w:pBdr>
          <w:top w:val="nil"/>
          <w:left w:val="nil"/>
          <w:bottom w:val="nil"/>
          <w:right w:val="nil"/>
          <w:between w:val="nil"/>
        </w:pBdr>
        <w:spacing w:after="0" w:line="240" w:lineRule="auto"/>
        <w:jc w:val="both"/>
        <w:rPr>
          <w:rFonts w:ascii="Garamond" w:hAnsi="Garamond"/>
          <w:color w:val="000000"/>
          <w:sz w:val="16"/>
          <w:szCs w:val="16"/>
        </w:rPr>
      </w:pPr>
      <w:r w:rsidRPr="00776D93">
        <w:rPr>
          <w:rFonts w:ascii="Garamond" w:hAnsi="Garamond"/>
          <w:sz w:val="16"/>
          <w:szCs w:val="16"/>
          <w:vertAlign w:val="superscript"/>
        </w:rPr>
        <w:endnoteRef/>
      </w:r>
      <w:r w:rsidRPr="00776D93">
        <w:rPr>
          <w:rFonts w:ascii="Garamond" w:hAnsi="Garamond"/>
          <w:color w:val="000000"/>
          <w:sz w:val="16"/>
          <w:szCs w:val="16"/>
        </w:rPr>
        <w:t xml:space="preserve"> </w:t>
      </w:r>
      <w:r w:rsidRPr="00776D93">
        <w:rPr>
          <w:rFonts w:ascii="Garamond" w:eastAsia="Garamond" w:hAnsi="Garamond" w:cs="Garamond"/>
          <w:color w:val="000000"/>
          <w:sz w:val="16"/>
          <w:szCs w:val="16"/>
        </w:rPr>
        <w:t>La implementación está e</w:t>
      </w:r>
      <w:r w:rsidRPr="00776D93">
        <w:rPr>
          <w:rFonts w:ascii="Garamond" w:eastAsia="Garamond" w:hAnsi="Garamond" w:cs="Garamond"/>
          <w:color w:val="000000"/>
          <w:sz w:val="16"/>
          <w:szCs w:val="16"/>
          <w:highlight w:val="white"/>
        </w:rPr>
        <w:t xml:space="preserve">n proceso. </w:t>
      </w:r>
      <w:r w:rsidRPr="00776D93">
        <w:rPr>
          <w:rFonts w:ascii="Garamond" w:eastAsia="Garamond" w:hAnsi="Garamond" w:cs="Garamond"/>
          <w:color w:val="000000"/>
          <w:sz w:val="16"/>
          <w:szCs w:val="16"/>
        </w:rPr>
        <w:t xml:space="preserve">Se cuenta con la PNMD aprobada por D.S. </w:t>
      </w:r>
      <w:r w:rsidRPr="00776D93">
        <w:rPr>
          <w:rFonts w:ascii="Garamond" w:eastAsia="Garamond" w:hAnsi="Garamond" w:cs="Garamond"/>
          <w:color w:val="26292E"/>
          <w:sz w:val="16"/>
          <w:szCs w:val="16"/>
        </w:rPr>
        <w:t>N° 007-2021-MIMP</w:t>
      </w:r>
      <w:r w:rsidRPr="00776D93">
        <w:rPr>
          <w:rFonts w:ascii="Garamond" w:eastAsia="Garamond" w:hAnsi="Garamond" w:cs="Garamond"/>
          <w:color w:val="000000"/>
          <w:sz w:val="16"/>
          <w:szCs w:val="16"/>
        </w:rPr>
        <w:t>, requiere ser implementada y ejecutada por las diversas instancias del estado; autoridades y funcionarios en general no dominan ni contemplan el enfoque de DD.HH., discapacidad e interseccionalidad en programas, servicios, planes y políticas.</w:t>
      </w:r>
    </w:p>
  </w:endnote>
  <w:endnote w:id="93">
    <w:p w:rsidR="00C76EA7" w:rsidRPr="00776D93" w:rsidRDefault="00C76EA7" w:rsidP="007C4C69">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w:t>
      </w:r>
      <w:r w:rsidRPr="00776D93">
        <w:rPr>
          <w:rFonts w:ascii="Garamond" w:eastAsia="Garamond" w:hAnsi="Garamond" w:cs="Garamond"/>
          <w:color w:val="26292E"/>
          <w:sz w:val="16"/>
          <w:szCs w:val="16"/>
          <w:highlight w:val="white"/>
        </w:rPr>
        <w:t>El 42.9% de PCD en edad de trabajar se encuentran ocupadas, el 22.7% no cuentan con seguro de salud, solo el 62.4% de las PCD alcanzan un nivel de educación secundaria. El 22.8% se encuentra en condición de pobreza monetaria: El 61% de la población peruana percibe que las PCD son el grupo con mayor discriminación.</w:t>
      </w:r>
    </w:p>
  </w:endnote>
  <w:endnote w:id="94">
    <w:p w:rsidR="00C76EA7" w:rsidRPr="00776D93" w:rsidRDefault="00C76EA7" w:rsidP="007C4C69">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Presupuesto contemplado por el MEF en la vigésima novena disposición complementaria final de Ley de Presupuesto para el año fiscal 2022, se autoriza a los gobiernos locales y regionales a utilizar el 0.5 % de su presupuesto a proyectos de inversión de mejora de la infraestructura y accesibilidad en favor de las PCD, y otro 0.5 % en gastos corrientes y programas de apoyo. </w:t>
      </w:r>
      <w:hyperlink r:id="rId36">
        <w:r w:rsidRPr="00776D93">
          <w:rPr>
            <w:rFonts w:ascii="Garamond" w:eastAsia="Garamond" w:hAnsi="Garamond" w:cs="Garamond"/>
            <w:color w:val="0000FF"/>
            <w:sz w:val="16"/>
            <w:szCs w:val="16"/>
            <w:u w:val="single"/>
          </w:rPr>
          <w:t>https://www.mef.gob.pe/es/por-instrumento/ley/27512-ley-n-31365/file</w:t>
        </w:r>
      </w:hyperlink>
    </w:p>
  </w:endnote>
  <w:endnote w:id="95">
    <w:p w:rsidR="00C76EA7" w:rsidRPr="00776D93" w:rsidRDefault="00C76EA7" w:rsidP="00FE0DE5">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w:t>
      </w:r>
      <w:r w:rsidRPr="00776D93">
        <w:rPr>
          <w:rFonts w:ascii="Garamond" w:eastAsia="Garamond" w:hAnsi="Garamond" w:cs="Garamond"/>
          <w:sz w:val="16"/>
          <w:szCs w:val="16"/>
          <w:highlight w:val="white"/>
        </w:rPr>
        <w:t>111.154 Italia Intensificar los esfuerzos para garantizar los derechos de las personas con discapacidad, en particular mediante la plena aplicación de las disposiciones de la Convención sobre los Derechos de las Personas con Discapacidad</w:t>
      </w:r>
    </w:p>
  </w:endnote>
  <w:endnote w:id="96">
    <w:p w:rsidR="00C76EA7" w:rsidRPr="00776D93" w:rsidRDefault="00C76EA7" w:rsidP="00FE0DE5">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Ley General de las Personas con Discapacidad 29973: </w:t>
      </w:r>
      <w:hyperlink r:id="rId37">
        <w:r w:rsidRPr="00776D93">
          <w:rPr>
            <w:rFonts w:ascii="Garamond" w:eastAsia="Garamond" w:hAnsi="Garamond" w:cs="Garamond"/>
            <w:color w:val="0000FF"/>
            <w:sz w:val="16"/>
            <w:szCs w:val="16"/>
            <w:u w:val="single"/>
          </w:rPr>
          <w:t>https://www.mimp.gob.pe/webs/mimp/herramientas-recursos-violencia/contenedor-dgcvg-recursos/contenidos/Legislacion/Ley-general-de-la-Persona-con-Discapacidad-29973.pdf</w:t>
        </w:r>
      </w:hyperlink>
    </w:p>
  </w:endnote>
  <w:endnote w:id="97">
    <w:p w:rsidR="00C76EA7" w:rsidRPr="00776D93" w:rsidRDefault="00C76EA7" w:rsidP="00FE0DE5">
      <w:pPr>
        <w:pBdr>
          <w:top w:val="nil"/>
          <w:left w:val="nil"/>
          <w:bottom w:val="nil"/>
          <w:right w:val="nil"/>
          <w:between w:val="nil"/>
        </w:pBdr>
        <w:spacing w:after="0" w:line="240" w:lineRule="auto"/>
        <w:jc w:val="both"/>
        <w:rPr>
          <w:rFonts w:ascii="Garamond" w:eastAsia="Garamond" w:hAnsi="Garamond" w:cs="Garamond"/>
          <w:color w:val="000000"/>
          <w:sz w:val="16"/>
          <w:szCs w:val="16"/>
        </w:rPr>
      </w:pPr>
      <w:r w:rsidRPr="00776D93">
        <w:rPr>
          <w:rFonts w:ascii="Garamond" w:hAnsi="Garamond"/>
          <w:sz w:val="16"/>
          <w:szCs w:val="16"/>
          <w:vertAlign w:val="superscript"/>
        </w:rPr>
        <w:endnoteRef/>
      </w:r>
      <w:r w:rsidRPr="00776D93">
        <w:rPr>
          <w:rFonts w:ascii="Garamond" w:eastAsia="Garamond" w:hAnsi="Garamond" w:cs="Garamond"/>
          <w:color w:val="000000"/>
          <w:sz w:val="16"/>
          <w:szCs w:val="16"/>
        </w:rPr>
        <w:t xml:space="preserve"> PNMDD: Política Nacional Multisectorial de Desarrollo para las PCD </w:t>
      </w:r>
      <w:hyperlink r:id="rId38">
        <w:r w:rsidRPr="00776D93">
          <w:rPr>
            <w:rFonts w:ascii="Garamond" w:eastAsia="Garamond" w:hAnsi="Garamond" w:cs="Garamond"/>
            <w:color w:val="0000FF"/>
            <w:sz w:val="16"/>
            <w:szCs w:val="16"/>
            <w:u w:val="single"/>
          </w:rPr>
          <w:t>https://www.google.com/search?q=politica+nacional+multisectorial+en+discapacidad+para+el+desarrollo+2030&amp;rlz=1C1CHZN_esPE941PE941&amp;oq=politicana+nacional+multisec&amp;aqs=chrome.1.69i57j0i13l8.23521j0j7&amp;sourceid=chrome&amp;ie=UTF-8</w:t>
        </w:r>
      </w:hyperlink>
    </w:p>
  </w:endnote>
  <w:endnote w:id="98">
    <w:p w:rsidR="00C76EA7" w:rsidRPr="00776D93" w:rsidRDefault="00C76EA7" w:rsidP="00FE0DE5">
      <w:pPr>
        <w:spacing w:after="0" w:line="240" w:lineRule="auto"/>
        <w:jc w:val="both"/>
        <w:rPr>
          <w:rFonts w:ascii="Garamond" w:eastAsia="Garamond" w:hAnsi="Garamond" w:cs="Garamond"/>
          <w:sz w:val="16"/>
          <w:szCs w:val="16"/>
        </w:rPr>
      </w:pPr>
      <w:r w:rsidRPr="00776D93">
        <w:rPr>
          <w:rFonts w:ascii="Garamond" w:hAnsi="Garamond"/>
          <w:sz w:val="16"/>
          <w:szCs w:val="16"/>
          <w:vertAlign w:val="superscript"/>
        </w:rPr>
        <w:endnoteRef/>
      </w:r>
      <w:r w:rsidRPr="00776D93">
        <w:rPr>
          <w:rFonts w:ascii="Garamond" w:eastAsia="Garamond" w:hAnsi="Garamond" w:cs="Garamond"/>
          <w:sz w:val="16"/>
          <w:szCs w:val="16"/>
        </w:rPr>
        <w:t xml:space="preserve">  Existe un piloto de la plataforma: “Medidor en línea del cumplimiento de la CIDPCD en Latinoamérica” para valorar y apoyar el grado de aplicación de la CDPCD de las Naciones Unidas en Latinoamérica, herramienta accesible, a disposición pública.</w:t>
      </w:r>
    </w:p>
  </w:endnote>
  <w:endnote w:id="99">
    <w:p w:rsidR="00C76EA7" w:rsidRPr="00776D93" w:rsidRDefault="00C76EA7" w:rsidP="00FE0DE5">
      <w:pPr>
        <w:pStyle w:val="EndnoteText"/>
        <w:jc w:val="both"/>
        <w:rPr>
          <w:rFonts w:ascii="Garamond" w:hAnsi="Garamond"/>
          <w:sz w:val="16"/>
          <w:szCs w:val="16"/>
          <w:lang w:val="es-ES"/>
        </w:rPr>
      </w:pPr>
      <w:r w:rsidRPr="00776D93">
        <w:rPr>
          <w:rStyle w:val="EndnoteReference"/>
          <w:rFonts w:ascii="Garamond" w:hAnsi="Garamond"/>
          <w:sz w:val="16"/>
          <w:szCs w:val="16"/>
        </w:rPr>
        <w:endnoteRef/>
      </w:r>
      <w:r w:rsidRPr="00776D93">
        <w:rPr>
          <w:rFonts w:ascii="Garamond" w:hAnsi="Garamond"/>
          <w:sz w:val="16"/>
          <w:szCs w:val="16"/>
        </w:rPr>
        <w:t xml:space="preserve"> </w:t>
      </w:r>
      <w:r w:rsidRPr="00776D93">
        <w:rPr>
          <w:rFonts w:ascii="Garamond" w:hAnsi="Garamond"/>
          <w:sz w:val="16"/>
          <w:szCs w:val="16"/>
          <w:lang w:val="es-ES"/>
        </w:rPr>
        <w:t xml:space="preserve"># 111.94. Eslovenia, </w:t>
      </w:r>
      <w:r w:rsidRPr="00776D93">
        <w:rPr>
          <w:rFonts w:ascii="Garamond" w:hAnsi="Garamond" w:cs="Helvetica Light"/>
          <w:sz w:val="16"/>
          <w:szCs w:val="16"/>
          <w:lang w:val="es-ES"/>
        </w:rPr>
        <w:t>Asegurar la implementación de una educación sexual integral para mujeres y niñas, incluyendo información sobre el derecho a la salud sexual y reproductiva.</w:t>
      </w:r>
    </w:p>
    <w:p w:rsidR="00C76EA7" w:rsidRPr="00776D93" w:rsidRDefault="00C76EA7" w:rsidP="00FE0DE5">
      <w:pPr>
        <w:pStyle w:val="EndnoteText"/>
        <w:jc w:val="both"/>
        <w:rPr>
          <w:rFonts w:ascii="Garamond" w:hAnsi="Garamond"/>
          <w:sz w:val="16"/>
          <w:szCs w:val="16"/>
          <w:lang w:val="es-ES"/>
        </w:rPr>
      </w:pPr>
      <w:r w:rsidRPr="00776D93">
        <w:rPr>
          <w:rFonts w:ascii="Garamond" w:hAnsi="Garamond"/>
          <w:sz w:val="16"/>
          <w:szCs w:val="16"/>
          <w:lang w:val="es-ES"/>
        </w:rPr>
        <w:t xml:space="preserve"># 111. 98. Canadá, </w:t>
      </w:r>
      <w:r w:rsidRPr="00776D93">
        <w:rPr>
          <w:rFonts w:ascii="Garamond" w:hAnsi="Garamond" w:cs="Helvetica Light"/>
          <w:sz w:val="16"/>
          <w:szCs w:val="16"/>
          <w:lang w:val="es-ES"/>
        </w:rPr>
        <w:t>Asegurar la implementación de una educación sexual integral para mujeres y niñas, incluyendo información sobre el derecho a la salud sexual y reproductiva.</w:t>
      </w:r>
    </w:p>
    <w:p w:rsidR="00C76EA7" w:rsidRPr="00776D93" w:rsidRDefault="00C76EA7" w:rsidP="00FE0DE5">
      <w:pPr>
        <w:pStyle w:val="EndnoteText"/>
        <w:jc w:val="both"/>
        <w:rPr>
          <w:rFonts w:ascii="Garamond" w:hAnsi="Garamond" w:cs="Helvetica Light"/>
          <w:sz w:val="16"/>
          <w:szCs w:val="16"/>
          <w:lang w:val="es-ES"/>
        </w:rPr>
      </w:pPr>
      <w:r w:rsidRPr="00776D93">
        <w:rPr>
          <w:rFonts w:ascii="Garamond" w:hAnsi="Garamond"/>
          <w:sz w:val="16"/>
          <w:szCs w:val="16"/>
          <w:lang w:val="es-ES"/>
        </w:rPr>
        <w:t xml:space="preserve"># 111. 100. Francia, </w:t>
      </w:r>
      <w:r w:rsidRPr="00776D93">
        <w:rPr>
          <w:rFonts w:ascii="Garamond" w:hAnsi="Garamond" w:cs="Helvetica Light"/>
          <w:sz w:val="16"/>
          <w:szCs w:val="16"/>
          <w:lang w:val="es-ES"/>
        </w:rPr>
        <w:t>Asegurar la implementación de una educación sexual integral para mujeres y niñas, incluyendo información sobre el derecho a la salud sexual y reproductiva.</w:t>
      </w:r>
    </w:p>
    <w:p w:rsidR="00C76EA7" w:rsidRPr="00776D93" w:rsidRDefault="00C76EA7" w:rsidP="00FE0DE5">
      <w:pPr>
        <w:pStyle w:val="EndnoteText"/>
        <w:jc w:val="both"/>
        <w:rPr>
          <w:rFonts w:ascii="Garamond" w:hAnsi="Garamond" w:cs="Helvetica Light"/>
          <w:bCs/>
          <w:sz w:val="16"/>
          <w:szCs w:val="16"/>
        </w:rPr>
      </w:pPr>
      <w:r w:rsidRPr="00776D93">
        <w:rPr>
          <w:rFonts w:ascii="Garamond" w:hAnsi="Garamond" w:cs="Helvetica Light"/>
          <w:sz w:val="16"/>
          <w:szCs w:val="16"/>
          <w:lang w:val="es-ES"/>
        </w:rPr>
        <w:t xml:space="preserve">111. 141. Portugal, </w:t>
      </w:r>
      <w:r w:rsidRPr="00776D93">
        <w:rPr>
          <w:rFonts w:ascii="Garamond" w:hAnsi="Garamond" w:cs="Helvetica Light"/>
          <w:sz w:val="16"/>
          <w:szCs w:val="16"/>
        </w:rPr>
        <w:t xml:space="preserve">Aumentar el acceso de los niños a la información y </w:t>
      </w:r>
      <w:r w:rsidRPr="00776D93">
        <w:rPr>
          <w:rFonts w:ascii="Garamond" w:hAnsi="Garamond" w:cs="Helvetica Light"/>
          <w:bCs/>
          <w:sz w:val="16"/>
          <w:szCs w:val="16"/>
        </w:rPr>
        <w:t>la educación sobre la salud y los derechos sexuales y reproductivos, incluso en las escuelas, así como el acceso a los servicios de salud sexual y reproductiva.</w:t>
      </w:r>
    </w:p>
  </w:endnote>
  <w:endnote w:id="100">
    <w:p w:rsidR="00C76EA7" w:rsidRPr="00776D93" w:rsidRDefault="00C76EA7" w:rsidP="00FE0DE5">
      <w:pPr>
        <w:spacing w:after="0" w:line="240" w:lineRule="auto"/>
        <w:ind w:left="86"/>
        <w:jc w:val="both"/>
        <w:rPr>
          <w:rFonts w:ascii="Garamond" w:eastAsia="Times New Roman" w:hAnsi="Garamond"/>
          <w:sz w:val="16"/>
          <w:szCs w:val="16"/>
        </w:rPr>
      </w:pPr>
      <w:r w:rsidRPr="00776D93">
        <w:rPr>
          <w:rStyle w:val="EndnoteReference"/>
          <w:rFonts w:ascii="Garamond" w:hAnsi="Garamond"/>
          <w:sz w:val="16"/>
          <w:szCs w:val="16"/>
        </w:rPr>
        <w:endnoteRef/>
      </w:r>
      <w:r w:rsidRPr="00776D93">
        <w:rPr>
          <w:rFonts w:ascii="Garamond" w:hAnsi="Garamond"/>
          <w:sz w:val="16"/>
          <w:szCs w:val="16"/>
        </w:rPr>
        <w:t xml:space="preserve"> </w:t>
      </w:r>
      <w:r w:rsidRPr="00776D93">
        <w:rPr>
          <w:rFonts w:ascii="Garamond" w:hAnsi="Garamond"/>
          <w:sz w:val="16"/>
          <w:szCs w:val="16"/>
          <w:lang w:val="es-ES"/>
        </w:rPr>
        <w:t xml:space="preserve">El Currículo Nacional de Educación Básica fue aprobado por </w:t>
      </w:r>
      <w:r w:rsidRPr="00776D93">
        <w:rPr>
          <w:rFonts w:ascii="Garamond" w:eastAsia="Times New Roman" w:hAnsi="Garamond" w:cs="Arial"/>
          <w:color w:val="202124"/>
          <w:sz w:val="16"/>
          <w:szCs w:val="16"/>
          <w:shd w:val="clear" w:color="auto" w:fill="FFFFFF"/>
        </w:rPr>
        <w:t>RM 281-2016-MINEDU publicada el 03 de junio, el cual entraría en vigencia a partir del 01 de enero del 2017 en todas las instituciones y programas educativos públicos y privados del país. Un juicio al MINEDU por incluir el enfoque de género impidió su implementación hasta el 2018.</w:t>
      </w:r>
    </w:p>
  </w:endnote>
  <w:endnote w:id="101">
    <w:p w:rsidR="00C76EA7" w:rsidRPr="00776D93" w:rsidRDefault="00C76EA7" w:rsidP="00FE0DE5">
      <w:pPr>
        <w:pStyle w:val="EndnoteText"/>
        <w:ind w:left="86"/>
        <w:jc w:val="both"/>
        <w:rPr>
          <w:rFonts w:ascii="Garamond" w:hAnsi="Garamond"/>
          <w:sz w:val="16"/>
          <w:szCs w:val="16"/>
          <w:lang w:val="es-ES"/>
        </w:rPr>
      </w:pPr>
      <w:r w:rsidRPr="00776D93">
        <w:rPr>
          <w:rStyle w:val="EndnoteReference"/>
          <w:rFonts w:ascii="Garamond" w:hAnsi="Garamond"/>
          <w:sz w:val="16"/>
          <w:szCs w:val="16"/>
        </w:rPr>
        <w:endnoteRef/>
      </w:r>
      <w:r w:rsidRPr="00776D93">
        <w:rPr>
          <w:rFonts w:ascii="Garamond" w:hAnsi="Garamond"/>
          <w:sz w:val="16"/>
          <w:szCs w:val="16"/>
        </w:rPr>
        <w:t xml:space="preserve"> Los </w:t>
      </w:r>
      <w:r w:rsidRPr="00776D93">
        <w:rPr>
          <w:rFonts w:ascii="Garamond" w:hAnsi="Garamond"/>
          <w:sz w:val="16"/>
          <w:szCs w:val="16"/>
          <w:lang w:val="es-ES_tradnl"/>
        </w:rPr>
        <w:t xml:space="preserve">nuevos currículos de formación inicial docente fueron emitidos a fines del 2019; el magisterio no ha sido preparado para su implementación. </w:t>
      </w:r>
    </w:p>
  </w:endnote>
  <w:endnote w:id="102">
    <w:p w:rsidR="00C76EA7" w:rsidRPr="00776D93" w:rsidRDefault="00C76EA7" w:rsidP="00FE0DE5">
      <w:pPr>
        <w:pStyle w:val="EndnoteText"/>
        <w:ind w:left="86"/>
        <w:jc w:val="both"/>
        <w:rPr>
          <w:rFonts w:ascii="Garamond" w:hAnsi="Garamond"/>
          <w:sz w:val="16"/>
          <w:szCs w:val="16"/>
          <w:lang w:val="es-ES"/>
        </w:rPr>
      </w:pPr>
      <w:r w:rsidRPr="00776D93">
        <w:rPr>
          <w:rStyle w:val="EndnoteReference"/>
          <w:rFonts w:ascii="Garamond" w:hAnsi="Garamond"/>
          <w:sz w:val="16"/>
          <w:szCs w:val="16"/>
        </w:rPr>
        <w:endnoteRef/>
      </w:r>
      <w:r w:rsidRPr="00776D93">
        <w:rPr>
          <w:rFonts w:ascii="Garamond" w:hAnsi="Garamond"/>
          <w:sz w:val="16"/>
          <w:szCs w:val="16"/>
        </w:rPr>
        <w:t xml:space="preserve"> </w:t>
      </w:r>
      <w:r w:rsidRPr="00776D93">
        <w:rPr>
          <w:rFonts w:ascii="Garamond" w:hAnsi="Garamond"/>
          <w:sz w:val="16"/>
          <w:szCs w:val="16"/>
          <w:lang w:val="es-ES"/>
        </w:rPr>
        <w:t xml:space="preserve">Ley 31498 “Ley que impulsa la calidad de los materiales y recursos educativos en el Perú”, emitida el 23/06/2022, fue promovida por grupos con intereses particulares, excluyentes y con postulados religiosos ultraconservadores que rechazan una supuesta “ideología de género” y rechazan tajantemente el enfoque de género. La ley 31498 les otorga el derecho a los padres de familia a vetar los materiales para las escuelas públicas, no para las privadas, que no concuerden con sus valores y principios de familia y religión. </w:t>
      </w:r>
    </w:p>
  </w:endnote>
  <w:endnote w:id="103">
    <w:p w:rsidR="00C76EA7" w:rsidRPr="00776D93" w:rsidRDefault="00C76EA7" w:rsidP="00FE0DE5">
      <w:pPr>
        <w:autoSpaceDE w:val="0"/>
        <w:autoSpaceDN w:val="0"/>
        <w:adjustRightInd w:val="0"/>
        <w:spacing w:after="0" w:line="240" w:lineRule="auto"/>
        <w:ind w:left="86"/>
        <w:jc w:val="both"/>
        <w:rPr>
          <w:rFonts w:ascii="Garamond" w:hAnsi="Garamond"/>
          <w:bCs/>
          <w:sz w:val="16"/>
          <w:szCs w:val="16"/>
          <w:lang w:val="es-UY" w:eastAsia="es-UY"/>
        </w:rPr>
      </w:pPr>
      <w:r w:rsidRPr="00776D93">
        <w:rPr>
          <w:rStyle w:val="EndnoteReference"/>
          <w:rFonts w:ascii="Garamond" w:hAnsi="Garamond"/>
          <w:sz w:val="16"/>
          <w:szCs w:val="16"/>
        </w:rPr>
        <w:endnoteRef/>
      </w:r>
      <w:r w:rsidRPr="00776D93">
        <w:rPr>
          <w:rFonts w:ascii="Garamond" w:hAnsi="Garamond"/>
          <w:sz w:val="16"/>
          <w:szCs w:val="16"/>
        </w:rPr>
        <w:t xml:space="preserve"> </w:t>
      </w:r>
      <w:r w:rsidRPr="00776D93">
        <w:rPr>
          <w:rFonts w:ascii="Garamond" w:hAnsi="Garamond"/>
          <w:bCs/>
          <w:sz w:val="16"/>
          <w:szCs w:val="16"/>
          <w:lang w:val="es-UY" w:eastAsia="es-UY"/>
        </w:rPr>
        <w:t>116.99. Cuba, Seguir elaborando medidas y programas que permitan el acceso universal a la educación.</w:t>
      </w:r>
    </w:p>
    <w:p w:rsidR="00C76EA7" w:rsidRPr="00776D93" w:rsidRDefault="00C76EA7" w:rsidP="00FE0DE5">
      <w:pPr>
        <w:autoSpaceDE w:val="0"/>
        <w:autoSpaceDN w:val="0"/>
        <w:adjustRightInd w:val="0"/>
        <w:spacing w:after="0" w:line="240" w:lineRule="auto"/>
        <w:ind w:left="86"/>
        <w:jc w:val="both"/>
        <w:rPr>
          <w:rFonts w:ascii="Garamond" w:hAnsi="Garamond"/>
          <w:bCs/>
          <w:sz w:val="16"/>
          <w:szCs w:val="16"/>
          <w:lang w:val="es-UY" w:eastAsia="es-UY"/>
        </w:rPr>
      </w:pPr>
      <w:r w:rsidRPr="00776D93">
        <w:rPr>
          <w:rFonts w:ascii="Garamond" w:hAnsi="Garamond"/>
          <w:bCs/>
          <w:sz w:val="16"/>
          <w:szCs w:val="16"/>
          <w:lang w:val="es-UY" w:eastAsia="es-UY"/>
        </w:rPr>
        <w:t xml:space="preserve">116.100. Indonesia, Dar prioridad a sus esfuerzos sobre la situación de las zonas rurales, donde la tasa de alfabetización sigue siendo </w:t>
      </w:r>
    </w:p>
    <w:p w:rsidR="00C76EA7" w:rsidRPr="00776D93" w:rsidRDefault="00C76EA7" w:rsidP="00FE0DE5">
      <w:pPr>
        <w:autoSpaceDE w:val="0"/>
        <w:autoSpaceDN w:val="0"/>
        <w:adjustRightInd w:val="0"/>
        <w:spacing w:after="0" w:line="240" w:lineRule="auto"/>
        <w:ind w:left="86"/>
        <w:jc w:val="both"/>
        <w:rPr>
          <w:rFonts w:ascii="Garamond" w:hAnsi="Garamond"/>
          <w:bCs/>
          <w:sz w:val="16"/>
          <w:szCs w:val="16"/>
          <w:lang w:val="es-UY" w:eastAsia="es-UY"/>
        </w:rPr>
      </w:pPr>
      <w:r w:rsidRPr="00776D93">
        <w:rPr>
          <w:rFonts w:ascii="Garamond" w:hAnsi="Garamond"/>
          <w:bCs/>
          <w:sz w:val="16"/>
          <w:szCs w:val="16"/>
          <w:lang w:val="es-UY" w:eastAsia="es-UY"/>
        </w:rPr>
        <w:t>relativamente más baja que en las zonas urbanas.</w:t>
      </w:r>
    </w:p>
  </w:endnote>
  <w:endnote w:id="104">
    <w:p w:rsidR="00C76EA7" w:rsidRPr="00776D93" w:rsidRDefault="00C76EA7" w:rsidP="00FE0DE5">
      <w:pPr>
        <w:pStyle w:val="EndnoteText"/>
        <w:ind w:left="86"/>
        <w:jc w:val="both"/>
        <w:rPr>
          <w:rFonts w:ascii="Garamond" w:hAnsi="Garamond"/>
          <w:sz w:val="16"/>
          <w:szCs w:val="16"/>
          <w:lang w:val="es-ES"/>
        </w:rPr>
      </w:pPr>
      <w:r w:rsidRPr="00776D93">
        <w:rPr>
          <w:rStyle w:val="EndnoteReference"/>
          <w:rFonts w:ascii="Garamond" w:hAnsi="Garamond"/>
          <w:sz w:val="16"/>
          <w:szCs w:val="16"/>
        </w:rPr>
        <w:endnoteRef/>
      </w:r>
      <w:r w:rsidRPr="00776D93">
        <w:rPr>
          <w:rFonts w:ascii="Garamond" w:hAnsi="Garamond"/>
          <w:sz w:val="16"/>
          <w:szCs w:val="16"/>
        </w:rPr>
        <w:t xml:space="preserve"> 111.103. China, </w:t>
      </w:r>
      <w:r w:rsidRPr="00776D93">
        <w:rPr>
          <w:rFonts w:ascii="Garamond" w:hAnsi="Garamond" w:cstheme="majorHAnsi"/>
          <w:sz w:val="16"/>
          <w:szCs w:val="16"/>
          <w:lang w:val="es-ES_tradnl"/>
        </w:rPr>
        <w:t>Universalizar la educación básica y reducir el analfabetismo.</w:t>
      </w:r>
      <w:r w:rsidRPr="00776D93">
        <w:rPr>
          <w:rFonts w:ascii="Garamond" w:hAnsi="Garamond"/>
          <w:sz w:val="16"/>
          <w:szCs w:val="16"/>
        </w:rPr>
        <w:t xml:space="preserve"> </w:t>
      </w:r>
    </w:p>
  </w:endnote>
  <w:endnote w:id="105">
    <w:p w:rsidR="00C76EA7" w:rsidRPr="00776D93" w:rsidRDefault="00C76EA7" w:rsidP="00FE0DE5">
      <w:pPr>
        <w:pStyle w:val="EndnoteText"/>
        <w:ind w:left="86"/>
        <w:jc w:val="both"/>
        <w:rPr>
          <w:rFonts w:ascii="Garamond" w:hAnsi="Garamond"/>
          <w:sz w:val="16"/>
          <w:szCs w:val="16"/>
        </w:rPr>
      </w:pPr>
      <w:r w:rsidRPr="00776D93">
        <w:rPr>
          <w:rStyle w:val="EndnoteReference"/>
          <w:rFonts w:ascii="Garamond" w:hAnsi="Garamond"/>
          <w:sz w:val="16"/>
          <w:szCs w:val="16"/>
        </w:rPr>
        <w:endnoteRef/>
      </w:r>
      <w:r w:rsidRPr="00776D93">
        <w:rPr>
          <w:rFonts w:ascii="Garamond" w:hAnsi="Garamond"/>
          <w:sz w:val="16"/>
          <w:szCs w:val="16"/>
        </w:rPr>
        <w:t xml:space="preserve"> Agenda 2030</w:t>
      </w:r>
      <w:r w:rsidRPr="00776D93">
        <w:rPr>
          <w:rFonts w:ascii="Garamond" w:hAnsi="Garamond"/>
          <w:sz w:val="16"/>
          <w:szCs w:val="16"/>
          <w:lang w:val="es-ES_tradnl"/>
        </w:rPr>
        <w:t>, Objetivo de Desarrollo Sostenible 4, meta 4.1 universalización de la educación primaria y secundaria; meta 4.2, universalización de la atención integral a la primera infancia, 4.6 alfabetización que permita a hombres y mujeres, jóvenes y adultos participar plenamente en la sociedad.</w:t>
      </w:r>
    </w:p>
  </w:endnote>
  <w:endnote w:id="106">
    <w:p w:rsidR="00C76EA7" w:rsidRPr="00776D93" w:rsidRDefault="00C76EA7" w:rsidP="00FE0DE5">
      <w:pPr>
        <w:pStyle w:val="EndnoteText"/>
        <w:ind w:left="86"/>
        <w:jc w:val="both"/>
        <w:rPr>
          <w:rFonts w:ascii="Garamond" w:hAnsi="Garamond"/>
          <w:sz w:val="16"/>
          <w:szCs w:val="16"/>
          <w:lang w:val="es-ES"/>
        </w:rPr>
      </w:pPr>
      <w:r w:rsidRPr="00776D93">
        <w:rPr>
          <w:rStyle w:val="EndnoteReference"/>
          <w:rFonts w:ascii="Garamond" w:hAnsi="Garamond"/>
          <w:sz w:val="16"/>
          <w:szCs w:val="16"/>
        </w:rPr>
        <w:endnoteRef/>
      </w:r>
      <w:r w:rsidRPr="00776D93">
        <w:rPr>
          <w:rFonts w:ascii="Garamond" w:hAnsi="Garamond"/>
          <w:sz w:val="16"/>
          <w:szCs w:val="16"/>
        </w:rPr>
        <w:t xml:space="preserve"> </w:t>
      </w:r>
      <w:r w:rsidRPr="00776D93">
        <w:rPr>
          <w:rFonts w:ascii="Garamond" w:hAnsi="Garamond"/>
          <w:sz w:val="16"/>
          <w:szCs w:val="16"/>
          <w:lang w:val="es-ES"/>
        </w:rPr>
        <w:t>Proyecto Educativo Nacional al 2021, PEN, Objetivo Estratégico 1</w:t>
      </w:r>
    </w:p>
  </w:endnote>
  <w:endnote w:id="107">
    <w:p w:rsidR="00C76EA7" w:rsidRPr="00776D93" w:rsidRDefault="00C76EA7" w:rsidP="00FE0DE5">
      <w:pPr>
        <w:pStyle w:val="EndnoteText"/>
        <w:jc w:val="both"/>
        <w:rPr>
          <w:rFonts w:ascii="Garamond" w:hAnsi="Garamond"/>
          <w:sz w:val="16"/>
          <w:szCs w:val="16"/>
          <w:lang w:val="es-ES_tradnl"/>
        </w:rPr>
      </w:pPr>
      <w:r w:rsidRPr="00776D93">
        <w:rPr>
          <w:rStyle w:val="EndnoteReference"/>
          <w:rFonts w:ascii="Garamond" w:hAnsi="Garamond"/>
          <w:sz w:val="16"/>
          <w:szCs w:val="16"/>
        </w:rPr>
        <w:endnoteRef/>
      </w:r>
      <w:r w:rsidRPr="00776D93">
        <w:rPr>
          <w:rFonts w:ascii="Garamond" w:hAnsi="Garamond"/>
          <w:sz w:val="16"/>
          <w:szCs w:val="16"/>
        </w:rPr>
        <w:t xml:space="preserve"> </w:t>
      </w:r>
      <w:r w:rsidRPr="00776D93">
        <w:rPr>
          <w:rFonts w:ascii="Garamond" w:hAnsi="Garamond"/>
          <w:sz w:val="16"/>
          <w:szCs w:val="16"/>
          <w:lang w:val="es-ES_tradnl"/>
        </w:rPr>
        <w:t xml:space="preserve">Instituto Nacional de Estadística e Informática. Encuesta Nacional de Hogares 2018, Cap. 6 </w:t>
      </w:r>
    </w:p>
  </w:endnote>
  <w:endnote w:id="108">
    <w:p w:rsidR="00C76EA7" w:rsidRPr="00776D93" w:rsidRDefault="00C76EA7" w:rsidP="00FE0DE5">
      <w:pPr>
        <w:pStyle w:val="EndnoteText"/>
        <w:jc w:val="both"/>
        <w:rPr>
          <w:rFonts w:ascii="Garamond" w:hAnsi="Garamond"/>
          <w:bCs/>
          <w:sz w:val="16"/>
          <w:szCs w:val="16"/>
          <w:lang w:val="es-ES_tradnl" w:eastAsia="es-UY"/>
        </w:rPr>
      </w:pPr>
      <w:r w:rsidRPr="00776D93">
        <w:rPr>
          <w:rStyle w:val="EndnoteReference"/>
          <w:rFonts w:ascii="Garamond" w:hAnsi="Garamond"/>
          <w:sz w:val="16"/>
          <w:szCs w:val="16"/>
          <w:lang w:val="es-ES_tradnl"/>
        </w:rPr>
        <w:endnoteRef/>
      </w:r>
      <w:r w:rsidRPr="00776D93">
        <w:rPr>
          <w:rFonts w:ascii="Garamond" w:hAnsi="Garamond"/>
          <w:sz w:val="16"/>
          <w:szCs w:val="16"/>
          <w:lang w:val="es-ES_tradnl"/>
        </w:rPr>
        <w:t xml:space="preserve"> 116.103. Costa Rica, </w:t>
      </w:r>
      <w:r w:rsidRPr="00776D93">
        <w:rPr>
          <w:rFonts w:ascii="Garamond" w:hAnsi="Garamond"/>
          <w:bCs/>
          <w:sz w:val="16"/>
          <w:szCs w:val="16"/>
          <w:lang w:val="es-ES_tradnl" w:eastAsia="es-UY"/>
        </w:rPr>
        <w:t>Proseguir los esfuerzos para proporcionar educación de alta calidad a todos los niños y adolescentes del Perú, en especial a los que pertenecen a grupos en situación de vulnerabilidad, como los pueblos indígenas, los afroperuanos, las comunidades afroperuanas y las personas con discapacidad.</w:t>
      </w:r>
    </w:p>
    <w:p w:rsidR="00C76EA7" w:rsidRPr="00776D93" w:rsidRDefault="00C76EA7" w:rsidP="00FE0DE5">
      <w:pPr>
        <w:pStyle w:val="EndnoteText"/>
        <w:jc w:val="both"/>
        <w:rPr>
          <w:rFonts w:ascii="Garamond" w:hAnsi="Garamond"/>
          <w:sz w:val="16"/>
          <w:szCs w:val="16"/>
          <w:lang w:val="es-ES_tradnl"/>
        </w:rPr>
      </w:pPr>
      <w:r w:rsidRPr="00776D93">
        <w:rPr>
          <w:rFonts w:ascii="Garamond" w:hAnsi="Garamond"/>
          <w:bCs/>
          <w:sz w:val="16"/>
          <w:szCs w:val="16"/>
          <w:lang w:val="es-ES_tradnl" w:eastAsia="es-UY"/>
        </w:rPr>
        <w:t xml:space="preserve">116.31. Eslovaquia, </w:t>
      </w:r>
      <w:r w:rsidRPr="00776D93">
        <w:rPr>
          <w:rFonts w:ascii="Garamond" w:hAnsi="Garamond"/>
          <w:bCs/>
          <w:sz w:val="16"/>
          <w:szCs w:val="16"/>
          <w:lang w:val="es-UY" w:eastAsia="es-UY"/>
        </w:rPr>
        <w:t>Eliminar efectivamente la discriminación por motivos de género en el acceso a la educación y la salud, especialmente en las zonas rurales y en las comunidades indígenas.</w:t>
      </w:r>
    </w:p>
  </w:endnote>
  <w:endnote w:id="109">
    <w:p w:rsidR="00C76EA7" w:rsidRPr="00776D93" w:rsidRDefault="00C76EA7" w:rsidP="00FE0DE5">
      <w:pPr>
        <w:pStyle w:val="EndnoteText"/>
        <w:jc w:val="both"/>
        <w:rPr>
          <w:rFonts w:ascii="Garamond" w:hAnsi="Garamond"/>
          <w:b/>
          <w:bCs/>
          <w:sz w:val="16"/>
          <w:szCs w:val="16"/>
          <w:lang w:val="es-ES_tradnl"/>
        </w:rPr>
      </w:pPr>
      <w:r w:rsidRPr="00776D93">
        <w:rPr>
          <w:rStyle w:val="EndnoteReference"/>
          <w:rFonts w:ascii="Garamond" w:hAnsi="Garamond"/>
          <w:sz w:val="16"/>
          <w:szCs w:val="16"/>
          <w:lang w:val="es-ES_tradnl"/>
        </w:rPr>
        <w:endnoteRef/>
      </w:r>
      <w:r w:rsidRPr="00776D93">
        <w:rPr>
          <w:rFonts w:ascii="Garamond" w:hAnsi="Garamond"/>
          <w:sz w:val="16"/>
          <w:szCs w:val="16"/>
          <w:lang w:val="es-ES_tradnl"/>
        </w:rPr>
        <w:t xml:space="preserve"> 111.104. India, Desarrollar un </w:t>
      </w:r>
      <w:r w:rsidRPr="00776D93">
        <w:rPr>
          <w:rFonts w:ascii="Garamond" w:hAnsi="Garamond"/>
          <w:b/>
          <w:bCs/>
          <w:sz w:val="16"/>
          <w:szCs w:val="16"/>
          <w:lang w:val="es-ES_tradnl"/>
        </w:rPr>
        <w:t>currículo</w:t>
      </w:r>
      <w:r w:rsidRPr="00776D93">
        <w:rPr>
          <w:rFonts w:ascii="Garamond" w:hAnsi="Garamond"/>
          <w:sz w:val="16"/>
          <w:szCs w:val="16"/>
          <w:lang w:val="es-ES_tradnl"/>
        </w:rPr>
        <w:t xml:space="preserve"> de educación básica impartiendo educación de </w:t>
      </w:r>
      <w:r w:rsidRPr="00776D93">
        <w:rPr>
          <w:rFonts w:ascii="Garamond" w:hAnsi="Garamond"/>
          <w:b/>
          <w:bCs/>
          <w:sz w:val="16"/>
          <w:szCs w:val="16"/>
          <w:lang w:val="es-ES_tradnl"/>
        </w:rPr>
        <w:t>calidad en áreas rurales,</w:t>
      </w:r>
      <w:r w:rsidRPr="00776D93">
        <w:rPr>
          <w:rFonts w:ascii="Garamond" w:hAnsi="Garamond"/>
          <w:sz w:val="16"/>
          <w:szCs w:val="16"/>
          <w:lang w:val="es-ES_tradnl"/>
        </w:rPr>
        <w:t xml:space="preserve"> promoviendo la igualdad de género, la no discriminación basada en la orientación sexual y abordando problemas en los sistemas de educación de la comunidad: </w:t>
      </w:r>
      <w:r w:rsidRPr="00776D93">
        <w:rPr>
          <w:rFonts w:ascii="Garamond" w:hAnsi="Garamond"/>
          <w:b/>
          <w:bCs/>
          <w:sz w:val="16"/>
          <w:szCs w:val="16"/>
          <w:lang w:val="es-ES_tradnl"/>
        </w:rPr>
        <w:t>educación intercultural e inclusiva.</w:t>
      </w:r>
    </w:p>
    <w:p w:rsidR="00C76EA7" w:rsidRPr="00776D93" w:rsidRDefault="00C76EA7" w:rsidP="00FE0DE5">
      <w:pPr>
        <w:pStyle w:val="EndnoteText"/>
        <w:jc w:val="both"/>
        <w:rPr>
          <w:rFonts w:ascii="Garamond" w:hAnsi="Garamond"/>
          <w:b/>
          <w:bCs/>
          <w:sz w:val="16"/>
          <w:szCs w:val="16"/>
          <w:lang w:val="es-ES_tradnl"/>
        </w:rPr>
      </w:pPr>
      <w:r w:rsidRPr="00776D93">
        <w:rPr>
          <w:rFonts w:ascii="Garamond" w:hAnsi="Garamond"/>
          <w:b/>
          <w:bCs/>
          <w:sz w:val="16"/>
          <w:szCs w:val="16"/>
          <w:lang w:val="es-ES_tradnl"/>
        </w:rPr>
        <w:t xml:space="preserve">111. 105 Marruecos, </w:t>
      </w:r>
      <w:r w:rsidRPr="00776D93">
        <w:rPr>
          <w:rFonts w:ascii="Garamond" w:hAnsi="Garamond"/>
          <w:sz w:val="16"/>
          <w:szCs w:val="16"/>
          <w:lang w:val="es-ES_tradnl"/>
        </w:rPr>
        <w:t xml:space="preserve">Desarrollar un </w:t>
      </w:r>
      <w:r w:rsidRPr="00776D93">
        <w:rPr>
          <w:rFonts w:ascii="Garamond" w:hAnsi="Garamond"/>
          <w:b/>
          <w:bCs/>
          <w:sz w:val="16"/>
          <w:szCs w:val="16"/>
          <w:lang w:val="es-ES_tradnl"/>
        </w:rPr>
        <w:t>currículo</w:t>
      </w:r>
      <w:r w:rsidRPr="00776D93">
        <w:rPr>
          <w:rFonts w:ascii="Garamond" w:hAnsi="Garamond"/>
          <w:sz w:val="16"/>
          <w:szCs w:val="16"/>
          <w:lang w:val="es-ES_tradnl"/>
        </w:rPr>
        <w:t xml:space="preserve"> de educación básica impartiendo educación de </w:t>
      </w:r>
      <w:r w:rsidRPr="00776D93">
        <w:rPr>
          <w:rFonts w:ascii="Garamond" w:hAnsi="Garamond"/>
          <w:b/>
          <w:bCs/>
          <w:sz w:val="16"/>
          <w:szCs w:val="16"/>
          <w:lang w:val="es-ES_tradnl"/>
        </w:rPr>
        <w:t>calidad en áreas rurales,</w:t>
      </w:r>
      <w:r w:rsidRPr="00776D93">
        <w:rPr>
          <w:rFonts w:ascii="Garamond" w:hAnsi="Garamond"/>
          <w:sz w:val="16"/>
          <w:szCs w:val="16"/>
          <w:lang w:val="es-ES_tradnl"/>
        </w:rPr>
        <w:t xml:space="preserve"> promoviendo la igualdad de género, la no discriminación basada en la orientación sexual y abordando problemas en los sistemas de educación de la comunidad: </w:t>
      </w:r>
      <w:r w:rsidRPr="00776D93">
        <w:rPr>
          <w:rFonts w:ascii="Garamond" w:hAnsi="Garamond"/>
          <w:b/>
          <w:bCs/>
          <w:sz w:val="16"/>
          <w:szCs w:val="16"/>
          <w:lang w:val="es-ES_tradnl"/>
        </w:rPr>
        <w:t>educación intercultural e inclusiva.</w:t>
      </w:r>
    </w:p>
    <w:p w:rsidR="00C76EA7" w:rsidRPr="00776D93" w:rsidRDefault="00C76EA7" w:rsidP="00FE0DE5">
      <w:pPr>
        <w:pStyle w:val="EndnoteText"/>
        <w:jc w:val="both"/>
        <w:rPr>
          <w:rFonts w:ascii="Garamond" w:hAnsi="Garamond"/>
          <w:sz w:val="16"/>
          <w:szCs w:val="16"/>
          <w:lang w:val="es-ES_tradnl"/>
        </w:rPr>
      </w:pPr>
      <w:r w:rsidRPr="00776D93">
        <w:rPr>
          <w:rFonts w:ascii="Garamond" w:hAnsi="Garamond"/>
          <w:b/>
          <w:bCs/>
          <w:sz w:val="16"/>
          <w:szCs w:val="16"/>
          <w:lang w:val="es-ES_tradnl"/>
        </w:rPr>
        <w:t xml:space="preserve">111. 159. Venezuela, </w:t>
      </w:r>
      <w:r w:rsidRPr="00776D93">
        <w:rPr>
          <w:rFonts w:ascii="Garamond" w:hAnsi="Garamond" w:cstheme="majorHAnsi"/>
          <w:sz w:val="16"/>
          <w:szCs w:val="16"/>
          <w:lang w:val="es-ES_tradnl"/>
        </w:rPr>
        <w:t>Garantizar el acceso a los programas de salud y educación a las personas indígenas en áreas rurales</w:t>
      </w:r>
    </w:p>
  </w:endnote>
  <w:endnote w:id="110">
    <w:p w:rsidR="00C76EA7" w:rsidRPr="00776D93" w:rsidRDefault="00C76EA7" w:rsidP="00FE0DE5">
      <w:pPr>
        <w:pStyle w:val="EndnoteText"/>
        <w:jc w:val="both"/>
        <w:rPr>
          <w:rFonts w:ascii="Garamond" w:hAnsi="Garamond"/>
          <w:sz w:val="16"/>
          <w:szCs w:val="16"/>
          <w:lang w:val="es-ES_tradnl"/>
        </w:rPr>
      </w:pPr>
      <w:r w:rsidRPr="00776D93">
        <w:rPr>
          <w:rStyle w:val="EndnoteReference"/>
          <w:rFonts w:ascii="Garamond" w:hAnsi="Garamond"/>
          <w:sz w:val="16"/>
          <w:szCs w:val="16"/>
        </w:rPr>
        <w:endnoteRef/>
      </w:r>
      <w:r w:rsidRPr="00776D93">
        <w:rPr>
          <w:rFonts w:ascii="Garamond" w:hAnsi="Garamond"/>
          <w:sz w:val="16"/>
          <w:szCs w:val="16"/>
        </w:rPr>
        <w:t xml:space="preserve"> </w:t>
      </w:r>
      <w:r w:rsidRPr="00776D93">
        <w:rPr>
          <w:rFonts w:ascii="Garamond" w:hAnsi="Garamond"/>
          <w:sz w:val="16"/>
          <w:szCs w:val="16"/>
          <w:lang w:val="es-ES"/>
        </w:rPr>
        <w:t xml:space="preserve">Enfoques del CNEB: </w:t>
      </w:r>
      <w:r w:rsidRPr="00776D93">
        <w:rPr>
          <w:rFonts w:ascii="Garamond" w:hAnsi="Garamond" w:cstheme="majorHAnsi"/>
          <w:sz w:val="16"/>
          <w:szCs w:val="16"/>
        </w:rPr>
        <w:t xml:space="preserve">derechos </w:t>
      </w:r>
      <w:r w:rsidRPr="00776D93">
        <w:rPr>
          <w:rFonts w:ascii="Garamond" w:hAnsi="Garamond" w:cstheme="majorHAnsi"/>
          <w:sz w:val="16"/>
          <w:szCs w:val="16"/>
          <w:lang w:val="es-ES_tradnl"/>
        </w:rPr>
        <w:t>humanos, atención a la diversidad</w:t>
      </w:r>
      <w:r w:rsidRPr="00776D93">
        <w:rPr>
          <w:rFonts w:ascii="Garamond" w:hAnsi="Garamond" w:cstheme="majorHAnsi"/>
          <w:color w:val="2F5496" w:themeColor="accent5" w:themeShade="BF"/>
          <w:sz w:val="16"/>
          <w:szCs w:val="16"/>
          <w:lang w:val="es-ES_tradnl"/>
        </w:rPr>
        <w:t xml:space="preserve">, </w:t>
      </w:r>
      <w:r w:rsidRPr="00776D93">
        <w:rPr>
          <w:rFonts w:ascii="Garamond" w:hAnsi="Garamond" w:cstheme="majorHAnsi"/>
          <w:sz w:val="16"/>
          <w:szCs w:val="16"/>
          <w:lang w:val="es-ES_tradnl"/>
        </w:rPr>
        <w:t>intercultural, igualdad de género, enfoque orientación al bien común, enfoque ambiental y enfoque de excelencia.</w:t>
      </w:r>
    </w:p>
  </w:endnote>
  <w:endnote w:id="111">
    <w:p w:rsidR="00C76EA7" w:rsidRPr="00776D93" w:rsidRDefault="00C76EA7" w:rsidP="00FE0DE5">
      <w:pPr>
        <w:pStyle w:val="EndnoteText"/>
        <w:jc w:val="both"/>
        <w:rPr>
          <w:rFonts w:ascii="Garamond" w:hAnsi="Garamond"/>
          <w:sz w:val="16"/>
          <w:szCs w:val="16"/>
          <w:lang w:val="es-ES"/>
        </w:rPr>
      </w:pPr>
      <w:r w:rsidRPr="00776D93">
        <w:rPr>
          <w:rStyle w:val="EndnoteReference"/>
          <w:rFonts w:ascii="Garamond" w:hAnsi="Garamond"/>
          <w:sz w:val="16"/>
          <w:szCs w:val="16"/>
        </w:rPr>
        <w:endnoteRef/>
      </w:r>
      <w:r w:rsidRPr="00776D93">
        <w:rPr>
          <w:rFonts w:ascii="Garamond" w:hAnsi="Garamond"/>
          <w:sz w:val="16"/>
          <w:szCs w:val="16"/>
        </w:rPr>
        <w:t xml:space="preserve"> </w:t>
      </w:r>
      <w:r w:rsidRPr="00776D93">
        <w:rPr>
          <w:rFonts w:ascii="Garamond" w:hAnsi="Garamond"/>
          <w:sz w:val="16"/>
          <w:szCs w:val="16"/>
          <w:lang w:val="es-ES"/>
        </w:rPr>
        <w:t xml:space="preserve">ODS 4.7, </w:t>
      </w:r>
      <w:r w:rsidRPr="00776D93">
        <w:rPr>
          <w:rFonts w:ascii="Garamond" w:hAnsi="Garamond"/>
          <w:sz w:val="16"/>
          <w:szCs w:val="16"/>
        </w:rPr>
        <w:t>Asegurar que todos los y las estudiantes adquieran el conocimiento y las habilidades necesarias para promover el desarrollo sostenible, incluyendo, entre otros, la educación para el desarrollo y estilo de vida sostenibles, derechos humanos, igualdad de género, promoción de culturas de paz y no violencia, ciudadanía global y aprecio por la diversidad cultural.</w:t>
      </w:r>
    </w:p>
  </w:endnote>
  <w:endnote w:id="112">
    <w:p w:rsidR="00C76EA7" w:rsidRPr="00776D93" w:rsidRDefault="00C76EA7" w:rsidP="00BC04DA">
      <w:pPr>
        <w:pStyle w:val="EndnoteText"/>
        <w:jc w:val="both"/>
        <w:rPr>
          <w:rFonts w:ascii="Garamond" w:hAnsi="Garamond"/>
          <w:sz w:val="16"/>
          <w:szCs w:val="16"/>
          <w:lang w:val="es-ES_tradnl"/>
        </w:rPr>
      </w:pPr>
      <w:r w:rsidRPr="00776D93">
        <w:rPr>
          <w:rStyle w:val="EndnoteReference"/>
          <w:rFonts w:ascii="Garamond" w:hAnsi="Garamond"/>
          <w:sz w:val="16"/>
          <w:szCs w:val="16"/>
        </w:rPr>
        <w:endnoteRef/>
      </w:r>
      <w:r w:rsidRPr="00776D93">
        <w:rPr>
          <w:rFonts w:ascii="Garamond" w:hAnsi="Garamond"/>
          <w:sz w:val="16"/>
          <w:szCs w:val="16"/>
        </w:rPr>
        <w:t xml:space="preserve"> El Proyecto Educativo Nacional - PEN AL 2021, </w:t>
      </w:r>
      <w:r w:rsidRPr="00776D93">
        <w:rPr>
          <w:rFonts w:ascii="Garamond" w:hAnsi="Garamond"/>
          <w:sz w:val="16"/>
          <w:szCs w:val="16"/>
          <w:lang w:val="es-ES_tradnl"/>
        </w:rPr>
        <w:t>Objetivo Estratégico 2, Aprendizajes pertinentes y de calidad, pone el acento en la calidad educativa.</w:t>
      </w:r>
    </w:p>
  </w:endnote>
  <w:endnote w:id="113">
    <w:p w:rsidR="00C76EA7" w:rsidRPr="00776D93" w:rsidRDefault="00C76EA7" w:rsidP="00FE0DE5">
      <w:pPr>
        <w:shd w:val="clear" w:color="auto" w:fill="FFFFFF"/>
        <w:spacing w:after="0" w:line="240" w:lineRule="auto"/>
        <w:jc w:val="both"/>
        <w:rPr>
          <w:rFonts w:ascii="Garamond" w:eastAsia="Times New Roman" w:hAnsi="Garamond"/>
          <w:color w:val="333333"/>
          <w:sz w:val="16"/>
          <w:szCs w:val="16"/>
        </w:rPr>
      </w:pPr>
      <w:r w:rsidRPr="00776D93">
        <w:rPr>
          <w:rStyle w:val="EndnoteReference"/>
          <w:rFonts w:ascii="Garamond" w:hAnsi="Garamond"/>
          <w:sz w:val="16"/>
          <w:szCs w:val="16"/>
        </w:rPr>
        <w:endnoteRef/>
      </w:r>
      <w:r w:rsidRPr="00776D93">
        <w:rPr>
          <w:rFonts w:ascii="Garamond" w:hAnsi="Garamond"/>
          <w:sz w:val="16"/>
          <w:szCs w:val="16"/>
        </w:rPr>
        <w:t xml:space="preserve"> </w:t>
      </w:r>
      <w:hyperlink r:id="rId39" w:history="1">
        <w:r w:rsidRPr="00776D93">
          <w:rPr>
            <w:rStyle w:val="Hyperlink"/>
            <w:rFonts w:ascii="Garamond" w:eastAsia="Times New Roman" w:hAnsi="Garamond"/>
            <w:color w:val="607890"/>
            <w:sz w:val="16"/>
            <w:szCs w:val="16"/>
          </w:rPr>
          <w:t>http://repositorio.minedu.gob.pe/handle/123456789/5105</w:t>
        </w:r>
      </w:hyperlink>
    </w:p>
  </w:endnote>
  <w:endnote w:id="114">
    <w:p w:rsidR="00C76EA7" w:rsidRPr="00776D93" w:rsidRDefault="00C76EA7" w:rsidP="00FE0DE5">
      <w:pPr>
        <w:pStyle w:val="EndnoteText"/>
        <w:jc w:val="both"/>
        <w:rPr>
          <w:rFonts w:ascii="Garamond" w:hAnsi="Garamond"/>
          <w:sz w:val="16"/>
          <w:szCs w:val="16"/>
          <w:lang w:val="es-ES"/>
        </w:rPr>
      </w:pPr>
      <w:r w:rsidRPr="00776D93">
        <w:rPr>
          <w:rStyle w:val="EndnoteReference"/>
          <w:rFonts w:ascii="Garamond" w:hAnsi="Garamond"/>
          <w:sz w:val="16"/>
          <w:szCs w:val="16"/>
        </w:rPr>
        <w:endnoteRef/>
      </w:r>
      <w:r w:rsidRPr="00776D93">
        <w:rPr>
          <w:rFonts w:ascii="Garamond" w:hAnsi="Garamond"/>
          <w:sz w:val="16"/>
          <w:szCs w:val="16"/>
        </w:rPr>
        <w:t xml:space="preserve"> </w:t>
      </w:r>
      <w:r w:rsidRPr="00776D93">
        <w:rPr>
          <w:rFonts w:ascii="Garamond" w:hAnsi="Garamond"/>
          <w:sz w:val="16"/>
          <w:szCs w:val="16"/>
          <w:lang w:val="es-ES"/>
        </w:rPr>
        <w:t>Aprobada por Decreto Supremo Nº 012-2021-MC en diciembre del 2018.</w:t>
      </w:r>
    </w:p>
  </w:endnote>
  <w:endnote w:id="115">
    <w:p w:rsidR="00C76EA7" w:rsidRPr="00776D93" w:rsidRDefault="00C76EA7" w:rsidP="00FE0DE5">
      <w:pPr>
        <w:pStyle w:val="EndnoteText"/>
        <w:jc w:val="both"/>
        <w:rPr>
          <w:rFonts w:ascii="Garamond" w:hAnsi="Garamond"/>
          <w:sz w:val="16"/>
          <w:szCs w:val="16"/>
          <w:lang w:val="es-ES"/>
        </w:rPr>
      </w:pPr>
      <w:r w:rsidRPr="00776D93">
        <w:rPr>
          <w:rStyle w:val="EndnoteReference"/>
          <w:rFonts w:ascii="Garamond" w:hAnsi="Garamond"/>
          <w:sz w:val="16"/>
          <w:szCs w:val="16"/>
        </w:rPr>
        <w:endnoteRef/>
      </w:r>
      <w:r w:rsidRPr="00776D93">
        <w:rPr>
          <w:rFonts w:ascii="Garamond" w:hAnsi="Garamond"/>
          <w:sz w:val="16"/>
          <w:szCs w:val="16"/>
        </w:rPr>
        <w:t xml:space="preserve"> Defensoría del Pueblo, Nota de Prensa N º 149/ocii/dp/ 2018.</w:t>
      </w:r>
    </w:p>
  </w:endnote>
  <w:endnote w:id="116">
    <w:p w:rsidR="00C76EA7" w:rsidRPr="00776D93" w:rsidRDefault="00C76EA7" w:rsidP="00FE0DE5">
      <w:pPr>
        <w:spacing w:after="0" w:line="240" w:lineRule="auto"/>
        <w:jc w:val="both"/>
        <w:rPr>
          <w:rFonts w:ascii="Garamond" w:eastAsia="Times New Roman" w:hAnsi="Garamond"/>
          <w:sz w:val="16"/>
          <w:szCs w:val="16"/>
        </w:rPr>
      </w:pPr>
      <w:r w:rsidRPr="00776D93">
        <w:rPr>
          <w:rStyle w:val="EndnoteReference"/>
          <w:rFonts w:ascii="Garamond" w:hAnsi="Garamond"/>
          <w:sz w:val="16"/>
          <w:szCs w:val="16"/>
        </w:rPr>
        <w:endnoteRef/>
      </w:r>
      <w:r w:rsidRPr="00776D93">
        <w:rPr>
          <w:rFonts w:ascii="Garamond" w:hAnsi="Garamond"/>
          <w:sz w:val="16"/>
          <w:szCs w:val="16"/>
        </w:rPr>
        <w:t xml:space="preserve"> </w:t>
      </w:r>
      <w:r w:rsidRPr="00776D93">
        <w:rPr>
          <w:rFonts w:ascii="Garamond" w:hAnsi="Garamond"/>
          <w:sz w:val="16"/>
          <w:szCs w:val="16"/>
          <w:lang w:val="es-ES"/>
        </w:rPr>
        <w:t xml:space="preserve">Política de Atención Educativa para la Población en Ámbitos Rurales, </w:t>
      </w:r>
      <w:r w:rsidRPr="00776D93">
        <w:rPr>
          <w:rFonts w:ascii="Garamond" w:eastAsia="Times New Roman" w:hAnsi="Garamond" w:cs="Arial"/>
          <w:color w:val="202124"/>
          <w:sz w:val="16"/>
          <w:szCs w:val="16"/>
          <w:shd w:val="clear" w:color="auto" w:fill="FFFFFF"/>
        </w:rPr>
        <w:t>aprobada mediante el Decreto Supremo Nº 013-2018-MINEDU del 14/12/2018. </w:t>
      </w:r>
    </w:p>
  </w:endnote>
  <w:endnote w:id="117">
    <w:p w:rsidR="00C76EA7" w:rsidRPr="00776D93" w:rsidRDefault="00C76EA7" w:rsidP="00FE0DE5">
      <w:pPr>
        <w:pStyle w:val="EndnoteText"/>
        <w:jc w:val="both"/>
        <w:rPr>
          <w:rFonts w:ascii="Garamond" w:hAnsi="Garamond"/>
          <w:sz w:val="16"/>
          <w:szCs w:val="16"/>
          <w:lang w:val="es-ES_tradnl"/>
        </w:rPr>
      </w:pPr>
      <w:r w:rsidRPr="00776D93">
        <w:rPr>
          <w:rStyle w:val="EndnoteReference"/>
          <w:rFonts w:ascii="Garamond" w:hAnsi="Garamond"/>
          <w:sz w:val="16"/>
          <w:szCs w:val="16"/>
        </w:rPr>
        <w:endnoteRef/>
      </w:r>
      <w:r w:rsidRPr="00776D93">
        <w:rPr>
          <w:rFonts w:ascii="Garamond" w:hAnsi="Garamond"/>
          <w:sz w:val="16"/>
          <w:szCs w:val="16"/>
        </w:rPr>
        <w:t xml:space="preserve"> </w:t>
      </w:r>
      <w:r w:rsidRPr="00776D93">
        <w:rPr>
          <w:rFonts w:ascii="Garamond" w:hAnsi="Garamond"/>
          <w:sz w:val="16"/>
          <w:szCs w:val="16"/>
          <w:lang w:val="es-ES_tradnl"/>
        </w:rPr>
        <w:t xml:space="preserve">Resultados de la última Evaluación Censal de Educación, ECE 2018.  </w:t>
      </w:r>
      <w:r w:rsidRPr="00776D93">
        <w:rPr>
          <w:rFonts w:ascii="Garamond" w:hAnsi="Garamond" w:cstheme="majorHAnsi"/>
          <w:sz w:val="16"/>
          <w:szCs w:val="16"/>
          <w:lang w:val="es-ES_tradnl"/>
        </w:rPr>
        <w:t xml:space="preserve">En 4º de primaria: </w:t>
      </w:r>
      <w:r w:rsidRPr="00776D93">
        <w:rPr>
          <w:rFonts w:ascii="Garamond" w:hAnsi="Garamond"/>
          <w:sz w:val="16"/>
          <w:szCs w:val="16"/>
          <w:lang w:val="es-ES_tradnl"/>
        </w:rPr>
        <w:t>30,7% de logro satisfactorio en Matemáticas; 31,6% los castellano-hablantes, 17, % los de lengua originaria; en áreas urbanas, 33,1% con logro satisfactorio y 13,0% en rurales. En lectura: 34,8% logro satisfactorio</w:t>
      </w:r>
      <w:r w:rsidRPr="00776D93">
        <w:rPr>
          <w:rFonts w:ascii="Garamond" w:hAnsi="Garamond" w:cstheme="majorHAnsi"/>
          <w:sz w:val="16"/>
          <w:szCs w:val="16"/>
          <w:lang w:val="es-ES_tradnl"/>
        </w:rPr>
        <w:t xml:space="preserve">; </w:t>
      </w:r>
      <w:r w:rsidRPr="00776D93">
        <w:rPr>
          <w:rFonts w:ascii="Garamond" w:hAnsi="Garamond"/>
          <w:sz w:val="16"/>
          <w:szCs w:val="16"/>
          <w:lang w:val="es-ES_tradnl"/>
        </w:rPr>
        <w:t>castellano hablantes, 36,0% vs 15,8% los de habla indígena; en áreas urbanas, 37.8% alcanza nivel satisfactorio vs 13,0% en áreas rurales.</w:t>
      </w:r>
    </w:p>
  </w:endnote>
  <w:endnote w:id="118">
    <w:p w:rsidR="00C76EA7" w:rsidRPr="00776D93" w:rsidRDefault="00C76EA7">
      <w:pPr>
        <w:pStyle w:val="EndnoteText"/>
        <w:rPr>
          <w:rFonts w:ascii="Garamond" w:hAnsi="Garamond"/>
          <w:sz w:val="16"/>
          <w:szCs w:val="16"/>
        </w:rPr>
      </w:pPr>
      <w:r w:rsidRPr="00776D93">
        <w:rPr>
          <w:rStyle w:val="EndnoteReference"/>
          <w:rFonts w:ascii="Garamond" w:hAnsi="Garamond"/>
          <w:sz w:val="16"/>
          <w:szCs w:val="16"/>
        </w:rPr>
        <w:endnoteRef/>
      </w:r>
      <w:r w:rsidRPr="00776D93">
        <w:rPr>
          <w:rFonts w:ascii="Garamond" w:hAnsi="Garamond"/>
          <w:sz w:val="16"/>
          <w:szCs w:val="16"/>
        </w:rPr>
        <w:t xml:space="preserve"> EIB: educación intercultural bilingüe</w:t>
      </w:r>
    </w:p>
  </w:endnote>
  <w:endnote w:id="119">
    <w:p w:rsidR="00C76EA7" w:rsidRPr="00776D93" w:rsidRDefault="00C76EA7" w:rsidP="00FE0DE5">
      <w:pPr>
        <w:pStyle w:val="EndnoteText"/>
        <w:jc w:val="both"/>
        <w:rPr>
          <w:rFonts w:ascii="Garamond" w:hAnsi="Garamond"/>
          <w:sz w:val="16"/>
          <w:szCs w:val="16"/>
          <w:lang w:val="es-ES_tradnl"/>
        </w:rPr>
      </w:pPr>
      <w:r w:rsidRPr="00776D93">
        <w:rPr>
          <w:rStyle w:val="EndnoteReference"/>
          <w:rFonts w:ascii="Garamond" w:hAnsi="Garamond"/>
          <w:sz w:val="16"/>
          <w:szCs w:val="16"/>
          <w:lang w:val="es-ES_tradnl"/>
        </w:rPr>
        <w:endnoteRef/>
      </w:r>
      <w:r w:rsidRPr="00776D93">
        <w:rPr>
          <w:rFonts w:ascii="Garamond" w:hAnsi="Garamond"/>
          <w:sz w:val="16"/>
          <w:szCs w:val="16"/>
          <w:lang w:val="es-ES_tradnl"/>
        </w:rPr>
        <w:t xml:space="preserve"> Lenguas andinas: aimara: nivel satisfactorio 0%, castellano 26,3%; quechua chanka: logro satisfactorio 3,1%, castellano 21,7%; quechua collao: nivel satisfactorio 18,9 %, castellano 18,1%. Lenguas amazónicas: awajún: 18,9% logro satisfactorio, castellano 2,1%; ashaninka: 2,9 satisfactorio, castellano 4,5%; shipibo-conibo: 10,1% satisfactorio, castellano 6,9%. </w:t>
      </w:r>
    </w:p>
  </w:endnote>
  <w:endnote w:id="120">
    <w:p w:rsidR="00C76EA7" w:rsidRPr="00776D93" w:rsidRDefault="00C76EA7" w:rsidP="00FE0DE5">
      <w:pPr>
        <w:pStyle w:val="EndnoteText"/>
        <w:jc w:val="both"/>
        <w:rPr>
          <w:rFonts w:ascii="Garamond" w:hAnsi="Garamond"/>
          <w:sz w:val="16"/>
          <w:szCs w:val="16"/>
          <w:lang w:val="es-ES"/>
        </w:rPr>
      </w:pPr>
      <w:r w:rsidRPr="00776D93">
        <w:rPr>
          <w:rStyle w:val="EndnoteReference"/>
          <w:rFonts w:ascii="Garamond" w:hAnsi="Garamond"/>
          <w:sz w:val="16"/>
          <w:szCs w:val="16"/>
        </w:rPr>
        <w:endnoteRef/>
      </w:r>
      <w:r w:rsidRPr="00776D93">
        <w:rPr>
          <w:rFonts w:ascii="Garamond" w:hAnsi="Garamond"/>
          <w:sz w:val="16"/>
          <w:szCs w:val="16"/>
        </w:rPr>
        <w:t xml:space="preserve"> </w:t>
      </w:r>
      <w:r w:rsidRPr="00776D93">
        <w:rPr>
          <w:rFonts w:ascii="Garamond" w:eastAsia="Times New Roman" w:hAnsi="Garamond" w:cs="Arial"/>
          <w:color w:val="202124"/>
          <w:sz w:val="16"/>
          <w:szCs w:val="16"/>
          <w:shd w:val="clear" w:color="auto" w:fill="FFFFFF"/>
          <w:lang w:val="es-ES_tradnl"/>
        </w:rPr>
        <w:t>Plan de Atención Educativa a la Población Escolar Afroperuana 2019-2020</w:t>
      </w:r>
    </w:p>
  </w:endnote>
  <w:endnote w:id="121">
    <w:p w:rsidR="00C76EA7" w:rsidRPr="00776D93" w:rsidRDefault="00C76EA7" w:rsidP="00FE0DE5">
      <w:pPr>
        <w:pStyle w:val="EndnoteText"/>
        <w:jc w:val="both"/>
        <w:rPr>
          <w:rFonts w:ascii="Garamond" w:hAnsi="Garamond"/>
          <w:sz w:val="16"/>
          <w:szCs w:val="16"/>
          <w:lang w:val="es-ES"/>
        </w:rPr>
      </w:pPr>
      <w:r w:rsidRPr="00776D93">
        <w:rPr>
          <w:rStyle w:val="EndnoteReference"/>
          <w:rFonts w:ascii="Garamond" w:hAnsi="Garamond"/>
          <w:sz w:val="16"/>
          <w:szCs w:val="16"/>
          <w:lang w:val="es-ES_tradnl"/>
        </w:rPr>
        <w:endnoteRef/>
      </w:r>
      <w:r w:rsidRPr="00776D93">
        <w:rPr>
          <w:rFonts w:ascii="Garamond" w:hAnsi="Garamond"/>
          <w:sz w:val="16"/>
          <w:szCs w:val="16"/>
          <w:lang w:val="es-ES_tradnl"/>
        </w:rPr>
        <w:t xml:space="preserve"> ¡Aquí estamos! Niñas, niños y adolescentes afroperuanos.</w:t>
      </w:r>
      <w:r w:rsidRPr="00776D93">
        <w:rPr>
          <w:rFonts w:ascii="Garamond" w:hAnsi="Garamond"/>
          <w:sz w:val="16"/>
          <w:szCs w:val="16"/>
        </w:rPr>
        <w:t xml:space="preserve"> </w:t>
      </w:r>
      <w:r w:rsidRPr="00776D93">
        <w:rPr>
          <w:rFonts w:ascii="Garamond" w:hAnsi="Garamond"/>
          <w:sz w:val="16"/>
          <w:szCs w:val="16"/>
          <w:lang w:val="es-ES"/>
        </w:rPr>
        <w:t xml:space="preserve">Estudio CEDET, Plan Internacional y UNICEF. </w:t>
      </w:r>
      <w:r w:rsidRPr="00776D93">
        <w:rPr>
          <w:rFonts w:ascii="Garamond" w:hAnsi="Garamond"/>
          <w:sz w:val="16"/>
          <w:szCs w:val="16"/>
        </w:rPr>
        <w:t>Lima. 2013.</w:t>
      </w:r>
    </w:p>
  </w:endnote>
  <w:endnote w:id="122">
    <w:p w:rsidR="00C76EA7" w:rsidRPr="00776D93" w:rsidRDefault="00C76EA7" w:rsidP="00FE0DE5">
      <w:pPr>
        <w:pStyle w:val="EndnoteText"/>
        <w:jc w:val="both"/>
        <w:rPr>
          <w:rFonts w:ascii="Garamond" w:hAnsi="Garamond" w:cs="Times New Roman"/>
          <w:sz w:val="16"/>
          <w:szCs w:val="16"/>
          <w:lang w:val="es-ES"/>
        </w:rPr>
      </w:pPr>
      <w:r w:rsidRPr="00776D93">
        <w:rPr>
          <w:rStyle w:val="EndnoteReference"/>
          <w:rFonts w:ascii="Garamond" w:hAnsi="Garamond" w:cs="Times New Roman"/>
          <w:sz w:val="16"/>
          <w:szCs w:val="16"/>
        </w:rPr>
        <w:endnoteRef/>
      </w:r>
      <w:r w:rsidRPr="00776D93">
        <w:rPr>
          <w:rFonts w:ascii="Garamond" w:hAnsi="Garamond" w:cs="Times New Roman"/>
          <w:sz w:val="16"/>
          <w:szCs w:val="16"/>
        </w:rPr>
        <w:t xml:space="preserve"> </w:t>
      </w:r>
      <w:r w:rsidRPr="00776D93">
        <w:rPr>
          <w:rFonts w:ascii="Garamond" w:hAnsi="Garamond" w:cs="Times New Roman"/>
          <w:sz w:val="16"/>
          <w:szCs w:val="16"/>
          <w:lang w:val="es-ES"/>
        </w:rPr>
        <w:t xml:space="preserve">Costa: varones CD analfabetos 19,2%, mujeres 31,9%; Sierra: varones CD analfabetos 22,6%, mujeres 49,4%; Selva: varones CD analfabetos 23,5%, mujeres 42,3% </w:t>
      </w:r>
    </w:p>
  </w:endnote>
  <w:endnote w:id="123">
    <w:p w:rsidR="00C76EA7" w:rsidRPr="00776D93" w:rsidRDefault="00C76EA7" w:rsidP="00FE0DE5">
      <w:pPr>
        <w:pStyle w:val="EndnoteText"/>
        <w:jc w:val="both"/>
        <w:rPr>
          <w:rFonts w:ascii="Garamond" w:hAnsi="Garamond" w:cs="Times New Roman"/>
          <w:sz w:val="16"/>
          <w:szCs w:val="16"/>
          <w:lang w:val="es-ES"/>
        </w:rPr>
      </w:pPr>
      <w:r w:rsidRPr="00776D93">
        <w:rPr>
          <w:rStyle w:val="EndnoteReference"/>
          <w:rFonts w:ascii="Garamond" w:hAnsi="Garamond" w:cs="Times New Roman"/>
          <w:sz w:val="16"/>
          <w:szCs w:val="16"/>
        </w:rPr>
        <w:endnoteRef/>
      </w:r>
      <w:r w:rsidRPr="00776D93">
        <w:rPr>
          <w:rFonts w:ascii="Garamond" w:hAnsi="Garamond" w:cs="Times New Roman"/>
          <w:sz w:val="16"/>
          <w:szCs w:val="16"/>
        </w:rPr>
        <w:t xml:space="preserve"> </w:t>
      </w:r>
      <w:r w:rsidRPr="00776D93">
        <w:rPr>
          <w:rFonts w:ascii="Garamond" w:hAnsi="Garamond" w:cs="Times New Roman"/>
          <w:sz w:val="16"/>
          <w:szCs w:val="16"/>
          <w:lang w:val="es-ES_tradnl"/>
        </w:rPr>
        <w:t>Aporte de CODIP, Comisión de Damas Invidentes del Perú.</w:t>
      </w:r>
      <w:r w:rsidRPr="00776D93">
        <w:rPr>
          <w:rFonts w:ascii="Garamond" w:hAnsi="Garamond" w:cs="Times New Roman"/>
          <w:sz w:val="16"/>
          <w:szCs w:val="16"/>
        </w:rPr>
        <w:t xml:space="preserve"> </w:t>
      </w:r>
    </w:p>
  </w:endnote>
  <w:endnote w:id="124">
    <w:p w:rsidR="00C76EA7" w:rsidRPr="00776D93" w:rsidRDefault="00C76EA7" w:rsidP="00FE0DE5">
      <w:pPr>
        <w:pStyle w:val="EndnoteText"/>
        <w:jc w:val="both"/>
        <w:rPr>
          <w:rFonts w:ascii="Garamond" w:hAnsi="Garamond"/>
          <w:sz w:val="16"/>
          <w:szCs w:val="16"/>
          <w:lang w:val="es-ES"/>
        </w:rPr>
      </w:pPr>
      <w:r w:rsidRPr="00776D93">
        <w:rPr>
          <w:rStyle w:val="EndnoteReference"/>
          <w:rFonts w:ascii="Garamond" w:hAnsi="Garamond" w:cs="Times New Roman"/>
          <w:sz w:val="16"/>
          <w:szCs w:val="16"/>
        </w:rPr>
        <w:endnoteRef/>
      </w:r>
      <w:r w:rsidRPr="00776D93">
        <w:rPr>
          <w:rFonts w:ascii="Garamond" w:hAnsi="Garamond" w:cs="Times New Roman"/>
          <w:sz w:val="16"/>
          <w:szCs w:val="16"/>
        </w:rPr>
        <w:t xml:space="preserve"> </w:t>
      </w:r>
      <w:r w:rsidRPr="00776D93">
        <w:rPr>
          <w:rFonts w:ascii="Garamond" w:hAnsi="Garamond" w:cs="Times New Roman"/>
          <w:sz w:val="16"/>
          <w:szCs w:val="16"/>
          <w:lang w:val="es-ES"/>
        </w:rPr>
        <w:t xml:space="preserve">116.104. Honduras, </w:t>
      </w:r>
      <w:r w:rsidRPr="00776D93">
        <w:rPr>
          <w:rFonts w:ascii="Garamond" w:hAnsi="Garamond" w:cs="Times New Roman"/>
          <w:bCs/>
          <w:sz w:val="16"/>
          <w:szCs w:val="16"/>
          <w:lang w:val="es-UY" w:eastAsia="es-UY"/>
        </w:rPr>
        <w:t xml:space="preserve">Sistema educativo accesible y responde a las necesidades específicas de los niños trabajadores. </w:t>
      </w:r>
    </w:p>
  </w:endnote>
  <w:endnote w:id="125">
    <w:p w:rsidR="00C76EA7" w:rsidRPr="00776D93" w:rsidRDefault="00C76EA7" w:rsidP="00FE0DE5">
      <w:pPr>
        <w:spacing w:after="0" w:line="240" w:lineRule="auto"/>
        <w:jc w:val="both"/>
        <w:rPr>
          <w:rFonts w:ascii="Garamond" w:eastAsia="Times New Roman" w:hAnsi="Garamond"/>
          <w:color w:val="000000" w:themeColor="text1"/>
          <w:sz w:val="16"/>
          <w:szCs w:val="16"/>
        </w:rPr>
      </w:pPr>
      <w:r w:rsidRPr="00776D93">
        <w:rPr>
          <w:rStyle w:val="EndnoteReference"/>
          <w:rFonts w:ascii="Garamond" w:hAnsi="Garamond"/>
          <w:sz w:val="16"/>
          <w:szCs w:val="16"/>
        </w:rPr>
        <w:endnoteRef/>
      </w:r>
      <w:r w:rsidRPr="00776D93">
        <w:rPr>
          <w:rFonts w:ascii="Garamond" w:hAnsi="Garamond"/>
          <w:sz w:val="16"/>
          <w:szCs w:val="16"/>
        </w:rPr>
        <w:t xml:space="preserve"> 111.89. Portugal; 111.144. Angola; 111.145 Honduras, </w:t>
      </w:r>
      <w:r w:rsidRPr="00776D93">
        <w:rPr>
          <w:rFonts w:ascii="Garamond" w:eastAsia="Times New Roman" w:hAnsi="Garamond"/>
          <w:color w:val="000000" w:themeColor="text1"/>
          <w:sz w:val="16"/>
          <w:szCs w:val="16"/>
        </w:rPr>
        <w:t xml:space="preserve">Incrementar la edad mínima para la admisión a empleo a 16 años y prohibir todas las formas de trabajo peligroso para niños menores de 18 años de edad, y </w:t>
      </w:r>
      <w:r w:rsidRPr="00776D93">
        <w:rPr>
          <w:rFonts w:ascii="Garamond" w:eastAsia="Times New Roman" w:hAnsi="Garamond"/>
          <w:bCs/>
          <w:color w:val="000000" w:themeColor="text1"/>
          <w:sz w:val="16"/>
          <w:szCs w:val="16"/>
        </w:rPr>
        <w:t>permitir su reintegración en el sistema escolar</w:t>
      </w:r>
      <w:r w:rsidRPr="00776D93">
        <w:rPr>
          <w:rFonts w:ascii="Garamond" w:eastAsia="Times New Roman" w:hAnsi="Garamond"/>
          <w:color w:val="000000" w:themeColor="text1"/>
          <w:sz w:val="16"/>
          <w:szCs w:val="16"/>
        </w:rPr>
        <w:t xml:space="preserve"> o crear un programa de incentivos para la permanencia en el sistema educativo. </w:t>
      </w:r>
    </w:p>
  </w:endnote>
  <w:endnote w:id="126">
    <w:p w:rsidR="00C76EA7" w:rsidRPr="00776D93" w:rsidRDefault="00C76EA7" w:rsidP="00FE0DE5">
      <w:pPr>
        <w:shd w:val="clear" w:color="auto" w:fill="FFFFFF"/>
        <w:spacing w:after="0" w:line="240" w:lineRule="auto"/>
        <w:jc w:val="both"/>
        <w:rPr>
          <w:rFonts w:ascii="Garamond" w:hAnsi="Garamond"/>
          <w:sz w:val="16"/>
          <w:szCs w:val="16"/>
        </w:rPr>
      </w:pPr>
      <w:r w:rsidRPr="00776D93">
        <w:rPr>
          <w:rStyle w:val="EndnoteReference"/>
          <w:rFonts w:ascii="Garamond" w:hAnsi="Garamond"/>
          <w:sz w:val="16"/>
          <w:szCs w:val="16"/>
        </w:rPr>
        <w:endnoteRef/>
      </w:r>
      <w:r w:rsidRPr="00776D93">
        <w:rPr>
          <w:rFonts w:ascii="Garamond" w:hAnsi="Garamond"/>
          <w:sz w:val="16"/>
          <w:szCs w:val="16"/>
        </w:rPr>
        <w:t xml:space="preserve"> </w:t>
      </w:r>
      <w:r w:rsidRPr="00776D93">
        <w:rPr>
          <w:rFonts w:ascii="Garamond" w:hAnsi="Garamond"/>
          <w:color w:val="000000"/>
          <w:sz w:val="16"/>
          <w:szCs w:val="16"/>
        </w:rPr>
        <w:t>111.181 Adoptar medidas específicas y eficaces para garantizar el acceso de los trabajadores migratorios a la educación básica y la atención de la salud; y su protección contra los malos tratos mediante la concesión de recursos judiciales y administrativos.</w:t>
      </w:r>
    </w:p>
  </w:endnote>
  <w:endnote w:id="127">
    <w:p w:rsidR="00C76EA7" w:rsidRPr="00776D93" w:rsidRDefault="00C76EA7" w:rsidP="00FE0DE5">
      <w:pPr>
        <w:pStyle w:val="EndnoteText"/>
        <w:jc w:val="both"/>
        <w:rPr>
          <w:rFonts w:ascii="Garamond" w:hAnsi="Garamond"/>
          <w:sz w:val="16"/>
          <w:szCs w:val="16"/>
          <w:lang w:val="es-ES"/>
        </w:rPr>
      </w:pPr>
      <w:r w:rsidRPr="00776D93">
        <w:rPr>
          <w:rStyle w:val="EndnoteReference"/>
          <w:rFonts w:ascii="Garamond" w:hAnsi="Garamond"/>
          <w:sz w:val="16"/>
          <w:szCs w:val="16"/>
        </w:rPr>
        <w:endnoteRef/>
      </w:r>
      <w:r w:rsidRPr="00776D93">
        <w:rPr>
          <w:rFonts w:ascii="Garamond" w:hAnsi="Garamond"/>
          <w:sz w:val="16"/>
          <w:szCs w:val="16"/>
        </w:rPr>
        <w:t xml:space="preserve"> </w:t>
      </w:r>
      <w:r w:rsidRPr="00776D93">
        <w:rPr>
          <w:rFonts w:ascii="Garamond" w:hAnsi="Garamond"/>
          <w:sz w:val="16"/>
          <w:szCs w:val="16"/>
          <w:lang w:val="es-ES"/>
        </w:rPr>
        <w:t>Aportes de Aldeas Infantiles SOS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Light">
    <w:charset w:val="00"/>
    <w:family w:val="auto"/>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85F" w:rsidRDefault="0025585F">
      <w:pPr>
        <w:spacing w:after="0" w:line="240" w:lineRule="auto"/>
      </w:pPr>
      <w:r>
        <w:separator/>
      </w:r>
    </w:p>
  </w:footnote>
  <w:footnote w:type="continuationSeparator" w:id="0">
    <w:p w:rsidR="0025585F" w:rsidRDefault="002558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EA7" w:rsidRDefault="00C76EA7">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F754A"/>
    <w:multiLevelType w:val="multilevel"/>
    <w:tmpl w:val="E4D8D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453D29"/>
    <w:multiLevelType w:val="hybridMultilevel"/>
    <w:tmpl w:val="0BB432E4"/>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 w15:restartNumberingAfterBreak="0">
    <w:nsid w:val="133D51F9"/>
    <w:multiLevelType w:val="multilevel"/>
    <w:tmpl w:val="FE9E82FE"/>
    <w:lvl w:ilvl="0">
      <w:start w:val="1"/>
      <w:numFmt w:val="decimal"/>
      <w:lvlText w:val="%1."/>
      <w:lvlJc w:val="left"/>
      <w:pPr>
        <w:ind w:left="720" w:hanging="360"/>
      </w:pPr>
      <w:rPr>
        <w:rFonts w:ascii="Garamond" w:eastAsia="Garamond" w:hAnsi="Garamond" w:cs="Garamond"/>
        <w:sz w:val="24"/>
        <w:szCs w:val="24"/>
      </w:rPr>
    </w:lvl>
    <w:lvl w:ilvl="1">
      <w:start w:val="1"/>
      <w:numFmt w:val="decimal"/>
      <w:lvlText w:val="%1.%2."/>
      <w:lvlJc w:val="left"/>
      <w:pPr>
        <w:ind w:left="1440" w:hanging="720"/>
      </w:pPr>
      <w:rPr>
        <w:rFonts w:ascii="Garamond" w:eastAsia="Garamond" w:hAnsi="Garamond" w:cs="Garamond"/>
        <w:sz w:val="24"/>
        <w:szCs w:val="24"/>
      </w:rPr>
    </w:lvl>
    <w:lvl w:ilvl="2">
      <w:start w:val="1"/>
      <w:numFmt w:val="decimal"/>
      <w:lvlText w:val="%1.%2.%3."/>
      <w:lvlJc w:val="left"/>
      <w:pPr>
        <w:ind w:left="1800" w:hanging="720"/>
      </w:pPr>
      <w:rPr>
        <w:rFonts w:ascii="Garamond" w:eastAsia="Garamond" w:hAnsi="Garamond" w:cs="Garamond"/>
        <w:sz w:val="24"/>
        <w:szCs w:val="24"/>
      </w:rPr>
    </w:lvl>
    <w:lvl w:ilvl="3">
      <w:start w:val="1"/>
      <w:numFmt w:val="decimal"/>
      <w:lvlText w:val="%1.%2.%3.%4."/>
      <w:lvlJc w:val="left"/>
      <w:pPr>
        <w:ind w:left="2520" w:hanging="1080"/>
      </w:pPr>
      <w:rPr>
        <w:rFonts w:ascii="Garamond" w:eastAsia="Garamond" w:hAnsi="Garamond" w:cs="Garamond"/>
        <w:sz w:val="24"/>
        <w:szCs w:val="24"/>
      </w:rPr>
    </w:lvl>
    <w:lvl w:ilvl="4">
      <w:start w:val="1"/>
      <w:numFmt w:val="decimal"/>
      <w:lvlText w:val="%1.%2.%3.%4.%5."/>
      <w:lvlJc w:val="left"/>
      <w:pPr>
        <w:ind w:left="2880" w:hanging="1080"/>
      </w:pPr>
      <w:rPr>
        <w:rFonts w:ascii="Garamond" w:eastAsia="Garamond" w:hAnsi="Garamond" w:cs="Garamond"/>
        <w:sz w:val="24"/>
        <w:szCs w:val="24"/>
      </w:rPr>
    </w:lvl>
    <w:lvl w:ilvl="5">
      <w:start w:val="1"/>
      <w:numFmt w:val="decimal"/>
      <w:lvlText w:val="%1.%2.%3.%4.%5.%6."/>
      <w:lvlJc w:val="left"/>
      <w:pPr>
        <w:ind w:left="3600" w:hanging="1440"/>
      </w:pPr>
      <w:rPr>
        <w:rFonts w:ascii="Garamond" w:eastAsia="Garamond" w:hAnsi="Garamond" w:cs="Garamond"/>
        <w:sz w:val="24"/>
        <w:szCs w:val="24"/>
      </w:rPr>
    </w:lvl>
    <w:lvl w:ilvl="6">
      <w:start w:val="1"/>
      <w:numFmt w:val="decimal"/>
      <w:lvlText w:val="%1.%2.%3.%4.%5.%6.%7."/>
      <w:lvlJc w:val="left"/>
      <w:pPr>
        <w:ind w:left="4320" w:hanging="1800"/>
      </w:pPr>
      <w:rPr>
        <w:rFonts w:ascii="Garamond" w:eastAsia="Garamond" w:hAnsi="Garamond" w:cs="Garamond"/>
        <w:sz w:val="24"/>
        <w:szCs w:val="24"/>
      </w:rPr>
    </w:lvl>
    <w:lvl w:ilvl="7">
      <w:start w:val="1"/>
      <w:numFmt w:val="decimal"/>
      <w:lvlText w:val="%1.%2.%3.%4.%5.%6.%7.%8."/>
      <w:lvlJc w:val="left"/>
      <w:pPr>
        <w:ind w:left="4680" w:hanging="1800"/>
      </w:pPr>
      <w:rPr>
        <w:rFonts w:ascii="Garamond" w:eastAsia="Garamond" w:hAnsi="Garamond" w:cs="Garamond"/>
        <w:sz w:val="24"/>
        <w:szCs w:val="24"/>
      </w:rPr>
    </w:lvl>
    <w:lvl w:ilvl="8">
      <w:start w:val="1"/>
      <w:numFmt w:val="decimal"/>
      <w:lvlText w:val="%1.%2.%3.%4.%5.%6.%7.%8.%9."/>
      <w:lvlJc w:val="left"/>
      <w:pPr>
        <w:ind w:left="5400" w:hanging="2160"/>
      </w:pPr>
      <w:rPr>
        <w:rFonts w:ascii="Garamond" w:eastAsia="Garamond" w:hAnsi="Garamond" w:cs="Garamond"/>
        <w:sz w:val="24"/>
        <w:szCs w:val="24"/>
      </w:rPr>
    </w:lvl>
  </w:abstractNum>
  <w:abstractNum w:abstractNumId="3" w15:restartNumberingAfterBreak="0">
    <w:nsid w:val="17C40099"/>
    <w:multiLevelType w:val="hybridMultilevel"/>
    <w:tmpl w:val="3A2E7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D6024A"/>
    <w:multiLevelType w:val="multilevel"/>
    <w:tmpl w:val="FF7A75B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D430D41"/>
    <w:multiLevelType w:val="multilevel"/>
    <w:tmpl w:val="48682CC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30724CB0"/>
    <w:multiLevelType w:val="hybridMultilevel"/>
    <w:tmpl w:val="E1866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440553"/>
    <w:multiLevelType w:val="multilevel"/>
    <w:tmpl w:val="CB0C47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B9D7870"/>
    <w:multiLevelType w:val="multilevel"/>
    <w:tmpl w:val="654206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C4707D8"/>
    <w:multiLevelType w:val="multilevel"/>
    <w:tmpl w:val="4F746CD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4CBA45C2"/>
    <w:multiLevelType w:val="multilevel"/>
    <w:tmpl w:val="D890A9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2793D04"/>
    <w:multiLevelType w:val="multilevel"/>
    <w:tmpl w:val="0ED2E0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8025310"/>
    <w:multiLevelType w:val="multilevel"/>
    <w:tmpl w:val="87A899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6AD2589E"/>
    <w:multiLevelType w:val="multilevel"/>
    <w:tmpl w:val="B66CF3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8F52725"/>
    <w:multiLevelType w:val="multilevel"/>
    <w:tmpl w:val="C5FCCC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C7570A0"/>
    <w:multiLevelType w:val="hybridMultilevel"/>
    <w:tmpl w:val="D9760CB0"/>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num w:numId="1">
    <w:abstractNumId w:val="9"/>
  </w:num>
  <w:num w:numId="2">
    <w:abstractNumId w:val="5"/>
  </w:num>
  <w:num w:numId="3">
    <w:abstractNumId w:val="14"/>
  </w:num>
  <w:num w:numId="4">
    <w:abstractNumId w:val="10"/>
  </w:num>
  <w:num w:numId="5">
    <w:abstractNumId w:val="2"/>
  </w:num>
  <w:num w:numId="6">
    <w:abstractNumId w:val="12"/>
  </w:num>
  <w:num w:numId="7">
    <w:abstractNumId w:val="4"/>
  </w:num>
  <w:num w:numId="8">
    <w:abstractNumId w:val="8"/>
  </w:num>
  <w:num w:numId="9">
    <w:abstractNumId w:val="0"/>
  </w:num>
  <w:num w:numId="10">
    <w:abstractNumId w:val="7"/>
  </w:num>
  <w:num w:numId="11">
    <w:abstractNumId w:val="13"/>
  </w:num>
  <w:num w:numId="12">
    <w:abstractNumId w:val="11"/>
  </w:num>
  <w:num w:numId="13">
    <w:abstractNumId w:val="6"/>
  </w:num>
  <w:num w:numId="14">
    <w:abstractNumId w:val="15"/>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919"/>
    <w:rsid w:val="00031D4D"/>
    <w:rsid w:val="00064D46"/>
    <w:rsid w:val="000863E6"/>
    <w:rsid w:val="00117121"/>
    <w:rsid w:val="00133919"/>
    <w:rsid w:val="00171314"/>
    <w:rsid w:val="00175861"/>
    <w:rsid w:val="00180E79"/>
    <w:rsid w:val="001B6DEB"/>
    <w:rsid w:val="002413DC"/>
    <w:rsid w:val="0025585F"/>
    <w:rsid w:val="00283A31"/>
    <w:rsid w:val="00284A7B"/>
    <w:rsid w:val="00291A97"/>
    <w:rsid w:val="002A32A9"/>
    <w:rsid w:val="002B1330"/>
    <w:rsid w:val="00334116"/>
    <w:rsid w:val="0044391E"/>
    <w:rsid w:val="00475F3E"/>
    <w:rsid w:val="004B1D93"/>
    <w:rsid w:val="005276D5"/>
    <w:rsid w:val="00541E0C"/>
    <w:rsid w:val="00552D89"/>
    <w:rsid w:val="00681206"/>
    <w:rsid w:val="006973FE"/>
    <w:rsid w:val="006C47D3"/>
    <w:rsid w:val="00753FE4"/>
    <w:rsid w:val="00776D93"/>
    <w:rsid w:val="007B5FCE"/>
    <w:rsid w:val="007C4C69"/>
    <w:rsid w:val="007E0494"/>
    <w:rsid w:val="00812DBF"/>
    <w:rsid w:val="0086081F"/>
    <w:rsid w:val="008629DA"/>
    <w:rsid w:val="008D1B46"/>
    <w:rsid w:val="008D78E6"/>
    <w:rsid w:val="0091000A"/>
    <w:rsid w:val="00975F39"/>
    <w:rsid w:val="00B766C4"/>
    <w:rsid w:val="00B8046E"/>
    <w:rsid w:val="00BC04DA"/>
    <w:rsid w:val="00BE19A0"/>
    <w:rsid w:val="00BE38C2"/>
    <w:rsid w:val="00C10CEC"/>
    <w:rsid w:val="00C76EA7"/>
    <w:rsid w:val="00CC3C7C"/>
    <w:rsid w:val="00D75B77"/>
    <w:rsid w:val="00DA7AF0"/>
    <w:rsid w:val="00DC7449"/>
    <w:rsid w:val="00E14E0E"/>
    <w:rsid w:val="00E33A73"/>
    <w:rsid w:val="00E35204"/>
    <w:rsid w:val="00E4667A"/>
    <w:rsid w:val="00E54B5B"/>
    <w:rsid w:val="00E678BA"/>
    <w:rsid w:val="00EF0F30"/>
    <w:rsid w:val="00F4477C"/>
    <w:rsid w:val="00F51031"/>
    <w:rsid w:val="00F871B9"/>
    <w:rsid w:val="00FA135D"/>
    <w:rsid w:val="00FD264B"/>
    <w:rsid w:val="00FE0DE5"/>
    <w:rsid w:val="00FE7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15:docId w15:val="{C74DC705-C484-474E-BD68-87052CE39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paragraph" w:styleId="Header">
    <w:name w:val="header"/>
    <w:basedOn w:val="Normal"/>
    <w:link w:val="HeaderChar"/>
    <w:uiPriority w:val="99"/>
    <w:unhideWhenUsed/>
    <w:rsid w:val="004E14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140D"/>
  </w:style>
  <w:style w:type="paragraph" w:styleId="Footer">
    <w:name w:val="footer"/>
    <w:basedOn w:val="Normal"/>
    <w:link w:val="FooterChar"/>
    <w:uiPriority w:val="99"/>
    <w:unhideWhenUsed/>
    <w:rsid w:val="004E14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140D"/>
  </w:style>
  <w:style w:type="table" w:styleId="TableGrid">
    <w:name w:val="Table Grid"/>
    <w:basedOn w:val="TableNormal"/>
    <w:uiPriority w:val="39"/>
    <w:rsid w:val="004E1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9F3906"/>
    <w:pPr>
      <w:spacing w:after="200" w:line="276" w:lineRule="auto"/>
      <w:ind w:left="720"/>
    </w:pPr>
    <w:rPr>
      <w:rFonts w:eastAsia="Times New Roman" w:cs="Times New Roman"/>
      <w:lang w:eastAsia="es-PE"/>
    </w:rPr>
  </w:style>
  <w:style w:type="table" w:styleId="GridTable6Colorful-Accent5">
    <w:name w:val="Grid Table 6 Colorful Accent 5"/>
    <w:basedOn w:val="TableNormal"/>
    <w:uiPriority w:val="51"/>
    <w:rsid w:val="009F3906"/>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FootnoteText">
    <w:name w:val="footnote text"/>
    <w:basedOn w:val="Normal"/>
    <w:link w:val="FootnoteTextChar"/>
    <w:uiPriority w:val="99"/>
    <w:unhideWhenUsed/>
    <w:rsid w:val="002C544E"/>
    <w:pPr>
      <w:spacing w:after="0" w:line="240" w:lineRule="auto"/>
    </w:pPr>
    <w:rPr>
      <w:sz w:val="20"/>
      <w:szCs w:val="20"/>
    </w:rPr>
  </w:style>
  <w:style w:type="character" w:customStyle="1" w:styleId="FootnoteTextChar">
    <w:name w:val="Footnote Text Char"/>
    <w:basedOn w:val="DefaultParagraphFont"/>
    <w:link w:val="FootnoteText"/>
    <w:uiPriority w:val="99"/>
    <w:rsid w:val="002C544E"/>
    <w:rPr>
      <w:sz w:val="20"/>
      <w:szCs w:val="20"/>
    </w:rPr>
  </w:style>
  <w:style w:type="character" w:styleId="FootnoteReference">
    <w:name w:val="footnote reference"/>
    <w:basedOn w:val="DefaultParagraphFont"/>
    <w:uiPriority w:val="99"/>
    <w:unhideWhenUsed/>
    <w:rsid w:val="002C544E"/>
    <w:rPr>
      <w:vertAlign w:val="superscript"/>
    </w:rPr>
  </w:style>
  <w:style w:type="character" w:styleId="Hyperlink">
    <w:name w:val="Hyperlink"/>
    <w:basedOn w:val="DefaultParagraphFont"/>
    <w:uiPriority w:val="99"/>
    <w:unhideWhenUsed/>
    <w:rsid w:val="002C544E"/>
    <w:rPr>
      <w:color w:val="0000FF"/>
      <w:u w:val="single"/>
    </w:rPr>
  </w:style>
  <w:style w:type="paragraph" w:styleId="ListParagraph">
    <w:name w:val="List Paragraph"/>
    <w:aliases w:val="Titulo de Fígura,TITULO A"/>
    <w:basedOn w:val="Normal"/>
    <w:link w:val="ListParagraphChar"/>
    <w:uiPriority w:val="34"/>
    <w:qFormat/>
    <w:rsid w:val="004A7D5B"/>
    <w:pPr>
      <w:ind w:left="720"/>
      <w:contextualSpacing/>
    </w:pPr>
  </w:style>
  <w:style w:type="character" w:customStyle="1" w:styleId="ListParagraphChar">
    <w:name w:val="List Paragraph Char"/>
    <w:aliases w:val="Titulo de Fígura Char,TITULO A Char"/>
    <w:link w:val="ListParagraph"/>
    <w:uiPriority w:val="34"/>
    <w:locked/>
    <w:rsid w:val="00584BAC"/>
    <w:rPr>
      <w:lang w:val="es-P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3"/>
    <w:pPr>
      <w:spacing w:after="0" w:line="240" w:lineRule="auto"/>
    </w:pPr>
    <w:rPr>
      <w:color w:val="2F5496"/>
    </w:rPr>
    <w:tblPr>
      <w:tblStyleRowBandSize w:val="1"/>
      <w:tblStyleColBandSize w:val="1"/>
      <w:tblCellMar>
        <w:left w:w="108" w:type="dxa"/>
        <w:right w:w="108" w:type="dxa"/>
      </w:tblCellMar>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0">
    <w:basedOn w:val="TableNormal3"/>
    <w:pPr>
      <w:spacing w:after="0" w:line="240" w:lineRule="auto"/>
    </w:pPr>
    <w:rPr>
      <w:color w:val="2F5496"/>
    </w:rPr>
    <w:tblPr>
      <w:tblStyleRowBandSize w:val="1"/>
      <w:tblStyleColBandSize w:val="1"/>
      <w:tblCellMar>
        <w:left w:w="108" w:type="dxa"/>
        <w:right w:w="108" w:type="dxa"/>
      </w:tblCellMar>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paragraph" w:styleId="NormalWeb">
    <w:name w:val="Normal (Web)"/>
    <w:basedOn w:val="Normal"/>
    <w:uiPriority w:val="99"/>
    <w:semiHidden/>
    <w:unhideWhenUsed/>
    <w:rsid w:val="008C0702"/>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a1">
    <w:basedOn w:val="TableNormal2"/>
    <w:pPr>
      <w:spacing w:after="0" w:line="240" w:lineRule="auto"/>
    </w:pPr>
    <w:rPr>
      <w:color w:val="2F5496"/>
    </w:rPr>
    <w:tblPr>
      <w:tblStyleRowBandSize w:val="1"/>
      <w:tblStyleColBandSize w:val="1"/>
      <w:tblCellMar>
        <w:left w:w="108" w:type="dxa"/>
        <w:right w:w="108" w:type="dxa"/>
      </w:tblCellMar>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2">
    <w:basedOn w:val="TableNormal2"/>
    <w:tblPr>
      <w:tblStyleRowBandSize w:val="1"/>
      <w:tblStyleColBandSize w:val="1"/>
      <w:tblCellMar>
        <w:left w:w="115" w:type="dxa"/>
        <w:right w:w="115" w:type="dxa"/>
      </w:tblCellMar>
    </w:tblPr>
  </w:style>
  <w:style w:type="table" w:customStyle="1" w:styleId="a3">
    <w:basedOn w:val="TableNormal2"/>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CellMar>
        <w:left w:w="115" w:type="dxa"/>
        <w:right w:w="115" w:type="dxa"/>
      </w:tblCellMar>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left w:w="115" w:type="dxa"/>
        <w:right w:w="115" w:type="dxa"/>
      </w:tblCellMar>
    </w:tblPr>
  </w:style>
  <w:style w:type="table" w:customStyle="1" w:styleId="ac">
    <w:basedOn w:val="TableNormal2"/>
    <w:tblPr>
      <w:tblStyleRowBandSize w:val="1"/>
      <w:tblStyleColBandSize w:val="1"/>
      <w:tblCellMar>
        <w:left w:w="115" w:type="dxa"/>
        <w:right w:w="115" w:type="dxa"/>
      </w:tblCellMar>
    </w:tblPr>
  </w:style>
  <w:style w:type="table" w:customStyle="1" w:styleId="ad">
    <w:basedOn w:val="TableNormal2"/>
    <w:tblPr>
      <w:tblStyleRowBandSize w:val="1"/>
      <w:tblStyleColBandSize w:val="1"/>
      <w:tblCellMar>
        <w:left w:w="115" w:type="dxa"/>
        <w:right w:w="115" w:type="dxa"/>
      </w:tblCellMar>
    </w:tblPr>
  </w:style>
  <w:style w:type="table" w:customStyle="1" w:styleId="ae">
    <w:basedOn w:val="TableNormal2"/>
    <w:tblPr>
      <w:tblStyleRowBandSize w:val="1"/>
      <w:tblStyleColBandSize w:val="1"/>
      <w:tblCellMar>
        <w:left w:w="115" w:type="dxa"/>
        <w:right w:w="115" w:type="dxa"/>
      </w:tblCellMar>
    </w:tblPr>
  </w:style>
  <w:style w:type="table" w:customStyle="1" w:styleId="af">
    <w:basedOn w:val="TableNormal2"/>
    <w:tblPr>
      <w:tblStyleRowBandSize w:val="1"/>
      <w:tblStyleColBandSize w:val="1"/>
      <w:tblCellMar>
        <w:top w:w="100" w:type="dxa"/>
        <w:left w:w="100" w:type="dxa"/>
        <w:bottom w:w="100" w:type="dxa"/>
        <w:right w:w="100" w:type="dxa"/>
      </w:tblCellMar>
    </w:tblPr>
  </w:style>
  <w:style w:type="table" w:customStyle="1" w:styleId="af0">
    <w:basedOn w:val="TableNormal2"/>
    <w:tblPr>
      <w:tblStyleRowBandSize w:val="1"/>
      <w:tblStyleColBandSize w:val="1"/>
      <w:tblCellMar>
        <w:top w:w="100" w:type="dxa"/>
        <w:left w:w="100" w:type="dxa"/>
        <w:bottom w:w="100" w:type="dxa"/>
        <w:right w:w="100" w:type="dxa"/>
      </w:tblCellMar>
    </w:tblPr>
  </w:style>
  <w:style w:type="table" w:customStyle="1" w:styleId="af1">
    <w:basedOn w:val="TableNormal2"/>
    <w:tblPr>
      <w:tblStyleRowBandSize w:val="1"/>
      <w:tblStyleColBandSize w:val="1"/>
      <w:tblCellMar>
        <w:top w:w="100" w:type="dxa"/>
        <w:left w:w="100" w:type="dxa"/>
        <w:bottom w:w="100" w:type="dxa"/>
        <w:right w:w="100" w:type="dxa"/>
      </w:tblCellMar>
    </w:tblPr>
  </w:style>
  <w:style w:type="table" w:customStyle="1" w:styleId="af2">
    <w:basedOn w:val="TableNormal2"/>
    <w:tblPr>
      <w:tblStyleRowBandSize w:val="1"/>
      <w:tblStyleColBandSize w:val="1"/>
      <w:tblCellMar>
        <w:top w:w="100" w:type="dxa"/>
        <w:left w:w="100" w:type="dxa"/>
        <w:bottom w:w="100" w:type="dxa"/>
        <w:right w:w="100" w:type="dxa"/>
      </w:tblCellMar>
    </w:tblPr>
  </w:style>
  <w:style w:type="table" w:customStyle="1" w:styleId="af3">
    <w:basedOn w:val="TableNormal2"/>
    <w:tblPr>
      <w:tblStyleRowBandSize w:val="1"/>
      <w:tblStyleColBandSize w:val="1"/>
      <w:tblCellMar>
        <w:top w:w="100" w:type="dxa"/>
        <w:left w:w="100" w:type="dxa"/>
        <w:bottom w:w="100" w:type="dxa"/>
        <w:right w:w="100" w:type="dxa"/>
      </w:tblCellMar>
    </w:tblPr>
  </w:style>
  <w:style w:type="table" w:customStyle="1" w:styleId="af4">
    <w:basedOn w:val="TableNormal2"/>
    <w:tblPr>
      <w:tblStyleRowBandSize w:val="1"/>
      <w:tblStyleColBandSize w:val="1"/>
      <w:tblCellMar>
        <w:top w:w="100" w:type="dxa"/>
        <w:left w:w="100" w:type="dxa"/>
        <w:bottom w:w="100" w:type="dxa"/>
        <w:right w:w="100" w:type="dxa"/>
      </w:tblCellMar>
    </w:tblPr>
  </w:style>
  <w:style w:type="table" w:customStyle="1" w:styleId="af5">
    <w:basedOn w:val="TableNormal2"/>
    <w:tblPr>
      <w:tblStyleRowBandSize w:val="1"/>
      <w:tblStyleColBandSize w:val="1"/>
      <w:tblCellMar>
        <w:top w:w="100" w:type="dxa"/>
        <w:left w:w="100" w:type="dxa"/>
        <w:bottom w:w="100" w:type="dxa"/>
        <w:right w:w="100" w:type="dxa"/>
      </w:tblCellMar>
    </w:tblPr>
  </w:style>
  <w:style w:type="table" w:customStyle="1" w:styleId="af6">
    <w:basedOn w:val="TableNormal2"/>
    <w:pPr>
      <w:spacing w:after="0" w:line="240" w:lineRule="auto"/>
    </w:pPr>
    <w:rPr>
      <w:color w:val="2F5496"/>
    </w:rPr>
    <w:tblPr>
      <w:tblStyleRowBandSize w:val="1"/>
      <w:tblStyleColBandSize w:val="1"/>
      <w:tblCellMar>
        <w:left w:w="108" w:type="dxa"/>
        <w:right w:w="108" w:type="dxa"/>
      </w:tblCellMar>
    </w:tblPr>
  </w:style>
  <w:style w:type="paragraph" w:styleId="EndnoteText">
    <w:name w:val="endnote text"/>
    <w:basedOn w:val="Normal"/>
    <w:link w:val="EndnoteTextChar"/>
    <w:uiPriority w:val="99"/>
    <w:semiHidden/>
    <w:unhideWhenUsed/>
    <w:rsid w:val="00552D8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52D89"/>
    <w:rPr>
      <w:sz w:val="20"/>
      <w:szCs w:val="20"/>
    </w:rPr>
  </w:style>
  <w:style w:type="character" w:styleId="EndnoteReference">
    <w:name w:val="endnote reference"/>
    <w:basedOn w:val="DefaultParagraphFont"/>
    <w:uiPriority w:val="99"/>
    <w:semiHidden/>
    <w:unhideWhenUsed/>
    <w:rsid w:val="00552D8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jpg"/><Relationship Id="rId26" Type="http://schemas.openxmlformats.org/officeDocument/2006/relationships/image" Target="media/image16.jpg"/><Relationship Id="rId39" Type="http://schemas.openxmlformats.org/officeDocument/2006/relationships/header" Target="header1.xml"/><Relationship Id="rId21" Type="http://schemas.openxmlformats.org/officeDocument/2006/relationships/image" Target="media/image12.jpeg"/><Relationship Id="rId34" Type="http://schemas.openxmlformats.org/officeDocument/2006/relationships/oleObject" Target="embeddings/oleObject5.bin"/><Relationship Id="rId42"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image" Target="media/image11.jpg"/><Relationship Id="rId29" Type="http://schemas.openxmlformats.org/officeDocument/2006/relationships/image" Target="media/image18.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oleObject" Target="embeddings/oleObject2.bin"/><Relationship Id="rId32" Type="http://schemas.openxmlformats.org/officeDocument/2006/relationships/oleObject" Target="embeddings/oleObject4.bin"/><Relationship Id="rId37" Type="http://schemas.openxmlformats.org/officeDocument/2006/relationships/oleObject" Target="embeddings/oleObject8.bin"/><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oleObject" Target="embeddings/oleObject3.bin"/><Relationship Id="rId36" Type="http://schemas.openxmlformats.org/officeDocument/2006/relationships/oleObject" Target="embeddings/oleObject7.bin"/><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image" Target="media/image20.png"/><Relationship Id="rId44"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oleObject" Target="embeddings/oleObject1.bin"/><Relationship Id="rId22" Type="http://schemas.openxmlformats.org/officeDocument/2006/relationships/image" Target="media/image13.jpeg"/><Relationship Id="rId27" Type="http://schemas.openxmlformats.org/officeDocument/2006/relationships/image" Target="media/image17.png"/><Relationship Id="rId30" Type="http://schemas.openxmlformats.org/officeDocument/2006/relationships/image" Target="media/image19.jpeg"/><Relationship Id="rId35" Type="http://schemas.openxmlformats.org/officeDocument/2006/relationships/oleObject" Target="embeddings/oleObject6.bin"/><Relationship Id="rId43" Type="http://schemas.openxmlformats.org/officeDocument/2006/relationships/customXml" Target="../customXml/item4.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1.jpeg"/><Relationship Id="rId38" Type="http://schemas.openxmlformats.org/officeDocument/2006/relationships/image" Target="media/image22.jpeg"/></Relationships>
</file>

<file path=word/_rels/endnotes.xml.rels><?xml version="1.0" encoding="UTF-8" standalone="yes"?>
<Relationships xmlns="http://schemas.openxmlformats.org/package/2006/relationships"><Relationship Id="rId8" Type="http://schemas.openxmlformats.org/officeDocument/2006/relationships/hyperlink" Target="https://busquedas.elperuano.pe/normaslegales/decreto-supremo-que-aprueba-la-estrategia-nacional-de-preven-decreto-supremo-n-022-2021-mimp-1976374-3/" TargetMode="External"/><Relationship Id="rId13" Type="http://schemas.openxmlformats.org/officeDocument/2006/relationships/hyperlink" Target="https://cdn.www.gob.pe/uploads/document/file/1272348/Pol%C3%ADtica%20Nacional%20Multisectorial%20de%20Salud%20al%202030.pdf" TargetMode="External"/><Relationship Id="rId18" Type="http://schemas.openxmlformats.org/officeDocument/2006/relationships/hyperlink" Target="https://generoydiscapacidad.org/data/publicacion/da2d9b_QUE-LA-DIFERENCIA-NO-SE-CONVIERTA-EN-VIOLENCIA.pdf" TargetMode="External"/><Relationship Id="rId26" Type="http://schemas.openxmlformats.org/officeDocument/2006/relationships/hyperlink" Target="https://cdn.www.gob.pe/uploads/document/file/1272348/Pol%C3%ADtica%20Nacional%20Multisectorial%20de%20Salud%20al%202030.pdf" TargetMode="External"/><Relationship Id="rId39" Type="http://schemas.openxmlformats.org/officeDocument/2006/relationships/hyperlink" Target="http://repositorio.minedu.gob.pe/handle/123456789/5105" TargetMode="External"/><Relationship Id="rId3" Type="http://schemas.openxmlformats.org/officeDocument/2006/relationships/hyperlink" Target="https://www.defensoria.gob.pe/wp-content/uploads/2022/02/Reporte-Igualdad-y-No-Violencia-2.pdf" TargetMode="External"/><Relationship Id="rId21" Type="http://schemas.openxmlformats.org/officeDocument/2006/relationships/hyperlink" Target="http://www.gob.pe" TargetMode="External"/><Relationship Id="rId34" Type="http://schemas.openxmlformats.org/officeDocument/2006/relationships/hyperlink" Target="https://busquedas.elperuano.pe/normaslegales/ley-que-regula-el-teletrabajo-ley-n-30036-946195-3/" TargetMode="External"/><Relationship Id="rId7" Type="http://schemas.openxmlformats.org/officeDocument/2006/relationships/hyperlink" Target="https://portalestadistico.aurora.gob.pe/formas-de-la-violencia-2022/" TargetMode="External"/><Relationship Id="rId12" Type="http://schemas.openxmlformats.org/officeDocument/2006/relationships/hyperlink" Target="https://www.dge.gob.pe/portal/docs/tools/CargaEnfermedad/2020/LIMA.pdf" TargetMode="External"/><Relationship Id="rId17" Type="http://schemas.openxmlformats.org/officeDocument/2006/relationships/hyperlink" Target="https://www.inei.gob.pe/media/MenuRecursivo/boletines/presentacion_enares_2019.pdf" TargetMode="External"/><Relationship Id="rId25" Type="http://schemas.openxmlformats.org/officeDocument/2006/relationships/hyperlink" Target="http://www.minsa.gob.pe/reunis/data/Inmunizaciones.asp" TargetMode="External"/><Relationship Id="rId33" Type="http://schemas.openxmlformats.org/officeDocument/2006/relationships/hyperlink" Target="https://www.inei.gob.pe/media/MenuRecursivo/publicaciones_digitales/Est/Lib1769/libro.pdf" TargetMode="External"/><Relationship Id="rId38" Type="http://schemas.openxmlformats.org/officeDocument/2006/relationships/hyperlink" Target="https://www.google.com/search?q=politica+nacional+multisectorial+en+discapacidad+para+el+desarrollo+2030&amp;rlz=1C1CHZN_esPE941PE941&amp;oq=politicana+nacional+multisec&amp;aqs=chrome.1.69i57j0i13l8.23521j0j7&amp;sourceid=chrome&amp;ie=UTF-8" TargetMode="External"/><Relationship Id="rId2" Type="http://schemas.openxmlformats.org/officeDocument/2006/relationships/hyperlink" Target="https://observatorioviolencia.pe/principales-agresores-sexuales-a-ninas-ninos-y-adolescentes/" TargetMode="External"/><Relationship Id="rId16" Type="http://schemas.openxmlformats.org/officeDocument/2006/relationships/hyperlink" Target="https://www.inei.gob.pe/media/MenuRecursivo/boletines/presentacion_enares_2019.pdf" TargetMode="External"/><Relationship Id="rId20" Type="http://schemas.openxmlformats.org/officeDocument/2006/relationships/hyperlink" Target="https://cdn.www.gob.pe/uploads/document/file/3098339/Planificaci%C3%B3n%20familiar.pdf" TargetMode="External"/><Relationship Id="rId29" Type="http://schemas.openxmlformats.org/officeDocument/2006/relationships/hyperlink" Target="https://www.inei.gob.pe/media/MenuRecursivo/boletines/pobreza-monetaria-2021-cies-10-05-2022.pdf" TargetMode="External"/><Relationship Id="rId1" Type="http://schemas.openxmlformats.org/officeDocument/2006/relationships/hyperlink" Target="https://portalestadistico.aurora.gob.pe/boletines/" TargetMode="External"/><Relationship Id="rId6" Type="http://schemas.openxmlformats.org/officeDocument/2006/relationships/hyperlink" Target="https://andina.pe/agencia/noticia-mimp-presentara-denuncia-penal-contra-car-privado-arequipa-violacion-a-nino-892427.aspx" TargetMode="External"/><Relationship Id="rId11" Type="http://schemas.openxmlformats.org/officeDocument/2006/relationships/hyperlink" Target="https://www.inei.gob.pe/media/MenuRecursivo/publicaciones_digitales/Est/Lib1769/libro.pdf" TargetMode="External"/><Relationship Id="rId24" Type="http://schemas.openxmlformats.org/officeDocument/2006/relationships/hyperlink" Target="https://www.cdc.gov/std/spanish/vph/stdfact-hpv-s.htm" TargetMode="External"/><Relationship Id="rId32" Type="http://schemas.openxmlformats.org/officeDocument/2006/relationships/hyperlink" Target="https://www.inei.gob.pe/media/MenuRecursivo/publicaciones_digitales/Est/Lib1769/libro.pdf" TargetMode="External"/><Relationship Id="rId37" Type="http://schemas.openxmlformats.org/officeDocument/2006/relationships/hyperlink" Target="https://www.mimp.gob.pe/webs/mimp/herramientas-recursos-violencia/contenedor-dgcvg-recursos/contenidos/Legislacion/Ley-general-de-la-Persona-con-Discapacidad-29973.pdf" TargetMode="External"/><Relationship Id="rId5" Type="http://schemas.openxmlformats.org/officeDocument/2006/relationships/hyperlink" Target="https://elcomercio.pe/lima/sucesos/ministerio-de-la-mujer-y-poblaciones-vulnerables-denuncian-que-el-mimp-envia-a-menores-en-situacion-de-abandono-a-centro-de-rehabilitacion-para-drogadictos-rmmn-noticia/" TargetMode="External"/><Relationship Id="rId15" Type="http://schemas.openxmlformats.org/officeDocument/2006/relationships/hyperlink" Target="https://busquedas.elperuano.pe/normaslegales/ley-que-impulsa-la-calidad-de-los-materiales-y-recursos-educ-ley-n-31498-2080217-1/" TargetMode="External"/><Relationship Id="rId23" Type="http://schemas.openxmlformats.org/officeDocument/2006/relationships/hyperlink" Target="https://www.inei.gob.pe/media/MenuRecursivo/publicaciones_digitales/Est/Lib1769/libro.pd" TargetMode="External"/><Relationship Id="rId28" Type="http://schemas.openxmlformats.org/officeDocument/2006/relationships/hyperlink" Target="https://cdn.www.gob.pe/uploads/document/file/1272348/Pol%C3%ADtica%20Nacional%20Multisectorial%20de%20Salud%20al%202030.pdf" TargetMode="External"/><Relationship Id="rId36" Type="http://schemas.openxmlformats.org/officeDocument/2006/relationships/hyperlink" Target="https://www.mef.gob.pe/es/por-instrumento/ley/27512-ley-n-31365/file" TargetMode="External"/><Relationship Id="rId10" Type="http://schemas.openxmlformats.org/officeDocument/2006/relationships/hyperlink" Target="https://proyectos.inei.gob.pe/endes/" TargetMode="External"/><Relationship Id="rId19" Type="http://schemas.openxmlformats.org/officeDocument/2006/relationships/hyperlink" Target="https://generoydiscapacidad.org/publicaciones-detalle.php?idpublicacion=11" TargetMode="External"/><Relationship Id="rId31" Type="http://schemas.openxmlformats.org/officeDocument/2006/relationships/hyperlink" Target="https://www.defensoria.gob.pe/la-defensoria-del-pueblo-alerta-sobre-despidos-a-personas-con-discapacidad/" TargetMode="External"/><Relationship Id="rId4" Type="http://schemas.openxmlformats.org/officeDocument/2006/relationships/hyperlink" Target="https://www.inei.gob.pe/media/MenuRecursivo/publicaciones_digitales/Est/Lib1832/libro.pdf" TargetMode="External"/><Relationship Id="rId9" Type="http://schemas.openxmlformats.org/officeDocument/2006/relationships/hyperlink" Target="https://www.inei.gob.pe/media/MenuRecursivo/boletines/boletin_agua_junio2020.pdf" TargetMode="External"/><Relationship Id="rId14" Type="http://schemas.openxmlformats.org/officeDocument/2006/relationships/hyperlink" Target="https://cdn.www.gob.pe/uploads/document/file/1272348/Pol%C3%ADtica%20Nacional%20Multisectorial%20de%20Salud%20al%202030.pdf" TargetMode="External"/><Relationship Id="rId22" Type="http://schemas.openxmlformats.org/officeDocument/2006/relationships/hyperlink" Target="https://cdn.www.gob.pe/uploads/document/file/3098339/Planificaci%C3%B3n%20familiar.pdf" TargetMode="External"/><Relationship Id="rId27" Type="http://schemas.openxmlformats.org/officeDocument/2006/relationships/hyperlink" Target="https://cdn.www.gob.pe/uploads/document/file/1272348/Pol%C3%ADtica%20Nacional%20Multisectorial%20de%20Salud%20al%202030.pdf" TargetMode="External"/><Relationship Id="rId30" Type="http://schemas.openxmlformats.org/officeDocument/2006/relationships/hyperlink" Target="https://cdn.www.gob.pe/uploads/document/file/1272348/Pol%C3%ADtica%20Nacional%20Multisectorial%20de%20Salud%20al%202030.pdf" TargetMode="External"/><Relationship Id="rId35" Type="http://schemas.openxmlformats.org/officeDocument/2006/relationships/hyperlink" Target="https://busquedas.elperuano.pe/normaslegales/decreto-legislativo-que-reconoce-y-regula-la-capacidad-jurid-decreto-legislativo-n-1384-1687393-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BGN2xHk8VZpr1UzJJ8ZqXK7WoQ==">AMUW2mX1P7b2skM3sDes/jM/RmsyaHBgjGd4WL1stsO3yPK1nituyr/egVbs2i2v8ZHC0v1ocU3BUmxanOn6aM3Io65SpD9NrwmR3glId6H/NT1RiIS2Ab/XyWKyqLM4Oh5ae5+dUaZrzlZKCcat42VaefG0crmPJq+kuZ0x/yarNC6BPEAZoYmLW0v9CtPBwQAHMzAbyhsv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3EC5EBB-89E8-40F8-8428-FA3D4E9F7D0B}">
  <ds:schemaRefs>
    <ds:schemaRef ds:uri="http://schemas.openxmlformats.org/officeDocument/2006/bibliography"/>
  </ds:schemaRefs>
</ds:datastoreItem>
</file>

<file path=customXml/itemProps3.xml><?xml version="1.0" encoding="utf-8"?>
<ds:datastoreItem xmlns:ds="http://schemas.openxmlformats.org/officeDocument/2006/customXml" ds:itemID="{402ADEFB-6E57-4E4D-B2E0-7D653BCB10D9}"/>
</file>

<file path=customXml/itemProps4.xml><?xml version="1.0" encoding="utf-8"?>
<ds:datastoreItem xmlns:ds="http://schemas.openxmlformats.org/officeDocument/2006/customXml" ds:itemID="{EDE1FCF6-DD57-40C6-B741-ADD68D488CD1}"/>
</file>

<file path=customXml/itemProps5.xml><?xml version="1.0" encoding="utf-8"?>
<ds:datastoreItem xmlns:ds="http://schemas.openxmlformats.org/officeDocument/2006/customXml" ds:itemID="{E2B00ACB-711C-4414-A0B7-CEAB05034A5D}"/>
</file>

<file path=docProps/app.xml><?xml version="1.0" encoding="utf-8"?>
<Properties xmlns="http://schemas.openxmlformats.org/officeDocument/2006/extended-properties" xmlns:vt="http://schemas.openxmlformats.org/officeDocument/2006/docPropsVTypes">
  <Template>Normal.dotm</Template>
  <TotalTime>0</TotalTime>
  <Pages>19</Pages>
  <Words>5726</Words>
  <Characters>30364</Characters>
  <Application>Microsoft Office Word</Application>
  <DocSecurity>0</DocSecurity>
  <Lines>253</Lines>
  <Paragraphs>72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Sofia</dc:creator>
  <cp:lastModifiedBy>REYNAUD Céline</cp:lastModifiedBy>
  <cp:revision>2</cp:revision>
  <dcterms:created xsi:type="dcterms:W3CDTF">2022-08-08T08:41:00Z</dcterms:created>
  <dcterms:modified xsi:type="dcterms:W3CDTF">2022-08-08T08:41:00Z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