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ab/>
      </w:r>
    </w:p>
    <w:p w:rsidR="00000000" w:rsidDel="00000000" w:rsidP="00000000" w:rsidRDefault="00000000" w:rsidRPr="00000000" w14:paraId="00000002">
      <w:pPr>
        <w:shd w:fill="00ff66" w:val="clear"/>
        <w:spacing w:after="240" w:lineRule="auto"/>
        <w:jc w:val="cente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Contribution to the Review of the European Union on the Inadequacy of Climate Policies and Privacy Measures for Persons with Disabilities</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shd w:fill="00ff66" w:val="clear"/>
        <w:spacing w:after="240" w:lineRule="auto"/>
        <w:jc w:val="center"/>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Presented by ODRI - Office against Discrimination, Racism and Intolerance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January 202</w:t>
      </w:r>
      <w:r w:rsidDel="00000000" w:rsidR="00000000" w:rsidRPr="00000000">
        <w:rPr>
          <w:rFonts w:ascii="Helvetica Neue" w:cs="Helvetica Neue" w:eastAsia="Helvetica Neue" w:hAnsi="Helvetica Neue"/>
          <w:b w:val="1"/>
          <w:sz w:val="22"/>
          <w:szCs w:val="22"/>
          <w:rtl w:val="0"/>
        </w:rPr>
        <w:t xml:space="preserve">5</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w:t>
      </w:r>
      <w:r w:rsidDel="00000000" w:rsidR="00000000" w:rsidRPr="00000000">
        <w:rPr>
          <w:rFonts w:ascii="Helvetica Neue" w:cs="Helvetica Neue" w:eastAsia="Helvetica Neue" w:hAnsi="Helvetica Neue"/>
          <w:b w:val="1"/>
          <w:sz w:val="22"/>
          <w:szCs w:val="22"/>
          <w:rtl w:val="0"/>
        </w:rPr>
        <w:t xml:space="preserve">1667</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t xml:space="preserve"> words)</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00ff66" w:val="clear"/>
        <w:spacing w:after="0" w:before="0" w:line="240" w:lineRule="auto"/>
        <w:ind w:left="0" w:right="0" w:firstLine="0"/>
        <w:jc w:val="center"/>
        <w:rPr>
          <w:rFonts w:ascii="Helvetica Neue" w:cs="Helvetica Neue" w:eastAsia="Helvetica Neue" w:hAnsi="Helvetica Neue"/>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Helvetica Neue" w:cs="Helvetica Neue" w:eastAsia="Helvetica Neue" w:hAnsi="Helvetica Neue"/>
          <w:b w:val="1"/>
          <w:i w:val="0"/>
          <w:smallCaps w:val="0"/>
          <w:strike w:val="0"/>
          <w:color w:val="000000"/>
          <w:sz w:val="22"/>
          <w:szCs w:val="22"/>
          <w:u w:val="none"/>
          <w:shd w:fill="auto" w:val="clear"/>
          <w:vertAlign w:val="baseline"/>
        </w:rPr>
      </w:pPr>
      <w:r w:rsidDel="00000000" w:rsidR="00000000" w:rsidRPr="00000000">
        <w:rPr>
          <w:rFonts w:ascii="Helvetica Neue" w:cs="Helvetica Neue" w:eastAsia="Helvetica Neue" w:hAnsi="Helvetica Neue"/>
          <w:b w:val="1"/>
          <w:sz w:val="22"/>
          <w:szCs w:val="22"/>
          <w:rtl w:val="0"/>
        </w:rPr>
        <w:t xml:space="preserve">Introduction</w:t>
      </w:r>
      <w:r w:rsidDel="00000000" w:rsidR="00000000" w:rsidRPr="00000000">
        <w:rPr>
          <w:rFonts w:ascii="Helvetica Neue" w:cs="Helvetica Neue" w:eastAsia="Helvetica Neue" w:hAnsi="Helvetica Neue"/>
          <w:b w:val="1"/>
          <w:i w:val="0"/>
          <w:smallCaps w:val="0"/>
          <w:strike w:val="0"/>
          <w:color w:val="000000"/>
          <w:sz w:val="22"/>
          <w:szCs w:val="22"/>
          <w:u w:val="none"/>
          <w:shd w:fill="auto" w:val="clear"/>
          <w:vertAlign w:val="baseline"/>
          <w:rtl w:val="0"/>
        </w:rPr>
        <w:br w:type="textWrapping"/>
      </w:r>
    </w:p>
    <w:p w:rsidR="00000000" w:rsidDel="00000000" w:rsidP="00000000" w:rsidRDefault="00000000" w:rsidRPr="00000000" w14:paraId="0000000B">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ODRI, the Office against Discrimination, Racism, and Intolerance, is eager to engage with the Committee on the Rights of Persons with Disabilities. This document focuses on two crucial subjects requiring the Committee's attention:</w:t>
      </w:r>
    </w:p>
    <w:p w:rsidR="00000000" w:rsidDel="00000000" w:rsidP="00000000" w:rsidRDefault="00000000" w:rsidRPr="00000000" w14:paraId="0000000C">
      <w:pPr>
        <w:widowControl w:val="0"/>
        <w:numPr>
          <w:ilvl w:val="0"/>
          <w:numId w:val="1"/>
        </w:numPr>
        <w:spacing w:after="0" w:afterAutospacing="0" w:before="240" w:lineRule="auto"/>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barriers faced by persons with disabilities in participating in climate action and just transition, contravening the obligations enshrined in Article 11 of the Convention.</w:t>
      </w:r>
    </w:p>
    <w:p w:rsidR="00000000" w:rsidDel="00000000" w:rsidP="00000000" w:rsidRDefault="00000000" w:rsidRPr="00000000" w14:paraId="0000000D">
      <w:pPr>
        <w:widowControl w:val="0"/>
        <w:numPr>
          <w:ilvl w:val="0"/>
          <w:numId w:val="1"/>
        </w:numPr>
        <w:spacing w:after="240" w:lineRule="auto"/>
        <w:ind w:left="720" w:hanging="360"/>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The insufficiency of the General Data Protection Regulation (GDPR) and the Artificial Intelligence Act in ensuring the protection of disability rights, including privacy and non-discrimination as provided by Articles 4 and 22 of the Convention.</w:t>
      </w:r>
    </w:p>
    <w:p w:rsidR="00000000" w:rsidDel="00000000" w:rsidP="00000000" w:rsidRDefault="00000000" w:rsidRPr="00000000" w14:paraId="0000000E">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We hope our written inputs will assist the Committee in advancing the human rights model of disability, ensuring inclusion, eradicating discrimination, transforming climate action, and ensuring a safe and enabling digital environment for persons with disabilities. We are committed to implementing the recommendations issued by the Committee to the best of our abilities.</w:t>
      </w:r>
    </w:p>
    <w:p w:rsidR="00000000" w:rsidDel="00000000" w:rsidP="00000000" w:rsidRDefault="00000000" w:rsidRPr="00000000" w14:paraId="0000000F">
      <w:pPr>
        <w:widowControl w:val="0"/>
        <w:numPr>
          <w:ilvl w:val="0"/>
          <w:numId w:val="2"/>
        </w:numPr>
        <w:ind w:left="720" w:hanging="360"/>
        <w:jc w:val="both"/>
        <w:rPr>
          <w:rFonts w:ascii="Helvetica Neue" w:cs="Helvetica Neue" w:eastAsia="Helvetica Neue" w:hAnsi="Helvetica Neue"/>
          <w:b w:val="1"/>
          <w:sz w:val="22"/>
          <w:szCs w:val="22"/>
        </w:rPr>
      </w:pPr>
      <w:r w:rsidDel="00000000" w:rsidR="00000000" w:rsidRPr="00000000">
        <w:rPr>
          <w:rFonts w:ascii="Helvetica Neue" w:cs="Helvetica Neue" w:eastAsia="Helvetica Neue" w:hAnsi="Helvetica Neue"/>
          <w:b w:val="1"/>
          <w:sz w:val="22"/>
          <w:szCs w:val="22"/>
          <w:rtl w:val="0"/>
        </w:rPr>
        <w:t xml:space="preserve">Obstacles to Climate Action for Persons with Disabilities: A Review of Article 11 Compliance</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1. To address the request for information from the Committee on the Rights of Persons with Disabilities (CRPD) regarding the inclusion of persons with disabilities in climate action (CRPD/C/EU/QPR/2-3), the European Union has referenced initiatives such as the European Climate Pact and the EU Adaptation Strategy (CRPD/C/EU/2-3, paras. 88-89). However, as highlighted by the European Disability Forum (EDF) in their submissions to the Committee during the reporting cycle, these references to persons with disabilities are often limited to broad acknowledgments of the disproportionate impacts they face. While the inclusion of persons with disabilities in these documents is notable, these acknowledgments are not accompanied by actionable measures, targeted support, or adequate funding to address these disparities effectively, as required by the Convention. Consequently, current laws and policy frameworks have failed to develop a comprehensive disability-inclusive strategy across all levels of EU institutions to address climate change. Moreover, they do not fully recognize the unique contributions and requirements of persons with disabilities in situations of risk due to loss of damage, and climate action.</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2. </w:t>
      </w:r>
      <w:r w:rsidDel="00000000" w:rsidR="00000000" w:rsidRPr="00000000">
        <w:rPr>
          <w:rFonts w:ascii="Helvetica Neue" w:cs="Helvetica Neue" w:eastAsia="Helvetica Neue" w:hAnsi="Helvetica Neue"/>
          <w:i w:val="1"/>
          <w:sz w:val="22"/>
          <w:szCs w:val="22"/>
          <w:u w:val="single"/>
          <w:rtl w:val="0"/>
        </w:rPr>
        <w:t xml:space="preserve">The 2019 European Green Deal</w:t>
      </w:r>
      <w:r w:rsidDel="00000000" w:rsidR="00000000" w:rsidRPr="00000000">
        <w:rPr>
          <w:rFonts w:ascii="Helvetica Neue" w:cs="Helvetica Neue" w:eastAsia="Helvetica Neue" w:hAnsi="Helvetica Neue"/>
          <w:sz w:val="22"/>
          <w:szCs w:val="22"/>
          <w:rtl w:val="0"/>
        </w:rPr>
        <w:t xml:space="preserve">, the EU’s roadmap for transitioning to a climate-neutral and sustainable economy by 2050, sets ambitious objectives such as achieving net-zero greenhouse gas emissions and decoupling economic growth from resource use through a just transition for all sectors and regions. However, persons with disabilities remain conspicuously absent from this document as key stakeholders whose unique vulnerabilities and agency must be addressed. For instance, persons with disabilities face heightened risks during extreme weather events due to inaccessible evacuation plans and emergency services, yet the Green Deal does not propose specific measures to address these challenges. While the policy framework emphasizes inclusivity and a "just transition," it fails to explicitly recognize the disproportionate impacts of climate change on persons with disabilities or to allocate targeted funding for their protection and inclusion in climate action. This omission undermines the EU’s commitment to leaving no one behind and highlights the need for a disability-inclusive approach to climate policy.</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3. Conversations regarding a just transition within the EU have largely neglected persons with disabilities, resulting in their invisibility in policy frameworks. This exclusion has led to the omission of critical considerations, such as the disproportionate impacts faced by persons with disabilities, including barriers to evacuation during extreme weather events, energy poverty, and inaccessible green infrastructure. While the Green Deal emphasizes the principle of a "just transition," its current framework fails to meaningfully include persons with disabilities. To address this gap, the principles of the Green Deal must be redesigned to ensure that the rights, needs, and contributions of persons with disabilities are fully integrated into climate action and the Just Transition Mechanism.</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7">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4. The Fit for 55 legislative package aims to align EU policies with the Paris Agreement by achieving the mitigation target of reducing greenhouse gas emissions by at least 55% by 2030 (compared to 1990 levels). As a key stepping stone toward the 2050 climate neutrality target set by the European Green Deal, this package includes a range of directives and regulations under EU law. Among its key measures are the reform of the Emissions Trading System (ETS) to expand its coverage to more sectors and reduce the number of emission allowances, as well as the introduction of a Carbon Border Adjustment Mechanism (CBAM) to impose a carbon tax on imports of carbon-intensive goods and prevent "carbon leakage." Additionally, the package proposes increasing the share of renewables in the EU’s energy mix to 40% by 2030, setting stricter energy efficiency targets for member states, phasing out internal combustion engine cars by 2035, and establishing a Social Climate Fund to support vulnerable households and small businesses affected by the energy transition.</w:t>
      </w:r>
    </w:p>
    <w:p w:rsidR="00000000" w:rsidDel="00000000" w:rsidP="00000000" w:rsidRDefault="00000000" w:rsidRPr="00000000" w14:paraId="00000018">
      <w:pPr>
        <w:widowControl w:val="0"/>
        <w:spacing w:after="240" w:lineRule="auto"/>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5. The 55% emissions reduction target set by the Fit for 55 package has been criticized for not being ambitious enough to meet the goals of the Paris Agreement. Furthermore, the package has not adequately addressed the social impact of higher energy costs or the need for a just transition that considers the specific needs of marginalized groups, including persons with disabilities. Many persons with disabilities rely on traditional energy sources due to the lack of accessibility and affordability of clean-energy alternatives. For example, green technologies such as electric vehicles and renewable energy systems are often not designed with universal accessibility in mind, creating barriers for persons with disabilities. While the European Commission plans to assess progress every five years and propose adjustments if necessary, it is crucial that these reviews incorporate a disability lens. This includes recognizing that persons with disabilities are more likely to experience energy poverty and ensuring that future climate actions prioritize accessibility and inclusivity.</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6. </w:t>
      </w:r>
      <w:r w:rsidDel="00000000" w:rsidR="00000000" w:rsidRPr="00000000">
        <w:rPr>
          <w:rFonts w:ascii="Helvetica Neue" w:cs="Helvetica Neue" w:eastAsia="Helvetica Neue" w:hAnsi="Helvetica Neue"/>
          <w:sz w:val="22"/>
          <w:szCs w:val="22"/>
          <w:u w:val="single"/>
          <w:rtl w:val="0"/>
        </w:rPr>
        <w:t xml:space="preserve"> The Critical Raw Materials Act (CRMA) </w:t>
      </w:r>
      <w:r w:rsidDel="00000000" w:rsidR="00000000" w:rsidRPr="00000000">
        <w:rPr>
          <w:rFonts w:ascii="Helvetica Neue" w:cs="Helvetica Neue" w:eastAsia="Helvetica Neue" w:hAnsi="Helvetica Neue"/>
          <w:sz w:val="22"/>
          <w:szCs w:val="22"/>
          <w:rtl w:val="0"/>
        </w:rPr>
        <w:t xml:space="preserve">is an EU initiative aimed at securing a sustainable and resilient supply of raw materials essential for the green and digital transitions, such as lithium, cobalt, and rare earth elements. While the CRMA emphasizes reducing dependency on non-EU suppliers and promoting recycling, it fails to adequately address the human rights and environmental impacts of extraction in third countries. In many regions where these minerals are mined, persons with disabilities are disproportionately affected by hazardous working conditions, pollution, and the long-term health impacts of exposure to toxic substances. For example, mining activities often lead to environmental degradation, contaminating water sources and soil, which can exacerbate disabilities or create new ones. Additionally, the CRMA’s focus on securing raw materials for the EU’s green transition risks legitimizing carbon leakage—where environmental harm is outsourced to poorer countries—while failing to ensure that the benefits of this transition are inclusive. Persons with disabilities in these regions are often excluded from decision-making processes and left vulnerable to exploitation, highlighting the need for the CRMA to incorporate stronger safeguards for human rights and disability inclusion across global supply chains.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B">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6. ODRI recommends that the Committee consider asking the EU delegation the following questions:</w:t>
      </w:r>
    </w:p>
    <w:p w:rsidR="00000000" w:rsidDel="00000000" w:rsidP="00000000" w:rsidRDefault="00000000" w:rsidRPr="00000000" w14:paraId="0000001C">
      <w:pPr>
        <w:widowControl w:val="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1D">
      <w:pPr>
        <w:widowControl w:val="0"/>
        <w:shd w:fill="66ff99" w:val="clear"/>
        <w:spacing w:after="240" w:before="240" w:lineRule="auto"/>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6.1. How is the EU ensuring that its climate adaptation and disaster risk reduction strategies under the European Green Deal are fully inclusive of persons with disabilities, particularly in terms of accessible information, evacuation plans, and active participation in decision-making processes, as provided by the Sendai Framework for Disaster Risk Reduction, the Paris Agreement, and the Convention on the Rights of Persons with Disabilities (CRPD)?</w:t>
      </w:r>
    </w:p>
    <w:p w:rsidR="00000000" w:rsidDel="00000000" w:rsidP="00000000" w:rsidRDefault="00000000" w:rsidRPr="00000000" w14:paraId="0000001E">
      <w:pPr>
        <w:widowControl w:val="0"/>
        <w:numPr>
          <w:ilvl w:val="0"/>
          <w:numId w:val="3"/>
        </w:numPr>
        <w:shd w:fill="66ff99" w:val="clear"/>
        <w:spacing w:after="0" w:afterAutospacing="0" w:before="240" w:lineRule="auto"/>
        <w:ind w:left="720" w:hanging="360"/>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6.1.a. Can the EU provide examples of how persons with disabilities have been consulted in the development of climate adaptation and disaster risk reduction strategies?</w:t>
      </w:r>
    </w:p>
    <w:p w:rsidR="00000000" w:rsidDel="00000000" w:rsidP="00000000" w:rsidRDefault="00000000" w:rsidRPr="00000000" w14:paraId="0000001F">
      <w:pPr>
        <w:widowControl w:val="0"/>
        <w:numPr>
          <w:ilvl w:val="0"/>
          <w:numId w:val="3"/>
        </w:numPr>
        <w:shd w:fill="66ff99" w:val="clear"/>
        <w:spacing w:after="0" w:afterAutospacing="0" w:before="0" w:beforeAutospacing="0" w:lineRule="auto"/>
        <w:ind w:left="720" w:hanging="360"/>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6.1.b. What specific budget allocations or funding mechanisms are in place to ensure that climate finance reaches persons with disabilities in vulnerable situations?</w:t>
      </w:r>
    </w:p>
    <w:p w:rsidR="00000000" w:rsidDel="00000000" w:rsidP="00000000" w:rsidRDefault="00000000" w:rsidRPr="00000000" w14:paraId="00000020">
      <w:pPr>
        <w:widowControl w:val="0"/>
        <w:numPr>
          <w:ilvl w:val="0"/>
          <w:numId w:val="3"/>
        </w:numPr>
        <w:shd w:fill="66ff99" w:val="clear"/>
        <w:spacing w:after="240" w:before="0" w:beforeAutospacing="0" w:lineRule="auto"/>
        <w:ind w:left="720" w:hanging="360"/>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6.1.c. How is the EU monitoring and evaluating the implementation of disability-inclusive climate policies at the member state level?</w:t>
      </w:r>
    </w:p>
    <w:p w:rsidR="00000000" w:rsidDel="00000000" w:rsidP="00000000" w:rsidRDefault="00000000" w:rsidRPr="00000000" w14:paraId="00000021">
      <w:pPr>
        <w:widowControl w:val="0"/>
        <w:shd w:fill="66ff99" w:val="clear"/>
        <w:jc w:val="both"/>
        <w:rPr>
          <w:rFonts w:ascii="Helvetica Neue" w:cs="Helvetica Neue" w:eastAsia="Helvetica Neue" w:hAnsi="Helvetica Neue"/>
          <w:i w:val="1"/>
          <w:sz w:val="22"/>
          <w:szCs w:val="22"/>
        </w:rPr>
      </w:pP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7. The EU’s climate policies, while ambitious in scope, often fail to adequately address the intersecting vulnerabilities faced by women, particularly those with disabilities, within its own member states. Women, especially from marginalized groups such as rural women, migrant women, and women with disabilities, face disproportionate impacts from climate change due to existing social, economic, and cultural inequalities. For example, women with disabilities in the EU encounter significant barriers in accessing accessible information, resources, and participation in decision-making processes related to climate adaptation and disaster risk reduction. Despite the EU’s commitments under the European Green Deal, the Gender Equality Strategy, and the Convention on the Rights of Persons with Disabilities (CRPD), current climate policies frequently lack a gender-responsive approach that considers the unique needs and perspectives of women with disabilities. This exclusion not only undermines the effectiveness of the EU’s climate action but also perpetuates systemic inequalities, leaving some of the most vulnerable populations within the EU behind. To ensure a truly inclusive and equitable transition, the EU must integrate a gender perspective into its climate policies, actively involving women with disabilities in decision-making processes and ensuring they benefit from climate finance and adaptation programs.</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5">
      <w:pPr>
        <w:widowControl w:val="0"/>
        <w:jc w:val="both"/>
        <w:rPr>
          <w:rFonts w:ascii="Helvetica Neue" w:cs="Helvetica Neue" w:eastAsia="Helvetica Neue" w:hAnsi="Helvetica Neue"/>
          <w:sz w:val="22"/>
          <w:szCs w:val="22"/>
        </w:rPr>
      </w:pPr>
      <w:r w:rsidDel="00000000" w:rsidR="00000000" w:rsidRPr="00000000">
        <w:rPr>
          <w:rFonts w:ascii="Helvetica Neue" w:cs="Helvetica Neue" w:eastAsia="Helvetica Neue" w:hAnsi="Helvetica Neue"/>
          <w:sz w:val="22"/>
          <w:szCs w:val="22"/>
          <w:rtl w:val="0"/>
        </w:rPr>
        <w:t xml:space="preserve">8. ODRI recommends that the Committee consider asking the EU delegation the following questions: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Helvetica Neue" w:cs="Helvetica Neue" w:eastAsia="Helvetica Neue" w:hAnsi="Helvetica Neue"/>
          <w:sz w:val="22"/>
          <w:szCs w:val="22"/>
        </w:rPr>
      </w:pPr>
      <w:r w:rsidDel="00000000" w:rsidR="00000000" w:rsidRPr="00000000">
        <w:rPr>
          <w:rtl w:val="0"/>
        </w:rPr>
      </w:r>
    </w:p>
    <w:p w:rsidR="00000000" w:rsidDel="00000000" w:rsidP="00000000" w:rsidRDefault="00000000" w:rsidRPr="00000000" w14:paraId="00000027">
      <w:pPr>
        <w:widowControl w:val="0"/>
        <w:shd w:fill="66ff99" w:val="clear"/>
        <w:spacing w:after="240" w:before="240" w:lineRule="auto"/>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8.1. What measures is the EU taking to integrate a gender perspective into its climate policies, particularly in ensuring that women, especially those from marginalized groups (e.g., rural women, women with disabilities, migrant women), are actively involved in climate decision-making and benefit from climate finance and adaptation programs, in line with SDG 5 (Gender Equality) and SDG 13 (Climate Action) and Articles 4 and 6 of the Convention?</w:t>
      </w:r>
    </w:p>
    <w:p w:rsidR="00000000" w:rsidDel="00000000" w:rsidP="00000000" w:rsidRDefault="00000000" w:rsidRPr="00000000" w14:paraId="00000028">
      <w:pPr>
        <w:widowControl w:val="0"/>
        <w:shd w:fill="66ff99" w:val="clear"/>
        <w:spacing w:after="240" w:before="240" w:lineRule="auto"/>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8.1.a. Can the EU provide examples of how women from marginalized groups have been consulted in the development of climate adaptation and disaster risk reduction strategies?</w:t>
      </w:r>
    </w:p>
    <w:p w:rsidR="00000000" w:rsidDel="00000000" w:rsidP="00000000" w:rsidRDefault="00000000" w:rsidRPr="00000000" w14:paraId="00000029">
      <w:pPr>
        <w:widowControl w:val="0"/>
        <w:shd w:fill="66ff99" w:val="clear"/>
        <w:spacing w:after="240" w:before="240" w:lineRule="auto"/>
        <w:ind w:left="0" w:firstLine="0"/>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8.1.b. What specific budget allocations or funding mechanisms are in place to ensure that climate finance reaches women in vulnerable situations?</w:t>
      </w:r>
    </w:p>
    <w:p w:rsidR="00000000" w:rsidDel="00000000" w:rsidP="00000000" w:rsidRDefault="00000000" w:rsidRPr="00000000" w14:paraId="0000002A">
      <w:pPr>
        <w:widowControl w:val="0"/>
        <w:shd w:fill="66ff99" w:val="clear"/>
        <w:spacing w:after="240" w:before="240" w:lineRule="auto"/>
        <w:jc w:val="both"/>
        <w:rPr>
          <w:rFonts w:ascii="Helvetica Neue" w:cs="Helvetica Neue" w:eastAsia="Helvetica Neue" w:hAnsi="Helvetica Neue"/>
          <w:i w:val="1"/>
          <w:sz w:val="22"/>
          <w:szCs w:val="22"/>
        </w:rPr>
      </w:pPr>
      <w:r w:rsidDel="00000000" w:rsidR="00000000" w:rsidRPr="00000000">
        <w:rPr>
          <w:rFonts w:ascii="Helvetica Neue" w:cs="Helvetica Neue" w:eastAsia="Helvetica Neue" w:hAnsi="Helvetica Neue"/>
          <w:i w:val="1"/>
          <w:sz w:val="22"/>
          <w:szCs w:val="22"/>
          <w:rtl w:val="0"/>
        </w:rPr>
        <w:t xml:space="preserve">8.1.c. How is the EU monitoring and evaluating the implementation of gender-responsive climate policies at the member state level?</w:t>
      </w:r>
    </w:p>
    <w:p w:rsidR="00000000" w:rsidDel="00000000" w:rsidP="00000000" w:rsidRDefault="00000000" w:rsidRPr="00000000" w14:paraId="0000002B">
      <w:pPr>
        <w:widowControl w:val="0"/>
        <w:shd w:fill="66ff99" w:val="clear"/>
        <w:spacing w:after="240" w:before="240" w:lineRule="auto"/>
        <w:jc w:val="both"/>
        <w:rPr>
          <w:rFonts w:ascii="Helvetica Neue" w:cs="Helvetica Neue" w:eastAsia="Helvetica Neue" w:hAnsi="Helvetica Neue"/>
          <w:i w:val="1"/>
          <w:sz w:val="22"/>
          <w:szCs w:val="22"/>
        </w:rPr>
      </w:pPr>
      <w:r w:rsidDel="00000000" w:rsidR="00000000" w:rsidRPr="00000000">
        <w:rPr>
          <w:rtl w:val="0"/>
        </w:rPr>
      </w:r>
    </w:p>
    <w:sectPr>
      <w:pgSz w:h="16838" w:w="11906"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upperRoman"/>
      <w:lvlText w:val="%1."/>
      <w:lvlJc w:val="left"/>
      <w:pPr>
        <w:ind w:left="720" w:hanging="360"/>
      </w:pPr>
      <w:rPr>
        <w:rFonts w:ascii="Garamond" w:cs="Garamond" w:eastAsia="Garamond" w:hAnsi="Garamond"/>
        <w:color w:val="000000"/>
        <w:vertAlign w:val="baseline"/>
      </w:rPr>
    </w:lvl>
    <w:lvl w:ilvl="1">
      <w:start w:val="1"/>
      <w:numFmt w:val="decimal"/>
      <w:lvlText w:val="%2."/>
      <w:lvlJc w:val="left"/>
      <w:pPr>
        <w:ind w:left="1080" w:hanging="360"/>
      </w:pPr>
      <w:rPr>
        <w:vertAlign w:val="baseline"/>
      </w:rPr>
    </w:lvl>
    <w:lvl w:ilvl="2">
      <w:start w:val="1"/>
      <w:numFmt w:val="decimal"/>
      <w:lvlText w:val="%2.%3."/>
      <w:lvlJc w:val="left"/>
      <w:pPr>
        <w:ind w:left="1440" w:hanging="360"/>
      </w:pPr>
      <w:rPr>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Predeterminado">
    <w:name w:val="Predeterminado"/>
    <w:next w:val="Predeterminado"/>
    <w:autoRedefine w:val="0"/>
    <w:hidden w:val="0"/>
    <w:qFormat w:val="0"/>
    <w:pPr>
      <w:widowControl w:val="0"/>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Encabezado1">
    <w:name w:val="Encabezado 1"/>
    <w:basedOn w:val="Heading"/>
    <w:next w:val="Cuerpodetexto"/>
    <w:autoRedefine w:val="0"/>
    <w:hidden w:val="0"/>
    <w:qFormat w:val="0"/>
    <w:pPr>
      <w:keepNext w:val="1"/>
      <w:widowControl w:val="0"/>
      <w:numPr>
        <w:ilvl w:val="0"/>
        <w:numId w:val="0"/>
      </w:numPr>
      <w:suppressAutoHyphens w:val="0"/>
      <w:bidi w:val="0"/>
      <w:spacing w:after="120" w:before="240" w:line="1" w:lineRule="atLeast"/>
      <w:ind w:left="0" w:right="0" w:leftChars="-1" w:rightChars="0" w:firstLine="0" w:firstLineChars="-1"/>
      <w:textDirection w:val="btLr"/>
      <w:textAlignment w:val="top"/>
      <w:outlineLvl w:val="0"/>
    </w:pPr>
    <w:rPr>
      <w:rFonts w:ascii="Times New Roman" w:cs="Tahoma" w:eastAsia="MS Gothic" w:hAnsi="Times New Roman"/>
      <w:b w:val="1"/>
      <w:bCs w:val="1"/>
      <w:w w:val="100"/>
      <w:kern w:val="1"/>
      <w:position w:val="-1"/>
      <w:sz w:val="48"/>
      <w:szCs w:val="48"/>
      <w:effect w:val="none"/>
      <w:vertAlign w:val="baseline"/>
      <w:cs w:val="0"/>
      <w:em w:val="none"/>
      <w:lang w:bidi="ar-SA" w:eastAsia="zh-CN" w:val="und"/>
    </w:rPr>
  </w:style>
  <w:style w:type="paragraph" w:styleId="Encabezado2">
    <w:name w:val="Encabezado 2"/>
    <w:basedOn w:val="Heading"/>
    <w:next w:val="Cuerpodetexto"/>
    <w:autoRedefine w:val="0"/>
    <w:hidden w:val="0"/>
    <w:qFormat w:val="0"/>
    <w:pPr>
      <w:keepNext w:val="1"/>
      <w:widowControl w:val="0"/>
      <w:numPr>
        <w:ilvl w:val="1"/>
        <w:numId w:val="1"/>
      </w:numPr>
      <w:suppressAutoHyphens w:val="0"/>
      <w:bidi w:val="0"/>
      <w:spacing w:after="120" w:before="240" w:line="1" w:lineRule="atLeast"/>
      <w:ind w:leftChars="-1" w:rightChars="0" w:firstLineChars="-1"/>
      <w:textDirection w:val="btLr"/>
      <w:textAlignment w:val="top"/>
      <w:outlineLvl w:val="1"/>
    </w:pPr>
    <w:rPr>
      <w:rFonts w:ascii="Times New Roman" w:cs="Tahoma" w:eastAsia="MS Gothic" w:hAnsi="Times New Roman"/>
      <w:b w:val="1"/>
      <w:bCs w:val="1"/>
      <w:w w:val="100"/>
      <w:kern w:val="1"/>
      <w:position w:val="-1"/>
      <w:sz w:val="36"/>
      <w:szCs w:val="36"/>
      <w:effect w:val="none"/>
      <w:vertAlign w:val="baseline"/>
      <w:cs w:val="0"/>
      <w:em w:val="none"/>
      <w:lang w:bidi="ar-SA" w:eastAsia="zh-CN" w:val="und"/>
    </w:rPr>
  </w:style>
  <w:style w:type="paragraph" w:styleId="Encabezado3">
    <w:name w:val="Encabezado 3"/>
    <w:basedOn w:val="Heading"/>
    <w:next w:val="Cuerpodetexto"/>
    <w:autoRedefine w:val="0"/>
    <w:hidden w:val="0"/>
    <w:qFormat w:val="0"/>
    <w:pPr>
      <w:keepNext w:val="1"/>
      <w:widowControl w:val="0"/>
      <w:numPr>
        <w:ilvl w:val="0"/>
        <w:numId w:val="0"/>
      </w:numPr>
      <w:suppressAutoHyphens w:val="0"/>
      <w:bidi w:val="0"/>
      <w:spacing w:after="120" w:before="240" w:line="1" w:lineRule="atLeast"/>
      <w:ind w:left="0" w:right="0" w:leftChars="-1" w:rightChars="0" w:firstLine="0" w:firstLineChars="-1"/>
      <w:textDirection w:val="btLr"/>
      <w:textAlignment w:val="top"/>
      <w:outlineLvl w:val="0"/>
    </w:pPr>
    <w:rPr>
      <w:rFonts w:ascii="Times New Roman" w:cs="Tahoma" w:eastAsia="MS Gothic" w:hAnsi="Times New Roman"/>
      <w:b w:val="1"/>
      <w:bCs w:val="1"/>
      <w:w w:val="100"/>
      <w:kern w:val="1"/>
      <w:position w:val="-1"/>
      <w:sz w:val="28"/>
      <w:szCs w:val="28"/>
      <w:effect w:val="none"/>
      <w:vertAlign w:val="baseline"/>
      <w:cs w:val="0"/>
      <w:em w:val="none"/>
      <w:lang w:bidi="ar-SA" w:eastAsia="zh-CN" w:val="und"/>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rFonts w:ascii="Garamond" w:cs="Garamond" w:hAnsi="Garamond"/>
      <w:color w:val="000000"/>
      <w:w w:val="100"/>
      <w:position w:val="-1"/>
      <w:effect w:val="none"/>
      <w:vertAlign w:val="baseline"/>
      <w:cs w:val="0"/>
      <w:em w:val="none"/>
      <w:lang w:val="en-GB"/>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rFonts w:ascii="Symbol" w:cs="OpenSymbol" w:hAnsi="Symbol"/>
      <w:w w:val="100"/>
      <w:position w:val="-1"/>
      <w:effect w:val="none"/>
      <w:vertAlign w:val="baseline"/>
      <w:cs w:val="0"/>
      <w:em w:val="none"/>
      <w:lang w:val="en-GB"/>
    </w:rPr>
  </w:style>
  <w:style w:type="character" w:styleId="WW8Num4z0">
    <w:name w:val="WW8Num4z0"/>
    <w:next w:val="WW8Num4z0"/>
    <w:autoRedefine w:val="0"/>
    <w:hidden w:val="0"/>
    <w:qFormat w:val="0"/>
    <w:rPr>
      <w:rFonts w:ascii="Garamond" w:cs="Garamond" w:hAnsi="Garamond"/>
      <w:color w:val="000000"/>
      <w:w w:val="100"/>
      <w:position w:val="-1"/>
      <w:effect w:val="none"/>
      <w:vertAlign w:val="baseline"/>
      <w:cs w:val="0"/>
      <w:em w:val="none"/>
      <w:lang w:val="es-ES"/>
    </w:rPr>
  </w:style>
  <w:style w:type="character" w:styleId="WW8Num4z1">
    <w:name w:val="WW8Num4z1"/>
    <w:next w:val="WW8Num4z1"/>
    <w:autoRedefine w:val="0"/>
    <w:hidden w:val="0"/>
    <w:qFormat w:val="0"/>
    <w:rPr>
      <w:w w:val="100"/>
      <w:position w:val="-1"/>
      <w:effect w:val="none"/>
      <w:vertAlign w:val="baseline"/>
      <w:cs w:val="0"/>
      <w:em w:val="none"/>
      <w:lang/>
    </w:rPr>
  </w:style>
  <w:style w:type="character" w:styleId="WW8Num4z2">
    <w:name w:val="WW8Num4z2"/>
    <w:next w:val="WW8Num4z2"/>
    <w:autoRedefine w:val="0"/>
    <w:hidden w:val="0"/>
    <w:qFormat w:val="0"/>
    <w:rPr>
      <w:w w:val="100"/>
      <w:position w:val="-1"/>
      <w:effect w:val="none"/>
      <w:vertAlign w:val="baseline"/>
      <w:cs w:val="0"/>
      <w:em w:val="none"/>
      <w:lang/>
    </w:rPr>
  </w:style>
  <w:style w:type="character" w:styleId="WW8Num4z3">
    <w:name w:val="WW8Num4z3"/>
    <w:next w:val="WW8Num4z3"/>
    <w:autoRedefine w:val="0"/>
    <w:hidden w:val="0"/>
    <w:qFormat w:val="0"/>
    <w:rPr>
      <w:w w:val="100"/>
      <w:position w:val="-1"/>
      <w:effect w:val="none"/>
      <w:vertAlign w:val="baseline"/>
      <w:cs w:val="0"/>
      <w:em w:val="none"/>
      <w:lang/>
    </w:rPr>
  </w:style>
  <w:style w:type="character" w:styleId="WW8Num4z4">
    <w:name w:val="WW8Num4z4"/>
    <w:next w:val="WW8Num4z4"/>
    <w:autoRedefine w:val="0"/>
    <w:hidden w:val="0"/>
    <w:qFormat w:val="0"/>
    <w:rPr>
      <w:w w:val="100"/>
      <w:position w:val="-1"/>
      <w:effect w:val="none"/>
      <w:vertAlign w:val="baseline"/>
      <w:cs w:val="0"/>
      <w:em w:val="none"/>
      <w:lang/>
    </w:rPr>
  </w:style>
  <w:style w:type="character" w:styleId="WW8Num4z5">
    <w:name w:val="WW8Num4z5"/>
    <w:next w:val="WW8Num4z5"/>
    <w:autoRedefine w:val="0"/>
    <w:hidden w:val="0"/>
    <w:qFormat w:val="0"/>
    <w:rPr>
      <w:w w:val="100"/>
      <w:position w:val="-1"/>
      <w:effect w:val="none"/>
      <w:vertAlign w:val="baseline"/>
      <w:cs w:val="0"/>
      <w:em w:val="none"/>
      <w:lang/>
    </w:rPr>
  </w:style>
  <w:style w:type="character" w:styleId="WW8Num4z6">
    <w:name w:val="WW8Num4z6"/>
    <w:next w:val="WW8Num4z6"/>
    <w:autoRedefine w:val="0"/>
    <w:hidden w:val="0"/>
    <w:qFormat w:val="0"/>
    <w:rPr>
      <w:w w:val="100"/>
      <w:position w:val="-1"/>
      <w:effect w:val="none"/>
      <w:vertAlign w:val="baseline"/>
      <w:cs w:val="0"/>
      <w:em w:val="none"/>
      <w:lang/>
    </w:rPr>
  </w:style>
  <w:style w:type="character" w:styleId="WW8Num4z7">
    <w:name w:val="WW8Num4z7"/>
    <w:next w:val="WW8Num4z7"/>
    <w:autoRedefine w:val="0"/>
    <w:hidden w:val="0"/>
    <w:qFormat w:val="0"/>
    <w:rPr>
      <w:w w:val="100"/>
      <w:position w:val="-1"/>
      <w:effect w:val="none"/>
      <w:vertAlign w:val="baseline"/>
      <w:cs w:val="0"/>
      <w:em w:val="none"/>
      <w:lang/>
    </w:rPr>
  </w:style>
  <w:style w:type="character" w:styleId="WW8Num4z8">
    <w:name w:val="WW8Num4z8"/>
    <w:next w:val="WW8Num4z8"/>
    <w:autoRedefine w:val="0"/>
    <w:hidden w:val="0"/>
    <w:qFormat w:val="0"/>
    <w:rPr>
      <w:w w:val="100"/>
      <w:position w:val="-1"/>
      <w:effect w:val="none"/>
      <w:vertAlign w:val="baseline"/>
      <w:cs w:val="0"/>
      <w:em w:val="none"/>
      <w:lang/>
    </w:rPr>
  </w:style>
  <w:style w:type="character" w:styleId="WW8Num5z0">
    <w:name w:val="WW8Num5z0"/>
    <w:next w:val="WW8Num5z0"/>
    <w:autoRedefine w:val="0"/>
    <w:hidden w:val="0"/>
    <w:qFormat w:val="0"/>
    <w:rPr>
      <w:rFonts w:ascii="Garamond" w:cs="Garamond" w:hAnsi="Garamond"/>
      <w:w w:val="100"/>
      <w:position w:val="-1"/>
      <w:effect w:val="none"/>
      <w:vertAlign w:val="baseline"/>
      <w:cs w:val="0"/>
      <w:em w:val="none"/>
      <w:lang/>
    </w:rPr>
  </w:style>
  <w:style w:type="character" w:styleId="WW8Num5z1">
    <w:name w:val="WW8Num5z1"/>
    <w:next w:val="WW8Num5z1"/>
    <w:autoRedefine w:val="0"/>
    <w:hidden w:val="0"/>
    <w:qFormat w:val="0"/>
    <w:rPr>
      <w:w w:val="100"/>
      <w:position w:val="-1"/>
      <w:effect w:val="none"/>
      <w:vertAlign w:val="baseline"/>
      <w:cs w:val="0"/>
      <w:em w:val="none"/>
      <w:lang/>
    </w:rPr>
  </w:style>
  <w:style w:type="character" w:styleId="WW8Num5z2">
    <w:name w:val="WW8Num5z2"/>
    <w:next w:val="WW8Num5z2"/>
    <w:autoRedefine w:val="0"/>
    <w:hidden w:val="0"/>
    <w:qFormat w:val="0"/>
    <w:rPr>
      <w:w w:val="100"/>
      <w:position w:val="-1"/>
      <w:effect w:val="none"/>
      <w:vertAlign w:val="baseline"/>
      <w:cs w:val="0"/>
      <w:em w:val="none"/>
      <w:lang/>
    </w:rPr>
  </w:style>
  <w:style w:type="character" w:styleId="WW8Num5z3">
    <w:name w:val="WW8Num5z3"/>
    <w:next w:val="WW8Num5z3"/>
    <w:autoRedefine w:val="0"/>
    <w:hidden w:val="0"/>
    <w:qFormat w:val="0"/>
    <w:rPr>
      <w:w w:val="100"/>
      <w:position w:val="-1"/>
      <w:effect w:val="none"/>
      <w:vertAlign w:val="baseline"/>
      <w:cs w:val="0"/>
      <w:em w:val="none"/>
      <w:lang/>
    </w:rPr>
  </w:style>
  <w:style w:type="character" w:styleId="WW8Num5z4">
    <w:name w:val="WW8Num5z4"/>
    <w:next w:val="WW8Num5z4"/>
    <w:autoRedefine w:val="0"/>
    <w:hidden w:val="0"/>
    <w:qFormat w:val="0"/>
    <w:rPr>
      <w:w w:val="100"/>
      <w:position w:val="-1"/>
      <w:effect w:val="none"/>
      <w:vertAlign w:val="baseline"/>
      <w:cs w:val="0"/>
      <w:em w:val="none"/>
      <w:lang/>
    </w:rPr>
  </w:style>
  <w:style w:type="character" w:styleId="WW8Num5z5">
    <w:name w:val="WW8Num5z5"/>
    <w:next w:val="WW8Num5z5"/>
    <w:autoRedefine w:val="0"/>
    <w:hidden w:val="0"/>
    <w:qFormat w:val="0"/>
    <w:rPr>
      <w:w w:val="100"/>
      <w:position w:val="-1"/>
      <w:effect w:val="none"/>
      <w:vertAlign w:val="baseline"/>
      <w:cs w:val="0"/>
      <w:em w:val="none"/>
      <w:lang/>
    </w:rPr>
  </w:style>
  <w:style w:type="character" w:styleId="WW8Num5z6">
    <w:name w:val="WW8Num5z6"/>
    <w:next w:val="WW8Num5z6"/>
    <w:autoRedefine w:val="0"/>
    <w:hidden w:val="0"/>
    <w:qFormat w:val="0"/>
    <w:rPr>
      <w:w w:val="100"/>
      <w:position w:val="-1"/>
      <w:effect w:val="none"/>
      <w:vertAlign w:val="baseline"/>
      <w:cs w:val="0"/>
      <w:em w:val="none"/>
      <w:lang/>
    </w:rPr>
  </w:style>
  <w:style w:type="character" w:styleId="WW8Num5z7">
    <w:name w:val="WW8Num5z7"/>
    <w:next w:val="WW8Num5z7"/>
    <w:autoRedefine w:val="0"/>
    <w:hidden w:val="0"/>
    <w:qFormat w:val="0"/>
    <w:rPr>
      <w:w w:val="100"/>
      <w:position w:val="-1"/>
      <w:effect w:val="none"/>
      <w:vertAlign w:val="baseline"/>
      <w:cs w:val="0"/>
      <w:em w:val="none"/>
      <w:lang/>
    </w:rPr>
  </w:style>
  <w:style w:type="character" w:styleId="WW8Num5z8">
    <w:name w:val="WW8Num5z8"/>
    <w:next w:val="WW8Num5z8"/>
    <w:autoRedefine w:val="0"/>
    <w:hidden w:val="0"/>
    <w:qFormat w:val="0"/>
    <w:rPr>
      <w:w w:val="100"/>
      <w:position w:val="-1"/>
      <w:effect w:val="none"/>
      <w:vertAlign w:val="baseline"/>
      <w:cs w:val="0"/>
      <w:em w:val="none"/>
      <w:lang/>
    </w:rPr>
  </w:style>
  <w:style w:type="character" w:styleId="WW8Num6z0">
    <w:name w:val="WW8Num6z0"/>
    <w:next w:val="WW8Num6z0"/>
    <w:autoRedefine w:val="0"/>
    <w:hidden w:val="0"/>
    <w:qFormat w:val="0"/>
    <w:rPr>
      <w:rFonts w:ascii="Symbol" w:cs="OpenSymbol" w:hAnsi="Symbol"/>
      <w:w w:val="100"/>
      <w:position w:val="-1"/>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character" w:styleId="ListLabel6">
    <w:name w:val="ListLabel 6"/>
    <w:next w:val="ListLabel6"/>
    <w:autoRedefine w:val="0"/>
    <w:hidden w:val="0"/>
    <w:qFormat w:val="0"/>
    <w:rPr>
      <w:w w:val="100"/>
      <w:position w:val="-1"/>
      <w:effect w:val="none"/>
      <w:vertAlign w:val="baseline"/>
      <w:cs w:val="0"/>
      <w:em w:val="none"/>
      <w:lang w:val="en-GB"/>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EndnoteCharacters">
    <w:name w:val="Endnote Characters"/>
    <w:next w:val="EndnoteCharacters"/>
    <w:autoRedefine w:val="0"/>
    <w:hidden w:val="0"/>
    <w:qFormat w:val="0"/>
    <w:rPr>
      <w:w w:val="100"/>
      <w:position w:val="-1"/>
      <w:effect w:val="none"/>
      <w:vertAlign w:val="baseline"/>
      <w:cs w:val="0"/>
      <w:em w:val="none"/>
      <w:lang/>
    </w:rPr>
  </w:style>
  <w:style w:type="character" w:styleId="Caracteresdenotafinal">
    <w:name w:val="Caracteres de nota final"/>
    <w:next w:val="Caracteresdenotafinal"/>
    <w:autoRedefine w:val="0"/>
    <w:hidden w:val="0"/>
    <w:qFormat w:val="0"/>
    <w:rPr>
      <w:w w:val="100"/>
      <w:position w:val="-1"/>
      <w:effect w:val="none"/>
      <w:vertAlign w:val="superscript"/>
      <w:cs w:val="0"/>
      <w:em w:val="none"/>
      <w:lang/>
    </w:rPr>
  </w:style>
  <w:style w:type="character" w:styleId="EnlacedeInternet">
    <w:name w:val="Enlace de Internet"/>
    <w:next w:val="EnlacedeInternet"/>
    <w:autoRedefine w:val="0"/>
    <w:hidden w:val="0"/>
    <w:qFormat w:val="0"/>
    <w:rPr>
      <w:color w:val="000080"/>
      <w:w w:val="100"/>
      <w:position w:val="-1"/>
      <w:u w:val="single"/>
      <w:effect w:val="none"/>
      <w:vertAlign w:val="baseline"/>
      <w:cs w:val="0"/>
      <w:em w:val="none"/>
      <w:lang w:bidi="und" w:eastAsia="und" w:val="und"/>
    </w:rPr>
  </w:style>
  <w:style w:type="character" w:styleId="Bullets">
    <w:name w:val="Bullets"/>
    <w:next w:val="Bullets"/>
    <w:autoRedefine w:val="0"/>
    <w:hidden w:val="0"/>
    <w:qFormat w:val="0"/>
    <w:rPr>
      <w:rFonts w:ascii="OpenSymbol" w:cs="OpenSymbol" w:eastAsia="OpenSymbol" w:hAnsi="OpenSymbol"/>
      <w:w w:val="100"/>
      <w:position w:val="-1"/>
      <w:effect w:val="none"/>
      <w:vertAlign w:val="baseline"/>
      <w:cs w:val="0"/>
      <w:em w:val="none"/>
      <w:lang/>
    </w:rPr>
  </w:style>
  <w:style w:type="character" w:styleId="Muydestacado">
    <w:name w:val="Muy destacado"/>
    <w:next w:val="Muydestacado"/>
    <w:autoRedefine w:val="0"/>
    <w:hidden w:val="0"/>
    <w:qFormat w:val="0"/>
    <w:rPr>
      <w:b w:val="1"/>
      <w:bCs w:val="1"/>
      <w:w w:val="100"/>
      <w:position w:val="-1"/>
      <w:effect w:val="none"/>
      <w:vertAlign w:val="baseline"/>
      <w:cs w:val="0"/>
      <w:em w:val="none"/>
      <w:lang/>
    </w:rPr>
  </w:style>
  <w:style w:type="character" w:styleId="FootnoteCharacters">
    <w:name w:val="Footnote Characters"/>
    <w:next w:val="FootnoteCharacters"/>
    <w:autoRedefine w:val="0"/>
    <w:hidden w:val="0"/>
    <w:qFormat w:val="0"/>
    <w:rPr>
      <w:w w:val="100"/>
      <w:position w:val="-1"/>
      <w:effect w:val="none"/>
      <w:vertAlign w:val="superscript"/>
      <w:cs w:val="0"/>
      <w:em w:val="none"/>
      <w:lang/>
    </w:rPr>
  </w:style>
  <w:style w:type="character" w:styleId="WW-FootnoteCharacters">
    <w:name w:val="WW-Footnote Characters"/>
    <w:next w:val="WW-FootnoteCharacters"/>
    <w:autoRedefine w:val="0"/>
    <w:hidden w:val="0"/>
    <w:qFormat w:val="0"/>
    <w:rPr>
      <w:w w:val="100"/>
      <w:position w:val="-1"/>
      <w:effect w:val="none"/>
      <w:vertAlign w:val="baseline"/>
      <w:cs w:val="0"/>
      <w:em w:val="none"/>
      <w:lang/>
    </w:rPr>
  </w:style>
  <w:style w:type="character" w:styleId="Caracteresdenotaalpie">
    <w:name w:val="Caracteres de nota al pie"/>
    <w:next w:val="Caracteresdenotaalpie"/>
    <w:autoRedefine w:val="0"/>
    <w:hidden w:val="0"/>
    <w:qFormat w:val="0"/>
    <w:rPr>
      <w:w w:val="100"/>
      <w:position w:val="-1"/>
      <w:effect w:val="none"/>
      <w:vertAlign w:val="superscript"/>
      <w:cs w:val="0"/>
      <w:em w:val="none"/>
      <w:lang/>
    </w:rPr>
  </w:style>
  <w:style w:type="character" w:styleId="Ancladenotafinal">
    <w:name w:val="Ancla de nota final"/>
    <w:next w:val="Ancladenotafinal"/>
    <w:autoRedefine w:val="0"/>
    <w:hidden w:val="0"/>
    <w:qFormat w:val="0"/>
    <w:rPr>
      <w:w w:val="100"/>
      <w:position w:val="-1"/>
      <w:effect w:val="none"/>
      <w:vertAlign w:val="superscript"/>
      <w:cs w:val="0"/>
      <w:em w:val="none"/>
      <w:lang/>
    </w:rPr>
  </w:style>
  <w:style w:type="character" w:styleId="Ancladenotaalpie">
    <w:name w:val="Ancla de nota al pie"/>
    <w:next w:val="Ancladenotaalpie"/>
    <w:autoRedefine w:val="0"/>
    <w:hidden w:val="0"/>
    <w:qFormat w:val="0"/>
    <w:rPr>
      <w:w w:val="100"/>
      <w:position w:val="-1"/>
      <w:effect w:val="none"/>
      <w:vertAlign w:val="superscript"/>
      <w:cs w:val="0"/>
      <w:em w:val="none"/>
      <w:lang/>
    </w:rPr>
  </w:style>
  <w:style w:type="character" w:styleId="Símbolosdenumeración">
    <w:name w:val="Símbolos de numeración"/>
    <w:next w:val="Símbolosdenumeración"/>
    <w:autoRedefine w:val="0"/>
    <w:hidden w:val="0"/>
    <w:qFormat w:val="0"/>
    <w:rPr>
      <w:w w:val="100"/>
      <w:position w:val="-1"/>
      <w:effect w:val="none"/>
      <w:vertAlign w:val="baseline"/>
      <w:cs w:val="0"/>
      <w:em w:val="none"/>
      <w:lang/>
    </w:rPr>
  </w:style>
  <w:style w:type="character" w:styleId="Viñetas">
    <w:name w:val="Viñetas"/>
    <w:next w:val="Viñetas"/>
    <w:autoRedefine w:val="0"/>
    <w:hidden w:val="0"/>
    <w:qFormat w:val="0"/>
    <w:rPr>
      <w:rFonts w:ascii="OpenSymbol" w:cs="OpenSymbol" w:eastAsia="OpenSymbol" w:hAnsi="OpenSymbol"/>
      <w:w w:val="100"/>
      <w:position w:val="-1"/>
      <w:effect w:val="none"/>
      <w:vertAlign w:val="baseline"/>
      <w:cs w:val="0"/>
      <w:em w:val="none"/>
      <w:lang/>
    </w:rPr>
  </w:style>
  <w:style w:type="character" w:styleId="footnotereference">
    <w:name w:val="footnote reference"/>
    <w:next w:val="footnotereference"/>
    <w:autoRedefine w:val="0"/>
    <w:hidden w:val="0"/>
    <w:qFormat w:val="0"/>
    <w:rPr>
      <w:rFonts w:ascii="Times New Roman" w:cs="Times New Roman" w:hAnsi="Times New Roman"/>
      <w:w w:val="100"/>
      <w:position w:val="-1"/>
      <w:sz w:val="18"/>
      <w:effect w:val="none"/>
      <w:vertAlign w:val="superscript"/>
      <w:cs w:val="0"/>
      <w:em w:val="none"/>
      <w:lang/>
    </w:rPr>
  </w:style>
  <w:style w:type="character" w:styleId="ListLabel7">
    <w:name w:val="ListLabel 7"/>
    <w:next w:val="ListLabel7"/>
    <w:autoRedefine w:val="0"/>
    <w:hidden w:val="0"/>
    <w:qFormat w:val="0"/>
    <w:rPr>
      <w:w w:val="100"/>
      <w:position w:val="-1"/>
      <w:effect w:val="none"/>
      <w:vertAlign w:val="baseline"/>
      <w:cs w:val="0"/>
      <w:em w:val="none"/>
      <w:lang/>
    </w:rPr>
  </w:style>
  <w:style w:type="character" w:styleId="ListLabel1">
    <w:name w:val="ListLabel 1"/>
    <w:next w:val="ListLabel1"/>
    <w:autoRedefine w:val="0"/>
    <w:hidden w:val="0"/>
    <w:qFormat w:val="0"/>
    <w:rPr>
      <w:w w:val="100"/>
      <w:position w:val="-1"/>
      <w:effect w:val="none"/>
      <w:vertAlign w:val="baseline"/>
      <w:cs w:val="0"/>
      <w:em w:val="none"/>
      <w:lang/>
    </w:rPr>
  </w:style>
  <w:style w:type="paragraph" w:styleId="Encabezado">
    <w:name w:val="Encabezado"/>
    <w:basedOn w:val="Predeterminado"/>
    <w:next w:val="Cuerpodetexto"/>
    <w:autoRedefine w:val="0"/>
    <w:hidden w:val="0"/>
    <w:qFormat w:val="0"/>
    <w:pPr>
      <w:keepNext w:val="1"/>
      <w:widowControl w:val="0"/>
      <w:suppressAutoHyphens w:val="0"/>
      <w:bidi w:val="0"/>
      <w:spacing w:after="120" w:before="240" w:line="1" w:lineRule="atLeast"/>
      <w:ind w:leftChars="-1" w:rightChars="0" w:firstLineChars="-1"/>
      <w:textDirection w:val="btLr"/>
      <w:textAlignment w:val="top"/>
      <w:outlineLvl w:val="0"/>
    </w:pPr>
    <w:rPr>
      <w:rFonts w:ascii="Arial" w:cs="Lucida Sans" w:eastAsia="Microsoft YaHei" w:hAnsi="Arial"/>
      <w:w w:val="100"/>
      <w:kern w:val="1"/>
      <w:position w:val="-1"/>
      <w:sz w:val="28"/>
      <w:szCs w:val="28"/>
      <w:effect w:val="none"/>
      <w:vertAlign w:val="baseline"/>
      <w:cs w:val="0"/>
      <w:em w:val="none"/>
      <w:lang w:bidi="ar-SA" w:eastAsia="zh-CN" w:val="und"/>
    </w:rPr>
  </w:style>
  <w:style w:type="paragraph" w:styleId="Cuerpodetexto">
    <w:name w:val="Cuerpo de texto"/>
    <w:basedOn w:val="Predeterminado"/>
    <w:next w:val="Cuerpodetexto"/>
    <w:autoRedefine w:val="0"/>
    <w:hidden w:val="0"/>
    <w:qFormat w:val="0"/>
    <w:pPr>
      <w:widowControl w:val="0"/>
      <w:suppressAutoHyphens w:val="0"/>
      <w:bidi w:val="0"/>
      <w:spacing w:after="120" w:before="0"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Lista">
    <w:name w:val="Lista"/>
    <w:basedOn w:val="Cuerpodetexto"/>
    <w:next w:val="Lista"/>
    <w:autoRedefine w:val="0"/>
    <w:hidden w:val="0"/>
    <w:qFormat w:val="0"/>
    <w:pPr>
      <w:widowControl w:val="0"/>
      <w:suppressAutoHyphens w:val="0"/>
      <w:bidi w:val="0"/>
      <w:spacing w:after="120" w:before="0" w:line="1" w:lineRule="atLeast"/>
      <w:ind w:leftChars="-1" w:rightChars="0" w:firstLineChars="-1"/>
      <w:textDirection w:val="btLr"/>
      <w:textAlignment w:val="top"/>
      <w:outlineLvl w:val="0"/>
    </w:pPr>
    <w:rPr>
      <w:rFonts w:ascii="Times New Roman" w:cs="Tahoma" w:eastAsia="Andale Sans UI" w:hAnsi="Times New Roman"/>
      <w:w w:val="100"/>
      <w:kern w:val="1"/>
      <w:position w:val="-1"/>
      <w:sz w:val="24"/>
      <w:szCs w:val="24"/>
      <w:effect w:val="none"/>
      <w:vertAlign w:val="baseline"/>
      <w:cs w:val="0"/>
      <w:em w:val="none"/>
      <w:lang w:bidi="ar-SA" w:eastAsia="zh-CN" w:val="und"/>
    </w:rPr>
  </w:style>
  <w:style w:type="paragraph" w:styleId="Etiqueta">
    <w:name w:val="Etiqueta"/>
    <w:basedOn w:val="Predeterminado"/>
    <w:next w:val="Etiqueta"/>
    <w:autoRedefine w:val="0"/>
    <w:hidden w:val="0"/>
    <w:qFormat w:val="0"/>
    <w:pPr>
      <w:widowControl w:val="0"/>
      <w:suppressLineNumbers w:val="1"/>
      <w:suppressAutoHyphens w:val="0"/>
      <w:bidi w:val="0"/>
      <w:spacing w:after="120" w:before="120" w:line="1" w:lineRule="atLeast"/>
      <w:ind w:leftChars="-1" w:rightChars="0" w:firstLineChars="-1"/>
      <w:textDirection w:val="btLr"/>
      <w:textAlignment w:val="top"/>
      <w:outlineLvl w:val="0"/>
    </w:pPr>
    <w:rPr>
      <w:rFonts w:ascii="Times New Roman" w:cs="Lucida Sans" w:eastAsia="Andale Sans UI" w:hAnsi="Times New Roman"/>
      <w:i w:val="1"/>
      <w:iCs w:val="1"/>
      <w:w w:val="100"/>
      <w:kern w:val="1"/>
      <w:position w:val="-1"/>
      <w:sz w:val="24"/>
      <w:szCs w:val="24"/>
      <w:effect w:val="none"/>
      <w:vertAlign w:val="baseline"/>
      <w:cs w:val="0"/>
      <w:em w:val="none"/>
      <w:lang w:bidi="ar-SA" w:eastAsia="zh-CN" w:val="und"/>
    </w:rPr>
  </w:style>
  <w:style w:type="paragraph" w:styleId="Índice">
    <w:name w:val="Índice"/>
    <w:basedOn w:val="Predeterminado"/>
    <w:next w:val="Índice"/>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Lucida Sans" w:eastAsia="Andale Sans UI" w:hAnsi="Times New Roman"/>
      <w:w w:val="100"/>
      <w:kern w:val="1"/>
      <w:position w:val="-1"/>
      <w:sz w:val="24"/>
      <w:szCs w:val="24"/>
      <w:effect w:val="none"/>
      <w:vertAlign w:val="baseline"/>
      <w:cs w:val="0"/>
      <w:em w:val="none"/>
      <w:lang w:bidi="ar-SA" w:eastAsia="zh-CN" w:val="und"/>
    </w:rPr>
  </w:style>
  <w:style w:type="paragraph" w:styleId="Heading">
    <w:name w:val="Heading"/>
    <w:basedOn w:val="Predeterminado"/>
    <w:next w:val="Cuerpodetexto"/>
    <w:autoRedefine w:val="0"/>
    <w:hidden w:val="0"/>
    <w:qFormat w:val="0"/>
    <w:pPr>
      <w:keepNext w:val="1"/>
      <w:widowControl w:val="0"/>
      <w:suppressAutoHyphens w:val="0"/>
      <w:bidi w:val="0"/>
      <w:spacing w:after="120" w:before="240" w:line="1" w:lineRule="atLeast"/>
      <w:ind w:leftChars="-1" w:rightChars="0" w:firstLineChars="-1"/>
      <w:textDirection w:val="btLr"/>
      <w:textAlignment w:val="top"/>
      <w:outlineLvl w:val="0"/>
    </w:pPr>
    <w:rPr>
      <w:rFonts w:ascii="Arial" w:cs="Tahoma" w:eastAsia="Andale Sans UI" w:hAnsi="Arial"/>
      <w:w w:val="100"/>
      <w:kern w:val="1"/>
      <w:position w:val="-1"/>
      <w:sz w:val="28"/>
      <w:szCs w:val="28"/>
      <w:effect w:val="none"/>
      <w:vertAlign w:val="baseline"/>
      <w:cs w:val="0"/>
      <w:em w:val="none"/>
      <w:lang w:bidi="ar-SA" w:eastAsia="zh-CN" w:val="und"/>
    </w:rPr>
  </w:style>
  <w:style w:type="paragraph" w:styleId="Caption">
    <w:name w:val="Caption"/>
    <w:basedOn w:val="Predeterminado"/>
    <w:next w:val="Caption"/>
    <w:autoRedefine w:val="0"/>
    <w:hidden w:val="0"/>
    <w:qFormat w:val="0"/>
    <w:pPr>
      <w:widowControl w:val="0"/>
      <w:suppressLineNumbers w:val="1"/>
      <w:suppressAutoHyphens w:val="0"/>
      <w:bidi w:val="0"/>
      <w:spacing w:after="120" w:before="120" w:line="1" w:lineRule="atLeast"/>
      <w:ind w:leftChars="-1" w:rightChars="0" w:firstLineChars="-1"/>
      <w:textDirection w:val="btLr"/>
      <w:textAlignment w:val="top"/>
      <w:outlineLvl w:val="0"/>
    </w:pPr>
    <w:rPr>
      <w:rFonts w:ascii="Times New Roman" w:cs="Tahoma" w:eastAsia="Andale Sans UI" w:hAnsi="Times New Roman"/>
      <w:i w:val="1"/>
      <w:iCs w:val="1"/>
      <w:w w:val="100"/>
      <w:kern w:val="1"/>
      <w:position w:val="-1"/>
      <w:sz w:val="24"/>
      <w:szCs w:val="24"/>
      <w:effect w:val="none"/>
      <w:vertAlign w:val="baseline"/>
      <w:cs w:val="0"/>
      <w:em w:val="none"/>
      <w:lang w:bidi="ar-SA" w:eastAsia="zh-CN" w:val="und"/>
    </w:rPr>
  </w:style>
  <w:style w:type="paragraph" w:styleId="Index">
    <w:name w:val="Index"/>
    <w:basedOn w:val="Predeterminado"/>
    <w:next w:val="Index"/>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ahoma" w:eastAsia="Andale Sans UI" w:hAnsi="Times New Roman"/>
      <w:w w:val="100"/>
      <w:kern w:val="1"/>
      <w:position w:val="-1"/>
      <w:sz w:val="24"/>
      <w:szCs w:val="24"/>
      <w:effect w:val="none"/>
      <w:vertAlign w:val="baseline"/>
      <w:cs w:val="0"/>
      <w:em w:val="none"/>
      <w:lang w:bidi="ar-SA" w:eastAsia="zh-CN" w:val="und"/>
    </w:rPr>
  </w:style>
  <w:style w:type="paragraph" w:styleId="TableContents">
    <w:name w:val="Table Contents"/>
    <w:basedOn w:val="Predeterminado"/>
    <w:next w:val="TableContents"/>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PreformattedText">
    <w:name w:val="Preformatted Text"/>
    <w:basedOn w:val="Predeterminado"/>
    <w:next w:val="PreformattedText"/>
    <w:autoRedefine w:val="0"/>
    <w:hidden w:val="0"/>
    <w:qFormat w:val="0"/>
    <w:pPr>
      <w:widowControl w:val="0"/>
      <w:suppressAutoHyphens w:val="0"/>
      <w:bidi w:val="0"/>
      <w:spacing w:after="0" w:before="0" w:line="1" w:lineRule="atLeast"/>
      <w:ind w:leftChars="-1" w:rightChars="0" w:firstLineChars="-1"/>
      <w:textDirection w:val="btLr"/>
      <w:textAlignment w:val="top"/>
      <w:outlineLvl w:val="0"/>
    </w:pPr>
    <w:rPr>
      <w:rFonts w:ascii="Courier New" w:cs="Courier New" w:eastAsia="MS PGothic" w:hAnsi="Courier New"/>
      <w:w w:val="100"/>
      <w:kern w:val="1"/>
      <w:position w:val="-1"/>
      <w:sz w:val="20"/>
      <w:szCs w:val="20"/>
      <w:effect w:val="none"/>
      <w:vertAlign w:val="baseline"/>
      <w:cs w:val="0"/>
      <w:em w:val="none"/>
      <w:lang w:bidi="ar-SA" w:eastAsia="zh-CN" w:val="und"/>
    </w:rPr>
  </w:style>
  <w:style w:type="paragraph" w:styleId="Notafinal">
    <w:name w:val="Nota final"/>
    <w:basedOn w:val="Predeterminado"/>
    <w:next w:val="Notafinal"/>
    <w:autoRedefine w:val="0"/>
    <w:hidden w:val="0"/>
    <w:qFormat w:val="0"/>
    <w:pPr>
      <w:widowControl w:val="0"/>
      <w:suppressLineNumbers w:val="1"/>
      <w:suppressAutoHyphens w:val="0"/>
      <w:bidi w:val="0"/>
      <w:spacing w:line="1" w:lineRule="atLeast"/>
      <w:ind w:left="283" w:right="0" w:leftChars="-1" w:rightChars="0" w:hanging="283" w:firstLineChars="-1"/>
      <w:textDirection w:val="btLr"/>
      <w:textAlignment w:val="top"/>
      <w:outlineLvl w:val="0"/>
    </w:pPr>
    <w:rPr>
      <w:rFonts w:ascii="Times New Roman" w:cs="Times New Roman" w:eastAsia="Andale Sans UI" w:hAnsi="Times New Roman"/>
      <w:w w:val="100"/>
      <w:kern w:val="1"/>
      <w:position w:val="-1"/>
      <w:sz w:val="20"/>
      <w:szCs w:val="20"/>
      <w:effect w:val="none"/>
      <w:vertAlign w:val="baseline"/>
      <w:cs w:val="0"/>
      <w:em w:val="none"/>
      <w:lang w:bidi="ar-SA" w:eastAsia="zh-CN" w:val="und"/>
    </w:rPr>
  </w:style>
  <w:style w:type="paragraph" w:styleId="TableHeading">
    <w:name w:val="Table Heading"/>
    <w:basedOn w:val="TableContents"/>
    <w:next w:val="TableHeading"/>
    <w:autoRedefine w:val="0"/>
    <w:hidden w:val="0"/>
    <w:qFormat w:val="0"/>
    <w:pPr>
      <w:widowControl w:val="0"/>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Andale Sans UI" w:hAnsi="Times New Roman"/>
      <w:b w:val="1"/>
      <w:bCs w:val="1"/>
      <w:w w:val="100"/>
      <w:kern w:val="1"/>
      <w:position w:val="-1"/>
      <w:sz w:val="24"/>
      <w:szCs w:val="24"/>
      <w:effect w:val="none"/>
      <w:vertAlign w:val="baseline"/>
      <w:cs w:val="0"/>
      <w:em w:val="none"/>
      <w:lang w:bidi="ar-SA" w:eastAsia="zh-CN" w:val="und"/>
    </w:rPr>
  </w:style>
  <w:style w:type="paragraph" w:styleId="Piedepágina">
    <w:name w:val="Pie de página"/>
    <w:basedOn w:val="Predeterminado"/>
    <w:next w:val="Piedepágina"/>
    <w:autoRedefine w:val="0"/>
    <w:hidden w:val="0"/>
    <w:qFormat w:val="0"/>
    <w:pPr>
      <w:widowControl w:val="0"/>
      <w:suppressLineNumbers w:val="1"/>
      <w:tabs>
        <w:tab w:val="center" w:leader="none" w:pos="4818"/>
        <w:tab w:val="right" w:leader="none" w:pos="9637"/>
      </w:tabs>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Contenidodelatabla">
    <w:name w:val="Contenido de la tabla"/>
    <w:basedOn w:val="Predeterminado"/>
    <w:next w:val="Contenidodelatabla"/>
    <w:autoRedefine w:val="0"/>
    <w:hidden w:val="0"/>
    <w:qFormat w:val="0"/>
    <w:pPr>
      <w:widowControl w:val="0"/>
      <w:suppressLineNumbers w:val="1"/>
      <w:suppressAutoHyphens w:val="0"/>
      <w:bidi w:val="0"/>
      <w:spacing w:line="1" w:lineRule="atLeast"/>
      <w:ind w:leftChars="-1" w:rightChars="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Encabezadodelatabla">
    <w:name w:val="Encabezado de la tabla"/>
    <w:basedOn w:val="Contenidodelatabla"/>
    <w:next w:val="Encabezadodelatabla"/>
    <w:autoRedefine w:val="0"/>
    <w:hidden w:val="0"/>
    <w:qFormat w:val="0"/>
    <w:pPr>
      <w:widowControl w:val="0"/>
      <w:suppressLineNumbers w:val="1"/>
      <w:suppressAutoHyphens w:val="0"/>
      <w:bidi w:val="0"/>
      <w:spacing w:line="1" w:lineRule="atLeast"/>
      <w:ind w:leftChars="-1" w:rightChars="0" w:firstLineChars="-1"/>
      <w:jc w:val="center"/>
      <w:textDirection w:val="btLr"/>
      <w:textAlignment w:val="top"/>
      <w:outlineLvl w:val="0"/>
    </w:pPr>
    <w:rPr>
      <w:rFonts w:ascii="Times New Roman" w:cs="Times New Roman" w:eastAsia="Andale Sans UI" w:hAnsi="Times New Roman"/>
      <w:b w:val="1"/>
      <w:bCs w:val="1"/>
      <w:w w:val="100"/>
      <w:kern w:val="1"/>
      <w:position w:val="-1"/>
      <w:sz w:val="24"/>
      <w:szCs w:val="24"/>
      <w:effect w:val="none"/>
      <w:vertAlign w:val="baseline"/>
      <w:cs w:val="0"/>
      <w:em w:val="none"/>
      <w:lang w:bidi="ar-SA" w:eastAsia="zh-CN" w:val="und"/>
    </w:rPr>
  </w:style>
  <w:style w:type="paragraph" w:styleId="Textopreformateado">
    <w:name w:val="Texto preformateado"/>
    <w:basedOn w:val="Predeterminado"/>
    <w:next w:val="Textopreformateado"/>
    <w:autoRedefine w:val="0"/>
    <w:hidden w:val="0"/>
    <w:qFormat w:val="0"/>
    <w:pPr>
      <w:widowControl w:val="0"/>
      <w:suppressAutoHyphens w:val="0"/>
      <w:bidi w:val="0"/>
      <w:spacing w:after="0" w:before="0" w:line="1" w:lineRule="atLeast"/>
      <w:ind w:leftChars="-1" w:rightChars="0" w:firstLineChars="-1"/>
      <w:textDirection w:val="btLr"/>
      <w:textAlignment w:val="top"/>
      <w:outlineLvl w:val="0"/>
    </w:pPr>
    <w:rPr>
      <w:rFonts w:ascii="Courier New" w:cs="Courier New" w:eastAsia="NSimSun" w:hAnsi="Courier New"/>
      <w:w w:val="100"/>
      <w:kern w:val="1"/>
      <w:position w:val="-1"/>
      <w:sz w:val="20"/>
      <w:szCs w:val="20"/>
      <w:effect w:val="none"/>
      <w:vertAlign w:val="baseline"/>
      <w:cs w:val="0"/>
      <w:em w:val="none"/>
      <w:lang w:bidi="ar-SA" w:eastAsia="zh-CN" w:val="und"/>
    </w:rPr>
  </w:style>
  <w:style w:type="paragraph" w:styleId="numeroitukappale">
    <w:name w:val="numeroitu kappale"/>
    <w:basedOn w:val="Predeterminado"/>
    <w:next w:val="numeroitukappale"/>
    <w:autoRedefine w:val="0"/>
    <w:hidden w:val="0"/>
    <w:qFormat w:val="0"/>
    <w:pPr>
      <w:widowControl w:val="1"/>
      <w:numPr>
        <w:ilvl w:val="0"/>
        <w:numId w:val="2"/>
      </w:numPr>
      <w:suppressAutoHyphens w:val="0"/>
      <w:bidi w:val="0"/>
      <w:spacing w:after="160" w:before="0" w:line="288" w:lineRule="auto"/>
      <w:ind w:left="360" w:right="0" w:leftChars="-1" w:rightChars="0" w:firstLine="0" w:firstLineChars="-1"/>
      <w:textDirection w:val="btLr"/>
      <w:textAlignment w:val="top"/>
      <w:outlineLvl w:val="0"/>
    </w:pPr>
    <w:rPr>
      <w:rFonts w:ascii="Times New Roman" w:cs="Calibri" w:eastAsia="Andale Sans UI" w:hAnsi="Times New Roman"/>
      <w:color w:val="00000a"/>
      <w:w w:val="100"/>
      <w:kern w:val="1"/>
      <w:position w:val="-1"/>
      <w:sz w:val="22"/>
      <w:szCs w:val="24"/>
      <w:effect w:val="none"/>
      <w:vertAlign w:val="baseline"/>
      <w:cs w:val="0"/>
      <w:em w:val="none"/>
      <w:lang w:bidi="ar-SA" w:eastAsia="zh-CN" w:val="und"/>
    </w:rPr>
  </w:style>
  <w:style w:type="paragraph" w:styleId="Notaalpie">
    <w:name w:val="Nota al pie"/>
    <w:basedOn w:val="Predeterminado"/>
    <w:next w:val="Notaalpie"/>
    <w:autoRedefine w:val="0"/>
    <w:hidden w:val="0"/>
    <w:qFormat w:val="0"/>
    <w:pPr>
      <w:widowControl w:val="0"/>
      <w:suppressLineNumbers w:val="1"/>
      <w:suppressAutoHyphens w:val="0"/>
      <w:bidi w:val="0"/>
      <w:spacing w:line="1" w:lineRule="atLeast"/>
      <w:ind w:left="283" w:right="0" w:leftChars="-1" w:rightChars="0" w:hanging="283" w:firstLineChars="-1"/>
      <w:textDirection w:val="btLr"/>
      <w:textAlignment w:val="top"/>
      <w:outlineLvl w:val="0"/>
    </w:pPr>
    <w:rPr>
      <w:rFonts w:ascii="Times New Roman" w:cs="Times New Roman" w:eastAsia="Andale Sans UI" w:hAnsi="Times New Roman"/>
      <w:w w:val="100"/>
      <w:kern w:val="1"/>
      <w:position w:val="-1"/>
      <w:sz w:val="20"/>
      <w:szCs w:val="20"/>
      <w:effect w:val="none"/>
      <w:vertAlign w:val="baseline"/>
      <w:cs w:val="0"/>
      <w:em w:val="none"/>
      <w:lang w:bidi="ar-SA" w:eastAsia="zh-CN" w:val="und"/>
    </w:rPr>
  </w:style>
  <w:style w:type="paragraph" w:styleId="footnotetext">
    <w:name w:val="footnote text"/>
    <w:basedOn w:val="Predeterminado"/>
    <w:next w:val="footnotetext"/>
    <w:autoRedefine w:val="0"/>
    <w:hidden w:val="0"/>
    <w:qFormat w:val="0"/>
    <w:pPr>
      <w:widowControl w:val="0"/>
      <w:numPr>
        <w:ilvl w:val="0"/>
        <w:numId w:val="0"/>
      </w:numPr>
      <w:tabs>
        <w:tab w:val="right" w:leader="none" w:pos="1021"/>
      </w:tabs>
      <w:suppressAutoHyphens w:val="1"/>
      <w:bidi w:val="0"/>
      <w:spacing w:line="220" w:lineRule="atLeast"/>
      <w:ind w:left="1134" w:right="1134" w:leftChars="-1" w:rightChars="0" w:hanging="1134" w:firstLineChars="-1"/>
      <w:textDirection w:val="btLr"/>
      <w:textAlignment w:val="top"/>
      <w:outlineLvl w:val="0"/>
    </w:pPr>
    <w:rPr>
      <w:rFonts w:ascii="Times New Roman" w:cs="Times New Roman" w:eastAsia="SimSun" w:hAnsi="Times New Roman"/>
      <w:w w:val="100"/>
      <w:kern w:val="1"/>
      <w:position w:val="-1"/>
      <w:sz w:val="18"/>
      <w:szCs w:val="24"/>
      <w:effect w:val="none"/>
      <w:vertAlign w:val="baseline"/>
      <w:cs w:val="0"/>
      <w:em w:val="none"/>
      <w:lang w:bidi="ar-SA" w:eastAsia="zh-CN" w:val="und"/>
    </w:rPr>
  </w:style>
  <w:style w:type="paragraph" w:styleId="_SingleTxt_G">
    <w:name w:val="_ Single Txt_G"/>
    <w:basedOn w:val="Predeterminado"/>
    <w:next w:val="_SingleTxt_G"/>
    <w:autoRedefine w:val="0"/>
    <w:hidden w:val="0"/>
    <w:qFormat w:val="0"/>
    <w:pPr>
      <w:widowControl w:val="0"/>
      <w:numPr>
        <w:ilvl w:val="0"/>
        <w:numId w:val="0"/>
      </w:numPr>
      <w:tabs>
        <w:tab w:val="left" w:leader="none" w:pos="1701"/>
        <w:tab w:val="left" w:leader="none" w:pos="2268"/>
      </w:tabs>
      <w:suppressAutoHyphens w:val="0"/>
      <w:bidi w:val="0"/>
      <w:spacing w:after="120" w:before="0" w:line="1" w:lineRule="atLeast"/>
      <w:ind w:left="1134" w:right="1134" w:leftChars="-1" w:rightChars="0" w:firstLine="0" w:firstLineChars="-1"/>
      <w:jc w:val="both"/>
      <w:textDirection w:val="btLr"/>
      <w:textAlignment w:val="top"/>
      <w:outlineLvl w:val="0"/>
    </w:pPr>
    <w:rPr>
      <w:rFonts w:ascii="Times New Roman" w:cs="Times New Roman" w:eastAsia="SimSun" w:hAnsi="Times New Roman"/>
      <w:w w:val="100"/>
      <w:kern w:val="1"/>
      <w:position w:val="-1"/>
      <w:sz w:val="24"/>
      <w:szCs w:val="24"/>
      <w:effect w:val="none"/>
      <w:vertAlign w:val="baseline"/>
      <w:cs w:val="0"/>
      <w:em w:val="none"/>
      <w:lang w:bidi="ar-SA" w:eastAsia="zh-CN" w:val="und"/>
    </w:rPr>
  </w:style>
  <w:style w:type="paragraph" w:styleId="ListParagraph">
    <w:name w:val="List Paragraph"/>
    <w:basedOn w:val="Predeterminado"/>
    <w:next w:val="ListParagraph"/>
    <w:autoRedefine w:val="0"/>
    <w:hidden w:val="0"/>
    <w:qFormat w:val="0"/>
    <w:pPr>
      <w:widowControl w:val="0"/>
      <w:numPr>
        <w:ilvl w:val="0"/>
        <w:numId w:val="0"/>
      </w:numPr>
      <w:suppressAutoHyphens w:val="0"/>
      <w:bidi w:val="0"/>
      <w:spacing w:line="1" w:lineRule="atLeast"/>
      <w:ind w:left="720" w:right="0" w:leftChars="-1" w:rightChars="0" w:firstLine="0" w:firstLineChars="-1"/>
      <w:textDirection w:val="btLr"/>
      <w:textAlignment w:val="top"/>
      <w:outlineLvl w:val="0"/>
    </w:pPr>
    <w:rPr>
      <w:rFonts w:ascii="Times New Roman" w:cs="Times New Roman" w:eastAsia="Andale Sans UI" w:hAnsi="Times New Roman"/>
      <w:w w:val="100"/>
      <w:kern w:val="1"/>
      <w:position w:val="-1"/>
      <w:sz w:val="24"/>
      <w:szCs w:val="24"/>
      <w:effect w:val="none"/>
      <w:vertAlign w:val="baseline"/>
      <w:cs w:val="0"/>
      <w:em w:val="none"/>
      <w:lang w:bidi="ar-SA" w:eastAsia="zh-CN" w:val="und"/>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fontTable" Target="fontTable.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GV6ot1R4NNZIjj/fqi5/Zh6Gvg==">CgMxLjA4AHIhMVNQZjRVZzhhdmZQdTgxazc2R2phbmp2QVVnWXVWYWpq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2025-01-27T12:29:56+00:00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A4F8201-847F-45FB-82C1-24A5C1E37734}"/>
</file>

<file path=customXML/itemProps3.xml><?xml version="1.0" encoding="utf-8"?>
<ds:datastoreItem xmlns:ds="http://schemas.openxmlformats.org/officeDocument/2006/customXml" ds:itemID="{4DEF8A55-5AC4-4501-BDBD-3354106903EE}"/>
</file>

<file path=customXML/itemProps4.xml><?xml version="1.0" encoding="utf-8"?>
<ds:datastoreItem xmlns:ds="http://schemas.openxmlformats.org/officeDocument/2006/customXml" ds:itemID="{32D9B8EC-70EF-4017-963C-29354F5DCE5B}"/>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Celine Reynaud</dc:creator>
  <dcterms:created xsi:type="dcterms:W3CDTF">2023-08-21T15:31:00Z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318dc61084e0b5162a08f13e34e364aeb06332fb3236c7f158cd85a48ad47669</vt:lpwstr>
  </property>
  <property fmtid="{D5CDD505-2E9C-101B-9397-08002B2CF9AE}" pid="3" name="ContentTypeId">
    <vt:lpwstr>0x0101001A3F5FACD05E93499D4EAF05403D4F75</vt:lpwstr>
  </property>
</Properties>
</file>