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DFD78" w14:textId="18C4F9AB" w:rsidR="00CD20D4" w:rsidRDefault="008F110B" w:rsidP="00203FB5">
      <w:pPr>
        <w:pStyle w:val="Baltcovermaintitletext"/>
      </w:pPr>
      <w:r w:rsidRPr="00823FD3">
        <w:rPr>
          <w:rStyle w:val="PageNumber"/>
          <w:noProof/>
          <w:sz w:val="56"/>
          <w:szCs w:val="56"/>
          <w:lang w:val="en-US" w:eastAsia="en-US"/>
        </w:rPr>
        <w:drawing>
          <wp:anchor distT="0" distB="144145" distL="114300" distR="114300" simplePos="0" relativeHeight="251658249" behindDoc="0" locked="1" layoutInCell="1" allowOverlap="1" wp14:anchorId="7DB338AC" wp14:editId="570C8506">
            <wp:simplePos x="0" y="0"/>
            <wp:positionH relativeFrom="margin">
              <wp:align>center</wp:align>
            </wp:positionH>
            <wp:positionV relativeFrom="margin">
              <wp:posOffset>695325</wp:posOffset>
            </wp:positionV>
            <wp:extent cx="2685415" cy="4525010"/>
            <wp:effectExtent l="0" t="0" r="635" b="8890"/>
            <wp:wrapNone/>
            <wp:docPr id="1432700837"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val="1"/>
                      </a:ext>
                    </a:extLst>
                  </pic:spPr>
                </pic:pic>
              </a:graphicData>
            </a:graphic>
            <wp14:sizeRelH relativeFrom="page">
              <wp14:pctWidth>0</wp14:pctWidth>
            </wp14:sizeRelH>
            <wp14:sizeRelV relativeFrom="page">
              <wp14:pctHeight>0</wp14:pctHeight>
            </wp14:sizeRelV>
          </wp:anchor>
        </w:drawing>
      </w:r>
      <w:r w:rsidR="00BE16B2">
        <w:t xml:space="preserve"> </w:t>
      </w:r>
      <w:r>
        <w:t>CHILE</w:t>
      </w:r>
      <w:r w:rsidR="00282ED3">
        <w:t xml:space="preserve"> </w:t>
      </w:r>
    </w:p>
    <w:p w14:paraId="79FE56BA" w14:textId="77777777" w:rsidR="008F110B" w:rsidRPr="002065DE" w:rsidRDefault="008F110B" w:rsidP="008F110B">
      <w:pPr>
        <w:pStyle w:val="BSubtitle"/>
        <w:rPr>
          <w:sz w:val="52"/>
          <w:szCs w:val="52"/>
        </w:rPr>
      </w:pPr>
      <w:r w:rsidRPr="002065DE">
        <w:rPr>
          <w:sz w:val="52"/>
          <w:szCs w:val="52"/>
        </w:rPr>
        <w:t>INFORME AL COMITÉ DE DERECHOS ECONÓMICOS, SOCIALES Y CULTURALES</w:t>
      </w:r>
    </w:p>
    <w:p w14:paraId="3566CBEE" w14:textId="66FA8DAC" w:rsidR="00776153" w:rsidRDefault="008F110B" w:rsidP="008F110B">
      <w:pPr>
        <w:pStyle w:val="BSubtitle"/>
        <w:sectPr w:rsidR="00776153">
          <w:footerReference w:type="default" r:id="rId9"/>
          <w:footerReference w:type="first" r:id="rId10"/>
          <w:pgSz w:w="11906" w:h="16838" w:code="9"/>
          <w:pgMar w:top="794" w:right="794" w:bottom="794" w:left="794" w:header="709" w:footer="709" w:gutter="0"/>
          <w:cols w:space="708"/>
          <w:titlePg/>
          <w:docGrid w:linePitch="360"/>
        </w:sectPr>
      </w:pPr>
      <w:r w:rsidRPr="002065DE">
        <w:rPr>
          <w:sz w:val="44"/>
          <w:szCs w:val="44"/>
        </w:rPr>
        <w:t>78º PERÍODO DE SESSIONES, 8 DE SEPTIEMBRE A 3 DE OCTUBRE DE 2025</w:t>
      </w:r>
    </w:p>
    <w:p w14:paraId="43AA3CDB" w14:textId="77777777" w:rsidR="00CD20D4" w:rsidRDefault="00BE16B2" w:rsidP="00065FFC">
      <w:pPr>
        <w:pStyle w:val="BContentsheading"/>
      </w:pPr>
      <w:r>
        <w:lastRenderedPageBreak/>
        <w:t>Índice</w:t>
      </w:r>
    </w:p>
    <w:p w14:paraId="74ED7DC3" w14:textId="77777777" w:rsidR="003320DA" w:rsidRDefault="003320DA">
      <w:pPr>
        <w:pStyle w:val="TOCHeading"/>
      </w:pPr>
      <w:r>
        <w:t>Contenido</w:t>
      </w:r>
    </w:p>
    <w:p w14:paraId="17C673ED" w14:textId="5E05863D" w:rsidR="002108C6" w:rsidRDefault="002108C6" w:rsidP="5412AE5B">
      <w:pPr>
        <w:pStyle w:val="TOC1"/>
        <w:tabs>
          <w:tab w:val="clear" w:pos="9072"/>
          <w:tab w:val="left" w:pos="330"/>
          <w:tab w:val="right" w:leader="underscore" w:pos="9060"/>
        </w:tabs>
        <w:ind w:left="0" w:firstLine="0"/>
        <w:rPr>
          <w:rFonts w:asciiTheme="minorHAnsi" w:eastAsiaTheme="minorEastAsia" w:hAnsiTheme="minorHAnsi" w:cstheme="minorBidi"/>
          <w:b w:val="0"/>
          <w:bCs w:val="0"/>
          <w:caps w:val="0"/>
          <w:color w:val="auto"/>
          <w:kern w:val="2"/>
          <w:sz w:val="24"/>
          <w:szCs w:val="24"/>
          <w:u w:val="none"/>
          <w:lang w:val="en-US" w:eastAsia="en-US"/>
          <w14:ligatures w14:val="standardContextual"/>
        </w:rPr>
      </w:pPr>
      <w:r>
        <w:fldChar w:fldCharType="begin"/>
      </w:r>
      <w:r w:rsidR="003320DA">
        <w:instrText>TOC \o "1-3" \z \u \h</w:instrText>
      </w:r>
      <w:r>
        <w:fldChar w:fldCharType="separate"/>
      </w:r>
      <w:hyperlink w:anchor="_Toc1019503167">
        <w:r w:rsidR="5412AE5B" w:rsidRPr="5412AE5B">
          <w:rPr>
            <w:rStyle w:val="Hyperlink"/>
          </w:rPr>
          <w:t>1.</w:t>
        </w:r>
        <w:r w:rsidR="003320DA">
          <w:tab/>
        </w:r>
        <w:r w:rsidR="5412AE5B" w:rsidRPr="5412AE5B">
          <w:rPr>
            <w:rStyle w:val="Hyperlink"/>
          </w:rPr>
          <w:t>INTRODUCCIÓN</w:t>
        </w:r>
        <w:r w:rsidR="003320DA">
          <w:tab/>
        </w:r>
        <w:r w:rsidR="003320DA">
          <w:fldChar w:fldCharType="begin"/>
        </w:r>
        <w:r w:rsidR="003320DA">
          <w:instrText>PAGEREF _Toc1019503167 \h</w:instrText>
        </w:r>
        <w:r w:rsidR="003320DA">
          <w:fldChar w:fldCharType="separate"/>
        </w:r>
        <w:r w:rsidR="00193D59">
          <w:t>3</w:t>
        </w:r>
        <w:r w:rsidR="003320DA">
          <w:fldChar w:fldCharType="end"/>
        </w:r>
      </w:hyperlink>
    </w:p>
    <w:p w14:paraId="335A14FA" w14:textId="690FD2D3" w:rsidR="002108C6" w:rsidRDefault="5412AE5B" w:rsidP="5412AE5B">
      <w:pPr>
        <w:pStyle w:val="TOC1"/>
        <w:tabs>
          <w:tab w:val="clear" w:pos="9072"/>
          <w:tab w:val="left" w:pos="330"/>
          <w:tab w:val="right" w:leader="underscore" w:pos="9060"/>
        </w:tabs>
        <w:ind w:left="0" w:firstLine="0"/>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1282783357">
        <w:r w:rsidRPr="5412AE5B">
          <w:rPr>
            <w:rStyle w:val="Hyperlink"/>
          </w:rPr>
          <w:t>2.</w:t>
        </w:r>
        <w:r w:rsidR="002108C6">
          <w:tab/>
        </w:r>
        <w:r w:rsidRPr="5412AE5B">
          <w:rPr>
            <w:rStyle w:val="Hyperlink"/>
          </w:rPr>
          <w:t>DERECHOS A LA SALUD Y LA EDUCACIÓN (ARTÍCULOS 2, 13 Y 14)</w:t>
        </w:r>
        <w:r w:rsidR="002108C6">
          <w:tab/>
        </w:r>
        <w:r w:rsidR="002108C6">
          <w:fldChar w:fldCharType="begin"/>
        </w:r>
        <w:r w:rsidR="002108C6">
          <w:instrText>PAGEREF _Toc1282783357 \h</w:instrText>
        </w:r>
        <w:r w:rsidR="002108C6">
          <w:fldChar w:fldCharType="separate"/>
        </w:r>
        <w:r w:rsidR="00193D59">
          <w:t>3</w:t>
        </w:r>
        <w:r w:rsidR="002108C6">
          <w:fldChar w:fldCharType="end"/>
        </w:r>
      </w:hyperlink>
    </w:p>
    <w:p w14:paraId="21E39868" w14:textId="0460E3E2" w:rsidR="002108C6" w:rsidRDefault="5412AE5B" w:rsidP="5412AE5B">
      <w:pPr>
        <w:pStyle w:val="TOC2"/>
        <w:tabs>
          <w:tab w:val="clear" w:pos="9072"/>
          <w:tab w:val="left" w:pos="510"/>
          <w:tab w:val="right" w:leader="underscore" w:pos="9060"/>
        </w:tabs>
        <w:rPr>
          <w:rFonts w:asciiTheme="minorHAnsi" w:eastAsiaTheme="minorEastAsia" w:hAnsiTheme="minorHAnsi" w:cstheme="minorBidi"/>
          <w:kern w:val="2"/>
          <w:sz w:val="24"/>
          <w:u w:val="none"/>
          <w:lang w:val="en-US" w:eastAsia="en-US"/>
          <w14:ligatures w14:val="standardContextual"/>
        </w:rPr>
      </w:pPr>
      <w:hyperlink w:anchor="_Toc488664262">
        <w:r w:rsidRPr="5412AE5B">
          <w:rPr>
            <w:rStyle w:val="Hyperlink"/>
          </w:rPr>
          <w:t>2.1</w:t>
        </w:r>
        <w:r w:rsidR="002108C6">
          <w:tab/>
        </w:r>
        <w:r w:rsidRPr="5412AE5B">
          <w:rPr>
            <w:rStyle w:val="Hyperlink"/>
          </w:rPr>
          <w:t>SERVICIOS DE SALUD Y REHABILITACIÓN PARA PERSONAS VÍCTIMAS DE TRAUMA OCULAR DURANTE EL ESTALLIDO SOCIAL</w:t>
        </w:r>
        <w:r w:rsidR="002108C6">
          <w:tab/>
        </w:r>
        <w:r w:rsidR="002108C6">
          <w:fldChar w:fldCharType="begin"/>
        </w:r>
        <w:r w:rsidR="002108C6">
          <w:instrText>PAGEREF _Toc488664262 \h</w:instrText>
        </w:r>
        <w:r w:rsidR="002108C6">
          <w:fldChar w:fldCharType="separate"/>
        </w:r>
        <w:r w:rsidR="00193D59">
          <w:t>3</w:t>
        </w:r>
        <w:r w:rsidR="002108C6">
          <w:fldChar w:fldCharType="end"/>
        </w:r>
      </w:hyperlink>
    </w:p>
    <w:p w14:paraId="335AA29A" w14:textId="2B449843" w:rsidR="002108C6" w:rsidRDefault="5412AE5B" w:rsidP="5412AE5B">
      <w:pPr>
        <w:pStyle w:val="TOC2"/>
        <w:tabs>
          <w:tab w:val="clear" w:pos="9072"/>
          <w:tab w:val="left" w:pos="510"/>
          <w:tab w:val="right" w:leader="underscore" w:pos="9060"/>
        </w:tabs>
        <w:rPr>
          <w:rFonts w:asciiTheme="minorHAnsi" w:eastAsiaTheme="minorEastAsia" w:hAnsiTheme="minorHAnsi" w:cstheme="minorBidi"/>
          <w:kern w:val="2"/>
          <w:sz w:val="24"/>
          <w:u w:val="none"/>
          <w:lang w:val="en-US" w:eastAsia="en-US"/>
          <w14:ligatures w14:val="standardContextual"/>
        </w:rPr>
      </w:pPr>
      <w:hyperlink w:anchor="_Toc1171569370">
        <w:r w:rsidRPr="5412AE5B">
          <w:rPr>
            <w:rStyle w:val="Hyperlink"/>
          </w:rPr>
          <w:t>2.2</w:t>
        </w:r>
        <w:r w:rsidR="002108C6">
          <w:tab/>
        </w:r>
        <w:r w:rsidRPr="5412AE5B">
          <w:rPr>
            <w:rStyle w:val="Hyperlink"/>
          </w:rPr>
          <w:t>ACCESO DE LAS PERSONAS MIGRANTES Y REFUGIADAS A LA SALUD Y LA EDUCACIÓN</w:t>
        </w:r>
        <w:r w:rsidR="002108C6">
          <w:tab/>
        </w:r>
        <w:r w:rsidR="002108C6">
          <w:fldChar w:fldCharType="begin"/>
        </w:r>
        <w:r w:rsidR="002108C6">
          <w:instrText>PAGEREF _Toc1171569370 \h</w:instrText>
        </w:r>
        <w:r w:rsidR="002108C6">
          <w:fldChar w:fldCharType="separate"/>
        </w:r>
        <w:r w:rsidR="00193D59">
          <w:t>4</w:t>
        </w:r>
        <w:r w:rsidR="002108C6">
          <w:fldChar w:fldCharType="end"/>
        </w:r>
      </w:hyperlink>
    </w:p>
    <w:p w14:paraId="371CB919" w14:textId="032F968C" w:rsidR="002108C6" w:rsidRDefault="5412AE5B" w:rsidP="5412AE5B">
      <w:pPr>
        <w:pStyle w:val="TOC2"/>
        <w:tabs>
          <w:tab w:val="clear" w:pos="9072"/>
          <w:tab w:val="left" w:pos="510"/>
          <w:tab w:val="right" w:leader="underscore" w:pos="9060"/>
        </w:tabs>
        <w:rPr>
          <w:rFonts w:asciiTheme="minorHAnsi" w:eastAsiaTheme="minorEastAsia" w:hAnsiTheme="minorHAnsi" w:cstheme="minorBidi"/>
          <w:kern w:val="2"/>
          <w:sz w:val="24"/>
          <w:u w:val="none"/>
          <w:lang w:val="en-US" w:eastAsia="en-US"/>
          <w14:ligatures w14:val="standardContextual"/>
        </w:rPr>
      </w:pPr>
      <w:hyperlink w:anchor="_Toc21592673">
        <w:r w:rsidRPr="5412AE5B">
          <w:rPr>
            <w:rStyle w:val="Hyperlink"/>
          </w:rPr>
          <w:t>2.3</w:t>
        </w:r>
        <w:r w:rsidR="002108C6">
          <w:tab/>
        </w:r>
        <w:r w:rsidRPr="5412AE5B">
          <w:rPr>
            <w:rStyle w:val="Hyperlink"/>
          </w:rPr>
          <w:t>ACCESO A PRESTACIONES DE ABORTO LEGAL</w:t>
        </w:r>
        <w:r w:rsidR="002108C6">
          <w:tab/>
        </w:r>
        <w:r w:rsidR="002108C6">
          <w:fldChar w:fldCharType="begin"/>
        </w:r>
        <w:r w:rsidR="002108C6">
          <w:instrText>PAGEREF _Toc21592673 \h</w:instrText>
        </w:r>
        <w:r w:rsidR="002108C6">
          <w:fldChar w:fldCharType="separate"/>
        </w:r>
        <w:r w:rsidR="00193D59">
          <w:t>6</w:t>
        </w:r>
        <w:r w:rsidR="002108C6">
          <w:fldChar w:fldCharType="end"/>
        </w:r>
      </w:hyperlink>
    </w:p>
    <w:p w14:paraId="63F5D50A" w14:textId="527A9029" w:rsidR="002108C6" w:rsidRDefault="5412AE5B" w:rsidP="5412AE5B">
      <w:pPr>
        <w:pStyle w:val="TOC2"/>
        <w:tabs>
          <w:tab w:val="clear" w:pos="9072"/>
          <w:tab w:val="left" w:pos="510"/>
          <w:tab w:val="right" w:leader="underscore" w:pos="9060"/>
        </w:tabs>
        <w:rPr>
          <w:rFonts w:asciiTheme="minorHAnsi" w:eastAsiaTheme="minorEastAsia" w:hAnsiTheme="minorHAnsi" w:cstheme="minorBidi"/>
          <w:kern w:val="2"/>
          <w:sz w:val="24"/>
          <w:u w:val="none"/>
          <w:lang w:val="en-US" w:eastAsia="en-US"/>
          <w14:ligatures w14:val="standardContextual"/>
        </w:rPr>
      </w:pPr>
      <w:hyperlink w:anchor="_Toc752882546">
        <w:r w:rsidRPr="5412AE5B">
          <w:rPr>
            <w:rStyle w:val="Hyperlink"/>
          </w:rPr>
          <w:t>2.4</w:t>
        </w:r>
        <w:r w:rsidR="002108C6">
          <w:tab/>
        </w:r>
        <w:r w:rsidRPr="5412AE5B">
          <w:rPr>
            <w:rStyle w:val="Hyperlink"/>
          </w:rPr>
          <w:t>RESPETO A LA IDENTIDAD DE GÉNERO EN LOS ESTABLECIMIENTOS EDUCACIONALES</w:t>
        </w:r>
        <w:r w:rsidR="002108C6">
          <w:tab/>
        </w:r>
        <w:r w:rsidR="002108C6">
          <w:fldChar w:fldCharType="begin"/>
        </w:r>
        <w:r w:rsidR="002108C6">
          <w:instrText>PAGEREF _Toc752882546 \h</w:instrText>
        </w:r>
        <w:r w:rsidR="002108C6">
          <w:fldChar w:fldCharType="separate"/>
        </w:r>
        <w:r w:rsidR="00193D59">
          <w:t>8</w:t>
        </w:r>
        <w:r w:rsidR="002108C6">
          <w:fldChar w:fldCharType="end"/>
        </w:r>
      </w:hyperlink>
    </w:p>
    <w:p w14:paraId="68FABC1E" w14:textId="70B60A86" w:rsidR="002108C6" w:rsidRDefault="5412AE5B" w:rsidP="5412AE5B">
      <w:pPr>
        <w:pStyle w:val="TOC1"/>
        <w:tabs>
          <w:tab w:val="clear" w:pos="9072"/>
          <w:tab w:val="left" w:pos="330"/>
          <w:tab w:val="right" w:leader="underscore" w:pos="9060"/>
        </w:tabs>
        <w:ind w:left="0" w:firstLine="0"/>
        <w:rPr>
          <w:rFonts w:asciiTheme="minorHAnsi" w:eastAsiaTheme="minorEastAsia" w:hAnsiTheme="minorHAnsi" w:cstheme="minorBidi"/>
          <w:b w:val="0"/>
          <w:bCs w:val="0"/>
          <w:caps w:val="0"/>
          <w:color w:val="auto"/>
          <w:kern w:val="2"/>
          <w:sz w:val="24"/>
          <w:szCs w:val="24"/>
          <w:u w:val="none"/>
          <w:lang w:val="en-US" w:eastAsia="en-US"/>
          <w14:ligatures w14:val="standardContextual"/>
        </w:rPr>
      </w:pPr>
      <w:hyperlink w:anchor="_Toc752953797">
        <w:r w:rsidRPr="5412AE5B">
          <w:rPr>
            <w:rStyle w:val="Hyperlink"/>
          </w:rPr>
          <w:t>3.</w:t>
        </w:r>
        <w:r w:rsidR="002108C6">
          <w:tab/>
        </w:r>
        <w:r w:rsidRPr="5412AE5B">
          <w:rPr>
            <w:rStyle w:val="Hyperlink"/>
          </w:rPr>
          <w:t>MEDIDAS PARA ENFRENTAR EL CAMBIO CLIMÁTICO (ARTÍCULO 2.1)</w:t>
        </w:r>
        <w:r w:rsidR="002108C6">
          <w:tab/>
        </w:r>
        <w:r w:rsidR="002108C6">
          <w:fldChar w:fldCharType="begin"/>
        </w:r>
        <w:r w:rsidR="002108C6">
          <w:instrText>PAGEREF _Toc752953797 \h</w:instrText>
        </w:r>
        <w:r w:rsidR="002108C6">
          <w:fldChar w:fldCharType="separate"/>
        </w:r>
        <w:r w:rsidR="00193D59">
          <w:t>9</w:t>
        </w:r>
        <w:r w:rsidR="002108C6">
          <w:fldChar w:fldCharType="end"/>
        </w:r>
      </w:hyperlink>
      <w:r w:rsidR="002108C6">
        <w:fldChar w:fldCharType="end"/>
      </w:r>
    </w:p>
    <w:p w14:paraId="7712902C" w14:textId="0C986ED2" w:rsidR="003320DA" w:rsidRDefault="003320DA"/>
    <w:p w14:paraId="1E31DC93" w14:textId="77777777" w:rsidR="001153D5" w:rsidRDefault="001153D5" w:rsidP="001153D5">
      <w:pPr>
        <w:pStyle w:val="BBodyText"/>
        <w:rPr>
          <w:rFonts w:ascii="Amnesty Trade Gothic Cn" w:hAnsi="Amnesty Trade Gothic Cn"/>
          <w:b/>
          <w:caps/>
          <w:color w:val="000000"/>
          <w:sz w:val="17"/>
          <w:szCs w:val="22"/>
          <w:u w:val="single"/>
        </w:rPr>
      </w:pPr>
    </w:p>
    <w:p w14:paraId="79E7BF27" w14:textId="4ADE5EA0" w:rsidR="00776153" w:rsidRPr="00E714CD" w:rsidRDefault="00776153" w:rsidP="001153D5">
      <w:pPr>
        <w:pStyle w:val="BBodyText"/>
        <w:rPr>
          <w:caps/>
        </w:rPr>
      </w:pPr>
    </w:p>
    <w:p w14:paraId="4A9D2D82" w14:textId="77777777" w:rsidR="00782D47" w:rsidRDefault="003C4C4B">
      <w:r>
        <w:rPr>
          <w:noProof/>
        </w:rPr>
        <mc:AlternateContent>
          <mc:Choice Requires="wps">
            <w:drawing>
              <wp:anchor distT="0" distB="0" distL="114300" distR="114300" simplePos="0" relativeHeight="251658248" behindDoc="0" locked="0" layoutInCell="1" allowOverlap="0" wp14:anchorId="7D5F7EBD" wp14:editId="224B10F0">
                <wp:simplePos x="0" y="0"/>
                <wp:positionH relativeFrom="page">
                  <wp:posOffset>3434470</wp:posOffset>
                </wp:positionH>
                <wp:positionV relativeFrom="page">
                  <wp:posOffset>6515833</wp:posOffset>
                </wp:positionV>
                <wp:extent cx="3275330" cy="2132330"/>
                <wp:effectExtent l="0" t="0" r="1905" b="127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5330" cy="213233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A4E60D2" w14:textId="00407043" w:rsidR="00776153" w:rsidRPr="00F76C52" w:rsidRDefault="003F072C" w:rsidP="00776153">
                            <w:pPr>
                              <w:pStyle w:val="Babstract"/>
                            </w:pPr>
                            <w:r w:rsidRPr="00193D59">
                              <w:t>Amnistía Internacional presenta al Comité de Derechos Económicos, Sociales y Culturales este documento, relativo a la situación de los derechos económicos, sociales y culturales en Chile, para ser considerado durante el 78º período de sesiones, a desarrollarse entre el 8 de septiembre y el 3 de octubre de 2025.</w:t>
                            </w:r>
                            <w:r w:rsidR="00BE16B2">
                              <w:t xml:space="preserve"> </w:t>
                            </w:r>
                          </w:p>
                        </w:txbxContent>
                      </wps:txbx>
                      <wps:bodyPr rot="0" vert="horz" wrap="square" lIns="91440" tIns="45720" rIns="91440" bIns="45720" anchor="b"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5F7EBD" id="_x0000_t202" coordsize="21600,21600" o:spt="202" path="m,l,21600r21600,l21600,xe">
                <v:stroke joinstyle="miter"/>
                <v:path gradientshapeok="t" o:connecttype="rect"/>
              </v:shapetype>
              <v:shape id="Text Box 7" o:spid="_x0000_s1026" type="#_x0000_t202" style="position:absolute;margin-left:270.45pt;margin-top:513.05pt;width:257.9pt;height:167.9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" o:allowoverlap="f" stroked="f" strokeweight=".5pt">
                <v:textbox>
                  <w:txbxContent>
                    <w:p w14:paraId="6A4E60D2" w14:textId="00407043" w:rsidR="00776153" w:rsidRPr="00F76C52" w:rsidRDefault="003F072C" w:rsidP="00776153">
                      <w:pPr>
                        <w:pStyle w:val="Babstract"/>
                      </w:pPr>
                      <w:r w:rsidRPr="00193D59">
                        <w:t>Amnistía Internacional presenta al Comité de Derechos Económicos, Sociales y Culturales este documento, relativo a la situación de los derechos económicos, sociales y culturales en Chile, para ser considerado durante el 78º período de sesiones, a desarrollarse entre el 8 de septiembre y el 3 de octubre de 2025.</w:t>
                      </w:r>
                      <w:r w:rsidR="00BE16B2">
                        <w:t xml:space="preserve"> </w:t>
                      </w:r>
                    </w:p>
                  </w:txbxContent>
                </v:textbox>
                <w10:wrap anchorx="page" anchory="page"/>
              </v:shape>
            </w:pict>
          </mc:Fallback>
        </mc:AlternateContent>
      </w:r>
      <w:r w:rsidR="00BE16B2">
        <w:br w:type="page"/>
      </w:r>
    </w:p>
    <w:p w14:paraId="5F15C077" w14:textId="3B75AF4C" w:rsidR="008F110B" w:rsidRDefault="00BE16B2" w:rsidP="00A45C37">
      <w:pPr>
        <w:pStyle w:val="BNumberedHeading"/>
        <w:spacing w:after="120" w:line="240" w:lineRule="auto"/>
      </w:pPr>
      <w:bookmarkStart w:id="0" w:name="_Toc74236202"/>
      <w:bookmarkStart w:id="1" w:name="_Hlk97144843"/>
      <w:bookmarkStart w:id="2" w:name="_Toc77322105"/>
      <w:bookmarkStart w:id="3" w:name="_Toc82418426"/>
      <w:bookmarkStart w:id="4" w:name="_Toc109385925"/>
      <w:bookmarkEnd w:id="0"/>
      <w:bookmarkEnd w:id="1"/>
      <w:r>
        <w:lastRenderedPageBreak/>
        <w:t xml:space="preserve"> </w:t>
      </w:r>
      <w:bookmarkStart w:id="5" w:name="_Toc197525001"/>
      <w:bookmarkStart w:id="6" w:name="_Toc1019503167"/>
      <w:bookmarkEnd w:id="2"/>
      <w:bookmarkEnd w:id="3"/>
      <w:bookmarkEnd w:id="4"/>
      <w:r w:rsidR="008F110B">
        <w:t>INTRODUCCI</w:t>
      </w:r>
      <w:r w:rsidR="00282ED3">
        <w:t>Ó</w:t>
      </w:r>
      <w:r w:rsidR="008F110B">
        <w:t>N</w:t>
      </w:r>
      <w:bookmarkEnd w:id="5"/>
      <w:bookmarkEnd w:id="6"/>
    </w:p>
    <w:p w14:paraId="60859176" w14:textId="6D15C01E" w:rsidR="008F110B" w:rsidRPr="008F110B" w:rsidRDefault="008F110B" w:rsidP="008F110B">
      <w:pPr>
        <w:pStyle w:val="RTBodyText"/>
        <w:rPr>
          <w:rFonts w:ascii="Amnesty Trade Gothic Light" w:hAnsi="Amnesty Trade Gothic Light"/>
          <w:sz w:val="20"/>
          <w:szCs w:val="20"/>
        </w:rPr>
      </w:pPr>
      <w:r w:rsidRPr="008F110B">
        <w:rPr>
          <w:rFonts w:ascii="Amnesty Trade Gothic Light" w:hAnsi="Amnesty Trade Gothic Light"/>
          <w:sz w:val="20"/>
          <w:szCs w:val="20"/>
        </w:rPr>
        <w:t>Amnistía Internacional presenta al Comité de Derechos Económicos, Sociales y Culturales este documento, relativo a la situación de los derechos económicos, sociales y culturales en Chile, para ser considerado durante el 78º período de sesiones, a desarrollarse entre el 8 de septiembre y el 3 de octubre de 2025.</w:t>
      </w:r>
    </w:p>
    <w:p w14:paraId="7F2A3BD9" w14:textId="7649FBDF" w:rsidR="008F110B" w:rsidRPr="008F110B" w:rsidRDefault="37B7C9F8" w:rsidP="008F110B">
      <w:pPr>
        <w:pStyle w:val="RTBodyText"/>
        <w:rPr>
          <w:rFonts w:ascii="Amnesty Trade Gothic Light" w:hAnsi="Amnesty Trade Gothic Light"/>
          <w:sz w:val="20"/>
          <w:szCs w:val="20"/>
        </w:rPr>
      </w:pPr>
      <w:r w:rsidRPr="25A43EB7">
        <w:rPr>
          <w:rFonts w:ascii="Amnesty Trade Gothic Light" w:hAnsi="Amnesty Trade Gothic Light"/>
          <w:sz w:val="20"/>
          <w:szCs w:val="20"/>
        </w:rPr>
        <w:t>Este documento se enfoca en asuntos que Amnistía Internacional considera prioritarios respecto de la realización de los derechos económicos, sociales y culturales de personas que pertenecen a grupos puestos en situación de vulnerabilidad y que enfrentan barreras para acceder o gozar efectivamente de los derechos a la salud, la educación y el medio ambiente. La primera sección aborda situaciones asociada</w:t>
      </w:r>
      <w:r w:rsidR="4C68ED4F" w:rsidRPr="25A43EB7">
        <w:rPr>
          <w:rFonts w:ascii="Amnesty Trade Gothic Light" w:hAnsi="Amnesty Trade Gothic Light"/>
          <w:sz w:val="20"/>
          <w:szCs w:val="20"/>
        </w:rPr>
        <w:t>s</w:t>
      </w:r>
      <w:r w:rsidRPr="25A43EB7">
        <w:rPr>
          <w:rFonts w:ascii="Amnesty Trade Gothic Light" w:hAnsi="Amnesty Trade Gothic Light"/>
          <w:sz w:val="20"/>
          <w:szCs w:val="20"/>
        </w:rPr>
        <w:t xml:space="preserve"> al acceso a los derechos a la salud y la educación por parte de víctimas de violaciones a derechos humanos durante el “Estallido Social”, personas migrantes y refugiadas, mujeres y niños, niñas y adolescentes con identidad de género diversa. La segunda sección trata sobre las medidas adoptadas por las autoridades chilenas para enfrentar el cambio climático y sus efectos.</w:t>
      </w:r>
    </w:p>
    <w:p w14:paraId="1246E7D3" w14:textId="77777777" w:rsidR="008F110B" w:rsidRPr="002D4905" w:rsidRDefault="008F110B" w:rsidP="008F110B">
      <w:pPr>
        <w:pStyle w:val="RTBodyText"/>
        <w:rPr>
          <w:lang w:val="es-MX" w:eastAsia="en-GB"/>
        </w:rPr>
      </w:pPr>
    </w:p>
    <w:p w14:paraId="42B5D1CC" w14:textId="36BB48F1" w:rsidR="008F110B" w:rsidRPr="008F110B" w:rsidRDefault="008F110B" w:rsidP="008F110B">
      <w:pPr>
        <w:pStyle w:val="BNumberedHeading"/>
        <w:rPr>
          <w:lang w:val="es-MX"/>
        </w:rPr>
      </w:pPr>
      <w:bookmarkStart w:id="7" w:name="_Toc197525002"/>
      <w:bookmarkStart w:id="8" w:name="_Toc1282783357"/>
      <w:r w:rsidRPr="008F110B">
        <w:t>DERECHOS</w:t>
      </w:r>
      <w:r w:rsidRPr="008F110B">
        <w:rPr>
          <w:lang w:val="es-MX"/>
        </w:rPr>
        <w:t xml:space="preserve"> A LA SALUD Y LA EDUCACIÓN</w:t>
      </w:r>
      <w:bookmarkEnd w:id="7"/>
      <w:r w:rsidRPr="008F110B">
        <w:rPr>
          <w:lang w:val="es-MX"/>
        </w:rPr>
        <w:t xml:space="preserve"> </w:t>
      </w:r>
      <w:r w:rsidRPr="004F352C">
        <w:rPr>
          <w:lang w:val="es-MX"/>
        </w:rPr>
        <w:t>(</w:t>
      </w:r>
      <w:r w:rsidRPr="008F110B">
        <w:rPr>
          <w:lang w:val="es-MX"/>
        </w:rPr>
        <w:t>ARTÍCULOS 2, 13 Y 14)</w:t>
      </w:r>
      <w:bookmarkEnd w:id="8"/>
    </w:p>
    <w:p w14:paraId="1A9660C4" w14:textId="77777777" w:rsidR="008F110B" w:rsidRDefault="008F110B" w:rsidP="008F110B">
      <w:pPr>
        <w:pStyle w:val="BNumberedSubheading"/>
      </w:pPr>
      <w:bookmarkStart w:id="9" w:name="_Toc197525003"/>
      <w:bookmarkStart w:id="10" w:name="_Toc488664262"/>
      <w:r w:rsidRPr="008F110B">
        <w:t>SERVICIOS</w:t>
      </w:r>
      <w:r>
        <w:t xml:space="preserve"> DE SALUD Y REHABILITACIÓN PARA PERSONAS VÍCTIMAS DE TRAUMA OCULAR DURANTE EL ESTALLIDO SOCIAL</w:t>
      </w:r>
      <w:bookmarkEnd w:id="9"/>
      <w:bookmarkEnd w:id="10"/>
    </w:p>
    <w:p w14:paraId="160AF6BA" w14:textId="28309542" w:rsidR="008F110B" w:rsidRPr="008F110B" w:rsidRDefault="008F110B" w:rsidP="008F110B">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Entre octubre y noviembre de 2019, según el Instituto Nacional de Derechos Humanos, se presentaron en Chile 347 casos de trauma ocular en el contexto de la reacción institucional a las protestas hoy conocidas como el “Estallido Social”.</w:t>
      </w:r>
      <w:r w:rsidRPr="008F110B">
        <w:rPr>
          <w:rStyle w:val="FootnoteReference"/>
          <w:rFonts w:ascii="Amnesty Trade Gothic Light" w:hAnsi="Amnesty Trade Gothic Light"/>
          <w:sz w:val="20"/>
          <w:szCs w:val="20"/>
          <w:lang w:val="es-MX" w:eastAsia="en-GB"/>
        </w:rPr>
        <w:footnoteReference w:id="2"/>
      </w:r>
      <w:r w:rsidRPr="008F110B">
        <w:rPr>
          <w:rFonts w:ascii="Amnesty Trade Gothic Light" w:hAnsi="Amnesty Trade Gothic Light"/>
          <w:sz w:val="20"/>
          <w:szCs w:val="20"/>
          <w:lang w:val="es-MX" w:eastAsia="en-GB"/>
        </w:rPr>
        <w:t xml:space="preserve"> Los impactos en la salud de las personas víctimas de trauma ocular durante las protestas ha sido relevado en distintas oportunidades. En 2019, la Universidad de Chile publicó un estudio sobre el impacto visual-funcional de estos eventos y concluyó que “el uso de armas cinéticas para el control de multitudes resultó en un IPVF [índice de impacto visual-funcional] alto y extremo y, en la mayoría de los casos, ceguera monocular, causando graves dificultades en el trabajo, estudio y desarrollo de hobbies y pasatiempos en la población afectada, resaltando la urgente necesidad de atención rehabilitadora efectiva.”</w:t>
      </w:r>
      <w:r w:rsidRPr="008F110B">
        <w:rPr>
          <w:rStyle w:val="FootnoteReference"/>
          <w:rFonts w:ascii="Amnesty Trade Gothic Light" w:hAnsi="Amnesty Trade Gothic Light"/>
          <w:sz w:val="20"/>
          <w:szCs w:val="20"/>
          <w:lang w:val="es-MX" w:eastAsia="en-GB"/>
        </w:rPr>
        <w:footnoteReference w:id="3"/>
      </w:r>
      <w:r w:rsidRPr="008F110B">
        <w:rPr>
          <w:rFonts w:ascii="Amnesty Trade Gothic Light" w:hAnsi="Amnesty Trade Gothic Light"/>
          <w:sz w:val="20"/>
          <w:szCs w:val="20"/>
          <w:lang w:val="es-MX" w:eastAsia="en-GB"/>
        </w:rPr>
        <w:t xml:space="preserve"> En 2024 la prensa chilena reportó por lo menos cinco casos de suicidio cometidos por personas víctimas de trauma ocular tras experimentar graves deterioros en su salud mental como consecuencia de las lesiones sufridas: Jorge Salvo, Patricio Pardo, Jonathan Vega, Sebastián Méndez y Milo Muñoz.</w:t>
      </w:r>
      <w:r w:rsidRPr="008F110B">
        <w:rPr>
          <w:rStyle w:val="FootnoteReference"/>
          <w:rFonts w:ascii="Amnesty Trade Gothic Light" w:hAnsi="Amnesty Trade Gothic Light"/>
          <w:sz w:val="20"/>
          <w:szCs w:val="20"/>
          <w:lang w:val="es-MX" w:eastAsia="en-GB"/>
        </w:rPr>
        <w:footnoteReference w:id="4"/>
      </w:r>
    </w:p>
    <w:p w14:paraId="3DA807E6" w14:textId="54112F43" w:rsidR="008F110B" w:rsidRPr="008F110B" w:rsidRDefault="37B7C9F8" w:rsidP="008F110B">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La primera medida adoptada por las autoridades chilenas para atender a las víctimas de trauma ocular fue la puesta en marcha, a finales de 2019, del “Programa Integral de Reparación Ocular – PIRO”.</w:t>
      </w:r>
      <w:r w:rsidR="008F110B" w:rsidRPr="008F110B">
        <w:rPr>
          <w:rStyle w:val="FootnoteReference"/>
          <w:rFonts w:ascii="Amnesty Trade Gothic Light" w:hAnsi="Amnesty Trade Gothic Light"/>
          <w:sz w:val="20"/>
          <w:szCs w:val="20"/>
          <w:lang w:val="es-MX" w:eastAsia="en-GB"/>
        </w:rPr>
        <w:footnoteReference w:id="5"/>
      </w:r>
      <w:r w:rsidRPr="008F110B">
        <w:rPr>
          <w:rFonts w:ascii="Amnesty Trade Gothic Light" w:hAnsi="Amnesty Trade Gothic Light"/>
          <w:sz w:val="20"/>
          <w:szCs w:val="20"/>
          <w:lang w:val="es-MX" w:eastAsia="en-GB"/>
        </w:rPr>
        <w:t xml:space="preserve"> En su informe anual sobre derechos humanos en Chile de 2022, el Centro de Derechos Humanos de la Universidad Diego Portales reportó que el PIRO presentó deficiencias importantes en cuanto a la disponibilidad y cobertura de las atenciones de salud mental y acceso a medicamentos, así como en la atención prestada a víctimas con residencia fuera de la Región Metropolitana, quienes debían viajar para ser atendidas en el Hospital del Salvador, </w:t>
      </w:r>
      <w:r w:rsidR="5098FB9C" w:rsidRPr="008F110B">
        <w:rPr>
          <w:rFonts w:ascii="Amnesty Trade Gothic Light" w:hAnsi="Amnesty Trade Gothic Light"/>
          <w:sz w:val="20"/>
          <w:szCs w:val="20"/>
          <w:lang w:val="es-MX" w:eastAsia="en-GB"/>
        </w:rPr>
        <w:t xml:space="preserve">en Santiago, </w:t>
      </w:r>
      <w:r w:rsidRPr="008F110B">
        <w:rPr>
          <w:rFonts w:ascii="Amnesty Trade Gothic Light" w:hAnsi="Amnesty Trade Gothic Light"/>
          <w:sz w:val="20"/>
          <w:szCs w:val="20"/>
          <w:lang w:val="es-MX" w:eastAsia="en-GB"/>
        </w:rPr>
        <w:t>único recinto en que operaba el programa.</w:t>
      </w:r>
      <w:r w:rsidR="008F110B" w:rsidRPr="008F110B">
        <w:rPr>
          <w:rStyle w:val="FootnoteReference"/>
          <w:rFonts w:ascii="Amnesty Trade Gothic Light" w:hAnsi="Amnesty Trade Gothic Light"/>
          <w:sz w:val="20"/>
          <w:szCs w:val="20"/>
          <w:lang w:val="es-MX" w:eastAsia="en-GB"/>
        </w:rPr>
        <w:footnoteReference w:id="6"/>
      </w:r>
      <w:r w:rsidRPr="008F110B">
        <w:rPr>
          <w:rFonts w:ascii="Amnesty Trade Gothic Light" w:hAnsi="Amnesty Trade Gothic Light"/>
          <w:sz w:val="20"/>
          <w:szCs w:val="20"/>
          <w:lang w:val="es-MX" w:eastAsia="en-GB"/>
        </w:rPr>
        <w:t xml:space="preserve"> </w:t>
      </w:r>
    </w:p>
    <w:p w14:paraId="7243E396" w14:textId="7F1472AB" w:rsidR="008F110B" w:rsidRPr="008F110B" w:rsidRDefault="008F110B" w:rsidP="008F110B">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En 2022 el PIRO fue reemplazado por el “Plan de acompañamiento y cuidado a personas víctimas de trauma ocular, lesiones graves y lesionados por perdigones – PACTO”,</w:t>
      </w:r>
      <w:r w:rsidRPr="008F110B">
        <w:rPr>
          <w:rStyle w:val="FootnoteReference"/>
          <w:rFonts w:ascii="Amnesty Trade Gothic Light" w:hAnsi="Amnesty Trade Gothic Light"/>
          <w:sz w:val="20"/>
          <w:szCs w:val="20"/>
          <w:lang w:val="es-MX" w:eastAsia="en-GB"/>
        </w:rPr>
        <w:footnoteReference w:id="7"/>
      </w:r>
      <w:r w:rsidRPr="008F110B">
        <w:rPr>
          <w:rFonts w:ascii="Amnesty Trade Gothic Light" w:hAnsi="Amnesty Trade Gothic Light"/>
          <w:sz w:val="20"/>
          <w:szCs w:val="20"/>
          <w:lang w:val="es-MX" w:eastAsia="en-GB"/>
        </w:rPr>
        <w:t xml:space="preserve"> que amplió el rango de víctimas </w:t>
      </w:r>
      <w:r w:rsidRPr="008F110B">
        <w:rPr>
          <w:rFonts w:ascii="Amnesty Trade Gothic Light" w:hAnsi="Amnesty Trade Gothic Light"/>
          <w:sz w:val="20"/>
          <w:szCs w:val="20"/>
          <w:lang w:val="es-MX" w:eastAsia="en-GB"/>
        </w:rPr>
        <w:lastRenderedPageBreak/>
        <w:t>atendidas y comprendía la extensión del programa a otras regiones del país. A la fecha de este informe no ha sido posible encontrar información pública detallada respecto del funcionamiento del PACTO, aunque fue reportado en la prensa chilena que, a octubre de 2024, contaba con 298 pacientes activos, un 58% del total. Según la misma fuente: “[e]</w:t>
      </w:r>
      <w:proofErr w:type="spellStart"/>
      <w:r w:rsidRPr="008F110B">
        <w:rPr>
          <w:rFonts w:ascii="Amnesty Trade Gothic Light" w:hAnsi="Amnesty Trade Gothic Light"/>
          <w:sz w:val="20"/>
          <w:szCs w:val="20"/>
          <w:lang w:val="es-MX" w:eastAsia="en-GB"/>
        </w:rPr>
        <w:t>ntre</w:t>
      </w:r>
      <w:proofErr w:type="spellEnd"/>
      <w:r w:rsidRPr="008F110B">
        <w:rPr>
          <w:rFonts w:ascii="Amnesty Trade Gothic Light" w:hAnsi="Amnesty Trade Gothic Light"/>
          <w:sz w:val="20"/>
          <w:szCs w:val="20"/>
          <w:lang w:val="es-MX" w:eastAsia="en-GB"/>
        </w:rPr>
        <w:t xml:space="preserve"> los desertores del programa hay 95 personas inubicables y ocho fallecidas, de las cuales al menos cuatro se quitaron la vida.”</w:t>
      </w:r>
      <w:r w:rsidRPr="008F110B">
        <w:rPr>
          <w:rStyle w:val="FootnoteReference"/>
          <w:rFonts w:ascii="Amnesty Trade Gothic Light" w:hAnsi="Amnesty Trade Gothic Light"/>
          <w:sz w:val="20"/>
          <w:szCs w:val="20"/>
          <w:lang w:val="es-MX" w:eastAsia="en-GB"/>
        </w:rPr>
        <w:footnoteReference w:id="8"/>
      </w:r>
      <w:r w:rsidRPr="008F110B">
        <w:rPr>
          <w:rFonts w:ascii="Amnesty Trade Gothic Light" w:hAnsi="Amnesty Trade Gothic Light"/>
          <w:sz w:val="20"/>
          <w:szCs w:val="20"/>
          <w:lang w:val="es-MX" w:eastAsia="en-GB"/>
        </w:rPr>
        <w:t xml:space="preserve"> </w:t>
      </w:r>
    </w:p>
    <w:p w14:paraId="317ED3F3" w14:textId="69A6241A" w:rsidR="008F110B" w:rsidRPr="008F110B" w:rsidRDefault="37B7C9F8" w:rsidP="008F110B">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A más de cinco años del “Estallido Social”, la atención en salud para las víctimas de trauma ocular ha sido insuficiente y se suma a las limitaciones de la aproximación a la reparación integral a estas personas. En general, Amnistía Internacional considera que las medidas que las autoridades chilenas han adoptado para reparar a las víctimas de violaciones a derechos humanos cometidas durante el “Estallido Social”, incluidas las medidas de rehabilitación, no pueden considerarse como una política de reparación integral, como corresponde.</w:t>
      </w:r>
      <w:r w:rsidR="008F110B" w:rsidRPr="008F110B">
        <w:rPr>
          <w:rStyle w:val="FootnoteReference"/>
          <w:rFonts w:ascii="Amnesty Trade Gothic Light" w:hAnsi="Amnesty Trade Gothic Light"/>
          <w:sz w:val="20"/>
          <w:szCs w:val="20"/>
          <w:lang w:val="es-MX" w:eastAsia="en-GB"/>
        </w:rPr>
        <w:footnoteReference w:id="9"/>
      </w:r>
    </w:p>
    <w:p w14:paraId="75F23E45" w14:textId="77777777" w:rsidR="00282ED3" w:rsidRPr="008F110B" w:rsidRDefault="00282ED3" w:rsidP="00282ED3">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Amnistía Internacional recomienda a las autoridades chilenas:</w:t>
      </w:r>
    </w:p>
    <w:p w14:paraId="359244C8" w14:textId="4C0BC8BC" w:rsidR="008F110B" w:rsidRPr="008F110B" w:rsidRDefault="008F110B" w:rsidP="008F110B">
      <w:pPr>
        <w:pStyle w:val="RTBodyText"/>
        <w:numPr>
          <w:ilvl w:val="0"/>
          <w:numId w:val="17"/>
        </w:numPr>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Adopt</w:t>
      </w:r>
      <w:r w:rsidR="00282ED3" w:rsidRPr="008F110B">
        <w:rPr>
          <w:rFonts w:ascii="Amnesty Trade Gothic Light" w:hAnsi="Amnesty Trade Gothic Light"/>
          <w:sz w:val="20"/>
          <w:szCs w:val="20"/>
          <w:lang w:val="es-MX" w:eastAsia="en-GB"/>
        </w:rPr>
        <w:t>ar</w:t>
      </w:r>
      <w:r w:rsidRPr="008F110B">
        <w:rPr>
          <w:rFonts w:ascii="Amnesty Trade Gothic Light" w:hAnsi="Amnesty Trade Gothic Light"/>
          <w:sz w:val="20"/>
          <w:szCs w:val="20"/>
          <w:lang w:val="es-MX" w:eastAsia="en-GB"/>
        </w:rPr>
        <w:t xml:space="preserve"> las medidas necesarias, especialmente presupuestarias, para asegurar la cobertura del PACTO en todo el territorio nacional.</w:t>
      </w:r>
    </w:p>
    <w:p w14:paraId="4765775C" w14:textId="19EB7800" w:rsidR="008F110B" w:rsidRPr="008F110B" w:rsidRDefault="008F110B" w:rsidP="008F110B">
      <w:pPr>
        <w:pStyle w:val="RTBodyText"/>
        <w:numPr>
          <w:ilvl w:val="0"/>
          <w:numId w:val="17"/>
        </w:numPr>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Prioriz</w:t>
      </w:r>
      <w:r w:rsidR="00282ED3" w:rsidRPr="008F110B">
        <w:rPr>
          <w:rFonts w:ascii="Amnesty Trade Gothic Light" w:hAnsi="Amnesty Trade Gothic Light"/>
          <w:sz w:val="20"/>
          <w:szCs w:val="20"/>
          <w:lang w:val="es-MX" w:eastAsia="en-GB"/>
        </w:rPr>
        <w:t>ar</w:t>
      </w:r>
      <w:r w:rsidRPr="008F110B">
        <w:rPr>
          <w:rFonts w:ascii="Amnesty Trade Gothic Light" w:hAnsi="Amnesty Trade Gothic Light"/>
          <w:sz w:val="20"/>
          <w:szCs w:val="20"/>
          <w:lang w:val="es-MX" w:eastAsia="en-GB"/>
        </w:rPr>
        <w:t xml:space="preserve"> la inclusión de atenciones especializadas en salud mental para las personas usuarias del PACTO, la provisión a ellas de medicamentos de salud mental, la adopción de medidas efectivas y con enfoque de derechos humanos para la prevención del suicidio y la inclusión del acompañamiento familiar durante las intervenciones.</w:t>
      </w:r>
    </w:p>
    <w:p w14:paraId="1AA0E1EF" w14:textId="29FE7DF7" w:rsidR="008F110B" w:rsidRPr="008F110B" w:rsidRDefault="008F110B" w:rsidP="008F110B">
      <w:pPr>
        <w:pStyle w:val="RTBodyText"/>
        <w:numPr>
          <w:ilvl w:val="0"/>
          <w:numId w:val="17"/>
        </w:numPr>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Adopt</w:t>
      </w:r>
      <w:r w:rsidR="00282ED3" w:rsidRPr="008F110B">
        <w:rPr>
          <w:rFonts w:ascii="Amnesty Trade Gothic Light" w:hAnsi="Amnesty Trade Gothic Light"/>
          <w:sz w:val="20"/>
          <w:szCs w:val="20"/>
          <w:lang w:val="es-MX" w:eastAsia="en-GB"/>
        </w:rPr>
        <w:t>ar</w:t>
      </w:r>
      <w:r w:rsidRPr="008F110B">
        <w:rPr>
          <w:rFonts w:ascii="Amnesty Trade Gothic Light" w:hAnsi="Amnesty Trade Gothic Light"/>
          <w:sz w:val="20"/>
          <w:szCs w:val="20"/>
          <w:lang w:val="es-MX" w:eastAsia="en-GB"/>
        </w:rPr>
        <w:t xml:space="preserve"> las medidas necesarias para que las atenciones brindadas por el PACTO se orienten hacia la rehabilitación integral efectiva de las víctimas de trauma ocular.</w:t>
      </w:r>
    </w:p>
    <w:p w14:paraId="29085BAD" w14:textId="2A58805B" w:rsidR="008F110B" w:rsidRPr="008F110B" w:rsidRDefault="008F110B" w:rsidP="008F110B">
      <w:pPr>
        <w:pStyle w:val="ListParagraph"/>
        <w:numPr>
          <w:ilvl w:val="0"/>
          <w:numId w:val="17"/>
        </w:numPr>
        <w:contextualSpacing/>
        <w:rPr>
          <w:sz w:val="20"/>
          <w:szCs w:val="20"/>
          <w:lang w:val="es-MX" w:eastAsia="en-GB"/>
        </w:rPr>
      </w:pPr>
      <w:r w:rsidRPr="008F110B">
        <w:rPr>
          <w:sz w:val="20"/>
          <w:szCs w:val="20"/>
          <w:lang w:val="es-MX" w:eastAsia="en-GB"/>
        </w:rPr>
        <w:t>Adopt</w:t>
      </w:r>
      <w:r w:rsidR="00282ED3" w:rsidRPr="008F110B">
        <w:rPr>
          <w:sz w:val="20"/>
          <w:szCs w:val="20"/>
          <w:lang w:val="es-MX" w:eastAsia="en-GB"/>
        </w:rPr>
        <w:t>ar</w:t>
      </w:r>
      <w:r w:rsidRPr="008F110B">
        <w:rPr>
          <w:sz w:val="20"/>
          <w:szCs w:val="20"/>
          <w:lang w:val="es-MX" w:eastAsia="en-GB"/>
        </w:rPr>
        <w:t xml:space="preserve"> las medidas necesarias para otorgar reparación integral a las víctimas de trauma ocular, comenzando por la realización de un diagnóstico de la situación actual y necesidades concretas de las víctimas y sus familias, y la formulación de medidas adecuadas para una reparación integral y efectiva, contemplando en ambas fases la participación directa de las víctimas y sus familias.</w:t>
      </w:r>
    </w:p>
    <w:p w14:paraId="40B1CB1F" w14:textId="77777777" w:rsidR="008F110B" w:rsidRDefault="008F110B" w:rsidP="008F110B">
      <w:pPr>
        <w:pStyle w:val="BNumberedSubheading"/>
      </w:pPr>
      <w:bookmarkStart w:id="11" w:name="_Toc197525004"/>
      <w:bookmarkStart w:id="12" w:name="_Toc1171569370"/>
      <w:r>
        <w:t>ACCESO DE LAS PERSONAS MIGRANTES Y REFUGIADAS A LA SALUD Y LA EDUCACIÓN</w:t>
      </w:r>
      <w:bookmarkEnd w:id="11"/>
      <w:bookmarkEnd w:id="12"/>
      <w:r>
        <w:t xml:space="preserve"> </w:t>
      </w:r>
    </w:p>
    <w:p w14:paraId="7FCA44D7" w14:textId="758A8B9B" w:rsidR="008F110B" w:rsidRPr="008F110B" w:rsidRDefault="37B7C9F8" w:rsidP="008F110B">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En los últimos años los ingresos de personas migrantes y refugiadas a Chile han aumentado considerablemente. De acuerdo con el Servicio Nacional de Migraciones, se estima que al 31 de diciembre de 2018 había 1.251.225 personas extranjeras en Chile, mientras que al 31 de diciembre de 2023 habían 1.918.583, entre las cuales 336.984 estaban en situación migratoria irregular. Las principales nacional</w:t>
      </w:r>
      <w:r w:rsidR="15B9DE56" w:rsidRPr="008F110B">
        <w:rPr>
          <w:rFonts w:ascii="Amnesty Trade Gothic Light" w:hAnsi="Amnesty Trade Gothic Light"/>
          <w:sz w:val="20"/>
          <w:szCs w:val="20"/>
          <w:lang w:val="es-MX" w:eastAsia="en-GB"/>
        </w:rPr>
        <w:t>idad</w:t>
      </w:r>
      <w:r w:rsidRPr="008F110B">
        <w:rPr>
          <w:rFonts w:ascii="Amnesty Trade Gothic Light" w:hAnsi="Amnesty Trade Gothic Light"/>
          <w:sz w:val="20"/>
          <w:szCs w:val="20"/>
          <w:lang w:val="es-MX" w:eastAsia="en-GB"/>
        </w:rPr>
        <w:t>es de las personas migrantes y refugiadas en Chile corresponden a la venezolana (38%), peruana (13,6%), colombiana (10,9%), haitiana (9,8%) y boliviana (9,4%).</w:t>
      </w:r>
      <w:r w:rsidR="008F110B" w:rsidRPr="008F110B">
        <w:rPr>
          <w:rStyle w:val="FootnoteReference"/>
          <w:rFonts w:ascii="Amnesty Trade Gothic Light" w:hAnsi="Amnesty Trade Gothic Light"/>
          <w:sz w:val="20"/>
          <w:szCs w:val="20"/>
          <w:lang w:val="es-MX" w:eastAsia="en-GB"/>
        </w:rPr>
        <w:footnoteReference w:id="10"/>
      </w:r>
    </w:p>
    <w:p w14:paraId="0DBFF17B" w14:textId="02CED017" w:rsidR="008F110B" w:rsidRPr="008F110B" w:rsidRDefault="008F110B" w:rsidP="008F110B">
      <w:pPr>
        <w:pStyle w:val="RTBodyText"/>
        <w:rPr>
          <w:rFonts w:ascii="Amnesty Trade Gothic Light" w:hAnsi="Amnesty Trade Gothic Light"/>
          <w:sz w:val="20"/>
          <w:szCs w:val="20"/>
          <w:lang w:val="es-ES_tradnl"/>
        </w:rPr>
      </w:pPr>
      <w:r w:rsidRPr="008F110B">
        <w:rPr>
          <w:rFonts w:ascii="Amnesty Trade Gothic Light" w:hAnsi="Amnesty Trade Gothic Light"/>
          <w:sz w:val="20"/>
          <w:szCs w:val="20"/>
          <w:lang w:val="es-ES_tradnl"/>
        </w:rPr>
        <w:t xml:space="preserve">El aumento de personas migrantes y refugiadas en el país ha tenido diversos impactos en la sociedad. En particular, en la prensa se ha informado que la matrícula de estudiantes migrantes en colegios aumentó en un 244,5% entre 2017 y 2023, concentrándose la mayor cantidad de estudiantes migrantes y refugiados en el centro y </w:t>
      </w:r>
      <w:r w:rsidRPr="008F110B">
        <w:rPr>
          <w:rFonts w:ascii="Amnesty Trade Gothic Light" w:hAnsi="Amnesty Trade Gothic Light"/>
          <w:color w:val="auto"/>
          <w:sz w:val="20"/>
          <w:szCs w:val="20"/>
          <w:lang w:val="es-ES_tradnl"/>
        </w:rPr>
        <w:t>norte del país.</w:t>
      </w:r>
      <w:r w:rsidRPr="008F110B">
        <w:rPr>
          <w:rStyle w:val="FootnoteReference"/>
          <w:rFonts w:ascii="Amnesty Trade Gothic Light" w:hAnsi="Amnesty Trade Gothic Light"/>
          <w:color w:val="auto"/>
          <w:sz w:val="20"/>
          <w:szCs w:val="20"/>
          <w:lang w:val="es-ES_tradnl"/>
        </w:rPr>
        <w:footnoteReference w:id="11"/>
      </w:r>
      <w:r w:rsidRPr="008F110B">
        <w:rPr>
          <w:rFonts w:ascii="Amnesty Trade Gothic Light" w:hAnsi="Amnesty Trade Gothic Light"/>
          <w:color w:val="auto"/>
          <w:sz w:val="20"/>
          <w:szCs w:val="20"/>
          <w:lang w:val="es-ES_tradnl"/>
        </w:rPr>
        <w:t xml:space="preserve"> Al respecto, los medios de comunicación han reportado que la sobredemanda de cupos escolares municipales en la macrozona norte ha generado una saturación de la capacidad de los establecimientos educacionales.</w:t>
      </w:r>
      <w:r w:rsidRPr="008F110B">
        <w:rPr>
          <w:rStyle w:val="FootnoteReference"/>
          <w:rFonts w:ascii="Amnesty Trade Gothic Light" w:hAnsi="Amnesty Trade Gothic Light"/>
          <w:color w:val="auto"/>
          <w:sz w:val="20"/>
          <w:szCs w:val="20"/>
          <w:lang w:val="es-ES_tradnl"/>
        </w:rPr>
        <w:footnoteReference w:id="12"/>
      </w:r>
      <w:r w:rsidRPr="008F110B">
        <w:rPr>
          <w:rFonts w:ascii="Amnesty Trade Gothic Light" w:hAnsi="Amnesty Trade Gothic Light"/>
          <w:color w:val="auto"/>
          <w:sz w:val="20"/>
          <w:szCs w:val="20"/>
          <w:lang w:val="es-ES_tradnl"/>
        </w:rPr>
        <w:t xml:space="preserve"> Asimismo, la prensa ha reportado que entre 2018 y 2024, el 39% de los nuevos beneficiarios que ingresaron al seguro público de salud (FONASA) </w:t>
      </w:r>
      <w:r w:rsidRPr="008F110B">
        <w:rPr>
          <w:rFonts w:ascii="Amnesty Trade Gothic Light" w:hAnsi="Amnesty Trade Gothic Light"/>
          <w:color w:val="auto"/>
          <w:sz w:val="20"/>
          <w:szCs w:val="20"/>
          <w:lang w:val="es-ES_tradnl"/>
        </w:rPr>
        <w:lastRenderedPageBreak/>
        <w:t>corresponden a personas extranjeras.</w:t>
      </w:r>
      <w:r w:rsidRPr="008F110B">
        <w:rPr>
          <w:rStyle w:val="FootnoteReference"/>
          <w:rFonts w:ascii="Amnesty Trade Gothic Light" w:hAnsi="Amnesty Trade Gothic Light"/>
          <w:color w:val="auto"/>
          <w:sz w:val="20"/>
          <w:szCs w:val="20"/>
          <w:lang w:val="es-ES_tradnl"/>
        </w:rPr>
        <w:footnoteReference w:id="13"/>
      </w:r>
      <w:r w:rsidRPr="008F110B">
        <w:rPr>
          <w:rFonts w:ascii="Amnesty Trade Gothic Light" w:hAnsi="Amnesty Trade Gothic Light"/>
          <w:color w:val="auto"/>
          <w:sz w:val="20"/>
          <w:szCs w:val="20"/>
          <w:lang w:val="es-ES_tradnl"/>
        </w:rPr>
        <w:t xml:space="preserve"> Según las cifras oficiales, a diciembre de 2024, 1.747.666 personas extranjeras eran beneficiarias de FONASA, lo que corresponde a un 10,4% del total de usuarios del sistema.</w:t>
      </w:r>
      <w:r w:rsidRPr="008F110B">
        <w:rPr>
          <w:rStyle w:val="FootnoteReference"/>
          <w:rFonts w:ascii="Amnesty Trade Gothic Light" w:hAnsi="Amnesty Trade Gothic Light"/>
          <w:color w:val="auto"/>
          <w:sz w:val="20"/>
          <w:szCs w:val="20"/>
          <w:lang w:val="es-ES_tradnl"/>
        </w:rPr>
        <w:footnoteReference w:id="14"/>
      </w:r>
    </w:p>
    <w:p w14:paraId="179FBB73" w14:textId="0DDB8B7B" w:rsidR="008F110B" w:rsidRPr="008F110B" w:rsidRDefault="008F110B" w:rsidP="008F110B">
      <w:pPr>
        <w:pStyle w:val="RTBodyText"/>
        <w:rPr>
          <w:rFonts w:ascii="Amnesty Trade Gothic Light" w:hAnsi="Amnesty Trade Gothic Light"/>
          <w:sz w:val="20"/>
          <w:szCs w:val="20"/>
          <w:lang w:val="es-ES_tradnl"/>
        </w:rPr>
      </w:pPr>
      <w:r w:rsidRPr="008F110B">
        <w:rPr>
          <w:rFonts w:ascii="Amnesty Trade Gothic Light" w:hAnsi="Amnesty Trade Gothic Light"/>
          <w:sz w:val="20"/>
          <w:szCs w:val="20"/>
          <w:lang w:val="es-ES_tradnl"/>
        </w:rPr>
        <w:t>En relación con lo anterior, se han presentado propuestas legislativas que buscan establecer una preferencia para las personas chilenas o extranjeras con condición migratoria regular en casos en que los servicios de educación o salud cuenten con un exceso de demanda. Así, por ejemplo, en octubre de 2022 ingresó al Senado un proyecto de Ley que, entre otras medidas, propone incorporar a la Ley de Migración y Extranjería una disposición que establece que “tratándose de servicios que se encuentren colapsados por exceso de demanda, habiendo solicitantes chilenos no podrá preferirse a los extranjeros”.</w:t>
      </w:r>
      <w:r w:rsidRPr="008F110B">
        <w:rPr>
          <w:rStyle w:val="FootnoteReference"/>
          <w:rFonts w:ascii="Amnesty Trade Gothic Light" w:hAnsi="Amnesty Trade Gothic Light"/>
          <w:sz w:val="20"/>
          <w:szCs w:val="20"/>
          <w:lang w:val="es-ES_tradnl"/>
        </w:rPr>
        <w:footnoteReference w:id="15"/>
      </w:r>
      <w:r w:rsidRPr="008F110B">
        <w:rPr>
          <w:rFonts w:ascii="Amnesty Trade Gothic Light" w:hAnsi="Amnesty Trade Gothic Light"/>
          <w:sz w:val="20"/>
          <w:szCs w:val="20"/>
          <w:lang w:val="es-ES_tradnl"/>
        </w:rPr>
        <w:t xml:space="preserve"> Asimismo, en marzo de 2024 ingresó a la Cámara de Diputadas y Diputados un proyecto de Ley que propone establecer en la Ley de Migración y Extranjería una preferencia en la matrícula para el ingreso a establecimientos educacionales para los estudiantes cuyos padres o cuidadores sean de nacionalidad chilena o extranjeros con residencia temporal o definitiva,</w:t>
      </w:r>
      <w:r w:rsidRPr="008F110B">
        <w:rPr>
          <w:rStyle w:val="FootnoteReference"/>
          <w:rFonts w:ascii="Amnesty Trade Gothic Light" w:hAnsi="Amnesty Trade Gothic Light"/>
          <w:sz w:val="20"/>
          <w:szCs w:val="20"/>
          <w:lang w:val="es-ES_tradnl"/>
        </w:rPr>
        <w:footnoteReference w:id="16"/>
      </w:r>
      <w:r w:rsidRPr="008F110B">
        <w:rPr>
          <w:rFonts w:ascii="Amnesty Trade Gothic Light" w:hAnsi="Amnesty Trade Gothic Light"/>
          <w:sz w:val="20"/>
          <w:szCs w:val="20"/>
          <w:lang w:val="es-ES_tradnl"/>
        </w:rPr>
        <w:t xml:space="preserve"> es decir, una preferencia en desmedro de los estudiantes cuyos adultos responsables se encuentren en situación migratoria irregular. </w:t>
      </w:r>
    </w:p>
    <w:p w14:paraId="65E6F45B" w14:textId="59E133EE" w:rsidR="008F110B" w:rsidRPr="008F110B" w:rsidRDefault="37B7C9F8" w:rsidP="2CE978BE">
      <w:pPr>
        <w:pStyle w:val="RTBodyText"/>
        <w:rPr>
          <w:rFonts w:ascii="Amnesty Trade Gothic Light" w:hAnsi="Amnesty Trade Gothic Light"/>
          <w:sz w:val="20"/>
          <w:szCs w:val="20"/>
        </w:rPr>
      </w:pPr>
      <w:r w:rsidRPr="2CE978BE">
        <w:rPr>
          <w:rFonts w:ascii="Amnesty Trade Gothic Light" w:hAnsi="Amnesty Trade Gothic Light"/>
          <w:sz w:val="20"/>
          <w:szCs w:val="20"/>
        </w:rPr>
        <w:t>Si bien a la fecha no ha habido avances en la tramitación legislativa de los proyectos de Ley recién señalados, en el marco de la tramitación de un proyecto de ley iniciado por moción del Presidente de la República en julio de 2023 se incorporó, tras un acuerdo de diversos sectores, una propuesta normativa que dispone que, en materia de derechos económicos, sociales y culturales, “[s]i existen las mismas condiciones económicas, sociales o de vulnerabilidad, la situación migratoria no será una circunstancia de ventaja con respecto a los nacionales”</w:t>
      </w:r>
      <w:r w:rsidR="008F110B" w:rsidRPr="2CE978BE">
        <w:rPr>
          <w:rStyle w:val="FootnoteReference"/>
          <w:rFonts w:ascii="Amnesty Trade Gothic Light" w:hAnsi="Amnesty Trade Gothic Light"/>
          <w:sz w:val="20"/>
          <w:szCs w:val="20"/>
        </w:rPr>
        <w:footnoteReference w:id="17"/>
      </w:r>
      <w:r w:rsidRPr="2CE978BE">
        <w:rPr>
          <w:rFonts w:ascii="Amnesty Trade Gothic Light" w:hAnsi="Amnesty Trade Gothic Light"/>
          <w:sz w:val="20"/>
          <w:szCs w:val="20"/>
        </w:rPr>
        <w:t xml:space="preserve">. Respecto de esta norma, la </w:t>
      </w:r>
      <w:proofErr w:type="gramStart"/>
      <w:r w:rsidRPr="2CE978BE">
        <w:rPr>
          <w:rFonts w:ascii="Amnesty Trade Gothic Light" w:hAnsi="Amnesty Trade Gothic Light"/>
          <w:sz w:val="20"/>
          <w:szCs w:val="20"/>
        </w:rPr>
        <w:t>Ministra</w:t>
      </w:r>
      <w:proofErr w:type="gramEnd"/>
      <w:r w:rsidRPr="2CE978BE">
        <w:rPr>
          <w:rFonts w:ascii="Amnesty Trade Gothic Light" w:hAnsi="Amnesty Trade Gothic Light"/>
          <w:sz w:val="20"/>
          <w:szCs w:val="20"/>
        </w:rPr>
        <w:t xml:space="preserve"> del Interior y Seguridad Pública explicó que el “acuerdo alcanzado es claro en cuanto a que la situación migratoria no debe ser </w:t>
      </w:r>
      <w:proofErr w:type="gramStart"/>
      <w:r w:rsidRPr="2CE978BE">
        <w:rPr>
          <w:rFonts w:ascii="Amnesty Trade Gothic Light" w:hAnsi="Amnesty Trade Gothic Light"/>
          <w:sz w:val="20"/>
          <w:szCs w:val="20"/>
        </w:rPr>
        <w:t>un criterio a evaluar</w:t>
      </w:r>
      <w:proofErr w:type="gramEnd"/>
      <w:r w:rsidRPr="2CE978BE">
        <w:rPr>
          <w:rFonts w:ascii="Amnesty Trade Gothic Light" w:hAnsi="Amnesty Trade Gothic Light"/>
          <w:sz w:val="20"/>
          <w:szCs w:val="20"/>
        </w:rPr>
        <w:t xml:space="preserve"> y lo que realmente debe considerarse es la condición social de la familia. […] [E]n la actualidad, […] la irregularidad se considera una vulnerabilidad, lo que significa que dos familias en la misma condición social pero una migrante irregular y otra chilena, pueden obtener puntajes distintos en el acceso a servicios favoreciendo involuntariamente a la familia migrante, por lo que se eliminará la desigualdad producto de la irregularidad, y se evaluará únicamente la situación social independientemente de la condición migratoria</w:t>
      </w:r>
      <w:r w:rsidR="1E9D26DB" w:rsidRPr="2CE978BE">
        <w:rPr>
          <w:rFonts w:ascii="Amnesty Trade Gothic Light" w:hAnsi="Amnesty Trade Gothic Light"/>
          <w:sz w:val="20"/>
          <w:szCs w:val="20"/>
        </w:rPr>
        <w:t>.</w:t>
      </w:r>
      <w:r w:rsidRPr="2CE978BE">
        <w:rPr>
          <w:rFonts w:ascii="Amnesty Trade Gothic Light" w:hAnsi="Amnesty Trade Gothic Light"/>
          <w:sz w:val="20"/>
          <w:szCs w:val="20"/>
        </w:rPr>
        <w:t>”</w:t>
      </w:r>
      <w:r w:rsidR="008F110B" w:rsidRPr="2CE978BE">
        <w:rPr>
          <w:rStyle w:val="FootnoteReference"/>
          <w:rFonts w:ascii="Amnesty Trade Gothic Light" w:hAnsi="Amnesty Trade Gothic Light"/>
          <w:sz w:val="20"/>
          <w:szCs w:val="20"/>
        </w:rPr>
        <w:footnoteReference w:id="18"/>
      </w:r>
    </w:p>
    <w:p w14:paraId="68392F22" w14:textId="5C85B5DD" w:rsidR="008F110B" w:rsidRPr="008F110B" w:rsidRDefault="37B7C9F8" w:rsidP="2CE978BE">
      <w:pPr>
        <w:pStyle w:val="RTBodyText"/>
        <w:rPr>
          <w:rFonts w:ascii="Amnesty Trade Gothic Light" w:hAnsi="Amnesty Trade Gothic Light"/>
          <w:color w:val="auto"/>
          <w:sz w:val="20"/>
          <w:szCs w:val="20"/>
        </w:rPr>
      </w:pPr>
      <w:r w:rsidRPr="25A43EB7">
        <w:rPr>
          <w:rFonts w:ascii="Amnesty Trade Gothic Light" w:hAnsi="Amnesty Trade Gothic Light"/>
          <w:color w:val="auto"/>
          <w:sz w:val="20"/>
          <w:szCs w:val="20"/>
        </w:rPr>
        <w:t>Para Amnistía Internacional resulta preocupante que, frente a la falta de disponibilidad suficiente de servicios y bienes públicos, se plantee como posible solución eliminar la consideración de la situación migratoria irregular como un factor de vulnerabilidad</w:t>
      </w:r>
      <w:r w:rsidR="00503FCA">
        <w:rPr>
          <w:rFonts w:ascii="Amnesty Trade Gothic Light" w:hAnsi="Amnesty Trade Gothic Light"/>
          <w:color w:val="auto"/>
          <w:sz w:val="20"/>
          <w:szCs w:val="20"/>
        </w:rPr>
        <w:t xml:space="preserve">. Las autoridades chilenas tienes alternativas. Una de ellas </w:t>
      </w:r>
      <w:r w:rsidR="0EDC4EEC" w:rsidRPr="5412AE5B">
        <w:rPr>
          <w:rFonts w:ascii="Amnesty Trade Gothic Light" w:hAnsi="Amnesty Trade Gothic Light"/>
          <w:color w:val="auto"/>
          <w:sz w:val="20"/>
          <w:szCs w:val="20"/>
        </w:rPr>
        <w:t>es</w:t>
      </w:r>
      <w:r w:rsidRPr="25A43EB7">
        <w:rPr>
          <w:rFonts w:ascii="Amnesty Trade Gothic Light" w:hAnsi="Amnesty Trade Gothic Light"/>
          <w:color w:val="auto"/>
          <w:sz w:val="20"/>
          <w:szCs w:val="20"/>
        </w:rPr>
        <w:t xml:space="preserve"> explorar vías para aumentar las capacidades de los sistemas de educación y salud, entre otros, para dar cobertura suficiente a </w:t>
      </w:r>
      <w:r w:rsidR="40676730" w:rsidRPr="25A43EB7">
        <w:rPr>
          <w:rFonts w:ascii="Amnesty Trade Gothic Light" w:hAnsi="Amnesty Trade Gothic Light"/>
          <w:color w:val="auto"/>
          <w:sz w:val="20"/>
          <w:szCs w:val="20"/>
        </w:rPr>
        <w:t>todas las personas</w:t>
      </w:r>
      <w:r w:rsidRPr="25A43EB7">
        <w:rPr>
          <w:rFonts w:ascii="Amnesty Trade Gothic Light" w:hAnsi="Amnesty Trade Gothic Light"/>
          <w:color w:val="auto"/>
          <w:sz w:val="20"/>
          <w:szCs w:val="20"/>
        </w:rPr>
        <w:t xml:space="preserve">, en cumplimiento de sus obligaciones internacionales. </w:t>
      </w:r>
      <w:r w:rsidR="00503FCA">
        <w:rPr>
          <w:rFonts w:ascii="Amnesty Trade Gothic Light" w:hAnsi="Amnesty Trade Gothic Light"/>
          <w:color w:val="auto"/>
          <w:sz w:val="20"/>
          <w:szCs w:val="20"/>
        </w:rPr>
        <w:t>Otra es evaluar la ado</w:t>
      </w:r>
      <w:r w:rsidR="008C7B61">
        <w:rPr>
          <w:rFonts w:ascii="Amnesty Trade Gothic Light" w:hAnsi="Amnesty Trade Gothic Light"/>
          <w:color w:val="auto"/>
          <w:sz w:val="20"/>
          <w:szCs w:val="20"/>
        </w:rPr>
        <w:t>pción de mecanismos que faciliten la regularización migratoria de las personas y que, a través de la garantía de derechos</w:t>
      </w:r>
      <w:r w:rsidR="00E5129A">
        <w:rPr>
          <w:rFonts w:ascii="Amnesty Trade Gothic Light" w:hAnsi="Amnesty Trade Gothic Light"/>
          <w:color w:val="auto"/>
          <w:sz w:val="20"/>
          <w:szCs w:val="20"/>
        </w:rPr>
        <w:t>, se mitigue el factor de vulnerabilidad que genera su falta de protección.</w:t>
      </w:r>
    </w:p>
    <w:p w14:paraId="74D210A7" w14:textId="060C6E9A" w:rsidR="008F110B" w:rsidRPr="008F110B" w:rsidRDefault="008F110B" w:rsidP="008F110B">
      <w:pPr>
        <w:pStyle w:val="RTBodyText"/>
        <w:rPr>
          <w:rFonts w:ascii="Amnesty Trade Gothic Light" w:hAnsi="Amnesty Trade Gothic Light"/>
          <w:sz w:val="20"/>
          <w:szCs w:val="20"/>
          <w:lang w:val="es-ES_tradnl"/>
        </w:rPr>
      </w:pPr>
      <w:r w:rsidRPr="008F110B">
        <w:rPr>
          <w:rFonts w:ascii="Amnesty Trade Gothic Light" w:hAnsi="Amnesty Trade Gothic Light"/>
          <w:sz w:val="20"/>
          <w:szCs w:val="20"/>
          <w:lang w:val="es-ES_tradnl"/>
        </w:rPr>
        <w:t>En particular, la exclusión de consideración de la condición migratoria irregular como un factor de vulnerabilidad social es contraria a los estándares desarrollados por los sistemas internacionales de protección de los derechos humanos, que ampliamente han reconocido que la irregularidad migratoria genera una especial exposición a sufrir vulneraciones de derechos humanos y tratos diferenciados en el acceso a los recursos públicos, en comparación con las personas nacionales y migrantes en situación regular.</w:t>
      </w:r>
      <w:r w:rsidRPr="008F110B">
        <w:rPr>
          <w:rStyle w:val="FootnoteReference"/>
          <w:rFonts w:ascii="Amnesty Trade Gothic Light" w:hAnsi="Amnesty Trade Gothic Light"/>
          <w:sz w:val="20"/>
          <w:szCs w:val="20"/>
          <w:lang w:val="es-ES_tradnl"/>
        </w:rPr>
        <w:footnoteReference w:id="19"/>
      </w:r>
      <w:r w:rsidRPr="008F110B">
        <w:rPr>
          <w:rFonts w:ascii="Amnesty Trade Gothic Light" w:hAnsi="Amnesty Trade Gothic Light"/>
          <w:sz w:val="20"/>
          <w:szCs w:val="20"/>
          <w:lang w:val="es-ES_tradnl"/>
        </w:rPr>
        <w:t xml:space="preserve"> </w:t>
      </w:r>
    </w:p>
    <w:p w14:paraId="39D5C6B0" w14:textId="0DC0475C" w:rsidR="008F110B" w:rsidRPr="008F110B" w:rsidRDefault="008F110B" w:rsidP="008F110B">
      <w:pPr>
        <w:pStyle w:val="RTBodyText"/>
        <w:rPr>
          <w:rFonts w:ascii="Amnesty Trade Gothic Light" w:hAnsi="Amnesty Trade Gothic Light"/>
          <w:sz w:val="20"/>
          <w:szCs w:val="20"/>
          <w:lang w:val="es-ES_tradnl"/>
        </w:rPr>
      </w:pPr>
      <w:r w:rsidRPr="008F110B">
        <w:rPr>
          <w:rFonts w:ascii="Amnesty Trade Gothic Light" w:hAnsi="Amnesty Trade Gothic Light"/>
          <w:sz w:val="20"/>
          <w:szCs w:val="20"/>
          <w:lang w:val="es-ES_tradnl"/>
        </w:rPr>
        <w:lastRenderedPageBreak/>
        <w:t>El Comité de Derechos Económicos, Sociales y Culturales ha afirmado, respecto del derecho a la educación, que el “principio de la no discriminación se aplica a todas las personas en edad escolar que residan en el territorio de un Estado Parte, comprendidos los no nacionales y con independencia de su situación jurídica,”</w:t>
      </w:r>
      <w:r w:rsidRPr="008F110B">
        <w:rPr>
          <w:rStyle w:val="FootnoteReference"/>
          <w:rFonts w:ascii="Amnesty Trade Gothic Light" w:hAnsi="Amnesty Trade Gothic Light"/>
          <w:sz w:val="20"/>
          <w:szCs w:val="20"/>
          <w:lang w:val="es-ES_tradnl"/>
        </w:rPr>
        <w:footnoteReference w:id="20"/>
      </w:r>
      <w:r w:rsidRPr="008F110B">
        <w:rPr>
          <w:rFonts w:ascii="Amnesty Trade Gothic Light" w:hAnsi="Amnesty Trade Gothic Light"/>
          <w:sz w:val="20"/>
          <w:szCs w:val="20"/>
          <w:lang w:val="es-ES_tradnl"/>
        </w:rPr>
        <w:t xml:space="preserve"> y que “los Estados tienen la obligación de respetar el derecho a la salud, en particular absteniéndose de denegar o limitar el acceso igual de todas las personas, incluidos, los presos o detenidos, los representantes de las minorías, los solicitantes de asilo o los inmigrantes ilegales, a los servicios de salud preventivos, curativos y paliativos; abstenerse de imponer prácticas discriminatorias como política de Estado […].”</w:t>
      </w:r>
      <w:r w:rsidRPr="008F110B">
        <w:rPr>
          <w:rStyle w:val="FootnoteReference"/>
          <w:rFonts w:ascii="Amnesty Trade Gothic Light" w:hAnsi="Amnesty Trade Gothic Light"/>
          <w:sz w:val="20"/>
          <w:szCs w:val="20"/>
          <w:lang w:val="es-ES_tradnl"/>
        </w:rPr>
        <w:footnoteReference w:id="21"/>
      </w:r>
    </w:p>
    <w:p w14:paraId="593416B1" w14:textId="6326280F" w:rsidR="008F110B" w:rsidRPr="008F110B" w:rsidRDefault="008F110B" w:rsidP="008F110B">
      <w:pPr>
        <w:pStyle w:val="RTBodyText"/>
        <w:rPr>
          <w:rFonts w:ascii="Amnesty Trade Gothic Light" w:hAnsi="Amnesty Trade Gothic Light"/>
          <w:sz w:val="20"/>
          <w:szCs w:val="20"/>
          <w:lang w:val="es-ES_tradnl"/>
        </w:rPr>
      </w:pPr>
      <w:r w:rsidRPr="008F110B">
        <w:rPr>
          <w:rFonts w:ascii="Amnesty Trade Gothic Light" w:hAnsi="Amnesty Trade Gothic Light"/>
          <w:sz w:val="20"/>
          <w:szCs w:val="20"/>
          <w:lang w:val="es-ES_tradnl"/>
        </w:rPr>
        <w:t>Al respecto, cabe recordar que en sus observaciones finales al cuarto informe periódico de Chile, de 2015, el propio Comité de Derechos Económicos, Sociales y Culturales recomendó que el Estado “asigne recursos suficientes al sector de salud y continúe sus esfuerzos para asegurar la accesibilidad, disponibilidad, asequibilidad y calidad de la atención de salud, prestando especial atención a las necesidades de los grupos marginados y desfavorecidos, especialmente de aquellos con bajos ingresos económicos, así como de los pueblos indígenas, migrantes, solicitantes de asilo y refugiados.”</w:t>
      </w:r>
      <w:r w:rsidRPr="008F110B">
        <w:rPr>
          <w:rStyle w:val="FootnoteReference"/>
          <w:rFonts w:ascii="Amnesty Trade Gothic Light" w:hAnsi="Amnesty Trade Gothic Light"/>
          <w:sz w:val="20"/>
          <w:szCs w:val="20"/>
          <w:lang w:val="es-ES_tradnl"/>
        </w:rPr>
        <w:footnoteReference w:id="22"/>
      </w:r>
      <w:r w:rsidRPr="008F110B">
        <w:rPr>
          <w:rFonts w:ascii="Amnesty Trade Gothic Light" w:hAnsi="Amnesty Trade Gothic Light"/>
          <w:sz w:val="20"/>
          <w:szCs w:val="20"/>
          <w:lang w:val="es-ES_tradnl"/>
        </w:rPr>
        <w:t xml:space="preserve"> </w:t>
      </w:r>
    </w:p>
    <w:p w14:paraId="3E576C74" w14:textId="77777777" w:rsidR="008F110B" w:rsidRPr="008F110B" w:rsidRDefault="008F110B" w:rsidP="008F110B">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Amnistía Internacional recomienda a las autoridades chilenas:</w:t>
      </w:r>
    </w:p>
    <w:p w14:paraId="3AE8640D" w14:textId="77777777" w:rsidR="008F110B" w:rsidRPr="008F110B" w:rsidRDefault="008F110B" w:rsidP="2CE978BE">
      <w:pPr>
        <w:pStyle w:val="RTBodyText"/>
        <w:numPr>
          <w:ilvl w:val="0"/>
          <w:numId w:val="18"/>
        </w:numPr>
        <w:rPr>
          <w:rFonts w:ascii="Amnesty Trade Gothic Light" w:hAnsi="Amnesty Trade Gothic Light"/>
          <w:color w:val="auto"/>
          <w:sz w:val="20"/>
          <w:szCs w:val="20"/>
          <w:lang w:eastAsia="en-GB"/>
        </w:rPr>
      </w:pPr>
      <w:r w:rsidRPr="2CE978BE">
        <w:rPr>
          <w:rFonts w:ascii="Amnesty Trade Gothic Light" w:hAnsi="Amnesty Trade Gothic Light"/>
          <w:color w:val="auto"/>
          <w:sz w:val="20"/>
          <w:szCs w:val="20"/>
          <w:lang w:eastAsia="en-GB"/>
        </w:rPr>
        <w:t>Adoptar de forma urgente las medidas necesarias, especialmente presupuestarias, para asegurar la disponibilidad, accesibilidad, aceptabilidad y calidad de la atención de salud para todas las personas, especialmente para quienes se encuentran en situaciones de mayor vulnerabilidad.</w:t>
      </w:r>
    </w:p>
    <w:p w14:paraId="00530C43" w14:textId="77777777" w:rsidR="008F110B" w:rsidRPr="008F110B" w:rsidRDefault="008F110B" w:rsidP="008F110B">
      <w:pPr>
        <w:pStyle w:val="RTBodyText"/>
        <w:numPr>
          <w:ilvl w:val="0"/>
          <w:numId w:val="18"/>
        </w:numPr>
        <w:rPr>
          <w:rFonts w:ascii="Amnesty Trade Gothic Light" w:hAnsi="Amnesty Trade Gothic Light"/>
          <w:color w:val="auto"/>
          <w:sz w:val="20"/>
          <w:szCs w:val="20"/>
          <w:lang w:val="es-ES_tradnl" w:eastAsia="en-GB"/>
        </w:rPr>
      </w:pPr>
      <w:r w:rsidRPr="008F110B">
        <w:rPr>
          <w:rFonts w:ascii="Amnesty Trade Gothic Light" w:hAnsi="Amnesty Trade Gothic Light"/>
          <w:color w:val="auto"/>
          <w:sz w:val="20"/>
          <w:szCs w:val="20"/>
          <w:lang w:val="es-ES_tradnl" w:eastAsia="en-GB"/>
        </w:rPr>
        <w:t>Adoptar de forma urgente las medidas necesarias, especialmente presupuestarias, para respetar y garantizar la disponibilidad, accesibilidad, aceptabilidad y adaptabilidad de la educación todas las personas, especialmente para quienes se encuentran en situaciones de mayor vulnerabilidad.</w:t>
      </w:r>
      <w:r w:rsidRPr="008F110B">
        <w:rPr>
          <w:rFonts w:ascii="Amnesty Trade Gothic Light" w:hAnsi="Amnesty Trade Gothic Light"/>
          <w:color w:val="auto"/>
          <w:sz w:val="20"/>
          <w:szCs w:val="20"/>
        </w:rPr>
        <w:t xml:space="preserve"> </w:t>
      </w:r>
    </w:p>
    <w:p w14:paraId="0D0A0909" w14:textId="77777777" w:rsidR="008F110B" w:rsidRPr="008F110B" w:rsidRDefault="008F110B" w:rsidP="2CE978BE">
      <w:pPr>
        <w:pStyle w:val="RTBodyText"/>
        <w:numPr>
          <w:ilvl w:val="0"/>
          <w:numId w:val="18"/>
        </w:numPr>
        <w:rPr>
          <w:rFonts w:ascii="Amnesty Trade Gothic Light" w:hAnsi="Amnesty Trade Gothic Light"/>
          <w:sz w:val="20"/>
          <w:szCs w:val="20"/>
          <w:lang w:eastAsia="en-GB"/>
        </w:rPr>
      </w:pPr>
      <w:proofErr w:type="gramStart"/>
      <w:r w:rsidRPr="2CE978BE">
        <w:rPr>
          <w:rFonts w:ascii="Amnesty Trade Gothic Light" w:hAnsi="Amnesty Trade Gothic Light"/>
          <w:sz w:val="20"/>
          <w:szCs w:val="20"/>
          <w:lang w:eastAsia="en-GB"/>
        </w:rPr>
        <w:t>Asegurar</w:t>
      </w:r>
      <w:proofErr w:type="gramEnd"/>
      <w:r w:rsidRPr="2CE978BE">
        <w:rPr>
          <w:rFonts w:ascii="Amnesty Trade Gothic Light" w:hAnsi="Amnesty Trade Gothic Light"/>
          <w:sz w:val="20"/>
          <w:szCs w:val="20"/>
          <w:lang w:eastAsia="en-GB"/>
        </w:rPr>
        <w:t xml:space="preserve"> que, tanto en la Ley como en la práctica, las evaluaciones socioeconómicas que se realicen para determinar el acceso de las personas a prestaciones financiadas por el Estado consideren adecuadamente la vulnerabilidad específica que experimentan las personas migrantes y refugiadas y, en particular, aquellas que se encuentran en situación migratoria irregular.</w:t>
      </w:r>
    </w:p>
    <w:p w14:paraId="55095591" w14:textId="77777777" w:rsidR="008F110B" w:rsidRPr="008F110B" w:rsidRDefault="008F110B" w:rsidP="008F110B">
      <w:pPr>
        <w:pStyle w:val="RTBodyText"/>
        <w:numPr>
          <w:ilvl w:val="0"/>
          <w:numId w:val="18"/>
        </w:numPr>
        <w:rPr>
          <w:rFonts w:ascii="Amnesty Trade Gothic Light" w:hAnsi="Amnesty Trade Gothic Light"/>
          <w:sz w:val="20"/>
          <w:szCs w:val="20"/>
          <w:lang w:val="es-ES_tradnl" w:eastAsia="en-GB"/>
        </w:rPr>
      </w:pPr>
      <w:r w:rsidRPr="008F110B">
        <w:rPr>
          <w:rFonts w:ascii="Amnesty Trade Gothic Light" w:hAnsi="Amnesty Trade Gothic Light"/>
          <w:sz w:val="20"/>
          <w:szCs w:val="20"/>
          <w:lang w:val="es-ES_tradnl" w:eastAsia="en-GB"/>
        </w:rPr>
        <w:t>Adoptar las medidas necesarias para asegurar el respeto y garantía irrestrictos del principio de igualdad y no discriminación en materia de salud y educación.</w:t>
      </w:r>
    </w:p>
    <w:p w14:paraId="622485D7" w14:textId="77777777" w:rsidR="008F110B" w:rsidRPr="008F110B" w:rsidRDefault="008F110B" w:rsidP="008F110B">
      <w:pPr>
        <w:pStyle w:val="RTBodyText"/>
        <w:numPr>
          <w:ilvl w:val="0"/>
          <w:numId w:val="18"/>
        </w:numPr>
        <w:rPr>
          <w:rFonts w:ascii="Amnesty Trade Gothic Light" w:hAnsi="Amnesty Trade Gothic Light"/>
          <w:sz w:val="20"/>
          <w:szCs w:val="20"/>
          <w:lang w:val="es-ES_tradnl" w:eastAsia="en-GB"/>
        </w:rPr>
      </w:pPr>
      <w:r w:rsidRPr="008F110B">
        <w:rPr>
          <w:rFonts w:ascii="Amnesty Trade Gothic Light" w:hAnsi="Amnesty Trade Gothic Light"/>
          <w:sz w:val="20"/>
          <w:szCs w:val="20"/>
          <w:lang w:val="es-ES_tradnl" w:eastAsia="en-GB"/>
        </w:rPr>
        <w:t>Incorporar medidas de garantía del acceso a la salud y la educación para personas pertenecientes a grupos vulnerables en la formulación del Plan Nacional de Derechos Humanos 2026-2029.</w:t>
      </w:r>
    </w:p>
    <w:p w14:paraId="2E2F626C" w14:textId="77777777" w:rsidR="008F110B" w:rsidRPr="008F110B" w:rsidRDefault="008F110B" w:rsidP="008F110B">
      <w:pPr>
        <w:pStyle w:val="RTBodyText"/>
        <w:numPr>
          <w:ilvl w:val="0"/>
          <w:numId w:val="18"/>
        </w:numPr>
        <w:rPr>
          <w:rFonts w:ascii="Amnesty Trade Gothic Light" w:hAnsi="Amnesty Trade Gothic Light"/>
          <w:sz w:val="20"/>
          <w:szCs w:val="20"/>
          <w:lang w:val="es-ES_tradnl" w:eastAsia="en-GB"/>
        </w:rPr>
      </w:pPr>
      <w:r w:rsidRPr="008F110B">
        <w:rPr>
          <w:rFonts w:ascii="Amnesty Trade Gothic Light" w:hAnsi="Amnesty Trade Gothic Light"/>
          <w:sz w:val="20"/>
          <w:szCs w:val="20"/>
          <w:lang w:val="es-ES_tradnl" w:eastAsia="en-GB"/>
        </w:rPr>
        <w:t>Recolectar y publicar información estadística completa acerca de la accesibilidad, disponibilidad, asequibilidad y calidad de la atención de salud en todo el país, considerando especialmente la situación de los grupos vulnerables.</w:t>
      </w:r>
    </w:p>
    <w:p w14:paraId="6ADF907D" w14:textId="77777777" w:rsidR="008F110B" w:rsidRPr="007A41A2" w:rsidRDefault="008F110B" w:rsidP="008F110B">
      <w:pPr>
        <w:pStyle w:val="BNumberedSubheading"/>
      </w:pPr>
      <w:bookmarkStart w:id="13" w:name="_Toc197525005"/>
      <w:bookmarkStart w:id="14" w:name="_Toc21592673"/>
      <w:r w:rsidRPr="007A41A2">
        <w:t>ACCESO A PRESTACIONES DE ABORTO LEGAL</w:t>
      </w:r>
      <w:bookmarkEnd w:id="13"/>
      <w:bookmarkEnd w:id="14"/>
    </w:p>
    <w:p w14:paraId="1DB701A6" w14:textId="0860E0AC" w:rsidR="008F110B" w:rsidRPr="008F110B" w:rsidRDefault="008F110B" w:rsidP="2CE978BE">
      <w:pPr>
        <w:pStyle w:val="RTBodyText"/>
        <w:rPr>
          <w:rFonts w:ascii="Amnesty Trade Gothic Light" w:hAnsi="Amnesty Trade Gothic Light"/>
          <w:sz w:val="20"/>
          <w:szCs w:val="20"/>
        </w:rPr>
      </w:pPr>
      <w:r w:rsidRPr="2CE978BE">
        <w:rPr>
          <w:rFonts w:ascii="Amnesty Trade Gothic Light" w:hAnsi="Amnesty Trade Gothic Light"/>
          <w:sz w:val="20"/>
          <w:szCs w:val="20"/>
        </w:rPr>
        <w:t>En 2024, en su informe al Comité para la Eliminación de la Discriminación contra la Mujer sobre la situación de derechos humanos en Chile,</w:t>
      </w:r>
      <w:r w:rsidRPr="2CE978BE">
        <w:rPr>
          <w:rStyle w:val="FootnoteReference"/>
          <w:rFonts w:ascii="Amnesty Trade Gothic Light" w:hAnsi="Amnesty Trade Gothic Light"/>
          <w:sz w:val="20"/>
          <w:szCs w:val="20"/>
        </w:rPr>
        <w:footnoteReference w:id="23"/>
      </w:r>
      <w:r w:rsidRPr="2CE978BE">
        <w:rPr>
          <w:rFonts w:ascii="Amnesty Trade Gothic Light" w:hAnsi="Amnesty Trade Gothic Light"/>
          <w:sz w:val="20"/>
          <w:szCs w:val="20"/>
        </w:rPr>
        <w:t xml:space="preserve"> Amnistía Internacional hizo presente que uno de los principales obstáculos para el acceso efectivo a las prestaciones contempladas en la Ley N°21.030, que regula la despenalización de la interrupción voluntaria del embarazo en tres causales, radica en la forma en que algunos establecimientos de salud aplican de forma amplia la regla de la llamada “objeción de conciencia”, dispuesta en el artículo 119 ter del Código Sanitario.</w:t>
      </w:r>
      <w:r w:rsidRPr="2CE978BE">
        <w:rPr>
          <w:rStyle w:val="FootnoteReference"/>
          <w:rFonts w:ascii="Amnesty Trade Gothic Light" w:hAnsi="Amnesty Trade Gothic Light"/>
          <w:sz w:val="20"/>
          <w:szCs w:val="20"/>
        </w:rPr>
        <w:footnoteReference w:id="24"/>
      </w:r>
      <w:r w:rsidRPr="2CE978BE">
        <w:rPr>
          <w:rFonts w:ascii="Amnesty Trade Gothic Light" w:hAnsi="Amnesty Trade Gothic Light"/>
          <w:sz w:val="20"/>
          <w:szCs w:val="20"/>
        </w:rPr>
        <w:t xml:space="preserve"> De acuerdo con cifras de 2023, de los médicos obstetras contratados en hospitales públicos, un 46% se acogió a la objeción de conciencia para la causal de violación, seguido por un 23% para la causal de inviabilidad y un 16% para la de riesgo vital de la madre. Asimismo, en cinco hospitales públicos la totalidad de los obstetras se declaró como objetor </w:t>
      </w:r>
      <w:r w:rsidRPr="2CE978BE">
        <w:rPr>
          <w:rFonts w:ascii="Amnesty Trade Gothic Light" w:hAnsi="Amnesty Trade Gothic Light"/>
          <w:sz w:val="20"/>
          <w:szCs w:val="20"/>
        </w:rPr>
        <w:lastRenderedPageBreak/>
        <w:t xml:space="preserve">de conciencia en casos de embarazos producto de violación, excluyendo en la práctica el acceso a las prestaciones contempladas en la Ley </w:t>
      </w:r>
      <w:proofErr w:type="spellStart"/>
      <w:r w:rsidRPr="2CE978BE">
        <w:rPr>
          <w:rFonts w:ascii="Amnesty Trade Gothic Light" w:hAnsi="Amnesty Trade Gothic Light"/>
          <w:sz w:val="20"/>
          <w:szCs w:val="20"/>
        </w:rPr>
        <w:t>N°</w:t>
      </w:r>
      <w:proofErr w:type="spellEnd"/>
      <w:r w:rsidRPr="2CE978BE">
        <w:rPr>
          <w:rFonts w:ascii="Amnesty Trade Gothic Light" w:hAnsi="Amnesty Trade Gothic Light"/>
          <w:sz w:val="20"/>
          <w:szCs w:val="20"/>
        </w:rPr>
        <w:t xml:space="preserve"> 21.030 en esos establecimientos.</w:t>
      </w:r>
      <w:r w:rsidRPr="2CE978BE">
        <w:rPr>
          <w:rStyle w:val="FootnoteReference"/>
          <w:rFonts w:ascii="Amnesty Trade Gothic Light" w:hAnsi="Amnesty Trade Gothic Light"/>
          <w:sz w:val="20"/>
          <w:szCs w:val="20"/>
        </w:rPr>
        <w:footnoteReference w:id="25"/>
      </w:r>
    </w:p>
    <w:p w14:paraId="10C7090F" w14:textId="250CE677" w:rsidR="008F110B" w:rsidRPr="008F110B" w:rsidRDefault="008F110B" w:rsidP="2CE978BE">
      <w:pPr>
        <w:pStyle w:val="RTBodyText"/>
        <w:rPr>
          <w:rFonts w:ascii="Amnesty Trade Gothic Light" w:hAnsi="Amnesty Trade Gothic Light"/>
          <w:sz w:val="20"/>
          <w:szCs w:val="20"/>
        </w:rPr>
      </w:pPr>
      <w:r w:rsidRPr="2CE978BE">
        <w:rPr>
          <w:rFonts w:ascii="Amnesty Trade Gothic Light" w:hAnsi="Amnesty Trade Gothic Light"/>
          <w:sz w:val="20"/>
          <w:szCs w:val="20"/>
        </w:rPr>
        <w:t>De hecho, un estudio de la Universidad de Chile identificó entre las principales barreras para la implementación efectiva de la Ley “[l]a carencia de información de la ciudadanía y los equipos de atención; interpretaciones erróneas de la Ley; la objeción de conciencia por parte de los médicos tratantes; la falta de fiscalización del Estado en la implementación de la norma; y la violencia estructural en la atención de las mujeres […]. También identificó como barreras el estigma social que existe hacia las mujeres, aún más si son migrantes, la falta de valoración del trabajo de las duplas psicosociales en los equipos de alto riesgo obstétrico e incluso las limitantes geográficas para la derivación de mujeres que se ven afectadas.”</w:t>
      </w:r>
      <w:r w:rsidRPr="2CE978BE">
        <w:rPr>
          <w:rStyle w:val="FootnoteReference"/>
          <w:rFonts w:ascii="Amnesty Trade Gothic Light" w:hAnsi="Amnesty Trade Gothic Light"/>
          <w:sz w:val="20"/>
          <w:szCs w:val="20"/>
        </w:rPr>
        <w:footnoteReference w:id="26"/>
      </w:r>
    </w:p>
    <w:p w14:paraId="137A38BA" w14:textId="57D907EB" w:rsidR="009B130F" w:rsidRPr="00A93797" w:rsidRDefault="009B130F" w:rsidP="009B130F">
      <w:pPr>
        <w:pStyle w:val="RTBodyText"/>
        <w:rPr>
          <w:lang w:val="es-MX"/>
        </w:rPr>
      </w:pPr>
      <w:r w:rsidRPr="009B130F">
        <w:rPr>
          <w:rFonts w:ascii="Amnesty Trade Gothic Light" w:hAnsi="Amnesty Trade Gothic Light"/>
          <w:sz w:val="20"/>
          <w:szCs w:val="20"/>
          <w:lang w:val="es-CL"/>
        </w:rPr>
        <w:t>Por último, con varios meses de retraso respecto del compromiso que hiciera, en junio de 2024, el Presidente de la Repúblic</w:t>
      </w:r>
      <w:r w:rsidR="00A93797">
        <w:rPr>
          <w:rFonts w:ascii="Amnesty Trade Gothic Light" w:hAnsi="Amnesty Trade Gothic Light"/>
          <w:sz w:val="20"/>
          <w:szCs w:val="20"/>
          <w:lang w:val="es-CL"/>
        </w:rPr>
        <w:t>a,</w:t>
      </w:r>
      <w:r w:rsidR="00A93797" w:rsidRPr="00A93797">
        <w:rPr>
          <w:vertAlign w:val="superscript"/>
          <w:lang w:val="es-CL"/>
        </w:rPr>
        <w:footnoteReference w:id="27"/>
      </w:r>
      <w:r w:rsidRPr="009B130F">
        <w:rPr>
          <w:rFonts w:ascii="Amnesty Trade Gothic Light" w:hAnsi="Amnesty Trade Gothic Light"/>
          <w:sz w:val="20"/>
          <w:szCs w:val="20"/>
          <w:lang w:val="es-CL"/>
        </w:rPr>
        <w:t xml:space="preserve"> el 29 de mayo de 2025 el gobierno ingresó a la Cámara de Diputados y Diputadas el proyecto de ley que regula la interrupción voluntaria del embarazo dentro de las primeras catorce semanas de gestación</w:t>
      </w:r>
      <w:r w:rsidR="00A93797">
        <w:rPr>
          <w:rFonts w:ascii="Amnesty Trade Gothic Light" w:hAnsi="Amnesty Trade Gothic Light"/>
          <w:sz w:val="20"/>
          <w:szCs w:val="20"/>
          <w:lang w:val="es-CL"/>
        </w:rPr>
        <w:t xml:space="preserve"> y</w:t>
      </w:r>
      <w:r w:rsidRPr="009B130F">
        <w:rPr>
          <w:rFonts w:ascii="Amnesty Trade Gothic Light" w:hAnsi="Amnesty Trade Gothic Light"/>
          <w:sz w:val="20"/>
          <w:szCs w:val="20"/>
          <w:lang w:val="es-CL"/>
        </w:rPr>
        <w:t xml:space="preserve"> a petición de la mujer embarazada.</w:t>
      </w:r>
      <w:r w:rsidR="00D87327" w:rsidRPr="00D87327">
        <w:rPr>
          <w:vertAlign w:val="superscript"/>
          <w:lang w:val="es-CL"/>
        </w:rPr>
        <w:footnoteReference w:id="28"/>
      </w:r>
      <w:r w:rsidRPr="009B130F">
        <w:rPr>
          <w:rFonts w:ascii="Amnesty Trade Gothic Light" w:hAnsi="Amnesty Trade Gothic Light"/>
          <w:sz w:val="20"/>
          <w:szCs w:val="20"/>
          <w:lang w:val="es-CL"/>
        </w:rPr>
        <w:t xml:space="preserve"> Ello, con el objeto declarado de resguardar el derecho a la salud y los derechos sexuales y reproductivos de mujeres, adolescentes y niñas, y avanzar y profundizar en su reconocimiento, así como garantizar el acceso a una interrupción voluntaria del embarazo oportuna, informada, legal y segura. La propuesta legislativa no modifica lo relativo a la “objeción de conciencia”, contemplando de manera expresa la posibilidad de que médicos y profesionales de la salud requeridos, puedan abstenerse de realizar la interrupción del embarazo. El proyecto se encuentra sin urgencia legislativa. </w:t>
      </w:r>
    </w:p>
    <w:p w14:paraId="2CE26F70" w14:textId="6D718B36" w:rsidR="006D0025" w:rsidRPr="00440280" w:rsidRDefault="009B130F" w:rsidP="009B130F">
      <w:pPr>
        <w:pStyle w:val="RTBodyText"/>
        <w:rPr>
          <w:lang w:val="es-MX"/>
        </w:rPr>
      </w:pPr>
      <w:r w:rsidRPr="009B130F">
        <w:rPr>
          <w:rFonts w:ascii="Amnesty Trade Gothic Light" w:hAnsi="Amnesty Trade Gothic Light"/>
          <w:sz w:val="20"/>
          <w:szCs w:val="20"/>
          <w:lang w:val="es-CL"/>
        </w:rPr>
        <w:t>Paralelamente la Contraloría General de la República aprobó las modificaciones propuestas por el gobierno al Reglamento de la Ley Nº21.030</w:t>
      </w:r>
      <w:r w:rsidR="00440280" w:rsidRPr="00440280">
        <w:rPr>
          <w:vertAlign w:val="superscript"/>
          <w:lang w:val="es-CL"/>
        </w:rPr>
        <w:footnoteReference w:id="29"/>
      </w:r>
      <w:r w:rsidRPr="009B130F">
        <w:rPr>
          <w:rFonts w:ascii="Amnesty Trade Gothic Light" w:hAnsi="Amnesty Trade Gothic Light"/>
          <w:sz w:val="20"/>
          <w:szCs w:val="20"/>
          <w:lang w:val="es-CL"/>
        </w:rPr>
        <w:t xml:space="preserve"> que regula la despenalización de la interrupción voluntaria del embarazo en tres causales, a fin de incorporar el deber de los establecimientos de salud de elaborar un listado de los funcionarios que han manifestado la </w:t>
      </w:r>
      <w:r w:rsidR="005D265D">
        <w:rPr>
          <w:rFonts w:ascii="Amnesty Trade Gothic Light" w:hAnsi="Amnesty Trade Gothic Light"/>
          <w:sz w:val="20"/>
          <w:szCs w:val="20"/>
          <w:lang w:val="es-CL"/>
        </w:rPr>
        <w:t>“</w:t>
      </w:r>
      <w:r w:rsidRPr="009B130F">
        <w:rPr>
          <w:rFonts w:ascii="Amnesty Trade Gothic Light" w:hAnsi="Amnesty Trade Gothic Light"/>
          <w:sz w:val="20"/>
          <w:szCs w:val="20"/>
          <w:lang w:val="es-CL"/>
        </w:rPr>
        <w:t>objeción de conciencia</w:t>
      </w:r>
      <w:r w:rsidR="005D265D">
        <w:rPr>
          <w:rFonts w:ascii="Amnesty Trade Gothic Light" w:hAnsi="Amnesty Trade Gothic Light"/>
          <w:sz w:val="20"/>
          <w:szCs w:val="20"/>
          <w:lang w:val="es-CL"/>
        </w:rPr>
        <w:t>”</w:t>
      </w:r>
      <w:r w:rsidRPr="009B130F">
        <w:rPr>
          <w:rFonts w:ascii="Amnesty Trade Gothic Light" w:hAnsi="Amnesty Trade Gothic Light"/>
          <w:sz w:val="20"/>
          <w:szCs w:val="20"/>
          <w:lang w:val="es-CL"/>
        </w:rPr>
        <w:t xml:space="preserve"> y las causales respecto de las cuales lo han hecho</w:t>
      </w:r>
      <w:r w:rsidR="005D265D">
        <w:rPr>
          <w:rFonts w:ascii="Amnesty Trade Gothic Light" w:hAnsi="Amnesty Trade Gothic Light"/>
          <w:sz w:val="20"/>
          <w:szCs w:val="20"/>
          <w:lang w:val="es-CL"/>
        </w:rPr>
        <w:t>. Esta medida busca</w:t>
      </w:r>
      <w:r w:rsidRPr="009B130F">
        <w:rPr>
          <w:rFonts w:ascii="Amnesty Trade Gothic Light" w:hAnsi="Amnesty Trade Gothic Light"/>
          <w:sz w:val="20"/>
          <w:szCs w:val="20"/>
          <w:lang w:val="es-CL"/>
        </w:rPr>
        <w:t xml:space="preserve"> favorecer la presencia de personal no objetor en la distribución de turno en los establecimientos de salud, así como el deber de informar a las pacientes, al momento de solicitarse una consulta de atención gineco-obstétrica y al inicio de la primera consulta, del hecho de que el médico o profesional de la salud ha manifestado su “objeción de conciencia” y las causales que ha indicado, cuando corresponda, garantizando así el acceso efectivo a la interrupción del embarazo en tres causales.</w:t>
      </w:r>
      <w:r w:rsidR="007E1B92" w:rsidRPr="007E1B92">
        <w:rPr>
          <w:vertAlign w:val="superscript"/>
          <w:lang w:val="es-CL"/>
        </w:rPr>
        <w:footnoteReference w:id="30"/>
      </w:r>
    </w:p>
    <w:p w14:paraId="33356D1E" w14:textId="0999DB25" w:rsidR="008F110B" w:rsidRPr="00862E92" w:rsidRDefault="008F110B" w:rsidP="00862E92">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Amnistía Internacional recomienda a las autoridades chilenas:</w:t>
      </w:r>
    </w:p>
    <w:p w14:paraId="3DCB2751" w14:textId="072651CB" w:rsidR="00683390" w:rsidRPr="00683390" w:rsidRDefault="00683390" w:rsidP="00683390">
      <w:pPr>
        <w:pStyle w:val="RTBodyText"/>
        <w:numPr>
          <w:ilvl w:val="0"/>
          <w:numId w:val="19"/>
        </w:numPr>
        <w:rPr>
          <w:rFonts w:ascii="Amnesty Trade Gothic Light" w:hAnsi="Amnesty Trade Gothic Light"/>
          <w:sz w:val="20"/>
          <w:szCs w:val="20"/>
          <w:lang w:val="es-ES_tradnl"/>
        </w:rPr>
      </w:pPr>
      <w:r w:rsidRPr="00683390">
        <w:rPr>
          <w:rFonts w:ascii="Amnesty Trade Gothic Light" w:hAnsi="Amnesty Trade Gothic Light"/>
          <w:sz w:val="20"/>
          <w:szCs w:val="20"/>
          <w:lang w:val="es-ES_tradnl"/>
        </w:rPr>
        <w:t xml:space="preserve">Adoptar las medidas necesarias para garantizar la implementación de las modificaciones realizadas al Reglamento de la Ley N°21.030. </w:t>
      </w:r>
    </w:p>
    <w:p w14:paraId="41871011" w14:textId="49BDFFD9" w:rsidR="00683390" w:rsidRPr="00683390" w:rsidRDefault="00683390" w:rsidP="00683390">
      <w:pPr>
        <w:pStyle w:val="RTBodyText"/>
        <w:numPr>
          <w:ilvl w:val="0"/>
          <w:numId w:val="19"/>
        </w:numPr>
        <w:rPr>
          <w:rFonts w:ascii="Amnesty Trade Gothic Light" w:hAnsi="Amnesty Trade Gothic Light"/>
          <w:sz w:val="20"/>
          <w:szCs w:val="20"/>
          <w:lang w:val="es-ES_tradnl"/>
        </w:rPr>
      </w:pPr>
      <w:r w:rsidRPr="00683390">
        <w:rPr>
          <w:rFonts w:ascii="Amnesty Trade Gothic Light" w:hAnsi="Amnesty Trade Gothic Light"/>
          <w:sz w:val="20"/>
          <w:szCs w:val="20"/>
          <w:lang w:val="es-ES_tradnl"/>
        </w:rPr>
        <w:t>Adoptar medidas que aseguren el acceso al servicio de salud de aborto legal en todo el país y que ninguna mujer, niña o persona gestante tenga que acudir a abortos inseguros. Esto es, que los servicios de aborto se presten en condiciones de seguridad y con pleno resguardo de los derechos de las mujeres y personas gestantes.</w:t>
      </w:r>
    </w:p>
    <w:p w14:paraId="75802B13" w14:textId="43E8449B" w:rsidR="00683390" w:rsidRPr="00683390" w:rsidRDefault="00683390" w:rsidP="00683390">
      <w:pPr>
        <w:pStyle w:val="RTBodyText"/>
        <w:numPr>
          <w:ilvl w:val="0"/>
          <w:numId w:val="19"/>
        </w:numPr>
        <w:rPr>
          <w:rFonts w:ascii="Amnesty Trade Gothic Light" w:hAnsi="Amnesty Trade Gothic Light"/>
          <w:sz w:val="20"/>
          <w:szCs w:val="20"/>
          <w:lang w:val="es-ES_tradnl"/>
        </w:rPr>
      </w:pPr>
      <w:r w:rsidRPr="00683390">
        <w:rPr>
          <w:rFonts w:ascii="Amnesty Trade Gothic Light" w:hAnsi="Amnesty Trade Gothic Light"/>
          <w:sz w:val="20"/>
          <w:szCs w:val="20"/>
          <w:lang w:val="es-ES_tradnl"/>
        </w:rPr>
        <w:t xml:space="preserve">Utilizar el sistema de urgencias legislativas de modo de dar la mayor celeridad a la tramitación del proyecto de </w:t>
      </w:r>
      <w:r>
        <w:rPr>
          <w:rFonts w:ascii="Amnesty Trade Gothic Light" w:hAnsi="Amnesty Trade Gothic Light"/>
          <w:sz w:val="20"/>
          <w:szCs w:val="20"/>
          <w:lang w:val="es-ES_tradnl"/>
        </w:rPr>
        <w:t>l</w:t>
      </w:r>
      <w:r w:rsidRPr="00683390">
        <w:rPr>
          <w:rFonts w:ascii="Amnesty Trade Gothic Light" w:hAnsi="Amnesty Trade Gothic Light"/>
          <w:sz w:val="20"/>
          <w:szCs w:val="20"/>
          <w:lang w:val="es-ES_tradnl"/>
        </w:rPr>
        <w:t>ey sobre aborto legal.</w:t>
      </w:r>
    </w:p>
    <w:p w14:paraId="3C3385FA" w14:textId="674CD419" w:rsidR="00683390" w:rsidRPr="00683390" w:rsidRDefault="00683390" w:rsidP="00683390">
      <w:pPr>
        <w:pStyle w:val="RTBodyText"/>
        <w:numPr>
          <w:ilvl w:val="0"/>
          <w:numId w:val="19"/>
        </w:numPr>
        <w:rPr>
          <w:rFonts w:ascii="Amnesty Trade Gothic Light" w:hAnsi="Amnesty Trade Gothic Light"/>
          <w:sz w:val="20"/>
          <w:szCs w:val="20"/>
          <w:lang w:val="es-ES_tradnl"/>
        </w:rPr>
      </w:pPr>
      <w:r w:rsidRPr="00683390">
        <w:rPr>
          <w:rFonts w:ascii="Amnesty Trade Gothic Light" w:hAnsi="Amnesty Trade Gothic Light"/>
          <w:sz w:val="20"/>
          <w:szCs w:val="20"/>
          <w:lang w:val="es-ES_tradnl"/>
        </w:rPr>
        <w:t>Incorporar medidas de acceso efectivo a las prestaciones de aborto legal en la formulación del Plan Nacional de Derechos Humanos 2026-2029.</w:t>
      </w:r>
    </w:p>
    <w:p w14:paraId="63683561" w14:textId="4EE26B67" w:rsidR="008F110B" w:rsidRPr="008F110B" w:rsidRDefault="008F110B" w:rsidP="008F110B">
      <w:pPr>
        <w:pStyle w:val="RTBodyText"/>
        <w:numPr>
          <w:ilvl w:val="0"/>
          <w:numId w:val="19"/>
        </w:numPr>
        <w:rPr>
          <w:rFonts w:ascii="Amnesty Trade Gothic Light" w:hAnsi="Amnesty Trade Gothic Light"/>
          <w:sz w:val="20"/>
          <w:szCs w:val="20"/>
          <w:lang w:val="es-ES_tradnl"/>
        </w:rPr>
      </w:pPr>
      <w:r w:rsidRPr="008F110B" w:rsidDel="00F53E51">
        <w:rPr>
          <w:rFonts w:ascii="Amnesty Trade Gothic Light" w:hAnsi="Amnesty Trade Gothic Light"/>
          <w:sz w:val="20"/>
          <w:szCs w:val="20"/>
          <w:lang w:val="es-ES_tradnl"/>
        </w:rPr>
        <w:lastRenderedPageBreak/>
        <w:t>Adoptar las medidas necesarias para recolectar y publicar información estadística completa respecto de las prestaciones de aborto legal y la aplicación de la “objeción de conciencia”, desagregada territorialmente y por establecimientos de salud.</w:t>
      </w:r>
    </w:p>
    <w:p w14:paraId="2FD4A44E" w14:textId="77777777" w:rsidR="008F110B" w:rsidRDefault="008F110B" w:rsidP="008F110B">
      <w:pPr>
        <w:pStyle w:val="BNumberedSubheading"/>
      </w:pPr>
      <w:bookmarkStart w:id="15" w:name="_Toc197525006"/>
      <w:bookmarkStart w:id="16" w:name="_Toc752882546"/>
      <w:r>
        <w:t>RESPETO A LA IDENTIDAD DE GÉNERO EN LOS ESTABLECIMIENTOS EDUCACIONALES</w:t>
      </w:r>
      <w:bookmarkEnd w:id="15"/>
      <w:bookmarkEnd w:id="16"/>
    </w:p>
    <w:p w14:paraId="0BB0048E" w14:textId="54C11E47" w:rsidR="008F110B" w:rsidRPr="008F110B" w:rsidRDefault="008F110B" w:rsidP="2CE978BE">
      <w:pPr>
        <w:pStyle w:val="RTBodyText"/>
        <w:rPr>
          <w:rFonts w:ascii="Amnesty Trade Gothic Light" w:hAnsi="Amnesty Trade Gothic Light"/>
          <w:sz w:val="20"/>
          <w:szCs w:val="20"/>
        </w:rPr>
      </w:pPr>
      <w:r w:rsidRPr="2CE978BE">
        <w:rPr>
          <w:rFonts w:ascii="Amnesty Trade Gothic Light" w:hAnsi="Amnesty Trade Gothic Light"/>
          <w:sz w:val="20"/>
          <w:szCs w:val="20"/>
        </w:rPr>
        <w:t xml:space="preserve">En 2018 fue publicada la Ley </w:t>
      </w:r>
      <w:proofErr w:type="spellStart"/>
      <w:r w:rsidRPr="2CE978BE">
        <w:rPr>
          <w:rFonts w:ascii="Amnesty Trade Gothic Light" w:hAnsi="Amnesty Trade Gothic Light"/>
          <w:sz w:val="20"/>
          <w:szCs w:val="20"/>
        </w:rPr>
        <w:t>N°</w:t>
      </w:r>
      <w:proofErr w:type="spellEnd"/>
      <w:r w:rsidRPr="2CE978BE">
        <w:rPr>
          <w:rFonts w:ascii="Amnesty Trade Gothic Light" w:hAnsi="Amnesty Trade Gothic Light"/>
          <w:sz w:val="20"/>
          <w:szCs w:val="20"/>
        </w:rPr>
        <w:t xml:space="preserve"> 21.120, que reconoce y da protección al derecho a la identidad de género y dispone que las y los adolescentes entre 14 y 18 años podrán solicitar la rectificación de su sexo y nombre registral para que sea coincidente con su identidad de género y que, una vez que alcancen la mayoría de edad, podrán requerir una nueva rectificación. No obstante, en el caso de los niños, niñas y adolescentes ha sido especialmente relevada la necesidad de adoptar medidas para reconocer y respetar su identidad de género en el ámbito educativo, en casos en que no se ha realizado el procedimiento de rectificación registral. </w:t>
      </w:r>
    </w:p>
    <w:p w14:paraId="7AAB623F" w14:textId="66A61148" w:rsidR="008F110B" w:rsidRPr="008F110B" w:rsidRDefault="008F110B" w:rsidP="2CE978BE">
      <w:pPr>
        <w:pStyle w:val="RTBodyText"/>
        <w:rPr>
          <w:rFonts w:ascii="Amnesty Trade Gothic Light" w:hAnsi="Amnesty Trade Gothic Light"/>
          <w:sz w:val="20"/>
          <w:szCs w:val="20"/>
        </w:rPr>
      </w:pPr>
      <w:r w:rsidRPr="2CE978BE">
        <w:rPr>
          <w:rFonts w:ascii="Amnesty Trade Gothic Light" w:hAnsi="Amnesty Trade Gothic Light"/>
          <w:sz w:val="20"/>
          <w:szCs w:val="20"/>
        </w:rPr>
        <w:t xml:space="preserve">Para estos efectos, la Superintendencia de Educación dictó la resolución exenta </w:t>
      </w:r>
      <w:proofErr w:type="spellStart"/>
      <w:r w:rsidRPr="2CE978BE">
        <w:rPr>
          <w:rFonts w:ascii="Amnesty Trade Gothic Light" w:hAnsi="Amnesty Trade Gothic Light"/>
          <w:sz w:val="20"/>
          <w:szCs w:val="20"/>
        </w:rPr>
        <w:t>N°</w:t>
      </w:r>
      <w:proofErr w:type="spellEnd"/>
      <w:r w:rsidRPr="2CE978BE">
        <w:rPr>
          <w:rFonts w:ascii="Amnesty Trade Gothic Light" w:hAnsi="Amnesty Trade Gothic Light"/>
          <w:sz w:val="20"/>
          <w:szCs w:val="20"/>
        </w:rPr>
        <w:t xml:space="preserve"> 812, de 21 de diciembre de 2021, que establece una nueva circular que garantiza el derecho a la identidad de las niñas, niños y adolescentes en el ámbito educacional. Este documento reconoce la autonomía progresiva de los niños, niñas y adolescentes y establece las medidas que deberán adoptar los establecimientos educacionales para el debido respeto de las y los estudiantes trans. Así, la circular dispone que el padre, madre, tutor o tutora, o apoderado o apoderada de un niño, niña o adolescente, así como ellos mismos en caso de ser mayores de 14 años, podrán solicitar formalmente al establecimiento educacional el reconocimiento de su identidad de género, medidas de apoyo y las adecuaciones que sean pertinentes. Las autoridades de establecimiento deberán entregar apoyo </w:t>
      </w:r>
      <w:proofErr w:type="gramStart"/>
      <w:r w:rsidRPr="2CE978BE">
        <w:rPr>
          <w:rFonts w:ascii="Amnesty Trade Gothic Light" w:hAnsi="Amnesty Trade Gothic Light"/>
          <w:sz w:val="20"/>
          <w:szCs w:val="20"/>
        </w:rPr>
        <w:t xml:space="preserve">a </w:t>
      </w:r>
      <w:proofErr w:type="spellStart"/>
      <w:r w:rsidRPr="2CE978BE">
        <w:rPr>
          <w:rFonts w:ascii="Amnesty Trade Gothic Light" w:hAnsi="Amnesty Trade Gothic Light"/>
          <w:sz w:val="20"/>
          <w:szCs w:val="20"/>
        </w:rPr>
        <w:t>el</w:t>
      </w:r>
      <w:proofErr w:type="spellEnd"/>
      <w:r w:rsidRPr="2CE978BE">
        <w:rPr>
          <w:rFonts w:ascii="Amnesty Trade Gothic Light" w:hAnsi="Amnesty Trade Gothic Light"/>
          <w:sz w:val="20"/>
          <w:szCs w:val="20"/>
        </w:rPr>
        <w:t xml:space="preserve"> o la estudiante</w:t>
      </w:r>
      <w:proofErr w:type="gramEnd"/>
      <w:r w:rsidRPr="2CE978BE">
        <w:rPr>
          <w:rFonts w:ascii="Amnesty Trade Gothic Light" w:hAnsi="Amnesty Trade Gothic Light"/>
          <w:sz w:val="20"/>
          <w:szCs w:val="20"/>
        </w:rPr>
        <w:t xml:space="preserve"> y adoptar las medidas necesarias para que se utilice su nombre social dentro del establecimiento, sin perjuicio de que se mantendrá el nombre registral en los documentos oficiales, pudiendo agregarse el nombre social en el libro de clases. Asimismo, la circular establece que los niños, niñas y adolescentes trans tendrán el derecho de utilizar la ropa y accesorios correspondientes a su identidad de género, y que el establecimiento, en conjunto con las familias, deberán acordar las adecuaciones razonables para el uso de servicios higiénicos, considerando baños inclusivos y otras alternativas. Esta circular constituye un paso importante en la institucionalización del respeto a las identidades de género de los niños, niñas y adolescentes en el ámbito educativo.</w:t>
      </w:r>
    </w:p>
    <w:p w14:paraId="1BE5009A" w14:textId="0BB0E45D" w:rsidR="008F110B" w:rsidRPr="008F110B" w:rsidRDefault="008F110B" w:rsidP="2CE978BE">
      <w:pPr>
        <w:pStyle w:val="RTBodyText"/>
        <w:rPr>
          <w:rFonts w:ascii="Amnesty Trade Gothic Light" w:hAnsi="Amnesty Trade Gothic Light"/>
          <w:sz w:val="20"/>
          <w:szCs w:val="20"/>
        </w:rPr>
      </w:pPr>
      <w:r w:rsidRPr="2CE978BE">
        <w:rPr>
          <w:rFonts w:ascii="Amnesty Trade Gothic Light" w:hAnsi="Amnesty Trade Gothic Light"/>
          <w:sz w:val="20"/>
          <w:szCs w:val="20"/>
        </w:rPr>
        <w:t>Por otra parte, en junio de 2024 el Ejecutivo ingresó al Congreso un proyecto de Ley sobre convivencia, buen trato y bienestar de las comunidades educativas, con el objetivo de prevenir y erradicar el acoso escolar, la discriminación y todo tipo de violencia en los establecimientos educacionales,</w:t>
      </w:r>
      <w:r w:rsidRPr="2CE978BE">
        <w:rPr>
          <w:rStyle w:val="FootnoteReference"/>
          <w:rFonts w:ascii="Amnesty Trade Gothic Light" w:hAnsi="Amnesty Trade Gothic Light"/>
          <w:sz w:val="20"/>
          <w:szCs w:val="20"/>
        </w:rPr>
        <w:footnoteReference w:id="31"/>
      </w:r>
      <w:r w:rsidRPr="2CE978BE">
        <w:rPr>
          <w:rFonts w:ascii="Amnesty Trade Gothic Light" w:hAnsi="Amnesty Trade Gothic Light"/>
          <w:sz w:val="20"/>
          <w:szCs w:val="20"/>
        </w:rPr>
        <w:t xml:space="preserve"> el cual, a enero de 2025, se encontraba en segundo trámite constitucional en el Senado. Si bien este proyecto no se refiere específicamente a la situación de los y las estudiantes trans o pertenecientes a las diversidades sexuales, debe entenderse que abarca las situaciones violencia, discriminación y acoso escolar basadas en la identidad y expresión de género, así como en la orientación sexual.</w:t>
      </w:r>
    </w:p>
    <w:p w14:paraId="3B54D535" w14:textId="19B9CE59" w:rsidR="008F110B" w:rsidRPr="008F110B" w:rsidRDefault="37B7C9F8" w:rsidP="2CE978BE">
      <w:pPr>
        <w:pStyle w:val="RTBodyText"/>
        <w:rPr>
          <w:rFonts w:ascii="Amnesty Trade Gothic Light" w:hAnsi="Amnesty Trade Gothic Light"/>
          <w:sz w:val="20"/>
          <w:szCs w:val="20"/>
        </w:rPr>
      </w:pPr>
      <w:r w:rsidRPr="2CE978BE">
        <w:rPr>
          <w:rFonts w:ascii="Amnesty Trade Gothic Light" w:hAnsi="Amnesty Trade Gothic Light"/>
          <w:sz w:val="20"/>
          <w:szCs w:val="20"/>
        </w:rPr>
        <w:t>Sin perjuicio de este tipo de medidas, existen antecedentes que dan cuenta de que persisten concepciones y prácticas discriminatorias en los establecimientos educacionales, las cuales se encuentran arraigadas fuertemente en la cultura y que requieren, por tanto, de otro tipo de medidas para ser eliminadas.</w:t>
      </w:r>
      <w:r w:rsidR="008F110B" w:rsidRPr="2CE978BE">
        <w:rPr>
          <w:rStyle w:val="FootnoteReference"/>
          <w:rFonts w:ascii="Amnesty Trade Gothic Light" w:hAnsi="Amnesty Trade Gothic Light"/>
          <w:sz w:val="20"/>
          <w:szCs w:val="20"/>
        </w:rPr>
        <w:footnoteReference w:id="32"/>
      </w:r>
    </w:p>
    <w:p w14:paraId="4084341C" w14:textId="13A570BA" w:rsidR="008F110B" w:rsidRPr="008F110B" w:rsidRDefault="008F110B" w:rsidP="008F110B">
      <w:pPr>
        <w:pStyle w:val="RTBodyText"/>
        <w:rPr>
          <w:rFonts w:ascii="Amnesty Trade Gothic Light" w:hAnsi="Amnesty Trade Gothic Light"/>
          <w:sz w:val="20"/>
          <w:szCs w:val="20"/>
          <w:lang w:val="es-ES_tradnl"/>
        </w:rPr>
      </w:pPr>
      <w:r w:rsidRPr="008F110B">
        <w:rPr>
          <w:rFonts w:ascii="Amnesty Trade Gothic Light" w:hAnsi="Amnesty Trade Gothic Light"/>
          <w:sz w:val="20"/>
          <w:szCs w:val="20"/>
          <w:lang w:val="es-ES_tradnl"/>
        </w:rPr>
        <w:t>Asimismo, el Informe Anual 2023 del Instituto Nacional de Derechos Humanos da cuenta de que pese a los avances normativos, “la discriminación hacia los estudiantes LGBTIQ+ se mantiene, particularmente en los casos de niñas, niños y adolescentes trans, que UNESCO (2020) reporta como la persistencia en el tiempo de fenómenos de discriminación y violencia simbólica; mientras la violencia física continúa, así como las bromas y comentarios sexistas, homofóbicos y transfóbicos, todos los cuales atentan contra la satisfacción de su derecho al reconocimiento y la justicia educativa”</w:t>
      </w:r>
      <w:r w:rsidRPr="008F110B">
        <w:rPr>
          <w:rStyle w:val="FootnoteReference"/>
          <w:rFonts w:ascii="Amnesty Trade Gothic Light" w:hAnsi="Amnesty Trade Gothic Light"/>
          <w:sz w:val="20"/>
          <w:szCs w:val="20"/>
          <w:lang w:val="es-ES_tradnl"/>
        </w:rPr>
        <w:footnoteReference w:id="33"/>
      </w:r>
      <w:r w:rsidRPr="008F110B">
        <w:rPr>
          <w:rFonts w:ascii="Amnesty Trade Gothic Light" w:hAnsi="Amnesty Trade Gothic Light"/>
          <w:sz w:val="20"/>
          <w:szCs w:val="20"/>
          <w:lang w:val="es-ES_tradnl"/>
        </w:rPr>
        <w:t>.</w:t>
      </w:r>
    </w:p>
    <w:p w14:paraId="2ACFF88E" w14:textId="127D46FD" w:rsidR="008F110B" w:rsidRPr="008F110B" w:rsidRDefault="37B7C9F8" w:rsidP="2CE978BE">
      <w:pPr>
        <w:pStyle w:val="RTBodyText"/>
        <w:rPr>
          <w:rFonts w:ascii="Amnesty Trade Gothic Light" w:hAnsi="Amnesty Trade Gothic Light"/>
          <w:sz w:val="20"/>
          <w:szCs w:val="20"/>
        </w:rPr>
      </w:pPr>
      <w:r w:rsidRPr="2CE978BE">
        <w:rPr>
          <w:rFonts w:ascii="Amnesty Trade Gothic Light" w:hAnsi="Amnesty Trade Gothic Light"/>
          <w:sz w:val="20"/>
          <w:szCs w:val="20"/>
        </w:rPr>
        <w:t xml:space="preserve">El Comité de Derechos Económicos, Sociales y Culturales ha sostenido que la obligación de garantizar los derechos sin discriminación alguna por motivos de “cualquier otra condición social”, consagrada en el artículo 2.2 del Pacto, abarca a la discriminación por orientación sexual e identidad de género y, en </w:t>
      </w:r>
      <w:r w:rsidRPr="2CE978BE">
        <w:rPr>
          <w:rFonts w:ascii="Amnesty Trade Gothic Light" w:hAnsi="Amnesty Trade Gothic Light"/>
          <w:sz w:val="20"/>
          <w:szCs w:val="20"/>
        </w:rPr>
        <w:lastRenderedPageBreak/>
        <w:t xml:space="preserve">particular, que “[l]a identidad de género también se reconoce como motivo prohibido de discriminación. Por ejemplo, </w:t>
      </w:r>
      <w:proofErr w:type="gramStart"/>
      <w:r w:rsidRPr="2CE978BE">
        <w:rPr>
          <w:rFonts w:ascii="Amnesty Trade Gothic Light" w:hAnsi="Amnesty Trade Gothic Light"/>
          <w:sz w:val="20"/>
          <w:szCs w:val="20"/>
        </w:rPr>
        <w:t>los transgénero</w:t>
      </w:r>
      <w:proofErr w:type="gramEnd"/>
      <w:r w:rsidRPr="2CE978BE">
        <w:rPr>
          <w:rFonts w:ascii="Amnesty Trade Gothic Light" w:hAnsi="Amnesty Trade Gothic Light"/>
          <w:sz w:val="20"/>
          <w:szCs w:val="20"/>
        </w:rPr>
        <w:t xml:space="preserve">, los transexuales o los </w:t>
      </w:r>
      <w:proofErr w:type="spellStart"/>
      <w:r w:rsidRPr="2CE978BE">
        <w:rPr>
          <w:rFonts w:ascii="Amnesty Trade Gothic Light" w:hAnsi="Amnesty Trade Gothic Light"/>
          <w:sz w:val="20"/>
          <w:szCs w:val="20"/>
        </w:rPr>
        <w:t>intersexo</w:t>
      </w:r>
      <w:proofErr w:type="spellEnd"/>
      <w:r w:rsidRPr="2CE978BE">
        <w:rPr>
          <w:rFonts w:ascii="Amnesty Trade Gothic Light" w:hAnsi="Amnesty Trade Gothic Light"/>
          <w:sz w:val="20"/>
          <w:szCs w:val="20"/>
        </w:rPr>
        <w:t xml:space="preserve"> son víctimas frecuentes de graves violaciones de los derechos humanos, como el acoso en las escuelas o en el lugar de trabajo</w:t>
      </w:r>
      <w:r w:rsidR="0D3579E5" w:rsidRPr="2CE978BE">
        <w:rPr>
          <w:rFonts w:ascii="Amnesty Trade Gothic Light" w:hAnsi="Amnesty Trade Gothic Light"/>
          <w:sz w:val="20"/>
          <w:szCs w:val="20"/>
        </w:rPr>
        <w:t>.</w:t>
      </w:r>
      <w:r w:rsidRPr="2CE978BE">
        <w:rPr>
          <w:rFonts w:ascii="Amnesty Trade Gothic Light" w:hAnsi="Amnesty Trade Gothic Light"/>
          <w:sz w:val="20"/>
          <w:szCs w:val="20"/>
        </w:rPr>
        <w:t>”</w:t>
      </w:r>
      <w:r w:rsidR="008F110B" w:rsidRPr="2CE978BE">
        <w:rPr>
          <w:rStyle w:val="FootnoteReference"/>
          <w:rFonts w:ascii="Amnesty Trade Gothic Light" w:hAnsi="Amnesty Trade Gothic Light"/>
          <w:sz w:val="20"/>
          <w:szCs w:val="20"/>
        </w:rPr>
        <w:footnoteReference w:id="34"/>
      </w:r>
      <w:r w:rsidRPr="2CE978BE">
        <w:rPr>
          <w:rFonts w:ascii="Amnesty Trade Gothic Light" w:hAnsi="Amnesty Trade Gothic Light"/>
          <w:sz w:val="20"/>
          <w:szCs w:val="20"/>
        </w:rPr>
        <w:t xml:space="preserve"> </w:t>
      </w:r>
    </w:p>
    <w:p w14:paraId="077F2606" w14:textId="77777777" w:rsidR="008F110B" w:rsidRPr="008F110B" w:rsidRDefault="008F110B" w:rsidP="008F110B">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Amnistía Internacional recomienda a las autoridades chilenas:</w:t>
      </w:r>
    </w:p>
    <w:p w14:paraId="33E25DC4" w14:textId="77777777" w:rsidR="008F110B" w:rsidRPr="008F110B" w:rsidRDefault="008F110B" w:rsidP="008F110B">
      <w:pPr>
        <w:pStyle w:val="RTBodyText"/>
        <w:numPr>
          <w:ilvl w:val="0"/>
          <w:numId w:val="21"/>
        </w:numPr>
        <w:rPr>
          <w:rFonts w:ascii="Amnesty Trade Gothic Light" w:hAnsi="Amnesty Trade Gothic Light"/>
          <w:sz w:val="20"/>
          <w:szCs w:val="20"/>
          <w:lang w:val="es-ES_tradnl"/>
        </w:rPr>
      </w:pPr>
      <w:r w:rsidRPr="008F110B">
        <w:rPr>
          <w:rFonts w:ascii="Amnesty Trade Gothic Light" w:hAnsi="Amnesty Trade Gothic Light"/>
          <w:sz w:val="20"/>
          <w:szCs w:val="20"/>
          <w:lang w:val="es-ES_tradnl"/>
        </w:rPr>
        <w:t>Adoptar todas las medidas necesarias para garantizar el pleno ejercicio del derecho a la educación para los y las estudiantes trans, especialmente medidas dirigidas a modificar las condiciones sociales y culturales que sostienen y reproducen la discriminación y violencia en contra de las personas trans.</w:t>
      </w:r>
    </w:p>
    <w:p w14:paraId="0E33FAC7" w14:textId="6B1924B6" w:rsidR="008F110B" w:rsidRPr="008F110B" w:rsidRDefault="37B7C9F8" w:rsidP="008F110B">
      <w:pPr>
        <w:pStyle w:val="RTBodyText"/>
        <w:numPr>
          <w:ilvl w:val="0"/>
          <w:numId w:val="21"/>
        </w:numPr>
        <w:rPr>
          <w:rFonts w:ascii="Amnesty Trade Gothic Light" w:hAnsi="Amnesty Trade Gothic Light"/>
          <w:sz w:val="20"/>
          <w:szCs w:val="20"/>
          <w:lang w:val="es-MX" w:eastAsia="en-GB"/>
        </w:rPr>
      </w:pPr>
      <w:r w:rsidRPr="25A43EB7">
        <w:rPr>
          <w:rFonts w:ascii="Amnesty Trade Gothic Light" w:hAnsi="Amnesty Trade Gothic Light"/>
          <w:sz w:val="20"/>
          <w:szCs w:val="20"/>
        </w:rPr>
        <w:t>Recolectar y publicar información acerca de la situación de estudiantes trans en el ámbito educativo, así como de las barreras que enfrentan para el pleno ejercicio de sus derechos en este ámbito.</w:t>
      </w:r>
    </w:p>
    <w:p w14:paraId="7B285E36" w14:textId="5AAECBA9" w:rsidR="008F110B" w:rsidRDefault="008F110B" w:rsidP="008F110B">
      <w:pPr>
        <w:pStyle w:val="BNumberedHeading"/>
      </w:pPr>
      <w:bookmarkStart w:id="17" w:name="_Toc197525007"/>
      <w:bookmarkStart w:id="18" w:name="_Toc752953797"/>
      <w:r>
        <w:t>MEDIDAS PARA ENFRENTAR EL CAMBIO CLIMÁTICO</w:t>
      </w:r>
      <w:bookmarkEnd w:id="17"/>
      <w:r>
        <w:t xml:space="preserve"> (</w:t>
      </w:r>
      <w:r w:rsidR="00282ED3">
        <w:t>ARTÍCULO 2.1)</w:t>
      </w:r>
      <w:bookmarkEnd w:id="18"/>
    </w:p>
    <w:p w14:paraId="56B3271D" w14:textId="1EC5023A" w:rsidR="008F110B" w:rsidRPr="008F110B" w:rsidRDefault="008F110B" w:rsidP="008F110B">
      <w:pPr>
        <w:pStyle w:val="RTBodyText"/>
        <w:rPr>
          <w:rFonts w:ascii="Amnesty Trade Gothic Light" w:hAnsi="Amnesty Trade Gothic Light"/>
          <w:sz w:val="20"/>
          <w:szCs w:val="20"/>
        </w:rPr>
      </w:pPr>
      <w:r w:rsidRPr="008F110B">
        <w:rPr>
          <w:rFonts w:ascii="Amnesty Trade Gothic Light" w:hAnsi="Amnesty Trade Gothic Light"/>
          <w:sz w:val="20"/>
          <w:szCs w:val="20"/>
        </w:rPr>
        <w:t xml:space="preserve">El 13 de junio de 2022 fue publicada la Ley </w:t>
      </w:r>
      <w:proofErr w:type="spellStart"/>
      <w:r w:rsidRPr="008F110B">
        <w:rPr>
          <w:rFonts w:ascii="Amnesty Trade Gothic Light" w:hAnsi="Amnesty Trade Gothic Light"/>
          <w:sz w:val="20"/>
          <w:szCs w:val="20"/>
        </w:rPr>
        <w:t>N°</w:t>
      </w:r>
      <w:proofErr w:type="spellEnd"/>
      <w:r w:rsidRPr="008F110B">
        <w:rPr>
          <w:rFonts w:ascii="Amnesty Trade Gothic Light" w:hAnsi="Amnesty Trade Gothic Light"/>
          <w:sz w:val="20"/>
          <w:szCs w:val="20"/>
        </w:rPr>
        <w:t xml:space="preserve"> 21.455, Ley Marco de Cambio Climático, que tiene por objeto “hacer frente a los desafíos que presenta el cambio climático, transitar hacia un desarrollo bajo en emisiones de gases de efecto invernadero y otros forzantes climáticos, hasta alcanzar y mantener la neutralidad de emisiones de gases de efecto invernadero al año 2050, adaptarse al cambio climático, reduciendo la vulnerabilidad y aumentando la resiliencia a los efectos adversos del cambio climático, y dar cumplimiento a los compromisos internacionales asumidos por el Estado de Chile en la materia” (artículo 1).</w:t>
      </w:r>
    </w:p>
    <w:p w14:paraId="31F07A26" w14:textId="70145D21" w:rsidR="008F110B" w:rsidRPr="008F110B" w:rsidRDefault="008F110B" w:rsidP="008F110B">
      <w:pPr>
        <w:pStyle w:val="RTBodyText"/>
        <w:rPr>
          <w:rFonts w:ascii="Amnesty Trade Gothic Light" w:hAnsi="Amnesty Trade Gothic Light"/>
          <w:sz w:val="20"/>
          <w:szCs w:val="20"/>
        </w:rPr>
      </w:pPr>
      <w:r w:rsidRPr="008F110B">
        <w:rPr>
          <w:rFonts w:ascii="Amnesty Trade Gothic Light" w:hAnsi="Amnesty Trade Gothic Light"/>
          <w:sz w:val="20"/>
          <w:szCs w:val="20"/>
        </w:rPr>
        <w:t>Como sostuvo Amnistía Internacional durante la formulación del anteproyecto de Ley de cambio climático, “esta materia es, sin duda alguna, un asunto de derechos humanos. Por una parte, los efectos del cambio climático pueden generar graves vulneraciones a los derechos humanos de las personas, y los gobiernos podrían ser responsables de dichas vulneraciones debido a su inacción para adoptar las medidas necesarias para evitarlo. Por otra parte, es fundamental que se produzca una transición justa hacia la meta de neutralidad de emisiones, y que las medidas de gestión del cambio climático aseguren en sí mismas el respeto, protección y cumplimiento de los derechos humanos.”</w:t>
      </w:r>
      <w:r w:rsidRPr="008F110B">
        <w:rPr>
          <w:rStyle w:val="FootnoteReference"/>
          <w:rFonts w:ascii="Amnesty Trade Gothic Light" w:hAnsi="Amnesty Trade Gothic Light"/>
          <w:sz w:val="20"/>
          <w:szCs w:val="20"/>
        </w:rPr>
        <w:footnoteReference w:id="35"/>
      </w:r>
      <w:r w:rsidRPr="008F110B">
        <w:rPr>
          <w:rFonts w:ascii="Amnesty Trade Gothic Light" w:hAnsi="Amnesty Trade Gothic Light"/>
          <w:sz w:val="20"/>
          <w:szCs w:val="20"/>
        </w:rPr>
        <w:t xml:space="preserve"> En consecuencia, la implementación de la Ley debe incorporar la perspectiva de derechos humanos, considerando especialmente el impacto del cambio climático en las personas más vulnerables. </w:t>
      </w:r>
    </w:p>
    <w:p w14:paraId="718ACBE2" w14:textId="4036B11F" w:rsidR="008F110B" w:rsidRPr="008F110B" w:rsidRDefault="008F110B" w:rsidP="008F110B">
      <w:pPr>
        <w:pStyle w:val="RTBodyText"/>
        <w:rPr>
          <w:rFonts w:ascii="Amnesty Trade Gothic Light" w:hAnsi="Amnesty Trade Gothic Light"/>
          <w:sz w:val="20"/>
          <w:szCs w:val="20"/>
        </w:rPr>
      </w:pPr>
      <w:r w:rsidRPr="008F110B">
        <w:rPr>
          <w:rFonts w:ascii="Amnesty Trade Gothic Light" w:hAnsi="Amnesty Trade Gothic Light"/>
          <w:sz w:val="20"/>
          <w:szCs w:val="20"/>
        </w:rPr>
        <w:t>La adopción de esta legislación constituye un avance importante para que Chile pueda enfrentar los impactos del cambio climático a largo plazo y dar cumplimiento a sus compromisos internacionales en esta materia, especialmente, el Acuerdo de París de 2015, que el Estado ratificó en 2017. Sin perjuicio de ello, cabe observar que el proceso de implementación de la Ley ha presentado retrasos, pues, según información del Observatorio Ley de Cambio Climático, al 31 de diciembre de 2024 no se habían dictado todos los reglamentos y modificaciones mandatadas directamente por la Ley.</w:t>
      </w:r>
      <w:r w:rsidRPr="008F110B">
        <w:rPr>
          <w:rStyle w:val="FootnoteReference"/>
          <w:rFonts w:ascii="Amnesty Trade Gothic Light" w:hAnsi="Amnesty Trade Gothic Light"/>
          <w:sz w:val="20"/>
          <w:szCs w:val="20"/>
        </w:rPr>
        <w:footnoteReference w:id="36"/>
      </w:r>
      <w:r w:rsidRPr="008F110B">
        <w:rPr>
          <w:rFonts w:ascii="Amnesty Trade Gothic Light" w:hAnsi="Amnesty Trade Gothic Light"/>
          <w:sz w:val="20"/>
          <w:szCs w:val="20"/>
        </w:rPr>
        <w:t xml:space="preserve"> </w:t>
      </w:r>
    </w:p>
    <w:p w14:paraId="74BC9343" w14:textId="3EA23AED" w:rsidR="008F110B" w:rsidRPr="008F110B" w:rsidRDefault="37B7C9F8" w:rsidP="008F110B">
      <w:pPr>
        <w:pStyle w:val="RTBodyText"/>
        <w:rPr>
          <w:rFonts w:ascii="Amnesty Trade Gothic Light" w:hAnsi="Amnesty Trade Gothic Light"/>
          <w:sz w:val="20"/>
          <w:szCs w:val="20"/>
        </w:rPr>
      </w:pPr>
      <w:r w:rsidRPr="008F110B">
        <w:rPr>
          <w:rFonts w:ascii="Amnesty Trade Gothic Light" w:hAnsi="Amnesty Trade Gothic Light"/>
          <w:sz w:val="20"/>
          <w:szCs w:val="20"/>
        </w:rPr>
        <w:t>La implementación de la Ley Marco de Cambio Climático es un proceso complejo que involucra la formulación de diversos instrumentos, entre ellos, los planes sectoriales y nacionales de adaptación y mitigación al cambio climático. Durante su elaboración se desarrollaron varios procesos de consulta pública, que han permitido a diversos especialistas evaluar y contribuir al mejoramiento de los instrumentos. Estos planes, según se ha sostenido desde el Centro de Ciencia del Clima y la Resiliencia CR2, “son fundamentales para reducir la vulnerabilidad del país, construir resiliencia, y cumplir con los compromisos internacionales para disminuir los gases de efecto invernadero y otros forzantes climáticos</w:t>
      </w:r>
      <w:r w:rsidR="54F25D8E" w:rsidRPr="008F110B">
        <w:rPr>
          <w:rFonts w:ascii="Amnesty Trade Gothic Light" w:hAnsi="Amnesty Trade Gothic Light"/>
          <w:sz w:val="20"/>
          <w:szCs w:val="20"/>
        </w:rPr>
        <w:t>.</w:t>
      </w:r>
      <w:r w:rsidRPr="008F110B">
        <w:rPr>
          <w:rFonts w:ascii="Amnesty Trade Gothic Light" w:hAnsi="Amnesty Trade Gothic Light"/>
          <w:sz w:val="20"/>
          <w:szCs w:val="20"/>
        </w:rPr>
        <w:t>”</w:t>
      </w:r>
      <w:r w:rsidR="008F110B" w:rsidRPr="008F110B">
        <w:rPr>
          <w:rStyle w:val="FootnoteReference"/>
          <w:rFonts w:ascii="Amnesty Trade Gothic Light" w:hAnsi="Amnesty Trade Gothic Light"/>
          <w:sz w:val="20"/>
          <w:szCs w:val="20"/>
        </w:rPr>
        <w:footnoteReference w:id="37"/>
      </w:r>
      <w:r w:rsidRPr="008F110B">
        <w:rPr>
          <w:rFonts w:ascii="Amnesty Trade Gothic Light" w:hAnsi="Amnesty Trade Gothic Light"/>
          <w:sz w:val="20"/>
          <w:szCs w:val="20"/>
        </w:rPr>
        <w:t xml:space="preserve"> La misma institución ha observado algunos problemas en los instrumentos analizados, tales como la </w:t>
      </w:r>
      <w:r w:rsidRPr="008F110B">
        <w:rPr>
          <w:rFonts w:ascii="Amnesty Trade Gothic Light" w:hAnsi="Amnesty Trade Gothic Light"/>
          <w:sz w:val="20"/>
          <w:szCs w:val="20"/>
        </w:rPr>
        <w:lastRenderedPageBreak/>
        <w:t>ausencia de indicadores para medir el logro de las metas propuestas y la a falta de coherencia y coordinación entre los planes sectoriales, entre otros.</w:t>
      </w:r>
      <w:r w:rsidR="008F110B" w:rsidRPr="008F110B">
        <w:rPr>
          <w:rFonts w:ascii="Amnesty Trade Gothic Light" w:hAnsi="Amnesty Trade Gothic Light"/>
          <w:sz w:val="20"/>
          <w:szCs w:val="20"/>
          <w:vertAlign w:val="superscript"/>
        </w:rPr>
        <w:footnoteReference w:id="38"/>
      </w:r>
    </w:p>
    <w:p w14:paraId="79642F10" w14:textId="570BA05C" w:rsidR="00D2666E" w:rsidRPr="008F110B" w:rsidRDefault="008F110B" w:rsidP="008F110B">
      <w:pPr>
        <w:pStyle w:val="RTBodyText"/>
        <w:rPr>
          <w:rFonts w:ascii="Amnesty Trade Gothic Light" w:hAnsi="Amnesty Trade Gothic Light"/>
          <w:sz w:val="20"/>
          <w:szCs w:val="20"/>
          <w:lang w:val="es-MX" w:eastAsia="en-GB"/>
        </w:rPr>
      </w:pPr>
      <w:r w:rsidRPr="008F110B">
        <w:rPr>
          <w:rFonts w:ascii="Amnesty Trade Gothic Light" w:hAnsi="Amnesty Trade Gothic Light"/>
          <w:sz w:val="20"/>
          <w:szCs w:val="20"/>
          <w:lang w:val="es-MX" w:eastAsia="en-GB"/>
        </w:rPr>
        <w:t>Amnistía Internacional recomienda a las autoridades chilenas:</w:t>
      </w:r>
    </w:p>
    <w:p w14:paraId="686817B6" w14:textId="77777777" w:rsidR="008F110B" w:rsidRPr="008F110B" w:rsidRDefault="008F110B" w:rsidP="001236C0">
      <w:pPr>
        <w:pStyle w:val="RTBodyText"/>
        <w:numPr>
          <w:ilvl w:val="0"/>
          <w:numId w:val="23"/>
        </w:numPr>
        <w:rPr>
          <w:rFonts w:ascii="Amnesty Trade Gothic Light" w:hAnsi="Amnesty Trade Gothic Light"/>
          <w:sz w:val="20"/>
          <w:szCs w:val="20"/>
        </w:rPr>
      </w:pPr>
      <w:r w:rsidRPr="008F110B">
        <w:rPr>
          <w:rFonts w:ascii="Amnesty Trade Gothic Light" w:hAnsi="Amnesty Trade Gothic Light"/>
          <w:sz w:val="20"/>
          <w:szCs w:val="20"/>
        </w:rPr>
        <w:t>Continuar y fortalecer los procesos de consulta pública para la formulación de los distintos instrumentos necesarios para la implementación de la Ley marco de cambio climático.</w:t>
      </w:r>
    </w:p>
    <w:p w14:paraId="7C628CB6" w14:textId="77777777" w:rsidR="008F110B" w:rsidRPr="008F110B" w:rsidRDefault="008F110B" w:rsidP="008F110B">
      <w:pPr>
        <w:pStyle w:val="RTBodyText"/>
        <w:numPr>
          <w:ilvl w:val="0"/>
          <w:numId w:val="22"/>
        </w:numPr>
        <w:rPr>
          <w:rFonts w:ascii="Amnesty Trade Gothic Light" w:hAnsi="Amnesty Trade Gothic Light"/>
          <w:sz w:val="20"/>
          <w:szCs w:val="20"/>
        </w:rPr>
      </w:pPr>
      <w:r w:rsidRPr="008F110B">
        <w:rPr>
          <w:rFonts w:ascii="Amnesty Trade Gothic Light" w:hAnsi="Amnesty Trade Gothic Light"/>
          <w:sz w:val="20"/>
          <w:szCs w:val="20"/>
        </w:rPr>
        <w:t>Incorporar la perspectiva de derechos humanos en el proceso de implementación de la Ley.</w:t>
      </w:r>
    </w:p>
    <w:p w14:paraId="634B695B" w14:textId="16778513" w:rsidR="008F110B" w:rsidRPr="008F110B" w:rsidRDefault="008F110B" w:rsidP="008F110B">
      <w:pPr>
        <w:pStyle w:val="BBodyText"/>
        <w:rPr>
          <w:lang w:eastAsia="en-GB"/>
        </w:rPr>
      </w:pPr>
      <w:r w:rsidRPr="008F110B">
        <w:rPr>
          <w:sz w:val="20"/>
          <w:szCs w:val="20"/>
        </w:rPr>
        <w:t>Considerar la inclusión en el Plan Nacional de Derechos Humanos 2026-2029 de medidas relacionadas con la mitigación de los impactos del cambio climático en el ejercicio efectivo de los derechos garantizados en el Pacto Internacional de Derechos Económicos, Sociales y Culturales.</w:t>
      </w:r>
    </w:p>
    <w:p w14:paraId="2CEF67C2" w14:textId="77777777" w:rsidR="00AC7EE9" w:rsidRDefault="00AC7EE9" w:rsidP="00B14895">
      <w:pPr>
        <w:pStyle w:val="BNumberedHeading"/>
        <w:numPr>
          <w:ilvl w:val="0"/>
          <w:numId w:val="0"/>
        </w:numPr>
        <w:tabs>
          <w:tab w:val="clear" w:pos="567"/>
          <w:tab w:val="left" w:pos="284"/>
        </w:tabs>
        <w:rPr>
          <w:bCs/>
          <w:lang w:val="fi-FI"/>
        </w:rPr>
        <w:sectPr w:rsidR="00AC7EE9">
          <w:footerReference w:type="first" r:id="rId11"/>
          <w:pgSz w:w="11906" w:h="16838" w:code="9"/>
          <w:pgMar w:top="1474" w:right="1418" w:bottom="1418" w:left="1418" w:header="709" w:footer="709" w:gutter="0"/>
          <w:cols w:space="708"/>
          <w:titlePg/>
          <w:docGrid w:linePitch="360"/>
        </w:sectPr>
      </w:pPr>
    </w:p>
    <w:p w14:paraId="776C58A9" w14:textId="3FA1CC29" w:rsidR="00EE3C56" w:rsidRPr="00065FFC" w:rsidRDefault="00BC22A7" w:rsidP="00AC7EE9">
      <w:pPr>
        <w:pStyle w:val="BBodyText"/>
      </w:pPr>
      <w:r>
        <w:rPr>
          <w:noProof/>
        </w:rPr>
        <w:lastRenderedPageBreak/>
        <mc:AlternateContent>
          <mc:Choice Requires="wps">
            <w:drawing>
              <wp:anchor distT="0" distB="0" distL="114300" distR="114300" simplePos="0" relativeHeight="251658243" behindDoc="0" locked="0" layoutInCell="1" allowOverlap="1" wp14:anchorId="32D5B658" wp14:editId="1B276013">
                <wp:simplePos x="0" y="0"/>
                <wp:positionH relativeFrom="column">
                  <wp:posOffset>-252730</wp:posOffset>
                </wp:positionH>
                <wp:positionV relativeFrom="paragraph">
                  <wp:posOffset>8333105</wp:posOffset>
                </wp:positionV>
                <wp:extent cx="2267585" cy="1036955"/>
                <wp:effectExtent l="0" t="0" r="0" b="0"/>
                <wp:wrapNone/>
                <wp:docPr id="1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7585" cy="10369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31BC562" w14:textId="77777777" w:rsidR="0081658E" w:rsidRPr="008F110B" w:rsidRDefault="00BE16B2" w:rsidP="0081658E">
                            <w:pPr>
                              <w:pStyle w:val="BCopyrightsmallprint"/>
                              <w:rPr>
                                <w:rStyle w:val="Boldbodycharacter"/>
                                <w:rFonts w:cs="Arial"/>
                                <w:sz w:val="21"/>
                                <w:szCs w:val="21"/>
                              </w:rPr>
                            </w:pPr>
                            <w:r w:rsidRPr="008F110B">
                              <w:rPr>
                                <w:sz w:val="21"/>
                                <w:szCs w:val="21"/>
                              </w:rPr>
                              <w:t xml:space="preserve">Índice: </w:t>
                            </w:r>
                            <w:r w:rsidR="00BC22A7" w:rsidRPr="00BC22A7">
                              <w:rPr>
                                <w:rStyle w:val="Boldbodycharacter"/>
                                <w:sz w:val="21"/>
                                <w:szCs w:val="21"/>
                              </w:rPr>
                              <w:t>AMR 22/9532/2025</w:t>
                            </w:r>
                            <w:r w:rsidR="00BC22A7">
                              <w:rPr>
                                <w:rStyle w:val="Boldbodycharacter"/>
                                <w:sz w:val="21"/>
                                <w:szCs w:val="21"/>
                              </w:rPr>
                              <w:t xml:space="preserve"> </w:t>
                            </w:r>
                            <w:proofErr w:type="spellStart"/>
                            <w:r w:rsidRPr="008F110B">
                              <w:rPr>
                                <w:rStyle w:val="Boldbodycharacter"/>
                                <w:sz w:val="21"/>
                                <w:szCs w:val="21"/>
                              </w:rPr>
                              <w:t>Spanish</w:t>
                            </w:r>
                            <w:proofErr w:type="spellEnd"/>
                          </w:p>
                          <w:p w14:paraId="3B703B1C" w14:textId="77777777" w:rsidR="0081658E" w:rsidRPr="00392F19" w:rsidRDefault="00BE16B2" w:rsidP="0081658E">
                            <w:pPr>
                              <w:pStyle w:val="BCopyrightsmallprint"/>
                              <w:rPr>
                                <w:sz w:val="21"/>
                                <w:szCs w:val="21"/>
                              </w:rPr>
                            </w:pPr>
                            <w:r>
                              <w:rPr>
                                <w:sz w:val="21"/>
                                <w:szCs w:val="21"/>
                              </w:rPr>
                              <w:t xml:space="preserve">Publicación: </w:t>
                            </w:r>
                            <w:r w:rsidR="00BC22A7">
                              <w:rPr>
                                <w:rStyle w:val="Boldbodycharacter"/>
                                <w:sz w:val="21"/>
                                <w:szCs w:val="21"/>
                              </w:rPr>
                              <w:t>junio</w:t>
                            </w:r>
                            <w:r>
                              <w:rPr>
                                <w:rStyle w:val="Boldbodycharacter"/>
                                <w:sz w:val="21"/>
                                <w:szCs w:val="21"/>
                              </w:rPr>
                              <w:t xml:space="preserve"> de 20</w:t>
                            </w:r>
                            <w:r w:rsidR="008F110B">
                              <w:rPr>
                                <w:rStyle w:val="Boldbodycharacter"/>
                                <w:sz w:val="21"/>
                                <w:szCs w:val="21"/>
                              </w:rPr>
                              <w:t>25</w:t>
                            </w:r>
                          </w:p>
                          <w:p w14:paraId="5B987A56" w14:textId="77777777" w:rsidR="0081658E" w:rsidRPr="00392F19" w:rsidRDefault="00BE16B2" w:rsidP="0081658E">
                            <w:pPr>
                              <w:pStyle w:val="BCopyrightsmallprint"/>
                              <w:rPr>
                                <w:sz w:val="21"/>
                                <w:szCs w:val="21"/>
                              </w:rPr>
                            </w:pPr>
                            <w:r>
                              <w:rPr>
                                <w:sz w:val="21"/>
                                <w:szCs w:val="21"/>
                              </w:rPr>
                              <w:t xml:space="preserve">Idioma original: </w:t>
                            </w:r>
                            <w:proofErr w:type="gramStart"/>
                            <w:r w:rsidR="008F110B">
                              <w:rPr>
                                <w:rFonts w:ascii="Amnesty Trade Gothic" w:hAnsi="Amnesty Trade Gothic"/>
                                <w:b/>
                                <w:sz w:val="21"/>
                                <w:szCs w:val="21"/>
                              </w:rPr>
                              <w:t>Español</w:t>
                            </w:r>
                            <w:proofErr w:type="gramEnd"/>
                          </w:p>
                          <w:p w14:paraId="039A14EE" w14:textId="77777777" w:rsidR="00140418" w:rsidRPr="000660E7" w:rsidRDefault="00BE16B2" w:rsidP="00140418">
                            <w:pPr>
                              <w:pStyle w:val="BCopyrightsmallprint"/>
                              <w:rPr>
                                <w:sz w:val="16"/>
                                <w:szCs w:val="16"/>
                              </w:rPr>
                            </w:pPr>
                            <w:r>
                              <w:rPr>
                                <w:sz w:val="16"/>
                                <w:szCs w:val="16"/>
                              </w:rPr>
                              <w:t>© Amnesty International 20</w:t>
                            </w:r>
                            <w:r w:rsidR="008F110B">
                              <w:rPr>
                                <w:sz w:val="16"/>
                                <w:szCs w:val="16"/>
                              </w:rPr>
                              <w:t>25</w:t>
                            </w:r>
                          </w:p>
                          <w:p w14:paraId="4921A037" w14:textId="77777777" w:rsidR="0081658E" w:rsidRDefault="0081658E"/>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32D5B658" id="Text Box 25" o:spid="_x0000_s1027" type="#_x0000_t202" style="position:absolute;margin-left:-19.9pt;margin-top:656.15pt;width:178.55pt;height:81.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" stroked="f" strokeweight=".5pt">
                <v:textbox>
                  <w:txbxContent>
                    <w:p w14:paraId="631BC562" w14:textId="77777777" w:rsidR="0081658E" w:rsidRPr="008F110B" w:rsidRDefault="00BE16B2" w:rsidP="0081658E">
                      <w:pPr>
                        <w:pStyle w:val="BCopyrightsmallprint"/>
                        <w:rPr>
                          <w:rStyle w:val="Boldbodycharacter"/>
                          <w:rFonts w:cs="Arial"/>
                          <w:sz w:val="21"/>
                          <w:szCs w:val="21"/>
                        </w:rPr>
                      </w:pPr>
                      <w:r w:rsidRPr="008F110B">
                        <w:rPr>
                          <w:sz w:val="21"/>
                          <w:szCs w:val="21"/>
                        </w:rPr>
                        <w:t xml:space="preserve">Índice: </w:t>
                      </w:r>
                      <w:r w:rsidR="00BC22A7" w:rsidRPr="00BC22A7">
                        <w:rPr>
                          <w:rStyle w:val="Boldbodycharacter"/>
                          <w:sz w:val="21"/>
                          <w:szCs w:val="21"/>
                        </w:rPr>
                        <w:t>AMR 22/9532/2025</w:t>
                      </w:r>
                      <w:r w:rsidR="00BC22A7">
                        <w:rPr>
                          <w:rStyle w:val="Boldbodycharacter"/>
                          <w:sz w:val="21"/>
                          <w:szCs w:val="21"/>
                        </w:rPr>
                        <w:t xml:space="preserve"> </w:t>
                      </w:r>
                      <w:proofErr w:type="spellStart"/>
                      <w:r w:rsidRPr="008F110B">
                        <w:rPr>
                          <w:rStyle w:val="Boldbodycharacter"/>
                          <w:sz w:val="21"/>
                          <w:szCs w:val="21"/>
                        </w:rPr>
                        <w:t>Spanish</w:t>
                      </w:r>
                      <w:proofErr w:type="spellEnd"/>
                    </w:p>
                    <w:p w14:paraId="3B703B1C" w14:textId="77777777" w:rsidR="0081658E" w:rsidRPr="00392F19" w:rsidRDefault="00BE16B2" w:rsidP="0081658E">
                      <w:pPr>
                        <w:pStyle w:val="BCopyrightsmallprint"/>
                        <w:rPr>
                          <w:sz w:val="21"/>
                          <w:szCs w:val="21"/>
                        </w:rPr>
                      </w:pPr>
                      <w:r>
                        <w:rPr>
                          <w:sz w:val="21"/>
                          <w:szCs w:val="21"/>
                        </w:rPr>
                        <w:t xml:space="preserve">Publicación: </w:t>
                      </w:r>
                      <w:r w:rsidR="00BC22A7">
                        <w:rPr>
                          <w:rStyle w:val="Boldbodycharacter"/>
                          <w:sz w:val="21"/>
                          <w:szCs w:val="21"/>
                        </w:rPr>
                        <w:t>junio</w:t>
                      </w:r>
                      <w:r>
                        <w:rPr>
                          <w:rStyle w:val="Boldbodycharacter"/>
                          <w:sz w:val="21"/>
                          <w:szCs w:val="21"/>
                        </w:rPr>
                        <w:t xml:space="preserve"> de 20</w:t>
                      </w:r>
                      <w:r w:rsidR="008F110B">
                        <w:rPr>
                          <w:rStyle w:val="Boldbodycharacter"/>
                          <w:sz w:val="21"/>
                          <w:szCs w:val="21"/>
                        </w:rPr>
                        <w:t>25</w:t>
                      </w:r>
                    </w:p>
                    <w:p w14:paraId="5B987A56" w14:textId="77777777" w:rsidR="0081658E" w:rsidRPr="00392F19" w:rsidRDefault="00BE16B2" w:rsidP="0081658E">
                      <w:pPr>
                        <w:pStyle w:val="BCopyrightsmallprint"/>
                        <w:rPr>
                          <w:sz w:val="21"/>
                          <w:szCs w:val="21"/>
                        </w:rPr>
                      </w:pPr>
                      <w:r>
                        <w:rPr>
                          <w:sz w:val="21"/>
                          <w:szCs w:val="21"/>
                        </w:rPr>
                        <w:t xml:space="preserve">Idioma original: </w:t>
                      </w:r>
                      <w:proofErr w:type="gramStart"/>
                      <w:r w:rsidR="008F110B">
                        <w:rPr>
                          <w:rFonts w:ascii="Amnesty Trade Gothic" w:hAnsi="Amnesty Trade Gothic"/>
                          <w:b/>
                          <w:sz w:val="21"/>
                          <w:szCs w:val="21"/>
                        </w:rPr>
                        <w:t>Español</w:t>
                      </w:r>
                      <w:proofErr w:type="gramEnd"/>
                    </w:p>
                    <w:p w14:paraId="039A14EE" w14:textId="77777777" w:rsidR="00140418" w:rsidRPr="000660E7" w:rsidRDefault="00BE16B2" w:rsidP="00140418">
                      <w:pPr>
                        <w:pStyle w:val="BCopyrightsmallprint"/>
                        <w:rPr>
                          <w:sz w:val="16"/>
                          <w:szCs w:val="16"/>
                        </w:rPr>
                      </w:pPr>
                      <w:r>
                        <w:rPr>
                          <w:sz w:val="16"/>
                          <w:szCs w:val="16"/>
                        </w:rPr>
                        <w:t>© Amnesty International 20</w:t>
                      </w:r>
                      <w:r w:rsidR="008F110B">
                        <w:rPr>
                          <w:sz w:val="16"/>
                          <w:szCs w:val="16"/>
                        </w:rPr>
                        <w:t>25</w:t>
                      </w:r>
                    </w:p>
                    <w:p w14:paraId="4921A037" w14:textId="77777777" w:rsidR="0081658E" w:rsidRDefault="0081658E"/>
                  </w:txbxContent>
                </v:textbox>
              </v:shape>
            </w:pict>
          </mc:Fallback>
        </mc:AlternateContent>
      </w:r>
      <w:r w:rsidR="003C4C4B">
        <w:rPr>
          <w:noProof/>
        </w:rPr>
        <mc:AlternateContent>
          <mc:Choice Requires="wps">
            <w:drawing>
              <wp:anchor distT="0" distB="0" distL="114300" distR="114300" simplePos="0" relativeHeight="251658241" behindDoc="0" locked="0" layoutInCell="1" allowOverlap="1" wp14:anchorId="710D6E32" wp14:editId="2B496994">
                <wp:simplePos x="0" y="0"/>
                <wp:positionH relativeFrom="column">
                  <wp:posOffset>-253365</wp:posOffset>
                </wp:positionH>
                <wp:positionV relativeFrom="paragraph">
                  <wp:posOffset>238125</wp:posOffset>
                </wp:positionV>
                <wp:extent cx="6726555" cy="4933950"/>
                <wp:effectExtent l="0" t="2540" r="0" b="0"/>
                <wp:wrapSquare wrapText="bothSides"/>
                <wp:docPr id="2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6555" cy="4933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D97F096" w14:textId="77777777" w:rsidR="008D2844" w:rsidRDefault="00BE16B2" w:rsidP="008D2844">
                            <w:pPr>
                              <w:pStyle w:val="BMissionStatement"/>
                              <w:rPr>
                                <w:rStyle w:val="BHighlightedtext"/>
                                <w:rFonts w:cs="Arial"/>
                              </w:rPr>
                            </w:pPr>
                            <w:r>
                              <w:rPr>
                                <w:rStyle w:val="BHighlightedtext"/>
                              </w:rPr>
                              <w:t> 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y la compasión hacia nuestros semejantes en todo el mundo puede hacer mejorar nuestras sociedades. </w:t>
                            </w:r>
                          </w:p>
                          <w:p w14:paraId="58F5889A"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D6E32" id="Text Box 1" o:spid="_x0000_s1028" type="#_x0000_t202" style="position:absolute;margin-left:-19.95pt;margin-top:18.75pt;width:529.65pt;height:38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" filled="f" stroked="f" strokeweight=".5pt">
                <v:textbox>
                  <w:txbxContent>
                    <w:p w14:paraId="4D97F096" w14:textId="77777777" w:rsidR="008D2844" w:rsidRDefault="00BE16B2" w:rsidP="008D2844">
                      <w:pPr>
                        <w:pStyle w:val="BMissionStatement"/>
                        <w:rPr>
                          <w:rStyle w:val="BHighlightedtext"/>
                          <w:rFonts w:cs="Arial"/>
                        </w:rPr>
                      </w:pPr>
                      <w:r>
                        <w:rPr>
                          <w:rStyle w:val="BHighlightedtext"/>
                        </w:rPr>
                        <w:t> Amnistía Internacional es un movimiento integrado por 10 millones de personas que activa el sentido de humanidad dentro de cada una de ellas y que hace campaña en favor de cambios que permitan que todo el mundo disfrute de sus derechos humanos. Nuestra visión es la de un mundo donde quienes están en el poder cumplen sus promesas, respetan el derecho internacional y rinden cuentas. Somos independientes de todo gobierno, ideología política, interés económico y credo religioso, y nuestro trabajo se financia principalmente con las contribuciones de nuestra membresía y con donativos. Creemos que actuar movidos por la solidaridad y la compasión hacia nuestros semejantes en todo el mundo puede hacer mejorar nuestras sociedades. </w:t>
                      </w:r>
                    </w:p>
                    <w:p w14:paraId="58F5889A"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r w:rsidR="003C4C4B">
        <w:rPr>
          <w:noProof/>
        </w:rPr>
        <mc:AlternateContent>
          <mc:Choice Requires="wps">
            <w:drawing>
              <wp:anchor distT="0" distB="0" distL="114300" distR="114300" simplePos="0" relativeHeight="251658240" behindDoc="0" locked="0" layoutInCell="1" allowOverlap="1" wp14:anchorId="3A641E85" wp14:editId="2DF3A04C">
                <wp:simplePos x="0" y="0"/>
                <wp:positionH relativeFrom="column">
                  <wp:posOffset>-112395</wp:posOffset>
                </wp:positionH>
                <wp:positionV relativeFrom="page">
                  <wp:posOffset>6407150</wp:posOffset>
                </wp:positionV>
                <wp:extent cx="3299460" cy="2088515"/>
                <wp:effectExtent l="0" t="0" r="0" b="635"/>
                <wp:wrapThrough wrapText="bothSides">
                  <wp:wrapPolygon edited="0">
                    <wp:start x="-62" y="0"/>
                    <wp:lineTo x="-62" y="21501"/>
                    <wp:lineTo x="21600" y="21501"/>
                    <wp:lineTo x="21600" y="0"/>
                    <wp:lineTo x="-62" y="0"/>
                  </wp:wrapPolygon>
                </wp:wrapThrough>
                <wp:docPr id="22"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3299460" cy="2088515"/>
                        </a:xfrm>
                        <a:prstGeom prst="rect">
                          <a:avLst/>
                        </a:prstGeom>
                        <a:solidFill>
                          <a:srgbClr val="F2F2F2"/>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364C861" w14:textId="77777777" w:rsidR="00116223" w:rsidRPr="00D4065A" w:rsidRDefault="00116223" w:rsidP="0081658E">
                            <w:pPr>
                              <w:pStyle w:val="BBodyText"/>
                              <w:rPr>
                                <w:rFonts w:ascii="Amnesty Trade Gothic Cn" w:hAnsi="Amnesty Trade Gothic Cn"/>
                                <w:b/>
                                <w:bCs w:val="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641E85" id="Text Box 44" o:spid="_x0000_s1029" type="#_x0000_t202" style="position:absolute;margin-left:-8.85pt;margin-top:504.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" fillcolor="#f2f2f2" stroked="f" strokeweight=".5pt">
                <o:lock v:ext="edit" aspectratio="t"/>
                <v:textbox>
                  <w:txbxContent>
                    <w:p w14:paraId="6364C861"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r w:rsidR="003C4C4B">
        <w:rPr>
          <w:noProof/>
        </w:rPr>
        <mc:AlternateContent>
          <mc:Choice Requires="wps">
            <w:drawing>
              <wp:anchor distT="0" distB="0" distL="114300" distR="114300" simplePos="0" relativeHeight="251658245" behindDoc="0" locked="0" layoutInCell="1" allowOverlap="1" wp14:anchorId="76593E20" wp14:editId="58B14C82">
                <wp:simplePos x="0" y="0"/>
                <wp:positionH relativeFrom="column">
                  <wp:posOffset>-164465</wp:posOffset>
                </wp:positionH>
                <wp:positionV relativeFrom="paragraph">
                  <wp:posOffset>5713730</wp:posOffset>
                </wp:positionV>
                <wp:extent cx="1698625" cy="1807845"/>
                <wp:effectExtent l="2540" t="1270" r="3810" b="635"/>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8625" cy="1807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FF37F20" w14:textId="77777777" w:rsidR="004E5E19" w:rsidRPr="00D4065A" w:rsidRDefault="00BE16B2" w:rsidP="004E5E19">
                            <w:pPr>
                              <w:pStyle w:val="NormalIndent"/>
                              <w:spacing w:after="120"/>
                              <w:ind w:left="0"/>
                              <w:jc w:val="center"/>
                              <w:rPr>
                                <w:rFonts w:ascii="Amnesty Trade Gothic Cn" w:hAnsi="Amnesty Trade Gothic Cn"/>
                                <w:b/>
                                <w:bCs/>
                                <w:color w:val="auto"/>
                              </w:rPr>
                            </w:pPr>
                            <w:r w:rsidRPr="00BE16B2">
                              <w:rPr>
                                <w:rFonts w:ascii="Amnesty Trade Gothic Cn" w:hAnsi="Amnesty Trade Gothic Cn"/>
                                <w:b/>
                                <w:noProof/>
                                <w:sz w:val="30"/>
                                <w:szCs w:val="30"/>
                              </w:rPr>
                              <w:drawing>
                                <wp:inline distT="0" distB="0" distL="0" distR="0" wp14:anchorId="26C3F24A" wp14:editId="4632B99A">
                                  <wp:extent cx="361950" cy="228600"/>
                                  <wp:effectExtent l="0" t="0" r="0" b="0"/>
                                  <wp:docPr id="5" name="Picture 28"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con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 cy="228600"/>
                                          </a:xfrm>
                                          <a:prstGeom prst="rect">
                                            <a:avLst/>
                                          </a:prstGeom>
                                          <a:noFill/>
                                          <a:ln>
                                            <a:noFill/>
                                          </a:ln>
                                        </pic:spPr>
                                      </pic:pic>
                                    </a:graphicData>
                                  </a:graphic>
                                </wp:inline>
                              </w:drawing>
                            </w:r>
                            <w:r>
                              <w:rPr>
                                <w:rFonts w:ascii="Amnesty Trade Gothic Cn" w:hAnsi="Amnesty Trade Gothic Cn"/>
                                <w:b/>
                                <w:bCs/>
                                <w:sz w:val="30"/>
                                <w:szCs w:val="30"/>
                              </w:rPr>
                              <w:br/>
                            </w:r>
                            <w:hyperlink r:id="rId13" w:history="1">
                              <w:r>
                                <w:rPr>
                                  <w:rStyle w:val="Hyperlink"/>
                                  <w:rFonts w:ascii="Amnesty Trade Gothic Cn" w:hAnsi="Amnesty Trade Gothic Cn"/>
                                  <w:b/>
                                  <w:bCs/>
                                  <w:color w:val="auto"/>
                                  <w:szCs w:val="21"/>
                                </w:rPr>
                                <w:t>info@amnesty.org</w:t>
                              </w:r>
                            </w:hyperlink>
                          </w:p>
                          <w:p w14:paraId="2B60C95D" w14:textId="77777777" w:rsidR="004E5E19" w:rsidRPr="00D4065A" w:rsidRDefault="00BE16B2" w:rsidP="004E5E19">
                            <w:pPr>
                              <w:pStyle w:val="BBodyText"/>
                              <w:jc w:val="center"/>
                              <w:rPr>
                                <w:rStyle w:val="Hyperlink"/>
                                <w:rFonts w:ascii="Amnesty Trade Gothic Cn" w:hAnsi="Amnesty Trade Gothic Cn" w:cs="Arial"/>
                                <w:color w:val="auto"/>
                              </w:rPr>
                            </w:pPr>
                            <w:hyperlink r:id="rId14" w:history="1">
                              <w:r w:rsidRPr="00BE16B2">
                                <w:rPr>
                                  <w:rFonts w:ascii="Amnesty Trade Gothic Cn" w:hAnsi="Amnesty Trade Gothic Cn"/>
                                  <w:noProof/>
                                  <w:vertAlign w:val="subscript"/>
                                </w:rPr>
                                <w:drawing>
                                  <wp:inline distT="0" distB="0" distL="0" distR="0" wp14:anchorId="2307360B" wp14:editId="66B10974">
                                    <wp:extent cx="247650" cy="247650"/>
                                    <wp:effectExtent l="0" t="0" r="0" b="0"/>
                                    <wp:docPr id="6" name="Picture 29"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n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ascii="Amnesty Trade Gothic Cn" w:hAnsi="Amnesty Trade Gothic Cn"/>
                                </w:rPr>
                                <w:br/>
                              </w:r>
                              <w:r>
                                <w:rPr>
                                  <w:rStyle w:val="Hyperlink"/>
                                  <w:rFonts w:ascii="Amnesty Trade Gothic Cn" w:hAnsi="Amnesty Trade Gothic Cn"/>
                                  <w:color w:val="auto"/>
                                </w:rPr>
                                <w:t>facebook.com/</w:t>
                              </w:r>
                              <w:r>
                                <w:rPr>
                                  <w:rStyle w:val="Hyperlink"/>
                                  <w:rFonts w:ascii="Amnesty Trade Gothic Cn" w:hAnsi="Amnesty Trade Gothic Cn"/>
                                  <w:color w:val="auto"/>
                                </w:rPr>
                                <w:br/>
                              </w:r>
                              <w:proofErr w:type="spellStart"/>
                              <w:r>
                                <w:rPr>
                                  <w:rStyle w:val="Hyperlink"/>
                                  <w:rFonts w:ascii="Amnesty Trade Gothic Cn" w:hAnsi="Amnesty Trade Gothic Cn"/>
                                  <w:b/>
                                  <w:bCs w:val="0"/>
                                  <w:color w:val="auto"/>
                                </w:rPr>
                                <w:t>AmnistiaAmericas</w:t>
                              </w:r>
                              <w:proofErr w:type="spellEnd"/>
                            </w:hyperlink>
                          </w:p>
                          <w:p w14:paraId="3B19CD5A" w14:textId="77777777" w:rsidR="004E5E19" w:rsidRPr="00B772D5" w:rsidRDefault="00BE16B2" w:rsidP="004E5E19">
                            <w:pPr>
                              <w:pStyle w:val="BBodyText"/>
                              <w:spacing w:after="0"/>
                              <w:jc w:val="center"/>
                              <w:rPr>
                                <w:rStyle w:val="Hyperlink"/>
                                <w:rFonts w:cs="Arial"/>
                                <w:color w:val="auto"/>
                              </w:rPr>
                            </w:pPr>
                            <w:r w:rsidRPr="00B47C79">
                              <w:rPr>
                                <w:noProof/>
                              </w:rPr>
                              <w:drawing>
                                <wp:inline distT="0" distB="0" distL="0" distR="0" wp14:anchorId="30C48F98" wp14:editId="7FC575A2">
                                  <wp:extent cx="295275" cy="304800"/>
                                  <wp:effectExtent l="0" t="0" r="0" b="0"/>
                                  <wp:docPr id="7" name="Picture 31" descr="A picture containing shap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picture containing shape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275" cy="304800"/>
                                          </a:xfrm>
                                          <a:prstGeom prst="rect">
                                            <a:avLst/>
                                          </a:prstGeom>
                                          <a:noFill/>
                                          <a:ln>
                                            <a:noFill/>
                                          </a:ln>
                                        </pic:spPr>
                                      </pic:pic>
                                    </a:graphicData>
                                  </a:graphic>
                                </wp:inline>
                              </w:drawing>
                            </w:r>
                          </w:p>
                          <w:p w14:paraId="67E7C3FE" w14:textId="77777777" w:rsidR="004E5E19" w:rsidRPr="00D4065A" w:rsidRDefault="00BE16B2" w:rsidP="004E5E19">
                            <w:pPr>
                              <w:pStyle w:val="BBodyText"/>
                              <w:jc w:val="center"/>
                              <w:rPr>
                                <w:rFonts w:ascii="Amnesty Trade Gothic Cn" w:hAnsi="Amnesty Trade Gothic Cn"/>
                                <w:b/>
                                <w:bCs w:val="0"/>
                              </w:rPr>
                            </w:pPr>
                            <w:r>
                              <w:rPr>
                                <w:rFonts w:ascii="Amnesty Trade Gothic Cn" w:hAnsi="Amnesty Trade Gothic Cn"/>
                                <w:b/>
                                <w:bCs w:val="0"/>
                              </w:rPr>
                              <w:t>@AmnistiaOnline</w:t>
                            </w:r>
                          </w:p>
                          <w:p w14:paraId="4156E05C" w14:textId="77777777" w:rsidR="004E5E19" w:rsidRDefault="004E5E19" w:rsidP="004E5E1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76593E20" id="Text Box 27" o:spid="_x0000_s1030" type="#_x0000_t202" style="position:absolute;margin-left:-12.95pt;margin-top:449.9pt;width:133.75pt;height:142.3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" filled="f" stroked="f" strokeweight=".5pt">
                <v:textbox>
                  <w:txbxContent>
                    <w:p w14:paraId="2FF37F20" w14:textId="77777777" w:rsidR="004E5E19" w:rsidRPr="00D4065A" w:rsidRDefault="00BE16B2" w:rsidP="004E5E19">
                      <w:pPr>
                        <w:pStyle w:val="NormalIndent"/>
                        <w:spacing w:after="120"/>
                        <w:ind w:left="0"/>
                        <w:jc w:val="center"/>
                        <w:rPr>
                          <w:rFonts w:ascii="Amnesty Trade Gothic Cn" w:hAnsi="Amnesty Trade Gothic Cn"/>
                          <w:b/>
                          <w:bCs/>
                          <w:color w:val="auto"/>
                        </w:rPr>
                      </w:pPr>
                      <w:r w:rsidRPr="00BE16B2">
                        <w:rPr>
                          <w:rFonts w:ascii="Amnesty Trade Gothic Cn" w:hAnsi="Amnesty Trade Gothic Cn"/>
                          <w:b/>
                          <w:noProof/>
                          <w:sz w:val="30"/>
                          <w:szCs w:val="30"/>
                        </w:rPr>
                        <w:drawing>
                          <wp:inline distT="0" distB="0" distL="0" distR="0" wp14:anchorId="26C3F24A" wp14:editId="4632B99A">
                            <wp:extent cx="361950" cy="228600"/>
                            <wp:effectExtent l="0" t="0" r="0" b="0"/>
                            <wp:docPr id="5" name="Picture 28"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con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 cy="228600"/>
                                    </a:xfrm>
                                    <a:prstGeom prst="rect">
                                      <a:avLst/>
                                    </a:prstGeom>
                                    <a:noFill/>
                                    <a:ln>
                                      <a:noFill/>
                                    </a:ln>
                                  </pic:spPr>
                                </pic:pic>
                              </a:graphicData>
                            </a:graphic>
                          </wp:inline>
                        </w:drawing>
                      </w:r>
                      <w:r>
                        <w:rPr>
                          <w:rFonts w:ascii="Amnesty Trade Gothic Cn" w:hAnsi="Amnesty Trade Gothic Cn"/>
                          <w:b/>
                          <w:bCs/>
                          <w:sz w:val="30"/>
                          <w:szCs w:val="30"/>
                        </w:rPr>
                        <w:br/>
                      </w:r>
                      <w:hyperlink r:id="rId17" w:history="1">
                        <w:r>
                          <w:rPr>
                            <w:rStyle w:val="Hyperlink"/>
                            <w:rFonts w:ascii="Amnesty Trade Gothic Cn" w:hAnsi="Amnesty Trade Gothic Cn"/>
                            <w:b/>
                            <w:bCs/>
                            <w:color w:val="auto"/>
                            <w:szCs w:val="21"/>
                          </w:rPr>
                          <w:t>info@amnesty.org</w:t>
                        </w:r>
                      </w:hyperlink>
                    </w:p>
                    <w:p w14:paraId="2B60C95D" w14:textId="77777777" w:rsidR="004E5E19" w:rsidRPr="00D4065A" w:rsidRDefault="00BE16B2" w:rsidP="004E5E19">
                      <w:pPr>
                        <w:pStyle w:val="BBodyText"/>
                        <w:jc w:val="center"/>
                        <w:rPr>
                          <w:rStyle w:val="Hyperlink"/>
                          <w:rFonts w:ascii="Amnesty Trade Gothic Cn" w:hAnsi="Amnesty Trade Gothic Cn" w:cs="Arial"/>
                          <w:color w:val="auto"/>
                        </w:rPr>
                      </w:pPr>
                      <w:hyperlink r:id="rId18" w:history="1">
                        <w:r w:rsidRPr="00BE16B2">
                          <w:rPr>
                            <w:rFonts w:ascii="Amnesty Trade Gothic Cn" w:hAnsi="Amnesty Trade Gothic Cn"/>
                            <w:noProof/>
                            <w:vertAlign w:val="subscript"/>
                          </w:rPr>
                          <w:drawing>
                            <wp:inline distT="0" distB="0" distL="0" distR="0" wp14:anchorId="2307360B" wp14:editId="66B10974">
                              <wp:extent cx="247650" cy="247650"/>
                              <wp:effectExtent l="0" t="0" r="0" b="0"/>
                              <wp:docPr id="6" name="Picture 29" descr="Icon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n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Pr>
                            <w:rFonts w:ascii="Amnesty Trade Gothic Cn" w:hAnsi="Amnesty Trade Gothic Cn"/>
                          </w:rPr>
                          <w:br/>
                        </w:r>
                        <w:r>
                          <w:rPr>
                            <w:rStyle w:val="Hyperlink"/>
                            <w:rFonts w:ascii="Amnesty Trade Gothic Cn" w:hAnsi="Amnesty Trade Gothic Cn"/>
                            <w:color w:val="auto"/>
                          </w:rPr>
                          <w:t>facebook.com/</w:t>
                        </w:r>
                        <w:r>
                          <w:rPr>
                            <w:rStyle w:val="Hyperlink"/>
                            <w:rFonts w:ascii="Amnesty Trade Gothic Cn" w:hAnsi="Amnesty Trade Gothic Cn"/>
                            <w:color w:val="auto"/>
                          </w:rPr>
                          <w:br/>
                        </w:r>
                        <w:proofErr w:type="spellStart"/>
                        <w:r>
                          <w:rPr>
                            <w:rStyle w:val="Hyperlink"/>
                            <w:rFonts w:ascii="Amnesty Trade Gothic Cn" w:hAnsi="Amnesty Trade Gothic Cn"/>
                            <w:b/>
                            <w:bCs w:val="0"/>
                            <w:color w:val="auto"/>
                          </w:rPr>
                          <w:t>AmnistiaAmericas</w:t>
                        </w:r>
                        <w:proofErr w:type="spellEnd"/>
                      </w:hyperlink>
                    </w:p>
                    <w:p w14:paraId="3B19CD5A" w14:textId="77777777" w:rsidR="004E5E19" w:rsidRPr="00B772D5" w:rsidRDefault="00BE16B2" w:rsidP="004E5E19">
                      <w:pPr>
                        <w:pStyle w:val="BBodyText"/>
                        <w:spacing w:after="0"/>
                        <w:jc w:val="center"/>
                        <w:rPr>
                          <w:rStyle w:val="Hyperlink"/>
                          <w:rFonts w:cs="Arial"/>
                          <w:color w:val="auto"/>
                        </w:rPr>
                      </w:pPr>
                      <w:r w:rsidRPr="00B47C79">
                        <w:rPr>
                          <w:noProof/>
                        </w:rPr>
                        <w:drawing>
                          <wp:inline distT="0" distB="0" distL="0" distR="0" wp14:anchorId="30C48F98" wp14:editId="7FC575A2">
                            <wp:extent cx="295275" cy="304800"/>
                            <wp:effectExtent l="0" t="0" r="0" b="0"/>
                            <wp:docPr id="7" name="Picture 31" descr="A picture containing shape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picture containing shape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275" cy="304800"/>
                                    </a:xfrm>
                                    <a:prstGeom prst="rect">
                                      <a:avLst/>
                                    </a:prstGeom>
                                    <a:noFill/>
                                    <a:ln>
                                      <a:noFill/>
                                    </a:ln>
                                  </pic:spPr>
                                </pic:pic>
                              </a:graphicData>
                            </a:graphic>
                          </wp:inline>
                        </w:drawing>
                      </w:r>
                    </w:p>
                    <w:p w14:paraId="67E7C3FE" w14:textId="77777777" w:rsidR="004E5E19" w:rsidRPr="00D4065A" w:rsidRDefault="00BE16B2" w:rsidP="004E5E19">
                      <w:pPr>
                        <w:pStyle w:val="BBodyText"/>
                        <w:jc w:val="center"/>
                        <w:rPr>
                          <w:rFonts w:ascii="Amnesty Trade Gothic Cn" w:hAnsi="Amnesty Trade Gothic Cn"/>
                          <w:b/>
                          <w:bCs w:val="0"/>
                        </w:rPr>
                      </w:pPr>
                      <w:r>
                        <w:rPr>
                          <w:rFonts w:ascii="Amnesty Trade Gothic Cn" w:hAnsi="Amnesty Trade Gothic Cn"/>
                          <w:b/>
                          <w:bCs w:val="0"/>
                        </w:rPr>
                        <w:t>@AmnistiaOnline</w:t>
                      </w:r>
                    </w:p>
                    <w:p w14:paraId="4156E05C" w14:textId="77777777" w:rsidR="004E5E19" w:rsidRDefault="004E5E19" w:rsidP="004E5E19">
                      <w:pPr>
                        <w:jc w:val="center"/>
                      </w:pPr>
                    </w:p>
                  </w:txbxContent>
                </v:textbox>
              </v:shape>
            </w:pict>
          </mc:Fallback>
        </mc:AlternateContent>
      </w:r>
      <w:r w:rsidR="003C4C4B">
        <w:rPr>
          <w:noProof/>
        </w:rPr>
        <mc:AlternateContent>
          <mc:Choice Requires="wps">
            <w:drawing>
              <wp:anchor distT="0" distB="0" distL="114300" distR="114300" simplePos="0" relativeHeight="251658242" behindDoc="0" locked="0" layoutInCell="1" allowOverlap="1" wp14:anchorId="24D0ECDF" wp14:editId="7E1BF216">
                <wp:simplePos x="0" y="0"/>
                <wp:positionH relativeFrom="column">
                  <wp:posOffset>3924300</wp:posOffset>
                </wp:positionH>
                <wp:positionV relativeFrom="paragraph">
                  <wp:posOffset>5441950</wp:posOffset>
                </wp:positionV>
                <wp:extent cx="2247900" cy="2088515"/>
                <wp:effectExtent l="0" t="0" r="4445" b="1270"/>
                <wp:wrapNone/>
                <wp:docPr id="20"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2247900" cy="2088515"/>
                        </a:xfrm>
                        <a:prstGeom prst="rect">
                          <a:avLst/>
                        </a:prstGeom>
                        <a:solidFill>
                          <a:srgbClr val="F2F2F2"/>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5DA120C" w14:textId="77777777" w:rsidR="008D2844" w:rsidRPr="000660E7" w:rsidRDefault="00BE16B2" w:rsidP="000660E7">
                            <w:pPr>
                              <w:pStyle w:val="BCopyrightsmallprint"/>
                              <w:rPr>
                                <w:sz w:val="16"/>
                                <w:szCs w:val="16"/>
                              </w:rPr>
                            </w:pPr>
                            <w:r>
                              <w:rPr>
                                <w:sz w:val="16"/>
                                <w:szCs w:val="16"/>
                              </w:rPr>
                              <w:t xml:space="preserve">Salvo cuando se indique lo contrario, el contenido de este documento está protegido por una licencia 4.0 de Creative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9F34DB8" w14:textId="77777777" w:rsidR="008D2844" w:rsidRPr="000660E7" w:rsidRDefault="00BE16B2" w:rsidP="000660E7">
                            <w:pPr>
                              <w:pStyle w:val="BCopyrightsmallprint"/>
                              <w:rPr>
                                <w:sz w:val="16"/>
                                <w:szCs w:val="16"/>
                              </w:rPr>
                            </w:pPr>
                            <w:r>
                              <w:rPr>
                                <w:sz w:val="16"/>
                                <w:szCs w:val="16"/>
                              </w:rPr>
                              <w:t xml:space="preserve">El material atribuido a titulares de derechos de autor distintos de Amnistía Internacional no está protegido por la licencia Creative </w:t>
                            </w:r>
                            <w:proofErr w:type="spellStart"/>
                            <w:r>
                              <w:rPr>
                                <w:sz w:val="16"/>
                                <w:szCs w:val="16"/>
                              </w:rPr>
                              <w:t>Commons</w:t>
                            </w:r>
                            <w:proofErr w:type="spellEnd"/>
                            <w:r>
                              <w:rPr>
                                <w:sz w:val="16"/>
                                <w:szCs w:val="16"/>
                              </w:rPr>
                              <w:t>.</w:t>
                            </w:r>
                          </w:p>
                          <w:p w14:paraId="15F97353" w14:textId="77777777" w:rsidR="008D2844" w:rsidRPr="0081658E" w:rsidRDefault="00BE16B2" w:rsidP="000660E7">
                            <w:pPr>
                              <w:pStyle w:val="BCopyrightsmallprint"/>
                              <w:rPr>
                                <w:sz w:val="16"/>
                                <w:szCs w:val="16"/>
                              </w:rPr>
                            </w:pPr>
                            <w:r>
                              <w:rPr>
                                <w:sz w:val="16"/>
                                <w:szCs w:val="16"/>
                              </w:rPr>
                              <w:t xml:space="preserve">Para más información, visiten la </w:t>
                            </w:r>
                            <w:hyperlink r:id="rId19" w:history="1">
                              <w:r>
                                <w:rPr>
                                  <w:rStyle w:val="Hyperlink"/>
                                  <w:sz w:val="16"/>
                                  <w:szCs w:val="16"/>
                                </w:rPr>
                                <w:t xml:space="preserve">página </w:t>
                              </w:r>
                              <w:r>
                                <w:rPr>
                                  <w:rStyle w:val="Hyperlink"/>
                                  <w:i/>
                                  <w:iCs/>
                                  <w:sz w:val="16"/>
                                  <w:szCs w:val="16"/>
                                </w:rPr>
                                <w:t>Permisos</w:t>
                              </w:r>
                            </w:hyperlink>
                            <w:r w:rsidR="00755492">
                              <w:t xml:space="preserve"> </w:t>
                            </w:r>
                            <w:r>
                              <w:rPr>
                                <w:sz w:val="16"/>
                                <w:szCs w:val="16"/>
                              </w:rPr>
                              <w:t xml:space="preserve">del sitio web de Amnistía Internacional.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4D0ECDF" id="Text Box 45" o:spid="_x0000_s1031" type="#_x0000_t202" style="position:absolute;margin-left:309pt;margin-top:428.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" fillcolor="#f2f2f2" stroked="f" strokeweight=".5pt">
                <o:lock v:ext="edit" aspectratio="t"/>
                <v:textbox>
                  <w:txbxContent>
                    <w:p w14:paraId="75DA120C" w14:textId="77777777" w:rsidR="008D2844" w:rsidRPr="000660E7" w:rsidRDefault="00BE16B2" w:rsidP="000660E7">
                      <w:pPr>
                        <w:pStyle w:val="BCopyrightsmallprint"/>
                        <w:rPr>
                          <w:sz w:val="16"/>
                          <w:szCs w:val="16"/>
                        </w:rPr>
                      </w:pPr>
                      <w:r>
                        <w:rPr>
                          <w:sz w:val="16"/>
                          <w:szCs w:val="16"/>
                        </w:rPr>
                        <w:t xml:space="preserve">Salvo cuando se indique lo contrario, el contenido de este documento está protegido por una licencia 4.0 de Creative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9F34DB8" w14:textId="77777777" w:rsidR="008D2844" w:rsidRPr="000660E7" w:rsidRDefault="00BE16B2" w:rsidP="000660E7">
                      <w:pPr>
                        <w:pStyle w:val="BCopyrightsmallprint"/>
                        <w:rPr>
                          <w:sz w:val="16"/>
                          <w:szCs w:val="16"/>
                        </w:rPr>
                      </w:pPr>
                      <w:r>
                        <w:rPr>
                          <w:sz w:val="16"/>
                          <w:szCs w:val="16"/>
                        </w:rPr>
                        <w:t xml:space="preserve">El material atribuido a titulares de derechos de autor distintos de Amnistía Internacional no está protegido por la licencia Creative </w:t>
                      </w:r>
                      <w:proofErr w:type="spellStart"/>
                      <w:r>
                        <w:rPr>
                          <w:sz w:val="16"/>
                          <w:szCs w:val="16"/>
                        </w:rPr>
                        <w:t>Commons</w:t>
                      </w:r>
                      <w:proofErr w:type="spellEnd"/>
                      <w:r>
                        <w:rPr>
                          <w:sz w:val="16"/>
                          <w:szCs w:val="16"/>
                        </w:rPr>
                        <w:t>.</w:t>
                      </w:r>
                    </w:p>
                    <w:p w14:paraId="15F97353" w14:textId="77777777" w:rsidR="008D2844" w:rsidRPr="0081658E" w:rsidRDefault="00BE16B2" w:rsidP="000660E7">
                      <w:pPr>
                        <w:pStyle w:val="BCopyrightsmallprint"/>
                        <w:rPr>
                          <w:sz w:val="16"/>
                          <w:szCs w:val="16"/>
                        </w:rPr>
                      </w:pPr>
                      <w:r>
                        <w:rPr>
                          <w:sz w:val="16"/>
                          <w:szCs w:val="16"/>
                        </w:rPr>
                        <w:t xml:space="preserve">Para más información, visiten la </w:t>
                      </w:r>
                      <w:hyperlink r:id="rId20" w:history="1">
                        <w:r>
                          <w:rPr>
                            <w:rStyle w:val="Hyperlink"/>
                            <w:sz w:val="16"/>
                            <w:szCs w:val="16"/>
                          </w:rPr>
                          <w:t xml:space="preserve">página </w:t>
                        </w:r>
                        <w:r>
                          <w:rPr>
                            <w:rStyle w:val="Hyperlink"/>
                            <w:i/>
                            <w:iCs/>
                            <w:sz w:val="16"/>
                            <w:szCs w:val="16"/>
                          </w:rPr>
                          <w:t>Permisos</w:t>
                        </w:r>
                      </w:hyperlink>
                      <w:r w:rsidR="00755492">
                        <w:t xml:space="preserve"> </w:t>
                      </w:r>
                      <w:r>
                        <w:rPr>
                          <w:sz w:val="16"/>
                          <w:szCs w:val="16"/>
                        </w:rPr>
                        <w:t xml:space="preserve">del sitio web de Amnistía Internacional. </w:t>
                      </w:r>
                    </w:p>
                  </w:txbxContent>
                </v:textbox>
              </v:shape>
            </w:pict>
          </mc:Fallback>
        </mc:AlternateContent>
      </w:r>
      <w:r w:rsidR="003C4C4B">
        <w:rPr>
          <w:noProof/>
        </w:rPr>
        <w:drawing>
          <wp:anchor distT="0" distB="0" distL="114300" distR="114300" simplePos="0" relativeHeight="251658246" behindDoc="0" locked="0" layoutInCell="1" allowOverlap="1" wp14:anchorId="11233659" wp14:editId="0EE8ADA8">
            <wp:simplePos x="0" y="0"/>
            <wp:positionH relativeFrom="column">
              <wp:posOffset>1997075</wp:posOffset>
            </wp:positionH>
            <wp:positionV relativeFrom="paragraph">
              <wp:posOffset>5634990</wp:posOffset>
            </wp:positionV>
            <wp:extent cx="464820" cy="464820"/>
            <wp:effectExtent l="0" t="0" r="0" b="0"/>
            <wp:wrapNone/>
            <wp:docPr id="1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
                    <pic:cNvPicPr>
                      <a:picLocks noChangeAspect="1" noChangeArrowheads="1"/>
                    </pic:cNvPicPr>
                  </pic:nvPicPr>
                  <pic:blipFill>
                    <a:blip r:embed="rId21">
                      <a:extLst>
                        <a:ext uri="{28A0092B-C50C-407E-A947-70E740481C1C}">
                          <a14:useLocalDpi xmlns:a14="http://schemas.microsoft.com/office/drawing/2010/main" val="0"/>
                        </a:ext>
                      </a:extLst>
                    </a:blip>
                    <a:srcRect l="-9294" t="-7465" r="-8012" b="-6377"/>
                    <a:stretch>
                      <a:fillRect/>
                    </a:stretch>
                  </pic:blipFill>
                  <pic:spPr bwMode="auto">
                    <a:xfrm>
                      <a:off x="0" y="0"/>
                      <a:ext cx="464820" cy="464820"/>
                    </a:xfrm>
                    <a:prstGeom prst="rect">
                      <a:avLst/>
                    </a:prstGeom>
                    <a:noFill/>
                    <a:ln>
                      <a:noFill/>
                    </a:ln>
                  </pic:spPr>
                </pic:pic>
              </a:graphicData>
            </a:graphic>
            <wp14:sizeRelH relativeFrom="page">
              <wp14:pctWidth>0</wp14:pctWidth>
            </wp14:sizeRelH>
            <wp14:sizeRelV relativeFrom="page">
              <wp14:pctHeight>0</wp14:pctHeight>
            </wp14:sizeRelV>
          </wp:anchor>
        </w:drawing>
      </w:r>
      <w:r w:rsidR="003C4C4B">
        <w:rPr>
          <w:noProof/>
        </w:rPr>
        <mc:AlternateContent>
          <mc:Choice Requires="wps">
            <w:drawing>
              <wp:anchor distT="0" distB="0" distL="114300" distR="114300" simplePos="0" relativeHeight="251658244" behindDoc="0" locked="0" layoutInCell="1" allowOverlap="1" wp14:anchorId="0F5AB7C9" wp14:editId="264964E0">
                <wp:simplePos x="0" y="0"/>
                <wp:positionH relativeFrom="column">
                  <wp:posOffset>1605280</wp:posOffset>
                </wp:positionH>
                <wp:positionV relativeFrom="paragraph">
                  <wp:posOffset>5970905</wp:posOffset>
                </wp:positionV>
                <wp:extent cx="1271905" cy="1659890"/>
                <wp:effectExtent l="635" t="1270" r="3810" b="0"/>
                <wp:wrapNone/>
                <wp:docPr id="1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165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557DE60" w14:textId="77777777" w:rsidR="0081658E" w:rsidRDefault="00BE16B2" w:rsidP="007975C7">
                            <w:pPr>
                              <w:spacing w:before="40" w:after="120"/>
                              <w:jc w:val="center"/>
                              <w:rPr>
                                <w:rFonts w:ascii="Amnesty Trade Gothic Cn" w:hAnsi="Amnesty Trade Gothic Cn"/>
                                <w:b/>
                                <w:color w:val="auto"/>
                                <w:sz w:val="21"/>
                                <w:szCs w:val="24"/>
                              </w:rPr>
                            </w:pPr>
                            <w:r>
                              <w:rPr>
                                <w:rFonts w:ascii="Amnesty Trade Gothic Cn" w:hAnsi="Amnesty Trade Gothic Cn"/>
                                <w:b/>
                              </w:rPr>
                              <w:t>amnesty.org</w:t>
                            </w:r>
                          </w:p>
                          <w:p w14:paraId="76FAF4EB" w14:textId="77777777" w:rsidR="00C6112B" w:rsidRDefault="00BE16B2" w:rsidP="0081658E">
                            <w:pPr>
                              <w:spacing w:after="120"/>
                              <w:jc w:val="center"/>
                              <w:rPr>
                                <w:rFonts w:ascii="Amnesty Trade Gothic Cn" w:hAnsi="Amnesty Trade Gothic Cn"/>
                                <w:b/>
                                <w:color w:val="auto"/>
                                <w:sz w:val="21"/>
                                <w:szCs w:val="24"/>
                              </w:rPr>
                            </w:pPr>
                            <w:r w:rsidRPr="00BE16B2">
                              <w:rPr>
                                <w:rFonts w:ascii="Amnesty Trade Gothic Cn" w:hAnsi="Amnesty Trade Gothic Cn"/>
                                <w:b/>
                                <w:noProof/>
                                <w:color w:val="auto"/>
                                <w:sz w:val="21"/>
                                <w:szCs w:val="24"/>
                              </w:rPr>
                              <w:drawing>
                                <wp:inline distT="0" distB="0" distL="0" distR="0" wp14:anchorId="553EC9A0" wp14:editId="64C9F00A">
                                  <wp:extent cx="542925" cy="552450"/>
                                  <wp:effectExtent l="0" t="0" r="0" b="0"/>
                                  <wp:docPr id="9"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2"/>
                                          <pic:cNvPicPr>
                                            <a:picLocks noChangeAspect="1" noChangeArrowheads="1"/>
                                          </pic:cNvPicPr>
                                        </pic:nvPicPr>
                                        <pic:blipFill>
                                          <a:blip r:embed="rId22">
                                            <a:extLst>
                                              <a:ext uri="{28A0092B-C50C-407E-A947-70E740481C1C}">
                                                <a14:useLocalDpi xmlns:a14="http://schemas.microsoft.com/office/drawing/2010/main" val="0"/>
                                              </a:ext>
                                            </a:extLst>
                                          </a:blip>
                                          <a:srcRect l="-7455" t="-10548" r="-5270" b="-9589"/>
                                          <a:stretch>
                                            <a:fillRect/>
                                          </a:stretch>
                                        </pic:blipFill>
                                        <pic:spPr bwMode="auto">
                                          <a:xfrm>
                                            <a:off x="0" y="0"/>
                                            <a:ext cx="542925" cy="552450"/>
                                          </a:xfrm>
                                          <a:prstGeom prst="rect">
                                            <a:avLst/>
                                          </a:prstGeom>
                                          <a:noFill/>
                                          <a:ln>
                                            <a:noFill/>
                                          </a:ln>
                                        </pic:spPr>
                                      </pic:pic>
                                    </a:graphicData>
                                  </a:graphic>
                                </wp:inline>
                              </w:drawing>
                            </w:r>
                          </w:p>
                          <w:p w14:paraId="1492D8BB" w14:textId="77777777" w:rsidR="0081658E" w:rsidRPr="00D967C8" w:rsidRDefault="00BE16B2" w:rsidP="00C8441B">
                            <w:pPr>
                              <w:rPr>
                                <w:bCs/>
                                <w:color w:val="auto"/>
                                <w:sz w:val="16"/>
                                <w:szCs w:val="16"/>
                                <w:lang w:val="en-US"/>
                              </w:rPr>
                            </w:pPr>
                            <w:r w:rsidRPr="00D967C8">
                              <w:rPr>
                                <w:bCs/>
                                <w:color w:val="auto"/>
                                <w:sz w:val="16"/>
                                <w:szCs w:val="16"/>
                                <w:lang w:val="en-US"/>
                              </w:rPr>
                              <w:t>Amnesty International</w:t>
                            </w:r>
                            <w:r w:rsidRPr="00D967C8">
                              <w:rPr>
                                <w:bCs/>
                                <w:color w:val="auto"/>
                                <w:sz w:val="16"/>
                                <w:szCs w:val="16"/>
                                <w:lang w:val="en-US"/>
                              </w:rPr>
                              <w:br/>
                              <w:t>Peter Benenson House</w:t>
                            </w:r>
                            <w:r w:rsidRPr="00D967C8">
                              <w:rPr>
                                <w:bCs/>
                                <w:color w:val="auto"/>
                                <w:sz w:val="16"/>
                                <w:szCs w:val="16"/>
                                <w:lang w:val="en-US"/>
                              </w:rPr>
                              <w:br/>
                              <w:t>1 Easton Street</w:t>
                            </w:r>
                            <w:r w:rsidRPr="00D967C8">
                              <w:rPr>
                                <w:bCs/>
                                <w:color w:val="auto"/>
                                <w:sz w:val="16"/>
                                <w:szCs w:val="16"/>
                                <w:lang w:val="en-US"/>
                              </w:rPr>
                              <w:br/>
                              <w:t xml:space="preserve">London WC1X 0DW, Reino </w:t>
                            </w:r>
                            <w:proofErr w:type="spellStart"/>
                            <w:r w:rsidRPr="00D967C8">
                              <w:rPr>
                                <w:bCs/>
                                <w:color w:val="auto"/>
                                <w:sz w:val="16"/>
                                <w:szCs w:val="16"/>
                                <w:lang w:val="en-US"/>
                              </w:rPr>
                              <w:t>Unido</w:t>
                            </w:r>
                            <w:proofErr w:type="spellEnd"/>
                          </w:p>
                          <w:p w14:paraId="60912D10" w14:textId="77777777" w:rsidR="0081658E" w:rsidRPr="00D967C8" w:rsidRDefault="0081658E" w:rsidP="00C8441B">
                            <w:pPr>
                              <w:rPr>
                                <w:sz w:val="14"/>
                                <w:szCs w:val="1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5AB7C9" id="Text Box 26" o:spid="_x0000_s1032" type="#_x0000_t202" style="position:absolute;margin-left:126.4pt;margin-top:470.1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" filled="f" stroked="f" strokeweight=".5pt">
                <v:textbox>
                  <w:txbxContent>
                    <w:p w14:paraId="6557DE60" w14:textId="77777777" w:rsidR="0081658E" w:rsidRDefault="00BE16B2" w:rsidP="007975C7">
                      <w:pPr>
                        <w:spacing w:before="40" w:after="120"/>
                        <w:jc w:val="center"/>
                        <w:rPr>
                          <w:rFonts w:ascii="Amnesty Trade Gothic Cn" w:hAnsi="Amnesty Trade Gothic Cn"/>
                          <w:b/>
                          <w:color w:val="auto"/>
                          <w:sz w:val="21"/>
                          <w:szCs w:val="24"/>
                        </w:rPr>
                      </w:pPr>
                      <w:r>
                        <w:rPr>
                          <w:rFonts w:ascii="Amnesty Trade Gothic Cn" w:hAnsi="Amnesty Trade Gothic Cn"/>
                          <w:b/>
                        </w:rPr>
                        <w:t>amnesty.org</w:t>
                      </w:r>
                    </w:p>
                    <w:p w14:paraId="76FAF4EB" w14:textId="77777777" w:rsidR="00C6112B" w:rsidRDefault="00BE16B2" w:rsidP="0081658E">
                      <w:pPr>
                        <w:spacing w:after="120"/>
                        <w:jc w:val="center"/>
                        <w:rPr>
                          <w:rFonts w:ascii="Amnesty Trade Gothic Cn" w:hAnsi="Amnesty Trade Gothic Cn"/>
                          <w:b/>
                          <w:color w:val="auto"/>
                          <w:sz w:val="21"/>
                          <w:szCs w:val="24"/>
                        </w:rPr>
                      </w:pPr>
                      <w:r w:rsidRPr="00BE16B2">
                        <w:rPr>
                          <w:rFonts w:ascii="Amnesty Trade Gothic Cn" w:hAnsi="Amnesty Trade Gothic Cn"/>
                          <w:b/>
                          <w:noProof/>
                          <w:color w:val="auto"/>
                          <w:sz w:val="21"/>
                          <w:szCs w:val="24"/>
                        </w:rPr>
                        <w:drawing>
                          <wp:inline distT="0" distB="0" distL="0" distR="0" wp14:anchorId="553EC9A0" wp14:editId="64C9F00A">
                            <wp:extent cx="542925" cy="552450"/>
                            <wp:effectExtent l="0" t="0" r="0" b="0"/>
                            <wp:docPr id="9" name="Graph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2"/>
                                    <pic:cNvPicPr>
                                      <a:picLocks noChangeAspect="1" noChangeArrowheads="1"/>
                                    </pic:cNvPicPr>
                                  </pic:nvPicPr>
                                  <pic:blipFill>
                                    <a:blip r:embed="rId22">
                                      <a:extLst>
                                        <a:ext uri="{28A0092B-C50C-407E-A947-70E740481C1C}">
                                          <a14:useLocalDpi xmlns:a14="http://schemas.microsoft.com/office/drawing/2010/main" val="0"/>
                                        </a:ext>
                                      </a:extLst>
                                    </a:blip>
                                    <a:srcRect l="-7455" t="-10548" r="-5270" b="-9589"/>
                                    <a:stretch>
                                      <a:fillRect/>
                                    </a:stretch>
                                  </pic:blipFill>
                                  <pic:spPr bwMode="auto">
                                    <a:xfrm>
                                      <a:off x="0" y="0"/>
                                      <a:ext cx="542925" cy="552450"/>
                                    </a:xfrm>
                                    <a:prstGeom prst="rect">
                                      <a:avLst/>
                                    </a:prstGeom>
                                    <a:noFill/>
                                    <a:ln>
                                      <a:noFill/>
                                    </a:ln>
                                  </pic:spPr>
                                </pic:pic>
                              </a:graphicData>
                            </a:graphic>
                          </wp:inline>
                        </w:drawing>
                      </w:r>
                    </w:p>
                    <w:p w14:paraId="1492D8BB" w14:textId="77777777" w:rsidR="0081658E" w:rsidRPr="00D967C8" w:rsidRDefault="00BE16B2" w:rsidP="00C8441B">
                      <w:pPr>
                        <w:rPr>
                          <w:bCs/>
                          <w:color w:val="auto"/>
                          <w:sz w:val="16"/>
                          <w:szCs w:val="16"/>
                          <w:lang w:val="en-US"/>
                        </w:rPr>
                      </w:pPr>
                      <w:r w:rsidRPr="00D967C8">
                        <w:rPr>
                          <w:bCs/>
                          <w:color w:val="auto"/>
                          <w:sz w:val="16"/>
                          <w:szCs w:val="16"/>
                          <w:lang w:val="en-US"/>
                        </w:rPr>
                        <w:t>Amnesty International</w:t>
                      </w:r>
                      <w:r w:rsidRPr="00D967C8">
                        <w:rPr>
                          <w:bCs/>
                          <w:color w:val="auto"/>
                          <w:sz w:val="16"/>
                          <w:szCs w:val="16"/>
                          <w:lang w:val="en-US"/>
                        </w:rPr>
                        <w:br/>
                        <w:t>Peter Benenson House</w:t>
                      </w:r>
                      <w:r w:rsidRPr="00D967C8">
                        <w:rPr>
                          <w:bCs/>
                          <w:color w:val="auto"/>
                          <w:sz w:val="16"/>
                          <w:szCs w:val="16"/>
                          <w:lang w:val="en-US"/>
                        </w:rPr>
                        <w:br/>
                        <w:t>1 Easton Street</w:t>
                      </w:r>
                      <w:r w:rsidRPr="00D967C8">
                        <w:rPr>
                          <w:bCs/>
                          <w:color w:val="auto"/>
                          <w:sz w:val="16"/>
                          <w:szCs w:val="16"/>
                          <w:lang w:val="en-US"/>
                        </w:rPr>
                        <w:br/>
                        <w:t xml:space="preserve">London WC1X 0DW, Reino </w:t>
                      </w:r>
                      <w:proofErr w:type="spellStart"/>
                      <w:r w:rsidRPr="00D967C8">
                        <w:rPr>
                          <w:bCs/>
                          <w:color w:val="auto"/>
                          <w:sz w:val="16"/>
                          <w:szCs w:val="16"/>
                          <w:lang w:val="en-US"/>
                        </w:rPr>
                        <w:t>Unido</w:t>
                      </w:r>
                      <w:proofErr w:type="spellEnd"/>
                    </w:p>
                    <w:p w14:paraId="60912D10" w14:textId="77777777" w:rsidR="0081658E" w:rsidRPr="00D967C8" w:rsidRDefault="0081658E" w:rsidP="00C8441B">
                      <w:pPr>
                        <w:rPr>
                          <w:sz w:val="14"/>
                          <w:szCs w:val="14"/>
                          <w:lang w:val="en-US"/>
                        </w:rPr>
                      </w:pPr>
                    </w:p>
                  </w:txbxContent>
                </v:textbox>
              </v:shape>
            </w:pict>
          </mc:Fallback>
        </mc:AlternateContent>
      </w:r>
      <w:r w:rsidR="003C4C4B">
        <w:rPr>
          <w:noProof/>
        </w:rPr>
        <mc:AlternateContent>
          <mc:Choice Requires="wps">
            <w:drawing>
              <wp:anchor distT="0" distB="0" distL="114300" distR="114300" simplePos="0" relativeHeight="251658247" behindDoc="0" locked="0" layoutInCell="1" allowOverlap="1" wp14:anchorId="68AFAA75" wp14:editId="362B367A">
                <wp:simplePos x="0" y="0"/>
                <wp:positionH relativeFrom="column">
                  <wp:posOffset>321310</wp:posOffset>
                </wp:positionH>
                <wp:positionV relativeFrom="paragraph">
                  <wp:posOffset>5414645</wp:posOffset>
                </wp:positionV>
                <wp:extent cx="2256790" cy="327025"/>
                <wp:effectExtent l="2540" t="0" r="0" b="0"/>
                <wp:wrapNone/>
                <wp:docPr id="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679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7B1DFA8" w14:textId="77777777" w:rsidR="007A577D" w:rsidRPr="00D90830" w:rsidRDefault="00BE16B2"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0DDE0EE5" w14:textId="77777777" w:rsidR="007A577D" w:rsidRDefault="007A577D"/>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8AFAA75" id="Text Box 12" o:spid="_x0000_s1033" type="#_x0000_t202" style="position:absolute;margin-left:25.3pt;margin-top:426.35pt;width:177.7pt;height:25.7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" filled="f" stroked="f" strokeweight=".5pt">
                <v:textbox>
                  <w:txbxContent>
                    <w:p w14:paraId="47B1DFA8" w14:textId="77777777" w:rsidR="007A577D" w:rsidRPr="00D90830" w:rsidRDefault="00BE16B2"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0DDE0EE5" w14:textId="77777777" w:rsidR="007A577D" w:rsidRDefault="007A577D"/>
                  </w:txbxContent>
                </v:textbox>
              </v:shape>
            </w:pict>
          </mc:Fallback>
        </mc:AlternateContent>
      </w:r>
    </w:p>
    <w:sectPr w:rsidR="00EE3C56" w:rsidRPr="00065FFC">
      <w:footerReference w:type="first" r:id="rId23"/>
      <w:pgSz w:w="11906" w:h="16838" w:code="9"/>
      <w:pgMar w:top="1474" w:right="1418" w:bottom="156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B9F58" w14:textId="77777777" w:rsidR="00F5000E" w:rsidRDefault="00F5000E">
      <w:r>
        <w:separator/>
      </w:r>
    </w:p>
  </w:endnote>
  <w:endnote w:type="continuationSeparator" w:id="0">
    <w:p w14:paraId="567A4824" w14:textId="77777777" w:rsidR="00F5000E" w:rsidRDefault="00F50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03D64" w14:textId="77777777" w:rsidR="00282ED3" w:rsidRDefault="00282ED3" w:rsidP="00282ED3">
    <w:pPr>
      <w:tabs>
        <w:tab w:val="center" w:pos="4423"/>
        <w:tab w:val="right" w:pos="9923"/>
      </w:tabs>
      <w:rPr>
        <w:rFonts w:ascii="Amnesty Trade Gothic Cn" w:eastAsiaTheme="minorEastAsia" w:hAnsi="Amnesty Trade Gothic Cn"/>
        <w:b/>
        <w:color w:val="000000" w:themeColor="text1"/>
        <w:sz w:val="15"/>
        <w:szCs w:val="15"/>
      </w:rPr>
    </w:pPr>
  </w:p>
  <w:p w14:paraId="559E407B" w14:textId="32BCF217" w:rsidR="00282ED3" w:rsidRPr="008F110B" w:rsidRDefault="00282ED3" w:rsidP="00282ED3">
    <w:pPr>
      <w:tabs>
        <w:tab w:val="center" w:pos="4423"/>
        <w:tab w:val="right" w:pos="9923"/>
      </w:tabs>
      <w:rPr>
        <w:rFonts w:ascii="Amnesty Trade Gothic Cn" w:eastAsiaTheme="minorEastAsia" w:hAnsi="Amnesty Trade Gothic Cn"/>
        <w:b/>
        <w:bCs/>
        <w:caps/>
        <w:color w:val="000000" w:themeColor="text1"/>
        <w:sz w:val="15"/>
        <w:szCs w:val="15"/>
      </w:rPr>
    </w:pPr>
    <w:r w:rsidRPr="008F110B">
      <w:rPr>
        <w:rFonts w:ascii="Amnesty Trade Gothic Cn" w:eastAsiaTheme="minorEastAsia" w:hAnsi="Amnesty Trade Gothic Cn"/>
        <w:b/>
        <w:color w:val="000000" w:themeColor="text1"/>
        <w:sz w:val="15"/>
        <w:szCs w:val="15"/>
      </w:rPr>
      <w:t>CHILE</w:t>
    </w:r>
  </w:p>
  <w:p w14:paraId="331C8D8B" w14:textId="77777777" w:rsidR="00282ED3" w:rsidRPr="003320DA" w:rsidRDefault="00282ED3" w:rsidP="00282ED3">
    <w:pPr>
      <w:tabs>
        <w:tab w:val="center" w:pos="4423"/>
        <w:tab w:val="right" w:pos="9923"/>
      </w:tabs>
      <w:rPr>
        <w:rFonts w:ascii="Amnesty Trade Gothic Cn" w:eastAsiaTheme="minorEastAsia" w:hAnsi="Amnesty Trade Gothic Cn"/>
        <w:bCs/>
        <w:caps/>
        <w:color w:val="000000" w:themeColor="text1"/>
        <w:sz w:val="15"/>
        <w:szCs w:val="15"/>
      </w:rPr>
    </w:pPr>
    <w:r>
      <w:rPr>
        <w:rFonts w:ascii="Amnesty Trade Gothic Cn" w:eastAsiaTheme="minorEastAsia" w:hAnsi="Amnesty Trade Gothic Cn"/>
        <w:bCs/>
        <w:caps/>
        <w:color w:val="000000" w:themeColor="text1"/>
        <w:sz w:val="15"/>
        <w:szCs w:val="15"/>
      </w:rPr>
      <w:t>INFORME AL COMITÉ DE LOS DERECHOS ECONÓMICOS, SOCIALES Y CULTURALES</w:t>
    </w:r>
  </w:p>
  <w:p w14:paraId="68952402" w14:textId="68A7B58D" w:rsidR="00503E22" w:rsidRPr="008F110B" w:rsidRDefault="00282ED3" w:rsidP="008F110B">
    <w:pPr>
      <w:tabs>
        <w:tab w:val="center" w:pos="4423"/>
        <w:tab w:val="right" w:pos="9923"/>
      </w:tabs>
      <w:rPr>
        <w:rFonts w:ascii="Amnesty Trade Gothic Cn" w:hAnsi="Amnesty Trade Gothic Cn"/>
      </w:rPr>
    </w:pPr>
    <w:r w:rsidRPr="008F110B">
      <w:rPr>
        <w:rFonts w:ascii="Amnesty Trade Gothic Cn" w:hAnsi="Amnesty Trade Gothic Cn"/>
        <w:color w:val="000000" w:themeColor="text1"/>
      </w:rPr>
      <w:t>Amnistía Internacional</w:t>
    </w:r>
    <w: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3</w:t>
    </w:r>
    <w:r w:rsidRPr="003E2AA1">
      <w:rPr>
        <w:rFonts w:ascii="Amnesty Trade Gothic Cn" w:hAnsi="Amnesty Trade Gothic 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0DA77" w14:textId="4CBC3E9C" w:rsidR="0081658E" w:rsidRPr="00971921" w:rsidRDefault="003320DA" w:rsidP="006073F2">
    <w:pPr>
      <w:pStyle w:val="Footer"/>
      <w:spacing w:line="520" w:lineRule="exact"/>
      <w:rPr>
        <w:rFonts w:ascii="Amnesty Trade Gothic Cn" w:hAnsi="Amnesty Trade Gothic Cn"/>
        <w:color w:val="AEAAAA"/>
        <w:sz w:val="52"/>
        <w:szCs w:val="52"/>
      </w:rPr>
    </w:pPr>
    <w:r>
      <w:rPr>
        <w:rFonts w:ascii="Amnesty Trade Gothic Cn" w:hAnsi="Amnesty Trade Gothic Cn"/>
        <w:caps/>
        <w:noProof/>
        <w:color w:val="AEAAAA"/>
        <w:sz w:val="52"/>
        <w:szCs w:val="52"/>
      </w:rPr>
      <w:drawing>
        <wp:anchor distT="0" distB="0" distL="114300" distR="114300" simplePos="0" relativeHeight="251658240" behindDoc="0" locked="0" layoutInCell="1" allowOverlap="0" wp14:anchorId="5696943A" wp14:editId="69C16AEE">
          <wp:simplePos x="0" y="0"/>
          <wp:positionH relativeFrom="margin">
            <wp:posOffset>5073650</wp:posOffset>
          </wp:positionH>
          <wp:positionV relativeFrom="page">
            <wp:posOffset>9596120</wp:posOffset>
          </wp:positionV>
          <wp:extent cx="1472565" cy="619125"/>
          <wp:effectExtent l="0" t="0" r="0" b="0"/>
          <wp:wrapSquare wrapText="bothSides"/>
          <wp:docPr id="212534766"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256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30E96" w14:textId="2EB9C142" w:rsidR="0029582C" w:rsidRPr="00193D59" w:rsidRDefault="008F110B" w:rsidP="0029582C">
    <w:pPr>
      <w:tabs>
        <w:tab w:val="center" w:pos="4423"/>
        <w:tab w:val="right" w:pos="9923"/>
      </w:tabs>
      <w:rPr>
        <w:rFonts w:ascii="Amnesty Trade Gothic Cn" w:eastAsiaTheme="minorEastAsia" w:hAnsi="Amnesty Trade Gothic Cn"/>
        <w:b/>
        <w:bCs/>
        <w:caps/>
        <w:color w:val="000000" w:themeColor="text1"/>
        <w:sz w:val="16"/>
        <w:szCs w:val="16"/>
      </w:rPr>
    </w:pPr>
    <w:r w:rsidRPr="00193D59">
      <w:rPr>
        <w:rFonts w:ascii="Amnesty Trade Gothic Cn" w:eastAsiaTheme="minorEastAsia" w:hAnsi="Amnesty Trade Gothic Cn"/>
        <w:b/>
        <w:color w:val="000000" w:themeColor="text1"/>
        <w:sz w:val="16"/>
        <w:szCs w:val="16"/>
      </w:rPr>
      <w:t>CHILE</w:t>
    </w:r>
  </w:p>
  <w:p w14:paraId="4A939304" w14:textId="73785F5E" w:rsidR="0029582C" w:rsidRPr="00193D59" w:rsidRDefault="008F110B" w:rsidP="0029582C">
    <w:pPr>
      <w:tabs>
        <w:tab w:val="center" w:pos="4423"/>
        <w:tab w:val="right" w:pos="9923"/>
      </w:tabs>
      <w:rPr>
        <w:rFonts w:ascii="Amnesty Trade Gothic Cn" w:eastAsiaTheme="minorEastAsia" w:hAnsi="Amnesty Trade Gothic Cn"/>
        <w:bCs/>
        <w:caps/>
        <w:color w:val="000000" w:themeColor="text1"/>
        <w:sz w:val="16"/>
        <w:szCs w:val="16"/>
      </w:rPr>
    </w:pPr>
    <w:r w:rsidRPr="00193D59">
      <w:rPr>
        <w:rFonts w:ascii="Amnesty Trade Gothic Cn" w:eastAsiaTheme="minorEastAsia" w:hAnsi="Amnesty Trade Gothic Cn"/>
        <w:bCs/>
        <w:caps/>
        <w:color w:val="000000" w:themeColor="text1"/>
        <w:sz w:val="16"/>
        <w:szCs w:val="16"/>
      </w:rPr>
      <w:t>INFORME AL COMITÉ DE LOS DERECHOS ECONÓMICOS, SOCIALES Y CULTURALES</w:t>
    </w:r>
  </w:p>
  <w:p w14:paraId="1A7BEA7B" w14:textId="77777777" w:rsidR="00503E22" w:rsidRPr="003E2AA1" w:rsidRDefault="00755492" w:rsidP="0029582C">
    <w:pPr>
      <w:tabs>
        <w:tab w:val="center" w:pos="4423"/>
        <w:tab w:val="right" w:pos="9923"/>
      </w:tabs>
      <w:rPr>
        <w:rFonts w:ascii="Amnesty Trade Gothic Cn" w:hAnsi="Amnesty Trade Gothic Cn"/>
      </w:rPr>
    </w:pPr>
    <w:r w:rsidRPr="00193D59">
      <w:rPr>
        <w:rFonts w:ascii="Amnesty Trade Gothic Cn" w:hAnsi="Amnesty Trade Gothic Cn"/>
        <w:color w:val="000000" w:themeColor="text1"/>
        <w:sz w:val="16"/>
        <w:szCs w:val="16"/>
      </w:rPr>
      <w:t>Amnistía Internacional</w:t>
    </w:r>
    <w:r w:rsidR="00BE16B2">
      <w:tab/>
    </w:r>
    <w:r w:rsidR="00BE16B2" w:rsidRPr="003E2AA1">
      <w:rPr>
        <w:rFonts w:ascii="Amnesty Trade Gothic Cn" w:hAnsi="Amnesty Trade Gothic Cn"/>
      </w:rPr>
      <w:fldChar w:fldCharType="begin"/>
    </w:r>
    <w:r w:rsidR="00BE16B2" w:rsidRPr="003E2AA1">
      <w:rPr>
        <w:rFonts w:ascii="Amnesty Trade Gothic Cn" w:hAnsi="Amnesty Trade Gothic Cn"/>
      </w:rPr>
      <w:instrText xml:space="preserve"> PAGE   \* MERGEFORMAT </w:instrText>
    </w:r>
    <w:r w:rsidR="00BE16B2" w:rsidRPr="003E2AA1">
      <w:rPr>
        <w:rFonts w:ascii="Amnesty Trade Gothic Cn" w:hAnsi="Amnesty Trade Gothic Cn"/>
      </w:rPr>
      <w:fldChar w:fldCharType="separate"/>
    </w:r>
    <w:r w:rsidR="00BE16B2">
      <w:rPr>
        <w:rFonts w:ascii="Amnesty Trade Gothic Cn" w:hAnsi="Amnesty Trade Gothic Cn"/>
      </w:rPr>
      <w:t>2</w:t>
    </w:r>
    <w:r w:rsidR="00BE16B2" w:rsidRPr="003E2AA1">
      <w:rPr>
        <w:rFonts w:ascii="Amnesty Trade Gothic Cn" w:hAnsi="Amnesty Trade Gothic Cn"/>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AA924" w14:textId="77777777" w:rsidR="001E0E75" w:rsidRPr="001E0E75" w:rsidRDefault="001E0E75" w:rsidP="001E0E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F3B0B" w14:textId="77777777" w:rsidR="00F5000E" w:rsidRDefault="00F5000E" w:rsidP="003A7195">
      <w:r>
        <w:separator/>
      </w:r>
    </w:p>
  </w:footnote>
  <w:footnote w:type="continuationSeparator" w:id="0">
    <w:p w14:paraId="0D8C97BD" w14:textId="77777777" w:rsidR="00F5000E" w:rsidRDefault="00F5000E" w:rsidP="003A7195">
      <w:r>
        <w:continuationSeparator/>
      </w:r>
    </w:p>
  </w:footnote>
  <w:footnote w:type="continuationNotice" w:id="1">
    <w:p w14:paraId="272DF3BA" w14:textId="77777777" w:rsidR="00F5000E" w:rsidRDefault="00F5000E"/>
  </w:footnote>
  <w:footnote w:id="2">
    <w:p w14:paraId="2D470B69" w14:textId="77777777" w:rsidR="008F110B" w:rsidRPr="006D4D8E" w:rsidRDefault="008F110B" w:rsidP="008F110B">
      <w:pPr>
        <w:pStyle w:val="FootnoteText"/>
      </w:pPr>
      <w:r>
        <w:rPr>
          <w:rStyle w:val="FootnoteReference"/>
        </w:rPr>
        <w:footnoteRef/>
      </w:r>
      <w:r>
        <w:t xml:space="preserve"> </w:t>
      </w:r>
      <w:r w:rsidRPr="006F171A">
        <w:rPr>
          <w:rFonts w:asciiTheme="minorHAnsi" w:hAnsiTheme="minorHAnsi"/>
          <w:szCs w:val="14"/>
        </w:rPr>
        <w:t xml:space="preserve">Amnistía Internacional. Ojos sobre Chile. Violencia policial y responsabilidad de mando durante el estallido social. 14 de octubre de 2020. Disponible en:  </w:t>
      </w:r>
      <w:hyperlink r:id="rId1" w:history="1">
        <w:r w:rsidRPr="006F171A">
          <w:rPr>
            <w:rStyle w:val="Hyperlink"/>
            <w:rFonts w:asciiTheme="minorHAnsi" w:hAnsiTheme="minorHAnsi"/>
            <w:szCs w:val="14"/>
          </w:rPr>
          <w:t>https://www.amnesty.org/es/documents/amr22/3133/2020/es/</w:t>
        </w:r>
      </w:hyperlink>
      <w:r>
        <w:t>.</w:t>
      </w:r>
    </w:p>
  </w:footnote>
  <w:footnote w:id="3">
    <w:p w14:paraId="198D7810" w14:textId="77777777" w:rsidR="008F110B" w:rsidRPr="006D4D8E" w:rsidRDefault="008F110B" w:rsidP="008F110B">
      <w:pPr>
        <w:pStyle w:val="FootnoteText"/>
        <w:rPr>
          <w:lang w:val="es-MX"/>
        </w:rPr>
      </w:pPr>
      <w:r>
        <w:rPr>
          <w:rStyle w:val="FootnoteReference"/>
        </w:rPr>
        <w:footnoteRef/>
      </w:r>
      <w:r>
        <w:t xml:space="preserve"> </w:t>
      </w:r>
      <w:r w:rsidRPr="00B25E07">
        <w:t xml:space="preserve">Varas, J., Campos, M.Á., Tapia, E. et al. </w:t>
      </w:r>
      <w:r w:rsidRPr="006D4D8E">
        <w:rPr>
          <w:lang w:val="en-US"/>
        </w:rPr>
        <w:t xml:space="preserve">Visual-functional impact of people affected by severe ocular trauma during social protests in Chile in 2019. </w:t>
      </w:r>
      <w:proofErr w:type="spellStart"/>
      <w:r w:rsidRPr="00B25E07">
        <w:t>Int</w:t>
      </w:r>
      <w:proofErr w:type="spellEnd"/>
      <w:r w:rsidRPr="00B25E07">
        <w:t xml:space="preserve"> </w:t>
      </w:r>
      <w:proofErr w:type="spellStart"/>
      <w:r w:rsidRPr="00B25E07">
        <w:t>Ophthalmol</w:t>
      </w:r>
      <w:proofErr w:type="spellEnd"/>
      <w:r w:rsidRPr="00B25E07">
        <w:t xml:space="preserve"> 44, 77 (2024).</w:t>
      </w:r>
    </w:p>
  </w:footnote>
  <w:footnote w:id="4">
    <w:p w14:paraId="6343CB23" w14:textId="77777777" w:rsidR="008F110B" w:rsidRPr="002B050D" w:rsidRDefault="008F110B" w:rsidP="008F110B">
      <w:pPr>
        <w:pStyle w:val="FootnoteText"/>
        <w:rPr>
          <w:lang w:val="es-MX"/>
        </w:rPr>
      </w:pPr>
      <w:r>
        <w:rPr>
          <w:rStyle w:val="FootnoteReference"/>
        </w:rPr>
        <w:footnoteRef/>
      </w:r>
      <w:r>
        <w:t xml:space="preserve"> </w:t>
      </w:r>
      <w:proofErr w:type="spellStart"/>
      <w:r w:rsidRPr="00230F97">
        <w:t>Fast</w:t>
      </w:r>
      <w:proofErr w:type="spellEnd"/>
      <w:r w:rsidRPr="00230F97">
        <w:t xml:space="preserve"> </w:t>
      </w:r>
      <w:proofErr w:type="spellStart"/>
      <w:r w:rsidRPr="00230F97">
        <w:t>Check</w:t>
      </w:r>
      <w:proofErr w:type="spellEnd"/>
      <w:r w:rsidRPr="00230F97">
        <w:t xml:space="preserve">. La última lágrima: el suicidio de las víctimas de trauma ocular que Chile olvidó. 19 de octubre de 2024. Disponible en: </w:t>
      </w:r>
      <w:hyperlink r:id="rId2" w:history="1">
        <w:r w:rsidRPr="00ED7FC3">
          <w:rPr>
            <w:rStyle w:val="Hyperlink"/>
          </w:rPr>
          <w:t>https://www.fastcheck.cl/2024/10/19/la-ultima-lagrima-el-suicido-de-las-victimas-de-trauma-ocular-que-chile-olvido/</w:t>
        </w:r>
      </w:hyperlink>
      <w:r>
        <w:t xml:space="preserve">. </w:t>
      </w:r>
    </w:p>
  </w:footnote>
  <w:footnote w:id="5">
    <w:p w14:paraId="3AD4E8F0" w14:textId="77777777" w:rsidR="008F110B" w:rsidRPr="00191276" w:rsidRDefault="008F110B" w:rsidP="008F110B">
      <w:pPr>
        <w:pStyle w:val="FootnoteText"/>
        <w:rPr>
          <w:lang w:val="es-MX"/>
        </w:rPr>
      </w:pPr>
      <w:r>
        <w:rPr>
          <w:rStyle w:val="FootnoteReference"/>
        </w:rPr>
        <w:footnoteRef/>
      </w:r>
      <w:r>
        <w:t xml:space="preserve"> La Orientación Técnica para el PIRO fue aprobada en 2022. Ver: Ministerio de Salud de Chile. </w:t>
      </w:r>
      <w:r>
        <w:rPr>
          <w:lang w:val="es-ES_tradnl"/>
        </w:rPr>
        <w:t xml:space="preserve">Resolución exenta </w:t>
      </w:r>
      <w:proofErr w:type="spellStart"/>
      <w:r>
        <w:rPr>
          <w:lang w:val="es-ES_tradnl"/>
        </w:rPr>
        <w:t>N°</w:t>
      </w:r>
      <w:proofErr w:type="spellEnd"/>
      <w:r>
        <w:rPr>
          <w:lang w:val="es-ES_tradnl"/>
        </w:rPr>
        <w:t xml:space="preserve"> 489, de 1 de julio de 2022, que aprueba orientación técnica del Programa integral de reparación ocular – PIRO.</w:t>
      </w:r>
    </w:p>
  </w:footnote>
  <w:footnote w:id="6">
    <w:p w14:paraId="14F91642" w14:textId="77777777" w:rsidR="008F110B" w:rsidRPr="00CB1CA8" w:rsidRDefault="008F110B" w:rsidP="008F110B">
      <w:pPr>
        <w:pStyle w:val="FootnoteText"/>
        <w:rPr>
          <w:lang w:val="es-MX"/>
        </w:rPr>
      </w:pPr>
      <w:r>
        <w:rPr>
          <w:rStyle w:val="FootnoteReference"/>
        </w:rPr>
        <w:footnoteRef/>
      </w:r>
      <w:r>
        <w:t xml:space="preserve"> </w:t>
      </w:r>
      <w:r w:rsidRPr="00B34077">
        <w:t xml:space="preserve">Zúñiga, Marcela. ¿Reparación integral para las víctimas del estallido social? Análisis de las medidas gubernamentales. En: Centro de Derechos Humanos, Universidad Diego Portales. Informe Anual sobre Derechos Humanos en Chile 2022. Disponible en: </w:t>
      </w:r>
      <w:hyperlink r:id="rId3" w:history="1">
        <w:r w:rsidRPr="00CC55A2">
          <w:rPr>
            <w:rStyle w:val="Hyperlink"/>
          </w:rPr>
          <w:t>https://derechoshumanos.udp.cl/cms/wp-content/uploads/2022/11/DDHH2022_02_Reparacion_Estallido.pdf</w:t>
        </w:r>
      </w:hyperlink>
      <w:r>
        <w:t xml:space="preserve">. </w:t>
      </w:r>
    </w:p>
  </w:footnote>
  <w:footnote w:id="7">
    <w:p w14:paraId="32D79800" w14:textId="77777777" w:rsidR="008F110B" w:rsidRPr="00060037" w:rsidRDefault="008F110B" w:rsidP="008F110B">
      <w:pPr>
        <w:pStyle w:val="FootnoteText"/>
      </w:pPr>
      <w:r>
        <w:rPr>
          <w:rStyle w:val="FootnoteReference"/>
        </w:rPr>
        <w:footnoteRef/>
      </w:r>
      <w:r>
        <w:t xml:space="preserve"> La Orientación Técnica para el PACTO fue aprobada en 2023. Ver: Ministerio de Saludo. </w:t>
      </w:r>
      <w:r>
        <w:rPr>
          <w:lang w:val="es-ES_tradnl"/>
        </w:rPr>
        <w:t xml:space="preserve">Resolución exenta </w:t>
      </w:r>
      <w:proofErr w:type="spellStart"/>
      <w:r>
        <w:rPr>
          <w:lang w:val="es-ES_tradnl"/>
        </w:rPr>
        <w:t>N°</w:t>
      </w:r>
      <w:proofErr w:type="spellEnd"/>
      <w:r>
        <w:rPr>
          <w:lang w:val="es-ES_tradnl"/>
        </w:rPr>
        <w:t xml:space="preserve"> 577, de 10 de agosto de 2023, que aprueba la “Orientación técnica Plan de acompañamiento y cuidado a personas víctimas de trauma ocular, lesiones graves y lesionados por perdigones – PACTO.</w:t>
      </w:r>
    </w:p>
  </w:footnote>
  <w:footnote w:id="8">
    <w:p w14:paraId="13EF106B" w14:textId="77777777" w:rsidR="008F110B" w:rsidRPr="007814D8" w:rsidRDefault="008F110B" w:rsidP="008F110B">
      <w:pPr>
        <w:pStyle w:val="FootnoteText"/>
        <w:rPr>
          <w:lang w:val="es-MX"/>
        </w:rPr>
      </w:pPr>
      <w:r>
        <w:rPr>
          <w:rStyle w:val="FootnoteReference"/>
        </w:rPr>
        <w:footnoteRef/>
      </w:r>
      <w:r>
        <w:t xml:space="preserve"> </w:t>
      </w:r>
      <w:r w:rsidRPr="00110BFF">
        <w:t xml:space="preserve">Lucero, Francisco y Bravo, Benjamín. Cifras del PACTO: A cinco años del 18-O: solo 58% de las víctimas están adscritas al programa estatal de reparación y más de 80 mantienen perdigones en el cuerpo. En: Sobre Espacio. Revista de la Escuela de Periodismo de la Universidad de Chile. Disponible en: </w:t>
      </w:r>
      <w:hyperlink r:id="rId4" w:history="1">
        <w:r w:rsidRPr="00ED7FC3">
          <w:rPr>
            <w:rStyle w:val="Hyperlink"/>
          </w:rPr>
          <w:t>https://doble-espacio.uchile.cl/2024/10/18/a-cinco-anos-del-18-o-solo-58-de-las-victimas-estan-adscritas-al-programa-de-reparacion-estatal-y-mas-de-80-mantienen-perdigones-en-el-cuerpo/</w:t>
        </w:r>
      </w:hyperlink>
      <w:r w:rsidRPr="00110BFF">
        <w:t>.</w:t>
      </w:r>
      <w:r>
        <w:t xml:space="preserve"> </w:t>
      </w:r>
    </w:p>
  </w:footnote>
  <w:footnote w:id="9">
    <w:p w14:paraId="5555993C" w14:textId="77777777" w:rsidR="008F110B" w:rsidRPr="000C6634" w:rsidRDefault="008F110B" w:rsidP="008F110B">
      <w:pPr>
        <w:pStyle w:val="FootnoteText"/>
        <w:rPr>
          <w:lang w:val="es-MX"/>
        </w:rPr>
      </w:pPr>
      <w:r>
        <w:rPr>
          <w:rStyle w:val="FootnoteReference"/>
        </w:rPr>
        <w:footnoteRef/>
      </w:r>
      <w:r>
        <w:t xml:space="preserve"> </w:t>
      </w:r>
      <w:r>
        <w:rPr>
          <w:lang w:val="es-ES_tradnl"/>
        </w:rPr>
        <w:t xml:space="preserve">Amnistía Internacional. </w:t>
      </w:r>
      <w:r w:rsidRPr="00451B8E">
        <w:rPr>
          <w:lang w:val="es-ES_tradnl"/>
        </w:rPr>
        <w:t>Chile: A cuatro años del estallido social persiste la impunidad y la falta de reparación integral para las víctimas</w:t>
      </w:r>
      <w:r>
        <w:rPr>
          <w:lang w:val="es-ES_tradnl"/>
        </w:rPr>
        <w:t xml:space="preserve">. 17 de octubre de 2023. Disponible en: </w:t>
      </w:r>
      <w:hyperlink r:id="rId5" w:history="1">
        <w:r w:rsidRPr="00565BA9">
          <w:rPr>
            <w:rStyle w:val="Hyperlink"/>
            <w:lang w:val="es-ES_tradnl"/>
          </w:rPr>
          <w:t>https://www.amnesty.org/es/latest/news/2023/10/chile-four-years-social-unrest-impunity/</w:t>
        </w:r>
      </w:hyperlink>
      <w:r>
        <w:rPr>
          <w:lang w:val="es-ES_tradnl"/>
        </w:rPr>
        <w:t xml:space="preserve">. </w:t>
      </w:r>
    </w:p>
  </w:footnote>
  <w:footnote w:id="10">
    <w:p w14:paraId="4FE46DC2" w14:textId="77777777" w:rsidR="008F110B" w:rsidRPr="00D70127" w:rsidRDefault="008F110B" w:rsidP="008F110B">
      <w:pPr>
        <w:pStyle w:val="FootnoteText"/>
        <w:rPr>
          <w:lang w:val="es-MX"/>
        </w:rPr>
      </w:pPr>
      <w:r>
        <w:rPr>
          <w:rStyle w:val="FootnoteReference"/>
        </w:rPr>
        <w:footnoteRef/>
      </w:r>
      <w:r>
        <w:t xml:space="preserve"> </w:t>
      </w:r>
      <w:r w:rsidRPr="00D70127">
        <w:t xml:space="preserve">Servicio Nacional de migraciones. Estimaciones de extranjeros. Disponible en: </w:t>
      </w:r>
      <w:hyperlink r:id="rId6" w:history="1">
        <w:r w:rsidRPr="00ED7FC3">
          <w:rPr>
            <w:rStyle w:val="Hyperlink"/>
          </w:rPr>
          <w:t>https://serviciomigraciones.cl/estudios-migratorios/estimaciones-de-extranjeros/</w:t>
        </w:r>
      </w:hyperlink>
      <w:r>
        <w:t>.</w:t>
      </w:r>
    </w:p>
  </w:footnote>
  <w:footnote w:id="11">
    <w:p w14:paraId="095398F3" w14:textId="77777777" w:rsidR="008F110B" w:rsidRPr="00962A2C" w:rsidRDefault="008F110B" w:rsidP="008F110B">
      <w:pPr>
        <w:pStyle w:val="FootnoteText"/>
        <w:rPr>
          <w:lang w:val="es-ES_tradnl"/>
        </w:rPr>
      </w:pPr>
      <w:r>
        <w:rPr>
          <w:rStyle w:val="FootnoteReference"/>
        </w:rPr>
        <w:footnoteRef/>
      </w:r>
      <w:r>
        <w:t xml:space="preserve"> </w:t>
      </w:r>
      <w:r>
        <w:rPr>
          <w:lang w:val="es-ES_tradnl"/>
        </w:rPr>
        <w:t xml:space="preserve">La Tercera. </w:t>
      </w:r>
      <w:r w:rsidRPr="00962A2C">
        <w:rPr>
          <w:lang w:val="es-ES_tradnl"/>
        </w:rPr>
        <w:t>Matrícula de estudiantes migrantes ha crecido en un 244% en siete años</w:t>
      </w:r>
      <w:r>
        <w:rPr>
          <w:lang w:val="es-ES_tradnl"/>
        </w:rPr>
        <w:t xml:space="preserve">. 1 de marzo de 2024. Disponible en: </w:t>
      </w:r>
      <w:hyperlink r:id="rId7" w:history="1">
        <w:r w:rsidRPr="00565BA9">
          <w:rPr>
            <w:rStyle w:val="Hyperlink"/>
            <w:lang w:val="es-ES_tradnl"/>
          </w:rPr>
          <w:t>https://www.latercera.com/la-tercera-sabado/noticia/matricula-de-estudiantes-migrantes-ha-crecido-en-un-244-en-siete-anos/JDO4BDHAXRG5ZCL63IKPQWSNKE/</w:t>
        </w:r>
      </w:hyperlink>
      <w:r>
        <w:rPr>
          <w:lang w:val="es-ES_tradnl"/>
        </w:rPr>
        <w:t xml:space="preserve"> </w:t>
      </w:r>
    </w:p>
  </w:footnote>
  <w:footnote w:id="12">
    <w:p w14:paraId="671F6436" w14:textId="77777777" w:rsidR="008F110B" w:rsidRPr="00412F27" w:rsidRDefault="008F110B" w:rsidP="008F110B">
      <w:pPr>
        <w:pStyle w:val="FootnoteText"/>
        <w:rPr>
          <w:lang w:val="es-ES_tradnl"/>
        </w:rPr>
      </w:pPr>
      <w:r>
        <w:rPr>
          <w:rStyle w:val="FootnoteReference"/>
        </w:rPr>
        <w:footnoteRef/>
      </w:r>
      <w:r>
        <w:t xml:space="preserve"> </w:t>
      </w:r>
      <w:r>
        <w:rPr>
          <w:lang w:val="es-ES_tradnl"/>
        </w:rPr>
        <w:t xml:space="preserve">Biobío Chile. </w:t>
      </w:r>
      <w:r w:rsidRPr="00412F27">
        <w:rPr>
          <w:lang w:val="es-ES_tradnl"/>
        </w:rPr>
        <w:t>Aumento de población migrante provoca colapso en matrículas escolares de la Macrozona Norte</w:t>
      </w:r>
      <w:r>
        <w:rPr>
          <w:lang w:val="es-ES_tradnl"/>
        </w:rPr>
        <w:t xml:space="preserve">. 20 de marzo de 2023. Disponible en: </w:t>
      </w:r>
      <w:hyperlink r:id="rId8" w:history="1">
        <w:r w:rsidRPr="00565BA9">
          <w:rPr>
            <w:rStyle w:val="Hyperlink"/>
            <w:lang w:val="es-ES_tradnl"/>
          </w:rPr>
          <w:t>https://www.biobiochile.cl/noticias/nacional/region-de-tarapaca/2023/03/20/aumento-de-poblacion-migrante-provoca-colapso-en-matriculas-escolares-de-la-macrozona-norte.shtml</w:t>
        </w:r>
      </w:hyperlink>
      <w:r>
        <w:rPr>
          <w:lang w:val="es-ES_tradnl"/>
        </w:rPr>
        <w:t xml:space="preserve">. </w:t>
      </w:r>
    </w:p>
  </w:footnote>
  <w:footnote w:id="13">
    <w:p w14:paraId="3A5465D3" w14:textId="77777777" w:rsidR="008F110B" w:rsidRPr="00530B61" w:rsidRDefault="008F110B" w:rsidP="008F110B">
      <w:pPr>
        <w:pStyle w:val="FootnoteText"/>
      </w:pPr>
      <w:r>
        <w:rPr>
          <w:rStyle w:val="FootnoteReference"/>
        </w:rPr>
        <w:footnoteRef/>
      </w:r>
      <w:r>
        <w:t xml:space="preserve"> </w:t>
      </w:r>
      <w:r w:rsidRPr="00530B61">
        <w:t>Emol.com</w:t>
      </w:r>
      <w:r>
        <w:t xml:space="preserve">. El 39% de los afiliados que ha recibido Fonasa en los últimos cinco años son extranjeros. 26 de junio de 2024. Disponible en: </w:t>
      </w:r>
      <w:hyperlink r:id="rId9" w:history="1">
        <w:r w:rsidRPr="00565BA9">
          <w:rPr>
            <w:rStyle w:val="Hyperlink"/>
          </w:rPr>
          <w:t>https://www.emol.com/noticias/Nacional/2024/06/26/1134781/afiliados-fonasa-extranjeros-incrementa.html</w:t>
        </w:r>
      </w:hyperlink>
      <w:r>
        <w:t xml:space="preserve"> </w:t>
      </w:r>
    </w:p>
  </w:footnote>
  <w:footnote w:id="14">
    <w:p w14:paraId="52D3334E" w14:textId="77777777" w:rsidR="008F110B" w:rsidRPr="00530B61" w:rsidRDefault="008F110B" w:rsidP="008F110B">
      <w:pPr>
        <w:pStyle w:val="FootnoteText"/>
        <w:rPr>
          <w:lang w:val="es-ES_tradnl"/>
        </w:rPr>
      </w:pPr>
      <w:r>
        <w:rPr>
          <w:rStyle w:val="FootnoteReference"/>
        </w:rPr>
        <w:footnoteRef/>
      </w:r>
      <w:r>
        <w:t xml:space="preserve"> </w:t>
      </w:r>
      <w:r>
        <w:rPr>
          <w:lang w:val="es-ES_tradnl"/>
        </w:rPr>
        <w:t xml:space="preserve">Fuente: Datos abiertos, Fondo Nacional de Salud. Disponible en: </w:t>
      </w:r>
      <w:hyperlink r:id="rId10" w:history="1">
        <w:r w:rsidRPr="00565BA9">
          <w:rPr>
            <w:rStyle w:val="Hyperlink"/>
            <w:lang w:val="es-ES_tradnl"/>
          </w:rPr>
          <w:t>https://datosabiertos.fonasa.cl/dimensiones-beneficiarios/</w:t>
        </w:r>
      </w:hyperlink>
      <w:r>
        <w:rPr>
          <w:lang w:val="es-ES_tradnl"/>
        </w:rPr>
        <w:t xml:space="preserve"> </w:t>
      </w:r>
    </w:p>
  </w:footnote>
  <w:footnote w:id="15">
    <w:p w14:paraId="0B642782" w14:textId="77777777" w:rsidR="008F110B" w:rsidRPr="00494A47" w:rsidRDefault="008F110B" w:rsidP="008F110B">
      <w:pPr>
        <w:pStyle w:val="FootnoteText"/>
        <w:rPr>
          <w:lang w:val="es-ES_tradnl"/>
        </w:rPr>
      </w:pPr>
      <w:r>
        <w:rPr>
          <w:rStyle w:val="FootnoteReference"/>
        </w:rPr>
        <w:footnoteRef/>
      </w:r>
      <w:r>
        <w:t xml:space="preserve"> </w:t>
      </w:r>
      <w:r w:rsidRPr="00494A47">
        <w:t xml:space="preserve">Boletín </w:t>
      </w:r>
      <w:proofErr w:type="spellStart"/>
      <w:r>
        <w:t>N°</w:t>
      </w:r>
      <w:proofErr w:type="spellEnd"/>
      <w:r>
        <w:t xml:space="preserve"> </w:t>
      </w:r>
      <w:r w:rsidRPr="00494A47">
        <w:t>15439-06</w:t>
      </w:r>
      <w:r>
        <w:t xml:space="preserve">: Modifica diversos cuerpos legales con el objeto de establecer medidas para enfrentar la crisis migratoria. Disponible en: </w:t>
      </w:r>
      <w:hyperlink r:id="rId11" w:history="1">
        <w:r w:rsidRPr="00565BA9">
          <w:rPr>
            <w:rStyle w:val="Hyperlink"/>
          </w:rPr>
          <w:t>http://www.senado.cl/appsenado/templates/tramitacion/index.php?boletin_ini=15439-06</w:t>
        </w:r>
      </w:hyperlink>
      <w:r>
        <w:t xml:space="preserve"> </w:t>
      </w:r>
    </w:p>
  </w:footnote>
  <w:footnote w:id="16">
    <w:p w14:paraId="1C4C567C" w14:textId="77777777" w:rsidR="008F110B" w:rsidRPr="00C96CAC" w:rsidRDefault="008F110B" w:rsidP="008F110B">
      <w:pPr>
        <w:pStyle w:val="FootnoteText"/>
        <w:rPr>
          <w:lang w:val="es-ES_tradnl"/>
        </w:rPr>
      </w:pPr>
      <w:r>
        <w:rPr>
          <w:rStyle w:val="FootnoteReference"/>
        </w:rPr>
        <w:footnoteRef/>
      </w:r>
      <w:r>
        <w:t xml:space="preserve"> Boletín </w:t>
      </w:r>
      <w:proofErr w:type="spellStart"/>
      <w:r>
        <w:t>N°</w:t>
      </w:r>
      <w:proofErr w:type="spellEnd"/>
      <w:r>
        <w:t xml:space="preserve"> 16692-06: </w:t>
      </w:r>
      <w:r w:rsidRPr="00C96CAC">
        <w:t xml:space="preserve">Modifica la </w:t>
      </w:r>
      <w:r>
        <w:t>Ley</w:t>
      </w:r>
      <w:r w:rsidRPr="00C96CAC">
        <w:t xml:space="preserve"> </w:t>
      </w:r>
      <w:proofErr w:type="spellStart"/>
      <w:r w:rsidRPr="00C96CAC">
        <w:t>N°</w:t>
      </w:r>
      <w:proofErr w:type="spellEnd"/>
      <w:r w:rsidRPr="00C96CAC">
        <w:t xml:space="preserve"> 21.325, de Migración y Extranjería, para disponer el acceso preferente, a establecimientos educacionales, de estudiantes nacionales o extranjeros con residencia temporal o definitiva en el país</w:t>
      </w:r>
      <w:r>
        <w:t xml:space="preserve">. Disponible en: </w:t>
      </w:r>
      <w:hyperlink r:id="rId12" w:history="1">
        <w:r w:rsidRPr="00565BA9">
          <w:rPr>
            <w:rStyle w:val="Hyperlink"/>
          </w:rPr>
          <w:t>https://www.camara.cl/legislacion/ProyectosDe</w:t>
        </w:r>
        <w:r>
          <w:rPr>
            <w:rStyle w:val="Hyperlink"/>
          </w:rPr>
          <w:t>Ley</w:t>
        </w:r>
        <w:r w:rsidRPr="00565BA9">
          <w:rPr>
            <w:rStyle w:val="Hyperlink"/>
          </w:rPr>
          <w:t>/tramitacion.aspx?prmID=17260&amp;prmBOLETIN=16692-06</w:t>
        </w:r>
      </w:hyperlink>
      <w:r>
        <w:t xml:space="preserve">. </w:t>
      </w:r>
    </w:p>
  </w:footnote>
  <w:footnote w:id="17">
    <w:p w14:paraId="379E85A0" w14:textId="77777777" w:rsidR="008F110B" w:rsidRPr="00A922AD" w:rsidRDefault="008F110B" w:rsidP="008F110B">
      <w:pPr>
        <w:pStyle w:val="FootnoteText"/>
        <w:rPr>
          <w:lang w:val="es-ES_tradnl"/>
        </w:rPr>
      </w:pPr>
      <w:r>
        <w:rPr>
          <w:rStyle w:val="FootnoteReference"/>
        </w:rPr>
        <w:footnoteRef/>
      </w:r>
      <w:r>
        <w:t xml:space="preserve"> </w:t>
      </w:r>
      <w:r>
        <w:rPr>
          <w:lang w:val="es-ES_tradnl"/>
        </w:rPr>
        <w:t xml:space="preserve">Boletín </w:t>
      </w:r>
      <w:proofErr w:type="spellStart"/>
      <w:r>
        <w:rPr>
          <w:lang w:val="es-ES_tradnl"/>
        </w:rPr>
        <w:t>N°</w:t>
      </w:r>
      <w:proofErr w:type="spellEnd"/>
      <w:r>
        <w:rPr>
          <w:lang w:val="es-ES_tradnl"/>
        </w:rPr>
        <w:t xml:space="preserve"> 16072-06: </w:t>
      </w:r>
      <w:r w:rsidRPr="00A922AD">
        <w:rPr>
          <w:lang w:val="es-ES_tradnl"/>
        </w:rPr>
        <w:t xml:space="preserve">Modifica la </w:t>
      </w:r>
      <w:r>
        <w:rPr>
          <w:lang w:val="es-ES_tradnl"/>
        </w:rPr>
        <w:t>Ley</w:t>
      </w:r>
      <w:r w:rsidRPr="00A922AD">
        <w:rPr>
          <w:lang w:val="es-ES_tradnl"/>
        </w:rPr>
        <w:t xml:space="preserve"> </w:t>
      </w:r>
      <w:proofErr w:type="spellStart"/>
      <w:r w:rsidRPr="00A922AD">
        <w:rPr>
          <w:lang w:val="es-ES_tradnl"/>
        </w:rPr>
        <w:t>N°</w:t>
      </w:r>
      <w:proofErr w:type="spellEnd"/>
      <w:r w:rsidRPr="00A922AD">
        <w:rPr>
          <w:lang w:val="es-ES_tradnl"/>
        </w:rPr>
        <w:t xml:space="preserve"> 21.325, de Migración y Extranjería, y otros cuerpos legales, en las materias que indica</w:t>
      </w:r>
      <w:r>
        <w:rPr>
          <w:lang w:val="es-ES_tradnl"/>
        </w:rPr>
        <w:t xml:space="preserve">. Texto aprobado en general por el Senado, en segundo trámite constitucional. Disponible en: </w:t>
      </w:r>
      <w:hyperlink r:id="rId13" w:history="1">
        <w:r w:rsidRPr="00565BA9">
          <w:rPr>
            <w:rStyle w:val="Hyperlink"/>
            <w:lang w:val="es-ES_tradnl"/>
          </w:rPr>
          <w:t>http://www.senado.cl/appsenado/templates/tramitacion/index.php?boletin_ini=16072-06</w:t>
        </w:r>
      </w:hyperlink>
      <w:r>
        <w:rPr>
          <w:lang w:val="es-ES_tradnl"/>
        </w:rPr>
        <w:t xml:space="preserve">. </w:t>
      </w:r>
    </w:p>
  </w:footnote>
  <w:footnote w:id="18">
    <w:p w14:paraId="577915E7" w14:textId="77777777" w:rsidR="008F110B" w:rsidRPr="00EE4B3C" w:rsidRDefault="008F110B" w:rsidP="008F110B">
      <w:pPr>
        <w:pStyle w:val="FootnoteText"/>
        <w:rPr>
          <w:lang w:val="es-ES_tradnl"/>
        </w:rPr>
      </w:pPr>
      <w:r>
        <w:rPr>
          <w:rStyle w:val="FootnoteReference"/>
        </w:rPr>
        <w:footnoteRef/>
      </w:r>
      <w:r>
        <w:t xml:space="preserve"> I</w:t>
      </w:r>
      <w:r w:rsidRPr="00EE4B3C">
        <w:t xml:space="preserve">nforme de la </w:t>
      </w:r>
      <w:r>
        <w:t>C</w:t>
      </w:r>
      <w:r w:rsidRPr="00EE4B3C">
        <w:t xml:space="preserve">omisión de </w:t>
      </w:r>
      <w:r>
        <w:t>G</w:t>
      </w:r>
      <w:r w:rsidRPr="00EE4B3C">
        <w:t xml:space="preserve">obierno, </w:t>
      </w:r>
      <w:r>
        <w:t>D</w:t>
      </w:r>
      <w:r w:rsidRPr="00EE4B3C">
        <w:t xml:space="preserve">escentralización y </w:t>
      </w:r>
      <w:r>
        <w:t>R</w:t>
      </w:r>
      <w:r w:rsidRPr="00EE4B3C">
        <w:t xml:space="preserve">egionalización </w:t>
      </w:r>
      <w:r>
        <w:t xml:space="preserve">del Senado, </w:t>
      </w:r>
      <w:r w:rsidRPr="00EE4B3C">
        <w:t xml:space="preserve">recaído en el proyecto de </w:t>
      </w:r>
      <w:r>
        <w:t>Ley</w:t>
      </w:r>
      <w:r w:rsidRPr="00EE4B3C">
        <w:t xml:space="preserve">, en segundo trámite constitucional, que modifica la </w:t>
      </w:r>
      <w:r>
        <w:t>Ley</w:t>
      </w:r>
      <w:r w:rsidRPr="00EE4B3C">
        <w:t xml:space="preserve"> </w:t>
      </w:r>
      <w:proofErr w:type="spellStart"/>
      <w:r w:rsidRPr="00EE4B3C">
        <w:t>N°</w:t>
      </w:r>
      <w:proofErr w:type="spellEnd"/>
      <w:r w:rsidRPr="00EE4B3C">
        <w:t xml:space="preserve"> 21.325, de Migración y Extranjería, y otros cuerpos legales, en las materias que indica</w:t>
      </w:r>
      <w:r>
        <w:t>, Boletín</w:t>
      </w:r>
      <w:r w:rsidRPr="00EE4B3C">
        <w:t xml:space="preserve"> </w:t>
      </w:r>
      <w:proofErr w:type="spellStart"/>
      <w:r w:rsidRPr="00EE4B3C">
        <w:t>Nº</w:t>
      </w:r>
      <w:proofErr w:type="spellEnd"/>
      <w:r w:rsidRPr="00EE4B3C">
        <w:t xml:space="preserve"> 16.072-06</w:t>
      </w:r>
      <w:r>
        <w:t xml:space="preserve">. Disponible en: </w:t>
      </w:r>
      <w:hyperlink r:id="rId14" w:history="1">
        <w:r w:rsidRPr="00565BA9">
          <w:rPr>
            <w:rStyle w:val="Hyperlink"/>
          </w:rPr>
          <w:t>http://www.senado.cl/appsenado/templates/tramitacion/index.php?boletin_ini=16072-06</w:t>
        </w:r>
      </w:hyperlink>
      <w:r>
        <w:t xml:space="preserve">. </w:t>
      </w:r>
    </w:p>
  </w:footnote>
  <w:footnote w:id="19">
    <w:p w14:paraId="5B4A2365" w14:textId="77777777" w:rsidR="008F110B" w:rsidRPr="00C01306" w:rsidRDefault="008F110B" w:rsidP="008F110B">
      <w:pPr>
        <w:pStyle w:val="FootnoteText"/>
        <w:rPr>
          <w:lang w:val="es-ES_tradnl"/>
        </w:rPr>
      </w:pPr>
      <w:r>
        <w:rPr>
          <w:rStyle w:val="FootnoteReference"/>
        </w:rPr>
        <w:footnoteRef/>
      </w:r>
      <w:r>
        <w:t xml:space="preserve"> </w:t>
      </w:r>
      <w:r>
        <w:rPr>
          <w:lang w:val="es-ES_tradnl"/>
        </w:rPr>
        <w:t xml:space="preserve">Por ejemplo, </w:t>
      </w:r>
      <w:r w:rsidRPr="00C01306">
        <w:rPr>
          <w:lang w:val="es-ES_tradnl"/>
        </w:rPr>
        <w:t>Corte IDH. Caso Vélez Loor vs. Panamá. Excepciones Preliminares, Fondo, Reparaciones y Costas. Sentencia de 23 de noviembre de 2010, párr. 98</w:t>
      </w:r>
      <w:r>
        <w:rPr>
          <w:lang w:val="es-ES_tradnl"/>
        </w:rPr>
        <w:t>.</w:t>
      </w:r>
    </w:p>
  </w:footnote>
  <w:footnote w:id="20">
    <w:p w14:paraId="463CC9C9" w14:textId="77777777" w:rsidR="008F110B" w:rsidRPr="007A4588" w:rsidRDefault="008F110B" w:rsidP="008F110B">
      <w:pPr>
        <w:pStyle w:val="FootnoteText"/>
      </w:pPr>
      <w:r>
        <w:rPr>
          <w:rStyle w:val="FootnoteReference"/>
        </w:rPr>
        <w:footnoteRef/>
      </w:r>
      <w:r>
        <w:t xml:space="preserve"> Comité DESC. Observación general </w:t>
      </w:r>
      <w:proofErr w:type="spellStart"/>
      <w:r>
        <w:t>N°</w:t>
      </w:r>
      <w:proofErr w:type="spellEnd"/>
      <w:r>
        <w:t xml:space="preserve"> 13: El derecho a la educación. E/C.12/1999/10, 1999, párr. </w:t>
      </w:r>
      <w:r>
        <w:rPr>
          <w:lang w:val="es-ES_tradnl"/>
        </w:rPr>
        <w:t>34.</w:t>
      </w:r>
    </w:p>
  </w:footnote>
  <w:footnote w:id="21">
    <w:p w14:paraId="2515F3AC" w14:textId="77777777" w:rsidR="008F110B" w:rsidRPr="009528EC" w:rsidRDefault="008F110B" w:rsidP="008F110B">
      <w:pPr>
        <w:pStyle w:val="FootnoteText"/>
        <w:rPr>
          <w:lang w:val="es-ES_tradnl"/>
        </w:rPr>
      </w:pPr>
      <w:r>
        <w:rPr>
          <w:rStyle w:val="FootnoteReference"/>
        </w:rPr>
        <w:footnoteRef/>
      </w:r>
      <w:r>
        <w:t xml:space="preserve"> </w:t>
      </w:r>
      <w:r>
        <w:rPr>
          <w:lang w:val="es-ES_tradnl"/>
        </w:rPr>
        <w:t xml:space="preserve">Comité DESC. Observación General </w:t>
      </w:r>
      <w:proofErr w:type="spellStart"/>
      <w:r>
        <w:rPr>
          <w:lang w:val="es-ES_tradnl"/>
        </w:rPr>
        <w:t>N°</w:t>
      </w:r>
      <w:proofErr w:type="spellEnd"/>
      <w:r>
        <w:rPr>
          <w:lang w:val="es-ES_tradnl"/>
        </w:rPr>
        <w:t xml:space="preserve"> 14: </w:t>
      </w:r>
      <w:r w:rsidRPr="004D1639">
        <w:rPr>
          <w:lang w:val="es-ES_tradnl"/>
        </w:rPr>
        <w:t>El derecho al disfrute del más alto nivel posible de salud</w:t>
      </w:r>
      <w:r>
        <w:rPr>
          <w:lang w:val="es-ES_tradnl"/>
        </w:rPr>
        <w:t xml:space="preserve">. </w:t>
      </w:r>
      <w:r w:rsidRPr="004D1639">
        <w:rPr>
          <w:lang w:val="es-ES_tradnl"/>
        </w:rPr>
        <w:t>E/C.12/2000/4</w:t>
      </w:r>
      <w:r>
        <w:rPr>
          <w:lang w:val="es-ES_tradnl"/>
        </w:rPr>
        <w:t xml:space="preserve">, </w:t>
      </w:r>
      <w:r w:rsidRPr="004D1639">
        <w:rPr>
          <w:lang w:val="es-ES_tradnl"/>
        </w:rPr>
        <w:t>11 de agosto de 2000</w:t>
      </w:r>
      <w:r>
        <w:rPr>
          <w:lang w:val="es-ES_tradnl"/>
        </w:rPr>
        <w:t>, párr. 34.</w:t>
      </w:r>
    </w:p>
  </w:footnote>
  <w:footnote w:id="22">
    <w:p w14:paraId="5631C42E" w14:textId="77777777" w:rsidR="008F110B" w:rsidRPr="00152390" w:rsidRDefault="008F110B" w:rsidP="008F110B">
      <w:pPr>
        <w:pStyle w:val="FootnoteText"/>
        <w:rPr>
          <w:lang w:val="es-ES_tradnl"/>
        </w:rPr>
      </w:pPr>
      <w:r>
        <w:rPr>
          <w:rStyle w:val="FootnoteReference"/>
        </w:rPr>
        <w:footnoteRef/>
      </w:r>
      <w:r>
        <w:t xml:space="preserve"> </w:t>
      </w:r>
      <w:r>
        <w:rPr>
          <w:lang w:val="es-ES_tradnl"/>
        </w:rPr>
        <w:t xml:space="preserve">Comité DESC. Observaciones finales al cuarto informe periódico de Chile. </w:t>
      </w:r>
      <w:r w:rsidRPr="00152390">
        <w:rPr>
          <w:lang w:val="es-ES_tradnl"/>
        </w:rPr>
        <w:t>E/C.12/CHL/CO/4</w:t>
      </w:r>
      <w:r>
        <w:rPr>
          <w:lang w:val="es-ES_tradnl"/>
        </w:rPr>
        <w:t>, 2015, párr.  28.</w:t>
      </w:r>
    </w:p>
  </w:footnote>
  <w:footnote w:id="23">
    <w:p w14:paraId="4E40097A" w14:textId="77777777" w:rsidR="008F110B" w:rsidRPr="000F0B1A" w:rsidRDefault="008F110B" w:rsidP="008F110B">
      <w:pPr>
        <w:pStyle w:val="FootnoteText"/>
        <w:rPr>
          <w:lang w:val="es-ES_tradnl"/>
        </w:rPr>
      </w:pPr>
      <w:r>
        <w:rPr>
          <w:rStyle w:val="FootnoteReference"/>
        </w:rPr>
        <w:footnoteRef/>
      </w:r>
      <w:r>
        <w:t xml:space="preserve"> </w:t>
      </w:r>
      <w:r>
        <w:rPr>
          <w:lang w:val="es-ES_tradnl"/>
        </w:rPr>
        <w:t xml:space="preserve">Amnistía Internacional. </w:t>
      </w:r>
      <w:r w:rsidRPr="000F0B1A">
        <w:rPr>
          <w:lang w:val="es-ES_tradnl"/>
        </w:rPr>
        <w:t xml:space="preserve">Informe al </w:t>
      </w:r>
      <w:r>
        <w:rPr>
          <w:lang w:val="es-ES_tradnl"/>
        </w:rPr>
        <w:t>C</w:t>
      </w:r>
      <w:r w:rsidRPr="000F0B1A">
        <w:rPr>
          <w:lang w:val="es-ES_tradnl"/>
        </w:rPr>
        <w:t>omité para la eliminación de la</w:t>
      </w:r>
      <w:r>
        <w:rPr>
          <w:lang w:val="es-ES_tradnl"/>
        </w:rPr>
        <w:t xml:space="preserve"> d</w:t>
      </w:r>
      <w:r w:rsidRPr="000F0B1A">
        <w:rPr>
          <w:lang w:val="es-ES_tradnl"/>
        </w:rPr>
        <w:t>iscriminación contra la mujer</w:t>
      </w:r>
      <w:r>
        <w:rPr>
          <w:lang w:val="es-ES_tradnl"/>
        </w:rPr>
        <w:t xml:space="preserve">. Examen de Chile, </w:t>
      </w:r>
      <w:r w:rsidRPr="000F0B1A">
        <w:rPr>
          <w:lang w:val="es-ES_tradnl"/>
        </w:rPr>
        <w:t>89º período de sesiones, 7 a 25 de octubre de 2024</w:t>
      </w:r>
      <w:r>
        <w:rPr>
          <w:lang w:val="es-ES_tradnl"/>
        </w:rPr>
        <w:t>.</w:t>
      </w:r>
    </w:p>
  </w:footnote>
  <w:footnote w:id="24">
    <w:p w14:paraId="09B87553" w14:textId="77777777" w:rsidR="008F110B" w:rsidRPr="000F0B1A" w:rsidRDefault="008F110B" w:rsidP="008F110B">
      <w:pPr>
        <w:pStyle w:val="FootnoteText"/>
      </w:pPr>
      <w:r>
        <w:rPr>
          <w:rStyle w:val="FootnoteReference"/>
        </w:rPr>
        <w:footnoteRef/>
      </w:r>
      <w:r>
        <w:t xml:space="preserve"> Amnistía Internacional. Informe al Comité de Derechos Humanos. 140° periodo de sesiones, 4al28/03/2024, pág. 10. Disponible en: </w:t>
      </w:r>
      <w:hyperlink r:id="rId15" w:history="1">
        <w:r w:rsidRPr="00565BA9">
          <w:rPr>
            <w:rStyle w:val="Hyperlink"/>
          </w:rPr>
          <w:t>https://www.amnesty.org/es/documents/amr22/7667/2024/es/</w:t>
        </w:r>
      </w:hyperlink>
      <w:r>
        <w:t xml:space="preserve"> </w:t>
      </w:r>
    </w:p>
  </w:footnote>
  <w:footnote w:id="25">
    <w:p w14:paraId="0479A921" w14:textId="77777777" w:rsidR="008F110B" w:rsidRPr="000F0B1A" w:rsidRDefault="008F110B" w:rsidP="008F110B">
      <w:pPr>
        <w:pStyle w:val="FootnoteText"/>
        <w:rPr>
          <w:lang w:val="es-ES_tradnl"/>
        </w:rPr>
      </w:pPr>
      <w:r>
        <w:rPr>
          <w:rStyle w:val="FootnoteReference"/>
        </w:rPr>
        <w:footnoteRef/>
      </w:r>
      <w:r>
        <w:t xml:space="preserve"> Corporación Humanas. Objeción de conciencia en Chile: Desafíos en la implementación de la Ley sobre interrupción voluntaria del embarazo en tres causales a seis años de su dictación. 12/2023, p</w:t>
      </w:r>
      <w:r w:rsidRPr="00552745">
        <w:t xml:space="preserve">ág. 11. Disponible en: </w:t>
      </w:r>
      <w:hyperlink r:id="rId16" w:history="1">
        <w:r w:rsidRPr="00565BA9">
          <w:rPr>
            <w:rStyle w:val="Hyperlink"/>
          </w:rPr>
          <w:t>https://www.humanas.cl/wp-content/uploads/2024/01/INFORME-OBJECION-DECONCIENCIA-2023.pdf</w:t>
        </w:r>
      </w:hyperlink>
      <w:r w:rsidRPr="00552745">
        <w:t>.</w:t>
      </w:r>
      <w:r>
        <w:t xml:space="preserve"> </w:t>
      </w:r>
    </w:p>
  </w:footnote>
  <w:footnote w:id="26">
    <w:p w14:paraId="4A59FE66" w14:textId="77777777" w:rsidR="008F110B" w:rsidRPr="00552745" w:rsidRDefault="008F110B" w:rsidP="008F110B">
      <w:pPr>
        <w:pStyle w:val="FootnoteText"/>
        <w:rPr>
          <w:lang w:val="es-ES_tradnl"/>
        </w:rPr>
      </w:pPr>
      <w:r>
        <w:rPr>
          <w:rStyle w:val="FootnoteReference"/>
        </w:rPr>
        <w:footnoteRef/>
      </w:r>
      <w:r>
        <w:t xml:space="preserve"> </w:t>
      </w:r>
      <w:r>
        <w:rPr>
          <w:lang w:val="es-ES_tradnl"/>
        </w:rPr>
        <w:t xml:space="preserve">Universidad de Chile. </w:t>
      </w:r>
      <w:r w:rsidRPr="00552745">
        <w:rPr>
          <w:lang w:val="es-ES_tradnl"/>
        </w:rPr>
        <w:t xml:space="preserve">Investigadoras U. de Chile identifican barreras en la implementación de la </w:t>
      </w:r>
      <w:r>
        <w:rPr>
          <w:lang w:val="es-ES_tradnl"/>
        </w:rPr>
        <w:t>Ley</w:t>
      </w:r>
      <w:r w:rsidRPr="00552745">
        <w:rPr>
          <w:lang w:val="es-ES_tradnl"/>
        </w:rPr>
        <w:t xml:space="preserve"> de Aborto en tres causales</w:t>
      </w:r>
      <w:r>
        <w:rPr>
          <w:lang w:val="es-ES_tradnl"/>
        </w:rPr>
        <w:t xml:space="preserve">. 4 de abril de 2023. Disponible en: </w:t>
      </w:r>
      <w:hyperlink r:id="rId17" w:history="1">
        <w:r w:rsidRPr="00565BA9">
          <w:rPr>
            <w:rStyle w:val="Hyperlink"/>
            <w:lang w:val="es-ES_tradnl"/>
          </w:rPr>
          <w:t>https://uchile.cl/u203757</w:t>
        </w:r>
      </w:hyperlink>
      <w:r>
        <w:rPr>
          <w:lang w:val="es-ES_tradnl"/>
        </w:rPr>
        <w:t xml:space="preserve">. </w:t>
      </w:r>
    </w:p>
  </w:footnote>
  <w:footnote w:id="27">
    <w:p w14:paraId="4A1C8D20" w14:textId="1A62C5F0" w:rsidR="00A93797" w:rsidRDefault="00A93797" w:rsidP="00A93797">
      <w:pPr>
        <w:pStyle w:val="FootnoteText"/>
        <w:rPr>
          <w:lang w:val="es-CL" w:eastAsia="es-MX"/>
        </w:rPr>
      </w:pPr>
      <w:r>
        <w:rPr>
          <w:rStyle w:val="FootnoteReference"/>
          <w:rFonts w:ascii="Arial" w:hAnsi="Arial"/>
          <w:sz w:val="18"/>
          <w:szCs w:val="18"/>
        </w:rPr>
        <w:footnoteRef/>
      </w:r>
      <w:r>
        <w:t xml:space="preserve"> Prensa Presidencia. Presidente de la República, Gabriel </w:t>
      </w:r>
      <w:proofErr w:type="spellStart"/>
      <w:r>
        <w:t>Boric</w:t>
      </w:r>
      <w:proofErr w:type="spellEnd"/>
      <w:r>
        <w:t xml:space="preserve"> Font, realiza Cuenta Pública 2024. 01/06/2024. Disponible en: </w:t>
      </w:r>
      <w:hyperlink r:id="rId18" w:history="1">
        <w:r w:rsidRPr="00AC3758">
          <w:rPr>
            <w:rStyle w:val="Hyperlink"/>
            <w:rFonts w:cs="Arial"/>
          </w:rPr>
          <w:t>https://prensa.presidencia.cl/comunicado.aspx?id=285179</w:t>
        </w:r>
      </w:hyperlink>
    </w:p>
  </w:footnote>
  <w:footnote w:id="28">
    <w:p w14:paraId="4714149B" w14:textId="269F4CE9" w:rsidR="00D87327" w:rsidRDefault="00D87327" w:rsidP="00D87327">
      <w:pPr>
        <w:pStyle w:val="FootnoteText"/>
        <w:rPr>
          <w:shd w:val="clear" w:color="auto" w:fill="FFFFFF"/>
          <w:lang w:val="es-CL" w:eastAsia="es-MX"/>
        </w:rPr>
      </w:pPr>
      <w:r>
        <w:rPr>
          <w:rStyle w:val="FootnoteReference"/>
          <w:rFonts w:ascii="Arial" w:hAnsi="Arial"/>
          <w:sz w:val="18"/>
          <w:szCs w:val="18"/>
        </w:rPr>
        <w:footnoteRef/>
      </w:r>
      <w:r>
        <w:t xml:space="preserve"> Boletín Nº17564-11. Disponible en: </w:t>
      </w:r>
      <w:hyperlink r:id="rId19" w:history="1">
        <w:r w:rsidRPr="00AC3758">
          <w:rPr>
            <w:rStyle w:val="Hyperlink"/>
            <w:rFonts w:cs="Arial"/>
            <w:shd w:val="clear" w:color="auto" w:fill="FFFFFF"/>
          </w:rPr>
          <w:t>https://www.camara.cl/verDoc.aspx?prmID=17794&amp;prmTIPO=INICIATIVA</w:t>
        </w:r>
      </w:hyperlink>
    </w:p>
  </w:footnote>
  <w:footnote w:id="29">
    <w:p w14:paraId="03D80EBB" w14:textId="4BE1ABDE" w:rsidR="00440280" w:rsidRPr="00440280" w:rsidRDefault="00440280" w:rsidP="00440280">
      <w:pPr>
        <w:pStyle w:val="FootnoteText"/>
      </w:pPr>
      <w:r w:rsidRPr="00440280">
        <w:rPr>
          <w:rStyle w:val="FootnoteReference"/>
          <w:vertAlign w:val="baseline"/>
        </w:rPr>
        <w:footnoteRef/>
      </w:r>
      <w:r w:rsidRPr="00440280">
        <w:t xml:space="preserve"> Decreto N°22, de mayo de 2025, del Ministerio de Salud, que modifica decreto supremo Nº67 de 2018, que aprueba reglamento para ejercer objeción de conciencia según lo dispuesto en el artículo 119 ter del Código Sanitario. Disponible en: </w:t>
      </w:r>
      <w:hyperlink r:id="rId20" w:history="1">
        <w:r w:rsidRPr="00AC3758">
          <w:rPr>
            <w:rStyle w:val="Hyperlink"/>
            <w:rFonts w:cs="Arial"/>
          </w:rPr>
          <w:t>https://bcn.cl/GACxRa</w:t>
        </w:r>
      </w:hyperlink>
    </w:p>
  </w:footnote>
  <w:footnote w:id="30">
    <w:p w14:paraId="611787EC" w14:textId="1BDB889F" w:rsidR="007E1B92" w:rsidRPr="007E1B92" w:rsidRDefault="007E1B92" w:rsidP="007E1B92">
      <w:pPr>
        <w:pStyle w:val="FootnoteText"/>
        <w:rPr>
          <w:shd w:val="clear" w:color="auto" w:fill="FFFFFF"/>
        </w:rPr>
      </w:pPr>
      <w:r>
        <w:rPr>
          <w:rStyle w:val="FootnoteReference"/>
          <w:rFonts w:ascii="Arial" w:hAnsi="Arial"/>
          <w:sz w:val="18"/>
          <w:szCs w:val="18"/>
        </w:rPr>
        <w:footnoteRef/>
      </w:r>
      <w:r>
        <w:t xml:space="preserve"> </w:t>
      </w:r>
      <w:r>
        <w:rPr>
          <w:shd w:val="clear" w:color="auto" w:fill="FFFFFF"/>
        </w:rPr>
        <w:t xml:space="preserve">Diario Constitucional. Organizaciones de derechos humanos piden a Contraloría garantizar acceso efectivo al aborto en tres causales, 10 de abril de 2025. Disponible en: </w:t>
      </w:r>
      <w:hyperlink r:id="rId21" w:history="1">
        <w:r w:rsidRPr="00AC3758">
          <w:rPr>
            <w:rStyle w:val="Hyperlink"/>
            <w:rFonts w:cs="Arial"/>
            <w:shd w:val="clear" w:color="auto" w:fill="FFFFFF"/>
          </w:rPr>
          <w:t>https://www.diarioconstitucional.cl/2025/04/10/organizaciones-de-derechos-humanos-piden-a-contraloria-garantizar-acceso-efectivo-al-aborto-en-tres-causales/</w:t>
        </w:r>
      </w:hyperlink>
    </w:p>
  </w:footnote>
  <w:footnote w:id="31">
    <w:p w14:paraId="15454885" w14:textId="77777777" w:rsidR="008F110B" w:rsidRPr="00575720" w:rsidRDefault="008F110B" w:rsidP="008F110B">
      <w:pPr>
        <w:pStyle w:val="FootnoteText"/>
        <w:rPr>
          <w:lang w:val="es-ES_tradnl"/>
        </w:rPr>
      </w:pPr>
      <w:r>
        <w:rPr>
          <w:rStyle w:val="FootnoteReference"/>
        </w:rPr>
        <w:footnoteRef/>
      </w:r>
      <w:r>
        <w:t xml:space="preserve"> </w:t>
      </w:r>
      <w:r>
        <w:rPr>
          <w:lang w:val="es-ES_tradnl"/>
        </w:rPr>
        <w:t xml:space="preserve">Boletín </w:t>
      </w:r>
      <w:proofErr w:type="spellStart"/>
      <w:r>
        <w:rPr>
          <w:lang w:val="es-ES_tradnl"/>
        </w:rPr>
        <w:t>N°</w:t>
      </w:r>
      <w:proofErr w:type="spellEnd"/>
      <w:r>
        <w:rPr>
          <w:lang w:val="es-ES_tradnl"/>
        </w:rPr>
        <w:t xml:space="preserve"> </w:t>
      </w:r>
      <w:r w:rsidRPr="00575720">
        <w:rPr>
          <w:lang w:val="es-ES_tradnl"/>
        </w:rPr>
        <w:t>16901-04</w:t>
      </w:r>
      <w:r>
        <w:rPr>
          <w:lang w:val="es-ES_tradnl"/>
        </w:rPr>
        <w:t xml:space="preserve">. Disponible en: </w:t>
      </w:r>
      <w:hyperlink r:id="rId22" w:history="1">
        <w:r w:rsidRPr="00565BA9">
          <w:rPr>
            <w:rStyle w:val="Hyperlink"/>
            <w:lang w:val="es-ES_tradnl"/>
          </w:rPr>
          <w:t>https://www.camara.cl/legislacion/ProyectosDe</w:t>
        </w:r>
        <w:r>
          <w:rPr>
            <w:rStyle w:val="Hyperlink"/>
            <w:lang w:val="es-ES_tradnl"/>
          </w:rPr>
          <w:t>Ley</w:t>
        </w:r>
        <w:r w:rsidRPr="00565BA9">
          <w:rPr>
            <w:rStyle w:val="Hyperlink"/>
            <w:lang w:val="es-ES_tradnl"/>
          </w:rPr>
          <w:t>/tramitacion.aspx?prmID=17514&amp;prmBOLETIN=16901-04</w:t>
        </w:r>
      </w:hyperlink>
      <w:r>
        <w:rPr>
          <w:lang w:val="es-ES_tradnl"/>
        </w:rPr>
        <w:t xml:space="preserve"> </w:t>
      </w:r>
    </w:p>
  </w:footnote>
  <w:footnote w:id="32">
    <w:p w14:paraId="612B4EE3" w14:textId="77777777" w:rsidR="008F110B" w:rsidRPr="00C77E85" w:rsidRDefault="008F110B" w:rsidP="008F110B">
      <w:pPr>
        <w:pStyle w:val="FootnoteText"/>
        <w:rPr>
          <w:lang w:val="es-ES_tradnl"/>
        </w:rPr>
      </w:pPr>
      <w:r>
        <w:rPr>
          <w:rStyle w:val="FootnoteReference"/>
        </w:rPr>
        <w:footnoteRef/>
      </w:r>
      <w:r>
        <w:t xml:space="preserve"> </w:t>
      </w:r>
      <w:r>
        <w:rPr>
          <w:lang w:val="es-ES_tradnl"/>
        </w:rPr>
        <w:t xml:space="preserve">Cornejo, Juan. </w:t>
      </w:r>
      <w:r w:rsidRPr="00C77E85">
        <w:rPr>
          <w:lang w:val="es-ES_tradnl"/>
        </w:rPr>
        <w:t>Disidentes sexuales y de género en escuelas chilenas</w:t>
      </w:r>
      <w:r>
        <w:rPr>
          <w:lang w:val="es-ES_tradnl"/>
        </w:rPr>
        <w:t xml:space="preserve">. </w:t>
      </w:r>
      <w:r w:rsidRPr="00C77E85">
        <w:rPr>
          <w:lang w:val="es-ES_tradnl"/>
        </w:rPr>
        <w:t xml:space="preserve">Entre el silencio y la </w:t>
      </w:r>
      <w:proofErr w:type="spellStart"/>
      <w:r w:rsidRPr="00C77E85">
        <w:rPr>
          <w:lang w:val="es-ES_tradnl"/>
        </w:rPr>
        <w:t>invisibilización</w:t>
      </w:r>
      <w:proofErr w:type="spellEnd"/>
      <w:r>
        <w:rPr>
          <w:lang w:val="es-ES_tradnl"/>
        </w:rPr>
        <w:t xml:space="preserve">. </w:t>
      </w:r>
      <w:r w:rsidRPr="00C77E85">
        <w:rPr>
          <w:lang w:val="es-ES_tradnl"/>
        </w:rPr>
        <w:t>Revista mexicana de investigación educativa</w:t>
      </w:r>
      <w:r>
        <w:rPr>
          <w:lang w:val="es-ES_tradnl"/>
        </w:rPr>
        <w:t xml:space="preserve">. 2024, </w:t>
      </w:r>
      <w:r w:rsidRPr="00162C30">
        <w:rPr>
          <w:lang w:val="es-ES_tradnl"/>
        </w:rPr>
        <w:t>29</w:t>
      </w:r>
      <w:r>
        <w:rPr>
          <w:lang w:val="es-ES_tradnl"/>
        </w:rPr>
        <w:t>(</w:t>
      </w:r>
      <w:r w:rsidRPr="00162C30">
        <w:rPr>
          <w:lang w:val="es-ES_tradnl"/>
        </w:rPr>
        <w:t>101</w:t>
      </w:r>
      <w:r>
        <w:rPr>
          <w:lang w:val="es-ES_tradnl"/>
        </w:rPr>
        <w:t>):</w:t>
      </w:r>
      <w:r w:rsidRPr="00162C30">
        <w:t xml:space="preserve"> </w:t>
      </w:r>
      <w:r w:rsidRPr="00162C30">
        <w:rPr>
          <w:lang w:val="es-ES_tradnl"/>
        </w:rPr>
        <w:t>229-255</w:t>
      </w:r>
      <w:r>
        <w:rPr>
          <w:lang w:val="es-ES_tradnl"/>
        </w:rPr>
        <w:t>.</w:t>
      </w:r>
    </w:p>
  </w:footnote>
  <w:footnote w:id="33">
    <w:p w14:paraId="557E51C0" w14:textId="77777777" w:rsidR="008F110B" w:rsidRPr="004D1639" w:rsidRDefault="008F110B" w:rsidP="008F110B">
      <w:pPr>
        <w:pStyle w:val="FootnoteText"/>
        <w:rPr>
          <w:lang w:val="es-ES_tradnl"/>
        </w:rPr>
      </w:pPr>
      <w:r>
        <w:rPr>
          <w:rStyle w:val="FootnoteReference"/>
        </w:rPr>
        <w:footnoteRef/>
      </w:r>
      <w:r>
        <w:t xml:space="preserve"> INDH. Informe Anual</w:t>
      </w:r>
      <w:r>
        <w:rPr>
          <w:lang w:val="es-ES_tradnl"/>
        </w:rPr>
        <w:t>211</w:t>
      </w:r>
    </w:p>
  </w:footnote>
  <w:footnote w:id="34">
    <w:p w14:paraId="6A13132E" w14:textId="77777777" w:rsidR="008F110B" w:rsidRPr="00682140" w:rsidRDefault="008F110B" w:rsidP="008F110B">
      <w:pPr>
        <w:pStyle w:val="FootnoteText"/>
        <w:rPr>
          <w:lang w:val="es-ES_tradnl"/>
        </w:rPr>
      </w:pPr>
      <w:r>
        <w:rPr>
          <w:rStyle w:val="FootnoteReference"/>
        </w:rPr>
        <w:footnoteRef/>
      </w:r>
      <w:r>
        <w:t xml:space="preserve"> </w:t>
      </w:r>
      <w:r>
        <w:rPr>
          <w:lang w:val="es-ES_tradnl"/>
        </w:rPr>
        <w:t xml:space="preserve">Comité DESC. Observación general </w:t>
      </w:r>
      <w:proofErr w:type="spellStart"/>
      <w:r>
        <w:rPr>
          <w:lang w:val="es-ES_tradnl"/>
        </w:rPr>
        <w:t>N°</w:t>
      </w:r>
      <w:proofErr w:type="spellEnd"/>
      <w:r>
        <w:rPr>
          <w:lang w:val="es-ES_tradnl"/>
        </w:rPr>
        <w:t xml:space="preserve"> 20: </w:t>
      </w:r>
      <w:r w:rsidRPr="00682140">
        <w:rPr>
          <w:lang w:val="es-ES_tradnl"/>
        </w:rPr>
        <w:t>La no discriminación y los derechos económicos, sociales y culturales</w:t>
      </w:r>
      <w:r>
        <w:rPr>
          <w:lang w:val="es-ES_tradnl"/>
        </w:rPr>
        <w:t xml:space="preserve">. </w:t>
      </w:r>
      <w:r w:rsidRPr="00682140">
        <w:rPr>
          <w:lang w:val="es-ES_tradnl"/>
        </w:rPr>
        <w:t>E/C.12/GC/20</w:t>
      </w:r>
      <w:r>
        <w:rPr>
          <w:lang w:val="es-ES_tradnl"/>
        </w:rPr>
        <w:t xml:space="preserve">, </w:t>
      </w:r>
      <w:r w:rsidRPr="00682140">
        <w:rPr>
          <w:lang w:val="es-ES_tradnl"/>
        </w:rPr>
        <w:t>2 de julio de 2009</w:t>
      </w:r>
      <w:r>
        <w:rPr>
          <w:lang w:val="es-ES_tradnl"/>
        </w:rPr>
        <w:t>, párr. 32.</w:t>
      </w:r>
    </w:p>
  </w:footnote>
  <w:footnote w:id="35">
    <w:p w14:paraId="78D3C325" w14:textId="77777777" w:rsidR="008F110B" w:rsidRPr="005930AB" w:rsidRDefault="008F110B" w:rsidP="008F110B">
      <w:pPr>
        <w:pStyle w:val="FootnoteText"/>
        <w:rPr>
          <w:lang w:val="es-ES_tradnl"/>
        </w:rPr>
      </w:pPr>
      <w:r>
        <w:rPr>
          <w:rStyle w:val="FootnoteReference"/>
        </w:rPr>
        <w:footnoteRef/>
      </w:r>
      <w:r>
        <w:t xml:space="preserve"> </w:t>
      </w:r>
      <w:r>
        <w:rPr>
          <w:lang w:val="es-ES_tradnl"/>
        </w:rPr>
        <w:t xml:space="preserve">Amnistía Internacional. </w:t>
      </w:r>
      <w:r w:rsidRPr="005930AB">
        <w:rPr>
          <w:lang w:val="es-ES_tradnl"/>
        </w:rPr>
        <w:t xml:space="preserve">Observaciones al anteproyecto de </w:t>
      </w:r>
      <w:r>
        <w:rPr>
          <w:lang w:val="es-ES_tradnl"/>
        </w:rPr>
        <w:t>Ley</w:t>
      </w:r>
      <w:r w:rsidRPr="005930AB">
        <w:rPr>
          <w:lang w:val="es-ES_tradnl"/>
        </w:rPr>
        <w:t xml:space="preserve"> Marco de Cambio Climático para Chile</w:t>
      </w:r>
      <w:r>
        <w:rPr>
          <w:lang w:val="es-ES_tradnl"/>
        </w:rPr>
        <w:t>.</w:t>
      </w:r>
      <w:r w:rsidRPr="005930AB">
        <w:rPr>
          <w:lang w:val="es-ES_tradnl"/>
        </w:rPr>
        <w:t xml:space="preserve"> 31 de julio de</w:t>
      </w:r>
      <w:r>
        <w:rPr>
          <w:lang w:val="es-ES_tradnl"/>
        </w:rPr>
        <w:t xml:space="preserve"> 2019. Disponible en: </w:t>
      </w:r>
      <w:hyperlink r:id="rId23" w:history="1">
        <w:r w:rsidRPr="00565BA9">
          <w:rPr>
            <w:rStyle w:val="Hyperlink"/>
            <w:lang w:val="es-ES_tradnl"/>
          </w:rPr>
          <w:t>https://amnistia.cl/wp-content/uploads/2019/07/Comentarios-AI-LMCC2.pdf</w:t>
        </w:r>
      </w:hyperlink>
      <w:r>
        <w:rPr>
          <w:lang w:val="es-ES_tradnl"/>
        </w:rPr>
        <w:t xml:space="preserve"> </w:t>
      </w:r>
    </w:p>
  </w:footnote>
  <w:footnote w:id="36">
    <w:p w14:paraId="6EF250CF" w14:textId="77777777" w:rsidR="008F110B" w:rsidRPr="00355273" w:rsidRDefault="008F110B" w:rsidP="008F110B">
      <w:pPr>
        <w:pStyle w:val="FootnoteText"/>
        <w:rPr>
          <w:lang w:val="es-MX"/>
        </w:rPr>
      </w:pPr>
      <w:r>
        <w:rPr>
          <w:rStyle w:val="FootnoteReference"/>
        </w:rPr>
        <w:footnoteRef/>
      </w:r>
      <w:r>
        <w:t xml:space="preserve"> </w:t>
      </w:r>
      <w:r>
        <w:rPr>
          <w:lang w:val="es-ES_tradnl"/>
        </w:rPr>
        <w:t xml:space="preserve">Observatorio Ley de Cambio Climático. </w:t>
      </w:r>
      <w:r w:rsidRPr="00530B61">
        <w:rPr>
          <w:lang w:val="es-ES_tradnl"/>
        </w:rPr>
        <w:t xml:space="preserve">Implementación de </w:t>
      </w:r>
      <w:r>
        <w:rPr>
          <w:lang w:val="es-ES_tradnl"/>
        </w:rPr>
        <w:t>Ley</w:t>
      </w:r>
      <w:r w:rsidRPr="00530B61">
        <w:rPr>
          <w:lang w:val="es-ES_tradnl"/>
        </w:rPr>
        <w:t xml:space="preserve"> Marco de Cambio Climático en Chile</w:t>
      </w:r>
      <w:r>
        <w:rPr>
          <w:lang w:val="es-ES_tradnl"/>
        </w:rPr>
        <w:t xml:space="preserve">. </w:t>
      </w:r>
      <w:r w:rsidRPr="00355273">
        <w:rPr>
          <w:lang w:val="es-MX"/>
        </w:rPr>
        <w:t xml:space="preserve">Disponible en: </w:t>
      </w:r>
      <w:r w:rsidRPr="00355273">
        <w:rPr>
          <w:u w:val="single"/>
          <w:lang w:val="es-MX"/>
        </w:rPr>
        <w:t>https://leycambioclimatico.cl/implementacion-ley-cambio-climatico/" \l "estado-actual</w:t>
      </w:r>
      <w:r>
        <w:rPr>
          <w:lang w:val="es-MX"/>
        </w:rPr>
        <w:t xml:space="preserve">.  </w:t>
      </w:r>
    </w:p>
  </w:footnote>
  <w:footnote w:id="37">
    <w:p w14:paraId="61130477" w14:textId="77777777" w:rsidR="008F110B" w:rsidRPr="00BC0864" w:rsidRDefault="008F110B" w:rsidP="008F110B">
      <w:pPr>
        <w:pStyle w:val="FootnoteText"/>
        <w:rPr>
          <w:lang w:val="es-ES_tradnl"/>
        </w:rPr>
      </w:pPr>
      <w:r>
        <w:rPr>
          <w:rStyle w:val="FootnoteReference"/>
        </w:rPr>
        <w:footnoteRef/>
      </w:r>
      <w:r w:rsidRPr="005C55E7">
        <w:t xml:space="preserve"> </w:t>
      </w:r>
      <w:proofErr w:type="spellStart"/>
      <w:r w:rsidRPr="005C55E7">
        <w:t>Ciper</w:t>
      </w:r>
      <w:proofErr w:type="spellEnd"/>
      <w:r w:rsidRPr="005C55E7">
        <w:t xml:space="preserve">. </w:t>
      </w:r>
      <w:r w:rsidRPr="00BC0864">
        <w:rPr>
          <w:lang w:val="es-ES_tradnl"/>
        </w:rPr>
        <w:t>Obstáculos y oportunidades de mejora de la política climática en Chile</w:t>
      </w:r>
      <w:r>
        <w:rPr>
          <w:lang w:val="es-ES_tradnl"/>
        </w:rPr>
        <w:t xml:space="preserve">. 19 de enero de 2025. Disponible en: </w:t>
      </w:r>
      <w:hyperlink r:id="rId24" w:history="1">
        <w:r w:rsidRPr="00AD5FFC">
          <w:rPr>
            <w:rStyle w:val="Hyperlink"/>
            <w:lang w:val="es-ES_tradnl"/>
          </w:rPr>
          <w:t>https://www.ciperchile.cl/2025/01/19/obstaculos-y-oportunidades-de-mejora-de-la-politica-climatica-en-chile/</w:t>
        </w:r>
      </w:hyperlink>
      <w:r>
        <w:rPr>
          <w:lang w:val="es-ES_tradnl"/>
        </w:rPr>
        <w:t xml:space="preserve">. </w:t>
      </w:r>
    </w:p>
  </w:footnote>
  <w:footnote w:id="38">
    <w:p w14:paraId="319F3F65" w14:textId="77777777" w:rsidR="008F110B" w:rsidRPr="00BC0864" w:rsidRDefault="008F110B" w:rsidP="008F110B">
      <w:pPr>
        <w:pStyle w:val="FootnoteText"/>
        <w:rPr>
          <w:lang w:val="es-ES_tradnl"/>
        </w:rPr>
      </w:pPr>
      <w:r>
        <w:rPr>
          <w:rStyle w:val="FootnoteReference"/>
        </w:rPr>
        <w:footnoteRef/>
      </w:r>
      <w:r>
        <w:t xml:space="preserve"> </w:t>
      </w:r>
      <w:proofErr w:type="spellStart"/>
      <w:r>
        <w:rPr>
          <w:lang w:val="es-ES_tradnl"/>
        </w:rPr>
        <w:t>Ciper</w:t>
      </w:r>
      <w:proofErr w:type="spellEnd"/>
      <w:r>
        <w:rPr>
          <w:lang w:val="es-ES_tradnl"/>
        </w:rPr>
        <w:t xml:space="preserve">. </w:t>
      </w:r>
      <w:r w:rsidRPr="00BC0864">
        <w:rPr>
          <w:lang w:val="es-ES_tradnl"/>
        </w:rPr>
        <w:t>Obstáculos y oportunidades de mejora de la política climática en Chile</w:t>
      </w:r>
      <w:r>
        <w:rPr>
          <w:lang w:val="es-ES_tradnl"/>
        </w:rPr>
        <w:t xml:space="preserve">. </w:t>
      </w:r>
      <w:r w:rsidRPr="00965D5B">
        <w:rPr>
          <w:lang w:val="es-ES_tradnl"/>
        </w:rPr>
        <w:t xml:space="preserve">19 de enero de 2025. Disponible en: </w:t>
      </w:r>
      <w:hyperlink r:id="rId25" w:history="1">
        <w:r w:rsidRPr="00565BA9">
          <w:rPr>
            <w:rStyle w:val="Hyperlink"/>
            <w:lang w:val="es-ES_tradnl"/>
          </w:rPr>
          <w:t>https://www.ciperchile.cl/2025/01/19/obstaculos-y-oportunidades-de-mejora-de-la-politica-climatica-en-chile/</w:t>
        </w:r>
      </w:hyperlink>
      <w:r>
        <w:rPr>
          <w:lang w:val="es-ES_tradnl"/>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EC6C5E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16C59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32CF1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A72D3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724FA1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12CDA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50CA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0FCA25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38EDA1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20A87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801AD1"/>
    <w:multiLevelType w:val="hybridMultilevel"/>
    <w:tmpl w:val="D362F3E2"/>
    <w:lvl w:ilvl="0" w:tplc="D9FADB32">
      <w:start w:val="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295288"/>
    <w:multiLevelType w:val="hybridMultilevel"/>
    <w:tmpl w:val="FB32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EA0389"/>
    <w:multiLevelType w:val="hybridMultilevel"/>
    <w:tmpl w:val="A8008CBE"/>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13" w15:restartNumberingAfterBreak="0">
    <w:nsid w:val="1DD9329F"/>
    <w:multiLevelType w:val="hybridMultilevel"/>
    <w:tmpl w:val="6C3A8DAA"/>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14" w15:restartNumberingAfterBreak="0">
    <w:nsid w:val="20CA1FC5"/>
    <w:multiLevelType w:val="hybridMultilevel"/>
    <w:tmpl w:val="F8044DA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912768B"/>
    <w:multiLevelType w:val="hybridMultilevel"/>
    <w:tmpl w:val="EDFEEA62"/>
    <w:lvl w:ilvl="0" w:tplc="D9FADB32">
      <w:start w:val="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F6D4526"/>
    <w:multiLevelType w:val="multilevel"/>
    <w:tmpl w:val="6450BFE6"/>
    <w:lvl w:ilvl="0">
      <w:start w:val="1"/>
      <w:numFmt w:val="decimal"/>
      <w:pStyle w:val="BNumberedHeading"/>
      <w:lvlText w:val="%1."/>
      <w:lvlJc w:val="left"/>
      <w:pPr>
        <w:ind w:left="720" w:hanging="360"/>
      </w:pPr>
      <w:rPr>
        <w:rFonts w:cs="Times New Roman"/>
      </w:rPr>
    </w:lvl>
    <w:lvl w:ilvl="1">
      <w:start w:val="1"/>
      <w:numFmt w:val="decimal"/>
      <w:pStyle w:val="BNumberedSubheading"/>
      <w:lvlText w:val="%1.%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571877A7"/>
    <w:multiLevelType w:val="hybridMultilevel"/>
    <w:tmpl w:val="195069D8"/>
    <w:lvl w:ilvl="0" w:tplc="00000000">
      <w:start w:val="1"/>
      <w:numFmt w:val="decimal"/>
      <w:lvlText w:val="%1."/>
      <w:lvlJc w:val="left"/>
      <w:pPr>
        <w:ind w:left="720" w:hanging="360"/>
      </w:pPr>
      <w:rPr>
        <w:rFonts w:cs="Times New Roman"/>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18" w15:restartNumberingAfterBreak="0">
    <w:nsid w:val="578C5E65"/>
    <w:multiLevelType w:val="hybridMultilevel"/>
    <w:tmpl w:val="04408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050"/>
    <w:multiLevelType w:val="hybridMultilevel"/>
    <w:tmpl w:val="F496A1A0"/>
    <w:lvl w:ilvl="0" w:tplc="00000000">
      <w:start w:val="1"/>
      <w:numFmt w:val="bullet"/>
      <w:lvlText w:val=""/>
      <w:lvlJc w:val="left"/>
      <w:pPr>
        <w:ind w:left="720" w:hanging="360"/>
      </w:pPr>
      <w:rPr>
        <w:rFonts w:ascii="Symbol" w:hAnsi="Symbol"/>
      </w:rPr>
    </w:lvl>
    <w:lvl w:ilvl="1" w:tplc="00000001">
      <w:start w:val="1"/>
      <w:numFmt w:val="bullet"/>
      <w:lvlText w:val="o"/>
      <w:lvlJc w:val="left"/>
      <w:pPr>
        <w:ind w:left="1440" w:hanging="360"/>
      </w:pPr>
      <w:rPr>
        <w:rFonts w:ascii="Courier New" w:hAnsi="Courier New"/>
      </w:rPr>
    </w:lvl>
    <w:lvl w:ilvl="2" w:tplc="00000002">
      <w:start w:val="1"/>
      <w:numFmt w:val="bullet"/>
      <w:lvlText w:val=""/>
      <w:lvlJc w:val="left"/>
      <w:pPr>
        <w:ind w:left="2160" w:hanging="360"/>
      </w:pPr>
      <w:rPr>
        <w:rFonts w:ascii="Wingdings" w:hAnsi="Wingdings"/>
      </w:rPr>
    </w:lvl>
    <w:lvl w:ilvl="3" w:tplc="00000003">
      <w:start w:val="1"/>
      <w:numFmt w:val="bullet"/>
      <w:lvlText w:val=""/>
      <w:lvlJc w:val="left"/>
      <w:pPr>
        <w:ind w:left="2880" w:hanging="360"/>
      </w:pPr>
      <w:rPr>
        <w:rFonts w:ascii="Symbol" w:hAnsi="Symbol"/>
      </w:rPr>
    </w:lvl>
    <w:lvl w:ilvl="4" w:tplc="00000004">
      <w:start w:val="1"/>
      <w:numFmt w:val="bullet"/>
      <w:lvlText w:val="o"/>
      <w:lvlJc w:val="left"/>
      <w:pPr>
        <w:ind w:left="3600" w:hanging="360"/>
      </w:pPr>
      <w:rPr>
        <w:rFonts w:ascii="Courier New" w:hAnsi="Courier New"/>
      </w:rPr>
    </w:lvl>
    <w:lvl w:ilvl="5" w:tplc="00000005">
      <w:start w:val="1"/>
      <w:numFmt w:val="bullet"/>
      <w:lvlText w:val=""/>
      <w:lvlJc w:val="left"/>
      <w:pPr>
        <w:ind w:left="4320" w:hanging="360"/>
      </w:pPr>
      <w:rPr>
        <w:rFonts w:ascii="Wingdings" w:hAnsi="Wingdings"/>
      </w:rPr>
    </w:lvl>
    <w:lvl w:ilvl="6" w:tplc="00000006">
      <w:start w:val="1"/>
      <w:numFmt w:val="bullet"/>
      <w:lvlText w:val=""/>
      <w:lvlJc w:val="left"/>
      <w:pPr>
        <w:ind w:left="5040" w:hanging="360"/>
      </w:pPr>
      <w:rPr>
        <w:rFonts w:ascii="Symbol" w:hAnsi="Symbol"/>
      </w:rPr>
    </w:lvl>
    <w:lvl w:ilvl="7" w:tplc="00000007">
      <w:start w:val="1"/>
      <w:numFmt w:val="bullet"/>
      <w:lvlText w:val="o"/>
      <w:lvlJc w:val="left"/>
      <w:pPr>
        <w:ind w:left="5760" w:hanging="360"/>
      </w:pPr>
      <w:rPr>
        <w:rFonts w:ascii="Courier New" w:hAnsi="Courier New"/>
      </w:rPr>
    </w:lvl>
    <w:lvl w:ilvl="8" w:tplc="00000008">
      <w:start w:val="1"/>
      <w:numFmt w:val="bullet"/>
      <w:lvlText w:val=""/>
      <w:lvlJc w:val="left"/>
      <w:pPr>
        <w:ind w:left="6480" w:hanging="360"/>
      </w:pPr>
      <w:rPr>
        <w:rFonts w:ascii="Wingdings" w:hAnsi="Wingdings"/>
      </w:rPr>
    </w:lvl>
  </w:abstractNum>
  <w:abstractNum w:abstractNumId="20" w15:restartNumberingAfterBreak="0">
    <w:nsid w:val="643512D9"/>
    <w:multiLevelType w:val="hybridMultilevel"/>
    <w:tmpl w:val="783AA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F39C4E9A"/>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6C7B6FF0"/>
    <w:multiLevelType w:val="hybridMultilevel"/>
    <w:tmpl w:val="1458D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3439086">
    <w:abstractNumId w:val="16"/>
  </w:num>
  <w:num w:numId="2" w16cid:durableId="1617985514">
    <w:abstractNumId w:val="12"/>
  </w:num>
  <w:num w:numId="3" w16cid:durableId="265696743">
    <w:abstractNumId w:val="19"/>
  </w:num>
  <w:num w:numId="4" w16cid:durableId="1037243542">
    <w:abstractNumId w:val="13"/>
  </w:num>
  <w:num w:numId="5" w16cid:durableId="1687905758">
    <w:abstractNumId w:val="17"/>
  </w:num>
  <w:num w:numId="6" w16cid:durableId="102656261">
    <w:abstractNumId w:val="9"/>
  </w:num>
  <w:num w:numId="7" w16cid:durableId="2079014604">
    <w:abstractNumId w:val="7"/>
  </w:num>
  <w:num w:numId="8" w16cid:durableId="1244144957">
    <w:abstractNumId w:val="6"/>
  </w:num>
  <w:num w:numId="9" w16cid:durableId="297686381">
    <w:abstractNumId w:val="5"/>
  </w:num>
  <w:num w:numId="10" w16cid:durableId="1111239093">
    <w:abstractNumId w:val="4"/>
  </w:num>
  <w:num w:numId="11" w16cid:durableId="1376932421">
    <w:abstractNumId w:val="8"/>
  </w:num>
  <w:num w:numId="12" w16cid:durableId="1940747547">
    <w:abstractNumId w:val="3"/>
  </w:num>
  <w:num w:numId="13" w16cid:durableId="605499312">
    <w:abstractNumId w:val="2"/>
  </w:num>
  <w:num w:numId="14" w16cid:durableId="1701121314">
    <w:abstractNumId w:val="1"/>
  </w:num>
  <w:num w:numId="15" w16cid:durableId="78016993">
    <w:abstractNumId w:val="0"/>
  </w:num>
  <w:num w:numId="16" w16cid:durableId="946618832">
    <w:abstractNumId w:val="21"/>
  </w:num>
  <w:num w:numId="17" w16cid:durableId="461778261">
    <w:abstractNumId w:val="20"/>
  </w:num>
  <w:num w:numId="18" w16cid:durableId="2018924740">
    <w:abstractNumId w:val="22"/>
  </w:num>
  <w:num w:numId="19" w16cid:durableId="1538883347">
    <w:abstractNumId w:val="11"/>
  </w:num>
  <w:num w:numId="20" w16cid:durableId="726684975">
    <w:abstractNumId w:val="14"/>
  </w:num>
  <w:num w:numId="21" w16cid:durableId="1397972519">
    <w:abstractNumId w:val="10"/>
  </w:num>
  <w:num w:numId="22" w16cid:durableId="2007901355">
    <w:abstractNumId w:val="15"/>
  </w:num>
  <w:num w:numId="23" w16cid:durableId="1037969282">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removePersonalInformation/>
  <w:removeDateAndTime/>
  <w:embedSystemFonts/>
  <w:proofState w:spelling="clean" w:grammar="clean"/>
  <w:stylePaneFormatFilter w:val="1204" w:allStyles="0" w:customStyles="0" w:latentStyles="1" w:stylesInUse="0" w:headingStyles="0" w:numberingStyles="0" w:tableStyles="0" w:directFormattingOnRuns="0" w:directFormattingOnParagraphs="1"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10B"/>
    <w:rsid w:val="00001E28"/>
    <w:rsid w:val="00005545"/>
    <w:rsid w:val="00011C4A"/>
    <w:rsid w:val="0001250D"/>
    <w:rsid w:val="00021154"/>
    <w:rsid w:val="00021885"/>
    <w:rsid w:val="00022B80"/>
    <w:rsid w:val="00023E6F"/>
    <w:rsid w:val="000259F7"/>
    <w:rsid w:val="00025AFD"/>
    <w:rsid w:val="00031C00"/>
    <w:rsid w:val="000357E2"/>
    <w:rsid w:val="00042C46"/>
    <w:rsid w:val="0005087E"/>
    <w:rsid w:val="00052E94"/>
    <w:rsid w:val="00056959"/>
    <w:rsid w:val="00057D3D"/>
    <w:rsid w:val="000604C6"/>
    <w:rsid w:val="000606C0"/>
    <w:rsid w:val="00060B07"/>
    <w:rsid w:val="00065FFC"/>
    <w:rsid w:val="000660E7"/>
    <w:rsid w:val="0006664D"/>
    <w:rsid w:val="0006667A"/>
    <w:rsid w:val="00070657"/>
    <w:rsid w:val="00070F51"/>
    <w:rsid w:val="0007116A"/>
    <w:rsid w:val="00074281"/>
    <w:rsid w:val="0007677B"/>
    <w:rsid w:val="00076F38"/>
    <w:rsid w:val="000808AF"/>
    <w:rsid w:val="00081537"/>
    <w:rsid w:val="00082426"/>
    <w:rsid w:val="0008265A"/>
    <w:rsid w:val="0008415F"/>
    <w:rsid w:val="00085AA0"/>
    <w:rsid w:val="00090965"/>
    <w:rsid w:val="00090DB1"/>
    <w:rsid w:val="000922C7"/>
    <w:rsid w:val="00096B77"/>
    <w:rsid w:val="000A1082"/>
    <w:rsid w:val="000A4AEA"/>
    <w:rsid w:val="000B09DB"/>
    <w:rsid w:val="000B3317"/>
    <w:rsid w:val="000B3BD6"/>
    <w:rsid w:val="000B51F7"/>
    <w:rsid w:val="000B7EEA"/>
    <w:rsid w:val="000C2825"/>
    <w:rsid w:val="000C5B09"/>
    <w:rsid w:val="000D0181"/>
    <w:rsid w:val="000D050D"/>
    <w:rsid w:val="000D18A0"/>
    <w:rsid w:val="000D2BD5"/>
    <w:rsid w:val="000E2E7A"/>
    <w:rsid w:val="000E49A0"/>
    <w:rsid w:val="000F5DC9"/>
    <w:rsid w:val="00106694"/>
    <w:rsid w:val="001078C8"/>
    <w:rsid w:val="00112CAF"/>
    <w:rsid w:val="00113E91"/>
    <w:rsid w:val="001140D3"/>
    <w:rsid w:val="001153D5"/>
    <w:rsid w:val="00116223"/>
    <w:rsid w:val="00116F5B"/>
    <w:rsid w:val="00121761"/>
    <w:rsid w:val="00121BEC"/>
    <w:rsid w:val="001231E9"/>
    <w:rsid w:val="001236C0"/>
    <w:rsid w:val="00124E0C"/>
    <w:rsid w:val="00125850"/>
    <w:rsid w:val="001263C5"/>
    <w:rsid w:val="00126A84"/>
    <w:rsid w:val="00130C4E"/>
    <w:rsid w:val="00131015"/>
    <w:rsid w:val="00132B13"/>
    <w:rsid w:val="00132E35"/>
    <w:rsid w:val="00132F33"/>
    <w:rsid w:val="00133535"/>
    <w:rsid w:val="001337AB"/>
    <w:rsid w:val="00136468"/>
    <w:rsid w:val="00137621"/>
    <w:rsid w:val="00140418"/>
    <w:rsid w:val="0014242F"/>
    <w:rsid w:val="00143216"/>
    <w:rsid w:val="0014349E"/>
    <w:rsid w:val="00151602"/>
    <w:rsid w:val="0015226A"/>
    <w:rsid w:val="0015469F"/>
    <w:rsid w:val="00154926"/>
    <w:rsid w:val="001556CD"/>
    <w:rsid w:val="0016172B"/>
    <w:rsid w:val="00162896"/>
    <w:rsid w:val="00163908"/>
    <w:rsid w:val="00164596"/>
    <w:rsid w:val="0016768A"/>
    <w:rsid w:val="001752BF"/>
    <w:rsid w:val="001771D7"/>
    <w:rsid w:val="00177815"/>
    <w:rsid w:val="001822A9"/>
    <w:rsid w:val="00183E7F"/>
    <w:rsid w:val="0018565C"/>
    <w:rsid w:val="00186073"/>
    <w:rsid w:val="0018795D"/>
    <w:rsid w:val="0019203A"/>
    <w:rsid w:val="00193D59"/>
    <w:rsid w:val="00195520"/>
    <w:rsid w:val="00196977"/>
    <w:rsid w:val="00197531"/>
    <w:rsid w:val="001A03AE"/>
    <w:rsid w:val="001A0E99"/>
    <w:rsid w:val="001A1A6A"/>
    <w:rsid w:val="001B2B26"/>
    <w:rsid w:val="001C36E1"/>
    <w:rsid w:val="001C4F2C"/>
    <w:rsid w:val="001C5866"/>
    <w:rsid w:val="001C5FD5"/>
    <w:rsid w:val="001C7666"/>
    <w:rsid w:val="001D411B"/>
    <w:rsid w:val="001D51A7"/>
    <w:rsid w:val="001D5317"/>
    <w:rsid w:val="001D60F9"/>
    <w:rsid w:val="001D773D"/>
    <w:rsid w:val="001D7D31"/>
    <w:rsid w:val="001D7DAE"/>
    <w:rsid w:val="001E0E75"/>
    <w:rsid w:val="001E1537"/>
    <w:rsid w:val="001E25F7"/>
    <w:rsid w:val="001E449A"/>
    <w:rsid w:val="001E76B1"/>
    <w:rsid w:val="001E7BBB"/>
    <w:rsid w:val="001F0F4A"/>
    <w:rsid w:val="001F392A"/>
    <w:rsid w:val="001F4A49"/>
    <w:rsid w:val="001F6ADE"/>
    <w:rsid w:val="002013A6"/>
    <w:rsid w:val="002023D7"/>
    <w:rsid w:val="0020326E"/>
    <w:rsid w:val="0020374D"/>
    <w:rsid w:val="00203FB5"/>
    <w:rsid w:val="0020401E"/>
    <w:rsid w:val="002065DE"/>
    <w:rsid w:val="002108C6"/>
    <w:rsid w:val="00210F45"/>
    <w:rsid w:val="002146C5"/>
    <w:rsid w:val="00217D71"/>
    <w:rsid w:val="00217DDF"/>
    <w:rsid w:val="00220669"/>
    <w:rsid w:val="0022451F"/>
    <w:rsid w:val="00225339"/>
    <w:rsid w:val="00225EF4"/>
    <w:rsid w:val="00231581"/>
    <w:rsid w:val="00232DD3"/>
    <w:rsid w:val="00243174"/>
    <w:rsid w:val="00244087"/>
    <w:rsid w:val="0024777C"/>
    <w:rsid w:val="002541A8"/>
    <w:rsid w:val="00254FC0"/>
    <w:rsid w:val="00257D83"/>
    <w:rsid w:val="002603C2"/>
    <w:rsid w:val="00262EB8"/>
    <w:rsid w:val="00263834"/>
    <w:rsid w:val="00266153"/>
    <w:rsid w:val="002675AA"/>
    <w:rsid w:val="00267757"/>
    <w:rsid w:val="002710FE"/>
    <w:rsid w:val="002718B0"/>
    <w:rsid w:val="00272FBA"/>
    <w:rsid w:val="002731B3"/>
    <w:rsid w:val="0028012A"/>
    <w:rsid w:val="00280E8E"/>
    <w:rsid w:val="00282ED3"/>
    <w:rsid w:val="00284B69"/>
    <w:rsid w:val="00287E93"/>
    <w:rsid w:val="0029582C"/>
    <w:rsid w:val="002959EB"/>
    <w:rsid w:val="00295C31"/>
    <w:rsid w:val="0029650E"/>
    <w:rsid w:val="00297B06"/>
    <w:rsid w:val="002A4507"/>
    <w:rsid w:val="002A76CF"/>
    <w:rsid w:val="002B1F2B"/>
    <w:rsid w:val="002B5487"/>
    <w:rsid w:val="002B5E67"/>
    <w:rsid w:val="002C1757"/>
    <w:rsid w:val="002C26F6"/>
    <w:rsid w:val="002C4B9C"/>
    <w:rsid w:val="002C4EAA"/>
    <w:rsid w:val="002C5405"/>
    <w:rsid w:val="002C6498"/>
    <w:rsid w:val="002E05E9"/>
    <w:rsid w:val="002E4CC8"/>
    <w:rsid w:val="002E7F19"/>
    <w:rsid w:val="002F2355"/>
    <w:rsid w:val="002F23A4"/>
    <w:rsid w:val="002F283E"/>
    <w:rsid w:val="002F377C"/>
    <w:rsid w:val="002F5913"/>
    <w:rsid w:val="002F6FCC"/>
    <w:rsid w:val="002F7D5E"/>
    <w:rsid w:val="003002FD"/>
    <w:rsid w:val="00301EE2"/>
    <w:rsid w:val="00303937"/>
    <w:rsid w:val="003047FD"/>
    <w:rsid w:val="00305E5C"/>
    <w:rsid w:val="00306C0E"/>
    <w:rsid w:val="00307DB4"/>
    <w:rsid w:val="00311291"/>
    <w:rsid w:val="00313DC6"/>
    <w:rsid w:val="00315190"/>
    <w:rsid w:val="003159EB"/>
    <w:rsid w:val="00315AAE"/>
    <w:rsid w:val="00316402"/>
    <w:rsid w:val="00317C85"/>
    <w:rsid w:val="00321055"/>
    <w:rsid w:val="003238C9"/>
    <w:rsid w:val="00323FCD"/>
    <w:rsid w:val="0032480A"/>
    <w:rsid w:val="003320DA"/>
    <w:rsid w:val="003345F7"/>
    <w:rsid w:val="00335368"/>
    <w:rsid w:val="003408CB"/>
    <w:rsid w:val="00342011"/>
    <w:rsid w:val="00342088"/>
    <w:rsid w:val="003427BC"/>
    <w:rsid w:val="003454C8"/>
    <w:rsid w:val="00346173"/>
    <w:rsid w:val="00350112"/>
    <w:rsid w:val="0035046C"/>
    <w:rsid w:val="00350C78"/>
    <w:rsid w:val="00352EB8"/>
    <w:rsid w:val="00355567"/>
    <w:rsid w:val="00355E8A"/>
    <w:rsid w:val="003618E5"/>
    <w:rsid w:val="00363BFE"/>
    <w:rsid w:val="00364BCD"/>
    <w:rsid w:val="00365804"/>
    <w:rsid w:val="00376059"/>
    <w:rsid w:val="00376C8E"/>
    <w:rsid w:val="00387E9F"/>
    <w:rsid w:val="003916AC"/>
    <w:rsid w:val="00391D04"/>
    <w:rsid w:val="00392F19"/>
    <w:rsid w:val="00393A0B"/>
    <w:rsid w:val="003A1382"/>
    <w:rsid w:val="003A2F5A"/>
    <w:rsid w:val="003A412F"/>
    <w:rsid w:val="003A5742"/>
    <w:rsid w:val="003A7195"/>
    <w:rsid w:val="003B1E1B"/>
    <w:rsid w:val="003B366A"/>
    <w:rsid w:val="003B3BE9"/>
    <w:rsid w:val="003C499F"/>
    <w:rsid w:val="003C4C4B"/>
    <w:rsid w:val="003C5DF7"/>
    <w:rsid w:val="003C5F3A"/>
    <w:rsid w:val="003D3442"/>
    <w:rsid w:val="003D4123"/>
    <w:rsid w:val="003D61B4"/>
    <w:rsid w:val="003D794E"/>
    <w:rsid w:val="003E2AA1"/>
    <w:rsid w:val="003E6451"/>
    <w:rsid w:val="003E7C09"/>
    <w:rsid w:val="003F072C"/>
    <w:rsid w:val="003F20BF"/>
    <w:rsid w:val="003F31D9"/>
    <w:rsid w:val="003F57E4"/>
    <w:rsid w:val="003F5ED3"/>
    <w:rsid w:val="003F6CBC"/>
    <w:rsid w:val="00401691"/>
    <w:rsid w:val="00410A85"/>
    <w:rsid w:val="00411630"/>
    <w:rsid w:val="00412BB6"/>
    <w:rsid w:val="00413312"/>
    <w:rsid w:val="0041404F"/>
    <w:rsid w:val="00414D11"/>
    <w:rsid w:val="004172C3"/>
    <w:rsid w:val="0042150F"/>
    <w:rsid w:val="00423306"/>
    <w:rsid w:val="00424BBC"/>
    <w:rsid w:val="00425F1E"/>
    <w:rsid w:val="00425FE9"/>
    <w:rsid w:val="004277D2"/>
    <w:rsid w:val="004325EC"/>
    <w:rsid w:val="00440280"/>
    <w:rsid w:val="00440339"/>
    <w:rsid w:val="0044168B"/>
    <w:rsid w:val="00442E70"/>
    <w:rsid w:val="00443766"/>
    <w:rsid w:val="0044412F"/>
    <w:rsid w:val="0044701D"/>
    <w:rsid w:val="00457E73"/>
    <w:rsid w:val="00461301"/>
    <w:rsid w:val="0046532B"/>
    <w:rsid w:val="00465463"/>
    <w:rsid w:val="00471BAD"/>
    <w:rsid w:val="004736CE"/>
    <w:rsid w:val="0048111D"/>
    <w:rsid w:val="00482BF3"/>
    <w:rsid w:val="00484563"/>
    <w:rsid w:val="004864DC"/>
    <w:rsid w:val="00486C42"/>
    <w:rsid w:val="00491BCC"/>
    <w:rsid w:val="004953E8"/>
    <w:rsid w:val="0049636C"/>
    <w:rsid w:val="004A5972"/>
    <w:rsid w:val="004A5CF5"/>
    <w:rsid w:val="004A6A03"/>
    <w:rsid w:val="004B00C1"/>
    <w:rsid w:val="004B041C"/>
    <w:rsid w:val="004B24A7"/>
    <w:rsid w:val="004B2883"/>
    <w:rsid w:val="004B7771"/>
    <w:rsid w:val="004C01CF"/>
    <w:rsid w:val="004C01F4"/>
    <w:rsid w:val="004C33B2"/>
    <w:rsid w:val="004C6D9E"/>
    <w:rsid w:val="004D0E70"/>
    <w:rsid w:val="004D0EC3"/>
    <w:rsid w:val="004D279E"/>
    <w:rsid w:val="004D7781"/>
    <w:rsid w:val="004D7814"/>
    <w:rsid w:val="004E0D0A"/>
    <w:rsid w:val="004E1C38"/>
    <w:rsid w:val="004E3F54"/>
    <w:rsid w:val="004E5E19"/>
    <w:rsid w:val="004F0968"/>
    <w:rsid w:val="004F11AA"/>
    <w:rsid w:val="004F2B82"/>
    <w:rsid w:val="004F41F5"/>
    <w:rsid w:val="004F58D0"/>
    <w:rsid w:val="004F5C91"/>
    <w:rsid w:val="0050089D"/>
    <w:rsid w:val="00501150"/>
    <w:rsid w:val="005038D0"/>
    <w:rsid w:val="00503E22"/>
    <w:rsid w:val="00503FCA"/>
    <w:rsid w:val="00505990"/>
    <w:rsid w:val="00506088"/>
    <w:rsid w:val="00506147"/>
    <w:rsid w:val="00506C83"/>
    <w:rsid w:val="00507292"/>
    <w:rsid w:val="00507A8D"/>
    <w:rsid w:val="0051177D"/>
    <w:rsid w:val="00511F2A"/>
    <w:rsid w:val="00512576"/>
    <w:rsid w:val="00513182"/>
    <w:rsid w:val="005148F8"/>
    <w:rsid w:val="00514A8A"/>
    <w:rsid w:val="00517377"/>
    <w:rsid w:val="0051756F"/>
    <w:rsid w:val="005200B9"/>
    <w:rsid w:val="00520A8A"/>
    <w:rsid w:val="005219C5"/>
    <w:rsid w:val="00523621"/>
    <w:rsid w:val="00524A26"/>
    <w:rsid w:val="005309BB"/>
    <w:rsid w:val="00531BAC"/>
    <w:rsid w:val="00542848"/>
    <w:rsid w:val="00547487"/>
    <w:rsid w:val="005475C7"/>
    <w:rsid w:val="00550480"/>
    <w:rsid w:val="00552DA7"/>
    <w:rsid w:val="005542B1"/>
    <w:rsid w:val="00556157"/>
    <w:rsid w:val="00556F7B"/>
    <w:rsid w:val="00560D5E"/>
    <w:rsid w:val="0056576E"/>
    <w:rsid w:val="005673F7"/>
    <w:rsid w:val="00575CFA"/>
    <w:rsid w:val="005761EA"/>
    <w:rsid w:val="00576869"/>
    <w:rsid w:val="00577572"/>
    <w:rsid w:val="005805A9"/>
    <w:rsid w:val="00580C70"/>
    <w:rsid w:val="00581876"/>
    <w:rsid w:val="005948F9"/>
    <w:rsid w:val="00594DB0"/>
    <w:rsid w:val="00595A5B"/>
    <w:rsid w:val="00596471"/>
    <w:rsid w:val="005969A4"/>
    <w:rsid w:val="00597411"/>
    <w:rsid w:val="005A08B4"/>
    <w:rsid w:val="005A2CDF"/>
    <w:rsid w:val="005A4670"/>
    <w:rsid w:val="005A6C3C"/>
    <w:rsid w:val="005B0527"/>
    <w:rsid w:val="005B321F"/>
    <w:rsid w:val="005B3B02"/>
    <w:rsid w:val="005B4CE5"/>
    <w:rsid w:val="005B6A4A"/>
    <w:rsid w:val="005C0839"/>
    <w:rsid w:val="005C14E2"/>
    <w:rsid w:val="005C1E83"/>
    <w:rsid w:val="005C57D4"/>
    <w:rsid w:val="005C58FF"/>
    <w:rsid w:val="005C5C2D"/>
    <w:rsid w:val="005D106B"/>
    <w:rsid w:val="005D14F9"/>
    <w:rsid w:val="005D265D"/>
    <w:rsid w:val="005D3676"/>
    <w:rsid w:val="005D3A1B"/>
    <w:rsid w:val="005D41E7"/>
    <w:rsid w:val="005D50FC"/>
    <w:rsid w:val="005D5C6F"/>
    <w:rsid w:val="005D7342"/>
    <w:rsid w:val="005D7A9B"/>
    <w:rsid w:val="005E5767"/>
    <w:rsid w:val="005E6F94"/>
    <w:rsid w:val="005F2D49"/>
    <w:rsid w:val="005F32D3"/>
    <w:rsid w:val="005F5691"/>
    <w:rsid w:val="00606E24"/>
    <w:rsid w:val="006073F2"/>
    <w:rsid w:val="00607A4C"/>
    <w:rsid w:val="00612B86"/>
    <w:rsid w:val="006141A6"/>
    <w:rsid w:val="006154D8"/>
    <w:rsid w:val="00615A29"/>
    <w:rsid w:val="006164DC"/>
    <w:rsid w:val="006169F7"/>
    <w:rsid w:val="00620197"/>
    <w:rsid w:val="00624209"/>
    <w:rsid w:val="006247AA"/>
    <w:rsid w:val="006255CB"/>
    <w:rsid w:val="00625D04"/>
    <w:rsid w:val="00625E6A"/>
    <w:rsid w:val="00631A5E"/>
    <w:rsid w:val="00636E70"/>
    <w:rsid w:val="0064277D"/>
    <w:rsid w:val="00651242"/>
    <w:rsid w:val="00656B9B"/>
    <w:rsid w:val="006570CD"/>
    <w:rsid w:val="0065763F"/>
    <w:rsid w:val="00661C0B"/>
    <w:rsid w:val="00662C5D"/>
    <w:rsid w:val="00663EEA"/>
    <w:rsid w:val="00666420"/>
    <w:rsid w:val="00676CAC"/>
    <w:rsid w:val="00677401"/>
    <w:rsid w:val="00681143"/>
    <w:rsid w:val="006820C6"/>
    <w:rsid w:val="00683390"/>
    <w:rsid w:val="0068394F"/>
    <w:rsid w:val="006878AC"/>
    <w:rsid w:val="00690A68"/>
    <w:rsid w:val="00691739"/>
    <w:rsid w:val="00691E02"/>
    <w:rsid w:val="006927F0"/>
    <w:rsid w:val="006934DD"/>
    <w:rsid w:val="00696288"/>
    <w:rsid w:val="0069644B"/>
    <w:rsid w:val="00696B4C"/>
    <w:rsid w:val="006A05B0"/>
    <w:rsid w:val="006A12A3"/>
    <w:rsid w:val="006A33A9"/>
    <w:rsid w:val="006A3D0F"/>
    <w:rsid w:val="006A6B50"/>
    <w:rsid w:val="006A775E"/>
    <w:rsid w:val="006B0D53"/>
    <w:rsid w:val="006B1D9C"/>
    <w:rsid w:val="006B2328"/>
    <w:rsid w:val="006B273B"/>
    <w:rsid w:val="006B44F3"/>
    <w:rsid w:val="006C64A8"/>
    <w:rsid w:val="006C74E5"/>
    <w:rsid w:val="006D0025"/>
    <w:rsid w:val="006D26B1"/>
    <w:rsid w:val="006D48C9"/>
    <w:rsid w:val="006D7894"/>
    <w:rsid w:val="006D7BF5"/>
    <w:rsid w:val="006E4064"/>
    <w:rsid w:val="006E5F23"/>
    <w:rsid w:val="006E619B"/>
    <w:rsid w:val="006F0FA5"/>
    <w:rsid w:val="006F10B8"/>
    <w:rsid w:val="006F2A33"/>
    <w:rsid w:val="006F41F0"/>
    <w:rsid w:val="006F4625"/>
    <w:rsid w:val="006F5182"/>
    <w:rsid w:val="006F729A"/>
    <w:rsid w:val="006F76F8"/>
    <w:rsid w:val="007000E2"/>
    <w:rsid w:val="00702721"/>
    <w:rsid w:val="00704F05"/>
    <w:rsid w:val="0070502D"/>
    <w:rsid w:val="00705969"/>
    <w:rsid w:val="00712C7F"/>
    <w:rsid w:val="00717D2A"/>
    <w:rsid w:val="0072109E"/>
    <w:rsid w:val="00725146"/>
    <w:rsid w:val="007279B6"/>
    <w:rsid w:val="007304C2"/>
    <w:rsid w:val="00733D3C"/>
    <w:rsid w:val="00735443"/>
    <w:rsid w:val="0073651F"/>
    <w:rsid w:val="00742D65"/>
    <w:rsid w:val="00742EE9"/>
    <w:rsid w:val="007434F1"/>
    <w:rsid w:val="00743842"/>
    <w:rsid w:val="007447DD"/>
    <w:rsid w:val="00744C04"/>
    <w:rsid w:val="00751603"/>
    <w:rsid w:val="0075296D"/>
    <w:rsid w:val="00753BFE"/>
    <w:rsid w:val="00753F84"/>
    <w:rsid w:val="00755492"/>
    <w:rsid w:val="0075717A"/>
    <w:rsid w:val="0075741F"/>
    <w:rsid w:val="0076197C"/>
    <w:rsid w:val="00762378"/>
    <w:rsid w:val="00763560"/>
    <w:rsid w:val="007673B0"/>
    <w:rsid w:val="007706BA"/>
    <w:rsid w:val="00772631"/>
    <w:rsid w:val="00772F7D"/>
    <w:rsid w:val="00773CD1"/>
    <w:rsid w:val="00776153"/>
    <w:rsid w:val="007765EF"/>
    <w:rsid w:val="00777E96"/>
    <w:rsid w:val="00780136"/>
    <w:rsid w:val="0078125C"/>
    <w:rsid w:val="00782841"/>
    <w:rsid w:val="00782D0F"/>
    <w:rsid w:val="00782D47"/>
    <w:rsid w:val="0078419E"/>
    <w:rsid w:val="00784336"/>
    <w:rsid w:val="00785C64"/>
    <w:rsid w:val="00790149"/>
    <w:rsid w:val="00791E7E"/>
    <w:rsid w:val="007930D0"/>
    <w:rsid w:val="0079376A"/>
    <w:rsid w:val="00795C79"/>
    <w:rsid w:val="007975C7"/>
    <w:rsid w:val="00797AC1"/>
    <w:rsid w:val="007A1863"/>
    <w:rsid w:val="007A5196"/>
    <w:rsid w:val="007A577D"/>
    <w:rsid w:val="007A7750"/>
    <w:rsid w:val="007B0778"/>
    <w:rsid w:val="007B7274"/>
    <w:rsid w:val="007B7B40"/>
    <w:rsid w:val="007C00F5"/>
    <w:rsid w:val="007C116E"/>
    <w:rsid w:val="007C210D"/>
    <w:rsid w:val="007C2928"/>
    <w:rsid w:val="007C2D0D"/>
    <w:rsid w:val="007C33CE"/>
    <w:rsid w:val="007C3D92"/>
    <w:rsid w:val="007C431D"/>
    <w:rsid w:val="007C528E"/>
    <w:rsid w:val="007C632C"/>
    <w:rsid w:val="007C6C3F"/>
    <w:rsid w:val="007C7DD6"/>
    <w:rsid w:val="007D096D"/>
    <w:rsid w:val="007D1698"/>
    <w:rsid w:val="007D1AE8"/>
    <w:rsid w:val="007D1DC9"/>
    <w:rsid w:val="007D2CC8"/>
    <w:rsid w:val="007D2EF7"/>
    <w:rsid w:val="007E1B92"/>
    <w:rsid w:val="007E2D26"/>
    <w:rsid w:val="007E2F58"/>
    <w:rsid w:val="007E442C"/>
    <w:rsid w:val="007E4B97"/>
    <w:rsid w:val="007E5AEF"/>
    <w:rsid w:val="007F3308"/>
    <w:rsid w:val="007F3C4C"/>
    <w:rsid w:val="007F4B23"/>
    <w:rsid w:val="00800BD5"/>
    <w:rsid w:val="008027CC"/>
    <w:rsid w:val="00803D79"/>
    <w:rsid w:val="0080466E"/>
    <w:rsid w:val="00810C01"/>
    <w:rsid w:val="008129AE"/>
    <w:rsid w:val="00814416"/>
    <w:rsid w:val="0081473E"/>
    <w:rsid w:val="008150CC"/>
    <w:rsid w:val="0081632F"/>
    <w:rsid w:val="0081658E"/>
    <w:rsid w:val="00817CB7"/>
    <w:rsid w:val="00820E39"/>
    <w:rsid w:val="00821112"/>
    <w:rsid w:val="00821E10"/>
    <w:rsid w:val="008304C8"/>
    <w:rsid w:val="00830B02"/>
    <w:rsid w:val="0083175A"/>
    <w:rsid w:val="00834225"/>
    <w:rsid w:val="008421E4"/>
    <w:rsid w:val="008424EC"/>
    <w:rsid w:val="00842FBC"/>
    <w:rsid w:val="00843EE5"/>
    <w:rsid w:val="00844605"/>
    <w:rsid w:val="008453D1"/>
    <w:rsid w:val="008532A2"/>
    <w:rsid w:val="008535FE"/>
    <w:rsid w:val="0086029C"/>
    <w:rsid w:val="0086048F"/>
    <w:rsid w:val="00862E92"/>
    <w:rsid w:val="00862F3C"/>
    <w:rsid w:val="0086381A"/>
    <w:rsid w:val="00864E37"/>
    <w:rsid w:val="00865E1A"/>
    <w:rsid w:val="00866E66"/>
    <w:rsid w:val="008732DF"/>
    <w:rsid w:val="00875863"/>
    <w:rsid w:val="008767CB"/>
    <w:rsid w:val="00881CC4"/>
    <w:rsid w:val="00882303"/>
    <w:rsid w:val="00884482"/>
    <w:rsid w:val="00885D28"/>
    <w:rsid w:val="00886391"/>
    <w:rsid w:val="00887D8B"/>
    <w:rsid w:val="008946FB"/>
    <w:rsid w:val="00895609"/>
    <w:rsid w:val="008A2963"/>
    <w:rsid w:val="008A619D"/>
    <w:rsid w:val="008B1FF0"/>
    <w:rsid w:val="008B241C"/>
    <w:rsid w:val="008B3697"/>
    <w:rsid w:val="008C1790"/>
    <w:rsid w:val="008C2411"/>
    <w:rsid w:val="008C398E"/>
    <w:rsid w:val="008C5E2A"/>
    <w:rsid w:val="008C7569"/>
    <w:rsid w:val="008C7B61"/>
    <w:rsid w:val="008D0969"/>
    <w:rsid w:val="008D157E"/>
    <w:rsid w:val="008D2844"/>
    <w:rsid w:val="008D4825"/>
    <w:rsid w:val="008D738F"/>
    <w:rsid w:val="008E169D"/>
    <w:rsid w:val="008E6226"/>
    <w:rsid w:val="008E7903"/>
    <w:rsid w:val="008E7CF2"/>
    <w:rsid w:val="008F110B"/>
    <w:rsid w:val="008F138A"/>
    <w:rsid w:val="008F1D4A"/>
    <w:rsid w:val="008F20A9"/>
    <w:rsid w:val="008F73F6"/>
    <w:rsid w:val="00900248"/>
    <w:rsid w:val="00902F16"/>
    <w:rsid w:val="009055DA"/>
    <w:rsid w:val="0090575E"/>
    <w:rsid w:val="009071EE"/>
    <w:rsid w:val="009130F2"/>
    <w:rsid w:val="00915179"/>
    <w:rsid w:val="00915C37"/>
    <w:rsid w:val="009165EA"/>
    <w:rsid w:val="00917A5A"/>
    <w:rsid w:val="009254DD"/>
    <w:rsid w:val="00930BB0"/>
    <w:rsid w:val="00931248"/>
    <w:rsid w:val="009323F1"/>
    <w:rsid w:val="00941599"/>
    <w:rsid w:val="00947777"/>
    <w:rsid w:val="0094789C"/>
    <w:rsid w:val="00947912"/>
    <w:rsid w:val="009506CD"/>
    <w:rsid w:val="00951603"/>
    <w:rsid w:val="009540F3"/>
    <w:rsid w:val="009547B3"/>
    <w:rsid w:val="0095511C"/>
    <w:rsid w:val="0095521F"/>
    <w:rsid w:val="00961312"/>
    <w:rsid w:val="0096155E"/>
    <w:rsid w:val="009622B0"/>
    <w:rsid w:val="00962784"/>
    <w:rsid w:val="009645AB"/>
    <w:rsid w:val="00964BEA"/>
    <w:rsid w:val="009706ED"/>
    <w:rsid w:val="00970D4C"/>
    <w:rsid w:val="00971921"/>
    <w:rsid w:val="009730BD"/>
    <w:rsid w:val="00973F85"/>
    <w:rsid w:val="00977FCB"/>
    <w:rsid w:val="0098032B"/>
    <w:rsid w:val="00981DD2"/>
    <w:rsid w:val="00992D2F"/>
    <w:rsid w:val="009A0CBC"/>
    <w:rsid w:val="009A3965"/>
    <w:rsid w:val="009A6D60"/>
    <w:rsid w:val="009A6F95"/>
    <w:rsid w:val="009B130F"/>
    <w:rsid w:val="009B141F"/>
    <w:rsid w:val="009C1B87"/>
    <w:rsid w:val="009C2111"/>
    <w:rsid w:val="009C24A1"/>
    <w:rsid w:val="009C5A03"/>
    <w:rsid w:val="009C6598"/>
    <w:rsid w:val="009C7548"/>
    <w:rsid w:val="009C7D6A"/>
    <w:rsid w:val="009D38F3"/>
    <w:rsid w:val="009D742F"/>
    <w:rsid w:val="009E0814"/>
    <w:rsid w:val="009E3F41"/>
    <w:rsid w:val="009E4AA8"/>
    <w:rsid w:val="009E5B43"/>
    <w:rsid w:val="009E5CD2"/>
    <w:rsid w:val="009E6786"/>
    <w:rsid w:val="009E6C19"/>
    <w:rsid w:val="009F0632"/>
    <w:rsid w:val="009F20B2"/>
    <w:rsid w:val="009F603B"/>
    <w:rsid w:val="009F6BAA"/>
    <w:rsid w:val="009F6D3E"/>
    <w:rsid w:val="009F7136"/>
    <w:rsid w:val="009F756E"/>
    <w:rsid w:val="009F7FE7"/>
    <w:rsid w:val="00A008E9"/>
    <w:rsid w:val="00A02468"/>
    <w:rsid w:val="00A131DD"/>
    <w:rsid w:val="00A138BD"/>
    <w:rsid w:val="00A16BC4"/>
    <w:rsid w:val="00A17087"/>
    <w:rsid w:val="00A2033A"/>
    <w:rsid w:val="00A22524"/>
    <w:rsid w:val="00A261FD"/>
    <w:rsid w:val="00A31034"/>
    <w:rsid w:val="00A354A1"/>
    <w:rsid w:val="00A361D0"/>
    <w:rsid w:val="00A373E9"/>
    <w:rsid w:val="00A41916"/>
    <w:rsid w:val="00A41BBA"/>
    <w:rsid w:val="00A44D23"/>
    <w:rsid w:val="00A45C37"/>
    <w:rsid w:val="00A5109B"/>
    <w:rsid w:val="00A52768"/>
    <w:rsid w:val="00A52E32"/>
    <w:rsid w:val="00A53671"/>
    <w:rsid w:val="00A54A7B"/>
    <w:rsid w:val="00A60E68"/>
    <w:rsid w:val="00A6153A"/>
    <w:rsid w:val="00A62BAC"/>
    <w:rsid w:val="00A64BD0"/>
    <w:rsid w:val="00A65123"/>
    <w:rsid w:val="00A72775"/>
    <w:rsid w:val="00A76E96"/>
    <w:rsid w:val="00A77EB8"/>
    <w:rsid w:val="00A854D0"/>
    <w:rsid w:val="00A85C33"/>
    <w:rsid w:val="00A916B2"/>
    <w:rsid w:val="00A92C02"/>
    <w:rsid w:val="00A93797"/>
    <w:rsid w:val="00A93A4E"/>
    <w:rsid w:val="00A94E84"/>
    <w:rsid w:val="00A96594"/>
    <w:rsid w:val="00AA354E"/>
    <w:rsid w:val="00AA45E1"/>
    <w:rsid w:val="00AA6BA7"/>
    <w:rsid w:val="00AA6C22"/>
    <w:rsid w:val="00AB0170"/>
    <w:rsid w:val="00AB0F34"/>
    <w:rsid w:val="00AB0F68"/>
    <w:rsid w:val="00AB224A"/>
    <w:rsid w:val="00AB4821"/>
    <w:rsid w:val="00AC5A52"/>
    <w:rsid w:val="00AC626B"/>
    <w:rsid w:val="00AC7EE9"/>
    <w:rsid w:val="00AC7F90"/>
    <w:rsid w:val="00AD1678"/>
    <w:rsid w:val="00AD2583"/>
    <w:rsid w:val="00AD34E0"/>
    <w:rsid w:val="00AD7989"/>
    <w:rsid w:val="00AE4078"/>
    <w:rsid w:val="00AE5421"/>
    <w:rsid w:val="00AE5A80"/>
    <w:rsid w:val="00AE6573"/>
    <w:rsid w:val="00AE727B"/>
    <w:rsid w:val="00AE7596"/>
    <w:rsid w:val="00AE7D00"/>
    <w:rsid w:val="00AF0168"/>
    <w:rsid w:val="00AF3B21"/>
    <w:rsid w:val="00AF4B66"/>
    <w:rsid w:val="00AF5BDE"/>
    <w:rsid w:val="00B00D7A"/>
    <w:rsid w:val="00B0223B"/>
    <w:rsid w:val="00B02F64"/>
    <w:rsid w:val="00B05860"/>
    <w:rsid w:val="00B06D33"/>
    <w:rsid w:val="00B07E94"/>
    <w:rsid w:val="00B124C1"/>
    <w:rsid w:val="00B12535"/>
    <w:rsid w:val="00B13504"/>
    <w:rsid w:val="00B14895"/>
    <w:rsid w:val="00B15103"/>
    <w:rsid w:val="00B238AA"/>
    <w:rsid w:val="00B2691C"/>
    <w:rsid w:val="00B3222A"/>
    <w:rsid w:val="00B33BCE"/>
    <w:rsid w:val="00B46BED"/>
    <w:rsid w:val="00B47C79"/>
    <w:rsid w:val="00B53445"/>
    <w:rsid w:val="00B61AFE"/>
    <w:rsid w:val="00B632E8"/>
    <w:rsid w:val="00B64F84"/>
    <w:rsid w:val="00B702DD"/>
    <w:rsid w:val="00B7100E"/>
    <w:rsid w:val="00B7204D"/>
    <w:rsid w:val="00B772D5"/>
    <w:rsid w:val="00B80C70"/>
    <w:rsid w:val="00B830F7"/>
    <w:rsid w:val="00B93717"/>
    <w:rsid w:val="00B946FF"/>
    <w:rsid w:val="00B97309"/>
    <w:rsid w:val="00BA142B"/>
    <w:rsid w:val="00BA23EB"/>
    <w:rsid w:val="00BA4EEC"/>
    <w:rsid w:val="00BA5204"/>
    <w:rsid w:val="00BB031B"/>
    <w:rsid w:val="00BB0E3D"/>
    <w:rsid w:val="00BB1C71"/>
    <w:rsid w:val="00BB1D72"/>
    <w:rsid w:val="00BC22A7"/>
    <w:rsid w:val="00BC3FCB"/>
    <w:rsid w:val="00BC7BD9"/>
    <w:rsid w:val="00BD07B1"/>
    <w:rsid w:val="00BD139E"/>
    <w:rsid w:val="00BD175B"/>
    <w:rsid w:val="00BD4308"/>
    <w:rsid w:val="00BD65DB"/>
    <w:rsid w:val="00BD76C6"/>
    <w:rsid w:val="00BE030D"/>
    <w:rsid w:val="00BE10DC"/>
    <w:rsid w:val="00BE1493"/>
    <w:rsid w:val="00BE16B2"/>
    <w:rsid w:val="00BE2C47"/>
    <w:rsid w:val="00BE3701"/>
    <w:rsid w:val="00BE57D1"/>
    <w:rsid w:val="00BF1CC6"/>
    <w:rsid w:val="00BF2E8D"/>
    <w:rsid w:val="00BF4667"/>
    <w:rsid w:val="00BF4869"/>
    <w:rsid w:val="00BF799E"/>
    <w:rsid w:val="00C02A18"/>
    <w:rsid w:val="00C05AC5"/>
    <w:rsid w:val="00C074C2"/>
    <w:rsid w:val="00C136A7"/>
    <w:rsid w:val="00C16CC3"/>
    <w:rsid w:val="00C172ED"/>
    <w:rsid w:val="00C174D3"/>
    <w:rsid w:val="00C2087D"/>
    <w:rsid w:val="00C219BE"/>
    <w:rsid w:val="00C246D9"/>
    <w:rsid w:val="00C2532D"/>
    <w:rsid w:val="00C27E2E"/>
    <w:rsid w:val="00C31773"/>
    <w:rsid w:val="00C3287C"/>
    <w:rsid w:val="00C3289F"/>
    <w:rsid w:val="00C329A3"/>
    <w:rsid w:val="00C36179"/>
    <w:rsid w:val="00C37B37"/>
    <w:rsid w:val="00C41A8D"/>
    <w:rsid w:val="00C41D97"/>
    <w:rsid w:val="00C43020"/>
    <w:rsid w:val="00C46866"/>
    <w:rsid w:val="00C53C76"/>
    <w:rsid w:val="00C60873"/>
    <w:rsid w:val="00C6112B"/>
    <w:rsid w:val="00C61BB7"/>
    <w:rsid w:val="00C6391A"/>
    <w:rsid w:val="00C63CDC"/>
    <w:rsid w:val="00C65095"/>
    <w:rsid w:val="00C65F95"/>
    <w:rsid w:val="00C6674F"/>
    <w:rsid w:val="00C7037A"/>
    <w:rsid w:val="00C7106E"/>
    <w:rsid w:val="00C738E5"/>
    <w:rsid w:val="00C824B5"/>
    <w:rsid w:val="00C83488"/>
    <w:rsid w:val="00C8441B"/>
    <w:rsid w:val="00C853F3"/>
    <w:rsid w:val="00C9002C"/>
    <w:rsid w:val="00C904F2"/>
    <w:rsid w:val="00C90EDD"/>
    <w:rsid w:val="00C9790D"/>
    <w:rsid w:val="00CA0DA3"/>
    <w:rsid w:val="00CA2524"/>
    <w:rsid w:val="00CA5F2A"/>
    <w:rsid w:val="00CA6169"/>
    <w:rsid w:val="00CA64ED"/>
    <w:rsid w:val="00CA6FF8"/>
    <w:rsid w:val="00CB05AD"/>
    <w:rsid w:val="00CB4453"/>
    <w:rsid w:val="00CB4F4E"/>
    <w:rsid w:val="00CC014D"/>
    <w:rsid w:val="00CC0D66"/>
    <w:rsid w:val="00CC79BF"/>
    <w:rsid w:val="00CD20D4"/>
    <w:rsid w:val="00CD3161"/>
    <w:rsid w:val="00CD5936"/>
    <w:rsid w:val="00CD6B6A"/>
    <w:rsid w:val="00CE537F"/>
    <w:rsid w:val="00CE56F4"/>
    <w:rsid w:val="00CE795F"/>
    <w:rsid w:val="00CF1451"/>
    <w:rsid w:val="00CF1A91"/>
    <w:rsid w:val="00CF2F2F"/>
    <w:rsid w:val="00CF4423"/>
    <w:rsid w:val="00CF4A36"/>
    <w:rsid w:val="00CF50F3"/>
    <w:rsid w:val="00CF62B9"/>
    <w:rsid w:val="00D008BD"/>
    <w:rsid w:val="00D00C6E"/>
    <w:rsid w:val="00D03996"/>
    <w:rsid w:val="00D121AC"/>
    <w:rsid w:val="00D157EC"/>
    <w:rsid w:val="00D15AF7"/>
    <w:rsid w:val="00D1610F"/>
    <w:rsid w:val="00D172EF"/>
    <w:rsid w:val="00D20093"/>
    <w:rsid w:val="00D22B76"/>
    <w:rsid w:val="00D22DB9"/>
    <w:rsid w:val="00D2666E"/>
    <w:rsid w:val="00D3200C"/>
    <w:rsid w:val="00D32933"/>
    <w:rsid w:val="00D34E4A"/>
    <w:rsid w:val="00D35769"/>
    <w:rsid w:val="00D4065A"/>
    <w:rsid w:val="00D452B3"/>
    <w:rsid w:val="00D51E44"/>
    <w:rsid w:val="00D52AA7"/>
    <w:rsid w:val="00D53899"/>
    <w:rsid w:val="00D546F2"/>
    <w:rsid w:val="00D60846"/>
    <w:rsid w:val="00D6093F"/>
    <w:rsid w:val="00D625DE"/>
    <w:rsid w:val="00D6346E"/>
    <w:rsid w:val="00D63BCE"/>
    <w:rsid w:val="00D67B00"/>
    <w:rsid w:val="00D70E36"/>
    <w:rsid w:val="00D7128C"/>
    <w:rsid w:val="00D73A4B"/>
    <w:rsid w:val="00D74D8E"/>
    <w:rsid w:val="00D80EE1"/>
    <w:rsid w:val="00D81E9E"/>
    <w:rsid w:val="00D841E6"/>
    <w:rsid w:val="00D8458D"/>
    <w:rsid w:val="00D87327"/>
    <w:rsid w:val="00D90830"/>
    <w:rsid w:val="00D929FA"/>
    <w:rsid w:val="00D967C2"/>
    <w:rsid w:val="00D967C8"/>
    <w:rsid w:val="00D97615"/>
    <w:rsid w:val="00DA5DFE"/>
    <w:rsid w:val="00DA7998"/>
    <w:rsid w:val="00DB64F9"/>
    <w:rsid w:val="00DB6939"/>
    <w:rsid w:val="00DB6ED7"/>
    <w:rsid w:val="00DC0426"/>
    <w:rsid w:val="00DC4394"/>
    <w:rsid w:val="00DC5C46"/>
    <w:rsid w:val="00DC7082"/>
    <w:rsid w:val="00DD3CCC"/>
    <w:rsid w:val="00DD52E9"/>
    <w:rsid w:val="00DE06BC"/>
    <w:rsid w:val="00DE19B7"/>
    <w:rsid w:val="00DF132C"/>
    <w:rsid w:val="00DF2D2B"/>
    <w:rsid w:val="00DF3C9E"/>
    <w:rsid w:val="00DF585A"/>
    <w:rsid w:val="00DF7982"/>
    <w:rsid w:val="00E02555"/>
    <w:rsid w:val="00E02FEE"/>
    <w:rsid w:val="00E049FE"/>
    <w:rsid w:val="00E056B3"/>
    <w:rsid w:val="00E105E7"/>
    <w:rsid w:val="00E15330"/>
    <w:rsid w:val="00E1612C"/>
    <w:rsid w:val="00E226FA"/>
    <w:rsid w:val="00E230C4"/>
    <w:rsid w:val="00E24A2D"/>
    <w:rsid w:val="00E26DF7"/>
    <w:rsid w:val="00E3223D"/>
    <w:rsid w:val="00E33427"/>
    <w:rsid w:val="00E350B8"/>
    <w:rsid w:val="00E37136"/>
    <w:rsid w:val="00E3733D"/>
    <w:rsid w:val="00E46ACE"/>
    <w:rsid w:val="00E50346"/>
    <w:rsid w:val="00E50DC9"/>
    <w:rsid w:val="00E5129A"/>
    <w:rsid w:val="00E56FAE"/>
    <w:rsid w:val="00E60E45"/>
    <w:rsid w:val="00E630D5"/>
    <w:rsid w:val="00E64EB5"/>
    <w:rsid w:val="00E660B6"/>
    <w:rsid w:val="00E6707B"/>
    <w:rsid w:val="00E672DC"/>
    <w:rsid w:val="00E714CD"/>
    <w:rsid w:val="00E764BD"/>
    <w:rsid w:val="00E769A9"/>
    <w:rsid w:val="00E80F8E"/>
    <w:rsid w:val="00E816B7"/>
    <w:rsid w:val="00E82976"/>
    <w:rsid w:val="00E872C7"/>
    <w:rsid w:val="00E91854"/>
    <w:rsid w:val="00E92348"/>
    <w:rsid w:val="00E93F77"/>
    <w:rsid w:val="00E9433D"/>
    <w:rsid w:val="00E96BCC"/>
    <w:rsid w:val="00EA1109"/>
    <w:rsid w:val="00EA243E"/>
    <w:rsid w:val="00EA3C51"/>
    <w:rsid w:val="00EA643D"/>
    <w:rsid w:val="00EA65CD"/>
    <w:rsid w:val="00EA6B7F"/>
    <w:rsid w:val="00EB40E1"/>
    <w:rsid w:val="00EB4A4A"/>
    <w:rsid w:val="00EB5121"/>
    <w:rsid w:val="00EB527B"/>
    <w:rsid w:val="00EB787E"/>
    <w:rsid w:val="00EC14FB"/>
    <w:rsid w:val="00EC41A9"/>
    <w:rsid w:val="00EC462E"/>
    <w:rsid w:val="00EC4F29"/>
    <w:rsid w:val="00ED183A"/>
    <w:rsid w:val="00ED1B3B"/>
    <w:rsid w:val="00ED2599"/>
    <w:rsid w:val="00ED4369"/>
    <w:rsid w:val="00ED4D01"/>
    <w:rsid w:val="00ED770F"/>
    <w:rsid w:val="00EE02A8"/>
    <w:rsid w:val="00EE3C56"/>
    <w:rsid w:val="00EE7F7B"/>
    <w:rsid w:val="00EF1389"/>
    <w:rsid w:val="00EF14BD"/>
    <w:rsid w:val="00EF1CA2"/>
    <w:rsid w:val="00EF35FA"/>
    <w:rsid w:val="00EF6D45"/>
    <w:rsid w:val="00EF6D7D"/>
    <w:rsid w:val="00EF78DC"/>
    <w:rsid w:val="00F021C1"/>
    <w:rsid w:val="00F02264"/>
    <w:rsid w:val="00F041AD"/>
    <w:rsid w:val="00F06EBF"/>
    <w:rsid w:val="00F11C85"/>
    <w:rsid w:val="00F1413C"/>
    <w:rsid w:val="00F142BA"/>
    <w:rsid w:val="00F146AD"/>
    <w:rsid w:val="00F15084"/>
    <w:rsid w:val="00F16B15"/>
    <w:rsid w:val="00F234FC"/>
    <w:rsid w:val="00F23ABE"/>
    <w:rsid w:val="00F2403A"/>
    <w:rsid w:val="00F246EE"/>
    <w:rsid w:val="00F26799"/>
    <w:rsid w:val="00F30C72"/>
    <w:rsid w:val="00F3427D"/>
    <w:rsid w:val="00F374C5"/>
    <w:rsid w:val="00F407E1"/>
    <w:rsid w:val="00F41217"/>
    <w:rsid w:val="00F41619"/>
    <w:rsid w:val="00F41E13"/>
    <w:rsid w:val="00F46747"/>
    <w:rsid w:val="00F47693"/>
    <w:rsid w:val="00F47ABC"/>
    <w:rsid w:val="00F5000E"/>
    <w:rsid w:val="00F507C8"/>
    <w:rsid w:val="00F507D3"/>
    <w:rsid w:val="00F52821"/>
    <w:rsid w:val="00F53E51"/>
    <w:rsid w:val="00F54B00"/>
    <w:rsid w:val="00F60155"/>
    <w:rsid w:val="00F60EFF"/>
    <w:rsid w:val="00F708A6"/>
    <w:rsid w:val="00F73053"/>
    <w:rsid w:val="00F75915"/>
    <w:rsid w:val="00F76C52"/>
    <w:rsid w:val="00F8479C"/>
    <w:rsid w:val="00F84C25"/>
    <w:rsid w:val="00F858CE"/>
    <w:rsid w:val="00F86690"/>
    <w:rsid w:val="00F87828"/>
    <w:rsid w:val="00F87BB0"/>
    <w:rsid w:val="00F91C6C"/>
    <w:rsid w:val="00F93294"/>
    <w:rsid w:val="00F94270"/>
    <w:rsid w:val="00F94EBF"/>
    <w:rsid w:val="00F95BFA"/>
    <w:rsid w:val="00F967EF"/>
    <w:rsid w:val="00F979A2"/>
    <w:rsid w:val="00FA29BD"/>
    <w:rsid w:val="00FA57B9"/>
    <w:rsid w:val="00FB13C3"/>
    <w:rsid w:val="00FB221B"/>
    <w:rsid w:val="00FB6F6D"/>
    <w:rsid w:val="00FB7091"/>
    <w:rsid w:val="00FB74B0"/>
    <w:rsid w:val="00FC31D4"/>
    <w:rsid w:val="00FC64FD"/>
    <w:rsid w:val="00FC714D"/>
    <w:rsid w:val="00FD0454"/>
    <w:rsid w:val="00FD0615"/>
    <w:rsid w:val="00FD0770"/>
    <w:rsid w:val="00FD7E87"/>
    <w:rsid w:val="00FE2105"/>
    <w:rsid w:val="00FE27DA"/>
    <w:rsid w:val="00FE3EC1"/>
    <w:rsid w:val="00FE4595"/>
    <w:rsid w:val="00FE7394"/>
    <w:rsid w:val="00FF09EE"/>
    <w:rsid w:val="00FF571D"/>
    <w:rsid w:val="00FF7D8B"/>
    <w:rsid w:val="0152E554"/>
    <w:rsid w:val="0A2472BD"/>
    <w:rsid w:val="0D3579E5"/>
    <w:rsid w:val="0EDC4EEC"/>
    <w:rsid w:val="14C05273"/>
    <w:rsid w:val="15B9DE56"/>
    <w:rsid w:val="165734B1"/>
    <w:rsid w:val="1E9D26DB"/>
    <w:rsid w:val="25A43EB7"/>
    <w:rsid w:val="2CE978BE"/>
    <w:rsid w:val="37B7C9F8"/>
    <w:rsid w:val="3EF2665F"/>
    <w:rsid w:val="3F2FADE0"/>
    <w:rsid w:val="40676730"/>
    <w:rsid w:val="4478072A"/>
    <w:rsid w:val="464F8DAE"/>
    <w:rsid w:val="4A423C30"/>
    <w:rsid w:val="4A79C9A5"/>
    <w:rsid w:val="4B69B6AB"/>
    <w:rsid w:val="4C68ED4F"/>
    <w:rsid w:val="5098FB9C"/>
    <w:rsid w:val="51D1BFF4"/>
    <w:rsid w:val="5412AE5B"/>
    <w:rsid w:val="54F25D8E"/>
    <w:rsid w:val="56D63CE5"/>
    <w:rsid w:val="5885BA87"/>
    <w:rsid w:val="590C9D5B"/>
    <w:rsid w:val="5949DBD3"/>
    <w:rsid w:val="5B909642"/>
    <w:rsid w:val="60DE8733"/>
    <w:rsid w:val="6CEFFE89"/>
    <w:rsid w:val="6E3B0869"/>
    <w:rsid w:val="71323209"/>
    <w:rsid w:val="7C9F54DC"/>
    <w:rsid w:val="7EFBE9CE"/>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7EA821"/>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imes New Roman" w:hAnsi="Amnesty Trade Gothic Light" w:cs="Times New Roman"/>
        <w:sz w:val="22"/>
        <w:szCs w:val="22"/>
        <w:lang w:val="es-ES" w:eastAsia="es-ES" w:bidi="ar-SA"/>
      </w:rPr>
    </w:rPrDefault>
    <w:pPrDefault>
      <w:pPr>
        <w:spacing w:after="160" w:line="259" w:lineRule="auto"/>
      </w:pPr>
    </w:pPrDefault>
  </w:docDefaults>
  <w:latentStyles w:defLockedState="1" w:defUIPriority="99"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locked="0"/>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lsdException w:name="Smart Hyperlink" w:locked="0"/>
    <w:lsdException w:name="Hashtag" w:locked="0"/>
    <w:lsdException w:name="Unresolved Mention" w:locked="0"/>
    <w:lsdException w:name="Smart Link" w:locked="0"/>
  </w:latentStyles>
  <w:style w:type="paragraph" w:default="1" w:styleId="Normal">
    <w:name w:val="Normal"/>
    <w:qFormat/>
    <w:rsid w:val="00305E5C"/>
    <w:pPr>
      <w:spacing w:after="0" w:line="240" w:lineRule="auto"/>
    </w:pPr>
    <w:rPr>
      <w:rFonts w:cs="Arial"/>
      <w:color w:val="000000"/>
      <w:sz w:val="20"/>
      <w:szCs w:val="20"/>
      <w:lang w:eastAsia="en-US"/>
    </w:rPr>
  </w:style>
  <w:style w:type="paragraph" w:styleId="Heading1">
    <w:name w:val="heading 1"/>
    <w:basedOn w:val="Normal"/>
    <w:next w:val="Normal"/>
    <w:link w:val="Heading1Char"/>
    <w:uiPriority w:val="9"/>
    <w:qFormat/>
    <w:rsid w:val="00F52821"/>
    <w:pPr>
      <w:keepNext/>
      <w:keepLines/>
      <w:spacing w:before="240"/>
      <w:outlineLvl w:val="0"/>
    </w:pPr>
    <w:rPr>
      <w:rFonts w:ascii="Amnesty Trade Gothic Cn" w:hAnsi="Amnesty Trade Gothic Cn" w:cs="Times New Roman"/>
      <w:color w:val="BFBF00"/>
      <w:sz w:val="32"/>
      <w:szCs w:val="32"/>
    </w:rPr>
  </w:style>
  <w:style w:type="paragraph" w:styleId="Heading2">
    <w:name w:val="heading 2"/>
    <w:aliases w:val="B Heading (No numbers)"/>
    <w:basedOn w:val="Normal"/>
    <w:next w:val="Normal"/>
    <w:link w:val="Heading2Char"/>
    <w:uiPriority w:val="9"/>
    <w:qFormat/>
    <w:rsid w:val="00D51E44"/>
    <w:pPr>
      <w:keepNext/>
      <w:keepLines/>
      <w:spacing w:before="320" w:line="420" w:lineRule="exact"/>
      <w:outlineLvl w:val="1"/>
    </w:pPr>
    <w:rPr>
      <w:rFonts w:ascii="Amnesty Trade Gothic Cn" w:hAnsi="Amnesty Trade Gothic Cn" w:cs="Times New Roman"/>
      <w:b/>
      <w:caps/>
      <w:color w:val="auto"/>
      <w:sz w:val="42"/>
      <w:szCs w:val="26"/>
    </w:rPr>
  </w:style>
  <w:style w:type="paragraph" w:styleId="Heading3">
    <w:name w:val="heading 3"/>
    <w:basedOn w:val="Normal"/>
    <w:next w:val="Normal"/>
    <w:link w:val="Heading3Char"/>
    <w:uiPriority w:val="9"/>
    <w:qFormat/>
    <w:rsid w:val="00F52821"/>
    <w:pPr>
      <w:keepNext/>
      <w:keepLines/>
      <w:spacing w:before="40"/>
      <w:outlineLvl w:val="2"/>
    </w:pPr>
    <w:rPr>
      <w:rFonts w:ascii="Amnesty Trade Gothic Cn" w:hAnsi="Amnesty Trade Gothic Cn" w:cs="Times New Roman"/>
      <w:color w:val="7F7F00"/>
      <w:sz w:val="24"/>
      <w:szCs w:val="24"/>
    </w:rPr>
  </w:style>
  <w:style w:type="paragraph" w:styleId="Heading4">
    <w:name w:val="heading 4"/>
    <w:basedOn w:val="Normal"/>
    <w:next w:val="Normal"/>
    <w:link w:val="Heading4Char"/>
    <w:uiPriority w:val="9"/>
    <w:qFormat/>
    <w:rsid w:val="005B321F"/>
    <w:pPr>
      <w:tabs>
        <w:tab w:val="left" w:pos="0"/>
      </w:tabs>
      <w:outlineLvl w:val="3"/>
    </w:pPr>
    <w:rPr>
      <w:rFonts w:cs="Times New Roman"/>
      <w:color w:val="auto"/>
      <w:sz w:val="22"/>
      <w:szCs w:val="22"/>
    </w:rPr>
  </w:style>
  <w:style w:type="paragraph" w:styleId="Heading5">
    <w:name w:val="heading 5"/>
    <w:basedOn w:val="Heading4"/>
    <w:next w:val="Normal"/>
    <w:link w:val="Heading5Char"/>
    <w:uiPriority w:val="9"/>
    <w:qFormat/>
    <w:rsid w:val="005B321F"/>
    <w:pPr>
      <w:outlineLvl w:val="4"/>
    </w:pPr>
  </w:style>
  <w:style w:type="paragraph" w:styleId="Heading6">
    <w:name w:val="heading 6"/>
    <w:basedOn w:val="Heading5"/>
    <w:next w:val="Normal"/>
    <w:link w:val="Heading6Char"/>
    <w:uiPriority w:val="9"/>
    <w:qFormat/>
    <w:rsid w:val="005B321F"/>
    <w:pPr>
      <w:outlineLvl w:val="5"/>
    </w:pPr>
  </w:style>
  <w:style w:type="paragraph" w:styleId="Heading7">
    <w:name w:val="heading 7"/>
    <w:basedOn w:val="Heading6"/>
    <w:next w:val="Normal"/>
    <w:link w:val="Heading7Char"/>
    <w:uiPriority w:val="9"/>
    <w:qFormat/>
    <w:rsid w:val="005B321F"/>
    <w:pPr>
      <w:outlineLvl w:val="6"/>
    </w:pPr>
  </w:style>
  <w:style w:type="paragraph" w:styleId="Heading8">
    <w:name w:val="heading 8"/>
    <w:basedOn w:val="Heading7"/>
    <w:next w:val="Normal"/>
    <w:link w:val="Heading8Char"/>
    <w:uiPriority w:val="9"/>
    <w:qFormat/>
    <w:rsid w:val="005B321F"/>
    <w:pPr>
      <w:outlineLvl w:val="7"/>
    </w:pPr>
  </w:style>
  <w:style w:type="paragraph" w:styleId="Heading9">
    <w:name w:val="heading 9"/>
    <w:basedOn w:val="Heading8"/>
    <w:next w:val="Normal"/>
    <w:link w:val="Heading9Char"/>
    <w:uiPriority w:val="9"/>
    <w:qFormat/>
    <w:rsid w:val="005B321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B Heading (No numbers) Char"/>
    <w:basedOn w:val="DefaultParagraphFont"/>
    <w:link w:val="Heading2"/>
    <w:uiPriority w:val="9"/>
    <w:locked/>
    <w:rsid w:val="005A6C3C"/>
    <w:rPr>
      <w:rFonts w:ascii="Amnesty Trade Gothic Cn" w:hAnsi="Amnesty Trade Gothic Cn" w:cs="Times New Roman"/>
      <w:b/>
      <w:caps/>
      <w:color w:val="auto"/>
      <w:sz w:val="26"/>
      <w:szCs w:val="26"/>
    </w:rPr>
  </w:style>
  <w:style w:type="character" w:customStyle="1" w:styleId="Heading3Char">
    <w:name w:val="Heading 3 Char"/>
    <w:basedOn w:val="DefaultParagraphFont"/>
    <w:link w:val="Heading3"/>
    <w:uiPriority w:val="9"/>
    <w:locked/>
    <w:rsid w:val="005A6C3C"/>
    <w:rPr>
      <w:rFonts w:ascii="Amnesty Trade Gothic Cn" w:hAnsi="Amnesty Trade Gothic Cn" w:cs="Times New Roman"/>
      <w:color w:val="7F7F00"/>
      <w:sz w:val="24"/>
      <w:szCs w:val="24"/>
    </w:rPr>
  </w:style>
  <w:style w:type="character" w:customStyle="1" w:styleId="Heading4Char">
    <w:name w:val="Heading 4 Char"/>
    <w:basedOn w:val="DefaultParagraphFont"/>
    <w:link w:val="Heading4"/>
    <w:uiPriority w:val="9"/>
    <w:locked/>
    <w:rsid w:val="005B321F"/>
    <w:rPr>
      <w:rFonts w:ascii="Amnesty Trade Gothic Light" w:hAnsi="Amnesty Trade Gothic Light" w:cs="Times New Roman"/>
      <w:color w:val="auto"/>
      <w:sz w:val="22"/>
      <w:szCs w:val="22"/>
    </w:rPr>
  </w:style>
  <w:style w:type="character" w:customStyle="1" w:styleId="Heading5Char">
    <w:name w:val="Heading 5 Char"/>
    <w:basedOn w:val="DefaultParagraphFont"/>
    <w:link w:val="Heading5"/>
    <w:uiPriority w:val="9"/>
    <w:locked/>
    <w:rsid w:val="005B321F"/>
    <w:rPr>
      <w:rFonts w:ascii="Amnesty Trade Gothic Light" w:hAnsi="Amnesty Trade Gothic Light" w:cs="Times New Roman"/>
      <w:color w:val="auto"/>
      <w:sz w:val="22"/>
      <w:szCs w:val="22"/>
    </w:rPr>
  </w:style>
  <w:style w:type="character" w:customStyle="1" w:styleId="Heading6Char">
    <w:name w:val="Heading 6 Char"/>
    <w:basedOn w:val="DefaultParagraphFont"/>
    <w:link w:val="Heading6"/>
    <w:uiPriority w:val="9"/>
    <w:locked/>
    <w:rsid w:val="005B321F"/>
    <w:rPr>
      <w:rFonts w:ascii="Amnesty Trade Gothic Light" w:hAnsi="Amnesty Trade Gothic Light" w:cs="Times New Roman"/>
      <w:color w:val="auto"/>
      <w:sz w:val="22"/>
      <w:szCs w:val="22"/>
    </w:rPr>
  </w:style>
  <w:style w:type="character" w:customStyle="1" w:styleId="Heading7Char">
    <w:name w:val="Heading 7 Char"/>
    <w:basedOn w:val="DefaultParagraphFont"/>
    <w:link w:val="Heading7"/>
    <w:uiPriority w:val="9"/>
    <w:locked/>
    <w:rsid w:val="005B321F"/>
    <w:rPr>
      <w:rFonts w:ascii="Amnesty Trade Gothic Light" w:hAnsi="Amnesty Trade Gothic Light" w:cs="Times New Roman"/>
      <w:color w:val="auto"/>
      <w:sz w:val="22"/>
      <w:szCs w:val="22"/>
    </w:rPr>
  </w:style>
  <w:style w:type="character" w:customStyle="1" w:styleId="Heading8Char">
    <w:name w:val="Heading 8 Char"/>
    <w:basedOn w:val="DefaultParagraphFont"/>
    <w:link w:val="Heading8"/>
    <w:uiPriority w:val="9"/>
    <w:locked/>
    <w:rsid w:val="005B321F"/>
    <w:rPr>
      <w:rFonts w:ascii="Amnesty Trade Gothic Light" w:hAnsi="Amnesty Trade Gothic Light" w:cs="Times New Roman"/>
      <w:color w:val="auto"/>
      <w:sz w:val="22"/>
      <w:szCs w:val="22"/>
    </w:rPr>
  </w:style>
  <w:style w:type="character" w:customStyle="1" w:styleId="Heading9Char">
    <w:name w:val="Heading 9 Char"/>
    <w:basedOn w:val="DefaultParagraphFont"/>
    <w:link w:val="Heading9"/>
    <w:uiPriority w:val="9"/>
    <w:locked/>
    <w:rsid w:val="005B321F"/>
    <w:rPr>
      <w:rFonts w:ascii="Amnesty Trade Gothic Light" w:hAnsi="Amnesty Trade Gothic Light" w:cs="Times New Roman"/>
      <w:color w:val="auto"/>
      <w:sz w:val="22"/>
      <w:szCs w:val="22"/>
    </w:rPr>
  </w:style>
  <w:style w:type="character" w:styleId="Hyperlink">
    <w:name w:val="Hyperlink"/>
    <w:basedOn w:val="DefaultParagraphFont"/>
    <w:uiPriority w:val="99"/>
    <w:unhideWhenUsed/>
    <w:rsid w:val="00B61AFE"/>
    <w:rPr>
      <w:rFonts w:cs="Times New Roman"/>
      <w:color w:val="0563C1"/>
    </w:rPr>
  </w:style>
  <w:style w:type="character" w:customStyle="1" w:styleId="Heading1Char">
    <w:name w:val="Heading 1 Char"/>
    <w:basedOn w:val="DefaultParagraphFont"/>
    <w:link w:val="Heading1"/>
    <w:uiPriority w:val="9"/>
    <w:locked/>
    <w:rsid w:val="005A6C3C"/>
    <w:rPr>
      <w:rFonts w:ascii="Amnesty Trade Gothic Cn" w:hAnsi="Amnesty Trade Gothic Cn" w:cs="Times New Roman"/>
      <w:color w:val="BFBF00"/>
      <w:sz w:val="32"/>
      <w:szCs w:val="32"/>
    </w:rPr>
  </w:style>
  <w:style w:type="paragraph" w:customStyle="1" w:styleId="BFrontcovermaintitle">
    <w:name w:val="B Front cover main title"/>
    <w:next w:val="Normal"/>
    <w:rsid w:val="00391D04"/>
    <w:pPr>
      <w:keepNext/>
      <w:keepLines/>
      <w:spacing w:after="0" w:line="264" w:lineRule="auto"/>
    </w:pPr>
    <w:rPr>
      <w:rFonts w:ascii="Amnesty Trade Gothic Cn" w:hAnsi="Amnesty Trade Gothic Cn" w:cs="Arial"/>
      <w:b/>
      <w:caps/>
      <w:noProof/>
      <w:color w:val="000000"/>
      <w:sz w:val="80"/>
      <w:szCs w:val="96"/>
      <w:shd w:val="clear" w:color="auto" w:fill="FFFF00"/>
      <w:lang w:eastAsia="en-GB"/>
    </w:rPr>
  </w:style>
  <w:style w:type="paragraph" w:customStyle="1" w:styleId="BSubtitle">
    <w:name w:val="B Subtitle"/>
    <w:basedOn w:val="Normal"/>
    <w:autoRedefine/>
    <w:uiPriority w:val="5"/>
    <w:qFormat/>
    <w:rsid w:val="008F110B"/>
    <w:pPr>
      <w:suppressAutoHyphens/>
      <w:spacing w:line="560" w:lineRule="exact"/>
    </w:pPr>
    <w:rPr>
      <w:rFonts w:ascii="Amnesty Trade Gothic Cn" w:eastAsia="MS Mincho" w:hAnsi="Amnesty Trade Gothic Cn"/>
      <w:bCs/>
      <w:caps/>
      <w:noProof/>
      <w:sz w:val="36"/>
      <w:szCs w:val="36"/>
      <w:lang w:val="es-AR"/>
    </w:rPr>
  </w:style>
  <w:style w:type="paragraph" w:customStyle="1" w:styleId="BHeadingnonumbers">
    <w:name w:val="B Heading (no numbers)"/>
    <w:basedOn w:val="BSubheadingnonumbers"/>
    <w:next w:val="BBodyText"/>
    <w:link w:val="BHeadingnonumbersChar"/>
    <w:uiPriority w:val="3"/>
    <w:qFormat/>
    <w:rsid w:val="00501150"/>
  </w:style>
  <w:style w:type="paragraph" w:customStyle="1" w:styleId="BNumberedHeading">
    <w:name w:val="B Numbered Heading"/>
    <w:basedOn w:val="Normal"/>
    <w:next w:val="BBodyText"/>
    <w:link w:val="BNumberedHeadingChar"/>
    <w:uiPriority w:val="2"/>
    <w:qFormat/>
    <w:rsid w:val="00305E5C"/>
    <w:pPr>
      <w:keepNext/>
      <w:numPr>
        <w:numId w:val="1"/>
      </w:numPr>
      <w:tabs>
        <w:tab w:val="left" w:pos="567"/>
      </w:tabs>
      <w:suppressAutoHyphens/>
      <w:spacing w:before="360" w:line="380" w:lineRule="exact"/>
      <w:ind w:left="0" w:firstLine="0"/>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rsid w:val="00882303"/>
    <w:pPr>
      <w:keepNext/>
      <w:tabs>
        <w:tab w:val="left" w:pos="851"/>
      </w:tabs>
      <w:suppressAutoHyphens/>
      <w:spacing w:before="100" w:line="720" w:lineRule="exact"/>
      <w:contextualSpacing/>
      <w:outlineLvl w:val="0"/>
    </w:pPr>
    <w:rPr>
      <w:rFonts w:ascii="Amnesty Trade Gothic Cn"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501150"/>
    <w:pPr>
      <w:numPr>
        <w:numId w:val="0"/>
      </w:numPr>
      <w:tabs>
        <w:tab w:val="clear" w:pos="567"/>
      </w:tabs>
      <w:spacing w:before="160" w:line="320" w:lineRule="exact"/>
      <w:outlineLvl w:val="1"/>
    </w:pPr>
    <w:rPr>
      <w:rFonts w:cs="Arial"/>
      <w:color w:val="000000"/>
      <w:sz w:val="32"/>
      <w:szCs w:val="20"/>
    </w:rPr>
  </w:style>
  <w:style w:type="paragraph" w:customStyle="1" w:styleId="BNumberedSubheading">
    <w:name w:val="B Numbered Subheading"/>
    <w:basedOn w:val="BSubheadingnonumbers"/>
    <w:next w:val="BBodyText"/>
    <w:uiPriority w:val="4"/>
    <w:qFormat/>
    <w:rsid w:val="007C33CE"/>
    <w:pPr>
      <w:numPr>
        <w:ilvl w:val="1"/>
        <w:numId w:val="1"/>
      </w:numPr>
      <w:spacing w:before="120" w:line="400" w:lineRule="exact"/>
      <w:ind w:left="0" w:firstLine="0"/>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uiPriority w:val="39"/>
    <w:qFormat/>
    <w:rsid w:val="00B61AFE"/>
    <w:pPr>
      <w:shd w:val="clear" w:color="auto" w:fill="FFFFFF"/>
      <w:tabs>
        <w:tab w:val="left" w:leader="underscore" w:pos="426"/>
        <w:tab w:val="right" w:leader="underscore" w:pos="9072"/>
      </w:tabs>
      <w:spacing w:before="0" w:after="60" w:line="160" w:lineRule="exact"/>
      <w:ind w:left="426" w:hanging="426"/>
    </w:pPr>
    <w:rPr>
      <w:bCs/>
      <w:sz w:val="17"/>
      <w:u w:val="single"/>
    </w:rPr>
  </w:style>
  <w:style w:type="paragraph" w:customStyle="1" w:styleId="BQuoteText">
    <w:name w:val="B Quote Text"/>
    <w:basedOn w:val="BBodyText"/>
    <w:uiPriority w:val="14"/>
    <w:qFormat/>
    <w:rsid w:val="006E5F23"/>
    <w:pPr>
      <w:framePr w:hSpace="180" w:wrap="around" w:vAnchor="text" w:hAnchor="margin" w:y="1133"/>
      <w:spacing w:after="0"/>
    </w:pPr>
    <w:rPr>
      <w:rFonts w:ascii="Amnesty Trade Gothic Cn"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cs="Times New Roman"/>
      <w:b/>
      <w:bCs/>
    </w:rPr>
  </w:style>
  <w:style w:type="paragraph" w:customStyle="1" w:styleId="BSmallQuoteText">
    <w:name w:val="B Small Quote Text"/>
    <w:basedOn w:val="BBodyText"/>
    <w:next w:val="BBodyText"/>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TOC2">
    <w:name w:val="toc 2"/>
    <w:basedOn w:val="Smallerboldsubber"/>
    <w:next w:val="Normal"/>
    <w:link w:val="TOC2Char"/>
    <w:uiPriority w:val="39"/>
    <w:unhideWhenUsed/>
    <w:qFormat/>
    <w:rsid w:val="00B61AFE"/>
    <w:pPr>
      <w:tabs>
        <w:tab w:val="left" w:pos="426"/>
        <w:tab w:val="right" w:leader="underscore" w:pos="9072"/>
      </w:tabs>
      <w:spacing w:before="0" w:after="60" w:line="160" w:lineRule="exact"/>
      <w:ind w:left="426" w:hanging="426"/>
    </w:pPr>
    <w:rPr>
      <w:rFonts w:ascii="Amnesty Trade Gothic Cn" w:hAnsi="Amnesty Trade Gothic Cn"/>
      <w:b w:val="0"/>
      <w:bCs/>
      <w:noProof/>
      <w:sz w:val="17"/>
      <w:szCs w:val="24"/>
      <w:u w:val="single"/>
    </w:rPr>
  </w:style>
  <w:style w:type="character" w:customStyle="1" w:styleId="TOC1Char">
    <w:name w:val="TOC 1 Char"/>
    <w:basedOn w:val="BHeadingnonumbersChar"/>
    <w:link w:val="TOC1"/>
    <w:uiPriority w:val="39"/>
    <w:locked/>
    <w:rsid w:val="00B61AFE"/>
    <w:rPr>
      <w:rFonts w:ascii="Amnesty Trade Gothic Cn" w:hAnsi="Amnesty Trade Gothic Cn" w:cs="Calibri"/>
      <w:b/>
      <w:bCs/>
      <w:caps/>
      <w:noProof/>
      <w:sz w:val="42"/>
      <w:u w:val="single"/>
      <w:shd w:val="clear" w:color="auto" w:fill="FFFFFF"/>
      <w:lang w:eastAsia="en-GB"/>
    </w:rPr>
  </w:style>
  <w:style w:type="character" w:customStyle="1" w:styleId="TOC2Char">
    <w:name w:val="TOC 2 Char"/>
    <w:basedOn w:val="DefaultParagraphFont"/>
    <w:link w:val="TOC2"/>
    <w:uiPriority w:val="39"/>
    <w:locked/>
    <w:rsid w:val="00B61AFE"/>
    <w:rPr>
      <w:rFonts w:ascii="Amnesty Trade Gothic Cn" w:hAnsi="Amnesty Trade Gothic Cn" w:cs="Times New Roman"/>
      <w:bCs/>
      <w:noProof/>
      <w:color w:val="auto"/>
      <w:sz w:val="24"/>
      <w:szCs w:val="24"/>
      <w:u w:val="single"/>
      <w:lang w:eastAsia="en-GB"/>
    </w:rPr>
  </w:style>
  <w:style w:type="character" w:customStyle="1" w:styleId="BNumberedHeadingChar">
    <w:name w:val="B Numbered Heading Char"/>
    <w:basedOn w:val="DefaultParagraphFont"/>
    <w:link w:val="BNumberedHeading"/>
    <w:uiPriority w:val="2"/>
    <w:locked/>
    <w:rsid w:val="00305E5C"/>
    <w:rPr>
      <w:rFonts w:ascii="Amnesty Trade Gothic Cn" w:hAnsi="Amnesty Trade Gothic Cn" w:cs="Calibri"/>
      <w:b/>
      <w:caps/>
      <w:noProof/>
      <w:sz w:val="42"/>
      <w:lang w:eastAsia="en-GB"/>
    </w:rPr>
  </w:style>
  <w:style w:type="character" w:customStyle="1" w:styleId="BHeadingnonumbersChar">
    <w:name w:val="B Heading (no numbers) Char"/>
    <w:basedOn w:val="BNumberedHeadingChar"/>
    <w:link w:val="BHeadingnonumbers"/>
    <w:uiPriority w:val="3"/>
    <w:locked/>
    <w:rsid w:val="00501150"/>
    <w:rPr>
      <w:rFonts w:ascii="Amnesty Trade Gothic Cn" w:hAnsi="Amnesty Trade Gothic Cn" w:cs="Calibri"/>
      <w:b/>
      <w:caps/>
      <w:noProof/>
      <w:sz w:val="42"/>
      <w:lang w:eastAsia="en-GB"/>
    </w:rPr>
  </w:style>
  <w:style w:type="character" w:customStyle="1" w:styleId="BBodyTextChar">
    <w:name w:val="B Body Text Char"/>
    <w:basedOn w:val="DefaultParagraphFont"/>
    <w:link w:val="BBodyText"/>
    <w:uiPriority w:val="9"/>
    <w:locked/>
    <w:rsid w:val="002C1757"/>
    <w:rPr>
      <w:rFonts w:cs="Times New Roman"/>
      <w:bCs/>
      <w:color w:val="auto"/>
      <w:sz w:val="24"/>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paragraph" w:styleId="Footer">
    <w:name w:val="footer"/>
    <w:basedOn w:val="Normal"/>
    <w:link w:val="Foot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locked/>
    <w:rsid w:val="003A7195"/>
    <w:rPr>
      <w:rFonts w:cs="Times New Roman"/>
    </w:rPr>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character" w:customStyle="1" w:styleId="FooterChar">
    <w:name w:val="Footer Char"/>
    <w:basedOn w:val="DefaultParagraphFont"/>
    <w:link w:val="Footer"/>
    <w:uiPriority w:val="99"/>
    <w:locked/>
    <w:rsid w:val="003A7195"/>
    <w:rPr>
      <w:rFonts w:cs="Times New Roman"/>
    </w:rPr>
  </w:style>
  <w:style w:type="paragraph" w:customStyle="1" w:styleId="BFootertitle">
    <w:name w:val="B Footer title"/>
    <w:basedOn w:val="Footer"/>
    <w:uiPriority w:val="99"/>
    <w:qFormat/>
    <w:rsid w:val="006C64A8"/>
    <w:pPr>
      <w:tabs>
        <w:tab w:val="clear" w:pos="4513"/>
        <w:tab w:val="clear" w:pos="9026"/>
        <w:tab w:val="right" w:pos="8278"/>
      </w:tabs>
      <w:spacing w:before="160" w:line="150" w:lineRule="exact"/>
    </w:pPr>
    <w:rPr>
      <w:rFonts w:ascii="Amnesty Trade Gothic Cn" w:hAnsi="Amnesty Trade Gothic Cn"/>
      <w:b/>
      <w:caps/>
      <w:sz w:val="15"/>
      <w:szCs w:val="15"/>
    </w:rPr>
  </w:style>
  <w:style w:type="paragraph" w:customStyle="1" w:styleId="BFooterbriefingsubtitle">
    <w:name w:val="B Footer briefing subtitle"/>
    <w:basedOn w:val="Footer"/>
    <w:uiPriority w:val="99"/>
    <w:qFormat/>
    <w:rsid w:val="00FC31D4"/>
    <w:pPr>
      <w:tabs>
        <w:tab w:val="clear" w:pos="4513"/>
        <w:tab w:val="clear" w:pos="9026"/>
        <w:tab w:val="right" w:pos="8278"/>
      </w:tabs>
      <w:spacing w:line="150" w:lineRule="exact"/>
    </w:pPr>
    <w:rPr>
      <w:rFonts w:ascii="Amnesty Trade Gothic Cn" w:hAnsi="Amnesty Trade Gothic Cn"/>
      <w:bCs/>
      <w:caps/>
      <w:sz w:val="15"/>
      <w:szCs w:val="15"/>
    </w:rPr>
  </w:style>
  <w:style w:type="table" w:styleId="TableGrid">
    <w:name w:val="Table Grid"/>
    <w:basedOn w:val="TableNormal"/>
    <w:uiPriority w:val="59"/>
    <w:rsid w:val="00EC4F29"/>
    <w:pPr>
      <w:widowControl w:val="0"/>
      <w:spacing w:after="0" w:line="240" w:lineRule="auto"/>
    </w:pPr>
    <w:rPr>
      <w:rFonts w:cs="Arial"/>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pPr>
      <w:widowControl w:val="0"/>
      <w:spacing w:after="0" w:line="240" w:lineRule="auto"/>
    </w:pPr>
    <w:rPr>
      <w:rFonts w:eastAsia="MS Mincho" w:cs="Arial"/>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rFonts w:cs="Times New Roman"/>
      <w:color w:val="605E5C"/>
      <w:shd w:val="clear" w:color="auto" w:fill="E1DFDD"/>
    </w:rPr>
  </w:style>
  <w:style w:type="character" w:customStyle="1" w:styleId="BalloonTextChar">
    <w:name w:val="Balloon Text Char"/>
    <w:basedOn w:val="DefaultParagraphFont"/>
    <w:link w:val="BalloonText"/>
    <w:uiPriority w:val="99"/>
    <w:semiHidden/>
    <w:locked/>
    <w:rsid w:val="002F6FCC"/>
    <w:rPr>
      <w:rFonts w:ascii="Segoe UI" w:hAnsi="Segoe UI" w:cs="Segoe UI"/>
      <w:sz w:val="18"/>
      <w:szCs w:val="18"/>
    </w:rPr>
  </w:style>
  <w:style w:type="character" w:styleId="CommentReference">
    <w:name w:val="annotation reference"/>
    <w:basedOn w:val="DefaultParagraphFont"/>
    <w:uiPriority w:val="99"/>
    <w:unhideWhenUsed/>
    <w:rsid w:val="006B44F3"/>
    <w:rPr>
      <w:rFonts w:cs="Times New Roman"/>
      <w:sz w:val="16"/>
      <w:szCs w:val="16"/>
    </w:rPr>
  </w:style>
  <w:style w:type="paragraph" w:styleId="CommentText">
    <w:name w:val="annotation text"/>
    <w:basedOn w:val="Normal"/>
    <w:link w:val="CommentTextChar"/>
    <w:uiPriority w:val="99"/>
    <w:rsid w:val="009C1B87"/>
  </w:style>
  <w:style w:type="paragraph" w:styleId="CommentSubject">
    <w:name w:val="annotation subject"/>
    <w:basedOn w:val="Normal"/>
    <w:next w:val="Normal"/>
    <w:link w:val="CommentSubjectChar"/>
    <w:uiPriority w:val="99"/>
    <w:unhideWhenUsed/>
    <w:rsid w:val="005A6C3C"/>
    <w:rPr>
      <w:b/>
      <w:bCs/>
    </w:rPr>
  </w:style>
  <w:style w:type="character" w:customStyle="1" w:styleId="CommentTextChar">
    <w:name w:val="Comment Text Char"/>
    <w:basedOn w:val="DefaultParagraphFont"/>
    <w:link w:val="CommentText"/>
    <w:uiPriority w:val="99"/>
    <w:locked/>
    <w:rsid w:val="009C1B87"/>
    <w:rPr>
      <w:rFonts w:cs="Times New Roman"/>
      <w:lang w:val="es-ES" w:eastAsia="x-none"/>
    </w:rPr>
  </w:style>
  <w:style w:type="paragraph" w:styleId="Revision">
    <w:name w:val="Revision"/>
    <w:hidden/>
    <w:uiPriority w:val="99"/>
    <w:semiHidden/>
    <w:rsid w:val="003E2AA1"/>
    <w:pPr>
      <w:spacing w:after="0" w:line="240" w:lineRule="auto"/>
    </w:pPr>
    <w:rPr>
      <w:rFonts w:cs="Arial"/>
      <w:color w:val="000000"/>
      <w:sz w:val="20"/>
      <w:szCs w:val="20"/>
      <w:lang w:eastAsia="en-US"/>
    </w:rPr>
  </w:style>
  <w:style w:type="character" w:customStyle="1" w:styleId="CommentSubjectChar">
    <w:name w:val="Comment Subject Char"/>
    <w:basedOn w:val="DefaultParagraphFont"/>
    <w:link w:val="CommentSubject"/>
    <w:uiPriority w:val="99"/>
    <w:locked/>
    <w:rsid w:val="005A6C3C"/>
    <w:rPr>
      <w:rFonts w:cs="Times New Roman"/>
      <w:b/>
      <w:bCs/>
    </w:rPr>
  </w:style>
  <w:style w:type="character" w:styleId="FollowedHyperlink">
    <w:name w:val="FollowedHyperlink"/>
    <w:basedOn w:val="DefaultParagraphFont"/>
    <w:uiPriority w:val="99"/>
    <w:semiHidden/>
    <w:unhideWhenUsed/>
    <w:rsid w:val="0051756F"/>
    <w:rPr>
      <w:rFonts w:cs="Times New Roman"/>
      <w:color w:val="954F72"/>
      <w:u w:val="single"/>
    </w:rPr>
  </w:style>
  <w:style w:type="character" w:customStyle="1" w:styleId="BHighlightedtext">
    <w:name w:val="B Highlighted text"/>
    <w:basedOn w:val="DefaultParagraphFont"/>
    <w:uiPriority w:val="7"/>
    <w:qFormat/>
    <w:rsid w:val="008D2844"/>
    <w:rPr>
      <w:rFonts w:cs="Times New Roman"/>
      <w:shd w:val="clear" w:color="auto" w:fill="FFFF00"/>
    </w:rPr>
  </w:style>
  <w:style w:type="paragraph" w:customStyle="1" w:styleId="BMissionStatement">
    <w:name w:val="B Mission Statement"/>
    <w:basedOn w:val="Normal"/>
    <w:uiPriority w:val="18"/>
    <w:qFormat/>
    <w:rsid w:val="008D2844"/>
    <w:pPr>
      <w:suppressAutoHyphens/>
      <w:spacing w:after="280" w:line="264" w:lineRule="auto"/>
    </w:pPr>
    <w:rPr>
      <w:rFonts w:ascii="Amnesty Trade Gothic Cn" w:hAnsi="Amnesty Trade Gothic Cn"/>
      <w:b/>
      <w:bCs/>
      <w:noProof/>
      <w:sz w:val="44"/>
      <w:szCs w:val="44"/>
      <w:lang w:eastAsia="en-GB"/>
    </w:rPr>
  </w:style>
  <w:style w:type="paragraph" w:styleId="TOCHeading">
    <w:name w:val="TOC Heading"/>
    <w:basedOn w:val="Heading1"/>
    <w:next w:val="Normal"/>
    <w:uiPriority w:val="39"/>
    <w:qFormat/>
    <w:rsid w:val="00305E5C"/>
    <w:pPr>
      <w:spacing w:line="259" w:lineRule="auto"/>
      <w:outlineLvl w:val="9"/>
    </w:pPr>
    <w:rPr>
      <w:color w:val="auto"/>
    </w:rPr>
  </w:style>
  <w:style w:type="paragraph" w:customStyle="1" w:styleId="Baltcovermaintitletext">
    <w:name w:val="B alt cover main title text"/>
    <w:basedOn w:val="section"/>
    <w:uiPriority w:val="99"/>
    <w:qFormat/>
    <w:rsid w:val="00203FB5"/>
    <w:pPr>
      <w:spacing w:before="10440" w:beforeAutospacing="0" w:after="0" w:afterAutospacing="0" w:line="264" w:lineRule="auto"/>
    </w:pPr>
    <w:rPr>
      <w:rFonts w:ascii="Amnesty Trade Gothic Cn" w:eastAsia="MS Mincho" w:hAnsi="Amnesty Trade Gothic Cn"/>
      <w:b/>
      <w:bCs/>
      <w:sz w:val="72"/>
      <w:szCs w:val="72"/>
      <w:shd w:val="clear" w:color="auto" w:fill="FFFF00"/>
    </w:rPr>
  </w:style>
  <w:style w:type="table" w:styleId="PlainTable4">
    <w:name w:val="Plain Table 4"/>
    <w:basedOn w:val="TableNormal"/>
    <w:uiPriority w:val="99"/>
    <w:rsid w:val="00A76E96"/>
    <w:pPr>
      <w:widowControl w:val="0"/>
      <w:spacing w:after="0" w:line="240" w:lineRule="auto"/>
    </w:pPr>
    <w:rPr>
      <w:rFonts w:ascii="Times New Roman" w:hAnsi="Times New Roman"/>
      <w:sz w:val="24"/>
      <w:szCs w:val="24"/>
      <w:lang w:eastAsia="en-GB"/>
    </w:rPr>
    <w:tblPr>
      <w:tblStyleRowBandSize w:val="1"/>
      <w:tblStyleColBandSize w:val="1"/>
      <w:tblInd w:w="0" w:type="nil"/>
    </w:tblPr>
    <w:tblStylePr w:type="firstRow">
      <w:pPr>
        <w:widowControl/>
        <w:ind w:left="0" w:right="0"/>
        <w:jc w:val="left"/>
        <w:textAlignment w:val="auto"/>
      </w:pPr>
      <w:rPr>
        <w:rFonts w:cs="Times New Roman"/>
        <w:b/>
        <w:bCs/>
      </w:rPr>
    </w:tblStylePr>
    <w:tblStylePr w:type="lastRow">
      <w:pPr>
        <w:widowControl/>
        <w:ind w:left="0" w:right="0"/>
        <w:jc w:val="left"/>
        <w:textAlignment w:val="auto"/>
      </w:pPr>
      <w:rPr>
        <w:rFonts w:cs="Times New Roman"/>
        <w:b/>
        <w:bCs/>
      </w:rPr>
    </w:tblStylePr>
    <w:tblStylePr w:type="firstCol">
      <w:pPr>
        <w:widowControl/>
        <w:ind w:left="0" w:right="0"/>
        <w:jc w:val="left"/>
        <w:textAlignment w:val="auto"/>
      </w:pPr>
      <w:rPr>
        <w:rFonts w:cs="Times New Roman"/>
        <w:b/>
        <w:bCs/>
      </w:rPr>
    </w:tblStylePr>
    <w:tblStylePr w:type="lastCol">
      <w:pPr>
        <w:widowControl/>
        <w:ind w:left="0" w:right="0"/>
        <w:jc w:val="left"/>
        <w:textAlignment w:val="auto"/>
      </w:pPr>
      <w:rPr>
        <w:rFonts w:cs="Times New Roman"/>
        <w:b/>
        <w:bCs/>
      </w:rPr>
    </w:tblStylePr>
    <w:tblStylePr w:type="band1Vert">
      <w:pPr>
        <w:widowControl/>
        <w:ind w:left="0" w:right="0"/>
        <w:jc w:val="left"/>
        <w:textAlignment w:val="auto"/>
      </w:pPr>
      <w:rPr>
        <w:rFonts w:cs="Times New Roman"/>
      </w:rPr>
      <w:tblPr/>
      <w:tcPr>
        <w:shd w:val="clear" w:color="auto" w:fill="F2F2F2"/>
      </w:tcPr>
    </w:tblStylePr>
    <w:tblStylePr w:type="band1Horz">
      <w:pPr>
        <w:widowControl/>
        <w:ind w:left="0" w:right="0"/>
        <w:jc w:val="left"/>
        <w:textAlignment w:val="auto"/>
      </w:pPr>
      <w:rPr>
        <w:rFonts w:cs="Times New Roman"/>
      </w:rPr>
      <w:tblPr/>
      <w:tcPr>
        <w:shd w:val="clear" w:color="auto" w:fill="F2F2F2"/>
      </w:tcPr>
    </w:tblStylePr>
  </w:style>
  <w:style w:type="paragraph" w:customStyle="1" w:styleId="BasicParagraph">
    <w:name w:val="[Basic Paragraph]"/>
    <w:basedOn w:val="Normal"/>
    <w:uiPriority w:val="99"/>
    <w:semiHidden/>
    <w:rsid w:val="00DC0426"/>
    <w:pPr>
      <w:widowControl w:val="0"/>
      <w:autoSpaceDE w:val="0"/>
      <w:autoSpaceDN w:val="0"/>
      <w:adjustRightInd w:val="0"/>
      <w:spacing w:line="288" w:lineRule="auto"/>
      <w:textAlignment w:val="center"/>
    </w:pPr>
    <w:rPr>
      <w:rFonts w:ascii="MinionPro-Regular" w:hAnsi="MinionPro-Regular" w:cs="MinionPro-Regular"/>
      <w:sz w:val="24"/>
      <w:szCs w:val="24"/>
    </w:rPr>
  </w:style>
  <w:style w:type="paragraph" w:customStyle="1" w:styleId="section">
    <w:name w:val="section"/>
    <w:basedOn w:val="Normal"/>
    <w:rsid w:val="004F5C91"/>
    <w:pPr>
      <w:spacing w:before="100" w:beforeAutospacing="1" w:after="100" w:afterAutospacing="1"/>
    </w:pPr>
    <w:rPr>
      <w:rFonts w:ascii="Times New Roman" w:hAnsi="Times New Roman" w:cs="Times New Roman"/>
      <w:color w:val="auto"/>
      <w:sz w:val="24"/>
      <w:szCs w:val="24"/>
      <w:lang w:eastAsia="en-GB"/>
    </w:rPr>
  </w:style>
  <w:style w:type="paragraph" w:customStyle="1" w:styleId="paragraph">
    <w:name w:val="paragraph"/>
    <w:basedOn w:val="Normal"/>
    <w:rsid w:val="004F5C91"/>
    <w:pPr>
      <w:spacing w:before="100" w:beforeAutospacing="1" w:after="100" w:afterAutospacing="1"/>
    </w:pPr>
    <w:rPr>
      <w:rFonts w:ascii="Times New Roman" w:hAnsi="Times New Roman" w:cs="Times New Roman"/>
      <w:color w:val="auto"/>
      <w:sz w:val="24"/>
      <w:szCs w:val="24"/>
      <w:lang w:eastAsia="en-GB"/>
    </w:rPr>
  </w:style>
  <w:style w:type="character" w:customStyle="1" w:styleId="lawlabel">
    <w:name w:val="lawlabel"/>
    <w:basedOn w:val="DefaultParagraphFont"/>
    <w:rsid w:val="004F5C91"/>
    <w:rPr>
      <w:rFonts w:cs="Times New Roman"/>
    </w:rPr>
  </w:style>
  <w:style w:type="paragraph" w:styleId="ListParagraph">
    <w:name w:val="List Paragraph"/>
    <w:basedOn w:val="Normal"/>
    <w:uiPriority w:val="34"/>
    <w:qFormat/>
    <w:rsid w:val="005B321F"/>
    <w:pPr>
      <w:ind w:left="720"/>
    </w:pPr>
    <w:rPr>
      <w:rFonts w:cs="Times New Roman"/>
      <w:color w:val="auto"/>
      <w:sz w:val="22"/>
      <w:szCs w:val="22"/>
    </w:rPr>
  </w:style>
  <w:style w:type="paragraph" w:styleId="NormalWeb">
    <w:name w:val="Normal (Web)"/>
    <w:basedOn w:val="Normal"/>
    <w:uiPriority w:val="99"/>
    <w:unhideWhenUsed/>
    <w:rsid w:val="005B321F"/>
    <w:pPr>
      <w:spacing w:before="100" w:beforeAutospacing="1" w:after="100" w:afterAutospacing="1"/>
    </w:pPr>
    <w:rPr>
      <w:rFonts w:ascii="Times New Roman" w:hAnsi="Times New Roman" w:cs="Times New Roman"/>
      <w:color w:val="auto"/>
      <w:sz w:val="24"/>
      <w:szCs w:val="24"/>
      <w:lang w:eastAsia="en-GB"/>
    </w:rPr>
  </w:style>
  <w:style w:type="character" w:styleId="Emphasis">
    <w:name w:val="Emphasis"/>
    <w:basedOn w:val="DefaultParagraphFont"/>
    <w:uiPriority w:val="20"/>
    <w:qFormat/>
    <w:rsid w:val="00556157"/>
    <w:rPr>
      <w:rFonts w:cs="Times New Roman"/>
      <w:i/>
      <w:iCs/>
    </w:rPr>
  </w:style>
  <w:style w:type="paragraph" w:styleId="FootnoteText">
    <w:name w:val="footnote text"/>
    <w:basedOn w:val="Normal"/>
    <w:link w:val="FootnoteTextChar"/>
    <w:uiPriority w:val="99"/>
    <w:unhideWhenUsed/>
    <w:qFormat/>
    <w:locked/>
    <w:rsid w:val="00305E5C"/>
    <w:rPr>
      <w:sz w:val="14"/>
    </w:rPr>
  </w:style>
  <w:style w:type="character" w:customStyle="1" w:styleId="FootnoteTextChar">
    <w:name w:val="Footnote Text Char"/>
    <w:basedOn w:val="DefaultParagraphFont"/>
    <w:link w:val="FootnoteText"/>
    <w:uiPriority w:val="99"/>
    <w:rsid w:val="00305E5C"/>
    <w:rPr>
      <w:rFonts w:cs="Arial"/>
      <w:color w:val="000000"/>
      <w:sz w:val="14"/>
      <w:szCs w:val="20"/>
      <w:lang w:eastAsia="en-US"/>
    </w:rPr>
  </w:style>
  <w:style w:type="character" w:styleId="PageNumber">
    <w:name w:val="page number"/>
    <w:basedOn w:val="DefaultParagraphFont"/>
    <w:uiPriority w:val="99"/>
    <w:semiHidden/>
    <w:locked/>
    <w:rsid w:val="008F110B"/>
    <w:rPr>
      <w:rFonts w:asciiTheme="majorHAnsi" w:hAnsiTheme="majorHAnsi"/>
      <w:b/>
      <w:sz w:val="18"/>
    </w:rPr>
  </w:style>
  <w:style w:type="paragraph" w:customStyle="1" w:styleId="RTBodyText">
    <w:name w:val="RT Body Text"/>
    <w:basedOn w:val="Normal"/>
    <w:uiPriority w:val="9"/>
    <w:qFormat/>
    <w:rsid w:val="008F110B"/>
    <w:pPr>
      <w:suppressAutoHyphens/>
      <w:spacing w:after="120"/>
    </w:pPr>
    <w:rPr>
      <w:rFonts w:asciiTheme="minorHAnsi" w:eastAsiaTheme="minorEastAsia" w:hAnsiTheme="minorHAnsi"/>
      <w:color w:val="000000" w:themeColor="text1"/>
      <w:sz w:val="18"/>
      <w:szCs w:val="24"/>
    </w:rPr>
  </w:style>
  <w:style w:type="numbering" w:customStyle="1" w:styleId="RTNumberedList">
    <w:name w:val="RT Numbered List"/>
    <w:uiPriority w:val="99"/>
    <w:rsid w:val="008F110B"/>
    <w:pPr>
      <w:numPr>
        <w:numId w:val="16"/>
      </w:numPr>
    </w:pPr>
  </w:style>
  <w:style w:type="paragraph" w:customStyle="1" w:styleId="RTTitlenumbered">
    <w:name w:val="RT Title (numbered)"/>
    <w:basedOn w:val="Normal"/>
    <w:next w:val="RTBodyText"/>
    <w:qFormat/>
    <w:rsid w:val="008F110B"/>
    <w:pPr>
      <w:keepNext/>
      <w:numPr>
        <w:numId w:val="16"/>
      </w:numPr>
      <w:tabs>
        <w:tab w:val="left" w:pos="851"/>
      </w:tabs>
      <w:suppressAutoHyphens/>
      <w:spacing w:before="100" w:after="400" w:line="900" w:lineRule="exact"/>
      <w:ind w:left="0" w:firstLine="0"/>
      <w:contextualSpacing/>
      <w:outlineLvl w:val="0"/>
    </w:pPr>
    <w:rPr>
      <w:rFonts w:ascii="Amnesty Trade Gothic Cn" w:eastAsiaTheme="minorEastAsia" w:hAnsi="Amnesty Trade Gothic Cn"/>
      <w:b/>
      <w:caps/>
      <w:noProof/>
      <w:color w:val="000000" w:themeColor="text1"/>
      <w:sz w:val="90"/>
      <w:lang w:eastAsia="en-GB"/>
    </w:rPr>
  </w:style>
  <w:style w:type="paragraph" w:customStyle="1" w:styleId="RTNumberedHeading">
    <w:name w:val="RT Numbered Heading"/>
    <w:basedOn w:val="RTTitlenumbered"/>
    <w:next w:val="RTBodyText"/>
    <w:autoRedefine/>
    <w:uiPriority w:val="2"/>
    <w:qFormat/>
    <w:rsid w:val="008F110B"/>
    <w:pPr>
      <w:numPr>
        <w:ilvl w:val="1"/>
      </w:numPr>
      <w:tabs>
        <w:tab w:val="left" w:pos="567"/>
      </w:tabs>
      <w:spacing w:before="480" w:after="100" w:line="420" w:lineRule="exact"/>
      <w:ind w:left="0" w:firstLine="0"/>
      <w:outlineLvl w:val="1"/>
    </w:pPr>
    <w:rPr>
      <w:color w:val="auto"/>
      <w:sz w:val="42"/>
      <w:lang w:val="es-MX"/>
    </w:rPr>
  </w:style>
  <w:style w:type="character" w:styleId="FootnoteReference">
    <w:name w:val="footnote reference"/>
    <w:basedOn w:val="DefaultParagraphFont"/>
    <w:uiPriority w:val="99"/>
    <w:semiHidden/>
    <w:locked/>
    <w:rsid w:val="008F110B"/>
    <w:rPr>
      <w:vertAlign w:val="superscript"/>
    </w:rPr>
  </w:style>
  <w:style w:type="paragraph" w:customStyle="1" w:styleId="RTNumberedSubheading">
    <w:name w:val="RT Numbered Subheading"/>
    <w:basedOn w:val="Normal"/>
    <w:next w:val="RTBodyText"/>
    <w:uiPriority w:val="4"/>
    <w:qFormat/>
    <w:rsid w:val="008F110B"/>
    <w:pPr>
      <w:keepNext/>
      <w:keepLines/>
      <w:numPr>
        <w:ilvl w:val="2"/>
        <w:numId w:val="16"/>
      </w:numPr>
      <w:tabs>
        <w:tab w:val="left" w:pos="652"/>
        <w:tab w:val="left" w:pos="851"/>
      </w:tabs>
      <w:suppressAutoHyphens/>
      <w:spacing w:before="360" w:after="113" w:line="252" w:lineRule="auto"/>
      <w:ind w:left="0" w:firstLine="0"/>
      <w:outlineLvl w:val="2"/>
    </w:pPr>
    <w:rPr>
      <w:rFonts w:ascii="Amnesty Trade Gothic Cn" w:eastAsiaTheme="minorEastAsia" w:hAnsi="Amnesty Trade Gothic Cn"/>
      <w:b/>
      <w:caps/>
      <w:noProof/>
      <w:color w:val="auto"/>
      <w:sz w:val="32"/>
      <w:lang w:val="es-MX"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426906">
      <w:bodyDiv w:val="1"/>
      <w:marLeft w:val="0"/>
      <w:marRight w:val="0"/>
      <w:marTop w:val="0"/>
      <w:marBottom w:val="0"/>
      <w:divBdr>
        <w:top w:val="none" w:sz="0" w:space="0" w:color="auto"/>
        <w:left w:val="none" w:sz="0" w:space="0" w:color="auto"/>
        <w:bottom w:val="none" w:sz="0" w:space="0" w:color="auto"/>
        <w:right w:val="none" w:sz="0" w:space="0" w:color="auto"/>
      </w:divBdr>
    </w:div>
    <w:div w:id="274410966">
      <w:bodyDiv w:val="1"/>
      <w:marLeft w:val="0"/>
      <w:marRight w:val="0"/>
      <w:marTop w:val="0"/>
      <w:marBottom w:val="0"/>
      <w:divBdr>
        <w:top w:val="none" w:sz="0" w:space="0" w:color="auto"/>
        <w:left w:val="none" w:sz="0" w:space="0" w:color="auto"/>
        <w:bottom w:val="none" w:sz="0" w:space="0" w:color="auto"/>
        <w:right w:val="none" w:sz="0" w:space="0" w:color="auto"/>
      </w:divBdr>
    </w:div>
    <w:div w:id="680863944">
      <w:bodyDiv w:val="1"/>
      <w:marLeft w:val="0"/>
      <w:marRight w:val="0"/>
      <w:marTop w:val="0"/>
      <w:marBottom w:val="0"/>
      <w:divBdr>
        <w:top w:val="none" w:sz="0" w:space="0" w:color="auto"/>
        <w:left w:val="none" w:sz="0" w:space="0" w:color="auto"/>
        <w:bottom w:val="none" w:sz="0" w:space="0" w:color="auto"/>
        <w:right w:val="none" w:sz="0" w:space="0" w:color="auto"/>
      </w:divBdr>
    </w:div>
    <w:div w:id="802772436">
      <w:bodyDiv w:val="1"/>
      <w:marLeft w:val="0"/>
      <w:marRight w:val="0"/>
      <w:marTop w:val="0"/>
      <w:marBottom w:val="0"/>
      <w:divBdr>
        <w:top w:val="none" w:sz="0" w:space="0" w:color="auto"/>
        <w:left w:val="none" w:sz="0" w:space="0" w:color="auto"/>
        <w:bottom w:val="none" w:sz="0" w:space="0" w:color="auto"/>
        <w:right w:val="none" w:sz="0" w:space="0" w:color="auto"/>
      </w:divBdr>
    </w:div>
    <w:div w:id="859315689">
      <w:bodyDiv w:val="1"/>
      <w:marLeft w:val="0"/>
      <w:marRight w:val="0"/>
      <w:marTop w:val="0"/>
      <w:marBottom w:val="0"/>
      <w:divBdr>
        <w:top w:val="none" w:sz="0" w:space="0" w:color="auto"/>
        <w:left w:val="none" w:sz="0" w:space="0" w:color="auto"/>
        <w:bottom w:val="none" w:sz="0" w:space="0" w:color="auto"/>
        <w:right w:val="none" w:sz="0" w:space="0" w:color="auto"/>
      </w:divBdr>
    </w:div>
    <w:div w:id="862590758">
      <w:bodyDiv w:val="1"/>
      <w:marLeft w:val="0"/>
      <w:marRight w:val="0"/>
      <w:marTop w:val="0"/>
      <w:marBottom w:val="0"/>
      <w:divBdr>
        <w:top w:val="none" w:sz="0" w:space="0" w:color="auto"/>
        <w:left w:val="none" w:sz="0" w:space="0" w:color="auto"/>
        <w:bottom w:val="none" w:sz="0" w:space="0" w:color="auto"/>
        <w:right w:val="none" w:sz="0" w:space="0" w:color="auto"/>
      </w:divBdr>
    </w:div>
    <w:div w:id="943462008">
      <w:bodyDiv w:val="1"/>
      <w:marLeft w:val="0"/>
      <w:marRight w:val="0"/>
      <w:marTop w:val="0"/>
      <w:marBottom w:val="0"/>
      <w:divBdr>
        <w:top w:val="none" w:sz="0" w:space="0" w:color="auto"/>
        <w:left w:val="none" w:sz="0" w:space="0" w:color="auto"/>
        <w:bottom w:val="none" w:sz="0" w:space="0" w:color="auto"/>
        <w:right w:val="none" w:sz="0" w:space="0" w:color="auto"/>
      </w:divBdr>
    </w:div>
    <w:div w:id="956760385">
      <w:bodyDiv w:val="1"/>
      <w:marLeft w:val="0"/>
      <w:marRight w:val="0"/>
      <w:marTop w:val="0"/>
      <w:marBottom w:val="0"/>
      <w:divBdr>
        <w:top w:val="none" w:sz="0" w:space="0" w:color="auto"/>
        <w:left w:val="none" w:sz="0" w:space="0" w:color="auto"/>
        <w:bottom w:val="none" w:sz="0" w:space="0" w:color="auto"/>
        <w:right w:val="none" w:sz="0" w:space="0" w:color="auto"/>
      </w:divBdr>
    </w:div>
    <w:div w:id="980232230">
      <w:bodyDiv w:val="1"/>
      <w:marLeft w:val="0"/>
      <w:marRight w:val="0"/>
      <w:marTop w:val="0"/>
      <w:marBottom w:val="0"/>
      <w:divBdr>
        <w:top w:val="none" w:sz="0" w:space="0" w:color="auto"/>
        <w:left w:val="none" w:sz="0" w:space="0" w:color="auto"/>
        <w:bottom w:val="none" w:sz="0" w:space="0" w:color="auto"/>
        <w:right w:val="none" w:sz="0" w:space="0" w:color="auto"/>
      </w:divBdr>
    </w:div>
    <w:div w:id="1199120594">
      <w:bodyDiv w:val="1"/>
      <w:marLeft w:val="0"/>
      <w:marRight w:val="0"/>
      <w:marTop w:val="0"/>
      <w:marBottom w:val="0"/>
      <w:divBdr>
        <w:top w:val="none" w:sz="0" w:space="0" w:color="auto"/>
        <w:left w:val="none" w:sz="0" w:space="0" w:color="auto"/>
        <w:bottom w:val="none" w:sz="0" w:space="0" w:color="auto"/>
        <w:right w:val="none" w:sz="0" w:space="0" w:color="auto"/>
      </w:divBdr>
    </w:div>
    <w:div w:id="1230505534">
      <w:bodyDiv w:val="1"/>
      <w:marLeft w:val="0"/>
      <w:marRight w:val="0"/>
      <w:marTop w:val="0"/>
      <w:marBottom w:val="0"/>
      <w:divBdr>
        <w:top w:val="none" w:sz="0" w:space="0" w:color="auto"/>
        <w:left w:val="none" w:sz="0" w:space="0" w:color="auto"/>
        <w:bottom w:val="none" w:sz="0" w:space="0" w:color="auto"/>
        <w:right w:val="none" w:sz="0" w:space="0" w:color="auto"/>
      </w:divBdr>
    </w:div>
    <w:div w:id="1254171739">
      <w:bodyDiv w:val="1"/>
      <w:marLeft w:val="0"/>
      <w:marRight w:val="0"/>
      <w:marTop w:val="0"/>
      <w:marBottom w:val="0"/>
      <w:divBdr>
        <w:top w:val="none" w:sz="0" w:space="0" w:color="auto"/>
        <w:left w:val="none" w:sz="0" w:space="0" w:color="auto"/>
        <w:bottom w:val="none" w:sz="0" w:space="0" w:color="auto"/>
        <w:right w:val="none" w:sz="0" w:space="0" w:color="auto"/>
      </w:divBdr>
    </w:div>
    <w:div w:id="1423647974">
      <w:bodyDiv w:val="1"/>
      <w:marLeft w:val="0"/>
      <w:marRight w:val="0"/>
      <w:marTop w:val="0"/>
      <w:marBottom w:val="0"/>
      <w:divBdr>
        <w:top w:val="none" w:sz="0" w:space="0" w:color="auto"/>
        <w:left w:val="none" w:sz="0" w:space="0" w:color="auto"/>
        <w:bottom w:val="none" w:sz="0" w:space="0" w:color="auto"/>
        <w:right w:val="none" w:sz="0" w:space="0" w:color="auto"/>
      </w:divBdr>
    </w:div>
    <w:div w:id="1765298249">
      <w:bodyDiv w:val="1"/>
      <w:marLeft w:val="0"/>
      <w:marRight w:val="0"/>
      <w:marTop w:val="0"/>
      <w:marBottom w:val="0"/>
      <w:divBdr>
        <w:top w:val="none" w:sz="0" w:space="0" w:color="auto"/>
        <w:left w:val="none" w:sz="0" w:space="0" w:color="auto"/>
        <w:bottom w:val="none" w:sz="0" w:space="0" w:color="auto"/>
        <w:right w:val="none" w:sz="0" w:space="0" w:color="auto"/>
      </w:divBdr>
    </w:div>
    <w:div w:id="184674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file://esma0-vs-dc1ro/ES_Common/Publishing/TRADUCCI&#211;N/PROYECTOS/JUL22-GLO89/es-ES/info@amnesty.org" TargetMode="External"/><Relationship Id="rId18" Type="http://schemas.openxmlformats.org/officeDocument/2006/relationships/hyperlink" Target="https://www.facebook.com/AmnistiaAmericas/" TargetMode="Externa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file://esma0-vs-dc1ro/ES_Common/Publishing/TRADUCCI&#211;N/PROYECTOS/JUL22-GLO89/es-ES/info@amnesty.or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amnesty.org/es/permiss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https://www.amnesty.org/e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facebook.com/AmnistiaAmericas/" TargetMode="External"/><Relationship Id="rId22"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iobiochile.cl/noticias/nacional/region-de-tarapaca/2023/03/20/aumento-de-poblacion-migrante-provoca-colapso-en-matriculas-escolares-de-la-macrozona-norte.shtml" TargetMode="External"/><Relationship Id="rId13" Type="http://schemas.openxmlformats.org/officeDocument/2006/relationships/hyperlink" Target="http://www.senado.cl/appsenado/templates/tramitacion/index.php?boletin_ini=16072-06" TargetMode="External"/><Relationship Id="rId18" Type="http://schemas.openxmlformats.org/officeDocument/2006/relationships/hyperlink" Target="https://prensa.presidencia.cl/comunicado.aspx?id=285179" TargetMode="External"/><Relationship Id="rId3" Type="http://schemas.openxmlformats.org/officeDocument/2006/relationships/hyperlink" Target="https://derechoshumanos.udp.cl/cms/wp-content/uploads/2022/11/DDHH2022_02_Reparacion_Estallido.pdf" TargetMode="External"/><Relationship Id="rId21" Type="http://schemas.openxmlformats.org/officeDocument/2006/relationships/hyperlink" Target="https://www.diarioconstitucional.cl/2025/04/10/organizaciones-de-derechos-humanos-piden-a-contraloria-garantizar-acceso-efectivo-al-aborto-en-tres-causales/" TargetMode="External"/><Relationship Id="rId7" Type="http://schemas.openxmlformats.org/officeDocument/2006/relationships/hyperlink" Target="https://www.latercera.com/la-tercera-sabado/noticia/matricula-de-estudiantes-migrantes-ha-crecido-en-un-244-en-siete-anos/JDO4BDHAXRG5ZCL63IKPQWSNKE/" TargetMode="External"/><Relationship Id="rId12" Type="http://schemas.openxmlformats.org/officeDocument/2006/relationships/hyperlink" Target="https://www.camara.cl/legislacion/ProyectosDeLey/tramitacion.aspx?prmID=17260&amp;prmBOLETIN=16692-06" TargetMode="External"/><Relationship Id="rId17" Type="http://schemas.openxmlformats.org/officeDocument/2006/relationships/hyperlink" Target="https://uchile.cl/u203757" TargetMode="External"/><Relationship Id="rId25" Type="http://schemas.openxmlformats.org/officeDocument/2006/relationships/hyperlink" Target="https://www.ciperchile.cl/2025/01/19/obstaculos-y-oportunidades-de-mejora-de-la-politica-climatica-en-chile/" TargetMode="External"/><Relationship Id="rId2" Type="http://schemas.openxmlformats.org/officeDocument/2006/relationships/hyperlink" Target="https://www.fastcheck.cl/2024/10/19/la-ultima-lagrima-el-suicido-de-las-victimas-de-trauma-ocular-que-chile-olvido/" TargetMode="External"/><Relationship Id="rId16" Type="http://schemas.openxmlformats.org/officeDocument/2006/relationships/hyperlink" Target="https://www.humanas.cl/wp-content/uploads/2024/01/INFORME-OBJECION-DECONCIENCIA-2023.pdf" TargetMode="External"/><Relationship Id="rId20" Type="http://schemas.openxmlformats.org/officeDocument/2006/relationships/hyperlink" Target="https://bcn.cl/GACxRa" TargetMode="External"/><Relationship Id="rId1" Type="http://schemas.openxmlformats.org/officeDocument/2006/relationships/hyperlink" Target="https://www.amnesty.org/es/documents/amr22/3133/2020/es/" TargetMode="External"/><Relationship Id="rId6" Type="http://schemas.openxmlformats.org/officeDocument/2006/relationships/hyperlink" Target="https://serviciomigraciones.cl/estudios-migratorios/estimaciones-de-extranjeros/" TargetMode="External"/><Relationship Id="rId11" Type="http://schemas.openxmlformats.org/officeDocument/2006/relationships/hyperlink" Target="http://www.senado.cl/appsenado/templates/tramitacion/index.php?boletin_ini=15439-06" TargetMode="External"/><Relationship Id="rId24" Type="http://schemas.openxmlformats.org/officeDocument/2006/relationships/hyperlink" Target="https://www.ciperchile.cl/2025/01/19/obstaculos-y-oportunidades-de-mejora-de-la-politica-climatica-en-chile/" TargetMode="External"/><Relationship Id="rId5" Type="http://schemas.openxmlformats.org/officeDocument/2006/relationships/hyperlink" Target="https://www.amnesty.org/es/latest/news/2023/10/chile-four-years-social-unrest-impunity/" TargetMode="External"/><Relationship Id="rId15" Type="http://schemas.openxmlformats.org/officeDocument/2006/relationships/hyperlink" Target="https://www.amnesty.org/es/documents/amr22/7667/2024/es/" TargetMode="External"/><Relationship Id="rId23" Type="http://schemas.openxmlformats.org/officeDocument/2006/relationships/hyperlink" Target="https://amnistia.cl/wp-content/uploads/2019/07/Comentarios-AI-LMCC2.pdf" TargetMode="External"/><Relationship Id="rId10" Type="http://schemas.openxmlformats.org/officeDocument/2006/relationships/hyperlink" Target="https://datosabiertos.fonasa.cl/dimensiones-beneficiarios/" TargetMode="External"/><Relationship Id="rId19" Type="http://schemas.openxmlformats.org/officeDocument/2006/relationships/hyperlink" Target="https://www.camara.cl/verDoc.aspx?prmID=17794&amp;prmTIPO=INICIATIVA" TargetMode="External"/><Relationship Id="rId4" Type="http://schemas.openxmlformats.org/officeDocument/2006/relationships/hyperlink" Target="https://doble-espacio.uchile.cl/2024/10/18/a-cinco-anos-del-18-o-solo-58-de-las-victimas-estan-adscritas-al-programa-de-reparacion-estatal-y-mas-de-80-mantienen-perdigones-en-el-cuerpo/" TargetMode="External"/><Relationship Id="rId9" Type="http://schemas.openxmlformats.org/officeDocument/2006/relationships/hyperlink" Target="https://www.emol.com/noticias/Nacional/2024/06/26/1134781/afiliados-fonasa-extranjeros-incrementa.html" TargetMode="External"/><Relationship Id="rId14" Type="http://schemas.openxmlformats.org/officeDocument/2006/relationships/hyperlink" Target="http://www.senado.cl/appsenado/templates/tramitacion/index.php?boletin_ini=16072-06" TargetMode="External"/><Relationship Id="rId22" Type="http://schemas.openxmlformats.org/officeDocument/2006/relationships/hyperlink" Target="https://www.camara.cl/legislacion/ProyectosDeLey/tramitacion.aspx?prmID=17514&amp;prmBOLETIN=1690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90BE9-7516-4B53-8231-16B1014D8E1D}">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4220</Words>
  <Characters>24056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2025-06-29T09:36:00Z</dcterms:created>
  <dcterms:modified xsi:type="dcterms:W3CDTF">2025-06-29T09:36:00Z</dcterms:modified>
</cp:coreProperties>
</file>