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header1.xml" ContentType="application/vnd.openxmlformats-officedocument.wordprocessingml.header+xml"/>
  <Override PartName="/word/settings.xml" ContentType="application/vnd.openxmlformats-officedocument.wordprocessingml.settings+xml"/>
  <Override PartName="/word/numbering.xml" ContentType="application/vnd.openxmlformats-officedocument.wordprocessingml.numbering+xml"/>
  <Override PartName="/word/webSettings.xml" ContentType="application/vnd.openxmlformats-officedocument.wordprocessingml.webSettings+xml"/>
  <Override PartName="/word/styles.xml" ContentType="application/vnd.openxmlformats-officedocument.wordprocessingml.styles+xml"/>
  <Override PartName="/word/endnotes.xml" ContentType="application/vnd.openxmlformats-officedocument.wordprocessingml.endnotes+xml"/>
  <Override PartName="/word/footnotes.xml" ContentType="application/vnd.openxmlformats-officedocument.wordprocessingml.footnotes+xml"/>
  <Override PartName="/docProps/app.xml" ContentType="application/vnd.openxmlformats-officedocument.extended-properties+xml"/>
  <Override PartName="/docProps/core.xml" ContentType="application/vnd.openxmlformats-package.core-properties+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sz w:val="20"/>
          <w:szCs w:val="20"/>
        </w:rPr>
      </w:pPr>
      <w:r>
        <w:rPr>
          <w:sz w:val="20"/>
          <w:szCs w:val="20"/>
        </w:rPr>
        <w:t xml:space="preserve">Rio de Janeiro, 15 de</w:t>
      </w:r>
      <w:r>
        <w:rPr>
          <w:sz w:val="20"/>
          <w:szCs w:val="20"/>
        </w:rPr>
        <w:t xml:space="preserve"> Abril</w:t>
      </w:r>
      <w:r>
        <w:rPr>
          <w:sz w:val="20"/>
          <w:szCs w:val="20"/>
        </w:rPr>
        <w:t xml:space="preserve">, 2024 </w:t>
      </w:r>
      <w:r/>
    </w:p>
    <w:p>
      <w:pPr>
        <w:jc w:val="both"/>
        <w:rPr>
          <w:sz w:val="20"/>
          <w:szCs w:val="20"/>
        </w:rPr>
      </w:pPr>
      <w:r>
        <w:rPr>
          <w:sz w:val="20"/>
          <w:szCs w:val="20"/>
        </w:rPr>
      </w:r>
      <w:r/>
    </w:p>
    <w:p>
      <w:pPr>
        <w:jc w:val="both"/>
        <w:rPr>
          <w:b/>
          <w:sz w:val="20"/>
          <w:szCs w:val="20"/>
        </w:rPr>
      </w:pPr>
      <w:r>
        <w:rPr>
          <w:b/>
          <w:sz w:val="20"/>
          <w:szCs w:val="20"/>
        </w:rPr>
        <w:t xml:space="preserve">Comité para la Eliminación de la Discriminación contra la Mujer</w:t>
      </w:r>
      <w:r/>
    </w:p>
    <w:p>
      <w:pPr>
        <w:jc w:val="both"/>
        <w:rPr>
          <w:sz w:val="20"/>
          <w:szCs w:val="20"/>
        </w:rPr>
      </w:pPr>
      <w:r>
        <w:rPr>
          <w:sz w:val="20"/>
          <w:szCs w:val="20"/>
        </w:rPr>
        <w:t xml:space="preserve">Oficina del Alto Comisionado para los Derechos Humanos</w:t>
      </w:r>
      <w:r/>
    </w:p>
    <w:p>
      <w:pPr>
        <w:jc w:val="both"/>
        <w:rPr>
          <w:sz w:val="20"/>
          <w:szCs w:val="20"/>
        </w:rPr>
      </w:pPr>
      <w:r>
        <w:rPr>
          <w:sz w:val="20"/>
          <w:szCs w:val="20"/>
        </w:rPr>
        <w:t xml:space="preserve">Palais</w:t>
      </w:r>
      <w:r>
        <w:rPr>
          <w:sz w:val="20"/>
          <w:szCs w:val="20"/>
        </w:rPr>
        <w:t xml:space="preserve"> Wilson – 52, rue des </w:t>
      </w:r>
      <w:r>
        <w:rPr>
          <w:sz w:val="20"/>
          <w:szCs w:val="20"/>
        </w:rPr>
        <w:t xml:space="preserve">Pâquis</w:t>
      </w:r>
      <w:r>
        <w:rPr>
          <w:sz w:val="20"/>
          <w:szCs w:val="20"/>
        </w:rPr>
        <w:t xml:space="preserve"> CH-1201 </w:t>
      </w:r>
      <w:r/>
    </w:p>
    <w:p>
      <w:pPr>
        <w:jc w:val="both"/>
        <w:rPr>
          <w:sz w:val="20"/>
          <w:szCs w:val="20"/>
        </w:rPr>
      </w:pPr>
      <w:r>
        <w:rPr>
          <w:sz w:val="20"/>
          <w:szCs w:val="20"/>
        </w:rPr>
        <w:t xml:space="preserve">Ginebra, Suiza </w:t>
      </w:r>
      <w:r/>
    </w:p>
    <w:p>
      <w:pPr>
        <w:jc w:val="both"/>
        <w:rPr>
          <w:sz w:val="20"/>
          <w:szCs w:val="20"/>
        </w:rPr>
      </w:pPr>
      <w:r>
        <w:rPr>
          <w:sz w:val="20"/>
          <w:szCs w:val="20"/>
        </w:rPr>
        <w:t xml:space="preserve">Email: </w:t>
      </w:r>
      <w:r>
        <w:rPr>
          <w:color w:val="0563c1"/>
          <w:sz w:val="20"/>
          <w:szCs w:val="20"/>
          <w:u w:val="single"/>
        </w:rPr>
      </w:r>
      <w:hyperlink r:id="rId10" w:tooltip="http://cedaw@ohchr.org" w:history="1">
        <w:r>
          <w:rPr>
            <w:rStyle w:val="1109"/>
            <w:sz w:val="20"/>
            <w:szCs w:val="20"/>
          </w:rPr>
          <w:t xml:space="preserve">cedaw@ohchr.org</w:t>
        </w:r>
      </w:hyperlink>
      <w:r>
        <w:rPr>
          <w:color w:val="0563c1"/>
          <w:sz w:val="20"/>
          <w:szCs w:val="20"/>
          <w:u w:val="single"/>
        </w:rPr>
        <w:t xml:space="preserve"> ; </w:t>
      </w:r>
      <w:hyperlink r:id="rId11" w:tooltip="http://ohchr-cedaw@un.org" w:history="1">
        <w:r>
          <w:rPr>
            <w:rStyle w:val="1109"/>
            <w:sz w:val="20"/>
            <w:szCs w:val="20"/>
          </w:rPr>
          <w:t xml:space="preserve">ohchr-cedaw@un.org</w:t>
        </w:r>
      </w:hyperlink>
      <w:r>
        <w:rPr>
          <w:color w:val="0563c1"/>
          <w:sz w:val="20"/>
          <w:szCs w:val="20"/>
          <w:u w:val="single"/>
        </w:rPr>
        <w:t xml:space="preserve"> </w:t>
      </w:r>
      <w:r/>
    </w:p>
    <w:p>
      <w:pPr>
        <w:jc w:val="both"/>
        <w:rPr>
          <w:sz w:val="20"/>
          <w:szCs w:val="20"/>
        </w:rPr>
      </w:pPr>
      <w:r>
        <w:rPr>
          <w:sz w:val="20"/>
          <w:szCs w:val="20"/>
        </w:rPr>
      </w:r>
      <w:r/>
    </w:p>
    <w:p>
      <w:pPr>
        <w:jc w:val="both"/>
        <w:rPr>
          <w:sz w:val="20"/>
          <w:szCs w:val="20"/>
        </w:rPr>
      </w:pPr>
      <w:r>
        <w:rPr>
          <w:sz w:val="20"/>
          <w:szCs w:val="20"/>
        </w:rPr>
      </w:r>
      <w:r/>
    </w:p>
    <w:p>
      <w:pPr>
        <w:ind w:left="2268"/>
        <w:jc w:val="both"/>
        <w:rPr>
          <w:b/>
          <w:sz w:val="20"/>
          <w:szCs w:val="20"/>
        </w:rPr>
      </w:pPr>
      <w:r>
        <w:rPr>
          <w:b/>
          <w:sz w:val="20"/>
          <w:szCs w:val="20"/>
        </w:rPr>
        <w:t xml:space="preserve">Re: Información independiente acerca de Brasil para el grupo de trabajo anterior al 88° período de sesiones del Comité para la Eliminación de la Discriminación contra la Mujer</w:t>
      </w:r>
      <w:r/>
    </w:p>
    <w:p>
      <w:pPr>
        <w:jc w:val="both"/>
        <w:rPr>
          <w:b/>
          <w:sz w:val="20"/>
          <w:szCs w:val="20"/>
        </w:rPr>
      </w:pPr>
      <w:r>
        <w:rPr>
          <w:b/>
          <w:sz w:val="20"/>
          <w:szCs w:val="20"/>
        </w:rPr>
      </w:r>
      <w:r/>
    </w:p>
    <w:p>
      <w:pPr>
        <w:jc w:val="both"/>
        <w:rPr>
          <w:b/>
          <w:sz w:val="20"/>
          <w:szCs w:val="20"/>
        </w:rPr>
      </w:pPr>
      <w:r>
        <w:rPr>
          <w:b/>
          <w:sz w:val="20"/>
          <w:szCs w:val="20"/>
        </w:rPr>
      </w:r>
      <w:r/>
    </w:p>
    <w:p>
      <w:pPr>
        <w:jc w:val="both"/>
        <w:rPr>
          <w:sz w:val="20"/>
          <w:szCs w:val="20"/>
        </w:rPr>
      </w:pPr>
      <w:r>
        <w:rPr>
          <w:sz w:val="20"/>
          <w:szCs w:val="20"/>
        </w:rPr>
        <w:t xml:space="preserve">Distinguido/as Miembros del Comité para la Eliminación de la Discriminación contra la Mujer (en adelante</w:t>
      </w:r>
      <w:r/>
    </w:p>
    <w:p>
      <w:pPr>
        <w:jc w:val="both"/>
        <w:rPr>
          <w:sz w:val="20"/>
          <w:szCs w:val="20"/>
        </w:rPr>
      </w:pPr>
      <w:r>
        <w:rPr>
          <w:sz w:val="20"/>
          <w:szCs w:val="20"/>
        </w:rPr>
        <w:t xml:space="preserve">“Comité” o “Comité CEDAW”): </w:t>
      </w:r>
      <w:r/>
    </w:p>
    <w:p>
      <w:pPr>
        <w:ind w:left="2268"/>
        <w:jc w:val="both"/>
        <w:rPr>
          <w:sz w:val="20"/>
          <w:szCs w:val="20"/>
        </w:rPr>
      </w:pPr>
      <w:r>
        <w:rPr>
          <w:sz w:val="20"/>
          <w:szCs w:val="20"/>
        </w:rPr>
      </w:r>
      <w:r/>
    </w:p>
    <w:p>
      <w:pPr>
        <w:jc w:val="both"/>
        <w:rPr>
          <w:sz w:val="20"/>
          <w:szCs w:val="20"/>
        </w:rPr>
      </w:pPr>
      <w:r>
        <w:rPr>
          <w:sz w:val="20"/>
          <w:szCs w:val="20"/>
        </w:rPr>
        <w:t xml:space="preserve">El </w:t>
      </w:r>
      <w:r>
        <w:rPr>
          <w:b/>
          <w:sz w:val="20"/>
          <w:szCs w:val="20"/>
        </w:rPr>
        <w:t xml:space="preserve">Instituto Políticas Alternativas para o </w:t>
      </w:r>
      <w:r>
        <w:rPr>
          <w:b/>
          <w:sz w:val="20"/>
          <w:szCs w:val="20"/>
        </w:rPr>
        <w:t xml:space="preserve">Cone</w:t>
      </w:r>
      <w:r>
        <w:rPr>
          <w:b/>
          <w:sz w:val="20"/>
          <w:szCs w:val="20"/>
        </w:rPr>
        <w:t xml:space="preserve"> Sul</w:t>
      </w:r>
      <w:r>
        <w:rPr>
          <w:sz w:val="20"/>
          <w:szCs w:val="20"/>
        </w:rPr>
        <w:t xml:space="preserve"> (</w:t>
      </w:r>
      <w:r>
        <w:rPr>
          <w:b/>
          <w:sz w:val="20"/>
          <w:szCs w:val="20"/>
        </w:rPr>
        <w:t xml:space="preserve">Instituto PACS</w:t>
      </w:r>
      <w:r>
        <w:rPr>
          <w:sz w:val="20"/>
          <w:szCs w:val="20"/>
        </w:rPr>
        <w:t xml:space="preserve">), en el marco de la elaboración de la lista de cuestiones para el Estado brasileño, que será considerado durante el 88° período de sesiones, presentamos</w:t>
      </w:r>
      <w:r>
        <w:rPr>
          <w:sz w:val="20"/>
          <w:szCs w:val="20"/>
        </w:rPr>
        <w:t xml:space="preserve"> esta comunicación para contribuir al trabajo del Comité aportando información respecto a las obligaciones de Brasil de garantizar derechos, de las mujeres y niñas, protegidos por la Convención para la Eliminación de Discriminación contra la Mujer (CEDAW).</w:t>
      </w:r>
      <w:r/>
    </w:p>
    <w:p>
      <w:pPr>
        <w:jc w:val="both"/>
        <w:rPr>
          <w:sz w:val="20"/>
          <w:szCs w:val="20"/>
        </w:rPr>
      </w:pPr>
      <w:r>
        <w:rPr>
          <w:sz w:val="20"/>
          <w:szCs w:val="20"/>
        </w:rPr>
      </w:r>
      <w:r/>
    </w:p>
    <w:p>
      <w:pPr>
        <w:jc w:val="both"/>
        <w:rPr>
          <w:sz w:val="20"/>
          <w:szCs w:val="20"/>
        </w:rPr>
      </w:pPr>
      <w:r>
        <w:rPr>
          <w:sz w:val="20"/>
          <w:szCs w:val="20"/>
        </w:rPr>
        <w:t xml:space="preserve">El presente documento busca alertar sobre las principales t</w:t>
      </w:r>
      <w:r>
        <w:rPr>
          <w:sz w:val="20"/>
          <w:szCs w:val="20"/>
        </w:rPr>
        <w:t xml:space="preserve">endencias de impacto diferenciado de los megaproyectos extractivos, de infraestructura y de energ</w:t>
      </w:r>
      <w:r>
        <w:rPr>
          <w:sz w:val="20"/>
          <w:szCs w:val="20"/>
        </w:rPr>
        <w:t xml:space="preserve">ía</w:t>
      </w:r>
      <w:r>
        <w:rPr>
          <w:sz w:val="20"/>
          <w:szCs w:val="20"/>
        </w:rPr>
        <w:t xml:space="preserve"> en los derechos humanos de las mujeres en Brasil. Su propósito principal es evidenciar de qué manera la planeación y operación de dichos megaproyectos impactan los dere</w:t>
      </w:r>
      <w:r>
        <w:rPr>
          <w:sz w:val="20"/>
          <w:szCs w:val="20"/>
        </w:rPr>
        <w:t xml:space="preserve">chos de las mujeres, particularmente de aquellas que se encuentran en situación de vulnerabilidad y desventaja histórica, a saber, mujeres indígenas, campesinas y afrodescendientes y periféricas. Particularmente, serán abordadas las vulneraciones relativas</w:t>
      </w:r>
      <w:r>
        <w:rPr>
          <w:sz w:val="20"/>
          <w:szCs w:val="20"/>
        </w:rPr>
        <w:t xml:space="preserve"> (i) al derecho a la integridad física y sexual, (ii) derecho a la salud y (iii) los derechos sociales y económicos.</w:t>
      </w:r>
      <w:r>
        <w:rPr>
          <w:sz w:val="20"/>
          <w:szCs w:val="20"/>
          <w:highlight w:val="yellow"/>
        </w:rPr>
        <w:t xml:space="preserve"> </w:t>
      </w:r>
      <w:r/>
    </w:p>
    <w:p>
      <w:pPr>
        <w:jc w:val="both"/>
        <w:rPr>
          <w:sz w:val="20"/>
          <w:szCs w:val="20"/>
        </w:rPr>
      </w:pPr>
      <w:r>
        <w:rPr>
          <w:sz w:val="20"/>
          <w:szCs w:val="20"/>
        </w:rPr>
      </w:r>
      <w:r/>
    </w:p>
    <w:p>
      <w:pPr>
        <w:jc w:val="both"/>
        <w:rPr>
          <w:sz w:val="20"/>
          <w:szCs w:val="20"/>
        </w:rPr>
      </w:pPr>
      <w:r>
        <w:rPr>
          <w:sz w:val="20"/>
          <w:szCs w:val="20"/>
        </w:rPr>
        <w:t xml:space="preserve">El </w:t>
      </w:r>
      <w:r>
        <w:rPr>
          <w:b/>
          <w:sz w:val="20"/>
          <w:szCs w:val="20"/>
        </w:rPr>
        <w:t xml:space="preserve">Instituto PACS </w:t>
      </w:r>
      <w:r>
        <w:rPr>
          <w:sz w:val="20"/>
          <w:szCs w:val="20"/>
        </w:rPr>
        <w:t xml:space="preserve">aclara que no hay informaciones oficiales sobre el impacto diferenciado de los megaproyectos extractivos, de infraestructura y de energ</w:t>
      </w:r>
      <w:r>
        <w:rPr>
          <w:sz w:val="20"/>
          <w:szCs w:val="20"/>
        </w:rPr>
        <w:t xml:space="preserve">ía</w:t>
      </w:r>
      <w:r>
        <w:rPr>
          <w:sz w:val="20"/>
          <w:szCs w:val="20"/>
        </w:rPr>
        <w:t xml:space="preserve"> en los derechos humanos de las mujeres en Brasil.</w:t>
      </w:r>
      <w:r>
        <w:t xml:space="preserve"> </w:t>
      </w:r>
      <w:r>
        <w:rPr>
          <w:sz w:val="20"/>
          <w:szCs w:val="20"/>
        </w:rPr>
        <w:t xml:space="preserve">Los datos que se presentan a continuación son, en gran medida, el resultado de la acción directa del </w:t>
      </w:r>
      <w:r>
        <w:rPr>
          <w:b/>
          <w:sz w:val="20"/>
          <w:szCs w:val="20"/>
        </w:rPr>
        <w:t xml:space="preserve">Instituto PACS</w:t>
      </w:r>
      <w:r>
        <w:rPr>
          <w:sz w:val="20"/>
          <w:szCs w:val="20"/>
        </w:rPr>
        <w:t xml:space="preserve"> en los últimos 30 años de asesoría socioeconómica y educación popular con movimientos sociales, organizaciones de base y colectividades auto</w:t>
      </w:r>
      <w:r>
        <w:rPr>
          <w:sz w:val="20"/>
          <w:szCs w:val="20"/>
        </w:rPr>
        <w:t xml:space="preserve">-</w:t>
      </w:r>
      <w:r>
        <w:rPr>
          <w:sz w:val="20"/>
          <w:szCs w:val="20"/>
        </w:rPr>
        <w:t xml:space="preserve">gestionadas para construir alternativas al modelo hegemónico capitalista, racista y patriarcal, y, en la última década, actividad enfocada en la investigación y análisis crítico de las em</w:t>
      </w:r>
      <w:r>
        <w:rPr>
          <w:sz w:val="20"/>
          <w:szCs w:val="20"/>
        </w:rPr>
        <w:t xml:space="preserve">p</w:t>
      </w:r>
      <w:r>
        <w:rPr>
          <w:sz w:val="20"/>
          <w:szCs w:val="20"/>
        </w:rPr>
        <w:t xml:space="preserve">resas transnacionales y los gobiernos, especialmente los directamente responsables de los llamados megaproyectos de “desarrollo” (que involucran a empresas extractivas, grandes obras de infraestructura, megaeventos deportivos, agroindustria, entre otros). </w:t>
      </w:r>
      <w:r>
        <w:rPr>
          <w:sz w:val="20"/>
          <w:szCs w:val="20"/>
        </w:rPr>
        <w:t xml:space="preserve">También se tienen en cuenta los datos resultantes del trabajo de las organizaciones de la sociedad civil que colaboran con nosotras.</w:t>
      </w:r>
      <w:r>
        <w:rPr>
          <w:sz w:val="20"/>
          <w:szCs w:val="20"/>
        </w:rPr>
      </w:r>
      <w:r/>
    </w:p>
    <w:p>
      <w:pPr>
        <w:jc w:val="both"/>
        <w:spacing w:after="100"/>
        <w:rPr>
          <w:b/>
          <w:sz w:val="20"/>
          <w:szCs w:val="20"/>
        </w:rPr>
      </w:pPr>
      <w:r>
        <w:rPr>
          <w:b/>
          <w:sz w:val="20"/>
          <w:szCs w:val="20"/>
        </w:rPr>
      </w:r>
      <w:r/>
    </w:p>
    <w:p>
      <w:pPr>
        <w:jc w:val="both"/>
        <w:spacing w:after="100"/>
        <w:rPr>
          <w:b/>
          <w:color w:val="000000"/>
          <w:sz w:val="20"/>
          <w:szCs w:val="20"/>
        </w:rPr>
      </w:pPr>
      <w:r>
        <w:rPr>
          <w:b/>
          <w:sz w:val="20"/>
          <w:szCs w:val="20"/>
        </w:rPr>
        <w:t xml:space="preserve">I.</w:t>
      </w:r>
      <w:r>
        <w:rPr>
          <w:b/>
          <w:sz w:val="20"/>
          <w:szCs w:val="20"/>
        </w:rPr>
        <w:tab/>
      </w:r>
      <w:r>
        <w:rPr>
          <w:b/>
          <w:sz w:val="20"/>
          <w:szCs w:val="20"/>
        </w:rPr>
        <w:t xml:space="preserve">Situación general de afectación de los derechos de las mujeres en el contexto de la expansión</w:t>
      </w:r>
      <w:r>
        <w:rPr>
          <w:b/>
          <w:color w:val="000000"/>
          <w:sz w:val="20"/>
          <w:szCs w:val="20"/>
        </w:rPr>
        <w:t xml:space="preserve"> de megaproyectos en Brasil</w:t>
      </w:r>
      <w:r/>
    </w:p>
    <w:p>
      <w:pPr>
        <w:jc w:val="both"/>
        <w:spacing w:after="100"/>
        <w:rPr>
          <w:sz w:val="20"/>
          <w:szCs w:val="20"/>
        </w:rPr>
      </w:pPr>
      <w:r>
        <w:rPr>
          <w:sz w:val="20"/>
          <w:szCs w:val="20"/>
        </w:rPr>
      </w:r>
      <w:r/>
    </w:p>
    <w:p>
      <w:pPr>
        <w:numPr>
          <w:ilvl w:val="0"/>
          <w:numId w:val="3"/>
        </w:numPr>
        <w:ind w:left="0"/>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Desde hace varias décadas, América Latina ha protagonizado dos procesos en constante tensión. Por un lado, se ha dado el avance del extractivismo y la promoción de grandes proyectos de infraestructura por parte de los Estados y </w:t>
      </w:r>
      <w:r>
        <w:rPr>
          <w:sz w:val="20"/>
          <w:szCs w:val="20"/>
        </w:rPr>
        <w:t xml:space="preserve">sectores </w:t>
      </w:r>
      <w:r>
        <w:rPr>
          <w:color w:val="000000"/>
          <w:sz w:val="20"/>
          <w:szCs w:val="20"/>
        </w:rPr>
        <w:t xml:space="preserve">privados. Por otro lado, hemos visto el reconocimiento de derechos de las poblaciones afectadas por la extracción y uso inte</w:t>
      </w:r>
      <w:r>
        <w:rPr>
          <w:color w:val="000000"/>
          <w:sz w:val="20"/>
          <w:szCs w:val="20"/>
        </w:rPr>
        <w:t xml:space="preserve">nsivo de los recursos naturales. Esta disyuntiva ha supuesto importantes desafíos vinculados a la obligación de adaptar los ordenamientos jurídicos a los estándares internacionales, lo que exige compatibilizar obligaciones internacionales con la presión co</w:t>
      </w:r>
      <w:r>
        <w:rPr>
          <w:color w:val="000000"/>
          <w:sz w:val="20"/>
          <w:szCs w:val="20"/>
        </w:rPr>
        <w:t xml:space="preserve">rporativa. Una expresión común de esta tensión es que, junto con la planificación y operación de megaproyectos, se han producido numerosos conflictos sociales con pueblos, comunidades y en general poblaciones locales, cuyos derechos se han visto vulnerados</w:t>
      </w:r>
      <w:r>
        <w:rPr>
          <w:color w:val="000000"/>
          <w:sz w:val="20"/>
          <w:szCs w:val="20"/>
          <w:vertAlign w:val="superscript"/>
        </w:rPr>
        <w:footnoteReference w:id="2"/>
      </w:r>
      <w:r>
        <w:rPr>
          <w:color w:val="000000"/>
          <w:sz w:val="20"/>
          <w:szCs w:val="20"/>
        </w:rPr>
        <w:t xml:space="preserve">.</w:t>
      </w:r>
      <w:r>
        <w:rPr>
          <w:color w:val="000000"/>
          <w:sz w:val="22"/>
          <w:szCs w:val="22"/>
        </w:rPr>
        <w:t xml:space="preserve"> </w:t>
      </w:r>
      <w:r/>
    </w:p>
    <w:p>
      <w:pPr>
        <w:numPr>
          <w:ilvl w:val="0"/>
          <w:numId w:val="3"/>
        </w:numPr>
        <w:ind w:left="0"/>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La influencia de las actividades extractivas y de infraestructura ha sido particularmente negativa para los pueblos indígenas, respecto a sus territorios y recursos naturales. Pero tal impacto no ha sido igual en todos, sino que las </w:t>
      </w:r>
      <w:r>
        <w:rPr>
          <w:color w:val="000000"/>
          <w:sz w:val="20"/>
          <w:szCs w:val="20"/>
        </w:rPr>
        <w:t xml:space="preserve">mujeres han sido impactadas de un modo distinto y, muchas veces, más profundo. En efecto, como distintos estudios advierten, las industrias extractivas, de infraestructura y energ</w:t>
      </w:r>
      <w:r>
        <w:rPr>
          <w:color w:val="000000"/>
          <w:sz w:val="20"/>
          <w:szCs w:val="20"/>
        </w:rPr>
        <w:t xml:space="preserve">ía</w:t>
      </w:r>
      <w:r>
        <w:rPr>
          <w:color w:val="000000"/>
          <w:sz w:val="20"/>
          <w:szCs w:val="20"/>
        </w:rPr>
        <w:t xml:space="preserve"> af</w:t>
      </w:r>
      <w:r>
        <w:rPr>
          <w:color w:val="000000"/>
          <w:sz w:val="20"/>
          <w:szCs w:val="20"/>
        </w:rPr>
        <w:t xml:space="preserve">ectan de manera diferenciada los derechos económicos, sociales, culturales y ambientales de las mujeres. Sin embargo, ni los Estados ni las empresas han prestado suficiente atención a sus respectivas obligaciones con relación a los derechos de las mujeres.</w:t>
      </w:r>
      <w:r/>
    </w:p>
    <w:p>
      <w:pPr>
        <w:numPr>
          <w:ilvl w:val="0"/>
          <w:numId w:val="3"/>
        </w:numPr>
        <w:ind w:left="0"/>
        <w:jc w:val="both"/>
        <w:spacing w:after="100"/>
        <w:rPr>
          <w:color w:val="000000"/>
          <w:sz w:val="20"/>
          <w:szCs w:val="20"/>
          <w:highlight w:val="none"/>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En Brasil, l</w:t>
      </w:r>
      <w:r>
        <w:rPr>
          <w:color w:val="000000"/>
          <w:sz w:val="20"/>
          <w:szCs w:val="20"/>
        </w:rPr>
        <w:t xml:space="preserve">a victoria de la candidatura de Luís Inácio Lula da Silva contra Jair Bolsonaro fue un paso importante para la defensa de los derechos de las mujeres en Brasil. Sin embargo, en un contexto de alta polarización política, deshilachamiento del tejido social f</w:t>
      </w:r>
      <w:r>
        <w:rPr>
          <w:color w:val="000000"/>
          <w:sz w:val="20"/>
          <w:szCs w:val="20"/>
        </w:rPr>
        <w:t xml:space="preserve">rente a las medidas antiderechos adoptadas por el gobierno anterior, alta vulnerabilidad social y económica (aún no recuperada de</w:t>
      </w:r>
      <w:r>
        <w:rPr>
          <w:color w:val="000000"/>
          <w:sz w:val="20"/>
          <w:szCs w:val="20"/>
          <w:highlight w:val="none"/>
        </w:rPr>
        <w:t xml:space="preserve"> la pandemia) y creciente fuerza de la extrema derecha, nos encontramos en estado de vigilia.</w:t>
      </w:r>
      <w:r>
        <w:rPr>
          <w:color w:val="000000"/>
          <w:sz w:val="20"/>
          <w:szCs w:val="20"/>
          <w:highlight w:val="none"/>
        </w:rPr>
      </w:r>
      <w:r/>
    </w:p>
    <w:p>
      <w:pPr>
        <w:numPr>
          <w:ilvl w:val="0"/>
          <w:numId w:val="3"/>
        </w:numPr>
        <w:ind w:left="0"/>
        <w:jc w:val="both"/>
        <w:spacing w:after="100"/>
        <w:rPr>
          <w:color w:val="000000"/>
          <w:sz w:val="20"/>
          <w:szCs w:val="20"/>
          <w:highlight w:val="none"/>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highlight w:val="none"/>
        </w:rPr>
      </w:r>
      <w:r>
        <w:rPr>
          <w:sz w:val="20"/>
          <w:szCs w:val="20"/>
          <w:highlight w:val="none"/>
        </w:rPr>
        <w:t xml:space="preserve">E</w:t>
      </w:r>
      <w:r>
        <w:rPr>
          <w:sz w:val="20"/>
          <w:szCs w:val="20"/>
          <w:highlight w:val="none"/>
        </w:rPr>
        <w:t xml:space="preserve">l 22 de enero de este año, el gobierno anunció un plan para invertir 300.000 millones de reales en la industria del país. El plan es un ejemplo de la línea neodesarrollista seguida por el gobierno, cuyos efectos atacan directamente a las mujeres. El país n</w:t>
      </w:r>
      <w:r>
        <w:rPr>
          <w:sz w:val="20"/>
          <w:szCs w:val="20"/>
          <w:highlight w:val="none"/>
        </w:rPr>
        <w:t xml:space="preserve">o</w:t>
      </w:r>
      <w:r>
        <w:rPr>
          <w:sz w:val="20"/>
          <w:szCs w:val="20"/>
          <w:highlight w:val="none"/>
        </w:rPr>
        <w:t xml:space="preserve"> cuenta con ningún precedente positivo en la aplicación de los protocolos de consulta previa, libre e informada, tal y como establece el Convenio 169 de la OIT. Además, se encuentra en un momento en que la política de protección a los defensores de derecho</w:t>
      </w:r>
      <w:r>
        <w:rPr>
          <w:sz w:val="20"/>
          <w:szCs w:val="20"/>
          <w:highlight w:val="none"/>
        </w:rPr>
        <w:t xml:space="preserve">s humanos necesita ser fortalecida, y se considera un mecanismo precario debido a la falta de presupuesto. En este escenario, esta inyección de capital se</w:t>
      </w:r>
      <w:r>
        <w:rPr>
          <w:sz w:val="20"/>
          <w:szCs w:val="20"/>
          <w:highlight w:val="none"/>
        </w:rPr>
        <w:t xml:space="preserve"> refleja en operaciones con un alto potencial de violencia</w:t>
      </w:r>
      <w:r>
        <w:rPr>
          <w:color w:val="000000"/>
          <w:sz w:val="20"/>
          <w:szCs w:val="20"/>
          <w:highlight w:val="none"/>
        </w:rPr>
        <w:t xml:space="preserve">.</w:t>
      </w:r>
      <w:r>
        <w:rPr>
          <w:highlight w:val="none"/>
        </w:rPr>
      </w:r>
      <w:r/>
    </w:p>
    <w:p>
      <w:pPr>
        <w:numPr>
          <w:ilvl w:val="0"/>
          <w:numId w:val="3"/>
        </w:numPr>
        <w:ind w:left="0"/>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highlight w:val="none"/>
        </w:rPr>
      </w:r>
      <w:r>
        <w:rPr>
          <w:color w:val="000000"/>
          <w:sz w:val="20"/>
          <w:szCs w:val="20"/>
          <w:highlight w:val="none"/>
        </w:rPr>
        <w:t xml:space="preserve">A</w:t>
      </w:r>
      <w:r>
        <w:rPr>
          <w:color w:val="000000"/>
          <w:sz w:val="20"/>
          <w:szCs w:val="20"/>
          <w:highlight w:val="none"/>
        </w:rPr>
        <w:t xml:space="preserve">demás de estos puntos, hay que destacar que gran parte de las inversiones se han hecho en nombre de la crisis climática y de la transición energética. Lo que vemos en Brasil es que, además de una transición, lo que se está haciendo es una adición. La insta</w:t>
      </w:r>
      <w:r>
        <w:rPr>
          <w:color w:val="000000"/>
          <w:sz w:val="20"/>
          <w:szCs w:val="20"/>
          <w:highlight w:val="none"/>
        </w:rPr>
        <w:t xml:space="preserve">l</w:t>
      </w:r>
      <w:r>
        <w:rPr>
          <w:color w:val="000000"/>
          <w:sz w:val="20"/>
          <w:szCs w:val="20"/>
          <w:highlight w:val="none"/>
        </w:rPr>
        <w:t xml:space="preserve">ación de parques eólicos no va acompañada del desmantelamiento de centrales termoeléctricas, por ejemplo. Por el contrario, después de la COP 28 de 2023, el gobierno brasileño subastó más de 600 bloques de petróleo y gas. Los datos que aquí presentamos se </w:t>
      </w:r>
      <w:r>
        <w:rPr>
          <w:color w:val="000000"/>
          <w:sz w:val="20"/>
          <w:szCs w:val="20"/>
          <w:highlight w:val="none"/>
        </w:rPr>
        <w:t xml:space="preserve">refieren a las violaciones vividas por las mujeres en el contexto de la explotación, que son invisibilizadas frente a las narrativas sobre el desarrollo nacional</w:t>
      </w:r>
      <w:r>
        <w:rPr>
          <w:color w:val="000000"/>
          <w:sz w:val="20"/>
          <w:szCs w:val="20"/>
          <w:highlight w:val="none"/>
        </w:rPr>
        <w:t xml:space="preserve">.</w:t>
      </w:r>
      <w:r/>
    </w:p>
    <w:p>
      <w:pPr>
        <w:jc w:val="both"/>
        <w:spacing w:after="100"/>
        <w:rPr>
          <w:sz w:val="20"/>
          <w:szCs w:val="20"/>
        </w:rPr>
      </w:pPr>
      <w:r>
        <w:rPr>
          <w:sz w:val="20"/>
          <w:szCs w:val="20"/>
        </w:rPr>
      </w:r>
      <w:r/>
    </w:p>
    <w:p>
      <w:pPr>
        <w:jc w:val="both"/>
        <w:spacing w:after="100"/>
        <w:rPr>
          <w:sz w:val="20"/>
          <w:szCs w:val="20"/>
        </w:rPr>
      </w:pPr>
      <w:r>
        <w:rPr>
          <w:b/>
          <w:sz w:val="20"/>
          <w:szCs w:val="20"/>
        </w:rPr>
        <w:t xml:space="preserve">II. </w:t>
      </w:r>
      <w:r>
        <w:rPr>
          <w:b/>
          <w:sz w:val="20"/>
          <w:szCs w:val="20"/>
        </w:rPr>
        <w:tab/>
        <w:t xml:space="preserve">Violencia de género y vulneraciones relativas al derecho a la integridad física y sexual</w:t>
      </w:r>
      <w:r/>
    </w:p>
    <w:p>
      <w:pPr>
        <w:jc w:val="both"/>
        <w:spacing w:after="100"/>
        <w:rPr>
          <w:sz w:val="20"/>
          <w:szCs w:val="20"/>
        </w:rPr>
      </w:pPr>
      <w:r>
        <w:rPr>
          <w:sz w:val="20"/>
          <w:szCs w:val="20"/>
        </w:rPr>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Diferentes estudios apuntan a la existencia de una tipificación de los impactos que provocan los megaproyectos desde que llegan a los territorios, h</w:t>
      </w:r>
      <w:r>
        <w:rPr>
          <w:color w:val="000000"/>
          <w:sz w:val="20"/>
          <w:szCs w:val="20"/>
        </w:rPr>
        <w:t xml:space="preserve">asta el final de su operación. Aunque con variaciones en función de las distintas naturalezas de sus actividades, es posible identificar un conjunto de consecuencias negativas generales, pero que revelan rostros más complejos y amenazantes para las mujeres</w:t>
      </w:r>
      <w:r>
        <w:rPr>
          <w:color w:val="000000"/>
          <w:sz w:val="20"/>
          <w:szCs w:val="20"/>
          <w:vertAlign w:val="superscript"/>
        </w:rPr>
        <w:footnoteReference w:id="3"/>
      </w:r>
      <w:r>
        <w:rPr>
          <w:color w:val="000000"/>
          <w:sz w:val="20"/>
          <w:szCs w:val="20"/>
        </w:rPr>
        <w:t xml:space="preserve">.</w:t>
      </w:r>
      <w:r/>
    </w:p>
    <w:p>
      <w:pPr>
        <w:numPr>
          <w:ilvl w:val="0"/>
          <w:numId w:val="3"/>
        </w:numPr>
        <w:ind w:left="0"/>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La industria extractiva genera impactos directos sobre la biodiversidad como es el caso de la deforestación, lo cual genera afectaciones en la forma y modos de vida de quienes habitan estos territorios, esto en el caso de las </w:t>
      </w:r>
      <w:r>
        <w:rPr>
          <w:color w:val="000000"/>
          <w:sz w:val="20"/>
          <w:szCs w:val="20"/>
        </w:rPr>
        <w:t xml:space="preserve">mujeres indígenas, afro, campesinas, ribereñas y pescadoras tiene un mayor impacto </w:t>
      </w:r>
      <w:r>
        <w:rPr>
          <w:sz w:val="20"/>
          <w:szCs w:val="20"/>
        </w:rPr>
        <w:t xml:space="preserve">ante la</w:t>
      </w:r>
      <w:r>
        <w:rPr>
          <w:color w:val="000000"/>
          <w:sz w:val="20"/>
          <w:szCs w:val="20"/>
        </w:rPr>
        <w:t xml:space="preserve"> relación directa que existen entre sus cuerpos y el territorio que habitan. </w:t>
      </w:r>
      <w:r/>
    </w:p>
    <w:p>
      <w:pPr>
        <w:numPr>
          <w:ilvl w:val="0"/>
          <w:numId w:val="3"/>
        </w:numPr>
        <w:ind w:left="0"/>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Para la instalaci</w:t>
      </w:r>
      <w:r>
        <w:rPr>
          <w:color w:val="000000"/>
          <w:sz w:val="20"/>
          <w:szCs w:val="20"/>
        </w:rPr>
        <w:t xml:space="preserve">ón de </w:t>
      </w:r>
      <w:r>
        <w:rPr>
          <w:color w:val="000000"/>
          <w:sz w:val="20"/>
          <w:szCs w:val="20"/>
        </w:rPr>
        <w:t xml:space="preserve">los megaproyectos se observa la contratación de grandes volúmenes de trabajadores varone</w:t>
      </w:r>
      <w:r>
        <w:rPr>
          <w:color w:val="000000"/>
          <w:sz w:val="20"/>
          <w:szCs w:val="20"/>
        </w:rPr>
        <w:t xml:space="preserve">s de otros territorios para construir las estructuras de las plantas productivas. S</w:t>
      </w:r>
      <w:r>
        <w:rPr>
          <w:color w:val="000000"/>
          <w:sz w:val="20"/>
          <w:szCs w:val="20"/>
        </w:rPr>
        <w:t xml:space="preserve">ín mediaci</w:t>
      </w:r>
      <w:r>
        <w:rPr>
          <w:color w:val="000000"/>
          <w:sz w:val="20"/>
          <w:szCs w:val="20"/>
        </w:rPr>
        <w:t xml:space="preserve">ón entre los reci</w:t>
      </w:r>
      <w:r>
        <w:rPr>
          <w:color w:val="000000"/>
          <w:sz w:val="20"/>
          <w:szCs w:val="20"/>
        </w:rPr>
        <w:t xml:space="preserve">én llegados y la comunidad, e</w:t>
      </w:r>
      <w:r>
        <w:rPr>
          <w:color w:val="000000"/>
          <w:sz w:val="20"/>
          <w:szCs w:val="20"/>
        </w:rPr>
        <w:t xml:space="preserve">l aumento de los casos de violencia sexual y doméstica contra la mujer y del consumo de drogas y alcohol son consecuencias que se derivan comúnmente</w:t>
      </w:r>
      <w:r>
        <w:rPr>
          <w:color w:val="000000"/>
          <w:sz w:val="20"/>
          <w:szCs w:val="20"/>
          <w:vertAlign w:val="superscript"/>
        </w:rPr>
        <w:footnoteReference w:id="4"/>
      </w:r>
      <w:r>
        <w:rPr>
          <w:color w:val="000000"/>
          <w:sz w:val="20"/>
          <w:szCs w:val="20"/>
        </w:rPr>
        <w:t xml:space="preserve">. Además, la dinámica social y cultural se cambia, aumentando el sentimiento de inseguridad y provocando la pérdida de la libertad de ir y venir, especialmente para las mujeres y las jóvenes.</w:t>
      </w:r>
      <w:r/>
    </w:p>
    <w:p>
      <w:pPr>
        <w:numPr>
          <w:ilvl w:val="0"/>
          <w:numId w:val="3"/>
        </w:numPr>
        <w:ind w:left="0"/>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Después de la construcción de la hidroeléctrica de Belo Monte en Brasil</w:t>
      </w:r>
      <w:r>
        <w:rPr>
          <w:b/>
          <w:color w:val="000000"/>
          <w:sz w:val="20"/>
          <w:szCs w:val="20"/>
        </w:rPr>
        <w:t xml:space="preserve">,</w:t>
      </w:r>
      <w:r>
        <w:rPr>
          <w:color w:val="000000"/>
          <w:sz w:val="20"/>
          <w:szCs w:val="20"/>
        </w:rPr>
        <w:t xml:space="preserve"> por ejemplo, la ciudad de Altamira, Pará, se convirtió en una de las más violentas del país</w:t>
      </w:r>
      <w:r>
        <w:rPr>
          <w:color w:val="000000"/>
          <w:vertAlign w:val="superscript"/>
        </w:rPr>
        <w:footnoteReference w:id="5"/>
      </w:r>
      <w:r>
        <w:rPr>
          <w:color w:val="000000"/>
          <w:sz w:val="20"/>
          <w:szCs w:val="20"/>
        </w:rPr>
        <w:t xml:space="preserve">. Una investigación de 2013 mostró el crecimiento de las tasas de embarazo adolescente durante la construcción del proyecto, indicando el panorama de la juventud y la vulnerabilidad de las mujeres en la región</w:t>
      </w:r>
      <w:r>
        <w:rPr>
          <w:color w:val="000000"/>
          <w:sz w:val="20"/>
          <w:szCs w:val="20"/>
          <w:vertAlign w:val="superscript"/>
        </w:rPr>
        <w:footnoteReference w:id="6"/>
      </w:r>
      <w:r>
        <w:rPr>
          <w:color w:val="000000"/>
          <w:sz w:val="20"/>
          <w:szCs w:val="20"/>
        </w:rPr>
        <w:t xml:space="preserve">. En el mismo lugar, también se identificó una red de explotación sexual de mujeres adolescentes, travestis e indígenas</w:t>
      </w:r>
      <w:r>
        <w:rPr>
          <w:color w:val="000000"/>
          <w:sz w:val="20"/>
          <w:szCs w:val="20"/>
          <w:vertAlign w:val="superscript"/>
        </w:rPr>
        <w:footnoteReference w:id="7"/>
      </w:r>
      <w:r>
        <w:rPr>
          <w:color w:val="000000"/>
          <w:sz w:val="20"/>
          <w:szCs w:val="20"/>
        </w:rPr>
        <w:t xml:space="preserve">. En el municipio de Porto </w:t>
      </w:r>
      <w:r>
        <w:rPr>
          <w:color w:val="000000"/>
          <w:sz w:val="20"/>
          <w:szCs w:val="20"/>
        </w:rPr>
        <w:t xml:space="preserve">Velho</w:t>
      </w:r>
      <w:r>
        <w:rPr>
          <w:color w:val="000000"/>
          <w:sz w:val="20"/>
          <w:szCs w:val="20"/>
        </w:rPr>
        <w:t xml:space="preserve">, Rondônia, la construcción de las represas de </w:t>
      </w:r>
      <w:r>
        <w:rPr>
          <w:color w:val="000000"/>
          <w:sz w:val="20"/>
          <w:szCs w:val="20"/>
        </w:rPr>
        <w:t xml:space="preserve">Jirau</w:t>
      </w:r>
      <w:r>
        <w:rPr>
          <w:color w:val="000000"/>
          <w:sz w:val="20"/>
          <w:szCs w:val="20"/>
        </w:rPr>
        <w:t xml:space="preserve"> y Santo </w:t>
      </w:r>
      <w:r>
        <w:rPr>
          <w:color w:val="000000"/>
          <w:sz w:val="20"/>
          <w:szCs w:val="20"/>
        </w:rPr>
        <w:t xml:space="preserve">Antônio</w:t>
      </w:r>
      <w:r>
        <w:rPr>
          <w:color w:val="000000"/>
          <w:sz w:val="20"/>
          <w:szCs w:val="20"/>
        </w:rPr>
        <w:t xml:space="preserve"> generó un aumento del 208% de la violencia sexual, la gran mayoría de la cual se cometió contra mujeres en sus diferentes grupos de edad</w:t>
      </w:r>
      <w:r>
        <w:rPr>
          <w:color w:val="000000"/>
          <w:vertAlign w:val="superscript"/>
        </w:rPr>
        <w:footnoteReference w:id="8"/>
      </w:r>
      <w:r>
        <w:rPr>
          <w:color w:val="000000"/>
          <w:sz w:val="20"/>
          <w:szCs w:val="20"/>
        </w:rPr>
        <w:t xml:space="preserve">. </w:t>
      </w:r>
      <w:r/>
    </w:p>
    <w:p>
      <w:pPr>
        <w:numPr>
          <w:ilvl w:val="0"/>
          <w:numId w:val="3"/>
        </w:numPr>
        <w:ind w:left="0"/>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El complejo industrial del puerto de </w:t>
      </w:r>
      <w:r>
        <w:rPr>
          <w:color w:val="000000"/>
          <w:sz w:val="20"/>
          <w:szCs w:val="20"/>
        </w:rPr>
        <w:t xml:space="preserve">Suape</w:t>
      </w:r>
      <w:r>
        <w:rPr>
          <w:color w:val="000000"/>
          <w:sz w:val="20"/>
          <w:szCs w:val="20"/>
        </w:rPr>
        <w:t xml:space="preserve">, situado en el estado de Pernambuco, también en Brasil, ha influido en la vida de las mujeres desde el decenio de 1970. En l</w:t>
      </w:r>
      <w:r>
        <w:rPr>
          <w:color w:val="000000"/>
          <w:sz w:val="20"/>
          <w:szCs w:val="20"/>
        </w:rPr>
        <w:t xml:space="preserve">os testimonios recogidos en 2019, las mujeres de la región de impacto del proyecto declararon que su movilidad se veía obstaculizada por el miedo generado por el acoso, y que la violencia doméstica sigue siendo una realidad muy presente</w:t>
      </w:r>
      <w:r>
        <w:rPr>
          <w:color w:val="000000"/>
          <w:sz w:val="20"/>
          <w:szCs w:val="20"/>
          <w:vertAlign w:val="superscript"/>
        </w:rPr>
        <w:footnoteReference w:id="9"/>
      </w:r>
      <w:r>
        <w:rPr>
          <w:color w:val="000000"/>
          <w:sz w:val="20"/>
          <w:szCs w:val="20"/>
        </w:rPr>
        <w:t xml:space="preserve">.</w:t>
      </w:r>
      <w:r/>
    </w:p>
    <w:p>
      <w:pPr>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r>
      <w:r/>
    </w:p>
    <w:p>
      <w:pPr>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b/>
          <w:color w:val="000000"/>
          <w:sz w:val="20"/>
          <w:szCs w:val="20"/>
        </w:rPr>
        <w:t xml:space="preserve">III. </w:t>
      </w:r>
      <w:r>
        <w:rPr>
          <w:b/>
          <w:color w:val="000000"/>
          <w:sz w:val="20"/>
          <w:szCs w:val="20"/>
        </w:rPr>
        <w:tab/>
        <w:t xml:space="preserve">Afectaciones a la Salud, incluso la Salud Mental, Sexual y Reproductiva</w:t>
      </w:r>
      <w:r/>
    </w:p>
    <w:p>
      <w:pPr>
        <w:jc w:val="both"/>
        <w:spacing w:after="100"/>
        <w:rPr>
          <w:sz w:val="20"/>
          <w:szCs w:val="20"/>
        </w:rPr>
      </w:pPr>
      <w:r>
        <w:rPr>
          <w:sz w:val="20"/>
          <w:szCs w:val="20"/>
        </w:rPr>
      </w:r>
      <w:r/>
    </w:p>
    <w:p>
      <w:pPr>
        <w:numPr>
          <w:ilvl w:val="0"/>
          <w:numId w:val="3"/>
        </w:numPr>
        <w:ind w:left="0"/>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Debido a que la mayoría de los trabajos que ofrecen los megaproyectos son masculinos, las mujeres de la zona afectada suelen ser asignadas a trabajos relacionados con la reproducción y el cuidado. Al concentrar más actividades relac</w:t>
      </w:r>
      <w:r>
        <w:rPr>
          <w:color w:val="000000"/>
          <w:sz w:val="20"/>
          <w:szCs w:val="20"/>
        </w:rPr>
        <w:t xml:space="preserve">ionadas con la limpieza y la higiene, las mujeres están expuestas a desechos tóxicos, sea en el servicio de limpieza de los locales de la empresa con trabajos poco remunerados o en el hogar cuando realizan trabajos domésticos y reproductivos no remunerados</w:t>
      </w:r>
      <w:r>
        <w:rPr>
          <w:color w:val="000000"/>
          <w:sz w:val="20"/>
          <w:szCs w:val="20"/>
          <w:vertAlign w:val="superscript"/>
        </w:rPr>
        <w:footnoteReference w:id="10"/>
      </w:r>
      <w:r>
        <w:rPr>
          <w:color w:val="000000"/>
          <w:sz w:val="20"/>
          <w:szCs w:val="20"/>
        </w:rPr>
        <w:t xml:space="preserve">. </w:t>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Otra cara de este impacto específico es la negación </w:t>
      </w:r>
      <w:r>
        <w:rPr>
          <w:color w:val="000000"/>
          <w:sz w:val="20"/>
          <w:szCs w:val="20"/>
        </w:rPr>
        <w:t xml:space="preserve">del derecho reproductivo esencial de interrumpir un embarazo resultante de la violencia sexual. Con el aumento de la violencia sexual, también aumenta el número de mujeres contaminadas con infecciones de transmisión sexual (ITS) y con embarazos no deseados</w:t>
      </w:r>
      <w:r>
        <w:rPr>
          <w:color w:val="000000"/>
          <w:sz w:val="20"/>
          <w:szCs w:val="20"/>
          <w:vertAlign w:val="superscript"/>
        </w:rPr>
        <w:footnoteReference w:id="11"/>
      </w:r>
      <w:r>
        <w:rPr>
          <w:color w:val="000000"/>
          <w:sz w:val="20"/>
          <w:szCs w:val="20"/>
        </w:rPr>
        <w:t xml:space="preserve">. </w:t>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Además del aumento de la contaminación ambiental y la violencia, las mujeres han estado expuestas a enfermedades físicas y psicológicas. Las mujeres de Santa Cruz, un barrio de la ciudad de Río de Janeiro, Brasil, afectado por la Siderúrgica </w:t>
      </w:r>
      <w:r>
        <w:rPr>
          <w:color w:val="000000"/>
          <w:sz w:val="20"/>
          <w:szCs w:val="20"/>
        </w:rPr>
        <w:t xml:space="preserve">Ternium</w:t>
      </w:r>
      <w:r>
        <w:rPr>
          <w:color w:val="000000"/>
          <w:sz w:val="20"/>
          <w:szCs w:val="20"/>
        </w:rPr>
        <w:t xml:space="preserve"> Brasil, informan, por ejemplo, as</w:t>
      </w:r>
      <w:r>
        <w:rPr>
          <w:sz w:val="20"/>
          <w:szCs w:val="20"/>
        </w:rPr>
        <w:t xml:space="preserve">í </w:t>
      </w:r>
      <w:r>
        <w:rPr>
          <w:color w:val="000000"/>
          <w:sz w:val="20"/>
          <w:szCs w:val="20"/>
        </w:rPr>
        <w:t xml:space="preserve">como en otros territorios afectados p</w:t>
      </w:r>
      <w:r>
        <w:rPr>
          <w:sz w:val="20"/>
          <w:szCs w:val="20"/>
        </w:rPr>
        <w:t xml:space="preserve">or los megaproyectos</w:t>
      </w:r>
      <w:r>
        <w:rPr>
          <w:color w:val="000000"/>
          <w:sz w:val="20"/>
          <w:szCs w:val="20"/>
        </w:rPr>
        <w:t xml:space="preserve">, del aumento de los casos</w:t>
      </w:r>
      <w:r>
        <w:rPr>
          <w:color w:val="000000"/>
          <w:sz w:val="20"/>
          <w:szCs w:val="20"/>
        </w:rPr>
        <w:t xml:space="preserve"> de depresión y enfermedades del aparato respiratorio, de la piel, oftalmológicas y oncológicas, como consecuencia de la exposición a los contaminantes de la producción de acero, y la falta de acceso a la salud pública especializada para estas enfermedades</w:t>
      </w:r>
      <w:r>
        <w:rPr>
          <w:color w:val="000000"/>
          <w:sz w:val="20"/>
          <w:szCs w:val="20"/>
          <w:vertAlign w:val="superscript"/>
        </w:rPr>
        <w:footnoteReference w:id="12"/>
      </w:r>
      <w:r>
        <w:rPr>
          <w:color w:val="000000"/>
          <w:sz w:val="20"/>
          <w:szCs w:val="20"/>
        </w:rPr>
        <w:t xml:space="preserve">.</w:t>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Uno de los factores que contribuye a este proceso es la conexión umbilical entre estas mujeres y los territorios en los que viven. Antônia Melo</w:t>
      </w:r>
      <w:r>
        <w:rPr>
          <w:color w:val="000000"/>
          <w:sz w:val="20"/>
          <w:szCs w:val="20"/>
        </w:rPr>
        <w:t xml:space="preserve">, líder del Movimiento Xingu Vivo, fue invadida por la Central Hidroeléctrica Belo Monte, en Altamira (Pará). Como ella, su casa fue atropellada por la empresa. El hogar de Antônia es la extensión de su cuerpo, su comunidad, sus vínculos, así su cuerpo es </w:t>
      </w:r>
      <w:r>
        <w:rPr>
          <w:sz w:val="20"/>
          <w:szCs w:val="20"/>
        </w:rPr>
        <w:t xml:space="preserve">como</w:t>
      </w:r>
      <w:r>
        <w:rPr>
          <w:color w:val="000000"/>
          <w:sz w:val="20"/>
          <w:szCs w:val="20"/>
        </w:rPr>
        <w:t xml:space="preserve"> su hogar, en una escala diferente. Antônia y su casa fueron y son referentes territoriales para pescadores, vecinos, mujeres y jóvenes que se entendían a sí mismos como parte de ella y los tenían como parte de sus identidades. “</w:t>
      </w:r>
      <w:r>
        <w:rPr>
          <w:i/>
          <w:color w:val="000000"/>
          <w:sz w:val="20"/>
          <w:szCs w:val="20"/>
        </w:rPr>
        <w:t xml:space="preserve">Me están sacando de aquí, tratando de borrar el recuerdo, la vida. Esto es Belo Monte, es desarraigar todas las formas de vida, hasta que el recuerdo se borre para siempre, hasta que no haya raíz”</w:t>
      </w:r>
      <w:r>
        <w:rPr>
          <w:color w:val="000000"/>
          <w:sz w:val="20"/>
          <w:szCs w:val="20"/>
        </w:rPr>
        <w:t xml:space="preserve">, di</w:t>
      </w:r>
      <w:r>
        <w:rPr>
          <w:sz w:val="20"/>
          <w:szCs w:val="20"/>
        </w:rPr>
        <w:t xml:space="preserve">jo</w:t>
      </w:r>
      <w:r>
        <w:rPr>
          <w:color w:val="000000"/>
          <w:sz w:val="20"/>
          <w:szCs w:val="20"/>
        </w:rPr>
        <w:t xml:space="preserve"> Antônia</w:t>
      </w:r>
      <w:r>
        <w:rPr>
          <w:color w:val="000000"/>
          <w:sz w:val="20"/>
          <w:szCs w:val="20"/>
          <w:vertAlign w:val="superscript"/>
        </w:rPr>
        <w:footnoteReference w:id="13"/>
      </w:r>
      <w:r>
        <w:rPr>
          <w:color w:val="000000"/>
          <w:sz w:val="20"/>
          <w:szCs w:val="20"/>
        </w:rPr>
        <w:t xml:space="preserve">.</w:t>
      </w:r>
      <w:r>
        <w:rPr>
          <w:color w:val="000000"/>
        </w:rPr>
        <w:t xml:space="preserve"> </w:t>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En este sentido, lo vivido queda marcado en los cuerpos y sentirlo puede traer la fuerza del cuerpo sensorial, del dolor transformado en re</w:t>
      </w:r>
      <w:r>
        <w:rPr>
          <w:color w:val="000000"/>
          <w:sz w:val="20"/>
          <w:szCs w:val="20"/>
        </w:rPr>
        <w:t xml:space="preserve">-</w:t>
      </w:r>
      <w:r>
        <w:rPr>
          <w:color w:val="000000"/>
          <w:sz w:val="20"/>
          <w:szCs w:val="20"/>
        </w:rPr>
        <w:t xml:space="preserve">existencia. Esto está muy presente en el informe de las mujeres afectadas, como Anal</w:t>
      </w:r>
      <w:r>
        <w:rPr>
          <w:color w:val="000000"/>
          <w:sz w:val="20"/>
          <w:szCs w:val="20"/>
        </w:rPr>
        <w:t xml:space="preserve">aíde afectada también por Belo Monte apunta: “</w:t>
      </w:r>
      <w:r>
        <w:rPr>
          <w:i/>
          <w:color w:val="000000"/>
          <w:sz w:val="20"/>
          <w:szCs w:val="20"/>
        </w:rPr>
        <w:t xml:space="preserve">En mi estómago, él es el primero en verse afectado. Siento dolor como gastritis. Me han dicho </w:t>
      </w:r>
      <w:r>
        <w:rPr>
          <w:i/>
          <w:color w:val="000000"/>
          <w:sz w:val="20"/>
          <w:szCs w:val="20"/>
        </w:rPr>
        <w:t xml:space="preserve">que es gastritis nerviosa, pero no lo es. Es la reacción que tiene ante todo este mal que existe en el mundo, un mundo enfermo. También siento en los pulmones con ataques de asma. Estas son las partes del cuerpo que se ven más afectadas ante el sufrimiento</w:t>
      </w:r>
      <w:r>
        <w:rPr>
          <w:color w:val="000000"/>
          <w:sz w:val="20"/>
          <w:szCs w:val="20"/>
        </w:rPr>
        <w:t xml:space="preserve">”</w:t>
      </w:r>
      <w:r>
        <w:rPr>
          <w:color w:val="000000"/>
          <w:sz w:val="20"/>
          <w:szCs w:val="20"/>
          <w:vertAlign w:val="superscript"/>
        </w:rPr>
        <w:footnoteReference w:id="14"/>
      </w:r>
      <w:r>
        <w:rPr>
          <w:color w:val="000000"/>
          <w:sz w:val="20"/>
          <w:szCs w:val="20"/>
        </w:rPr>
        <w:t xml:space="preserve">.</w:t>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Las amenazas de desastres ambientales o laborales, como el colapso de represas, son otro factor que tiene un impacto especial en las mujeres. En la comunidad da Ressaca, también en la región de</w:t>
      </w:r>
      <w:r>
        <w:rPr>
          <w:color w:val="000000"/>
          <w:sz w:val="20"/>
          <w:szCs w:val="20"/>
        </w:rPr>
        <w:t xml:space="preserve"> Belo Monte, las mujeres ribereñas relatan temores con respecto a la protección comunitaria, que se despliega en el desempeño de sus actividades rutinarias, incluidas las relacionadas con el quehacer autónomo de sus hijos y la calidad del descanso nocturno</w:t>
      </w:r>
      <w:r>
        <w:rPr>
          <w:color w:val="000000"/>
          <w:sz w:val="20"/>
          <w:szCs w:val="20"/>
          <w:vertAlign w:val="superscript"/>
        </w:rPr>
        <w:footnoteReference w:id="15"/>
      </w:r>
      <w:r>
        <w:rPr>
          <w:color w:val="000000"/>
          <w:sz w:val="20"/>
          <w:szCs w:val="20"/>
        </w:rPr>
        <w:t xml:space="preserve">.</w:t>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El </w:t>
      </w:r>
      <w:r>
        <w:rPr>
          <w:color w:val="000000"/>
          <w:sz w:val="20"/>
          <w:szCs w:val="20"/>
        </w:rPr>
        <w:t xml:space="preserve">vínculo de la mujer con el agua y la tierra, que se da a través de prácticas y representaciones construidas sobre esa dinámica sociocultural, donde los quehaceres del hogar y el cuidado de la familia y los niños suelen ser su responsabilidad, se señala com</w:t>
      </w:r>
      <w:r>
        <w:rPr>
          <w:color w:val="000000"/>
          <w:sz w:val="20"/>
          <w:szCs w:val="20"/>
        </w:rPr>
        <w:t xml:space="preserve">o uno de los mayores impactos para las afectadas. Esta dificultad también se refleja en las condiciones de salud y educación, comúnmente entendido como uno de los principales instrumentos para superar una condición social de pobreza y desigualdad de género</w:t>
      </w:r>
      <w:r>
        <w:rPr>
          <w:color w:val="000000"/>
          <w:sz w:val="20"/>
          <w:szCs w:val="20"/>
          <w:vertAlign w:val="superscript"/>
        </w:rPr>
        <w:footnoteReference w:id="16"/>
      </w:r>
      <w:r>
        <w:rPr>
          <w:color w:val="000000"/>
          <w:sz w:val="20"/>
          <w:szCs w:val="20"/>
        </w:rPr>
        <w:t xml:space="preserve">. </w:t>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La falta de energía y agua, condición precaria a la que están sometidas muchas familias afectadas, hace que el trabajo de las mujeres sea mucho más arduo, acaban gastando más energía humana en las tareas domésticas.</w:t>
      </w:r>
      <w:r>
        <w:rPr>
          <w:color w:val="000000"/>
          <w:sz w:val="20"/>
          <w:szCs w:val="20"/>
          <w:vertAlign w:val="superscript"/>
        </w:rPr>
        <w:footnoteReference w:id="17"/>
      </w:r>
      <w:r>
        <w:rPr>
          <w:color w:val="000000"/>
          <w:sz w:val="20"/>
          <w:szCs w:val="20"/>
        </w:rPr>
        <w:t xml:space="preserve"> En las zonas rurales, la pérdida de tierras para la agricultura de subsistencia</w:t>
      </w:r>
      <w:r>
        <w:rPr>
          <w:sz w:val="20"/>
          <w:szCs w:val="20"/>
        </w:rPr>
        <w:t xml:space="preserve">, </w:t>
      </w:r>
      <w:r>
        <w:rPr>
          <w:color w:val="000000"/>
          <w:sz w:val="20"/>
          <w:szCs w:val="20"/>
        </w:rPr>
        <w:t xml:space="preserve">como práctica productiva y el acceso al agua, provocada por el reasentamiento involuntario o el daño ambiental, también afecta su capacidad para proporcionar alimentos, agua potable y generar ingresos para sus familias.</w:t>
      </w:r>
      <w:r/>
    </w:p>
    <w:p>
      <w:pPr>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r>
      <w:r/>
    </w:p>
    <w:p>
      <w:pPr>
        <w:jc w:val="both"/>
        <w:spacing w:after="100"/>
        <w:rPr>
          <w:b/>
          <w:sz w:val="20"/>
          <w:szCs w:val="20"/>
        </w:rPr>
      </w:pPr>
      <w:r>
        <w:rPr>
          <w:b/>
          <w:sz w:val="20"/>
          <w:szCs w:val="20"/>
        </w:rPr>
        <w:t xml:space="preserve">IV. </w:t>
      </w:r>
      <w:r>
        <w:rPr>
          <w:b/>
          <w:sz w:val="20"/>
          <w:szCs w:val="20"/>
        </w:rPr>
        <w:tab/>
        <w:t xml:space="preserve">Afectaciones de Derechos Sociales y Económicos</w:t>
      </w:r>
      <w:r/>
    </w:p>
    <w:p>
      <w:pPr>
        <w:jc w:val="both"/>
        <w:spacing w:after="100"/>
        <w:rPr>
          <w:b/>
          <w:sz w:val="20"/>
          <w:szCs w:val="20"/>
        </w:rPr>
      </w:pPr>
      <w:r>
        <w:rPr>
          <w:b/>
          <w:sz w:val="20"/>
          <w:szCs w:val="20"/>
        </w:rPr>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Por regla general, las</w:t>
      </w:r>
      <w:r>
        <w:rPr>
          <w:color w:val="000000"/>
          <w:sz w:val="20"/>
          <w:szCs w:val="20"/>
        </w:rPr>
        <w:t xml:space="preserve"> empresas vinculadas a los megaproyectos no consideran a las mujeres como sujetos de derechos sociales y económicos. La masculinización del mercado laboral refuerza la dependencia económica de las mujeres respecto de sus maridos u otros parientes varones. </w:t>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De un lado, se observa el fortalecimiento de la división sexual d</w:t>
      </w:r>
      <w:r>
        <w:rPr>
          <w:color w:val="000000"/>
          <w:sz w:val="20"/>
          <w:szCs w:val="20"/>
        </w:rPr>
        <w:t xml:space="preserve">el trabajo y la falta de infraestructura y seguridad en el trabajo - mediante el fortalecimiento de la masculinización y la no adaptación del entorno laboral para la recepción de mano de obra femenina (como la construcción de baños y uniformes adecuados). </w:t>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De otro, se nota el aumento del trabajo reproductivo: debido a </w:t>
      </w:r>
      <w:r>
        <w:rPr>
          <w:color w:val="000000"/>
          <w:sz w:val="20"/>
          <w:szCs w:val="20"/>
        </w:rPr>
        <w:t xml:space="preserve">la contaminación ambiental, no solo aumenta el número y la frecuencia de los miembros de la familia enfermos, sino también la carga de trabajo de limpieza y mantenimiento de la casa, que generalmente es responsabilidad de las mujeres, sobrecargándolas más.</w:t>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La maternidad por sí sola es uno de los mecanismos de empobrecimiento de las mujeres que, a menudo sin conocer la verdadera identidad de su</w:t>
      </w:r>
      <w:r>
        <w:rPr>
          <w:color w:val="000000"/>
          <w:sz w:val="20"/>
          <w:szCs w:val="20"/>
        </w:rPr>
        <w:t xml:space="preserve"> pareja de origen de fuera del territorio, se encuentran en la adversidad para mantener a su familia y sin las condiciones e información para hacer justicia en busca de una pensión y un reconocimiento paterno para su hijo. En las ciudades de Cabo do Santo </w:t>
      </w:r>
      <w:r>
        <w:rPr>
          <w:color w:val="000000"/>
          <w:sz w:val="20"/>
          <w:szCs w:val="20"/>
        </w:rPr>
        <w:t xml:space="preserve">Agostinho</w:t>
      </w:r>
      <w:r>
        <w:rPr>
          <w:color w:val="000000"/>
          <w:sz w:val="20"/>
          <w:szCs w:val="20"/>
        </w:rPr>
        <w:t xml:space="preserve"> e </w:t>
      </w:r>
      <w:r>
        <w:rPr>
          <w:color w:val="000000"/>
          <w:sz w:val="20"/>
          <w:szCs w:val="20"/>
        </w:rPr>
        <w:t xml:space="preserve">Ipojuca</w:t>
      </w:r>
      <w:r>
        <w:rPr>
          <w:color w:val="000000"/>
          <w:sz w:val="20"/>
          <w:szCs w:val="20"/>
        </w:rPr>
        <w:t xml:space="preserve">, en el estado de Pernambuco, Brasil, estos niños pasaron a ser conocidos como el hijo de </w:t>
      </w:r>
      <w:r>
        <w:rPr>
          <w:color w:val="000000"/>
          <w:sz w:val="20"/>
          <w:szCs w:val="20"/>
        </w:rPr>
        <w:t xml:space="preserve">Suape</w:t>
      </w:r>
      <w:r>
        <w:rPr>
          <w:color w:val="000000"/>
          <w:sz w:val="20"/>
          <w:szCs w:val="20"/>
        </w:rPr>
        <w:t xml:space="preserve"> (el nombre del megaproyecto puerto-industrial local), pero también se les dan el mismo nombre en otras regiones, variando según la actividad productiva y el megaproyecto</w:t>
      </w:r>
      <w:r>
        <w:rPr>
          <w:color w:val="000000"/>
          <w:sz w:val="20"/>
          <w:szCs w:val="20"/>
          <w:vertAlign w:val="superscript"/>
        </w:rPr>
        <w:footnoteReference w:id="18"/>
      </w:r>
      <w:r>
        <w:rPr>
          <w:color w:val="000000"/>
          <w:sz w:val="20"/>
          <w:szCs w:val="20"/>
        </w:rPr>
        <w:t xml:space="preserve">.</w:t>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Adicionalmente, hay casos en los que solo los hombres son reconocidos oficialmente como afectados y recibe</w:t>
      </w:r>
      <w:r>
        <w:rPr>
          <w:color w:val="000000"/>
          <w:sz w:val="20"/>
          <w:szCs w:val="20"/>
        </w:rPr>
        <w:t xml:space="preserve">n una compensación, lo que afecta la autonomía de la mujer. En el contexto del delito ambiental del Rio Doce, en Minas Gerais, Brasil, bajo la responsabilidad de las empresas Samarco, Vale S.A. y BHP Billiton, se registra que las actividades que realizan l</w:t>
      </w:r>
      <w:r>
        <w:rPr>
          <w:color w:val="000000"/>
          <w:sz w:val="20"/>
          <w:szCs w:val="20"/>
        </w:rPr>
        <w:t xml:space="preserve">as mujeres como las asociadas a la cadena pesquera, como la limpieza del pescado y la preparación de las redes, y los trabajos como vendedoras independientes y en salones de belleza no se consideran como prueba de ingresos y para el pago de indemnizaciones</w:t>
      </w:r>
      <w:r>
        <w:rPr>
          <w:color w:val="000000"/>
          <w:sz w:val="20"/>
          <w:szCs w:val="20"/>
          <w:vertAlign w:val="superscript"/>
        </w:rPr>
        <w:footnoteReference w:id="19"/>
      </w:r>
      <w:r>
        <w:rPr>
          <w:color w:val="000000"/>
          <w:sz w:val="20"/>
          <w:szCs w:val="20"/>
        </w:rPr>
        <w:t xml:space="preserve">. </w:t>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Además, muchas veces el monto pago a los hombres termina por no gastarse </w:t>
      </w:r>
      <w:r>
        <w:rPr>
          <w:sz w:val="20"/>
          <w:szCs w:val="20"/>
        </w:rPr>
        <w:t xml:space="preserve">en</w:t>
      </w:r>
      <w:r>
        <w:rPr>
          <w:color w:val="000000"/>
          <w:sz w:val="20"/>
          <w:szCs w:val="20"/>
        </w:rPr>
        <w:t xml:space="preserve"> la reproducción del hogar y de la familia, contribuyendo para reforzar un ciclo de violencia de género y la inexpugnabilidad del trabajo reproductivo de las mujeres. </w:t>
      </w:r>
      <w:r>
        <w:rPr>
          <w:sz w:val="20"/>
          <w:szCs w:val="20"/>
        </w:rPr>
        <w:t xml:space="preserve">Por fin</w:t>
      </w:r>
      <w:r>
        <w:rPr>
          <w:color w:val="000000"/>
          <w:sz w:val="20"/>
          <w:szCs w:val="20"/>
        </w:rPr>
        <w:t xml:space="preserve">, el empobrecimiento de las mujeres se produce por el desplazamiento forzado a barrios alejados del centro donde se reasentan, perdiendo sus ingresos más allá de las redes de solidaridad</w:t>
      </w:r>
      <w:r>
        <w:rPr>
          <w:color w:val="000000"/>
          <w:sz w:val="20"/>
          <w:szCs w:val="20"/>
          <w:vertAlign w:val="superscript"/>
        </w:rPr>
        <w:footnoteReference w:id="20"/>
      </w:r>
      <w:r>
        <w:rPr>
          <w:color w:val="000000"/>
          <w:sz w:val="20"/>
          <w:szCs w:val="20"/>
        </w:rPr>
        <w:t xml:space="preserve">.</w:t>
      </w:r>
      <w:r/>
    </w:p>
    <w:p>
      <w:pPr>
        <w:jc w:val="both"/>
        <w:spacing w:after="100"/>
        <w:rPr>
          <w:sz w:val="20"/>
          <w:szCs w:val="20"/>
        </w:rPr>
      </w:pPr>
      <w:r>
        <w:rPr>
          <w:sz w:val="20"/>
          <w:szCs w:val="20"/>
        </w:rPr>
      </w:r>
      <w:r/>
    </w:p>
    <w:p>
      <w:pPr>
        <w:jc w:val="both"/>
        <w:spacing w:after="100"/>
        <w:rPr>
          <w:b/>
          <w:sz w:val="20"/>
          <w:szCs w:val="20"/>
        </w:rPr>
      </w:pPr>
      <w:r>
        <w:rPr>
          <w:b/>
          <w:sz w:val="20"/>
          <w:szCs w:val="20"/>
        </w:rPr>
        <w:t xml:space="preserve">V</w:t>
      </w:r>
      <w:bookmarkStart w:id="0" w:name="_GoBack"/>
      <w:r/>
      <w:bookmarkEnd w:id="0"/>
      <w:r>
        <w:rPr>
          <w:b/>
          <w:sz w:val="20"/>
          <w:szCs w:val="20"/>
        </w:rPr>
        <w:t xml:space="preserve">. </w:t>
      </w:r>
      <w:r>
        <w:rPr>
          <w:b/>
          <w:sz w:val="20"/>
          <w:szCs w:val="20"/>
        </w:rPr>
        <w:tab/>
        <w:t xml:space="preserve">Preguntas</w:t>
      </w:r>
      <w:r/>
    </w:p>
    <w:p>
      <w:pPr>
        <w:jc w:val="both"/>
        <w:spacing w:after="100"/>
        <w:rPr>
          <w:sz w:val="20"/>
          <w:szCs w:val="20"/>
        </w:rPr>
      </w:pPr>
      <w:r>
        <w:rPr>
          <w:sz w:val="20"/>
          <w:szCs w:val="20"/>
        </w:rPr>
      </w:r>
      <w:r/>
    </w:p>
    <w:p>
      <w:pPr>
        <w:numPr>
          <w:ilvl w:val="0"/>
          <w:numId w:val="3"/>
        </w:numPr>
        <w:ind w:left="0"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Con base a la información aquí presentada el Instituto PACS solicita respetuosamente a este Comité que en el marco de la elaboración de las cuestiones previas para Brasil tome en consideración lo anteriormente descrito y le pregunte al Estado brasileño: </w:t>
      </w:r>
      <w:r/>
    </w:p>
    <w:p>
      <w:pPr>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r>
      <w:r/>
    </w:p>
    <w:p>
      <w:pPr>
        <w:numPr>
          <w:ilvl w:val="0"/>
          <w:numId w:val="1"/>
        </w:numPr>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¿Qué medidas está adoptando el Estado para identificar el impacto diferenciado de las empresas transnacionales y los megaproyectos extractivos, de infraestructura y de energ</w:t>
      </w:r>
      <w:r>
        <w:rPr>
          <w:color w:val="000000"/>
          <w:sz w:val="20"/>
          <w:szCs w:val="20"/>
        </w:rPr>
        <w:t xml:space="preserve">ía</w:t>
      </w:r>
      <w:r>
        <w:rPr>
          <w:color w:val="000000"/>
          <w:sz w:val="20"/>
          <w:szCs w:val="20"/>
        </w:rPr>
        <w:t xml:space="preserve"> en los derechos humanos de las mujeres en Brasil?</w:t>
      </w:r>
      <w:r/>
    </w:p>
    <w:p>
      <w:pPr>
        <w:numPr>
          <w:ilvl w:val="0"/>
          <w:numId w:val="1"/>
        </w:numPr>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¿Qué políticas normativas y presupuestales se están adoptando para consolidar la democracia socio</w:t>
      </w:r>
      <w:r>
        <w:rPr>
          <w:color w:val="000000"/>
          <w:sz w:val="20"/>
          <w:szCs w:val="20"/>
        </w:rPr>
        <w:t xml:space="preserve">-</w:t>
      </w:r>
      <w:r>
        <w:rPr>
          <w:color w:val="000000"/>
          <w:sz w:val="20"/>
          <w:szCs w:val="20"/>
        </w:rPr>
        <w:t xml:space="preserve">ambiental</w:t>
      </w:r>
      <w:r>
        <w:rPr>
          <w:color w:val="000000"/>
          <w:sz w:val="20"/>
          <w:szCs w:val="20"/>
        </w:rPr>
        <w:t xml:space="preserve">es</w:t>
      </w:r>
      <w:r>
        <w:rPr>
          <w:color w:val="000000"/>
          <w:sz w:val="20"/>
          <w:szCs w:val="20"/>
        </w:rPr>
        <w:t xml:space="preserve">; la participación efectiva de las mujeres en la gestión de los recursos naturales y la protección efectiva de defensoras y defensores de derechos humanos en Brasil?</w:t>
      </w:r>
      <w:r/>
    </w:p>
    <w:p>
      <w:pPr>
        <w:numPr>
          <w:ilvl w:val="0"/>
          <w:numId w:val="1"/>
        </w:numPr>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¿Cuáles son las medidas que está tomando el Estado para desarrollar e implementar leyes y políticas sólidas para promover la igualdad de género, la realización de los derechos de las mujeres y niñas y </w:t>
      </w:r>
      <w:r>
        <w:rPr>
          <w:sz w:val="20"/>
          <w:szCs w:val="20"/>
        </w:rPr>
        <w:t xml:space="preserve">su</w:t>
      </w:r>
      <w:r>
        <w:rPr>
          <w:color w:val="000000"/>
          <w:sz w:val="20"/>
          <w:szCs w:val="20"/>
        </w:rPr>
        <w:t xml:space="preserve"> empoderamiento económico</w:t>
      </w:r>
      <w:r>
        <w:rPr>
          <w:sz w:val="20"/>
          <w:szCs w:val="20"/>
        </w:rPr>
        <w:t xml:space="preserve"> </w:t>
      </w:r>
      <w:r>
        <w:rPr>
          <w:color w:val="000000"/>
          <w:sz w:val="20"/>
          <w:szCs w:val="20"/>
        </w:rPr>
        <w:t xml:space="preserve">en contextos de megaproyectos?</w:t>
      </w:r>
      <w:r/>
    </w:p>
    <w:p>
      <w:pPr>
        <w:numPr>
          <w:ilvl w:val="0"/>
          <w:numId w:val="1"/>
        </w:numPr>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¿Qué políticas normativas</w:t>
      </w:r>
      <w:r>
        <w:rPr>
          <w:color w:val="000000"/>
          <w:sz w:val="20"/>
          <w:szCs w:val="20"/>
        </w:rPr>
        <w:t xml:space="preserve"> está tomando el Estado brasileño para ampliar y garantizar la participación de las mujeres en las consultas previas, planificación, elaboración y aprobación de políticas y normas que les afecten, a través de metodologías que incluyan el enfoque de género?</w:t>
      </w:r>
      <w:r/>
    </w:p>
    <w:p>
      <w:pPr>
        <w:numPr>
          <w:ilvl w:val="0"/>
          <w:numId w:val="1"/>
        </w:numPr>
        <w:jc w:val="both"/>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¿Cuá</w:t>
      </w:r>
      <w:r>
        <w:rPr>
          <w:color w:val="000000"/>
          <w:sz w:val="20"/>
          <w:szCs w:val="20"/>
        </w:rPr>
        <w:t xml:space="preserve">les son las estrategias y mecanismos especiales de atención para atender los impactos negativos a nivel social y de salud que sufren las comunidades afectadas por los megaproyectos, en particular el incremento de la violencia hacia las mujeres y las niñas?</w:t>
      </w:r>
      <w:r/>
    </w:p>
    <w:p>
      <w:pPr>
        <w:ind w:left="720"/>
        <w:jc w:val="both"/>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r>
      <w:r/>
    </w:p>
    <w:p>
      <w:pPr>
        <w:ind w:left="720"/>
        <w:jc w:val="both"/>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r>
      <w:r/>
    </w:p>
    <w:p>
      <w:pPr>
        <w:numPr>
          <w:ilvl w:val="0"/>
          <w:numId w:val="3"/>
        </w:numPr>
        <w:ind w:left="284" w:hanging="284"/>
        <w:jc w:val="both"/>
        <w:spacing w:after="100"/>
        <w:rPr>
          <w:color w:val="000000"/>
          <w:sz w:val="20"/>
          <w:szCs w:val="20"/>
        </w:rPr>
        <w:pBdr>
          <w:top w:val="none" w:color="000000" w:sz="4" w:space="0"/>
          <w:left w:val="none" w:color="000000" w:sz="4" w:space="0"/>
          <w:bottom w:val="none" w:color="000000" w:sz="4" w:space="0"/>
          <w:right w:val="none" w:color="000000" w:sz="4" w:space="0"/>
          <w:between w:val="none" w:color="000000" w:sz="4" w:space="0"/>
        </w:pBdr>
      </w:pPr>
      <w:r>
        <w:rPr>
          <w:color w:val="000000"/>
          <w:sz w:val="20"/>
          <w:szCs w:val="20"/>
        </w:rPr>
        <w:t xml:space="preserve">Agradecemos el compromiso de este Comité con la protección de los derechos de las mujeres. Quedamos a disposición para cualquier información adicional o aclaraciones complementarias que estimen oportunas.</w:t>
      </w:r>
      <w:r/>
    </w:p>
    <w:p>
      <w:pPr>
        <w:jc w:val="both"/>
        <w:spacing w:after="100"/>
        <w:rPr>
          <w:sz w:val="20"/>
          <w:szCs w:val="20"/>
        </w:rPr>
      </w:pPr>
      <w:r>
        <w:rPr>
          <w:sz w:val="20"/>
          <w:szCs w:val="20"/>
        </w:rPr>
      </w:r>
      <w:r/>
    </w:p>
    <w:p>
      <w:pPr>
        <w:jc w:val="both"/>
        <w:spacing w:after="100"/>
        <w:rPr>
          <w:sz w:val="20"/>
          <w:szCs w:val="20"/>
        </w:rPr>
      </w:pPr>
      <w:r>
        <w:rPr>
          <w:sz w:val="20"/>
          <w:szCs w:val="20"/>
        </w:rPr>
        <w:t xml:space="preserve">Cordialmente, </w:t>
      </w:r>
      <w:r/>
    </w:p>
    <w:p>
      <w:pPr>
        <w:rPr>
          <w:sz w:val="20"/>
          <w:szCs w:val="20"/>
          <w:highlight w:val="yellow"/>
        </w:rPr>
      </w:pPr>
      <w:r>
        <w:rPr>
          <w:sz w:val="20"/>
          <w:szCs w:val="20"/>
          <w:highlight w:val="yellow"/>
        </w:rPr>
      </w:r>
      <w:r>
        <w:rPr>
          <w:sz w:val="20"/>
          <w:szCs w:val="20"/>
          <w:highlight w:val="yellow"/>
        </w:rPr>
      </w:r>
      <w:r/>
    </w:p>
    <w:p>
      <w:pPr>
        <w:rPr>
          <w:sz w:val="20"/>
          <w:szCs w:val="20"/>
          <w:highlight w:val="yellow"/>
        </w:rPr>
      </w:pPr>
      <w:r>
        <w:rPr>
          <w:sz w:val="20"/>
          <w:szCs w:val="20"/>
          <w:highlight w:val="yellow"/>
        </w:rPr>
      </w:r>
      <w:r>
        <w:rPr>
          <w:sz w:val="20"/>
          <w:szCs w:val="20"/>
          <w:highlight w:val="yellow"/>
        </w:rPr>
      </w:r>
      <w:r/>
    </w:p>
    <w:p>
      <w:pPr>
        <w:rPr>
          <w:sz w:val="20"/>
          <w:szCs w:val="20"/>
          <w:highlight w:val="yellow"/>
        </w:rPr>
      </w:pPr>
      <w:r>
        <w:rPr>
          <w:sz w:val="20"/>
          <w:szCs w:val="20"/>
          <w:highlight w:val="none"/>
        </w:rPr>
      </w:r>
      <w:r>
        <w:rPr>
          <w:sz w:val="20"/>
          <w:szCs w:val="20"/>
          <w:highlight w:val="none"/>
        </w:rPr>
        <mc:AlternateContent>
          <mc:Choice Requires="wpg">
            <w:drawing>
              <wp:inline xmlns:wp="http://schemas.openxmlformats.org/drawingml/2006/wordprocessingDrawing" distT="0" distB="0" distL="0" distR="0">
                <wp:extent cx="1447800" cy="56678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89368" name=""/>
                        <pic:cNvPicPr>
                          <a:picLocks noChangeAspect="1"/>
                        </pic:cNvPicPr>
                        <pic:nvPr/>
                      </pic:nvPicPr>
                      <pic:blipFill>
                        <a:blip r:embed="rId12"/>
                        <a:srcRect l="26475" t="49890" r="48247" b="34277"/>
                        <a:stretch/>
                      </pic:blipFill>
                      <pic:spPr bwMode="auto">
                        <a:xfrm rot="0" flipH="0" flipV="0">
                          <a:off x="0" y="0"/>
                          <a:ext cx="1447799" cy="56677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14.0pt;height:44.6pt;mso-wrap-distance-left:0.0pt;mso-wrap-distance-top:0.0pt;mso-wrap-distance-right:0.0pt;mso-wrap-distance-bottom:0.0pt;rotation:0;" stroked="false">
                <v:path textboxrect="0,0,0,0"/>
                <v:imagedata r:id="rId12" o:title=""/>
              </v:shape>
            </w:pict>
          </mc:Fallback>
        </mc:AlternateContent>
      </w:r>
      <w:r>
        <w:rPr>
          <w:sz w:val="20"/>
          <w:szCs w:val="20"/>
          <w:highlight w:val="none"/>
        </w:rPr>
      </w:r>
      <w:r>
        <w:rPr>
          <w:sz w:val="20"/>
          <w:szCs w:val="20"/>
          <w:highlight w:val="none"/>
        </w:rPr>
      </w:r>
    </w:p>
    <w:p>
      <w:pPr>
        <w:rPr>
          <w:sz w:val="20"/>
          <w:szCs w:val="20"/>
          <w:highlight w:val="yellow"/>
        </w:rPr>
      </w:pPr>
      <w:r>
        <w:rPr>
          <w:sz w:val="20"/>
          <w:szCs w:val="20"/>
          <w:lang w:val="pt-BR"/>
        </w:rPr>
      </w:r>
      <w:r/>
    </w:p>
    <w:p>
      <w:pPr>
        <w:rPr>
          <w:sz w:val="20"/>
          <w:szCs w:val="20"/>
        </w:rPr>
      </w:pPr>
      <w:r>
        <w:rPr>
          <w:sz w:val="20"/>
          <w:szCs w:val="20"/>
        </w:rPr>
        <w:t xml:space="preserve">Ana Luisa Queiroz </w:t>
      </w:r>
      <w:r/>
    </w:p>
    <w:p>
      <w:pPr>
        <w:rPr>
          <w:sz w:val="20"/>
          <w:szCs w:val="20"/>
        </w:rPr>
      </w:pPr>
      <w:r/>
      <w:bookmarkStart w:id="1" w:name="_gjdgxs"/>
      <w:r/>
      <w:bookmarkEnd w:id="1"/>
      <w:r>
        <w:rPr>
          <w:sz w:val="20"/>
          <w:szCs w:val="20"/>
        </w:rPr>
        <w:t xml:space="preserve">Coordinadora de proyectos y Miembro del Equipo Directivo</w:t>
      </w:r>
      <w:r/>
    </w:p>
    <w:p>
      <w:pPr>
        <w:rPr>
          <w:b/>
          <w:sz w:val="20"/>
          <w:szCs w:val="20"/>
        </w:rPr>
      </w:pPr>
      <w:r>
        <w:rPr>
          <w:b/>
          <w:sz w:val="20"/>
          <w:szCs w:val="20"/>
        </w:rPr>
        <w:t xml:space="preserve">Instituto Políticas Alternativas para o </w:t>
      </w:r>
      <w:r>
        <w:rPr>
          <w:b/>
          <w:sz w:val="20"/>
          <w:szCs w:val="20"/>
        </w:rPr>
        <w:t xml:space="preserve">Cone</w:t>
      </w:r>
      <w:r>
        <w:rPr>
          <w:b/>
          <w:sz w:val="20"/>
          <w:szCs w:val="20"/>
        </w:rPr>
        <w:t xml:space="preserve"> Sul</w:t>
      </w:r>
      <w:r/>
    </w:p>
    <w:p>
      <w:pPr>
        <w:rPr>
          <w:sz w:val="20"/>
          <w:szCs w:val="20"/>
        </w:rPr>
      </w:pPr>
      <w:r>
        <w:rPr>
          <w:sz w:val="20"/>
          <w:szCs w:val="20"/>
        </w:rPr>
        <w:t xml:space="preserve">E-mail para </w:t>
      </w:r>
      <w:r>
        <w:rPr>
          <w:sz w:val="20"/>
          <w:szCs w:val="20"/>
        </w:rPr>
        <w:t xml:space="preserve">contacto</w:t>
      </w:r>
      <w:r>
        <w:rPr>
          <w:sz w:val="20"/>
          <w:szCs w:val="20"/>
        </w:rPr>
        <w:t xml:space="preserve">: nalu@pacs.org.br</w:t>
      </w:r>
      <w:r/>
    </w:p>
    <w:sectPr>
      <w:headerReference w:type="default" r:id="rId9"/>
      <w:footnotePr/>
      <w:endnotePr/>
      <w:type w:val="nextPage"/>
      <w:pgSz w:w="11900" w:h="16840" w:orient="portrait"/>
      <w:pgMar w:top="1440" w:right="1440" w:bottom="1440" w:left="1440" w:header="708" w:footer="708"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Georgia">
    <w:panose1 w:val="02040502050405020303"/>
  </w:font>
  <w:font w:name="Arial">
    <w:panose1 w:val="020B060402020202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both"/>
        <w:rPr>
          <w:sz w:val="16"/>
          <w:szCs w:val="16"/>
          <w:lang w:val="pt-BR"/>
        </w:rPr>
      </w:pPr>
      <w:r>
        <w:rPr>
          <w:vertAlign w:val="superscript"/>
        </w:rPr>
        <w:footnoteRef/>
      </w:r>
      <w:r>
        <w:rPr>
          <w:sz w:val="16"/>
          <w:szCs w:val="16"/>
        </w:rPr>
        <w:t xml:space="preserve"> DPLF. Derecho a la consulta y al consentimiento previo, libre e informado en América Latina. Avances y desafíos para su implementación en Bolivia, Brasil, Chile, Colombia, Guatemala y Perú. </w:t>
      </w:r>
      <w:r>
        <w:rPr>
          <w:sz w:val="16"/>
          <w:szCs w:val="16"/>
          <w:lang w:val="pt-BR"/>
        </w:rPr>
        <w:t xml:space="preserve">DPLF/OXFAM. Washington D. C. 2015. </w:t>
      </w:r>
      <w:r/>
    </w:p>
  </w:footnote>
  <w:footnote w:id="3">
    <w:p>
      <w:pPr>
        <w:jc w:val="both"/>
        <w:rPr>
          <w:color w:val="000000"/>
          <w:sz w:val="16"/>
          <w:szCs w:val="16"/>
          <w:lang w:val="en-US"/>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rPr>
        <w:t xml:space="preserve"> Por ejemplo, MR </w:t>
      </w:r>
      <w:r>
        <w:rPr>
          <w:color w:val="000000"/>
          <w:sz w:val="16"/>
          <w:szCs w:val="16"/>
        </w:rPr>
        <w:t xml:space="preserve">Catullo</w:t>
      </w:r>
      <w:r>
        <w:rPr>
          <w:color w:val="000000"/>
          <w:sz w:val="16"/>
          <w:szCs w:val="16"/>
        </w:rPr>
        <w:t xml:space="preserve">. Proyectos de Gran Escala, Género y Relocalizaciones Urbanas. </w:t>
      </w:r>
      <w:r>
        <w:rPr>
          <w:color w:val="000000"/>
          <w:sz w:val="16"/>
          <w:szCs w:val="16"/>
          <w:lang w:val="en-US"/>
        </w:rPr>
        <w:t xml:space="preserve">Ciudad de </w:t>
      </w:r>
      <w:r>
        <w:rPr>
          <w:color w:val="000000"/>
          <w:sz w:val="16"/>
          <w:szCs w:val="16"/>
          <w:lang w:val="en-US"/>
        </w:rPr>
        <w:t xml:space="preserve">Federación</w:t>
      </w:r>
      <w:r>
        <w:rPr>
          <w:color w:val="000000"/>
          <w:sz w:val="16"/>
          <w:szCs w:val="16"/>
          <w:lang w:val="en-US"/>
        </w:rPr>
        <w:t xml:space="preserve"> (Argentina). Cad. </w:t>
      </w:r>
      <w:r>
        <w:rPr>
          <w:color w:val="000000"/>
          <w:sz w:val="16"/>
          <w:szCs w:val="16"/>
          <w:lang w:val="en-US"/>
        </w:rPr>
        <w:t xml:space="preserve">Pagu</w:t>
      </w:r>
      <w:r>
        <w:rPr>
          <w:color w:val="000000"/>
          <w:sz w:val="16"/>
          <w:szCs w:val="16"/>
          <w:lang w:val="en-US"/>
        </w:rPr>
        <w:t xml:space="preserve">. n.52, 2018; Y </w:t>
      </w:r>
      <w:r>
        <w:rPr>
          <w:color w:val="000000"/>
          <w:sz w:val="16"/>
          <w:szCs w:val="16"/>
          <w:lang w:val="en-US"/>
        </w:rPr>
        <w:t xml:space="preserve">Braum</w:t>
      </w:r>
      <w:r>
        <w:rPr>
          <w:color w:val="000000"/>
          <w:sz w:val="16"/>
          <w:szCs w:val="16"/>
          <w:lang w:val="en-US"/>
        </w:rPr>
        <w:t xml:space="preserve">. The Reproduction of Inequality: Race, Class, Gender, and the Social Organization of Work at Sites of Large-Scale Development Projects. Social Problems, v. 58, </w:t>
      </w:r>
      <w:r>
        <w:rPr>
          <w:color w:val="000000"/>
          <w:sz w:val="16"/>
          <w:szCs w:val="16"/>
          <w:lang w:val="en-US"/>
        </w:rPr>
        <w:t xml:space="preserve">i</w:t>
      </w:r>
      <w:r>
        <w:rPr>
          <w:color w:val="000000"/>
          <w:sz w:val="16"/>
          <w:szCs w:val="16"/>
          <w:lang w:val="en-US"/>
        </w:rPr>
        <w:t xml:space="preserve">. 2, 1 May 2011; </w:t>
      </w:r>
      <w:r>
        <w:rPr>
          <w:color w:val="000000"/>
          <w:sz w:val="16"/>
          <w:szCs w:val="16"/>
          <w:lang w:val="en-US"/>
        </w:rPr>
        <w:t xml:space="preserve">Chatiza</w:t>
      </w:r>
      <w:r>
        <w:rPr>
          <w:color w:val="000000"/>
          <w:sz w:val="16"/>
          <w:szCs w:val="16"/>
          <w:lang w:val="en-US"/>
        </w:rPr>
        <w:t xml:space="preserve">, </w:t>
      </w:r>
      <w:r>
        <w:rPr>
          <w:color w:val="000000"/>
          <w:sz w:val="16"/>
          <w:szCs w:val="16"/>
          <w:lang w:val="en-US"/>
        </w:rPr>
        <w:t xml:space="preserve">Kudzai</w:t>
      </w:r>
      <w:r>
        <w:rPr>
          <w:color w:val="000000"/>
          <w:sz w:val="16"/>
          <w:szCs w:val="16"/>
          <w:lang w:val="en-US"/>
        </w:rPr>
        <w:t xml:space="preserve">, Davison </w:t>
      </w:r>
      <w:r>
        <w:rPr>
          <w:color w:val="000000"/>
          <w:sz w:val="16"/>
          <w:szCs w:val="16"/>
          <w:lang w:val="en-US"/>
        </w:rPr>
        <w:t xml:space="preserve">Muchadenyka</w:t>
      </w:r>
      <w:r>
        <w:rPr>
          <w:color w:val="000000"/>
          <w:sz w:val="16"/>
          <w:szCs w:val="16"/>
          <w:lang w:val="en-US"/>
        </w:rPr>
        <w:t xml:space="preserve">, Dorcas </w:t>
      </w:r>
      <w:r>
        <w:rPr>
          <w:color w:val="000000"/>
          <w:sz w:val="16"/>
          <w:szCs w:val="16"/>
          <w:lang w:val="en-US"/>
        </w:rPr>
        <w:t xml:space="preserve">Makaza</w:t>
      </w:r>
      <w:r>
        <w:rPr>
          <w:color w:val="000000"/>
          <w:sz w:val="16"/>
          <w:szCs w:val="16"/>
          <w:lang w:val="en-US"/>
        </w:rPr>
        <w:t xml:space="preserve">, Fanny </w:t>
      </w:r>
      <w:r>
        <w:rPr>
          <w:color w:val="000000"/>
          <w:sz w:val="16"/>
          <w:szCs w:val="16"/>
          <w:lang w:val="en-US"/>
        </w:rPr>
        <w:t xml:space="preserve">Nyaunga</w:t>
      </w:r>
      <w:r>
        <w:rPr>
          <w:color w:val="000000"/>
          <w:sz w:val="16"/>
          <w:szCs w:val="16"/>
          <w:lang w:val="en-US"/>
        </w:rPr>
        <w:t xml:space="preserve">, Ronnie James K. </w:t>
      </w:r>
      <w:r>
        <w:rPr>
          <w:color w:val="000000"/>
          <w:sz w:val="16"/>
          <w:szCs w:val="16"/>
          <w:lang w:val="en-US"/>
        </w:rPr>
        <w:t xml:space="preserve">Murungu</w:t>
      </w:r>
      <w:r>
        <w:rPr>
          <w:color w:val="000000"/>
          <w:sz w:val="16"/>
          <w:szCs w:val="16"/>
          <w:lang w:val="en-US"/>
        </w:rPr>
        <w:t xml:space="preserve">, and Lillian </w:t>
      </w:r>
      <w:r>
        <w:rPr>
          <w:color w:val="000000"/>
          <w:sz w:val="16"/>
          <w:szCs w:val="16"/>
          <w:lang w:val="en-US"/>
        </w:rPr>
        <w:t xml:space="preserve">Matsika</w:t>
      </w:r>
      <w:r>
        <w:rPr>
          <w:color w:val="000000"/>
          <w:sz w:val="16"/>
          <w:szCs w:val="16"/>
          <w:lang w:val="en-US"/>
        </w:rPr>
        <w:t xml:space="preserve">. “When Extractives Come Home: An Action Research on the Impact of the Extractives Sector on Women in Selected Mining Communities in Zimbabwe” OIDA International Journal of Sustainable Development </w:t>
      </w:r>
      <w:r>
        <w:rPr>
          <w:color w:val="000000"/>
          <w:sz w:val="16"/>
          <w:szCs w:val="16"/>
          <w:lang w:val="en-US"/>
        </w:rPr>
        <w:t xml:space="preserve">8, no. 12, 2015; The Association for Women’s Rights in Development &amp; The Women Human Rights Defenders International Coalition, Women Human Rights Defenders. Confronting Extractive Industries: an Overview of Critical Risks and Human Rights Obligations, 2017</w:t>
      </w:r>
      <w:r>
        <w:rPr>
          <w:color w:val="000000"/>
          <w:sz w:val="16"/>
          <w:szCs w:val="16"/>
          <w:lang w:val="en-US"/>
        </w:rPr>
        <w:t xml:space="preserve">;</w:t>
      </w:r>
      <w:r>
        <w:rPr>
          <w:color w:val="000000"/>
          <w:sz w:val="16"/>
          <w:szCs w:val="16"/>
          <w:lang w:val="en-US"/>
        </w:rPr>
        <w:t xml:space="preserve"> Oxfam Australia. </w:t>
      </w:r>
      <w:r>
        <w:rPr>
          <w:color w:val="000000"/>
          <w:sz w:val="16"/>
          <w:szCs w:val="16"/>
          <w:lang w:val="en-US"/>
        </w:rPr>
        <w:t xml:space="preserve">Women ,communities</w:t>
      </w:r>
      <w:r>
        <w:rPr>
          <w:color w:val="000000"/>
          <w:sz w:val="16"/>
          <w:szCs w:val="16"/>
          <w:lang w:val="en-US"/>
        </w:rPr>
        <w:t xml:space="preserve"> and mining: The gender impacts of mining and</w:t>
      </w:r>
      <w:r>
        <w:rPr>
          <w:color w:val="000000"/>
          <w:sz w:val="16"/>
          <w:szCs w:val="16"/>
          <w:lang w:val="en-US"/>
        </w:rPr>
        <w:t xml:space="preserve"> the role of gender impact assessment. Victoria: Oxfam Australia, 2009; Asia Pacific Forum on Women, Law and Development (APWLD). Mining and Women in Asia: Experiences of women protecting their communities and human rights against corporate mining. Chiang </w:t>
      </w:r>
      <w:r>
        <w:rPr>
          <w:color w:val="000000"/>
          <w:sz w:val="16"/>
          <w:szCs w:val="16"/>
          <w:lang w:val="en-US"/>
        </w:rPr>
        <w:t xml:space="preserve">Mai</w:t>
      </w:r>
      <w:r>
        <w:rPr>
          <w:color w:val="000000"/>
          <w:sz w:val="16"/>
          <w:szCs w:val="16"/>
          <w:lang w:val="en-US"/>
        </w:rPr>
        <w:t xml:space="preserve">:Asia</w:t>
      </w:r>
      <w:r>
        <w:rPr>
          <w:color w:val="000000"/>
          <w:sz w:val="16"/>
          <w:szCs w:val="16"/>
          <w:lang w:val="en-US"/>
        </w:rPr>
        <w:t xml:space="preserve"> Pacific Forum on Women, Law and Development (APWLD), 2009.</w:t>
      </w:r>
      <w:r/>
    </w:p>
  </w:footnote>
  <w:footnote w:id="4">
    <w:p>
      <w:pPr>
        <w:jc w:val="both"/>
        <w:rPr>
          <w:color w:val="000000"/>
          <w:sz w:val="16"/>
          <w:szCs w:val="16"/>
          <w:lang w:val="pt-BR"/>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AL Queiroz. A operação da Vale S. A. no Morro D’Água Quente, Catas Altas, e seus impactos específicos sobre às mulheres. Instituto PACS, </w:t>
      </w:r>
      <w:r>
        <w:rPr>
          <w:i/>
          <w:color w:val="000000"/>
          <w:sz w:val="16"/>
          <w:szCs w:val="16"/>
          <w:lang w:val="pt-BR"/>
        </w:rPr>
        <w:t xml:space="preserve">mimeo</w:t>
      </w:r>
      <w:r>
        <w:rPr>
          <w:color w:val="000000"/>
          <w:sz w:val="16"/>
          <w:szCs w:val="16"/>
          <w:lang w:val="pt-BR"/>
        </w:rPr>
        <w:t xml:space="preserve">.</w:t>
      </w:r>
      <w:r/>
    </w:p>
  </w:footnote>
  <w:footnote w:id="5">
    <w:p>
      <w:pPr>
        <w:jc w:val="both"/>
        <w:rPr>
          <w:sz w:val="16"/>
          <w:szCs w:val="16"/>
          <w:lang w:val="pt-BR"/>
        </w:rPr>
      </w:pPr>
      <w:r>
        <w:rPr>
          <w:vertAlign w:val="superscript"/>
        </w:rPr>
        <w:footnoteRef/>
      </w:r>
      <w:r>
        <w:rPr>
          <w:sz w:val="16"/>
          <w:szCs w:val="16"/>
          <w:lang w:val="pt-BR"/>
        </w:rPr>
        <w:t xml:space="preserve"> A Ribeiro; H Corrêa. O legado de violência deixado pela usina de Belo Monte. </w:t>
      </w:r>
      <w:r>
        <w:rPr>
          <w:i/>
          <w:sz w:val="16"/>
          <w:szCs w:val="16"/>
          <w:lang w:val="pt-BR"/>
        </w:rPr>
        <w:t xml:space="preserve">Época. </w:t>
      </w:r>
      <w:r>
        <w:rPr>
          <w:sz w:val="16"/>
          <w:szCs w:val="16"/>
          <w:lang w:val="pt-BR"/>
        </w:rPr>
        <w:t xml:space="preserve">4 Mar 2018. Disponible </w:t>
      </w:r>
      <w:r>
        <w:rPr>
          <w:sz w:val="16"/>
          <w:szCs w:val="16"/>
          <w:lang w:val="pt-BR"/>
        </w:rPr>
        <w:t xml:space="preserve">en</w:t>
      </w:r>
      <w:r>
        <w:rPr>
          <w:sz w:val="16"/>
          <w:szCs w:val="16"/>
          <w:lang w:val="pt-BR"/>
        </w:rPr>
        <w:t xml:space="preserve">: &lt;https://epoca.globo.com/brasil/noticia/2018/03/o-legado-de-violencia-deixado-pela-usina-de-belo-monte.html&gt;</w:t>
      </w:r>
      <w:r/>
    </w:p>
  </w:footnote>
  <w:footnote w:id="6">
    <w:p>
      <w:pPr>
        <w:jc w:val="both"/>
        <w:rPr>
          <w:color w:val="000000"/>
          <w:sz w:val="16"/>
          <w:szCs w:val="16"/>
          <w:lang w:val="pt-BR"/>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Câmara Técnica de Monitoramento das Condicionantes do Plano de Desenvolvimento Regional Sustentável do Xingu. Indicadores de Belo Monte. </w:t>
      </w:r>
      <w:r>
        <w:rPr>
          <w:color w:val="000000"/>
          <w:sz w:val="16"/>
          <w:szCs w:val="16"/>
          <w:lang w:val="pt-BR"/>
        </w:rPr>
        <w:t xml:space="preserve">Fev</w:t>
      </w:r>
      <w:r>
        <w:rPr>
          <w:color w:val="000000"/>
          <w:sz w:val="16"/>
          <w:szCs w:val="16"/>
          <w:lang w:val="pt-BR"/>
        </w:rPr>
        <w:t xml:space="preserve">, 2016. Disponible em: &lt;http://mediadrawer.gvces.com.br/publicacoes/original/indicadores-de-belo-monte-2016.pdf&gt;</w:t>
      </w:r>
      <w:r/>
    </w:p>
  </w:footnote>
  <w:footnote w:id="7">
    <w:p>
      <w:pPr>
        <w:jc w:val="both"/>
        <w:rPr>
          <w:color w:val="000000"/>
          <w:sz w:val="16"/>
          <w:szCs w:val="16"/>
          <w:lang w:val="en-US"/>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AC Oliveira (coord.) Diagnóstico Rápido Participativo: Enfrentamento da Violência Sexual Contra Crianças e Adolescentes no Município de Altamira/PA.-Altamira: UFPA, 2016. </w:t>
      </w:r>
      <w:r>
        <w:rPr>
          <w:color w:val="000000"/>
          <w:sz w:val="16"/>
          <w:szCs w:val="16"/>
          <w:lang w:val="en-US"/>
        </w:rPr>
        <w:t xml:space="preserve">Disponible</w:t>
      </w:r>
      <w:r>
        <w:rPr>
          <w:color w:val="000000"/>
          <w:sz w:val="16"/>
          <w:szCs w:val="16"/>
          <w:lang w:val="en-US"/>
        </w:rPr>
        <w:t xml:space="preserve"> </w:t>
      </w:r>
      <w:r>
        <w:rPr>
          <w:color w:val="000000"/>
          <w:sz w:val="16"/>
          <w:szCs w:val="16"/>
          <w:lang w:val="en-US"/>
        </w:rPr>
        <w:t xml:space="preserve">en</w:t>
      </w:r>
      <w:r>
        <w:rPr>
          <w:color w:val="000000"/>
          <w:sz w:val="16"/>
          <w:szCs w:val="16"/>
          <w:lang w:val="en-US"/>
        </w:rPr>
        <w:t xml:space="preserve">: &lt;http://pair.ledes.net/gestor/titan.php? target=</w:t>
      </w:r>
      <w:r>
        <w:rPr>
          <w:color w:val="000000"/>
          <w:sz w:val="16"/>
          <w:szCs w:val="16"/>
          <w:lang w:val="en-US"/>
        </w:rPr>
        <w:t xml:space="preserve">openFile&amp;fileId</w:t>
      </w:r>
      <w:r>
        <w:rPr>
          <w:color w:val="000000"/>
          <w:sz w:val="16"/>
          <w:szCs w:val="16"/>
          <w:lang w:val="en-US"/>
        </w:rPr>
        <w:t xml:space="preserve">=1254&gt;</w:t>
      </w:r>
      <w:r/>
    </w:p>
  </w:footnote>
  <w:footnote w:id="8">
    <w:p>
      <w:pPr>
        <w:jc w:val="both"/>
        <w:rPr>
          <w:sz w:val="16"/>
          <w:szCs w:val="16"/>
          <w:lang w:val="pt-BR"/>
        </w:rPr>
      </w:pPr>
      <w:r>
        <w:rPr>
          <w:vertAlign w:val="superscript"/>
        </w:rPr>
        <w:footnoteRef/>
      </w:r>
      <w:r>
        <w:rPr>
          <w:sz w:val="16"/>
          <w:szCs w:val="16"/>
          <w:lang w:val="en-US"/>
        </w:rPr>
        <w:t xml:space="preserve"> K Alessandra. </w:t>
      </w:r>
      <w:r>
        <w:rPr>
          <w:sz w:val="16"/>
          <w:szCs w:val="16"/>
          <w:lang w:val="pt-BR"/>
        </w:rPr>
        <w:t xml:space="preserve">Ativista denuncia exploração sexual de crianças em áreas de barragens. </w:t>
      </w:r>
      <w:r>
        <w:rPr>
          <w:i/>
          <w:sz w:val="16"/>
          <w:szCs w:val="16"/>
          <w:lang w:val="pt-BR"/>
        </w:rPr>
        <w:t xml:space="preserve">Agência Câmara de Notícias</w:t>
      </w:r>
      <w:r>
        <w:rPr>
          <w:sz w:val="16"/>
          <w:szCs w:val="16"/>
          <w:lang w:val="pt-BR"/>
        </w:rPr>
        <w:t xml:space="preserve">. 19 Mar 2013. Disponible </w:t>
      </w:r>
      <w:r>
        <w:rPr>
          <w:sz w:val="16"/>
          <w:szCs w:val="16"/>
          <w:lang w:val="pt-BR"/>
        </w:rPr>
        <w:t xml:space="preserve">en</w:t>
      </w:r>
      <w:r>
        <w:rPr>
          <w:sz w:val="16"/>
          <w:szCs w:val="16"/>
          <w:lang w:val="pt-BR"/>
        </w:rPr>
        <w:t xml:space="preserve">: &lt;https://www.camara.leg.br/noticias/398607-ativista-denuncia-exploracao-sexual-de-criancas-em-areas-de-barragens/&gt;.</w:t>
      </w:r>
      <w:r/>
    </w:p>
  </w:footnote>
  <w:footnote w:id="9">
    <w:p>
      <w:pPr>
        <w:jc w:val="both"/>
        <w:rPr>
          <w:color w:val="000000"/>
          <w:sz w:val="16"/>
          <w:szCs w:val="16"/>
          <w:lang w:val="pt-BR"/>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AM Almeida, AS Lourenço. Mulheres e </w:t>
      </w:r>
      <w:r>
        <w:rPr>
          <w:color w:val="000000"/>
          <w:sz w:val="16"/>
          <w:szCs w:val="16"/>
          <w:lang w:val="pt-BR"/>
        </w:rPr>
        <w:t xml:space="preserve">Mega</w:t>
      </w:r>
      <w:r>
        <w:rPr>
          <w:color w:val="000000"/>
          <w:sz w:val="16"/>
          <w:szCs w:val="16"/>
          <w:lang w:val="pt-BR"/>
        </w:rPr>
        <w:t xml:space="preserve"> Projetos: Relatório Pernambuco. Instituto PACS, </w:t>
      </w:r>
      <w:r>
        <w:rPr>
          <w:i/>
          <w:color w:val="000000"/>
          <w:sz w:val="16"/>
          <w:szCs w:val="16"/>
          <w:lang w:val="pt-BR"/>
        </w:rPr>
        <w:t xml:space="preserve">mimeo</w:t>
      </w:r>
      <w:r>
        <w:rPr>
          <w:color w:val="000000"/>
          <w:sz w:val="16"/>
          <w:szCs w:val="16"/>
          <w:lang w:val="pt-BR"/>
        </w:rPr>
        <w:t xml:space="preserve">.</w:t>
      </w:r>
      <w:r/>
    </w:p>
  </w:footnote>
  <w:footnote w:id="10">
    <w:p>
      <w:pPr>
        <w:jc w:val="both"/>
        <w:rPr>
          <w:color w:val="000000"/>
          <w:sz w:val="16"/>
          <w:szCs w:val="16"/>
          <w:lang w:val="pt-BR"/>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AL Queiroz, M </w:t>
      </w:r>
      <w:r>
        <w:rPr>
          <w:color w:val="000000"/>
          <w:sz w:val="16"/>
          <w:szCs w:val="16"/>
          <w:lang w:val="pt-BR"/>
        </w:rPr>
        <w:t xml:space="preserve">Praca</w:t>
      </w:r>
      <w:r>
        <w:rPr>
          <w:color w:val="000000"/>
          <w:sz w:val="16"/>
          <w:szCs w:val="16"/>
          <w:lang w:val="pt-BR"/>
        </w:rPr>
        <w:t xml:space="preserve">. Dos impactos à defesa: mulheres, corpos-territórios e direitos humanos. </w:t>
      </w:r>
      <w:r>
        <w:rPr>
          <w:i/>
          <w:color w:val="000000"/>
          <w:sz w:val="16"/>
          <w:szCs w:val="16"/>
          <w:lang w:val="pt-BR"/>
        </w:rPr>
        <w:t xml:space="preserve">Periódico Massa Crítica</w:t>
      </w:r>
      <w:r>
        <w:rPr>
          <w:color w:val="000000"/>
          <w:sz w:val="16"/>
          <w:szCs w:val="16"/>
          <w:lang w:val="pt-BR"/>
        </w:rPr>
        <w:t xml:space="preserve">, Edição 75, Instituto PACS, 2020. Disponible </w:t>
      </w:r>
      <w:r>
        <w:rPr>
          <w:color w:val="000000"/>
          <w:sz w:val="16"/>
          <w:szCs w:val="16"/>
          <w:lang w:val="pt-BR"/>
        </w:rPr>
        <w:t xml:space="preserve">en</w:t>
      </w:r>
      <w:r>
        <w:rPr>
          <w:color w:val="000000"/>
          <w:sz w:val="16"/>
          <w:szCs w:val="16"/>
          <w:lang w:val="pt-BR"/>
        </w:rPr>
        <w:t xml:space="preserve">: &lt;http://biblioteca.pacs.org.br/publicacao/dos-impactos-a-defesa-mulheres-corpos-territorios-e-direitos-humanos/&gt;</w:t>
      </w:r>
      <w:r/>
    </w:p>
  </w:footnote>
  <w:footnote w:id="11">
    <w:p>
      <w:pPr>
        <w:jc w:val="both"/>
        <w:rPr>
          <w:color w:val="000000"/>
          <w:sz w:val="16"/>
          <w:szCs w:val="16"/>
          <w:lang w:val="pt-BR"/>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AM Almeida, AS Lourenço. Mulheres e </w:t>
      </w:r>
      <w:r>
        <w:rPr>
          <w:color w:val="000000"/>
          <w:sz w:val="16"/>
          <w:szCs w:val="16"/>
          <w:lang w:val="pt-BR"/>
        </w:rPr>
        <w:t xml:space="preserve">Mega</w:t>
      </w:r>
      <w:r>
        <w:rPr>
          <w:color w:val="000000"/>
          <w:sz w:val="16"/>
          <w:szCs w:val="16"/>
          <w:lang w:val="pt-BR"/>
        </w:rPr>
        <w:t xml:space="preserve"> Projetos: Relatório Pernambuco. Instituto PACS, </w:t>
      </w:r>
      <w:r>
        <w:rPr>
          <w:i/>
          <w:color w:val="000000"/>
          <w:sz w:val="16"/>
          <w:szCs w:val="16"/>
          <w:lang w:val="pt-BR"/>
        </w:rPr>
        <w:t xml:space="preserve">mimeo</w:t>
      </w:r>
      <w:r>
        <w:rPr>
          <w:color w:val="000000"/>
          <w:sz w:val="16"/>
          <w:szCs w:val="16"/>
          <w:lang w:val="pt-BR"/>
        </w:rPr>
        <w:t xml:space="preserve">.</w:t>
      </w:r>
      <w:r/>
    </w:p>
  </w:footnote>
  <w:footnote w:id="12">
    <w:p>
      <w:pPr>
        <w:jc w:val="both"/>
        <w:rPr>
          <w:color w:val="000000"/>
          <w:sz w:val="16"/>
          <w:szCs w:val="16"/>
          <w:lang w:val="pt-BR"/>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AL Queiroz, M Praça, Y Bitencourt. Mulheres impactadas por megaprojetos: o caso de Santa Cruz-RJ. Instituto PACS, </w:t>
      </w:r>
      <w:r>
        <w:rPr>
          <w:i/>
          <w:color w:val="000000"/>
          <w:sz w:val="16"/>
          <w:szCs w:val="16"/>
          <w:lang w:val="pt-BR"/>
        </w:rPr>
        <w:t xml:space="preserve">mimeo</w:t>
      </w:r>
      <w:r>
        <w:rPr>
          <w:color w:val="000000"/>
          <w:sz w:val="16"/>
          <w:szCs w:val="16"/>
          <w:lang w:val="pt-BR"/>
        </w:rPr>
        <w:t xml:space="preserve">.</w:t>
      </w:r>
      <w:r/>
    </w:p>
  </w:footnote>
  <w:footnote w:id="13">
    <w:p>
      <w:pPr>
        <w:jc w:val="both"/>
        <w:rPr>
          <w:color w:val="000000"/>
          <w:sz w:val="16"/>
          <w:szCs w:val="16"/>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E Brum. O dia em que a casa foi expulsa de casa. </w:t>
      </w:r>
      <w:r>
        <w:rPr>
          <w:i/>
          <w:color w:val="000000"/>
          <w:sz w:val="16"/>
          <w:szCs w:val="16"/>
        </w:rPr>
        <w:t xml:space="preserve">El País. </w:t>
      </w:r>
      <w:r>
        <w:rPr>
          <w:color w:val="000000"/>
          <w:sz w:val="16"/>
          <w:szCs w:val="16"/>
        </w:rPr>
        <w:t xml:space="preserve">14 </w:t>
      </w:r>
      <w:r>
        <w:rPr>
          <w:color w:val="000000"/>
          <w:sz w:val="16"/>
          <w:szCs w:val="16"/>
        </w:rPr>
        <w:t xml:space="preserve">Sep</w:t>
      </w:r>
      <w:r>
        <w:rPr>
          <w:color w:val="000000"/>
          <w:sz w:val="16"/>
          <w:szCs w:val="16"/>
        </w:rPr>
        <w:t xml:space="preserve"> 2015. Disponible en</w:t>
      </w:r>
      <w:r>
        <w:rPr>
          <w:color w:val="000000"/>
          <w:sz w:val="16"/>
          <w:szCs w:val="16"/>
        </w:rPr>
        <w:t xml:space="preserve">: &lt;https://brasil.elpais.com/brasil/2015/09/14/opinion/1442235958_647873.html&gt;</w:t>
      </w:r>
      <w:r/>
    </w:p>
  </w:footnote>
  <w:footnote w:id="14">
    <w:p>
      <w:pPr>
        <w:jc w:val="both"/>
        <w:rPr>
          <w:color w:val="000000"/>
          <w:sz w:val="16"/>
          <w:szCs w:val="16"/>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rPr>
        <w:t xml:space="preserve"> Entrevista al Instituto PACS. Disponible en: &lt;http://pacs.org.br/2020/07/06/mulheresterritoriosdeluta-potencias-ancestrais-as-margens-do-xingu/&gt;</w:t>
      </w:r>
      <w:r/>
    </w:p>
  </w:footnote>
  <w:footnote w:id="15">
    <w:p>
      <w:pPr>
        <w:jc w:val="both"/>
        <w:rPr>
          <w:color w:val="000000"/>
          <w:sz w:val="16"/>
          <w:szCs w:val="16"/>
          <w:lang w:val="pt-BR"/>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N Valencio. Considerações sociológicas acerca de desastres relacionados a barragens e a atual desproteção civil das comunidades ribeirinhas conviventes com o megaempreendimento hidrelétrico de Belo Monte. In. SB Magalhães; MC (</w:t>
      </w:r>
      <w:r>
        <w:rPr>
          <w:color w:val="000000"/>
          <w:sz w:val="16"/>
          <w:szCs w:val="16"/>
          <w:lang w:val="pt-BR"/>
        </w:rPr>
        <w:t xml:space="preserve">Orgs</w:t>
      </w:r>
      <w:r>
        <w:rPr>
          <w:color w:val="000000"/>
          <w:sz w:val="16"/>
          <w:szCs w:val="16"/>
          <w:lang w:val="pt-BR"/>
        </w:rPr>
        <w:t xml:space="preserve">.). A expulsão de ribeirinhos em Belo Monte: relatório da SBPC. São Paulo: SBPC, 2017. p. 190.</w:t>
      </w:r>
      <w:r/>
    </w:p>
  </w:footnote>
  <w:footnote w:id="16">
    <w:p>
      <w:pPr>
        <w:jc w:val="both"/>
        <w:rPr>
          <w:color w:val="000000"/>
          <w:sz w:val="16"/>
          <w:szCs w:val="16"/>
          <w:lang w:val="pt-BR"/>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AMT Paiva. Das águas do rio, as mulheres em movimento na defesa do Xingu: a resistência c</w:t>
      </w:r>
      <w:r>
        <w:rPr>
          <w:color w:val="000000"/>
          <w:sz w:val="16"/>
          <w:szCs w:val="16"/>
          <w:lang w:val="pt-BR"/>
        </w:rPr>
        <w:t xml:space="preserve">ontra a construção da hidrelétrica de Belo Monte em Altamira - Oeste do Pará. 2010. 177 f. Dissertação (Mestrado) - Universidade Federal do Pará, Instituto de Filosofia e Ciências Humanas, Belém, 2010. Programa de Pós-Graduação em Ciências Sociais, p. 161.</w:t>
      </w:r>
      <w:r/>
    </w:p>
  </w:footnote>
  <w:footnote w:id="17">
    <w:p>
      <w:pPr>
        <w:jc w:val="both"/>
        <w:rPr>
          <w:color w:val="000000"/>
          <w:sz w:val="16"/>
          <w:szCs w:val="16"/>
          <w:lang w:val="pt-BR"/>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Movimento dos Atingidos por Barragem. Mulheres Atingidas, 2013. Disponible </w:t>
      </w:r>
      <w:r>
        <w:rPr>
          <w:color w:val="000000"/>
          <w:sz w:val="16"/>
          <w:szCs w:val="16"/>
          <w:lang w:val="pt-BR"/>
        </w:rPr>
        <w:t xml:space="preserve">en</w:t>
      </w:r>
      <w:r>
        <w:rPr>
          <w:color w:val="000000"/>
          <w:sz w:val="16"/>
          <w:szCs w:val="16"/>
          <w:lang w:val="pt-BR"/>
        </w:rPr>
        <w:t xml:space="preserve">: &lt;https://mab.org.br/2013/03/13/mulheres-atingidas/#&gt;</w:t>
      </w:r>
      <w:r/>
    </w:p>
  </w:footnote>
  <w:footnote w:id="18">
    <w:p>
      <w:pPr>
        <w:jc w:val="both"/>
        <w:rPr>
          <w:color w:val="000000"/>
          <w:sz w:val="16"/>
          <w:szCs w:val="16"/>
          <w:lang w:val="pt-BR"/>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AM Almeida, AS Lourenço. Mulheres e </w:t>
      </w:r>
      <w:r>
        <w:rPr>
          <w:color w:val="000000"/>
          <w:sz w:val="16"/>
          <w:szCs w:val="16"/>
          <w:lang w:val="pt-BR"/>
        </w:rPr>
        <w:t xml:space="preserve">Mega</w:t>
      </w:r>
      <w:r>
        <w:rPr>
          <w:color w:val="000000"/>
          <w:sz w:val="16"/>
          <w:szCs w:val="16"/>
          <w:lang w:val="pt-BR"/>
        </w:rPr>
        <w:t xml:space="preserve"> Projetos: Relatório Pernambuco. Instituto PACS, </w:t>
      </w:r>
      <w:r>
        <w:rPr>
          <w:i/>
          <w:color w:val="000000"/>
          <w:sz w:val="16"/>
          <w:szCs w:val="16"/>
          <w:lang w:val="pt-BR"/>
        </w:rPr>
        <w:t xml:space="preserve">mimeo</w:t>
      </w:r>
      <w:r>
        <w:rPr>
          <w:color w:val="000000"/>
          <w:sz w:val="16"/>
          <w:szCs w:val="16"/>
          <w:lang w:val="pt-BR"/>
        </w:rPr>
        <w:t xml:space="preserve">.</w:t>
      </w:r>
      <w:r/>
    </w:p>
  </w:footnote>
  <w:footnote w:id="19">
    <w:p>
      <w:pPr>
        <w:jc w:val="both"/>
        <w:rPr>
          <w:color w:val="000000"/>
          <w:sz w:val="16"/>
          <w:szCs w:val="16"/>
          <w:lang w:val="pt-BR"/>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Fundação Getúlio Vargas. Avalia</w:t>
      </w:r>
      <w:r>
        <w:rPr>
          <w:color w:val="000000"/>
          <w:sz w:val="16"/>
          <w:szCs w:val="16"/>
          <w:lang w:val="pt-BR"/>
        </w:rPr>
        <w:t xml:space="preserve">ção dos impactos e valoração dos danos socioeconômicos causados para as comunidades atingidas pelo rompimento da Barragem de Fundão -  A Situação das Mulheres Atingidas pelo Desastre do Rio Doce a partir dos Dados da Ouvidoria da Fundação Renova. Fundação </w:t>
      </w:r>
      <w:r>
        <w:rPr>
          <w:color w:val="000000"/>
          <w:sz w:val="16"/>
          <w:szCs w:val="16"/>
          <w:lang w:val="pt-BR"/>
        </w:rPr>
        <w:t xml:space="preserve">Getulio</w:t>
      </w:r>
      <w:r>
        <w:rPr>
          <w:color w:val="000000"/>
          <w:sz w:val="16"/>
          <w:szCs w:val="16"/>
          <w:lang w:val="pt-BR"/>
        </w:rPr>
        <w:t xml:space="preserve"> Vargas. – Rio de Janeiro; São Paulo: FGV, 2019.</w:t>
      </w:r>
      <w:r/>
    </w:p>
  </w:footnote>
  <w:footnote w:id="20">
    <w:p>
      <w:pPr>
        <w:jc w:val="both"/>
        <w:rPr>
          <w:color w:val="000000"/>
          <w:sz w:val="16"/>
          <w:szCs w:val="16"/>
          <w:lang w:val="en-US"/>
        </w:rPr>
        <w:pBdr>
          <w:top w:val="none" w:color="000000" w:sz="4" w:space="0"/>
          <w:left w:val="none" w:color="000000" w:sz="4" w:space="0"/>
          <w:bottom w:val="none" w:color="000000" w:sz="4" w:space="0"/>
          <w:right w:val="none" w:color="000000" w:sz="4" w:space="0"/>
          <w:between w:val="none" w:color="000000" w:sz="4" w:space="0"/>
        </w:pBdr>
      </w:pPr>
      <w:r>
        <w:rPr>
          <w:vertAlign w:val="superscript"/>
        </w:rPr>
        <w:footnoteRef/>
      </w:r>
      <w:r>
        <w:rPr>
          <w:color w:val="000000"/>
          <w:sz w:val="16"/>
          <w:szCs w:val="16"/>
          <w:lang w:val="pt-BR"/>
        </w:rPr>
        <w:t xml:space="preserve"> AMT Paiva. Das águas do rio, as mul</w:t>
      </w:r>
      <w:r>
        <w:rPr>
          <w:color w:val="000000"/>
          <w:sz w:val="16"/>
          <w:szCs w:val="16"/>
          <w:lang w:val="pt-BR"/>
        </w:rPr>
        <w:t xml:space="preserve">heres em movimento na defesa do Xingu: a resistência contra a construção da hidrelétrica de Belo Monte em Altamira - Oeste do Pará. 2010. 177 f. Dissertação (Mestrado) - Universidade Federal do Pará, Instituto de Filosofia e Ciências Humanas, Belém, 2010. </w:t>
      </w:r>
      <w:r>
        <w:rPr>
          <w:color w:val="000000"/>
          <w:sz w:val="16"/>
          <w:szCs w:val="16"/>
          <w:lang w:val="en-US"/>
        </w:rPr>
        <w:t xml:space="preserve">Programa</w:t>
      </w:r>
      <w:r>
        <w:rPr>
          <w:color w:val="000000"/>
          <w:sz w:val="16"/>
          <w:szCs w:val="16"/>
          <w:lang w:val="en-US"/>
        </w:rPr>
        <w:t xml:space="preserve"> de </w:t>
      </w:r>
      <w:r>
        <w:rPr>
          <w:color w:val="000000"/>
          <w:sz w:val="16"/>
          <w:szCs w:val="16"/>
          <w:lang w:val="en-US"/>
        </w:rPr>
        <w:t xml:space="preserve">Pós-Graduação</w:t>
      </w:r>
      <w:r>
        <w:rPr>
          <w:color w:val="000000"/>
          <w:sz w:val="16"/>
          <w:szCs w:val="16"/>
          <w:lang w:val="en-US"/>
        </w:rPr>
        <w:t xml:space="preserve"> </w:t>
      </w:r>
      <w:r>
        <w:rPr>
          <w:color w:val="000000"/>
          <w:sz w:val="16"/>
          <w:szCs w:val="16"/>
          <w:lang w:val="en-US"/>
        </w:rPr>
        <w:t xml:space="preserve">em</w:t>
      </w:r>
      <w:r>
        <w:rPr>
          <w:color w:val="000000"/>
          <w:sz w:val="16"/>
          <w:szCs w:val="16"/>
          <w:lang w:val="en-US"/>
        </w:rPr>
        <w:t xml:space="preserve"> </w:t>
      </w:r>
      <w:r>
        <w:rPr>
          <w:color w:val="000000"/>
          <w:sz w:val="16"/>
          <w:szCs w:val="16"/>
          <w:lang w:val="en-US"/>
        </w:rPr>
        <w:t xml:space="preserve">Ciências</w:t>
      </w:r>
      <w:r>
        <w:rPr>
          <w:color w:val="000000"/>
          <w:sz w:val="16"/>
          <w:szCs w:val="16"/>
          <w:lang w:val="en-US"/>
        </w:rPr>
        <w:t xml:space="preserve"> </w:t>
      </w:r>
      <w:r>
        <w:rPr>
          <w:color w:val="000000"/>
          <w:sz w:val="16"/>
          <w:szCs w:val="16"/>
          <w:lang w:val="en-US"/>
        </w:rPr>
        <w:t xml:space="preserve">Sociais</w:t>
      </w:r>
      <w:r>
        <w:rPr>
          <w:color w:val="000000"/>
          <w:sz w:val="16"/>
          <w:szCs w:val="16"/>
          <w:lang w:val="en-US"/>
        </w:rPr>
        <w:t xml:space="preserve">.</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252" w:leader="none"/>
        <w:tab w:val="right" w:pos="8504" w:leader="none"/>
      </w:tabs>
      <w:rPr>
        <w:rFonts w:ascii="Calibri" w:hAnsi="Calibri" w:eastAsia="Calibri" w:cs="Calibri"/>
        <w:color w:val="000000"/>
        <w:sz w:val="22"/>
        <w:szCs w:val="22"/>
      </w:rPr>
      <w:pBdr>
        <w:top w:val="none" w:color="000000" w:sz="4" w:space="0"/>
        <w:left w:val="none" w:color="000000" w:sz="4" w:space="0"/>
        <w:bottom w:val="none" w:color="000000" w:sz="4" w:space="0"/>
        <w:right w:val="none" w:color="000000" w:sz="4" w:space="0"/>
        <w:between w:val="none" w:color="000000" w:sz="4" w:space="0"/>
      </w:pBdr>
    </w:pPr>
    <w:r>
      <w:rPr>
        <w:rFonts w:ascii="Calibri" w:hAnsi="Calibri" w:eastAsia="Calibri" w:cs="Calibri"/>
        <w:color w:val="000000"/>
        <w:sz w:val="22"/>
        <w:szCs w:val="22"/>
        <w:lang w:val="pt-BR"/>
      </w:rPr>
      <mc:AlternateContent>
        <mc:Choice Requires="wpg">
          <w:drawing>
            <wp:inline xmlns:wp="http://schemas.openxmlformats.org/drawingml/2006/wordprocessingDrawing" distT="0" distB="0" distL="0" distR="0">
              <wp:extent cx="805439" cy="71284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ic:nvPr/>
                    </pic:nvPicPr>
                    <pic:blipFill>
                      <a:blip r:embed="rId1"/>
                      <a:stretch/>
                    </pic:blipFill>
                    <pic:spPr bwMode="auto">
                      <a:xfrm>
                        <a:off x="0" y="0"/>
                        <a:ext cx="805438" cy="712840"/>
                      </a:xfrm>
                      <a:prstGeom prst="rect">
                        <a:avLst/>
                      </a:prstGeom>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3.4pt;height:56.1pt;mso-wrap-distance-left:0.0pt;mso-wrap-distance-top:0.0pt;mso-wrap-distance-right:0.0pt;mso-wrap-distance-bottom:0.0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isLgl w:val="false"/>
      <w:suff w:val="tab"/>
      <w:lvlText w:val="%1."/>
      <w:lvlJc w:val="left"/>
      <w:pPr>
        <w:ind w:left="6031" w:hanging="360"/>
      </w:pPr>
    </w:lvl>
    <w:lvl w:ilvl="1">
      <w:start w:val="1"/>
      <w:numFmt w:val="lowerLetter"/>
      <w:isLgl w:val="false"/>
      <w:suff w:val="tab"/>
      <w:lvlText w:val="%2."/>
      <w:lvlJc w:val="left"/>
      <w:pPr>
        <w:ind w:left="2073" w:hanging="360"/>
      </w:pPr>
    </w:lvl>
    <w:lvl w:ilvl="2">
      <w:start w:val="1"/>
      <w:numFmt w:val="lowerRoman"/>
      <w:isLgl w:val="false"/>
      <w:suff w:val="tab"/>
      <w:lvlText w:val="%3."/>
      <w:lvlJc w:val="right"/>
      <w:pPr>
        <w:ind w:left="2793" w:hanging="180"/>
      </w:pPr>
    </w:lvl>
    <w:lvl w:ilvl="3">
      <w:start w:val="1"/>
      <w:numFmt w:val="decimal"/>
      <w:isLgl w:val="false"/>
      <w:suff w:val="tab"/>
      <w:lvlText w:val="%4."/>
      <w:lvlJc w:val="left"/>
      <w:pPr>
        <w:ind w:left="3513" w:hanging="360"/>
      </w:pPr>
    </w:lvl>
    <w:lvl w:ilvl="4">
      <w:start w:val="1"/>
      <w:numFmt w:val="lowerLetter"/>
      <w:isLgl w:val="false"/>
      <w:suff w:val="tab"/>
      <w:lvlText w:val="%5."/>
      <w:lvlJc w:val="left"/>
      <w:pPr>
        <w:ind w:left="4233" w:hanging="360"/>
      </w:pPr>
    </w:lvl>
    <w:lvl w:ilvl="5">
      <w:start w:val="1"/>
      <w:numFmt w:val="lowerRoman"/>
      <w:isLgl w:val="false"/>
      <w:suff w:val="tab"/>
      <w:lvlText w:val="%6."/>
      <w:lvlJc w:val="right"/>
      <w:pPr>
        <w:ind w:left="4953" w:hanging="180"/>
      </w:pPr>
    </w:lvl>
    <w:lvl w:ilvl="6">
      <w:start w:val="1"/>
      <w:numFmt w:val="decimal"/>
      <w:isLgl w:val="false"/>
      <w:suff w:val="tab"/>
      <w:lvlText w:val="%7."/>
      <w:lvlJc w:val="left"/>
      <w:pPr>
        <w:ind w:left="5673" w:hanging="360"/>
      </w:pPr>
    </w:lvl>
    <w:lvl w:ilvl="7">
      <w:start w:val="1"/>
      <w:numFmt w:val="lowerLetter"/>
      <w:isLgl w:val="false"/>
      <w:suff w:val="tab"/>
      <w:lvlText w:val="%8."/>
      <w:lvlJc w:val="left"/>
      <w:pPr>
        <w:ind w:left="6393" w:hanging="360"/>
      </w:pPr>
    </w:lvl>
    <w:lvl w:ilvl="8">
      <w:start w:val="1"/>
      <w:numFmt w:val="lowerRoman"/>
      <w:isLgl w:val="false"/>
      <w:suff w:val="tab"/>
      <w:lvlText w:val="%9."/>
      <w:lvlJc w:val="right"/>
      <w:pPr>
        <w:ind w:left="7113" w:hanging="180"/>
      </w:pPr>
    </w:lvl>
  </w:abstractNum>
  <w:abstractNum w:abstractNumId="2">
    <w:multiLevelType w:val="hybridMultilevel"/>
    <w:lvl w:ilvl="0">
      <w:start w:val="1"/>
      <w:numFmt w:val="upperRoman"/>
      <w:isLgl w:val="false"/>
      <w:suff w:val="tab"/>
      <w:lvlText w:val="%1."/>
      <w:lvlJc w:val="left"/>
      <w:pPr>
        <w:ind w:left="1080" w:hanging="72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sz w:val="24"/>
        <w:szCs w:val="24"/>
        <w:lang w:val="es-ES" w:eastAsia="pt-BR"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7">
    <w:name w:val="Heading 1 Char"/>
    <w:basedOn w:val="1134"/>
    <w:link w:val="1128"/>
    <w:uiPriority w:val="9"/>
    <w:rPr>
      <w:rFonts w:ascii="Arial" w:hAnsi="Arial" w:eastAsia="Arial" w:cs="Arial"/>
      <w:sz w:val="40"/>
      <w:szCs w:val="40"/>
    </w:rPr>
  </w:style>
  <w:style w:type="character" w:styleId="958">
    <w:name w:val="Heading 2 Char"/>
    <w:basedOn w:val="1134"/>
    <w:link w:val="1129"/>
    <w:uiPriority w:val="9"/>
    <w:rPr>
      <w:rFonts w:ascii="Arial" w:hAnsi="Arial" w:eastAsia="Arial" w:cs="Arial"/>
      <w:sz w:val="34"/>
    </w:rPr>
  </w:style>
  <w:style w:type="character" w:styleId="959">
    <w:name w:val="Heading 3 Char"/>
    <w:basedOn w:val="1134"/>
    <w:link w:val="1130"/>
    <w:uiPriority w:val="9"/>
    <w:rPr>
      <w:rFonts w:ascii="Arial" w:hAnsi="Arial" w:eastAsia="Arial" w:cs="Arial"/>
      <w:sz w:val="30"/>
      <w:szCs w:val="30"/>
    </w:rPr>
  </w:style>
  <w:style w:type="character" w:styleId="960">
    <w:name w:val="Heading 4 Char"/>
    <w:basedOn w:val="1134"/>
    <w:link w:val="1131"/>
    <w:uiPriority w:val="9"/>
    <w:rPr>
      <w:rFonts w:ascii="Arial" w:hAnsi="Arial" w:eastAsia="Arial" w:cs="Arial"/>
      <w:b/>
      <w:bCs/>
      <w:sz w:val="26"/>
      <w:szCs w:val="26"/>
    </w:rPr>
  </w:style>
  <w:style w:type="character" w:styleId="961">
    <w:name w:val="Heading 5 Char"/>
    <w:basedOn w:val="1134"/>
    <w:link w:val="1132"/>
    <w:uiPriority w:val="9"/>
    <w:rPr>
      <w:rFonts w:ascii="Arial" w:hAnsi="Arial" w:eastAsia="Arial" w:cs="Arial"/>
      <w:b/>
      <w:bCs/>
      <w:sz w:val="24"/>
      <w:szCs w:val="24"/>
    </w:rPr>
  </w:style>
  <w:style w:type="character" w:styleId="962">
    <w:name w:val="Heading 6 Char"/>
    <w:basedOn w:val="1134"/>
    <w:link w:val="1133"/>
    <w:uiPriority w:val="9"/>
    <w:rPr>
      <w:rFonts w:ascii="Arial" w:hAnsi="Arial" w:eastAsia="Arial" w:cs="Arial"/>
      <w:b/>
      <w:bCs/>
      <w:sz w:val="22"/>
      <w:szCs w:val="22"/>
    </w:rPr>
  </w:style>
  <w:style w:type="paragraph" w:styleId="963">
    <w:name w:val="Heading 7"/>
    <w:basedOn w:val="1127"/>
    <w:next w:val="1127"/>
    <w:link w:val="964"/>
    <w:uiPriority w:val="9"/>
    <w:unhideWhenUsed/>
    <w:qFormat/>
    <w:pPr>
      <w:keepLines/>
      <w:keepNext/>
      <w:spacing w:before="320" w:after="200"/>
      <w:outlineLvl w:val="6"/>
    </w:pPr>
    <w:rPr>
      <w:rFonts w:ascii="Arial" w:hAnsi="Arial" w:eastAsia="Arial" w:cs="Arial"/>
      <w:b/>
      <w:bCs/>
      <w:i/>
      <w:iCs/>
      <w:sz w:val="22"/>
      <w:szCs w:val="22"/>
    </w:rPr>
  </w:style>
  <w:style w:type="character" w:styleId="964">
    <w:name w:val="Heading 7 Char"/>
    <w:basedOn w:val="1134"/>
    <w:link w:val="963"/>
    <w:uiPriority w:val="9"/>
    <w:rPr>
      <w:rFonts w:ascii="Arial" w:hAnsi="Arial" w:eastAsia="Arial" w:cs="Arial"/>
      <w:b/>
      <w:bCs/>
      <w:i/>
      <w:iCs/>
      <w:sz w:val="22"/>
      <w:szCs w:val="22"/>
    </w:rPr>
  </w:style>
  <w:style w:type="paragraph" w:styleId="965">
    <w:name w:val="Heading 8"/>
    <w:basedOn w:val="1127"/>
    <w:next w:val="1127"/>
    <w:link w:val="966"/>
    <w:uiPriority w:val="9"/>
    <w:unhideWhenUsed/>
    <w:qFormat/>
    <w:pPr>
      <w:keepLines/>
      <w:keepNext/>
      <w:spacing w:before="320" w:after="200"/>
      <w:outlineLvl w:val="7"/>
    </w:pPr>
    <w:rPr>
      <w:rFonts w:ascii="Arial" w:hAnsi="Arial" w:eastAsia="Arial" w:cs="Arial"/>
      <w:i/>
      <w:iCs/>
      <w:sz w:val="22"/>
      <w:szCs w:val="22"/>
    </w:rPr>
  </w:style>
  <w:style w:type="character" w:styleId="966">
    <w:name w:val="Heading 8 Char"/>
    <w:basedOn w:val="1134"/>
    <w:link w:val="965"/>
    <w:uiPriority w:val="9"/>
    <w:rPr>
      <w:rFonts w:ascii="Arial" w:hAnsi="Arial" w:eastAsia="Arial" w:cs="Arial"/>
      <w:i/>
      <w:iCs/>
      <w:sz w:val="22"/>
      <w:szCs w:val="22"/>
    </w:rPr>
  </w:style>
  <w:style w:type="paragraph" w:styleId="967">
    <w:name w:val="Heading 9"/>
    <w:basedOn w:val="1127"/>
    <w:next w:val="1127"/>
    <w:link w:val="968"/>
    <w:uiPriority w:val="9"/>
    <w:unhideWhenUsed/>
    <w:qFormat/>
    <w:pPr>
      <w:keepLines/>
      <w:keepNext/>
      <w:spacing w:before="320" w:after="200"/>
      <w:outlineLvl w:val="8"/>
    </w:pPr>
    <w:rPr>
      <w:rFonts w:ascii="Arial" w:hAnsi="Arial" w:eastAsia="Arial" w:cs="Arial"/>
      <w:i/>
      <w:iCs/>
      <w:sz w:val="21"/>
      <w:szCs w:val="21"/>
    </w:rPr>
  </w:style>
  <w:style w:type="character" w:styleId="968">
    <w:name w:val="Heading 9 Char"/>
    <w:basedOn w:val="1134"/>
    <w:link w:val="967"/>
    <w:uiPriority w:val="9"/>
    <w:rPr>
      <w:rFonts w:ascii="Arial" w:hAnsi="Arial" w:eastAsia="Arial" w:cs="Arial"/>
      <w:i/>
      <w:iCs/>
      <w:sz w:val="21"/>
      <w:szCs w:val="21"/>
    </w:rPr>
  </w:style>
  <w:style w:type="paragraph" w:styleId="969">
    <w:name w:val="List Paragraph"/>
    <w:basedOn w:val="1127"/>
    <w:uiPriority w:val="34"/>
    <w:qFormat/>
    <w:pPr>
      <w:contextualSpacing/>
      <w:ind w:left="720"/>
    </w:pPr>
  </w:style>
  <w:style w:type="paragraph" w:styleId="970">
    <w:name w:val="No Spacing"/>
    <w:uiPriority w:val="1"/>
    <w:qFormat/>
    <w:pPr>
      <w:spacing w:before="0" w:after="0" w:line="240" w:lineRule="auto"/>
    </w:pPr>
  </w:style>
  <w:style w:type="character" w:styleId="971">
    <w:name w:val="Title Char"/>
    <w:basedOn w:val="1134"/>
    <w:link w:val="1138"/>
    <w:uiPriority w:val="10"/>
    <w:rPr>
      <w:sz w:val="48"/>
      <w:szCs w:val="48"/>
    </w:rPr>
  </w:style>
  <w:style w:type="character" w:styleId="972">
    <w:name w:val="Subtitle Char"/>
    <w:basedOn w:val="1134"/>
    <w:link w:val="1139"/>
    <w:uiPriority w:val="11"/>
    <w:rPr>
      <w:sz w:val="24"/>
      <w:szCs w:val="24"/>
    </w:rPr>
  </w:style>
  <w:style w:type="paragraph" w:styleId="973">
    <w:name w:val="Quote"/>
    <w:basedOn w:val="1127"/>
    <w:next w:val="1127"/>
    <w:link w:val="974"/>
    <w:uiPriority w:val="29"/>
    <w:qFormat/>
    <w:pPr>
      <w:ind w:left="720" w:right="720"/>
    </w:pPr>
    <w:rPr>
      <w:i/>
    </w:rPr>
  </w:style>
  <w:style w:type="character" w:styleId="974">
    <w:name w:val="Quote Char"/>
    <w:link w:val="973"/>
    <w:uiPriority w:val="29"/>
    <w:rPr>
      <w:i/>
    </w:rPr>
  </w:style>
  <w:style w:type="paragraph" w:styleId="975">
    <w:name w:val="Intense Quote"/>
    <w:basedOn w:val="1127"/>
    <w:next w:val="1127"/>
    <w:link w:val="9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6">
    <w:name w:val="Intense Quote Char"/>
    <w:link w:val="975"/>
    <w:uiPriority w:val="30"/>
    <w:rPr>
      <w:i/>
    </w:rPr>
  </w:style>
  <w:style w:type="paragraph" w:styleId="977">
    <w:name w:val="Header"/>
    <w:basedOn w:val="1127"/>
    <w:link w:val="978"/>
    <w:uiPriority w:val="99"/>
    <w:unhideWhenUsed/>
    <w:pPr>
      <w:spacing w:after="0" w:line="240" w:lineRule="auto"/>
      <w:tabs>
        <w:tab w:val="center" w:pos="7143" w:leader="none"/>
        <w:tab w:val="right" w:pos="14287" w:leader="none"/>
      </w:tabs>
    </w:pPr>
  </w:style>
  <w:style w:type="character" w:styleId="978">
    <w:name w:val="Header Char"/>
    <w:basedOn w:val="1134"/>
    <w:link w:val="977"/>
    <w:uiPriority w:val="99"/>
  </w:style>
  <w:style w:type="paragraph" w:styleId="979">
    <w:name w:val="Footer"/>
    <w:basedOn w:val="1127"/>
    <w:link w:val="982"/>
    <w:uiPriority w:val="99"/>
    <w:unhideWhenUsed/>
    <w:pPr>
      <w:spacing w:after="0" w:line="240" w:lineRule="auto"/>
      <w:tabs>
        <w:tab w:val="center" w:pos="7143" w:leader="none"/>
        <w:tab w:val="right" w:pos="14287" w:leader="none"/>
      </w:tabs>
    </w:pPr>
  </w:style>
  <w:style w:type="character" w:styleId="980">
    <w:name w:val="Footer Char"/>
    <w:basedOn w:val="1134"/>
    <w:link w:val="979"/>
    <w:uiPriority w:val="99"/>
  </w:style>
  <w:style w:type="paragraph" w:styleId="981">
    <w:name w:val="Caption"/>
    <w:basedOn w:val="1127"/>
    <w:next w:val="1127"/>
    <w:uiPriority w:val="35"/>
    <w:semiHidden/>
    <w:unhideWhenUsed/>
    <w:qFormat/>
    <w:pPr>
      <w:spacing w:line="276" w:lineRule="auto"/>
    </w:pPr>
    <w:rPr>
      <w:b/>
      <w:bCs/>
      <w:color w:val="4f81bd" w:themeColor="accent1"/>
      <w:sz w:val="18"/>
      <w:szCs w:val="18"/>
    </w:rPr>
  </w:style>
  <w:style w:type="character" w:styleId="982">
    <w:name w:val="Caption Char"/>
    <w:basedOn w:val="981"/>
    <w:link w:val="979"/>
    <w:uiPriority w:val="99"/>
  </w:style>
  <w:style w:type="table" w:styleId="983">
    <w:name w:val="Table Grid"/>
    <w:basedOn w:val="113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4">
    <w:name w:val="Table Grid Light"/>
    <w:basedOn w:val="11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5">
    <w:name w:val="Plain Table 1"/>
    <w:basedOn w:val="11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name w:val="Plain Table 2"/>
    <w:basedOn w:val="11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name w:val="Plain Table 3"/>
    <w:basedOn w:val="11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name w:val="Plain Table 4"/>
    <w:basedOn w:val="11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name w:val="Plain Table 5"/>
    <w:basedOn w:val="11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0">
    <w:name w:val="Grid Table 1 Light"/>
    <w:basedOn w:val="11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1">
    <w:name w:val="Grid Table 1 Light - Accent 1"/>
    <w:basedOn w:val="11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2">
    <w:name w:val="Grid Table 1 Light - Accent 2"/>
    <w:basedOn w:val="11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3">
    <w:name w:val="Grid Table 1 Light - Accent 3"/>
    <w:basedOn w:val="11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4">
    <w:name w:val="Grid Table 1 Light - Accent 4"/>
    <w:basedOn w:val="11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5">
    <w:name w:val="Grid Table 1 Light - Accent 5"/>
    <w:basedOn w:val="11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6">
    <w:name w:val="Grid Table 1 Light - Accent 6"/>
    <w:basedOn w:val="11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7">
    <w:name w:val="Grid Table 2"/>
    <w:basedOn w:val="11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8">
    <w:name w:val="Grid Table 2 - Accent 1"/>
    <w:basedOn w:val="11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9">
    <w:name w:val="Grid Table 2 - Accent 2"/>
    <w:basedOn w:val="11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0">
    <w:name w:val="Grid Table 2 - Accent 3"/>
    <w:basedOn w:val="11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1">
    <w:name w:val="Grid Table 2 - Accent 4"/>
    <w:basedOn w:val="11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2">
    <w:name w:val="Grid Table 2 - Accent 5"/>
    <w:basedOn w:val="11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3">
    <w:name w:val="Grid Table 2 - Accent 6"/>
    <w:basedOn w:val="11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4">
    <w:name w:val="Grid Table 3"/>
    <w:basedOn w:val="11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1"/>
    <w:basedOn w:val="11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2"/>
    <w:basedOn w:val="11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3"/>
    <w:basedOn w:val="11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4"/>
    <w:basedOn w:val="11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5"/>
    <w:basedOn w:val="11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6"/>
    <w:basedOn w:val="11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4"/>
    <w:basedOn w:val="11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name w:val="Grid Table 4 - Accent 1"/>
    <w:basedOn w:val="11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3">
    <w:name w:val="Grid Table 4 - Accent 2"/>
    <w:basedOn w:val="11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4">
    <w:name w:val="Grid Table 4 - Accent 3"/>
    <w:basedOn w:val="11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5">
    <w:name w:val="Grid Table 4 - Accent 4"/>
    <w:basedOn w:val="11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6">
    <w:name w:val="Grid Table 4 - Accent 5"/>
    <w:basedOn w:val="11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7">
    <w:name w:val="Grid Table 4 - Accent 6"/>
    <w:basedOn w:val="11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8">
    <w:name w:val="Grid Table 5 Dark"/>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9">
    <w:name w:val="Grid Table 5 Dark- Accent 1"/>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0">
    <w:name w:val="Grid Table 5 Dark - Accent 2"/>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1">
    <w:name w:val="Grid Table 5 Dark - Accent 3"/>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2">
    <w:name w:val="Grid Table 5 Dark- Accent 4"/>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3">
    <w:name w:val="Grid Table 5 Dark - Accent 5"/>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4">
    <w:name w:val="Grid Table 5 Dark - Accent 6"/>
    <w:basedOn w:val="11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5">
    <w:name w:val="Grid Table 6 Colorful"/>
    <w:basedOn w:val="11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6">
    <w:name w:val="Grid Table 6 Colorful - Accent 1"/>
    <w:basedOn w:val="11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7">
    <w:name w:val="Grid Table 6 Colorful - Accent 2"/>
    <w:basedOn w:val="11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8">
    <w:name w:val="Grid Table 6 Colorful - Accent 3"/>
    <w:basedOn w:val="11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9">
    <w:name w:val="Grid Table 6 Colorful - Accent 4"/>
    <w:basedOn w:val="11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0">
    <w:name w:val="Grid Table 6 Colorful - Accent 5"/>
    <w:basedOn w:val="11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1">
    <w:name w:val="Grid Table 6 Colorful - Accent 6"/>
    <w:basedOn w:val="11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2">
    <w:name w:val="Grid Table 7 Colorful"/>
    <w:basedOn w:val="11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3">
    <w:name w:val="Grid Table 7 Colorful - Accent 1"/>
    <w:basedOn w:val="11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4">
    <w:name w:val="Grid Table 7 Colorful - Accent 2"/>
    <w:basedOn w:val="11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5">
    <w:name w:val="Grid Table 7 Colorful - Accent 3"/>
    <w:basedOn w:val="11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6">
    <w:name w:val="Grid Table 7 Colorful - Accent 4"/>
    <w:basedOn w:val="11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7">
    <w:name w:val="Grid Table 7 Colorful - Accent 5"/>
    <w:basedOn w:val="11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8">
    <w:name w:val="Grid Table 7 Colorful - Accent 6"/>
    <w:basedOn w:val="11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9">
    <w:name w:val="List Table 1 Light"/>
    <w:basedOn w:val="11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name w:val="List Table 1 Light - Accent 1"/>
    <w:basedOn w:val="11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1">
    <w:name w:val="List Table 1 Light - Accent 2"/>
    <w:basedOn w:val="11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2">
    <w:name w:val="List Table 1 Light - Accent 3"/>
    <w:basedOn w:val="11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3">
    <w:name w:val="List Table 1 Light - Accent 4"/>
    <w:basedOn w:val="11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4">
    <w:name w:val="List Table 1 Light - Accent 5"/>
    <w:basedOn w:val="11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5">
    <w:name w:val="List Table 1 Light - Accent 6"/>
    <w:basedOn w:val="11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6">
    <w:name w:val="List Table 2"/>
    <w:basedOn w:val="11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7">
    <w:name w:val="List Table 2 - Accent 1"/>
    <w:basedOn w:val="11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8">
    <w:name w:val="List Table 2 - Accent 2"/>
    <w:basedOn w:val="11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9">
    <w:name w:val="List Table 2 - Accent 3"/>
    <w:basedOn w:val="11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0">
    <w:name w:val="List Table 2 - Accent 4"/>
    <w:basedOn w:val="11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1">
    <w:name w:val="List Table 2 - Accent 5"/>
    <w:basedOn w:val="11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2">
    <w:name w:val="List Table 2 - Accent 6"/>
    <w:basedOn w:val="11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3">
    <w:name w:val="List Table 3"/>
    <w:basedOn w:val="11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4">
    <w:name w:val="List Table 3 - Accent 1"/>
    <w:basedOn w:val="11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5">
    <w:name w:val="List Table 3 - Accent 2"/>
    <w:basedOn w:val="11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6">
    <w:name w:val="List Table 3 - Accent 3"/>
    <w:basedOn w:val="11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7">
    <w:name w:val="List Table 3 - Accent 4"/>
    <w:basedOn w:val="11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8">
    <w:name w:val="List Table 3 - Accent 5"/>
    <w:basedOn w:val="11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9">
    <w:name w:val="List Table 3 - Accent 6"/>
    <w:basedOn w:val="11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0">
    <w:name w:val="List Table 4"/>
    <w:basedOn w:val="11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1">
    <w:name w:val="List Table 4 - Accent 1"/>
    <w:basedOn w:val="11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2">
    <w:name w:val="List Table 4 - Accent 2"/>
    <w:basedOn w:val="11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3">
    <w:name w:val="List Table 4 - Accent 3"/>
    <w:basedOn w:val="11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4">
    <w:name w:val="List Table 4 - Accent 4"/>
    <w:basedOn w:val="11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5">
    <w:name w:val="List Table 4 - Accent 5"/>
    <w:basedOn w:val="11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6">
    <w:name w:val="List Table 4 - Accent 6"/>
    <w:basedOn w:val="11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7">
    <w:name w:val="List Table 5 Dark"/>
    <w:basedOn w:val="11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1"/>
    <w:basedOn w:val="11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2"/>
    <w:basedOn w:val="11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3"/>
    <w:basedOn w:val="11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4"/>
    <w:basedOn w:val="11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5"/>
    <w:basedOn w:val="11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6"/>
    <w:basedOn w:val="11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6 Colorful"/>
    <w:basedOn w:val="11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5">
    <w:name w:val="List Table 6 Colorful - Accent 1"/>
    <w:basedOn w:val="11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6">
    <w:name w:val="List Table 6 Colorful - Accent 2"/>
    <w:basedOn w:val="11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7">
    <w:name w:val="List Table 6 Colorful - Accent 3"/>
    <w:basedOn w:val="11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8">
    <w:name w:val="List Table 6 Colorful - Accent 4"/>
    <w:basedOn w:val="11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9">
    <w:name w:val="List Table 6 Colorful - Accent 5"/>
    <w:basedOn w:val="11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0">
    <w:name w:val="List Table 6 Colorful - Accent 6"/>
    <w:basedOn w:val="11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1">
    <w:name w:val="List Table 7 Colorful"/>
    <w:basedOn w:val="11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2">
    <w:name w:val="List Table 7 Colorful - Accent 1"/>
    <w:basedOn w:val="11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3">
    <w:name w:val="List Table 7 Colorful - Accent 2"/>
    <w:basedOn w:val="11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4">
    <w:name w:val="List Table 7 Colorful - Accent 3"/>
    <w:basedOn w:val="11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5">
    <w:name w:val="List Table 7 Colorful - Accent 4"/>
    <w:basedOn w:val="11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6">
    <w:name w:val="List Table 7 Colorful - Accent 5"/>
    <w:basedOn w:val="11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7">
    <w:name w:val="List Table 7 Colorful - Accent 6"/>
    <w:basedOn w:val="11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8">
    <w:name w:val="Lined - Accent"/>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9">
    <w:name w:val="Lined - Accent 1"/>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0">
    <w:name w:val="Lined - Accent 2"/>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1">
    <w:name w:val="Lined - Accent 3"/>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2">
    <w:name w:val="Lined - Accent 4"/>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3">
    <w:name w:val="Lined - Accent 5"/>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4">
    <w:name w:val="Lined - Accent 6"/>
    <w:basedOn w:val="11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5">
    <w:name w:val="Bordered &amp; Lined - Accent"/>
    <w:basedOn w:val="11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6">
    <w:name w:val="Bordered &amp; Lined - Accent 1"/>
    <w:basedOn w:val="11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7">
    <w:name w:val="Bordered &amp; Lined - Accent 2"/>
    <w:basedOn w:val="11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8">
    <w:name w:val="Bordered &amp; Lined - Accent 3"/>
    <w:basedOn w:val="11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9">
    <w:name w:val="Bordered &amp; Lined - Accent 4"/>
    <w:basedOn w:val="11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0">
    <w:name w:val="Bordered &amp; Lined - Accent 5"/>
    <w:basedOn w:val="11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1">
    <w:name w:val="Bordered &amp; Lined - Accent 6"/>
    <w:basedOn w:val="11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2">
    <w:name w:val="Bordered"/>
    <w:basedOn w:val="11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3">
    <w:name w:val="Bordered - Accent 1"/>
    <w:basedOn w:val="11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4">
    <w:name w:val="Bordered - Accent 2"/>
    <w:basedOn w:val="11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5">
    <w:name w:val="Bordered - Accent 3"/>
    <w:basedOn w:val="11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6">
    <w:name w:val="Bordered - Accent 4"/>
    <w:basedOn w:val="11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7">
    <w:name w:val="Bordered - Accent 5"/>
    <w:basedOn w:val="11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8">
    <w:name w:val="Bordered - Accent 6"/>
    <w:basedOn w:val="11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9">
    <w:name w:val="Hyperlink"/>
    <w:uiPriority w:val="99"/>
    <w:unhideWhenUsed/>
    <w:rPr>
      <w:color w:val="0000ff" w:themeColor="hyperlink"/>
      <w:u w:val="single"/>
    </w:rPr>
  </w:style>
  <w:style w:type="paragraph" w:styleId="1110">
    <w:name w:val="footnote text"/>
    <w:basedOn w:val="1127"/>
    <w:link w:val="1111"/>
    <w:uiPriority w:val="99"/>
    <w:semiHidden/>
    <w:unhideWhenUsed/>
    <w:pPr>
      <w:spacing w:after="40" w:line="240" w:lineRule="auto"/>
    </w:pPr>
    <w:rPr>
      <w:sz w:val="18"/>
    </w:rPr>
  </w:style>
  <w:style w:type="character" w:styleId="1111">
    <w:name w:val="Footnote Text Char"/>
    <w:link w:val="1110"/>
    <w:uiPriority w:val="99"/>
    <w:rPr>
      <w:sz w:val="18"/>
    </w:rPr>
  </w:style>
  <w:style w:type="character" w:styleId="1112">
    <w:name w:val="footnote reference"/>
    <w:basedOn w:val="1134"/>
    <w:uiPriority w:val="99"/>
    <w:unhideWhenUsed/>
    <w:rPr>
      <w:vertAlign w:val="superscript"/>
    </w:rPr>
  </w:style>
  <w:style w:type="paragraph" w:styleId="1113">
    <w:name w:val="endnote text"/>
    <w:basedOn w:val="1127"/>
    <w:link w:val="1114"/>
    <w:uiPriority w:val="99"/>
    <w:semiHidden/>
    <w:unhideWhenUsed/>
    <w:pPr>
      <w:spacing w:after="0" w:line="240" w:lineRule="auto"/>
    </w:pPr>
    <w:rPr>
      <w:sz w:val="20"/>
    </w:rPr>
  </w:style>
  <w:style w:type="character" w:styleId="1114">
    <w:name w:val="Endnote Text Char"/>
    <w:link w:val="1113"/>
    <w:uiPriority w:val="99"/>
    <w:rPr>
      <w:sz w:val="20"/>
    </w:rPr>
  </w:style>
  <w:style w:type="character" w:styleId="1115">
    <w:name w:val="endnote reference"/>
    <w:basedOn w:val="1134"/>
    <w:uiPriority w:val="99"/>
    <w:semiHidden/>
    <w:unhideWhenUsed/>
    <w:rPr>
      <w:vertAlign w:val="superscript"/>
    </w:rPr>
  </w:style>
  <w:style w:type="paragraph" w:styleId="1116">
    <w:name w:val="toc 1"/>
    <w:basedOn w:val="1127"/>
    <w:next w:val="1127"/>
    <w:uiPriority w:val="39"/>
    <w:unhideWhenUsed/>
    <w:pPr>
      <w:ind w:left="0" w:right="0" w:firstLine="0"/>
      <w:spacing w:after="57"/>
    </w:pPr>
  </w:style>
  <w:style w:type="paragraph" w:styleId="1117">
    <w:name w:val="toc 2"/>
    <w:basedOn w:val="1127"/>
    <w:next w:val="1127"/>
    <w:uiPriority w:val="39"/>
    <w:unhideWhenUsed/>
    <w:pPr>
      <w:ind w:left="283" w:right="0" w:firstLine="0"/>
      <w:spacing w:after="57"/>
    </w:pPr>
  </w:style>
  <w:style w:type="paragraph" w:styleId="1118">
    <w:name w:val="toc 3"/>
    <w:basedOn w:val="1127"/>
    <w:next w:val="1127"/>
    <w:uiPriority w:val="39"/>
    <w:unhideWhenUsed/>
    <w:pPr>
      <w:ind w:left="567" w:right="0" w:firstLine="0"/>
      <w:spacing w:after="57"/>
    </w:pPr>
  </w:style>
  <w:style w:type="paragraph" w:styleId="1119">
    <w:name w:val="toc 4"/>
    <w:basedOn w:val="1127"/>
    <w:next w:val="1127"/>
    <w:uiPriority w:val="39"/>
    <w:unhideWhenUsed/>
    <w:pPr>
      <w:ind w:left="850" w:right="0" w:firstLine="0"/>
      <w:spacing w:after="57"/>
    </w:pPr>
  </w:style>
  <w:style w:type="paragraph" w:styleId="1120">
    <w:name w:val="toc 5"/>
    <w:basedOn w:val="1127"/>
    <w:next w:val="1127"/>
    <w:uiPriority w:val="39"/>
    <w:unhideWhenUsed/>
    <w:pPr>
      <w:ind w:left="1134" w:right="0" w:firstLine="0"/>
      <w:spacing w:after="57"/>
    </w:pPr>
  </w:style>
  <w:style w:type="paragraph" w:styleId="1121">
    <w:name w:val="toc 6"/>
    <w:basedOn w:val="1127"/>
    <w:next w:val="1127"/>
    <w:uiPriority w:val="39"/>
    <w:unhideWhenUsed/>
    <w:pPr>
      <w:ind w:left="1417" w:right="0" w:firstLine="0"/>
      <w:spacing w:after="57"/>
    </w:pPr>
  </w:style>
  <w:style w:type="paragraph" w:styleId="1122">
    <w:name w:val="toc 7"/>
    <w:basedOn w:val="1127"/>
    <w:next w:val="1127"/>
    <w:uiPriority w:val="39"/>
    <w:unhideWhenUsed/>
    <w:pPr>
      <w:ind w:left="1701" w:right="0" w:firstLine="0"/>
      <w:spacing w:after="57"/>
    </w:pPr>
  </w:style>
  <w:style w:type="paragraph" w:styleId="1123">
    <w:name w:val="toc 8"/>
    <w:basedOn w:val="1127"/>
    <w:next w:val="1127"/>
    <w:uiPriority w:val="39"/>
    <w:unhideWhenUsed/>
    <w:pPr>
      <w:ind w:left="1984" w:right="0" w:firstLine="0"/>
      <w:spacing w:after="57"/>
    </w:pPr>
  </w:style>
  <w:style w:type="paragraph" w:styleId="1124">
    <w:name w:val="toc 9"/>
    <w:basedOn w:val="1127"/>
    <w:next w:val="1127"/>
    <w:uiPriority w:val="39"/>
    <w:unhideWhenUsed/>
    <w:pPr>
      <w:ind w:left="2268" w:right="0" w:firstLine="0"/>
      <w:spacing w:after="57"/>
    </w:pPr>
  </w:style>
  <w:style w:type="paragraph" w:styleId="1125">
    <w:name w:val="TOC Heading"/>
    <w:uiPriority w:val="39"/>
    <w:unhideWhenUsed/>
  </w:style>
  <w:style w:type="paragraph" w:styleId="1126">
    <w:name w:val="table of figures"/>
    <w:basedOn w:val="1127"/>
    <w:next w:val="1127"/>
    <w:uiPriority w:val="99"/>
    <w:unhideWhenUsed/>
    <w:pPr>
      <w:spacing w:after="0" w:afterAutospacing="0"/>
    </w:pPr>
  </w:style>
  <w:style w:type="paragraph" w:styleId="1127" w:default="1">
    <w:name w:val="Normal"/>
  </w:style>
  <w:style w:type="paragraph" w:styleId="1128">
    <w:name w:val="Heading 1"/>
    <w:basedOn w:val="1127"/>
    <w:next w:val="1127"/>
    <w:pPr>
      <w:keepLines/>
      <w:keepNext/>
      <w:spacing w:before="480" w:after="120"/>
      <w:outlineLvl w:val="0"/>
    </w:pPr>
    <w:rPr>
      <w:b/>
      <w:sz w:val="48"/>
      <w:szCs w:val="48"/>
    </w:rPr>
  </w:style>
  <w:style w:type="paragraph" w:styleId="1129">
    <w:name w:val="Heading 2"/>
    <w:basedOn w:val="1127"/>
    <w:next w:val="1127"/>
    <w:pPr>
      <w:keepLines/>
      <w:keepNext/>
      <w:spacing w:before="360" w:after="80"/>
      <w:outlineLvl w:val="1"/>
    </w:pPr>
    <w:rPr>
      <w:b/>
      <w:sz w:val="36"/>
      <w:szCs w:val="36"/>
    </w:rPr>
  </w:style>
  <w:style w:type="paragraph" w:styleId="1130">
    <w:name w:val="Heading 3"/>
    <w:basedOn w:val="1127"/>
    <w:next w:val="1127"/>
    <w:pPr>
      <w:keepLines/>
      <w:keepNext/>
      <w:spacing w:before="280" w:after="80"/>
      <w:outlineLvl w:val="2"/>
    </w:pPr>
    <w:rPr>
      <w:b/>
      <w:sz w:val="28"/>
      <w:szCs w:val="28"/>
    </w:rPr>
  </w:style>
  <w:style w:type="paragraph" w:styleId="1131">
    <w:name w:val="Heading 4"/>
    <w:basedOn w:val="1127"/>
    <w:next w:val="1127"/>
    <w:pPr>
      <w:keepLines/>
      <w:keepNext/>
      <w:spacing w:before="240" w:after="40"/>
      <w:outlineLvl w:val="3"/>
    </w:pPr>
    <w:rPr>
      <w:b/>
    </w:rPr>
  </w:style>
  <w:style w:type="paragraph" w:styleId="1132">
    <w:name w:val="Heading 5"/>
    <w:basedOn w:val="1127"/>
    <w:next w:val="1127"/>
    <w:pPr>
      <w:keepLines/>
      <w:keepNext/>
      <w:spacing w:before="220" w:after="40"/>
      <w:outlineLvl w:val="4"/>
    </w:pPr>
    <w:rPr>
      <w:b/>
      <w:sz w:val="22"/>
      <w:szCs w:val="22"/>
    </w:rPr>
  </w:style>
  <w:style w:type="paragraph" w:styleId="1133">
    <w:name w:val="Heading 6"/>
    <w:basedOn w:val="1127"/>
    <w:next w:val="1127"/>
    <w:pPr>
      <w:keepLines/>
      <w:keepNext/>
      <w:spacing w:before="200" w:after="40"/>
      <w:outlineLvl w:val="5"/>
    </w:pPr>
    <w:rPr>
      <w:b/>
      <w:sz w:val="20"/>
      <w:szCs w:val="20"/>
    </w:rPr>
  </w:style>
  <w:style w:type="character" w:styleId="1134" w:default="1">
    <w:name w:val="Default Paragraph Font"/>
    <w:uiPriority w:val="1"/>
    <w:semiHidden/>
    <w:unhideWhenUsed/>
  </w:style>
  <w:style w:type="table" w:styleId="1135" w:default="1">
    <w:name w:val="Normal Table"/>
    <w:uiPriority w:val="99"/>
    <w:semiHidden/>
    <w:unhideWhenUsed/>
    <w:tblPr>
      <w:tblInd w:w="0" w:type="dxa"/>
      <w:tblCellMar>
        <w:left w:w="108" w:type="dxa"/>
        <w:top w:w="0" w:type="dxa"/>
        <w:right w:w="108" w:type="dxa"/>
        <w:bottom w:w="0" w:type="dxa"/>
      </w:tblCellMar>
    </w:tblPr>
  </w:style>
  <w:style w:type="numbering" w:styleId="1136" w:default="1">
    <w:name w:val="No List"/>
    <w:uiPriority w:val="99"/>
    <w:semiHidden/>
    <w:unhideWhenUsed/>
  </w:style>
  <w:style w:type="table" w:styleId="1137" w:customStyle="1">
    <w:name w:val="Table Normal"/>
    <w:tblPr>
      <w:tblCellMar>
        <w:left w:w="0" w:type="dxa"/>
        <w:top w:w="0" w:type="dxa"/>
        <w:right w:w="0" w:type="dxa"/>
        <w:bottom w:w="0" w:type="dxa"/>
      </w:tblCellMar>
    </w:tblPr>
  </w:style>
  <w:style w:type="paragraph" w:styleId="1138">
    <w:name w:val="Title"/>
    <w:basedOn w:val="1127"/>
    <w:next w:val="1127"/>
    <w:pPr>
      <w:keepLines/>
      <w:keepNext/>
      <w:spacing w:before="480" w:after="120"/>
    </w:pPr>
    <w:rPr>
      <w:b/>
      <w:sz w:val="72"/>
      <w:szCs w:val="72"/>
    </w:rPr>
  </w:style>
  <w:style w:type="paragraph" w:styleId="1139">
    <w:name w:val="Subtitle"/>
    <w:basedOn w:val="1127"/>
    <w:next w:val="1127"/>
    <w:pPr>
      <w:keepLines/>
      <w:keepNext/>
      <w:spacing w:before="360" w:after="80"/>
    </w:pPr>
    <w:rPr>
      <w:rFonts w:ascii="Georgia" w:hAnsi="Georgia" w:eastAsia="Georgia" w:cs="Georgia"/>
      <w:i/>
      <w:color w:val="666666"/>
      <w:sz w:val="48"/>
      <w:szCs w:val="4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numbering" Target="numbering.xml"/><Relationship Id="rId11" Type="http://schemas.openxmlformats.org/officeDocument/2006/relationships/hyperlink" Target="http://ohchr-cedaw@un.org" TargetMode="External"/><Relationship Id="rId5" Type="http://schemas.openxmlformats.org/officeDocument/2006/relationships/theme" Target="theme/theme1.xml"/><Relationship Id="rId10" Type="http://schemas.openxmlformats.org/officeDocument/2006/relationships/hyperlink" Target="http://cedaw@ohchr.org" TargetMode="External"/><Relationship Id="rId4" Type="http://schemas.openxmlformats.org/officeDocument/2006/relationships/fontTable" Target="fontTable.xml"/><Relationship Id="rId9" Type="http://schemas.openxmlformats.org/officeDocument/2006/relationships/header" Target="header1.xml"/><Relationship Id="rId14" Type="http://schemas.openxmlformats.org/officeDocument/2006/relationships/customXml" Target="../customXml/item2.xm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860935-4863-427C-B36A-0DEBB94ADC9C}"/>
</file>

<file path=customXml/itemProps2.xml><?xml version="1.0" encoding="utf-8"?>
<ds:datastoreItem xmlns:ds="http://schemas.openxmlformats.org/officeDocument/2006/customXml" ds:itemID="{2013E43B-ABE4-4D3E-B5FA-1C6950B0825E}"/>
</file>

<file path=docProps/app.xml><?xml version="1.0" encoding="utf-8"?>
<Properties xmlns="http://schemas.openxmlformats.org/officeDocument/2006/extended-properties" xmlns:vt="http://schemas.openxmlformats.org/officeDocument/2006/docPropsVTypes">
  <Application>ONLYOFFICE/7.3.3.50</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Praça</dc:creator>
  <cp:revision>6</cp:revision>
  <dcterms:created xsi:type="dcterms:W3CDTF">2020-10-09T20:23:00Z</dcterms:created>
  <dcterms:modified xsi:type="dcterms:W3CDTF">2024-04-15T20:46:08Z</dcterms:modified>
</cp:coreProperties>
</file>