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04332" w:rsidRDefault="00000000">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Alternative Shadow Report to CEDAW Committees</w:t>
      </w:r>
    </w:p>
    <w:p w14:paraId="00000002" w14:textId="77777777" w:rsidR="00E04332" w:rsidRDefault="00000000">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For the 91st session of CEDAW in Geneva</w:t>
      </w:r>
    </w:p>
    <w:p w14:paraId="00000003" w14:textId="77777777" w:rsidR="00E04332" w:rsidRDefault="00E04332">
      <w:pPr>
        <w:spacing w:line="360" w:lineRule="auto"/>
        <w:jc w:val="center"/>
        <w:rPr>
          <w:sz w:val="36"/>
          <w:szCs w:val="36"/>
        </w:rPr>
      </w:pPr>
    </w:p>
    <w:p w14:paraId="00000004" w14:textId="77777777" w:rsidR="00E04332"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44"/>
          <w:szCs w:val="44"/>
        </w:rPr>
        <w:t>Thailand</w:t>
      </w:r>
    </w:p>
    <w:p w14:paraId="00000005" w14:textId="06986000" w:rsidR="00E04332" w:rsidRDefault="00000000">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Submitted by Isaan </w:t>
      </w:r>
      <w:r w:rsidR="00875336">
        <w:rPr>
          <w:rFonts w:ascii="Times New Roman" w:eastAsia="Times New Roman" w:hAnsi="Times New Roman" w:cs="Times New Roman"/>
          <w:b/>
          <w:sz w:val="32"/>
          <w:szCs w:val="32"/>
        </w:rPr>
        <w:t>C</w:t>
      </w:r>
      <w:r>
        <w:rPr>
          <w:rFonts w:ascii="Times New Roman" w:eastAsia="Times New Roman" w:hAnsi="Times New Roman" w:cs="Times New Roman"/>
          <w:b/>
          <w:sz w:val="32"/>
          <w:szCs w:val="32"/>
        </w:rPr>
        <w:t xml:space="preserve">ivil </w:t>
      </w:r>
      <w:r w:rsidR="00875336">
        <w:rPr>
          <w:rFonts w:ascii="Times New Roman" w:eastAsia="Times New Roman" w:hAnsi="Times New Roman" w:cs="Times New Roman"/>
          <w:b/>
          <w:sz w:val="32"/>
          <w:szCs w:val="32"/>
        </w:rPr>
        <w:t>N</w:t>
      </w:r>
      <w:r>
        <w:rPr>
          <w:rFonts w:ascii="Times New Roman" w:eastAsia="Times New Roman" w:hAnsi="Times New Roman" w:cs="Times New Roman"/>
          <w:b/>
          <w:sz w:val="32"/>
          <w:szCs w:val="32"/>
        </w:rPr>
        <w:t xml:space="preserve">etwork for </w:t>
      </w:r>
      <w:r w:rsidR="00875336">
        <w:rPr>
          <w:rFonts w:ascii="Times New Roman" w:eastAsia="Times New Roman" w:hAnsi="Times New Roman" w:cs="Times New Roman"/>
          <w:b/>
          <w:sz w:val="32"/>
          <w:szCs w:val="32"/>
        </w:rPr>
        <w:t>D</w:t>
      </w:r>
      <w:r>
        <w:rPr>
          <w:rFonts w:ascii="Times New Roman" w:eastAsia="Times New Roman" w:hAnsi="Times New Roman" w:cs="Times New Roman"/>
          <w:b/>
          <w:sz w:val="32"/>
          <w:szCs w:val="32"/>
        </w:rPr>
        <w:t xml:space="preserve">emocracy and </w:t>
      </w:r>
      <w:r w:rsidR="00875336">
        <w:rPr>
          <w:rFonts w:ascii="Times New Roman" w:eastAsia="Times New Roman" w:hAnsi="Times New Roman" w:cs="Times New Roman"/>
          <w:b/>
          <w:sz w:val="32"/>
          <w:szCs w:val="32"/>
        </w:rPr>
        <w:t>G</w:t>
      </w:r>
      <w:r>
        <w:rPr>
          <w:rFonts w:ascii="Times New Roman" w:eastAsia="Times New Roman" w:hAnsi="Times New Roman" w:cs="Times New Roman"/>
          <w:b/>
          <w:sz w:val="32"/>
          <w:szCs w:val="32"/>
        </w:rPr>
        <w:t>ender</w:t>
      </w:r>
      <w:r>
        <w:rPr>
          <w:sz w:val="32"/>
          <w:szCs w:val="32"/>
        </w:rPr>
        <w:t xml:space="preserve"> </w:t>
      </w:r>
      <w:r w:rsidR="00875336">
        <w:rPr>
          <w:rFonts w:ascii="Times New Roman" w:eastAsia="Times New Roman" w:hAnsi="Times New Roman" w:cs="Times New Roman"/>
          <w:b/>
          <w:sz w:val="32"/>
          <w:szCs w:val="32"/>
        </w:rPr>
        <w:t>J</w:t>
      </w:r>
      <w:r>
        <w:rPr>
          <w:rFonts w:ascii="Times New Roman" w:eastAsia="Times New Roman" w:hAnsi="Times New Roman" w:cs="Times New Roman"/>
          <w:b/>
          <w:sz w:val="32"/>
          <w:szCs w:val="32"/>
        </w:rPr>
        <w:t>ustice</w:t>
      </w:r>
      <w:r>
        <w:rPr>
          <w:rFonts w:ascii="Times New Roman" w:eastAsia="Times New Roman" w:hAnsi="Times New Roman" w:cs="Times New Roman"/>
          <w:sz w:val="32"/>
          <w:szCs w:val="32"/>
        </w:rPr>
        <w:t>:</w:t>
      </w:r>
    </w:p>
    <w:p w14:paraId="00000006" w14:textId="77777777" w:rsidR="00E04332" w:rsidRDefault="00000000">
      <w:pPr>
        <w:spacing w:line="360" w:lineRule="auto"/>
        <w:jc w:val="center"/>
        <w:rPr>
          <w:rFonts w:ascii="Times New Roman" w:eastAsia="Times New Roman" w:hAnsi="Times New Roman" w:cs="Times New Roman"/>
          <w:sz w:val="24"/>
          <w:szCs w:val="24"/>
        </w:rPr>
        <w:sectPr w:rsidR="00E04332">
          <w:pgSz w:w="11909" w:h="16834"/>
          <w:pgMar w:top="1440" w:right="1080" w:bottom="1440" w:left="1080" w:header="680" w:footer="680" w:gutter="0"/>
          <w:pgNumType w:start="1"/>
          <w:cols w:space="720"/>
        </w:sectPr>
      </w:pPr>
      <w:r>
        <w:rPr>
          <w:rFonts w:ascii="Times New Roman" w:eastAsia="Times New Roman" w:hAnsi="Times New Roman" w:cs="Times New Roman"/>
          <w:sz w:val="32"/>
          <w:szCs w:val="32"/>
        </w:rPr>
        <w:t>including</w:t>
      </w:r>
    </w:p>
    <w:p w14:paraId="00000007" w14:textId="36E75FA2" w:rsidR="00E04332" w:rsidRDefault="00000000">
      <w:pPr>
        <w:spacing w:line="360" w:lineRule="auto"/>
        <w:jc w:val="center"/>
        <w:rPr>
          <w:rFonts w:ascii="Times New Roman" w:eastAsia="Times New Roman" w:hAnsi="Times New Roman" w:cs="Times New Roman"/>
          <w:sz w:val="32"/>
          <w:szCs w:val="32"/>
        </w:rPr>
      </w:pPr>
      <w:r>
        <w:rPr>
          <w:rFonts w:ascii="Times New Roman" w:eastAsia="Times New Roman" w:hAnsi="Times New Roman" w:cs="Times New Roman"/>
          <w:sz w:val="24"/>
          <w:szCs w:val="24"/>
        </w:rPr>
        <w:t>Isaan Gender Diversity Network Foundatio</w:t>
      </w:r>
      <w:r w:rsidR="00875336">
        <w:rPr>
          <w:rFonts w:ascii="Times New Roman" w:eastAsia="Times New Roman" w:hAnsi="Times New Roman" w:cs="Times New Roman"/>
          <w:sz w:val="24"/>
          <w:szCs w:val="24"/>
        </w:rPr>
        <w:t>n</w:t>
      </w:r>
    </w:p>
    <w:p w14:paraId="00000008"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Coalition of Innovators for Thai Youth</w:t>
      </w:r>
    </w:p>
    <w:p w14:paraId="00000009" w14:textId="6E5ECDDF"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NGO Coordinating Committee on </w:t>
      </w:r>
      <w:r w:rsidR="00875336">
        <w:rPr>
          <w:rFonts w:ascii="Times New Roman" w:eastAsia="Times New Roman" w:hAnsi="Times New Roman" w:cs="Times New Roman"/>
          <w:sz w:val="24"/>
          <w:szCs w:val="24"/>
        </w:rPr>
        <w:t>Development in</w:t>
      </w:r>
      <w:r>
        <w:rPr>
          <w:rFonts w:ascii="Times New Roman" w:eastAsia="Times New Roman" w:hAnsi="Times New Roman" w:cs="Times New Roman"/>
          <w:sz w:val="24"/>
          <w:szCs w:val="24"/>
        </w:rPr>
        <w:t xml:space="preserve"> Northeast Thailand</w:t>
      </w:r>
    </w:p>
    <w:p w14:paraId="0000000A"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Femmanit Friend Meeting</w:t>
      </w:r>
    </w:p>
    <w:p w14:paraId="0000000B"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Center for Rehabilitation, Capacity Development, and</w:t>
      </w:r>
    </w:p>
    <w:p w14:paraId="0000000C"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Building for the Homeless, (Home Saen Sook)</w:t>
      </w:r>
    </w:p>
    <w:p w14:paraId="0000000D"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Rim-Rail Woman Collective Group</w:t>
      </w:r>
    </w:p>
    <w:p w14:paraId="0000000E" w14:textId="7B8030F2"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5336">
        <w:rPr>
          <w:rFonts w:ascii="Times New Roman" w:eastAsia="Times New Roman" w:hAnsi="Times New Roman" w:cs="Times New Roman"/>
          <w:sz w:val="24"/>
          <w:szCs w:val="24"/>
        </w:rPr>
        <w:t>Khonkaen:</w:t>
      </w:r>
      <w:r>
        <w:rPr>
          <w:rFonts w:ascii="Times New Roman" w:eastAsia="Times New Roman" w:hAnsi="Times New Roman" w:cs="Times New Roman"/>
          <w:sz w:val="24"/>
          <w:szCs w:val="24"/>
        </w:rPr>
        <w:t xml:space="preserve"> Voice of Youth (KK-VoY)</w:t>
      </w:r>
    </w:p>
    <w:p w14:paraId="0000000F" w14:textId="18EBB639" w:rsidR="00E04332" w:rsidRDefault="0087533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ACT Team</w:t>
      </w:r>
      <w:r w:rsidR="00000000">
        <w:rPr>
          <w:rFonts w:ascii="Times New Roman" w:eastAsia="Times New Roman" w:hAnsi="Times New Roman" w:cs="Times New Roman"/>
          <w:sz w:val="24"/>
          <w:szCs w:val="24"/>
        </w:rPr>
        <w:t xml:space="preserve"> Khonkaen</w:t>
      </w:r>
    </w:p>
    <w:p w14:paraId="00000010"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AIDS Network Development Foundation, Northeastern Office </w:t>
      </w:r>
    </w:p>
    <w:p w14:paraId="00000011"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Khon Kaen Green Market</w:t>
      </w:r>
    </w:p>
    <w:p w14:paraId="00000012"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NET Foundation</w:t>
      </w:r>
    </w:p>
    <w:p w14:paraId="00000013"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Assembly of the Poor: Pak Mun Dam Case</w:t>
      </w:r>
    </w:p>
    <w:p w14:paraId="00000014"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Alternative Agriculture Network in The Northeast </w:t>
      </w:r>
    </w:p>
    <w:p w14:paraId="00000015" w14:textId="75B6D935" w:rsidR="00E04332" w:rsidRDefault="00F16304">
      <w:pPr>
        <w:spacing w:line="360" w:lineRule="auto"/>
        <w:jc w:val="center"/>
        <w:rPr>
          <w:rFonts w:ascii="Times New Roman" w:eastAsia="Times New Roman" w:hAnsi="Times New Roman" w:cs="Times New Roman"/>
          <w:sz w:val="24"/>
          <w:szCs w:val="24"/>
        </w:rPr>
      </w:pPr>
      <w:r>
        <w:rPr>
          <w:rFonts w:ascii="Times New Roman" w:eastAsia="Times New Roman" w:hAnsi="Times New Roman" w:cs="Angsana New"/>
          <w:sz w:val="24"/>
          <w:szCs w:val="30"/>
          <w:lang w:val="en-US"/>
        </w:rPr>
        <w:t>Isan</w:t>
      </w:r>
      <w:r w:rsidR="00000000">
        <w:rPr>
          <w:rFonts w:ascii="Times New Roman" w:eastAsia="Times New Roman" w:hAnsi="Times New Roman" w:cs="Times New Roman"/>
          <w:sz w:val="24"/>
          <w:szCs w:val="24"/>
        </w:rPr>
        <w:t xml:space="preserve"> Land Reform Network</w:t>
      </w:r>
    </w:p>
    <w:p w14:paraId="00000016"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Migrant Workers Union of Thailand</w:t>
      </w:r>
    </w:p>
    <w:p w14:paraId="00000017"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Consumer Association of Khonkaen</w:t>
      </w:r>
    </w:p>
    <w:p w14:paraId="00000018"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Mekong-Loving Community School</w:t>
      </w:r>
    </w:p>
    <w:p w14:paraId="00000019"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Khon Kaen Universal Healthcare Rights Protection Center</w:t>
      </w:r>
    </w:p>
    <w:p w14:paraId="0000001A"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Protection of Dong Lan Khon Kaen </w:t>
      </w:r>
    </w:p>
    <w:p w14:paraId="0000001B"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Stateless Network of Ubon Rachathani Province</w:t>
      </w:r>
    </w:p>
    <w:p w14:paraId="0000001C"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80809"/>
          <w:sz w:val="23"/>
          <w:szCs w:val="23"/>
        </w:rPr>
        <w:t xml:space="preserve">Isan Women Network </w:t>
      </w:r>
    </w:p>
    <w:p w14:paraId="0000001D" w14:textId="77777777" w:rsidR="00E04332"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Thai Net Plus</w:t>
      </w:r>
    </w:p>
    <w:p w14:paraId="0000001E" w14:textId="77777777" w:rsidR="00E04332" w:rsidRDefault="00000000">
      <w:pPr>
        <w:spacing w:line="360" w:lineRule="auto"/>
        <w:jc w:val="center"/>
        <w:rPr>
          <w:rFonts w:ascii="Times New Roman" w:eastAsia="Times New Roman" w:hAnsi="Times New Roman" w:cs="Times New Roman"/>
          <w:sz w:val="24"/>
          <w:szCs w:val="24"/>
        </w:rPr>
      </w:pPr>
      <w:bookmarkStart w:id="0" w:name="_heading=h.lsbdr5djxx5n" w:colFirst="0" w:colLast="0"/>
      <w:bookmarkEnd w:id="0"/>
      <w:r>
        <w:rPr>
          <w:rFonts w:ascii="Times New Roman" w:eastAsia="Times New Roman" w:hAnsi="Times New Roman" w:cs="Times New Roman"/>
          <w:sz w:val="24"/>
          <w:szCs w:val="24"/>
        </w:rPr>
        <w:t>Khon Kaen Children Rights Welfare Working Group</w:t>
      </w:r>
    </w:p>
    <w:p w14:paraId="0000001F" w14:textId="77777777" w:rsidR="00E04332" w:rsidRDefault="00000000">
      <w:pPr>
        <w:spacing w:line="360" w:lineRule="auto"/>
        <w:jc w:val="center"/>
        <w:rPr>
          <w:rFonts w:ascii="Times New Roman" w:eastAsia="Times New Roman" w:hAnsi="Times New Roman" w:cs="Times New Roman"/>
          <w:sz w:val="24"/>
          <w:szCs w:val="24"/>
        </w:rPr>
        <w:sectPr w:rsidR="00E04332">
          <w:type w:val="continuous"/>
          <w:pgSz w:w="11909" w:h="16834"/>
          <w:pgMar w:top="1440" w:right="1080" w:bottom="1440" w:left="1080" w:header="720" w:footer="720" w:gutter="0"/>
          <w:cols w:space="720" w:equalWidth="0">
            <w:col w:w="9745" w:space="0"/>
          </w:cols>
        </w:sectPr>
      </w:pPr>
      <w:bookmarkStart w:id="1" w:name="_heading=h.7zsiv0rxek4o" w:colFirst="0" w:colLast="0"/>
      <w:bookmarkEnd w:id="1"/>
      <w:r>
        <w:rPr>
          <w:rFonts w:ascii="Times New Roman" w:eastAsia="Times New Roman" w:hAnsi="Times New Roman" w:cs="Times New Roman"/>
          <w:sz w:val="24"/>
          <w:szCs w:val="24"/>
        </w:rPr>
        <w:t>Independent LBQ Activists</w:t>
      </w:r>
    </w:p>
    <w:p w14:paraId="0000004D" w14:textId="77777777" w:rsidR="00E04332" w:rsidRDefault="00000000">
      <w:pPr>
        <w:pStyle w:val="Heading3"/>
        <w:keepNext w:val="0"/>
        <w:keepLines w:val="0"/>
        <w:spacing w:before="0"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Introduction</w:t>
      </w:r>
    </w:p>
    <w:p w14:paraId="0000004E" w14:textId="77777777" w:rsidR="00E04332" w:rsidRDefault="00E04332"/>
    <w:p w14:paraId="0000004F"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Shadow Report is submitted to the 91st Session of the Committee on the Elimination of Discrimination against Women (CEDAW) to provide an independent, civil society assessment of Thailand’s compliance with its obligations under the Convention, with a regional focus on Isaan (Northeastern Thailand). As one of the most populous yet economically marginalized regions, Isaan presents a critical lens through which to examine the uneven implementation of gender equality commitments across the country.</w:t>
      </w:r>
    </w:p>
    <w:p w14:paraId="00000050"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Thailand has taken important legislative steps toward gender equality, including the enactment of the Gender Equality Act B.E. 2558 (2015), and its endorsement of key international frameworks such as the Sustainable Development Goals (SDGs), particularly SDG 5 on Gender Equality. However, the full realization of these commitments remains hindered by deeply rooted patriarchal structures, systemic inequality, and a lack of regionally sensitive policy implementation.</w:t>
      </w:r>
    </w:p>
    <w:p w14:paraId="00000051"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Isaan, women and marginalized gender groups face multidimensional and intersecting forms of discrimination. </w:t>
      </w:r>
      <w:r>
        <w:rPr>
          <w:rFonts w:ascii="Times New Roman" w:eastAsia="Times New Roman" w:hAnsi="Times New Roman" w:cs="Times New Roman"/>
          <w:b/>
          <w:sz w:val="24"/>
          <w:szCs w:val="24"/>
        </w:rPr>
        <w:t>Rural women</w:t>
      </w:r>
      <w:r>
        <w:rPr>
          <w:rFonts w:ascii="Times New Roman" w:eastAsia="Times New Roman" w:hAnsi="Times New Roman" w:cs="Times New Roman"/>
          <w:sz w:val="24"/>
          <w:szCs w:val="24"/>
        </w:rPr>
        <w:t xml:space="preserve"> often experience restricted access to land rights, credit, social protection, and quality healthcare. </w:t>
      </w:r>
      <w:r>
        <w:rPr>
          <w:rFonts w:ascii="Times New Roman" w:eastAsia="Times New Roman" w:hAnsi="Times New Roman" w:cs="Times New Roman"/>
          <w:b/>
          <w:sz w:val="24"/>
          <w:szCs w:val="24"/>
        </w:rPr>
        <w:t>Internal and cross-border migrant women</w:t>
      </w:r>
      <w:r>
        <w:rPr>
          <w:rFonts w:ascii="Times New Roman" w:eastAsia="Times New Roman" w:hAnsi="Times New Roman" w:cs="Times New Roman"/>
          <w:sz w:val="24"/>
          <w:szCs w:val="24"/>
        </w:rPr>
        <w:t xml:space="preserve">, many of whom work in informal or precarious labor sectors, are especially vulnerable to gender-based violence, labor exploitation, and exclusion from legal protections. The </w:t>
      </w:r>
      <w:r>
        <w:rPr>
          <w:rFonts w:ascii="Times New Roman" w:eastAsia="Times New Roman" w:hAnsi="Times New Roman" w:cs="Times New Roman"/>
          <w:b/>
          <w:sz w:val="24"/>
          <w:szCs w:val="24"/>
        </w:rPr>
        <w:t>LGBTQ+ population</w:t>
      </w:r>
      <w:r>
        <w:rPr>
          <w:rFonts w:ascii="Times New Roman" w:eastAsia="Times New Roman" w:hAnsi="Times New Roman" w:cs="Times New Roman"/>
          <w:sz w:val="24"/>
          <w:szCs w:val="24"/>
        </w:rPr>
        <w:t>, particularly transgender and gender-diverse individuals, continues to face pervasive stigma, lack of legal gender recognition, and barriers to accessing education, employment, and health services.</w:t>
      </w:r>
    </w:p>
    <w:p w14:paraId="00000052"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climate-related challenges such as droughts, flood, pollution and land degradation disproportionately impact rural communities in Isaan, compounding the economic precarity of women and their families. Cultural and linguistic diversity in the region, while rich, often correlates with exclusion from national-level policy discourse and service provision.</w:t>
      </w:r>
    </w:p>
    <w:p w14:paraId="00000053"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highlights these region-specific challenges to underscore the need for a rights-based, intersectional, and regionally responsive approach to gender equality in Thailand. It calls on the Thai State Party to fulfil its obligations under CEDAW by addressing the systemic invisibility of women and gender-diverse people in Isaan, and to ensure their meaningful participation in policy development and implementation at all levels.</w:t>
      </w:r>
    </w:p>
    <w:p w14:paraId="00000054"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written with the collaboration of the following organisations and networks of NGOs, CSOs and individual activists who work in Isaan region: Isaan Gender Diversity Network Foundation, </w:t>
      </w:r>
    </w:p>
    <w:p w14:paraId="00000055" w14:textId="65534D4E"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Coalition of Innovators for Thai Youth, Femmanit Friend Meeting, Center for Rehabilitation, Capacity Development, and Community Building for the Homeless, (Home Saen Sook), Rim-Rail Woman Collective Group, Khonkaen : Voice of Youth (KK-VoY), Act team Khonkaen,AIDS </w:t>
      </w:r>
      <w:r>
        <w:rPr>
          <w:rFonts w:ascii="Times New Roman" w:eastAsia="Times New Roman" w:hAnsi="Times New Roman" w:cs="Times New Roman"/>
          <w:sz w:val="24"/>
          <w:szCs w:val="24"/>
        </w:rPr>
        <w:lastRenderedPageBreak/>
        <w:t xml:space="preserve">Network Development Foundation, Northeastern Office. Khon Kaen Green Market, Net foundation, Assembly of the Poor: Pak Mun Dam Case, Alternative Agriculture Network in The Northeast , </w:t>
      </w:r>
      <w:r w:rsidR="00EB63F4">
        <w:rPr>
          <w:rFonts w:ascii="Times New Roman" w:eastAsia="Times New Roman" w:hAnsi="Times New Roman" w:cs="Times New Roman"/>
          <w:sz w:val="24"/>
          <w:szCs w:val="24"/>
        </w:rPr>
        <w:t xml:space="preserve">Isan </w:t>
      </w:r>
      <w:r>
        <w:rPr>
          <w:rFonts w:ascii="Times New Roman" w:eastAsia="Times New Roman" w:hAnsi="Times New Roman" w:cs="Times New Roman"/>
          <w:sz w:val="24"/>
          <w:szCs w:val="24"/>
        </w:rPr>
        <w:t xml:space="preserve">Land Reform Network, Migrant Workers Union of Thailand, Consumer Association Of Khonkaen, Mekong-Loving Community School, Khon Kaen Universal Healthcare Rights Protection Center, Protection of Dong Lan Khon Kaen, Stateless Network of Ubol Rachathani Province, </w:t>
      </w:r>
      <w:r>
        <w:rPr>
          <w:color w:val="080809"/>
          <w:sz w:val="23"/>
          <w:szCs w:val="23"/>
          <w:shd w:val="clear" w:color="auto" w:fill="F0F0F0"/>
        </w:rPr>
        <w:t>I</w:t>
      </w:r>
      <w:r>
        <w:rPr>
          <w:rFonts w:ascii="Times New Roman" w:eastAsia="Times New Roman" w:hAnsi="Times New Roman" w:cs="Times New Roman"/>
          <w:color w:val="080809"/>
          <w:sz w:val="23"/>
          <w:szCs w:val="23"/>
        </w:rPr>
        <w:t xml:space="preserve">san Women Network, </w:t>
      </w:r>
      <w:r>
        <w:rPr>
          <w:rFonts w:ascii="Times New Roman" w:eastAsia="Times New Roman" w:hAnsi="Times New Roman" w:cs="Times New Roman"/>
          <w:sz w:val="24"/>
          <w:szCs w:val="24"/>
        </w:rPr>
        <w:t>Thai Net plus ( people living with HIV network) and Khon Kaen Children rights welfare working group.</w:t>
      </w:r>
    </w:p>
    <w:p w14:paraId="00000056" w14:textId="77777777" w:rsidR="00E04332" w:rsidRDefault="00E04332">
      <w:pPr>
        <w:spacing w:line="360" w:lineRule="auto"/>
        <w:jc w:val="both"/>
        <w:rPr>
          <w:rFonts w:ascii="Times New Roman" w:eastAsia="Times New Roman" w:hAnsi="Times New Roman" w:cs="Times New Roman"/>
          <w:sz w:val="24"/>
          <w:szCs w:val="24"/>
        </w:rPr>
      </w:pPr>
    </w:p>
    <w:p w14:paraId="00000057"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 : Vulnerable Groups / Marginalized Women</w:t>
      </w:r>
    </w:p>
    <w:p w14:paraId="00000058" w14:textId="77777777" w:rsidR="00E04332" w:rsidRDefault="00000000">
      <w:pPr>
        <w:numPr>
          <w:ilvl w:val="0"/>
          <w:numId w:val="4"/>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Homeless Women</w:t>
      </w:r>
      <w:r>
        <w:rPr>
          <w:rFonts w:ascii="Times New Roman" w:eastAsia="Times New Roman" w:hAnsi="Times New Roman" w:cs="Times New Roman"/>
          <w:b/>
          <w:color w:val="000000"/>
          <w:sz w:val="24"/>
          <w:szCs w:val="24"/>
        </w:rPr>
        <w:br/>
      </w:r>
      <w:r>
        <w:rPr>
          <w:rFonts w:ascii="Times New Roman" w:eastAsia="Times New Roman" w:hAnsi="Times New Roman" w:cs="Times New Roman"/>
          <w:color w:val="000000"/>
          <w:sz w:val="24"/>
          <w:szCs w:val="24"/>
        </w:rPr>
        <w:t>Homeless women are unable to access safe housing and are at risk of domestic violence. When they live on the streets, they are often subject to harassment in public spaces, including physical assault and sexual harassment. When reporting such incidents to the police, authorities often fail to take appropriate action. Additionally, these women lack access to reproductive health knowledge and basic healthcare services.</w:t>
      </w:r>
    </w:p>
    <w:p w14:paraId="00000059" w14:textId="77777777" w:rsidR="00E04332" w:rsidRDefault="00E04332">
      <w:pPr>
        <w:pBdr>
          <w:top w:val="nil"/>
          <w:left w:val="nil"/>
          <w:bottom w:val="nil"/>
          <w:right w:val="nil"/>
          <w:between w:val="nil"/>
        </w:pBdr>
        <w:spacing w:line="360" w:lineRule="auto"/>
        <w:ind w:left="720"/>
        <w:jc w:val="both"/>
        <w:rPr>
          <w:rFonts w:ascii="Times New Roman" w:eastAsia="Times New Roman" w:hAnsi="Times New Roman" w:cs="Times New Roman"/>
          <w:color w:val="000000"/>
          <w:sz w:val="24"/>
          <w:szCs w:val="24"/>
        </w:rPr>
      </w:pPr>
    </w:p>
    <w:p w14:paraId="0000005A" w14:textId="77777777" w:rsidR="00E04332" w:rsidRDefault="00000000">
      <w:pPr>
        <w:numPr>
          <w:ilvl w:val="0"/>
          <w:numId w:val="4"/>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Women in Urban Slums</w:t>
      </w:r>
      <w:r>
        <w:rPr>
          <w:rFonts w:ascii="Times New Roman" w:eastAsia="Times New Roman" w:hAnsi="Times New Roman" w:cs="Times New Roman"/>
          <w:b/>
          <w:color w:val="000000"/>
          <w:sz w:val="24"/>
          <w:szCs w:val="24"/>
        </w:rPr>
        <w:br/>
      </w:r>
      <w:r>
        <w:rPr>
          <w:rFonts w:ascii="Times New Roman" w:eastAsia="Times New Roman" w:hAnsi="Times New Roman" w:cs="Times New Roman"/>
          <w:color w:val="000000"/>
          <w:sz w:val="24"/>
          <w:szCs w:val="24"/>
        </w:rPr>
        <w:t>Women living in urban slums face unsanitary living conditions, lack of lighting, and overcrowded environments. Children in these communities are exposed to drugs and often face gender-based bullying—such as boys with feminine characteristics or gender non-conforming children being ridiculed—which results in school avoidance. Parental neglect regarding education leads to school dropout and heightens the risk of these children falling into human trafficking cycles.</w:t>
      </w:r>
    </w:p>
    <w:p w14:paraId="0000005B" w14:textId="77777777" w:rsidR="00E04332" w:rsidRDefault="00E04332">
      <w:pPr>
        <w:pBdr>
          <w:top w:val="nil"/>
          <w:left w:val="nil"/>
          <w:bottom w:val="nil"/>
          <w:right w:val="nil"/>
          <w:between w:val="nil"/>
        </w:pBdr>
        <w:spacing w:line="360" w:lineRule="auto"/>
        <w:ind w:left="720"/>
        <w:rPr>
          <w:rFonts w:ascii="Times New Roman" w:eastAsia="Times New Roman" w:hAnsi="Times New Roman" w:cs="Times New Roman"/>
          <w:b/>
          <w:color w:val="000000"/>
          <w:sz w:val="24"/>
          <w:szCs w:val="24"/>
        </w:rPr>
      </w:pPr>
    </w:p>
    <w:p w14:paraId="0000005C" w14:textId="77777777" w:rsidR="00E04332" w:rsidRDefault="00000000">
      <w:pPr>
        <w:numPr>
          <w:ilvl w:val="0"/>
          <w:numId w:val="4"/>
        </w:numPr>
        <w:pBdr>
          <w:top w:val="nil"/>
          <w:left w:val="nil"/>
          <w:bottom w:val="nil"/>
          <w:right w:val="nil"/>
          <w:between w:val="nil"/>
        </w:pBdr>
        <w:spacing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Sex Worker</w:t>
      </w:r>
    </w:p>
    <w:p w14:paraId="0000005D" w14:textId="77777777" w:rsidR="00E04332" w:rsidRDefault="00000000">
      <w:pPr>
        <w:pBdr>
          <w:top w:val="nil"/>
          <w:left w:val="nil"/>
          <w:bottom w:val="nil"/>
          <w:right w:val="nil"/>
          <w:between w:val="nil"/>
        </w:pBdr>
        <w:spacing w:line="360" w:lineRule="auto"/>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Sex workers are criminalized and often have their photos and personal information publicly disseminated. Their rights are not legally recognized, and they are excluded from state-provided social welfare services.</w:t>
      </w:r>
    </w:p>
    <w:p w14:paraId="0000005E" w14:textId="77777777" w:rsidR="00E04332" w:rsidRDefault="00E04332">
      <w:pPr>
        <w:pBdr>
          <w:top w:val="nil"/>
          <w:left w:val="nil"/>
          <w:bottom w:val="nil"/>
          <w:right w:val="nil"/>
          <w:between w:val="nil"/>
        </w:pBdr>
        <w:spacing w:line="360" w:lineRule="auto"/>
        <w:ind w:left="720"/>
        <w:rPr>
          <w:rFonts w:ascii="Times New Roman" w:eastAsia="Times New Roman" w:hAnsi="Times New Roman" w:cs="Times New Roman"/>
          <w:color w:val="000000"/>
          <w:sz w:val="24"/>
          <w:szCs w:val="24"/>
        </w:rPr>
      </w:pPr>
    </w:p>
    <w:p w14:paraId="0000005F" w14:textId="77777777" w:rsidR="00E04332" w:rsidRDefault="00000000">
      <w:pPr>
        <w:numPr>
          <w:ilvl w:val="0"/>
          <w:numId w:val="4"/>
        </w:numPr>
        <w:pBdr>
          <w:top w:val="nil"/>
          <w:left w:val="nil"/>
          <w:bottom w:val="nil"/>
          <w:right w:val="nil"/>
          <w:between w:val="nil"/>
        </w:pBdr>
        <w:spacing w:line="360" w:lineRule="auto"/>
        <w:ind w:left="714" w:hanging="35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Women and Persons with Diverse Sexual Orientations and Gender Identities (SOGIESC)</w:t>
      </w:r>
      <w:r>
        <w:rPr>
          <w:rFonts w:ascii="Times New Roman" w:eastAsia="Times New Roman" w:hAnsi="Times New Roman" w:cs="Times New Roman"/>
          <w:b/>
          <w:color w:val="000000"/>
          <w:sz w:val="24"/>
          <w:szCs w:val="24"/>
        </w:rPr>
        <w:br/>
      </w:r>
      <w:r>
        <w:rPr>
          <w:rFonts w:ascii="Times New Roman" w:eastAsia="Times New Roman" w:hAnsi="Times New Roman" w:cs="Times New Roman"/>
          <w:color w:val="000000"/>
          <w:sz w:val="24"/>
          <w:szCs w:val="24"/>
        </w:rPr>
        <w:t xml:space="preserve">Lesbian, Bisexual, and Queer (LBQ) women face discrimination, stereotyping, and bullying. Masculine-presenting women and transmasculine individuals are often rendered invisible. They face violence driven by harmful beliefs, such as “corrective” attitudes (e.g., "turning a </w:t>
      </w:r>
      <w:r>
        <w:rPr>
          <w:rFonts w:ascii="Times New Roman" w:eastAsia="Times New Roman" w:hAnsi="Times New Roman" w:cs="Times New Roman"/>
          <w:color w:val="000000"/>
          <w:sz w:val="24"/>
          <w:szCs w:val="24"/>
        </w:rPr>
        <w:lastRenderedPageBreak/>
        <w:t>tomboy back into a woman") and sexual coercion. Their identities are not accepted by families or society.</w:t>
      </w:r>
      <w:r>
        <w:rPr>
          <w:rFonts w:ascii="Times New Roman" w:eastAsia="Times New Roman" w:hAnsi="Times New Roman" w:cs="Times New Roman"/>
          <w:color w:val="000000"/>
          <w:sz w:val="24"/>
          <w:szCs w:val="24"/>
        </w:rPr>
        <w:br/>
        <w:t xml:space="preserve"> The LGBTQ+ movement is sometimes sidelined by other advocacy movements, especially post-marriage equality debates, leading to diminished attention on ongoing gender-based violence.</w:t>
      </w:r>
      <w:r>
        <w:rPr>
          <w:rFonts w:ascii="Times New Roman" w:eastAsia="Times New Roman" w:hAnsi="Times New Roman" w:cs="Times New Roman"/>
          <w:color w:val="000000"/>
          <w:sz w:val="24"/>
          <w:szCs w:val="24"/>
        </w:rPr>
        <w:br/>
        <w:t xml:space="preserve"> Trans women are stigmatized as potential offenders against men and face systemic discrimination in rural areas, where heteronormative family models are strictly upheld.</w:t>
      </w:r>
      <w:r>
        <w:rPr>
          <w:rFonts w:ascii="Times New Roman" w:eastAsia="Times New Roman" w:hAnsi="Times New Roman" w:cs="Times New Roman"/>
          <w:color w:val="000000"/>
          <w:sz w:val="24"/>
          <w:szCs w:val="24"/>
        </w:rPr>
        <w:br/>
        <w:t xml:space="preserve"> Intersex persons often undergo non-consensual gender assignment surgeries at birth.</w:t>
      </w:r>
      <w:r>
        <w:rPr>
          <w:rFonts w:ascii="Times New Roman" w:eastAsia="Times New Roman" w:hAnsi="Times New Roman" w:cs="Times New Roman"/>
          <w:color w:val="000000"/>
          <w:sz w:val="24"/>
          <w:szCs w:val="24"/>
        </w:rPr>
        <w:br/>
        <w:t xml:space="preserve"> Non-binary individuals lack social recognition and legal protections.</w:t>
      </w:r>
      <w:r>
        <w:rPr>
          <w:rFonts w:ascii="Times New Roman" w:eastAsia="Times New Roman" w:hAnsi="Times New Roman" w:cs="Times New Roman"/>
          <w:color w:val="000000"/>
          <w:sz w:val="24"/>
          <w:szCs w:val="24"/>
        </w:rPr>
        <w:br/>
        <w:t xml:space="preserve"> Trans women face ridicule, stigma, and exclusion from education and employment. Those who engage in sex work are at heightened risk of violence, including murder—as exemplified by the brutal killing of a transgender woman from Nong Khai province in Pattaya on April 27, 2025.</w:t>
      </w:r>
    </w:p>
    <w:p w14:paraId="00000060" w14:textId="77777777" w:rsidR="00E04332" w:rsidRDefault="00E04332">
      <w:pPr>
        <w:spacing w:line="360" w:lineRule="auto"/>
        <w:jc w:val="both"/>
        <w:rPr>
          <w:rFonts w:ascii="Times New Roman" w:eastAsia="Times New Roman" w:hAnsi="Times New Roman" w:cs="Times New Roman"/>
          <w:sz w:val="24"/>
          <w:szCs w:val="24"/>
        </w:rPr>
      </w:pPr>
    </w:p>
    <w:p w14:paraId="00000061"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62"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must provide emergency shelters for women facing violence and homelessness, with simplified access procedures and a focus on safety.</w:t>
      </w:r>
    </w:p>
    <w:p w14:paraId="00000063"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mechanisms should ensure rapid assistance through emergency housing services.</w:t>
      </w:r>
    </w:p>
    <w:p w14:paraId="00000064"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Housing and land access must be guaranteed for low-income populations through inclusive policies.</w:t>
      </w:r>
    </w:p>
    <w:p w14:paraId="00000065"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Housing laws should mandate safe, secure, and hygienic living conditions to prevent violence in communities.</w:t>
      </w:r>
    </w:p>
    <w:p w14:paraId="00000066"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must ensure genuinely free education, eliminate bullying, and establish monitoring mechanisms involving schools, parents, and teachers.</w:t>
      </w:r>
    </w:p>
    <w:p w14:paraId="00000067"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Urban planning must include civil society participation, especially in marginalized communities.</w:t>
      </w:r>
    </w:p>
    <w:p w14:paraId="00000068"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Legal recognition and protection for sex work as a legitimate profession must be established.</w:t>
      </w:r>
    </w:p>
    <w:p w14:paraId="00000069"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civil society movements must integrate gender perspectives and prioritize gender-related issues to ensure inclusive collaboration.</w:t>
      </w:r>
    </w:p>
    <w:p w14:paraId="0000006A"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education campaigns on SOGIESC must be expanded in rural areas to reduce the urban-rural divide in gender understanding.</w:t>
      </w:r>
    </w:p>
    <w:p w14:paraId="0000006B"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gender identities must be granted equal rights and access to social services.</w:t>
      </w:r>
    </w:p>
    <w:p w14:paraId="0000006C"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must enact legal gender recognition laws, anti-discrimination legislation based on SOGIESC, and laws protecting against gender-based and hate violence.</w:t>
      </w:r>
    </w:p>
    <w:p w14:paraId="0000006D" w14:textId="77777777"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Gender-responsive budgeting that is mentioned in the Constitution, must be implemented, with specific allocations for women and gender-diverse populations.</w:t>
      </w:r>
    </w:p>
    <w:p w14:paraId="0000006E" w14:textId="54AA5739" w:rsidR="00E04332"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crucial for the Thai government to continue supporting the UN SOGIESC rights mechanism. As a Member State of the Human Rights Council, the Thai government must vote to renew the mandate of the UN Independent Expert on protection against violence and discrimination based on sexual orientation and gender identity for the third time, </w:t>
      </w:r>
      <w:r w:rsidR="002F75B3">
        <w:rPr>
          <w:rFonts w:ascii="Times New Roman" w:eastAsia="Times New Roman" w:hAnsi="Times New Roman" w:cs="Times New Roman"/>
          <w:sz w:val="24"/>
          <w:szCs w:val="24"/>
        </w:rPr>
        <w:t>ensuring</w:t>
      </w:r>
      <w:r>
        <w:rPr>
          <w:rFonts w:ascii="Times New Roman" w:eastAsia="Times New Roman" w:hAnsi="Times New Roman" w:cs="Times New Roman"/>
          <w:sz w:val="24"/>
          <w:szCs w:val="24"/>
        </w:rPr>
        <w:t xml:space="preserve"> that a dedicated mandate exists at the UN level to monitor SOGIESC rights across the globe. This will underscore Thailand’s significant progress in supporting LGBTIQNA and SOGIESC rights, including the passage of the Marriage Equality Law in 2025 and its membership in the Equal Rights Coalition (ERC).</w:t>
      </w:r>
    </w:p>
    <w:p w14:paraId="0000006F" w14:textId="77777777" w:rsidR="00E04332" w:rsidRDefault="00E04332">
      <w:pPr>
        <w:spacing w:line="360" w:lineRule="auto"/>
        <w:ind w:left="720"/>
        <w:jc w:val="both"/>
        <w:rPr>
          <w:rFonts w:ascii="Times New Roman" w:eastAsia="Times New Roman" w:hAnsi="Times New Roman" w:cs="Times New Roman"/>
          <w:sz w:val="24"/>
          <w:szCs w:val="24"/>
        </w:rPr>
      </w:pPr>
    </w:p>
    <w:p w14:paraId="00000070" w14:textId="2D816B69"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Section </w:t>
      </w:r>
      <w:r w:rsidR="00875336">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Nationality Issues</w:t>
      </w:r>
    </w:p>
    <w:p w14:paraId="00000071" w14:textId="4FB589E3"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397E35">
        <w:rPr>
          <w:rFonts w:ascii="Times New Roman" w:eastAsia="Times New Roman" w:hAnsi="Times New Roman" w:cs="Angsana New"/>
          <w:sz w:val="24"/>
          <w:szCs w:val="30"/>
        </w:rPr>
        <w:t xml:space="preserve">Thailand many people still lack of </w:t>
      </w:r>
      <w:r w:rsidR="00397E35">
        <w:rPr>
          <w:rFonts w:ascii="Times New Roman" w:eastAsia="Times New Roman" w:hAnsi="Times New Roman" w:cs="Times New Roman"/>
          <w:sz w:val="24"/>
          <w:szCs w:val="24"/>
        </w:rPr>
        <w:t>confirmation of Thai nationality or have ID cards</w:t>
      </w:r>
      <w:r w:rsidR="00397E35">
        <w:rPr>
          <w:rFonts w:ascii="Times New Roman" w:eastAsia="Times New Roman" w:hAnsi="Times New Roman" w:cs="Times New Roman"/>
          <w:sz w:val="24"/>
          <w:szCs w:val="24"/>
        </w:rPr>
        <w:t xml:space="preserve">. Even in </w:t>
      </w:r>
      <w:r>
        <w:rPr>
          <w:rFonts w:ascii="Times New Roman" w:eastAsia="Times New Roman" w:hAnsi="Times New Roman" w:cs="Times New Roman"/>
          <w:sz w:val="24"/>
          <w:szCs w:val="24"/>
        </w:rPr>
        <w:t>Khon Kaen province</w:t>
      </w:r>
      <w:r w:rsidR="00397E35">
        <w:rPr>
          <w:rFonts w:ascii="Times New Roman" w:eastAsia="Times New Roman" w:hAnsi="Times New Roman" w:cs="Times New Roman"/>
          <w:sz w:val="24"/>
          <w:szCs w:val="24"/>
        </w:rPr>
        <w:t xml:space="preserve"> in Isan which is not situated along the border area</w:t>
      </w:r>
      <w:r>
        <w:rPr>
          <w:rFonts w:ascii="Times New Roman" w:eastAsia="Times New Roman" w:hAnsi="Times New Roman" w:cs="Times New Roman"/>
          <w:sz w:val="24"/>
          <w:szCs w:val="24"/>
        </w:rPr>
        <w:t xml:space="preserve">, </w:t>
      </w:r>
      <w:r w:rsidR="00397E35">
        <w:rPr>
          <w:rFonts w:ascii="Times New Roman" w:eastAsia="Times New Roman" w:hAnsi="Times New Roman" w:cs="Times New Roman"/>
          <w:sz w:val="24"/>
          <w:szCs w:val="24"/>
        </w:rPr>
        <w:t>more than</w:t>
      </w:r>
      <w:r>
        <w:rPr>
          <w:rFonts w:ascii="Times New Roman" w:eastAsia="Times New Roman" w:hAnsi="Times New Roman" w:cs="Times New Roman"/>
          <w:sz w:val="24"/>
          <w:szCs w:val="24"/>
        </w:rPr>
        <w:t xml:space="preserve"> </w:t>
      </w:r>
      <w:r w:rsidR="00397E35">
        <w:rPr>
          <w:rFonts w:ascii="Times New Roman" w:eastAsia="Times New Roman" w:hAnsi="Times New Roman" w:cs="Times New Roman"/>
          <w:sz w:val="24"/>
          <w:szCs w:val="24"/>
        </w:rPr>
        <w:t xml:space="preserve">10,000 </w:t>
      </w:r>
      <w:r>
        <w:rPr>
          <w:rFonts w:ascii="Times New Roman" w:eastAsia="Times New Roman" w:hAnsi="Times New Roman" w:cs="Times New Roman"/>
          <w:sz w:val="24"/>
          <w:szCs w:val="24"/>
        </w:rPr>
        <w:t>individuals either lack confirmation of Thai nationality or have ID cards beginning with the number “0.” (</w:t>
      </w:r>
      <w:r w:rsidR="002F75B3">
        <w:rPr>
          <w:rFonts w:ascii="Times New Roman" w:eastAsia="Times New Roman" w:hAnsi="Times New Roman" w:cs="Times New Roman"/>
          <w:sz w:val="24"/>
          <w:szCs w:val="24"/>
        </w:rPr>
        <w:t>Non-Thai</w:t>
      </w:r>
      <w:r>
        <w:rPr>
          <w:rFonts w:ascii="Times New Roman" w:eastAsia="Times New Roman" w:hAnsi="Times New Roman" w:cs="Times New Roman"/>
          <w:sz w:val="24"/>
          <w:szCs w:val="24"/>
        </w:rPr>
        <w:t xml:space="preserve"> Nationality). This alarming number stems from issues such as unregistered births, names being removed from civil registration due to prolonged inactivity (e.g., formerly having ID cards but becoming homeless, fleeing legal cases or military conscription, and failing to vote or access healthcare). These individuals are often excluded from national registries, including prisoners whose ID cards were confiscated and not reinstated after release.</w:t>
      </w:r>
    </w:p>
    <w:p w14:paraId="00000072"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exclusion leads to an inability to access essential rights. For example, elderly individuals cannot use the "Gold Card" universal healthcare scheme or access vaccines and medication during the COVID-19 pandemic. Persons with disabilities cannot claim disability allowances. As a result, they are cut off from economic and social benefits to which they are entitled.</w:t>
      </w:r>
    </w:p>
    <w:p w14:paraId="00000073"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state procedure requires a “household leader” to apply on behalf of the stateless person, undergo witness verification and DNA testing to confirm familial relations. This process is often lengthy and expensive. Those in urgent need of healthcare must pay out-of-pocket at public or private hospitals. DNA testing is handled by the Ministry of Justice’s Central Institute of Forensic Science, contributing to significant delays. In some cases, stateless individuals have died before the process was completed.</w:t>
      </w:r>
    </w:p>
    <w:p w14:paraId="00000074"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issue is also prevalent in border provinces in the Northeast such as Ubon Ratchathani and Nong Bua Lamphu. In rural areas, local leaders like village heads are tasked with identifying and registering stateless persons. However, this can lead to corruption and abuse of power, as discretion lies with state officials. Their attitudes directly impact whether or not cases are resolved.</w:t>
      </w:r>
    </w:p>
    <w:p w14:paraId="00000075"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Statelessness is closely tied to housing rights. Those without legal housing cannot obtain a household registration, which is a prerequisite for most legal rights and services.</w:t>
      </w:r>
    </w:p>
    <w:p w14:paraId="00000076" w14:textId="77777777" w:rsidR="00E04332" w:rsidRDefault="00E04332">
      <w:pPr>
        <w:spacing w:line="360" w:lineRule="auto"/>
        <w:jc w:val="both"/>
        <w:rPr>
          <w:rFonts w:ascii="Times New Roman" w:eastAsia="Times New Roman" w:hAnsi="Times New Roman" w:cs="Times New Roman"/>
          <w:sz w:val="24"/>
          <w:szCs w:val="24"/>
        </w:rPr>
      </w:pPr>
    </w:p>
    <w:p w14:paraId="00000077"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78" w14:textId="77777777" w:rsidR="00E04332"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must develop an effective centralized household registration system to protect individuals without confirmed nationality. This system should involve collaboration between the Ministry of Social Development and Human Security’s Homeless Protection Center and the Department of Provincial Administration, Ministry of Interior, to ensure legal recognition of rootless or witness-less individuals.</w:t>
      </w:r>
    </w:p>
    <w:p w14:paraId="00000079" w14:textId="77777777" w:rsidR="00E04332"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Persons in the centralized household registry should be granted full rights, including the right to vote, access to healthcare, disability and elderly allowances, and other social welfare benefits.</w:t>
      </w:r>
    </w:p>
    <w:p w14:paraId="0000007A" w14:textId="77777777" w:rsidR="00E04332"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national data system should track sightings and encounters with rootless or stateless individuals, some of whom have no family or relatives to verify their identity.</w:t>
      </w:r>
    </w:p>
    <w:p w14:paraId="0000007B" w14:textId="77777777" w:rsidR="00E04332"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DNA testing process for nationality confirmation should be decentralized, allowing qualified hospitals in local areas to perform and validate the tests to reduce delays.</w:t>
      </w:r>
    </w:p>
    <w:p w14:paraId="0000007C" w14:textId="77777777" w:rsidR="00E04332" w:rsidRDefault="00E04332">
      <w:pPr>
        <w:spacing w:line="360" w:lineRule="auto"/>
        <w:jc w:val="both"/>
        <w:rPr>
          <w:rFonts w:ascii="Times New Roman" w:eastAsia="Times New Roman" w:hAnsi="Times New Roman" w:cs="Times New Roman"/>
          <w:sz w:val="24"/>
          <w:szCs w:val="24"/>
        </w:rPr>
      </w:pPr>
    </w:p>
    <w:p w14:paraId="0000007D"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3: Isaan Women, Agriculture, Natural Resources, and the Environment</w:t>
      </w:r>
    </w:p>
    <w:p w14:paraId="0000007E"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2017 constitutional election, Thailand claimed to have returned to a democratic system. However, the constitution—drafted under a military dictatorship—has centralized power over the management of natural resources. The Thai constitution includes a 20-year national strategy, drafted without public participation, which has been used to appropriate public natural resources for the benefit of elites and large corporations.</w:t>
      </w:r>
    </w:p>
    <w:p w14:paraId="0000007F" w14:textId="77777777" w:rsidR="00E0433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example is the 10-Year Sugarcane and Sugar Strategy (2015–2026), which aims to expand sugarcane cultivation by 6 million rai by 2026 to support an increase in sugar factories in the Isaan region from 20 to 30. This strategy does not reflect the needs or desires of the Isaan people. The aggressive push for sugarcane cultivation threatens the ecosystem and the health of the local population, due to heavy chemical use in sugarcane farming. These chemicals pose risks of contaminating water sources and local food plants.</w:t>
      </w:r>
    </w:p>
    <w:p w14:paraId="00000080"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resources like land, water, and forests are deeply intertwined with the lives of Isaan women. The changes in land use and resource allocation have negatively impacted their health and livelihoods. Jobs traditionally done by women—such as fishing with hand nets, foraging in the forest, and small-scale farming—are becoming inaccessible, leading to the loss of gender-appropriate and self-sufficient work. This destabilizes Isaan households and women are forced to abandon their family </w:t>
      </w:r>
      <w:r>
        <w:rPr>
          <w:rFonts w:ascii="Times New Roman" w:eastAsia="Times New Roman" w:hAnsi="Times New Roman" w:cs="Times New Roman"/>
          <w:sz w:val="24"/>
          <w:szCs w:val="24"/>
        </w:rPr>
        <w:lastRenderedPageBreak/>
        <w:t xml:space="preserve">and migrate into urban cities to find jobs. </w:t>
      </w:r>
    </w:p>
    <w:p w14:paraId="00000081"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moving to cities, they are often subject to unfair treatment and systemic discrimination in employment. They are frequently paid less than men for performing the same work, and employers tend to prioritize hiring men over women, especially for positions perceived as more stable or higher paying.</w:t>
      </w:r>
    </w:p>
    <w:p w14:paraId="00000082"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who are pregnant or have families are often denied employment opportunities or are not considered for jobs at all. This stems from the biased assumption that they will take frequent leave or be less committed due to family responsibilities. Such prejudices severely limit women's access to secure and sustainable employment.</w:t>
      </w:r>
    </w:p>
    <w:p w14:paraId="00000083"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individuals are often discriminated against based on their gender identity or expression, resulting in a lack of diverse and inclusive career pathways, particularly for women and gender-diverse individuals.</w:t>
      </w:r>
    </w:p>
    <w:p w14:paraId="00000084"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women also face exploitative labor conditions, especially in terms of social protection and welfare. Pregnant women are sometimes forced to resign or are unlawfully terminated, highlighting the absence of adequate protections for female workers in both formal and informal sectors.</w:t>
      </w:r>
    </w:p>
    <w:p w14:paraId="00000085"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Small-scale women farmers in Isaan are also facing food insecurity issues. The government’s efforts to amend the 1999 Plant Variety Protection Act would allow corporations to monopolize local seed varieties. This could prevent small farmers from accessing seeds, strip them of land rights (especially those without title deeds), and expose their farmland to pollution from industrial activities.</w:t>
      </w:r>
    </w:p>
    <w:p w14:paraId="00000089" w14:textId="79625EF0" w:rsidR="00E04332" w:rsidRDefault="00000000" w:rsidP="00E752E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Large-scale development projects in the Isaan region—such as industrial plants, sugar factories, biomass power plants, mining, dams, and railways—are also causing problems. Although laws require Environmental Impact Assessments (EIA) or Environmental and Health Impact Assessments (EHIA), these processes often become ceremonial. Authorities frequently use police to block dissenters from participating, especially rural women and female human rights defenders with strong ties to their land and communities. These women, often leading the resistance to such projects, are frequently threatened, harassed, or prosecuted.</w:t>
      </w:r>
      <w:r w:rsidR="00E752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These actions contradict Thailand’s National Action Plan on Business and Human Rights (NAP). </w:t>
      </w:r>
    </w:p>
    <w:p w14:paraId="4E376DD6" w14:textId="77777777" w:rsidR="00E752E0" w:rsidRDefault="00E752E0" w:rsidP="00E752E0">
      <w:pPr>
        <w:widowControl w:val="0"/>
        <w:spacing w:line="360" w:lineRule="auto"/>
        <w:ind w:firstLine="720"/>
        <w:jc w:val="both"/>
        <w:rPr>
          <w:rFonts w:ascii="Times New Roman" w:eastAsia="Times New Roman" w:hAnsi="Times New Roman" w:cs="Times New Roman"/>
          <w:sz w:val="24"/>
          <w:szCs w:val="24"/>
        </w:rPr>
      </w:pPr>
    </w:p>
    <w:p w14:paraId="0000008A" w14:textId="77777777" w:rsidR="00E04332" w:rsidRDefault="00000000">
      <w:pPr>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8B" w14:textId="77777777" w:rsidR="00E04332" w:rsidRDefault="00000000">
      <w:pPr>
        <w:widowControl w:val="0"/>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Draft a new constitution with no less than 10% representation of Isaan women in the drafting process.</w:t>
      </w:r>
    </w:p>
    <w:p w14:paraId="0000008C" w14:textId="77777777" w:rsidR="00E04332" w:rsidRDefault="00000000">
      <w:pPr>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 protections for women and gender-diverse small-scale farmers in the constitution, guaranteeing land ownership of at least 2 rai for women in agriculture.</w:t>
      </w:r>
    </w:p>
    <w:p w14:paraId="0000008D" w14:textId="77777777" w:rsidR="00E04332" w:rsidRDefault="00000000">
      <w:pPr>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Enact laws to protect women and gender-diverse human rights defenders from violence by the state and private sector, including an Anti-SLAPP law.</w:t>
      </w:r>
    </w:p>
    <w:p w14:paraId="0000008E" w14:textId="77777777" w:rsidR="00E04332" w:rsidRDefault="00000000">
      <w:pPr>
        <w:widowControl w:val="0"/>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the 1992 Environmental Quality Promotion and Preservation Act to protect women and gender-diverse rights defenders from the impacts of climate change.</w:t>
      </w:r>
    </w:p>
    <w:p w14:paraId="0000008F" w14:textId="77777777" w:rsidR="00E04332" w:rsidRDefault="00000000">
      <w:pPr>
        <w:widowControl w:val="0"/>
        <w:numPr>
          <w:ilvl w:val="0"/>
          <w:numId w:val="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Reconsider amendments to the 1999 Plant Variety Protection Act to prevent monopolization of local seed varieties.</w:t>
      </w:r>
      <w:r>
        <w:rPr>
          <w:rFonts w:ascii="Times New Roman" w:eastAsia="Times New Roman" w:hAnsi="Times New Roman" w:cs="Times New Roman"/>
          <w:sz w:val="24"/>
          <w:szCs w:val="24"/>
        </w:rPr>
        <w:br/>
      </w:r>
    </w:p>
    <w:p w14:paraId="00000090" w14:textId="0A5B08E6" w:rsidR="00E0433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Section </w:t>
      </w:r>
      <w:r w:rsidR="00875336">
        <w:rPr>
          <w:rFonts w:ascii="Times New Roman" w:eastAsia="Times New Roman" w:hAnsi="Times New Roman" w:cs="Times New Roman"/>
          <w:b/>
          <w:sz w:val="24"/>
          <w:szCs w:val="24"/>
        </w:rPr>
        <w:t>4:</w:t>
      </w:r>
      <w:r>
        <w:rPr>
          <w:rFonts w:ascii="Times New Roman" w:eastAsia="Times New Roman" w:hAnsi="Times New Roman" w:cs="Times New Roman"/>
          <w:b/>
          <w:sz w:val="24"/>
          <w:szCs w:val="24"/>
        </w:rPr>
        <w:t xml:space="preserve"> Unfair migration and Human trafficking, case of Migrants berry pucker </w:t>
      </w:r>
    </w:p>
    <w:p w14:paraId="00000091"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2005, more than 120,000 Thai workers, mostly small-scale farmers from Northeastern Thailand (Isaan), have been recruited to work in Finland and Sweden’s wild berry industry. Attracted by promises of high earnings, these workers often incur debts of €1,000–2,000 to cover recruitment fees, visas, and travel. Upon arrival, they work 8–20 hours per day for 60–80 consecutive days, with little rest, to repay debts—conditions that mirror modern-day debt bondage.</w:t>
      </w:r>
    </w:p>
    <w:p w14:paraId="00000092"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contributing 80–90% of berry yields and generating over €250 million annually in Finland, Thai workers are excluded from labor protections, especially in Finland, where they are classified as "independent tourist entrepreneurs." This misclassification has systematically denied them the right to fair wages, complaint mechanisms, and legal redress.</w:t>
      </w:r>
    </w:p>
    <w:p w14:paraId="00000093"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survey of 410 Thai workers (280 in Finland, 130 in Sweden) revealed that 90% are from Isaan, with 82.2% being first-time workers, often recruited through centralized systems targeting poor rural communities. Many return home with devastating financial and social consequences, including lost homes, land, children pulled from school, and serious mental and physical health issues.</w:t>
      </w:r>
    </w:p>
    <w:p w14:paraId="00000094"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past two decades, thousands of formal complaints have been filed, particularly in Sweden. However, in Thailand, corruption and collusion between recruiters, companies, and officials have enabled the system to persist, often silencing worker voices. Legal victories, such as a 2022 Finnish Supreme Court ruling on human trafficking, mark progress—but exploitation continues through new informal payment schemes and debt cycles.</w:t>
      </w:r>
    </w:p>
    <w:p w14:paraId="00000095"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re-establishment of the Migrant Workers Union of Thailand (MWUT) in 2024 represents a pivotal moment for worker advocacy. Meaningful reform must now center Thai workers’ voices, recognize their legal status, and dismantle the exploitative structures that have endured for two decades.</w:t>
      </w:r>
    </w:p>
    <w:p w14:paraId="00000096" w14:textId="77777777" w:rsidR="00E04332" w:rsidRDefault="00E04332">
      <w:pPr>
        <w:widowControl w:val="0"/>
        <w:spacing w:line="360" w:lineRule="auto"/>
        <w:ind w:firstLine="720"/>
        <w:jc w:val="both"/>
        <w:rPr>
          <w:rFonts w:ascii="Times New Roman" w:eastAsia="Times New Roman" w:hAnsi="Times New Roman" w:cs="Times New Roman"/>
          <w:sz w:val="24"/>
          <w:szCs w:val="24"/>
        </w:rPr>
      </w:pPr>
    </w:p>
    <w:p w14:paraId="00000097" w14:textId="77777777" w:rsidR="00E04332" w:rsidRDefault="00000000">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Severe Impact on Women and Families</w:t>
      </w:r>
    </w:p>
    <w:p w14:paraId="00000098" w14:textId="7777777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Women and families continue to suffer significant consequences upon returning to Thailand. Mothers face cruel choices between repaying debt and funding their children’s education. The statement “Children do not attend school regularly due to lack of money” is common among returning migrant workers. Female-headed households are especially affected—forced to withdraw children from school, sell inherited property, or relinquish farmland. This perpetuates cycles of poverty and discrimination across generations. While Nordic societies pride themselves on their women’s rights standards, Thai women workers and their children are pushed into deeper vulnerability by systems designed to exploit their economic precarity.</w:t>
      </w:r>
    </w:p>
    <w:p w14:paraId="00000099" w14:textId="77777777" w:rsidR="00E04332" w:rsidRDefault="00000000">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Significant Gendered Impacts</w:t>
      </w:r>
      <w:r>
        <w:rPr>
          <w:rFonts w:ascii="Cordia New" w:eastAsia="Cordia New" w:hAnsi="Cordia New" w:cs="Cordia New"/>
          <w:b/>
          <w:sz w:val="28"/>
          <w:szCs w:val="28"/>
        </w:rPr>
        <w:t xml:space="preserve"> </w:t>
      </w:r>
      <w:r>
        <w:rPr>
          <w:rFonts w:ascii="Times New Roman" w:eastAsia="Times New Roman" w:hAnsi="Times New Roman" w:cs="Times New Roman"/>
          <w:b/>
          <w:sz w:val="24"/>
          <w:szCs w:val="24"/>
        </w:rPr>
        <w:t>are:</w:t>
      </w:r>
    </w:p>
    <w:p w14:paraId="0000009A" w14:textId="7777777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 Debt Cycles and Gendered Asset Loss : </w:t>
      </w:r>
      <w:r>
        <w:rPr>
          <w:rFonts w:ascii="Times New Roman" w:eastAsia="Times New Roman" w:hAnsi="Times New Roman" w:cs="Times New Roman"/>
          <w:sz w:val="24"/>
          <w:szCs w:val="24"/>
        </w:rPr>
        <w:t>In rural Thailand, women traditionally save in gold—both ornament and investment. Forced to sell it to repay debt, they lose lifelong financial security. Mortgaging farmland undermines women’s roles as primary food producers, stripping them of income and food security. This economic system imposes upfront debt (€1,000–2,000), a large amount for small-scale farmers. Workers must labor 8–20 hours a day for 60–80 consecutive days just to repay these debts, resembling modern debt bondage—especially harmful to women.</w:t>
      </w:r>
    </w:p>
    <w:p w14:paraId="0000009B" w14:textId="7777777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Food Insecurity and Health Impacts with a Gender Dimension: </w:t>
      </w:r>
      <w:r>
        <w:rPr>
          <w:rFonts w:ascii="Times New Roman" w:eastAsia="Times New Roman" w:hAnsi="Times New Roman" w:cs="Times New Roman"/>
          <w:sz w:val="24"/>
          <w:szCs w:val="24"/>
        </w:rPr>
        <w:t>Women reported deteriorating mental health—e.g., “Started developing depression,” and stress-related illnesses like “Stress migraines, no money for children’s school fees.” Despite harsh working conditions, women must continue caregiving even when health declines. Financial pressure forces hard choices like delaying medical treatment or reducing food spending to repay debts—long-term health implications ensue.</w:t>
      </w:r>
    </w:p>
    <w:p w14:paraId="0000009C" w14:textId="7777777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 Intergenerational Care Burden on Women: </w:t>
      </w:r>
      <w:r>
        <w:rPr>
          <w:rFonts w:ascii="Times New Roman" w:eastAsia="Times New Roman" w:hAnsi="Times New Roman" w:cs="Times New Roman"/>
          <w:sz w:val="24"/>
          <w:szCs w:val="24"/>
        </w:rPr>
        <w:t xml:space="preserve">Female family members left behind carry increased caregiving responsibilities. Mothers and grandmothers assume debt burdens from younger generations. When mothers go berry-picking, grandmothers often care for grandchildren, increasing the load on elderly women who themselves need care. </w:t>
      </w:r>
      <w:r>
        <w:rPr>
          <w:rFonts w:ascii="Times New Roman" w:eastAsia="Times New Roman" w:hAnsi="Times New Roman" w:cs="Times New Roman"/>
          <w:b/>
          <w:sz w:val="24"/>
          <w:szCs w:val="24"/>
        </w:rPr>
        <w:t>This inequality is not merely a labor issue—it is a clear violation of obligations under the CEDAW Convention</w:t>
      </w:r>
      <w:r>
        <w:rPr>
          <w:rFonts w:ascii="Times New Roman" w:eastAsia="Times New Roman" w:hAnsi="Times New Roman" w:cs="Times New Roman"/>
          <w:sz w:val="24"/>
          <w:szCs w:val="24"/>
        </w:rPr>
        <w:t>, ratified by Thailand, Finland, and Sweden since the 1980s. Failure to protect women from such exploitation undermines individual rights, rural communities, and sustainable development.</w:t>
      </w:r>
    </w:p>
    <w:p w14:paraId="0000009D" w14:textId="77777777" w:rsidR="00E04332" w:rsidRDefault="00000000">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 of Article 11: The Right to Work and Economic Opportunity</w:t>
      </w:r>
    </w:p>
    <w:p w14:paraId="0000009F" w14:textId="7B930790" w:rsidR="00E04332" w:rsidRPr="00B43FC1" w:rsidRDefault="00000000">
      <w:pPr>
        <w:widowControl w:val="0"/>
        <w:spacing w:before="240" w:after="240" w:line="360" w:lineRule="auto"/>
        <w:jc w:val="both"/>
        <w:rPr>
          <w:rFonts w:ascii="Times New Roman" w:eastAsia="Times New Roman" w:hAnsi="Times New Roman" w:cstheme="minorBidi"/>
          <w:sz w:val="24"/>
          <w:szCs w:val="24"/>
          <w:lang w:val="en-US"/>
        </w:rPr>
      </w:pPr>
      <w:r>
        <w:rPr>
          <w:rFonts w:ascii="Times New Roman" w:eastAsia="Times New Roman" w:hAnsi="Times New Roman" w:cs="Times New Roman"/>
          <w:sz w:val="24"/>
          <w:szCs w:val="24"/>
        </w:rPr>
        <w:t xml:space="preserve">The berry-picking labor recruitment system in Nordic countries systematically violates women’s rights to work and economic opportunities, particularly for rural women from economically disadvantaged </w:t>
      </w:r>
      <w:r>
        <w:rPr>
          <w:rFonts w:ascii="Times New Roman" w:eastAsia="Times New Roman" w:hAnsi="Times New Roman" w:cs="Times New Roman"/>
          <w:sz w:val="24"/>
          <w:szCs w:val="24"/>
        </w:rPr>
        <w:lastRenderedPageBreak/>
        <w:t xml:space="preserve">regions of Thailand. Classifying Thai workers as “independent tourism entrepreneurs” is a systemic mechanism to deny them basic </w:t>
      </w:r>
      <w:r w:rsidR="00875336">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rights. Women are disproportionately affected due to gendered task assignments that often yield lower pay.</w:t>
      </w:r>
      <w:r w:rsidR="00875336">
        <w:rPr>
          <w:rFonts w:ascii="Times New Roman" w:eastAsia="Times New Roman" w:hAnsi="Times New Roman" w:cstheme="minorBidi" w:hint="cs"/>
          <w:sz w:val="24"/>
          <w:szCs w:val="24"/>
          <w:cs/>
        </w:rPr>
        <w:t xml:space="preserve"> </w:t>
      </w:r>
      <w:r>
        <w:rPr>
          <w:rFonts w:ascii="Times New Roman" w:eastAsia="Times New Roman" w:hAnsi="Times New Roman" w:cs="Times New Roman"/>
          <w:sz w:val="24"/>
          <w:szCs w:val="24"/>
        </w:rPr>
        <w:t xml:space="preserve">Despite generating over €250 million annually for Finland and harvesting 80–90% of total berries, these women are excluded from labor protections, lack social security, grievance mechanisms, and access to justice. </w:t>
      </w:r>
    </w:p>
    <w:p w14:paraId="000000A0" w14:textId="77777777" w:rsidR="00E04332" w:rsidRDefault="00000000">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 of Article 13: Economic and Social Benefits</w:t>
      </w:r>
    </w:p>
    <w:p w14:paraId="000000A1" w14:textId="22B4959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Nordic berry industry clearly violates the principle of eliminating discrimination against women in economic life. Exploitative lending practices severely hinder women’s access to financial resources. Informal debt arrangements with interest rates as high as 5% per month (60% per year) disproportionately burden female-headed households. Women are often forced to sell personal items, like gold jewelry—a traditional form of rural women’s savings. </w:t>
      </w:r>
    </w:p>
    <w:p w14:paraId="000000A2" w14:textId="77777777" w:rsidR="00E04332" w:rsidRDefault="00000000">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 of Article 14: Rights of Rural Women</w:t>
      </w:r>
    </w:p>
    <w:p w14:paraId="000000A3" w14:textId="7777777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survey of 410 Thai workers revealed 90% were from the northeastern region, and 82.2% were new workers recruited through systems targeting poor rural communities. Systemic violations of rural women’s rights include disrupting agricultural livelihoods, family care networks, and food security. One testimony: “Can’t farm because the land was mortgaged; loss: 12,000 THB plus 100,000 THB lost farm income” shows not just immediate financial loss but the destruction of sustainable livelihoods. Rural women are often primary food producers and providers of food security for their families.</w:t>
      </w:r>
    </w:p>
    <w:p w14:paraId="000000A5" w14:textId="77777777" w:rsidR="00E04332" w:rsidRDefault="00000000">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 of Article 16: Equality in Family Relations</w:t>
      </w:r>
    </w:p>
    <w:p w14:paraId="000000A6" w14:textId="077EE2F9"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Exploitation in the berry industry leads to family breakdowns disproportionately affecting women as primary caregivers. Children are directly affected when mothers must withdraw them from school to repay debt, reducing long-term life opportunities—especially for girls—thus perpetuating cycles of poverty and discrimination.</w:t>
      </w:r>
    </w:p>
    <w:p w14:paraId="000000A7" w14:textId="77777777" w:rsidR="00E04332" w:rsidRDefault="00000000">
      <w:pPr>
        <w:pStyle w:val="Heading3"/>
        <w:keepNext w:val="0"/>
        <w:keepLines w:val="0"/>
        <w:widowControl w:val="0"/>
        <w:spacing w:before="0" w:after="0" w:line="360" w:lineRule="auto"/>
        <w:jc w:val="both"/>
        <w:rPr>
          <w:rFonts w:ascii="Times New Roman" w:eastAsia="Times New Roman" w:hAnsi="Times New Roman" w:cs="Times New Roman"/>
          <w:b/>
          <w:color w:val="000000"/>
          <w:sz w:val="24"/>
          <w:szCs w:val="24"/>
        </w:rPr>
      </w:pPr>
      <w:bookmarkStart w:id="2" w:name="_heading=h.gou6d9hwcbb6" w:colFirst="0" w:colLast="0"/>
      <w:bookmarkEnd w:id="2"/>
      <w:r>
        <w:rPr>
          <w:rFonts w:ascii="Times New Roman" w:eastAsia="Times New Roman" w:hAnsi="Times New Roman" w:cs="Times New Roman"/>
          <w:b/>
          <w:color w:val="000000"/>
          <w:sz w:val="24"/>
          <w:szCs w:val="24"/>
        </w:rPr>
        <w:t>Recommendations</w:t>
      </w:r>
    </w:p>
    <w:p w14:paraId="000000A8" w14:textId="77777777" w:rsidR="00E04332" w:rsidRDefault="00000000">
      <w:pPr>
        <w:pStyle w:val="Heading4"/>
        <w:keepNext w:val="0"/>
        <w:keepLines w:val="0"/>
        <w:widowControl w:val="0"/>
        <w:spacing w:before="0" w:after="0" w:line="360" w:lineRule="auto"/>
        <w:jc w:val="both"/>
        <w:rPr>
          <w:rFonts w:ascii="Times New Roman" w:eastAsia="Times New Roman" w:hAnsi="Times New Roman" w:cs="Times New Roman"/>
          <w:b/>
          <w:color w:val="000000"/>
        </w:rPr>
      </w:pPr>
      <w:bookmarkStart w:id="3" w:name="_heading=h.gwc1knc3ctck" w:colFirst="0" w:colLast="0"/>
      <w:bookmarkEnd w:id="3"/>
      <w:r>
        <w:rPr>
          <w:rFonts w:ascii="Times New Roman" w:eastAsia="Times New Roman" w:hAnsi="Times New Roman" w:cs="Times New Roman"/>
          <w:b/>
          <w:color w:val="000000"/>
        </w:rPr>
        <w:t>1 Reform Relevant Laws and Regulations</w:t>
      </w:r>
    </w:p>
    <w:p w14:paraId="000000A9" w14:textId="77777777" w:rsidR="00E0433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Thailand must revise and modernize outdated laws and regulations that affect labor migration and the protection of Thai workers abroad. These include:</w:t>
      </w:r>
    </w:p>
    <w:p w14:paraId="000000AA" w14:textId="77777777" w:rsidR="00E04332" w:rsidRDefault="00000000">
      <w:pPr>
        <w:widowControl w:val="0"/>
        <w:numPr>
          <w:ilvl w:val="0"/>
          <w:numId w:val="1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Regulations of the Assistance Fund for Workers</w:t>
      </w:r>
      <w:r>
        <w:rPr>
          <w:rFonts w:ascii="Times New Roman" w:eastAsia="Times New Roman" w:hAnsi="Times New Roman" w:cs="Times New Roman"/>
          <w:sz w:val="24"/>
          <w:szCs w:val="24"/>
        </w:rPr>
        <w:t xml:space="preserve">, which should be expanded and made </w:t>
      </w:r>
      <w:r>
        <w:rPr>
          <w:rFonts w:ascii="Times New Roman" w:eastAsia="Times New Roman" w:hAnsi="Times New Roman" w:cs="Times New Roman"/>
          <w:sz w:val="24"/>
          <w:szCs w:val="24"/>
        </w:rPr>
        <w:lastRenderedPageBreak/>
        <w:t>more accessible to victims of exploitation.</w:t>
      </w:r>
    </w:p>
    <w:p w14:paraId="000000AB" w14:textId="77777777" w:rsidR="00E04332" w:rsidRDefault="00000000">
      <w:pPr>
        <w:widowControl w:val="0"/>
        <w:numPr>
          <w:ilvl w:val="0"/>
          <w:numId w:val="1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Employment and Job-Seeker Protection Act (B.E. 2528/1985)</w:t>
      </w:r>
      <w:r>
        <w:rPr>
          <w:rFonts w:ascii="Times New Roman" w:eastAsia="Times New Roman" w:hAnsi="Times New Roman" w:cs="Times New Roman"/>
          <w:sz w:val="24"/>
          <w:szCs w:val="24"/>
        </w:rPr>
        <w:t>, which must be amended to reflect current labor migration dynamics, protect workers from predatory brokers, and ensure greater accountability.</w:t>
      </w:r>
    </w:p>
    <w:p w14:paraId="000000AC" w14:textId="77777777" w:rsidR="00E04332" w:rsidRDefault="00000000">
      <w:pPr>
        <w:widowControl w:val="0"/>
        <w:numPr>
          <w:ilvl w:val="0"/>
          <w:numId w:val="15"/>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Anti-Trafficking in Persons Act</w:t>
      </w:r>
      <w:r>
        <w:rPr>
          <w:rFonts w:ascii="Times New Roman" w:eastAsia="Times New Roman" w:hAnsi="Times New Roman" w:cs="Times New Roman"/>
          <w:sz w:val="24"/>
          <w:szCs w:val="24"/>
        </w:rPr>
        <w:t>, which should be strengthened to cover transnational labor exploitation more comprehensively and ensure effective enforcement.</w:t>
      </w:r>
      <w:r>
        <w:rPr>
          <w:rFonts w:ascii="Times New Roman" w:eastAsia="Times New Roman" w:hAnsi="Times New Roman" w:cs="Times New Roman"/>
          <w:sz w:val="24"/>
          <w:szCs w:val="24"/>
        </w:rPr>
        <w:br/>
      </w:r>
    </w:p>
    <w:p w14:paraId="000000AD" w14:textId="77777777" w:rsidR="00E04332" w:rsidRDefault="00000000">
      <w:pPr>
        <w:pStyle w:val="Heading4"/>
        <w:keepNext w:val="0"/>
        <w:keepLines w:val="0"/>
        <w:widowControl w:val="0"/>
        <w:spacing w:before="0" w:after="0" w:line="360" w:lineRule="auto"/>
        <w:jc w:val="both"/>
        <w:rPr>
          <w:rFonts w:ascii="Times New Roman" w:eastAsia="Times New Roman" w:hAnsi="Times New Roman" w:cs="Times New Roman"/>
          <w:b/>
          <w:color w:val="000000"/>
        </w:rPr>
      </w:pPr>
      <w:bookmarkStart w:id="4" w:name="_heading=h.qrmz9yd4jmdu" w:colFirst="0" w:colLast="0"/>
      <w:bookmarkEnd w:id="4"/>
      <w:r>
        <w:rPr>
          <w:rFonts w:ascii="Times New Roman" w:eastAsia="Times New Roman" w:hAnsi="Times New Roman" w:cs="Times New Roman"/>
          <w:b/>
          <w:color w:val="000000"/>
        </w:rPr>
        <w:t>2 Apply the 4R Framework to Address Labor Exploitation</w:t>
      </w:r>
    </w:p>
    <w:p w14:paraId="000000AE" w14:textId="77777777" w:rsidR="00E0433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comprehensive solution must be grounded in the </w:t>
      </w:r>
      <w:r>
        <w:rPr>
          <w:rFonts w:ascii="Times New Roman" w:eastAsia="Times New Roman" w:hAnsi="Times New Roman" w:cs="Times New Roman"/>
          <w:b/>
          <w:sz w:val="24"/>
          <w:szCs w:val="24"/>
        </w:rPr>
        <w:t>4R Framework</w:t>
      </w:r>
      <w:r>
        <w:rPr>
          <w:rFonts w:ascii="Times New Roman" w:eastAsia="Times New Roman" w:hAnsi="Times New Roman" w:cs="Times New Roman"/>
          <w:sz w:val="24"/>
          <w:szCs w:val="24"/>
        </w:rPr>
        <w:t>, a holistic, victim-centred approach:</w:t>
      </w:r>
    </w:p>
    <w:p w14:paraId="000000AF" w14:textId="77777777" w:rsidR="00E04332" w:rsidRDefault="00000000">
      <w:pPr>
        <w:widowControl w:val="0"/>
        <w:numPr>
          <w:ilvl w:val="0"/>
          <w:numId w:val="1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Resolve</w:t>
      </w:r>
      <w:r>
        <w:rPr>
          <w:rFonts w:ascii="Times New Roman" w:eastAsia="Times New Roman" w:hAnsi="Times New Roman" w:cs="Times New Roman"/>
          <w:sz w:val="24"/>
          <w:szCs w:val="24"/>
        </w:rPr>
        <w:t>: Acknowledge the problem of systemic exploitation and commit to concrete legal and policy reforms.</w:t>
      </w:r>
    </w:p>
    <w:p w14:paraId="000000B0" w14:textId="77777777" w:rsidR="00E04332" w:rsidRDefault="00000000">
      <w:pPr>
        <w:widowControl w:val="0"/>
        <w:numPr>
          <w:ilvl w:val="0"/>
          <w:numId w:val="1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Reinvestigate</w:t>
      </w:r>
      <w:r>
        <w:rPr>
          <w:rFonts w:ascii="Times New Roman" w:eastAsia="Times New Roman" w:hAnsi="Times New Roman" w:cs="Times New Roman"/>
          <w:sz w:val="24"/>
          <w:szCs w:val="24"/>
        </w:rPr>
        <w:t>: Reopen and thoroughly review previous labor trafficking cases and recruitment abuses. Identify institutional failures and hold perpetrators accountable.</w:t>
      </w:r>
    </w:p>
    <w:p w14:paraId="000000B1" w14:textId="77777777" w:rsidR="00E04332" w:rsidRDefault="00000000">
      <w:pPr>
        <w:widowControl w:val="0"/>
        <w:numPr>
          <w:ilvl w:val="0"/>
          <w:numId w:val="1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Renegotiate</w:t>
      </w:r>
      <w:r>
        <w:rPr>
          <w:rFonts w:ascii="Times New Roman" w:eastAsia="Times New Roman" w:hAnsi="Times New Roman" w:cs="Times New Roman"/>
          <w:sz w:val="24"/>
          <w:szCs w:val="24"/>
        </w:rPr>
        <w:t>: Reassess and renegotiate labor recruitment terms, quota systems, and bilateral arrangements to center on workers’ rights, dignity, and protections.</w:t>
      </w:r>
    </w:p>
    <w:p w14:paraId="000000B2" w14:textId="77777777" w:rsidR="00E04332" w:rsidRDefault="00000000">
      <w:pPr>
        <w:widowControl w:val="0"/>
        <w:numPr>
          <w:ilvl w:val="0"/>
          <w:numId w:val="16"/>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Resettlement, Reparation, and Renewal</w:t>
      </w:r>
      <w:r>
        <w:rPr>
          <w:rFonts w:ascii="Times New Roman" w:eastAsia="Times New Roman" w:hAnsi="Times New Roman" w:cs="Times New Roman"/>
          <w:sz w:val="24"/>
          <w:szCs w:val="24"/>
        </w:rPr>
        <w:t>: Provide long-term support for affected workers through compensation schemes, psychosocial services, economic reintegration, and debt relief.</w:t>
      </w:r>
      <w:r>
        <w:rPr>
          <w:rFonts w:ascii="Times New Roman" w:eastAsia="Times New Roman" w:hAnsi="Times New Roman" w:cs="Times New Roman"/>
          <w:sz w:val="24"/>
          <w:szCs w:val="24"/>
        </w:rPr>
        <w:br/>
      </w:r>
    </w:p>
    <w:p w14:paraId="000000B3" w14:textId="77777777" w:rsidR="00E04332" w:rsidRDefault="00000000">
      <w:pPr>
        <w:pStyle w:val="Heading4"/>
        <w:keepNext w:val="0"/>
        <w:keepLines w:val="0"/>
        <w:widowControl w:val="0"/>
        <w:spacing w:before="0" w:after="0" w:line="360" w:lineRule="auto"/>
        <w:jc w:val="both"/>
        <w:rPr>
          <w:rFonts w:ascii="Times New Roman" w:eastAsia="Times New Roman" w:hAnsi="Times New Roman" w:cs="Times New Roman"/>
          <w:b/>
          <w:color w:val="000000"/>
        </w:rPr>
      </w:pPr>
      <w:bookmarkStart w:id="5" w:name="_heading=h.hyhgo6c762wz" w:colFirst="0" w:colLast="0"/>
      <w:bookmarkEnd w:id="5"/>
      <w:r>
        <w:rPr>
          <w:rFonts w:ascii="Times New Roman" w:eastAsia="Times New Roman" w:hAnsi="Times New Roman" w:cs="Times New Roman"/>
          <w:b/>
          <w:color w:val="000000"/>
        </w:rPr>
        <w:t>3 Review and Reform Bilateral Labor Agreements</w:t>
      </w:r>
    </w:p>
    <w:p w14:paraId="000000B4"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Thailand must reassess </w:t>
      </w:r>
      <w:r>
        <w:rPr>
          <w:rFonts w:ascii="Times New Roman" w:eastAsia="Times New Roman" w:hAnsi="Times New Roman" w:cs="Times New Roman"/>
          <w:b/>
          <w:sz w:val="24"/>
          <w:szCs w:val="24"/>
        </w:rPr>
        <w:t>bilateral labor agreements</w:t>
      </w:r>
      <w:r>
        <w:rPr>
          <w:rFonts w:ascii="Times New Roman" w:eastAsia="Times New Roman" w:hAnsi="Times New Roman" w:cs="Times New Roman"/>
          <w:sz w:val="24"/>
          <w:szCs w:val="24"/>
        </w:rPr>
        <w:t xml:space="preserve"> with destination countries to ensure they serve the interests of Thai workers. These agreements should include enforceable labor protections, grievance mechanisms, and regular monitoring processes.</w:t>
      </w:r>
    </w:p>
    <w:p w14:paraId="000000B5" w14:textId="77777777" w:rsidR="00E04332" w:rsidRDefault="00E04332">
      <w:pPr>
        <w:widowControl w:val="0"/>
        <w:spacing w:line="360" w:lineRule="auto"/>
        <w:jc w:val="both"/>
        <w:rPr>
          <w:rFonts w:ascii="Times New Roman" w:eastAsia="Times New Roman" w:hAnsi="Times New Roman" w:cs="Times New Roman"/>
          <w:sz w:val="24"/>
          <w:szCs w:val="24"/>
        </w:rPr>
      </w:pPr>
    </w:p>
    <w:p w14:paraId="000000B6" w14:textId="77777777" w:rsidR="00E04332" w:rsidRDefault="00000000">
      <w:pPr>
        <w:pStyle w:val="Heading4"/>
        <w:keepNext w:val="0"/>
        <w:keepLines w:val="0"/>
        <w:widowControl w:val="0"/>
        <w:spacing w:before="0" w:after="0" w:line="360" w:lineRule="auto"/>
        <w:jc w:val="both"/>
        <w:rPr>
          <w:rFonts w:ascii="Times New Roman" w:eastAsia="Times New Roman" w:hAnsi="Times New Roman" w:cs="Times New Roman"/>
          <w:b/>
          <w:color w:val="000000"/>
        </w:rPr>
      </w:pPr>
      <w:bookmarkStart w:id="6" w:name="_heading=h.ntz6t9bxtra9" w:colFirst="0" w:colLast="0"/>
      <w:bookmarkEnd w:id="6"/>
      <w:r>
        <w:rPr>
          <w:rFonts w:ascii="Times New Roman" w:eastAsia="Times New Roman" w:hAnsi="Times New Roman" w:cs="Times New Roman"/>
          <w:b/>
          <w:color w:val="000000"/>
        </w:rPr>
        <w:t>4 Promote Government-to-Government (G2G) Labor Migration</w:t>
      </w:r>
    </w:p>
    <w:p w14:paraId="000000B7" w14:textId="77777777" w:rsidR="00E04332" w:rsidRDefault="00000000">
      <w:pPr>
        <w:widowControl w:val="0"/>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and prioritize the </w:t>
      </w:r>
      <w:r>
        <w:rPr>
          <w:rFonts w:ascii="Times New Roman" w:eastAsia="Times New Roman" w:hAnsi="Times New Roman" w:cs="Times New Roman"/>
          <w:b/>
          <w:sz w:val="24"/>
          <w:szCs w:val="24"/>
        </w:rPr>
        <w:t>G2G labor migration model</w:t>
      </w:r>
      <w:r>
        <w:rPr>
          <w:rFonts w:ascii="Times New Roman" w:eastAsia="Times New Roman" w:hAnsi="Times New Roman" w:cs="Times New Roman"/>
          <w:sz w:val="24"/>
          <w:szCs w:val="24"/>
        </w:rPr>
        <w:t>, which offers a more transparent and accountable process for deploying Thai workers abroad. This should include:</w:t>
      </w:r>
    </w:p>
    <w:p w14:paraId="000000B8" w14:textId="77777777" w:rsidR="00E04332" w:rsidRDefault="00000000">
      <w:pPr>
        <w:widowControl w:val="0"/>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Pre-departure training and rights awareness</w:t>
      </w:r>
    </w:p>
    <w:p w14:paraId="000000B9" w14:textId="77777777" w:rsidR="00E04332" w:rsidRDefault="00000000">
      <w:pPr>
        <w:widowControl w:val="0"/>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Fair recruitment practices</w:t>
      </w:r>
    </w:p>
    <w:p w14:paraId="000000BA" w14:textId="77777777" w:rsidR="00E04332" w:rsidRDefault="00000000">
      <w:pPr>
        <w:widowControl w:val="0"/>
        <w:numPr>
          <w:ilvl w:val="0"/>
          <w:numId w:val="20"/>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Ongoing legal protection and support services in destination countries</w:t>
      </w:r>
    </w:p>
    <w:p w14:paraId="000000BB" w14:textId="77777777" w:rsidR="00E04332" w:rsidRDefault="00E04332">
      <w:pPr>
        <w:widowControl w:val="0"/>
        <w:spacing w:line="360" w:lineRule="auto"/>
        <w:ind w:left="720"/>
        <w:rPr>
          <w:rFonts w:ascii="Times New Roman" w:eastAsia="Times New Roman" w:hAnsi="Times New Roman" w:cs="Times New Roman"/>
          <w:sz w:val="24"/>
          <w:szCs w:val="24"/>
        </w:rPr>
      </w:pPr>
    </w:p>
    <w:p w14:paraId="000000BC" w14:textId="77777777" w:rsidR="00E04332" w:rsidRDefault="00000000">
      <w:pPr>
        <w:pStyle w:val="Heading4"/>
        <w:keepNext w:val="0"/>
        <w:keepLines w:val="0"/>
        <w:widowControl w:val="0"/>
        <w:spacing w:before="0" w:after="0" w:line="360" w:lineRule="auto"/>
        <w:jc w:val="both"/>
        <w:rPr>
          <w:rFonts w:ascii="Times New Roman" w:eastAsia="Times New Roman" w:hAnsi="Times New Roman" w:cs="Times New Roman"/>
          <w:b/>
          <w:color w:val="000000"/>
        </w:rPr>
      </w:pPr>
      <w:bookmarkStart w:id="7" w:name="_heading=h.ctg9sdiu29h" w:colFirst="0" w:colLast="0"/>
      <w:bookmarkEnd w:id="7"/>
      <w:r>
        <w:rPr>
          <w:rFonts w:ascii="Times New Roman" w:eastAsia="Times New Roman" w:hAnsi="Times New Roman" w:cs="Times New Roman"/>
          <w:b/>
          <w:color w:val="000000"/>
        </w:rPr>
        <w:t>5 Encourage Fair Business Practices and Ethical Recruitment</w:t>
      </w:r>
    </w:p>
    <w:p w14:paraId="000000BD" w14:textId="77777777" w:rsidR="00E04332" w:rsidRDefault="00000000">
      <w:pPr>
        <w:widowControl w:val="0"/>
        <w:spacing w:line="360" w:lineRule="auto"/>
        <w:ind w:firstLine="720"/>
        <w:jc w:val="both"/>
        <w:rPr>
          <w:rFonts w:ascii="Times New Roman" w:eastAsia="Times New Roman" w:hAnsi="Times New Roman" w:cstheme="minorBidi"/>
          <w:sz w:val="24"/>
          <w:szCs w:val="24"/>
        </w:rPr>
      </w:pPr>
      <w:r>
        <w:rPr>
          <w:rFonts w:ascii="Times New Roman" w:eastAsia="Times New Roman" w:hAnsi="Times New Roman" w:cs="Times New Roman"/>
          <w:sz w:val="24"/>
          <w:szCs w:val="24"/>
        </w:rPr>
        <w:t xml:space="preserve">Facilitate partnerships that prioritize </w:t>
      </w:r>
      <w:r>
        <w:rPr>
          <w:rFonts w:ascii="Times New Roman" w:eastAsia="Times New Roman" w:hAnsi="Times New Roman" w:cs="Times New Roman"/>
          <w:b/>
          <w:sz w:val="24"/>
          <w:szCs w:val="24"/>
        </w:rPr>
        <w:t>ethical, rights-based business models</w:t>
      </w:r>
      <w:r>
        <w:rPr>
          <w:rFonts w:ascii="Times New Roman" w:eastAsia="Times New Roman" w:hAnsi="Times New Roman" w:cs="Times New Roman"/>
          <w:sz w:val="24"/>
          <w:szCs w:val="24"/>
        </w:rPr>
        <w:t xml:space="preserve">. Engage both </w:t>
      </w:r>
      <w:r>
        <w:rPr>
          <w:rFonts w:ascii="Times New Roman" w:eastAsia="Times New Roman" w:hAnsi="Times New Roman" w:cs="Times New Roman"/>
          <w:sz w:val="24"/>
          <w:szCs w:val="24"/>
        </w:rPr>
        <w:lastRenderedPageBreak/>
        <w:t xml:space="preserve">domestic and international stakeholders to develop </w:t>
      </w:r>
      <w:r>
        <w:rPr>
          <w:rFonts w:ascii="Times New Roman" w:eastAsia="Times New Roman" w:hAnsi="Times New Roman" w:cs="Times New Roman"/>
          <w:b/>
          <w:sz w:val="24"/>
          <w:szCs w:val="24"/>
        </w:rPr>
        <w:t>fair labor supply chains</w:t>
      </w:r>
      <w:r>
        <w:rPr>
          <w:rFonts w:ascii="Times New Roman" w:eastAsia="Times New Roman" w:hAnsi="Times New Roman" w:cs="Times New Roman"/>
          <w:sz w:val="24"/>
          <w:szCs w:val="24"/>
        </w:rPr>
        <w:t>, with companies held accountable for violations throughout the recruitment and employment process.</w:t>
      </w:r>
    </w:p>
    <w:p w14:paraId="76026394" w14:textId="77777777" w:rsidR="00875336" w:rsidRPr="00875336" w:rsidRDefault="00875336">
      <w:pPr>
        <w:widowControl w:val="0"/>
        <w:spacing w:line="360" w:lineRule="auto"/>
        <w:ind w:firstLine="720"/>
        <w:jc w:val="both"/>
        <w:rPr>
          <w:rFonts w:ascii="Times New Roman" w:eastAsia="Times New Roman" w:hAnsi="Times New Roman" w:cstheme="minorBidi" w:hint="cs"/>
          <w:sz w:val="24"/>
          <w:szCs w:val="24"/>
        </w:rPr>
      </w:pPr>
    </w:p>
    <w:p w14:paraId="000000BE" w14:textId="77777777" w:rsidR="00E04332" w:rsidRDefault="00000000">
      <w:pPr>
        <w:pStyle w:val="Heading4"/>
        <w:keepNext w:val="0"/>
        <w:keepLines w:val="0"/>
        <w:widowControl w:val="0"/>
        <w:spacing w:before="0" w:after="0" w:line="360" w:lineRule="auto"/>
        <w:jc w:val="both"/>
        <w:rPr>
          <w:rFonts w:ascii="Times New Roman" w:eastAsia="Times New Roman" w:hAnsi="Times New Roman" w:cs="Times New Roman"/>
          <w:b/>
          <w:color w:val="000000"/>
        </w:rPr>
      </w:pPr>
      <w:bookmarkStart w:id="8" w:name="_heading=h.7zj9y4hfbqut" w:colFirst="0" w:colLast="0"/>
      <w:bookmarkEnd w:id="8"/>
      <w:r>
        <w:rPr>
          <w:rFonts w:ascii="Times New Roman" w:eastAsia="Times New Roman" w:hAnsi="Times New Roman" w:cs="Times New Roman"/>
          <w:b/>
          <w:color w:val="000000"/>
        </w:rPr>
        <w:t>6 Ensure Transparent and Inclusive Remediation for Victims</w:t>
      </w:r>
    </w:p>
    <w:p w14:paraId="000000BF" w14:textId="77777777" w:rsidR="00E04332" w:rsidRDefault="00000000">
      <w:pPr>
        <w:widowControl w:val="0"/>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 a </w:t>
      </w:r>
      <w:r>
        <w:rPr>
          <w:rFonts w:ascii="Times New Roman" w:eastAsia="Times New Roman" w:hAnsi="Times New Roman" w:cs="Times New Roman"/>
          <w:b/>
          <w:sz w:val="24"/>
          <w:szCs w:val="24"/>
        </w:rPr>
        <w:t>multi-stakeholder task force</w:t>
      </w:r>
      <w:r>
        <w:rPr>
          <w:rFonts w:ascii="Times New Roman" w:eastAsia="Times New Roman" w:hAnsi="Times New Roman" w:cs="Times New Roman"/>
          <w:sz w:val="24"/>
          <w:szCs w:val="24"/>
        </w:rPr>
        <w:t xml:space="preserve"> to oversee </w:t>
      </w:r>
      <w:r>
        <w:rPr>
          <w:rFonts w:ascii="Times New Roman" w:eastAsia="Times New Roman" w:hAnsi="Times New Roman" w:cs="Times New Roman"/>
          <w:b/>
          <w:sz w:val="24"/>
          <w:szCs w:val="24"/>
        </w:rPr>
        <w:t>reparation and remediation efforts</w:t>
      </w:r>
      <w:r>
        <w:rPr>
          <w:rFonts w:ascii="Times New Roman" w:eastAsia="Times New Roman" w:hAnsi="Times New Roman" w:cs="Times New Roman"/>
          <w:sz w:val="24"/>
          <w:szCs w:val="24"/>
        </w:rPr>
        <w:t xml:space="preserve"> for exploited workers. This task force should include:</w:t>
      </w:r>
    </w:p>
    <w:p w14:paraId="000000C0" w14:textId="77777777" w:rsidR="00E04332" w:rsidRDefault="00000000">
      <w:pPr>
        <w:widowControl w:val="0"/>
        <w:numPr>
          <w:ilvl w:val="0"/>
          <w:numId w:val="1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Thai civil society organizations</w:t>
      </w:r>
    </w:p>
    <w:p w14:paraId="000000C1" w14:textId="77777777" w:rsidR="00E04332" w:rsidRDefault="00000000">
      <w:pPr>
        <w:widowControl w:val="0"/>
        <w:numPr>
          <w:ilvl w:val="0"/>
          <w:numId w:val="1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International organizations</w:t>
      </w:r>
      <w:r>
        <w:rPr>
          <w:rFonts w:ascii="Times New Roman" w:eastAsia="Times New Roman" w:hAnsi="Times New Roman" w:cs="Times New Roman"/>
          <w:sz w:val="24"/>
          <w:szCs w:val="24"/>
        </w:rPr>
        <w:t xml:space="preserve"> (such as the ILO, IOM, or UN Women)</w:t>
      </w:r>
    </w:p>
    <w:p w14:paraId="000000C2" w14:textId="77777777" w:rsidR="00E04332" w:rsidRDefault="00000000">
      <w:pPr>
        <w:widowControl w:val="0"/>
        <w:numPr>
          <w:ilvl w:val="0"/>
          <w:numId w:val="18"/>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Independent experts</w:t>
      </w:r>
      <w:r>
        <w:rPr>
          <w:rFonts w:ascii="Times New Roman" w:eastAsia="Times New Roman" w:hAnsi="Times New Roman" w:cs="Times New Roman"/>
          <w:sz w:val="24"/>
          <w:szCs w:val="24"/>
        </w:rPr>
        <w:t xml:space="preserve"> and affected workers themselves</w:t>
      </w:r>
    </w:p>
    <w:p w14:paraId="000000C3" w14:textId="5A6F08E3" w:rsidR="00E04332" w:rsidRDefault="00000000">
      <w:pPr>
        <w:widowControl w:val="0"/>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inclusion of diverse voices will ensure </w:t>
      </w:r>
      <w:r>
        <w:rPr>
          <w:rFonts w:ascii="Times New Roman" w:eastAsia="Times New Roman" w:hAnsi="Times New Roman" w:cs="Times New Roman"/>
          <w:b/>
          <w:sz w:val="24"/>
          <w:szCs w:val="24"/>
        </w:rPr>
        <w:t>transparency, accountability</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effective delivery of support services</w:t>
      </w:r>
      <w:r w:rsidR="00875336">
        <w:rPr>
          <w:rFonts w:ascii="Times New Roman" w:eastAsia="Times New Roman" w:hAnsi="Times New Roman" w:cs="Angsana New"/>
          <w:sz w:val="24"/>
          <w:szCs w:val="30"/>
          <w:lang w:val="en-US"/>
        </w:rPr>
        <w:t xml:space="preserve">, </w:t>
      </w:r>
      <w:r>
        <w:rPr>
          <w:rFonts w:ascii="Times New Roman" w:eastAsia="Times New Roman" w:hAnsi="Times New Roman" w:cs="Times New Roman"/>
          <w:sz w:val="24"/>
          <w:szCs w:val="24"/>
        </w:rPr>
        <w:t>legal aid, mental health care, compensation, and economic reintegration.</w:t>
      </w:r>
    </w:p>
    <w:p w14:paraId="000000C5" w14:textId="65DA2575" w:rsidR="00E04332" w:rsidRDefault="00875336">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000000">
        <w:rPr>
          <w:rFonts w:ascii="Times New Roman" w:eastAsia="Times New Roman" w:hAnsi="Times New Roman" w:cs="Times New Roman"/>
          <w:b/>
          <w:sz w:val="24"/>
          <w:szCs w:val="24"/>
        </w:rPr>
        <w:t>. Gender-Responsive Remedies</w:t>
      </w:r>
    </w:p>
    <w:p w14:paraId="000000C6" w14:textId="77777777" w:rsidR="00E04332" w:rsidRDefault="00000000">
      <w:pPr>
        <w:widowControl w:val="0"/>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compensation funds to address women’s asset losses.</w:t>
      </w:r>
    </w:p>
    <w:p w14:paraId="000000C7" w14:textId="77777777" w:rsidR="00E04332" w:rsidRDefault="00000000">
      <w:pPr>
        <w:widowControl w:val="0"/>
        <w:numPr>
          <w:ilvl w:val="0"/>
          <w:numId w:val="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support programs for female-headed households.</w:t>
      </w:r>
    </w:p>
    <w:p w14:paraId="000000C8" w14:textId="77777777" w:rsidR="00E04332" w:rsidRDefault="00000000">
      <w:pPr>
        <w:widowControl w:val="0"/>
        <w:numPr>
          <w:ilvl w:val="0"/>
          <w:numId w:val="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recovery initiatives for women’s mental health.</w:t>
      </w:r>
    </w:p>
    <w:p w14:paraId="000000C9" w14:textId="77777777" w:rsidR="00E04332"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Remedy programs should consider gender differences and include:</w:t>
      </w:r>
    </w:p>
    <w:p w14:paraId="000000CA" w14:textId="77777777" w:rsidR="00E04332" w:rsidRDefault="00000000">
      <w:pPr>
        <w:widowControl w:val="0"/>
        <w:numPr>
          <w:ilvl w:val="0"/>
          <w:numId w:val="2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Compensation for lost assets—especially traditional gold jewelry savings.</w:t>
      </w:r>
    </w:p>
    <w:p w14:paraId="000000CB" w14:textId="77777777" w:rsidR="00E04332" w:rsidRDefault="00000000">
      <w:pPr>
        <w:widowControl w:val="0"/>
        <w:numPr>
          <w:ilvl w:val="0"/>
          <w:numId w:val="23"/>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Agricultural recovery support—especially for female-headed households.</w:t>
      </w:r>
    </w:p>
    <w:p w14:paraId="000000CC" w14:textId="77777777" w:rsidR="00E04332" w:rsidRDefault="00000000">
      <w:pPr>
        <w:widowControl w:val="0"/>
        <w:numPr>
          <w:ilvl w:val="0"/>
          <w:numId w:val="23"/>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support for children withdrawn due to economic hardship, with special focus on girls.</w:t>
      </w:r>
    </w:p>
    <w:p w14:paraId="000000CD" w14:textId="1C01FDB5" w:rsidR="00E04332" w:rsidRDefault="00875336">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r w:rsidR="00000000">
        <w:rPr>
          <w:rFonts w:ascii="Times New Roman" w:eastAsia="Times New Roman" w:hAnsi="Times New Roman" w:cs="Times New Roman"/>
          <w:b/>
          <w:sz w:val="24"/>
          <w:szCs w:val="24"/>
        </w:rPr>
        <w:t>. Empowerment of Women Workers</w:t>
      </w:r>
    </w:p>
    <w:p w14:paraId="000000CE" w14:textId="77777777" w:rsidR="00E04332" w:rsidRDefault="00000000">
      <w:pPr>
        <w:widowControl w:val="0"/>
        <w:numPr>
          <w:ilvl w:val="0"/>
          <w:numId w:val="2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 the establishment and operation of the Migrant Workers Union of Thailand (MWUT), prioritizing women’s participation.</w:t>
      </w:r>
    </w:p>
    <w:p w14:paraId="000000CF" w14:textId="77777777" w:rsidR="00E04332" w:rsidRDefault="00000000">
      <w:pPr>
        <w:widowControl w:val="0"/>
        <w:numPr>
          <w:ilvl w:val="0"/>
          <w:numId w:val="2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a gender advisory committee in the union to ensure women's concerns are addressed.</w:t>
      </w:r>
    </w:p>
    <w:p w14:paraId="000000D0" w14:textId="77777777" w:rsidR="00E04332" w:rsidRDefault="00000000">
      <w:pPr>
        <w:widowControl w:val="0"/>
        <w:numPr>
          <w:ilvl w:val="0"/>
          <w:numId w:val="22"/>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safe spaces for women to share experiences and co-design policies.</w:t>
      </w:r>
    </w:p>
    <w:p w14:paraId="000000D1" w14:textId="77777777" w:rsidR="00E04332" w:rsidRDefault="00000000">
      <w:pPr>
        <w:widowControl w:val="0"/>
        <w:numPr>
          <w:ilvl w:val="0"/>
          <w:numId w:val="22"/>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leadership training programs for women workers to build capacity in rights protection.</w:t>
      </w:r>
    </w:p>
    <w:p w14:paraId="000000D2" w14:textId="1C1ADF62" w:rsidR="00E04332" w:rsidRDefault="00875336">
      <w:pPr>
        <w:widowControl w:val="0"/>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000000">
        <w:rPr>
          <w:rFonts w:ascii="Times New Roman" w:eastAsia="Times New Roman" w:hAnsi="Times New Roman" w:cs="Times New Roman"/>
          <w:b/>
          <w:sz w:val="24"/>
          <w:szCs w:val="24"/>
        </w:rPr>
        <w:t>. Information Dissemination and Education</w:t>
      </w:r>
    </w:p>
    <w:p w14:paraId="000000D3" w14:textId="77777777" w:rsidR="00E04332" w:rsidRDefault="00000000">
      <w:pPr>
        <w:widowControl w:v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Produce clear guides on women workers’ rights under CEDAW and relevant labor laws in Thailand and destination countries.</w:t>
      </w:r>
    </w:p>
    <w:p w14:paraId="000000D4" w14:textId="77777777" w:rsidR="00E04332" w:rsidRDefault="00000000">
      <w:pPr>
        <w:widowControl w:val="0"/>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Train government officials involved in labor migration on gender dimensions of trafficking and exploitation.</w:t>
      </w:r>
    </w:p>
    <w:p w14:paraId="000000D6" w14:textId="77777777" w:rsidR="00E04332" w:rsidRDefault="00000000">
      <w:pPr>
        <w:widowControl w:val="0"/>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Develop school curricula on labor rights and gender equality in high-migration areas.</w:t>
      </w:r>
    </w:p>
    <w:p w14:paraId="000000D7" w14:textId="77777777" w:rsidR="00E04332" w:rsidRDefault="00000000">
      <w:pPr>
        <w:pStyle w:val="Heading3"/>
        <w:keepNext w:val="0"/>
        <w:keepLines w:val="0"/>
        <w:widowControl w:val="0"/>
        <w:spacing w:before="0" w:after="0" w:line="360" w:lineRule="auto"/>
        <w:jc w:val="both"/>
        <w:rPr>
          <w:rFonts w:ascii="Times New Roman" w:eastAsia="Times New Roman" w:hAnsi="Times New Roman" w:cs="Times New Roman"/>
          <w:b/>
          <w:color w:val="000000"/>
          <w:sz w:val="24"/>
          <w:szCs w:val="24"/>
        </w:rPr>
      </w:pPr>
      <w:bookmarkStart w:id="9" w:name="_heading=h.cgw6rl1wh5" w:colFirst="0" w:colLast="0"/>
      <w:bookmarkEnd w:id="9"/>
      <w:r>
        <w:rPr>
          <w:rFonts w:ascii="Times New Roman" w:eastAsia="Times New Roman" w:hAnsi="Times New Roman" w:cs="Times New Roman"/>
          <w:b/>
          <w:color w:val="000000"/>
          <w:sz w:val="24"/>
          <w:szCs w:val="24"/>
        </w:rPr>
        <w:t>Section 5 : Welfare and Social Benefits</w:t>
      </w:r>
    </w:p>
    <w:p w14:paraId="000000D8"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Thailand is undergoing a rapid demographic shift, particularly with its transition into an aging society. The birth rate continues to decline, while the number of elderly individuals rises, placing the burden of caring for vulnerable populations—such as children and the elderly—on the working-age group. This burden disproportionately falls on women, who are expected to assume caregiving roles within the family in an unequal manner. This imbalance affects economic equality and limits life opportunities for many women.</w:t>
      </w:r>
    </w:p>
    <w:p w14:paraId="000000D9"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state has implemented some forms of welfare—such as child support grants and pensions for the elderly—which appear to be universal, in practice there remain numerous limitations. These limitations reflect discrimination and a lack of inclusive services for all groups. For example, child support grants are restricted solely to “mothers” and do not cover “caregivers,” who are often female and  the main caretakers in many families. Additionally, the operating hours of early childhood development centers do not align with the working hours of parents or guardians. The minimum eligible age for children to access services is also too high, causing many children to remain at home without access to appropriate learning processes. This leads to inequality and lost developmental opportunities during critical early years and fails to meaningfully reduce the caregiving burden on mothers or guardians.</w:t>
      </w:r>
    </w:p>
    <w:p w14:paraId="000000DA" w14:textId="77777777" w:rsidR="00E04332"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elderly, although a universal pension exists, it provides only 600 baht per month—an amount grossly insufficient given the rapidly changing economic conditions. The failure to increase the pension to a reasonable rate leaves many elderly individuals living in hardship or dependent on their families with no other option.</w:t>
      </w:r>
    </w:p>
    <w:p w14:paraId="000000DB"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concerning issue is violence in educational institutions, particularly in private schools, where transparent and fair monitoring mechanisms are often lacking. When child victims are girls, the redress systems frequently fail to provide effective support, resulting in long-term physical and mental harm.</w:t>
      </w:r>
    </w:p>
    <w:p w14:paraId="000000DC" w14:textId="77777777" w:rsidR="00E04332" w:rsidRDefault="00000000">
      <w:pPr>
        <w:widowControl w:v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people in rural areas face risks from unsafe transportation and have limited access to public healthcare services—especially in relation to the Road Accident Victim Protection Act, which contains significant legal gaps. These gaps have led to some victims not receiving fair compensation </w:t>
      </w:r>
      <w:r>
        <w:rPr>
          <w:rFonts w:ascii="Times New Roman" w:eastAsia="Times New Roman" w:hAnsi="Times New Roman" w:cs="Times New Roman"/>
          <w:sz w:val="24"/>
          <w:szCs w:val="24"/>
        </w:rPr>
        <w:lastRenderedPageBreak/>
        <w:t>and falling through the cracks of the protection system.</w:t>
      </w:r>
    </w:p>
    <w:p w14:paraId="000000DD" w14:textId="77777777" w:rsidR="00E04332" w:rsidRDefault="00E04332">
      <w:pPr>
        <w:widowControl w:val="0"/>
        <w:spacing w:line="360" w:lineRule="auto"/>
        <w:ind w:firstLine="720"/>
        <w:jc w:val="both"/>
        <w:rPr>
          <w:rFonts w:ascii="Times New Roman" w:eastAsia="Times New Roman" w:hAnsi="Times New Roman" w:cs="Times New Roman"/>
          <w:sz w:val="24"/>
          <w:szCs w:val="24"/>
        </w:rPr>
      </w:pPr>
    </w:p>
    <w:p w14:paraId="000000DE" w14:textId="77777777" w:rsidR="00E04332" w:rsidRDefault="00000000">
      <w:pPr>
        <w:pStyle w:val="Heading3"/>
        <w:keepNext w:val="0"/>
        <w:keepLines w:val="0"/>
        <w:widowControl w:val="0"/>
        <w:spacing w:before="0" w:after="0" w:line="360" w:lineRule="auto"/>
        <w:jc w:val="both"/>
        <w:rPr>
          <w:rFonts w:ascii="Times New Roman" w:eastAsia="Times New Roman" w:hAnsi="Times New Roman" w:cs="Times New Roman"/>
          <w:b/>
          <w:color w:val="000000"/>
          <w:sz w:val="24"/>
          <w:szCs w:val="24"/>
        </w:rPr>
      </w:pPr>
      <w:bookmarkStart w:id="10" w:name="_heading=h.1jpavtv1hzc4" w:colFirst="0" w:colLast="0"/>
      <w:bookmarkEnd w:id="10"/>
      <w:r>
        <w:rPr>
          <w:rFonts w:ascii="Times New Roman" w:eastAsia="Times New Roman" w:hAnsi="Times New Roman" w:cs="Times New Roman"/>
          <w:b/>
          <w:color w:val="000000"/>
          <w:sz w:val="24"/>
          <w:szCs w:val="24"/>
        </w:rPr>
        <w:t>Recommendations</w:t>
      </w:r>
    </w:p>
    <w:p w14:paraId="000000DF" w14:textId="77777777" w:rsidR="00E04332" w:rsidRDefault="00000000">
      <w:pPr>
        <w:widowControl w:val="0"/>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universal welfare for all children: Implement a child allowance scheme for all newborns, regardless of the family’s economic status. This should not be limited to mothers but also include legal guardians, to ensure every child’s right to life and equal development.</w:t>
      </w:r>
    </w:p>
    <w:p w14:paraId="000000E0" w14:textId="77777777" w:rsidR="00E04332" w:rsidRDefault="00000000">
      <w:pPr>
        <w:widowControl w:val="0"/>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 early childhood development center services: Adjust service models and hours to align with parental work schedules, and consider lowering the minimum age for children to enroll. This would help prevent neglect during crucial developmental stages.</w:t>
      </w:r>
    </w:p>
    <w:p w14:paraId="000000E1" w14:textId="77777777" w:rsidR="00E04332" w:rsidRDefault="00000000">
      <w:pPr>
        <w:widowControl w:val="0"/>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strong measures to protect children's rights in schools: Establish mechanisms for transparent investigation and legal action in cases of violence in educational institutions, particularly involving young children. Create a child- and parent-friendly complaint system.</w:t>
      </w:r>
    </w:p>
    <w:p w14:paraId="000000E2" w14:textId="77777777" w:rsidR="00E04332" w:rsidRDefault="00000000">
      <w:pPr>
        <w:widowControl w:val="0"/>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Integrate human rights education into the school curriculum: Promote understanding of personal and collective rights, equality, and social diversity from an early age.</w:t>
      </w:r>
    </w:p>
    <w:p w14:paraId="000000E3" w14:textId="77777777" w:rsidR="00E04332" w:rsidRDefault="00000000">
      <w:pPr>
        <w:widowControl w:val="0"/>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Promote safe spaces with all-gender restrooms: </w:t>
      </w:r>
      <w:r>
        <w:rPr>
          <w:rFonts w:ascii="Times New Roman" w:eastAsia="Times New Roman" w:hAnsi="Times New Roman" w:cs="Times New Roman"/>
          <w:sz w:val="24"/>
          <w:szCs w:val="24"/>
        </w:rPr>
        <w:br/>
        <w:t xml:space="preserve"> Design gender-neutral restrooms in schools and public facilities to foster safety, equality, and reduce discrimination against gender-diverse individuals.</w:t>
      </w:r>
      <w:r>
        <w:rPr>
          <w:rFonts w:ascii="Times New Roman" w:eastAsia="Times New Roman" w:hAnsi="Times New Roman" w:cs="Times New Roman"/>
          <w:sz w:val="24"/>
          <w:szCs w:val="24"/>
        </w:rPr>
        <w:br/>
      </w:r>
    </w:p>
    <w:p w14:paraId="000000E4" w14:textId="77777777" w:rsidR="00E04332" w:rsidRDefault="00000000">
      <w:pPr>
        <w:widowControl w:val="0"/>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 universal pension of 3,000 baht per month for the elderly: To ensure a decent quality of life in later years and reduce the burden on families, the government should raise the pension in line with the real cost of living—especially in the context of evolving family structures and a declining trend in intergenerational support.</w:t>
      </w:r>
    </w:p>
    <w:p w14:paraId="000000E5" w14:textId="77777777" w:rsidR="00E04332" w:rsidRDefault="00E04332">
      <w:pPr>
        <w:widowControl w:val="0"/>
        <w:spacing w:line="360" w:lineRule="auto"/>
        <w:jc w:val="both"/>
        <w:rPr>
          <w:rFonts w:ascii="Times New Roman" w:eastAsia="Times New Roman" w:hAnsi="Times New Roman" w:cs="Times New Roman"/>
          <w:b/>
          <w:sz w:val="24"/>
          <w:szCs w:val="24"/>
          <w:highlight w:val="red"/>
        </w:rPr>
      </w:pPr>
    </w:p>
    <w:p w14:paraId="000000E6" w14:textId="77777777" w:rsidR="00E04332" w:rsidRDefault="00000000">
      <w:pPr>
        <w:pStyle w:val="Heading3"/>
        <w:keepNext w:val="0"/>
        <w:keepLines w:val="0"/>
        <w:spacing w:before="0" w:after="0" w:line="360" w:lineRule="auto"/>
        <w:jc w:val="both"/>
        <w:rPr>
          <w:rFonts w:ascii="Times New Roman" w:eastAsia="Times New Roman" w:hAnsi="Times New Roman" w:cs="Times New Roman"/>
          <w:b/>
          <w:color w:val="000000"/>
          <w:sz w:val="24"/>
          <w:szCs w:val="24"/>
        </w:rPr>
      </w:pPr>
      <w:bookmarkStart w:id="11" w:name="_heading=h.jq6mn1z96h9m" w:colFirst="0" w:colLast="0"/>
      <w:bookmarkEnd w:id="11"/>
      <w:r>
        <w:rPr>
          <w:rFonts w:ascii="Times New Roman" w:eastAsia="Times New Roman" w:hAnsi="Times New Roman" w:cs="Times New Roman"/>
          <w:b/>
          <w:color w:val="000000"/>
          <w:sz w:val="24"/>
          <w:szCs w:val="24"/>
        </w:rPr>
        <w:t>Section 6: Women’s Health and Reproductive Rights in Northeastern Thailand</w:t>
      </w:r>
    </w:p>
    <w:p w14:paraId="000000E7"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reproductive rights are fundamental human rights that all women should have equal access to, free from discrimination. However, in the northeastern region of Thailand, there are still many limitations and barriers that affect access to these rights—particularly among vulnerable groups such as youth, rural women, unmarried women, migrant workers, and women from ethnic minority communities.</w:t>
      </w:r>
    </w:p>
    <w:p w14:paraId="000000E8"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particularly concerning issue is the persistently high rate of teenage pregnancies. This is largely due to a lack of access to appropriate contraception and the absence of comprehensive and inclusive sex education. Although Thai law has been amended to allow more flexibility regarding abortion, in practice, many young women still cannot access safe and legal abortion services. As a result, they are often forced to resort to unsafe procedures, putting their lives and health at risk. This </w:t>
      </w:r>
      <w:r>
        <w:rPr>
          <w:rFonts w:ascii="Times New Roman" w:eastAsia="Times New Roman" w:hAnsi="Times New Roman" w:cs="Times New Roman"/>
          <w:sz w:val="24"/>
          <w:szCs w:val="24"/>
        </w:rPr>
        <w:lastRenderedPageBreak/>
        <w:t>report emphasizes the urgent need to promote accessible information and services, and to instill accurate and respectful values within families, schools, and society at large.</w:t>
      </w:r>
    </w:p>
    <w:p w14:paraId="000000E9"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same time, access to basic health and reproductive services remains unequal, especially in remote areas and among vulnerable groups—such as girls subjected to domestic violence and ethnic minority women who lack access to public healthcare. This report recommends that the state provide equitable healthcare welfare and protection and supply </w:t>
      </w:r>
      <w:r>
        <w:rPr>
          <w:rFonts w:ascii="Times New Roman" w:eastAsia="Times New Roman" w:hAnsi="Times New Roman" w:cs="Times New Roman"/>
          <w:b/>
          <w:sz w:val="24"/>
          <w:szCs w:val="24"/>
        </w:rPr>
        <w:t>free menstrual hygiene kits</w:t>
      </w:r>
      <w:r>
        <w:rPr>
          <w:rFonts w:ascii="Times New Roman" w:eastAsia="Times New Roman" w:hAnsi="Times New Roman" w:cs="Times New Roman"/>
          <w:sz w:val="24"/>
          <w:szCs w:val="24"/>
        </w:rPr>
        <w:t xml:space="preserve"> to support the dignity and well-being of all women.</w:t>
      </w:r>
    </w:p>
    <w:p w14:paraId="000000EA"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women who engage in sexual activity outside of marriage continue to face </w:t>
      </w:r>
      <w:r>
        <w:rPr>
          <w:rFonts w:ascii="Times New Roman" w:eastAsia="Times New Roman" w:hAnsi="Times New Roman" w:cs="Times New Roman"/>
          <w:b/>
          <w:sz w:val="24"/>
          <w:szCs w:val="24"/>
        </w:rPr>
        <w:t>stigmatization and discrimination</w:t>
      </w:r>
      <w:r>
        <w:rPr>
          <w:rFonts w:ascii="Times New Roman" w:eastAsia="Times New Roman" w:hAnsi="Times New Roman" w:cs="Times New Roman"/>
          <w:sz w:val="24"/>
          <w:szCs w:val="24"/>
        </w:rPr>
        <w:t xml:space="preserve"> within the public health system when seeking contraceptive services or gynecological exams. This report highlights the importance of training healthcare personnel to understand bodily autonomy and human rights, as well as establishing disciplinary mechanisms for those who engage in discriminatory practices.</w:t>
      </w:r>
    </w:p>
    <w:p w14:paraId="000000EB" w14:textId="77777777" w:rsidR="00E04332" w:rsidRDefault="00000000" w:rsidP="0087533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issue of disease prevention, many women still lack awareness of the importance of screening for </w:t>
      </w:r>
      <w:r>
        <w:rPr>
          <w:rFonts w:ascii="Times New Roman" w:eastAsia="Times New Roman" w:hAnsi="Times New Roman" w:cs="Times New Roman"/>
          <w:b/>
          <w:sz w:val="24"/>
          <w:szCs w:val="24"/>
        </w:rPr>
        <w:t>cervical cancer, breast cancer, and ovarian cancer</w:t>
      </w:r>
      <w:r>
        <w:rPr>
          <w:rFonts w:ascii="Times New Roman" w:eastAsia="Times New Roman" w:hAnsi="Times New Roman" w:cs="Times New Roman"/>
          <w:sz w:val="24"/>
          <w:szCs w:val="24"/>
        </w:rPr>
        <w:t xml:space="preserve">, even though the government offers free health checkups. Utilization rates remain low, particularly among women with disabilities. Thus, public campaigns should be expanded to target all age groups—such as implementing </w:t>
      </w:r>
      <w:r>
        <w:rPr>
          <w:rFonts w:ascii="Times New Roman" w:eastAsia="Times New Roman" w:hAnsi="Times New Roman" w:cs="Times New Roman"/>
          <w:b/>
          <w:sz w:val="24"/>
          <w:szCs w:val="24"/>
        </w:rPr>
        <w:t>age-specific health screening every 10 years</w:t>
      </w:r>
      <w:r>
        <w:rPr>
          <w:rFonts w:ascii="Times New Roman" w:eastAsia="Times New Roman" w:hAnsi="Times New Roman" w:cs="Times New Roman"/>
          <w:sz w:val="24"/>
          <w:szCs w:val="24"/>
        </w:rPr>
        <w:t xml:space="preserve">—and there should be the development of </w:t>
      </w:r>
      <w:r>
        <w:rPr>
          <w:rFonts w:ascii="Times New Roman" w:eastAsia="Times New Roman" w:hAnsi="Times New Roman" w:cs="Times New Roman"/>
          <w:b/>
          <w:sz w:val="24"/>
          <w:szCs w:val="24"/>
        </w:rPr>
        <w:t>mobile applications</w:t>
      </w:r>
      <w:r>
        <w:rPr>
          <w:rFonts w:ascii="Times New Roman" w:eastAsia="Times New Roman" w:hAnsi="Times New Roman" w:cs="Times New Roman"/>
          <w:sz w:val="24"/>
          <w:szCs w:val="24"/>
        </w:rPr>
        <w:t xml:space="preserve"> that provide accessible information on women’s health rights at every life stage. These rights must also be integrated into basic welfare provisions under national law.</w:t>
      </w:r>
    </w:p>
    <w:p w14:paraId="000000EC" w14:textId="77777777" w:rsidR="00E04332" w:rsidRDefault="00000000">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Another equally pressing concern is the </w:t>
      </w:r>
      <w:r>
        <w:rPr>
          <w:rFonts w:ascii="Times New Roman" w:eastAsia="Times New Roman" w:hAnsi="Times New Roman" w:cs="Times New Roman"/>
          <w:b/>
          <w:sz w:val="24"/>
          <w:szCs w:val="24"/>
        </w:rPr>
        <w:t>mental health of women who are victims of violence</w:t>
      </w:r>
      <w:r>
        <w:rPr>
          <w:rFonts w:ascii="Times New Roman" w:eastAsia="Times New Roman" w:hAnsi="Times New Roman" w:cs="Times New Roman"/>
          <w:sz w:val="24"/>
          <w:szCs w:val="24"/>
        </w:rPr>
        <w:t xml:space="preserve">, whether from family or society. These issues are often overlooked. This report proposes the establishment of </w:t>
      </w:r>
      <w:r>
        <w:rPr>
          <w:rFonts w:ascii="Times New Roman" w:eastAsia="Times New Roman" w:hAnsi="Times New Roman" w:cs="Times New Roman"/>
          <w:b/>
          <w:sz w:val="24"/>
          <w:szCs w:val="24"/>
        </w:rPr>
        <w:t>community-based counselling and mental health treatment centers specifically for women</w:t>
      </w:r>
      <w:r>
        <w:rPr>
          <w:rFonts w:ascii="Times New Roman" w:eastAsia="Times New Roman" w:hAnsi="Times New Roman" w:cs="Times New Roman"/>
          <w:sz w:val="24"/>
          <w:szCs w:val="24"/>
        </w:rPr>
        <w:t xml:space="preserve">, as well as an </w:t>
      </w:r>
      <w:r>
        <w:rPr>
          <w:rFonts w:ascii="Times New Roman" w:eastAsia="Times New Roman" w:hAnsi="Times New Roman" w:cs="Times New Roman"/>
          <w:b/>
          <w:sz w:val="24"/>
          <w:szCs w:val="24"/>
        </w:rPr>
        <w:t>independent agency</w:t>
      </w:r>
      <w:r>
        <w:rPr>
          <w:rFonts w:ascii="Times New Roman" w:eastAsia="Times New Roman" w:hAnsi="Times New Roman" w:cs="Times New Roman"/>
          <w:sz w:val="24"/>
          <w:szCs w:val="24"/>
        </w:rPr>
        <w:t xml:space="preserve"> that can receive domestic violence complaints </w:t>
      </w:r>
      <w:r>
        <w:rPr>
          <w:rFonts w:ascii="Times New Roman" w:eastAsia="Times New Roman" w:hAnsi="Times New Roman" w:cs="Times New Roman"/>
          <w:b/>
          <w:sz w:val="24"/>
          <w:szCs w:val="24"/>
        </w:rPr>
        <w:t>without having to go through the police or local leaders</w:t>
      </w:r>
      <w:r>
        <w:rPr>
          <w:rFonts w:ascii="Times New Roman" w:eastAsia="Times New Roman" w:hAnsi="Times New Roman" w:cs="Times New Roman"/>
          <w:sz w:val="24"/>
          <w:szCs w:val="24"/>
        </w:rPr>
        <w:t xml:space="preserve">. Mental health treatment should also be recognized as a </w:t>
      </w:r>
      <w:r>
        <w:rPr>
          <w:rFonts w:ascii="Times New Roman" w:eastAsia="Times New Roman" w:hAnsi="Times New Roman" w:cs="Times New Roman"/>
          <w:b/>
          <w:sz w:val="24"/>
          <w:szCs w:val="24"/>
        </w:rPr>
        <w:t>basic right</w:t>
      </w:r>
      <w:r>
        <w:rPr>
          <w:rFonts w:ascii="Times New Roman" w:eastAsia="Times New Roman" w:hAnsi="Times New Roman" w:cs="Times New Roman"/>
          <w:sz w:val="24"/>
          <w:szCs w:val="24"/>
        </w:rPr>
        <w:t xml:space="preserve">, reimbursable through Thailand’s </w:t>
      </w:r>
      <w:r>
        <w:rPr>
          <w:rFonts w:ascii="Times New Roman" w:eastAsia="Times New Roman" w:hAnsi="Times New Roman" w:cs="Times New Roman"/>
          <w:b/>
          <w:sz w:val="24"/>
          <w:szCs w:val="24"/>
        </w:rPr>
        <w:t>universal healthcare system (Gold Card).</w:t>
      </w:r>
    </w:p>
    <w:p w14:paraId="000000ED" w14:textId="77777777" w:rsidR="00E04332" w:rsidRDefault="00E04332">
      <w:pPr>
        <w:spacing w:line="360" w:lineRule="auto"/>
        <w:ind w:firstLine="720"/>
        <w:jc w:val="both"/>
        <w:rPr>
          <w:rFonts w:ascii="Times New Roman" w:eastAsia="Times New Roman" w:hAnsi="Times New Roman" w:cs="Times New Roman"/>
          <w:b/>
          <w:sz w:val="24"/>
          <w:szCs w:val="24"/>
        </w:rPr>
      </w:pPr>
    </w:p>
    <w:p w14:paraId="000000EE" w14:textId="77777777" w:rsidR="00E04332" w:rsidRDefault="00000000">
      <w:pPr>
        <w:pStyle w:val="Heading3"/>
        <w:keepNext w:val="0"/>
        <w:keepLines w:val="0"/>
        <w:spacing w:before="0" w:after="0" w:line="360" w:lineRule="auto"/>
        <w:jc w:val="both"/>
        <w:rPr>
          <w:rFonts w:ascii="Times New Roman" w:eastAsia="Times New Roman" w:hAnsi="Times New Roman" w:cs="Times New Roman"/>
          <w:b/>
          <w:color w:val="000000"/>
          <w:sz w:val="24"/>
          <w:szCs w:val="24"/>
        </w:rPr>
      </w:pPr>
      <w:bookmarkStart w:id="12" w:name="_heading=h.rrthv7tw3jxi" w:colFirst="0" w:colLast="0"/>
      <w:bookmarkEnd w:id="12"/>
      <w:r>
        <w:rPr>
          <w:rFonts w:ascii="Times New Roman" w:eastAsia="Times New Roman" w:hAnsi="Times New Roman" w:cs="Times New Roman"/>
          <w:b/>
          <w:color w:val="000000"/>
          <w:sz w:val="24"/>
          <w:szCs w:val="24"/>
        </w:rPr>
        <w:t>Recommendations</w:t>
      </w:r>
    </w:p>
    <w:p w14:paraId="000000EF" w14:textId="4D1AA2D1" w:rsidR="00E04332"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Increase women’s participation </w:t>
      </w:r>
      <w:r>
        <w:rPr>
          <w:rFonts w:ascii="Times New Roman" w:eastAsia="Times New Roman" w:hAnsi="Times New Roman" w:cs="Times New Roman"/>
          <w:sz w:val="24"/>
          <w:szCs w:val="24"/>
        </w:rPr>
        <w:t>in the formulation of public policy and legislation.</w:t>
      </w:r>
      <w:r>
        <w:rPr>
          <w:rFonts w:ascii="Times New Roman" w:eastAsia="Times New Roman" w:hAnsi="Times New Roman" w:cs="Times New Roman"/>
          <w:sz w:val="24"/>
          <w:szCs w:val="24"/>
        </w:rPr>
        <w:br/>
        <w:t xml:space="preserve"> These platforms should ensure women’s voices are meaningfully included and that laws recognize the </w:t>
      </w:r>
      <w:r>
        <w:rPr>
          <w:rFonts w:ascii="Times New Roman" w:eastAsia="Times New Roman" w:hAnsi="Times New Roman" w:cs="Times New Roman"/>
          <w:b/>
          <w:sz w:val="24"/>
          <w:szCs w:val="24"/>
        </w:rPr>
        <w:t xml:space="preserve">right </w:t>
      </w:r>
      <w:r w:rsidR="00875336">
        <w:rPr>
          <w:rFonts w:ascii="Times New Roman" w:eastAsia="Times New Roman" w:hAnsi="Times New Roman" w:cs="Times New Roman"/>
          <w:b/>
          <w:sz w:val="24"/>
          <w:szCs w:val="24"/>
        </w:rPr>
        <w:t>to safety</w:t>
      </w:r>
      <w:r>
        <w:rPr>
          <w:rFonts w:ascii="Times New Roman" w:eastAsia="Times New Roman" w:hAnsi="Times New Roman" w:cs="Times New Roman"/>
          <w:sz w:val="24"/>
          <w:szCs w:val="24"/>
        </w:rPr>
        <w:t>, including the psychological aspect which is a crucial aspect of deeper, more holistic human rights protections.</w:t>
      </w:r>
    </w:p>
    <w:p w14:paraId="000000F0" w14:textId="77777777" w:rsidR="00E04332" w:rsidRDefault="00E04332">
      <w:pPr>
        <w:spacing w:line="360" w:lineRule="auto"/>
        <w:jc w:val="both"/>
        <w:rPr>
          <w:rFonts w:ascii="Times New Roman" w:eastAsia="Times New Roman" w:hAnsi="Times New Roman" w:cs="Times New Roman"/>
          <w:sz w:val="24"/>
          <w:szCs w:val="24"/>
        </w:rPr>
      </w:pPr>
    </w:p>
    <w:p w14:paraId="000000F1" w14:textId="77777777" w:rsidR="00E04332" w:rsidRDefault="00000000">
      <w:pPr>
        <w:pStyle w:val="Heading3"/>
        <w:keepNext w:val="0"/>
        <w:keepLines w:val="0"/>
        <w:spacing w:before="0" w:after="0" w:line="360" w:lineRule="auto"/>
        <w:jc w:val="both"/>
        <w:rPr>
          <w:rFonts w:ascii="Times New Roman" w:eastAsia="Times New Roman" w:hAnsi="Times New Roman" w:cs="Times New Roman"/>
          <w:b/>
          <w:color w:val="000000"/>
          <w:sz w:val="24"/>
          <w:szCs w:val="24"/>
        </w:rPr>
      </w:pPr>
      <w:bookmarkStart w:id="13" w:name="_heading=h.72h6oiqubqx7" w:colFirst="0" w:colLast="0"/>
      <w:bookmarkEnd w:id="13"/>
      <w:r>
        <w:rPr>
          <w:rFonts w:ascii="Times New Roman" w:eastAsia="Times New Roman" w:hAnsi="Times New Roman" w:cs="Times New Roman"/>
          <w:b/>
          <w:color w:val="000000"/>
          <w:sz w:val="24"/>
          <w:szCs w:val="24"/>
        </w:rPr>
        <w:t>Section 7:  Political Rights and Participation</w:t>
      </w:r>
    </w:p>
    <w:p w14:paraId="000000F2"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northeastern region of Thailand, the civil and political rights of women and gender-diverse individuals remain significantly restricted across multiple dimensions—including the right to assemble, access to justice, voting rights, and even within the education system. These limitations reflect deep-rooted structural issues that require urgent reform.</w:t>
      </w:r>
    </w:p>
    <w:p w14:paraId="000000F3" w14:textId="04DC7349"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the state’s legislative tendencies and use of state power have had a notable impact on freedom of expression, particularly targeting those who criticize the government. Many face disproportionately severe legal penalties and are often denied bail</w:t>
      </w:r>
      <w:r w:rsidR="00E752E0">
        <w:rPr>
          <w:rFonts w:ascii="Times New Roman" w:eastAsia="Times New Roman" w:hAnsi="Times New Roman" w:cs="Times New Roman"/>
          <w:sz w:val="24"/>
          <w:szCs w:val="24"/>
        </w:rPr>
        <w:t xml:space="preserve">, especially those who are arrested </w:t>
      </w:r>
      <w:r>
        <w:rPr>
          <w:rFonts w:ascii="Times New Roman" w:eastAsia="Times New Roman" w:hAnsi="Times New Roman" w:cs="Times New Roman"/>
          <w:sz w:val="24"/>
          <w:szCs w:val="24"/>
        </w:rPr>
        <w:t>under Article 112 of the Criminal Code, the lèse-majesté law.</w:t>
      </w:r>
    </w:p>
    <w:p w14:paraId="000000F4"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who participate in public activism often encounter gender-based violence, especially during protests where state authorities—often male officers—use excessive force, including physical and psychological intimidation.</w:t>
      </w:r>
    </w:p>
    <w:p w14:paraId="000000F5" w14:textId="1B5173E9"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local level, the problem extends beyond the police and military to include community mechanisms such as village headmen or civil </w:t>
      </w:r>
      <w:r w:rsidR="00875336">
        <w:rPr>
          <w:rFonts w:ascii="Times New Roman" w:eastAsia="Times New Roman" w:hAnsi="Times New Roman" w:cs="Times New Roman"/>
          <w:sz w:val="24"/>
          <w:szCs w:val="24"/>
        </w:rPr>
        <w:t>defence</w:t>
      </w:r>
      <w:r>
        <w:rPr>
          <w:rFonts w:ascii="Times New Roman" w:eastAsia="Times New Roman" w:hAnsi="Times New Roman" w:cs="Times New Roman"/>
          <w:sz w:val="24"/>
          <w:szCs w:val="24"/>
        </w:rPr>
        <w:t xml:space="preserve"> volunteers (Or Por Por). These actors, involved in overseeing public forums and community engagements, often display behavior that violates the rights of women and gender-diverse people. This includes harassment, verbal abuse, and misuse of power—all of which contradict human rights principles of neutrality and fairness.</w:t>
      </w:r>
    </w:p>
    <w:p w14:paraId="000000F6"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justice system also discriminates against women and gender-diverse individuals, particularly those facing political charges. For example, women detainees have reported being forced to undress in front of male officers during body searches, and pregnant or postpartum women are often denied bail—despite international humanitarian principles requiring special protection. In prison, the binary classification system does not reflect the diverse gender identities of inmates, and existing policies fail to meet their specific needs, resulting in ongoing harm to their physical and mental well-being.</w:t>
      </w:r>
    </w:p>
    <w:p w14:paraId="000000F7"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political arena, women politicians and candidates face harassment, degradation, and discrimination. Even women serving as polling station officials—such as local schoolteachers—despite having legal authority, are often overridden or undermined by male officials. Female and transgender election observers are also intimidated or prevented from accessing polling stations, reflecting a systematic suppression of political participation.</w:t>
      </w:r>
    </w:p>
    <w:p w14:paraId="000000F8"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education, many schools in the Northeast restrict students’ freedom of expression—particularly political views or challenges to traditional power structures. These actions are often backed by school administrators or teachers who oppose fundamental rights, preventing students from truly engaging in civic issues. Democratic-minded teachers are few, and student councils often lack real decision-making power and do not include gender-diverse voices. As a result, schools remain spaces of repression, denying equal opportunities to the next generation of citizens.</w:t>
      </w:r>
    </w:p>
    <w:p w14:paraId="000000FA" w14:textId="70E54E53" w:rsidR="00E04332" w:rsidRDefault="00000000" w:rsidP="00875336">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Furthermore, young female activists are being prosecuted under laws like Articles 112 and 116 and are not treated fairly in the judicial process. There is clear evidence that some of these prosecutions are driven by anti-LGBTQ+ sentiment or gender bias, using the law as a tool to punish those advocating for equality.</w:t>
      </w:r>
      <w:r w:rsidR="008753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Sexual justice activists and organizations that promote gender rights—especially those working alongside democratic movements or constitutional reform—are being monitored and harassed. Plainclothes officers often attend and photograph public events, threaten civil society organizations in their workplaces, and stalk activists at their homes, infringing on their privacy and freedom of expression.</w:t>
      </w:r>
    </w:p>
    <w:p w14:paraId="000000FB" w14:textId="1B77C8F1"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situations not only reveal the state’s failure to protect the rights of women and gender-diverse individuals in the Northeast but also highlight legal structures and state practices that continue to violate human rights and deny inclusive and safe participation for all groups.</w:t>
      </w:r>
    </w:p>
    <w:p w14:paraId="000000FC" w14:textId="77777777" w:rsidR="00E04332" w:rsidRDefault="00E04332">
      <w:pPr>
        <w:spacing w:line="360" w:lineRule="auto"/>
        <w:jc w:val="both"/>
        <w:rPr>
          <w:rFonts w:ascii="Times New Roman" w:eastAsia="Times New Roman" w:hAnsi="Times New Roman" w:cs="Times New Roman"/>
          <w:sz w:val="24"/>
          <w:szCs w:val="24"/>
        </w:rPr>
      </w:pPr>
    </w:p>
    <w:p w14:paraId="000000FD" w14:textId="77777777" w:rsidR="00E04332" w:rsidRDefault="00000000">
      <w:pPr>
        <w:pStyle w:val="Heading3"/>
        <w:keepNext w:val="0"/>
        <w:keepLines w:val="0"/>
        <w:spacing w:before="0" w:after="0" w:line="360" w:lineRule="auto"/>
        <w:jc w:val="both"/>
        <w:rPr>
          <w:rFonts w:ascii="Times New Roman" w:eastAsia="Times New Roman" w:hAnsi="Times New Roman" w:cs="Times New Roman"/>
          <w:b/>
          <w:color w:val="000000"/>
          <w:sz w:val="24"/>
          <w:szCs w:val="24"/>
        </w:rPr>
      </w:pPr>
      <w:bookmarkStart w:id="14" w:name="_heading=h.3ajmpcybaviy" w:colFirst="0" w:colLast="0"/>
      <w:bookmarkEnd w:id="14"/>
      <w:r>
        <w:rPr>
          <w:rFonts w:ascii="Times New Roman" w:eastAsia="Times New Roman" w:hAnsi="Times New Roman" w:cs="Times New Roman"/>
          <w:b/>
          <w:color w:val="000000"/>
          <w:sz w:val="24"/>
          <w:szCs w:val="24"/>
        </w:rPr>
        <w:t>Recommendations</w:t>
      </w:r>
    </w:p>
    <w:p w14:paraId="000000FE" w14:textId="77777777" w:rsidR="00E04332" w:rsidRDefault="00000000">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Repeal laws and stop enforcing legislation</w:t>
      </w:r>
      <w:r>
        <w:rPr>
          <w:rFonts w:ascii="Times New Roman" w:eastAsia="Times New Roman" w:hAnsi="Times New Roman" w:cs="Times New Roman"/>
          <w:sz w:val="24"/>
          <w:szCs w:val="24"/>
        </w:rPr>
        <w:t xml:space="preserve"> that violates human rights and limits freedom of expression, particularly regarding state criticism, and grant amnesty to those previously prosecuted.</w:t>
      </w:r>
    </w:p>
    <w:p w14:paraId="000000FF" w14:textId="77777777" w:rsidR="00E04332" w:rsidRDefault="00000000">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Ensure law enforcement maintains a safe distance from protests</w:t>
      </w:r>
      <w:r>
        <w:rPr>
          <w:rFonts w:ascii="Times New Roman" w:eastAsia="Times New Roman" w:hAnsi="Times New Roman" w:cs="Times New Roman"/>
          <w:sz w:val="24"/>
          <w:szCs w:val="24"/>
        </w:rPr>
        <w:t xml:space="preserve"> and clearly identifies themselves—avoiding plainclothes infiltration that causes fear. Female officers must be present when engaging with female human rights defenders and activists.</w:t>
      </w:r>
    </w:p>
    <w:p w14:paraId="00000100"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Local officials</w:t>
      </w:r>
      <w:r>
        <w:rPr>
          <w:rFonts w:ascii="Times New Roman" w:eastAsia="Times New Roman" w:hAnsi="Times New Roman" w:cs="Times New Roman"/>
          <w:sz w:val="24"/>
          <w:szCs w:val="24"/>
        </w:rPr>
        <w:t>, such as village headmen and civil defense volunteers (Or Por Por), should play a neutral role in facilitating safe, peaceful gatherings without blocking or intimidating protesters.</w:t>
      </w:r>
    </w:p>
    <w:p w14:paraId="00000101"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Body search procedures during detention</w:t>
      </w:r>
      <w:r>
        <w:rPr>
          <w:rFonts w:ascii="Times New Roman" w:eastAsia="Times New Roman" w:hAnsi="Times New Roman" w:cs="Times New Roman"/>
          <w:sz w:val="24"/>
          <w:szCs w:val="24"/>
        </w:rPr>
        <w:t xml:space="preserve"> should not be used against political activists or rights defenders who are not criminals.</w:t>
      </w:r>
    </w:p>
    <w:p w14:paraId="00000102" w14:textId="77777777" w:rsidR="00E04332" w:rsidRDefault="00000000">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Ensure bail rights for pregnant or postpartum women</w:t>
      </w:r>
      <w:r>
        <w:rPr>
          <w:rFonts w:ascii="Times New Roman" w:eastAsia="Times New Roman" w:hAnsi="Times New Roman" w:cs="Times New Roman"/>
          <w:sz w:val="24"/>
          <w:szCs w:val="24"/>
        </w:rPr>
        <w:t xml:space="preserve"> who are facing prosecution.</w:t>
      </w:r>
    </w:p>
    <w:p w14:paraId="00000103"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Review and revise laws and regulations</w:t>
      </w:r>
      <w:r>
        <w:rPr>
          <w:rFonts w:ascii="Times New Roman" w:eastAsia="Times New Roman" w:hAnsi="Times New Roman" w:cs="Times New Roman"/>
          <w:sz w:val="24"/>
          <w:szCs w:val="24"/>
        </w:rPr>
        <w:t xml:space="preserve"> to create specific management policies and safe spaces in prisons for gender-diverse individuals.</w:t>
      </w:r>
    </w:p>
    <w:p w14:paraId="00000104"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Revise the detention system</w:t>
      </w:r>
      <w:r>
        <w:rPr>
          <w:rFonts w:ascii="Times New Roman" w:eastAsia="Times New Roman" w:hAnsi="Times New Roman" w:cs="Times New Roman"/>
          <w:sz w:val="24"/>
          <w:szCs w:val="24"/>
        </w:rPr>
        <w:t xml:space="preserve"> for political activists to allow alternatives to incarceration, such as community-based supervision.</w:t>
      </w:r>
    </w:p>
    <w:p w14:paraId="00000105"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Establish practical complaint and protection mechanisms</w:t>
      </w:r>
      <w:r>
        <w:rPr>
          <w:rFonts w:ascii="Times New Roman" w:eastAsia="Times New Roman" w:hAnsi="Times New Roman" w:cs="Times New Roman"/>
          <w:sz w:val="24"/>
          <w:szCs w:val="24"/>
        </w:rPr>
        <w:t xml:space="preserve"> for women and gender-diverse persons involved in elections—both candidates and election officials.</w:t>
      </w:r>
    </w:p>
    <w:p w14:paraId="00000106"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Enforce gender diversity quotas</w:t>
      </w:r>
      <w:r>
        <w:rPr>
          <w:rFonts w:ascii="Times New Roman" w:eastAsia="Times New Roman" w:hAnsi="Times New Roman" w:cs="Times New Roman"/>
          <w:sz w:val="24"/>
          <w:szCs w:val="24"/>
        </w:rPr>
        <w:t xml:space="preserve"> for polling station officials.</w:t>
      </w:r>
    </w:p>
    <w:p w14:paraId="00000107" w14:textId="77777777" w:rsidR="00E04332" w:rsidRDefault="00000000">
      <w:pPr>
        <w:numPr>
          <w:ilvl w:val="0"/>
          <w:numId w:val="1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Promote inclusive participation in schools</w:t>
      </w:r>
      <w:r>
        <w:rPr>
          <w:rFonts w:ascii="Times New Roman" w:eastAsia="Times New Roman" w:hAnsi="Times New Roman" w:cs="Times New Roman"/>
          <w:sz w:val="24"/>
          <w:szCs w:val="24"/>
        </w:rPr>
        <w:t xml:space="preserve"> by establishing joint school-community committees with decision-making powers to review and revise school regulations that may restrict student freedoms.</w:t>
      </w:r>
    </w:p>
    <w:p w14:paraId="00000108" w14:textId="77777777" w:rsidR="00E04332" w:rsidRDefault="00000000">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Develop educational curricula</w:t>
      </w:r>
      <w:r>
        <w:rPr>
          <w:rFonts w:ascii="Times New Roman" w:eastAsia="Times New Roman" w:hAnsi="Times New Roman" w:cs="Times New Roman"/>
          <w:sz w:val="24"/>
          <w:szCs w:val="24"/>
        </w:rPr>
        <w:t xml:space="preserve"> focused on democracy, rights, freedom of expression, and gender diversity—targeting both staff and students.</w:t>
      </w:r>
    </w:p>
    <w:p w14:paraId="00000109" w14:textId="77777777" w:rsidR="00E04332" w:rsidRDefault="00E04332">
      <w:pPr>
        <w:spacing w:line="360" w:lineRule="auto"/>
        <w:jc w:val="both"/>
        <w:rPr>
          <w:rFonts w:ascii="Times New Roman" w:eastAsia="Times New Roman" w:hAnsi="Times New Roman" w:cs="Times New Roman"/>
          <w:sz w:val="24"/>
          <w:szCs w:val="24"/>
        </w:rPr>
      </w:pPr>
    </w:p>
    <w:p w14:paraId="0000010A"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8: Thai Constitution to Be More Gender-Inclusive</w:t>
      </w:r>
    </w:p>
    <w:p w14:paraId="0000010B"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Guarantee Gender Equality in All Forms</w:t>
      </w:r>
    </w:p>
    <w:p w14:paraId="0000010C"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the Constitution to </w:t>
      </w:r>
      <w:r>
        <w:rPr>
          <w:rFonts w:ascii="Times New Roman" w:eastAsia="Times New Roman" w:hAnsi="Times New Roman" w:cs="Times New Roman"/>
          <w:b/>
          <w:sz w:val="24"/>
          <w:szCs w:val="24"/>
        </w:rPr>
        <w:t>explicitly guarantee gender equality</w:t>
      </w:r>
      <w:r>
        <w:rPr>
          <w:rFonts w:ascii="Times New Roman" w:eastAsia="Times New Roman" w:hAnsi="Times New Roman" w:cs="Times New Roman"/>
          <w:sz w:val="24"/>
          <w:szCs w:val="24"/>
        </w:rPr>
        <w:t xml:space="preserve"> in all spheres of life—political, economic, social, and cultural—regardless of sex, gender identity, gender expression, or sexual orientation.</w:t>
      </w:r>
    </w:p>
    <w:p w14:paraId="0000010D" w14:textId="77777777" w:rsidR="00E04332" w:rsidRDefault="00000000">
      <w:pPr>
        <w:numPr>
          <w:ilvl w:val="0"/>
          <w:numId w:val="7"/>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w:t>
      </w:r>
      <w:r>
        <w:rPr>
          <w:rFonts w:ascii="Times New Roman" w:eastAsia="Times New Roman" w:hAnsi="Times New Roman" w:cs="Times New Roman"/>
          <w:sz w:val="24"/>
          <w:szCs w:val="24"/>
        </w:rPr>
        <w:t>: Add a clear clause similar to:</w:t>
      </w:r>
      <w:r>
        <w:rPr>
          <w:rFonts w:ascii="Times New Roman" w:eastAsia="Times New Roman" w:hAnsi="Times New Roman" w:cs="Times New Roman"/>
          <w:sz w:val="24"/>
          <w:szCs w:val="24"/>
        </w:rPr>
        <w:br/>
      </w:r>
      <w:r>
        <w:rPr>
          <w:rFonts w:ascii="Times New Roman" w:eastAsia="Times New Roman" w:hAnsi="Times New Roman" w:cs="Times New Roman"/>
          <w:i/>
          <w:sz w:val="24"/>
          <w:szCs w:val="24"/>
        </w:rPr>
        <w:t xml:space="preserve">"All persons are equal before the law and shall enjoy equal protection without discrimination on the basis of </w:t>
      </w:r>
      <w:r w:rsidRPr="00875336">
        <w:rPr>
          <w:rFonts w:ascii="Times New Roman" w:eastAsia="Times New Roman" w:hAnsi="Times New Roman" w:cs="Times New Roman"/>
          <w:b/>
          <w:bCs/>
          <w:i/>
          <w:sz w:val="24"/>
          <w:szCs w:val="24"/>
        </w:rPr>
        <w:t>sex, gender identity, sexual orientation</w:t>
      </w:r>
      <w:r>
        <w:rPr>
          <w:rFonts w:ascii="Times New Roman" w:eastAsia="Times New Roman" w:hAnsi="Times New Roman" w:cs="Times New Roman"/>
          <w:i/>
          <w:sz w:val="24"/>
          <w:szCs w:val="24"/>
        </w:rPr>
        <w:t>, or other status."</w:t>
      </w:r>
    </w:p>
    <w:p w14:paraId="0000010E"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Ensure Representation in Constitutional and Political Processes</w:t>
      </w:r>
    </w:p>
    <w:p w14:paraId="0000010F"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Women and gender-diverse individuals must be meaningfully included in all political and constitutional decision-making processes, especially in rural and marginalized communities such as Isaan.</w:t>
      </w:r>
    </w:p>
    <w:p w14:paraId="00000110" w14:textId="77777777" w:rsidR="00E04332"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w:t>
      </w:r>
      <w:r>
        <w:rPr>
          <w:rFonts w:ascii="Times New Roman" w:eastAsia="Times New Roman" w:hAnsi="Times New Roman" w:cs="Times New Roman"/>
          <w:sz w:val="24"/>
          <w:szCs w:val="24"/>
        </w:rPr>
        <w:t>:</w:t>
      </w:r>
    </w:p>
    <w:p w14:paraId="00000111" w14:textId="77777777" w:rsidR="00E04332" w:rsidRDefault="00000000">
      <w:pPr>
        <w:numPr>
          <w:ilvl w:val="1"/>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 </w:t>
      </w:r>
      <w:r>
        <w:rPr>
          <w:rFonts w:ascii="Times New Roman" w:eastAsia="Times New Roman" w:hAnsi="Times New Roman" w:cs="Times New Roman"/>
          <w:b/>
          <w:sz w:val="24"/>
          <w:szCs w:val="24"/>
        </w:rPr>
        <w:t>at least 10–30% representation of women and gender-diverse people</w:t>
      </w:r>
      <w:r>
        <w:rPr>
          <w:rFonts w:ascii="Times New Roman" w:eastAsia="Times New Roman" w:hAnsi="Times New Roman" w:cs="Times New Roman"/>
          <w:sz w:val="24"/>
          <w:szCs w:val="24"/>
        </w:rPr>
        <w:t xml:space="preserve"> in constitutional drafting committees.</w:t>
      </w:r>
    </w:p>
    <w:p w14:paraId="00000112" w14:textId="77777777" w:rsidR="00E04332" w:rsidRDefault="00000000">
      <w:pPr>
        <w:numPr>
          <w:ilvl w:val="1"/>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Mandate gender quotas in all elected bodies, including local administrative organizations and the national parliament.</w:t>
      </w:r>
    </w:p>
    <w:p w14:paraId="00000113"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Protect Land and Livelihood Rights for Women and Gender-Diverse People</w:t>
      </w:r>
    </w:p>
    <w:p w14:paraId="00000114"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Constitution should guarantee </w:t>
      </w:r>
      <w:r>
        <w:rPr>
          <w:rFonts w:ascii="Times New Roman" w:eastAsia="Times New Roman" w:hAnsi="Times New Roman" w:cs="Times New Roman"/>
          <w:b/>
          <w:sz w:val="24"/>
          <w:szCs w:val="24"/>
        </w:rPr>
        <w:t>land tenure, food sovereignty, and agricultural resources</w:t>
      </w:r>
      <w:r>
        <w:rPr>
          <w:rFonts w:ascii="Times New Roman" w:eastAsia="Times New Roman" w:hAnsi="Times New Roman" w:cs="Times New Roman"/>
          <w:sz w:val="24"/>
          <w:szCs w:val="24"/>
        </w:rPr>
        <w:t xml:space="preserve"> for women and gender-diverse small-scale farmers.</w:t>
      </w:r>
    </w:p>
    <w:p w14:paraId="00000115" w14:textId="77777777" w:rsidR="00E04332"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w:t>
      </w:r>
      <w:r>
        <w:rPr>
          <w:rFonts w:ascii="Times New Roman" w:eastAsia="Times New Roman" w:hAnsi="Times New Roman" w:cs="Times New Roman"/>
          <w:sz w:val="24"/>
          <w:szCs w:val="24"/>
        </w:rPr>
        <w:t>:</w:t>
      </w:r>
    </w:p>
    <w:p w14:paraId="00000116" w14:textId="77777777" w:rsidR="00E04332"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Enshrine the </w:t>
      </w:r>
      <w:r>
        <w:rPr>
          <w:rFonts w:ascii="Times New Roman" w:eastAsia="Times New Roman" w:hAnsi="Times New Roman" w:cs="Times New Roman"/>
          <w:b/>
          <w:sz w:val="24"/>
          <w:szCs w:val="24"/>
        </w:rPr>
        <w:t>right to own and access agricultural land</w:t>
      </w:r>
      <w:r>
        <w:rPr>
          <w:rFonts w:ascii="Times New Roman" w:eastAsia="Times New Roman" w:hAnsi="Times New Roman" w:cs="Times New Roman"/>
          <w:sz w:val="24"/>
          <w:szCs w:val="24"/>
        </w:rPr>
        <w:t xml:space="preserve"> (e.g., at least 2 rai for women in farming).</w:t>
      </w:r>
    </w:p>
    <w:p w14:paraId="00000117" w14:textId="77777777" w:rsidR="00E04332" w:rsidRDefault="00000000">
      <w:pPr>
        <w:numPr>
          <w:ilvl w:val="1"/>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Guarantee protection of </w:t>
      </w:r>
      <w:r>
        <w:rPr>
          <w:rFonts w:ascii="Times New Roman" w:eastAsia="Times New Roman" w:hAnsi="Times New Roman" w:cs="Times New Roman"/>
          <w:b/>
          <w:sz w:val="24"/>
          <w:szCs w:val="24"/>
        </w:rPr>
        <w:t>local seed varieties</w:t>
      </w:r>
      <w:r>
        <w:rPr>
          <w:rFonts w:ascii="Times New Roman" w:eastAsia="Times New Roman" w:hAnsi="Times New Roman" w:cs="Times New Roman"/>
          <w:sz w:val="24"/>
          <w:szCs w:val="24"/>
        </w:rPr>
        <w:t xml:space="preserve"> and farmer-led agricultural practices from corporate monopolization.</w:t>
      </w:r>
    </w:p>
    <w:p w14:paraId="00000118"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Enshrine Protection for Human Rights Defenders</w:t>
      </w:r>
    </w:p>
    <w:p w14:paraId="00000119"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Recognize and protect the rights of </w:t>
      </w:r>
      <w:r>
        <w:rPr>
          <w:rFonts w:ascii="Times New Roman" w:eastAsia="Times New Roman" w:hAnsi="Times New Roman" w:cs="Times New Roman"/>
          <w:b/>
          <w:sz w:val="24"/>
          <w:szCs w:val="24"/>
        </w:rPr>
        <w:t>women and LGBTQ+ human rights defenders</w:t>
      </w:r>
      <w:r>
        <w:rPr>
          <w:rFonts w:ascii="Times New Roman" w:eastAsia="Times New Roman" w:hAnsi="Times New Roman" w:cs="Times New Roman"/>
          <w:sz w:val="24"/>
          <w:szCs w:val="24"/>
        </w:rPr>
        <w:t>, especially those defending natural resources, community lands, and environmental justice.</w:t>
      </w:r>
    </w:p>
    <w:p w14:paraId="0000011A" w14:textId="77777777" w:rsidR="00E04332"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Recommendation</w:t>
      </w:r>
      <w:r>
        <w:rPr>
          <w:rFonts w:ascii="Times New Roman" w:eastAsia="Times New Roman" w:hAnsi="Times New Roman" w:cs="Times New Roman"/>
          <w:sz w:val="24"/>
          <w:szCs w:val="24"/>
        </w:rPr>
        <w:t>:</w:t>
      </w:r>
    </w:p>
    <w:p w14:paraId="0000011B" w14:textId="77777777" w:rsidR="00E04332" w:rsidRDefault="00000000">
      <w:pPr>
        <w:numPr>
          <w:ilvl w:val="1"/>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Include provisions against </w:t>
      </w:r>
      <w:r>
        <w:rPr>
          <w:rFonts w:ascii="Times New Roman" w:eastAsia="Times New Roman" w:hAnsi="Times New Roman" w:cs="Times New Roman"/>
          <w:b/>
          <w:sz w:val="24"/>
          <w:szCs w:val="24"/>
        </w:rPr>
        <w:t>state and corporate violence</w:t>
      </w:r>
      <w:r>
        <w:rPr>
          <w:rFonts w:ascii="Times New Roman" w:eastAsia="Times New Roman" w:hAnsi="Times New Roman" w:cs="Times New Roman"/>
          <w:sz w:val="24"/>
          <w:szCs w:val="24"/>
        </w:rPr>
        <w:t>, harassment, and Strategic Lawsuits Against Public Participation (SLAPPs).</w:t>
      </w:r>
    </w:p>
    <w:p w14:paraId="0000011C" w14:textId="77777777" w:rsidR="00E04332" w:rsidRDefault="00000000">
      <w:pPr>
        <w:numPr>
          <w:ilvl w:val="1"/>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Mandate the creation of an independent </w:t>
      </w:r>
      <w:r>
        <w:rPr>
          <w:rFonts w:ascii="Times New Roman" w:eastAsia="Times New Roman" w:hAnsi="Times New Roman" w:cs="Times New Roman"/>
          <w:b/>
          <w:sz w:val="24"/>
          <w:szCs w:val="24"/>
        </w:rPr>
        <w:t>mechanism to protect community defenders</w:t>
      </w:r>
      <w:r>
        <w:rPr>
          <w:rFonts w:ascii="Times New Roman" w:eastAsia="Times New Roman" w:hAnsi="Times New Roman" w:cs="Times New Roman"/>
          <w:sz w:val="24"/>
          <w:szCs w:val="24"/>
        </w:rPr>
        <w:t>, particularly rural women leaders.</w:t>
      </w:r>
    </w:p>
    <w:p w14:paraId="0000011D"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Ensure Gender Justice in Environmental and Development Policies</w:t>
      </w:r>
    </w:p>
    <w:p w14:paraId="0000011E"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Incorporate </w:t>
      </w:r>
      <w:r>
        <w:rPr>
          <w:rFonts w:ascii="Times New Roman" w:eastAsia="Times New Roman" w:hAnsi="Times New Roman" w:cs="Times New Roman"/>
          <w:b/>
          <w:sz w:val="24"/>
          <w:szCs w:val="24"/>
        </w:rPr>
        <w:t>gender-sensitive environmental rights</w:t>
      </w:r>
      <w:r>
        <w:rPr>
          <w:rFonts w:ascii="Times New Roman" w:eastAsia="Times New Roman" w:hAnsi="Times New Roman" w:cs="Times New Roman"/>
          <w:sz w:val="24"/>
          <w:szCs w:val="24"/>
        </w:rPr>
        <w:t xml:space="preserve"> that recognize how development disproportionately impacts women and marginalized genders.</w:t>
      </w:r>
    </w:p>
    <w:p w14:paraId="0000011F" w14:textId="77777777" w:rsidR="00E04332"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w:t>
      </w:r>
      <w:r>
        <w:rPr>
          <w:rFonts w:ascii="Times New Roman" w:eastAsia="Times New Roman" w:hAnsi="Times New Roman" w:cs="Times New Roman"/>
          <w:sz w:val="24"/>
          <w:szCs w:val="24"/>
        </w:rPr>
        <w:t>:</w:t>
      </w:r>
    </w:p>
    <w:p w14:paraId="00000120" w14:textId="77777777" w:rsidR="00E04332"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Require </w:t>
      </w:r>
      <w:r>
        <w:rPr>
          <w:rFonts w:ascii="Times New Roman" w:eastAsia="Times New Roman" w:hAnsi="Times New Roman" w:cs="Times New Roman"/>
          <w:b/>
          <w:sz w:val="24"/>
          <w:szCs w:val="24"/>
        </w:rPr>
        <w:t>gender-responsive Environmental Impact Assessments (EIA/EHIA)</w:t>
      </w:r>
      <w:r>
        <w:rPr>
          <w:rFonts w:ascii="Times New Roman" w:eastAsia="Times New Roman" w:hAnsi="Times New Roman" w:cs="Times New Roman"/>
          <w:sz w:val="24"/>
          <w:szCs w:val="24"/>
        </w:rPr>
        <w:t xml:space="preserve"> with meaningful public participation.</w:t>
      </w:r>
    </w:p>
    <w:p w14:paraId="00000121" w14:textId="77777777" w:rsidR="00E04332" w:rsidRDefault="00000000">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project-affected women have </w:t>
      </w:r>
      <w:r>
        <w:rPr>
          <w:rFonts w:ascii="Times New Roman" w:eastAsia="Times New Roman" w:hAnsi="Times New Roman" w:cs="Times New Roman"/>
          <w:b/>
          <w:sz w:val="24"/>
          <w:szCs w:val="24"/>
        </w:rPr>
        <w:t>legal standing</w:t>
      </w:r>
      <w:r>
        <w:rPr>
          <w:rFonts w:ascii="Times New Roman" w:eastAsia="Times New Roman" w:hAnsi="Times New Roman" w:cs="Times New Roman"/>
          <w:sz w:val="24"/>
          <w:szCs w:val="24"/>
        </w:rPr>
        <w:t xml:space="preserve"> to challenge development decisions.</w:t>
      </w:r>
    </w:p>
    <w:p w14:paraId="00000122"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Recognize the Rights of LGBTQ+ Persons</w:t>
      </w:r>
    </w:p>
    <w:p w14:paraId="00000123"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gender-inclusive constitution must move beyond binary understandings of gender and affirm the rights of LGBTQ+ individuals.</w:t>
      </w:r>
    </w:p>
    <w:p w14:paraId="00000124" w14:textId="77777777" w:rsidR="00E04332" w:rsidRDefault="00000000">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w:t>
      </w:r>
      <w:r>
        <w:rPr>
          <w:rFonts w:ascii="Times New Roman" w:eastAsia="Times New Roman" w:hAnsi="Times New Roman" w:cs="Times New Roman"/>
          <w:sz w:val="24"/>
          <w:szCs w:val="24"/>
        </w:rPr>
        <w:t>:</w:t>
      </w:r>
    </w:p>
    <w:p w14:paraId="00000125" w14:textId="77777777" w:rsidR="00E04332" w:rsidRDefault="00000000">
      <w:pPr>
        <w:numPr>
          <w:ilvl w:val="1"/>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Define "gender" in inclusive terms, including non-binary and non-conform gender. </w:t>
      </w:r>
    </w:p>
    <w:p w14:paraId="00000126" w14:textId="77777777" w:rsidR="00E04332" w:rsidRDefault="00000000">
      <w:pPr>
        <w:numPr>
          <w:ilvl w:val="1"/>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Protect against discrimination in marriage, employment, healthcare, education, and political participation.</w:t>
      </w:r>
    </w:p>
    <w:p w14:paraId="00000127" w14:textId="77777777" w:rsidR="00E04332" w:rsidRDefault="00000000">
      <w:pPr>
        <w:numPr>
          <w:ilvl w:val="1"/>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Allow for legal gender recognition based on self-determination.</w:t>
      </w:r>
    </w:p>
    <w:p w14:paraId="00000128"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Create Gender-Responsive Public Budgets and Policies</w:t>
      </w:r>
    </w:p>
    <w:p w14:paraId="00000129"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Constitution should require the state to allocate resources equitably and address gender disparities through </w:t>
      </w:r>
      <w:r>
        <w:rPr>
          <w:rFonts w:ascii="Times New Roman" w:eastAsia="Times New Roman" w:hAnsi="Times New Roman" w:cs="Times New Roman"/>
          <w:b/>
          <w:sz w:val="24"/>
          <w:szCs w:val="24"/>
        </w:rPr>
        <w:t>gender-responsive budgeting</w:t>
      </w:r>
      <w:r>
        <w:rPr>
          <w:rFonts w:ascii="Times New Roman" w:eastAsia="Times New Roman" w:hAnsi="Times New Roman" w:cs="Times New Roman"/>
          <w:sz w:val="24"/>
          <w:szCs w:val="24"/>
        </w:rPr>
        <w:t xml:space="preserve">, already mentioned in the Constitution. </w:t>
      </w:r>
    </w:p>
    <w:p w14:paraId="0000012A" w14:textId="77777777" w:rsidR="00E04332" w:rsidRDefault="00000000">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Recommendation</w:t>
      </w:r>
      <w:r>
        <w:rPr>
          <w:rFonts w:ascii="Times New Roman" w:eastAsia="Times New Roman" w:hAnsi="Times New Roman" w:cs="Times New Roman"/>
          <w:sz w:val="24"/>
          <w:szCs w:val="24"/>
        </w:rPr>
        <w:t>:</w:t>
      </w:r>
    </w:p>
    <w:p w14:paraId="0000012B" w14:textId="77777777" w:rsidR="00E04332" w:rsidRDefault="00000000">
      <w:pPr>
        <w:numPr>
          <w:ilvl w:val="1"/>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Mandate </w:t>
      </w:r>
      <w:r>
        <w:rPr>
          <w:rFonts w:ascii="Times New Roman" w:eastAsia="Times New Roman" w:hAnsi="Times New Roman" w:cs="Times New Roman"/>
          <w:b/>
          <w:sz w:val="24"/>
          <w:szCs w:val="24"/>
        </w:rPr>
        <w:t>annual gender audits</w:t>
      </w:r>
      <w:r>
        <w:rPr>
          <w:rFonts w:ascii="Times New Roman" w:eastAsia="Times New Roman" w:hAnsi="Times New Roman" w:cs="Times New Roman"/>
          <w:sz w:val="24"/>
          <w:szCs w:val="24"/>
        </w:rPr>
        <w:t xml:space="preserve"> of government programs.</w:t>
      </w:r>
    </w:p>
    <w:p w14:paraId="0000012C" w14:textId="77777777" w:rsidR="00E04332" w:rsidRDefault="00000000">
      <w:pPr>
        <w:numPr>
          <w:ilvl w:val="1"/>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 public investment in services that disproportionately affect women, such as childcare, eldercare, and reproductive health.</w:t>
      </w:r>
    </w:p>
    <w:p w14:paraId="0000012D" w14:textId="77777777" w:rsidR="00E04332" w:rsidRDefault="00E04332">
      <w:pPr>
        <w:spacing w:line="360" w:lineRule="auto"/>
        <w:jc w:val="both"/>
        <w:rPr>
          <w:rFonts w:ascii="Times New Roman" w:eastAsia="Times New Roman" w:hAnsi="Times New Roman" w:cs="Times New Roman"/>
          <w:sz w:val="24"/>
          <w:szCs w:val="24"/>
        </w:rPr>
      </w:pPr>
    </w:p>
    <w:p w14:paraId="0000012E" w14:textId="77777777" w:rsidR="00E0433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12F" w14:textId="77777777" w:rsidR="00E04332" w:rsidRDefault="00000000">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Shadow Report underscores the critical need for the Thai government to move beyond symbolic commitments and ensure the substantive realization of women’s and gender-diverse people's rights—especially in the Isaan region, where structural inequality, legal gaps, and regional disparities persist. Despite legislative progress and Thailand’s ratification of international human rights treaties </w:t>
      </w:r>
      <w:r>
        <w:rPr>
          <w:rFonts w:ascii="Times New Roman" w:eastAsia="Times New Roman" w:hAnsi="Times New Roman" w:cs="Times New Roman"/>
          <w:sz w:val="24"/>
          <w:szCs w:val="24"/>
        </w:rPr>
        <w:lastRenderedPageBreak/>
        <w:t>such as CEDAW, implementation remains inadequate and uneven, particularly for rural women, LGBTQ+ individuals, ethnic minorities, migrant workers, and other marginalized groups.</w:t>
      </w:r>
    </w:p>
    <w:p w14:paraId="00000130" w14:textId="77777777"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and testimonies presented reveal a pattern of systemic discrimination rooted in patriarchy, militarization, economic exploitation, and a centralization of power that silences grassroots voices. Women and gender-diverse people in Isaan continue to face unequal access to land, justice, healthcare, education, and political participation. The lack of legal protections, coupled with impunity for gender-based violence and repression of human rights defenders, has created an environment of fear, insecurity, and exclusion.</w:t>
      </w:r>
    </w:p>
    <w:p w14:paraId="00000132" w14:textId="4425A018" w:rsidR="00E0433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therefore call on the Thai State Party to fulfill its obligations under CEDAW by adopting a rights-based, gender-sensitive, and intersectional approach to governance and development. This includes amending the Constitution to be gender-inclusive, reforming discriminatory laws and practices, ensuring fair access to resources and justice, and meaningfully engaging women and gender-diverse individuals in policy-making at all levels. Urgent attention must be given to regionally responsive solutions that reflect the lived realities of people in Isaan. The Thai government must demonstrate political will and genuine commitment to dismantling structural inequality, protecting human rights, and advancing social justice for all.</w:t>
      </w:r>
    </w:p>
    <w:p w14:paraId="00000133" w14:textId="77777777" w:rsidR="00E04332" w:rsidRDefault="00E04332">
      <w:pPr>
        <w:spacing w:line="360" w:lineRule="auto"/>
        <w:jc w:val="both"/>
        <w:rPr>
          <w:rFonts w:ascii="Times New Roman" w:eastAsia="Times New Roman" w:hAnsi="Times New Roman" w:cs="Times New Roman"/>
          <w:sz w:val="24"/>
          <w:szCs w:val="24"/>
        </w:rPr>
      </w:pPr>
    </w:p>
    <w:p w14:paraId="00000134" w14:textId="77777777" w:rsidR="00E04332" w:rsidRDefault="00E04332">
      <w:pPr>
        <w:widowControl w:val="0"/>
        <w:spacing w:line="360" w:lineRule="auto"/>
        <w:jc w:val="both"/>
        <w:rPr>
          <w:rFonts w:ascii="Times New Roman" w:eastAsia="Times New Roman" w:hAnsi="Times New Roman" w:cs="Times New Roman"/>
          <w:b/>
          <w:sz w:val="24"/>
          <w:szCs w:val="24"/>
          <w:shd w:val="clear" w:color="auto" w:fill="E6B8AF"/>
        </w:rPr>
      </w:pPr>
    </w:p>
    <w:p w14:paraId="00000135" w14:textId="77777777" w:rsidR="00E04332" w:rsidRDefault="00E04332">
      <w:pPr>
        <w:spacing w:line="360" w:lineRule="auto"/>
        <w:jc w:val="both"/>
        <w:rPr>
          <w:rFonts w:ascii="Times New Roman" w:eastAsia="Times New Roman" w:hAnsi="Times New Roman" w:cs="Times New Roman"/>
          <w:sz w:val="24"/>
          <w:szCs w:val="24"/>
        </w:rPr>
      </w:pPr>
    </w:p>
    <w:p w14:paraId="00000136" w14:textId="77777777" w:rsidR="00E04332" w:rsidRDefault="00E04332">
      <w:pPr>
        <w:spacing w:line="360" w:lineRule="auto"/>
        <w:jc w:val="both"/>
        <w:rPr>
          <w:rFonts w:ascii="Times New Roman" w:eastAsia="Times New Roman" w:hAnsi="Times New Roman" w:cs="Times New Roman"/>
          <w:sz w:val="24"/>
          <w:szCs w:val="24"/>
        </w:rPr>
      </w:pPr>
    </w:p>
    <w:p w14:paraId="00000137" w14:textId="77777777" w:rsidR="00E04332" w:rsidRDefault="00E04332">
      <w:pPr>
        <w:spacing w:line="360" w:lineRule="auto"/>
        <w:jc w:val="both"/>
        <w:rPr>
          <w:rFonts w:ascii="Times New Roman" w:eastAsia="Times New Roman" w:hAnsi="Times New Roman" w:cs="Times New Roman"/>
          <w:sz w:val="24"/>
          <w:szCs w:val="24"/>
        </w:rPr>
      </w:pPr>
    </w:p>
    <w:p w14:paraId="00000138" w14:textId="77777777" w:rsidR="00E04332" w:rsidRDefault="00E04332">
      <w:pPr>
        <w:spacing w:line="360" w:lineRule="auto"/>
        <w:jc w:val="both"/>
        <w:rPr>
          <w:rFonts w:ascii="Times New Roman" w:eastAsia="Times New Roman" w:hAnsi="Times New Roman" w:cs="Times New Roman"/>
          <w:sz w:val="24"/>
          <w:szCs w:val="24"/>
        </w:rPr>
      </w:pPr>
    </w:p>
    <w:sectPr w:rsidR="00E04332">
      <w:type w:val="continuous"/>
      <w:pgSz w:w="11909" w:h="16834"/>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17680A20-99EA-4857-AF69-F6B685B5F87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embedRegular r:id="rId2" w:fontKey="{D76718FE-1765-43E2-8380-513ED9B8E461}"/>
    <w:embedBold r:id="rId3" w:fontKey="{55241779-B31D-465C-A485-B757035ADBDB}"/>
  </w:font>
  <w:font w:name="Angsana New">
    <w:panose1 w:val="02020603050405020304"/>
    <w:charset w:val="00"/>
    <w:family w:val="roman"/>
    <w:pitch w:val="variable"/>
    <w:sig w:usb0="81000003" w:usb1="00000000" w:usb2="00000000" w:usb3="00000000" w:csb0="00010001" w:csb1="00000000"/>
    <w:embedRegular r:id="rId4" w:fontKey="{A073AD68-59F3-4DB6-A011-58A8A5401C6F}"/>
  </w:font>
  <w:font w:name="Calibri">
    <w:panose1 w:val="020F0502020204030204"/>
    <w:charset w:val="00"/>
    <w:family w:val="swiss"/>
    <w:pitch w:val="variable"/>
    <w:sig w:usb0="E4002EFF" w:usb1="C200247B" w:usb2="00000009" w:usb3="00000000" w:csb0="000001FF" w:csb1="00000000"/>
    <w:embedRegular r:id="rId5" w:fontKey="{48D1F385-1909-44D9-B122-051B8B834641}"/>
  </w:font>
  <w:font w:name="Cambria">
    <w:panose1 w:val="02040503050406030204"/>
    <w:charset w:val="00"/>
    <w:family w:val="roman"/>
    <w:pitch w:val="variable"/>
    <w:sig w:usb0="E00006FF" w:usb1="420024FF" w:usb2="02000000" w:usb3="00000000" w:csb0="0000019F" w:csb1="00000000"/>
    <w:embedRegular r:id="rId6" w:fontKey="{7830AB0D-448A-49FC-A6A4-9DA5969F58F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944E5"/>
    <w:multiLevelType w:val="multilevel"/>
    <w:tmpl w:val="A5CAE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B10A98"/>
    <w:multiLevelType w:val="multilevel"/>
    <w:tmpl w:val="44247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A33129"/>
    <w:multiLevelType w:val="multilevel"/>
    <w:tmpl w:val="6D0608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BD85474"/>
    <w:multiLevelType w:val="multilevel"/>
    <w:tmpl w:val="3C7608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CB87ABF"/>
    <w:multiLevelType w:val="multilevel"/>
    <w:tmpl w:val="82464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1A868ED"/>
    <w:multiLevelType w:val="multilevel"/>
    <w:tmpl w:val="2A462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0E0E7C"/>
    <w:multiLevelType w:val="multilevel"/>
    <w:tmpl w:val="DF3C9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EB339F"/>
    <w:multiLevelType w:val="multilevel"/>
    <w:tmpl w:val="1A4409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8452AD5"/>
    <w:multiLevelType w:val="multilevel"/>
    <w:tmpl w:val="F41A32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2AA078C6"/>
    <w:multiLevelType w:val="multilevel"/>
    <w:tmpl w:val="4D144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D57DAF"/>
    <w:multiLevelType w:val="multilevel"/>
    <w:tmpl w:val="0FB87C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71314ED"/>
    <w:multiLevelType w:val="multilevel"/>
    <w:tmpl w:val="F9A48F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4A1F5465"/>
    <w:multiLevelType w:val="multilevel"/>
    <w:tmpl w:val="C48005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C1C1148"/>
    <w:multiLevelType w:val="multilevel"/>
    <w:tmpl w:val="324AAE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C841A65"/>
    <w:multiLevelType w:val="multilevel"/>
    <w:tmpl w:val="A0F68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2D45AC0"/>
    <w:multiLevelType w:val="multilevel"/>
    <w:tmpl w:val="6C5ED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2D615A0"/>
    <w:multiLevelType w:val="multilevel"/>
    <w:tmpl w:val="A50684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3F6734"/>
    <w:multiLevelType w:val="multilevel"/>
    <w:tmpl w:val="E250C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A9F5399"/>
    <w:multiLevelType w:val="multilevel"/>
    <w:tmpl w:val="AAF894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DDD426A"/>
    <w:multiLevelType w:val="multilevel"/>
    <w:tmpl w:val="3E8282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5F50424A"/>
    <w:multiLevelType w:val="multilevel"/>
    <w:tmpl w:val="BD2E16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62437617"/>
    <w:multiLevelType w:val="multilevel"/>
    <w:tmpl w:val="229AC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FB22FEF"/>
    <w:multiLevelType w:val="multilevel"/>
    <w:tmpl w:val="43C2B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3718664">
    <w:abstractNumId w:val="9"/>
  </w:num>
  <w:num w:numId="2" w16cid:durableId="1675112658">
    <w:abstractNumId w:val="16"/>
  </w:num>
  <w:num w:numId="3" w16cid:durableId="1258832578">
    <w:abstractNumId w:val="0"/>
  </w:num>
  <w:num w:numId="4" w16cid:durableId="1539195262">
    <w:abstractNumId w:val="18"/>
  </w:num>
  <w:num w:numId="5" w16cid:durableId="796682704">
    <w:abstractNumId w:val="2"/>
  </w:num>
  <w:num w:numId="6" w16cid:durableId="2000964115">
    <w:abstractNumId w:val="3"/>
  </w:num>
  <w:num w:numId="7" w16cid:durableId="242645664">
    <w:abstractNumId w:val="10"/>
  </w:num>
  <w:num w:numId="8" w16cid:durableId="798451693">
    <w:abstractNumId w:val="7"/>
  </w:num>
  <w:num w:numId="9" w16cid:durableId="1776634298">
    <w:abstractNumId w:val="12"/>
  </w:num>
  <w:num w:numId="10" w16cid:durableId="972903120">
    <w:abstractNumId w:val="19"/>
  </w:num>
  <w:num w:numId="11" w16cid:durableId="1688285527">
    <w:abstractNumId w:val="4"/>
  </w:num>
  <w:num w:numId="12" w16cid:durableId="1342777633">
    <w:abstractNumId w:val="13"/>
  </w:num>
  <w:num w:numId="13" w16cid:durableId="457379645">
    <w:abstractNumId w:val="20"/>
  </w:num>
  <w:num w:numId="14" w16cid:durableId="462626152">
    <w:abstractNumId w:val="8"/>
  </w:num>
  <w:num w:numId="15" w16cid:durableId="1447502457">
    <w:abstractNumId w:val="21"/>
  </w:num>
  <w:num w:numId="16" w16cid:durableId="1719277456">
    <w:abstractNumId w:val="5"/>
  </w:num>
  <w:num w:numId="17" w16cid:durableId="1065571255">
    <w:abstractNumId w:val="11"/>
  </w:num>
  <w:num w:numId="18" w16cid:durableId="622150823">
    <w:abstractNumId w:val="14"/>
  </w:num>
  <w:num w:numId="19" w16cid:durableId="1767730518">
    <w:abstractNumId w:val="17"/>
  </w:num>
  <w:num w:numId="20" w16cid:durableId="422606281">
    <w:abstractNumId w:val="1"/>
  </w:num>
  <w:num w:numId="21" w16cid:durableId="559050109">
    <w:abstractNumId w:val="22"/>
  </w:num>
  <w:num w:numId="22" w16cid:durableId="359859777">
    <w:abstractNumId w:val="15"/>
  </w:num>
  <w:num w:numId="23" w16cid:durableId="1090734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embedTrueTypeFonts/>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332"/>
    <w:rsid w:val="001D15E0"/>
    <w:rsid w:val="002F75B3"/>
    <w:rsid w:val="00397E35"/>
    <w:rsid w:val="00875336"/>
    <w:rsid w:val="00895D1D"/>
    <w:rsid w:val="00B43FC1"/>
    <w:rsid w:val="00E04332"/>
    <w:rsid w:val="00E752E0"/>
    <w:rsid w:val="00EB63F4"/>
    <w:rsid w:val="00F16304"/>
    <w:rsid w:val="00F70D3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827BB"/>
  <w15:docId w15:val="{2209315E-D73F-413E-8BC4-4EE31CAC0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1E34AB"/>
    <w:pPr>
      <w:ind w:left="720"/>
      <w:contextualSpacing/>
    </w:pPr>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WZhh2hVZEXdouWYR7ep0p0dm8g==">CgMxLjAyDmgubHNiZHI1ZGp4eDVuMg5oLjd6c2l2MHJ4ZWs0bzIOaC5nb3U2ZDlod2NiYjYyDmguZ3djMWtuYzNjdGNrMg5oLnFybXo5eWQ0am1kdTIOaC5oeWhnbzZjNzYyd3oyDmgubnR6NnQ5Ynh0cmE5Mg1oLmN0ZzlzZGl1MjloMg5oLjd6ajl5NGhmYnF1dDIMaC5jZ3c2cmwxd2g1Mg5oLjFqcGF2dHYxaHpjNDIOaC5qcTZtbjF6OTZoOW0yDmgucnJ0aHY3dHczanhpMg5oLjcyaDZvaXF1YnF4NzIOaC4zYWptcGN5YmF2aXk4AHIhMUxsdWk2a3Jwa3JPQXZjVmROSTFPODhKLTJlejFkYn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20</Pages>
  <Words>6910</Words>
  <Characters>39389</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Zenbook</dc:creator>
  <cp:lastModifiedBy>Cheera Thongkrajai</cp:lastModifiedBy>
  <cp:revision>9</cp:revision>
  <cp:lastPrinted>2025-05-18T10:56:00Z</cp:lastPrinted>
  <dcterms:created xsi:type="dcterms:W3CDTF">2025-05-18T11:43:00Z</dcterms:created>
  <dcterms:modified xsi:type="dcterms:W3CDTF">2025-05-19T12:32:00Z</dcterms:modified>
</cp:coreProperties>
</file>