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77A8F8" w14:textId="77777777" w:rsidR="00111E1A" w:rsidRDefault="00111E1A" w:rsidP="003341CF">
      <w:pPr>
        <w:jc w:val="center"/>
        <w:rPr>
          <w:b/>
          <w:bCs/>
          <w:u w:val="single"/>
        </w:rPr>
      </w:pPr>
    </w:p>
    <w:p w14:paraId="23AD7D74" w14:textId="77777777" w:rsidR="00111E1A" w:rsidRDefault="00111E1A" w:rsidP="00111E1A">
      <w:pPr>
        <w:spacing w:after="335"/>
        <w:ind w:left="-5" w:right="39"/>
        <w:jc w:val="center"/>
        <w:rPr>
          <w:rFonts w:ascii="Times New Roman" w:eastAsia="Times New Roman" w:hAnsi="Times New Roman" w:cs="Times New Roman"/>
          <w:b/>
          <w:bCs/>
          <w:sz w:val="24"/>
          <w:szCs w:val="24"/>
          <w:lang w:eastAsia="fr-FR"/>
        </w:rPr>
      </w:pPr>
    </w:p>
    <w:p w14:paraId="4BE1E21C" w14:textId="49A1AB95" w:rsidR="00111E1A" w:rsidRDefault="00111E1A" w:rsidP="00111E1A">
      <w:pPr>
        <w:spacing w:after="335"/>
        <w:ind w:left="-5" w:right="39"/>
        <w:jc w:val="center"/>
        <w:rPr>
          <w:rFonts w:ascii="Times New Roman" w:eastAsia="Times New Roman" w:hAnsi="Times New Roman" w:cs="Times New Roman"/>
          <w:b/>
          <w:bCs/>
          <w:sz w:val="24"/>
          <w:szCs w:val="24"/>
          <w:lang w:eastAsia="fr-FR"/>
        </w:rPr>
      </w:pPr>
      <w:r>
        <w:rPr>
          <w:noProof/>
          <w:sz w:val="32"/>
          <w:szCs w:val="32"/>
          <w:u w:val="single"/>
          <w:lang w:val="en-GB" w:eastAsia="en-GB"/>
        </w:rPr>
        <w:drawing>
          <wp:inline distT="0" distB="0" distL="0" distR="0" wp14:anchorId="651A7B9C" wp14:editId="4404F08E">
            <wp:extent cx="1494887" cy="2076967"/>
            <wp:effectExtent l="304800" t="0" r="295813" b="0"/>
            <wp:docPr id="2" name="Image 0" descr="logoCGLPL_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CGLPL_L.jpg"/>
                    <pic:cNvPicPr/>
                  </pic:nvPicPr>
                  <pic:blipFill>
                    <a:blip r:embed="rId8" cstate="print"/>
                    <a:stretch>
                      <a:fillRect/>
                    </a:stretch>
                  </pic:blipFill>
                  <pic:spPr>
                    <a:xfrm rot="16200000">
                      <a:off x="0" y="0"/>
                      <a:ext cx="1494702" cy="2076711"/>
                    </a:xfrm>
                    <a:prstGeom prst="rect">
                      <a:avLst/>
                    </a:prstGeom>
                  </pic:spPr>
                </pic:pic>
              </a:graphicData>
            </a:graphic>
          </wp:inline>
        </w:drawing>
      </w:r>
    </w:p>
    <w:p w14:paraId="5A40434D" w14:textId="77777777" w:rsidR="00C04034" w:rsidRDefault="00C04034" w:rsidP="00111E1A">
      <w:pPr>
        <w:spacing w:after="335"/>
        <w:ind w:left="-5" w:right="39"/>
        <w:jc w:val="center"/>
        <w:rPr>
          <w:rFonts w:ascii="Times New Roman" w:eastAsia="Times New Roman" w:hAnsi="Times New Roman" w:cs="Times New Roman"/>
          <w:b/>
          <w:bCs/>
          <w:sz w:val="24"/>
          <w:szCs w:val="24"/>
          <w:lang w:eastAsia="fr-FR"/>
        </w:rPr>
      </w:pPr>
    </w:p>
    <w:p w14:paraId="33AC3167" w14:textId="77777777" w:rsidR="00111E1A" w:rsidRPr="00804B6B" w:rsidRDefault="00111E1A" w:rsidP="00111E1A">
      <w:pPr>
        <w:spacing w:after="335"/>
        <w:ind w:left="-5" w:right="39"/>
        <w:jc w:val="center"/>
        <w:rPr>
          <w:rFonts w:ascii="Times New Roman" w:eastAsia="Times New Roman" w:hAnsi="Times New Roman" w:cs="Times New Roman"/>
          <w:b/>
          <w:bCs/>
          <w:sz w:val="28"/>
          <w:szCs w:val="28"/>
          <w:lang w:eastAsia="fr-FR"/>
        </w:rPr>
      </w:pPr>
      <w:r w:rsidRPr="00804B6B">
        <w:rPr>
          <w:rFonts w:ascii="Times New Roman" w:eastAsia="Times New Roman" w:hAnsi="Times New Roman" w:cs="Times New Roman"/>
          <w:b/>
          <w:bCs/>
          <w:sz w:val="28"/>
          <w:szCs w:val="28"/>
          <w:lang w:eastAsia="fr-FR"/>
        </w:rPr>
        <w:t>Examen périodique de la France</w:t>
      </w:r>
    </w:p>
    <w:p w14:paraId="78B6998C" w14:textId="3EA840ED" w:rsidR="00AC2FB2" w:rsidRDefault="00111E1A" w:rsidP="00111E1A">
      <w:pPr>
        <w:spacing w:after="335"/>
        <w:ind w:left="-5" w:right="39"/>
        <w:jc w:val="center"/>
        <w:rPr>
          <w:rFonts w:ascii="Times New Roman" w:eastAsia="Times New Roman" w:hAnsi="Times New Roman" w:cs="Times New Roman"/>
          <w:b/>
          <w:bCs/>
          <w:sz w:val="28"/>
          <w:szCs w:val="28"/>
          <w:lang w:eastAsia="fr-FR"/>
        </w:rPr>
      </w:pPr>
      <w:r w:rsidRPr="00804B6B">
        <w:rPr>
          <w:rFonts w:ascii="Times New Roman" w:eastAsia="Times New Roman" w:hAnsi="Times New Roman" w:cs="Times New Roman"/>
          <w:b/>
          <w:bCs/>
          <w:sz w:val="28"/>
          <w:szCs w:val="28"/>
          <w:lang w:eastAsia="fr-FR"/>
        </w:rPr>
        <w:t xml:space="preserve">par le Comité des Nations unies </w:t>
      </w:r>
      <w:r>
        <w:rPr>
          <w:rFonts w:ascii="Times New Roman" w:eastAsia="Times New Roman" w:hAnsi="Times New Roman" w:cs="Times New Roman"/>
          <w:b/>
          <w:bCs/>
          <w:sz w:val="28"/>
          <w:szCs w:val="28"/>
          <w:lang w:eastAsia="fr-FR"/>
        </w:rPr>
        <w:t>des</w:t>
      </w:r>
      <w:r w:rsidRPr="00804B6B">
        <w:rPr>
          <w:rFonts w:ascii="Times New Roman" w:eastAsia="Times New Roman" w:hAnsi="Times New Roman" w:cs="Times New Roman"/>
          <w:b/>
          <w:bCs/>
          <w:sz w:val="28"/>
          <w:szCs w:val="28"/>
          <w:lang w:eastAsia="fr-FR"/>
        </w:rPr>
        <w:t xml:space="preserve"> droits des personnes handicapées</w:t>
      </w:r>
    </w:p>
    <w:p w14:paraId="783C6BA3" w14:textId="77777777" w:rsidR="00111E1A" w:rsidRPr="00111E1A" w:rsidRDefault="00111E1A" w:rsidP="00111E1A">
      <w:pPr>
        <w:spacing w:after="335"/>
        <w:ind w:right="39"/>
        <w:rPr>
          <w:rFonts w:ascii="Times New Roman" w:eastAsia="Times New Roman" w:hAnsi="Times New Roman" w:cs="Times New Roman"/>
          <w:b/>
          <w:bCs/>
          <w:sz w:val="28"/>
          <w:szCs w:val="28"/>
          <w:lang w:eastAsia="fr-FR"/>
        </w:rPr>
      </w:pPr>
    </w:p>
    <w:p w14:paraId="7D608589" w14:textId="7AEFE329" w:rsidR="00D85012" w:rsidRPr="00111E1A" w:rsidRDefault="00111E1A" w:rsidP="00111E1A">
      <w:pPr>
        <w:jc w:val="both"/>
      </w:pPr>
      <w:r w:rsidRPr="00111E1A">
        <w:t xml:space="preserve">Dans le cadre du premier examen périodique de la France par le Comité des droits des personnes handicapées (CRPD), le </w:t>
      </w:r>
      <w:bookmarkStart w:id="0" w:name="_GoBack"/>
      <w:r w:rsidRPr="00111E1A">
        <w:t>Contrôleur général des lieux de privation de liberté (CGLPL)</w:t>
      </w:r>
      <w:bookmarkEnd w:id="0"/>
      <w:r w:rsidRPr="00111E1A">
        <w:t xml:space="preserve">, mécanisme français de prévention de la torture institué en 2007 en application du protocole facultatif des Nations unies pour la prévention de la torture et autre traitements cruels inhumains et dégradants, a l’honneur de présenter ses observations. </w:t>
      </w:r>
    </w:p>
    <w:p w14:paraId="3DE4B580" w14:textId="77777777" w:rsidR="00111E1A" w:rsidRPr="00111E1A" w:rsidRDefault="00111E1A" w:rsidP="00111E1A">
      <w:pPr>
        <w:jc w:val="both"/>
      </w:pPr>
      <w:r w:rsidRPr="00111E1A">
        <w:t xml:space="preserve">Pour s’assurer du respect de leurs droits fondamentaux des personnes privées de liberté, le CGLPL peut visiter à tout moment tout lieu où des personnes sont privées de leur liberté par décision d’une autorité publique. Il dispose d’un accès très large aux locaux, aux documents et aux personnes, qu’il s’agisse des personnes privées de liberté elles-mêmes, de leurs proches ou de celles qui interviennent dans leur prise en charge. À la suite de ses visites, il adresse des observations aux ministres qui exercent leur tutelle ou leur autorité sur les organismes contrôlés. Il peut aussi formuler des recommandations et proposer toute modification des dispositions législatives et réglementaires. Tous ses travaux sont publics. </w:t>
      </w:r>
    </w:p>
    <w:p w14:paraId="7D49DCD1" w14:textId="3665E5AB" w:rsidR="00111E1A" w:rsidRPr="00111E1A" w:rsidRDefault="00111E1A" w:rsidP="00111E1A">
      <w:pPr>
        <w:jc w:val="both"/>
      </w:pPr>
      <w:r w:rsidRPr="00111E1A">
        <w:t xml:space="preserve">Depuis sa création, le CGLPL a contrôlé la situation des personnes privées de liberté dans </w:t>
      </w:r>
      <w:r w:rsidR="00891B26">
        <w:t xml:space="preserve">plus </w:t>
      </w:r>
      <w:r w:rsidR="00AD12DD">
        <w:t xml:space="preserve">de </w:t>
      </w:r>
      <w:r w:rsidR="00891B26">
        <w:t>200</w:t>
      </w:r>
      <w:r w:rsidR="00891B26" w:rsidRPr="00111E1A">
        <w:t xml:space="preserve"> </w:t>
      </w:r>
      <w:r w:rsidRPr="00111E1A">
        <w:t xml:space="preserve">établissements de santé mentale, et visité au moins une fois tous les établissements pénitentiaires et les centres de rétention administrative. Chaque année, il reçoit également environ </w:t>
      </w:r>
      <w:r w:rsidR="00891B26">
        <w:t>3500</w:t>
      </w:r>
      <w:r w:rsidR="00891B26" w:rsidRPr="00111E1A">
        <w:t xml:space="preserve"> </w:t>
      </w:r>
      <w:r w:rsidRPr="00111E1A">
        <w:t>courriers signalant des atteintes aux droits fondamentaux dans les lieux de privation de liberté, qui génèrent un dialogue constructif avec les autorités et des visites ciblées. Sur la base de cette expertise de terrain, le CGLPL souhaite appeler l’attention du CRPD sur les atteintes aux droits fondamentaux des personnes souffrant de troubles psychiques ou de handicap moteur dans les lieux de privation de liberté.</w:t>
      </w:r>
    </w:p>
    <w:p w14:paraId="25ECCEB1" w14:textId="23398FC6" w:rsidR="003341CF" w:rsidRDefault="003341CF" w:rsidP="003341CF"/>
    <w:p w14:paraId="20F89FE2" w14:textId="77777777" w:rsidR="00111E1A" w:rsidRDefault="00111E1A" w:rsidP="003341CF"/>
    <w:p w14:paraId="08C225E2" w14:textId="77777777" w:rsidR="003341CF" w:rsidRPr="00686B77" w:rsidRDefault="003341CF" w:rsidP="003341CF">
      <w:pPr>
        <w:rPr>
          <w:b/>
          <w:bCs/>
        </w:rPr>
      </w:pPr>
      <w:r w:rsidRPr="00686B77">
        <w:rPr>
          <w:b/>
          <w:bCs/>
        </w:rPr>
        <w:lastRenderedPageBreak/>
        <w:t>Enfants handicapés (art. 7)</w:t>
      </w:r>
    </w:p>
    <w:p w14:paraId="6A58B8BC" w14:textId="344AE825" w:rsidR="001529AD" w:rsidRPr="001529AD" w:rsidRDefault="001529AD" w:rsidP="001529AD">
      <w:pPr>
        <w:jc w:val="both"/>
        <w:rPr>
          <w:b/>
          <w:bCs/>
        </w:rPr>
      </w:pPr>
      <w:r w:rsidRPr="001529AD">
        <w:rPr>
          <w:b/>
          <w:bCs/>
        </w:rPr>
        <w:t xml:space="preserve">Le Comité demande quelles </w:t>
      </w:r>
      <w:r w:rsidR="003341CF" w:rsidRPr="001529AD">
        <w:rPr>
          <w:b/>
          <w:bCs/>
        </w:rPr>
        <w:t>mesures</w:t>
      </w:r>
      <w:r w:rsidRPr="001529AD">
        <w:rPr>
          <w:b/>
          <w:bCs/>
        </w:rPr>
        <w:t xml:space="preserve"> sont</w:t>
      </w:r>
      <w:r w:rsidR="003341CF" w:rsidRPr="001529AD">
        <w:rPr>
          <w:b/>
          <w:bCs/>
        </w:rPr>
        <w:t xml:space="preserve"> prises pour</w:t>
      </w:r>
      <w:r w:rsidRPr="001529AD">
        <w:rPr>
          <w:b/>
          <w:bCs/>
        </w:rPr>
        <w:t xml:space="preserve"> </w:t>
      </w:r>
      <w:r w:rsidR="00081A8A">
        <w:rPr>
          <w:b/>
          <w:bCs/>
        </w:rPr>
        <w:t>g</w:t>
      </w:r>
      <w:r w:rsidRPr="001529AD">
        <w:rPr>
          <w:b/>
          <w:bCs/>
        </w:rPr>
        <w:t xml:space="preserve">arantir que les enfants handicapés jouissent pleinement du droit d’exprimer leurs vues sur toutes les questions les intéressant, y compris dans les procédures et décisions judiciaires et administratives, notamment en faisant appliquer l’article 388-1 du Code civil (§5). </w:t>
      </w:r>
    </w:p>
    <w:p w14:paraId="3127616B" w14:textId="5BAA20E0" w:rsidR="008B7AA2" w:rsidRPr="008B7AA2" w:rsidRDefault="006E2B6E" w:rsidP="008B7AA2">
      <w:pPr>
        <w:jc w:val="both"/>
        <w:rPr>
          <w:i/>
          <w:iCs/>
        </w:rPr>
      </w:pPr>
      <w:r>
        <w:rPr>
          <w:i/>
          <w:iCs/>
        </w:rPr>
        <w:t>Dans sa r</w:t>
      </w:r>
      <w:r w:rsidR="003341CF" w:rsidRPr="001529AD">
        <w:rPr>
          <w:i/>
          <w:iCs/>
        </w:rPr>
        <w:t>éponse</w:t>
      </w:r>
      <w:r w:rsidR="001529AD" w:rsidRPr="001529AD">
        <w:rPr>
          <w:i/>
          <w:iCs/>
        </w:rPr>
        <w:t>, la France indique que</w:t>
      </w:r>
      <w:r>
        <w:rPr>
          <w:i/>
          <w:iCs/>
        </w:rPr>
        <w:t xml:space="preserve"> </w:t>
      </w:r>
      <w:r w:rsidR="003341CF" w:rsidRPr="001529AD">
        <w:rPr>
          <w:i/>
          <w:iCs/>
        </w:rPr>
        <w:t>l’enfant peut demander une audition au juge</w:t>
      </w:r>
      <w:r w:rsidR="001529AD" w:rsidRPr="001529AD">
        <w:rPr>
          <w:i/>
          <w:iCs/>
        </w:rPr>
        <w:t xml:space="preserve"> dans le cadre des procédures administratives et judiciaires, si besoin avec l’assistance d’un interprète</w:t>
      </w:r>
      <w:r w:rsidR="003341CF" w:rsidRPr="001529AD">
        <w:rPr>
          <w:i/>
          <w:iCs/>
        </w:rPr>
        <w:t>. Seuls son absence de discernement ou le fait qu’il soit étranger au procès, peuvent fonder un refus. Le juge est souverain pour apprécier le discernement</w:t>
      </w:r>
      <w:r w:rsidR="00AD12DD">
        <w:rPr>
          <w:i/>
          <w:iCs/>
        </w:rPr>
        <w:t xml:space="preserve"> (§ 38 et 39)</w:t>
      </w:r>
      <w:r w:rsidR="003341CF" w:rsidRPr="001529AD">
        <w:rPr>
          <w:i/>
          <w:iCs/>
        </w:rPr>
        <w:t>.</w:t>
      </w:r>
    </w:p>
    <w:p w14:paraId="4D15D1AE" w14:textId="5E2A3F7D" w:rsidR="001529AD" w:rsidRDefault="008B7AA2" w:rsidP="008B7AA2">
      <w:pPr>
        <w:jc w:val="both"/>
        <w:rPr>
          <w:color w:val="4472C4" w:themeColor="accent1"/>
        </w:rPr>
      </w:pPr>
      <w:r w:rsidRPr="008B7AA2">
        <w:rPr>
          <w:color w:val="4472C4" w:themeColor="accent1"/>
        </w:rPr>
        <w:t>Les décision</w:t>
      </w:r>
      <w:r>
        <w:rPr>
          <w:color w:val="4472C4" w:themeColor="accent1"/>
        </w:rPr>
        <w:t xml:space="preserve">s </w:t>
      </w:r>
      <w:r w:rsidRPr="008B7AA2">
        <w:rPr>
          <w:color w:val="4472C4" w:themeColor="accent1"/>
        </w:rPr>
        <w:t>d’hospitaliser les enfants se font à la demande de leur</w:t>
      </w:r>
      <w:r>
        <w:rPr>
          <w:color w:val="4472C4" w:themeColor="accent1"/>
        </w:rPr>
        <w:t>s</w:t>
      </w:r>
      <w:r w:rsidRPr="008B7AA2">
        <w:rPr>
          <w:color w:val="4472C4" w:themeColor="accent1"/>
        </w:rPr>
        <w:t xml:space="preserve"> parents</w:t>
      </w:r>
      <w:r w:rsidR="00081A8A">
        <w:rPr>
          <w:color w:val="4472C4" w:themeColor="accent1"/>
        </w:rPr>
        <w:t xml:space="preserve"> dans la grande majorité des cas</w:t>
      </w:r>
      <w:r w:rsidRPr="008B7AA2">
        <w:rPr>
          <w:color w:val="4472C4" w:themeColor="accent1"/>
        </w:rPr>
        <w:t>, et, plus rarement, celle du représentant de l’Etat ou du juge des enfants.</w:t>
      </w:r>
      <w:r>
        <w:rPr>
          <w:color w:val="4472C4" w:themeColor="accent1"/>
        </w:rPr>
        <w:t xml:space="preserve"> De nombreux services de pédopsychiatrie indique</w:t>
      </w:r>
      <w:r w:rsidR="007F024A">
        <w:rPr>
          <w:color w:val="4472C4" w:themeColor="accent1"/>
        </w:rPr>
        <w:t>nt</w:t>
      </w:r>
      <w:r>
        <w:rPr>
          <w:color w:val="4472C4" w:themeColor="accent1"/>
        </w:rPr>
        <w:t xml:space="preserve"> ne recevoir en hospitalisation que des enfants </w:t>
      </w:r>
      <w:r w:rsidR="00891B26">
        <w:rPr>
          <w:color w:val="4472C4" w:themeColor="accent1"/>
        </w:rPr>
        <w:t>réputés avoir</w:t>
      </w:r>
      <w:r>
        <w:rPr>
          <w:color w:val="4472C4" w:themeColor="accent1"/>
        </w:rPr>
        <w:t xml:space="preserve"> consenti à cette mesure, mais cela ne s’applique pas au cas où la décision est prise par un magistrat ou le représentant de l’Etat. Aux termes de la loi, les enfants ne sont pas formellement consultés s’agissant de la décision d’hospitalisation les concernant.</w:t>
      </w:r>
      <w:r w:rsidR="00081A8A">
        <w:rPr>
          <w:color w:val="4472C4" w:themeColor="accent1"/>
        </w:rPr>
        <w:t xml:space="preserve"> </w:t>
      </w:r>
    </w:p>
    <w:p w14:paraId="59A8FB17" w14:textId="0D50A839" w:rsidR="00BF551F" w:rsidRDefault="00BA1E00" w:rsidP="008B7AA2">
      <w:pPr>
        <w:jc w:val="both"/>
        <w:rPr>
          <w:color w:val="4472C4" w:themeColor="accent1"/>
        </w:rPr>
      </w:pPr>
      <w:r>
        <w:rPr>
          <w:color w:val="4472C4" w:themeColor="accent1"/>
        </w:rPr>
        <w:t>Les</w:t>
      </w:r>
      <w:r w:rsidRPr="00BA1E00">
        <w:rPr>
          <w:color w:val="4472C4" w:themeColor="accent1"/>
        </w:rPr>
        <w:t xml:space="preserve"> procédures d’admission en soins sans consentement</w:t>
      </w:r>
      <w:r>
        <w:rPr>
          <w:color w:val="4472C4" w:themeColor="accent1"/>
        </w:rPr>
        <w:t xml:space="preserve"> </w:t>
      </w:r>
      <w:r w:rsidRPr="00BA1E00">
        <w:rPr>
          <w:color w:val="4472C4" w:themeColor="accent1"/>
        </w:rPr>
        <w:t>font généralement l’objet de protocoles mais la question des patients mineurs n’y figure qu’à la marge</w:t>
      </w:r>
      <w:r>
        <w:rPr>
          <w:color w:val="4472C4" w:themeColor="accent1"/>
        </w:rPr>
        <w:t>. I</w:t>
      </w:r>
      <w:r w:rsidRPr="00BA1E00">
        <w:rPr>
          <w:color w:val="4472C4" w:themeColor="accent1"/>
        </w:rPr>
        <w:t>l n’est quasiment jamais fait référence à l’accompagnement d’un patient mineur dans l’exercice de ses droits</w:t>
      </w:r>
      <w:r w:rsidR="008F71B6">
        <w:rPr>
          <w:color w:val="4472C4" w:themeColor="accent1"/>
        </w:rPr>
        <w:t xml:space="preserve">. </w:t>
      </w:r>
    </w:p>
    <w:p w14:paraId="6A524FA0" w14:textId="77777777" w:rsidR="008F71B6" w:rsidRDefault="008F71B6" w:rsidP="008B7AA2">
      <w:pPr>
        <w:jc w:val="both"/>
        <w:rPr>
          <w:color w:val="4472C4" w:themeColor="accent1"/>
        </w:rPr>
      </w:pPr>
    </w:p>
    <w:p w14:paraId="7CE4CADE" w14:textId="34043EE8" w:rsidR="007222D8" w:rsidRDefault="007222D8" w:rsidP="007222D8">
      <w:pPr>
        <w:pBdr>
          <w:top w:val="single" w:sz="4" w:space="1" w:color="auto"/>
          <w:left w:val="single" w:sz="4" w:space="4" w:color="auto"/>
          <w:bottom w:val="single" w:sz="4" w:space="1" w:color="auto"/>
          <w:right w:val="single" w:sz="4" w:space="4" w:color="auto"/>
        </w:pBdr>
        <w:jc w:val="both"/>
        <w:rPr>
          <w:b/>
          <w:bCs/>
        </w:rPr>
      </w:pPr>
      <w:r>
        <w:rPr>
          <w:b/>
          <w:bCs/>
        </w:rPr>
        <w:t>Recommandation :</w:t>
      </w:r>
    </w:p>
    <w:p w14:paraId="4A9118D0" w14:textId="090D7057" w:rsidR="00BF551F" w:rsidRPr="002F5ED3" w:rsidRDefault="007222D8" w:rsidP="002F5ED3">
      <w:pPr>
        <w:pBdr>
          <w:top w:val="single" w:sz="4" w:space="1" w:color="auto"/>
          <w:left w:val="single" w:sz="4" w:space="4" w:color="auto"/>
          <w:bottom w:val="single" w:sz="4" w:space="1" w:color="auto"/>
          <w:right w:val="single" w:sz="4" w:space="4" w:color="auto"/>
        </w:pBdr>
        <w:jc w:val="both"/>
        <w:rPr>
          <w:b/>
          <w:bCs/>
        </w:rPr>
      </w:pPr>
      <w:r w:rsidRPr="007222D8">
        <w:rPr>
          <w:b/>
          <w:bCs/>
        </w:rPr>
        <w:t xml:space="preserve">Les enfants hospitalisés à la demande de leurs représentants légaux doivent pouvoir </w:t>
      </w:r>
      <w:r>
        <w:rPr>
          <w:b/>
          <w:bCs/>
        </w:rPr>
        <w:t>exprimer formellement leur consentement ou</w:t>
      </w:r>
      <w:r w:rsidR="00F84860">
        <w:rPr>
          <w:b/>
          <w:bCs/>
        </w:rPr>
        <w:t xml:space="preserve"> leur</w:t>
      </w:r>
      <w:r>
        <w:rPr>
          <w:b/>
          <w:bCs/>
        </w:rPr>
        <w:t xml:space="preserve"> absence de consentement aux</w:t>
      </w:r>
      <w:r w:rsidRPr="007222D8">
        <w:rPr>
          <w:b/>
          <w:bCs/>
        </w:rPr>
        <w:t xml:space="preserve"> soins psychiatriques</w:t>
      </w:r>
      <w:r w:rsidR="00891B26">
        <w:rPr>
          <w:b/>
          <w:bCs/>
        </w:rPr>
        <w:t>,</w:t>
      </w:r>
      <w:r w:rsidR="007F024A">
        <w:rPr>
          <w:b/>
          <w:bCs/>
        </w:rPr>
        <w:t xml:space="preserve"> et</w:t>
      </w:r>
      <w:r w:rsidR="008F71B6">
        <w:rPr>
          <w:b/>
          <w:bCs/>
        </w:rPr>
        <w:t>, le cas échéant,</w:t>
      </w:r>
      <w:r w:rsidR="007F024A">
        <w:rPr>
          <w:b/>
          <w:bCs/>
        </w:rPr>
        <w:t xml:space="preserve"> bénéficier d’une protection juridictio</w:t>
      </w:r>
      <w:r w:rsidR="00891B26">
        <w:rPr>
          <w:b/>
          <w:bCs/>
        </w:rPr>
        <w:t>n</w:t>
      </w:r>
      <w:r w:rsidR="007F024A">
        <w:rPr>
          <w:b/>
          <w:bCs/>
        </w:rPr>
        <w:t>nelle équivalente à celle dont bénéficient les patients en soins sans consentement</w:t>
      </w:r>
      <w:r w:rsidRPr="007222D8">
        <w:rPr>
          <w:b/>
          <w:bCs/>
        </w:rPr>
        <w:t xml:space="preserve">. </w:t>
      </w:r>
    </w:p>
    <w:p w14:paraId="690D6784" w14:textId="77777777" w:rsidR="003341CF" w:rsidRPr="000C151F" w:rsidRDefault="003341CF" w:rsidP="003341CF">
      <w:pPr>
        <w:jc w:val="both"/>
        <w:rPr>
          <w:color w:val="FF0000"/>
        </w:rPr>
      </w:pPr>
    </w:p>
    <w:p w14:paraId="194AD111" w14:textId="77777777" w:rsidR="005E0636" w:rsidRPr="00AC16C9" w:rsidRDefault="003341CF" w:rsidP="003341CF">
      <w:pPr>
        <w:rPr>
          <w:b/>
          <w:bCs/>
          <w:u w:val="single"/>
        </w:rPr>
      </w:pPr>
      <w:r w:rsidRPr="00AC16C9">
        <w:rPr>
          <w:b/>
          <w:bCs/>
          <w:u w:val="single"/>
        </w:rPr>
        <w:t>Accès à la justice (art. 13)</w:t>
      </w:r>
    </w:p>
    <w:p w14:paraId="6AEF2932" w14:textId="0D7B2212" w:rsidR="003341CF" w:rsidRPr="005E0636" w:rsidRDefault="005E0636" w:rsidP="005E0636">
      <w:pPr>
        <w:jc w:val="both"/>
        <w:rPr>
          <w:b/>
          <w:bCs/>
        </w:rPr>
      </w:pPr>
      <w:r w:rsidRPr="005E0636">
        <w:rPr>
          <w:b/>
          <w:bCs/>
        </w:rPr>
        <w:t xml:space="preserve">Le Comité demande des </w:t>
      </w:r>
      <w:r w:rsidR="003341CF" w:rsidRPr="005E0636">
        <w:rPr>
          <w:b/>
          <w:bCs/>
        </w:rPr>
        <w:t>renseignements concernant </w:t>
      </w:r>
      <w:r w:rsidRPr="005E0636">
        <w:rPr>
          <w:b/>
          <w:bCs/>
        </w:rPr>
        <w:t>l</w:t>
      </w:r>
      <w:r w:rsidR="003341CF" w:rsidRPr="005E0636">
        <w:rPr>
          <w:b/>
          <w:bCs/>
        </w:rPr>
        <w:t>es formations systématiques et obligatoires visant à renforcer les capacités en matière de droits des personnes handicapées qui sont dispensées aux responsables de l’application des lois, aux fonctionnaires de l’administration pénitentiaire, aux policiers et aux magistrats </w:t>
      </w:r>
      <w:r w:rsidR="00AD12DD">
        <w:rPr>
          <w:b/>
          <w:bCs/>
        </w:rPr>
        <w:t>(§ 12b).</w:t>
      </w:r>
    </w:p>
    <w:p w14:paraId="7AB712EA" w14:textId="397BC89E" w:rsidR="003341CF" w:rsidRPr="008B2CA7" w:rsidRDefault="008B2CA7" w:rsidP="003341CF">
      <w:pPr>
        <w:jc w:val="both"/>
        <w:rPr>
          <w:i/>
          <w:iCs/>
        </w:rPr>
      </w:pPr>
      <w:r w:rsidRPr="008B2CA7">
        <w:rPr>
          <w:i/>
          <w:iCs/>
        </w:rPr>
        <w:t xml:space="preserve">Dans sa réponse, la France indique que des </w:t>
      </w:r>
      <w:r w:rsidR="003341CF" w:rsidRPr="008B2CA7">
        <w:rPr>
          <w:i/>
          <w:iCs/>
        </w:rPr>
        <w:t>formations obligatoires relatives au corpus juridique sur le handicap, dont la Convention, sont suivies par les magistrats en charge des enfants, des affaires familiales, des tutelles et de la protection des majeurs ou par les directeurs des services de greffe prenant la direction de services d’accueil. La réforme statuaire 2019 introduit un module « handicap » dans la formation obligatoire des éducateurs de la PJJ.</w:t>
      </w:r>
      <w:r w:rsidRPr="008B2CA7">
        <w:rPr>
          <w:i/>
          <w:iCs/>
        </w:rPr>
        <w:t xml:space="preserve"> Par ailleurs, p</w:t>
      </w:r>
      <w:r w:rsidR="003341CF" w:rsidRPr="008B2CA7">
        <w:rPr>
          <w:i/>
          <w:iCs/>
        </w:rPr>
        <w:t>our l’ensemble des forces de l’ordre, la formation initiale contient des modules de sensibilisation au handicap. Des partenariats de formation existent avec les associations représentant les personnes handicapées (UNAPEI et UNAFAM). Des Mooc spécifiques sont proposés en formation continue (accueil dans les commissariats</w:t>
      </w:r>
      <w:r w:rsidR="00081A8A">
        <w:rPr>
          <w:i/>
          <w:iCs/>
        </w:rPr>
        <w:t>)</w:t>
      </w:r>
      <w:r w:rsidR="003341CF" w:rsidRPr="008B2CA7">
        <w:rPr>
          <w:i/>
          <w:iCs/>
        </w:rPr>
        <w:t> </w:t>
      </w:r>
      <w:r w:rsidRPr="00081A8A">
        <w:rPr>
          <w:i/>
          <w:iCs/>
        </w:rPr>
        <w:t xml:space="preserve">(§ 76 </w:t>
      </w:r>
      <w:r w:rsidR="00081A8A" w:rsidRPr="00081A8A">
        <w:rPr>
          <w:i/>
          <w:iCs/>
        </w:rPr>
        <w:t>à</w:t>
      </w:r>
      <w:r w:rsidRPr="00081A8A">
        <w:rPr>
          <w:i/>
          <w:iCs/>
        </w:rPr>
        <w:t xml:space="preserve"> 84)</w:t>
      </w:r>
      <w:r w:rsidR="00081A8A" w:rsidRPr="00081A8A">
        <w:rPr>
          <w:i/>
          <w:iCs/>
        </w:rPr>
        <w:t>.</w:t>
      </w:r>
    </w:p>
    <w:p w14:paraId="04AE5259" w14:textId="051EBEA9" w:rsidR="007C5D25" w:rsidRDefault="007C5D25" w:rsidP="00A87A90">
      <w:pPr>
        <w:jc w:val="both"/>
        <w:rPr>
          <w:color w:val="4472C4" w:themeColor="accent1"/>
        </w:rPr>
      </w:pPr>
      <w:r>
        <w:rPr>
          <w:color w:val="4472C4" w:themeColor="accent1"/>
        </w:rPr>
        <w:t xml:space="preserve">Les agents opérant dans les lieux de privation de liberté ne sont </w:t>
      </w:r>
      <w:r w:rsidR="00081A8A">
        <w:rPr>
          <w:color w:val="4472C4" w:themeColor="accent1"/>
        </w:rPr>
        <w:t>généralement</w:t>
      </w:r>
      <w:r>
        <w:rPr>
          <w:color w:val="4472C4" w:themeColor="accent1"/>
        </w:rPr>
        <w:t xml:space="preserve"> pas formés afin de prendre en charge les différentes formes de handicap d’une manière qui soit respectueuse des droits fondamentaux des personnes concernées. </w:t>
      </w:r>
      <w:r w:rsidR="00E85227" w:rsidRPr="00E85227">
        <w:rPr>
          <w:color w:val="4472C4" w:themeColor="accent1"/>
        </w:rPr>
        <w:t>La formation des surveillants</w:t>
      </w:r>
      <w:r w:rsidR="00E85227">
        <w:rPr>
          <w:color w:val="4472C4" w:themeColor="accent1"/>
        </w:rPr>
        <w:t xml:space="preserve"> pénitentiaire</w:t>
      </w:r>
      <w:r w:rsidR="007F024A">
        <w:rPr>
          <w:color w:val="4472C4" w:themeColor="accent1"/>
        </w:rPr>
        <w:t>s</w:t>
      </w:r>
      <w:r w:rsidR="00E85227" w:rsidRPr="00E85227">
        <w:rPr>
          <w:color w:val="4472C4" w:themeColor="accent1"/>
        </w:rPr>
        <w:t xml:space="preserve">, axée sur la </w:t>
      </w:r>
      <w:r w:rsidR="00E85227" w:rsidRPr="00E85227">
        <w:rPr>
          <w:color w:val="4472C4" w:themeColor="accent1"/>
        </w:rPr>
        <w:lastRenderedPageBreak/>
        <w:t xml:space="preserve">sécurité, ne les prépare pas à la confrontation </w:t>
      </w:r>
      <w:r w:rsidR="00E85227">
        <w:rPr>
          <w:color w:val="4472C4" w:themeColor="accent1"/>
        </w:rPr>
        <w:t xml:space="preserve">au handicap </w:t>
      </w:r>
      <w:r w:rsidR="007F024A">
        <w:rPr>
          <w:color w:val="4472C4" w:themeColor="accent1"/>
        </w:rPr>
        <w:t>psycho-social </w:t>
      </w:r>
      <w:r w:rsidR="00E85227">
        <w:rPr>
          <w:color w:val="4472C4" w:themeColor="accent1"/>
        </w:rPr>
        <w:t>dont la prévalence est élevée en détention, bien que les derniers chiffres disponibles datent de 2004</w:t>
      </w:r>
      <w:r w:rsidR="00E85227" w:rsidRPr="00E85227">
        <w:rPr>
          <w:color w:val="4472C4" w:themeColor="accent1"/>
        </w:rPr>
        <w:t>.</w:t>
      </w:r>
      <w:r w:rsidR="00E85227">
        <w:rPr>
          <w:color w:val="4472C4" w:themeColor="accent1"/>
        </w:rPr>
        <w:t xml:space="preserve"> Le CGLPL salue </w:t>
      </w:r>
      <w:r w:rsidR="00E85227" w:rsidRPr="00E85227">
        <w:rPr>
          <w:color w:val="4472C4" w:themeColor="accent1"/>
        </w:rPr>
        <w:t>l’annonce faite par le gouvernement en 2019 de lancer une nouvelle enquête actualisant ces données</w:t>
      </w:r>
      <w:r w:rsidR="00E85227">
        <w:rPr>
          <w:color w:val="4472C4" w:themeColor="accent1"/>
        </w:rPr>
        <w:t>.</w:t>
      </w:r>
      <w:r w:rsidR="00E85227" w:rsidRPr="00E85227">
        <w:rPr>
          <w:color w:val="4472C4" w:themeColor="accent1"/>
        </w:rPr>
        <w:t xml:space="preserve"> Seule la prévention du suicide fait l’objet d’un enseignement sous la forme du repérage de la crise suicidaire, mais la prise en charge </w:t>
      </w:r>
      <w:r w:rsidR="00790397">
        <w:rPr>
          <w:color w:val="4472C4" w:themeColor="accent1"/>
        </w:rPr>
        <w:t>d’autres troubles psychiques</w:t>
      </w:r>
      <w:r w:rsidR="00E85227" w:rsidRPr="00E85227">
        <w:rPr>
          <w:color w:val="4472C4" w:themeColor="accent1"/>
        </w:rPr>
        <w:t xml:space="preserve"> n’est pas abordée. Souvent, il a pour seule ressource ses initiatives, parfois riches mais qui demanderaient à être construites et interrogées, en tant que pratiques professionnelles. </w:t>
      </w:r>
    </w:p>
    <w:p w14:paraId="43600851" w14:textId="7E28B36C" w:rsidR="008C7E90" w:rsidRDefault="001A235D" w:rsidP="00A87A90">
      <w:pPr>
        <w:jc w:val="both"/>
        <w:rPr>
          <w:color w:val="4472C4" w:themeColor="accent1"/>
        </w:rPr>
      </w:pPr>
      <w:r>
        <w:rPr>
          <w:color w:val="4472C4" w:themeColor="accent1"/>
        </w:rPr>
        <w:t>Par ailleurs, une visite effectuée en 2021 dans un établissem</w:t>
      </w:r>
      <w:r w:rsidR="008B2CA7">
        <w:rPr>
          <w:color w:val="4472C4" w:themeColor="accent1"/>
        </w:rPr>
        <w:t>ent pénitentiaire accueillant des personnes âgées parfois lourdement handicapées a mis en lumière le manque de formation des agents pénitentiaires, démunis face à la prise en charge de ce public</w:t>
      </w:r>
      <w:r w:rsidR="007F024A">
        <w:rPr>
          <w:color w:val="4472C4" w:themeColor="accent1"/>
        </w:rPr>
        <w:t xml:space="preserve"> et la médicalisation très insuffisante de cette structure</w:t>
      </w:r>
      <w:r w:rsidR="008B2CA7">
        <w:rPr>
          <w:color w:val="4472C4" w:themeColor="accent1"/>
        </w:rPr>
        <w:t xml:space="preserve">. </w:t>
      </w:r>
      <w:r w:rsidR="008B2CA7" w:rsidRPr="008B2CA7">
        <w:rPr>
          <w:color w:val="4472C4" w:themeColor="accent1"/>
        </w:rPr>
        <w:t xml:space="preserve">Les </w:t>
      </w:r>
      <w:r w:rsidR="008B2CA7">
        <w:rPr>
          <w:color w:val="4472C4" w:themeColor="accent1"/>
        </w:rPr>
        <w:t xml:space="preserve">personnes </w:t>
      </w:r>
      <w:r w:rsidR="008B2CA7" w:rsidRPr="008B2CA7">
        <w:rPr>
          <w:color w:val="4472C4" w:themeColor="accent1"/>
        </w:rPr>
        <w:t>détenu</w:t>
      </w:r>
      <w:r w:rsidR="008B2CA7">
        <w:rPr>
          <w:color w:val="4472C4" w:themeColor="accent1"/>
        </w:rPr>
        <w:t>e</w:t>
      </w:r>
      <w:r w:rsidR="008B2CA7" w:rsidRPr="008B2CA7">
        <w:rPr>
          <w:color w:val="4472C4" w:themeColor="accent1"/>
        </w:rPr>
        <w:t>s souffr</w:t>
      </w:r>
      <w:r w:rsidR="008B2CA7">
        <w:rPr>
          <w:color w:val="4472C4" w:themeColor="accent1"/>
        </w:rPr>
        <w:t>ai</w:t>
      </w:r>
      <w:r w:rsidR="008B2CA7" w:rsidRPr="008B2CA7">
        <w:rPr>
          <w:color w:val="4472C4" w:themeColor="accent1"/>
        </w:rPr>
        <w:t xml:space="preserve">ent d’abandon et </w:t>
      </w:r>
      <w:r w:rsidR="008B2CA7">
        <w:rPr>
          <w:color w:val="4472C4" w:themeColor="accent1"/>
        </w:rPr>
        <w:t>étaient</w:t>
      </w:r>
      <w:r w:rsidR="008B2CA7" w:rsidRPr="008B2CA7">
        <w:rPr>
          <w:color w:val="4472C4" w:themeColor="accent1"/>
        </w:rPr>
        <w:t xml:space="preserve"> contraint</w:t>
      </w:r>
      <w:r w:rsidR="007F024A">
        <w:rPr>
          <w:color w:val="4472C4" w:themeColor="accent1"/>
        </w:rPr>
        <w:t>e</w:t>
      </w:r>
      <w:r w:rsidR="008B2CA7" w:rsidRPr="008B2CA7">
        <w:rPr>
          <w:color w:val="4472C4" w:themeColor="accent1"/>
        </w:rPr>
        <w:t>s à une autogestion dans laquelle les moins invalides aid</w:t>
      </w:r>
      <w:r w:rsidR="008B2CA7">
        <w:rPr>
          <w:color w:val="4472C4" w:themeColor="accent1"/>
        </w:rPr>
        <w:t>ai</w:t>
      </w:r>
      <w:r w:rsidR="008B2CA7" w:rsidRPr="008B2CA7">
        <w:rPr>
          <w:color w:val="4472C4" w:themeColor="accent1"/>
        </w:rPr>
        <w:t>ent ceux qui ne p</w:t>
      </w:r>
      <w:r w:rsidR="008B2CA7">
        <w:rPr>
          <w:color w:val="4472C4" w:themeColor="accent1"/>
        </w:rPr>
        <w:t>ou</w:t>
      </w:r>
      <w:r w:rsidR="008B2CA7" w:rsidRPr="008B2CA7">
        <w:rPr>
          <w:color w:val="4472C4" w:themeColor="accent1"/>
        </w:rPr>
        <w:t>v</w:t>
      </w:r>
      <w:r w:rsidR="008B2CA7">
        <w:rPr>
          <w:color w:val="4472C4" w:themeColor="accent1"/>
        </w:rPr>
        <w:t>ai</w:t>
      </w:r>
      <w:r w:rsidR="008B2CA7" w:rsidRPr="008B2CA7">
        <w:rPr>
          <w:color w:val="4472C4" w:themeColor="accent1"/>
        </w:rPr>
        <w:t>ent plus réaliser les actes élémentaires de la vie quotidienne</w:t>
      </w:r>
      <w:r w:rsidR="001A4021">
        <w:rPr>
          <w:color w:val="4472C4" w:themeColor="accent1"/>
        </w:rPr>
        <w:t>.</w:t>
      </w:r>
    </w:p>
    <w:p w14:paraId="55F0A6A1" w14:textId="48BF95D0" w:rsidR="00576542" w:rsidRPr="008B2CA7" w:rsidRDefault="005054BB" w:rsidP="00A87A90">
      <w:pPr>
        <w:jc w:val="both"/>
        <w:rPr>
          <w:color w:val="4472C4" w:themeColor="accent1"/>
        </w:rPr>
      </w:pPr>
      <w:r>
        <w:rPr>
          <w:color w:val="4472C4" w:themeColor="accent1"/>
        </w:rPr>
        <w:t>En outre</w:t>
      </w:r>
      <w:r w:rsidR="00576542">
        <w:rPr>
          <w:color w:val="4472C4" w:themeColor="accent1"/>
        </w:rPr>
        <w:t>, le CGLPL</w:t>
      </w:r>
      <w:r w:rsidR="00C722DE">
        <w:rPr>
          <w:color w:val="4472C4" w:themeColor="accent1"/>
        </w:rPr>
        <w:t xml:space="preserve"> constate que le droit à la défense est souvent malmené dans les lieux de privation de liberté. Plus précisément, il</w:t>
      </w:r>
      <w:r w:rsidR="00576542">
        <w:rPr>
          <w:color w:val="4472C4" w:themeColor="accent1"/>
        </w:rPr>
        <w:t xml:space="preserve"> a enquêté sur les personnes atteintes de surdité dans les établissements pénitentiaires. Ces personnes ne disposent souvent pas des informations nécessaires permettant de préparer leur défense, notamment de ce qu’elles ont le droit de consulter leur dossier pénal en vue de préparer une audience. Devant l’autorité judiciaire, des </w:t>
      </w:r>
      <w:r w:rsidR="00576542" w:rsidRPr="00AD4D9A">
        <w:rPr>
          <w:color w:val="4472C4" w:themeColor="accent1"/>
        </w:rPr>
        <w:t>difficultés concrètes</w:t>
      </w:r>
      <w:r w:rsidR="007F024A">
        <w:rPr>
          <w:color w:val="4472C4" w:themeColor="accent1"/>
        </w:rPr>
        <w:t xml:space="preserve"> constituant des atteintes aux droits de la défense</w:t>
      </w:r>
      <w:r w:rsidR="00576542" w:rsidRPr="00AD4D9A">
        <w:rPr>
          <w:color w:val="4472C4" w:themeColor="accent1"/>
        </w:rPr>
        <w:t xml:space="preserve"> </w:t>
      </w:r>
      <w:r w:rsidR="00576542">
        <w:rPr>
          <w:color w:val="4472C4" w:themeColor="accent1"/>
        </w:rPr>
        <w:t xml:space="preserve">peuvent </w:t>
      </w:r>
      <w:r w:rsidR="00DD3D8E">
        <w:rPr>
          <w:color w:val="4472C4" w:themeColor="accent1"/>
        </w:rPr>
        <w:t>résulter du</w:t>
      </w:r>
      <w:r w:rsidR="00576542" w:rsidRPr="00AD4D9A">
        <w:rPr>
          <w:color w:val="4472C4" w:themeColor="accent1"/>
        </w:rPr>
        <w:t xml:space="preserve"> recours</w:t>
      </w:r>
      <w:r w:rsidR="00576542">
        <w:rPr>
          <w:color w:val="4472C4" w:themeColor="accent1"/>
        </w:rPr>
        <w:t xml:space="preserve"> </w:t>
      </w:r>
      <w:r w:rsidR="00576542" w:rsidRPr="00AD4D9A">
        <w:rPr>
          <w:color w:val="4472C4" w:themeColor="accent1"/>
        </w:rPr>
        <w:t>à des interprètes non</w:t>
      </w:r>
      <w:r w:rsidR="00576542">
        <w:rPr>
          <w:color w:val="4472C4" w:themeColor="accent1"/>
        </w:rPr>
        <w:t xml:space="preserve"> </w:t>
      </w:r>
      <w:r w:rsidR="00576542" w:rsidRPr="00AD4D9A">
        <w:rPr>
          <w:color w:val="4472C4" w:themeColor="accent1"/>
        </w:rPr>
        <w:t>professionnels et insuffisamment qualifiés</w:t>
      </w:r>
      <w:r w:rsidR="00576542">
        <w:rPr>
          <w:color w:val="4472C4" w:themeColor="accent1"/>
        </w:rPr>
        <w:t>.</w:t>
      </w:r>
      <w:r w:rsidR="0008113C">
        <w:rPr>
          <w:color w:val="4472C4" w:themeColor="accent1"/>
        </w:rPr>
        <w:t xml:space="preserve"> </w:t>
      </w:r>
    </w:p>
    <w:p w14:paraId="3B8D40B2" w14:textId="33C1FA81" w:rsidR="008B2CA7" w:rsidRDefault="008B2CA7" w:rsidP="008B2CA7">
      <w:pPr>
        <w:jc w:val="both"/>
        <w:rPr>
          <w:color w:val="4472C4" w:themeColor="accent1"/>
        </w:rPr>
      </w:pPr>
      <w:r>
        <w:rPr>
          <w:color w:val="4472C4" w:themeColor="accent1"/>
        </w:rPr>
        <w:t>Enfin</w:t>
      </w:r>
      <w:r w:rsidR="00E85227">
        <w:rPr>
          <w:color w:val="4472C4" w:themeColor="accent1"/>
        </w:rPr>
        <w:t>, l</w:t>
      </w:r>
      <w:r w:rsidR="008C7E90">
        <w:rPr>
          <w:color w:val="4472C4" w:themeColor="accent1"/>
        </w:rPr>
        <w:t>es aménagements de peine prononcés en raison d’un handicap incompatible avec la condition carcérale sont rares, et ce en raison d’un manque de structures d’ava</w:t>
      </w:r>
      <w:r>
        <w:rPr>
          <w:color w:val="4472C4" w:themeColor="accent1"/>
        </w:rPr>
        <w:t>l</w:t>
      </w:r>
      <w:r w:rsidR="008C7E90">
        <w:rPr>
          <w:color w:val="4472C4" w:themeColor="accent1"/>
        </w:rPr>
        <w:t>, mais également d’un manque de formation et d’information du personnel pénitentiaire, des magistrats et des médecins.</w:t>
      </w:r>
      <w:r w:rsidRPr="008B2CA7">
        <w:rPr>
          <w:color w:val="4472C4" w:themeColor="accent1"/>
        </w:rPr>
        <w:t xml:space="preserve"> </w:t>
      </w:r>
      <w:r w:rsidRPr="00A87A90">
        <w:rPr>
          <w:color w:val="4472C4" w:themeColor="accent1"/>
        </w:rPr>
        <w:t xml:space="preserve">L’information des personnes détenues elles-mêmes sur les procédures de suspension et d’aménagement de peine pour raison médicale doit </w:t>
      </w:r>
      <w:r>
        <w:rPr>
          <w:color w:val="4472C4" w:themeColor="accent1"/>
        </w:rPr>
        <w:t xml:space="preserve">également </w:t>
      </w:r>
      <w:r w:rsidRPr="00A87A90">
        <w:rPr>
          <w:color w:val="4472C4" w:themeColor="accent1"/>
        </w:rPr>
        <w:t xml:space="preserve">être améliorée. </w:t>
      </w:r>
      <w:r w:rsidR="006351B7">
        <w:rPr>
          <w:color w:val="4472C4" w:themeColor="accent1"/>
        </w:rPr>
        <w:t>U</w:t>
      </w:r>
      <w:r w:rsidRPr="00A87A90">
        <w:rPr>
          <w:color w:val="4472C4" w:themeColor="accent1"/>
        </w:rPr>
        <w:t xml:space="preserve">ne information devrait systématiquement être dispensée aux personnes détenues </w:t>
      </w:r>
      <w:r>
        <w:rPr>
          <w:color w:val="4472C4" w:themeColor="accent1"/>
        </w:rPr>
        <w:t>pouvant en bénéficier</w:t>
      </w:r>
      <w:r w:rsidRPr="00A87A90">
        <w:rPr>
          <w:color w:val="4472C4" w:themeColor="accent1"/>
        </w:rPr>
        <w:t>.</w:t>
      </w:r>
    </w:p>
    <w:p w14:paraId="0C2554ED" w14:textId="0F37BECC" w:rsidR="00C026D0" w:rsidRDefault="00C026D0" w:rsidP="008C7E90">
      <w:pPr>
        <w:jc w:val="both"/>
        <w:rPr>
          <w:color w:val="4472C4" w:themeColor="accent1"/>
        </w:rPr>
      </w:pPr>
    </w:p>
    <w:p w14:paraId="5BCBCD12" w14:textId="1836E1A8" w:rsidR="00C026D0" w:rsidRDefault="00C026D0" w:rsidP="00C026D0">
      <w:pPr>
        <w:pBdr>
          <w:top w:val="single" w:sz="4" w:space="1" w:color="auto"/>
          <w:left w:val="single" w:sz="4" w:space="4" w:color="auto"/>
          <w:bottom w:val="single" w:sz="4" w:space="1" w:color="auto"/>
          <w:right w:val="single" w:sz="4" w:space="4" w:color="auto"/>
        </w:pBdr>
        <w:jc w:val="both"/>
        <w:rPr>
          <w:b/>
          <w:bCs/>
        </w:rPr>
      </w:pPr>
      <w:r>
        <w:rPr>
          <w:b/>
          <w:bCs/>
        </w:rPr>
        <w:t>Recommandation :</w:t>
      </w:r>
    </w:p>
    <w:p w14:paraId="689F6283" w14:textId="74C06305" w:rsidR="00C026D0" w:rsidRDefault="00AC16C9" w:rsidP="00C026D0">
      <w:pPr>
        <w:pBdr>
          <w:top w:val="single" w:sz="4" w:space="1" w:color="auto"/>
          <w:left w:val="single" w:sz="4" w:space="4" w:color="auto"/>
          <w:bottom w:val="single" w:sz="4" w:space="1" w:color="auto"/>
          <w:right w:val="single" w:sz="4" w:space="4" w:color="auto"/>
        </w:pBdr>
        <w:jc w:val="both"/>
        <w:rPr>
          <w:b/>
          <w:bCs/>
        </w:rPr>
      </w:pPr>
      <w:r>
        <w:rPr>
          <w:b/>
          <w:bCs/>
        </w:rPr>
        <w:t>L</w:t>
      </w:r>
      <w:r w:rsidR="00C026D0">
        <w:rPr>
          <w:b/>
          <w:bCs/>
        </w:rPr>
        <w:t>e personnel de surveillance des établissements pénitentiaires doit bénéficier systématiquement d’une formation élémentaire à la détection et à la gestion des troubles psychiques de la population pénale, afin de favoriser leur repérage et la mise en œuvre de modalités de surveillance qui la pre</w:t>
      </w:r>
      <w:r w:rsidR="008E6797">
        <w:rPr>
          <w:b/>
          <w:bCs/>
        </w:rPr>
        <w:t>n</w:t>
      </w:r>
      <w:r w:rsidR="00C026D0">
        <w:rPr>
          <w:b/>
          <w:bCs/>
        </w:rPr>
        <w:t>nent en compte sans l’aggraver.</w:t>
      </w:r>
    </w:p>
    <w:p w14:paraId="7748F373" w14:textId="581C9437" w:rsidR="00C026D0" w:rsidRDefault="00C026D0" w:rsidP="008C7E90">
      <w:pPr>
        <w:jc w:val="both"/>
      </w:pPr>
    </w:p>
    <w:p w14:paraId="5B6ED5E6" w14:textId="223BBD49" w:rsidR="0008113C" w:rsidRPr="00C722DE" w:rsidRDefault="00C722DE" w:rsidP="00C722DE">
      <w:pPr>
        <w:pBdr>
          <w:top w:val="single" w:sz="4" w:space="1" w:color="auto"/>
          <w:left w:val="single" w:sz="4" w:space="4" w:color="auto"/>
          <w:bottom w:val="single" w:sz="4" w:space="1" w:color="auto"/>
          <w:right w:val="single" w:sz="4" w:space="4" w:color="auto"/>
        </w:pBdr>
        <w:jc w:val="both"/>
        <w:rPr>
          <w:b/>
          <w:bCs/>
        </w:rPr>
      </w:pPr>
      <w:r w:rsidRPr="00C722DE">
        <w:rPr>
          <w:b/>
          <w:bCs/>
        </w:rPr>
        <w:t>Recommandation :</w:t>
      </w:r>
    </w:p>
    <w:p w14:paraId="0C1C8166" w14:textId="6A92C166" w:rsidR="0008113C" w:rsidRPr="00C722DE" w:rsidRDefault="00C722DE" w:rsidP="00C722DE">
      <w:pPr>
        <w:pBdr>
          <w:top w:val="single" w:sz="4" w:space="1" w:color="auto"/>
          <w:left w:val="single" w:sz="4" w:space="4" w:color="auto"/>
          <w:bottom w:val="single" w:sz="4" w:space="1" w:color="auto"/>
          <w:right w:val="single" w:sz="4" w:space="4" w:color="auto"/>
        </w:pBdr>
        <w:jc w:val="both"/>
        <w:rPr>
          <w:b/>
          <w:w w:val="105"/>
          <w:sz w:val="21"/>
        </w:rPr>
      </w:pPr>
      <w:r w:rsidRPr="00C722DE">
        <w:rPr>
          <w:b/>
          <w:bCs/>
        </w:rPr>
        <w:t xml:space="preserve">Le droit à la défense des personnes privées de liberté doit être respecté. Une attention particulière doit être portée afin que les informations nécessaires soient communiquées de manière accessible et adaptée aux personnes concernées. </w:t>
      </w:r>
      <w:r>
        <w:rPr>
          <w:b/>
          <w:w w:val="105"/>
          <w:sz w:val="21"/>
        </w:rPr>
        <w:t>Un service d’interprétariat en langue des signes doit être accessible et gratuit</w:t>
      </w:r>
      <w:r>
        <w:rPr>
          <w:b/>
          <w:spacing w:val="-16"/>
          <w:w w:val="105"/>
          <w:sz w:val="21"/>
        </w:rPr>
        <w:t xml:space="preserve"> </w:t>
      </w:r>
      <w:r>
        <w:rPr>
          <w:b/>
          <w:w w:val="105"/>
          <w:sz w:val="21"/>
        </w:rPr>
        <w:t>au</w:t>
      </w:r>
      <w:r>
        <w:rPr>
          <w:b/>
          <w:spacing w:val="-16"/>
          <w:w w:val="105"/>
          <w:sz w:val="21"/>
        </w:rPr>
        <w:t xml:space="preserve"> </w:t>
      </w:r>
      <w:r>
        <w:rPr>
          <w:b/>
          <w:w w:val="105"/>
          <w:sz w:val="21"/>
        </w:rPr>
        <w:t>sein</w:t>
      </w:r>
      <w:r>
        <w:rPr>
          <w:b/>
          <w:spacing w:val="-15"/>
          <w:w w:val="105"/>
          <w:sz w:val="21"/>
        </w:rPr>
        <w:t xml:space="preserve"> </w:t>
      </w:r>
      <w:r>
        <w:rPr>
          <w:b/>
          <w:w w:val="105"/>
          <w:sz w:val="21"/>
        </w:rPr>
        <w:t>des</w:t>
      </w:r>
      <w:r>
        <w:rPr>
          <w:b/>
          <w:spacing w:val="-16"/>
          <w:w w:val="105"/>
          <w:sz w:val="21"/>
        </w:rPr>
        <w:t xml:space="preserve"> </w:t>
      </w:r>
      <w:r>
        <w:rPr>
          <w:b/>
          <w:w w:val="105"/>
          <w:sz w:val="21"/>
        </w:rPr>
        <w:t>lieux</w:t>
      </w:r>
      <w:r>
        <w:rPr>
          <w:b/>
          <w:spacing w:val="-16"/>
          <w:w w:val="105"/>
          <w:sz w:val="21"/>
        </w:rPr>
        <w:t xml:space="preserve"> </w:t>
      </w:r>
      <w:r>
        <w:rPr>
          <w:b/>
          <w:w w:val="105"/>
          <w:sz w:val="21"/>
        </w:rPr>
        <w:t>d’enfermement</w:t>
      </w:r>
      <w:r>
        <w:rPr>
          <w:b/>
          <w:spacing w:val="-16"/>
          <w:w w:val="105"/>
          <w:sz w:val="21"/>
        </w:rPr>
        <w:t xml:space="preserve"> </w:t>
      </w:r>
      <w:r>
        <w:rPr>
          <w:b/>
          <w:w w:val="105"/>
          <w:sz w:val="21"/>
        </w:rPr>
        <w:t>et</w:t>
      </w:r>
      <w:r>
        <w:rPr>
          <w:b/>
          <w:spacing w:val="-15"/>
          <w:w w:val="105"/>
          <w:sz w:val="21"/>
        </w:rPr>
        <w:t xml:space="preserve"> </w:t>
      </w:r>
      <w:r>
        <w:rPr>
          <w:b/>
          <w:w w:val="105"/>
          <w:sz w:val="21"/>
        </w:rPr>
        <w:t>auprès</w:t>
      </w:r>
      <w:r>
        <w:rPr>
          <w:b/>
          <w:spacing w:val="-17"/>
          <w:w w:val="105"/>
          <w:sz w:val="21"/>
        </w:rPr>
        <w:t xml:space="preserve"> </w:t>
      </w:r>
      <w:r>
        <w:rPr>
          <w:b/>
          <w:w w:val="105"/>
          <w:sz w:val="21"/>
        </w:rPr>
        <w:t>des</w:t>
      </w:r>
      <w:r>
        <w:rPr>
          <w:b/>
          <w:spacing w:val="-15"/>
          <w:w w:val="105"/>
          <w:sz w:val="21"/>
        </w:rPr>
        <w:t xml:space="preserve"> </w:t>
      </w:r>
      <w:r>
        <w:rPr>
          <w:b/>
          <w:w w:val="105"/>
          <w:sz w:val="21"/>
        </w:rPr>
        <w:t>services</w:t>
      </w:r>
      <w:r>
        <w:rPr>
          <w:b/>
          <w:spacing w:val="-16"/>
          <w:w w:val="105"/>
          <w:sz w:val="21"/>
        </w:rPr>
        <w:t xml:space="preserve"> </w:t>
      </w:r>
      <w:r>
        <w:rPr>
          <w:b/>
          <w:w w:val="105"/>
          <w:sz w:val="21"/>
        </w:rPr>
        <w:t>qui</w:t>
      </w:r>
      <w:r>
        <w:rPr>
          <w:b/>
          <w:spacing w:val="-16"/>
          <w:w w:val="105"/>
          <w:sz w:val="21"/>
        </w:rPr>
        <w:t xml:space="preserve"> </w:t>
      </w:r>
      <w:r>
        <w:rPr>
          <w:b/>
          <w:w w:val="105"/>
          <w:sz w:val="21"/>
        </w:rPr>
        <w:t>y</w:t>
      </w:r>
      <w:r>
        <w:rPr>
          <w:b/>
          <w:spacing w:val="-16"/>
          <w:w w:val="105"/>
          <w:sz w:val="21"/>
        </w:rPr>
        <w:t xml:space="preserve"> </w:t>
      </w:r>
      <w:r>
        <w:rPr>
          <w:b/>
          <w:w w:val="105"/>
          <w:sz w:val="21"/>
        </w:rPr>
        <w:t>disposent</w:t>
      </w:r>
      <w:r>
        <w:rPr>
          <w:b/>
          <w:spacing w:val="-16"/>
          <w:w w:val="105"/>
          <w:sz w:val="21"/>
        </w:rPr>
        <w:t xml:space="preserve"> </w:t>
      </w:r>
      <w:r>
        <w:rPr>
          <w:b/>
          <w:w w:val="105"/>
          <w:sz w:val="21"/>
        </w:rPr>
        <w:t>d’une</w:t>
      </w:r>
      <w:r>
        <w:rPr>
          <w:b/>
          <w:spacing w:val="-15"/>
          <w:w w:val="105"/>
          <w:sz w:val="21"/>
        </w:rPr>
        <w:t xml:space="preserve"> </w:t>
      </w:r>
      <w:r>
        <w:rPr>
          <w:b/>
          <w:w w:val="105"/>
          <w:sz w:val="21"/>
        </w:rPr>
        <w:t>présence</w:t>
      </w:r>
      <w:r>
        <w:rPr>
          <w:b/>
          <w:spacing w:val="-16"/>
          <w:w w:val="105"/>
          <w:sz w:val="21"/>
        </w:rPr>
        <w:t xml:space="preserve"> </w:t>
      </w:r>
      <w:r>
        <w:rPr>
          <w:b/>
          <w:w w:val="105"/>
          <w:sz w:val="21"/>
        </w:rPr>
        <w:t>permanente.</w:t>
      </w:r>
    </w:p>
    <w:p w14:paraId="77AB0E08" w14:textId="3957608A" w:rsidR="008B2CA7" w:rsidRDefault="008B2CA7" w:rsidP="003341CF"/>
    <w:p w14:paraId="681F4E0B" w14:textId="77777777" w:rsidR="00C722DE" w:rsidRDefault="00C722DE" w:rsidP="003341CF"/>
    <w:p w14:paraId="16F43823" w14:textId="77777777" w:rsidR="00C722DE" w:rsidRPr="00C026D0" w:rsidRDefault="00C722DE" w:rsidP="00C722DE">
      <w:pPr>
        <w:pBdr>
          <w:top w:val="single" w:sz="4" w:space="1" w:color="auto"/>
          <w:left w:val="single" w:sz="4" w:space="4" w:color="auto"/>
          <w:bottom w:val="single" w:sz="4" w:space="1" w:color="auto"/>
          <w:right w:val="single" w:sz="4" w:space="4" w:color="auto"/>
        </w:pBdr>
        <w:jc w:val="both"/>
        <w:rPr>
          <w:b/>
          <w:bCs/>
        </w:rPr>
      </w:pPr>
      <w:r w:rsidRPr="00C026D0">
        <w:rPr>
          <w:b/>
          <w:bCs/>
        </w:rPr>
        <w:t>Recommandation :</w:t>
      </w:r>
    </w:p>
    <w:p w14:paraId="71D51785" w14:textId="42176049" w:rsidR="00C722DE" w:rsidRPr="00956793" w:rsidRDefault="00C722DE" w:rsidP="00956793">
      <w:pPr>
        <w:pBdr>
          <w:top w:val="single" w:sz="4" w:space="1" w:color="auto"/>
          <w:left w:val="single" w:sz="4" w:space="4" w:color="auto"/>
          <w:bottom w:val="single" w:sz="4" w:space="1" w:color="auto"/>
          <w:right w:val="single" w:sz="4" w:space="4" w:color="auto"/>
        </w:pBdr>
        <w:jc w:val="both"/>
        <w:rPr>
          <w:b/>
          <w:bCs/>
        </w:rPr>
      </w:pPr>
      <w:r w:rsidRPr="00C026D0">
        <w:rPr>
          <w:b/>
          <w:bCs/>
        </w:rPr>
        <w:t>Le personnel intervenant en milieu carcéral doit être formé afin de pouvoir exercer un repérage systématique des personnes susceptibles de bénéficier d’un aménagement ou d’une suspension de peine pour raison médicale. La formation doit bénéficier aux personnels pénitentiaires, mais aussi aux professionnels de santé et aux avocats. Le personnel médical doit également, lorsqu’il l’estime nécessaire, remettre des certificats médicaux directement à la personne détenue ou, avec son accord, à sa famille ou à son conseil.</w:t>
      </w:r>
    </w:p>
    <w:p w14:paraId="167C0537" w14:textId="77777777" w:rsidR="00E801D5" w:rsidRDefault="00E801D5" w:rsidP="003341CF"/>
    <w:p w14:paraId="0B50CFB6" w14:textId="37F9AF56" w:rsidR="003341CF" w:rsidRPr="00B80844" w:rsidRDefault="003341CF" w:rsidP="003341CF">
      <w:pPr>
        <w:rPr>
          <w:u w:val="single"/>
        </w:rPr>
      </w:pPr>
      <w:r w:rsidRPr="00B80844">
        <w:rPr>
          <w:b/>
          <w:bCs/>
          <w:u w:val="single"/>
        </w:rPr>
        <w:t>Liberté et sécurité de la personne (art 14) </w:t>
      </w:r>
      <w:r w:rsidRPr="00B80844">
        <w:rPr>
          <w:u w:val="single"/>
        </w:rPr>
        <w:t xml:space="preserve">: </w:t>
      </w:r>
    </w:p>
    <w:p w14:paraId="61C26D76" w14:textId="7A57969B" w:rsidR="003341CF" w:rsidRPr="007E4BE8" w:rsidRDefault="00112B10" w:rsidP="00112B10">
      <w:pPr>
        <w:jc w:val="both"/>
        <w:rPr>
          <w:b/>
          <w:bCs/>
        </w:rPr>
      </w:pPr>
      <w:r w:rsidRPr="007E4BE8">
        <w:rPr>
          <w:b/>
          <w:bCs/>
        </w:rPr>
        <w:t xml:space="preserve">Le </w:t>
      </w:r>
      <w:r w:rsidR="00121D45">
        <w:rPr>
          <w:b/>
          <w:bCs/>
        </w:rPr>
        <w:t>C</w:t>
      </w:r>
      <w:r w:rsidRPr="007E4BE8">
        <w:rPr>
          <w:b/>
          <w:bCs/>
        </w:rPr>
        <w:t>omité demande quelles mesures sont prises afin d’é</w:t>
      </w:r>
      <w:r w:rsidR="003341CF" w:rsidRPr="007E4BE8">
        <w:rPr>
          <w:b/>
          <w:bCs/>
        </w:rPr>
        <w:t xml:space="preserve">liminer la privation de liberté pour cause de handicap </w:t>
      </w:r>
      <w:r w:rsidR="00DD3D8E" w:rsidRPr="007E4BE8">
        <w:rPr>
          <w:b/>
          <w:bCs/>
        </w:rPr>
        <w:t>psycho-social</w:t>
      </w:r>
      <w:r w:rsidR="003341CF" w:rsidRPr="007E4BE8">
        <w:rPr>
          <w:b/>
          <w:bCs/>
        </w:rPr>
        <w:t xml:space="preserve"> réel ou supposé ou de dangerosité supposée, notamment en abolissant la loi n°2013-869 du 27 septembre 2013, et garantir que toutes les décisions relatives a</w:t>
      </w:r>
      <w:r w:rsidRPr="007E4BE8">
        <w:rPr>
          <w:b/>
          <w:bCs/>
        </w:rPr>
        <w:t>u</w:t>
      </w:r>
      <w:r w:rsidR="003341CF" w:rsidRPr="007E4BE8">
        <w:rPr>
          <w:b/>
          <w:bCs/>
        </w:rPr>
        <w:t xml:space="preserve"> traitement psychiatrique des personnes handicapées sont prises avec le consentement libre et éclairé de la personne concernée</w:t>
      </w:r>
      <w:r w:rsidRPr="007E4BE8">
        <w:rPr>
          <w:b/>
          <w:bCs/>
        </w:rPr>
        <w:t xml:space="preserve"> (§</w:t>
      </w:r>
      <w:r w:rsidR="0075214A">
        <w:rPr>
          <w:b/>
          <w:bCs/>
        </w:rPr>
        <w:t xml:space="preserve"> </w:t>
      </w:r>
      <w:r w:rsidRPr="007E4BE8">
        <w:rPr>
          <w:b/>
          <w:bCs/>
        </w:rPr>
        <w:t>13a)</w:t>
      </w:r>
      <w:r w:rsidR="0075214A">
        <w:rPr>
          <w:b/>
          <w:bCs/>
        </w:rPr>
        <w:t xml:space="preserve">. </w:t>
      </w:r>
    </w:p>
    <w:p w14:paraId="5D0DEC79" w14:textId="11CC4C8C" w:rsidR="00693E29" w:rsidRPr="00AC16C9" w:rsidRDefault="00112B10" w:rsidP="007031B6">
      <w:pPr>
        <w:jc w:val="both"/>
        <w:rPr>
          <w:i/>
          <w:iCs/>
        </w:rPr>
      </w:pPr>
      <w:r w:rsidRPr="00491AC9">
        <w:rPr>
          <w:i/>
          <w:iCs/>
        </w:rPr>
        <w:t>Dans sa réponse</w:t>
      </w:r>
      <w:r w:rsidR="00A40C5A">
        <w:rPr>
          <w:i/>
          <w:iCs/>
        </w:rPr>
        <w:t>,</w:t>
      </w:r>
      <w:r w:rsidRPr="00491AC9">
        <w:rPr>
          <w:i/>
          <w:iCs/>
        </w:rPr>
        <w:t xml:space="preserve"> la France explique que l</w:t>
      </w:r>
      <w:r w:rsidR="003341CF" w:rsidRPr="00491AC9">
        <w:rPr>
          <w:i/>
          <w:iCs/>
        </w:rPr>
        <w:t>es soins psychiatriques libres, avec le consentement de la personne, sont toujours privilégiés lorsque l’état de la personne le permet (art. L.3211-2</w:t>
      </w:r>
      <w:r w:rsidR="007E4BE8" w:rsidRPr="00491AC9">
        <w:rPr>
          <w:i/>
          <w:iCs/>
        </w:rPr>
        <w:t xml:space="preserve"> du Code de la santé publique</w:t>
      </w:r>
      <w:r w:rsidR="003341CF" w:rsidRPr="00491AC9">
        <w:rPr>
          <w:i/>
          <w:iCs/>
        </w:rPr>
        <w:t xml:space="preserve">). </w:t>
      </w:r>
      <w:r w:rsidRPr="00491AC9">
        <w:rPr>
          <w:i/>
          <w:iCs/>
        </w:rPr>
        <w:t>Elle ajoute que l</w:t>
      </w:r>
      <w:r w:rsidR="003341CF" w:rsidRPr="00491AC9">
        <w:rPr>
          <w:i/>
          <w:iCs/>
        </w:rPr>
        <w:t xml:space="preserve">e « consentement libre et éclairé » du patient est systématiquement recherché. En cas d’impossibilité, le patient peut faire l’objet de soins sans consentement dans le respect des conditions prévues </w:t>
      </w:r>
      <w:r w:rsidRPr="00491AC9">
        <w:rPr>
          <w:i/>
          <w:iCs/>
        </w:rPr>
        <w:t xml:space="preserve">aux </w:t>
      </w:r>
      <w:r w:rsidR="003341CF" w:rsidRPr="00491AC9">
        <w:rPr>
          <w:i/>
          <w:iCs/>
        </w:rPr>
        <w:t>article</w:t>
      </w:r>
      <w:r w:rsidRPr="00491AC9">
        <w:rPr>
          <w:i/>
          <w:iCs/>
        </w:rPr>
        <w:t>s</w:t>
      </w:r>
      <w:r w:rsidR="003341CF" w:rsidRPr="00491AC9">
        <w:rPr>
          <w:i/>
          <w:iCs/>
        </w:rPr>
        <w:t xml:space="preserve"> L.3211-3 </w:t>
      </w:r>
      <w:r w:rsidRPr="00491AC9">
        <w:rPr>
          <w:i/>
          <w:iCs/>
        </w:rPr>
        <w:t xml:space="preserve">et L.3213-4 </w:t>
      </w:r>
      <w:r w:rsidR="003341CF" w:rsidRPr="00491AC9">
        <w:rPr>
          <w:i/>
          <w:iCs/>
        </w:rPr>
        <w:t>(CSP). Des procédures de contestation</w:t>
      </w:r>
      <w:r w:rsidR="007E4BE8" w:rsidRPr="00491AC9">
        <w:rPr>
          <w:i/>
          <w:iCs/>
        </w:rPr>
        <w:t xml:space="preserve"> so</w:t>
      </w:r>
      <w:r w:rsidR="003341CF" w:rsidRPr="00491AC9">
        <w:rPr>
          <w:i/>
          <w:iCs/>
        </w:rPr>
        <w:t>nt possibles, sous le contrôle du juge des libertés</w:t>
      </w:r>
      <w:r w:rsidR="00A40C5A">
        <w:rPr>
          <w:i/>
          <w:iCs/>
        </w:rPr>
        <w:t xml:space="preserve"> et de la </w:t>
      </w:r>
      <w:r w:rsidR="00A40C5A" w:rsidRPr="0075214A">
        <w:rPr>
          <w:i/>
          <w:iCs/>
        </w:rPr>
        <w:t xml:space="preserve">détention (§ 90 </w:t>
      </w:r>
      <w:r w:rsidR="0075214A">
        <w:rPr>
          <w:i/>
          <w:iCs/>
        </w:rPr>
        <w:t xml:space="preserve">et 91). </w:t>
      </w:r>
      <w:r w:rsidR="00A40C5A">
        <w:rPr>
          <w:i/>
          <w:iCs/>
        </w:rPr>
        <w:t xml:space="preserve"> </w:t>
      </w:r>
    </w:p>
    <w:p w14:paraId="6E7CFC35" w14:textId="0306D8E8" w:rsidR="00693E29" w:rsidRPr="00693E29" w:rsidRDefault="00693E29" w:rsidP="00693E29">
      <w:pPr>
        <w:jc w:val="both"/>
        <w:rPr>
          <w:color w:val="4472C4" w:themeColor="accent1"/>
        </w:rPr>
      </w:pPr>
      <w:r w:rsidRPr="00693E29">
        <w:rPr>
          <w:color w:val="4472C4" w:themeColor="accent1"/>
        </w:rPr>
        <w:t>La</w:t>
      </w:r>
      <w:r>
        <w:rPr>
          <w:color w:val="4472C4" w:themeColor="accent1"/>
        </w:rPr>
        <w:t xml:space="preserve"> recherche du consentement</w:t>
      </w:r>
      <w:r w:rsidRPr="00693E29">
        <w:rPr>
          <w:color w:val="4472C4" w:themeColor="accent1"/>
        </w:rPr>
        <w:t xml:space="preserve"> doit être un des piliers de la prise en charge afin de permettre au sujet de redevenir, dans le cadre de l'alliance thérapeutique, acteur de ses soins.</w:t>
      </w:r>
      <w:r>
        <w:rPr>
          <w:color w:val="4472C4" w:themeColor="accent1"/>
        </w:rPr>
        <w:t xml:space="preserve"> L’expérience des visites régulières du CGLPL montre que le consentement est peu recherché lors du temps d’hospitalisation. </w:t>
      </w:r>
      <w:r w:rsidRPr="00693E29">
        <w:rPr>
          <w:color w:val="4472C4" w:themeColor="accent1"/>
        </w:rPr>
        <w:t xml:space="preserve">La recherche du consentement </w:t>
      </w:r>
      <w:r w:rsidR="00DD3D8E">
        <w:rPr>
          <w:color w:val="4472C4" w:themeColor="accent1"/>
        </w:rPr>
        <w:t xml:space="preserve">devrait aussi </w:t>
      </w:r>
      <w:r w:rsidRPr="00693E29">
        <w:rPr>
          <w:color w:val="4472C4" w:themeColor="accent1"/>
        </w:rPr>
        <w:t>passe</w:t>
      </w:r>
      <w:r w:rsidR="00DD3D8E">
        <w:rPr>
          <w:color w:val="4472C4" w:themeColor="accent1"/>
        </w:rPr>
        <w:t>r</w:t>
      </w:r>
      <w:r w:rsidRPr="00693E29">
        <w:rPr>
          <w:color w:val="4472C4" w:themeColor="accent1"/>
        </w:rPr>
        <w:t xml:space="preserve"> par l'explication et l'information</w:t>
      </w:r>
      <w:r w:rsidR="00DD3D8E">
        <w:rPr>
          <w:color w:val="4472C4" w:themeColor="accent1"/>
        </w:rPr>
        <w:t>, souvent insuffisantes,</w:t>
      </w:r>
      <w:r w:rsidRPr="00693E29">
        <w:rPr>
          <w:color w:val="4472C4" w:themeColor="accent1"/>
        </w:rPr>
        <w:t xml:space="preserve"> sur les thérapeutiques administrées.</w:t>
      </w:r>
    </w:p>
    <w:p w14:paraId="120D856E" w14:textId="38BBDDB3" w:rsidR="007031B6" w:rsidRPr="007031B6" w:rsidRDefault="007031B6" w:rsidP="007031B6">
      <w:pPr>
        <w:jc w:val="both"/>
        <w:rPr>
          <w:color w:val="4472C4" w:themeColor="accent1"/>
        </w:rPr>
      </w:pPr>
      <w:r>
        <w:rPr>
          <w:color w:val="4472C4" w:themeColor="accent1"/>
        </w:rPr>
        <w:t>Au début de la crise sanitaire</w:t>
      </w:r>
      <w:r w:rsidR="007E4BE8">
        <w:rPr>
          <w:color w:val="4472C4" w:themeColor="accent1"/>
        </w:rPr>
        <w:t xml:space="preserve"> en 2020</w:t>
      </w:r>
      <w:r>
        <w:rPr>
          <w:color w:val="4472C4" w:themeColor="accent1"/>
        </w:rPr>
        <w:t>, il a été</w:t>
      </w:r>
      <w:r w:rsidRPr="007031B6">
        <w:rPr>
          <w:color w:val="4472C4" w:themeColor="accent1"/>
        </w:rPr>
        <w:t xml:space="preserve"> demandé aux établissements de renforcer une part des dispositifs ambulatoires de façon à éviter des passages aux urgences et à réserver les séjours hospitaliers aux patients qui ne peuvent pas sortir avec une prise en charge en ambulatoire. La priorité </w:t>
      </w:r>
      <w:r w:rsidR="007E4BE8">
        <w:rPr>
          <w:color w:val="4472C4" w:themeColor="accent1"/>
        </w:rPr>
        <w:t>était</w:t>
      </w:r>
      <w:r w:rsidRPr="007031B6">
        <w:rPr>
          <w:color w:val="4472C4" w:themeColor="accent1"/>
        </w:rPr>
        <w:t xml:space="preserve"> d’éviter le regroupement de personnes qui favorise la propagation de l’épidémie. </w:t>
      </w:r>
      <w:r w:rsidR="007E4BE8" w:rsidRPr="007031B6">
        <w:rPr>
          <w:color w:val="4472C4" w:themeColor="accent1"/>
        </w:rPr>
        <w:t>Dans</w:t>
      </w:r>
      <w:r w:rsidR="007E4BE8" w:rsidRPr="007031B6">
        <w:rPr>
          <w:color w:val="4472C4" w:themeColor="accent1"/>
          <w:spacing w:val="-6"/>
        </w:rPr>
        <w:t xml:space="preserve"> </w:t>
      </w:r>
      <w:r w:rsidR="007E4BE8" w:rsidRPr="007031B6">
        <w:rPr>
          <w:color w:val="4472C4" w:themeColor="accent1"/>
        </w:rPr>
        <w:t>un</w:t>
      </w:r>
      <w:r w:rsidR="007E4BE8" w:rsidRPr="007031B6">
        <w:rPr>
          <w:color w:val="4472C4" w:themeColor="accent1"/>
          <w:spacing w:val="-5"/>
        </w:rPr>
        <w:t xml:space="preserve"> </w:t>
      </w:r>
      <w:r w:rsidR="007E4BE8" w:rsidRPr="007031B6">
        <w:rPr>
          <w:color w:val="4472C4" w:themeColor="accent1"/>
        </w:rPr>
        <w:t>grand</w:t>
      </w:r>
      <w:r w:rsidR="007E4BE8" w:rsidRPr="007031B6">
        <w:rPr>
          <w:color w:val="4472C4" w:themeColor="accent1"/>
          <w:spacing w:val="-7"/>
        </w:rPr>
        <w:t xml:space="preserve"> </w:t>
      </w:r>
      <w:r w:rsidR="007E4BE8" w:rsidRPr="007031B6">
        <w:rPr>
          <w:color w:val="4472C4" w:themeColor="accent1"/>
        </w:rPr>
        <w:t>nombre</w:t>
      </w:r>
      <w:r w:rsidR="007E4BE8" w:rsidRPr="007031B6">
        <w:rPr>
          <w:color w:val="4472C4" w:themeColor="accent1"/>
          <w:spacing w:val="-4"/>
        </w:rPr>
        <w:t xml:space="preserve"> </w:t>
      </w:r>
      <w:r w:rsidR="007E4BE8" w:rsidRPr="007031B6">
        <w:rPr>
          <w:color w:val="4472C4" w:themeColor="accent1"/>
        </w:rPr>
        <w:t>d’établissements,</w:t>
      </w:r>
      <w:r w:rsidR="007E4BE8" w:rsidRPr="007031B6">
        <w:rPr>
          <w:color w:val="4472C4" w:themeColor="accent1"/>
          <w:spacing w:val="-7"/>
        </w:rPr>
        <w:t xml:space="preserve"> </w:t>
      </w:r>
      <w:r w:rsidR="007E4BE8" w:rsidRPr="007031B6">
        <w:rPr>
          <w:color w:val="4472C4" w:themeColor="accent1"/>
        </w:rPr>
        <w:t>le</w:t>
      </w:r>
      <w:r w:rsidR="007E4BE8" w:rsidRPr="007031B6">
        <w:rPr>
          <w:color w:val="4472C4" w:themeColor="accent1"/>
          <w:spacing w:val="-7"/>
        </w:rPr>
        <w:t xml:space="preserve"> </w:t>
      </w:r>
      <w:r w:rsidR="007E4BE8" w:rsidRPr="007031B6">
        <w:rPr>
          <w:color w:val="4472C4" w:themeColor="accent1"/>
        </w:rPr>
        <w:t>lien</w:t>
      </w:r>
      <w:r w:rsidR="007E4BE8" w:rsidRPr="007031B6">
        <w:rPr>
          <w:color w:val="4472C4" w:themeColor="accent1"/>
          <w:spacing w:val="-7"/>
        </w:rPr>
        <w:t xml:space="preserve"> </w:t>
      </w:r>
      <w:r w:rsidR="007E4BE8" w:rsidRPr="007031B6">
        <w:rPr>
          <w:color w:val="4472C4" w:themeColor="accent1"/>
        </w:rPr>
        <w:t>avec</w:t>
      </w:r>
      <w:r w:rsidR="007E4BE8" w:rsidRPr="007031B6">
        <w:rPr>
          <w:color w:val="4472C4" w:themeColor="accent1"/>
          <w:spacing w:val="-7"/>
        </w:rPr>
        <w:t xml:space="preserve"> </w:t>
      </w:r>
      <w:r w:rsidR="007E4BE8" w:rsidRPr="007031B6">
        <w:rPr>
          <w:color w:val="4472C4" w:themeColor="accent1"/>
        </w:rPr>
        <w:t>les</w:t>
      </w:r>
      <w:r w:rsidR="007E4BE8" w:rsidRPr="007031B6">
        <w:rPr>
          <w:color w:val="4472C4" w:themeColor="accent1"/>
          <w:spacing w:val="-4"/>
        </w:rPr>
        <w:t xml:space="preserve"> </w:t>
      </w:r>
      <w:r w:rsidR="007E4BE8" w:rsidRPr="007031B6">
        <w:rPr>
          <w:color w:val="4472C4" w:themeColor="accent1"/>
        </w:rPr>
        <w:t>patients</w:t>
      </w:r>
      <w:r w:rsidR="007E4BE8" w:rsidRPr="007031B6">
        <w:rPr>
          <w:color w:val="4472C4" w:themeColor="accent1"/>
          <w:spacing w:val="-6"/>
        </w:rPr>
        <w:t xml:space="preserve"> </w:t>
      </w:r>
      <w:r w:rsidR="007E4BE8" w:rsidRPr="007031B6">
        <w:rPr>
          <w:color w:val="4472C4" w:themeColor="accent1"/>
        </w:rPr>
        <w:t>a</w:t>
      </w:r>
      <w:r w:rsidR="007E4BE8" w:rsidRPr="007031B6">
        <w:rPr>
          <w:color w:val="4472C4" w:themeColor="accent1"/>
          <w:spacing w:val="-6"/>
        </w:rPr>
        <w:t xml:space="preserve"> </w:t>
      </w:r>
      <w:r w:rsidR="007E4BE8" w:rsidRPr="007031B6">
        <w:rPr>
          <w:color w:val="4472C4" w:themeColor="accent1"/>
        </w:rPr>
        <w:t>été</w:t>
      </w:r>
      <w:r w:rsidR="007E4BE8" w:rsidRPr="007031B6">
        <w:rPr>
          <w:color w:val="4472C4" w:themeColor="accent1"/>
          <w:spacing w:val="-7"/>
        </w:rPr>
        <w:t xml:space="preserve"> </w:t>
      </w:r>
      <w:r w:rsidR="007E4BE8" w:rsidRPr="007031B6">
        <w:rPr>
          <w:color w:val="4472C4" w:themeColor="accent1"/>
        </w:rPr>
        <w:t>maintenu</w:t>
      </w:r>
      <w:r w:rsidR="007E4BE8" w:rsidRPr="007031B6">
        <w:rPr>
          <w:color w:val="4472C4" w:themeColor="accent1"/>
          <w:spacing w:val="-5"/>
        </w:rPr>
        <w:t xml:space="preserve"> </w:t>
      </w:r>
      <w:r w:rsidR="007E4BE8" w:rsidRPr="007031B6">
        <w:rPr>
          <w:color w:val="4472C4" w:themeColor="accent1"/>
        </w:rPr>
        <w:t>par</w:t>
      </w:r>
      <w:r w:rsidR="007E4BE8" w:rsidRPr="007031B6">
        <w:rPr>
          <w:color w:val="4472C4" w:themeColor="accent1"/>
          <w:spacing w:val="-6"/>
        </w:rPr>
        <w:t xml:space="preserve"> </w:t>
      </w:r>
      <w:r w:rsidR="007E4BE8" w:rsidRPr="007031B6">
        <w:rPr>
          <w:color w:val="4472C4" w:themeColor="accent1"/>
        </w:rPr>
        <w:t>une</w:t>
      </w:r>
      <w:r w:rsidR="007E4BE8" w:rsidRPr="007031B6">
        <w:rPr>
          <w:color w:val="4472C4" w:themeColor="accent1"/>
          <w:spacing w:val="-3"/>
        </w:rPr>
        <w:t xml:space="preserve"> </w:t>
      </w:r>
      <w:r w:rsidR="007E4BE8" w:rsidRPr="007031B6">
        <w:rPr>
          <w:color w:val="4472C4" w:themeColor="accent1"/>
        </w:rPr>
        <w:t>prise en</w:t>
      </w:r>
      <w:r w:rsidR="007E4BE8" w:rsidRPr="007031B6">
        <w:rPr>
          <w:color w:val="4472C4" w:themeColor="accent1"/>
          <w:spacing w:val="-10"/>
        </w:rPr>
        <w:t xml:space="preserve"> </w:t>
      </w:r>
      <w:r w:rsidR="007E4BE8" w:rsidRPr="007031B6">
        <w:rPr>
          <w:color w:val="4472C4" w:themeColor="accent1"/>
        </w:rPr>
        <w:t>charge</w:t>
      </w:r>
      <w:r w:rsidR="007E4BE8" w:rsidRPr="007031B6">
        <w:rPr>
          <w:color w:val="4472C4" w:themeColor="accent1"/>
          <w:spacing w:val="-11"/>
        </w:rPr>
        <w:t xml:space="preserve"> </w:t>
      </w:r>
      <w:r w:rsidR="007E4BE8" w:rsidRPr="007031B6">
        <w:rPr>
          <w:color w:val="4472C4" w:themeColor="accent1"/>
        </w:rPr>
        <w:t>ambulatoire</w:t>
      </w:r>
      <w:r w:rsidR="007E4BE8" w:rsidRPr="007031B6">
        <w:rPr>
          <w:color w:val="4472C4" w:themeColor="accent1"/>
          <w:spacing w:val="-9"/>
        </w:rPr>
        <w:t xml:space="preserve"> </w:t>
      </w:r>
      <w:r w:rsidR="007E4BE8" w:rsidRPr="007031B6">
        <w:rPr>
          <w:color w:val="4472C4" w:themeColor="accent1"/>
        </w:rPr>
        <w:t>ou</w:t>
      </w:r>
      <w:r w:rsidR="007E4BE8" w:rsidRPr="007031B6">
        <w:rPr>
          <w:color w:val="4472C4" w:themeColor="accent1"/>
          <w:spacing w:val="-14"/>
        </w:rPr>
        <w:t xml:space="preserve"> </w:t>
      </w:r>
      <w:r w:rsidR="007E4BE8" w:rsidRPr="007031B6">
        <w:rPr>
          <w:color w:val="4472C4" w:themeColor="accent1"/>
        </w:rPr>
        <w:t>extra</w:t>
      </w:r>
      <w:r w:rsidR="007E4BE8" w:rsidRPr="007031B6">
        <w:rPr>
          <w:color w:val="4472C4" w:themeColor="accent1"/>
          <w:spacing w:val="-9"/>
        </w:rPr>
        <w:t xml:space="preserve"> </w:t>
      </w:r>
      <w:r w:rsidR="007E4BE8" w:rsidRPr="007031B6">
        <w:rPr>
          <w:color w:val="4472C4" w:themeColor="accent1"/>
        </w:rPr>
        <w:t>hospitalière.</w:t>
      </w:r>
    </w:p>
    <w:p w14:paraId="4F79653D" w14:textId="26BBCA2F" w:rsidR="00514FC1" w:rsidRPr="00514FC1" w:rsidRDefault="00514FC1" w:rsidP="00514FC1">
      <w:pPr>
        <w:jc w:val="both"/>
        <w:rPr>
          <w:color w:val="4472C4" w:themeColor="accent1"/>
        </w:rPr>
      </w:pPr>
      <w:r w:rsidRPr="00514FC1">
        <w:rPr>
          <w:color w:val="4472C4" w:themeColor="accent1"/>
        </w:rPr>
        <w:t>Les données manquent pour évaluer les conséquences de la crise sanitaire sur cette situation. Dans un rapport d’analyse publié le 9 octobre 2020, le délégué ministériel à la santé mentale et</w:t>
      </w:r>
      <w:r w:rsidR="00DD3D8E">
        <w:rPr>
          <w:color w:val="4472C4" w:themeColor="accent1"/>
        </w:rPr>
        <w:t xml:space="preserve"> à</w:t>
      </w:r>
      <w:r w:rsidRPr="00514FC1">
        <w:rPr>
          <w:color w:val="4472C4" w:themeColor="accent1"/>
        </w:rPr>
        <w:t xml:space="preserve"> la psychiatrie évoque une baisse d’environ 30% du nombre d’hospitalisations sans consentement durant la période de confinement et post-confinement en métropole, suivie d’une augmentation non chiffrée à partir de juin 2020.</w:t>
      </w:r>
    </w:p>
    <w:p w14:paraId="501606E4" w14:textId="01AB4709" w:rsidR="00514FC1" w:rsidRDefault="00514FC1" w:rsidP="00514FC1">
      <w:pPr>
        <w:jc w:val="both"/>
        <w:rPr>
          <w:color w:val="4472C4" w:themeColor="accent1"/>
        </w:rPr>
      </w:pPr>
      <w:r w:rsidRPr="00514FC1">
        <w:rPr>
          <w:color w:val="4472C4" w:themeColor="accent1"/>
        </w:rPr>
        <w:t xml:space="preserve">Sur la période qui précède la pandémie, </w:t>
      </w:r>
      <w:r>
        <w:rPr>
          <w:color w:val="4472C4" w:themeColor="accent1"/>
        </w:rPr>
        <w:t>l</w:t>
      </w:r>
      <w:r w:rsidRPr="00514FC1">
        <w:rPr>
          <w:color w:val="4472C4" w:themeColor="accent1"/>
        </w:rPr>
        <w:t>e nombre total de patients</w:t>
      </w:r>
      <w:r>
        <w:rPr>
          <w:color w:val="4472C4" w:themeColor="accent1"/>
        </w:rPr>
        <w:t xml:space="preserve"> en soins sans consentement</w:t>
      </w:r>
      <w:r w:rsidRPr="00514FC1">
        <w:rPr>
          <w:color w:val="4472C4" w:themeColor="accent1"/>
        </w:rPr>
        <w:t xml:space="preserve"> semble toujours orienté à la hausse, de 82</w:t>
      </w:r>
      <w:r w:rsidR="00DD3D8E">
        <w:rPr>
          <w:color w:val="4472C4" w:themeColor="accent1"/>
        </w:rPr>
        <w:t> </w:t>
      </w:r>
      <w:r w:rsidRPr="00514FC1">
        <w:rPr>
          <w:color w:val="4472C4" w:themeColor="accent1"/>
        </w:rPr>
        <w:t>376 en 2010</w:t>
      </w:r>
      <w:r w:rsidRPr="00514FC1">
        <w:rPr>
          <w:color w:val="4472C4" w:themeColor="accent1"/>
          <w:spacing w:val="-9"/>
        </w:rPr>
        <w:t xml:space="preserve"> </w:t>
      </w:r>
      <w:r w:rsidRPr="00514FC1">
        <w:rPr>
          <w:color w:val="4472C4" w:themeColor="accent1"/>
        </w:rPr>
        <w:t>à</w:t>
      </w:r>
      <w:r w:rsidRPr="00514FC1">
        <w:rPr>
          <w:color w:val="4472C4" w:themeColor="accent1"/>
          <w:spacing w:val="-10"/>
        </w:rPr>
        <w:t xml:space="preserve"> </w:t>
      </w:r>
      <w:r w:rsidRPr="00514FC1">
        <w:rPr>
          <w:color w:val="4472C4" w:themeColor="accent1"/>
        </w:rPr>
        <w:t>100</w:t>
      </w:r>
      <w:r w:rsidR="00DD3D8E">
        <w:rPr>
          <w:color w:val="4472C4" w:themeColor="accent1"/>
          <w:spacing w:val="-8"/>
        </w:rPr>
        <w:t> </w:t>
      </w:r>
      <w:r w:rsidRPr="00514FC1">
        <w:rPr>
          <w:color w:val="4472C4" w:themeColor="accent1"/>
        </w:rPr>
        <w:t>858</w:t>
      </w:r>
      <w:r w:rsidRPr="00514FC1">
        <w:rPr>
          <w:color w:val="4472C4" w:themeColor="accent1"/>
          <w:spacing w:val="-8"/>
        </w:rPr>
        <w:t xml:space="preserve"> </w:t>
      </w:r>
      <w:r w:rsidRPr="00514FC1">
        <w:rPr>
          <w:color w:val="4472C4" w:themeColor="accent1"/>
        </w:rPr>
        <w:t>en</w:t>
      </w:r>
      <w:r w:rsidRPr="00514FC1">
        <w:rPr>
          <w:color w:val="4472C4" w:themeColor="accent1"/>
          <w:spacing w:val="-11"/>
        </w:rPr>
        <w:t xml:space="preserve"> </w:t>
      </w:r>
      <w:r w:rsidRPr="00514FC1">
        <w:rPr>
          <w:color w:val="4472C4" w:themeColor="accent1"/>
        </w:rPr>
        <w:t>2014</w:t>
      </w:r>
      <w:r w:rsidRPr="00514FC1">
        <w:rPr>
          <w:color w:val="4472C4" w:themeColor="accent1"/>
          <w:spacing w:val="-11"/>
        </w:rPr>
        <w:t xml:space="preserve"> </w:t>
      </w:r>
      <w:r w:rsidRPr="00514FC1">
        <w:rPr>
          <w:color w:val="4472C4" w:themeColor="accent1"/>
        </w:rPr>
        <w:t>et</w:t>
      </w:r>
      <w:r w:rsidRPr="00514FC1">
        <w:rPr>
          <w:color w:val="4472C4" w:themeColor="accent1"/>
          <w:spacing w:val="-12"/>
        </w:rPr>
        <w:t xml:space="preserve"> </w:t>
      </w:r>
      <w:r w:rsidRPr="00514FC1">
        <w:rPr>
          <w:color w:val="4472C4" w:themeColor="accent1"/>
        </w:rPr>
        <w:t>122</w:t>
      </w:r>
      <w:r w:rsidR="00DD3D8E">
        <w:rPr>
          <w:color w:val="4472C4" w:themeColor="accent1"/>
          <w:spacing w:val="-1"/>
        </w:rPr>
        <w:t> </w:t>
      </w:r>
      <w:r w:rsidRPr="00514FC1">
        <w:rPr>
          <w:color w:val="4472C4" w:themeColor="accent1"/>
        </w:rPr>
        <w:t>638</w:t>
      </w:r>
      <w:r w:rsidRPr="00514FC1">
        <w:rPr>
          <w:color w:val="4472C4" w:themeColor="accent1"/>
          <w:spacing w:val="-8"/>
        </w:rPr>
        <w:t xml:space="preserve"> </w:t>
      </w:r>
      <w:r w:rsidRPr="00514FC1">
        <w:rPr>
          <w:color w:val="4472C4" w:themeColor="accent1"/>
        </w:rPr>
        <w:t>en</w:t>
      </w:r>
      <w:r w:rsidRPr="00514FC1">
        <w:rPr>
          <w:color w:val="4472C4" w:themeColor="accent1"/>
          <w:spacing w:val="-11"/>
        </w:rPr>
        <w:t xml:space="preserve"> </w:t>
      </w:r>
      <w:r w:rsidRPr="00514FC1">
        <w:rPr>
          <w:color w:val="4472C4" w:themeColor="accent1"/>
        </w:rPr>
        <w:t>2019.</w:t>
      </w:r>
      <w:r w:rsidRPr="00514FC1">
        <w:rPr>
          <w:color w:val="4472C4" w:themeColor="accent1"/>
          <w:spacing w:val="-11"/>
        </w:rPr>
        <w:t xml:space="preserve"> </w:t>
      </w:r>
      <w:r>
        <w:rPr>
          <w:color w:val="4472C4" w:themeColor="accent1"/>
        </w:rPr>
        <w:t>Il convient de préciser que ce</w:t>
      </w:r>
      <w:r w:rsidRPr="00514FC1">
        <w:rPr>
          <w:color w:val="4472C4" w:themeColor="accent1"/>
          <w:spacing w:val="-11"/>
        </w:rPr>
        <w:t xml:space="preserve"> </w:t>
      </w:r>
      <w:r w:rsidRPr="00514FC1">
        <w:rPr>
          <w:color w:val="4472C4" w:themeColor="accent1"/>
        </w:rPr>
        <w:t>chiffre</w:t>
      </w:r>
      <w:r w:rsidRPr="00514FC1">
        <w:rPr>
          <w:color w:val="4472C4" w:themeColor="accent1"/>
          <w:spacing w:val="-8"/>
        </w:rPr>
        <w:t xml:space="preserve"> </w:t>
      </w:r>
      <w:r>
        <w:rPr>
          <w:color w:val="4472C4" w:themeColor="accent1"/>
        </w:rPr>
        <w:t xml:space="preserve">doit être </w:t>
      </w:r>
      <w:r w:rsidR="00DD3D8E">
        <w:rPr>
          <w:color w:val="4472C4" w:themeColor="accent1"/>
        </w:rPr>
        <w:t xml:space="preserve">considéré </w:t>
      </w:r>
      <w:r w:rsidRPr="00514FC1">
        <w:rPr>
          <w:color w:val="4472C4" w:themeColor="accent1"/>
        </w:rPr>
        <w:t>avec</w:t>
      </w:r>
      <w:r w:rsidRPr="00514FC1">
        <w:rPr>
          <w:color w:val="4472C4" w:themeColor="accent1"/>
          <w:spacing w:val="-8"/>
        </w:rPr>
        <w:t xml:space="preserve"> </w:t>
      </w:r>
      <w:r w:rsidRPr="00514FC1">
        <w:rPr>
          <w:color w:val="4472C4" w:themeColor="accent1"/>
        </w:rPr>
        <w:t>précaution, compte tenu des possibilités de comptages multiples d’un même patient.</w:t>
      </w:r>
    </w:p>
    <w:p w14:paraId="121C0308" w14:textId="20E701EB" w:rsidR="008F71B6" w:rsidRDefault="008B7AA2" w:rsidP="00514FC1">
      <w:pPr>
        <w:jc w:val="both"/>
        <w:rPr>
          <w:color w:val="4472C4" w:themeColor="accent1"/>
        </w:rPr>
      </w:pPr>
      <w:r w:rsidRPr="00C63A18">
        <w:rPr>
          <w:color w:val="4472C4" w:themeColor="accent1"/>
        </w:rPr>
        <w:t>Le CGLPL constate régulièrement lors de</w:t>
      </w:r>
      <w:r w:rsidR="00DD3D8E">
        <w:rPr>
          <w:color w:val="4472C4" w:themeColor="accent1"/>
        </w:rPr>
        <w:t xml:space="preserve"> se</w:t>
      </w:r>
      <w:r w:rsidRPr="00C63A18">
        <w:rPr>
          <w:color w:val="4472C4" w:themeColor="accent1"/>
        </w:rPr>
        <w:t xml:space="preserve">s visites que faute de place dans les unités spécialisées, des enfants sont hébergés avec des adultes, dans des conditions matérielles inadaptées, et parfois placés en chambre d’isolement </w:t>
      </w:r>
      <w:r w:rsidR="00DD3D8E">
        <w:rPr>
          <w:color w:val="4472C4" w:themeColor="accent1"/>
        </w:rPr>
        <w:t>dans le but d</w:t>
      </w:r>
      <w:r w:rsidR="003C22F6">
        <w:rPr>
          <w:color w:val="4472C4" w:themeColor="accent1"/>
        </w:rPr>
        <w:t xml:space="preserve">e leur </w:t>
      </w:r>
      <w:r w:rsidR="00DD3D8E">
        <w:rPr>
          <w:color w:val="4472C4" w:themeColor="accent1"/>
        </w:rPr>
        <w:t xml:space="preserve">assurer une protection contre </w:t>
      </w:r>
      <w:r w:rsidR="00CA080C">
        <w:rPr>
          <w:color w:val="4472C4" w:themeColor="accent1"/>
        </w:rPr>
        <w:t>l</w:t>
      </w:r>
      <w:r w:rsidR="00DD3D8E">
        <w:rPr>
          <w:color w:val="4472C4" w:themeColor="accent1"/>
        </w:rPr>
        <w:t xml:space="preserve">es risques </w:t>
      </w:r>
      <w:r w:rsidR="00CA080C">
        <w:rPr>
          <w:color w:val="4472C4" w:themeColor="accent1"/>
        </w:rPr>
        <w:t>résultant de</w:t>
      </w:r>
      <w:r w:rsidR="00DD3D8E">
        <w:rPr>
          <w:color w:val="4472C4" w:themeColor="accent1"/>
        </w:rPr>
        <w:t xml:space="preserve"> ce</w:t>
      </w:r>
      <w:r w:rsidR="00CA080C">
        <w:rPr>
          <w:color w:val="4472C4" w:themeColor="accent1"/>
        </w:rPr>
        <w:t>tte</w:t>
      </w:r>
      <w:r w:rsidR="00DD3D8E">
        <w:rPr>
          <w:color w:val="4472C4" w:themeColor="accent1"/>
        </w:rPr>
        <w:t xml:space="preserve"> modalité d’hébergeme</w:t>
      </w:r>
      <w:r w:rsidR="00CA080C">
        <w:rPr>
          <w:color w:val="4472C4" w:themeColor="accent1"/>
        </w:rPr>
        <w:t>n</w:t>
      </w:r>
      <w:r w:rsidR="00DD3D8E">
        <w:rPr>
          <w:color w:val="4472C4" w:themeColor="accent1"/>
        </w:rPr>
        <w:t>t</w:t>
      </w:r>
      <w:r w:rsidR="008F71B6">
        <w:rPr>
          <w:color w:val="4472C4" w:themeColor="accent1"/>
        </w:rPr>
        <w:t>.</w:t>
      </w:r>
    </w:p>
    <w:p w14:paraId="5942A69D" w14:textId="77777777" w:rsidR="00891B26" w:rsidRPr="00514FC1" w:rsidRDefault="00891B26" w:rsidP="00514FC1">
      <w:pPr>
        <w:jc w:val="both"/>
        <w:rPr>
          <w:color w:val="4472C4" w:themeColor="accent1"/>
        </w:rPr>
      </w:pPr>
    </w:p>
    <w:p w14:paraId="6291A903" w14:textId="77777777" w:rsidR="00491AC9" w:rsidRPr="00AC16C9" w:rsidRDefault="00491AC9" w:rsidP="00491AC9">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AC16C9">
        <w:rPr>
          <w:rFonts w:eastAsia="Times New Roman" w:cstheme="minorHAnsi"/>
          <w:b/>
          <w:iCs/>
          <w:lang w:eastAsia="fr-FR"/>
        </w:rPr>
        <w:t xml:space="preserve">Recommandation : </w:t>
      </w:r>
    </w:p>
    <w:p w14:paraId="72A09E7D" w14:textId="65A13FC5" w:rsidR="00491AC9" w:rsidRPr="00AC16C9" w:rsidRDefault="00491AC9" w:rsidP="00491AC9">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AC16C9">
        <w:rPr>
          <w:rFonts w:eastAsia="Times New Roman" w:cstheme="minorHAnsi"/>
          <w:b/>
          <w:iCs/>
          <w:lang w:eastAsia="fr-FR"/>
        </w:rPr>
        <w:t xml:space="preserve">Le consentement des personnes souffrant de troubles </w:t>
      </w:r>
      <w:r w:rsidR="006E2B6E">
        <w:rPr>
          <w:rFonts w:eastAsia="Times New Roman" w:cstheme="minorHAnsi"/>
          <w:b/>
          <w:iCs/>
          <w:lang w:eastAsia="fr-FR"/>
        </w:rPr>
        <w:t>psychiques</w:t>
      </w:r>
      <w:r w:rsidRPr="00AC16C9">
        <w:rPr>
          <w:rFonts w:eastAsia="Times New Roman" w:cstheme="minorHAnsi"/>
          <w:b/>
          <w:iCs/>
          <w:lang w:eastAsia="fr-FR"/>
        </w:rPr>
        <w:t xml:space="preserve"> doit être recherché</w:t>
      </w:r>
      <w:r w:rsidR="006E2B6E">
        <w:rPr>
          <w:rFonts w:eastAsia="Times New Roman" w:cstheme="minorHAnsi"/>
          <w:b/>
          <w:iCs/>
          <w:lang w:eastAsia="fr-FR"/>
        </w:rPr>
        <w:t xml:space="preserve"> de manière </w:t>
      </w:r>
      <w:r w:rsidR="006E2B6E" w:rsidRPr="00AC16C9">
        <w:rPr>
          <w:rFonts w:eastAsia="Times New Roman" w:cstheme="minorHAnsi"/>
          <w:b/>
          <w:iCs/>
          <w:lang w:eastAsia="fr-FR"/>
        </w:rPr>
        <w:t>régulière</w:t>
      </w:r>
      <w:r w:rsidR="006E2B6E">
        <w:rPr>
          <w:rFonts w:eastAsia="Times New Roman" w:cstheme="minorHAnsi"/>
          <w:b/>
          <w:iCs/>
          <w:lang w:eastAsia="fr-FR"/>
        </w:rPr>
        <w:t xml:space="preserve"> au cours de la prise en charge</w:t>
      </w:r>
      <w:r w:rsidRPr="00AC16C9">
        <w:rPr>
          <w:rFonts w:eastAsia="Times New Roman" w:cstheme="minorHAnsi"/>
          <w:b/>
          <w:iCs/>
          <w:lang w:eastAsia="fr-FR"/>
        </w:rPr>
        <w:t>.</w:t>
      </w:r>
    </w:p>
    <w:p w14:paraId="176DDDFF" w14:textId="120E801E" w:rsidR="00491AC9" w:rsidRPr="00AC16C9" w:rsidRDefault="00491AC9" w:rsidP="00491AC9">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AC16C9">
        <w:rPr>
          <w:rFonts w:eastAsia="Times New Roman" w:cstheme="minorHAnsi"/>
          <w:b/>
          <w:iCs/>
          <w:lang w:eastAsia="fr-FR"/>
        </w:rPr>
        <w:t xml:space="preserve">La France doit mettre en œuvre des mesures afin de limiter la proportion de patients admis en procédure d’urgence sur demande d’un tiers dès lors que cette procédure devrait rester exceptionnelle. </w:t>
      </w:r>
    </w:p>
    <w:p w14:paraId="3ABD2F08" w14:textId="77777777" w:rsidR="00426DA0" w:rsidRPr="00AC16C9" w:rsidRDefault="00426DA0" w:rsidP="00491AC9">
      <w:pPr>
        <w:tabs>
          <w:tab w:val="left" w:pos="6570"/>
        </w:tabs>
        <w:rPr>
          <w:iCs/>
        </w:rPr>
      </w:pPr>
    </w:p>
    <w:p w14:paraId="1D05D7A2" w14:textId="4913789D" w:rsidR="006E2B6E" w:rsidRDefault="006E2B6E" w:rsidP="009666F0">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Pr>
          <w:rFonts w:eastAsia="Times New Roman" w:cstheme="minorHAnsi"/>
          <w:b/>
          <w:iCs/>
          <w:lang w:eastAsia="fr-FR"/>
        </w:rPr>
        <w:t>Recommandation :</w:t>
      </w:r>
    </w:p>
    <w:p w14:paraId="36D8E367" w14:textId="7A75E0D6" w:rsidR="002939E8" w:rsidRPr="00AC16C9" w:rsidRDefault="009666F0" w:rsidP="009666F0">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AC16C9">
        <w:rPr>
          <w:rFonts w:eastAsia="Times New Roman" w:cstheme="minorHAnsi"/>
          <w:b/>
          <w:iCs/>
          <w:lang w:eastAsia="fr-FR"/>
        </w:rPr>
        <w:t>Les effets des restrictions budgétaires associés au maintien de l'obligation d'accueil des patients en soins sans consentement entraînent un appauvrissement des structures extra hospitalières et, par suite, une augmentation des ré-hospitalisations. Ce phénomène doit être inversé par un financement adapté à la hauteur des besoins effectifs de prise en charge.</w:t>
      </w:r>
    </w:p>
    <w:p w14:paraId="5A3C7EFA" w14:textId="77777777" w:rsidR="002F5ED3" w:rsidRPr="00AC16C9" w:rsidRDefault="002F5ED3" w:rsidP="00491AC9">
      <w:pPr>
        <w:tabs>
          <w:tab w:val="left" w:pos="6570"/>
        </w:tabs>
        <w:rPr>
          <w:iCs/>
        </w:rPr>
      </w:pPr>
    </w:p>
    <w:p w14:paraId="26864F8A" w14:textId="2F60BEDF" w:rsidR="006E2B6E" w:rsidRPr="00BF551F" w:rsidRDefault="006E2B6E" w:rsidP="002939E8">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BF551F">
        <w:rPr>
          <w:rFonts w:eastAsia="Times New Roman" w:cstheme="minorHAnsi"/>
          <w:b/>
          <w:iCs/>
          <w:lang w:eastAsia="fr-FR"/>
        </w:rPr>
        <w:t>Recommandation :</w:t>
      </w:r>
    </w:p>
    <w:p w14:paraId="6359F17A" w14:textId="60DF1EAA" w:rsidR="002939E8" w:rsidRPr="00A40C5A" w:rsidRDefault="002939E8" w:rsidP="00A40C5A">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BF551F">
        <w:rPr>
          <w:rFonts w:eastAsia="Times New Roman" w:cstheme="minorHAnsi"/>
          <w:b/>
          <w:iCs/>
          <w:lang w:eastAsia="fr-FR"/>
        </w:rPr>
        <w:t xml:space="preserve">Les enfants ou adolescents ne doivent pas être hospitalisés avec des adultes. </w:t>
      </w:r>
      <w:r w:rsidR="00BF551F" w:rsidRPr="00BF551F">
        <w:rPr>
          <w:rFonts w:eastAsia="Times New Roman" w:cstheme="minorHAnsi"/>
          <w:b/>
          <w:iCs/>
          <w:lang w:eastAsia="fr-FR"/>
        </w:rPr>
        <w:t>L</w:t>
      </w:r>
      <w:r w:rsidRPr="00BF551F">
        <w:rPr>
          <w:rFonts w:eastAsia="Times New Roman" w:cstheme="minorHAnsi"/>
          <w:b/>
          <w:iCs/>
          <w:lang w:eastAsia="fr-FR"/>
        </w:rPr>
        <w:t>eur suivi doit s'exercer sous le contrôle étroit d'un médecin et d'une équipe formés spécifiquement à la pédiatrie et à la pédopsychiatrie.</w:t>
      </w:r>
    </w:p>
    <w:p w14:paraId="5CCEE40E" w14:textId="59414C1E" w:rsidR="002F5ED3" w:rsidRDefault="002F5ED3" w:rsidP="003341CF">
      <w:pPr>
        <w:rPr>
          <w:b/>
          <w:bCs/>
        </w:rPr>
      </w:pPr>
    </w:p>
    <w:p w14:paraId="3911FA22" w14:textId="77777777" w:rsidR="00121D45" w:rsidRDefault="00121D45" w:rsidP="003341CF">
      <w:pPr>
        <w:rPr>
          <w:b/>
          <w:bCs/>
        </w:rPr>
      </w:pPr>
    </w:p>
    <w:p w14:paraId="7A261985" w14:textId="606362DD" w:rsidR="003341CF" w:rsidRPr="00D5647B" w:rsidRDefault="0016150A" w:rsidP="003341CF">
      <w:pPr>
        <w:rPr>
          <w:b/>
          <w:bCs/>
        </w:rPr>
      </w:pPr>
      <w:r w:rsidRPr="00D5647B">
        <w:rPr>
          <w:b/>
          <w:bCs/>
        </w:rPr>
        <w:t xml:space="preserve">Le </w:t>
      </w:r>
      <w:r w:rsidR="002F5ED3">
        <w:rPr>
          <w:b/>
          <w:bCs/>
        </w:rPr>
        <w:t>C</w:t>
      </w:r>
      <w:r w:rsidRPr="00D5647B">
        <w:rPr>
          <w:b/>
          <w:bCs/>
        </w:rPr>
        <w:t>omité demande à la France d’é</w:t>
      </w:r>
      <w:r w:rsidR="003341CF" w:rsidRPr="00D5647B">
        <w:rPr>
          <w:b/>
          <w:bCs/>
        </w:rPr>
        <w:t>liminer le recours à l’isolement dans les lieux de détention et les hôpitaux psychiatriques</w:t>
      </w:r>
      <w:r w:rsidR="00797AB5">
        <w:rPr>
          <w:b/>
          <w:bCs/>
        </w:rPr>
        <w:t xml:space="preserve"> (§ 13b)</w:t>
      </w:r>
      <w:r w:rsidR="0001099C">
        <w:rPr>
          <w:b/>
          <w:bCs/>
        </w:rPr>
        <w:t>.</w:t>
      </w:r>
    </w:p>
    <w:p w14:paraId="63A546B5" w14:textId="639B76D2" w:rsidR="0016150A" w:rsidRPr="00491AC9" w:rsidRDefault="0016150A" w:rsidP="0016150A">
      <w:pPr>
        <w:jc w:val="both"/>
        <w:rPr>
          <w:i/>
          <w:iCs/>
        </w:rPr>
      </w:pPr>
      <w:r w:rsidRPr="00491AC9">
        <w:rPr>
          <w:i/>
          <w:iCs/>
        </w:rPr>
        <w:t>Dans sa réponse, la France indique qu’a</w:t>
      </w:r>
      <w:r w:rsidR="003341CF" w:rsidRPr="00491AC9">
        <w:rPr>
          <w:i/>
          <w:iCs/>
        </w:rPr>
        <w:t>ucune mesure d’isolement ne peut être fondée sur le handicap</w:t>
      </w:r>
      <w:r w:rsidRPr="00491AC9">
        <w:rPr>
          <w:i/>
          <w:iCs/>
        </w:rPr>
        <w:t xml:space="preserve">, et que la </w:t>
      </w:r>
      <w:r w:rsidR="003341CF" w:rsidRPr="00491AC9">
        <w:rPr>
          <w:i/>
          <w:iCs/>
        </w:rPr>
        <w:t xml:space="preserve">réduction du recours aux pratiques de contention, d’isolement et de soins sans consentement </w:t>
      </w:r>
      <w:r w:rsidRPr="00491AC9">
        <w:rPr>
          <w:i/>
          <w:iCs/>
        </w:rPr>
        <w:t xml:space="preserve">est une de ses priorités en psychiatrie. Elle passe notamment par le recueil des données, l’identification et la diffusion des bonnes pratiques de prévention et de gestion de crise. Elle indique qu’un contrôle effectif s’exerce sur toute mesure d’isolement via un registre dédié, à tout moment par des acteurs dont la commission départementale des soins psychiatriques et le CGLPL. </w:t>
      </w:r>
    </w:p>
    <w:p w14:paraId="75F837C1" w14:textId="27C128B3" w:rsidR="0016150A" w:rsidRPr="008F71B6" w:rsidRDefault="0016150A" w:rsidP="0016150A">
      <w:pPr>
        <w:jc w:val="both"/>
        <w:rPr>
          <w:i/>
          <w:iCs/>
        </w:rPr>
      </w:pPr>
      <w:r w:rsidRPr="00491AC9">
        <w:rPr>
          <w:i/>
          <w:iCs/>
        </w:rPr>
        <w:t xml:space="preserve">Par ailleurs, la France met en avant la question prioritaire de constitutionnalité sur la compétence du juge des libertés et de la détention pour contrôler les mesures de contention et de l’isolement dont a </w:t>
      </w:r>
      <w:r w:rsidRPr="008F71B6">
        <w:rPr>
          <w:i/>
          <w:iCs/>
        </w:rPr>
        <w:t>été saisi le Conseil Constitutionnel.  Par décision du 19 juin 2020, ce dernier a considéré que l’article L.3222-5-1 du CSP, était non conforme à la Constitution en ce qu’il ne prévoit pas l’intervention d’un contrôle judiciaire au-delà d’une certaine durée d’isolement ou de contention. Le Conseil a demandé que l’article visée soit conforme à sa décision pour le 1er janvier 2021</w:t>
      </w:r>
      <w:r w:rsidR="00E23E0A">
        <w:rPr>
          <w:i/>
          <w:iCs/>
        </w:rPr>
        <w:t xml:space="preserve"> (§ 92 à 99)</w:t>
      </w:r>
      <w:r w:rsidRPr="008F71B6">
        <w:rPr>
          <w:i/>
          <w:iCs/>
        </w:rPr>
        <w:t xml:space="preserve">. </w:t>
      </w:r>
    </w:p>
    <w:p w14:paraId="0A128B74" w14:textId="7186F647" w:rsidR="00A534C8" w:rsidRPr="008F71B6" w:rsidRDefault="00A534C8" w:rsidP="0016150A">
      <w:pPr>
        <w:spacing w:after="200" w:line="276" w:lineRule="auto"/>
        <w:jc w:val="both"/>
        <w:rPr>
          <w:color w:val="4472C4" w:themeColor="accent1"/>
        </w:rPr>
      </w:pPr>
      <w:r w:rsidRPr="008F71B6">
        <w:rPr>
          <w:color w:val="4472C4" w:themeColor="accent1"/>
        </w:rPr>
        <w:t xml:space="preserve">Postérieurement à la réponse de la France, </w:t>
      </w:r>
      <w:r w:rsidR="003C22F6" w:rsidRPr="008F71B6">
        <w:rPr>
          <w:color w:val="4472C4" w:themeColor="accent1"/>
        </w:rPr>
        <w:t xml:space="preserve">le </w:t>
      </w:r>
      <w:r w:rsidRPr="008F71B6">
        <w:rPr>
          <w:color w:val="4472C4" w:themeColor="accent1"/>
        </w:rPr>
        <w:t xml:space="preserve">Conseil constitutionnel a une nouvelle fois censuré – comme il l’avait fait en 2012 et en 2020 - l’insuffisance des garanties législatives entourant le respect des droits fondamentaux des patients psychiatriques hospitalisés sans leur consentement. Il censure plus particulièrement, dans cette dernière décision, les dispositions encadrant le recours aux mesures de contention et d’isolement. Cette décision, qui prend effet au 1er janvier 2022, impose au législateur l’adoption d’un nouveau cadre juridique pour le recours à ce type de mesures. </w:t>
      </w:r>
    </w:p>
    <w:p w14:paraId="1A763FEC" w14:textId="4260DD2C" w:rsidR="003B0187" w:rsidRPr="008F71B6" w:rsidRDefault="00A534C8" w:rsidP="0016150A">
      <w:pPr>
        <w:spacing w:after="200" w:line="276" w:lineRule="auto"/>
        <w:jc w:val="both"/>
        <w:rPr>
          <w:color w:val="4472C4" w:themeColor="accent1"/>
        </w:rPr>
      </w:pPr>
      <w:r w:rsidRPr="008F71B6">
        <w:rPr>
          <w:color w:val="4472C4" w:themeColor="accent1"/>
        </w:rPr>
        <w:t>Dans ce contexte, le</w:t>
      </w:r>
      <w:r w:rsidR="0016150A" w:rsidRPr="008F71B6">
        <w:rPr>
          <w:color w:val="4472C4" w:themeColor="accent1"/>
        </w:rPr>
        <w:t xml:space="preserve"> CGLPL appelle de ses vœux une véritable réforme législative sur le sujet de l’isolement et de la contention</w:t>
      </w:r>
      <w:r w:rsidR="00CA080C" w:rsidRPr="008F71B6">
        <w:rPr>
          <w:color w:val="4472C4" w:themeColor="accent1"/>
        </w:rPr>
        <w:t xml:space="preserve"> en psychiatrie</w:t>
      </w:r>
      <w:r w:rsidR="0016150A" w:rsidRPr="008F71B6">
        <w:rPr>
          <w:color w:val="4472C4" w:themeColor="accent1"/>
        </w:rPr>
        <w:t>. Si un véritable contrôle juridictionnel de ces mesures privatives de liberté particulièrement attentatoires est souhaitable, les travaux législatifs</w:t>
      </w:r>
      <w:r w:rsidR="00CA080C" w:rsidRPr="008F71B6">
        <w:rPr>
          <w:color w:val="4472C4" w:themeColor="accent1"/>
        </w:rPr>
        <w:t xml:space="preserve"> en cours</w:t>
      </w:r>
      <w:r w:rsidR="0016150A" w:rsidRPr="008F71B6">
        <w:rPr>
          <w:color w:val="4472C4" w:themeColor="accent1"/>
        </w:rPr>
        <w:t xml:space="preserve"> doivent permettre de combler les vides juridiques actuels, notamment concernant la situation des mineurs. </w:t>
      </w:r>
      <w:r w:rsidR="00F816C0" w:rsidRPr="008F71B6">
        <w:rPr>
          <w:color w:val="4472C4" w:themeColor="accent1"/>
        </w:rPr>
        <w:t>Des enfants sont parfois placés à l’isolement dans des unités pour adultes, ce qui est problématique à bien des égards : en premier lieu, ce ne sont pas des conditions d’hospitalisation</w:t>
      </w:r>
      <w:r w:rsidR="006E2B6E" w:rsidRPr="008F71B6">
        <w:rPr>
          <w:color w:val="4472C4" w:themeColor="accent1"/>
        </w:rPr>
        <w:t xml:space="preserve"> dignes</w:t>
      </w:r>
      <w:r w:rsidR="00F816C0" w:rsidRPr="008F71B6">
        <w:rPr>
          <w:color w:val="4472C4" w:themeColor="accent1"/>
        </w:rPr>
        <w:t xml:space="preserve">. De plus, les mineurs sont généralement hospitalisés à la demande de leurs parents et sont juridiquement en soins libres, qu’ils consentent ou non à la mesure, qu’ils soient placés ou non à l’isolement. </w:t>
      </w:r>
      <w:r w:rsidR="006E2B6E" w:rsidRPr="008F71B6">
        <w:rPr>
          <w:color w:val="4472C4" w:themeColor="accent1"/>
        </w:rPr>
        <w:t>En tout état de cause, ils ne peuvent contester cette mesure.</w:t>
      </w:r>
      <w:r w:rsidR="003B0187" w:rsidRPr="008F71B6">
        <w:rPr>
          <w:color w:val="4472C4" w:themeColor="accent1"/>
        </w:rPr>
        <w:t xml:space="preserve"> </w:t>
      </w:r>
    </w:p>
    <w:p w14:paraId="234445F5" w14:textId="29745224" w:rsidR="003B0187" w:rsidRPr="008F71B6" w:rsidRDefault="0016150A" w:rsidP="003B0187">
      <w:pPr>
        <w:spacing w:after="200" w:line="276" w:lineRule="auto"/>
        <w:jc w:val="both"/>
        <w:rPr>
          <w:color w:val="4472C4" w:themeColor="accent1"/>
        </w:rPr>
      </w:pPr>
      <w:r w:rsidRPr="008F71B6">
        <w:rPr>
          <w:color w:val="4472C4" w:themeColor="accent1"/>
        </w:rPr>
        <w:t xml:space="preserve">Par ailleurs, la loi doit avoir pour effet de mettre en places des mesures protectrices liées à l’isolement et à la contention et ne saurait avoir pour effet de faire augmenter les mesures de soins sans consentement. La question de l’isolement des </w:t>
      </w:r>
      <w:r w:rsidR="003B0187" w:rsidRPr="008F71B6">
        <w:rPr>
          <w:color w:val="4472C4" w:themeColor="accent1"/>
        </w:rPr>
        <w:t xml:space="preserve">adultes </w:t>
      </w:r>
      <w:r w:rsidRPr="008F71B6">
        <w:rPr>
          <w:color w:val="4472C4" w:themeColor="accent1"/>
        </w:rPr>
        <w:t xml:space="preserve">en soins libres pour une durée courte doit être abordée. </w:t>
      </w:r>
      <w:r w:rsidR="003B0187" w:rsidRPr="008F71B6">
        <w:rPr>
          <w:color w:val="4472C4" w:themeColor="accent1"/>
        </w:rPr>
        <w:t>De plus, l’éventuelle nécessité de placer un enfant à l’isolement ne doit pas avoir pour effet d’entraîner son admission en soins sans consentement, compte tenu des conséquences d’une telle décision en termes de restriction de liberté et de la stigmatisation durable qu’elle entraîne.</w:t>
      </w:r>
    </w:p>
    <w:p w14:paraId="436D4A53" w14:textId="298EFFA9" w:rsidR="003B0187" w:rsidRDefault="003B0187" w:rsidP="00BA1064">
      <w:pPr>
        <w:spacing w:after="200" w:line="276" w:lineRule="auto"/>
        <w:jc w:val="both"/>
        <w:rPr>
          <w:rFonts w:eastAsia="Times New Roman" w:cstheme="minorHAnsi"/>
          <w:color w:val="4472C4" w:themeColor="accent1"/>
          <w:lang w:eastAsia="fr-FR"/>
        </w:rPr>
      </w:pPr>
      <w:r w:rsidRPr="008F71B6">
        <w:rPr>
          <w:color w:val="4472C4" w:themeColor="accent1"/>
        </w:rPr>
        <w:t>Il faut également inclure dans le champ de ce contrôle les isolements ou contentions de fait actuellement pratiqués, quels que soient les lieux où ils sont réalisés (espaces ad hoc ou chambres d’hospitalisation) ou les modalités de leur mise en œuvre. Le futur dispositif doit être applicable dans tous les établissements qui accueillent des patients en soins psychiatriques, y compris les unités pour malades difficiles et les unités de soins intensifs psychiatriques. A défaut, une part des mesures d’isolement et de contention concernant des patients placés en soins sans consentement échapperait sans doute au contrôle juridictionnel exigé par le Conseil constitutionnel.</w:t>
      </w:r>
      <w:r w:rsidR="00D86E74" w:rsidRPr="008F71B6">
        <w:rPr>
          <w:color w:val="4472C4" w:themeColor="accent1"/>
        </w:rPr>
        <w:t xml:space="preserve"> </w:t>
      </w:r>
      <w:r w:rsidR="002A6929" w:rsidRPr="008F71B6">
        <w:rPr>
          <w:rFonts w:eastAsia="Times New Roman" w:cstheme="minorHAnsi"/>
          <w:color w:val="4472C4" w:themeColor="accent1"/>
          <w:lang w:eastAsia="fr-FR"/>
        </w:rPr>
        <w:t>S’agissant du</w:t>
      </w:r>
      <w:r w:rsidR="00BF05B4" w:rsidRPr="008F71B6">
        <w:rPr>
          <w:rFonts w:eastAsia="Times New Roman" w:cstheme="minorHAnsi"/>
          <w:color w:val="4472C4" w:themeColor="accent1"/>
          <w:lang w:eastAsia="fr-FR"/>
        </w:rPr>
        <w:t xml:space="preserve"> registre de recueil de données concernant l’isolement et la contention, </w:t>
      </w:r>
      <w:r w:rsidR="002A6929" w:rsidRPr="008F71B6">
        <w:rPr>
          <w:rFonts w:eastAsia="Times New Roman" w:cstheme="minorHAnsi"/>
          <w:color w:val="4472C4" w:themeColor="accent1"/>
          <w:lang w:eastAsia="fr-FR"/>
        </w:rPr>
        <w:t>les établissements concernés l’ont mis en place, mais les données</w:t>
      </w:r>
      <w:r w:rsidR="00BF05B4" w:rsidRPr="008F71B6">
        <w:rPr>
          <w:rFonts w:eastAsia="Times New Roman" w:cstheme="minorHAnsi"/>
          <w:color w:val="4472C4" w:themeColor="accent1"/>
          <w:lang w:eastAsia="fr-FR"/>
        </w:rPr>
        <w:t xml:space="preserve"> sont difficilement exploitables. Peu d’établissements mettent en œuvre une véritable politique de réduction du recours à l’isolement, ils se limitent à la mise en place</w:t>
      </w:r>
      <w:r w:rsidR="00BF05B4" w:rsidRPr="002A6929">
        <w:rPr>
          <w:rFonts w:eastAsia="Times New Roman" w:cstheme="minorHAnsi"/>
          <w:color w:val="4472C4" w:themeColor="accent1"/>
          <w:lang w:eastAsia="fr-FR"/>
        </w:rPr>
        <w:t xml:space="preserve"> formelle du registre demandé par la loi, dont ils ne tirent aucune analyse.</w:t>
      </w:r>
    </w:p>
    <w:p w14:paraId="6964AB8C" w14:textId="217BD60B" w:rsidR="00BA1064" w:rsidRDefault="0049124E" w:rsidP="00BA1064">
      <w:pPr>
        <w:spacing w:after="200" w:line="276" w:lineRule="auto"/>
        <w:jc w:val="both"/>
        <w:rPr>
          <w:color w:val="4472C4" w:themeColor="accent1"/>
        </w:rPr>
      </w:pPr>
      <w:r>
        <w:rPr>
          <w:rFonts w:eastAsia="Times New Roman" w:cstheme="minorHAnsi"/>
          <w:color w:val="4472C4" w:themeColor="accent1"/>
          <w:lang w:eastAsia="fr-FR"/>
        </w:rPr>
        <w:t>Durant</w:t>
      </w:r>
      <w:r w:rsidR="0016150A">
        <w:rPr>
          <w:rFonts w:eastAsia="Times New Roman" w:cstheme="minorHAnsi"/>
          <w:color w:val="4472C4" w:themeColor="accent1"/>
          <w:lang w:eastAsia="fr-FR"/>
        </w:rPr>
        <w:t xml:space="preserve"> la crise sanitaire de COVID-19,</w:t>
      </w:r>
      <w:r w:rsidR="00BA1064">
        <w:rPr>
          <w:rFonts w:eastAsia="Times New Roman" w:cstheme="minorHAnsi"/>
          <w:color w:val="4472C4" w:themeColor="accent1"/>
          <w:lang w:eastAsia="fr-FR"/>
        </w:rPr>
        <w:t xml:space="preserve"> le</w:t>
      </w:r>
      <w:r w:rsidR="007031B6" w:rsidRPr="007031B6">
        <w:rPr>
          <w:color w:val="4472C4" w:themeColor="accent1"/>
          <w:spacing w:val="-6"/>
        </w:rPr>
        <w:t xml:space="preserve"> </w:t>
      </w:r>
      <w:r w:rsidR="007031B6" w:rsidRPr="007031B6">
        <w:rPr>
          <w:color w:val="4472C4" w:themeColor="accent1"/>
        </w:rPr>
        <w:t>CGLPL</w:t>
      </w:r>
      <w:r w:rsidR="007031B6" w:rsidRPr="007031B6">
        <w:rPr>
          <w:color w:val="4472C4" w:themeColor="accent1"/>
          <w:spacing w:val="-8"/>
        </w:rPr>
        <w:t xml:space="preserve"> </w:t>
      </w:r>
      <w:r w:rsidR="007031B6" w:rsidRPr="007031B6">
        <w:rPr>
          <w:color w:val="4472C4" w:themeColor="accent1"/>
        </w:rPr>
        <w:t>a</w:t>
      </w:r>
      <w:r w:rsidR="007031B6" w:rsidRPr="007031B6">
        <w:rPr>
          <w:color w:val="4472C4" w:themeColor="accent1"/>
          <w:spacing w:val="-5"/>
        </w:rPr>
        <w:t xml:space="preserve"> </w:t>
      </w:r>
      <w:r w:rsidR="007031B6" w:rsidRPr="007031B6">
        <w:rPr>
          <w:color w:val="4472C4" w:themeColor="accent1"/>
        </w:rPr>
        <w:t>été</w:t>
      </w:r>
      <w:r w:rsidR="007031B6" w:rsidRPr="007031B6">
        <w:rPr>
          <w:color w:val="4472C4" w:themeColor="accent1"/>
          <w:spacing w:val="-7"/>
        </w:rPr>
        <w:t xml:space="preserve"> </w:t>
      </w:r>
      <w:r w:rsidR="007031B6" w:rsidRPr="007031B6">
        <w:rPr>
          <w:color w:val="4472C4" w:themeColor="accent1"/>
        </w:rPr>
        <w:t>confronté</w:t>
      </w:r>
      <w:r w:rsidR="007031B6" w:rsidRPr="007031B6">
        <w:rPr>
          <w:color w:val="4472C4" w:themeColor="accent1"/>
          <w:spacing w:val="-6"/>
        </w:rPr>
        <w:t xml:space="preserve"> </w:t>
      </w:r>
      <w:r w:rsidR="007031B6" w:rsidRPr="007031B6">
        <w:rPr>
          <w:color w:val="4472C4" w:themeColor="accent1"/>
        </w:rPr>
        <w:t>à</w:t>
      </w:r>
      <w:r w:rsidR="007031B6" w:rsidRPr="007031B6">
        <w:rPr>
          <w:color w:val="4472C4" w:themeColor="accent1"/>
          <w:spacing w:val="-6"/>
        </w:rPr>
        <w:t xml:space="preserve"> </w:t>
      </w:r>
      <w:r w:rsidR="007031B6" w:rsidRPr="007031B6">
        <w:rPr>
          <w:color w:val="4472C4" w:themeColor="accent1"/>
        </w:rPr>
        <w:t>la</w:t>
      </w:r>
      <w:r w:rsidR="007031B6" w:rsidRPr="007031B6">
        <w:rPr>
          <w:color w:val="4472C4" w:themeColor="accent1"/>
          <w:spacing w:val="-6"/>
        </w:rPr>
        <w:t xml:space="preserve"> </w:t>
      </w:r>
      <w:r w:rsidR="007031B6" w:rsidRPr="007031B6">
        <w:rPr>
          <w:color w:val="4472C4" w:themeColor="accent1"/>
        </w:rPr>
        <w:t>question</w:t>
      </w:r>
      <w:r w:rsidR="007031B6" w:rsidRPr="007031B6">
        <w:rPr>
          <w:color w:val="4472C4" w:themeColor="accent1"/>
          <w:spacing w:val="-9"/>
        </w:rPr>
        <w:t xml:space="preserve"> </w:t>
      </w:r>
      <w:r w:rsidR="007031B6" w:rsidRPr="007031B6">
        <w:rPr>
          <w:color w:val="4472C4" w:themeColor="accent1"/>
        </w:rPr>
        <w:t>de</w:t>
      </w:r>
      <w:r w:rsidR="007031B6" w:rsidRPr="007031B6">
        <w:rPr>
          <w:color w:val="4472C4" w:themeColor="accent1"/>
          <w:spacing w:val="-6"/>
        </w:rPr>
        <w:t xml:space="preserve"> </w:t>
      </w:r>
      <w:r w:rsidR="007031B6" w:rsidRPr="007031B6">
        <w:rPr>
          <w:color w:val="4472C4" w:themeColor="accent1"/>
        </w:rPr>
        <w:t>l’enfermement</w:t>
      </w:r>
      <w:r w:rsidR="007031B6" w:rsidRPr="007031B6">
        <w:rPr>
          <w:color w:val="4472C4" w:themeColor="accent1"/>
          <w:spacing w:val="-7"/>
        </w:rPr>
        <w:t xml:space="preserve"> </w:t>
      </w:r>
      <w:r w:rsidR="007031B6" w:rsidRPr="007031B6">
        <w:rPr>
          <w:color w:val="4472C4" w:themeColor="accent1"/>
        </w:rPr>
        <w:t>abusif de patients pour les contraindre au respect des règles du confinemen</w:t>
      </w:r>
      <w:r w:rsidR="00BA1064">
        <w:rPr>
          <w:color w:val="4472C4" w:themeColor="accent1"/>
        </w:rPr>
        <w:t>t, et ce</w:t>
      </w:r>
      <w:r w:rsidR="007031B6" w:rsidRPr="007031B6">
        <w:rPr>
          <w:color w:val="4472C4" w:themeColor="accent1"/>
        </w:rPr>
        <w:t xml:space="preserve"> quel que soit leur statut d’admission. </w:t>
      </w:r>
      <w:r w:rsidR="00BA1064">
        <w:rPr>
          <w:rFonts w:eastAsia="Times New Roman" w:cstheme="minorHAnsi"/>
          <w:color w:val="4472C4" w:themeColor="accent1"/>
          <w:lang w:eastAsia="fr-FR"/>
        </w:rPr>
        <w:t>Lors d’une visite d’établissement psychiatrique, le CGLPL a</w:t>
      </w:r>
      <w:r w:rsidR="00900A93">
        <w:rPr>
          <w:rFonts w:eastAsia="Times New Roman" w:cstheme="minorHAnsi"/>
          <w:color w:val="4472C4" w:themeColor="accent1"/>
          <w:lang w:eastAsia="fr-FR"/>
        </w:rPr>
        <w:t xml:space="preserve"> notamment</w:t>
      </w:r>
      <w:r w:rsidR="00BA1064">
        <w:rPr>
          <w:rFonts w:eastAsia="Times New Roman" w:cstheme="minorHAnsi"/>
          <w:color w:val="4472C4" w:themeColor="accent1"/>
          <w:lang w:eastAsia="fr-FR"/>
        </w:rPr>
        <w:t xml:space="preserve"> constaté</w:t>
      </w:r>
      <w:r w:rsidR="00BA1064" w:rsidRPr="00BA1064">
        <w:rPr>
          <w:rFonts w:eastAsia="Times New Roman" w:cstheme="minorHAnsi"/>
          <w:color w:val="4472C4" w:themeColor="accent1"/>
          <w:lang w:eastAsia="fr-FR"/>
        </w:rPr>
        <w:t xml:space="preserve"> une confusion absolue entre les notions de </w:t>
      </w:r>
      <w:r w:rsidR="00CA080C" w:rsidRPr="00BA1064">
        <w:rPr>
          <w:rFonts w:eastAsia="Times New Roman" w:cstheme="minorHAnsi"/>
          <w:color w:val="4472C4" w:themeColor="accent1"/>
          <w:lang w:eastAsia="fr-FR"/>
        </w:rPr>
        <w:t>«</w:t>
      </w:r>
      <w:r w:rsidR="00CA080C">
        <w:rPr>
          <w:rFonts w:eastAsia="Times New Roman" w:cstheme="minorHAnsi"/>
          <w:color w:val="4472C4" w:themeColor="accent1"/>
          <w:lang w:eastAsia="fr-FR"/>
        </w:rPr>
        <w:t> </w:t>
      </w:r>
      <w:r w:rsidR="00BA1064" w:rsidRPr="00BA1064">
        <w:rPr>
          <w:rFonts w:eastAsia="Times New Roman" w:cstheme="minorHAnsi"/>
          <w:color w:val="4472C4" w:themeColor="accent1"/>
          <w:lang w:eastAsia="fr-FR"/>
        </w:rPr>
        <w:t xml:space="preserve">confinement </w:t>
      </w:r>
      <w:r w:rsidR="00CA080C" w:rsidRPr="00BA1064">
        <w:rPr>
          <w:rFonts w:eastAsia="Times New Roman" w:cstheme="minorHAnsi"/>
          <w:color w:val="4472C4" w:themeColor="accent1"/>
          <w:lang w:eastAsia="fr-FR"/>
        </w:rPr>
        <w:t>sanitaire</w:t>
      </w:r>
      <w:r w:rsidR="00CA080C">
        <w:rPr>
          <w:rFonts w:eastAsia="Times New Roman" w:cstheme="minorHAnsi"/>
          <w:color w:val="4472C4" w:themeColor="accent1"/>
          <w:lang w:eastAsia="fr-FR"/>
        </w:rPr>
        <w:t> </w:t>
      </w:r>
      <w:r w:rsidR="00BA1064" w:rsidRPr="00BA1064">
        <w:rPr>
          <w:rFonts w:eastAsia="Times New Roman" w:cstheme="minorHAnsi"/>
          <w:color w:val="4472C4" w:themeColor="accent1"/>
          <w:lang w:eastAsia="fr-FR"/>
        </w:rPr>
        <w:t>» et d’«</w:t>
      </w:r>
      <w:r w:rsidR="00E801D5">
        <w:rPr>
          <w:rFonts w:eastAsia="Times New Roman" w:cstheme="minorHAnsi"/>
          <w:color w:val="4472C4" w:themeColor="accent1"/>
          <w:lang w:eastAsia="fr-FR"/>
        </w:rPr>
        <w:t xml:space="preserve"> </w:t>
      </w:r>
      <w:r w:rsidR="00BA1064" w:rsidRPr="00BA1064">
        <w:rPr>
          <w:rFonts w:eastAsia="Times New Roman" w:cstheme="minorHAnsi"/>
          <w:color w:val="4472C4" w:themeColor="accent1"/>
          <w:lang w:eastAsia="fr-FR"/>
        </w:rPr>
        <w:t>isolement psychiatrique</w:t>
      </w:r>
      <w:r w:rsidR="00CA080C">
        <w:rPr>
          <w:rFonts w:eastAsia="Times New Roman" w:cstheme="minorHAnsi"/>
          <w:color w:val="4472C4" w:themeColor="accent1"/>
          <w:lang w:eastAsia="fr-FR"/>
        </w:rPr>
        <w:t> </w:t>
      </w:r>
      <w:r w:rsidR="00BA1064" w:rsidRPr="00BA1064">
        <w:rPr>
          <w:rFonts w:eastAsia="Times New Roman" w:cstheme="minorHAnsi"/>
          <w:color w:val="4472C4" w:themeColor="accent1"/>
          <w:lang w:eastAsia="fr-FR"/>
        </w:rPr>
        <w:t xml:space="preserve">». Des patients ont été enfermés à clé </w:t>
      </w:r>
      <w:r w:rsidR="008B491E">
        <w:rPr>
          <w:rFonts w:eastAsia="Times New Roman" w:cstheme="minorHAnsi"/>
          <w:color w:val="4472C4" w:themeColor="accent1"/>
          <w:lang w:eastAsia="fr-FR"/>
        </w:rPr>
        <w:t xml:space="preserve">dans leurs chambres </w:t>
      </w:r>
      <w:r w:rsidR="00BA1064" w:rsidRPr="00BA1064">
        <w:rPr>
          <w:rFonts w:eastAsia="Times New Roman" w:cstheme="minorHAnsi"/>
          <w:color w:val="4472C4" w:themeColor="accent1"/>
          <w:lang w:eastAsia="fr-FR"/>
        </w:rPr>
        <w:t>24</w:t>
      </w:r>
      <w:r w:rsidR="00CA080C">
        <w:rPr>
          <w:rFonts w:eastAsia="Times New Roman" w:cstheme="minorHAnsi"/>
          <w:color w:val="4472C4" w:themeColor="accent1"/>
          <w:lang w:eastAsia="fr-FR"/>
        </w:rPr>
        <w:t> </w:t>
      </w:r>
      <w:r w:rsidR="00BA1064" w:rsidRPr="00BA1064">
        <w:rPr>
          <w:rFonts w:eastAsia="Times New Roman" w:cstheme="minorHAnsi"/>
          <w:color w:val="4472C4" w:themeColor="accent1"/>
          <w:lang w:eastAsia="fr-FR"/>
        </w:rPr>
        <w:t>h sur 24 sans que leur état clinique psychiatrique le justifie, sans décision médicale écrite émanant d’un psychiatre ni traçabilité et, au surplus, dans des espaces dangereux car non aménagés à cet effet. Ces patients ont été enfermés sur décision d</w:t>
      </w:r>
      <w:r w:rsidR="008B491E">
        <w:rPr>
          <w:rFonts w:eastAsia="Times New Roman" w:cstheme="minorHAnsi"/>
          <w:color w:val="4472C4" w:themeColor="accent1"/>
          <w:lang w:eastAsia="fr-FR"/>
        </w:rPr>
        <w:t>’</w:t>
      </w:r>
      <w:r w:rsidR="00BA1064" w:rsidRPr="00BA1064">
        <w:rPr>
          <w:rFonts w:eastAsia="Times New Roman" w:cstheme="minorHAnsi"/>
          <w:color w:val="4472C4" w:themeColor="accent1"/>
          <w:lang w:eastAsia="fr-FR"/>
        </w:rPr>
        <w:t>u</w:t>
      </w:r>
      <w:r w:rsidR="008B491E">
        <w:rPr>
          <w:rFonts w:eastAsia="Times New Roman" w:cstheme="minorHAnsi"/>
          <w:color w:val="4472C4" w:themeColor="accent1"/>
          <w:lang w:eastAsia="fr-FR"/>
        </w:rPr>
        <w:t>n</w:t>
      </w:r>
      <w:r w:rsidR="00BA1064" w:rsidRPr="00BA1064">
        <w:rPr>
          <w:rFonts w:eastAsia="Times New Roman" w:cstheme="minorHAnsi"/>
          <w:color w:val="4472C4" w:themeColor="accent1"/>
          <w:lang w:eastAsia="fr-FR"/>
        </w:rPr>
        <w:t xml:space="preserve"> médecin généraliste, prise sur le fondement de la circulaire</w:t>
      </w:r>
      <w:r w:rsidR="00CA080C">
        <w:rPr>
          <w:rFonts w:eastAsia="Times New Roman" w:cstheme="minorHAnsi"/>
          <w:color w:val="4472C4" w:themeColor="accent1"/>
          <w:lang w:eastAsia="fr-FR"/>
        </w:rPr>
        <w:t>,</w:t>
      </w:r>
      <w:r w:rsidR="00E801D5">
        <w:rPr>
          <w:rFonts w:eastAsia="Times New Roman" w:cstheme="minorHAnsi"/>
          <w:color w:val="4472C4" w:themeColor="accent1"/>
          <w:lang w:eastAsia="fr-FR"/>
        </w:rPr>
        <w:t xml:space="preserve"> </w:t>
      </w:r>
      <w:r w:rsidR="00CA080C">
        <w:rPr>
          <w:rFonts w:eastAsia="Times New Roman" w:cstheme="minorHAnsi"/>
          <w:color w:val="4472C4" w:themeColor="accent1"/>
          <w:lang w:eastAsia="fr-FR"/>
        </w:rPr>
        <w:t xml:space="preserve">N°99 du ministre de la </w:t>
      </w:r>
      <w:r w:rsidR="008F71B6">
        <w:rPr>
          <w:rFonts w:eastAsia="Times New Roman" w:cstheme="minorHAnsi"/>
          <w:color w:val="4472C4" w:themeColor="accent1"/>
          <w:lang w:eastAsia="fr-FR"/>
        </w:rPr>
        <w:t>Santé</w:t>
      </w:r>
      <w:r w:rsidR="00BA1064" w:rsidRPr="00BA1064">
        <w:rPr>
          <w:rFonts w:eastAsia="Times New Roman" w:cstheme="minorHAnsi"/>
          <w:color w:val="4472C4" w:themeColor="accent1"/>
          <w:lang w:eastAsia="fr-FR"/>
        </w:rPr>
        <w:t xml:space="preserve"> du 9 mai 2020. Pourtant, le confinement strict en chambre fermée à clé n’est pas mentionné dans cette circulaire, mais les praticiens l’ont décidé en lui donnant un caractère</w:t>
      </w:r>
      <w:r w:rsidR="00BA1064">
        <w:rPr>
          <w:rFonts w:eastAsia="Times New Roman" w:cstheme="minorHAnsi"/>
          <w:color w:val="4472C4" w:themeColor="accent1"/>
          <w:lang w:eastAsia="fr-FR"/>
        </w:rPr>
        <w:t xml:space="preserve"> </w:t>
      </w:r>
      <w:r w:rsidR="00BA1064" w:rsidRPr="00BA1064">
        <w:rPr>
          <w:rFonts w:eastAsia="Times New Roman" w:cstheme="minorHAnsi"/>
          <w:color w:val="4472C4" w:themeColor="accent1"/>
          <w:lang w:eastAsia="fr-FR"/>
        </w:rPr>
        <w:t>systématique, prétendant que les patients de psychiatrie ne seraient pas à même de comprendre et de respecter les gestes barrière.</w:t>
      </w:r>
      <w:r w:rsidR="0016150A">
        <w:rPr>
          <w:rFonts w:eastAsia="Times New Roman" w:cstheme="minorHAnsi"/>
          <w:color w:val="4472C4" w:themeColor="accent1"/>
          <w:lang w:eastAsia="fr-FR"/>
        </w:rPr>
        <w:t xml:space="preserve"> </w:t>
      </w:r>
      <w:r w:rsidR="00BA1064" w:rsidRPr="007031B6">
        <w:rPr>
          <w:color w:val="4472C4" w:themeColor="accent1"/>
        </w:rPr>
        <w:t>Le CGLPL a condamné cette pratique, en ce qu’elle constitue un détournement de procédure portant atteinte</w:t>
      </w:r>
      <w:r w:rsidR="00CA080C">
        <w:rPr>
          <w:color w:val="4472C4" w:themeColor="accent1"/>
        </w:rPr>
        <w:t xml:space="preserve"> de manière disproportionnée</w:t>
      </w:r>
      <w:r w:rsidR="00BA1064" w:rsidRPr="007031B6">
        <w:rPr>
          <w:color w:val="4472C4" w:themeColor="accent1"/>
        </w:rPr>
        <w:t xml:space="preserve"> aux droits. Le constat effectué a, du reste, conduit à la formulation de recommandations en urgence</w:t>
      </w:r>
      <w:r w:rsidR="00900A93">
        <w:rPr>
          <w:color w:val="4472C4" w:themeColor="accent1"/>
        </w:rPr>
        <w:t xml:space="preserve"> dont s’est saisi l’établissement </w:t>
      </w:r>
      <w:r w:rsidR="005E7BCE">
        <w:rPr>
          <w:color w:val="4472C4" w:themeColor="accent1"/>
        </w:rPr>
        <w:t xml:space="preserve">concerné, </w:t>
      </w:r>
      <w:r w:rsidR="00900A93">
        <w:rPr>
          <w:color w:val="4472C4" w:themeColor="accent1"/>
        </w:rPr>
        <w:t>qui a mis fin à cette pratique. </w:t>
      </w:r>
    </w:p>
    <w:p w14:paraId="408E2364" w14:textId="3BEF2C49" w:rsidR="002038C4" w:rsidRPr="002038C4" w:rsidRDefault="002038C4" w:rsidP="002038C4">
      <w:pPr>
        <w:spacing w:after="200" w:line="276" w:lineRule="auto"/>
        <w:jc w:val="both"/>
        <w:rPr>
          <w:rFonts w:eastAsia="Times New Roman" w:cstheme="minorHAnsi"/>
          <w:color w:val="4472C4" w:themeColor="accent1"/>
          <w:lang w:eastAsia="fr-FR"/>
        </w:rPr>
      </w:pPr>
      <w:r>
        <w:rPr>
          <w:rFonts w:eastAsia="Times New Roman" w:cstheme="minorHAnsi"/>
          <w:color w:val="4472C4" w:themeColor="accent1"/>
          <w:lang w:eastAsia="fr-FR"/>
        </w:rPr>
        <w:t>Enfin,</w:t>
      </w:r>
      <w:r w:rsidR="00CA080C">
        <w:rPr>
          <w:rFonts w:eastAsia="Times New Roman" w:cstheme="minorHAnsi"/>
          <w:color w:val="4472C4" w:themeColor="accent1"/>
          <w:lang w:eastAsia="fr-FR"/>
        </w:rPr>
        <w:t xml:space="preserve"> l</w:t>
      </w:r>
      <w:r w:rsidRPr="002038C4">
        <w:rPr>
          <w:rFonts w:eastAsia="Times New Roman" w:cstheme="minorHAnsi"/>
          <w:color w:val="4472C4" w:themeColor="accent1"/>
          <w:lang w:eastAsia="fr-FR"/>
        </w:rPr>
        <w:t>orsqu’elles sont hospitalisées dans l’hôpital psychiatrique de rattachement de l’établissement pénitentiaire, les personnes détenues sont trop systématiquement placées en chambre d’isolement</w:t>
      </w:r>
      <w:r w:rsidR="00797B04">
        <w:rPr>
          <w:rFonts w:eastAsia="Times New Roman" w:cstheme="minorHAnsi"/>
          <w:color w:val="4472C4" w:themeColor="accent1"/>
          <w:lang w:eastAsia="fr-FR"/>
        </w:rPr>
        <w:t>, mesure</w:t>
      </w:r>
      <w:r w:rsidRPr="002038C4">
        <w:rPr>
          <w:rFonts w:eastAsia="Times New Roman" w:cstheme="minorHAnsi"/>
          <w:color w:val="4472C4" w:themeColor="accent1"/>
          <w:lang w:eastAsia="fr-FR"/>
        </w:rPr>
        <w:t xml:space="preserve"> </w:t>
      </w:r>
      <w:r w:rsidR="002F5ED3">
        <w:rPr>
          <w:rFonts w:eastAsia="Times New Roman" w:cstheme="minorHAnsi"/>
          <w:color w:val="4472C4" w:themeColor="accent1"/>
          <w:lang w:eastAsia="fr-FR"/>
        </w:rPr>
        <w:t xml:space="preserve">parfois </w:t>
      </w:r>
      <w:r w:rsidR="00797B04">
        <w:rPr>
          <w:rFonts w:eastAsia="Times New Roman" w:cstheme="minorHAnsi"/>
          <w:color w:val="4472C4" w:themeColor="accent1"/>
          <w:lang w:eastAsia="fr-FR"/>
        </w:rPr>
        <w:t>aggravée</w:t>
      </w:r>
      <w:r w:rsidR="00CA080C">
        <w:rPr>
          <w:rFonts w:eastAsia="Times New Roman" w:cstheme="minorHAnsi"/>
          <w:color w:val="4472C4" w:themeColor="accent1"/>
          <w:lang w:eastAsia="fr-FR"/>
        </w:rPr>
        <w:t xml:space="preserve"> par</w:t>
      </w:r>
      <w:r w:rsidR="002F5ED3">
        <w:rPr>
          <w:rFonts w:eastAsia="Times New Roman" w:cstheme="minorHAnsi"/>
          <w:color w:val="4472C4" w:themeColor="accent1"/>
          <w:lang w:eastAsia="fr-FR"/>
        </w:rPr>
        <w:t xml:space="preserve"> l’usage de moyens de </w:t>
      </w:r>
      <w:r w:rsidRPr="002038C4">
        <w:rPr>
          <w:rFonts w:eastAsia="Times New Roman" w:cstheme="minorHAnsi"/>
          <w:color w:val="4472C4" w:themeColor="accent1"/>
          <w:lang w:eastAsia="fr-FR"/>
        </w:rPr>
        <w:t>contention</w:t>
      </w:r>
      <w:r w:rsidR="002F5ED3">
        <w:rPr>
          <w:rFonts w:eastAsia="Times New Roman" w:cstheme="minorHAnsi"/>
          <w:color w:val="4472C4" w:themeColor="accent1"/>
          <w:lang w:eastAsia="fr-FR"/>
        </w:rPr>
        <w:t xml:space="preserve"> mécanique. En effet, le</w:t>
      </w:r>
      <w:r>
        <w:rPr>
          <w:rFonts w:eastAsia="Times New Roman" w:cstheme="minorHAnsi"/>
          <w:color w:val="4472C4" w:themeColor="accent1"/>
          <w:lang w:eastAsia="fr-FR"/>
        </w:rPr>
        <w:t xml:space="preserve"> </w:t>
      </w:r>
      <w:r w:rsidRPr="002038C4">
        <w:rPr>
          <w:rFonts w:eastAsia="Times New Roman" w:cstheme="minorHAnsi"/>
          <w:color w:val="4472C4" w:themeColor="accent1"/>
          <w:lang w:eastAsia="fr-FR"/>
        </w:rPr>
        <w:t xml:space="preserve">personnel </w:t>
      </w:r>
      <w:r>
        <w:rPr>
          <w:rFonts w:eastAsia="Times New Roman" w:cstheme="minorHAnsi"/>
          <w:color w:val="4472C4" w:themeColor="accent1"/>
          <w:lang w:eastAsia="fr-FR"/>
        </w:rPr>
        <w:t xml:space="preserve">hospitalier </w:t>
      </w:r>
      <w:r w:rsidRPr="002038C4">
        <w:rPr>
          <w:rFonts w:eastAsia="Times New Roman" w:cstheme="minorHAnsi"/>
          <w:color w:val="4472C4" w:themeColor="accent1"/>
          <w:lang w:eastAsia="fr-FR"/>
        </w:rPr>
        <w:t xml:space="preserve">fait peser sur elles une présomption de dangerosité et de risque de fugue. Ce régime ne tient pas compte de l’état clinique du patient mais est uniquement </w:t>
      </w:r>
      <w:r w:rsidR="00797B04" w:rsidRPr="002038C4">
        <w:rPr>
          <w:rFonts w:eastAsia="Times New Roman" w:cstheme="minorHAnsi"/>
          <w:color w:val="4472C4" w:themeColor="accent1"/>
          <w:lang w:eastAsia="fr-FR"/>
        </w:rPr>
        <w:t xml:space="preserve">basé </w:t>
      </w:r>
      <w:r w:rsidRPr="002038C4">
        <w:rPr>
          <w:rFonts w:eastAsia="Times New Roman" w:cstheme="minorHAnsi"/>
          <w:color w:val="4472C4" w:themeColor="accent1"/>
          <w:lang w:eastAsia="fr-FR"/>
        </w:rPr>
        <w:t xml:space="preserve">sur des considérations sécuritaires liées </w:t>
      </w:r>
      <w:r w:rsidR="00797B04">
        <w:rPr>
          <w:rFonts w:eastAsia="Times New Roman" w:cstheme="minorHAnsi"/>
          <w:color w:val="4472C4" w:themeColor="accent1"/>
          <w:lang w:eastAsia="fr-FR"/>
        </w:rPr>
        <w:t>à son</w:t>
      </w:r>
      <w:r w:rsidRPr="002038C4">
        <w:rPr>
          <w:rFonts w:eastAsia="Times New Roman" w:cstheme="minorHAnsi"/>
          <w:color w:val="4472C4" w:themeColor="accent1"/>
          <w:lang w:eastAsia="fr-FR"/>
        </w:rPr>
        <w:t xml:space="preserve"> statut </w:t>
      </w:r>
      <w:r>
        <w:rPr>
          <w:rFonts w:eastAsia="Times New Roman" w:cstheme="minorHAnsi"/>
          <w:color w:val="4472C4" w:themeColor="accent1"/>
          <w:lang w:eastAsia="fr-FR"/>
        </w:rPr>
        <w:t>pénal</w:t>
      </w:r>
      <w:r w:rsidRPr="002038C4">
        <w:rPr>
          <w:rFonts w:eastAsia="Times New Roman" w:cstheme="minorHAnsi"/>
          <w:color w:val="4472C4" w:themeColor="accent1"/>
          <w:lang w:eastAsia="fr-FR"/>
        </w:rPr>
        <w:t xml:space="preserve">. Dans ce cas, </w:t>
      </w:r>
      <w:r w:rsidR="00700F0E">
        <w:rPr>
          <w:rFonts w:eastAsia="Times New Roman" w:cstheme="minorHAnsi"/>
          <w:color w:val="4472C4" w:themeColor="accent1"/>
          <w:lang w:eastAsia="fr-FR"/>
        </w:rPr>
        <w:t xml:space="preserve">la personne détenue ne </w:t>
      </w:r>
      <w:r w:rsidRPr="002038C4">
        <w:rPr>
          <w:rFonts w:eastAsia="Times New Roman" w:cstheme="minorHAnsi"/>
          <w:color w:val="4472C4" w:themeColor="accent1"/>
          <w:lang w:eastAsia="fr-FR"/>
        </w:rPr>
        <w:t xml:space="preserve">participe pas à la vie de l’unité et le régime de l’isolement est particulièrement attentatoire à ses droits </w:t>
      </w:r>
      <w:r w:rsidR="00797B04" w:rsidRPr="002038C4">
        <w:rPr>
          <w:rFonts w:eastAsia="Times New Roman" w:cstheme="minorHAnsi"/>
          <w:color w:val="4472C4" w:themeColor="accent1"/>
          <w:lang w:eastAsia="fr-FR"/>
        </w:rPr>
        <w:t>fondamentaux</w:t>
      </w:r>
      <w:r w:rsidR="00797B04">
        <w:rPr>
          <w:rFonts w:eastAsia="Times New Roman" w:cstheme="minorHAnsi"/>
          <w:color w:val="4472C4" w:themeColor="accent1"/>
          <w:lang w:eastAsia="fr-FR"/>
        </w:rPr>
        <w:t> </w:t>
      </w:r>
      <w:r w:rsidRPr="002038C4">
        <w:rPr>
          <w:rFonts w:eastAsia="Times New Roman" w:cstheme="minorHAnsi"/>
          <w:color w:val="4472C4" w:themeColor="accent1"/>
          <w:lang w:eastAsia="fr-FR"/>
        </w:rPr>
        <w:t>: absence d’accès à l’air libre, au tabac, aux activités, aux liens familiaux (visites, téléphone</w:t>
      </w:r>
      <w:r w:rsidR="00700F0E">
        <w:rPr>
          <w:rFonts w:eastAsia="Times New Roman" w:cstheme="minorHAnsi"/>
          <w:color w:val="4472C4" w:themeColor="accent1"/>
          <w:lang w:eastAsia="fr-FR"/>
        </w:rPr>
        <w:t>)</w:t>
      </w:r>
      <w:r w:rsidR="00797B04">
        <w:rPr>
          <w:rFonts w:eastAsia="Times New Roman" w:cstheme="minorHAnsi"/>
          <w:color w:val="4472C4" w:themeColor="accent1"/>
          <w:lang w:eastAsia="fr-FR"/>
        </w:rPr>
        <w:t>, mais surtout elle ne bénéficie pas du même accès aux soins, notamment aux activités thérapeutiques, que les autres patients placés dans la même situation</w:t>
      </w:r>
      <w:r w:rsidRPr="002038C4">
        <w:rPr>
          <w:rFonts w:eastAsia="Times New Roman" w:cstheme="minorHAnsi"/>
          <w:color w:val="4472C4" w:themeColor="accent1"/>
          <w:lang w:eastAsia="fr-FR"/>
        </w:rPr>
        <w:t xml:space="preserve">. </w:t>
      </w:r>
      <w:r w:rsidR="00700F0E">
        <w:rPr>
          <w:rFonts w:eastAsia="Times New Roman" w:cstheme="minorHAnsi"/>
          <w:color w:val="4472C4" w:themeColor="accent1"/>
          <w:lang w:eastAsia="fr-FR"/>
        </w:rPr>
        <w:t>Dans ces conditions, nombre d’entre elles demandent rapidement à retourner en prison eu égard à ces conditions d’hospitalisation.</w:t>
      </w:r>
    </w:p>
    <w:p w14:paraId="2B3A9289" w14:textId="77777777" w:rsidR="002038C4" w:rsidRPr="002038C4" w:rsidRDefault="002038C4" w:rsidP="00BA1064">
      <w:pPr>
        <w:spacing w:after="200" w:line="276" w:lineRule="auto"/>
        <w:jc w:val="both"/>
        <w:rPr>
          <w:rFonts w:eastAsia="Times New Roman" w:cstheme="minorHAnsi"/>
          <w:color w:val="4472C4" w:themeColor="accent1"/>
          <w:lang w:eastAsia="fr-FR"/>
        </w:rPr>
      </w:pPr>
    </w:p>
    <w:p w14:paraId="49508ED3" w14:textId="410AEF89" w:rsidR="002939E8" w:rsidRPr="008F71B6" w:rsidRDefault="002939E8" w:rsidP="002939E8">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8F71B6">
        <w:rPr>
          <w:rFonts w:eastAsia="Times New Roman" w:cstheme="minorHAnsi"/>
          <w:b/>
          <w:iCs/>
          <w:lang w:eastAsia="fr-FR"/>
        </w:rPr>
        <w:t>Recommandation</w:t>
      </w:r>
      <w:r w:rsidR="00F55EE9" w:rsidRPr="008F71B6">
        <w:rPr>
          <w:rFonts w:eastAsia="Times New Roman" w:cstheme="minorHAnsi"/>
          <w:b/>
          <w:iCs/>
          <w:lang w:eastAsia="fr-FR"/>
        </w:rPr>
        <w:t>s :</w:t>
      </w:r>
    </w:p>
    <w:p w14:paraId="43088248" w14:textId="00E10552" w:rsidR="002A6929" w:rsidRDefault="002A6929" w:rsidP="002939E8">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8F71B6">
        <w:rPr>
          <w:rFonts w:eastAsia="Times New Roman" w:cstheme="minorHAnsi"/>
          <w:b/>
          <w:iCs/>
          <w:lang w:eastAsia="fr-FR"/>
        </w:rPr>
        <w:t xml:space="preserve">L’insuffisance des garanties entourant le </w:t>
      </w:r>
      <w:r w:rsidR="00237FD9" w:rsidRPr="008F71B6">
        <w:rPr>
          <w:rFonts w:eastAsia="Times New Roman" w:cstheme="minorHAnsi"/>
          <w:b/>
          <w:iCs/>
          <w:lang w:eastAsia="fr-FR"/>
        </w:rPr>
        <w:t>recours aux pratiques d’isolement et de contention doit</w:t>
      </w:r>
      <w:r w:rsidRPr="008F71B6">
        <w:rPr>
          <w:rFonts w:eastAsia="Times New Roman" w:cstheme="minorHAnsi"/>
          <w:b/>
          <w:iCs/>
          <w:lang w:eastAsia="fr-FR"/>
        </w:rPr>
        <w:t xml:space="preserve"> être </w:t>
      </w:r>
      <w:r w:rsidR="00237FD9" w:rsidRPr="008F71B6">
        <w:rPr>
          <w:rFonts w:eastAsia="Times New Roman" w:cstheme="minorHAnsi"/>
          <w:b/>
          <w:iCs/>
          <w:lang w:eastAsia="fr-FR"/>
        </w:rPr>
        <w:t>palliée par une véritable réforme législative, qui doit combler les vides juridiques actuels sans avoir pour effet une augmentation du recours aux soins sans consentement.</w:t>
      </w:r>
    </w:p>
    <w:p w14:paraId="43CE9102" w14:textId="1647294F" w:rsidR="00F55EE9" w:rsidRPr="006E2B6E" w:rsidRDefault="00F55EE9" w:rsidP="002939E8">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113A85">
        <w:rPr>
          <w:rFonts w:eastAsia="Times New Roman" w:cstheme="minorHAnsi"/>
          <w:b/>
          <w:iCs/>
          <w:lang w:eastAsia="fr-FR"/>
        </w:rPr>
        <w:t>Le ministre chargé de la santé doit produire une circulaire qui précise les données devant figurer dans le registre d'isolement et les modalités de leur enregistrement qui en garantissent la pertinence pour l'analyse de pratiques.</w:t>
      </w:r>
    </w:p>
    <w:p w14:paraId="7F9EED3A" w14:textId="669DC9D3" w:rsidR="002939E8" w:rsidRPr="006E2B6E" w:rsidRDefault="00F55EE9" w:rsidP="00F55EE9">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6E2B6E">
        <w:rPr>
          <w:rFonts w:eastAsia="Times New Roman" w:cstheme="minorHAnsi"/>
          <w:b/>
          <w:iCs/>
          <w:lang w:eastAsia="fr-FR"/>
        </w:rPr>
        <w:t>Un observatoire national des pratiques d'isolement et de contention doit être mis en place. Les données des registres d'isolement doivent lui être régulièrement communiquées.</w:t>
      </w:r>
    </w:p>
    <w:p w14:paraId="78210207" w14:textId="48E910DF" w:rsidR="00700F0E" w:rsidRDefault="00F55EE9" w:rsidP="00111E1A">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6E2B6E">
        <w:rPr>
          <w:rFonts w:eastAsia="Times New Roman" w:cstheme="minorHAnsi"/>
          <w:b/>
          <w:iCs/>
          <w:lang w:eastAsia="fr-FR"/>
        </w:rPr>
        <w:t>L'isolement d'un enfant ou d'un adolescent doit être évité par tout moyen ; cette pratique ne doit en aucun cas pallier l'absence de structure d'accueil adaptée à son âge.</w:t>
      </w:r>
    </w:p>
    <w:p w14:paraId="2884BB5C" w14:textId="01B5BF06" w:rsidR="00426DA0" w:rsidRPr="00121D45" w:rsidRDefault="00700F0E" w:rsidP="00121D45">
      <w:pPr>
        <w:pBdr>
          <w:top w:val="single" w:sz="4" w:space="1" w:color="auto"/>
          <w:left w:val="single" w:sz="4" w:space="4" w:color="auto"/>
          <w:bottom w:val="single" w:sz="4" w:space="1" w:color="auto"/>
          <w:right w:val="single" w:sz="4" w:space="4" w:color="auto"/>
        </w:pBdr>
        <w:jc w:val="both"/>
        <w:rPr>
          <w:rFonts w:eastAsia="Times New Roman" w:cstheme="minorHAnsi"/>
          <w:b/>
          <w:iCs/>
          <w:lang w:eastAsia="fr-FR"/>
        </w:rPr>
      </w:pPr>
      <w:r w:rsidRPr="00700F0E">
        <w:rPr>
          <w:rFonts w:eastAsia="Times New Roman" w:cstheme="minorHAnsi"/>
          <w:b/>
          <w:iCs/>
          <w:lang w:eastAsia="fr-FR"/>
        </w:rPr>
        <w:t>L'hospitalisation de personnes détenues en service de psychiatrie générale ne doit en aucun cas s'accompagner de la violation des droits fondamentaux du fait de leur statut pénal. Seul leur état clinique doit être pris en considération par le personnel médical et soignant</w:t>
      </w:r>
      <w:r w:rsidR="00797B04">
        <w:rPr>
          <w:rFonts w:eastAsia="Times New Roman" w:cstheme="minorHAnsi"/>
          <w:b/>
          <w:iCs/>
          <w:lang w:eastAsia="fr-FR"/>
        </w:rPr>
        <w:t xml:space="preserve"> et le principe d’égal accès aux so</w:t>
      </w:r>
      <w:r w:rsidR="008B491E">
        <w:rPr>
          <w:rFonts w:eastAsia="Times New Roman" w:cstheme="minorHAnsi"/>
          <w:b/>
          <w:iCs/>
          <w:lang w:eastAsia="fr-FR"/>
        </w:rPr>
        <w:t>i</w:t>
      </w:r>
      <w:r w:rsidR="00797B04">
        <w:rPr>
          <w:rFonts w:eastAsia="Times New Roman" w:cstheme="minorHAnsi"/>
          <w:b/>
          <w:iCs/>
          <w:lang w:eastAsia="fr-FR"/>
        </w:rPr>
        <w:t>ns doit être respecté</w:t>
      </w:r>
      <w:r w:rsidRPr="00700F0E">
        <w:rPr>
          <w:rFonts w:eastAsia="Times New Roman" w:cstheme="minorHAnsi"/>
          <w:b/>
          <w:iCs/>
          <w:lang w:eastAsia="fr-FR"/>
        </w:rPr>
        <w:t>.</w:t>
      </w:r>
    </w:p>
    <w:p w14:paraId="55198A26" w14:textId="77777777" w:rsidR="00121D45" w:rsidRDefault="00121D45" w:rsidP="00797AB5">
      <w:pPr>
        <w:jc w:val="both"/>
        <w:rPr>
          <w:i/>
          <w:iCs/>
        </w:rPr>
      </w:pPr>
    </w:p>
    <w:p w14:paraId="3548B783" w14:textId="38A8E215" w:rsidR="00700F0E" w:rsidRPr="00700F0E" w:rsidRDefault="00700F0E" w:rsidP="00797AB5">
      <w:pPr>
        <w:jc w:val="both"/>
        <w:rPr>
          <w:b/>
          <w:bCs/>
        </w:rPr>
      </w:pPr>
      <w:r w:rsidRPr="00700F0E">
        <w:rPr>
          <w:rFonts w:eastAsia="Times New Roman" w:cstheme="minorHAnsi"/>
          <w:b/>
          <w:iCs/>
          <w:lang w:eastAsia="fr-FR"/>
        </w:rPr>
        <w:t xml:space="preserve">Le </w:t>
      </w:r>
      <w:r>
        <w:rPr>
          <w:rFonts w:eastAsia="Times New Roman" w:cstheme="minorHAnsi"/>
          <w:b/>
          <w:iCs/>
          <w:lang w:eastAsia="fr-FR"/>
        </w:rPr>
        <w:t>C</w:t>
      </w:r>
      <w:r w:rsidRPr="00700F0E">
        <w:rPr>
          <w:rFonts w:eastAsia="Times New Roman" w:cstheme="minorHAnsi"/>
          <w:b/>
          <w:iCs/>
          <w:lang w:eastAsia="fr-FR"/>
        </w:rPr>
        <w:t>omité demande comment est garanti le droit de faire appel des décisions relatives</w:t>
      </w:r>
      <w:r w:rsidRPr="0049124E">
        <w:rPr>
          <w:b/>
          <w:bCs/>
        </w:rPr>
        <w:t xml:space="preserve"> à la privation de liberté de personnes handicapées, y compris les migrants et les enfants handicapés</w:t>
      </w:r>
      <w:r>
        <w:rPr>
          <w:b/>
          <w:bCs/>
        </w:rPr>
        <w:t xml:space="preserve"> (§ 13c)</w:t>
      </w:r>
      <w:r w:rsidRPr="0049124E">
        <w:rPr>
          <w:b/>
          <w:bCs/>
        </w:rPr>
        <w:t xml:space="preserve">. </w:t>
      </w:r>
    </w:p>
    <w:p w14:paraId="71425C7E" w14:textId="052D48A6" w:rsidR="003341CF" w:rsidRPr="00A40C5A" w:rsidRDefault="00797AB5" w:rsidP="00797AB5">
      <w:pPr>
        <w:jc w:val="both"/>
        <w:rPr>
          <w:i/>
          <w:iCs/>
        </w:rPr>
      </w:pPr>
      <w:r w:rsidRPr="00A40C5A">
        <w:rPr>
          <w:i/>
          <w:iCs/>
        </w:rPr>
        <w:t>Dans sa réponse, la France met en avant la possibilité aux personne hospitalisée en soins sans consentement de saisir à tout moment le juge des libertés et de la détention afin qu’il ordonne la mainlevée immédiate de la mesure. Dans les procédures pénales, l’appel est ouvert à tous, et dans les établissements pénitentiaires disposent de points d’accès aux droits permettant aux détenus de connaître gratuitement leurs droits et de répondre à leurs questions d’ordre personnel et de nature juridique. Les étrangers handicapés en situation irrégulière disposent des mêmes recours que les autres (§100 à 104).</w:t>
      </w:r>
    </w:p>
    <w:p w14:paraId="59054D17" w14:textId="5DCD72EC" w:rsidR="003341CF" w:rsidRPr="00613C97" w:rsidRDefault="003341CF" w:rsidP="00A13AE9">
      <w:pPr>
        <w:jc w:val="both"/>
        <w:rPr>
          <w:color w:val="4472C4" w:themeColor="accent1"/>
          <w:lang w:eastAsia="fr-FR"/>
        </w:rPr>
      </w:pPr>
      <w:r w:rsidRPr="00613C97">
        <w:rPr>
          <w:color w:val="4472C4" w:themeColor="accent1"/>
          <w:lang w:eastAsia="fr-FR"/>
        </w:rPr>
        <w:t xml:space="preserve">S’agissant des enfants hospitalisés en psychiatrie, ils peuvent être hospitalisés </w:t>
      </w:r>
      <w:r w:rsidR="00797B04">
        <w:rPr>
          <w:color w:val="4472C4" w:themeColor="accent1"/>
          <w:lang w:eastAsia="fr-FR"/>
        </w:rPr>
        <w:t xml:space="preserve">soit </w:t>
      </w:r>
      <w:r w:rsidRPr="00613C97">
        <w:rPr>
          <w:color w:val="4472C4" w:themeColor="accent1"/>
          <w:lang w:eastAsia="fr-FR"/>
        </w:rPr>
        <w:t xml:space="preserve">en soins libres (à la demande de leurs parents), soit par un magistrat dans le cadre d’une ordonnance de placement provisoire (OPP). </w:t>
      </w:r>
      <w:r w:rsidR="008B491E">
        <w:rPr>
          <w:color w:val="4472C4" w:themeColor="accent1"/>
          <w:lang w:eastAsia="fr-FR"/>
        </w:rPr>
        <w:t xml:space="preserve">Ils peuvent par ailleurs être placés en soins sans consentement à la demande d’un représentant de l’Etat. </w:t>
      </w:r>
      <w:r w:rsidR="00797B04">
        <w:rPr>
          <w:color w:val="4472C4" w:themeColor="accent1"/>
          <w:lang w:eastAsia="fr-FR"/>
        </w:rPr>
        <w:t xml:space="preserve">Leur placement sous le régime des soins sans </w:t>
      </w:r>
      <w:r w:rsidR="00856F56">
        <w:rPr>
          <w:color w:val="4472C4" w:themeColor="accent1"/>
          <w:lang w:eastAsia="fr-FR"/>
        </w:rPr>
        <w:t>consentement</w:t>
      </w:r>
      <w:r w:rsidR="00797B04">
        <w:rPr>
          <w:color w:val="4472C4" w:themeColor="accent1"/>
          <w:lang w:eastAsia="fr-FR"/>
        </w:rPr>
        <w:t xml:space="preserve"> proprement di</w:t>
      </w:r>
      <w:r w:rsidR="008B491E">
        <w:rPr>
          <w:color w:val="4472C4" w:themeColor="accent1"/>
          <w:lang w:eastAsia="fr-FR"/>
        </w:rPr>
        <w:t>t</w:t>
      </w:r>
      <w:r w:rsidR="00797B04">
        <w:rPr>
          <w:color w:val="4472C4" w:themeColor="accent1"/>
          <w:lang w:eastAsia="fr-FR"/>
        </w:rPr>
        <w:t xml:space="preserve"> est très rare </w:t>
      </w:r>
      <w:r w:rsidRPr="00613C97">
        <w:rPr>
          <w:color w:val="4472C4" w:themeColor="accent1"/>
          <w:lang w:eastAsia="fr-FR"/>
        </w:rPr>
        <w:t>En l’état</w:t>
      </w:r>
      <w:r w:rsidR="00797AB5">
        <w:rPr>
          <w:color w:val="4472C4" w:themeColor="accent1"/>
          <w:lang w:eastAsia="fr-FR"/>
        </w:rPr>
        <w:t xml:space="preserve"> actuel du droit</w:t>
      </w:r>
      <w:r w:rsidRPr="00613C97">
        <w:rPr>
          <w:color w:val="4472C4" w:themeColor="accent1"/>
          <w:lang w:eastAsia="fr-FR"/>
        </w:rPr>
        <w:t xml:space="preserve">, </w:t>
      </w:r>
      <w:r w:rsidR="008B491E">
        <w:rPr>
          <w:color w:val="4472C4" w:themeColor="accent1"/>
          <w:lang w:eastAsia="fr-FR"/>
        </w:rPr>
        <w:t>de nombreux enfants placés en soins libres</w:t>
      </w:r>
      <w:r w:rsidR="008B491E" w:rsidRPr="00613C97">
        <w:rPr>
          <w:color w:val="4472C4" w:themeColor="accent1"/>
          <w:lang w:eastAsia="fr-FR"/>
        </w:rPr>
        <w:t xml:space="preserve"> </w:t>
      </w:r>
      <w:r w:rsidRPr="00613C97">
        <w:rPr>
          <w:color w:val="4472C4" w:themeColor="accent1"/>
          <w:lang w:eastAsia="fr-FR"/>
        </w:rPr>
        <w:t xml:space="preserve">n’ont la possibilité de saisir ni le </w:t>
      </w:r>
      <w:r w:rsidR="00797AB5">
        <w:rPr>
          <w:color w:val="4472C4" w:themeColor="accent1"/>
          <w:lang w:eastAsia="fr-FR"/>
        </w:rPr>
        <w:t>juge des libertés et de la détention pour contester leur mesure d’hospitalisation</w:t>
      </w:r>
      <w:r w:rsidRPr="00613C97">
        <w:rPr>
          <w:color w:val="4472C4" w:themeColor="accent1"/>
          <w:lang w:eastAsia="fr-FR"/>
        </w:rPr>
        <w:t xml:space="preserve">, ni la </w:t>
      </w:r>
      <w:r w:rsidR="00797AB5">
        <w:rPr>
          <w:color w:val="4472C4" w:themeColor="accent1"/>
          <w:lang w:eastAsia="fr-FR"/>
        </w:rPr>
        <w:t>commission départementale des soins psychiatriques. Il n’y a</w:t>
      </w:r>
      <w:r w:rsidRPr="00613C97">
        <w:rPr>
          <w:color w:val="4472C4" w:themeColor="accent1"/>
          <w:lang w:eastAsia="fr-FR"/>
        </w:rPr>
        <w:t xml:space="preserve"> </w:t>
      </w:r>
      <w:r w:rsidR="00797AB5">
        <w:rPr>
          <w:color w:val="4472C4" w:themeColor="accent1"/>
          <w:lang w:eastAsia="fr-FR"/>
        </w:rPr>
        <w:t>donc p</w:t>
      </w:r>
      <w:r w:rsidRPr="00613C97">
        <w:rPr>
          <w:color w:val="4472C4" w:themeColor="accent1"/>
          <w:lang w:eastAsia="fr-FR"/>
        </w:rPr>
        <w:t>as de recours possible</w:t>
      </w:r>
      <w:r w:rsidR="00797AB5">
        <w:rPr>
          <w:color w:val="4472C4" w:themeColor="accent1"/>
          <w:lang w:eastAsia="fr-FR"/>
        </w:rPr>
        <w:t xml:space="preserve"> les concernant</w:t>
      </w:r>
      <w:r w:rsidR="00856F56">
        <w:rPr>
          <w:color w:val="4472C4" w:themeColor="accent1"/>
          <w:lang w:eastAsia="fr-FR"/>
        </w:rPr>
        <w:t>, sauf en cas, très rare, de recours à la formule juridique des soins sans consentement</w:t>
      </w:r>
      <w:r w:rsidR="00797AB5">
        <w:rPr>
          <w:color w:val="4472C4" w:themeColor="accent1"/>
          <w:lang w:eastAsia="fr-FR"/>
        </w:rPr>
        <w:t>.</w:t>
      </w:r>
    </w:p>
    <w:p w14:paraId="36F81E11" w14:textId="1892AF1C" w:rsidR="007031B6" w:rsidRDefault="007031B6" w:rsidP="00A13AE9">
      <w:pPr>
        <w:jc w:val="both"/>
        <w:rPr>
          <w:color w:val="4472C4" w:themeColor="accent1"/>
        </w:rPr>
      </w:pPr>
      <w:r>
        <w:rPr>
          <w:color w:val="4472C4" w:themeColor="accent1"/>
        </w:rPr>
        <w:t>Lors de la crise sanitaire, l</w:t>
      </w:r>
      <w:r w:rsidRPr="007031B6">
        <w:rPr>
          <w:color w:val="4472C4" w:themeColor="accent1"/>
        </w:rPr>
        <w:t>es</w:t>
      </w:r>
      <w:r w:rsidRPr="007031B6">
        <w:rPr>
          <w:color w:val="4472C4" w:themeColor="accent1"/>
          <w:spacing w:val="-6"/>
        </w:rPr>
        <w:t xml:space="preserve"> </w:t>
      </w:r>
      <w:r>
        <w:rPr>
          <w:color w:val="4472C4" w:themeColor="accent1"/>
        </w:rPr>
        <w:t>personnes hospitalisées sans leur consentement</w:t>
      </w:r>
      <w:r w:rsidRPr="007031B6">
        <w:rPr>
          <w:color w:val="4472C4" w:themeColor="accent1"/>
          <w:spacing w:val="-6"/>
        </w:rPr>
        <w:t xml:space="preserve"> </w:t>
      </w:r>
      <w:r w:rsidRPr="007031B6">
        <w:rPr>
          <w:color w:val="4472C4" w:themeColor="accent1"/>
        </w:rPr>
        <w:t>ont</w:t>
      </w:r>
      <w:r w:rsidRPr="007031B6">
        <w:rPr>
          <w:color w:val="4472C4" w:themeColor="accent1"/>
          <w:spacing w:val="-8"/>
        </w:rPr>
        <w:t xml:space="preserve"> </w:t>
      </w:r>
      <w:r w:rsidRPr="007031B6">
        <w:rPr>
          <w:color w:val="4472C4" w:themeColor="accent1"/>
        </w:rPr>
        <w:t>subi</w:t>
      </w:r>
      <w:r w:rsidRPr="007031B6">
        <w:rPr>
          <w:color w:val="4472C4" w:themeColor="accent1"/>
          <w:spacing w:val="-5"/>
        </w:rPr>
        <w:t xml:space="preserve"> </w:t>
      </w:r>
      <w:r w:rsidRPr="007031B6">
        <w:rPr>
          <w:color w:val="4472C4" w:themeColor="accent1"/>
        </w:rPr>
        <w:t>des</w:t>
      </w:r>
      <w:r w:rsidRPr="007031B6">
        <w:rPr>
          <w:color w:val="4472C4" w:themeColor="accent1"/>
          <w:spacing w:val="-7"/>
        </w:rPr>
        <w:t xml:space="preserve"> </w:t>
      </w:r>
      <w:r w:rsidRPr="007031B6">
        <w:rPr>
          <w:color w:val="4472C4" w:themeColor="accent1"/>
        </w:rPr>
        <w:t>restrictions,</w:t>
      </w:r>
      <w:r w:rsidRPr="007031B6">
        <w:rPr>
          <w:color w:val="4472C4" w:themeColor="accent1"/>
          <w:spacing w:val="-7"/>
        </w:rPr>
        <w:t xml:space="preserve"> </w:t>
      </w:r>
      <w:r w:rsidRPr="007031B6">
        <w:rPr>
          <w:color w:val="4472C4" w:themeColor="accent1"/>
        </w:rPr>
        <w:t>notamment en ce qui concerne l’exercice de leurs droits</w:t>
      </w:r>
      <w:r w:rsidR="00797B04">
        <w:rPr>
          <w:color w:val="4472C4" w:themeColor="accent1"/>
          <w:spacing w:val="-1"/>
        </w:rPr>
        <w:t> </w:t>
      </w:r>
      <w:r w:rsidRPr="007031B6">
        <w:rPr>
          <w:color w:val="4472C4" w:themeColor="accent1"/>
        </w:rPr>
        <w:t>:</w:t>
      </w:r>
      <w:r w:rsidRPr="007031B6">
        <w:rPr>
          <w:color w:val="4472C4" w:themeColor="accent1"/>
          <w:spacing w:val="-2"/>
        </w:rPr>
        <w:t xml:space="preserve"> </w:t>
      </w:r>
      <w:r w:rsidRPr="007031B6">
        <w:rPr>
          <w:color w:val="4472C4" w:themeColor="accent1"/>
        </w:rPr>
        <w:t>en</w:t>
      </w:r>
      <w:r w:rsidRPr="007031B6">
        <w:rPr>
          <w:color w:val="4472C4" w:themeColor="accent1"/>
          <w:spacing w:val="-4"/>
        </w:rPr>
        <w:t xml:space="preserve"> </w:t>
      </w:r>
      <w:r w:rsidRPr="007031B6">
        <w:rPr>
          <w:color w:val="4472C4" w:themeColor="accent1"/>
        </w:rPr>
        <w:t>effet,</w:t>
      </w:r>
      <w:r w:rsidRPr="007031B6">
        <w:rPr>
          <w:color w:val="4472C4" w:themeColor="accent1"/>
          <w:spacing w:val="-2"/>
        </w:rPr>
        <w:t xml:space="preserve"> </w:t>
      </w:r>
      <w:r w:rsidRPr="007031B6">
        <w:rPr>
          <w:color w:val="4472C4" w:themeColor="accent1"/>
        </w:rPr>
        <w:t>dans</w:t>
      </w:r>
      <w:r w:rsidRPr="007031B6">
        <w:rPr>
          <w:color w:val="4472C4" w:themeColor="accent1"/>
          <w:spacing w:val="-4"/>
        </w:rPr>
        <w:t xml:space="preserve"> </w:t>
      </w:r>
      <w:r w:rsidRPr="007031B6">
        <w:rPr>
          <w:color w:val="4472C4" w:themeColor="accent1"/>
        </w:rPr>
        <w:t>la</w:t>
      </w:r>
      <w:r w:rsidRPr="007031B6">
        <w:rPr>
          <w:color w:val="4472C4" w:themeColor="accent1"/>
          <w:spacing w:val="-1"/>
        </w:rPr>
        <w:t xml:space="preserve"> </w:t>
      </w:r>
      <w:r w:rsidRPr="007031B6">
        <w:rPr>
          <w:color w:val="4472C4" w:themeColor="accent1"/>
        </w:rPr>
        <w:t>plupart</w:t>
      </w:r>
      <w:r w:rsidRPr="007031B6">
        <w:rPr>
          <w:color w:val="4472C4" w:themeColor="accent1"/>
          <w:spacing w:val="-3"/>
        </w:rPr>
        <w:t xml:space="preserve"> </w:t>
      </w:r>
      <w:r w:rsidRPr="007031B6">
        <w:rPr>
          <w:color w:val="4472C4" w:themeColor="accent1"/>
        </w:rPr>
        <w:t>des</w:t>
      </w:r>
      <w:r w:rsidRPr="007031B6">
        <w:rPr>
          <w:color w:val="4472C4" w:themeColor="accent1"/>
          <w:spacing w:val="-3"/>
        </w:rPr>
        <w:t xml:space="preserve"> </w:t>
      </w:r>
      <w:r w:rsidRPr="007031B6">
        <w:rPr>
          <w:color w:val="4472C4" w:themeColor="accent1"/>
        </w:rPr>
        <w:t>cas,</w:t>
      </w:r>
      <w:r w:rsidRPr="007031B6">
        <w:rPr>
          <w:color w:val="4472C4" w:themeColor="accent1"/>
          <w:spacing w:val="-1"/>
        </w:rPr>
        <w:t xml:space="preserve"> </w:t>
      </w:r>
      <w:r w:rsidR="00856F56">
        <w:rPr>
          <w:color w:val="4472C4" w:themeColor="accent1"/>
        </w:rPr>
        <w:t>elles</w:t>
      </w:r>
      <w:r w:rsidR="00856F56" w:rsidRPr="007031B6">
        <w:rPr>
          <w:color w:val="4472C4" w:themeColor="accent1"/>
          <w:spacing w:val="-1"/>
        </w:rPr>
        <w:t xml:space="preserve"> </w:t>
      </w:r>
      <w:r w:rsidRPr="007031B6">
        <w:rPr>
          <w:color w:val="4472C4" w:themeColor="accent1"/>
        </w:rPr>
        <w:t>n’ont</w:t>
      </w:r>
      <w:r w:rsidRPr="007031B6">
        <w:rPr>
          <w:color w:val="4472C4" w:themeColor="accent1"/>
          <w:spacing w:val="-2"/>
        </w:rPr>
        <w:t xml:space="preserve"> </w:t>
      </w:r>
      <w:r w:rsidRPr="007031B6">
        <w:rPr>
          <w:color w:val="4472C4" w:themeColor="accent1"/>
        </w:rPr>
        <w:t>pu</w:t>
      </w:r>
      <w:r w:rsidRPr="007031B6">
        <w:rPr>
          <w:color w:val="4472C4" w:themeColor="accent1"/>
          <w:spacing w:val="-5"/>
        </w:rPr>
        <w:t xml:space="preserve"> </w:t>
      </w:r>
      <w:r w:rsidRPr="007031B6">
        <w:rPr>
          <w:color w:val="4472C4" w:themeColor="accent1"/>
        </w:rPr>
        <w:t>rencontrer</w:t>
      </w:r>
      <w:r w:rsidRPr="007031B6">
        <w:rPr>
          <w:color w:val="4472C4" w:themeColor="accent1"/>
          <w:spacing w:val="-2"/>
        </w:rPr>
        <w:t xml:space="preserve"> </w:t>
      </w:r>
      <w:r w:rsidRPr="007031B6">
        <w:rPr>
          <w:color w:val="4472C4" w:themeColor="accent1"/>
        </w:rPr>
        <w:t>ni</w:t>
      </w:r>
      <w:r w:rsidRPr="007031B6">
        <w:rPr>
          <w:color w:val="4472C4" w:themeColor="accent1"/>
          <w:spacing w:val="-2"/>
        </w:rPr>
        <w:t xml:space="preserve"> </w:t>
      </w:r>
      <w:r w:rsidRPr="007031B6">
        <w:rPr>
          <w:color w:val="4472C4" w:themeColor="accent1"/>
        </w:rPr>
        <w:t>le</w:t>
      </w:r>
      <w:r w:rsidRPr="007031B6">
        <w:rPr>
          <w:color w:val="4472C4" w:themeColor="accent1"/>
          <w:spacing w:val="-2"/>
        </w:rPr>
        <w:t xml:space="preserve"> </w:t>
      </w:r>
      <w:r w:rsidRPr="007031B6">
        <w:rPr>
          <w:color w:val="4472C4" w:themeColor="accent1"/>
        </w:rPr>
        <w:t>juge</w:t>
      </w:r>
      <w:r w:rsidRPr="007031B6">
        <w:rPr>
          <w:color w:val="4472C4" w:themeColor="accent1"/>
          <w:spacing w:val="-1"/>
        </w:rPr>
        <w:t xml:space="preserve"> </w:t>
      </w:r>
      <w:r w:rsidRPr="007031B6">
        <w:rPr>
          <w:color w:val="4472C4" w:themeColor="accent1"/>
        </w:rPr>
        <w:t>des</w:t>
      </w:r>
      <w:r w:rsidRPr="007031B6">
        <w:rPr>
          <w:color w:val="4472C4" w:themeColor="accent1"/>
          <w:spacing w:val="-1"/>
        </w:rPr>
        <w:t xml:space="preserve"> </w:t>
      </w:r>
      <w:r w:rsidRPr="007031B6">
        <w:rPr>
          <w:color w:val="4472C4" w:themeColor="accent1"/>
        </w:rPr>
        <w:t>libertés</w:t>
      </w:r>
      <w:r w:rsidRPr="007031B6">
        <w:rPr>
          <w:color w:val="4472C4" w:themeColor="accent1"/>
          <w:spacing w:val="-1"/>
        </w:rPr>
        <w:t xml:space="preserve"> </w:t>
      </w:r>
      <w:r w:rsidRPr="007031B6">
        <w:rPr>
          <w:color w:val="4472C4" w:themeColor="accent1"/>
        </w:rPr>
        <w:t>et</w:t>
      </w:r>
      <w:r w:rsidRPr="007031B6">
        <w:rPr>
          <w:color w:val="4472C4" w:themeColor="accent1"/>
          <w:spacing w:val="-2"/>
        </w:rPr>
        <w:t xml:space="preserve"> </w:t>
      </w:r>
      <w:r w:rsidRPr="007031B6">
        <w:rPr>
          <w:color w:val="4472C4" w:themeColor="accent1"/>
        </w:rPr>
        <w:t>de</w:t>
      </w:r>
      <w:r w:rsidRPr="007031B6">
        <w:rPr>
          <w:color w:val="4472C4" w:themeColor="accent1"/>
          <w:spacing w:val="-2"/>
        </w:rPr>
        <w:t xml:space="preserve"> </w:t>
      </w:r>
      <w:r w:rsidRPr="007031B6">
        <w:rPr>
          <w:color w:val="4472C4" w:themeColor="accent1"/>
        </w:rPr>
        <w:t>la</w:t>
      </w:r>
      <w:r w:rsidRPr="007031B6">
        <w:rPr>
          <w:color w:val="4472C4" w:themeColor="accent1"/>
          <w:spacing w:val="-3"/>
        </w:rPr>
        <w:t xml:space="preserve"> </w:t>
      </w:r>
      <w:r w:rsidRPr="007031B6">
        <w:rPr>
          <w:color w:val="4472C4" w:themeColor="accent1"/>
        </w:rPr>
        <w:t>détention, ni</w:t>
      </w:r>
      <w:r w:rsidRPr="007031B6">
        <w:rPr>
          <w:color w:val="4472C4" w:themeColor="accent1"/>
          <w:spacing w:val="-7"/>
        </w:rPr>
        <w:t xml:space="preserve"> </w:t>
      </w:r>
      <w:r w:rsidRPr="007031B6">
        <w:rPr>
          <w:color w:val="4472C4" w:themeColor="accent1"/>
        </w:rPr>
        <w:t>même</w:t>
      </w:r>
      <w:r w:rsidRPr="007031B6">
        <w:rPr>
          <w:color w:val="4472C4" w:themeColor="accent1"/>
          <w:spacing w:val="-7"/>
        </w:rPr>
        <w:t xml:space="preserve"> </w:t>
      </w:r>
      <w:r w:rsidRPr="007031B6">
        <w:rPr>
          <w:color w:val="4472C4" w:themeColor="accent1"/>
        </w:rPr>
        <w:t>leur</w:t>
      </w:r>
      <w:r w:rsidRPr="007031B6">
        <w:rPr>
          <w:color w:val="4472C4" w:themeColor="accent1"/>
          <w:spacing w:val="-7"/>
        </w:rPr>
        <w:t xml:space="preserve"> </w:t>
      </w:r>
      <w:r w:rsidRPr="007031B6">
        <w:rPr>
          <w:color w:val="4472C4" w:themeColor="accent1"/>
        </w:rPr>
        <w:t>avocat.</w:t>
      </w:r>
    </w:p>
    <w:p w14:paraId="3F48B6C2" w14:textId="77777777" w:rsidR="00A40C5A" w:rsidRPr="007031B6" w:rsidRDefault="00A40C5A" w:rsidP="00A13AE9">
      <w:pPr>
        <w:jc w:val="both"/>
        <w:rPr>
          <w:color w:val="4472C4" w:themeColor="accent1"/>
        </w:rPr>
      </w:pPr>
    </w:p>
    <w:p w14:paraId="2B65E878" w14:textId="41687CD3" w:rsidR="00A13AE9" w:rsidRPr="007222D8" w:rsidRDefault="00A13AE9" w:rsidP="00A13AE9">
      <w:pPr>
        <w:pBdr>
          <w:top w:val="single" w:sz="4" w:space="1" w:color="auto"/>
          <w:left w:val="single" w:sz="4" w:space="4" w:color="auto"/>
          <w:bottom w:val="single" w:sz="4" w:space="1" w:color="auto"/>
          <w:right w:val="single" w:sz="4" w:space="4" w:color="auto"/>
        </w:pBdr>
        <w:jc w:val="both"/>
        <w:rPr>
          <w:b/>
          <w:bCs/>
        </w:rPr>
      </w:pPr>
      <w:r w:rsidRPr="007222D8">
        <w:rPr>
          <w:b/>
          <w:bCs/>
        </w:rPr>
        <w:t>Recommandation :</w:t>
      </w:r>
    </w:p>
    <w:p w14:paraId="442F7AE6" w14:textId="234635D5" w:rsidR="00A13AE9" w:rsidRPr="007222D8" w:rsidRDefault="00A13AE9" w:rsidP="00A13AE9">
      <w:pPr>
        <w:pBdr>
          <w:top w:val="single" w:sz="4" w:space="1" w:color="auto"/>
          <w:left w:val="single" w:sz="4" w:space="4" w:color="auto"/>
          <w:bottom w:val="single" w:sz="4" w:space="1" w:color="auto"/>
          <w:right w:val="single" w:sz="4" w:space="4" w:color="auto"/>
        </w:pBdr>
        <w:jc w:val="both"/>
        <w:rPr>
          <w:b/>
          <w:bCs/>
        </w:rPr>
      </w:pPr>
      <w:r w:rsidRPr="007222D8">
        <w:rPr>
          <w:b/>
          <w:bCs/>
        </w:rPr>
        <w:t>Les enfants hospitalisés à la demande de leurs représentants légaux doivent pouvoir saisir la commission départementale des soins psychiatriques. Lorsqu’ils contestent la nécessité de l’hospitalisation, les mineurs doivent également pouvoir saisir le juge des libertés et de la détention. Ils doivent être informés de ces possibilités par l’hôpital, dans les meilleurs délais et dès que leur état le permet.</w:t>
      </w:r>
    </w:p>
    <w:p w14:paraId="2048ED3C" w14:textId="77777777" w:rsidR="00A13AE9" w:rsidRPr="007222D8" w:rsidRDefault="00A13AE9" w:rsidP="00A13AE9">
      <w:pPr>
        <w:rPr>
          <w:color w:val="4472C4" w:themeColor="accent1"/>
        </w:rPr>
      </w:pPr>
    </w:p>
    <w:p w14:paraId="365201B8" w14:textId="544C1F7E" w:rsidR="00A13AE9" w:rsidRPr="007222D8" w:rsidRDefault="00A13AE9" w:rsidP="00A13AE9">
      <w:pPr>
        <w:pBdr>
          <w:top w:val="single" w:sz="4" w:space="1" w:color="auto"/>
          <w:left w:val="single" w:sz="4" w:space="4" w:color="auto"/>
          <w:bottom w:val="single" w:sz="4" w:space="1" w:color="auto"/>
          <w:right w:val="single" w:sz="4" w:space="4" w:color="auto"/>
        </w:pBdr>
        <w:jc w:val="both"/>
        <w:rPr>
          <w:b/>
          <w:bCs/>
        </w:rPr>
      </w:pPr>
      <w:r w:rsidRPr="007222D8">
        <w:rPr>
          <w:b/>
          <w:bCs/>
        </w:rPr>
        <w:t>Recommandation :</w:t>
      </w:r>
    </w:p>
    <w:p w14:paraId="406CCDAE" w14:textId="15D5AD49" w:rsidR="00E96E2E" w:rsidRDefault="00A13AE9" w:rsidP="00956793">
      <w:pPr>
        <w:pBdr>
          <w:top w:val="single" w:sz="4" w:space="1" w:color="auto"/>
          <w:left w:val="single" w:sz="4" w:space="4" w:color="auto"/>
          <w:bottom w:val="single" w:sz="4" w:space="1" w:color="auto"/>
          <w:right w:val="single" w:sz="4" w:space="4" w:color="auto"/>
        </w:pBdr>
        <w:jc w:val="both"/>
        <w:rPr>
          <w:b/>
          <w:bCs/>
        </w:rPr>
      </w:pPr>
      <w:r w:rsidRPr="007222D8">
        <w:rPr>
          <w:b/>
          <w:bCs/>
        </w:rPr>
        <w:t>La décision d’admission en soins psychiatriques sans consentement prononcée par le représentant de l’Etat doit être notifiée au patient mineur lorsque son âge ou sa maturité le permet</w:t>
      </w:r>
      <w:r w:rsidR="00856F56">
        <w:rPr>
          <w:b/>
          <w:bCs/>
        </w:rPr>
        <w:t> </w:t>
      </w:r>
      <w:r w:rsidRPr="007222D8">
        <w:rPr>
          <w:b/>
          <w:bCs/>
        </w:rPr>
        <w:t>; la notification doit être systématique à partir de 13 ans et expliquée par un agent hospitalier spécialement formé. L’information doit porter sur les voies de recours, la situation juridique du patient et les droits qui y sont attachés, la possibilité de faire valoir ses observations. Le patient doit se voir remettre une copie de la décision ainsi qu’un formulaire explicatif de ses droits, rédigés en termes clairs et pédagogiques.</w:t>
      </w:r>
    </w:p>
    <w:p w14:paraId="093EBD74" w14:textId="77777777" w:rsidR="00E96E2E" w:rsidRDefault="00E96E2E" w:rsidP="0049124E">
      <w:pPr>
        <w:jc w:val="both"/>
        <w:rPr>
          <w:b/>
          <w:bCs/>
        </w:rPr>
      </w:pPr>
    </w:p>
    <w:p w14:paraId="6859FB03" w14:textId="77777777" w:rsidR="00956793" w:rsidRDefault="00956793" w:rsidP="0049124E">
      <w:pPr>
        <w:jc w:val="both"/>
        <w:rPr>
          <w:b/>
          <w:bCs/>
        </w:rPr>
      </w:pPr>
    </w:p>
    <w:p w14:paraId="0414FF71" w14:textId="2B654D7A" w:rsidR="003341CF" w:rsidRPr="0049124E" w:rsidRDefault="0049124E" w:rsidP="0049124E">
      <w:pPr>
        <w:jc w:val="both"/>
        <w:rPr>
          <w:b/>
          <w:bCs/>
        </w:rPr>
      </w:pPr>
      <w:r w:rsidRPr="0049124E">
        <w:rPr>
          <w:b/>
          <w:bCs/>
        </w:rPr>
        <w:t xml:space="preserve">Le Comité demande à la France quelles </w:t>
      </w:r>
      <w:r w:rsidR="003341CF" w:rsidRPr="0049124E">
        <w:rPr>
          <w:b/>
          <w:bCs/>
        </w:rPr>
        <w:t xml:space="preserve">mesures </w:t>
      </w:r>
      <w:r w:rsidRPr="0049124E">
        <w:rPr>
          <w:b/>
          <w:bCs/>
        </w:rPr>
        <w:t>sont prises afin de g</w:t>
      </w:r>
      <w:r w:rsidR="003341CF" w:rsidRPr="0049124E">
        <w:rPr>
          <w:b/>
          <w:bCs/>
        </w:rPr>
        <w:t>arantir la prestation de services d’aide et à la mise à disposition d’aménagements raisonnables individualisés à toutes les personnes handicapées privées de liberté, y compris les migrants, tant pendant leur détention qu’après leur libération </w:t>
      </w:r>
      <w:r w:rsidR="00650139">
        <w:rPr>
          <w:b/>
          <w:bCs/>
        </w:rPr>
        <w:t>(§ 14b).</w:t>
      </w:r>
      <w:r w:rsidR="003341CF" w:rsidRPr="0049124E">
        <w:rPr>
          <w:b/>
          <w:bCs/>
        </w:rPr>
        <w:t xml:space="preserve"> </w:t>
      </w:r>
    </w:p>
    <w:p w14:paraId="5E23D6C9" w14:textId="452118C3" w:rsidR="003341CF" w:rsidRPr="000E7734" w:rsidRDefault="000E7734" w:rsidP="000E7734">
      <w:pPr>
        <w:jc w:val="both"/>
        <w:rPr>
          <w:i/>
          <w:iCs/>
        </w:rPr>
      </w:pPr>
      <w:r w:rsidRPr="000E7734">
        <w:rPr>
          <w:i/>
          <w:iCs/>
        </w:rPr>
        <w:t>Dans sa r</w:t>
      </w:r>
      <w:r w:rsidR="003341CF" w:rsidRPr="000E7734">
        <w:rPr>
          <w:i/>
          <w:iCs/>
        </w:rPr>
        <w:t>éponse</w:t>
      </w:r>
      <w:r w:rsidRPr="000E7734">
        <w:rPr>
          <w:i/>
          <w:iCs/>
        </w:rPr>
        <w:t>, la France mentionne le principe d’individualisation des modalités d’exécution des peines privatives de liberté prévu par l</w:t>
      </w:r>
      <w:r w:rsidR="003341CF" w:rsidRPr="000E7734">
        <w:rPr>
          <w:i/>
          <w:iCs/>
        </w:rPr>
        <w:t>e Code de procédure pénale</w:t>
      </w:r>
      <w:r w:rsidRPr="000E7734">
        <w:rPr>
          <w:i/>
          <w:iCs/>
        </w:rPr>
        <w:t>, ainsi que le</w:t>
      </w:r>
      <w:r w:rsidR="003341CF" w:rsidRPr="000E7734">
        <w:rPr>
          <w:i/>
          <w:iCs/>
        </w:rPr>
        <w:t xml:space="preserve"> guide méthodologique relatif aux aménagements de </w:t>
      </w:r>
      <w:r w:rsidR="003341CF" w:rsidRPr="00426DA0">
        <w:rPr>
          <w:i/>
          <w:iCs/>
        </w:rPr>
        <w:t xml:space="preserve">peine et à la mise en liberté pour raison médicale </w:t>
      </w:r>
      <w:r w:rsidRPr="00426DA0">
        <w:rPr>
          <w:i/>
          <w:iCs/>
        </w:rPr>
        <w:t>de</w:t>
      </w:r>
      <w:r w:rsidR="003341CF" w:rsidRPr="00426DA0">
        <w:rPr>
          <w:i/>
          <w:iCs/>
        </w:rPr>
        <w:t xml:space="preserve"> 2018.</w:t>
      </w:r>
      <w:r w:rsidR="00856F56">
        <w:rPr>
          <w:i/>
          <w:iCs/>
        </w:rPr>
        <w:t xml:space="preserve"> </w:t>
      </w:r>
      <w:r w:rsidRPr="00426DA0">
        <w:rPr>
          <w:i/>
          <w:iCs/>
        </w:rPr>
        <w:t xml:space="preserve">Par ailleurs, une </w:t>
      </w:r>
      <w:r w:rsidR="003341CF" w:rsidRPr="00426DA0">
        <w:rPr>
          <w:i/>
          <w:iCs/>
        </w:rPr>
        <w:t xml:space="preserve">feuille de route 2019-2022 pour la santé des </w:t>
      </w:r>
      <w:r w:rsidR="00856F56">
        <w:rPr>
          <w:i/>
          <w:iCs/>
        </w:rPr>
        <w:t>personnes placées sous main de justice</w:t>
      </w:r>
      <w:r w:rsidR="008F71B6">
        <w:rPr>
          <w:i/>
          <w:iCs/>
        </w:rPr>
        <w:t xml:space="preserve"> </w:t>
      </w:r>
      <w:r w:rsidR="003341CF" w:rsidRPr="00426DA0">
        <w:rPr>
          <w:i/>
          <w:iCs/>
        </w:rPr>
        <w:t>vise à améliorer le repérage des situations</w:t>
      </w:r>
      <w:r w:rsidR="003341CF" w:rsidRPr="000E7734">
        <w:rPr>
          <w:i/>
          <w:iCs/>
        </w:rPr>
        <w:t xml:space="preserve"> de handicap, de fragilité ou de perte d’autonomie des personnes détenues et l’accès aux aides à la vie quotidienne en détention. Ainsi, les services d’aide et d’accompagnement à domicile et les services de soins infirmiers à domicile interviennent en détention. En outre, les services pénitentiaires d’insertion et de probation font intervenir leurs assistants de service social afin d’aider les détenus à assurer leurs droits en matière d’allocations. </w:t>
      </w:r>
      <w:r w:rsidR="00B80844" w:rsidRPr="000E7734">
        <w:rPr>
          <w:i/>
          <w:iCs/>
        </w:rPr>
        <w:t xml:space="preserve">S’agissant de la </w:t>
      </w:r>
      <w:r w:rsidR="003341CF" w:rsidRPr="000E7734">
        <w:rPr>
          <w:i/>
          <w:iCs/>
        </w:rPr>
        <w:t xml:space="preserve">rétention administrative, </w:t>
      </w:r>
      <w:r w:rsidR="00B80844" w:rsidRPr="000E7734">
        <w:rPr>
          <w:i/>
          <w:iCs/>
        </w:rPr>
        <w:t xml:space="preserve">la France met en avant ce dont </w:t>
      </w:r>
      <w:r w:rsidR="00856F56" w:rsidRPr="000E7734">
        <w:rPr>
          <w:i/>
          <w:iCs/>
        </w:rPr>
        <w:t>bénéfici</w:t>
      </w:r>
      <w:r w:rsidR="00856F56">
        <w:rPr>
          <w:i/>
          <w:iCs/>
        </w:rPr>
        <w:t>ent</w:t>
      </w:r>
      <w:r w:rsidR="00856F56" w:rsidRPr="000E7734">
        <w:rPr>
          <w:i/>
          <w:iCs/>
        </w:rPr>
        <w:t xml:space="preserve"> </w:t>
      </w:r>
      <w:r w:rsidR="00B80844" w:rsidRPr="000E7734">
        <w:rPr>
          <w:i/>
          <w:iCs/>
        </w:rPr>
        <w:t xml:space="preserve">les </w:t>
      </w:r>
      <w:r w:rsidR="003341CF" w:rsidRPr="000E7734">
        <w:rPr>
          <w:i/>
          <w:iCs/>
        </w:rPr>
        <w:t>étranger</w:t>
      </w:r>
      <w:r w:rsidR="00B80844" w:rsidRPr="000E7734">
        <w:rPr>
          <w:i/>
          <w:iCs/>
        </w:rPr>
        <w:t>s</w:t>
      </w:r>
      <w:r w:rsidR="003341CF" w:rsidRPr="000E7734">
        <w:rPr>
          <w:i/>
          <w:iCs/>
        </w:rPr>
        <w:t xml:space="preserve"> handicapé</w:t>
      </w:r>
      <w:r w:rsidR="00B80844" w:rsidRPr="000E7734">
        <w:rPr>
          <w:i/>
          <w:iCs/>
        </w:rPr>
        <w:t xml:space="preserve">s, notamment d’une prise en charge matérielle adaptée, d’une prise en charge sanitaire et médicale, et d’un accompagnement et d’un soutien moral et psychologique </w:t>
      </w:r>
      <w:r w:rsidR="00B802C7" w:rsidRPr="000E7734">
        <w:rPr>
          <w:i/>
          <w:iCs/>
        </w:rPr>
        <w:t>durant le</w:t>
      </w:r>
      <w:r w:rsidR="00B80844" w:rsidRPr="000E7734">
        <w:rPr>
          <w:i/>
          <w:iCs/>
        </w:rPr>
        <w:t xml:space="preserve"> placement en rétention, afin de préparer les conditions matérielles d</w:t>
      </w:r>
      <w:r w:rsidR="00B802C7" w:rsidRPr="000E7734">
        <w:rPr>
          <w:i/>
          <w:iCs/>
        </w:rPr>
        <w:t xml:space="preserve">u </w:t>
      </w:r>
      <w:r w:rsidR="00B80844" w:rsidRPr="000E7734">
        <w:rPr>
          <w:i/>
          <w:iCs/>
        </w:rPr>
        <w:t>départ</w:t>
      </w:r>
      <w:r w:rsidRPr="000E7734">
        <w:rPr>
          <w:i/>
          <w:iCs/>
        </w:rPr>
        <w:t xml:space="preserve"> (§ 106 à 109)</w:t>
      </w:r>
      <w:r w:rsidR="00AC2FB2">
        <w:rPr>
          <w:i/>
          <w:iCs/>
        </w:rPr>
        <w:t>.</w:t>
      </w:r>
    </w:p>
    <w:p w14:paraId="0A92DE3F" w14:textId="77777777" w:rsidR="00F73530" w:rsidRDefault="00F73530" w:rsidP="00F73530">
      <w:pPr>
        <w:jc w:val="both"/>
        <w:rPr>
          <w:color w:val="4472C4" w:themeColor="accent1"/>
        </w:rPr>
      </w:pPr>
      <w:r w:rsidRPr="00261086">
        <w:rPr>
          <w:color w:val="4472C4" w:themeColor="accent1"/>
        </w:rPr>
        <w:t xml:space="preserve">Le cadre législatif français en la matière repose sur la loi du 11 février 2005 pour l’égalité des droits et des chances, la participation et la citoyenneté des personnes handicapées. </w:t>
      </w:r>
      <w:r>
        <w:rPr>
          <w:color w:val="4472C4" w:themeColor="accent1"/>
        </w:rPr>
        <w:t xml:space="preserve">Il </w:t>
      </w:r>
      <w:r w:rsidRPr="00261086">
        <w:rPr>
          <w:color w:val="4472C4" w:themeColor="accent1"/>
        </w:rPr>
        <w:t>ne reconnait pas pleinement la notion</w:t>
      </w:r>
      <w:r>
        <w:rPr>
          <w:color w:val="4472C4" w:themeColor="accent1"/>
        </w:rPr>
        <w:t xml:space="preserve"> </w:t>
      </w:r>
      <w:r w:rsidRPr="00261086">
        <w:rPr>
          <w:color w:val="4472C4" w:themeColor="accent1"/>
        </w:rPr>
        <w:t>« d’aménagement raisonnable » qui n’a été transposée que dans le domaine du droit du travail.</w:t>
      </w:r>
    </w:p>
    <w:p w14:paraId="7F7F16F5" w14:textId="77777777" w:rsidR="00261086" w:rsidRDefault="003341CF" w:rsidP="00261086">
      <w:pPr>
        <w:jc w:val="both"/>
        <w:rPr>
          <w:color w:val="4472C4" w:themeColor="accent1"/>
        </w:rPr>
      </w:pPr>
      <w:r w:rsidRPr="00465B8B">
        <w:rPr>
          <w:color w:val="4472C4" w:themeColor="accent1"/>
        </w:rPr>
        <w:t>En 2018, dans son avis relatif à la prise en compte des situations de perte d’autonomie dues à l’âge et aux handicaps physiques dans les établissements pénitentiaires, le CGLPL faisait le constat général que le principe d’aménagements raisonnables n’est pas mis en œuvre dans les établissements pénitentiaires français.</w:t>
      </w:r>
      <w:r w:rsidR="00261086">
        <w:rPr>
          <w:color w:val="4472C4" w:themeColor="accent1"/>
        </w:rPr>
        <w:t xml:space="preserve"> </w:t>
      </w:r>
    </w:p>
    <w:p w14:paraId="31BFC282" w14:textId="52C3C49A" w:rsidR="00261086" w:rsidRPr="00261086" w:rsidRDefault="00F73530" w:rsidP="00261086">
      <w:pPr>
        <w:jc w:val="both"/>
        <w:rPr>
          <w:color w:val="4472C4" w:themeColor="accent1"/>
        </w:rPr>
      </w:pPr>
      <w:r>
        <w:rPr>
          <w:color w:val="4472C4" w:themeColor="accent1"/>
        </w:rPr>
        <w:t>En premier lieu, l</w:t>
      </w:r>
      <w:r w:rsidR="00261086" w:rsidRPr="00261086">
        <w:rPr>
          <w:color w:val="4472C4" w:themeColor="accent1"/>
        </w:rPr>
        <w:t xml:space="preserve">es cellules adaptées pour les personnes à mobilité réduite (PMR) et pour les personnes en situation de handicap sont la plupart du temps situées au rez-de-chaussée des bâtiments, ce qui permet un accès facile aux locaux communs et zones des services. </w:t>
      </w:r>
      <w:r>
        <w:rPr>
          <w:color w:val="4472C4" w:themeColor="accent1"/>
        </w:rPr>
        <w:t>Ces</w:t>
      </w:r>
      <w:r w:rsidR="00261086" w:rsidRPr="00261086">
        <w:rPr>
          <w:color w:val="4472C4" w:themeColor="accent1"/>
        </w:rPr>
        <w:t xml:space="preserve"> ailes sont généralement réservées au régime de détention dit</w:t>
      </w:r>
      <w:r w:rsidR="00261086">
        <w:rPr>
          <w:color w:val="4472C4" w:themeColor="accent1"/>
        </w:rPr>
        <w:t xml:space="preserve"> </w:t>
      </w:r>
      <w:r w:rsidR="00261086" w:rsidRPr="00261086">
        <w:rPr>
          <w:color w:val="4472C4" w:themeColor="accent1"/>
        </w:rPr>
        <w:t>« strict en porte fermée », qui s’impose dès lors le plus souvent à elles, quel que soit leur comportement.</w:t>
      </w:r>
    </w:p>
    <w:p w14:paraId="2495C614" w14:textId="65BB32E3" w:rsidR="00261086" w:rsidRPr="00261086" w:rsidRDefault="00261086" w:rsidP="00261086">
      <w:pPr>
        <w:jc w:val="both"/>
        <w:rPr>
          <w:color w:val="4472C4" w:themeColor="accent1"/>
        </w:rPr>
      </w:pPr>
      <w:r w:rsidRPr="00261086">
        <w:rPr>
          <w:color w:val="4472C4" w:themeColor="accent1"/>
        </w:rPr>
        <w:t>Dans les établissements plus anciens, les plus nombreux, les cellules et les espaces collectifs n’étaient à l’origine pas conçus pour recevoir les personnes à mobilité réduite. Les règles d’accessibilité, au demeurant insuffisantes</w:t>
      </w:r>
      <w:r w:rsidR="00F73530">
        <w:rPr>
          <w:color w:val="4472C4" w:themeColor="accent1"/>
        </w:rPr>
        <w:t xml:space="preserve"> </w:t>
      </w:r>
      <w:r w:rsidRPr="00261086">
        <w:rPr>
          <w:color w:val="4472C4" w:themeColor="accent1"/>
        </w:rPr>
        <w:t>ne sont pas respectée</w:t>
      </w:r>
      <w:r w:rsidR="00F73530">
        <w:rPr>
          <w:color w:val="4472C4" w:themeColor="accent1"/>
        </w:rPr>
        <w:t>s. Malgré des</w:t>
      </w:r>
      <w:r w:rsidRPr="00261086">
        <w:rPr>
          <w:color w:val="4472C4" w:themeColor="accent1"/>
        </w:rPr>
        <w:t xml:space="preserve"> aménagements </w:t>
      </w:r>
      <w:r w:rsidR="00F73530">
        <w:rPr>
          <w:color w:val="4472C4" w:themeColor="accent1"/>
        </w:rPr>
        <w:t xml:space="preserve">réalisés </w:t>
      </w:r>
      <w:r w:rsidRPr="00261086">
        <w:rPr>
          <w:color w:val="4472C4" w:themeColor="accent1"/>
        </w:rPr>
        <w:t>ici ou là pour adapter les conditions de détention</w:t>
      </w:r>
      <w:r w:rsidR="00F73530">
        <w:rPr>
          <w:color w:val="4472C4" w:themeColor="accent1"/>
        </w:rPr>
        <w:t xml:space="preserve"> (</w:t>
      </w:r>
      <w:r w:rsidRPr="00261086">
        <w:rPr>
          <w:color w:val="4472C4" w:themeColor="accent1"/>
        </w:rPr>
        <w:t>réunion de deux cellules ou affectation des personnes détenues à mobilité réduite au sein de cellules collectives ordinaires</w:t>
      </w:r>
      <w:r w:rsidR="00F73530">
        <w:rPr>
          <w:color w:val="4472C4" w:themeColor="accent1"/>
        </w:rPr>
        <w:t>), les personnes détenues</w:t>
      </w:r>
      <w:r w:rsidRPr="00261086">
        <w:rPr>
          <w:color w:val="4472C4" w:themeColor="accent1"/>
        </w:rPr>
        <w:t xml:space="preserve"> restent néanmoins souvent démunies face à l’absence de cheminement accessible défini, à l’étroitesse des portes et des portiques, à la présence de marches, à l’absence d’ascenseur ou à l’impossibilité d’atteindre des boutons d’appel, des postes téléphoniques ou des rangements. Quand ils sont accessibles, les blocs sanitaires sont rarement adaptés. Dans de pareilles situations, les personnes détenues ne disposent pas des aménagements matériels nécessaires pour conserver leur autonomie. Au-delà de leur cellule, elles se retrouvent bien souvent privées d’accès aux différentes activités, services et espaces communs présents en détention.</w:t>
      </w:r>
    </w:p>
    <w:p w14:paraId="20DCA05E" w14:textId="6ED7B9A1" w:rsidR="00261086" w:rsidRPr="00261086" w:rsidRDefault="00261086" w:rsidP="00261086">
      <w:pPr>
        <w:jc w:val="both"/>
        <w:rPr>
          <w:color w:val="4472C4" w:themeColor="accent1"/>
        </w:rPr>
      </w:pPr>
      <w:r w:rsidRPr="00261086">
        <w:rPr>
          <w:color w:val="4472C4" w:themeColor="accent1"/>
        </w:rPr>
        <w:t>Le cas échéant, des mesures doivent être prises pour assurer la maintenance des fauteuils roulants, seul moyen pour les personnes détenues à mobilité réduite d’assurer leurs mouvements en détention. Par ailleurs le CGLPL est régulièrement saisi par des personnes ayant des difficultés à se procurer des protections urinaires. Une personne sourde et muette a signalé au CGLPL le refus par la direction de lui procurer une ardoise, dispositif qu’</w:t>
      </w:r>
      <w:r w:rsidR="00F73530">
        <w:rPr>
          <w:color w:val="4472C4" w:themeColor="accent1"/>
        </w:rPr>
        <w:t>elle</w:t>
      </w:r>
      <w:r w:rsidRPr="00261086">
        <w:rPr>
          <w:color w:val="4472C4" w:themeColor="accent1"/>
        </w:rPr>
        <w:t xml:space="preserve"> utilisait habituellement pour communiquer. </w:t>
      </w:r>
    </w:p>
    <w:p w14:paraId="4B010B57" w14:textId="77777777" w:rsidR="00261086" w:rsidRPr="00261086" w:rsidRDefault="00261086" w:rsidP="00261086">
      <w:pPr>
        <w:jc w:val="both"/>
        <w:rPr>
          <w:color w:val="4472C4" w:themeColor="accent1"/>
        </w:rPr>
      </w:pPr>
      <w:r w:rsidRPr="00261086">
        <w:rPr>
          <w:color w:val="4472C4" w:themeColor="accent1"/>
        </w:rPr>
        <w:t>Dans les quartiers disciplinaires, il n’existe pas d’aménagements pour héberger les personnes handicapées dans des conditions respectueuses de la dignité. Dès lors, si le fauteuil roulant peut entrer dans la cellule, les déplacements y sont très limités et l’accès au bloc sanitaire quasi impossible.</w:t>
      </w:r>
    </w:p>
    <w:p w14:paraId="09338629" w14:textId="5EFF9D0C" w:rsidR="00261086" w:rsidRPr="00465B8B" w:rsidRDefault="00F73530" w:rsidP="003341CF">
      <w:pPr>
        <w:jc w:val="both"/>
        <w:rPr>
          <w:color w:val="4472C4" w:themeColor="accent1"/>
        </w:rPr>
      </w:pPr>
      <w:r>
        <w:rPr>
          <w:color w:val="4472C4" w:themeColor="accent1"/>
        </w:rPr>
        <w:t xml:space="preserve">Enfin, les </w:t>
      </w:r>
      <w:r w:rsidR="00261086" w:rsidRPr="00261086">
        <w:rPr>
          <w:color w:val="4472C4" w:themeColor="accent1"/>
        </w:rPr>
        <w:t xml:space="preserve">médecins des unités sanitaires prescrivent parfois certains aménagements des lieux de vie des personnes détenues et de leurs moyens de transport. Toutefois, ces prescriptions ne sont pas toujours suivies d’effets, ni précédées de visites des locaux par les équipes médicales pour leur permettre de se prononcer </w:t>
      </w:r>
      <w:r w:rsidR="00261086" w:rsidRPr="00393502">
        <w:rPr>
          <w:i/>
          <w:iCs/>
          <w:color w:val="4472C4" w:themeColor="accent1"/>
        </w:rPr>
        <w:t>in concreto</w:t>
      </w:r>
      <w:r w:rsidR="00261086" w:rsidRPr="00261086">
        <w:rPr>
          <w:color w:val="4472C4" w:themeColor="accent1"/>
        </w:rPr>
        <w:t xml:space="preserve"> sur l’opportunité de tel ou tel aménagement.</w:t>
      </w:r>
    </w:p>
    <w:p w14:paraId="10B52F99" w14:textId="03F53A25" w:rsidR="003341CF" w:rsidRPr="00465B8B" w:rsidRDefault="003341CF" w:rsidP="003341CF">
      <w:pPr>
        <w:jc w:val="both"/>
        <w:rPr>
          <w:color w:val="4472C4" w:themeColor="accent1"/>
        </w:rPr>
      </w:pPr>
      <w:r w:rsidRPr="00465B8B">
        <w:rPr>
          <w:color w:val="4472C4" w:themeColor="accent1"/>
        </w:rPr>
        <w:t xml:space="preserve">En 2021, la situation n’a guère évolué. En avril, le CGLPL a publié </w:t>
      </w:r>
      <w:r w:rsidR="008B491E">
        <w:rPr>
          <w:color w:val="4472C4" w:themeColor="accent1"/>
        </w:rPr>
        <w:t>des</w:t>
      </w:r>
      <w:r w:rsidR="008B491E" w:rsidRPr="00465B8B">
        <w:rPr>
          <w:color w:val="4472C4" w:themeColor="accent1"/>
        </w:rPr>
        <w:t xml:space="preserve"> </w:t>
      </w:r>
      <w:r w:rsidRPr="00465B8B">
        <w:rPr>
          <w:color w:val="4472C4" w:themeColor="accent1"/>
        </w:rPr>
        <w:t>recommandation</w:t>
      </w:r>
      <w:r w:rsidR="008B491E">
        <w:rPr>
          <w:color w:val="4472C4" w:themeColor="accent1"/>
        </w:rPr>
        <w:t>s</w:t>
      </w:r>
      <w:r w:rsidRPr="00465B8B">
        <w:rPr>
          <w:color w:val="4472C4" w:themeColor="accent1"/>
        </w:rPr>
        <w:t xml:space="preserve"> </w:t>
      </w:r>
      <w:r w:rsidR="00856F56">
        <w:rPr>
          <w:color w:val="4472C4" w:themeColor="accent1"/>
        </w:rPr>
        <w:t xml:space="preserve">en </w:t>
      </w:r>
      <w:r w:rsidRPr="00465B8B">
        <w:rPr>
          <w:color w:val="4472C4" w:themeColor="accent1"/>
        </w:rPr>
        <w:t>urgen</w:t>
      </w:r>
      <w:r w:rsidR="00856F56">
        <w:rPr>
          <w:color w:val="4472C4" w:themeColor="accent1"/>
        </w:rPr>
        <w:t>c</w:t>
      </w:r>
      <w:r w:rsidRPr="00465B8B">
        <w:rPr>
          <w:color w:val="4472C4" w:themeColor="accent1"/>
        </w:rPr>
        <w:t xml:space="preserve">e </w:t>
      </w:r>
      <w:r w:rsidR="00856F56">
        <w:rPr>
          <w:color w:val="4472C4" w:themeColor="accent1"/>
        </w:rPr>
        <w:t xml:space="preserve">concernant </w:t>
      </w:r>
      <w:r w:rsidR="00C63A18">
        <w:rPr>
          <w:color w:val="4472C4" w:themeColor="accent1"/>
        </w:rPr>
        <w:t>une prison</w:t>
      </w:r>
      <w:r w:rsidRPr="00465B8B">
        <w:rPr>
          <w:color w:val="4472C4" w:themeColor="accent1"/>
        </w:rPr>
        <w:t xml:space="preserve"> </w:t>
      </w:r>
      <w:r w:rsidR="00856F56">
        <w:rPr>
          <w:color w:val="4472C4" w:themeColor="accent1"/>
        </w:rPr>
        <w:t>en partie</w:t>
      </w:r>
      <w:r w:rsidRPr="00465B8B">
        <w:rPr>
          <w:color w:val="4472C4" w:themeColor="accent1"/>
        </w:rPr>
        <w:t xml:space="preserve"> destinée à héberger une population à la fois vieillissante et présentant des handicaps physique</w:t>
      </w:r>
      <w:r w:rsidR="00C63A18">
        <w:rPr>
          <w:color w:val="4472C4" w:themeColor="accent1"/>
        </w:rPr>
        <w:t>s</w:t>
      </w:r>
      <w:r w:rsidRPr="00465B8B">
        <w:rPr>
          <w:color w:val="4472C4" w:themeColor="accent1"/>
        </w:rPr>
        <w:t xml:space="preserve"> et psycho-socia</w:t>
      </w:r>
      <w:r w:rsidR="00C63A18">
        <w:rPr>
          <w:color w:val="4472C4" w:themeColor="accent1"/>
        </w:rPr>
        <w:t>ux</w:t>
      </w:r>
      <w:r w:rsidRPr="00465B8B">
        <w:rPr>
          <w:color w:val="4472C4" w:themeColor="accent1"/>
        </w:rPr>
        <w:t xml:space="preserve">. </w:t>
      </w:r>
      <w:r w:rsidR="00C63A18">
        <w:rPr>
          <w:color w:val="4472C4" w:themeColor="accent1"/>
        </w:rPr>
        <w:t>D</w:t>
      </w:r>
      <w:r w:rsidRPr="00465B8B">
        <w:rPr>
          <w:color w:val="4472C4" w:themeColor="accent1"/>
        </w:rPr>
        <w:t xml:space="preserve">ans </w:t>
      </w:r>
      <w:r w:rsidR="007A484E">
        <w:rPr>
          <w:color w:val="4472C4" w:themeColor="accent1"/>
        </w:rPr>
        <w:t xml:space="preserve">une </w:t>
      </w:r>
      <w:r w:rsidRPr="00465B8B">
        <w:rPr>
          <w:color w:val="4472C4" w:themeColor="accent1"/>
        </w:rPr>
        <w:t>unité de</w:t>
      </w:r>
      <w:r w:rsidR="007A484E">
        <w:rPr>
          <w:color w:val="4472C4" w:themeColor="accent1"/>
        </w:rPr>
        <w:t xml:space="preserve"> vie appelée</w:t>
      </w:r>
      <w:r w:rsidRPr="00465B8B">
        <w:rPr>
          <w:color w:val="4472C4" w:themeColor="accent1"/>
        </w:rPr>
        <w:t xml:space="preserve"> </w:t>
      </w:r>
      <w:r w:rsidR="007A484E">
        <w:rPr>
          <w:color w:val="4472C4" w:themeColor="accent1"/>
        </w:rPr>
        <w:t>« </w:t>
      </w:r>
      <w:r w:rsidRPr="00465B8B">
        <w:rPr>
          <w:color w:val="4472C4" w:themeColor="accent1"/>
        </w:rPr>
        <w:t>soutien et d’autonomie</w:t>
      </w:r>
      <w:r w:rsidR="007A484E">
        <w:rPr>
          <w:color w:val="4472C4" w:themeColor="accent1"/>
        </w:rPr>
        <w:t> »</w:t>
      </w:r>
      <w:r w:rsidR="00C63A18">
        <w:rPr>
          <w:color w:val="4472C4" w:themeColor="accent1"/>
        </w:rPr>
        <w:t>, plusieurs</w:t>
      </w:r>
      <w:r w:rsidRPr="00465B8B">
        <w:rPr>
          <w:color w:val="4472C4" w:themeColor="accent1"/>
        </w:rPr>
        <w:t xml:space="preserve"> personnes nécessit</w:t>
      </w:r>
      <w:r w:rsidR="007A484E">
        <w:rPr>
          <w:color w:val="4472C4" w:themeColor="accent1"/>
        </w:rPr>
        <w:t>ai</w:t>
      </w:r>
      <w:r w:rsidRPr="00465B8B">
        <w:rPr>
          <w:color w:val="4472C4" w:themeColor="accent1"/>
        </w:rPr>
        <w:t>ent et dispos</w:t>
      </w:r>
      <w:r w:rsidR="007A484E">
        <w:rPr>
          <w:color w:val="4472C4" w:themeColor="accent1"/>
        </w:rPr>
        <w:t>ai</w:t>
      </w:r>
      <w:r w:rsidRPr="00465B8B">
        <w:rPr>
          <w:color w:val="4472C4" w:themeColor="accent1"/>
        </w:rPr>
        <w:t>ent d’un lit médicalisé</w:t>
      </w:r>
      <w:r w:rsidR="00C63A18">
        <w:rPr>
          <w:color w:val="4472C4" w:themeColor="accent1"/>
        </w:rPr>
        <w:t xml:space="preserve">, certaines se déplaçaient </w:t>
      </w:r>
      <w:r w:rsidRPr="00465B8B">
        <w:rPr>
          <w:color w:val="4472C4" w:themeColor="accent1"/>
        </w:rPr>
        <w:t>en fauteuil roulan</w:t>
      </w:r>
      <w:r w:rsidR="00C63A18">
        <w:rPr>
          <w:color w:val="4472C4" w:themeColor="accent1"/>
        </w:rPr>
        <w:t>t,</w:t>
      </w:r>
      <w:r w:rsidRPr="00465B8B">
        <w:rPr>
          <w:color w:val="4472C4" w:themeColor="accent1"/>
        </w:rPr>
        <w:t xml:space="preserve"> </w:t>
      </w:r>
      <w:r w:rsidR="00856F56">
        <w:rPr>
          <w:color w:val="4472C4" w:themeColor="accent1"/>
        </w:rPr>
        <w:t xml:space="preserve">avec </w:t>
      </w:r>
      <w:r w:rsidRPr="00465B8B">
        <w:rPr>
          <w:color w:val="4472C4" w:themeColor="accent1"/>
        </w:rPr>
        <w:t>une canne ou un déambulateur</w:t>
      </w:r>
      <w:r w:rsidR="00C63A18">
        <w:rPr>
          <w:color w:val="4472C4" w:themeColor="accent1"/>
        </w:rPr>
        <w:t>,</w:t>
      </w:r>
      <w:r w:rsidRPr="00465B8B">
        <w:rPr>
          <w:color w:val="4472C4" w:themeColor="accent1"/>
        </w:rPr>
        <w:t xml:space="preserve"> et une personne </w:t>
      </w:r>
      <w:r w:rsidR="007A484E">
        <w:rPr>
          <w:color w:val="4472C4" w:themeColor="accent1"/>
        </w:rPr>
        <w:t>souffrant de cécité</w:t>
      </w:r>
      <w:r w:rsidRPr="00465B8B">
        <w:rPr>
          <w:color w:val="4472C4" w:themeColor="accent1"/>
        </w:rPr>
        <w:t xml:space="preserve"> ne p</w:t>
      </w:r>
      <w:r w:rsidR="007A484E">
        <w:rPr>
          <w:color w:val="4472C4" w:themeColor="accent1"/>
        </w:rPr>
        <w:t>ouvai</w:t>
      </w:r>
      <w:r w:rsidRPr="00465B8B">
        <w:rPr>
          <w:color w:val="4472C4" w:themeColor="accent1"/>
        </w:rPr>
        <w:t>t se déplacer qu’avec une aide humaine. Quatre personnes souffr</w:t>
      </w:r>
      <w:r w:rsidR="007A484E">
        <w:rPr>
          <w:color w:val="4472C4" w:themeColor="accent1"/>
        </w:rPr>
        <w:t>ai</w:t>
      </w:r>
      <w:r w:rsidRPr="00465B8B">
        <w:rPr>
          <w:color w:val="4472C4" w:themeColor="accent1"/>
        </w:rPr>
        <w:t xml:space="preserve">ent d’obésité. </w:t>
      </w:r>
      <w:r w:rsidR="003D0055">
        <w:rPr>
          <w:color w:val="4472C4" w:themeColor="accent1"/>
        </w:rPr>
        <w:t>Des</w:t>
      </w:r>
      <w:r w:rsidRPr="00465B8B">
        <w:rPr>
          <w:color w:val="4472C4" w:themeColor="accent1"/>
        </w:rPr>
        <w:t xml:space="preserve"> personnes souffr</w:t>
      </w:r>
      <w:r w:rsidR="007A484E">
        <w:rPr>
          <w:color w:val="4472C4" w:themeColor="accent1"/>
        </w:rPr>
        <w:t>ai</w:t>
      </w:r>
      <w:r w:rsidRPr="00465B8B">
        <w:rPr>
          <w:color w:val="4472C4" w:themeColor="accent1"/>
        </w:rPr>
        <w:t xml:space="preserve">ent de démence à différents stades et quatre autres </w:t>
      </w:r>
      <w:r w:rsidR="007A484E">
        <w:rPr>
          <w:color w:val="4472C4" w:themeColor="accent1"/>
        </w:rPr>
        <w:t>avaient</w:t>
      </w:r>
      <w:r w:rsidRPr="00465B8B">
        <w:rPr>
          <w:color w:val="4472C4" w:themeColor="accent1"/>
        </w:rPr>
        <w:t xml:space="preserve"> des séquelles d’accidents vasculaires cérébraux. </w:t>
      </w:r>
      <w:r w:rsidR="003D0055">
        <w:rPr>
          <w:color w:val="4472C4" w:themeColor="accent1"/>
        </w:rPr>
        <w:t>D’autres</w:t>
      </w:r>
      <w:r w:rsidRPr="00465B8B">
        <w:rPr>
          <w:color w:val="4472C4" w:themeColor="accent1"/>
        </w:rPr>
        <w:t xml:space="preserve"> souffr</w:t>
      </w:r>
      <w:r w:rsidR="007A484E">
        <w:rPr>
          <w:color w:val="4472C4" w:themeColor="accent1"/>
        </w:rPr>
        <w:t>ai</w:t>
      </w:r>
      <w:r w:rsidRPr="00465B8B">
        <w:rPr>
          <w:color w:val="4472C4" w:themeColor="accent1"/>
        </w:rPr>
        <w:t>ent d’incontinence et ne bénéfici</w:t>
      </w:r>
      <w:r w:rsidR="007A484E">
        <w:rPr>
          <w:color w:val="4472C4" w:themeColor="accent1"/>
        </w:rPr>
        <w:t>ai</w:t>
      </w:r>
      <w:r w:rsidRPr="00465B8B">
        <w:rPr>
          <w:color w:val="4472C4" w:themeColor="accent1"/>
        </w:rPr>
        <w:t>ent d’une tierce personne pour la toilette que deux à trois fois par semaine. Malgré les alertes régulières des soignants depuis quatre ans, les autorités sanitaires n’</w:t>
      </w:r>
      <w:r w:rsidR="007A484E">
        <w:rPr>
          <w:color w:val="4472C4" w:themeColor="accent1"/>
        </w:rPr>
        <w:t>avaient</w:t>
      </w:r>
      <w:r w:rsidRPr="00465B8B">
        <w:rPr>
          <w:color w:val="4472C4" w:themeColor="accent1"/>
        </w:rPr>
        <w:t xml:space="preserve"> pris aucune mesure d’adaptation de l’offre de soins.</w:t>
      </w:r>
      <w:r w:rsidR="007A484E">
        <w:rPr>
          <w:color w:val="4472C4" w:themeColor="accent1"/>
        </w:rPr>
        <w:t xml:space="preserve"> </w:t>
      </w:r>
      <w:r w:rsidRPr="00465B8B">
        <w:rPr>
          <w:color w:val="4472C4" w:themeColor="accent1"/>
        </w:rPr>
        <w:t>Au regard des situations individuelles observées par les contrôleurs (</w:t>
      </w:r>
      <w:r w:rsidR="003D0055">
        <w:rPr>
          <w:color w:val="4472C4" w:themeColor="accent1"/>
        </w:rPr>
        <w:t>quelques</w:t>
      </w:r>
      <w:r w:rsidRPr="00465B8B">
        <w:rPr>
          <w:color w:val="4472C4" w:themeColor="accent1"/>
        </w:rPr>
        <w:t xml:space="preserve"> personnes bénéfici</w:t>
      </w:r>
      <w:r w:rsidR="007A484E">
        <w:rPr>
          <w:color w:val="4472C4" w:themeColor="accent1"/>
        </w:rPr>
        <w:t>ai</w:t>
      </w:r>
      <w:r w:rsidRPr="00465B8B">
        <w:rPr>
          <w:color w:val="4472C4" w:themeColor="accent1"/>
        </w:rPr>
        <w:t>ent effectivement d</w:t>
      </w:r>
      <w:r w:rsidR="007A484E">
        <w:rPr>
          <w:color w:val="4472C4" w:themeColor="accent1"/>
        </w:rPr>
        <w:t xml:space="preserve">’un réseau associatif d’aide à la personne </w:t>
      </w:r>
      <w:r w:rsidRPr="00465B8B">
        <w:rPr>
          <w:color w:val="4472C4" w:themeColor="accent1"/>
        </w:rPr>
        <w:t>deux fois par semaine pour le ménage et l’aide à la toilette mais a</w:t>
      </w:r>
      <w:r w:rsidR="007A484E">
        <w:rPr>
          <w:color w:val="4472C4" w:themeColor="accent1"/>
        </w:rPr>
        <w:t>v</w:t>
      </w:r>
      <w:r w:rsidRPr="00465B8B">
        <w:rPr>
          <w:color w:val="4472C4" w:themeColor="accent1"/>
        </w:rPr>
        <w:t>aient besoin d’une assistance quotidienne), les personnes n’</w:t>
      </w:r>
      <w:r w:rsidR="007A484E">
        <w:rPr>
          <w:color w:val="4472C4" w:themeColor="accent1"/>
        </w:rPr>
        <w:t>avaie</w:t>
      </w:r>
      <w:r w:rsidRPr="00465B8B">
        <w:rPr>
          <w:color w:val="4472C4" w:themeColor="accent1"/>
        </w:rPr>
        <w:t>nt pas accès à des aides-soignants en nombre suffisant pour assurer l’aide au ménage, à la toilette et la gestion de l’incontinence.</w:t>
      </w:r>
      <w:r w:rsidR="00856F56">
        <w:rPr>
          <w:color w:val="4472C4" w:themeColor="accent1"/>
        </w:rPr>
        <w:t xml:space="preserve"> </w:t>
      </w:r>
      <w:r w:rsidRPr="00465B8B">
        <w:rPr>
          <w:color w:val="4472C4" w:themeColor="accent1"/>
        </w:rPr>
        <w:t>De nombreux patients nécessit</w:t>
      </w:r>
      <w:r w:rsidR="007A484E">
        <w:rPr>
          <w:color w:val="4472C4" w:themeColor="accent1"/>
        </w:rPr>
        <w:t>ai</w:t>
      </w:r>
      <w:r w:rsidRPr="00465B8B">
        <w:rPr>
          <w:color w:val="4472C4" w:themeColor="accent1"/>
        </w:rPr>
        <w:t xml:space="preserve">ent de la kinésithérapie et de l’ergothérapie </w:t>
      </w:r>
      <w:r w:rsidRPr="00465B8B">
        <w:rPr>
          <w:i/>
          <w:iCs/>
          <w:color w:val="4472C4" w:themeColor="accent1"/>
        </w:rPr>
        <w:t>a minima</w:t>
      </w:r>
      <w:r w:rsidRPr="00465B8B">
        <w:rPr>
          <w:color w:val="4472C4" w:themeColor="accent1"/>
        </w:rPr>
        <w:t xml:space="preserve"> trois fois par semaine pour l’entretien des fonctions motrices ; elles n’en bénéfici</w:t>
      </w:r>
      <w:r w:rsidR="007A484E">
        <w:rPr>
          <w:color w:val="4472C4" w:themeColor="accent1"/>
        </w:rPr>
        <w:t>ai</w:t>
      </w:r>
      <w:r w:rsidRPr="00465B8B">
        <w:rPr>
          <w:color w:val="4472C4" w:themeColor="accent1"/>
        </w:rPr>
        <w:t>ent qu’une fois par semaine au mieux et parfois jamais.</w:t>
      </w:r>
    </w:p>
    <w:p w14:paraId="333A7C5D" w14:textId="0383E8EC" w:rsidR="003341CF" w:rsidRDefault="007A484E" w:rsidP="007A484E">
      <w:pPr>
        <w:jc w:val="both"/>
        <w:rPr>
          <w:color w:val="4472C4" w:themeColor="accent1"/>
        </w:rPr>
      </w:pPr>
      <w:r>
        <w:rPr>
          <w:color w:val="4472C4" w:themeColor="accent1"/>
        </w:rPr>
        <w:t xml:space="preserve">Il en est de même dans les centres de rétention administrative, qui </w:t>
      </w:r>
      <w:r w:rsidRPr="00465B8B">
        <w:rPr>
          <w:color w:val="4472C4" w:themeColor="accent1"/>
        </w:rPr>
        <w:t>ne sont pas adaptés pour héberger des personnes en situation de handicap physique ou psychique</w:t>
      </w:r>
      <w:r>
        <w:rPr>
          <w:color w:val="4472C4" w:themeColor="accent1"/>
        </w:rPr>
        <w:t xml:space="preserve">, et où </w:t>
      </w:r>
      <w:r w:rsidRPr="002D7270">
        <w:rPr>
          <w:color w:val="4472C4" w:themeColor="accent1"/>
        </w:rPr>
        <w:t xml:space="preserve">les pratiques divergent fortement en fonction des lieux. Pour une même </w:t>
      </w:r>
      <w:r>
        <w:rPr>
          <w:color w:val="4472C4" w:themeColor="accent1"/>
        </w:rPr>
        <w:t>situation</w:t>
      </w:r>
      <w:r w:rsidRPr="002D7270">
        <w:rPr>
          <w:color w:val="4472C4" w:themeColor="accent1"/>
        </w:rPr>
        <w:t>, certains médecins n’établissent pratiquement jamais de certificat d’incompatibilité, quand d’autres le font systématiquement ; d’autres encore ne les rédigent que si l’état de santé de la personne nécessite une hospitalisation.</w:t>
      </w:r>
    </w:p>
    <w:p w14:paraId="768B5F6D" w14:textId="77777777" w:rsidR="00426DA0" w:rsidRPr="007A484E" w:rsidRDefault="00426DA0" w:rsidP="007A484E">
      <w:pPr>
        <w:jc w:val="both"/>
        <w:rPr>
          <w:color w:val="4472C4" w:themeColor="accent1"/>
        </w:rPr>
      </w:pPr>
    </w:p>
    <w:p w14:paraId="7A83C261" w14:textId="516D2D3B" w:rsidR="00E245FE" w:rsidRDefault="00C63A18" w:rsidP="00C63A18">
      <w:pPr>
        <w:pBdr>
          <w:top w:val="single" w:sz="4" w:space="1" w:color="auto"/>
          <w:left w:val="single" w:sz="4" w:space="4" w:color="auto"/>
          <w:bottom w:val="single" w:sz="4" w:space="1" w:color="auto"/>
          <w:right w:val="single" w:sz="4" w:space="4" w:color="auto"/>
        </w:pBdr>
        <w:jc w:val="both"/>
        <w:rPr>
          <w:b/>
          <w:bCs/>
        </w:rPr>
      </w:pPr>
      <w:r>
        <w:rPr>
          <w:b/>
          <w:bCs/>
        </w:rPr>
        <w:t>Recommandation</w:t>
      </w:r>
      <w:r w:rsidR="00947842">
        <w:rPr>
          <w:b/>
          <w:bCs/>
        </w:rPr>
        <w:t>s</w:t>
      </w:r>
      <w:r>
        <w:rPr>
          <w:b/>
          <w:bCs/>
        </w:rPr>
        <w:t> :</w:t>
      </w:r>
    </w:p>
    <w:p w14:paraId="3E821352" w14:textId="325FB2FE" w:rsidR="00E245FE" w:rsidRPr="00E245FE" w:rsidRDefault="00E245FE" w:rsidP="00E245FE">
      <w:pPr>
        <w:pBdr>
          <w:top w:val="single" w:sz="4" w:space="1" w:color="auto"/>
          <w:left w:val="single" w:sz="4" w:space="4" w:color="auto"/>
          <w:bottom w:val="single" w:sz="4" w:space="1" w:color="auto"/>
          <w:right w:val="single" w:sz="4" w:space="4" w:color="auto"/>
        </w:pBdr>
        <w:jc w:val="both"/>
        <w:rPr>
          <w:b/>
          <w:bCs/>
        </w:rPr>
      </w:pPr>
      <w:r w:rsidRPr="00E245FE">
        <w:rPr>
          <w:b/>
          <w:bCs/>
        </w:rPr>
        <w:t>La notion d’aménagement raisonnable</w:t>
      </w:r>
      <w:r>
        <w:rPr>
          <w:b/>
          <w:bCs/>
        </w:rPr>
        <w:t xml:space="preserve"> </w:t>
      </w:r>
      <w:r w:rsidRPr="00E245FE">
        <w:rPr>
          <w:b/>
          <w:bCs/>
        </w:rPr>
        <w:t>doit être adoptée dans le droit national. A défaut de cette reconnaissance, les droits des personnes à mobilité réduite ou en perte d’autonomie sont privés d’effectivité et leur égalité d’accès aux services et aux soins ne peut être assurée.</w:t>
      </w:r>
    </w:p>
    <w:p w14:paraId="019F03FD" w14:textId="46F6BAA5" w:rsidR="00C63A18" w:rsidRPr="00E96E2E" w:rsidRDefault="00C71913" w:rsidP="00E96E2E">
      <w:pPr>
        <w:pBdr>
          <w:top w:val="single" w:sz="4" w:space="1" w:color="auto"/>
          <w:left w:val="single" w:sz="4" w:space="4" w:color="auto"/>
          <w:bottom w:val="single" w:sz="4" w:space="1" w:color="auto"/>
          <w:right w:val="single" w:sz="4" w:space="4" w:color="auto"/>
        </w:pBdr>
        <w:jc w:val="both"/>
        <w:rPr>
          <w:b/>
          <w:bCs/>
        </w:rPr>
      </w:pPr>
      <w:r>
        <w:rPr>
          <w:b/>
          <w:bCs/>
        </w:rPr>
        <w:t>En prison, les</w:t>
      </w:r>
      <w:r w:rsidR="00E245FE" w:rsidRPr="00E245FE">
        <w:rPr>
          <w:b/>
          <w:bCs/>
        </w:rPr>
        <w:t xml:space="preserve"> personnes dont l’état de santé le requiert</w:t>
      </w:r>
      <w:r w:rsidR="00947842">
        <w:rPr>
          <w:b/>
          <w:bCs/>
        </w:rPr>
        <w:t>,</w:t>
      </w:r>
      <w:r w:rsidR="00E245FE" w:rsidRPr="00E245FE">
        <w:rPr>
          <w:b/>
          <w:bCs/>
        </w:rPr>
        <w:t xml:space="preserve"> doivent être hébergées dans une cellule répondant aux normes PMR et leur transport dans des véhicules adaptés doit être systématique. Le prononcé d’une sanction de placement au quartier disciplinaire doit être proscrit s’agissant de ces personnes. L’appréciation des incompatibilités éventuelles relatives à la vie en détention par le médecin doit être réalisée </w:t>
      </w:r>
      <w:r w:rsidR="00E245FE" w:rsidRPr="00B36FC5">
        <w:rPr>
          <w:b/>
          <w:bCs/>
          <w:i/>
          <w:iCs/>
        </w:rPr>
        <w:t>in concreto</w:t>
      </w:r>
      <w:r w:rsidR="00E245FE" w:rsidRPr="00E245FE">
        <w:rPr>
          <w:b/>
          <w:bCs/>
        </w:rPr>
        <w:t>, c’est-à-dire en tenant compte à la fois de l’état de santé de la personne détenue et de l’environnement qui lui est offert. Des visites régulières en détention par l’équipe soignante doivent permettre une telle appréciation.</w:t>
      </w:r>
    </w:p>
    <w:p w14:paraId="666D1C31" w14:textId="46C928DF" w:rsidR="00C63A18" w:rsidRDefault="00C63A18" w:rsidP="003341CF">
      <w:pPr>
        <w:rPr>
          <w:b/>
          <w:bCs/>
          <w:u w:val="single"/>
        </w:rPr>
      </w:pPr>
    </w:p>
    <w:p w14:paraId="47645AAD" w14:textId="77777777" w:rsidR="00B36FC5" w:rsidRPr="00426DA0" w:rsidRDefault="00B36FC5" w:rsidP="00B36FC5">
      <w:pPr>
        <w:pBdr>
          <w:top w:val="single" w:sz="4" w:space="1" w:color="auto"/>
          <w:left w:val="single" w:sz="4" w:space="4" w:color="auto"/>
          <w:bottom w:val="single" w:sz="4" w:space="1" w:color="auto"/>
          <w:right w:val="single" w:sz="4" w:space="4" w:color="auto"/>
        </w:pBdr>
        <w:jc w:val="both"/>
        <w:rPr>
          <w:b/>
          <w:bCs/>
        </w:rPr>
      </w:pPr>
      <w:r>
        <w:rPr>
          <w:b/>
          <w:bCs/>
        </w:rPr>
        <w:t>Lorsque la situation le nécessite</w:t>
      </w:r>
      <w:r w:rsidRPr="00C63A18">
        <w:rPr>
          <w:b/>
          <w:bCs/>
        </w:rPr>
        <w:t xml:space="preserve">, l’assistance par un organisme d’aide à domicile local doit être mise en œuvre afin de lui assurer une prise en charge sanitaire effective et des conditions de détention dignes. L’assistance d’un codétenu, non formé à cette fin et non supervisé par un professionnel, ne saurait être considérée comme suffisante à satisfaire l’obligation de préservation de l’intégrité et de la sécurité </w:t>
      </w:r>
      <w:r>
        <w:rPr>
          <w:b/>
          <w:bCs/>
        </w:rPr>
        <w:t>des personnes privées de liberté en situation de dépendance</w:t>
      </w:r>
      <w:r w:rsidRPr="00C63A18">
        <w:rPr>
          <w:b/>
          <w:bCs/>
        </w:rPr>
        <w:t>, et du respect de leur dignité.</w:t>
      </w:r>
    </w:p>
    <w:p w14:paraId="2E31CBCE" w14:textId="77777777" w:rsidR="00B36FC5" w:rsidRDefault="00B36FC5" w:rsidP="003341CF">
      <w:pPr>
        <w:rPr>
          <w:b/>
          <w:bCs/>
          <w:u w:val="single"/>
        </w:rPr>
      </w:pPr>
    </w:p>
    <w:p w14:paraId="65C1D5C6" w14:textId="5C98C65A" w:rsidR="003341CF" w:rsidRPr="008E008C" w:rsidRDefault="003341CF" w:rsidP="00A40C5A">
      <w:pPr>
        <w:jc w:val="both"/>
        <w:rPr>
          <w:b/>
          <w:bCs/>
          <w:u w:val="single"/>
        </w:rPr>
      </w:pPr>
      <w:r w:rsidRPr="008E008C">
        <w:rPr>
          <w:b/>
          <w:bCs/>
          <w:u w:val="single"/>
        </w:rPr>
        <w:t>Droit de ne pas être soumis à la torture ni à des peines ou traitements cruels, inhumains ou dégradants (art.15)</w:t>
      </w:r>
    </w:p>
    <w:p w14:paraId="34A93B48" w14:textId="71C46033" w:rsidR="003341CF" w:rsidRPr="008E008C" w:rsidRDefault="008E008C" w:rsidP="008E008C">
      <w:pPr>
        <w:jc w:val="both"/>
        <w:rPr>
          <w:b/>
          <w:bCs/>
        </w:rPr>
      </w:pPr>
      <w:r w:rsidRPr="008E008C">
        <w:rPr>
          <w:b/>
          <w:bCs/>
        </w:rPr>
        <w:t xml:space="preserve">Le Comité demande au gouvernement français ce </w:t>
      </w:r>
      <w:r w:rsidR="003341CF" w:rsidRPr="008E008C">
        <w:rPr>
          <w:b/>
          <w:bCs/>
        </w:rPr>
        <w:t>qui a été fait pour interdire</w:t>
      </w:r>
      <w:r w:rsidR="00F21E2D">
        <w:rPr>
          <w:b/>
          <w:bCs/>
        </w:rPr>
        <w:t xml:space="preserve"> </w:t>
      </w:r>
      <w:r w:rsidRPr="008E008C">
        <w:rPr>
          <w:b/>
          <w:bCs/>
        </w:rPr>
        <w:t>l</w:t>
      </w:r>
      <w:r w:rsidR="003341CF" w:rsidRPr="008E008C">
        <w:rPr>
          <w:b/>
          <w:bCs/>
        </w:rPr>
        <w:t>’utilisation de moyens de contention physiques, mécaniques et chimiques sur les personnes handicapées dans les services de santé, tels que les hôpitaux psychiatriques et les établissements de soins, ainsi que la méthode du « packing » (enveloppement) employée pour traiter les personnes autistes</w:t>
      </w:r>
      <w:r w:rsidR="005B5C43">
        <w:rPr>
          <w:b/>
          <w:bCs/>
        </w:rPr>
        <w:t xml:space="preserve"> (§ 15a)</w:t>
      </w:r>
      <w:r>
        <w:rPr>
          <w:b/>
          <w:bCs/>
        </w:rPr>
        <w:t xml:space="preserve">. </w:t>
      </w:r>
    </w:p>
    <w:p w14:paraId="0B9C652F" w14:textId="150067E0" w:rsidR="003341CF" w:rsidRPr="0017180F" w:rsidRDefault="005B5C43" w:rsidP="005B5C43">
      <w:pPr>
        <w:jc w:val="both"/>
        <w:rPr>
          <w:i/>
          <w:iCs/>
        </w:rPr>
      </w:pPr>
      <w:r w:rsidRPr="0017180F">
        <w:rPr>
          <w:i/>
          <w:iCs/>
        </w:rPr>
        <w:t>S’agissant de l’utilisation de la contention, la France renvoie à sa réponse au paragraphe 13 b).  Par ailleurs, elle indique que le</w:t>
      </w:r>
      <w:r w:rsidR="003341CF" w:rsidRPr="0017180F">
        <w:rPr>
          <w:i/>
          <w:iCs/>
        </w:rPr>
        <w:t xml:space="preserve"> packing ne fait pas partie des interventions recommandées par la </w:t>
      </w:r>
      <w:r w:rsidRPr="0017180F">
        <w:rPr>
          <w:i/>
          <w:iCs/>
        </w:rPr>
        <w:t>Haute autorité de santé</w:t>
      </w:r>
      <w:r w:rsidR="003341CF" w:rsidRPr="0017180F">
        <w:rPr>
          <w:i/>
          <w:iCs/>
        </w:rPr>
        <w:t>.</w:t>
      </w:r>
      <w:r w:rsidRPr="0017180F">
        <w:rPr>
          <w:i/>
          <w:iCs/>
        </w:rPr>
        <w:t xml:space="preserve"> Elle ajoute que la</w:t>
      </w:r>
      <w:r w:rsidR="003341CF" w:rsidRPr="0017180F">
        <w:rPr>
          <w:i/>
          <w:iCs/>
        </w:rPr>
        <w:t xml:space="preserve"> formation des professionnels de santé à l’autisme fait partie des orientations prioritaires nationales de développement professionnel continu 2020-2022. Un plan d’action renforçant la qualité de l’analyse des offres de formation par l’agence nationale du développement professionnel continu est en cours de mise en place</w:t>
      </w:r>
      <w:r w:rsidRPr="0017180F">
        <w:rPr>
          <w:i/>
          <w:iCs/>
        </w:rPr>
        <w:t xml:space="preserve"> (§ 112 à 115)</w:t>
      </w:r>
      <w:r w:rsidR="003341CF" w:rsidRPr="0017180F">
        <w:rPr>
          <w:i/>
          <w:iCs/>
        </w:rPr>
        <w:t>.</w:t>
      </w:r>
    </w:p>
    <w:p w14:paraId="691E6A13" w14:textId="536D6ABE" w:rsidR="00393502" w:rsidRDefault="00D75C28" w:rsidP="001C3088">
      <w:pPr>
        <w:jc w:val="both"/>
        <w:rPr>
          <w:color w:val="4472C4" w:themeColor="accent1"/>
        </w:rPr>
      </w:pPr>
      <w:r>
        <w:rPr>
          <w:color w:val="4472C4" w:themeColor="accent1"/>
        </w:rPr>
        <w:t xml:space="preserve">Sur l’utilisation de </w:t>
      </w:r>
      <w:r w:rsidR="00121D45">
        <w:rPr>
          <w:color w:val="4472C4" w:themeColor="accent1"/>
        </w:rPr>
        <w:t xml:space="preserve">l’isolement et de </w:t>
      </w:r>
      <w:r>
        <w:rPr>
          <w:color w:val="4472C4" w:themeColor="accent1"/>
        </w:rPr>
        <w:t>la contention, voir réponse supra à l’article 13 b)</w:t>
      </w:r>
      <w:r w:rsidR="008F71B6">
        <w:rPr>
          <w:color w:val="4472C4" w:themeColor="accent1"/>
        </w:rPr>
        <w:t>.</w:t>
      </w:r>
    </w:p>
    <w:p w14:paraId="2FD64F29" w14:textId="77777777" w:rsidR="00121D45" w:rsidRPr="001C3088" w:rsidRDefault="00121D45" w:rsidP="001C3088">
      <w:pPr>
        <w:jc w:val="both"/>
        <w:rPr>
          <w:color w:val="4472C4" w:themeColor="accent1"/>
        </w:rPr>
      </w:pPr>
    </w:p>
    <w:p w14:paraId="1C517B7A" w14:textId="77777777" w:rsidR="003341CF" w:rsidRPr="0001099C" w:rsidRDefault="003341CF" w:rsidP="003341CF">
      <w:pPr>
        <w:rPr>
          <w:b/>
          <w:bCs/>
          <w:u w:val="single"/>
        </w:rPr>
      </w:pPr>
      <w:r w:rsidRPr="0001099C">
        <w:rPr>
          <w:b/>
          <w:bCs/>
          <w:u w:val="single"/>
        </w:rPr>
        <w:t xml:space="preserve">Droit de ne pas être soumis à l’exploitation, à la violence et à la maltraitance (art. 16) </w:t>
      </w:r>
    </w:p>
    <w:p w14:paraId="39293241" w14:textId="0AF3C2FD" w:rsidR="003341CF" w:rsidRPr="001C3088" w:rsidRDefault="001C3088" w:rsidP="001C3088">
      <w:pPr>
        <w:jc w:val="both"/>
        <w:rPr>
          <w:b/>
          <w:bCs/>
        </w:rPr>
      </w:pPr>
      <w:r w:rsidRPr="001C3088">
        <w:rPr>
          <w:b/>
          <w:bCs/>
        </w:rPr>
        <w:t>Le Comité demande à la France de f</w:t>
      </w:r>
      <w:r w:rsidR="003341CF" w:rsidRPr="001C3088">
        <w:rPr>
          <w:b/>
          <w:bCs/>
        </w:rPr>
        <w:t>ournir des renseignements concern</w:t>
      </w:r>
      <w:r w:rsidRPr="001C3088">
        <w:rPr>
          <w:b/>
          <w:bCs/>
        </w:rPr>
        <w:t>ant l</w:t>
      </w:r>
      <w:r w:rsidR="003341CF" w:rsidRPr="001C3088">
        <w:rPr>
          <w:b/>
          <w:bCs/>
        </w:rPr>
        <w:t>es mesures prises pour protéger les personnes handicapées, en particulier les femmes et les filles, contre l’exploitation, la violence et la maltraitance, notamment la violence familiale, la violence sexuelle et la violence institutionnelle, notamment dans les établissements de soins et les hôpitaux psychiatriques </w:t>
      </w:r>
      <w:r w:rsidRPr="001C3088">
        <w:rPr>
          <w:b/>
          <w:bCs/>
        </w:rPr>
        <w:t>(§ 16 a)</w:t>
      </w:r>
    </w:p>
    <w:p w14:paraId="47610DEA" w14:textId="70291787" w:rsidR="00551BF7" w:rsidRPr="00551BF7" w:rsidRDefault="001C3088" w:rsidP="00551BF7">
      <w:pPr>
        <w:jc w:val="both"/>
        <w:rPr>
          <w:i/>
          <w:iCs/>
        </w:rPr>
      </w:pPr>
      <w:r w:rsidRPr="00A40C5A">
        <w:rPr>
          <w:i/>
          <w:iCs/>
        </w:rPr>
        <w:t>Dans sa réponse, la France mentionne que</w:t>
      </w:r>
      <w:r w:rsidR="003341CF" w:rsidRPr="00A40C5A">
        <w:rPr>
          <w:i/>
          <w:iCs/>
        </w:rPr>
        <w:t xml:space="preserve"> </w:t>
      </w:r>
      <w:r w:rsidRPr="00A40C5A">
        <w:rPr>
          <w:i/>
          <w:iCs/>
        </w:rPr>
        <w:t>l</w:t>
      </w:r>
      <w:r w:rsidR="003341CF" w:rsidRPr="00A40C5A">
        <w:rPr>
          <w:i/>
          <w:iCs/>
        </w:rPr>
        <w:t xml:space="preserve">es mesures adoptées en 2019 pour lutter contre les violences faites aux femmes prennent systématiquement en compte les besoins particuliers des femmes et filles handicapées. Elles sont complétées par des actions spécifiques, notamment par une prochaine formation en ligne certifiante pour faire monter en compétence massivement les professionnels </w:t>
      </w:r>
      <w:r w:rsidRPr="00A40C5A">
        <w:rPr>
          <w:i/>
          <w:iCs/>
        </w:rPr>
        <w:t>concernés</w:t>
      </w:r>
      <w:r w:rsidR="003341CF" w:rsidRPr="00A40C5A">
        <w:rPr>
          <w:i/>
          <w:iCs/>
        </w:rPr>
        <w:t>.</w:t>
      </w:r>
      <w:r w:rsidRPr="00A40C5A">
        <w:rPr>
          <w:i/>
          <w:iCs/>
        </w:rPr>
        <w:t xml:space="preserve"> Elle indique par ailleurs que l</w:t>
      </w:r>
      <w:r w:rsidR="003341CF" w:rsidRPr="00A40C5A">
        <w:rPr>
          <w:i/>
          <w:iCs/>
        </w:rPr>
        <w:t>es violences au sein des établissements de soins, y compris des établissements psychiatriques, peuvent être signalées à l’Observatoire national des violences en milieu de santé. Il élabore et diffuse également des outils et des bonnes pratiques. Il encourage la coordination des acteurs de terrain</w:t>
      </w:r>
      <w:r w:rsidR="008F71B6">
        <w:rPr>
          <w:i/>
          <w:iCs/>
        </w:rPr>
        <w:t xml:space="preserve"> </w:t>
      </w:r>
      <w:r w:rsidRPr="00A40C5A">
        <w:rPr>
          <w:i/>
          <w:iCs/>
        </w:rPr>
        <w:t>(§ 117 et 118)</w:t>
      </w:r>
      <w:r w:rsidR="008F71B6">
        <w:rPr>
          <w:i/>
          <w:iCs/>
        </w:rPr>
        <w:t>.</w:t>
      </w:r>
    </w:p>
    <w:p w14:paraId="513C73B5" w14:textId="0B7C009D" w:rsidR="00551BF7" w:rsidRDefault="00551BF7" w:rsidP="00551BF7">
      <w:pPr>
        <w:jc w:val="both"/>
        <w:rPr>
          <w:color w:val="4472C4" w:themeColor="accent1"/>
        </w:rPr>
      </w:pPr>
      <w:r w:rsidRPr="00551BF7">
        <w:rPr>
          <w:color w:val="4472C4" w:themeColor="accent1"/>
        </w:rPr>
        <w:t xml:space="preserve">La réduction et la prévention des violences passent par la possibilité de </w:t>
      </w:r>
      <w:r w:rsidR="0077219F">
        <w:rPr>
          <w:color w:val="4472C4" w:themeColor="accent1"/>
        </w:rPr>
        <w:t xml:space="preserve">chacun de </w:t>
      </w:r>
      <w:r w:rsidRPr="00551BF7">
        <w:rPr>
          <w:color w:val="4472C4" w:themeColor="accent1"/>
        </w:rPr>
        <w:t xml:space="preserve">connaître ses droits, ses obligations et les risques </w:t>
      </w:r>
      <w:r w:rsidR="0077219F">
        <w:rPr>
          <w:color w:val="4472C4" w:themeColor="accent1"/>
        </w:rPr>
        <w:t>induits par</w:t>
      </w:r>
      <w:r w:rsidR="0077219F" w:rsidRPr="00551BF7">
        <w:rPr>
          <w:color w:val="4472C4" w:themeColor="accent1"/>
        </w:rPr>
        <w:t xml:space="preserve"> </w:t>
      </w:r>
      <w:r w:rsidRPr="00551BF7">
        <w:rPr>
          <w:color w:val="4472C4" w:themeColor="accent1"/>
        </w:rPr>
        <w:t>sa conduite. Dans l’ensemble des lieux de privation de liberté, l’information des personnes privées de liberté – quand elle existe effectivement</w:t>
      </w:r>
      <w:r>
        <w:rPr>
          <w:color w:val="4472C4" w:themeColor="accent1"/>
        </w:rPr>
        <w:t xml:space="preserve"> </w:t>
      </w:r>
      <w:r w:rsidRPr="00551BF7">
        <w:rPr>
          <w:color w:val="4472C4" w:themeColor="accent1"/>
        </w:rPr>
        <w:t>– n’est souvent que parcellaire et non individualisée ; le contenu des droits ainsi que leur portée sont rarement explicités</w:t>
      </w:r>
      <w:r w:rsidR="0077219F">
        <w:rPr>
          <w:color w:val="4472C4" w:themeColor="accent1"/>
        </w:rPr>
        <w:t>,</w:t>
      </w:r>
      <w:r w:rsidRPr="00551BF7">
        <w:rPr>
          <w:color w:val="4472C4" w:themeColor="accent1"/>
        </w:rPr>
        <w:t xml:space="preserve"> alors même qu’ils ne sont pas facilement compréhensibles.</w:t>
      </w:r>
      <w:r>
        <w:rPr>
          <w:color w:val="4472C4" w:themeColor="accent1"/>
        </w:rPr>
        <w:t xml:space="preserve"> </w:t>
      </w:r>
      <w:r w:rsidRPr="00551BF7">
        <w:rPr>
          <w:color w:val="4472C4" w:themeColor="accent1"/>
        </w:rPr>
        <w:t>Faire de la personne privée de liberté un acteur de sa propre prise en charge et prendre en considération ses choix – ainsi que l’avis de ses proches – est indéniablement un facteur d’apaisement des relations. L’instauration de rapports sociaux apaisés fondés sur l’écoute et le lien entre les personnes privées de liberté et les personnes qui les prennent en charge diminue le risque de violence.</w:t>
      </w:r>
      <w:r>
        <w:rPr>
          <w:color w:val="4472C4" w:themeColor="accent1"/>
        </w:rPr>
        <w:t xml:space="preserve"> </w:t>
      </w:r>
      <w:r w:rsidRPr="00551BF7">
        <w:rPr>
          <w:color w:val="4472C4" w:themeColor="accent1"/>
        </w:rPr>
        <w:t xml:space="preserve">Dans les différents lieux contrôlés des outils existent qui permettent de recueillir l’expression des avis des personnes privées de liberté mais le CGLPL constate qu’ils sont trop souvent sous exploités, voire </w:t>
      </w:r>
      <w:r w:rsidR="00531B62">
        <w:rPr>
          <w:color w:val="4472C4" w:themeColor="accent1"/>
        </w:rPr>
        <w:t xml:space="preserve">inutilisés. </w:t>
      </w:r>
    </w:p>
    <w:p w14:paraId="0B440653" w14:textId="2F3038F0" w:rsidR="00551BF7" w:rsidRPr="00551BF7" w:rsidRDefault="00551BF7" w:rsidP="00551BF7">
      <w:pPr>
        <w:jc w:val="both"/>
        <w:rPr>
          <w:color w:val="4472C4" w:themeColor="accent1"/>
        </w:rPr>
      </w:pPr>
      <w:r w:rsidRPr="00551BF7">
        <w:rPr>
          <w:color w:val="4472C4" w:themeColor="accent1"/>
        </w:rPr>
        <w:t>Les établissements doivent assurer à chaque personne privée de liberté victime de violence, une protection effective de son intégrité physique et psychique. La première réponse du personnel doit permettre de faire cesser l’événement violent en veillant à ne pas aggraver la situation</w:t>
      </w:r>
      <w:r w:rsidR="00F21E2D">
        <w:rPr>
          <w:color w:val="4472C4" w:themeColor="accent1"/>
        </w:rPr>
        <w:t> </w:t>
      </w:r>
      <w:r w:rsidRPr="00551BF7">
        <w:rPr>
          <w:color w:val="4472C4" w:themeColor="accent1"/>
        </w:rPr>
        <w:t>: accompagnement et placement de la victime dans un endroit limitant les risques, adoption d’une attitude gestuelle, verbale et visuelle qui évite la confrontation et permet l’apaisement.</w:t>
      </w:r>
    </w:p>
    <w:p w14:paraId="4BB34A23" w14:textId="77777777" w:rsidR="00551BF7" w:rsidRPr="00551BF7" w:rsidRDefault="00551BF7" w:rsidP="00551BF7">
      <w:pPr>
        <w:jc w:val="both"/>
        <w:rPr>
          <w:color w:val="4472C4" w:themeColor="accent1"/>
        </w:rPr>
      </w:pPr>
      <w:r w:rsidRPr="00551BF7">
        <w:rPr>
          <w:color w:val="4472C4" w:themeColor="accent1"/>
        </w:rPr>
        <w:t>Dans tous les lieux, une réclamation, requête ou plainte peut être émise par la personne privée de liberté ou ses proches auprès de la hiérarchie. Cette procédure est plus ou moins bien exposée dans les documents informatifs. À l’hôpital, les obstacles au dépôt des réclamations sont parfois ardus : rédiger une plainte structurée et motivée n’est pas toujours accessible à une personne malade ; les familles redoutent de possibles représailles à l’endroit de leur proche hospitalisé en cas de dénonciation. En prison, dénoncer des violences à l’administration suppose de rédiger une requête pour obtenir un entretien avec un officier ou un membre de la direction. Or, dans de nombreux établissements pénitentiaires, les personnes détenues se plaignent de ce que leurs requêtes ne sont pas traitées ou ne parviennent pas à leur destinataire.</w:t>
      </w:r>
    </w:p>
    <w:p w14:paraId="21812438" w14:textId="260A73CC" w:rsidR="00551BF7" w:rsidRPr="00551BF7" w:rsidRDefault="00551BF7" w:rsidP="00551BF7">
      <w:pPr>
        <w:jc w:val="both"/>
        <w:rPr>
          <w:color w:val="4472C4" w:themeColor="accent1"/>
        </w:rPr>
      </w:pPr>
      <w:r w:rsidRPr="00551BF7">
        <w:rPr>
          <w:color w:val="4472C4" w:themeColor="accent1"/>
        </w:rPr>
        <w:t>Le personnel est chargé de déclarer les incidents dont il a connaissance</w:t>
      </w:r>
      <w:r w:rsidR="00535AE1">
        <w:rPr>
          <w:color w:val="4472C4" w:themeColor="accent1"/>
        </w:rPr>
        <w:t>, mais il a parfois tendance à les minimiser.</w:t>
      </w:r>
      <w:r w:rsidRPr="00551BF7">
        <w:rPr>
          <w:color w:val="4472C4" w:themeColor="accent1"/>
        </w:rPr>
        <w:t xml:space="preserve"> Pourtant, </w:t>
      </w:r>
      <w:r w:rsidR="00535AE1">
        <w:rPr>
          <w:color w:val="4472C4" w:themeColor="accent1"/>
        </w:rPr>
        <w:t>ce</w:t>
      </w:r>
      <w:r w:rsidRPr="00551BF7">
        <w:rPr>
          <w:color w:val="4472C4" w:themeColor="accent1"/>
        </w:rPr>
        <w:t xml:space="preserve"> signalement par le personnel des faits de violence est une obligation professionnelle. Les administrations doivent prendre les mesures nécessaires pour que les obligations de signalement mentionnées dans les codes de déontologie ne restent pas lettre morte.</w:t>
      </w:r>
    </w:p>
    <w:p w14:paraId="72574777" w14:textId="3E1B58FA" w:rsidR="00551BF7" w:rsidRPr="00551BF7" w:rsidRDefault="00551BF7" w:rsidP="00551BF7">
      <w:pPr>
        <w:jc w:val="both"/>
        <w:rPr>
          <w:color w:val="4472C4" w:themeColor="accent1"/>
        </w:rPr>
      </w:pPr>
      <w:r w:rsidRPr="00551BF7">
        <w:rPr>
          <w:color w:val="4472C4" w:themeColor="accent1"/>
        </w:rPr>
        <w:t>La difficulté d’identifier l’auteur des faits violents peut aussi rendre difficile l</w:t>
      </w:r>
      <w:r w:rsidR="008F71B6">
        <w:rPr>
          <w:color w:val="4472C4" w:themeColor="accent1"/>
        </w:rPr>
        <w:t xml:space="preserve">e dépôt </w:t>
      </w:r>
      <w:r w:rsidRPr="00551BF7">
        <w:rPr>
          <w:color w:val="4472C4" w:themeColor="accent1"/>
        </w:rPr>
        <w:t>d’une plainte</w:t>
      </w:r>
      <w:r>
        <w:rPr>
          <w:color w:val="4472C4" w:themeColor="accent1"/>
        </w:rPr>
        <w:t xml:space="preserve">. </w:t>
      </w:r>
      <w:r w:rsidRPr="00551BF7">
        <w:rPr>
          <w:color w:val="4472C4" w:themeColor="accent1"/>
        </w:rPr>
        <w:t>S’agissant plus particulièrement des faits commis par le personnel sur des personnes privées de liberté, ils font minoritairement l’objet d’une enquête, administrative ou judiciaire ; ils sont parfois difficiles à caractériser, les témoignages tendant à ramener l’acte à un simple geste professionnel ou à le minimiser, sans que la vidéosurveillance permette de l’attester.</w:t>
      </w:r>
    </w:p>
    <w:p w14:paraId="36CCA07D" w14:textId="737889E1" w:rsidR="00551BF7" w:rsidRPr="00551BF7" w:rsidRDefault="00551BF7" w:rsidP="00551BF7">
      <w:pPr>
        <w:jc w:val="both"/>
        <w:rPr>
          <w:color w:val="4472C4" w:themeColor="accent1"/>
        </w:rPr>
      </w:pPr>
      <w:r w:rsidRPr="00551BF7">
        <w:rPr>
          <w:color w:val="4472C4" w:themeColor="accent1"/>
        </w:rPr>
        <w:t xml:space="preserve">La prévention des violences passe par la faculté de </w:t>
      </w:r>
      <w:r w:rsidR="00EB6108">
        <w:rPr>
          <w:color w:val="4472C4" w:themeColor="accent1"/>
        </w:rPr>
        <w:t xml:space="preserve">chaque personne privée de liberté de </w:t>
      </w:r>
      <w:r w:rsidRPr="00551BF7">
        <w:rPr>
          <w:color w:val="4472C4" w:themeColor="accent1"/>
        </w:rPr>
        <w:t>pouvoir les dénoncer, déposer plainte, être entendu</w:t>
      </w:r>
      <w:r w:rsidR="00EB6108">
        <w:rPr>
          <w:color w:val="4472C4" w:themeColor="accent1"/>
        </w:rPr>
        <w:t>e</w:t>
      </w:r>
      <w:r w:rsidRPr="00551BF7">
        <w:rPr>
          <w:color w:val="4472C4" w:themeColor="accent1"/>
        </w:rPr>
        <w:t xml:space="preserve"> et </w:t>
      </w:r>
      <w:r w:rsidR="00EB6108">
        <w:rPr>
          <w:color w:val="4472C4" w:themeColor="accent1"/>
        </w:rPr>
        <w:t xml:space="preserve">voir </w:t>
      </w:r>
      <w:r w:rsidRPr="00551BF7">
        <w:rPr>
          <w:color w:val="4472C4" w:themeColor="accent1"/>
        </w:rPr>
        <w:t>reconnu</w:t>
      </w:r>
      <w:r w:rsidR="00EB6108">
        <w:rPr>
          <w:color w:val="4472C4" w:themeColor="accent1"/>
        </w:rPr>
        <w:t>e</w:t>
      </w:r>
      <w:r w:rsidRPr="00551BF7">
        <w:rPr>
          <w:color w:val="4472C4" w:themeColor="accent1"/>
        </w:rPr>
        <w:t xml:space="preserve"> </w:t>
      </w:r>
      <w:r w:rsidR="00EB6108">
        <w:rPr>
          <w:color w:val="4472C4" w:themeColor="accent1"/>
        </w:rPr>
        <w:t>sa qualité de</w:t>
      </w:r>
      <w:r w:rsidRPr="00551BF7">
        <w:rPr>
          <w:color w:val="4472C4" w:themeColor="accent1"/>
        </w:rPr>
        <w:t xml:space="preserve"> victime. Si des dispositifs sont mis en place dans certains établissements, faire valoir ses droits est un parcours difficile. En prison comme dans les autres lieux, </w:t>
      </w:r>
      <w:r w:rsidR="00EB6108">
        <w:rPr>
          <w:color w:val="4472C4" w:themeColor="accent1"/>
        </w:rPr>
        <w:t xml:space="preserve">en cas de contradiction entre la parole d’une personne privée de liberté et celle </w:t>
      </w:r>
      <w:r w:rsidRPr="00551BF7">
        <w:rPr>
          <w:color w:val="4472C4" w:themeColor="accent1"/>
        </w:rPr>
        <w:t xml:space="preserve">d’un professionnel, </w:t>
      </w:r>
      <w:r w:rsidR="00EB6108">
        <w:rPr>
          <w:color w:val="4472C4" w:themeColor="accent1"/>
        </w:rPr>
        <w:t>le risque existe de voir cette dernière davantage – voire exclusivement - prise en compte</w:t>
      </w:r>
      <w:r w:rsidRPr="00551BF7">
        <w:rPr>
          <w:color w:val="4472C4" w:themeColor="accent1"/>
        </w:rPr>
        <w:t>.</w:t>
      </w:r>
      <w:r w:rsidR="00535AE1">
        <w:rPr>
          <w:color w:val="4472C4" w:themeColor="accent1"/>
        </w:rPr>
        <w:t xml:space="preserve"> </w:t>
      </w:r>
      <w:r w:rsidRPr="00551BF7">
        <w:rPr>
          <w:color w:val="4472C4" w:themeColor="accent1"/>
        </w:rPr>
        <w:t xml:space="preserve">En outre, le dépôt d’une plainte pénale pour agression impose de disposer d’un certificat médical </w:t>
      </w:r>
      <w:r w:rsidR="00EB6108">
        <w:rPr>
          <w:color w:val="4472C4" w:themeColor="accent1"/>
        </w:rPr>
        <w:t>établissant</w:t>
      </w:r>
      <w:r w:rsidR="00EB6108" w:rsidRPr="00551BF7">
        <w:rPr>
          <w:color w:val="4472C4" w:themeColor="accent1"/>
        </w:rPr>
        <w:t xml:space="preserve"> </w:t>
      </w:r>
      <w:r w:rsidRPr="00551BF7">
        <w:rPr>
          <w:color w:val="4472C4" w:themeColor="accent1"/>
        </w:rPr>
        <w:t>une incapacité totale de travail (ITT). Certains médecins exerçant dans des structures privatives de liberté indiquent ne pas être compétents pour déterminer cette ITT.</w:t>
      </w:r>
      <w:bookmarkStart w:id="1" w:name="_bookmark38"/>
      <w:bookmarkEnd w:id="1"/>
    </w:p>
    <w:p w14:paraId="2FFB6AFD" w14:textId="5B07B492" w:rsidR="00121D45" w:rsidRDefault="00551BF7" w:rsidP="00551BF7">
      <w:pPr>
        <w:jc w:val="both"/>
        <w:rPr>
          <w:color w:val="4472C4" w:themeColor="accent1"/>
        </w:rPr>
      </w:pPr>
      <w:r w:rsidRPr="00551BF7">
        <w:rPr>
          <w:color w:val="4472C4" w:themeColor="accent1"/>
        </w:rPr>
        <w:t>Afin que les personnes privées de liberté échappent à un déni de droit, il est crucial que les administrations mettent en place des dispositifs d’accompagnement et d’aide aux victimes dans leurs démarches de dépôt de plainte.</w:t>
      </w:r>
    </w:p>
    <w:p w14:paraId="63463EAA" w14:textId="77777777" w:rsidR="00121D45" w:rsidRPr="00551BF7" w:rsidRDefault="00121D45" w:rsidP="00551BF7">
      <w:pPr>
        <w:jc w:val="both"/>
        <w:rPr>
          <w:color w:val="4472C4" w:themeColor="accent1"/>
        </w:rPr>
      </w:pPr>
    </w:p>
    <w:p w14:paraId="0108208E" w14:textId="77777777" w:rsidR="0024238B" w:rsidRDefault="0024238B" w:rsidP="00535AE1">
      <w:pPr>
        <w:pBdr>
          <w:top w:val="single" w:sz="4" w:space="1" w:color="auto"/>
          <w:left w:val="single" w:sz="4" w:space="4" w:color="auto"/>
          <w:bottom w:val="single" w:sz="4" w:space="1" w:color="auto"/>
          <w:right w:val="single" w:sz="4" w:space="4" w:color="auto"/>
        </w:pBdr>
        <w:jc w:val="both"/>
        <w:rPr>
          <w:b/>
          <w:bCs/>
        </w:rPr>
      </w:pPr>
      <w:r>
        <w:rPr>
          <w:b/>
          <w:bCs/>
        </w:rPr>
        <w:t xml:space="preserve">Recommandation : </w:t>
      </w:r>
    </w:p>
    <w:p w14:paraId="7345D0BE" w14:textId="3DC15EC3" w:rsidR="00535AE1" w:rsidRPr="00535AE1" w:rsidRDefault="00535AE1" w:rsidP="00535AE1">
      <w:pPr>
        <w:pBdr>
          <w:top w:val="single" w:sz="4" w:space="1" w:color="auto"/>
          <w:left w:val="single" w:sz="4" w:space="4" w:color="auto"/>
          <w:bottom w:val="single" w:sz="4" w:space="1" w:color="auto"/>
          <w:right w:val="single" w:sz="4" w:space="4" w:color="auto"/>
        </w:pBdr>
        <w:jc w:val="both"/>
        <w:rPr>
          <w:b/>
          <w:bCs/>
        </w:rPr>
      </w:pPr>
      <w:r w:rsidRPr="00535AE1">
        <w:rPr>
          <w:b/>
          <w:bCs/>
        </w:rPr>
        <w:t xml:space="preserve">Dans tous les lieux accueillant des personnes privées de liberté, un système fiable et efficient de recensement des violences doit être mis en place. </w:t>
      </w:r>
      <w:r>
        <w:rPr>
          <w:b/>
          <w:bCs/>
        </w:rPr>
        <w:t>L</w:t>
      </w:r>
      <w:r w:rsidRPr="00535AE1">
        <w:rPr>
          <w:b/>
          <w:bCs/>
        </w:rPr>
        <w:t xml:space="preserve">es actes de violences doivent être analysés </w:t>
      </w:r>
      <w:r w:rsidR="00EB6108">
        <w:rPr>
          <w:b/>
          <w:bCs/>
        </w:rPr>
        <w:t>aux fins</w:t>
      </w:r>
      <w:r w:rsidR="00EB6108" w:rsidRPr="00535AE1">
        <w:rPr>
          <w:b/>
          <w:bCs/>
        </w:rPr>
        <w:t xml:space="preserve"> </w:t>
      </w:r>
      <w:r w:rsidR="00EB6108">
        <w:rPr>
          <w:b/>
          <w:bCs/>
        </w:rPr>
        <w:t xml:space="preserve">d’élaboration et </w:t>
      </w:r>
      <w:r w:rsidRPr="00535AE1">
        <w:rPr>
          <w:b/>
          <w:bCs/>
        </w:rPr>
        <w:t xml:space="preserve">de </w:t>
      </w:r>
      <w:r w:rsidR="00EB6108">
        <w:rPr>
          <w:b/>
          <w:bCs/>
        </w:rPr>
        <w:t xml:space="preserve">mise en </w:t>
      </w:r>
      <w:r w:rsidR="00E801D5">
        <w:rPr>
          <w:b/>
          <w:bCs/>
        </w:rPr>
        <w:t>œuvre</w:t>
      </w:r>
      <w:r w:rsidR="00EB6108" w:rsidRPr="00535AE1">
        <w:rPr>
          <w:b/>
          <w:bCs/>
        </w:rPr>
        <w:t xml:space="preserve"> </w:t>
      </w:r>
      <w:r w:rsidR="00EB6108">
        <w:rPr>
          <w:b/>
          <w:bCs/>
        </w:rPr>
        <w:t>d’</w:t>
      </w:r>
      <w:r w:rsidRPr="00535AE1">
        <w:rPr>
          <w:b/>
          <w:bCs/>
        </w:rPr>
        <w:t xml:space="preserve">une politique de réduction des risques. Toutes les administrations doivent </w:t>
      </w:r>
      <w:r w:rsidR="00EB6108">
        <w:rPr>
          <w:b/>
          <w:bCs/>
        </w:rPr>
        <w:t>émettre</w:t>
      </w:r>
      <w:r w:rsidR="00EB6108" w:rsidRPr="00535AE1">
        <w:rPr>
          <w:b/>
          <w:bCs/>
        </w:rPr>
        <w:t xml:space="preserve"> </w:t>
      </w:r>
      <w:r w:rsidRPr="00535AE1">
        <w:rPr>
          <w:b/>
          <w:bCs/>
        </w:rPr>
        <w:t xml:space="preserve">des recommandations et </w:t>
      </w:r>
      <w:r w:rsidR="00EB6108">
        <w:rPr>
          <w:b/>
          <w:bCs/>
        </w:rPr>
        <w:t xml:space="preserve">définir </w:t>
      </w:r>
      <w:r w:rsidRPr="00535AE1">
        <w:rPr>
          <w:b/>
          <w:bCs/>
        </w:rPr>
        <w:t xml:space="preserve">des outils de prévention et de prise en charge des violences </w:t>
      </w:r>
      <w:r w:rsidR="00EB6108">
        <w:rPr>
          <w:b/>
          <w:bCs/>
        </w:rPr>
        <w:t>spécifiques aux</w:t>
      </w:r>
      <w:r w:rsidRPr="00535AE1">
        <w:rPr>
          <w:b/>
          <w:bCs/>
        </w:rPr>
        <w:t xml:space="preserve"> lieux de privation de liberté</w:t>
      </w:r>
      <w:r>
        <w:rPr>
          <w:b/>
          <w:bCs/>
        </w:rPr>
        <w:t>, qui doivent être mis</w:t>
      </w:r>
      <w:r w:rsidRPr="00535AE1">
        <w:rPr>
          <w:b/>
          <w:bCs/>
        </w:rPr>
        <w:t xml:space="preserve"> en œuvre</w:t>
      </w:r>
      <w:r>
        <w:rPr>
          <w:b/>
          <w:bCs/>
        </w:rPr>
        <w:t xml:space="preserve"> par le personnel</w:t>
      </w:r>
      <w:r w:rsidRPr="00535AE1">
        <w:rPr>
          <w:b/>
          <w:bCs/>
        </w:rPr>
        <w:t>. Toutes les personnes hébergées ou travaillant dans un lieu de privation de liberté doivent connaître précisément les modalités de signalement d'un acte de violence</w:t>
      </w:r>
      <w:r w:rsidR="00EB6108">
        <w:rPr>
          <w:b/>
          <w:bCs/>
        </w:rPr>
        <w:t>, lesquelles</w:t>
      </w:r>
      <w:r w:rsidR="00E801D5">
        <w:rPr>
          <w:b/>
          <w:bCs/>
        </w:rPr>
        <w:t xml:space="preserve"> </w:t>
      </w:r>
      <w:r w:rsidRPr="00535AE1">
        <w:rPr>
          <w:b/>
          <w:bCs/>
        </w:rPr>
        <w:t xml:space="preserve">doivent </w:t>
      </w:r>
      <w:r w:rsidR="00EB6108">
        <w:rPr>
          <w:b/>
          <w:bCs/>
        </w:rPr>
        <w:t>passer par</w:t>
      </w:r>
      <w:r w:rsidR="00EB6108" w:rsidRPr="00535AE1">
        <w:rPr>
          <w:b/>
          <w:bCs/>
        </w:rPr>
        <w:t xml:space="preserve"> </w:t>
      </w:r>
      <w:r w:rsidRPr="00535AE1">
        <w:rPr>
          <w:b/>
          <w:bCs/>
        </w:rPr>
        <w:t>des modes de communication simples, accessibles et confidentiels</w:t>
      </w:r>
      <w:r>
        <w:rPr>
          <w:b/>
          <w:bCs/>
        </w:rPr>
        <w:t>.</w:t>
      </w:r>
    </w:p>
    <w:p w14:paraId="786E6218" w14:textId="51A72C97" w:rsidR="00121D45" w:rsidRDefault="00121D45" w:rsidP="00551BF7">
      <w:pPr>
        <w:jc w:val="both"/>
        <w:rPr>
          <w:color w:val="4472C4" w:themeColor="accent1"/>
        </w:rPr>
      </w:pPr>
    </w:p>
    <w:p w14:paraId="156677BF" w14:textId="77777777" w:rsidR="00953BCB" w:rsidRPr="00551BF7" w:rsidRDefault="00953BCB" w:rsidP="00551BF7">
      <w:pPr>
        <w:jc w:val="both"/>
        <w:rPr>
          <w:color w:val="4472C4" w:themeColor="accent1"/>
        </w:rPr>
      </w:pPr>
    </w:p>
    <w:p w14:paraId="76EDA4DB" w14:textId="7073A6F5" w:rsidR="003341CF" w:rsidRPr="00E31368" w:rsidRDefault="00E31368" w:rsidP="00E31368">
      <w:pPr>
        <w:jc w:val="both"/>
        <w:rPr>
          <w:b/>
          <w:bCs/>
        </w:rPr>
      </w:pPr>
      <w:r w:rsidRPr="00E31368">
        <w:rPr>
          <w:b/>
          <w:bCs/>
        </w:rPr>
        <w:t>Le Comité demande des informations concernant la</w:t>
      </w:r>
      <w:r w:rsidR="003341CF" w:rsidRPr="00E31368">
        <w:rPr>
          <w:b/>
          <w:bCs/>
        </w:rPr>
        <w:t xml:space="preserve"> surveillance systématique et indépendante des hôpitaux psychiatriques et des établissements de soins, avec la participation active des organisations de personnes handicapées</w:t>
      </w:r>
      <w:r w:rsidR="00B46A91">
        <w:rPr>
          <w:b/>
          <w:bCs/>
        </w:rPr>
        <w:t xml:space="preserve"> (§ 16 e)</w:t>
      </w:r>
      <w:r w:rsidR="003341CF" w:rsidRPr="00E31368">
        <w:rPr>
          <w:b/>
          <w:bCs/>
        </w:rPr>
        <w:t>. </w:t>
      </w:r>
    </w:p>
    <w:p w14:paraId="76989A58" w14:textId="02957FBF" w:rsidR="003341CF" w:rsidRPr="00A40C5A" w:rsidRDefault="00E31368" w:rsidP="00E31368">
      <w:pPr>
        <w:jc w:val="both"/>
        <w:rPr>
          <w:i/>
          <w:iCs/>
        </w:rPr>
      </w:pPr>
      <w:r w:rsidRPr="00A40C5A">
        <w:rPr>
          <w:i/>
          <w:iCs/>
        </w:rPr>
        <w:t>Dans sa r</w:t>
      </w:r>
      <w:r w:rsidR="003341CF" w:rsidRPr="00A40C5A">
        <w:rPr>
          <w:i/>
          <w:iCs/>
        </w:rPr>
        <w:t>éponse</w:t>
      </w:r>
      <w:r w:rsidRPr="00A40C5A">
        <w:rPr>
          <w:i/>
          <w:iCs/>
        </w:rPr>
        <w:t>, la France met en avant la traçabilité des « événements indésirables graves », prévue au sein de tous les établissements de santé, permettant déclencher des inspections le cas échéant avec de possibles suites administratives et pénales. Par ailleurs, la commission départementale des soins psychiatriques (CDSP) est informée de l’ensemble des décisions d’admission en soins psychiatriques et de leurs renouvellements et des décisions y mettant fin. Elle examine la situation des personnes admises en soins psychiatriques sans consentement et reçoit leurs réclamations</w:t>
      </w:r>
      <w:r w:rsidR="00B46A91">
        <w:rPr>
          <w:i/>
          <w:iCs/>
        </w:rPr>
        <w:t xml:space="preserve"> </w:t>
      </w:r>
      <w:r w:rsidRPr="00A40C5A">
        <w:rPr>
          <w:i/>
          <w:iCs/>
        </w:rPr>
        <w:t>(§ 128 et 129)</w:t>
      </w:r>
      <w:r w:rsidR="00B46A91">
        <w:rPr>
          <w:i/>
          <w:iCs/>
        </w:rPr>
        <w:t>.</w:t>
      </w:r>
    </w:p>
    <w:p w14:paraId="04596263" w14:textId="7B41E8A7" w:rsidR="003341CF" w:rsidRPr="00613C97" w:rsidRDefault="00E31368" w:rsidP="008F71B6">
      <w:pPr>
        <w:jc w:val="both"/>
        <w:rPr>
          <w:color w:val="4472C4" w:themeColor="accent1"/>
        </w:rPr>
      </w:pPr>
      <w:r>
        <w:rPr>
          <w:color w:val="4472C4" w:themeColor="accent1"/>
        </w:rPr>
        <w:t>Les</w:t>
      </w:r>
      <w:r w:rsidR="003341CF" w:rsidRPr="00613C97">
        <w:rPr>
          <w:color w:val="4472C4" w:themeColor="accent1"/>
        </w:rPr>
        <w:t xml:space="preserve"> </w:t>
      </w:r>
      <w:r>
        <w:rPr>
          <w:color w:val="4472C4" w:themeColor="accent1"/>
        </w:rPr>
        <w:t>« </w:t>
      </w:r>
      <w:r w:rsidR="003341CF" w:rsidRPr="00613C97">
        <w:rPr>
          <w:color w:val="4472C4" w:themeColor="accent1"/>
        </w:rPr>
        <w:t>événements indésirables graves</w:t>
      </w:r>
      <w:r>
        <w:rPr>
          <w:color w:val="4472C4" w:themeColor="accent1"/>
        </w:rPr>
        <w:t> » peuvent varier d’un établissement à l’autre, voire d’un service à l’autre.</w:t>
      </w:r>
      <w:r w:rsidR="003341CF" w:rsidRPr="00613C97">
        <w:rPr>
          <w:color w:val="4472C4" w:themeColor="accent1"/>
        </w:rPr>
        <w:t xml:space="preserve"> </w:t>
      </w:r>
      <w:r w:rsidRPr="00E31368">
        <w:rPr>
          <w:color w:val="4472C4" w:themeColor="accent1"/>
        </w:rPr>
        <w:t>L’évaluation de la gravité des événements</w:t>
      </w:r>
      <w:r>
        <w:rPr>
          <w:color w:val="4472C4" w:themeColor="accent1"/>
        </w:rPr>
        <w:t xml:space="preserve"> </w:t>
      </w:r>
      <w:r w:rsidRPr="00E31368">
        <w:rPr>
          <w:color w:val="4472C4" w:themeColor="accent1"/>
        </w:rPr>
        <w:t>ne correspond</w:t>
      </w:r>
      <w:r>
        <w:rPr>
          <w:color w:val="4472C4" w:themeColor="accent1"/>
        </w:rPr>
        <w:t xml:space="preserve"> pas toujours</w:t>
      </w:r>
      <w:r w:rsidRPr="00E31368">
        <w:rPr>
          <w:color w:val="4472C4" w:themeColor="accent1"/>
        </w:rPr>
        <w:t xml:space="preserve"> </w:t>
      </w:r>
      <w:r>
        <w:rPr>
          <w:color w:val="4472C4" w:themeColor="accent1"/>
        </w:rPr>
        <w:t>à une</w:t>
      </w:r>
      <w:r w:rsidRPr="00E31368">
        <w:rPr>
          <w:color w:val="4472C4" w:themeColor="accent1"/>
        </w:rPr>
        <w:t xml:space="preserve"> échelle objective</w:t>
      </w:r>
      <w:r>
        <w:rPr>
          <w:color w:val="4472C4" w:themeColor="accent1"/>
        </w:rPr>
        <w:t xml:space="preserve">. La gestion de ces événements et la réponse qui leur est apportée est officiellement présentée aux associations de représentants des usagers, qui sont le plus souvent des associations représentant les familles </w:t>
      </w:r>
      <w:r w:rsidR="00EB6108">
        <w:rPr>
          <w:color w:val="4472C4" w:themeColor="accent1"/>
        </w:rPr>
        <w:t>de ces derniers</w:t>
      </w:r>
      <w:r>
        <w:rPr>
          <w:color w:val="4472C4" w:themeColor="accent1"/>
        </w:rPr>
        <w:t xml:space="preserve">. </w:t>
      </w:r>
    </w:p>
    <w:p w14:paraId="00C6D47E" w14:textId="09EF48AB" w:rsidR="00471468" w:rsidRDefault="00881B57" w:rsidP="008F71B6">
      <w:pPr>
        <w:pStyle w:val="NormalWeb"/>
        <w:jc w:val="both"/>
        <w:rPr>
          <w:rFonts w:asciiTheme="minorHAnsi" w:eastAsiaTheme="minorHAnsi" w:hAnsiTheme="minorHAnsi" w:cstheme="minorBidi"/>
          <w:color w:val="4472C4" w:themeColor="accent1"/>
          <w:sz w:val="22"/>
          <w:szCs w:val="22"/>
          <w:lang w:eastAsia="en-US"/>
        </w:rPr>
      </w:pPr>
      <w:r w:rsidRPr="008F71B6">
        <w:rPr>
          <w:rFonts w:asciiTheme="minorHAnsi" w:eastAsiaTheme="minorHAnsi" w:hAnsiTheme="minorHAnsi" w:cstheme="minorBidi"/>
          <w:color w:val="4472C4" w:themeColor="accent1"/>
          <w:sz w:val="22"/>
          <w:szCs w:val="22"/>
          <w:lang w:eastAsia="en-US"/>
        </w:rPr>
        <w:t xml:space="preserve">S'agissant du contrôle systématique que doivent exercer les autorités </w:t>
      </w:r>
      <w:r w:rsidR="008F71B6" w:rsidRPr="008F71B6">
        <w:rPr>
          <w:rFonts w:asciiTheme="minorHAnsi" w:eastAsiaTheme="minorHAnsi" w:hAnsiTheme="minorHAnsi" w:cstheme="minorBidi"/>
          <w:color w:val="4472C4" w:themeColor="accent1"/>
          <w:sz w:val="22"/>
          <w:szCs w:val="22"/>
          <w:lang w:eastAsia="en-US"/>
        </w:rPr>
        <w:t xml:space="preserve">désignées par les dispositions législatives et réglementaires applicables </w:t>
      </w:r>
      <w:r w:rsidRPr="008F71B6">
        <w:rPr>
          <w:rFonts w:asciiTheme="minorHAnsi" w:eastAsiaTheme="minorHAnsi" w:hAnsiTheme="minorHAnsi" w:cstheme="minorBidi"/>
          <w:color w:val="4472C4" w:themeColor="accent1"/>
          <w:sz w:val="22"/>
          <w:szCs w:val="22"/>
          <w:lang w:eastAsia="en-US"/>
        </w:rPr>
        <w:t>(préfet, chefs de juridiction, maires, commissions départementales des soins psychiatriques (CDSP)), on peut regretter qu'il soit souvent superficiel</w:t>
      </w:r>
      <w:r w:rsidR="00EB6108" w:rsidRPr="008F71B6">
        <w:rPr>
          <w:rFonts w:asciiTheme="minorHAnsi" w:eastAsiaTheme="minorHAnsi" w:hAnsiTheme="minorHAnsi" w:cstheme="minorBidi"/>
          <w:color w:val="4472C4" w:themeColor="accent1"/>
          <w:sz w:val="22"/>
          <w:szCs w:val="22"/>
          <w:lang w:eastAsia="en-US"/>
        </w:rPr>
        <w:t xml:space="preserve"> -</w:t>
      </w:r>
      <w:r w:rsidRPr="008F71B6">
        <w:rPr>
          <w:rFonts w:asciiTheme="minorHAnsi" w:eastAsiaTheme="minorHAnsi" w:hAnsiTheme="minorHAnsi" w:cstheme="minorBidi"/>
          <w:color w:val="4472C4" w:themeColor="accent1"/>
          <w:sz w:val="22"/>
          <w:szCs w:val="22"/>
          <w:lang w:eastAsia="en-US"/>
        </w:rPr>
        <w:t xml:space="preserve"> leurs représentants n'entrant, par exemple, que rarement dans les unités d’hospitalisation</w:t>
      </w:r>
      <w:r w:rsidR="00EB6108" w:rsidRPr="008F71B6">
        <w:rPr>
          <w:rFonts w:asciiTheme="minorHAnsi" w:eastAsiaTheme="minorHAnsi" w:hAnsiTheme="minorHAnsi" w:cstheme="minorBidi"/>
          <w:color w:val="4472C4" w:themeColor="accent1"/>
          <w:sz w:val="22"/>
          <w:szCs w:val="22"/>
          <w:lang w:eastAsia="en-US"/>
        </w:rPr>
        <w:t xml:space="preserve"> - </w:t>
      </w:r>
      <w:r w:rsidRPr="008F71B6">
        <w:rPr>
          <w:rFonts w:asciiTheme="minorHAnsi" w:eastAsiaTheme="minorHAnsi" w:hAnsiTheme="minorHAnsi" w:cstheme="minorBidi"/>
          <w:color w:val="4472C4" w:themeColor="accent1"/>
          <w:sz w:val="22"/>
          <w:szCs w:val="22"/>
          <w:lang w:eastAsia="en-US"/>
        </w:rPr>
        <w:t xml:space="preserve">et opéré avec parcimonie en raison de la faible disponibilité des </w:t>
      </w:r>
      <w:r w:rsidR="00EB6108" w:rsidRPr="008F71B6">
        <w:rPr>
          <w:rFonts w:asciiTheme="minorHAnsi" w:eastAsiaTheme="minorHAnsi" w:hAnsiTheme="minorHAnsi" w:cstheme="minorBidi"/>
          <w:color w:val="4472C4" w:themeColor="accent1"/>
          <w:sz w:val="22"/>
          <w:szCs w:val="22"/>
          <w:lang w:eastAsia="en-US"/>
        </w:rPr>
        <w:t>autorités concernées</w:t>
      </w:r>
      <w:r w:rsidRPr="008F71B6">
        <w:rPr>
          <w:rFonts w:asciiTheme="minorHAnsi" w:eastAsiaTheme="minorHAnsi" w:hAnsiTheme="minorHAnsi" w:cstheme="minorBidi"/>
          <w:color w:val="4472C4" w:themeColor="accent1"/>
          <w:sz w:val="22"/>
          <w:szCs w:val="22"/>
          <w:lang w:eastAsia="en-US"/>
        </w:rPr>
        <w:t xml:space="preserve">. </w:t>
      </w:r>
      <w:r w:rsidR="003341CF" w:rsidRPr="008F71B6">
        <w:rPr>
          <w:rFonts w:asciiTheme="minorHAnsi" w:eastAsiaTheme="minorHAnsi" w:hAnsiTheme="minorHAnsi" w:cstheme="minorBidi"/>
          <w:color w:val="4472C4" w:themeColor="accent1"/>
          <w:sz w:val="22"/>
          <w:szCs w:val="22"/>
          <w:lang w:eastAsia="en-US"/>
        </w:rPr>
        <w:t>Les</w:t>
      </w:r>
      <w:r w:rsidR="001529AD" w:rsidRPr="008F71B6">
        <w:rPr>
          <w:rFonts w:asciiTheme="minorHAnsi" w:eastAsiaTheme="minorHAnsi" w:hAnsiTheme="minorHAnsi" w:cstheme="minorBidi"/>
          <w:color w:val="4472C4" w:themeColor="accent1"/>
          <w:sz w:val="22"/>
          <w:szCs w:val="22"/>
          <w:lang w:eastAsia="en-US"/>
        </w:rPr>
        <w:t xml:space="preserve"> </w:t>
      </w:r>
      <w:r w:rsidR="003341CF" w:rsidRPr="008F71B6">
        <w:rPr>
          <w:rFonts w:asciiTheme="minorHAnsi" w:eastAsiaTheme="minorHAnsi" w:hAnsiTheme="minorHAnsi" w:cstheme="minorBidi"/>
          <w:color w:val="4472C4" w:themeColor="accent1"/>
          <w:sz w:val="22"/>
          <w:szCs w:val="22"/>
          <w:lang w:eastAsia="en-US"/>
        </w:rPr>
        <w:t xml:space="preserve">CDSP </w:t>
      </w:r>
      <w:r w:rsidR="00EB6108" w:rsidRPr="008F71B6">
        <w:rPr>
          <w:rFonts w:asciiTheme="minorHAnsi" w:eastAsiaTheme="minorHAnsi" w:hAnsiTheme="minorHAnsi" w:cstheme="minorBidi"/>
          <w:color w:val="4472C4" w:themeColor="accent1"/>
          <w:sz w:val="22"/>
          <w:szCs w:val="22"/>
          <w:lang w:eastAsia="en-US"/>
        </w:rPr>
        <w:t>exercent</w:t>
      </w:r>
      <w:r w:rsidR="003341CF" w:rsidRPr="008F71B6">
        <w:rPr>
          <w:rFonts w:asciiTheme="minorHAnsi" w:eastAsiaTheme="minorHAnsi" w:hAnsiTheme="minorHAnsi" w:cstheme="minorBidi"/>
          <w:color w:val="4472C4" w:themeColor="accent1"/>
          <w:sz w:val="22"/>
          <w:szCs w:val="22"/>
          <w:lang w:eastAsia="en-US"/>
        </w:rPr>
        <w:t xml:space="preserve"> leurs prérogatives de manière très inégale selon les départements. Leurs rapports sont peu détaillés</w:t>
      </w:r>
      <w:r w:rsidRPr="008F71B6">
        <w:rPr>
          <w:rFonts w:asciiTheme="minorHAnsi" w:eastAsiaTheme="minorHAnsi" w:hAnsiTheme="minorHAnsi" w:cstheme="minorBidi"/>
          <w:color w:val="4472C4" w:themeColor="accent1"/>
          <w:sz w:val="22"/>
          <w:szCs w:val="22"/>
          <w:lang w:eastAsia="en-US"/>
        </w:rPr>
        <w:t xml:space="preserve">, </w:t>
      </w:r>
      <w:r w:rsidR="003341CF" w:rsidRPr="008F71B6">
        <w:rPr>
          <w:rFonts w:asciiTheme="minorHAnsi" w:eastAsiaTheme="minorHAnsi" w:hAnsiTheme="minorHAnsi" w:cstheme="minorBidi"/>
          <w:color w:val="4472C4" w:themeColor="accent1"/>
          <w:sz w:val="22"/>
          <w:szCs w:val="22"/>
          <w:lang w:eastAsia="en-US"/>
        </w:rPr>
        <w:t>l’impact de leurs visites peu connu</w:t>
      </w:r>
      <w:r w:rsidRPr="008F71B6">
        <w:rPr>
          <w:rFonts w:asciiTheme="minorHAnsi" w:eastAsiaTheme="minorHAnsi" w:hAnsiTheme="minorHAnsi" w:cstheme="minorBidi"/>
          <w:color w:val="4472C4" w:themeColor="accent1"/>
          <w:sz w:val="22"/>
          <w:szCs w:val="22"/>
          <w:lang w:eastAsia="en-US"/>
        </w:rPr>
        <w:t>, et c</w:t>
      </w:r>
      <w:r w:rsidR="003341CF" w:rsidRPr="008F71B6">
        <w:rPr>
          <w:rFonts w:asciiTheme="minorHAnsi" w:eastAsiaTheme="minorHAnsi" w:hAnsiTheme="minorHAnsi" w:cstheme="minorBidi"/>
          <w:color w:val="4472C4" w:themeColor="accent1"/>
          <w:sz w:val="22"/>
          <w:szCs w:val="22"/>
          <w:lang w:eastAsia="en-US"/>
        </w:rPr>
        <w:t>ertaines CDSP ne communiquent pas leur rapport à l’établissement concerné.</w:t>
      </w:r>
      <w:r w:rsidRPr="008F71B6">
        <w:rPr>
          <w:rFonts w:asciiTheme="minorHAnsi" w:eastAsiaTheme="minorHAnsi" w:hAnsiTheme="minorHAnsi" w:cstheme="minorBidi"/>
          <w:color w:val="4472C4" w:themeColor="accent1"/>
          <w:sz w:val="22"/>
          <w:szCs w:val="22"/>
          <w:lang w:eastAsia="en-US"/>
        </w:rPr>
        <w:t xml:space="preserve"> </w:t>
      </w:r>
      <w:r w:rsidR="0024238B" w:rsidRPr="008F71B6">
        <w:rPr>
          <w:rFonts w:asciiTheme="minorHAnsi" w:eastAsiaTheme="minorHAnsi" w:hAnsiTheme="minorHAnsi" w:cstheme="minorBidi"/>
          <w:color w:val="4472C4" w:themeColor="accent1"/>
          <w:sz w:val="22"/>
          <w:szCs w:val="22"/>
          <w:lang w:eastAsia="en-US"/>
        </w:rPr>
        <w:t xml:space="preserve">Il est enfin particulièrement regrettable que les magistrats judiciaires, autrefois présents au sein des CDSP aient été retirés de ces instances par la loi 2019-222 de programmation 2018-2022 et de réforme pour la justice, ce qui </w:t>
      </w:r>
      <w:r w:rsidR="00EB6108" w:rsidRPr="008F71B6">
        <w:rPr>
          <w:rFonts w:asciiTheme="minorHAnsi" w:eastAsiaTheme="minorHAnsi" w:hAnsiTheme="minorHAnsi" w:cstheme="minorBidi"/>
          <w:color w:val="4472C4" w:themeColor="accent1"/>
          <w:sz w:val="22"/>
          <w:szCs w:val="22"/>
          <w:lang w:eastAsia="en-US"/>
        </w:rPr>
        <w:t>affaiblit davantage</w:t>
      </w:r>
      <w:r w:rsidR="0024238B" w:rsidRPr="008F71B6">
        <w:rPr>
          <w:rFonts w:asciiTheme="minorHAnsi" w:eastAsiaTheme="minorHAnsi" w:hAnsiTheme="minorHAnsi" w:cstheme="minorBidi"/>
          <w:color w:val="4472C4" w:themeColor="accent1"/>
          <w:sz w:val="22"/>
          <w:szCs w:val="22"/>
          <w:lang w:eastAsia="en-US"/>
        </w:rPr>
        <w:t xml:space="preserve"> ces institutions et nuit à leur expertise comme à leur indépendance. </w:t>
      </w:r>
    </w:p>
    <w:p w14:paraId="3BC37D19" w14:textId="77777777" w:rsidR="000071EE" w:rsidRPr="008F71B6" w:rsidRDefault="000071EE" w:rsidP="008F71B6">
      <w:pPr>
        <w:pStyle w:val="NormalWeb"/>
        <w:jc w:val="both"/>
        <w:rPr>
          <w:rFonts w:asciiTheme="minorHAnsi" w:eastAsiaTheme="minorHAnsi" w:hAnsiTheme="minorHAnsi" w:cstheme="minorBidi"/>
          <w:color w:val="4472C4" w:themeColor="accent1"/>
          <w:sz w:val="22"/>
          <w:szCs w:val="22"/>
          <w:lang w:eastAsia="en-US"/>
        </w:rPr>
      </w:pPr>
    </w:p>
    <w:p w14:paraId="2E25CA58" w14:textId="4F3B66F5" w:rsidR="00CA2764" w:rsidRDefault="00CA2764" w:rsidP="00CA2764">
      <w:pPr>
        <w:pBdr>
          <w:top w:val="single" w:sz="4" w:space="1" w:color="auto"/>
          <w:left w:val="single" w:sz="4" w:space="4" w:color="auto"/>
          <w:bottom w:val="single" w:sz="4" w:space="1" w:color="auto"/>
          <w:right w:val="single" w:sz="4" w:space="4" w:color="auto"/>
        </w:pBdr>
        <w:jc w:val="both"/>
        <w:rPr>
          <w:b/>
          <w:bCs/>
        </w:rPr>
      </w:pPr>
      <w:r>
        <w:rPr>
          <w:b/>
          <w:bCs/>
        </w:rPr>
        <w:t>Recommandation :</w:t>
      </w:r>
    </w:p>
    <w:p w14:paraId="2D5A97DE" w14:textId="0F23473F" w:rsidR="00CA2764" w:rsidRPr="00CA2764" w:rsidRDefault="00CA2764" w:rsidP="00CA2764">
      <w:pPr>
        <w:pBdr>
          <w:top w:val="single" w:sz="4" w:space="1" w:color="auto"/>
          <w:left w:val="single" w:sz="4" w:space="4" w:color="auto"/>
          <w:bottom w:val="single" w:sz="4" w:space="1" w:color="auto"/>
          <w:right w:val="single" w:sz="4" w:space="4" w:color="auto"/>
        </w:pBdr>
        <w:jc w:val="both"/>
        <w:rPr>
          <w:b/>
          <w:bCs/>
        </w:rPr>
      </w:pPr>
      <w:r>
        <w:rPr>
          <w:b/>
          <w:bCs/>
        </w:rPr>
        <w:t>Le</w:t>
      </w:r>
      <w:r w:rsidRPr="00CA2764">
        <w:rPr>
          <w:b/>
          <w:bCs/>
        </w:rPr>
        <w:t xml:space="preserve"> </w:t>
      </w:r>
      <w:r>
        <w:rPr>
          <w:b/>
          <w:bCs/>
        </w:rPr>
        <w:t>C</w:t>
      </w:r>
      <w:r w:rsidRPr="00CA2764">
        <w:rPr>
          <w:b/>
          <w:bCs/>
        </w:rPr>
        <w:t xml:space="preserve">ode de la santé publique </w:t>
      </w:r>
      <w:r>
        <w:rPr>
          <w:b/>
          <w:bCs/>
        </w:rPr>
        <w:t>doit prévoir la</w:t>
      </w:r>
      <w:r w:rsidRPr="00CA2764">
        <w:rPr>
          <w:b/>
          <w:bCs/>
        </w:rPr>
        <w:t xml:space="preserve"> publication des rapports annuels des commissions départementales des soins psychiatriques. </w:t>
      </w:r>
      <w:r w:rsidR="0024238B">
        <w:rPr>
          <w:b/>
          <w:bCs/>
        </w:rPr>
        <w:t xml:space="preserve">Les magistrats judiciaires devraient retrouver leur place dans ces commissions. </w:t>
      </w:r>
      <w:r>
        <w:rPr>
          <w:b/>
          <w:bCs/>
        </w:rPr>
        <w:t>Une</w:t>
      </w:r>
      <w:r w:rsidRPr="00CA2764">
        <w:rPr>
          <w:b/>
          <w:bCs/>
        </w:rPr>
        <w:t xml:space="preserve"> instance nationale de suivi des CDSP</w:t>
      </w:r>
      <w:r>
        <w:rPr>
          <w:b/>
          <w:bCs/>
        </w:rPr>
        <w:t xml:space="preserve"> devrait être mise en place. </w:t>
      </w:r>
    </w:p>
    <w:sectPr w:rsidR="00CA2764" w:rsidRPr="00CA276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900385" w14:textId="77777777" w:rsidR="00F540E1" w:rsidRDefault="00F540E1" w:rsidP="00A534C8">
      <w:pPr>
        <w:spacing w:after="0" w:line="240" w:lineRule="auto"/>
      </w:pPr>
      <w:r>
        <w:separator/>
      </w:r>
    </w:p>
  </w:endnote>
  <w:endnote w:type="continuationSeparator" w:id="0">
    <w:p w14:paraId="352B9C42" w14:textId="77777777" w:rsidR="00F540E1" w:rsidRDefault="00F540E1" w:rsidP="00A534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40082605"/>
      <w:docPartObj>
        <w:docPartGallery w:val="Page Numbers (Bottom of Page)"/>
        <w:docPartUnique/>
      </w:docPartObj>
    </w:sdtPr>
    <w:sdtEndPr/>
    <w:sdtContent>
      <w:p w14:paraId="5F6510AE" w14:textId="4C85C61D" w:rsidR="00E96E2E" w:rsidRDefault="00E96E2E">
        <w:pPr>
          <w:pStyle w:val="Footer"/>
        </w:pPr>
        <w:r>
          <w:fldChar w:fldCharType="begin"/>
        </w:r>
        <w:r>
          <w:instrText>PAGE   \* MERGEFORMAT</w:instrText>
        </w:r>
        <w:r>
          <w:fldChar w:fldCharType="separate"/>
        </w:r>
        <w:r w:rsidR="00C00509">
          <w:rPr>
            <w:noProof/>
          </w:rPr>
          <w:t>1</w:t>
        </w:r>
        <w:r>
          <w:fldChar w:fldCharType="end"/>
        </w:r>
      </w:p>
    </w:sdtContent>
  </w:sdt>
  <w:p w14:paraId="7ABDC920" w14:textId="77777777" w:rsidR="00E96E2E" w:rsidRDefault="00E96E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44CEF" w14:textId="77777777" w:rsidR="00F540E1" w:rsidRDefault="00F540E1" w:rsidP="00A534C8">
      <w:pPr>
        <w:spacing w:after="0" w:line="240" w:lineRule="auto"/>
      </w:pPr>
      <w:r>
        <w:separator/>
      </w:r>
    </w:p>
  </w:footnote>
  <w:footnote w:type="continuationSeparator" w:id="0">
    <w:p w14:paraId="2ECB283F" w14:textId="77777777" w:rsidR="00F540E1" w:rsidRDefault="00F540E1" w:rsidP="00A534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6FCE"/>
    <w:multiLevelType w:val="hybridMultilevel"/>
    <w:tmpl w:val="4B6A76A0"/>
    <w:lvl w:ilvl="0" w:tplc="7F5A4758">
      <w:start w:val="3"/>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5B52158"/>
    <w:multiLevelType w:val="hybridMultilevel"/>
    <w:tmpl w:val="92008EE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41CF"/>
    <w:rsid w:val="000071EE"/>
    <w:rsid w:val="0001099C"/>
    <w:rsid w:val="0008113C"/>
    <w:rsid w:val="00081A8A"/>
    <w:rsid w:val="00085BFE"/>
    <w:rsid w:val="000A6658"/>
    <w:rsid w:val="000E7734"/>
    <w:rsid w:val="00111E1A"/>
    <w:rsid w:val="00112B10"/>
    <w:rsid w:val="00113A85"/>
    <w:rsid w:val="00115D12"/>
    <w:rsid w:val="00121D45"/>
    <w:rsid w:val="001529AD"/>
    <w:rsid w:val="0016150A"/>
    <w:rsid w:val="0017180F"/>
    <w:rsid w:val="001A235D"/>
    <w:rsid w:val="001A4021"/>
    <w:rsid w:val="001C3088"/>
    <w:rsid w:val="002038C4"/>
    <w:rsid w:val="002129EA"/>
    <w:rsid w:val="00237FD9"/>
    <w:rsid w:val="0024238B"/>
    <w:rsid w:val="00261086"/>
    <w:rsid w:val="002939E8"/>
    <w:rsid w:val="002A6929"/>
    <w:rsid w:val="002D7270"/>
    <w:rsid w:val="002F1CA0"/>
    <w:rsid w:val="002F5ED3"/>
    <w:rsid w:val="00327B61"/>
    <w:rsid w:val="003341CF"/>
    <w:rsid w:val="003836B0"/>
    <w:rsid w:val="00393502"/>
    <w:rsid w:val="003B0187"/>
    <w:rsid w:val="003C22F6"/>
    <w:rsid w:val="003D0055"/>
    <w:rsid w:val="00426DA0"/>
    <w:rsid w:val="004450DF"/>
    <w:rsid w:val="00471468"/>
    <w:rsid w:val="0049124E"/>
    <w:rsid w:val="00491AC9"/>
    <w:rsid w:val="004C713E"/>
    <w:rsid w:val="005054BB"/>
    <w:rsid w:val="00514FC1"/>
    <w:rsid w:val="00531B62"/>
    <w:rsid w:val="00535AE1"/>
    <w:rsid w:val="00551BF7"/>
    <w:rsid w:val="00576542"/>
    <w:rsid w:val="005840E3"/>
    <w:rsid w:val="005B5C43"/>
    <w:rsid w:val="005E0636"/>
    <w:rsid w:val="005E7BCE"/>
    <w:rsid w:val="005F7A08"/>
    <w:rsid w:val="00634872"/>
    <w:rsid w:val="006351B7"/>
    <w:rsid w:val="00647EF8"/>
    <w:rsid w:val="00650139"/>
    <w:rsid w:val="00682812"/>
    <w:rsid w:val="00693E29"/>
    <w:rsid w:val="006E2B6E"/>
    <w:rsid w:val="00700F0E"/>
    <w:rsid w:val="007031B6"/>
    <w:rsid w:val="007222D8"/>
    <w:rsid w:val="0075214A"/>
    <w:rsid w:val="0077219F"/>
    <w:rsid w:val="00790397"/>
    <w:rsid w:val="00797AB5"/>
    <w:rsid w:val="00797B04"/>
    <w:rsid w:val="007A484E"/>
    <w:rsid w:val="007C5D25"/>
    <w:rsid w:val="007E4BE8"/>
    <w:rsid w:val="007F024A"/>
    <w:rsid w:val="00856F56"/>
    <w:rsid w:val="00881B57"/>
    <w:rsid w:val="00891B26"/>
    <w:rsid w:val="008B2CA7"/>
    <w:rsid w:val="008B491E"/>
    <w:rsid w:val="008B7AA2"/>
    <w:rsid w:val="008C7E90"/>
    <w:rsid w:val="008E008C"/>
    <w:rsid w:val="008E6797"/>
    <w:rsid w:val="008F71B6"/>
    <w:rsid w:val="00900A93"/>
    <w:rsid w:val="00947842"/>
    <w:rsid w:val="00953BCB"/>
    <w:rsid w:val="00956793"/>
    <w:rsid w:val="009666F0"/>
    <w:rsid w:val="009E007B"/>
    <w:rsid w:val="00A13AE9"/>
    <w:rsid w:val="00A40C5A"/>
    <w:rsid w:val="00A534C8"/>
    <w:rsid w:val="00A86489"/>
    <w:rsid w:val="00A87A90"/>
    <w:rsid w:val="00AC16C9"/>
    <w:rsid w:val="00AC2FB2"/>
    <w:rsid w:val="00AD12DD"/>
    <w:rsid w:val="00AD4D9A"/>
    <w:rsid w:val="00B36FC5"/>
    <w:rsid w:val="00B46A91"/>
    <w:rsid w:val="00B802C7"/>
    <w:rsid w:val="00B80844"/>
    <w:rsid w:val="00BA1064"/>
    <w:rsid w:val="00BA1E00"/>
    <w:rsid w:val="00BF05B4"/>
    <w:rsid w:val="00BF551F"/>
    <w:rsid w:val="00C00509"/>
    <w:rsid w:val="00C026D0"/>
    <w:rsid w:val="00C04034"/>
    <w:rsid w:val="00C63A18"/>
    <w:rsid w:val="00C65018"/>
    <w:rsid w:val="00C71913"/>
    <w:rsid w:val="00C722DE"/>
    <w:rsid w:val="00CA080C"/>
    <w:rsid w:val="00CA2764"/>
    <w:rsid w:val="00D5647B"/>
    <w:rsid w:val="00D75C28"/>
    <w:rsid w:val="00D85012"/>
    <w:rsid w:val="00D86E74"/>
    <w:rsid w:val="00DD0A20"/>
    <w:rsid w:val="00DD3D8E"/>
    <w:rsid w:val="00E23E0A"/>
    <w:rsid w:val="00E245FE"/>
    <w:rsid w:val="00E3102E"/>
    <w:rsid w:val="00E31368"/>
    <w:rsid w:val="00E801D5"/>
    <w:rsid w:val="00E85227"/>
    <w:rsid w:val="00E96E2E"/>
    <w:rsid w:val="00EB6108"/>
    <w:rsid w:val="00F01306"/>
    <w:rsid w:val="00F21E2D"/>
    <w:rsid w:val="00F22BA5"/>
    <w:rsid w:val="00F44295"/>
    <w:rsid w:val="00F540E1"/>
    <w:rsid w:val="00F55EE9"/>
    <w:rsid w:val="00F73530"/>
    <w:rsid w:val="00F816C0"/>
    <w:rsid w:val="00F8486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1D352"/>
  <w15:chartTrackingRefBased/>
  <w15:docId w15:val="{0C87BA6A-E12C-42F0-9FA1-A475058CD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41CF"/>
  </w:style>
  <w:style w:type="paragraph" w:styleId="Heading1">
    <w:name w:val="heading 1"/>
    <w:basedOn w:val="Normal"/>
    <w:link w:val="Heading1Char"/>
    <w:uiPriority w:val="9"/>
    <w:qFormat/>
    <w:rsid w:val="008C7E90"/>
    <w:pPr>
      <w:widowControl w:val="0"/>
      <w:autoSpaceDE w:val="0"/>
      <w:autoSpaceDN w:val="0"/>
      <w:spacing w:before="16" w:after="0" w:line="240" w:lineRule="auto"/>
      <w:ind w:left="112" w:right="109" w:firstLine="215"/>
      <w:jc w:val="both"/>
      <w:outlineLvl w:val="0"/>
    </w:pPr>
    <w:rPr>
      <w:rFonts w:ascii="Times New Roman" w:eastAsia="Times New Roman" w:hAnsi="Times New Roman" w:cs="Times New Roman"/>
      <w:b/>
      <w:bCs/>
      <w:sz w:val="21"/>
      <w:szCs w:val="21"/>
      <w:lang w:eastAsia="fr-FR" w:bidi="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41CF"/>
    <w:pPr>
      <w:ind w:left="720"/>
      <w:contextualSpacing/>
    </w:pPr>
  </w:style>
  <w:style w:type="character" w:styleId="CommentReference">
    <w:name w:val="annotation reference"/>
    <w:basedOn w:val="DefaultParagraphFont"/>
    <w:uiPriority w:val="99"/>
    <w:semiHidden/>
    <w:unhideWhenUsed/>
    <w:rsid w:val="003341CF"/>
    <w:rPr>
      <w:sz w:val="16"/>
      <w:szCs w:val="16"/>
    </w:rPr>
  </w:style>
  <w:style w:type="paragraph" w:styleId="CommentText">
    <w:name w:val="annotation text"/>
    <w:basedOn w:val="Normal"/>
    <w:link w:val="CommentTextChar"/>
    <w:uiPriority w:val="99"/>
    <w:unhideWhenUsed/>
    <w:rsid w:val="003341CF"/>
    <w:pPr>
      <w:spacing w:line="240" w:lineRule="auto"/>
    </w:pPr>
    <w:rPr>
      <w:sz w:val="20"/>
      <w:szCs w:val="20"/>
    </w:rPr>
  </w:style>
  <w:style w:type="character" w:customStyle="1" w:styleId="CommentTextChar">
    <w:name w:val="Comment Text Char"/>
    <w:basedOn w:val="DefaultParagraphFont"/>
    <w:link w:val="CommentText"/>
    <w:uiPriority w:val="99"/>
    <w:rsid w:val="003341CF"/>
    <w:rPr>
      <w:sz w:val="20"/>
      <w:szCs w:val="20"/>
    </w:rPr>
  </w:style>
  <w:style w:type="paragraph" w:styleId="BodyText">
    <w:name w:val="Body Text"/>
    <w:basedOn w:val="Normal"/>
    <w:link w:val="BodyTextChar"/>
    <w:uiPriority w:val="1"/>
    <w:qFormat/>
    <w:rsid w:val="007031B6"/>
    <w:pPr>
      <w:widowControl w:val="0"/>
      <w:autoSpaceDE w:val="0"/>
      <w:autoSpaceDN w:val="0"/>
      <w:spacing w:before="120" w:after="0" w:line="240" w:lineRule="auto"/>
      <w:ind w:left="118"/>
      <w:jc w:val="both"/>
    </w:pPr>
    <w:rPr>
      <w:rFonts w:ascii="Garamond" w:eastAsia="Garamond" w:hAnsi="Garamond" w:cs="Garamond"/>
      <w:sz w:val="24"/>
      <w:szCs w:val="24"/>
      <w:lang w:eastAsia="fr-FR" w:bidi="fr-FR"/>
    </w:rPr>
  </w:style>
  <w:style w:type="character" w:customStyle="1" w:styleId="BodyTextChar">
    <w:name w:val="Body Text Char"/>
    <w:basedOn w:val="DefaultParagraphFont"/>
    <w:link w:val="BodyText"/>
    <w:uiPriority w:val="1"/>
    <w:rsid w:val="007031B6"/>
    <w:rPr>
      <w:rFonts w:ascii="Garamond" w:eastAsia="Garamond" w:hAnsi="Garamond" w:cs="Garamond"/>
      <w:sz w:val="24"/>
      <w:szCs w:val="24"/>
      <w:lang w:eastAsia="fr-FR" w:bidi="fr-FR"/>
    </w:rPr>
  </w:style>
  <w:style w:type="paragraph" w:styleId="CommentSubject">
    <w:name w:val="annotation subject"/>
    <w:basedOn w:val="CommentText"/>
    <w:next w:val="CommentText"/>
    <w:link w:val="CommentSubjectChar"/>
    <w:uiPriority w:val="99"/>
    <w:semiHidden/>
    <w:unhideWhenUsed/>
    <w:rsid w:val="00900A93"/>
    <w:rPr>
      <w:b/>
      <w:bCs/>
    </w:rPr>
  </w:style>
  <w:style w:type="character" w:customStyle="1" w:styleId="CommentSubjectChar">
    <w:name w:val="Comment Subject Char"/>
    <w:basedOn w:val="CommentTextChar"/>
    <w:link w:val="CommentSubject"/>
    <w:uiPriority w:val="99"/>
    <w:semiHidden/>
    <w:rsid w:val="00900A93"/>
    <w:rPr>
      <w:b/>
      <w:bCs/>
      <w:sz w:val="20"/>
      <w:szCs w:val="20"/>
    </w:rPr>
  </w:style>
  <w:style w:type="character" w:customStyle="1" w:styleId="Heading1Char">
    <w:name w:val="Heading 1 Char"/>
    <w:basedOn w:val="DefaultParagraphFont"/>
    <w:link w:val="Heading1"/>
    <w:uiPriority w:val="9"/>
    <w:rsid w:val="008C7E90"/>
    <w:rPr>
      <w:rFonts w:ascii="Times New Roman" w:eastAsia="Times New Roman" w:hAnsi="Times New Roman" w:cs="Times New Roman"/>
      <w:b/>
      <w:bCs/>
      <w:sz w:val="21"/>
      <w:szCs w:val="21"/>
      <w:lang w:eastAsia="fr-FR" w:bidi="fr-FR"/>
    </w:rPr>
  </w:style>
  <w:style w:type="paragraph" w:styleId="NormalWeb">
    <w:name w:val="Normal (Web)"/>
    <w:basedOn w:val="Normal"/>
    <w:uiPriority w:val="99"/>
    <w:unhideWhenUsed/>
    <w:rsid w:val="00E85227"/>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markedcontent">
    <w:name w:val="markedcontent"/>
    <w:basedOn w:val="DefaultParagraphFont"/>
    <w:rsid w:val="00BA1E00"/>
  </w:style>
  <w:style w:type="paragraph" w:styleId="FootnoteText">
    <w:name w:val="footnote text"/>
    <w:basedOn w:val="Normal"/>
    <w:link w:val="FootnoteTextChar"/>
    <w:uiPriority w:val="99"/>
    <w:semiHidden/>
    <w:unhideWhenUsed/>
    <w:rsid w:val="00A534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534C8"/>
    <w:rPr>
      <w:sz w:val="20"/>
      <w:szCs w:val="20"/>
    </w:rPr>
  </w:style>
  <w:style w:type="character" w:styleId="FootnoteReference">
    <w:name w:val="footnote reference"/>
    <w:basedOn w:val="DefaultParagraphFont"/>
    <w:uiPriority w:val="99"/>
    <w:semiHidden/>
    <w:unhideWhenUsed/>
    <w:rsid w:val="00A534C8"/>
    <w:rPr>
      <w:vertAlign w:val="superscript"/>
    </w:rPr>
  </w:style>
  <w:style w:type="character" w:customStyle="1" w:styleId="cf01">
    <w:name w:val="cf01"/>
    <w:basedOn w:val="DefaultParagraphFont"/>
    <w:rsid w:val="008F71B6"/>
    <w:rPr>
      <w:rFonts w:ascii="Segoe UI" w:hAnsi="Segoe UI" w:cs="Segoe UI" w:hint="default"/>
      <w:sz w:val="18"/>
      <w:szCs w:val="18"/>
    </w:rPr>
  </w:style>
  <w:style w:type="paragraph" w:styleId="Header">
    <w:name w:val="header"/>
    <w:basedOn w:val="Normal"/>
    <w:link w:val="HeaderChar"/>
    <w:uiPriority w:val="99"/>
    <w:unhideWhenUsed/>
    <w:rsid w:val="00E96E2E"/>
    <w:pPr>
      <w:tabs>
        <w:tab w:val="center" w:pos="4536"/>
        <w:tab w:val="right" w:pos="9072"/>
      </w:tabs>
      <w:spacing w:after="0" w:line="240" w:lineRule="auto"/>
    </w:pPr>
  </w:style>
  <w:style w:type="character" w:customStyle="1" w:styleId="HeaderChar">
    <w:name w:val="Header Char"/>
    <w:basedOn w:val="DefaultParagraphFont"/>
    <w:link w:val="Header"/>
    <w:uiPriority w:val="99"/>
    <w:rsid w:val="00E96E2E"/>
  </w:style>
  <w:style w:type="paragraph" w:styleId="Footer">
    <w:name w:val="footer"/>
    <w:basedOn w:val="Normal"/>
    <w:link w:val="FooterChar"/>
    <w:uiPriority w:val="99"/>
    <w:unhideWhenUsed/>
    <w:rsid w:val="00E96E2E"/>
    <w:pPr>
      <w:tabs>
        <w:tab w:val="center" w:pos="4536"/>
        <w:tab w:val="right" w:pos="9072"/>
      </w:tabs>
      <w:spacing w:after="0" w:line="240" w:lineRule="auto"/>
    </w:pPr>
  </w:style>
  <w:style w:type="character" w:customStyle="1" w:styleId="FooterChar">
    <w:name w:val="Footer Char"/>
    <w:basedOn w:val="DefaultParagraphFont"/>
    <w:link w:val="Footer"/>
    <w:uiPriority w:val="99"/>
    <w:rsid w:val="00E96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89267">
      <w:bodyDiv w:val="1"/>
      <w:marLeft w:val="0"/>
      <w:marRight w:val="0"/>
      <w:marTop w:val="0"/>
      <w:marBottom w:val="0"/>
      <w:divBdr>
        <w:top w:val="none" w:sz="0" w:space="0" w:color="auto"/>
        <w:left w:val="none" w:sz="0" w:space="0" w:color="auto"/>
        <w:bottom w:val="none" w:sz="0" w:space="0" w:color="auto"/>
        <w:right w:val="none" w:sz="0" w:space="0" w:color="auto"/>
      </w:divBdr>
    </w:div>
    <w:div w:id="343165290">
      <w:bodyDiv w:val="1"/>
      <w:marLeft w:val="0"/>
      <w:marRight w:val="0"/>
      <w:marTop w:val="0"/>
      <w:marBottom w:val="0"/>
      <w:divBdr>
        <w:top w:val="none" w:sz="0" w:space="0" w:color="auto"/>
        <w:left w:val="none" w:sz="0" w:space="0" w:color="auto"/>
        <w:bottom w:val="none" w:sz="0" w:space="0" w:color="auto"/>
        <w:right w:val="none" w:sz="0" w:space="0" w:color="auto"/>
      </w:divBdr>
    </w:div>
    <w:div w:id="1404253150">
      <w:bodyDiv w:val="1"/>
      <w:marLeft w:val="0"/>
      <w:marRight w:val="0"/>
      <w:marTop w:val="0"/>
      <w:marBottom w:val="0"/>
      <w:divBdr>
        <w:top w:val="none" w:sz="0" w:space="0" w:color="auto"/>
        <w:left w:val="none" w:sz="0" w:space="0" w:color="auto"/>
        <w:bottom w:val="none" w:sz="0" w:space="0" w:color="auto"/>
        <w:right w:val="none" w:sz="0" w:space="0" w:color="auto"/>
      </w:divBdr>
    </w:div>
    <w:div w:id="1925648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4B6F18D-E5E9-4D25-9AB6-30CDFECB70DB}">
  <ds:schemaRefs>
    <ds:schemaRef ds:uri="http://schemas.openxmlformats.org/officeDocument/2006/bibliography"/>
  </ds:schemaRefs>
</ds:datastoreItem>
</file>

<file path=customXml/itemProps2.xml><?xml version="1.0" encoding="utf-8"?>
<ds:datastoreItem xmlns:ds="http://schemas.openxmlformats.org/officeDocument/2006/customXml" ds:itemID="{452BEF41-C181-4084-B300-9DA43065C8C6}"/>
</file>

<file path=customXml/itemProps3.xml><?xml version="1.0" encoding="utf-8"?>
<ds:datastoreItem xmlns:ds="http://schemas.openxmlformats.org/officeDocument/2006/customXml" ds:itemID="{006D8875-0D75-4E93-A101-53105154F761}"/>
</file>

<file path=customXml/itemProps4.xml><?xml version="1.0" encoding="utf-8"?>
<ds:datastoreItem xmlns:ds="http://schemas.openxmlformats.org/officeDocument/2006/customXml" ds:itemID="{2DF26F95-4CB9-464E-B64C-595A57BEC853}"/>
</file>

<file path=docProps/app.xml><?xml version="1.0" encoding="utf-8"?>
<Properties xmlns="http://schemas.openxmlformats.org/officeDocument/2006/extended-properties" xmlns:vt="http://schemas.openxmlformats.org/officeDocument/2006/docPropsVTypes">
  <Template>Normal.dotm</Template>
  <TotalTime>1</TotalTime>
  <Pages>23</Pages>
  <Words>6403</Words>
  <Characters>36502</Characters>
  <Application>Microsoft Office Word</Application>
  <DocSecurity>4</DocSecurity>
  <Lines>304</Lines>
  <Paragraphs>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42820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BONNET anne-sophie</dc:creator>
  <cp:keywords/>
  <dc:description/>
  <cp:lastModifiedBy>OUKO Robert</cp:lastModifiedBy>
  <cp:revision>2</cp:revision>
  <dcterms:created xsi:type="dcterms:W3CDTF">2021-07-29T11:38:00Z</dcterms:created>
  <dcterms:modified xsi:type="dcterms:W3CDTF">2021-07-29T11:38:00Z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