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3766B" w14:textId="77777777" w:rsidR="004E0F24" w:rsidRDefault="0074474A" w:rsidP="007A4B2C">
      <w:r>
        <w:rPr>
          <w:noProof/>
        </w:rPr>
        <mc:AlternateContent>
          <mc:Choice Requires="wps">
            <w:drawing>
              <wp:anchor distT="0" distB="0" distL="114300" distR="114300" simplePos="0" relativeHeight="251659264" behindDoc="0" locked="1" layoutInCell="1" allowOverlap="1" wp14:anchorId="24E598C3" wp14:editId="172228BD">
                <wp:simplePos x="0" y="0"/>
                <wp:positionH relativeFrom="page">
                  <wp:posOffset>859790</wp:posOffset>
                </wp:positionH>
                <wp:positionV relativeFrom="page">
                  <wp:posOffset>3101975</wp:posOffset>
                </wp:positionV>
                <wp:extent cx="3810000" cy="2595245"/>
                <wp:effectExtent l="0" t="0" r="0" b="0"/>
                <wp:wrapNone/>
                <wp:docPr id="2" name="Text Box 2"/>
                <wp:cNvGraphicFramePr/>
                <a:graphic xmlns:a="http://schemas.openxmlformats.org/drawingml/2006/main">
                  <a:graphicData uri="http://schemas.microsoft.com/office/word/2010/wordprocessingShape">
                    <wps:wsp>
                      <wps:cNvSpPr txBox="1"/>
                      <wps:spPr>
                        <a:xfrm>
                          <a:off x="0" y="0"/>
                          <a:ext cx="3810000" cy="2595245"/>
                        </a:xfrm>
                        <a:prstGeom prst="rect">
                          <a:avLst/>
                        </a:prstGeom>
                        <a:noFill/>
                        <a:ln w="6350">
                          <a:noFill/>
                        </a:ln>
                      </wps:spPr>
                      <wps:txbx>
                        <w:txbxContent>
                          <w:p w14:paraId="1754E56F" w14:textId="155715F1" w:rsidR="0074474A" w:rsidRPr="007F3565" w:rsidRDefault="001F27F1" w:rsidP="0074474A">
                            <w:pPr>
                              <w:pStyle w:val="Title"/>
                            </w:pPr>
                            <w:r>
                              <w:t>TUC - ICESCR Report 2022</w:t>
                            </w:r>
                          </w:p>
                          <w:p w14:paraId="2EF27F29" w14:textId="39C3D79D" w:rsidR="0074474A" w:rsidRDefault="001F27F1" w:rsidP="00CE4C8B">
                            <w:pPr>
                              <w:pStyle w:val="Subtitle"/>
                            </w:pPr>
                            <w:r>
                              <w:t>Trades Union Congress’ comments on UK Compliance with the Covenant of Economic, Social and Cultural Rights</w:t>
                            </w:r>
                          </w:p>
                        </w:txbxContent>
                      </wps:txbx>
                      <wps:bodyPr rot="0" spcFirstLastPara="0" vertOverflow="overflow" horzOverflow="overflow" vert="horz" wrap="square" lIns="0" tIns="0" rIns="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4E598C3" id="_x0000_t202" coordsize="21600,21600" o:spt="202" path="m,l,21600r21600,l21600,xe">
                <v:stroke joinstyle="miter"/>
                <v:path gradientshapeok="t" o:connecttype="rect"/>
              </v:shapetype>
              <v:shape id="Text Box 2" o:spid="_x0000_s1026" type="#_x0000_t202" style="position:absolute;margin-left:67.7pt;margin-top:244.25pt;width:300pt;height:204.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" filled="f" stroked="f" strokeweight=".5pt">
                <v:textbox style="mso-fit-shape-to-text:t" inset="0,0,0">
                  <w:txbxContent>
                    <w:p w14:paraId="1754E56F" w14:textId="155715F1" w:rsidR="0074474A" w:rsidRPr="007F3565" w:rsidRDefault="001F27F1" w:rsidP="0074474A">
                      <w:pPr>
                        <w:pStyle w:val="Title"/>
                      </w:pPr>
                      <w:r>
                        <w:t>TUC - ICESCR Report 2022</w:t>
                      </w:r>
                    </w:p>
                    <w:p w14:paraId="2EF27F29" w14:textId="39C3D79D" w:rsidR="0074474A" w:rsidRDefault="001F27F1" w:rsidP="00CE4C8B">
                      <w:pPr>
                        <w:pStyle w:val="Subtitle"/>
                      </w:pPr>
                      <w:r>
                        <w:t>Trades Union Congress’ comments on UK Compliance with the Covenant of Economic, Social and Cultural Rights</w:t>
                      </w:r>
                    </w:p>
                  </w:txbxContent>
                </v:textbox>
                <w10:wrap anchorx="page" anchory="page"/>
                <w10:anchorlock/>
              </v:shape>
            </w:pict>
          </mc:Fallback>
        </mc:AlternateContent>
      </w:r>
      <w:r>
        <w:rPr>
          <w:noProof/>
        </w:rPr>
        <w:drawing>
          <wp:inline distT="0" distB="0" distL="0" distR="0" wp14:anchorId="1481A178" wp14:editId="4C1C4505">
            <wp:extent cx="7188200" cy="10325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7188200" cy="10325100"/>
                    </a:xfrm>
                    <a:prstGeom prst="rect">
                      <a:avLst/>
                    </a:prstGeom>
                  </pic:spPr>
                </pic:pic>
              </a:graphicData>
            </a:graphic>
          </wp:inline>
        </w:drawing>
      </w:r>
    </w:p>
    <w:p w14:paraId="3282DD7C" w14:textId="77777777" w:rsidR="0074474A" w:rsidRDefault="0074474A" w:rsidP="007A4B2C">
      <w:pPr>
        <w:sectPr w:rsidR="0074474A" w:rsidSect="0074474A">
          <w:footerReference w:type="default" r:id="rId12"/>
          <w:footerReference w:type="first" r:id="rId13"/>
          <w:pgSz w:w="11906" w:h="16838" w:code="9"/>
          <w:pgMar w:top="284" w:right="284" w:bottom="284" w:left="284" w:header="284" w:footer="284" w:gutter="0"/>
          <w:cols w:space="708"/>
          <w:docGrid w:linePitch="360"/>
        </w:sectPr>
      </w:pPr>
    </w:p>
    <w:p w14:paraId="1A50B2BC" w14:textId="313524AA" w:rsidR="000A6D94" w:rsidRDefault="00CA5A60" w:rsidP="00CA5A60">
      <w:pPr>
        <w:pStyle w:val="Heading2"/>
      </w:pPr>
      <w:r>
        <w:lastRenderedPageBreak/>
        <w:t xml:space="preserve">Introduction </w:t>
      </w:r>
    </w:p>
    <w:p w14:paraId="5ECC4EA5" w14:textId="6726D25F" w:rsidR="00CA5A60" w:rsidRDefault="00CA5A60" w:rsidP="00CA5A60">
      <w:r w:rsidRPr="00CA5A60">
        <w:t>The TUC is the United Kingdom’s most representative workers’ organisation, with 5.5 million members in our 48 affiliated unions.</w:t>
      </w:r>
      <w:r>
        <w:br/>
      </w:r>
      <w:r>
        <w:br/>
        <w:t xml:space="preserve">Most of our engagement with the UN system comes from our active participation in the International Labour Organisation, through regular reports on UK compliance with conventions, participation in the annual International Labour Conference, and through our representative on the ILO’s governing body. </w:t>
      </w:r>
    </w:p>
    <w:p w14:paraId="75775D97" w14:textId="2235AECC" w:rsidR="00CA5A60" w:rsidRDefault="00CA5A60" w:rsidP="00CA5A60">
      <w:r>
        <w:t>Earlier this year we submitted a substantial report</w:t>
      </w:r>
      <w:r w:rsidR="00AE5989">
        <w:rPr>
          <w:rStyle w:val="FootnoteReference"/>
        </w:rPr>
        <w:footnoteReference w:id="1"/>
      </w:r>
      <w:r>
        <w:t xml:space="preserve"> to the ILO’s Committee of Experts detailing our concerns about the hostile climate created by the government towards workers seeking to exercise their rights under ILO Conventions 87 and 98. </w:t>
      </w:r>
      <w:r>
        <w:br/>
      </w:r>
      <w:r>
        <w:br/>
        <w:t xml:space="preserve">An opportunity to address the UK’s responsibilities as defined by the ICESCSR is, therefore, both welcome and timely. </w:t>
      </w:r>
    </w:p>
    <w:p w14:paraId="12CFB4C2" w14:textId="263D8C22" w:rsidR="00CA5A60" w:rsidRDefault="00CA5A60" w:rsidP="00AE5989">
      <w:pPr>
        <w:pStyle w:val="Heading2"/>
      </w:pPr>
      <w:r>
        <w:t xml:space="preserve">Article 8 and the Right to Strike </w:t>
      </w:r>
    </w:p>
    <w:p w14:paraId="725EF271" w14:textId="22758F22" w:rsidR="00CA5A60" w:rsidRPr="00CA5A60" w:rsidRDefault="00CA5A60" w:rsidP="00CA5A60">
      <w:pPr>
        <w:rPr>
          <w:rFonts w:cstheme="minorHAnsi"/>
        </w:rPr>
      </w:pPr>
      <w:r w:rsidRPr="00CA5A60">
        <w:rPr>
          <w:rFonts w:eastAsia="Avenir Next" w:cstheme="minorHAnsi"/>
          <w:sz w:val="24"/>
          <w:szCs w:val="24"/>
        </w:rPr>
        <w:t xml:space="preserve">Unions in the UK are highly regulated to an extent that we believe infringes the rights derived from Convention 87 &amp; 98 at the ILO and protected by the Covenant. </w:t>
      </w:r>
    </w:p>
    <w:p w14:paraId="3F87C1BA" w14:textId="77777777" w:rsidR="00CA5A60" w:rsidRPr="00CA5A60" w:rsidRDefault="00CA5A60" w:rsidP="00CA5A60">
      <w:pPr>
        <w:rPr>
          <w:rFonts w:cstheme="minorHAnsi"/>
        </w:rPr>
      </w:pPr>
      <w:r w:rsidRPr="00CA5A60">
        <w:rPr>
          <w:rFonts w:eastAsia="Avenir Next" w:cstheme="minorHAnsi"/>
          <w:sz w:val="24"/>
          <w:szCs w:val="24"/>
        </w:rPr>
        <w:t>The UK government has since taken additional steps to infringe rights due to trade unions under Article 8.</w:t>
      </w:r>
    </w:p>
    <w:p w14:paraId="561FCCF8" w14:textId="77777777" w:rsidR="00CA5A60" w:rsidRPr="00CA5A60" w:rsidRDefault="00CA5A60" w:rsidP="00D32B17">
      <w:pPr>
        <w:pStyle w:val="RoundBullet"/>
      </w:pPr>
      <w:r w:rsidRPr="00CA5A60">
        <w:t>implementing additional powers for the Certification Officer, without further consultation with social partners on the key issues</w:t>
      </w:r>
    </w:p>
    <w:p w14:paraId="1D071C1D" w14:textId="77777777" w:rsidR="00CA5A60" w:rsidRPr="00CA5A60" w:rsidRDefault="00CA5A60" w:rsidP="00D32B17">
      <w:pPr>
        <w:pStyle w:val="RoundBullet"/>
      </w:pPr>
      <w:r w:rsidRPr="00CA5A60">
        <w:t>introducing legislation that allows employment businesses to supply agency workers to replace workers taking industrial action in non-essential sectors, without undertaking an up-to-date consultation</w:t>
      </w:r>
    </w:p>
    <w:p w14:paraId="34CE4C18" w14:textId="77777777" w:rsidR="00CA5A60" w:rsidRPr="00CA5A60" w:rsidRDefault="00CA5A60" w:rsidP="00D32B17">
      <w:pPr>
        <w:pStyle w:val="RoundBullet"/>
      </w:pPr>
      <w:r w:rsidRPr="00CA5A60">
        <w:t>quadrupling to £1 million of the maximum damages that an employer can seek if a union’s industrial action falls foul of the UK’s onerous and complex laws regarding industrial action.</w:t>
      </w:r>
    </w:p>
    <w:p w14:paraId="6949FA1A" w14:textId="5F2632A8" w:rsidR="00CA5A60" w:rsidRPr="00CA5A60" w:rsidRDefault="00CA5A60" w:rsidP="00CA5A60">
      <w:pPr>
        <w:rPr>
          <w:rFonts w:cstheme="minorHAnsi"/>
        </w:rPr>
      </w:pPr>
      <w:r w:rsidRPr="00CA5A60">
        <w:rPr>
          <w:rFonts w:eastAsia="Avenir Next" w:cstheme="minorHAnsi"/>
          <w:sz w:val="24"/>
          <w:szCs w:val="24"/>
        </w:rPr>
        <w:t>Government ministers have started the process to put in place a new set of restrictions that will further hinder industrial action.</w:t>
      </w:r>
      <w:r>
        <w:rPr>
          <w:rStyle w:val="FootnoteReference"/>
          <w:rFonts w:eastAsia="Avenir Next" w:cstheme="minorHAnsi"/>
          <w:sz w:val="24"/>
          <w:szCs w:val="24"/>
        </w:rPr>
        <w:footnoteReference w:id="2"/>
      </w:r>
      <w:r w:rsidRPr="00CA5A60">
        <w:rPr>
          <w:rFonts w:cstheme="minorHAnsi"/>
        </w:rPr>
        <w:t xml:space="preserve"> </w:t>
      </w:r>
    </w:p>
    <w:p w14:paraId="34ECA81E" w14:textId="77777777" w:rsidR="00300845" w:rsidRDefault="00300845" w:rsidP="00CA5A60">
      <w:pPr>
        <w:rPr>
          <w:rFonts w:eastAsia="Avenir Next" w:cstheme="minorHAnsi"/>
          <w:sz w:val="24"/>
          <w:szCs w:val="24"/>
        </w:rPr>
      </w:pPr>
    </w:p>
    <w:p w14:paraId="560C98ED" w14:textId="093798C6" w:rsidR="00CA5A60" w:rsidRPr="00CA5A60" w:rsidRDefault="00CA5A60" w:rsidP="00CA5A60">
      <w:pPr>
        <w:rPr>
          <w:rFonts w:cstheme="minorHAnsi"/>
        </w:rPr>
      </w:pPr>
      <w:r w:rsidRPr="00CA5A60">
        <w:rPr>
          <w:rFonts w:eastAsia="Avenir Next" w:cstheme="minorHAnsi"/>
          <w:sz w:val="24"/>
          <w:szCs w:val="24"/>
        </w:rPr>
        <w:lastRenderedPageBreak/>
        <w:t xml:space="preserve">These include: </w:t>
      </w:r>
    </w:p>
    <w:p w14:paraId="3C53A200" w14:textId="77777777" w:rsidR="00CA5A60" w:rsidRPr="00CA5A60" w:rsidRDefault="00CA5A60" w:rsidP="00CA5A60">
      <w:pPr>
        <w:rPr>
          <w:rFonts w:cstheme="minorHAnsi"/>
        </w:rPr>
      </w:pPr>
      <w:r w:rsidRPr="00CA5A60">
        <w:rPr>
          <w:rFonts w:eastAsia="Avenir Next" w:cstheme="minorHAnsi"/>
          <w:sz w:val="24"/>
          <w:szCs w:val="24"/>
        </w:rPr>
        <w:t xml:space="preserve">imposing minimum service levels in transport and other “critical” sectors. Ministers have suggested that these will include power, </w:t>
      </w:r>
      <w:proofErr w:type="gramStart"/>
      <w:r w:rsidRPr="00CA5A60">
        <w:rPr>
          <w:rFonts w:eastAsia="Avenir Next" w:cstheme="minorHAnsi"/>
          <w:sz w:val="24"/>
          <w:szCs w:val="24"/>
        </w:rPr>
        <w:t>education</w:t>
      </w:r>
      <w:proofErr w:type="gramEnd"/>
      <w:r w:rsidRPr="00CA5A60">
        <w:rPr>
          <w:rFonts w:eastAsia="Avenir Next" w:cstheme="minorHAnsi"/>
          <w:sz w:val="24"/>
          <w:szCs w:val="24"/>
        </w:rPr>
        <w:t xml:space="preserve"> and the health service.  </w:t>
      </w:r>
    </w:p>
    <w:p w14:paraId="6F7AB509" w14:textId="3423D343" w:rsidR="00CA5A60" w:rsidRPr="00CA5A60" w:rsidRDefault="00CA5A60" w:rsidP="00CA5A60">
      <w:pPr>
        <w:rPr>
          <w:rFonts w:eastAsia="Avenir Next" w:cstheme="minorHAnsi"/>
          <w:sz w:val="24"/>
          <w:szCs w:val="24"/>
        </w:rPr>
      </w:pPr>
      <w:r w:rsidRPr="00CA5A60">
        <w:rPr>
          <w:rFonts w:eastAsia="Avenir Next" w:cstheme="minorHAnsi"/>
          <w:sz w:val="24"/>
          <w:szCs w:val="24"/>
        </w:rPr>
        <w:t xml:space="preserve">Although during her campaign to lead the Conservative Party Liz Truss, </w:t>
      </w:r>
      <w:r w:rsidR="00D32B17">
        <w:rPr>
          <w:rFonts w:eastAsia="Avenir Next" w:cstheme="minorHAnsi"/>
          <w:sz w:val="24"/>
          <w:szCs w:val="24"/>
        </w:rPr>
        <w:t>then</w:t>
      </w:r>
      <w:r w:rsidRPr="00CA5A60">
        <w:rPr>
          <w:rFonts w:eastAsia="Avenir Next" w:cstheme="minorHAnsi"/>
          <w:sz w:val="24"/>
          <w:szCs w:val="24"/>
        </w:rPr>
        <w:t xml:space="preserve"> Foreign Secretary and</w:t>
      </w:r>
      <w:r w:rsidR="00D32B17">
        <w:rPr>
          <w:rFonts w:eastAsia="Avenir Next" w:cstheme="minorHAnsi"/>
          <w:sz w:val="24"/>
          <w:szCs w:val="24"/>
        </w:rPr>
        <w:t xml:space="preserve"> afterwards</w:t>
      </w:r>
      <w:r w:rsidRPr="00CA5A60">
        <w:rPr>
          <w:rFonts w:eastAsia="Avenir Next" w:cstheme="minorHAnsi"/>
          <w:sz w:val="24"/>
          <w:szCs w:val="24"/>
        </w:rPr>
        <w:t xml:space="preserve">, </w:t>
      </w:r>
      <w:r w:rsidR="00D32B17">
        <w:rPr>
          <w:rFonts w:eastAsia="Avenir Next" w:cstheme="minorHAnsi"/>
          <w:sz w:val="24"/>
          <w:szCs w:val="24"/>
        </w:rPr>
        <w:t>rather</w:t>
      </w:r>
      <w:r w:rsidRPr="00CA5A60">
        <w:rPr>
          <w:rFonts w:eastAsia="Avenir Next" w:cstheme="minorHAnsi"/>
          <w:sz w:val="24"/>
          <w:szCs w:val="24"/>
        </w:rPr>
        <w:t xml:space="preserve"> more briefly, Prime Minister, pledged to pass primary legislation on this issue within 30 days of assuming office</w:t>
      </w:r>
      <w:r>
        <w:rPr>
          <w:rStyle w:val="FootnoteReference"/>
          <w:rFonts w:eastAsia="Avenir Next" w:cstheme="minorHAnsi"/>
          <w:sz w:val="24"/>
          <w:szCs w:val="24"/>
        </w:rPr>
        <w:footnoteReference w:id="3"/>
      </w:r>
      <w:r w:rsidRPr="00CA5A60">
        <w:rPr>
          <w:rFonts w:eastAsia="Avenir Next" w:cstheme="minorHAnsi"/>
          <w:sz w:val="24"/>
          <w:szCs w:val="24"/>
        </w:rPr>
        <w:t xml:space="preserve">, she then left office without time to enact any of her anti-union campaign promises. However, the ideas that she put forward have not been disavowed; </w:t>
      </w:r>
      <w:proofErr w:type="gramStart"/>
      <w:r w:rsidRPr="00CA5A60">
        <w:rPr>
          <w:rFonts w:eastAsia="Avenir Next" w:cstheme="minorHAnsi"/>
          <w:sz w:val="24"/>
          <w:szCs w:val="24"/>
        </w:rPr>
        <w:t>indeed</w:t>
      </w:r>
      <w:proofErr w:type="gramEnd"/>
      <w:r w:rsidRPr="00CA5A60">
        <w:rPr>
          <w:rFonts w:eastAsia="Avenir Next" w:cstheme="minorHAnsi"/>
          <w:sz w:val="24"/>
          <w:szCs w:val="24"/>
        </w:rPr>
        <w:t xml:space="preserve"> the rhetoric and policy proposals regarding the right to strike have escalated, culminating in the introduction to Parliament of a bill setting out the government’s intention to remove protections for striking workers where a minimum service level is not provided, inevitably resulting in some workers being effectively barred from striking. Ministers have indicated that this Bill might be withdrawn in favour of even more far-reaching legislation.</w:t>
      </w:r>
    </w:p>
    <w:p w14:paraId="51800EB5" w14:textId="77777777" w:rsidR="00CA5A60" w:rsidRPr="00CA5A60" w:rsidRDefault="00CA5A60" w:rsidP="00CA5A60">
      <w:pPr>
        <w:rPr>
          <w:rFonts w:eastAsia="Avenir Next" w:cstheme="minorHAnsi"/>
          <w:sz w:val="24"/>
          <w:szCs w:val="24"/>
        </w:rPr>
      </w:pPr>
      <w:r w:rsidRPr="00CA5A60">
        <w:rPr>
          <w:rFonts w:eastAsia="Avenir Next" w:cstheme="minorHAnsi"/>
          <w:sz w:val="24"/>
          <w:szCs w:val="24"/>
        </w:rPr>
        <w:t xml:space="preserve">The other proposals included: </w:t>
      </w:r>
    </w:p>
    <w:p w14:paraId="38C11A15" w14:textId="77777777" w:rsidR="00CA5A60" w:rsidRPr="00CA5A60" w:rsidRDefault="00CA5A60" w:rsidP="00D32B17">
      <w:pPr>
        <w:pStyle w:val="RoundBullet"/>
      </w:pPr>
      <w:r w:rsidRPr="00CA5A60">
        <w:t xml:space="preserve">banning strikes by different unions in the same workplace within a set period </w:t>
      </w:r>
    </w:p>
    <w:p w14:paraId="631279C8" w14:textId="77777777" w:rsidR="00CA5A60" w:rsidRPr="00CA5A60" w:rsidRDefault="00CA5A60" w:rsidP="00D32B17">
      <w:pPr>
        <w:pStyle w:val="RoundBullet"/>
      </w:pPr>
      <w:r w:rsidRPr="00CA5A60">
        <w:t>setting a limit of six pickets at points of “critical national infrastructure”, irrespective of the number of unions involved, and outlawing “intimidatory language”</w:t>
      </w:r>
    </w:p>
    <w:p w14:paraId="56D6EBE9" w14:textId="77777777" w:rsidR="00CA5A60" w:rsidRPr="00CA5A60" w:rsidRDefault="00CA5A60" w:rsidP="00D32B17">
      <w:pPr>
        <w:pStyle w:val="RoundBullet"/>
      </w:pPr>
      <w:r w:rsidRPr="00CA5A60">
        <w:t>requiring ballot papers to set out the specific reason for industrial action and the form of action to be taken</w:t>
      </w:r>
    </w:p>
    <w:p w14:paraId="0E2525F6" w14:textId="77777777" w:rsidR="00CA5A60" w:rsidRPr="00CA5A60" w:rsidRDefault="00CA5A60" w:rsidP="00D32B17">
      <w:pPr>
        <w:pStyle w:val="RoundBullet"/>
      </w:pPr>
      <w:r w:rsidRPr="00CA5A60">
        <w:t>giving employers the right to respond to issues cited on the ballot paper before strike dates are announced</w:t>
      </w:r>
    </w:p>
    <w:p w14:paraId="422DF973" w14:textId="77777777" w:rsidR="00CA5A60" w:rsidRPr="00CA5A60" w:rsidRDefault="00CA5A60" w:rsidP="00D32B17">
      <w:pPr>
        <w:pStyle w:val="RoundBullet"/>
      </w:pPr>
      <w:r w:rsidRPr="00CA5A60">
        <w:t xml:space="preserve">requiring a separate ballot for each single, continuous bout of strike action </w:t>
      </w:r>
    </w:p>
    <w:p w14:paraId="78C79B9F" w14:textId="77777777" w:rsidR="00CA5A60" w:rsidRPr="00CA5A60" w:rsidRDefault="00CA5A60" w:rsidP="00D32B17">
      <w:pPr>
        <w:pStyle w:val="RoundBullet"/>
      </w:pPr>
      <w:r w:rsidRPr="00CA5A60">
        <w:t>imposing cooling-off periods after each strike, lasting up to 60 days</w:t>
      </w:r>
    </w:p>
    <w:p w14:paraId="1CAA23B7" w14:textId="77777777" w:rsidR="00CA5A60" w:rsidRPr="00CA5A60" w:rsidRDefault="00CA5A60" w:rsidP="00D32B17">
      <w:pPr>
        <w:pStyle w:val="RoundBullet"/>
      </w:pPr>
      <w:r w:rsidRPr="00CA5A60">
        <w:t>increasing the minimum notice period for industrial action from two weeks to four</w:t>
      </w:r>
    </w:p>
    <w:p w14:paraId="4628EE2F" w14:textId="77777777" w:rsidR="00CA5A60" w:rsidRPr="00CA5A60" w:rsidRDefault="00CA5A60" w:rsidP="00D32B17">
      <w:pPr>
        <w:pStyle w:val="RoundBullet"/>
      </w:pPr>
      <w:r w:rsidRPr="00CA5A60">
        <w:t>raising the threshold for industrial action to support from 50 per cent of members and extending this requirement to all sectors, and</w:t>
      </w:r>
    </w:p>
    <w:p w14:paraId="2B465E96" w14:textId="3DC594E5" w:rsidR="00CA5A60" w:rsidRPr="00CA5A60" w:rsidRDefault="00CA5A60" w:rsidP="00D32B17">
      <w:pPr>
        <w:pStyle w:val="RoundBullet"/>
        <w:rPr>
          <w:color w:val="0563C1"/>
          <w:sz w:val="24"/>
          <w:szCs w:val="24"/>
          <w:u w:val="single"/>
          <w:vertAlign w:val="superscript"/>
        </w:rPr>
      </w:pPr>
      <w:r w:rsidRPr="00CA5A60">
        <w:t>Most recently, suggesting that health workers, including nurses and ambulance drivers, could be banned from striking</w:t>
      </w:r>
      <w:r>
        <w:rPr>
          <w:rStyle w:val="FootnoteReference"/>
          <w:rFonts w:eastAsia="Avenir Next" w:cstheme="minorHAnsi"/>
        </w:rPr>
        <w:footnoteReference w:id="4"/>
      </w:r>
    </w:p>
    <w:p w14:paraId="25503DEA" w14:textId="77777777" w:rsidR="00D32B17" w:rsidRDefault="00CA5A60" w:rsidP="00CA5A60">
      <w:pPr>
        <w:rPr>
          <w:rFonts w:eastAsia="Avenir Next" w:cstheme="minorHAnsi"/>
          <w:sz w:val="24"/>
          <w:szCs w:val="24"/>
        </w:rPr>
      </w:pPr>
      <w:r w:rsidRPr="00CA5A60">
        <w:rPr>
          <w:rFonts w:eastAsia="Avenir Next" w:cstheme="minorHAnsi"/>
          <w:sz w:val="24"/>
          <w:szCs w:val="24"/>
        </w:rPr>
        <w:t xml:space="preserve">The TUC is extremely concerned that these plans would severely impinge on unions’ rights generally by interfering in union independence and, </w:t>
      </w:r>
      <w:proofErr w:type="gramStart"/>
      <w:r w:rsidRPr="00CA5A60">
        <w:rPr>
          <w:rFonts w:eastAsia="Avenir Next" w:cstheme="minorHAnsi"/>
          <w:sz w:val="24"/>
          <w:szCs w:val="24"/>
        </w:rPr>
        <w:t xml:space="preserve">in particular </w:t>
      </w:r>
      <w:r w:rsidRPr="00CA5A60">
        <w:rPr>
          <w:rFonts w:eastAsia="Avenir Next" w:cstheme="minorHAnsi"/>
          <w:sz w:val="24"/>
          <w:szCs w:val="24"/>
        </w:rPr>
        <w:lastRenderedPageBreak/>
        <w:t>by</w:t>
      </w:r>
      <w:proofErr w:type="gramEnd"/>
      <w:r w:rsidRPr="00CA5A60">
        <w:rPr>
          <w:rFonts w:eastAsia="Avenir Next" w:cstheme="minorHAnsi"/>
          <w:sz w:val="24"/>
          <w:szCs w:val="24"/>
        </w:rPr>
        <w:t xml:space="preserve"> making it extremely difficult to take effective industrial action. Indeed, we believe that threatening these changes is intended to have a chilling effect on the willingness of workers to take industrial action in defence of their pay and conditions.</w:t>
      </w:r>
      <w:r w:rsidRPr="00CA5A60">
        <w:rPr>
          <w:rFonts w:cstheme="minorHAnsi"/>
        </w:rPr>
        <w:br/>
      </w:r>
      <w:r w:rsidRPr="00CA5A60">
        <w:rPr>
          <w:rFonts w:eastAsia="Avenir Next" w:cstheme="minorHAnsi"/>
          <w:sz w:val="24"/>
          <w:szCs w:val="24"/>
        </w:rPr>
        <w:t xml:space="preserve"> </w:t>
      </w:r>
      <w:r w:rsidRPr="00CA5A60">
        <w:rPr>
          <w:rFonts w:cstheme="minorHAnsi"/>
        </w:rPr>
        <w:br/>
      </w:r>
      <w:r w:rsidRPr="00CA5A60">
        <w:rPr>
          <w:rFonts w:eastAsia="Avenir Next" w:cstheme="minorHAnsi"/>
          <w:sz w:val="24"/>
          <w:szCs w:val="24"/>
        </w:rPr>
        <w:t>We are also concerned about the lack of protection for trade union members who are disciplined – but not dismissed – for taking industrial action. This is currently the subject of a case to be heard by the Supreme Court later this year in Mercer v Alternative Future Group in which the Department for Business, Energy and Industrial Strategy has intervened to seek to convince the court that the worker concerned does not merit protection.</w:t>
      </w:r>
      <w:r w:rsidRPr="00CA5A60">
        <w:rPr>
          <w:rFonts w:cstheme="minorHAnsi"/>
        </w:rPr>
        <w:br/>
      </w:r>
      <w:r w:rsidRPr="00CA5A60">
        <w:rPr>
          <w:rFonts w:eastAsia="Avenir Next" w:cstheme="minorHAnsi"/>
          <w:sz w:val="24"/>
          <w:szCs w:val="24"/>
        </w:rPr>
        <w:t xml:space="preserve"> </w:t>
      </w:r>
      <w:r w:rsidRPr="00CA5A60">
        <w:rPr>
          <w:rFonts w:cstheme="minorHAnsi"/>
        </w:rPr>
        <w:br/>
      </w:r>
      <w:r w:rsidRPr="00CA5A60">
        <w:rPr>
          <w:rFonts w:eastAsia="Avenir Next" w:cstheme="minorHAnsi"/>
          <w:sz w:val="24"/>
          <w:szCs w:val="24"/>
        </w:rPr>
        <w:t xml:space="preserve">While proposing increased restrictions on workers’ right to exercise their freedom to strike, the government is also failing to effectively implement basic protections for workers. </w:t>
      </w:r>
      <w:proofErr w:type="gramStart"/>
      <w:r w:rsidRPr="00CA5A60">
        <w:rPr>
          <w:rFonts w:eastAsia="Avenir Next" w:cstheme="minorHAnsi"/>
          <w:sz w:val="24"/>
          <w:szCs w:val="24"/>
        </w:rPr>
        <w:t>In particular, we</w:t>
      </w:r>
      <w:proofErr w:type="gramEnd"/>
      <w:r w:rsidRPr="00CA5A60">
        <w:rPr>
          <w:rFonts w:eastAsia="Avenir Next" w:cstheme="minorHAnsi"/>
          <w:sz w:val="24"/>
          <w:szCs w:val="24"/>
        </w:rPr>
        <w:t xml:space="preserve"> note the failure to ensure that trade union consultation rights were adhered to when 800 seafarers were dismissed with no notice by P&amp;O Ferries. This is a particularly important example because the employer made no attempt to meet its statutory responsibilities concerning collective consultation and informing the appropriate authorities of its plans in adequate time.</w:t>
      </w:r>
      <w:r w:rsidRPr="00CA5A60">
        <w:rPr>
          <w:rFonts w:cstheme="minorHAnsi"/>
        </w:rPr>
        <w:br/>
      </w:r>
      <w:r w:rsidRPr="00CA5A60">
        <w:rPr>
          <w:rFonts w:eastAsia="Avenir Next" w:cstheme="minorHAnsi"/>
          <w:sz w:val="24"/>
          <w:szCs w:val="24"/>
        </w:rPr>
        <w:t xml:space="preserve"> </w:t>
      </w:r>
      <w:r w:rsidRPr="00CA5A60">
        <w:rPr>
          <w:rFonts w:cstheme="minorHAnsi"/>
        </w:rPr>
        <w:br/>
      </w:r>
      <w:r w:rsidRPr="00CA5A60">
        <w:rPr>
          <w:rFonts w:eastAsia="Avenir Next" w:cstheme="minorHAnsi"/>
          <w:sz w:val="24"/>
          <w:szCs w:val="24"/>
        </w:rPr>
        <w:t xml:space="preserve">In its seventh periodic report of 4 May 2022, (Point 76) the UK government attempts to justify its existing restrictions on the right to strike. It says that the 40% threshold “has meant that industrial action is only ever the result of a clear and positive mandate from union members.” Although the TUC stresses that the thresholds contravene workers’ rights as defined by the ILO, and as such we strongly oppose them, we would also note that a government that believes that “industrial action is only ever the result of a clear and positive mandate from union members” has little justification for increasing those thresholds by its own logic. </w:t>
      </w:r>
    </w:p>
    <w:p w14:paraId="5AF58424" w14:textId="694EA5B2" w:rsidR="00300845" w:rsidRDefault="00CA5A60" w:rsidP="00CA5A60">
      <w:pPr>
        <w:rPr>
          <w:rFonts w:eastAsia="Avenir Next" w:cstheme="minorHAnsi"/>
          <w:sz w:val="24"/>
          <w:szCs w:val="24"/>
        </w:rPr>
      </w:pPr>
      <w:r w:rsidRPr="00CA5A60">
        <w:rPr>
          <w:rFonts w:cstheme="minorHAnsi"/>
        </w:rPr>
        <w:br/>
      </w:r>
      <w:r w:rsidRPr="00CA5A60">
        <w:rPr>
          <w:rFonts w:eastAsia="Avenir Next" w:cstheme="minorHAnsi"/>
          <w:sz w:val="24"/>
          <w:szCs w:val="24"/>
        </w:rPr>
        <w:t xml:space="preserve">The government also suggests that it wants to protect non-striking workers against intimidation, without providing any evidence that this is a serious problem. </w:t>
      </w:r>
      <w:r w:rsidRPr="00CA5A60">
        <w:rPr>
          <w:rFonts w:cstheme="minorHAnsi"/>
        </w:rPr>
        <w:br/>
      </w:r>
      <w:r w:rsidRPr="00CA5A60">
        <w:rPr>
          <w:rFonts w:cstheme="minorHAnsi"/>
        </w:rPr>
        <w:br/>
      </w:r>
      <w:r w:rsidRPr="00CA5A60">
        <w:rPr>
          <w:rFonts w:eastAsia="Avenir Next" w:cstheme="minorHAnsi"/>
          <w:sz w:val="24"/>
          <w:szCs w:val="24"/>
        </w:rPr>
        <w:t xml:space="preserve">The justifications in the government submission do not, in our view, amount to actions necessary for “the interests of national security or public order or for the protection of the </w:t>
      </w:r>
      <w:r w:rsidRPr="00CA5A60">
        <w:rPr>
          <w:rFonts w:eastAsia="Avenir Next" w:cstheme="minorHAnsi"/>
          <w:i/>
          <w:iCs/>
          <w:sz w:val="24"/>
          <w:szCs w:val="24"/>
        </w:rPr>
        <w:t>rights and freedoms</w:t>
      </w:r>
      <w:r w:rsidRPr="00CA5A60">
        <w:rPr>
          <w:rFonts w:eastAsia="Avenir Next" w:cstheme="minorHAnsi"/>
          <w:sz w:val="24"/>
          <w:szCs w:val="24"/>
        </w:rPr>
        <w:t xml:space="preserve"> of others.” Rather, the government clearly wants to curtail the impact of strikes, and therefore their effectiveness </w:t>
      </w:r>
      <w:proofErr w:type="gramStart"/>
      <w:r w:rsidRPr="00CA5A60">
        <w:rPr>
          <w:rFonts w:eastAsia="Avenir Next" w:cstheme="minorHAnsi"/>
          <w:sz w:val="24"/>
          <w:szCs w:val="24"/>
        </w:rPr>
        <w:t>as a means to</w:t>
      </w:r>
      <w:proofErr w:type="gramEnd"/>
      <w:r w:rsidRPr="00CA5A60">
        <w:rPr>
          <w:rFonts w:eastAsia="Avenir Next" w:cstheme="minorHAnsi"/>
          <w:sz w:val="24"/>
          <w:szCs w:val="24"/>
        </w:rPr>
        <w:t xml:space="preserve"> secure more favourable pay and working conditions. </w:t>
      </w:r>
    </w:p>
    <w:p w14:paraId="048E19C2" w14:textId="77777777" w:rsidR="00B0738A" w:rsidRDefault="00B0738A" w:rsidP="00B0738A">
      <w:pPr>
        <w:spacing w:after="160" w:line="252" w:lineRule="auto"/>
        <w:rPr>
          <w:lang w:val="en-US"/>
        </w:rPr>
      </w:pPr>
      <w:r w:rsidRPr="00B0738A">
        <w:rPr>
          <w:rStyle w:val="Heading1Char"/>
        </w:rPr>
        <w:lastRenderedPageBreak/>
        <w:t>Article 2 – Progressive Realisation of Rights</w:t>
      </w:r>
      <w:r>
        <w:rPr>
          <w:rFonts w:eastAsia="Avenir Next" w:cstheme="minorHAnsi"/>
          <w:sz w:val="24"/>
          <w:szCs w:val="24"/>
        </w:rPr>
        <w:t xml:space="preserve"> </w:t>
      </w:r>
      <w:r>
        <w:rPr>
          <w:rFonts w:eastAsia="Avenir Next" w:cstheme="minorHAnsi"/>
          <w:sz w:val="24"/>
          <w:szCs w:val="24"/>
        </w:rPr>
        <w:br/>
      </w:r>
      <w:r>
        <w:rPr>
          <w:rFonts w:eastAsia="Avenir Next" w:cstheme="minorHAnsi"/>
          <w:sz w:val="24"/>
          <w:szCs w:val="24"/>
        </w:rPr>
        <w:br/>
      </w:r>
      <w:r>
        <w:rPr>
          <w:lang w:val="en-US"/>
        </w:rPr>
        <w:t>The TUC notes the concern expressed by the Irish Congress of Trade Unions, as the trade union federation representing unions and their members across the island of Ireland, that the failure to fully deliver commitments in the Belfast/Good Friday Agreement, including a comprehensive Bill of Rights for Northern Ireland, has left the region in an extremely precarious state.  </w:t>
      </w:r>
    </w:p>
    <w:p w14:paraId="40EFD254" w14:textId="12B5D3E7" w:rsidR="00D32B17" w:rsidRPr="00B0738A" w:rsidRDefault="00B0738A" w:rsidP="00B0738A">
      <w:pPr>
        <w:spacing w:after="160" w:line="252" w:lineRule="auto"/>
        <w:rPr>
          <w:rFonts w:eastAsia="Avenir Next" w:cstheme="minorHAnsi"/>
          <w:sz w:val="24"/>
          <w:szCs w:val="24"/>
          <w:lang w:val="en-US"/>
        </w:rPr>
      </w:pPr>
      <w:r>
        <w:rPr>
          <w:lang w:val="en-US"/>
        </w:rPr>
        <w:t xml:space="preserve">A recent report by the Human Rights Commissioner at the Council of Europe, </w:t>
      </w:r>
      <w:proofErr w:type="spellStart"/>
      <w:r>
        <w:rPr>
          <w:lang w:val="en-US"/>
        </w:rPr>
        <w:t>Dunja</w:t>
      </w:r>
      <w:proofErr w:type="spellEnd"/>
      <w:r>
        <w:rPr>
          <w:lang w:val="en-US"/>
        </w:rPr>
        <w:t xml:space="preserve"> </w:t>
      </w:r>
      <w:proofErr w:type="spellStart"/>
      <w:r>
        <w:rPr>
          <w:lang w:val="en-US"/>
        </w:rPr>
        <w:t>Mijatović</w:t>
      </w:r>
      <w:proofErr w:type="spellEnd"/>
      <w:r>
        <w:rPr>
          <w:lang w:val="en-US"/>
        </w:rPr>
        <w:t>, identified the lack of progress on the Bill of Rights as a point of concern in Northern Ireland, alongside warning that the UK Government is becoming ‘increasingly antagonistic’ towards human rights.</w:t>
      </w:r>
    </w:p>
    <w:p w14:paraId="6CFA1893" w14:textId="77777777" w:rsidR="00D32B17" w:rsidRPr="00122C48" w:rsidRDefault="00D32B17" w:rsidP="00D32B17">
      <w:pPr>
        <w:pStyle w:val="Heading1"/>
        <w:rPr>
          <w:b w:val="0"/>
          <w:bCs/>
          <w:sz w:val="24"/>
          <w:szCs w:val="24"/>
        </w:rPr>
      </w:pPr>
      <w:r w:rsidRPr="00122C48">
        <w:rPr>
          <w:b w:val="0"/>
          <w:bCs/>
          <w:sz w:val="24"/>
          <w:szCs w:val="24"/>
        </w:rPr>
        <w:t xml:space="preserve">The remainder of this report focuses on the comments of the government in their May report, using their paragraph numbering (called ‘points’ here) </w:t>
      </w:r>
    </w:p>
    <w:p w14:paraId="42283B3B" w14:textId="524A7AAC" w:rsidR="00D32B17" w:rsidRPr="008A3BAE" w:rsidRDefault="00D32B17" w:rsidP="00D32B17">
      <w:pPr>
        <w:pStyle w:val="Heading1"/>
      </w:pPr>
      <w:r>
        <w:t>Equality between men and women</w:t>
      </w:r>
    </w:p>
    <w:p w14:paraId="1C751F9A" w14:textId="699A52DC" w:rsidR="00D32B17" w:rsidRPr="00122C48" w:rsidRDefault="00D32B17" w:rsidP="00D32B17">
      <w:pPr>
        <w:pStyle w:val="Heading3"/>
      </w:pPr>
      <w:r w:rsidRPr="00122C48">
        <w:t xml:space="preserve">Point 44 </w:t>
      </w:r>
    </w:p>
    <w:p w14:paraId="544A1044" w14:textId="77777777" w:rsidR="00D32B17" w:rsidRPr="00930FA6" w:rsidRDefault="00D32B17" w:rsidP="00D32B17">
      <w:pPr>
        <w:rPr>
          <w:rFonts w:ascii="Segoe UI" w:hAnsi="Segoe UI" w:cs="Segoe UI"/>
        </w:rPr>
      </w:pPr>
      <w:r w:rsidRPr="00930FA6">
        <w:rPr>
          <w:rFonts w:ascii="Segoe UI" w:hAnsi="Segoe UI" w:cs="Segoe UI"/>
        </w:rPr>
        <w:t xml:space="preserve">The introduction of gender </w:t>
      </w:r>
      <w:proofErr w:type="gramStart"/>
      <w:r w:rsidRPr="00930FA6">
        <w:rPr>
          <w:rFonts w:ascii="Segoe UI" w:hAnsi="Segoe UI" w:cs="Segoe UI"/>
        </w:rPr>
        <w:t>pay</w:t>
      </w:r>
      <w:proofErr w:type="gramEnd"/>
      <w:r w:rsidRPr="00930FA6">
        <w:rPr>
          <w:rFonts w:ascii="Segoe UI" w:hAnsi="Segoe UI" w:cs="Segoe UI"/>
        </w:rPr>
        <w:t xml:space="preserve"> gap reporting in 2017 has been welcome and has supported raising awareness of the gender pay gap and the causes of it, and has supported campaigning across trade unions, NGOs and third sector organisations on gender pay gaps, pay transparency and equal pay for work of equal value, as well as related campaigns for better parental rights, flexible working and childcare investment. </w:t>
      </w:r>
    </w:p>
    <w:p w14:paraId="385ED8D2" w14:textId="77777777" w:rsidR="00D32B17" w:rsidRPr="00930FA6" w:rsidRDefault="00D32B17" w:rsidP="00D32B17">
      <w:pPr>
        <w:rPr>
          <w:rFonts w:ascii="Segoe UI" w:hAnsi="Segoe UI" w:cs="Segoe UI"/>
        </w:rPr>
      </w:pPr>
      <w:r w:rsidRPr="00930FA6">
        <w:rPr>
          <w:rFonts w:ascii="Segoe UI" w:hAnsi="Segoe UI" w:cs="Segoe UI"/>
        </w:rPr>
        <w:t xml:space="preserve">However, as the </w:t>
      </w:r>
      <w:hyperlink r:id="rId14" w:history="1">
        <w:r w:rsidRPr="00930FA6">
          <w:rPr>
            <w:rStyle w:val="Hyperlink"/>
            <w:rFonts w:ascii="Segoe UI" w:hAnsi="Segoe UI" w:cs="Segoe UI"/>
          </w:rPr>
          <w:t>Institute for Fiscal Studies</w:t>
        </w:r>
      </w:hyperlink>
      <w:r w:rsidRPr="00930FA6">
        <w:rPr>
          <w:rFonts w:ascii="Segoe UI" w:hAnsi="Segoe UI" w:cs="Segoe UI"/>
        </w:rPr>
        <w:t xml:space="preserve"> note, once </w:t>
      </w:r>
      <w:proofErr w:type="spellStart"/>
      <w:r w:rsidRPr="00930FA6">
        <w:rPr>
          <w:rFonts w:ascii="Segoe UI" w:hAnsi="Segoe UI" w:cs="Segoe UI"/>
        </w:rPr>
        <w:t>you</w:t>
      </w:r>
      <w:proofErr w:type="spellEnd"/>
      <w:r w:rsidRPr="00930FA6">
        <w:rPr>
          <w:rFonts w:ascii="Segoe UI" w:hAnsi="Segoe UI" w:cs="Segoe UI"/>
        </w:rPr>
        <w:t xml:space="preserve"> account for the increases in women’s education, the gender earning gaps has barely changed in 25 years. Further the </w:t>
      </w:r>
      <w:hyperlink r:id="rId15" w:history="1">
        <w:r w:rsidRPr="00930FA6">
          <w:rPr>
            <w:rStyle w:val="Hyperlink"/>
            <w:rFonts w:ascii="Segoe UI" w:hAnsi="Segoe UI" w:cs="Segoe UI"/>
          </w:rPr>
          <w:t>gender pensions gap</w:t>
        </w:r>
      </w:hyperlink>
      <w:r w:rsidRPr="00930FA6">
        <w:rPr>
          <w:rFonts w:ascii="Segoe UI" w:hAnsi="Segoe UI" w:cs="Segoe UI"/>
        </w:rPr>
        <w:t xml:space="preserve"> stands at 38 per cent. At current rates it will take more than 20 years to close the gender pay gap, and there is significant variation by sector. </w:t>
      </w:r>
    </w:p>
    <w:p w14:paraId="29B0BB25" w14:textId="77777777" w:rsidR="00D32B17" w:rsidRPr="00930FA6" w:rsidRDefault="00D32B17" w:rsidP="00D32B17">
      <w:pPr>
        <w:rPr>
          <w:rFonts w:ascii="Segoe UI" w:hAnsi="Segoe UI" w:cs="Segoe UI"/>
        </w:rPr>
      </w:pPr>
      <w:r w:rsidRPr="00930FA6">
        <w:rPr>
          <w:rFonts w:ascii="Segoe UI" w:hAnsi="Segoe UI" w:cs="Segoe UI"/>
        </w:rPr>
        <w:t xml:space="preserve">The TUC also raised concerns when the </w:t>
      </w:r>
      <w:hyperlink r:id="rId16" w:history="1">
        <w:r w:rsidRPr="00930FA6">
          <w:rPr>
            <w:rStyle w:val="Hyperlink"/>
            <w:rFonts w:ascii="Segoe UI" w:hAnsi="Segoe UI" w:cs="Segoe UI"/>
          </w:rPr>
          <w:t>government postponed gender pay gap reporting</w:t>
        </w:r>
      </w:hyperlink>
      <w:r w:rsidRPr="00930FA6">
        <w:rPr>
          <w:rFonts w:ascii="Segoe UI" w:hAnsi="Segoe UI" w:cs="Segoe UI"/>
        </w:rPr>
        <w:t xml:space="preserve"> in 2020 </w:t>
      </w:r>
      <w:r>
        <w:rPr>
          <w:rFonts w:ascii="Segoe UI" w:hAnsi="Segoe UI" w:cs="Segoe UI"/>
        </w:rPr>
        <w:t xml:space="preserve">citing </w:t>
      </w:r>
      <w:r w:rsidRPr="00930FA6">
        <w:rPr>
          <w:rFonts w:ascii="Segoe UI" w:hAnsi="Segoe UI" w:cs="Segoe UI"/>
        </w:rPr>
        <w:t xml:space="preserve">the burden for employers during the pandemic. We are concerned that this demonstrated a lack of commitment to gender equality and that these important mechanisms are seen as a ‘nice to have’, rather than a fundamental tool to drive change. </w:t>
      </w:r>
    </w:p>
    <w:p w14:paraId="7C083F86" w14:textId="77777777" w:rsidR="00D32B17" w:rsidRPr="00930FA6" w:rsidRDefault="00D32B17" w:rsidP="00D32B17">
      <w:pPr>
        <w:rPr>
          <w:rFonts w:ascii="Segoe UI" w:hAnsi="Segoe UI" w:cs="Segoe UI"/>
        </w:rPr>
      </w:pPr>
      <w:r w:rsidRPr="00930FA6">
        <w:rPr>
          <w:rFonts w:ascii="Segoe UI" w:hAnsi="Segoe UI" w:cs="Segoe UI"/>
        </w:rPr>
        <w:t xml:space="preserve">Trade unions have consistently called for mandatory action plans so employers not only have to report on their gender pay gap, but also must set out how they will close it. We have also called for mandatory reporting of pay gaps to be extended to ethnicity, </w:t>
      </w:r>
      <w:proofErr w:type="gramStart"/>
      <w:r w:rsidRPr="00930FA6">
        <w:rPr>
          <w:rFonts w:ascii="Segoe UI" w:hAnsi="Segoe UI" w:cs="Segoe UI"/>
        </w:rPr>
        <w:t>disability</w:t>
      </w:r>
      <w:proofErr w:type="gramEnd"/>
      <w:r w:rsidRPr="00930FA6">
        <w:rPr>
          <w:rFonts w:ascii="Segoe UI" w:hAnsi="Segoe UI" w:cs="Segoe UI"/>
        </w:rPr>
        <w:t xml:space="preserve"> and LGBT+ identities to help tackle pay discrimination for Black and Minority ethnic workers, LGBT+ workers and disabled workers, and we know for women with multiple protected characteristics pay discrimination can be compounded. For example, the </w:t>
      </w:r>
      <w:hyperlink r:id="rId17" w:history="1">
        <w:r w:rsidRPr="00930FA6">
          <w:rPr>
            <w:rStyle w:val="Hyperlink"/>
            <w:rFonts w:ascii="Segoe UI" w:hAnsi="Segoe UI" w:cs="Segoe UI"/>
          </w:rPr>
          <w:t>disability pay gap</w:t>
        </w:r>
      </w:hyperlink>
      <w:r w:rsidRPr="00930FA6">
        <w:rPr>
          <w:rFonts w:ascii="Segoe UI" w:hAnsi="Segoe UI" w:cs="Segoe UI"/>
        </w:rPr>
        <w:t xml:space="preserve"> in the UK between disabled women and non-disabled men is 35 per cent, equivalent to £7000 a year. </w:t>
      </w:r>
    </w:p>
    <w:p w14:paraId="6379E3A6" w14:textId="5EC76ABD" w:rsidR="00D32B17" w:rsidRPr="00930FA6" w:rsidRDefault="00D32B17" w:rsidP="00D32B17">
      <w:pPr>
        <w:rPr>
          <w:rFonts w:ascii="Segoe UI" w:hAnsi="Segoe UI" w:cs="Segoe UI"/>
        </w:rPr>
      </w:pPr>
      <w:r w:rsidRPr="00930FA6">
        <w:rPr>
          <w:rFonts w:ascii="Segoe UI" w:hAnsi="Segoe UI" w:cs="Segoe UI"/>
        </w:rPr>
        <w:lastRenderedPageBreak/>
        <w:t>In its response the government also point to the progress made by FTSE 100,</w:t>
      </w:r>
      <w:r>
        <w:rPr>
          <w:rFonts w:ascii="Segoe UI" w:hAnsi="Segoe UI" w:cs="Segoe UI"/>
        </w:rPr>
        <w:t xml:space="preserve"> </w:t>
      </w:r>
      <w:r w:rsidRPr="00930FA6">
        <w:rPr>
          <w:rFonts w:ascii="Segoe UI" w:hAnsi="Segoe UI" w:cs="Segoe UI"/>
        </w:rPr>
        <w:t>250, and 350 companies in terms of representation of women on boards. While this progress is also welcome it important to acknowledge that at leadership level there is still a long way to go, across the FTSE 350 there are only 18 female CEOs (8 in the FTSE 100 and 10 across the FTSE 250). And the number of women on Executive Committees across the FTSE 350 is around 25 per cent.</w:t>
      </w:r>
      <w:r w:rsidRPr="00930FA6">
        <w:rPr>
          <w:rStyle w:val="FootnoteReference"/>
          <w:rFonts w:ascii="Segoe UI" w:hAnsi="Segoe UI" w:cs="Segoe UI"/>
        </w:rPr>
        <w:footnoteReference w:id="5"/>
      </w:r>
    </w:p>
    <w:p w14:paraId="517E968F" w14:textId="0062C21F" w:rsidR="00D32B17" w:rsidRPr="00D32B17" w:rsidRDefault="00D32B17" w:rsidP="00D32B17">
      <w:pPr>
        <w:pStyle w:val="Heading1"/>
      </w:pPr>
      <w:r>
        <w:t>Unemployment</w:t>
      </w:r>
    </w:p>
    <w:p w14:paraId="09F738B7" w14:textId="6719F35E" w:rsidR="00D32B17" w:rsidRPr="008E6877" w:rsidRDefault="00D32B17" w:rsidP="00D32B17">
      <w:pPr>
        <w:pStyle w:val="Heading3"/>
      </w:pPr>
      <w:r w:rsidRPr="00D32B17">
        <w:t>Point 51</w:t>
      </w:r>
      <w:r w:rsidRPr="008E6877">
        <w:t xml:space="preserve"> </w:t>
      </w:r>
    </w:p>
    <w:p w14:paraId="6C477628" w14:textId="77777777" w:rsidR="00D32B17" w:rsidRDefault="00D32B17" w:rsidP="00D32B17">
      <w:pPr>
        <w:rPr>
          <w:rFonts w:ascii="Segoe UI" w:hAnsi="Segoe UI" w:cs="Segoe UI"/>
          <w:color w:val="000000"/>
          <w:shd w:val="clear" w:color="auto" w:fill="FFFFFF"/>
        </w:rPr>
      </w:pPr>
      <w:r>
        <w:rPr>
          <w:rFonts w:ascii="Segoe UI" w:hAnsi="Segoe UI" w:cs="Segoe UI"/>
          <w:color w:val="000000"/>
          <w:shd w:val="clear" w:color="auto" w:fill="FFFFFF"/>
        </w:rPr>
        <w:t>Disabled people face a higher unemployment rate and a lower employment rate than non-disabled people. The employment gap is 28.5 percentage points, and the unemployment rate for disabled workers is double what it is for non-disabled workers (6.8 per cent compared to 3.4 per cent). When disabled people are in work, they’re paid less. Median pay for non-disabled employees is £2.05 per hour (17.2 per cent) higher than it is disabled employees.</w:t>
      </w:r>
      <w:r>
        <w:rPr>
          <w:rStyle w:val="FootnoteReference"/>
          <w:rFonts w:ascii="Segoe UI" w:hAnsi="Segoe UI" w:cs="Segoe UI"/>
          <w:color w:val="000000"/>
          <w:shd w:val="clear" w:color="auto" w:fill="FFFFFF"/>
        </w:rPr>
        <w:footnoteReference w:id="6"/>
      </w:r>
    </w:p>
    <w:p w14:paraId="0C8CC6C8" w14:textId="77777777" w:rsidR="00D32B17" w:rsidRPr="00963425" w:rsidRDefault="00D32B17" w:rsidP="00D32B17">
      <w:pPr>
        <w:shd w:val="clear" w:color="auto" w:fill="FFFFFF"/>
        <w:spacing w:before="100" w:beforeAutospacing="1" w:after="100" w:afterAutospacing="1"/>
        <w:rPr>
          <w:rFonts w:ascii="Segoe UI" w:eastAsia="Times New Roman" w:hAnsi="Segoe UI" w:cs="Segoe UI"/>
          <w:color w:val="000000"/>
          <w:lang w:eastAsia="en-GB"/>
        </w:rPr>
      </w:pPr>
      <w:r w:rsidRPr="00963425">
        <w:rPr>
          <w:rFonts w:ascii="Segoe UI" w:hAnsi="Segoe UI" w:cs="Segoe UI"/>
          <w:color w:val="000000"/>
          <w:shd w:val="clear" w:color="auto" w:fill="FFFFFF"/>
        </w:rPr>
        <w:t xml:space="preserve">Disabled workers face many workplace barriers, including a lack of access to reasonable adjustments and flexible working. It is vital that the UK government introduces </w:t>
      </w:r>
      <w:r w:rsidRPr="00963425">
        <w:rPr>
          <w:rFonts w:ascii="Segoe UI" w:eastAsia="Times New Roman" w:hAnsi="Segoe UI" w:cs="Segoe UI"/>
          <w:color w:val="000000"/>
          <w:lang w:eastAsia="en-GB"/>
        </w:rPr>
        <w:t>a stronger legal framework for reasonable adjustments including ensuring employers respond quickly to requests, substantial penalties for bosses who fail to provide adjustments and for reasonable adjustment passports to be mandatory in all public bodies. The UK should also adopt</w:t>
      </w:r>
      <w:r w:rsidRPr="009B40C3">
        <w:rPr>
          <w:rFonts w:ascii="Segoe UI" w:eastAsia="Times New Roman" w:hAnsi="Segoe UI" w:cs="Segoe UI"/>
          <w:color w:val="000000"/>
          <w:lang w:eastAsia="en-GB"/>
        </w:rPr>
        <w:t xml:space="preserve"> the United Nations Convention on the Rights of Disabled Persons (UNCRPD) be incorporated into UK law.</w:t>
      </w:r>
    </w:p>
    <w:p w14:paraId="0FB2B004" w14:textId="77777777" w:rsidR="00D32B17" w:rsidRDefault="00D32B17" w:rsidP="00D32B17">
      <w:pPr>
        <w:rPr>
          <w:rFonts w:ascii="Segoe UI" w:hAnsi="Segoe UI" w:cs="Segoe UI"/>
          <w:color w:val="000000"/>
          <w:shd w:val="clear" w:color="auto" w:fill="FFFFFF"/>
        </w:rPr>
      </w:pPr>
      <w:r>
        <w:rPr>
          <w:rFonts w:ascii="Segoe UI" w:hAnsi="Segoe UI" w:cs="Segoe UI"/>
          <w:color w:val="000000"/>
          <w:shd w:val="clear" w:color="auto" w:fill="FFFFFF"/>
        </w:rPr>
        <w:t xml:space="preserve">Further the universal credit system has multiple fundamental flaws that have a disproportionate impact on disabled people who rely on the system. The TUC has set out some of the key issues with the social security system in the UK, its impact and a </w:t>
      </w:r>
      <w:hyperlink r:id="rId18" w:history="1">
        <w:r w:rsidRPr="002C450B">
          <w:rPr>
            <w:rStyle w:val="Hyperlink"/>
            <w:rFonts w:ascii="Segoe UI" w:hAnsi="Segoe UI" w:cs="Segoe UI"/>
            <w:shd w:val="clear" w:color="auto" w:fill="FFFFFF"/>
          </w:rPr>
          <w:t>plan for a replacement system</w:t>
        </w:r>
      </w:hyperlink>
      <w:r>
        <w:rPr>
          <w:rFonts w:ascii="Segoe UI" w:hAnsi="Segoe UI" w:cs="Segoe UI"/>
          <w:color w:val="000000"/>
          <w:shd w:val="clear" w:color="auto" w:fill="FFFFFF"/>
        </w:rPr>
        <w:t xml:space="preserve">. </w:t>
      </w:r>
    </w:p>
    <w:p w14:paraId="55173642" w14:textId="6C464467" w:rsidR="00D32B17" w:rsidRDefault="00D32B17" w:rsidP="00D32B17">
      <w:pPr>
        <w:pStyle w:val="Heading3"/>
        <w:rPr>
          <w:shd w:val="clear" w:color="auto" w:fill="FFFFFF"/>
        </w:rPr>
      </w:pPr>
      <w:r w:rsidRPr="00D32B17">
        <w:rPr>
          <w:shd w:val="clear" w:color="auto" w:fill="FFFFFF"/>
        </w:rPr>
        <w:t>Point 52</w:t>
      </w:r>
      <w:r>
        <w:rPr>
          <w:shd w:val="clear" w:color="auto" w:fill="FFFFFF"/>
        </w:rPr>
        <w:t xml:space="preserve"> </w:t>
      </w:r>
    </w:p>
    <w:p w14:paraId="768973A4" w14:textId="77777777" w:rsidR="00D32B17" w:rsidRDefault="00D32B17" w:rsidP="00D32B17">
      <w:pPr>
        <w:rPr>
          <w:rFonts w:ascii="Segoe UI" w:hAnsi="Segoe UI" w:cs="Segoe UI"/>
          <w:color w:val="000000"/>
          <w:shd w:val="clear" w:color="auto" w:fill="FFFFFF"/>
        </w:rPr>
      </w:pPr>
      <w:r>
        <w:rPr>
          <w:rFonts w:ascii="Segoe UI" w:hAnsi="Segoe UI" w:cs="Segoe UI"/>
          <w:color w:val="000000"/>
          <w:shd w:val="clear" w:color="auto" w:fill="FFFFFF"/>
        </w:rPr>
        <w:t>The unemployment for BME workers in the UK is twice as high as it is for white workers and is 1.9 ppts (33 per cent) higher than pre-pandemic levels and is the largest gap since 2008.</w:t>
      </w:r>
      <w:r>
        <w:rPr>
          <w:rStyle w:val="FootnoteReference"/>
          <w:rFonts w:ascii="Segoe UI" w:hAnsi="Segoe UI" w:cs="Segoe UI"/>
          <w:color w:val="000000"/>
          <w:shd w:val="clear" w:color="auto" w:fill="FFFFFF"/>
        </w:rPr>
        <w:footnoteReference w:id="7"/>
      </w:r>
    </w:p>
    <w:p w14:paraId="1226497A" w14:textId="77777777" w:rsidR="00D32B17" w:rsidRPr="000520E7" w:rsidRDefault="00D32B17" w:rsidP="00D32B17">
      <w:pPr>
        <w:rPr>
          <w:rFonts w:ascii="Segoe UI" w:hAnsi="Segoe UI" w:cs="Segoe UI"/>
        </w:rPr>
      </w:pPr>
      <w:r>
        <w:rPr>
          <w:rFonts w:ascii="Segoe UI" w:hAnsi="Segoe UI" w:cs="Segoe UI"/>
        </w:rPr>
        <w:t xml:space="preserve">It is also highly concerning that the Government </w:t>
      </w:r>
      <w:r>
        <w:rPr>
          <w:rFonts w:ascii="Segoe UI" w:hAnsi="Segoe UI" w:cs="Segoe UI"/>
          <w:color w:val="000000"/>
          <w:shd w:val="clear" w:color="auto" w:fill="FFFFFF"/>
        </w:rPr>
        <w:t xml:space="preserve">accepted the recommendations of the </w:t>
      </w:r>
      <w:hyperlink r:id="rId19" w:history="1">
        <w:r w:rsidRPr="000520E7">
          <w:rPr>
            <w:rStyle w:val="Hyperlink"/>
            <w:rFonts w:ascii="Segoe UI" w:hAnsi="Segoe UI" w:cs="Segoe UI"/>
            <w:shd w:val="clear" w:color="auto" w:fill="FFFFFF"/>
          </w:rPr>
          <w:t>Sewell report</w:t>
        </w:r>
      </w:hyperlink>
      <w:r>
        <w:rPr>
          <w:rFonts w:ascii="Segoe UI" w:hAnsi="Segoe UI" w:cs="Segoe UI"/>
          <w:color w:val="000000"/>
          <w:shd w:val="clear" w:color="auto" w:fill="FFFFFF"/>
        </w:rPr>
        <w:t xml:space="preserve"> published in March 2022, which denies systemic and institutional racism, </w:t>
      </w:r>
      <w:r>
        <w:rPr>
          <w:rFonts w:ascii="Segoe UI" w:hAnsi="Segoe UI" w:cs="Segoe UI"/>
          <w:color w:val="000000"/>
          <w:shd w:val="clear" w:color="auto" w:fill="FFFFFF"/>
        </w:rPr>
        <w:lastRenderedPageBreak/>
        <w:t>and which failed to recognise or propose action on the institutional racism experienced by BME workers in the workplace.</w:t>
      </w:r>
    </w:p>
    <w:p w14:paraId="61DD7A33" w14:textId="77777777" w:rsidR="00D32B17" w:rsidRDefault="00D32B17" w:rsidP="00D32B17">
      <w:pPr>
        <w:rPr>
          <w:rFonts w:ascii="Segoe UI" w:hAnsi="Segoe UI" w:cs="Segoe UI"/>
        </w:rPr>
      </w:pPr>
      <w:r w:rsidRPr="00237592">
        <w:rPr>
          <w:rFonts w:ascii="Segoe UI" w:hAnsi="Segoe UI" w:cs="Segoe UI"/>
          <w:color w:val="000000"/>
          <w:shd w:val="clear" w:color="auto" w:fill="FFFFFF"/>
        </w:rPr>
        <w:t xml:space="preserve">Much of the government’s response to this year’s ICESCR focusses on outreach to BME communities, however it says little about tackling the structural racism faced by BME workers daily. </w:t>
      </w:r>
      <w:r w:rsidRPr="00237592">
        <w:rPr>
          <w:rFonts w:ascii="Segoe UI" w:hAnsi="Segoe UI" w:cs="Segoe UI"/>
        </w:rPr>
        <w:t>Racism is multi-faceted, multi-layered and emerges from established values and practices that are deeply embedded within our institutions and structures. Often workplace racism is wrongly reduced to either a series of random one</w:t>
      </w:r>
      <w:r>
        <w:rPr>
          <w:rFonts w:ascii="Segoe UI" w:hAnsi="Segoe UI" w:cs="Segoe UI"/>
        </w:rPr>
        <w:t>-off</w:t>
      </w:r>
      <w:r w:rsidRPr="00237592">
        <w:rPr>
          <w:rFonts w:ascii="Segoe UI" w:hAnsi="Segoe UI" w:cs="Segoe UI"/>
        </w:rPr>
        <w:t xml:space="preserve"> events and/ or the implicit attitudes and unconscious biases of an individual. Our recent report </w:t>
      </w:r>
      <w:hyperlink r:id="rId20" w:history="1">
        <w:r w:rsidRPr="00237592">
          <w:rPr>
            <w:rStyle w:val="Hyperlink"/>
            <w:rFonts w:ascii="Segoe UI" w:hAnsi="Segoe UI" w:cs="Segoe UI"/>
          </w:rPr>
          <w:t>‘Still Rigged – Racism in the UK Labour Market 2022’</w:t>
        </w:r>
      </w:hyperlink>
      <w:r w:rsidRPr="00237592">
        <w:rPr>
          <w:rFonts w:ascii="Segoe UI" w:hAnsi="Segoe UI" w:cs="Segoe UI"/>
        </w:rPr>
        <w:t xml:space="preserve"> highlights the deep racism embedded in the UK labour market and the impact it has on BME workers</w:t>
      </w:r>
      <w:r>
        <w:rPr>
          <w:rFonts w:ascii="Segoe UI" w:hAnsi="Segoe UI" w:cs="Segoe UI"/>
        </w:rPr>
        <w:t xml:space="preserve">, as well as a plan for reform of the labour market that would tackle the structural racism and inequality faced by BME workers. </w:t>
      </w:r>
    </w:p>
    <w:p w14:paraId="08A5EF2A" w14:textId="77777777" w:rsidR="00D32B17" w:rsidRDefault="00D32B17" w:rsidP="00D32B17">
      <w:pPr>
        <w:pStyle w:val="Heading1"/>
      </w:pPr>
      <w:r w:rsidRPr="00A57D8E">
        <w:t>Working Conditions</w:t>
      </w:r>
    </w:p>
    <w:p w14:paraId="60D4E2AA" w14:textId="77777777" w:rsidR="00D32B17" w:rsidRDefault="00D32B17" w:rsidP="00D32B17">
      <w:pPr>
        <w:pStyle w:val="Heading3"/>
      </w:pPr>
      <w:r w:rsidRPr="00D32B17">
        <w:t>Point 60</w:t>
      </w:r>
    </w:p>
    <w:p w14:paraId="62088DBD" w14:textId="77777777" w:rsidR="00D32B17" w:rsidRDefault="00D32B17" w:rsidP="00D32B17">
      <w:pPr>
        <w:rPr>
          <w:rFonts w:ascii="Segoe UI" w:hAnsi="Segoe UI" w:cs="Segoe UI"/>
        </w:rPr>
      </w:pPr>
      <w:r>
        <w:rPr>
          <w:rFonts w:ascii="Segoe UI" w:hAnsi="Segoe UI" w:cs="Segoe UI"/>
        </w:rPr>
        <w:t xml:space="preserve">One million workers are on zero hours contracts in the UK, a rise of over 40,000 in the last year alone. Further, 3.7 million people are insecure work (zero hours, agency, casual, low paid self-employed work) this accounts for around 11.5 per cent of the workforce. In the </w:t>
      </w:r>
      <w:proofErr w:type="spellStart"/>
      <w:r>
        <w:rPr>
          <w:rFonts w:ascii="Segoe UI" w:hAnsi="Segoe UI" w:cs="Segoe UI"/>
        </w:rPr>
        <w:t>governments</w:t>
      </w:r>
      <w:proofErr w:type="spellEnd"/>
      <w:r>
        <w:rPr>
          <w:rFonts w:ascii="Segoe UI" w:hAnsi="Segoe UI" w:cs="Segoe UI"/>
        </w:rPr>
        <w:t xml:space="preserve"> response to the ICESCR, the government suggests zero hours offer workers the flexibility they want, however </w:t>
      </w:r>
      <w:hyperlink r:id="rId21" w:history="1">
        <w:r w:rsidRPr="007A5141">
          <w:rPr>
            <w:rStyle w:val="Hyperlink"/>
            <w:rFonts w:ascii="Segoe UI" w:hAnsi="Segoe UI" w:cs="Segoe UI"/>
          </w:rPr>
          <w:t>TUC research suggest</w:t>
        </w:r>
        <w:r>
          <w:rPr>
            <w:rStyle w:val="Hyperlink"/>
            <w:rFonts w:ascii="Segoe UI" w:hAnsi="Segoe UI" w:cs="Segoe UI"/>
          </w:rPr>
          <w:t>s</w:t>
        </w:r>
        <w:r w:rsidRPr="007A5141">
          <w:rPr>
            <w:rStyle w:val="Hyperlink"/>
            <w:rFonts w:ascii="Segoe UI" w:hAnsi="Segoe UI" w:cs="Segoe UI"/>
          </w:rPr>
          <w:t xml:space="preserve"> otherwise</w:t>
        </w:r>
      </w:hyperlink>
      <w:r>
        <w:rPr>
          <w:rFonts w:ascii="Segoe UI" w:hAnsi="Segoe UI" w:cs="Segoe UI"/>
        </w:rPr>
        <w:t xml:space="preserve">. Polling of workers on zero hours contracts in 2021 found that: </w:t>
      </w:r>
    </w:p>
    <w:p w14:paraId="7D3280C5" w14:textId="77777777" w:rsidR="00D32B17" w:rsidRPr="004D011C" w:rsidRDefault="00D32B17" w:rsidP="00D32B17">
      <w:pPr>
        <w:numPr>
          <w:ilvl w:val="0"/>
          <w:numId w:val="26"/>
        </w:numPr>
        <w:shd w:val="clear" w:color="auto" w:fill="FFFFFF"/>
        <w:spacing w:before="100" w:beforeAutospacing="1" w:after="100" w:afterAutospacing="1"/>
        <w:rPr>
          <w:rFonts w:ascii="Segoe UI" w:eastAsia="Times New Roman" w:hAnsi="Segoe UI" w:cs="Segoe UI"/>
          <w:color w:val="000000"/>
          <w:lang w:eastAsia="en-GB"/>
        </w:rPr>
      </w:pPr>
      <w:r w:rsidRPr="004D011C">
        <w:rPr>
          <w:rFonts w:ascii="Segoe UI" w:eastAsia="Times New Roman" w:hAnsi="Segoe UI" w:cs="Segoe UI"/>
          <w:color w:val="000000"/>
          <w:lang w:eastAsia="en-GB"/>
        </w:rPr>
        <w:t>84 per cent of these workers have been offered shifts at less than 24 hours’ notice; and</w:t>
      </w:r>
    </w:p>
    <w:p w14:paraId="1583021A" w14:textId="77777777" w:rsidR="00D32B17" w:rsidRPr="004D011C" w:rsidRDefault="00D32B17" w:rsidP="00D32B17">
      <w:pPr>
        <w:numPr>
          <w:ilvl w:val="0"/>
          <w:numId w:val="26"/>
        </w:numPr>
        <w:shd w:val="clear" w:color="auto" w:fill="FFFFFF"/>
        <w:spacing w:before="100" w:beforeAutospacing="1" w:after="100" w:afterAutospacing="1"/>
        <w:rPr>
          <w:rFonts w:ascii="Segoe UI" w:eastAsia="Times New Roman" w:hAnsi="Segoe UI" w:cs="Segoe UI"/>
          <w:color w:val="000000"/>
          <w:lang w:eastAsia="en-GB"/>
        </w:rPr>
      </w:pPr>
      <w:r w:rsidRPr="004D011C">
        <w:rPr>
          <w:rFonts w:ascii="Segoe UI" w:eastAsia="Times New Roman" w:hAnsi="Segoe UI" w:cs="Segoe UI"/>
          <w:color w:val="000000"/>
          <w:lang w:eastAsia="en-GB"/>
        </w:rPr>
        <w:t>more than two-thirds of zero hours contracts workers (69 per cent) had had work cancelled at less than 24 hours’ notice.  </w:t>
      </w:r>
    </w:p>
    <w:p w14:paraId="5DF44EB9" w14:textId="77777777" w:rsidR="00D32B17" w:rsidRPr="00DD078C" w:rsidRDefault="00D32B17" w:rsidP="00D32B17">
      <w:pPr>
        <w:numPr>
          <w:ilvl w:val="0"/>
          <w:numId w:val="26"/>
        </w:numPr>
        <w:shd w:val="clear" w:color="auto" w:fill="FFFFFF" w:themeFill="background1"/>
        <w:spacing w:before="100" w:beforeAutospacing="1" w:after="100" w:afterAutospacing="1"/>
        <w:rPr>
          <w:rFonts w:ascii="Segoe UI" w:eastAsia="Times New Roman" w:hAnsi="Segoe UI" w:cs="Segoe UI"/>
          <w:color w:val="000000"/>
          <w:lang w:eastAsia="en-GB"/>
        </w:rPr>
      </w:pPr>
      <w:r w:rsidRPr="48BB58D0">
        <w:rPr>
          <w:rFonts w:ascii="Segoe UI" w:eastAsia="Times New Roman" w:hAnsi="Segoe UI" w:cs="Segoe UI"/>
          <w:color w:val="000000" w:themeColor="text1"/>
          <w:lang w:eastAsia="en-GB"/>
        </w:rPr>
        <w:t>most zero hours workers only took on this type of contract because it was the only work available.</w:t>
      </w:r>
    </w:p>
    <w:p w14:paraId="007D00A7" w14:textId="77777777" w:rsidR="00D32B17" w:rsidRPr="00DD078C" w:rsidRDefault="00D32B17" w:rsidP="00D32B17">
      <w:pPr>
        <w:shd w:val="clear" w:color="auto" w:fill="FFFFFF" w:themeFill="background1"/>
        <w:spacing w:before="100" w:beforeAutospacing="1" w:after="100" w:afterAutospacing="1"/>
        <w:rPr>
          <w:rFonts w:ascii="Segoe UI" w:hAnsi="Segoe UI" w:cs="Segoe UI"/>
          <w:color w:val="000000"/>
        </w:rPr>
      </w:pPr>
      <w:r>
        <w:rPr>
          <w:rFonts w:ascii="Segoe UI" w:eastAsia="Times New Roman" w:hAnsi="Segoe UI" w:cs="Segoe UI"/>
          <w:color w:val="000000"/>
          <w:lang w:eastAsia="en-GB"/>
        </w:rPr>
        <w:t xml:space="preserve">It is also clear from the data that insecure work and zero hours are more prevalent for groups who face structural inequalities and discrimination in the labour market. For example, </w:t>
      </w:r>
      <w:r>
        <w:rPr>
          <w:rFonts w:ascii="Segoe UI" w:hAnsi="Segoe UI" w:cs="Segoe UI"/>
          <w:color w:val="000000"/>
          <w:shd w:val="clear" w:color="auto" w:fill="FFFFFF"/>
        </w:rPr>
        <w:t xml:space="preserve">BME workers are significantly overrepresented on zero-hours contracts compared to white workers (4.3 per cent compared to 3 per cent.) </w:t>
      </w:r>
      <w:r>
        <w:rPr>
          <w:rFonts w:ascii="Segoe UI" w:hAnsi="Segoe UI" w:cs="Segoe UI"/>
          <w:color w:val="000000"/>
        </w:rPr>
        <w:t>BME women are the most disproportionately affected group, followed by BME men (4.7 per cent compared to 4 per cent). White women are also significantly more likely than white men to be on zero-hours contracts (3.6 per cent compared to 2.4 per cent).</w:t>
      </w:r>
      <w:r>
        <w:rPr>
          <w:rStyle w:val="FootnoteReference"/>
          <w:rFonts w:ascii="Segoe UI" w:hAnsi="Segoe UI" w:cs="Segoe UI"/>
          <w:color w:val="000000"/>
        </w:rPr>
        <w:footnoteReference w:id="8"/>
      </w:r>
    </w:p>
    <w:p w14:paraId="568EBA4B" w14:textId="77777777" w:rsidR="00D32B17" w:rsidRPr="00D355B5" w:rsidRDefault="00D32B17" w:rsidP="00D32B17">
      <w:pPr>
        <w:shd w:val="clear" w:color="auto" w:fill="FFFFFF"/>
        <w:spacing w:before="100" w:beforeAutospacing="1" w:after="100" w:afterAutospacing="1"/>
        <w:rPr>
          <w:rFonts w:ascii="Segoe UI" w:eastAsia="Times New Roman" w:hAnsi="Segoe UI" w:cs="Segoe UI"/>
          <w:color w:val="000000"/>
          <w:lang w:eastAsia="en-GB"/>
        </w:rPr>
      </w:pPr>
      <w:r>
        <w:rPr>
          <w:rFonts w:ascii="Segoe UI" w:hAnsi="Segoe UI" w:cs="Segoe UI"/>
          <w:color w:val="000000"/>
        </w:rPr>
        <w:t xml:space="preserve">The government has failed to implement most of the recommendations of the </w:t>
      </w:r>
      <w:hyperlink r:id="rId22" w:history="1">
        <w:r w:rsidRPr="004676E8">
          <w:rPr>
            <w:rStyle w:val="Hyperlink"/>
            <w:rFonts w:ascii="Segoe UI" w:hAnsi="Segoe UI" w:cs="Segoe UI"/>
          </w:rPr>
          <w:t>Taylor Review</w:t>
        </w:r>
      </w:hyperlink>
      <w:r>
        <w:rPr>
          <w:rFonts w:ascii="Segoe UI" w:hAnsi="Segoe UI" w:cs="Segoe UI"/>
          <w:color w:val="000000"/>
        </w:rPr>
        <w:t xml:space="preserve"> and has thus far failed to introduce its long promised employment bill, which </w:t>
      </w:r>
      <w:r>
        <w:rPr>
          <w:rFonts w:ascii="Segoe UI" w:hAnsi="Segoe UI" w:cs="Segoe UI"/>
          <w:color w:val="000000"/>
        </w:rPr>
        <w:lastRenderedPageBreak/>
        <w:t xml:space="preserve">would have addressed some of the key challenges facing workers in the UK labour market. </w:t>
      </w:r>
    </w:p>
    <w:p w14:paraId="3C8DAEDB" w14:textId="77777777" w:rsidR="00D32B17" w:rsidRPr="0077166D" w:rsidRDefault="00D32B17" w:rsidP="00D32B17">
      <w:pPr>
        <w:pStyle w:val="Heading1"/>
        <w:rPr>
          <w:rFonts w:eastAsia="Times New Roman"/>
          <w:lang w:val="fr-FR" w:eastAsia="en-GB"/>
        </w:rPr>
      </w:pPr>
      <w:r w:rsidRPr="0077166D">
        <w:rPr>
          <w:rFonts w:eastAsia="Times New Roman"/>
          <w:lang w:val="fr-FR" w:eastAsia="en-GB"/>
        </w:rPr>
        <w:t>National Minimum Wage</w:t>
      </w:r>
    </w:p>
    <w:p w14:paraId="2279E42C" w14:textId="77777777" w:rsidR="00D32B17" w:rsidRPr="0077166D" w:rsidRDefault="00D32B17" w:rsidP="00D32B17">
      <w:pPr>
        <w:pStyle w:val="Heading3"/>
        <w:rPr>
          <w:lang w:val="fr-FR" w:eastAsia="en-GB"/>
        </w:rPr>
      </w:pPr>
      <w:r w:rsidRPr="00D32B17">
        <w:rPr>
          <w:lang w:val="fr-FR" w:eastAsia="en-GB"/>
        </w:rPr>
        <w:t>Point 70 (page 19)</w:t>
      </w:r>
    </w:p>
    <w:p w14:paraId="393332F1" w14:textId="77777777" w:rsidR="00D32B17" w:rsidRDefault="00D32B17" w:rsidP="00D32B17">
      <w:pPr>
        <w:rPr>
          <w:rFonts w:ascii="Segoe UI" w:hAnsi="Segoe UI" w:cs="Segoe UI"/>
          <w:lang w:eastAsia="en-GB"/>
        </w:rPr>
      </w:pPr>
      <w:r>
        <w:rPr>
          <w:rFonts w:ascii="Segoe UI" w:hAnsi="Segoe UI" w:cs="Segoe UI"/>
          <w:lang w:eastAsia="en-GB"/>
        </w:rPr>
        <w:t>As the government points out the National Minimum Wage and National Living Wage, both of which are statutory obligations continue to increase. However, as they also note, many younger workers have particularly low statutory minimums</w:t>
      </w:r>
      <w:r>
        <w:rPr>
          <w:rStyle w:val="FootnoteReference"/>
          <w:rFonts w:ascii="Segoe UI" w:hAnsi="Segoe UI" w:cs="Segoe UI"/>
          <w:lang w:eastAsia="en-GB"/>
        </w:rPr>
        <w:footnoteReference w:id="9"/>
      </w:r>
      <w:r>
        <w:rPr>
          <w:rFonts w:ascii="Segoe UI" w:hAnsi="Segoe UI" w:cs="Segoe UI"/>
          <w:lang w:eastAsia="en-GB"/>
        </w:rPr>
        <w:t>.  And while increases to the statutory rates are welcome, they do not go far enough. The Living Wage Foundation estimates that as a minimum a liveable hourly rate would be £10.90 across the UK and £11.95 in London. Given the cost-of-living crisis and with CPI inflation at 10.7 per cent and RPI at 14 per cent, the value of workers real pay is plummeting rapidly, with real wages falling 3.9 per cent over the course of 2022, equivalent to a monthly decline in the value of real wages of over £80 a month, and £180 a month for public sector workers. In the UK we are also experiencing the longest pay squeeze in 200 years, the TUC is calling for a minimum wage of £15 an hour and for ministers to stop holding down public sector pay.</w:t>
      </w:r>
      <w:r>
        <w:rPr>
          <w:rStyle w:val="FootnoteReference"/>
          <w:rFonts w:ascii="Segoe UI" w:hAnsi="Segoe UI" w:cs="Segoe UI"/>
          <w:lang w:eastAsia="en-GB"/>
        </w:rPr>
        <w:footnoteReference w:id="10"/>
      </w:r>
    </w:p>
    <w:p w14:paraId="7C3621E9" w14:textId="723451CA" w:rsidR="00D32B17" w:rsidRDefault="00D32B17" w:rsidP="00D32B17">
      <w:pPr>
        <w:rPr>
          <w:rFonts w:ascii="Segoe UI" w:hAnsi="Segoe UI" w:cs="Segoe UI"/>
          <w:lang w:eastAsia="en-GB"/>
        </w:rPr>
      </w:pPr>
      <w:r>
        <w:rPr>
          <w:rFonts w:ascii="Segoe UI" w:hAnsi="Segoe UI" w:cs="Segoe UI"/>
          <w:lang w:eastAsia="en-GB"/>
        </w:rPr>
        <w:t>Meanwhile, significant enforcement gaps have been identified over the last few years, with significant problems in, for instance, the Leicester textiles industry, where sub-minimum wage remuneration affects a large proportion of workers</w:t>
      </w:r>
      <w:r>
        <w:rPr>
          <w:rStyle w:val="FootnoteReference"/>
          <w:rFonts w:ascii="Segoe UI" w:hAnsi="Segoe UI" w:cs="Segoe UI"/>
          <w:lang w:eastAsia="en-GB"/>
        </w:rPr>
        <w:footnoteReference w:id="11"/>
      </w:r>
      <w:r>
        <w:rPr>
          <w:rFonts w:ascii="Segoe UI" w:hAnsi="Segoe UI" w:cs="Segoe UI"/>
          <w:lang w:eastAsia="en-GB"/>
        </w:rPr>
        <w:t xml:space="preserve"> despite initiatives like Operation Tacit, led by the </w:t>
      </w:r>
      <w:r w:rsidRPr="004C1B7C">
        <w:rPr>
          <w:rFonts w:ascii="Segoe UI" w:hAnsi="Segoe UI" w:cs="Segoe UI"/>
          <w:lang w:eastAsia="en-GB"/>
        </w:rPr>
        <w:t>Gangmasters and Labour Abuse Authority (GLAA)</w:t>
      </w:r>
      <w:r>
        <w:rPr>
          <w:rFonts w:ascii="Segoe UI" w:hAnsi="Segoe UI" w:cs="Segoe UI"/>
          <w:lang w:eastAsia="en-GB"/>
        </w:rPr>
        <w:t xml:space="preserve">. </w:t>
      </w:r>
    </w:p>
    <w:p w14:paraId="43BFEA18" w14:textId="77777777" w:rsidR="00D32B17" w:rsidRDefault="00D32B17" w:rsidP="00D32B17">
      <w:pPr>
        <w:pStyle w:val="Heading1"/>
      </w:pPr>
      <w:r>
        <w:t>Social security</w:t>
      </w:r>
    </w:p>
    <w:p w14:paraId="34847DB3" w14:textId="77777777" w:rsidR="00D32B17" w:rsidRDefault="00D32B17" w:rsidP="00D32B17">
      <w:pPr>
        <w:rPr>
          <w:rFonts w:ascii="Segoe UI" w:hAnsi="Segoe UI" w:cs="Segoe UI"/>
        </w:rPr>
      </w:pPr>
      <w:r w:rsidRPr="0046026A">
        <w:rPr>
          <w:rFonts w:ascii="Segoe UI" w:hAnsi="Segoe UI" w:cs="Segoe UI"/>
        </w:rPr>
        <w:t xml:space="preserve">There are multiple fundamental issues with the UK social security system including the five </w:t>
      </w:r>
      <w:proofErr w:type="gramStart"/>
      <w:r w:rsidRPr="0046026A">
        <w:rPr>
          <w:rFonts w:ascii="Segoe UI" w:hAnsi="Segoe UI" w:cs="Segoe UI"/>
        </w:rPr>
        <w:t>week</w:t>
      </w:r>
      <w:proofErr w:type="gramEnd"/>
      <w:r w:rsidRPr="0046026A">
        <w:rPr>
          <w:rFonts w:ascii="Segoe UI" w:hAnsi="Segoe UI" w:cs="Segoe UI"/>
        </w:rPr>
        <w:t xml:space="preserve"> wait for first payments, the taper rate, the two-child limit, the minimum income floor for self-employed workers and low rate of basic payments. It is telling that while the introduction of </w:t>
      </w:r>
      <w:r>
        <w:rPr>
          <w:rFonts w:ascii="Segoe UI" w:hAnsi="Segoe UI" w:cs="Segoe UI"/>
        </w:rPr>
        <w:t>U</w:t>
      </w:r>
      <w:r w:rsidRPr="0046026A">
        <w:rPr>
          <w:rFonts w:ascii="Segoe UI" w:hAnsi="Segoe UI" w:cs="Segoe UI"/>
        </w:rPr>
        <w:t xml:space="preserve">niversal </w:t>
      </w:r>
      <w:r>
        <w:rPr>
          <w:rFonts w:ascii="Segoe UI" w:hAnsi="Segoe UI" w:cs="Segoe UI"/>
        </w:rPr>
        <w:t>C</w:t>
      </w:r>
      <w:r w:rsidRPr="0046026A">
        <w:rPr>
          <w:rFonts w:ascii="Segoe UI" w:hAnsi="Segoe UI" w:cs="Segoe UI"/>
        </w:rPr>
        <w:t>redit was sold as a system to make work pay, 40 per cent of universal Credit claimants are in work, and 5</w:t>
      </w:r>
      <w:r>
        <w:rPr>
          <w:rFonts w:ascii="Segoe UI" w:hAnsi="Segoe UI" w:cs="Segoe UI"/>
        </w:rPr>
        <w:t>7</w:t>
      </w:r>
      <w:r w:rsidRPr="0046026A">
        <w:rPr>
          <w:rFonts w:ascii="Segoe UI" w:hAnsi="Segoe UI" w:cs="Segoe UI"/>
        </w:rPr>
        <w:t xml:space="preserve"> per cent of people in relative poverty in the UK are in working households and 75 per cent of children in poverty are from working households.</w:t>
      </w:r>
      <w:r>
        <w:rPr>
          <w:rStyle w:val="FootnoteReference"/>
          <w:rFonts w:ascii="Segoe UI" w:hAnsi="Segoe UI" w:cs="Segoe UI"/>
        </w:rPr>
        <w:footnoteReference w:id="12"/>
      </w:r>
      <w:r w:rsidRPr="0046026A">
        <w:rPr>
          <w:rFonts w:ascii="Segoe UI" w:hAnsi="Segoe UI" w:cs="Segoe UI"/>
        </w:rPr>
        <w:t xml:space="preserve"> The TUC has set out some of the fundamental issues with Universal Credit as well as proposals for short and long-term reform</w:t>
      </w:r>
      <w:r>
        <w:rPr>
          <w:rFonts w:ascii="Segoe UI" w:hAnsi="Segoe UI" w:cs="Segoe UI"/>
        </w:rPr>
        <w:t xml:space="preserve"> in its report </w:t>
      </w:r>
      <w:hyperlink r:id="rId23" w:history="1">
        <w:r w:rsidRPr="0046026A">
          <w:rPr>
            <w:rStyle w:val="Hyperlink"/>
            <w:rFonts w:ascii="Segoe UI" w:hAnsi="Segoe UI" w:cs="Segoe UI"/>
          </w:rPr>
          <w:t>‘A Replacement for Universal Credit’.</w:t>
        </w:r>
      </w:hyperlink>
      <w:r w:rsidRPr="0046026A">
        <w:rPr>
          <w:rFonts w:ascii="Segoe UI" w:hAnsi="Segoe UI" w:cs="Segoe UI"/>
        </w:rPr>
        <w:t xml:space="preserve"> </w:t>
      </w:r>
    </w:p>
    <w:p w14:paraId="59D713D8" w14:textId="77777777" w:rsidR="00D32B17" w:rsidRDefault="00D32B17" w:rsidP="00D32B17">
      <w:pPr>
        <w:pStyle w:val="Heading1"/>
      </w:pPr>
      <w:r>
        <w:lastRenderedPageBreak/>
        <w:t>Childcare</w:t>
      </w:r>
    </w:p>
    <w:p w14:paraId="2B211AD0" w14:textId="77777777" w:rsidR="00D32B17" w:rsidRDefault="00D32B17" w:rsidP="00D32B17">
      <w:pPr>
        <w:pStyle w:val="Heading3"/>
      </w:pPr>
      <w:r w:rsidRPr="000E11FF">
        <w:t>Point 90</w:t>
      </w:r>
    </w:p>
    <w:p w14:paraId="300E7322" w14:textId="77777777" w:rsidR="00D32B17" w:rsidRPr="00F91C8D" w:rsidRDefault="00D32B17" w:rsidP="00D32B17">
      <w:pPr>
        <w:rPr>
          <w:rFonts w:ascii="Segoe UI" w:hAnsi="Segoe UI" w:cs="Segoe UI"/>
        </w:rPr>
      </w:pPr>
      <w:r>
        <w:rPr>
          <w:rFonts w:ascii="Segoe UI" w:hAnsi="Segoe UI" w:cs="Segoe UI"/>
        </w:rPr>
        <w:t>In its response to the ICESCR the government highlights its early years funding formula and 30 free hours entitlement. However, f</w:t>
      </w:r>
      <w:r w:rsidRPr="00F91C8D">
        <w:rPr>
          <w:rFonts w:ascii="Segoe UI" w:hAnsi="Segoe UI" w:cs="Segoe UI"/>
        </w:rPr>
        <w:t>unding for the childcare sector has been a problem for some time and this, as well as access and provision have been exacerbated by the pandemic. Ofsted research found that between August 2020 and March 2021 there was a net loss of nearly 4000 childcare providers and over 14,000 childcare places.</w:t>
      </w:r>
      <w:r>
        <w:rPr>
          <w:rFonts w:ascii="Segoe UI" w:hAnsi="Segoe UI" w:cs="Segoe UI"/>
        </w:rPr>
        <w:t xml:space="preserve"> There is also a recruitment and retention crisis in the sector driven by low pay and poor terms and conditions.</w:t>
      </w:r>
      <w:r>
        <w:rPr>
          <w:rStyle w:val="FootnoteReference"/>
          <w:rFonts w:ascii="Segoe UI" w:hAnsi="Segoe UI" w:cs="Segoe UI"/>
        </w:rPr>
        <w:footnoteReference w:id="13"/>
      </w:r>
      <w:r>
        <w:rPr>
          <w:rFonts w:ascii="Segoe UI" w:hAnsi="Segoe UI" w:cs="Segoe UI"/>
        </w:rPr>
        <w:t xml:space="preserve"> Similarly, there is a significant gap in provision for children under the age of two. Average annual childcare costs for a child under two are £14,000 in the UK.</w:t>
      </w:r>
      <w:r>
        <w:rPr>
          <w:rStyle w:val="FootnoteReference"/>
          <w:rFonts w:ascii="Segoe UI" w:hAnsi="Segoe UI" w:cs="Segoe UI"/>
        </w:rPr>
        <w:footnoteReference w:id="14"/>
      </w:r>
      <w:r>
        <w:rPr>
          <w:rFonts w:ascii="Segoe UI" w:hAnsi="Segoe UI" w:cs="Segoe UI"/>
        </w:rPr>
        <w:t xml:space="preserve"> </w:t>
      </w:r>
    </w:p>
    <w:p w14:paraId="3563A376" w14:textId="77777777" w:rsidR="00D32B17" w:rsidRPr="007F339D" w:rsidRDefault="00D32B17" w:rsidP="00D32B17">
      <w:pPr>
        <w:rPr>
          <w:rFonts w:ascii="Segoe UI" w:hAnsi="Segoe UI" w:cs="Segoe UI"/>
        </w:rPr>
      </w:pPr>
      <w:r w:rsidRPr="007F339D">
        <w:rPr>
          <w:rFonts w:ascii="Segoe UI" w:hAnsi="Segoe UI" w:cs="Segoe UI"/>
        </w:rPr>
        <w:t xml:space="preserve">The UK spends less than 0.1 per cent of GDP on childcare, the second lowest investment in the OECD. The governments flagship childcare policy of 30 free hours (all 3- and 4-year-olds in England are entitled to 15 hours for free childcare, working families who meet certain criteria are eligible for a further 15 hours and some disadvantaged two-year-olds are entitled to 15 hours) has had mixed results and the government funding for these hours does not sufficiently cover the costs of provision. The cost of a government funded early years place for 3- and 4-year-olds was estimated on average to be £7.49 per hour by civil servants. In contrast local authorities receive on average only £4.89. Many providers therefore rely on cross subsidisation which often means charging parents additional fees. </w:t>
      </w:r>
    </w:p>
    <w:p w14:paraId="4A82C3FA" w14:textId="77777777" w:rsidR="00D32B17" w:rsidRPr="007F339D" w:rsidRDefault="00D32B17" w:rsidP="00D32B17">
      <w:pPr>
        <w:rPr>
          <w:rFonts w:ascii="Segoe UI" w:hAnsi="Segoe UI" w:cs="Segoe UI"/>
        </w:rPr>
      </w:pPr>
      <w:r w:rsidRPr="007F339D">
        <w:rPr>
          <w:rFonts w:ascii="Segoe UI" w:hAnsi="Segoe UI" w:cs="Segoe UI"/>
        </w:rPr>
        <w:t>Under the current eligibility criteria, it is predominantly children from better off families who are entitled to the full 30 hours, 70 per cent of children who are eligible are from families in the top half of the earnings distribution, just 20 per cent of children from the bottom of the earnings distribution are eligible.</w:t>
      </w:r>
      <w:r>
        <w:rPr>
          <w:rStyle w:val="FootnoteReference"/>
          <w:rFonts w:ascii="Segoe UI" w:hAnsi="Segoe UI" w:cs="Segoe UI"/>
        </w:rPr>
        <w:footnoteReference w:id="15"/>
      </w:r>
    </w:p>
    <w:p w14:paraId="15A52D0F" w14:textId="77777777" w:rsidR="00D32B17" w:rsidRPr="00897900" w:rsidRDefault="00D32B17" w:rsidP="00D32B17">
      <w:pPr>
        <w:pStyle w:val="Heading3"/>
      </w:pPr>
      <w:r w:rsidRPr="00D32B17">
        <w:t>Point 91</w:t>
      </w:r>
    </w:p>
    <w:p w14:paraId="7A2ABCC6" w14:textId="2356B0C0" w:rsidR="00D32B17" w:rsidRDefault="00D32B17" w:rsidP="00D32B17">
      <w:pPr>
        <w:rPr>
          <w:rFonts w:ascii="Segoe UI" w:hAnsi="Segoe UI" w:cs="Segoe UI"/>
        </w:rPr>
      </w:pPr>
      <w:r w:rsidRPr="007D6557">
        <w:rPr>
          <w:rFonts w:ascii="Segoe UI" w:hAnsi="Segoe UI" w:cs="Segoe UI"/>
        </w:rPr>
        <w:t>In the government’s response they reference Shared Parental Leave which was introduced in 2017. Again</w:t>
      </w:r>
      <w:r>
        <w:rPr>
          <w:rFonts w:ascii="Segoe UI" w:hAnsi="Segoe UI" w:cs="Segoe UI"/>
        </w:rPr>
        <w:t>,</w:t>
      </w:r>
      <w:r w:rsidRPr="007D6557">
        <w:rPr>
          <w:rFonts w:ascii="Segoe UI" w:hAnsi="Segoe UI" w:cs="Segoe UI"/>
        </w:rPr>
        <w:t xml:space="preserve"> while it is welcome that moves towards better parental rights exist, the current system is complicated, unaffordable for many families, relies on taking some of the mothers</w:t>
      </w:r>
      <w:r>
        <w:rPr>
          <w:rFonts w:ascii="Segoe UI" w:hAnsi="Segoe UI" w:cs="Segoe UI"/>
        </w:rPr>
        <w:t>’</w:t>
      </w:r>
      <w:r w:rsidRPr="007D6557">
        <w:rPr>
          <w:rFonts w:ascii="Segoe UI" w:hAnsi="Segoe UI" w:cs="Segoe UI"/>
        </w:rPr>
        <w:t xml:space="preserve"> maternity entitlement, excludes self-employed workers and workers on atypical contracts, and has an incredibly low take up rate, even by the governments own measures. TUC research suggests that around only 1 per cent of eligible families take up the offer.</w:t>
      </w:r>
      <w:r w:rsidRPr="007D6557">
        <w:rPr>
          <w:rStyle w:val="FootnoteReference"/>
          <w:rFonts w:ascii="Segoe UI" w:hAnsi="Segoe UI" w:cs="Segoe UI"/>
        </w:rPr>
        <w:footnoteReference w:id="16"/>
      </w:r>
      <w:r w:rsidRPr="007D6557">
        <w:rPr>
          <w:rFonts w:ascii="Segoe UI" w:hAnsi="Segoe UI" w:cs="Segoe UI"/>
        </w:rPr>
        <w:t xml:space="preserve"> The government began an evaluation of Shared </w:t>
      </w:r>
      <w:r w:rsidRPr="007D6557">
        <w:rPr>
          <w:rFonts w:ascii="Segoe UI" w:hAnsi="Segoe UI" w:cs="Segoe UI"/>
        </w:rPr>
        <w:lastRenderedPageBreak/>
        <w:t>parental Leave in 2018 and has yet to publish the findings.</w:t>
      </w:r>
      <w:r w:rsidRPr="007D6557">
        <w:rPr>
          <w:rStyle w:val="FootnoteReference"/>
          <w:rFonts w:ascii="Segoe UI" w:hAnsi="Segoe UI" w:cs="Segoe UI"/>
        </w:rPr>
        <w:footnoteReference w:id="17"/>
      </w:r>
      <w:r>
        <w:rPr>
          <w:rFonts w:ascii="Segoe UI" w:hAnsi="Segoe UI" w:cs="Segoe UI"/>
        </w:rPr>
        <w:t xml:space="preserve"> Similarly rates of pay for maternity and paternity leave in the UK are some of the lowest in Europe, which leaves many families either unable to take their full entitlement or forced into difficult financial situations. In 2019 the TUC responded to the Department for Business Energy and Industrial strategy consultation on a Good Work Plan to support families, setting out some of the key challenge with parental rights in the UK.</w:t>
      </w:r>
      <w:r>
        <w:rPr>
          <w:rStyle w:val="FootnoteReference"/>
          <w:rFonts w:ascii="Segoe UI" w:hAnsi="Segoe UI" w:cs="Segoe UI"/>
        </w:rPr>
        <w:footnoteReference w:id="18"/>
      </w:r>
      <w:r>
        <w:rPr>
          <w:rFonts w:ascii="Segoe UI" w:hAnsi="Segoe UI" w:cs="Segoe UI"/>
        </w:rPr>
        <w:t xml:space="preserve"> </w:t>
      </w:r>
    </w:p>
    <w:p w14:paraId="2AAD3DB2" w14:textId="77777777" w:rsidR="00D32B17" w:rsidRDefault="00D32B17" w:rsidP="00D32B17">
      <w:pPr>
        <w:pStyle w:val="Heading1"/>
      </w:pPr>
      <w:r>
        <w:t>Violence Against Women with Disabilities</w:t>
      </w:r>
    </w:p>
    <w:p w14:paraId="53249893" w14:textId="77777777" w:rsidR="00D32B17" w:rsidRDefault="00D32B17" w:rsidP="00D32B17">
      <w:pPr>
        <w:rPr>
          <w:rFonts w:ascii="Segoe UI" w:hAnsi="Segoe UI" w:cs="Segoe UI"/>
        </w:rPr>
      </w:pPr>
      <w:r>
        <w:rPr>
          <w:rFonts w:ascii="Segoe UI" w:hAnsi="Segoe UI" w:cs="Segoe UI"/>
        </w:rPr>
        <w:t xml:space="preserve">TUC research shows that </w:t>
      </w:r>
      <w:hyperlink r:id="rId24" w:history="1">
        <w:r w:rsidRPr="00EF2172">
          <w:rPr>
            <w:rStyle w:val="Hyperlink"/>
            <w:rFonts w:ascii="Segoe UI" w:hAnsi="Segoe UI" w:cs="Segoe UI"/>
          </w:rPr>
          <w:t>7 in 10 disabled women</w:t>
        </w:r>
      </w:hyperlink>
      <w:r>
        <w:rPr>
          <w:rFonts w:ascii="Segoe UI" w:hAnsi="Segoe UI" w:cs="Segoe UI"/>
        </w:rPr>
        <w:t xml:space="preserve"> have experienced sexual harassment in the workplace in comparison to half of all women. </w:t>
      </w:r>
    </w:p>
    <w:p w14:paraId="3DFE211C" w14:textId="77777777" w:rsidR="00D32B17" w:rsidRDefault="00D32B17" w:rsidP="00D32B17">
      <w:pPr>
        <w:rPr>
          <w:rFonts w:ascii="Segoe UI" w:hAnsi="Segoe UI" w:cs="Segoe UI"/>
        </w:rPr>
      </w:pPr>
      <w:r>
        <w:rPr>
          <w:rFonts w:ascii="Segoe UI" w:hAnsi="Segoe UI" w:cs="Segoe UI"/>
        </w:rPr>
        <w:t>The government’s announcement that it will introduce a preventative duty on employers is very welcome. It is essential however the Equality and Human Rights Commission has the funding and resources to enforce the duty, which has not been confirmed by the government. In its consultation response the government also said it would consider the extension of time limits, this is essential in cases of sexual harassment but there has been no further indication on this since the consultation response was published in July 2021.</w:t>
      </w:r>
    </w:p>
    <w:p w14:paraId="5949039D" w14:textId="77777777" w:rsidR="00D32B17" w:rsidRDefault="00D32B17" w:rsidP="00D32B17">
      <w:pPr>
        <w:rPr>
          <w:rFonts w:ascii="Segoe UI" w:hAnsi="Segoe UI" w:cs="Segoe UI"/>
        </w:rPr>
      </w:pPr>
      <w:r w:rsidRPr="0006400A">
        <w:rPr>
          <w:rFonts w:ascii="Segoe UI" w:hAnsi="Segoe UI" w:cs="Segoe UI"/>
        </w:rPr>
        <w:t xml:space="preserve">Funding for Domestic Abuse services has been cut significantly over the last 10 years. A recent report from </w:t>
      </w:r>
      <w:hyperlink r:id="rId25" w:history="1">
        <w:proofErr w:type="spellStart"/>
        <w:r w:rsidRPr="0006400A">
          <w:rPr>
            <w:rStyle w:val="Hyperlink"/>
            <w:rFonts w:ascii="Segoe UI" w:hAnsi="Segoe UI" w:cs="Segoe UI"/>
          </w:rPr>
          <w:t>Womens</w:t>
        </w:r>
        <w:proofErr w:type="spellEnd"/>
        <w:r w:rsidRPr="0006400A">
          <w:rPr>
            <w:rStyle w:val="Hyperlink"/>
            <w:rFonts w:ascii="Segoe UI" w:hAnsi="Segoe UI" w:cs="Segoe UI"/>
          </w:rPr>
          <w:t xml:space="preserve"> Aid</w:t>
        </w:r>
      </w:hyperlink>
      <w:r w:rsidRPr="0006400A">
        <w:rPr>
          <w:rFonts w:ascii="Segoe UI" w:hAnsi="Segoe UI" w:cs="Segoe UI"/>
        </w:rPr>
        <w:t xml:space="preserve"> </w:t>
      </w:r>
      <w:r w:rsidRPr="0006400A">
        <w:rPr>
          <w:rFonts w:ascii="Segoe UI" w:hAnsi="Segoe UI" w:cs="Segoe UI"/>
          <w:color w:val="333333"/>
        </w:rPr>
        <w:t>found that in 2019/20, 59 per cent of local authorities in England applied real terms cut to their domestic abuse funding, leaving refuge centres under-resourced and unable to meet demand</w:t>
      </w:r>
      <w:r>
        <w:rPr>
          <w:rFonts w:ascii="Roboto" w:hAnsi="Roboto"/>
          <w:color w:val="333333"/>
          <w:sz w:val="27"/>
          <w:szCs w:val="27"/>
        </w:rPr>
        <w:t>.</w:t>
      </w:r>
      <w:r>
        <w:rPr>
          <w:rFonts w:ascii="Segoe UI" w:hAnsi="Segoe UI" w:cs="Segoe UI"/>
        </w:rPr>
        <w:t xml:space="preserve"> Women’s Aid also publish an annual report on service provision which highlights many of the challenges facing the sector including the provision of specialist services and the barriers facing migrant and asylum-seeking women who have no recourse to public funds and are often unable to access government funded support.</w:t>
      </w:r>
      <w:r>
        <w:rPr>
          <w:rStyle w:val="FootnoteReference"/>
          <w:rFonts w:ascii="Segoe UI" w:hAnsi="Segoe UI" w:cs="Segoe UI"/>
        </w:rPr>
        <w:footnoteReference w:id="19"/>
      </w:r>
      <w:r>
        <w:rPr>
          <w:rFonts w:ascii="Segoe UI" w:hAnsi="Segoe UI" w:cs="Segoe UI"/>
        </w:rPr>
        <w:t xml:space="preserve"> </w:t>
      </w:r>
    </w:p>
    <w:p w14:paraId="611C9312" w14:textId="4FC7724B" w:rsidR="00D32B17" w:rsidRDefault="00D32B17" w:rsidP="00D32B17">
      <w:pPr>
        <w:rPr>
          <w:rFonts w:ascii="Segoe UI" w:hAnsi="Segoe UI" w:cs="Segoe UI"/>
          <w:color w:val="121212"/>
          <w:shd w:val="clear" w:color="auto" w:fill="FFFFFF"/>
        </w:rPr>
      </w:pPr>
      <w:r w:rsidRPr="0035351C">
        <w:rPr>
          <w:rFonts w:ascii="Segoe UI" w:hAnsi="Segoe UI" w:cs="Segoe UI"/>
        </w:rPr>
        <w:t>It is also concerning that</w:t>
      </w:r>
      <w:r>
        <w:rPr>
          <w:rFonts w:ascii="Segoe UI" w:hAnsi="Segoe UI" w:cs="Segoe UI"/>
        </w:rPr>
        <w:t xml:space="preserve"> despite the government VAWG strategy and the introduction of positive legislation such as the Domestic Abuse Act, both of which are referenced in the government response to the ICESCR,</w:t>
      </w:r>
      <w:r w:rsidRPr="0035351C">
        <w:rPr>
          <w:rFonts w:ascii="Segoe UI" w:hAnsi="Segoe UI" w:cs="Segoe UI"/>
        </w:rPr>
        <w:t xml:space="preserve"> the former </w:t>
      </w:r>
      <w:hyperlink r:id="rId26" w:history="1">
        <w:r w:rsidRPr="00462121">
          <w:rPr>
            <w:rStyle w:val="Hyperlink"/>
            <w:rFonts w:ascii="Segoe UI" w:hAnsi="Segoe UI" w:cs="Segoe UI"/>
          </w:rPr>
          <w:t>Victims Commissioner resigned</w:t>
        </w:r>
      </w:hyperlink>
      <w:r w:rsidRPr="0035351C">
        <w:rPr>
          <w:rFonts w:ascii="Segoe UI" w:hAnsi="Segoe UI" w:cs="Segoe UI"/>
        </w:rPr>
        <w:t xml:space="preserve"> from her post earlier this year citing </w:t>
      </w:r>
      <w:r w:rsidRPr="0035351C">
        <w:rPr>
          <w:rFonts w:ascii="Segoe UI" w:hAnsi="Segoe UI" w:cs="Segoe UI"/>
          <w:color w:val="121212"/>
          <w:shd w:val="clear" w:color="auto" w:fill="FFFFFF"/>
        </w:rPr>
        <w:t>the criminal justice system was in chaos and accused the government of downgrading victims’ interests at the same time as reducing her access to ministers and failing to provide clarity regarding her reappointment.</w:t>
      </w:r>
      <w:r>
        <w:rPr>
          <w:rFonts w:ascii="Segoe UI" w:hAnsi="Segoe UI" w:cs="Segoe UI"/>
          <w:color w:val="121212"/>
          <w:shd w:val="clear" w:color="auto" w:fill="FFFFFF"/>
        </w:rPr>
        <w:t xml:space="preserve"> Further reports suggest this post will remain unfilled for some time.</w:t>
      </w:r>
      <w:r>
        <w:rPr>
          <w:rStyle w:val="FootnoteReference"/>
          <w:rFonts w:ascii="Segoe UI" w:hAnsi="Segoe UI" w:cs="Segoe UI"/>
          <w:color w:val="121212"/>
          <w:shd w:val="clear" w:color="auto" w:fill="FFFFFF"/>
        </w:rPr>
        <w:footnoteReference w:id="20"/>
      </w:r>
    </w:p>
    <w:p w14:paraId="31787818" w14:textId="75A40A2E" w:rsidR="00B0738A" w:rsidRDefault="00B0738A" w:rsidP="00D32B17">
      <w:pPr>
        <w:rPr>
          <w:rFonts w:ascii="Segoe UI" w:hAnsi="Segoe UI" w:cs="Segoe UI"/>
          <w:color w:val="121212"/>
          <w:shd w:val="clear" w:color="auto" w:fill="FFFFFF"/>
        </w:rPr>
      </w:pPr>
    </w:p>
    <w:p w14:paraId="31278245" w14:textId="77777777" w:rsidR="00B0738A" w:rsidRDefault="00B0738A" w:rsidP="00D32B17">
      <w:pPr>
        <w:rPr>
          <w:rFonts w:ascii="Segoe UI" w:hAnsi="Segoe UI" w:cs="Segoe UI"/>
          <w:color w:val="121212"/>
          <w:shd w:val="clear" w:color="auto" w:fill="FFFFFF"/>
        </w:rPr>
      </w:pPr>
    </w:p>
    <w:p w14:paraId="20430F1B" w14:textId="77777777" w:rsidR="00D32B17" w:rsidRDefault="00D32B17" w:rsidP="00D32B17">
      <w:pPr>
        <w:pStyle w:val="Heading1"/>
        <w:rPr>
          <w:shd w:val="clear" w:color="auto" w:fill="FFFFFF"/>
        </w:rPr>
      </w:pPr>
      <w:r>
        <w:rPr>
          <w:shd w:val="clear" w:color="auto" w:fill="FFFFFF"/>
        </w:rPr>
        <w:lastRenderedPageBreak/>
        <w:t>Tackling Poverty</w:t>
      </w:r>
    </w:p>
    <w:p w14:paraId="47A7320F" w14:textId="77777777" w:rsidR="00D32B17" w:rsidRDefault="00D32B17" w:rsidP="00D32B17">
      <w:pPr>
        <w:rPr>
          <w:rFonts w:ascii="Segoe UI" w:hAnsi="Segoe UI" w:cs="Segoe UI"/>
        </w:rPr>
      </w:pPr>
      <w:r w:rsidRPr="006E5B66">
        <w:rPr>
          <w:rFonts w:ascii="Segoe UI" w:hAnsi="Segoe UI" w:cs="Segoe UI"/>
        </w:rPr>
        <w:t>The government cites the reduction of the number of people in absolute poverty before housing cost</w:t>
      </w:r>
      <w:r>
        <w:rPr>
          <w:rFonts w:ascii="Segoe UI" w:hAnsi="Segoe UI" w:cs="Segoe UI"/>
        </w:rPr>
        <w:t>s</w:t>
      </w:r>
      <w:r w:rsidRPr="006E5B66">
        <w:rPr>
          <w:rFonts w:ascii="Segoe UI" w:hAnsi="Segoe UI" w:cs="Segoe UI"/>
        </w:rPr>
        <w:t xml:space="preserve"> in its response to the ICESCR. However, data shows that the number of people in – in work poverty </w:t>
      </w:r>
      <w:r>
        <w:rPr>
          <w:rFonts w:ascii="Segoe UI" w:hAnsi="Segoe UI" w:cs="Segoe UI"/>
        </w:rPr>
        <w:t>has</w:t>
      </w:r>
      <w:r w:rsidRPr="006E5B66">
        <w:rPr>
          <w:rFonts w:ascii="Segoe UI" w:hAnsi="Segoe UI" w:cs="Segoe UI"/>
        </w:rPr>
        <w:t xml:space="preserve"> risen by 2 million since 2010.  </w:t>
      </w:r>
    </w:p>
    <w:p w14:paraId="74384C94" w14:textId="77777777" w:rsidR="00D32B17" w:rsidRPr="006E5B66" w:rsidRDefault="00D32B17" w:rsidP="00D32B17">
      <w:pPr>
        <w:rPr>
          <w:rFonts w:ascii="Segoe UI" w:hAnsi="Segoe UI" w:cs="Segoe UI"/>
        </w:rPr>
      </w:pPr>
      <w:r w:rsidRPr="006E5B66">
        <w:rPr>
          <w:rFonts w:ascii="Segoe UI" w:hAnsi="Segoe UI" w:cs="Segoe UI"/>
        </w:rPr>
        <w:t>Just before the pandemic hit, Households Below Average Income data showed that the number of people living in poverty reached a record high of 14.5 million people, 8.3 million in working households. The number of children living in poverty reached 4.3 million, up 200,000 on the previous year, with 75 per cent living in working household</w:t>
      </w:r>
      <w:r>
        <w:rPr>
          <w:rFonts w:ascii="Segoe UI" w:hAnsi="Segoe UI" w:cs="Segoe UI"/>
        </w:rPr>
        <w:t>s</w:t>
      </w:r>
      <w:r w:rsidRPr="006E5B66">
        <w:rPr>
          <w:rFonts w:ascii="Segoe UI" w:hAnsi="Segoe UI" w:cs="Segoe UI"/>
        </w:rPr>
        <w:t>.</w:t>
      </w:r>
      <w:r>
        <w:rPr>
          <w:rStyle w:val="FootnoteReference"/>
          <w:rFonts w:ascii="Segoe UI" w:hAnsi="Segoe UI" w:cs="Segoe UI"/>
        </w:rPr>
        <w:footnoteReference w:id="21"/>
      </w:r>
    </w:p>
    <w:p w14:paraId="2EDEAF85" w14:textId="77777777" w:rsidR="00D32B17" w:rsidRPr="006E5B66" w:rsidRDefault="00D32B17" w:rsidP="00D32B17">
      <w:pPr>
        <w:pStyle w:val="NormalWeb"/>
        <w:shd w:val="clear" w:color="auto" w:fill="FFFFFF"/>
        <w:spacing w:before="0" w:beforeAutospacing="0" w:after="0" w:afterAutospacing="0"/>
        <w:rPr>
          <w:rFonts w:ascii="Segoe UI" w:hAnsi="Segoe UI" w:cs="Segoe UI"/>
          <w:color w:val="000000"/>
          <w:sz w:val="22"/>
          <w:szCs w:val="22"/>
        </w:rPr>
      </w:pPr>
      <w:r w:rsidRPr="006E5B66">
        <w:rPr>
          <w:rFonts w:ascii="Segoe UI" w:hAnsi="Segoe UI" w:cs="Segoe UI"/>
          <w:color w:val="000000"/>
          <w:sz w:val="22"/>
          <w:szCs w:val="22"/>
        </w:rPr>
        <w:t>The number of people living in poverty and in a household where at least one member is disabled is 6.1 million (27 per cent). 30 per cent of families with a disabled child are living in poverty. This compares to 19 per cent among those who live in a household where no one is disabled.</w:t>
      </w:r>
      <w:r>
        <w:rPr>
          <w:rStyle w:val="FootnoteReference"/>
          <w:rFonts w:ascii="Segoe UI" w:eastAsiaTheme="majorEastAsia" w:hAnsi="Segoe UI" w:cs="Segoe UI"/>
          <w:color w:val="000000"/>
          <w:sz w:val="22"/>
          <w:szCs w:val="22"/>
        </w:rPr>
        <w:footnoteReference w:id="22"/>
      </w:r>
    </w:p>
    <w:p w14:paraId="30004E92" w14:textId="77777777" w:rsidR="00D32B17" w:rsidRPr="006E5B66" w:rsidRDefault="00D32B17" w:rsidP="00D32B17">
      <w:pPr>
        <w:pStyle w:val="NormalWeb"/>
        <w:shd w:val="clear" w:color="auto" w:fill="FFFFFF"/>
        <w:spacing w:before="0" w:beforeAutospacing="0" w:after="0" w:afterAutospacing="0"/>
        <w:rPr>
          <w:rFonts w:ascii="Segoe UI" w:hAnsi="Segoe UI" w:cs="Segoe UI"/>
          <w:color w:val="000000"/>
          <w:sz w:val="22"/>
          <w:szCs w:val="22"/>
        </w:rPr>
      </w:pPr>
    </w:p>
    <w:p w14:paraId="16D2F4EF" w14:textId="77777777" w:rsidR="00D32B17" w:rsidRDefault="00D32B17" w:rsidP="00D32B17">
      <w:pPr>
        <w:pStyle w:val="NormalWeb"/>
        <w:shd w:val="clear" w:color="auto" w:fill="FFFFFF"/>
        <w:spacing w:before="0" w:beforeAutospacing="0" w:after="0" w:afterAutospacing="0"/>
        <w:rPr>
          <w:rFonts w:ascii="Segoe UI" w:hAnsi="Segoe UI" w:cs="Segoe UI"/>
          <w:color w:val="000000"/>
          <w:sz w:val="22"/>
          <w:szCs w:val="22"/>
        </w:rPr>
      </w:pPr>
      <w:r w:rsidRPr="006E5B66">
        <w:rPr>
          <w:rFonts w:ascii="Segoe UI" w:hAnsi="Segoe UI" w:cs="Segoe UI"/>
          <w:color w:val="000000"/>
          <w:sz w:val="22"/>
          <w:szCs w:val="22"/>
        </w:rPr>
        <w:t xml:space="preserve">Single parent families </w:t>
      </w:r>
      <w:r>
        <w:rPr>
          <w:rFonts w:ascii="Segoe UI" w:hAnsi="Segoe UI" w:cs="Segoe UI"/>
          <w:color w:val="000000"/>
          <w:sz w:val="22"/>
          <w:szCs w:val="22"/>
        </w:rPr>
        <w:t xml:space="preserve">(90 per cent of whom are women-led) </w:t>
      </w:r>
      <w:r w:rsidRPr="006E5B66">
        <w:rPr>
          <w:rFonts w:ascii="Segoe UI" w:hAnsi="Segoe UI" w:cs="Segoe UI"/>
          <w:color w:val="000000"/>
          <w:sz w:val="22"/>
          <w:szCs w:val="22"/>
        </w:rPr>
        <w:t>are significantly more likely to be in poverty than couples with children and those without children. 48 per cent of single parent families live in poverty, compared to 23 per cent of couples with children and 23 per cent of single people without children.</w:t>
      </w:r>
      <w:r>
        <w:rPr>
          <w:rStyle w:val="FootnoteReference"/>
          <w:rFonts w:ascii="Segoe UI" w:eastAsiaTheme="majorEastAsia" w:hAnsi="Segoe UI" w:cs="Segoe UI"/>
          <w:color w:val="000000"/>
          <w:sz w:val="22"/>
          <w:szCs w:val="22"/>
        </w:rPr>
        <w:footnoteReference w:id="23"/>
      </w:r>
    </w:p>
    <w:p w14:paraId="360B29A6" w14:textId="77777777" w:rsidR="00D32B17" w:rsidRDefault="00D32B17" w:rsidP="00D32B17">
      <w:pPr>
        <w:pStyle w:val="NormalWeb"/>
        <w:shd w:val="clear" w:color="auto" w:fill="FFFFFF"/>
        <w:spacing w:before="0" w:beforeAutospacing="0" w:after="0" w:afterAutospacing="0"/>
        <w:rPr>
          <w:rFonts w:ascii="Segoe UI" w:hAnsi="Segoe UI" w:cs="Segoe UI"/>
          <w:color w:val="000000"/>
          <w:sz w:val="22"/>
          <w:szCs w:val="22"/>
        </w:rPr>
      </w:pPr>
    </w:p>
    <w:p w14:paraId="54BE7C5D" w14:textId="53BD58C6" w:rsidR="00D32B17" w:rsidRPr="00B0738A" w:rsidRDefault="00D32B17" w:rsidP="00B0738A">
      <w:pPr>
        <w:pStyle w:val="NormalWeb"/>
        <w:shd w:val="clear" w:color="auto" w:fill="FFFFFF"/>
        <w:spacing w:before="0" w:beforeAutospacing="0" w:after="0" w:afterAutospacing="0"/>
        <w:rPr>
          <w:rFonts w:ascii="Segoe UI" w:hAnsi="Segoe UI" w:cs="Segoe UI"/>
          <w:color w:val="1D1D1D"/>
          <w:position w:val="5"/>
          <w:sz w:val="22"/>
          <w:szCs w:val="22"/>
          <w:shd w:val="clear" w:color="auto" w:fill="EDEBE9"/>
        </w:rPr>
      </w:pPr>
      <w:r>
        <w:rPr>
          <w:rFonts w:ascii="Segoe UI" w:hAnsi="Segoe UI" w:cs="Segoe UI"/>
          <w:color w:val="000000"/>
          <w:sz w:val="22"/>
          <w:szCs w:val="22"/>
        </w:rPr>
        <w:t>More recent research shows that the cost-of-living crisis is pushing people into poverty. One in seven people in the UK are now skipping meals or going without food</w:t>
      </w:r>
      <w:r>
        <w:rPr>
          <w:rStyle w:val="FootnoteReference"/>
          <w:rFonts w:ascii="Segoe UI" w:eastAsiaTheme="majorEastAsia" w:hAnsi="Segoe UI" w:cs="Segoe UI"/>
          <w:color w:val="000000"/>
          <w:sz w:val="22"/>
          <w:szCs w:val="22"/>
        </w:rPr>
        <w:footnoteReference w:id="24"/>
      </w:r>
      <w:r>
        <w:rPr>
          <w:rFonts w:ascii="Segoe UI" w:hAnsi="Segoe UI" w:cs="Segoe UI"/>
          <w:color w:val="000000"/>
          <w:sz w:val="22"/>
          <w:szCs w:val="22"/>
        </w:rPr>
        <w:t xml:space="preserve"> and one in five children living in key worker households are living in poverty</w:t>
      </w:r>
      <w:r>
        <w:rPr>
          <w:rStyle w:val="FootnoteReference"/>
          <w:rFonts w:ascii="Segoe UI" w:eastAsiaTheme="majorEastAsia" w:hAnsi="Segoe UI" w:cs="Segoe UI"/>
          <w:color w:val="000000"/>
          <w:sz w:val="22"/>
          <w:szCs w:val="22"/>
        </w:rPr>
        <w:footnoteReference w:id="25"/>
      </w:r>
      <w:r>
        <w:rPr>
          <w:rFonts w:ascii="Segoe UI" w:hAnsi="Segoe UI" w:cs="Segoe UI"/>
          <w:color w:val="000000"/>
          <w:sz w:val="22"/>
          <w:szCs w:val="22"/>
        </w:rPr>
        <w:t xml:space="preserve">. According to the Trussell Trust, the UKs largest network of </w:t>
      </w:r>
      <w:r w:rsidRPr="00C0482C">
        <w:rPr>
          <w:rFonts w:ascii="Segoe UI" w:hAnsi="Segoe UI" w:cs="Segoe UI"/>
          <w:color w:val="000000"/>
          <w:sz w:val="22"/>
          <w:szCs w:val="22"/>
        </w:rPr>
        <w:t xml:space="preserve">foodbanks, </w:t>
      </w:r>
      <w:r w:rsidRPr="00D32B17">
        <w:rPr>
          <w:rStyle w:val="normaltextrun"/>
          <w:rFonts w:ascii="Segoe UI" w:hAnsi="Segoe UI" w:cs="Segoe UI"/>
          <w:color w:val="1D1D1D"/>
          <w:position w:val="5"/>
          <w:sz w:val="22"/>
          <w:szCs w:val="22"/>
          <w:shd w:val="clear" w:color="auto" w:fill="EDEBE9"/>
        </w:rPr>
        <w:t>1.3 million emergency food parcels were issued between April 2022 and September 2022, up 52 per cent versus same period in 2019.</w:t>
      </w:r>
      <w:r w:rsidRPr="00D32B17">
        <w:rPr>
          <w:rStyle w:val="FootnoteReference"/>
          <w:rFonts w:ascii="Segoe UI" w:eastAsiaTheme="majorEastAsia" w:hAnsi="Segoe UI" w:cs="Segoe UI"/>
          <w:color w:val="1D1D1D"/>
          <w:position w:val="5"/>
          <w:sz w:val="22"/>
          <w:szCs w:val="22"/>
          <w:shd w:val="clear" w:color="auto" w:fill="EDEBE9"/>
        </w:rPr>
        <w:footnoteReference w:id="26"/>
      </w:r>
    </w:p>
    <w:p w14:paraId="2AB5D0C1" w14:textId="77777777" w:rsidR="00D32B17" w:rsidRDefault="00D32B17" w:rsidP="00D32B17">
      <w:pPr>
        <w:pStyle w:val="Heading1"/>
      </w:pPr>
      <w:r>
        <w:t>Access to health</w:t>
      </w:r>
    </w:p>
    <w:p w14:paraId="1C165535" w14:textId="77777777" w:rsidR="00D32B17" w:rsidRDefault="00D32B17" w:rsidP="00D32B17">
      <w:pPr>
        <w:rPr>
          <w:rFonts w:ascii="Segoe UI" w:hAnsi="Segoe UI" w:cs="Segoe UI"/>
        </w:rPr>
      </w:pPr>
      <w:r w:rsidRPr="008754F5">
        <w:rPr>
          <w:rFonts w:ascii="Segoe UI" w:hAnsi="Segoe UI" w:cs="Segoe UI"/>
        </w:rPr>
        <w:t xml:space="preserve">The government in its response highlights that everyone registered to live in the UK has an entitlement to access a GP free of charge. </w:t>
      </w:r>
      <w:r>
        <w:rPr>
          <w:rFonts w:ascii="Segoe UI" w:hAnsi="Segoe UI" w:cs="Segoe UI"/>
        </w:rPr>
        <w:t xml:space="preserve">Whilst this is an important entitlement, it is important to highlight that for migrant and asylum-seeking people with no recourse to public funds, access to other forms of healthcare can be restricted or come at significant expense. This is clearly demonstrated by the NHS charging policy for maternity services. </w:t>
      </w:r>
      <w:hyperlink r:id="rId27" w:history="1">
        <w:r w:rsidRPr="00576D42">
          <w:rPr>
            <w:rStyle w:val="Hyperlink"/>
            <w:rFonts w:ascii="Segoe UI" w:hAnsi="Segoe UI" w:cs="Segoe UI"/>
          </w:rPr>
          <w:t>Maternity Action</w:t>
        </w:r>
      </w:hyperlink>
      <w:r>
        <w:rPr>
          <w:rFonts w:ascii="Segoe UI" w:hAnsi="Segoe UI" w:cs="Segoe UI"/>
        </w:rPr>
        <w:t xml:space="preserve"> have researched and written extensively on this </w:t>
      </w:r>
      <w:r>
        <w:rPr>
          <w:rFonts w:ascii="Segoe UI" w:hAnsi="Segoe UI" w:cs="Segoe UI"/>
        </w:rPr>
        <w:lastRenderedPageBreak/>
        <w:t>issue, average charges for pregnancy and maternity care start at around £7000 and can run into the tens of thousands.</w:t>
      </w:r>
      <w:r>
        <w:rPr>
          <w:rStyle w:val="FootnoteReference"/>
          <w:rFonts w:ascii="Segoe UI" w:hAnsi="Segoe UI" w:cs="Segoe UI"/>
        </w:rPr>
        <w:footnoteReference w:id="27"/>
      </w:r>
      <w:r>
        <w:rPr>
          <w:rFonts w:ascii="Segoe UI" w:hAnsi="Segoe UI" w:cs="Segoe UI"/>
        </w:rPr>
        <w:t xml:space="preserve"> </w:t>
      </w:r>
    </w:p>
    <w:p w14:paraId="1FCF849C" w14:textId="77777777" w:rsidR="00D32B17" w:rsidRDefault="00D32B17" w:rsidP="00D32B17">
      <w:pPr>
        <w:rPr>
          <w:rFonts w:ascii="Segoe UI" w:hAnsi="Segoe UI" w:cs="Segoe UI"/>
        </w:rPr>
      </w:pPr>
      <w:r>
        <w:rPr>
          <w:rFonts w:ascii="Segoe UI" w:hAnsi="Segoe UI" w:cs="Segoe UI"/>
        </w:rPr>
        <w:t xml:space="preserve">Across the </w:t>
      </w:r>
      <w:proofErr w:type="spellStart"/>
      <w:r>
        <w:rPr>
          <w:rFonts w:ascii="Segoe UI" w:hAnsi="Segoe UI" w:cs="Segoe UI"/>
        </w:rPr>
        <w:t>heath</w:t>
      </w:r>
      <w:proofErr w:type="spellEnd"/>
      <w:r>
        <w:rPr>
          <w:rFonts w:ascii="Segoe UI" w:hAnsi="Segoe UI" w:cs="Segoe UI"/>
        </w:rPr>
        <w:t xml:space="preserve"> and social care sector there has been significant cuts to funding and the holding down of pay since 2010. TUC analysis shows that</w:t>
      </w:r>
      <w:r>
        <w:rPr>
          <w:rStyle w:val="FootnoteReference"/>
          <w:rFonts w:ascii="Segoe UI" w:hAnsi="Segoe UI" w:cs="Segoe UI"/>
        </w:rPr>
        <w:footnoteReference w:id="28"/>
      </w:r>
      <w:r>
        <w:rPr>
          <w:rFonts w:ascii="Segoe UI" w:hAnsi="Segoe UI" w:cs="Segoe UI"/>
        </w:rPr>
        <w:t>:</w:t>
      </w:r>
    </w:p>
    <w:p w14:paraId="771F0A8B" w14:textId="77777777" w:rsidR="00D32B17" w:rsidRPr="007C62D9" w:rsidRDefault="00D32B17" w:rsidP="00D32B17">
      <w:pPr>
        <w:numPr>
          <w:ilvl w:val="0"/>
          <w:numId w:val="27"/>
        </w:numPr>
        <w:shd w:val="clear" w:color="auto" w:fill="FFFFFF"/>
        <w:spacing w:before="100" w:beforeAutospacing="1" w:after="100" w:afterAutospacing="1"/>
        <w:ind w:left="840"/>
        <w:rPr>
          <w:rFonts w:ascii="Segoe UI" w:eastAsia="Times New Roman" w:hAnsi="Segoe UI" w:cs="Segoe UI"/>
          <w:color w:val="000000"/>
          <w:sz w:val="24"/>
          <w:szCs w:val="24"/>
          <w:lang w:eastAsia="en-GB"/>
        </w:rPr>
      </w:pPr>
      <w:r w:rsidRPr="007C62D9">
        <w:rPr>
          <w:rFonts w:ascii="Segoe UI" w:eastAsia="Times New Roman" w:hAnsi="Segoe UI" w:cs="Segoe UI"/>
          <w:color w:val="000000"/>
          <w:lang w:eastAsia="en-GB"/>
        </w:rPr>
        <w:t>Nurses’ real pay is down £4,300 compared to 2010 </w:t>
      </w:r>
    </w:p>
    <w:p w14:paraId="7CE46756" w14:textId="77777777" w:rsidR="00D32B17" w:rsidRPr="007C62D9" w:rsidRDefault="00D32B17" w:rsidP="00D32B17">
      <w:pPr>
        <w:numPr>
          <w:ilvl w:val="0"/>
          <w:numId w:val="27"/>
        </w:numPr>
        <w:shd w:val="clear" w:color="auto" w:fill="FFFFFF"/>
        <w:spacing w:before="100" w:beforeAutospacing="1" w:after="100" w:afterAutospacing="1"/>
        <w:ind w:left="840"/>
        <w:rPr>
          <w:rFonts w:ascii="Segoe UI" w:eastAsia="Times New Roman" w:hAnsi="Segoe UI" w:cs="Segoe UI"/>
          <w:color w:val="000000"/>
          <w:sz w:val="24"/>
          <w:szCs w:val="24"/>
          <w:lang w:eastAsia="en-GB"/>
        </w:rPr>
      </w:pPr>
      <w:r w:rsidRPr="007C62D9">
        <w:rPr>
          <w:rFonts w:ascii="Segoe UI" w:eastAsia="Times New Roman" w:hAnsi="Segoe UI" w:cs="Segoe UI"/>
          <w:color w:val="000000"/>
          <w:lang w:eastAsia="en-GB"/>
        </w:rPr>
        <w:t>Paramedics’ real pay is down by £5,600 compared to 2010</w:t>
      </w:r>
    </w:p>
    <w:p w14:paraId="615D3D5C" w14:textId="77777777" w:rsidR="00D32B17" w:rsidRPr="007C62D9" w:rsidRDefault="00D32B17" w:rsidP="00D32B17">
      <w:pPr>
        <w:numPr>
          <w:ilvl w:val="0"/>
          <w:numId w:val="27"/>
        </w:numPr>
        <w:shd w:val="clear" w:color="auto" w:fill="FFFFFF"/>
        <w:spacing w:before="100" w:beforeAutospacing="1" w:after="100" w:afterAutospacing="1"/>
        <w:ind w:left="840"/>
        <w:rPr>
          <w:rFonts w:ascii="Segoe UI" w:eastAsia="Times New Roman" w:hAnsi="Segoe UI" w:cs="Segoe UI"/>
          <w:color w:val="000000"/>
          <w:sz w:val="24"/>
          <w:szCs w:val="24"/>
          <w:lang w:eastAsia="en-GB"/>
        </w:rPr>
      </w:pPr>
      <w:r w:rsidRPr="007C62D9">
        <w:rPr>
          <w:rFonts w:ascii="Segoe UI" w:eastAsia="Times New Roman" w:hAnsi="Segoe UI" w:cs="Segoe UI"/>
          <w:color w:val="000000"/>
          <w:lang w:eastAsia="en-GB"/>
        </w:rPr>
        <w:t>Porters’ real pay is down by £1,300 compared to 2010</w:t>
      </w:r>
    </w:p>
    <w:p w14:paraId="5107DAA5" w14:textId="77777777" w:rsidR="00D32B17" w:rsidRPr="007C62D9" w:rsidRDefault="00D32B17" w:rsidP="00D32B17">
      <w:pPr>
        <w:numPr>
          <w:ilvl w:val="0"/>
          <w:numId w:val="27"/>
        </w:numPr>
        <w:shd w:val="clear" w:color="auto" w:fill="FFFFFF"/>
        <w:spacing w:before="100" w:beforeAutospacing="1" w:after="165"/>
        <w:ind w:left="840"/>
        <w:rPr>
          <w:rFonts w:ascii="Segoe UI" w:eastAsia="Times New Roman" w:hAnsi="Segoe UI" w:cs="Segoe UI"/>
          <w:color w:val="000000"/>
          <w:sz w:val="24"/>
          <w:szCs w:val="24"/>
          <w:lang w:eastAsia="en-GB"/>
        </w:rPr>
      </w:pPr>
      <w:r w:rsidRPr="007C62D9">
        <w:rPr>
          <w:rFonts w:ascii="Segoe UI" w:eastAsia="Times New Roman" w:hAnsi="Segoe UI" w:cs="Segoe UI"/>
          <w:color w:val="000000"/>
          <w:lang w:eastAsia="en-GB"/>
        </w:rPr>
        <w:t>Maternity care assistants’ real pay is still down by £3,200 compared to 2010</w:t>
      </w:r>
    </w:p>
    <w:p w14:paraId="355BDF2F" w14:textId="77777777" w:rsidR="00D32B17" w:rsidRDefault="00D32B17" w:rsidP="00D32B17">
      <w:pPr>
        <w:rPr>
          <w:rFonts w:ascii="Segoe UI" w:hAnsi="Segoe UI" w:cs="Segoe UI"/>
        </w:rPr>
      </w:pPr>
      <w:r>
        <w:rPr>
          <w:rFonts w:ascii="Segoe UI" w:hAnsi="Segoe UI" w:cs="Segoe UI"/>
        </w:rPr>
        <w:t>This has led to a recruitment and retention crisis; there are at least 100,000 vacancies across NHS England, and 160,000 vacancies across the social care sector.</w:t>
      </w:r>
      <w:r>
        <w:rPr>
          <w:rStyle w:val="FootnoteReference"/>
          <w:rFonts w:ascii="Segoe UI" w:hAnsi="Segoe UI" w:cs="Segoe UI"/>
        </w:rPr>
        <w:footnoteReference w:id="29"/>
      </w:r>
      <w:r>
        <w:rPr>
          <w:rFonts w:ascii="Segoe UI" w:hAnsi="Segoe UI" w:cs="Segoe UI"/>
        </w:rPr>
        <w:t xml:space="preserve"> There are now 7 million people on an NHS waiting lists</w:t>
      </w:r>
      <w:r>
        <w:rPr>
          <w:rStyle w:val="FootnoteReference"/>
          <w:rFonts w:ascii="Segoe UI" w:hAnsi="Segoe UI" w:cs="Segoe UI"/>
        </w:rPr>
        <w:footnoteReference w:id="30"/>
      </w:r>
      <w:r>
        <w:rPr>
          <w:rFonts w:ascii="Segoe UI" w:hAnsi="Segoe UI" w:cs="Segoe UI"/>
        </w:rPr>
        <w:t>, and 2.6 million people over 50 have unmet care needs.</w:t>
      </w:r>
      <w:r>
        <w:rPr>
          <w:rStyle w:val="FootnoteReference"/>
          <w:rFonts w:ascii="Segoe UI" w:hAnsi="Segoe UI" w:cs="Segoe UI"/>
        </w:rPr>
        <w:footnoteReference w:id="31"/>
      </w:r>
      <w:r>
        <w:rPr>
          <w:rFonts w:ascii="Segoe UI" w:hAnsi="Segoe UI" w:cs="Segoe UI"/>
        </w:rPr>
        <w:t xml:space="preserve"> </w:t>
      </w:r>
    </w:p>
    <w:p w14:paraId="208DCF7D" w14:textId="77777777" w:rsidR="00D32B17" w:rsidRDefault="00D32B17" w:rsidP="00D32B17">
      <w:pPr>
        <w:pStyle w:val="Heading1"/>
      </w:pPr>
      <w:r>
        <w:t>Termination of pregnancies</w:t>
      </w:r>
    </w:p>
    <w:p w14:paraId="7B5DB7D6" w14:textId="77777777" w:rsidR="00D32B17" w:rsidRDefault="00D32B17" w:rsidP="00D32B17">
      <w:pPr>
        <w:rPr>
          <w:rFonts w:ascii="Segoe UI" w:hAnsi="Segoe UI" w:cs="Segoe UI"/>
        </w:rPr>
      </w:pPr>
      <w:r w:rsidRPr="009A6FA7">
        <w:rPr>
          <w:rFonts w:ascii="Segoe UI" w:hAnsi="Segoe UI" w:cs="Segoe UI"/>
        </w:rPr>
        <w:t xml:space="preserve">In its response the government highlights the very welcome progress made in Northern Ireland on legislative changes to </w:t>
      </w:r>
      <w:r>
        <w:rPr>
          <w:rFonts w:ascii="Segoe UI" w:hAnsi="Segoe UI" w:cs="Segoe UI"/>
        </w:rPr>
        <w:t>decriminalise abortion</w:t>
      </w:r>
      <w:r w:rsidRPr="009A6FA7">
        <w:rPr>
          <w:rFonts w:ascii="Segoe UI" w:hAnsi="Segoe UI" w:cs="Segoe UI"/>
        </w:rPr>
        <w:t>. However, three years on from the historic legislative change, access to abortion services are still non-existent, meaning many women still face barriers to accessing safe abortion healthcare.</w:t>
      </w:r>
      <w:r w:rsidRPr="009A6FA7">
        <w:rPr>
          <w:rStyle w:val="FootnoteReference"/>
          <w:rFonts w:ascii="Segoe UI" w:hAnsi="Segoe UI" w:cs="Segoe UI"/>
        </w:rPr>
        <w:footnoteReference w:id="32"/>
      </w:r>
      <w:r>
        <w:rPr>
          <w:rFonts w:ascii="Segoe UI" w:hAnsi="Segoe UI" w:cs="Segoe UI"/>
        </w:rPr>
        <w:t xml:space="preserve"> Across the UK there are still several restrictions on a woman’s right to choose</w:t>
      </w:r>
      <w:r>
        <w:rPr>
          <w:rStyle w:val="FootnoteReference"/>
          <w:rFonts w:ascii="Segoe UI" w:hAnsi="Segoe UI" w:cs="Segoe UI"/>
        </w:rPr>
        <w:footnoteReference w:id="33"/>
      </w:r>
      <w:r>
        <w:rPr>
          <w:rFonts w:ascii="Segoe UI" w:hAnsi="Segoe UI" w:cs="Segoe UI"/>
        </w:rPr>
        <w:t xml:space="preserve"> and abortion while lawful under </w:t>
      </w:r>
      <w:proofErr w:type="gramStart"/>
      <w:r>
        <w:rPr>
          <w:rFonts w:ascii="Segoe UI" w:hAnsi="Segoe UI" w:cs="Segoe UI"/>
        </w:rPr>
        <w:t>particular circumstances</w:t>
      </w:r>
      <w:proofErr w:type="gramEnd"/>
      <w:r>
        <w:rPr>
          <w:rFonts w:ascii="Segoe UI" w:hAnsi="Segoe UI" w:cs="Segoe UI"/>
        </w:rPr>
        <w:t>, is still criminalised in England, Wales and Scotland, the penalty for which can be up to life in prison.</w:t>
      </w:r>
      <w:r>
        <w:rPr>
          <w:rStyle w:val="FootnoteReference"/>
          <w:rFonts w:ascii="Segoe UI" w:hAnsi="Segoe UI" w:cs="Segoe UI"/>
        </w:rPr>
        <w:footnoteReference w:id="34"/>
      </w:r>
    </w:p>
    <w:p w14:paraId="55628D3E" w14:textId="77777777" w:rsidR="00D32B17" w:rsidRDefault="00D32B17" w:rsidP="00D32B17">
      <w:pPr>
        <w:pStyle w:val="Heading1"/>
      </w:pPr>
      <w:r>
        <w:t>LGBT+ workplace experiences</w:t>
      </w:r>
    </w:p>
    <w:p w14:paraId="40D17125" w14:textId="77777777" w:rsidR="00D32B17" w:rsidRPr="00DA6884" w:rsidRDefault="00D32B17" w:rsidP="00D32B17">
      <w:pPr>
        <w:rPr>
          <w:rFonts w:ascii="Segoe UI" w:hAnsi="Segoe UI" w:cs="Segoe UI"/>
        </w:rPr>
      </w:pPr>
      <w:r>
        <w:rPr>
          <w:rFonts w:ascii="Segoe UI" w:hAnsi="Segoe UI" w:cs="Segoe UI"/>
        </w:rPr>
        <w:t xml:space="preserve">The government have not mentioned LGBT+ people in their response, although this community are facing rising hate which is impacting experiences in the workplace. </w:t>
      </w:r>
      <w:r w:rsidRPr="00DA6884">
        <w:rPr>
          <w:rFonts w:ascii="Segoe UI" w:hAnsi="Segoe UI" w:cs="Segoe UI"/>
        </w:rPr>
        <w:t>Hate crime reporting figures show us that over the last six years, across the UK the number of homophobic hate crime reports have tripled, and the number of transphobic hate crime reports have quadrupled</w:t>
      </w:r>
      <w:r>
        <w:rPr>
          <w:rStyle w:val="FootnoteReference"/>
          <w:rFonts w:ascii="Segoe UI" w:hAnsi="Segoe UI" w:cs="Segoe UI"/>
        </w:rPr>
        <w:footnoteReference w:id="35"/>
      </w:r>
      <w:r w:rsidRPr="00DA6884">
        <w:rPr>
          <w:rFonts w:ascii="Segoe UI" w:hAnsi="Segoe UI" w:cs="Segoe UI"/>
        </w:rPr>
        <w:t xml:space="preserve">. The Press Regulator found that between 2009 and </w:t>
      </w:r>
      <w:r w:rsidRPr="00DA6884">
        <w:rPr>
          <w:rFonts w:ascii="Segoe UI" w:hAnsi="Segoe UI" w:cs="Segoe UI"/>
        </w:rPr>
        <w:lastRenderedPageBreak/>
        <w:t>2019 there was a 400% increase in articles written about trans people</w:t>
      </w:r>
      <w:r>
        <w:rPr>
          <w:rStyle w:val="FootnoteReference"/>
          <w:rFonts w:ascii="Segoe UI" w:hAnsi="Segoe UI" w:cs="Segoe UI"/>
        </w:rPr>
        <w:footnoteReference w:id="36"/>
      </w:r>
      <w:r w:rsidRPr="00DA6884">
        <w:rPr>
          <w:rFonts w:ascii="Segoe UI" w:hAnsi="Segoe UI" w:cs="Segoe UI"/>
        </w:rPr>
        <w:t>.</w:t>
      </w:r>
      <w:r>
        <w:rPr>
          <w:rFonts w:ascii="Segoe UI" w:hAnsi="Segoe UI" w:cs="Segoe UI"/>
        </w:rPr>
        <w:t xml:space="preserve"> And the government have failed to ban LGBT+ conversion therapy, despite committing to do so three and a half years ago</w:t>
      </w:r>
      <w:r>
        <w:rPr>
          <w:rStyle w:val="FootnoteReference"/>
          <w:rFonts w:ascii="Segoe UI" w:hAnsi="Segoe UI" w:cs="Segoe UI"/>
        </w:rPr>
        <w:footnoteReference w:id="37"/>
      </w:r>
      <w:r>
        <w:rPr>
          <w:rFonts w:ascii="Segoe UI" w:hAnsi="Segoe UI" w:cs="Segoe UI"/>
        </w:rPr>
        <w:t>.</w:t>
      </w:r>
    </w:p>
    <w:p w14:paraId="3DEE6851" w14:textId="77777777" w:rsidR="00D32B17" w:rsidRDefault="00D32B17" w:rsidP="00D32B17">
      <w:pPr>
        <w:rPr>
          <w:rFonts w:ascii="Segoe UI" w:hAnsi="Segoe UI" w:cs="Segoe UI"/>
        </w:rPr>
      </w:pPr>
      <w:r>
        <w:rPr>
          <w:rFonts w:ascii="Segoe UI" w:hAnsi="Segoe UI" w:cs="Segoe UI"/>
        </w:rPr>
        <w:t>TUC research</w:t>
      </w:r>
      <w:r>
        <w:rPr>
          <w:rStyle w:val="FootnoteReference"/>
          <w:rFonts w:ascii="Segoe UI" w:hAnsi="Segoe UI" w:cs="Segoe UI"/>
        </w:rPr>
        <w:footnoteReference w:id="38"/>
      </w:r>
      <w:r>
        <w:rPr>
          <w:rFonts w:ascii="Segoe UI" w:hAnsi="Segoe UI" w:cs="Segoe UI"/>
        </w:rPr>
        <w:t xml:space="preserve"> shows that m</w:t>
      </w:r>
      <w:r w:rsidRPr="00882D63">
        <w:rPr>
          <w:rFonts w:ascii="Segoe UI" w:hAnsi="Segoe UI" w:cs="Segoe UI"/>
        </w:rPr>
        <w:t>ore than one in three (36%) of LGBT</w:t>
      </w:r>
      <w:r>
        <w:rPr>
          <w:rFonts w:ascii="Segoe UI" w:hAnsi="Segoe UI" w:cs="Segoe UI"/>
        </w:rPr>
        <w:t>+</w:t>
      </w:r>
      <w:r w:rsidRPr="00882D63">
        <w:rPr>
          <w:rFonts w:ascii="Segoe UI" w:hAnsi="Segoe UI" w:cs="Segoe UI"/>
        </w:rPr>
        <w:t xml:space="preserve"> workers have been harassed or bullied at work. Nearly two in five (39%) LGBT</w:t>
      </w:r>
      <w:r>
        <w:rPr>
          <w:rFonts w:ascii="Segoe UI" w:hAnsi="Segoe UI" w:cs="Segoe UI"/>
        </w:rPr>
        <w:t>+</w:t>
      </w:r>
      <w:r w:rsidRPr="00882D63">
        <w:rPr>
          <w:rFonts w:ascii="Segoe UI" w:hAnsi="Segoe UI" w:cs="Segoe UI"/>
        </w:rPr>
        <w:t xml:space="preserve"> workers have been harassed or discriminated against by a colleague, more than one in four (29%) by a manager and around one in seven (14%) by a client or patient. Only half (51%) of LGBT</w:t>
      </w:r>
      <w:r>
        <w:rPr>
          <w:rFonts w:ascii="Segoe UI" w:hAnsi="Segoe UI" w:cs="Segoe UI"/>
        </w:rPr>
        <w:t>+</w:t>
      </w:r>
      <w:r w:rsidRPr="00882D63">
        <w:rPr>
          <w:rFonts w:ascii="Segoe UI" w:hAnsi="Segoe UI" w:cs="Segoe UI"/>
        </w:rPr>
        <w:t xml:space="preserve"> people – and just one in three (36%) young people – are out or open about their sexuality to all their colleagues at work. More than one in four (27%) of bisexual respondents hide their sexuality at work.</w:t>
      </w:r>
      <w:r>
        <w:rPr>
          <w:rFonts w:ascii="Segoe UI" w:hAnsi="Segoe UI" w:cs="Segoe UI"/>
        </w:rPr>
        <w:t xml:space="preserve"> </w:t>
      </w:r>
      <w:r w:rsidRPr="00882D63">
        <w:rPr>
          <w:rFonts w:ascii="Segoe UI" w:hAnsi="Segoe UI" w:cs="Segoe UI"/>
        </w:rPr>
        <w:t>Almost one in three (30%) trans respondents have had their trans status disclosed against their will.</w:t>
      </w:r>
    </w:p>
    <w:p w14:paraId="7E24B706" w14:textId="77777777" w:rsidR="00D32B17" w:rsidRDefault="00D32B17" w:rsidP="00D32B17">
      <w:pPr>
        <w:rPr>
          <w:rFonts w:ascii="Segoe UI" w:hAnsi="Segoe UI" w:cs="Segoe UI"/>
        </w:rPr>
      </w:pPr>
      <w:r>
        <w:rPr>
          <w:rFonts w:ascii="Segoe UI" w:hAnsi="Segoe UI" w:cs="Segoe UI"/>
        </w:rPr>
        <w:t>Our research also shows that a</w:t>
      </w:r>
      <w:r w:rsidRPr="00101F26">
        <w:rPr>
          <w:rFonts w:ascii="Segoe UI" w:hAnsi="Segoe UI" w:cs="Segoe UI"/>
        </w:rPr>
        <w:t>round seven out of ten (68 per cent) LGBT+ workers experienced at least one type of sexual harassment at work</w:t>
      </w:r>
      <w:r>
        <w:rPr>
          <w:rStyle w:val="FootnoteReference"/>
          <w:rFonts w:ascii="Segoe UI" w:hAnsi="Segoe UI" w:cs="Segoe UI"/>
        </w:rPr>
        <w:footnoteReference w:id="39"/>
      </w:r>
      <w:r w:rsidRPr="00101F26">
        <w:rPr>
          <w:rFonts w:ascii="Segoe UI" w:hAnsi="Segoe UI" w:cs="Segoe UI"/>
        </w:rPr>
        <w:t>.</w:t>
      </w:r>
    </w:p>
    <w:p w14:paraId="618E6BF2" w14:textId="77777777" w:rsidR="00D32B17" w:rsidRPr="00101F26" w:rsidRDefault="00D32B17" w:rsidP="00D32B17">
      <w:pPr>
        <w:rPr>
          <w:rFonts w:ascii="Segoe UI" w:hAnsi="Segoe UI" w:cs="Segoe UI"/>
        </w:rPr>
      </w:pPr>
      <w:r>
        <w:rPr>
          <w:rFonts w:ascii="Segoe UI" w:hAnsi="Segoe UI" w:cs="Segoe UI"/>
        </w:rPr>
        <w:t>And our polling</w:t>
      </w:r>
      <w:r w:rsidRPr="00101F26">
        <w:rPr>
          <w:rFonts w:ascii="Segoe UI" w:hAnsi="Segoe UI" w:cs="Segoe UI"/>
        </w:rPr>
        <w:t xml:space="preserve"> of HR manager’s </w:t>
      </w:r>
      <w:r>
        <w:rPr>
          <w:rFonts w:ascii="Segoe UI" w:hAnsi="Segoe UI" w:cs="Segoe UI"/>
        </w:rPr>
        <w:t>shows</w:t>
      </w:r>
      <w:r w:rsidRPr="00101F26">
        <w:rPr>
          <w:rFonts w:ascii="Segoe UI" w:hAnsi="Segoe UI" w:cs="Segoe UI"/>
        </w:rPr>
        <w:t xml:space="preserve"> that employers are not equipped to deal with the issues facing LGBT+ workers. YouGov polling for the TUC in June 2022 found that: </w:t>
      </w:r>
    </w:p>
    <w:p w14:paraId="2FD00C0A" w14:textId="77777777" w:rsidR="00D32B17" w:rsidRPr="00101F26" w:rsidRDefault="00D32B17" w:rsidP="00D32B17">
      <w:pPr>
        <w:numPr>
          <w:ilvl w:val="0"/>
          <w:numId w:val="28"/>
        </w:numPr>
        <w:spacing w:after="0" w:line="259" w:lineRule="auto"/>
        <w:rPr>
          <w:rFonts w:ascii="Segoe UI" w:hAnsi="Segoe UI" w:cs="Segoe UI"/>
        </w:rPr>
      </w:pPr>
      <w:r w:rsidRPr="00101F26">
        <w:rPr>
          <w:rFonts w:ascii="Segoe UI" w:hAnsi="Segoe UI" w:cs="Segoe UI"/>
        </w:rPr>
        <w:t>One in five (21%) workplaces do not have any policies in place to support their LGBT staff at work.  </w:t>
      </w:r>
    </w:p>
    <w:p w14:paraId="5B6AAF67" w14:textId="77777777" w:rsidR="00D32B17" w:rsidRPr="00101F26" w:rsidRDefault="00D32B17" w:rsidP="00D32B17">
      <w:pPr>
        <w:numPr>
          <w:ilvl w:val="0"/>
          <w:numId w:val="28"/>
        </w:numPr>
        <w:spacing w:after="0" w:line="259" w:lineRule="auto"/>
        <w:rPr>
          <w:rFonts w:ascii="Segoe UI" w:hAnsi="Segoe UI" w:cs="Segoe UI"/>
        </w:rPr>
      </w:pPr>
      <w:r w:rsidRPr="00101F26">
        <w:rPr>
          <w:rFonts w:ascii="Segoe UI" w:hAnsi="Segoe UI" w:cs="Segoe UI"/>
        </w:rPr>
        <w:t>Only one in 8 employers monitor their LGBT+ pay gap. </w:t>
      </w:r>
    </w:p>
    <w:p w14:paraId="26D7DF1B" w14:textId="77777777" w:rsidR="00D32B17" w:rsidRPr="00101F26" w:rsidRDefault="00D32B17" w:rsidP="00D32B17">
      <w:pPr>
        <w:numPr>
          <w:ilvl w:val="0"/>
          <w:numId w:val="29"/>
        </w:numPr>
        <w:spacing w:after="0" w:line="259" w:lineRule="auto"/>
        <w:rPr>
          <w:rFonts w:ascii="Segoe UI" w:hAnsi="Segoe UI" w:cs="Segoe UI"/>
        </w:rPr>
      </w:pPr>
      <w:r w:rsidRPr="00101F26">
        <w:rPr>
          <w:rFonts w:ascii="Segoe UI" w:hAnsi="Segoe UI" w:cs="Segoe UI"/>
        </w:rPr>
        <w:t>Only half (51%) of managers surveyed told the TUC they have a policy prohibiting discrimination, bullying and harassment against LGBT workers in their workplace. Less than half (47%) said they have a clear reporting route for workers to raise concerns about discrimination, bullying and harassment against LGBT workers </w:t>
      </w:r>
    </w:p>
    <w:p w14:paraId="4296DCBC" w14:textId="77777777" w:rsidR="00D32B17" w:rsidRPr="00101F26" w:rsidRDefault="00D32B17" w:rsidP="00D32B17">
      <w:pPr>
        <w:numPr>
          <w:ilvl w:val="0"/>
          <w:numId w:val="29"/>
        </w:numPr>
        <w:spacing w:after="0" w:line="259" w:lineRule="auto"/>
        <w:rPr>
          <w:rFonts w:ascii="Segoe UI" w:hAnsi="Segoe UI" w:cs="Segoe UI"/>
        </w:rPr>
      </w:pPr>
      <w:r w:rsidRPr="00101F26">
        <w:rPr>
          <w:rFonts w:ascii="Segoe UI" w:hAnsi="Segoe UI" w:cs="Segoe UI"/>
        </w:rPr>
        <w:t>Trans workers: Just one in four (25%) managers said that they have a policy setting out support for trans (including non-binary) workers who wish to transition to live as another gender.  </w:t>
      </w:r>
    </w:p>
    <w:p w14:paraId="309EEE8A" w14:textId="77777777" w:rsidR="00D32B17" w:rsidRPr="00101F26" w:rsidRDefault="00D32B17" w:rsidP="00D32B17">
      <w:pPr>
        <w:numPr>
          <w:ilvl w:val="0"/>
          <w:numId w:val="29"/>
        </w:numPr>
        <w:spacing w:after="0" w:line="259" w:lineRule="auto"/>
        <w:rPr>
          <w:rFonts w:ascii="Segoe UI" w:hAnsi="Segoe UI" w:cs="Segoe UI"/>
        </w:rPr>
      </w:pPr>
      <w:r w:rsidRPr="00101F26">
        <w:rPr>
          <w:rFonts w:ascii="Segoe UI" w:hAnsi="Segoe UI" w:cs="Segoe UI"/>
        </w:rPr>
        <w:t xml:space="preserve">Family-friendly working: Less than half (47%) of HR managers told us that they have family policies (such as adoption, maternity, </w:t>
      </w:r>
      <w:proofErr w:type="gramStart"/>
      <w:r w:rsidRPr="00101F26">
        <w:rPr>
          <w:rFonts w:ascii="Segoe UI" w:hAnsi="Segoe UI" w:cs="Segoe UI"/>
        </w:rPr>
        <w:t>paternity</w:t>
      </w:r>
      <w:proofErr w:type="gramEnd"/>
      <w:r w:rsidRPr="00101F26">
        <w:rPr>
          <w:rFonts w:ascii="Segoe UI" w:hAnsi="Segoe UI" w:cs="Segoe UI"/>
        </w:rPr>
        <w:t xml:space="preserve"> and shared parental leave policies) that apply equally to LGBT workers</w:t>
      </w:r>
      <w:r>
        <w:rPr>
          <w:rStyle w:val="FootnoteReference"/>
          <w:rFonts w:ascii="Segoe UI" w:hAnsi="Segoe UI" w:cs="Segoe UI"/>
        </w:rPr>
        <w:footnoteReference w:id="40"/>
      </w:r>
      <w:r w:rsidRPr="00101F26">
        <w:rPr>
          <w:rFonts w:ascii="Segoe UI" w:hAnsi="Segoe UI" w:cs="Segoe UI"/>
        </w:rPr>
        <w:t>.  </w:t>
      </w:r>
    </w:p>
    <w:p w14:paraId="717C302B" w14:textId="77777777" w:rsidR="00D32B17" w:rsidRDefault="00D32B17" w:rsidP="00CA5A60">
      <w:pPr>
        <w:rPr>
          <w:rFonts w:eastAsia="Avenir Next" w:cstheme="minorHAnsi"/>
          <w:sz w:val="24"/>
          <w:szCs w:val="24"/>
        </w:rPr>
      </w:pPr>
    </w:p>
    <w:p w14:paraId="238AE44E" w14:textId="77777777" w:rsidR="00CA5A60" w:rsidRPr="00CA5A60" w:rsidRDefault="00CA5A60" w:rsidP="00CA5A60">
      <w:pPr>
        <w:rPr>
          <w:rFonts w:cstheme="minorHAnsi"/>
        </w:rPr>
      </w:pPr>
    </w:p>
    <w:p w14:paraId="576173FB" w14:textId="28E0C60E" w:rsidR="00CA5A60" w:rsidRDefault="00CA5A60" w:rsidP="00CA5A60"/>
    <w:p w14:paraId="56A204E4" w14:textId="77777777" w:rsidR="00CA5A60" w:rsidRPr="00CA5A60" w:rsidRDefault="00CA5A60" w:rsidP="00CA5A60"/>
    <w:sectPr w:rsidR="00CA5A60" w:rsidRPr="00CA5A60" w:rsidSect="00CE4C8B">
      <w:pgSz w:w="11906" w:h="16838" w:code="9"/>
      <w:pgMar w:top="2041" w:right="1701" w:bottom="1701"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AF544A" w14:textId="77777777" w:rsidR="001F27F1" w:rsidRDefault="001F27F1" w:rsidP="00D7635A">
      <w:r>
        <w:separator/>
      </w:r>
    </w:p>
  </w:endnote>
  <w:endnote w:type="continuationSeparator" w:id="0">
    <w:p w14:paraId="69EB7D1A" w14:textId="77777777" w:rsidR="001F27F1" w:rsidRDefault="001F27F1" w:rsidP="00D763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686ED3E1-AF94-42E4-8C01-400F31D2A5B0}"/>
    <w:embedBold r:id="rId2" w:fontKey="{8196BAFF-C1B2-45F0-B98E-308E8B352F5F}"/>
    <w:embedItalic r:id="rId3" w:fontKey="{35EAB0B3-076C-47DC-82A7-15C39250E45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ckwell">
    <w:panose1 w:val="02060603020205020403"/>
    <w:charset w:val="00"/>
    <w:family w:val="roman"/>
    <w:pitch w:val="variable"/>
    <w:sig w:usb0="00000003" w:usb1="00000000" w:usb2="00000000" w:usb3="00000000" w:csb0="00000001" w:csb1="00000000"/>
    <w:embedRegular r:id="rId4" w:fontKey="{4C3ABECB-270C-4F9F-8930-7291A2E9EED0}"/>
    <w:embedBold r:id="rId5" w:fontKey="{E7D50840-1732-4F11-BC29-9939B3A7FB42}"/>
    <w:embedItalic r:id="rId6" w:fontKey="{B76657A4-614E-4B23-8E32-3C27DCC7FE0E}"/>
  </w:font>
  <w:font w:name="Avenir Next">
    <w:altName w:val="Calibri"/>
    <w:charset w:val="00"/>
    <w:family w:val="swiss"/>
    <w:pitch w:val="variable"/>
    <w:sig w:usb0="8000002F" w:usb1="5000204A" w:usb2="00000000" w:usb3="00000000" w:csb0="0000009B" w:csb1="00000000"/>
  </w:font>
  <w:font w:name="Calibri">
    <w:panose1 w:val="020F0502020204030204"/>
    <w:charset w:val="00"/>
    <w:family w:val="swiss"/>
    <w:pitch w:val="variable"/>
    <w:sig w:usb0="E4002EFF" w:usb1="C000247B" w:usb2="00000009" w:usb3="00000000" w:csb0="000001FF" w:csb1="00000000"/>
    <w:embedRegular r:id="rId7" w:fontKey="{64090A2A-EEBD-4B58-8B92-8951B8BCA5F5}"/>
    <w:embedItalic r:id="rId8" w:fontKey="{350071F0-E387-4D8A-A931-E9B6ECEE44AE}"/>
  </w:font>
  <w:font w:name="Roboto">
    <w:charset w:val="00"/>
    <w:family w:val="auto"/>
    <w:pitch w:val="variable"/>
    <w:sig w:usb0="E0000AFF" w:usb1="5000217F" w:usb2="00000021" w:usb3="00000000" w:csb0="0000019F" w:csb1="00000000"/>
    <w:embedRegular r:id="rId9" w:fontKey="{B59651D5-A466-462A-9709-927618365DC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594E9" w14:textId="77777777" w:rsidR="00F531C6" w:rsidRPr="004E0F24" w:rsidRDefault="00F531C6" w:rsidP="004E0F24">
    <w:pPr>
      <w:pStyle w:val="Footer"/>
    </w:pPr>
    <w:r w:rsidRPr="004E0F24">
      <w:fldChar w:fldCharType="begin"/>
    </w:r>
    <w:r w:rsidRPr="004E0F24">
      <w:instrText xml:space="preserve"> PAGE   \* MERGEFORMAT </w:instrText>
    </w:r>
    <w:r w:rsidRPr="004E0F24">
      <w:fldChar w:fldCharType="separate"/>
    </w:r>
    <w:r w:rsidRPr="004E0F24">
      <w:t>1</w:t>
    </w:r>
    <w:r w:rsidRPr="004E0F24">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A2091" w14:textId="77777777" w:rsidR="00F531C6" w:rsidRDefault="00F531C6">
    <w:pPr>
      <w:pStyle w:val="Footer"/>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9BD54C" w14:textId="77777777" w:rsidR="001F27F1" w:rsidRDefault="001F27F1" w:rsidP="00D7635A">
      <w:r>
        <w:separator/>
      </w:r>
    </w:p>
  </w:footnote>
  <w:footnote w:type="continuationSeparator" w:id="0">
    <w:p w14:paraId="6581D6E2" w14:textId="77777777" w:rsidR="001F27F1" w:rsidRDefault="001F27F1" w:rsidP="00D7635A">
      <w:r>
        <w:continuationSeparator/>
      </w:r>
    </w:p>
  </w:footnote>
  <w:footnote w:id="1">
    <w:p w14:paraId="007F95AA" w14:textId="3731CF97" w:rsidR="00AE5989" w:rsidRDefault="00AE5989">
      <w:pPr>
        <w:pStyle w:val="FootnoteText"/>
      </w:pPr>
      <w:r>
        <w:rPr>
          <w:rStyle w:val="FootnoteReference"/>
        </w:rPr>
        <w:footnoteRef/>
      </w:r>
      <w:r>
        <w:t xml:space="preserve"> </w:t>
      </w:r>
      <w:hyperlink r:id="rId1" w:history="1">
        <w:r w:rsidR="00300845" w:rsidRPr="004D3F46">
          <w:rPr>
            <w:rStyle w:val="Hyperlink"/>
            <w:sz w:val="18"/>
            <w:szCs w:val="18"/>
          </w:rPr>
          <w:t>https://www.tuc.org.uk/research-analysis/reports/tuc-submission-ilo-committee-experts</w:t>
        </w:r>
      </w:hyperlink>
      <w:r w:rsidR="00300845">
        <w:rPr>
          <w:sz w:val="18"/>
          <w:szCs w:val="18"/>
        </w:rPr>
        <w:t xml:space="preserve"> </w:t>
      </w:r>
    </w:p>
  </w:footnote>
  <w:footnote w:id="2">
    <w:p w14:paraId="5772427A" w14:textId="7F3DA178" w:rsidR="00CA5A60" w:rsidRPr="00CA5A60" w:rsidRDefault="00CA5A60">
      <w:pPr>
        <w:pStyle w:val="FootnoteText"/>
        <w:rPr>
          <w:sz w:val="18"/>
          <w:szCs w:val="18"/>
        </w:rPr>
      </w:pPr>
      <w:r>
        <w:rPr>
          <w:rStyle w:val="FootnoteReference"/>
        </w:rPr>
        <w:footnoteRef/>
      </w:r>
      <w:r>
        <w:t xml:space="preserve"> </w:t>
      </w:r>
      <w:proofErr w:type="spellStart"/>
      <w:r w:rsidRPr="00CA5A60">
        <w:rPr>
          <w:rFonts w:ascii="Calibri" w:eastAsia="Calibri" w:hAnsi="Calibri" w:cs="Calibri"/>
          <w:sz w:val="18"/>
          <w:szCs w:val="18"/>
        </w:rPr>
        <w:t>Shapps</w:t>
      </w:r>
      <w:proofErr w:type="spellEnd"/>
      <w:r w:rsidRPr="00CA5A60">
        <w:rPr>
          <w:rFonts w:ascii="Calibri" w:eastAsia="Calibri" w:hAnsi="Calibri" w:cs="Calibri"/>
          <w:sz w:val="18"/>
          <w:szCs w:val="18"/>
        </w:rPr>
        <w:t xml:space="preserve">, G. (26 July 2022). “My prescription for an end to rail strike chaos”, </w:t>
      </w:r>
      <w:r w:rsidRPr="00CA5A60">
        <w:rPr>
          <w:rFonts w:ascii="Calibri" w:eastAsia="Calibri" w:hAnsi="Calibri" w:cs="Calibri"/>
          <w:i/>
          <w:iCs/>
          <w:sz w:val="18"/>
          <w:szCs w:val="18"/>
        </w:rPr>
        <w:t>Daily Telegraph</w:t>
      </w:r>
      <w:r w:rsidRPr="00CA5A60">
        <w:rPr>
          <w:rFonts w:ascii="Calibri" w:eastAsia="Calibri" w:hAnsi="Calibri" w:cs="Calibri"/>
          <w:sz w:val="18"/>
          <w:szCs w:val="18"/>
        </w:rPr>
        <w:t xml:space="preserve">; Line, H. and Churchill, D. (25 July 2022). “Liz Truss vows to curb militant unions”, </w:t>
      </w:r>
      <w:r w:rsidRPr="00CA5A60">
        <w:rPr>
          <w:rFonts w:ascii="Calibri" w:eastAsia="Calibri" w:hAnsi="Calibri" w:cs="Calibri"/>
          <w:i/>
          <w:iCs/>
          <w:sz w:val="18"/>
          <w:szCs w:val="18"/>
        </w:rPr>
        <w:t xml:space="preserve">Daily Mail </w:t>
      </w:r>
      <w:hyperlink>
        <w:r w:rsidRPr="00CA5A60">
          <w:rPr>
            <w:rStyle w:val="Hyperlink"/>
            <w:rFonts w:ascii="Calibri" w:eastAsia="Calibri" w:hAnsi="Calibri" w:cs="Calibri"/>
            <w:sz w:val="18"/>
            <w:szCs w:val="18"/>
          </w:rPr>
          <w:t>www.dailymail.co.uk/news/article-11047743/Liz-Truss-vows-curb-militant-unions-Foreign-Secretary-unveils-plan-stop-strikers-crippling-UK.html</w:t>
        </w:r>
      </w:hyperlink>
    </w:p>
  </w:footnote>
  <w:footnote w:id="3">
    <w:p w14:paraId="4E7BD97B" w14:textId="3E827E0C" w:rsidR="00CA5A60" w:rsidRPr="00CA5A60" w:rsidRDefault="00CA5A60">
      <w:pPr>
        <w:pStyle w:val="FootnoteText"/>
        <w:rPr>
          <w:sz w:val="18"/>
          <w:szCs w:val="18"/>
        </w:rPr>
      </w:pPr>
      <w:r w:rsidRPr="00CA5A60">
        <w:rPr>
          <w:rStyle w:val="FootnoteReference"/>
          <w:sz w:val="18"/>
          <w:szCs w:val="18"/>
        </w:rPr>
        <w:footnoteRef/>
      </w:r>
      <w:r w:rsidRPr="00CA5A60">
        <w:rPr>
          <w:sz w:val="18"/>
          <w:szCs w:val="18"/>
        </w:rPr>
        <w:t xml:space="preserve"> </w:t>
      </w:r>
      <w:r w:rsidRPr="00CA5A60">
        <w:rPr>
          <w:rFonts w:ascii="Calibri" w:eastAsia="Calibri" w:hAnsi="Calibri" w:cs="Calibri"/>
          <w:sz w:val="18"/>
          <w:szCs w:val="18"/>
        </w:rPr>
        <w:t xml:space="preserve">Maddox, D. (26 July 2022) “Truss to pull rug from under unions and forge new emergency law within DAYS of becoming PM”. </w:t>
      </w:r>
      <w:r w:rsidRPr="00CA5A60">
        <w:rPr>
          <w:rFonts w:ascii="Calibri" w:eastAsia="Calibri" w:hAnsi="Calibri" w:cs="Calibri"/>
          <w:i/>
          <w:iCs/>
          <w:sz w:val="18"/>
          <w:szCs w:val="18"/>
        </w:rPr>
        <w:t>Daily Express</w:t>
      </w:r>
      <w:r w:rsidRPr="00CA5A60">
        <w:rPr>
          <w:rFonts w:ascii="Calibri" w:eastAsia="Calibri" w:hAnsi="Calibri" w:cs="Calibri"/>
          <w:sz w:val="18"/>
          <w:szCs w:val="18"/>
        </w:rPr>
        <w:t xml:space="preserve"> </w:t>
      </w:r>
      <w:hyperlink>
        <w:r w:rsidRPr="00CA5A60">
          <w:rPr>
            <w:rStyle w:val="Hyperlink"/>
            <w:rFonts w:ascii="Calibri" w:eastAsia="Calibri" w:hAnsi="Calibri" w:cs="Calibri"/>
            <w:sz w:val="18"/>
            <w:szCs w:val="18"/>
          </w:rPr>
          <w:t>www.express.co.uk/news/politics/1645697/Liz-Truss-Tory-leadership-strikes-RMT-emergency-law-RMT-update</w:t>
        </w:r>
      </w:hyperlink>
    </w:p>
  </w:footnote>
  <w:footnote w:id="4">
    <w:p w14:paraId="5FEDDC12" w14:textId="15630A03" w:rsidR="00CA5A60" w:rsidRDefault="00CA5A60">
      <w:pPr>
        <w:pStyle w:val="FootnoteText"/>
      </w:pPr>
      <w:r w:rsidRPr="00CA5A60">
        <w:rPr>
          <w:rStyle w:val="FootnoteReference"/>
          <w:sz w:val="18"/>
          <w:szCs w:val="18"/>
        </w:rPr>
        <w:footnoteRef/>
      </w:r>
      <w:r w:rsidRPr="00CA5A60">
        <w:rPr>
          <w:sz w:val="18"/>
          <w:szCs w:val="18"/>
        </w:rPr>
        <w:t xml:space="preserve"> </w:t>
      </w:r>
      <w:hyperlink r:id="rId2">
        <w:r w:rsidRPr="00CA5A60">
          <w:rPr>
            <w:rStyle w:val="Hyperlink"/>
            <w:rFonts w:ascii="Calibri" w:eastAsia="Calibri" w:hAnsi="Calibri" w:cs="Calibri"/>
            <w:sz w:val="18"/>
            <w:szCs w:val="18"/>
          </w:rPr>
          <w:t>https://www.theguardian.com/society/2022/dec/07/nhs-workers-could-be-banned-from-striking-no-10-suggests</w:t>
        </w:r>
      </w:hyperlink>
      <w:r w:rsidRPr="00CA5A60">
        <w:rPr>
          <w:rStyle w:val="Hyperlink"/>
          <w:rFonts w:ascii="Calibri" w:eastAsia="Calibri" w:hAnsi="Calibri" w:cs="Calibri"/>
          <w:sz w:val="18"/>
          <w:szCs w:val="18"/>
        </w:rPr>
        <w:t xml:space="preserve"> </w:t>
      </w:r>
    </w:p>
  </w:footnote>
  <w:footnote w:id="5">
    <w:p w14:paraId="054DA69B" w14:textId="77777777" w:rsidR="00D32B17" w:rsidRDefault="00D32B17" w:rsidP="00D32B17">
      <w:pPr>
        <w:pStyle w:val="FootnoteText"/>
      </w:pPr>
      <w:r>
        <w:rPr>
          <w:rStyle w:val="FootnoteReference"/>
        </w:rPr>
        <w:footnoteRef/>
      </w:r>
      <w:r>
        <w:t xml:space="preserve"> </w:t>
      </w:r>
      <w:hyperlink r:id="rId3" w:history="1">
        <w:r>
          <w:rPr>
            <w:rStyle w:val="Hyperlink"/>
          </w:rPr>
          <w:t>Sea-change in UK boardrooms as women make up nearly 40% of FTSE 100 top table roles - GOV.UK (www.gov.uk)</w:t>
        </w:r>
      </w:hyperlink>
    </w:p>
  </w:footnote>
  <w:footnote w:id="6">
    <w:p w14:paraId="0EFD448E" w14:textId="77777777" w:rsidR="00D32B17" w:rsidRPr="00D32B17" w:rsidRDefault="00D32B17" w:rsidP="00D32B17">
      <w:pPr>
        <w:pStyle w:val="FootnoteText"/>
        <w:rPr>
          <w:sz w:val="18"/>
          <w:szCs w:val="18"/>
        </w:rPr>
      </w:pPr>
      <w:r>
        <w:rPr>
          <w:rStyle w:val="FootnoteReference"/>
        </w:rPr>
        <w:footnoteRef/>
      </w:r>
      <w:r>
        <w:t xml:space="preserve"> </w:t>
      </w:r>
      <w:hyperlink r:id="rId4" w:history="1">
        <w:r w:rsidRPr="00D32B17">
          <w:rPr>
            <w:rStyle w:val="Hyperlink"/>
            <w:sz w:val="18"/>
            <w:szCs w:val="18"/>
          </w:rPr>
          <w:t>Jobs and pay monitor - disabled workers | TUC</w:t>
        </w:r>
      </w:hyperlink>
    </w:p>
  </w:footnote>
  <w:footnote w:id="7">
    <w:p w14:paraId="253BB090" w14:textId="77777777" w:rsidR="00D32B17" w:rsidRDefault="00D32B17" w:rsidP="00D32B17">
      <w:pPr>
        <w:pStyle w:val="FootnoteText"/>
      </w:pPr>
      <w:r w:rsidRPr="00D32B17">
        <w:rPr>
          <w:rStyle w:val="FootnoteReference"/>
          <w:sz w:val="18"/>
          <w:szCs w:val="18"/>
        </w:rPr>
        <w:footnoteRef/>
      </w:r>
      <w:r w:rsidRPr="00D32B17">
        <w:rPr>
          <w:sz w:val="18"/>
          <w:szCs w:val="18"/>
        </w:rPr>
        <w:t xml:space="preserve"> </w:t>
      </w:r>
      <w:hyperlink r:id="rId5" w:history="1">
        <w:r w:rsidRPr="00D32B17">
          <w:rPr>
            <w:rStyle w:val="Hyperlink"/>
            <w:sz w:val="18"/>
            <w:szCs w:val="18"/>
          </w:rPr>
          <w:t>BME unemployment rate over twice as high as white workers – with gap widening through pandemic | TUC</w:t>
        </w:r>
      </w:hyperlink>
    </w:p>
  </w:footnote>
  <w:footnote w:id="8">
    <w:p w14:paraId="7DF147E5" w14:textId="77777777" w:rsidR="00D32B17" w:rsidRPr="00D32B17" w:rsidRDefault="00D32B17" w:rsidP="00D32B17">
      <w:pPr>
        <w:pStyle w:val="FootnoteText"/>
        <w:rPr>
          <w:sz w:val="18"/>
          <w:szCs w:val="18"/>
        </w:rPr>
      </w:pPr>
      <w:r>
        <w:rPr>
          <w:rStyle w:val="FootnoteReference"/>
        </w:rPr>
        <w:footnoteRef/>
      </w:r>
      <w:r>
        <w:t xml:space="preserve"> </w:t>
      </w:r>
      <w:hyperlink r:id="rId6" w:history="1">
        <w:r w:rsidRPr="00D32B17">
          <w:rPr>
            <w:rStyle w:val="Hyperlink"/>
            <w:sz w:val="18"/>
            <w:szCs w:val="18"/>
          </w:rPr>
          <w:t>TUC: BME women twice as likely to be on zero-hours contracts as white men | TUC</w:t>
        </w:r>
      </w:hyperlink>
    </w:p>
  </w:footnote>
  <w:footnote w:id="9">
    <w:p w14:paraId="2C601640" w14:textId="77777777" w:rsidR="00D32B17" w:rsidRDefault="00D32B17" w:rsidP="00D32B17">
      <w:pPr>
        <w:pStyle w:val="FootnoteText"/>
      </w:pPr>
      <w:r w:rsidRPr="00D32B17">
        <w:rPr>
          <w:rStyle w:val="FootnoteReference"/>
          <w:sz w:val="18"/>
          <w:szCs w:val="18"/>
        </w:rPr>
        <w:footnoteRef/>
      </w:r>
      <w:r w:rsidRPr="00D32B17">
        <w:rPr>
          <w:sz w:val="18"/>
          <w:szCs w:val="18"/>
        </w:rPr>
        <w:t xml:space="preserve"> </w:t>
      </w:r>
      <w:hyperlink r:id="rId7" w:history="1">
        <w:r w:rsidRPr="00D32B17">
          <w:rPr>
            <w:rStyle w:val="Hyperlink"/>
            <w:sz w:val="18"/>
            <w:szCs w:val="18"/>
          </w:rPr>
          <w:t>TUC: Under 21s face £2.5 billion minimum wage “pay penalty” for being young workers | TUC</w:t>
        </w:r>
      </w:hyperlink>
    </w:p>
  </w:footnote>
  <w:footnote w:id="10">
    <w:p w14:paraId="7D426B0A" w14:textId="77777777" w:rsidR="00D32B17" w:rsidRPr="00D32B17" w:rsidRDefault="00D32B17" w:rsidP="00D32B17">
      <w:pPr>
        <w:pStyle w:val="FootnoteText"/>
        <w:rPr>
          <w:sz w:val="18"/>
          <w:szCs w:val="18"/>
        </w:rPr>
      </w:pPr>
      <w:r>
        <w:rPr>
          <w:rStyle w:val="FootnoteReference"/>
        </w:rPr>
        <w:footnoteRef/>
      </w:r>
      <w:r>
        <w:t xml:space="preserve"> </w:t>
      </w:r>
      <w:hyperlink r:id="rId8" w:history="1">
        <w:r w:rsidRPr="00D32B17">
          <w:rPr>
            <w:rStyle w:val="Hyperlink"/>
            <w:sz w:val="18"/>
            <w:szCs w:val="18"/>
          </w:rPr>
          <w:t>2022 is the worst year for real wage growth in nearly half a century | TUC</w:t>
        </w:r>
      </w:hyperlink>
    </w:p>
  </w:footnote>
  <w:footnote w:id="11">
    <w:p w14:paraId="5C32A1CD" w14:textId="03D22501" w:rsidR="00D32B17" w:rsidRPr="00D32B17" w:rsidRDefault="00D32B17">
      <w:pPr>
        <w:pStyle w:val="FootnoteText"/>
        <w:rPr>
          <w:sz w:val="18"/>
          <w:szCs w:val="18"/>
        </w:rPr>
      </w:pPr>
      <w:r w:rsidRPr="00D32B17">
        <w:rPr>
          <w:rStyle w:val="FootnoteReference"/>
          <w:sz w:val="18"/>
          <w:szCs w:val="18"/>
        </w:rPr>
        <w:footnoteRef/>
      </w:r>
      <w:r w:rsidRPr="00D32B17">
        <w:rPr>
          <w:sz w:val="18"/>
          <w:szCs w:val="18"/>
        </w:rPr>
        <w:t xml:space="preserve"> </w:t>
      </w:r>
      <w:hyperlink r:id="rId9" w:history="1">
        <w:r w:rsidRPr="00D32B17">
          <w:rPr>
            <w:rStyle w:val="Hyperlink"/>
            <w:sz w:val="18"/>
            <w:szCs w:val="18"/>
          </w:rPr>
          <w:t>https://www.business-humanrights.org/en/latest-news/uk-study-finds-over-half-of-leicester-garment-workers-face-continued-labour-violations-two-years-after-pandemic-revelations-on-working-conditions-incl-below-minimum-wage-pay/</w:t>
        </w:r>
      </w:hyperlink>
    </w:p>
  </w:footnote>
  <w:footnote w:id="12">
    <w:p w14:paraId="78115E02" w14:textId="77777777" w:rsidR="00D32B17" w:rsidRDefault="00D32B17" w:rsidP="00D32B17">
      <w:pPr>
        <w:pStyle w:val="FootnoteText"/>
      </w:pPr>
      <w:r w:rsidRPr="00D32B17">
        <w:rPr>
          <w:rStyle w:val="FootnoteReference"/>
          <w:sz w:val="18"/>
          <w:szCs w:val="18"/>
        </w:rPr>
        <w:footnoteRef/>
      </w:r>
      <w:r w:rsidRPr="00D32B17">
        <w:rPr>
          <w:sz w:val="18"/>
          <w:szCs w:val="18"/>
        </w:rPr>
        <w:t xml:space="preserve"> </w:t>
      </w:r>
      <w:hyperlink r:id="rId10" w:history="1">
        <w:r w:rsidRPr="00D32B17">
          <w:rPr>
            <w:rStyle w:val="Hyperlink"/>
            <w:sz w:val="18"/>
            <w:szCs w:val="18"/>
          </w:rPr>
          <w:t xml:space="preserve">Only good, well-paid work is a route out of </w:t>
        </w:r>
        <w:proofErr w:type="gramStart"/>
        <w:r w:rsidRPr="00D32B17">
          <w:rPr>
            <w:rStyle w:val="Hyperlink"/>
            <w:sz w:val="18"/>
            <w:szCs w:val="18"/>
          </w:rPr>
          <w:t>poverty  |</w:t>
        </w:r>
        <w:proofErr w:type="gramEnd"/>
        <w:r w:rsidRPr="00D32B17">
          <w:rPr>
            <w:rStyle w:val="Hyperlink"/>
            <w:sz w:val="18"/>
            <w:szCs w:val="18"/>
          </w:rPr>
          <w:t xml:space="preserve"> TUC</w:t>
        </w:r>
      </w:hyperlink>
    </w:p>
  </w:footnote>
  <w:footnote w:id="13">
    <w:p w14:paraId="4D506AD6" w14:textId="77777777" w:rsidR="00D32B17" w:rsidRPr="00D32B17" w:rsidRDefault="00D32B17" w:rsidP="00D32B17">
      <w:pPr>
        <w:pStyle w:val="FootnoteText"/>
        <w:rPr>
          <w:sz w:val="18"/>
          <w:szCs w:val="18"/>
        </w:rPr>
      </w:pPr>
      <w:r>
        <w:rPr>
          <w:rStyle w:val="FootnoteReference"/>
        </w:rPr>
        <w:footnoteRef/>
      </w:r>
      <w:r>
        <w:t xml:space="preserve"> </w:t>
      </w:r>
      <w:hyperlink r:id="rId11" w:history="1">
        <w:r w:rsidRPr="00D32B17">
          <w:rPr>
            <w:rStyle w:val="Hyperlink"/>
            <w:sz w:val="18"/>
            <w:szCs w:val="18"/>
          </w:rPr>
          <w:t>Ofsted Annual Report: Pandemic recovery slowed by workforce crisis in children’s education and care - GOV.UK (www.gov.uk)</w:t>
        </w:r>
      </w:hyperlink>
    </w:p>
  </w:footnote>
  <w:footnote w:id="14">
    <w:p w14:paraId="211F742D" w14:textId="77777777" w:rsidR="00D32B17" w:rsidRPr="00D32B17" w:rsidRDefault="00D32B17" w:rsidP="00D32B17">
      <w:pPr>
        <w:pStyle w:val="FootnoteText"/>
        <w:rPr>
          <w:sz w:val="18"/>
          <w:szCs w:val="18"/>
        </w:rPr>
      </w:pPr>
      <w:r w:rsidRPr="00D32B17">
        <w:rPr>
          <w:rStyle w:val="FootnoteReference"/>
          <w:sz w:val="18"/>
          <w:szCs w:val="18"/>
        </w:rPr>
        <w:footnoteRef/>
      </w:r>
      <w:r w:rsidRPr="00D32B17">
        <w:rPr>
          <w:sz w:val="18"/>
          <w:szCs w:val="18"/>
        </w:rPr>
        <w:t xml:space="preserve"> </w:t>
      </w:r>
      <w:hyperlink r:id="rId12" w:history="1">
        <w:r w:rsidRPr="00D32B17">
          <w:rPr>
            <w:rStyle w:val="Hyperlink"/>
            <w:sz w:val="18"/>
            <w:szCs w:val="18"/>
          </w:rPr>
          <w:t>A new deal for the childcare sector | TUC</w:t>
        </w:r>
      </w:hyperlink>
    </w:p>
  </w:footnote>
  <w:footnote w:id="15">
    <w:p w14:paraId="4EB8B36B" w14:textId="77777777" w:rsidR="00D32B17" w:rsidRPr="00D32B17" w:rsidRDefault="00D32B17" w:rsidP="00D32B17">
      <w:pPr>
        <w:pStyle w:val="FootnoteText"/>
        <w:rPr>
          <w:sz w:val="18"/>
          <w:szCs w:val="18"/>
        </w:rPr>
      </w:pPr>
      <w:r w:rsidRPr="00D32B17">
        <w:rPr>
          <w:rStyle w:val="FootnoteReference"/>
          <w:sz w:val="18"/>
          <w:szCs w:val="18"/>
        </w:rPr>
        <w:footnoteRef/>
      </w:r>
      <w:r w:rsidRPr="00D32B17">
        <w:rPr>
          <w:sz w:val="18"/>
          <w:szCs w:val="18"/>
        </w:rPr>
        <w:t xml:space="preserve"> Ibid</w:t>
      </w:r>
    </w:p>
  </w:footnote>
  <w:footnote w:id="16">
    <w:p w14:paraId="1EC7FE3E" w14:textId="77777777" w:rsidR="00D32B17" w:rsidRPr="00D32B17" w:rsidRDefault="00D32B17" w:rsidP="00D32B17">
      <w:pPr>
        <w:pStyle w:val="FootnoteText"/>
        <w:rPr>
          <w:sz w:val="18"/>
          <w:szCs w:val="18"/>
        </w:rPr>
      </w:pPr>
      <w:r w:rsidRPr="00D32B17">
        <w:rPr>
          <w:rStyle w:val="FootnoteReference"/>
          <w:sz w:val="18"/>
          <w:szCs w:val="18"/>
        </w:rPr>
        <w:footnoteRef/>
      </w:r>
      <w:r w:rsidRPr="00D32B17">
        <w:rPr>
          <w:sz w:val="18"/>
          <w:szCs w:val="18"/>
        </w:rPr>
        <w:t xml:space="preserve"> </w:t>
      </w:r>
      <w:hyperlink r:id="rId13" w:history="1">
        <w:r w:rsidRPr="00D32B17">
          <w:rPr>
            <w:rStyle w:val="Hyperlink"/>
            <w:sz w:val="18"/>
            <w:szCs w:val="18"/>
          </w:rPr>
          <w:t>TUC calls for overhaul of shared parental leave | TUC</w:t>
        </w:r>
      </w:hyperlink>
    </w:p>
  </w:footnote>
  <w:footnote w:id="17">
    <w:p w14:paraId="7971595A" w14:textId="77777777" w:rsidR="00D32B17" w:rsidRPr="00D32B17" w:rsidRDefault="00D32B17" w:rsidP="00D32B17">
      <w:pPr>
        <w:pStyle w:val="FootnoteText"/>
        <w:rPr>
          <w:sz w:val="18"/>
          <w:szCs w:val="18"/>
        </w:rPr>
      </w:pPr>
      <w:r w:rsidRPr="00D32B17">
        <w:rPr>
          <w:rStyle w:val="FootnoteReference"/>
          <w:sz w:val="18"/>
          <w:szCs w:val="18"/>
        </w:rPr>
        <w:footnoteRef/>
      </w:r>
      <w:r w:rsidRPr="00D32B17">
        <w:rPr>
          <w:sz w:val="18"/>
          <w:szCs w:val="18"/>
        </w:rPr>
        <w:t xml:space="preserve"> </w:t>
      </w:r>
      <w:hyperlink r:id="rId14" w:history="1">
        <w:r w:rsidRPr="00D32B17">
          <w:rPr>
            <w:rStyle w:val="Hyperlink"/>
            <w:sz w:val="18"/>
            <w:szCs w:val="18"/>
          </w:rPr>
          <w:t>Shared-Parental-Leave-briefing-May-2021.pdf (maternityaction.org.uk)</w:t>
        </w:r>
      </w:hyperlink>
    </w:p>
  </w:footnote>
  <w:footnote w:id="18">
    <w:p w14:paraId="0C7DC0D1" w14:textId="77777777" w:rsidR="00D32B17" w:rsidRDefault="00D32B17" w:rsidP="00D32B17">
      <w:pPr>
        <w:pStyle w:val="FootnoteText"/>
      </w:pPr>
      <w:r w:rsidRPr="00D32B17">
        <w:rPr>
          <w:rStyle w:val="FootnoteReference"/>
          <w:sz w:val="18"/>
          <w:szCs w:val="18"/>
        </w:rPr>
        <w:footnoteRef/>
      </w:r>
      <w:r w:rsidRPr="00D32B17">
        <w:rPr>
          <w:sz w:val="18"/>
          <w:szCs w:val="18"/>
        </w:rPr>
        <w:t xml:space="preserve"> </w:t>
      </w:r>
      <w:hyperlink r:id="rId15" w:history="1">
        <w:r w:rsidRPr="00D32B17">
          <w:rPr>
            <w:rStyle w:val="Hyperlink"/>
            <w:sz w:val="18"/>
            <w:szCs w:val="18"/>
          </w:rPr>
          <w:t>Good Work Plan: Proposals to better support families | TUC</w:t>
        </w:r>
      </w:hyperlink>
    </w:p>
  </w:footnote>
  <w:footnote w:id="19">
    <w:p w14:paraId="4F5AD3CA" w14:textId="77777777" w:rsidR="00D32B17" w:rsidRPr="00D32B17" w:rsidRDefault="00D32B17" w:rsidP="00D32B17">
      <w:pPr>
        <w:pStyle w:val="FootnoteText"/>
        <w:rPr>
          <w:sz w:val="18"/>
          <w:szCs w:val="18"/>
        </w:rPr>
      </w:pPr>
      <w:r>
        <w:rPr>
          <w:rStyle w:val="FootnoteReference"/>
        </w:rPr>
        <w:footnoteRef/>
      </w:r>
      <w:r>
        <w:t xml:space="preserve"> </w:t>
      </w:r>
      <w:hyperlink r:id="rId16" w:history="1">
        <w:r w:rsidRPr="00D32B17">
          <w:rPr>
            <w:rStyle w:val="Hyperlink"/>
            <w:sz w:val="18"/>
            <w:szCs w:val="18"/>
          </w:rPr>
          <w:t>The Domestic Abuse Report - Women’s Aid (womensaid.org.uk)</w:t>
        </w:r>
      </w:hyperlink>
    </w:p>
  </w:footnote>
  <w:footnote w:id="20">
    <w:p w14:paraId="6A7BB942" w14:textId="77777777" w:rsidR="00D32B17" w:rsidRPr="00D32B17" w:rsidRDefault="00D32B17" w:rsidP="00D32B17">
      <w:pPr>
        <w:pStyle w:val="FootnoteText"/>
        <w:rPr>
          <w:sz w:val="18"/>
          <w:szCs w:val="18"/>
        </w:rPr>
      </w:pPr>
      <w:r w:rsidRPr="00D32B17">
        <w:rPr>
          <w:rStyle w:val="FootnoteReference"/>
          <w:sz w:val="18"/>
          <w:szCs w:val="18"/>
        </w:rPr>
        <w:footnoteRef/>
      </w:r>
      <w:r w:rsidRPr="00D32B17">
        <w:rPr>
          <w:sz w:val="18"/>
          <w:szCs w:val="18"/>
        </w:rPr>
        <w:t xml:space="preserve"> </w:t>
      </w:r>
      <w:hyperlink r:id="rId17" w:history="1">
        <w:r w:rsidRPr="00D32B17">
          <w:rPr>
            <w:rStyle w:val="Hyperlink"/>
            <w:sz w:val="18"/>
            <w:szCs w:val="18"/>
          </w:rPr>
          <w:t xml:space="preserve">Dominic </w:t>
        </w:r>
        <w:proofErr w:type="spellStart"/>
        <w:r w:rsidRPr="00D32B17">
          <w:rPr>
            <w:rStyle w:val="Hyperlink"/>
            <w:sz w:val="18"/>
            <w:szCs w:val="18"/>
          </w:rPr>
          <w:t>Raab</w:t>
        </w:r>
        <w:proofErr w:type="spellEnd"/>
        <w:r w:rsidRPr="00D32B17">
          <w:rPr>
            <w:rStyle w:val="Hyperlink"/>
            <w:sz w:val="18"/>
            <w:szCs w:val="18"/>
          </w:rPr>
          <w:t xml:space="preserve"> blocked victims’ commissioner’s reappointment | Dominic </w:t>
        </w:r>
        <w:proofErr w:type="spellStart"/>
        <w:r w:rsidRPr="00D32B17">
          <w:rPr>
            <w:rStyle w:val="Hyperlink"/>
            <w:sz w:val="18"/>
            <w:szCs w:val="18"/>
          </w:rPr>
          <w:t>Raab</w:t>
        </w:r>
        <w:proofErr w:type="spellEnd"/>
        <w:r w:rsidRPr="00D32B17">
          <w:rPr>
            <w:rStyle w:val="Hyperlink"/>
            <w:sz w:val="18"/>
            <w:szCs w:val="18"/>
          </w:rPr>
          <w:t xml:space="preserve"> | The Guardian</w:t>
        </w:r>
      </w:hyperlink>
    </w:p>
  </w:footnote>
  <w:footnote w:id="21">
    <w:p w14:paraId="277F00C1" w14:textId="77777777" w:rsidR="00D32B17" w:rsidRDefault="00D32B17" w:rsidP="00D32B17">
      <w:pPr>
        <w:pStyle w:val="FootnoteText"/>
      </w:pPr>
      <w:r w:rsidRPr="00D32B17">
        <w:rPr>
          <w:rStyle w:val="FootnoteReference"/>
          <w:sz w:val="18"/>
          <w:szCs w:val="18"/>
        </w:rPr>
        <w:footnoteRef/>
      </w:r>
      <w:r w:rsidRPr="00D32B17">
        <w:rPr>
          <w:sz w:val="18"/>
          <w:szCs w:val="18"/>
        </w:rPr>
        <w:t xml:space="preserve"> </w:t>
      </w:r>
      <w:hyperlink r:id="rId18" w:history="1">
        <w:r w:rsidRPr="00D32B17">
          <w:rPr>
            <w:rStyle w:val="Hyperlink"/>
            <w:sz w:val="18"/>
            <w:szCs w:val="18"/>
          </w:rPr>
          <w:t>To recovery properly from this crisis, the government must ensure people have enough to live on | TUC</w:t>
        </w:r>
      </w:hyperlink>
    </w:p>
  </w:footnote>
  <w:footnote w:id="22">
    <w:p w14:paraId="4E4CB58B" w14:textId="77777777" w:rsidR="00D32B17" w:rsidRPr="00D32B17" w:rsidRDefault="00D32B17" w:rsidP="00D32B17">
      <w:pPr>
        <w:pStyle w:val="FootnoteText"/>
        <w:rPr>
          <w:sz w:val="18"/>
          <w:szCs w:val="18"/>
        </w:rPr>
      </w:pPr>
      <w:r>
        <w:rPr>
          <w:rStyle w:val="FootnoteReference"/>
        </w:rPr>
        <w:footnoteRef/>
      </w:r>
      <w:r>
        <w:t xml:space="preserve"> </w:t>
      </w:r>
      <w:r w:rsidRPr="00D32B17">
        <w:rPr>
          <w:sz w:val="18"/>
          <w:szCs w:val="18"/>
        </w:rPr>
        <w:t>Ibid</w:t>
      </w:r>
    </w:p>
  </w:footnote>
  <w:footnote w:id="23">
    <w:p w14:paraId="6FDD6FA2" w14:textId="77777777" w:rsidR="00D32B17" w:rsidRPr="00D32B17" w:rsidRDefault="00D32B17" w:rsidP="00D32B17">
      <w:pPr>
        <w:pStyle w:val="FootnoteText"/>
        <w:rPr>
          <w:sz w:val="18"/>
          <w:szCs w:val="18"/>
        </w:rPr>
      </w:pPr>
      <w:r w:rsidRPr="00D32B17">
        <w:rPr>
          <w:rStyle w:val="FootnoteReference"/>
          <w:sz w:val="18"/>
          <w:szCs w:val="18"/>
        </w:rPr>
        <w:footnoteRef/>
      </w:r>
      <w:r w:rsidRPr="00D32B17">
        <w:rPr>
          <w:sz w:val="18"/>
          <w:szCs w:val="18"/>
        </w:rPr>
        <w:t xml:space="preserve"> Ibid</w:t>
      </w:r>
    </w:p>
  </w:footnote>
  <w:footnote w:id="24">
    <w:p w14:paraId="1D108766" w14:textId="77777777" w:rsidR="00D32B17" w:rsidRPr="00D32B17" w:rsidRDefault="00D32B17" w:rsidP="00D32B17">
      <w:pPr>
        <w:pStyle w:val="FootnoteText"/>
        <w:rPr>
          <w:sz w:val="18"/>
          <w:szCs w:val="18"/>
        </w:rPr>
      </w:pPr>
      <w:r w:rsidRPr="00D32B17">
        <w:rPr>
          <w:rStyle w:val="FootnoteReference"/>
          <w:sz w:val="18"/>
          <w:szCs w:val="18"/>
        </w:rPr>
        <w:footnoteRef/>
      </w:r>
      <w:r w:rsidRPr="00D32B17">
        <w:rPr>
          <w:sz w:val="18"/>
          <w:szCs w:val="18"/>
        </w:rPr>
        <w:t xml:space="preserve"> </w:t>
      </w:r>
      <w:hyperlink r:id="rId19" w:history="1">
        <w:r w:rsidRPr="00D32B17">
          <w:rPr>
            <w:rStyle w:val="Hyperlink"/>
            <w:sz w:val="18"/>
            <w:szCs w:val="18"/>
          </w:rPr>
          <w:t>1 in 7 skipping meals and going without food – TUC mega poll reveals | TUC</w:t>
        </w:r>
      </w:hyperlink>
    </w:p>
  </w:footnote>
  <w:footnote w:id="25">
    <w:p w14:paraId="1E271D1D" w14:textId="77777777" w:rsidR="00D32B17" w:rsidRPr="00D32B17" w:rsidRDefault="00D32B17" w:rsidP="00D32B17">
      <w:pPr>
        <w:pStyle w:val="FootnoteText"/>
        <w:rPr>
          <w:sz w:val="18"/>
          <w:szCs w:val="18"/>
        </w:rPr>
      </w:pPr>
      <w:r w:rsidRPr="00D32B17">
        <w:rPr>
          <w:rStyle w:val="FootnoteReference"/>
          <w:sz w:val="18"/>
          <w:szCs w:val="18"/>
        </w:rPr>
        <w:footnoteRef/>
      </w:r>
      <w:r w:rsidRPr="00D32B17">
        <w:rPr>
          <w:sz w:val="18"/>
          <w:szCs w:val="18"/>
        </w:rPr>
        <w:t xml:space="preserve"> </w:t>
      </w:r>
      <w:hyperlink r:id="rId20" w:history="1">
        <w:r w:rsidRPr="00D32B17">
          <w:rPr>
            <w:rStyle w:val="Hyperlink"/>
            <w:sz w:val="18"/>
            <w:szCs w:val="18"/>
          </w:rPr>
          <w:t>1 in 4 children with care worker parents are growing up in poverty | TUC</w:t>
        </w:r>
      </w:hyperlink>
    </w:p>
  </w:footnote>
  <w:footnote w:id="26">
    <w:p w14:paraId="5D9498D5" w14:textId="77777777" w:rsidR="00D32B17" w:rsidRPr="00D32B17" w:rsidRDefault="00D32B17" w:rsidP="00D32B17">
      <w:pPr>
        <w:pStyle w:val="FootnoteText"/>
        <w:rPr>
          <w:sz w:val="18"/>
          <w:szCs w:val="18"/>
        </w:rPr>
      </w:pPr>
      <w:r w:rsidRPr="00D32B17">
        <w:rPr>
          <w:rStyle w:val="FootnoteReference"/>
          <w:sz w:val="18"/>
          <w:szCs w:val="18"/>
        </w:rPr>
        <w:footnoteRef/>
      </w:r>
      <w:r w:rsidRPr="00D32B17">
        <w:rPr>
          <w:sz w:val="18"/>
          <w:szCs w:val="18"/>
        </w:rPr>
        <w:t xml:space="preserve"> </w:t>
      </w:r>
      <w:hyperlink r:id="rId21" w:history="1">
        <w:proofErr w:type="spellStart"/>
        <w:r w:rsidRPr="00D32B17">
          <w:rPr>
            <w:rStyle w:val="Hyperlink"/>
            <w:sz w:val="18"/>
            <w:szCs w:val="18"/>
          </w:rPr>
          <w:t>Mid Year</w:t>
        </w:r>
        <w:proofErr w:type="spellEnd"/>
        <w:r w:rsidRPr="00D32B17">
          <w:rPr>
            <w:rStyle w:val="Hyperlink"/>
            <w:sz w:val="18"/>
            <w:szCs w:val="18"/>
          </w:rPr>
          <w:t xml:space="preserve"> Stats - The Trussell Trust</w:t>
        </w:r>
      </w:hyperlink>
    </w:p>
  </w:footnote>
  <w:footnote w:id="27">
    <w:p w14:paraId="28B7FF2B" w14:textId="77777777" w:rsidR="00D32B17" w:rsidRPr="00D32B17" w:rsidRDefault="00D32B17" w:rsidP="00D32B17">
      <w:pPr>
        <w:pStyle w:val="FootnoteText"/>
        <w:rPr>
          <w:sz w:val="18"/>
          <w:szCs w:val="18"/>
        </w:rPr>
      </w:pPr>
      <w:r w:rsidRPr="00D32B17">
        <w:rPr>
          <w:rStyle w:val="FootnoteReference"/>
          <w:sz w:val="18"/>
          <w:szCs w:val="18"/>
        </w:rPr>
        <w:footnoteRef/>
      </w:r>
      <w:r w:rsidRPr="00D32B17">
        <w:rPr>
          <w:sz w:val="18"/>
          <w:szCs w:val="18"/>
        </w:rPr>
        <w:t xml:space="preserve"> </w:t>
      </w:r>
      <w:hyperlink r:id="rId22" w:history="1">
        <w:r w:rsidRPr="00D32B17">
          <w:rPr>
            <w:rStyle w:val="Hyperlink"/>
            <w:sz w:val="18"/>
            <w:szCs w:val="18"/>
          </w:rPr>
          <w:t>WhatPriceSafeMotherhoodFINAL.October-1.pdf (maternityaction.org.uk)</w:t>
        </w:r>
      </w:hyperlink>
    </w:p>
  </w:footnote>
  <w:footnote w:id="28">
    <w:p w14:paraId="35C4DBA7" w14:textId="77777777" w:rsidR="00D32B17" w:rsidRDefault="00D32B17" w:rsidP="00D32B17">
      <w:pPr>
        <w:pStyle w:val="FootnoteText"/>
      </w:pPr>
      <w:r w:rsidRPr="00D32B17">
        <w:rPr>
          <w:rStyle w:val="FootnoteReference"/>
          <w:sz w:val="18"/>
          <w:szCs w:val="18"/>
        </w:rPr>
        <w:footnoteRef/>
      </w:r>
      <w:r w:rsidRPr="00D32B17">
        <w:rPr>
          <w:sz w:val="18"/>
          <w:szCs w:val="18"/>
        </w:rPr>
        <w:t xml:space="preserve"> </w:t>
      </w:r>
      <w:hyperlink r:id="rId23" w:history="1">
        <w:r w:rsidRPr="00D32B17">
          <w:rPr>
            <w:rStyle w:val="Hyperlink"/>
            <w:sz w:val="18"/>
            <w:szCs w:val="18"/>
          </w:rPr>
          <w:t>Around 1 in 3 key workers in the public sector have taken steps to leave their profession or are actively considering it | TUC</w:t>
        </w:r>
      </w:hyperlink>
    </w:p>
  </w:footnote>
  <w:footnote w:id="29">
    <w:p w14:paraId="5C2B7700" w14:textId="77777777" w:rsidR="00D32B17" w:rsidRPr="00D32B17" w:rsidRDefault="00D32B17" w:rsidP="00D32B17">
      <w:pPr>
        <w:pStyle w:val="FootnoteText"/>
        <w:rPr>
          <w:sz w:val="18"/>
          <w:szCs w:val="18"/>
        </w:rPr>
      </w:pPr>
      <w:r>
        <w:rPr>
          <w:rStyle w:val="FootnoteReference"/>
        </w:rPr>
        <w:footnoteRef/>
      </w:r>
      <w:r>
        <w:t xml:space="preserve"> </w:t>
      </w:r>
      <w:hyperlink r:id="rId24" w:history="1">
        <w:r w:rsidRPr="00D32B17">
          <w:rPr>
            <w:rStyle w:val="Hyperlink"/>
            <w:sz w:val="18"/>
            <w:szCs w:val="18"/>
          </w:rPr>
          <w:t>A better normal | TUC</w:t>
        </w:r>
      </w:hyperlink>
    </w:p>
  </w:footnote>
  <w:footnote w:id="30">
    <w:p w14:paraId="0A8112F8" w14:textId="77777777" w:rsidR="00D32B17" w:rsidRPr="00D32B17" w:rsidRDefault="00D32B17" w:rsidP="00D32B17">
      <w:pPr>
        <w:pStyle w:val="FootnoteText"/>
        <w:rPr>
          <w:sz w:val="18"/>
          <w:szCs w:val="18"/>
        </w:rPr>
      </w:pPr>
      <w:r w:rsidRPr="00D32B17">
        <w:rPr>
          <w:rStyle w:val="FootnoteReference"/>
          <w:sz w:val="18"/>
          <w:szCs w:val="18"/>
        </w:rPr>
        <w:footnoteRef/>
      </w:r>
      <w:r w:rsidRPr="00D32B17">
        <w:rPr>
          <w:sz w:val="18"/>
          <w:szCs w:val="18"/>
        </w:rPr>
        <w:t xml:space="preserve"> </w:t>
      </w:r>
      <w:hyperlink r:id="rId25" w:history="1">
        <w:r w:rsidRPr="00D32B17">
          <w:rPr>
            <w:rStyle w:val="Hyperlink"/>
            <w:sz w:val="18"/>
            <w:szCs w:val="18"/>
          </w:rPr>
          <w:t>The NHS backlog: Who are the 7 million? - BBC News</w:t>
        </w:r>
      </w:hyperlink>
    </w:p>
  </w:footnote>
  <w:footnote w:id="31">
    <w:p w14:paraId="14C17103" w14:textId="77777777" w:rsidR="00D32B17" w:rsidRPr="00D32B17" w:rsidRDefault="00D32B17" w:rsidP="00D32B17">
      <w:pPr>
        <w:pStyle w:val="FootnoteText"/>
        <w:rPr>
          <w:sz w:val="18"/>
          <w:szCs w:val="18"/>
        </w:rPr>
      </w:pPr>
      <w:r w:rsidRPr="00D32B17">
        <w:rPr>
          <w:rStyle w:val="FootnoteReference"/>
          <w:sz w:val="18"/>
          <w:szCs w:val="18"/>
        </w:rPr>
        <w:footnoteRef/>
      </w:r>
      <w:r w:rsidRPr="00D32B17">
        <w:rPr>
          <w:sz w:val="18"/>
          <w:szCs w:val="18"/>
        </w:rPr>
        <w:t xml:space="preserve"> </w:t>
      </w:r>
      <w:hyperlink r:id="rId26" w:history="1">
        <w:r w:rsidRPr="00D32B17">
          <w:rPr>
            <w:rStyle w:val="Hyperlink"/>
            <w:sz w:val="18"/>
            <w:szCs w:val="18"/>
          </w:rPr>
          <w:t>Study finds 2.6 million aged 50+ have unmet need for social care (homecareinsight.co.uk)</w:t>
        </w:r>
      </w:hyperlink>
    </w:p>
  </w:footnote>
  <w:footnote w:id="32">
    <w:p w14:paraId="5C194D6A" w14:textId="77777777" w:rsidR="00D32B17" w:rsidRPr="00D32B17" w:rsidRDefault="00D32B17" w:rsidP="00D32B17">
      <w:pPr>
        <w:pStyle w:val="FootnoteText"/>
        <w:rPr>
          <w:sz w:val="18"/>
          <w:szCs w:val="18"/>
        </w:rPr>
      </w:pPr>
      <w:r w:rsidRPr="00D32B17">
        <w:rPr>
          <w:rStyle w:val="FootnoteReference"/>
          <w:sz w:val="18"/>
          <w:szCs w:val="18"/>
        </w:rPr>
        <w:footnoteRef/>
      </w:r>
      <w:r w:rsidRPr="00D32B17">
        <w:rPr>
          <w:sz w:val="18"/>
          <w:szCs w:val="18"/>
        </w:rPr>
        <w:t xml:space="preserve"> </w:t>
      </w:r>
      <w:hyperlink r:id="rId27" w:history="1">
        <w:r w:rsidRPr="00D32B17">
          <w:rPr>
            <w:rStyle w:val="Hyperlink"/>
            <w:sz w:val="18"/>
            <w:szCs w:val="18"/>
          </w:rPr>
          <w:t xml:space="preserve">Abortion services in Northern Ireland almost </w:t>
        </w:r>
        <w:proofErr w:type="spellStart"/>
        <w:r w:rsidRPr="00D32B17">
          <w:rPr>
            <w:rStyle w:val="Hyperlink"/>
            <w:sz w:val="18"/>
            <w:szCs w:val="18"/>
          </w:rPr>
          <w:t>nonexistent</w:t>
        </w:r>
        <w:proofErr w:type="spellEnd"/>
        <w:r w:rsidRPr="00D32B17">
          <w:rPr>
            <w:rStyle w:val="Hyperlink"/>
            <w:sz w:val="18"/>
            <w:szCs w:val="18"/>
          </w:rPr>
          <w:t xml:space="preserve"> despite legalisation | Abortion | The Guardian</w:t>
        </w:r>
      </w:hyperlink>
    </w:p>
  </w:footnote>
  <w:footnote w:id="33">
    <w:p w14:paraId="51BBC6BB" w14:textId="77777777" w:rsidR="00D32B17" w:rsidRPr="00D32B17" w:rsidRDefault="00D32B17" w:rsidP="00D32B17">
      <w:pPr>
        <w:pStyle w:val="FootnoteText"/>
        <w:rPr>
          <w:sz w:val="18"/>
          <w:szCs w:val="18"/>
        </w:rPr>
      </w:pPr>
      <w:r w:rsidRPr="00D32B17">
        <w:rPr>
          <w:rStyle w:val="FootnoteReference"/>
          <w:sz w:val="18"/>
          <w:szCs w:val="18"/>
        </w:rPr>
        <w:footnoteRef/>
      </w:r>
      <w:r w:rsidRPr="00D32B17">
        <w:rPr>
          <w:sz w:val="18"/>
          <w:szCs w:val="18"/>
        </w:rPr>
        <w:t xml:space="preserve"> </w:t>
      </w:r>
      <w:hyperlink r:id="rId28" w:history="1">
        <w:r w:rsidRPr="00D32B17">
          <w:rPr>
            <w:rStyle w:val="Hyperlink"/>
            <w:sz w:val="18"/>
            <w:szCs w:val="18"/>
          </w:rPr>
          <w:t>Abortion Rights » The Current Situation in the UK</w:t>
        </w:r>
      </w:hyperlink>
    </w:p>
  </w:footnote>
  <w:footnote w:id="34">
    <w:p w14:paraId="2BC3CB00" w14:textId="77777777" w:rsidR="00D32B17" w:rsidRPr="00D32B17" w:rsidRDefault="00D32B17" w:rsidP="00D32B17">
      <w:pPr>
        <w:pStyle w:val="FootnoteText"/>
        <w:rPr>
          <w:sz w:val="18"/>
          <w:szCs w:val="18"/>
        </w:rPr>
      </w:pPr>
      <w:r w:rsidRPr="00D32B17">
        <w:rPr>
          <w:rStyle w:val="FootnoteReference"/>
          <w:sz w:val="18"/>
          <w:szCs w:val="18"/>
        </w:rPr>
        <w:footnoteRef/>
      </w:r>
      <w:r w:rsidRPr="00D32B17">
        <w:rPr>
          <w:sz w:val="18"/>
          <w:szCs w:val="18"/>
        </w:rPr>
        <w:t xml:space="preserve"> </w:t>
      </w:r>
      <w:hyperlink r:id="rId29" w:history="1">
        <w:r w:rsidRPr="00D32B17">
          <w:rPr>
            <w:rStyle w:val="Hyperlink"/>
            <w:sz w:val="18"/>
            <w:szCs w:val="18"/>
          </w:rPr>
          <w:t xml:space="preserve">Think abortion is legal in Great Britain? Ask the two women currently facing life sentences | Charlotte </w:t>
        </w:r>
        <w:proofErr w:type="spellStart"/>
        <w:r w:rsidRPr="00D32B17">
          <w:rPr>
            <w:rStyle w:val="Hyperlink"/>
            <w:sz w:val="18"/>
            <w:szCs w:val="18"/>
          </w:rPr>
          <w:t>Proudman</w:t>
        </w:r>
        <w:proofErr w:type="spellEnd"/>
        <w:r w:rsidRPr="00D32B17">
          <w:rPr>
            <w:rStyle w:val="Hyperlink"/>
            <w:sz w:val="18"/>
            <w:szCs w:val="18"/>
          </w:rPr>
          <w:t xml:space="preserve"> | The Guardian</w:t>
        </w:r>
      </w:hyperlink>
    </w:p>
  </w:footnote>
  <w:footnote w:id="35">
    <w:p w14:paraId="114F9B64" w14:textId="77777777" w:rsidR="00D32B17" w:rsidRPr="00D32B17" w:rsidRDefault="00D32B17" w:rsidP="00D32B17">
      <w:pPr>
        <w:pStyle w:val="FootnoteText"/>
        <w:rPr>
          <w:sz w:val="18"/>
          <w:szCs w:val="18"/>
        </w:rPr>
      </w:pPr>
      <w:r w:rsidRPr="00D32B17">
        <w:rPr>
          <w:rStyle w:val="FootnoteReference"/>
          <w:sz w:val="18"/>
          <w:szCs w:val="18"/>
        </w:rPr>
        <w:footnoteRef/>
      </w:r>
      <w:r w:rsidRPr="00D32B17">
        <w:rPr>
          <w:sz w:val="18"/>
          <w:szCs w:val="18"/>
        </w:rPr>
        <w:t xml:space="preserve"> </w:t>
      </w:r>
      <w:hyperlink r:id="rId30" w:history="1">
        <w:r w:rsidRPr="00D32B17">
          <w:rPr>
            <w:rStyle w:val="Hyperlink"/>
            <w:sz w:val="18"/>
            <w:szCs w:val="18"/>
          </w:rPr>
          <w:t>https://www.thepinknews.com/2021/10/11/hate-crime-rise-transphobic-homophobic/</w:t>
        </w:r>
      </w:hyperlink>
      <w:r w:rsidRPr="00D32B17">
        <w:rPr>
          <w:sz w:val="18"/>
          <w:szCs w:val="18"/>
        </w:rPr>
        <w:t xml:space="preserve"> </w:t>
      </w:r>
    </w:p>
  </w:footnote>
  <w:footnote w:id="36">
    <w:p w14:paraId="3608FD62" w14:textId="77777777" w:rsidR="00D32B17" w:rsidRPr="00D32B17" w:rsidRDefault="00D32B17" w:rsidP="00D32B17">
      <w:pPr>
        <w:pStyle w:val="FootnoteText"/>
        <w:rPr>
          <w:sz w:val="18"/>
          <w:szCs w:val="18"/>
        </w:rPr>
      </w:pPr>
      <w:r w:rsidRPr="00D32B17">
        <w:rPr>
          <w:rStyle w:val="FootnoteReference"/>
          <w:sz w:val="18"/>
          <w:szCs w:val="18"/>
        </w:rPr>
        <w:footnoteRef/>
      </w:r>
      <w:r w:rsidRPr="00D32B17">
        <w:rPr>
          <w:sz w:val="18"/>
          <w:szCs w:val="18"/>
        </w:rPr>
        <w:t xml:space="preserve"> </w:t>
      </w:r>
      <w:hyperlink r:id="rId31" w:history="1">
        <w:r w:rsidRPr="00D32B17">
          <w:rPr>
            <w:rStyle w:val="Hyperlink"/>
            <w:sz w:val="18"/>
            <w:szCs w:val="18"/>
          </w:rPr>
          <w:t>https://www.ipso.co.uk/news-press-releases/press-releases/new-research-on-reporting-of-trans-issues-shows-400-increase-in-coverage-and-varying-perceptions-on-broader-editorial-standards/</w:t>
        </w:r>
      </w:hyperlink>
      <w:r w:rsidRPr="00D32B17">
        <w:rPr>
          <w:sz w:val="18"/>
          <w:szCs w:val="18"/>
        </w:rPr>
        <w:t xml:space="preserve"> </w:t>
      </w:r>
    </w:p>
  </w:footnote>
  <w:footnote w:id="37">
    <w:p w14:paraId="11ED58F8" w14:textId="77777777" w:rsidR="00D32B17" w:rsidRPr="00D32B17" w:rsidRDefault="00D32B17" w:rsidP="00D32B17">
      <w:pPr>
        <w:pStyle w:val="FootnoteText"/>
        <w:rPr>
          <w:sz w:val="18"/>
          <w:szCs w:val="18"/>
        </w:rPr>
      </w:pPr>
      <w:r w:rsidRPr="00D32B17">
        <w:rPr>
          <w:rStyle w:val="FootnoteReference"/>
          <w:sz w:val="18"/>
          <w:szCs w:val="18"/>
        </w:rPr>
        <w:footnoteRef/>
      </w:r>
      <w:r w:rsidRPr="00D32B17">
        <w:rPr>
          <w:sz w:val="18"/>
          <w:szCs w:val="18"/>
        </w:rPr>
        <w:t xml:space="preserve"> </w:t>
      </w:r>
      <w:hyperlink r:id="rId32" w:history="1">
        <w:r w:rsidRPr="00D32B17">
          <w:rPr>
            <w:rStyle w:val="Hyperlink"/>
            <w:sz w:val="18"/>
            <w:szCs w:val="18"/>
          </w:rPr>
          <w:t>https://www.tuc.org.uk/news/conversion-therapy-ban-should-protect-all-people-says-tuc</w:t>
        </w:r>
      </w:hyperlink>
      <w:r w:rsidRPr="00D32B17">
        <w:rPr>
          <w:sz w:val="18"/>
          <w:szCs w:val="18"/>
        </w:rPr>
        <w:t xml:space="preserve"> </w:t>
      </w:r>
    </w:p>
  </w:footnote>
  <w:footnote w:id="38">
    <w:p w14:paraId="597AD6B1" w14:textId="77777777" w:rsidR="00D32B17" w:rsidRDefault="00D32B17" w:rsidP="00D32B17">
      <w:pPr>
        <w:pStyle w:val="FootnoteText"/>
      </w:pPr>
      <w:r w:rsidRPr="00D32B17">
        <w:rPr>
          <w:rStyle w:val="FootnoteReference"/>
          <w:sz w:val="18"/>
          <w:szCs w:val="18"/>
        </w:rPr>
        <w:footnoteRef/>
      </w:r>
      <w:r w:rsidRPr="00D32B17">
        <w:rPr>
          <w:sz w:val="18"/>
          <w:szCs w:val="18"/>
        </w:rPr>
        <w:t xml:space="preserve"> </w:t>
      </w:r>
      <w:hyperlink r:id="rId33" w:history="1">
        <w:r w:rsidRPr="00D32B17">
          <w:rPr>
            <w:rStyle w:val="Hyperlink"/>
            <w:sz w:val="18"/>
            <w:szCs w:val="18"/>
          </w:rPr>
          <w:t>https://www.tuc.org.uk/news/one-three-lgbt-people-have-been-harassed-or-bullied-work-says-tuc</w:t>
        </w:r>
      </w:hyperlink>
      <w:r w:rsidRPr="00D32B17">
        <w:rPr>
          <w:sz w:val="18"/>
          <w:szCs w:val="18"/>
        </w:rPr>
        <w:t xml:space="preserve"> </w:t>
      </w:r>
    </w:p>
  </w:footnote>
  <w:footnote w:id="39">
    <w:p w14:paraId="588B31C5" w14:textId="77777777" w:rsidR="00D32B17" w:rsidRPr="00D32B17" w:rsidRDefault="00D32B17" w:rsidP="00D32B17">
      <w:pPr>
        <w:pStyle w:val="FootnoteText"/>
        <w:rPr>
          <w:sz w:val="18"/>
          <w:szCs w:val="18"/>
        </w:rPr>
      </w:pPr>
      <w:r>
        <w:rPr>
          <w:rStyle w:val="FootnoteReference"/>
        </w:rPr>
        <w:footnoteRef/>
      </w:r>
      <w:r>
        <w:t xml:space="preserve"> </w:t>
      </w:r>
      <w:hyperlink r:id="rId34" w:history="1">
        <w:r w:rsidRPr="00D32B17">
          <w:rPr>
            <w:rStyle w:val="Hyperlink"/>
            <w:sz w:val="18"/>
            <w:szCs w:val="18"/>
          </w:rPr>
          <w:t>https://www.tuc.org.uk/research-analysis/reports/sexual-harassment-lgbt-people-workplace</w:t>
        </w:r>
      </w:hyperlink>
      <w:r w:rsidRPr="00D32B17">
        <w:rPr>
          <w:sz w:val="18"/>
          <w:szCs w:val="18"/>
        </w:rPr>
        <w:t xml:space="preserve"> </w:t>
      </w:r>
    </w:p>
  </w:footnote>
  <w:footnote w:id="40">
    <w:p w14:paraId="6F013ADD" w14:textId="77777777" w:rsidR="00D32B17" w:rsidRDefault="00D32B17" w:rsidP="00D32B17">
      <w:pPr>
        <w:pStyle w:val="FootnoteText"/>
      </w:pPr>
      <w:r w:rsidRPr="00D32B17">
        <w:rPr>
          <w:rStyle w:val="FootnoteReference"/>
          <w:sz w:val="18"/>
          <w:szCs w:val="18"/>
        </w:rPr>
        <w:footnoteRef/>
      </w:r>
      <w:r w:rsidRPr="00D32B17">
        <w:rPr>
          <w:sz w:val="18"/>
          <w:szCs w:val="18"/>
        </w:rPr>
        <w:t xml:space="preserve"> </w:t>
      </w:r>
      <w:hyperlink r:id="rId35" w:history="1">
        <w:r w:rsidRPr="00D32B17">
          <w:rPr>
            <w:rStyle w:val="Hyperlink"/>
            <w:sz w:val="18"/>
            <w:szCs w:val="18"/>
          </w:rPr>
          <w:t>https://www.tuc.org.uk/news/1-5-workplaces-do-not-have-any-policies-support-lgbt-staff-tuc-poll</w:t>
        </w:r>
      </w:hyperlink>
      <w:r w:rsidRPr="00D32B17">
        <w:rPr>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A4CFB"/>
    <w:multiLevelType w:val="multilevel"/>
    <w:tmpl w:val="B2EA7044"/>
    <w:styleLink w:val="AlphaBulletList"/>
    <w:lvl w:ilvl="0">
      <w:start w:val="1"/>
      <w:numFmt w:val="lowerLetter"/>
      <w:pStyle w:val="AlphaBullet"/>
      <w:lvlText w:val="%1)"/>
      <w:lvlJc w:val="left"/>
      <w:pPr>
        <w:tabs>
          <w:tab w:val="num" w:pos="357"/>
        </w:tabs>
        <w:ind w:left="360" w:hanging="360"/>
      </w:pPr>
      <w:rPr>
        <w:rFonts w:hint="default"/>
      </w:rPr>
    </w:lvl>
    <w:lvl w:ilvl="1">
      <w:start w:val="1"/>
      <w:numFmt w:val="bullet"/>
      <w:lvlText w:val="–"/>
      <w:lvlJc w:val="left"/>
      <w:pPr>
        <w:tabs>
          <w:tab w:val="num" w:pos="720"/>
        </w:tabs>
        <w:ind w:left="720" w:hanging="360"/>
      </w:pPr>
      <w:rPr>
        <w:rFonts w:ascii="Segoe UI" w:hAnsi="Segoe UI"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0DD02076"/>
    <w:multiLevelType w:val="multilevel"/>
    <w:tmpl w:val="CB46BD52"/>
    <w:styleLink w:val="RomanBulletList"/>
    <w:lvl w:ilvl="0">
      <w:start w:val="1"/>
      <w:numFmt w:val="lowerRoman"/>
      <w:pStyle w:val="RomanBullet"/>
      <w:lvlText w:val="%1)"/>
      <w:lvlJc w:val="left"/>
      <w:pPr>
        <w:tabs>
          <w:tab w:val="num" w:pos="357"/>
        </w:tabs>
        <w:ind w:left="357" w:hanging="357"/>
      </w:pPr>
      <w:rPr>
        <w:rFonts w:hint="default"/>
      </w:rPr>
    </w:lvl>
    <w:lvl w:ilvl="1">
      <w:start w:val="1"/>
      <w:numFmt w:val="bullet"/>
      <w:lvlText w:val="–"/>
      <w:lvlJc w:val="left"/>
      <w:pPr>
        <w:tabs>
          <w:tab w:val="num" w:pos="720"/>
        </w:tabs>
        <w:ind w:left="720" w:hanging="360"/>
      </w:pPr>
      <w:rPr>
        <w:rFonts w:ascii="Segoe UI" w:hAnsi="Segoe UI" w:hint="default"/>
        <w:color w:val="auto"/>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D3F3134"/>
    <w:multiLevelType w:val="multilevel"/>
    <w:tmpl w:val="99CE1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6C289F"/>
    <w:multiLevelType w:val="hybridMultilevel"/>
    <w:tmpl w:val="1F6254D0"/>
    <w:lvl w:ilvl="0" w:tplc="2E6092AE">
      <w:start w:val="1"/>
      <w:numFmt w:val="bullet"/>
      <w:lvlText w:val="·"/>
      <w:lvlJc w:val="left"/>
      <w:pPr>
        <w:ind w:left="720" w:hanging="360"/>
      </w:pPr>
      <w:rPr>
        <w:rFonts w:ascii="Symbol" w:hAnsi="Symbol" w:hint="default"/>
      </w:rPr>
    </w:lvl>
    <w:lvl w:ilvl="1" w:tplc="B34E6868">
      <w:start w:val="1"/>
      <w:numFmt w:val="bullet"/>
      <w:lvlText w:val="o"/>
      <w:lvlJc w:val="left"/>
      <w:pPr>
        <w:ind w:left="1440" w:hanging="360"/>
      </w:pPr>
      <w:rPr>
        <w:rFonts w:ascii="Courier New" w:hAnsi="Courier New" w:hint="default"/>
      </w:rPr>
    </w:lvl>
    <w:lvl w:ilvl="2" w:tplc="F7006B38">
      <w:start w:val="1"/>
      <w:numFmt w:val="bullet"/>
      <w:lvlText w:val=""/>
      <w:lvlJc w:val="left"/>
      <w:pPr>
        <w:ind w:left="2160" w:hanging="360"/>
      </w:pPr>
      <w:rPr>
        <w:rFonts w:ascii="Wingdings" w:hAnsi="Wingdings" w:hint="default"/>
      </w:rPr>
    </w:lvl>
    <w:lvl w:ilvl="3" w:tplc="AC5026F0">
      <w:start w:val="1"/>
      <w:numFmt w:val="bullet"/>
      <w:lvlText w:val=""/>
      <w:lvlJc w:val="left"/>
      <w:pPr>
        <w:ind w:left="2880" w:hanging="360"/>
      </w:pPr>
      <w:rPr>
        <w:rFonts w:ascii="Symbol" w:hAnsi="Symbol" w:hint="default"/>
      </w:rPr>
    </w:lvl>
    <w:lvl w:ilvl="4" w:tplc="452AAC94">
      <w:start w:val="1"/>
      <w:numFmt w:val="bullet"/>
      <w:lvlText w:val="o"/>
      <w:lvlJc w:val="left"/>
      <w:pPr>
        <w:ind w:left="3600" w:hanging="360"/>
      </w:pPr>
      <w:rPr>
        <w:rFonts w:ascii="Courier New" w:hAnsi="Courier New" w:hint="default"/>
      </w:rPr>
    </w:lvl>
    <w:lvl w:ilvl="5" w:tplc="1A463774">
      <w:start w:val="1"/>
      <w:numFmt w:val="bullet"/>
      <w:lvlText w:val=""/>
      <w:lvlJc w:val="left"/>
      <w:pPr>
        <w:ind w:left="4320" w:hanging="360"/>
      </w:pPr>
      <w:rPr>
        <w:rFonts w:ascii="Wingdings" w:hAnsi="Wingdings" w:hint="default"/>
      </w:rPr>
    </w:lvl>
    <w:lvl w:ilvl="6" w:tplc="ECE47FBA">
      <w:start w:val="1"/>
      <w:numFmt w:val="bullet"/>
      <w:lvlText w:val=""/>
      <w:lvlJc w:val="left"/>
      <w:pPr>
        <w:ind w:left="5040" w:hanging="360"/>
      </w:pPr>
      <w:rPr>
        <w:rFonts w:ascii="Symbol" w:hAnsi="Symbol" w:hint="default"/>
      </w:rPr>
    </w:lvl>
    <w:lvl w:ilvl="7" w:tplc="796CAE4A">
      <w:start w:val="1"/>
      <w:numFmt w:val="bullet"/>
      <w:lvlText w:val="o"/>
      <w:lvlJc w:val="left"/>
      <w:pPr>
        <w:ind w:left="5760" w:hanging="360"/>
      </w:pPr>
      <w:rPr>
        <w:rFonts w:ascii="Courier New" w:hAnsi="Courier New" w:hint="default"/>
      </w:rPr>
    </w:lvl>
    <w:lvl w:ilvl="8" w:tplc="037C1FA2">
      <w:start w:val="1"/>
      <w:numFmt w:val="bullet"/>
      <w:lvlText w:val=""/>
      <w:lvlJc w:val="left"/>
      <w:pPr>
        <w:ind w:left="6480" w:hanging="360"/>
      </w:pPr>
      <w:rPr>
        <w:rFonts w:ascii="Wingdings" w:hAnsi="Wingdings" w:hint="default"/>
      </w:rPr>
    </w:lvl>
  </w:abstractNum>
  <w:abstractNum w:abstractNumId="4" w15:restartNumberingAfterBreak="0">
    <w:nsid w:val="24CB9A21"/>
    <w:multiLevelType w:val="hybridMultilevel"/>
    <w:tmpl w:val="FDFE7CC8"/>
    <w:lvl w:ilvl="0" w:tplc="A0FC5ED6">
      <w:start w:val="1"/>
      <w:numFmt w:val="bullet"/>
      <w:lvlText w:val="·"/>
      <w:lvlJc w:val="left"/>
      <w:pPr>
        <w:ind w:left="720" w:hanging="360"/>
      </w:pPr>
      <w:rPr>
        <w:rFonts w:ascii="Symbol" w:hAnsi="Symbol" w:hint="default"/>
      </w:rPr>
    </w:lvl>
    <w:lvl w:ilvl="1" w:tplc="A04C01B2">
      <w:start w:val="1"/>
      <w:numFmt w:val="bullet"/>
      <w:lvlText w:val="o"/>
      <w:lvlJc w:val="left"/>
      <w:pPr>
        <w:ind w:left="1440" w:hanging="360"/>
      </w:pPr>
      <w:rPr>
        <w:rFonts w:ascii="Courier New" w:hAnsi="Courier New" w:hint="default"/>
      </w:rPr>
    </w:lvl>
    <w:lvl w:ilvl="2" w:tplc="67548666">
      <w:start w:val="1"/>
      <w:numFmt w:val="bullet"/>
      <w:lvlText w:val=""/>
      <w:lvlJc w:val="left"/>
      <w:pPr>
        <w:ind w:left="2160" w:hanging="360"/>
      </w:pPr>
      <w:rPr>
        <w:rFonts w:ascii="Wingdings" w:hAnsi="Wingdings" w:hint="default"/>
      </w:rPr>
    </w:lvl>
    <w:lvl w:ilvl="3" w:tplc="85662562">
      <w:start w:val="1"/>
      <w:numFmt w:val="bullet"/>
      <w:lvlText w:val=""/>
      <w:lvlJc w:val="left"/>
      <w:pPr>
        <w:ind w:left="2880" w:hanging="360"/>
      </w:pPr>
      <w:rPr>
        <w:rFonts w:ascii="Symbol" w:hAnsi="Symbol" w:hint="default"/>
      </w:rPr>
    </w:lvl>
    <w:lvl w:ilvl="4" w:tplc="74B6D45E">
      <w:start w:val="1"/>
      <w:numFmt w:val="bullet"/>
      <w:lvlText w:val="o"/>
      <w:lvlJc w:val="left"/>
      <w:pPr>
        <w:ind w:left="3600" w:hanging="360"/>
      </w:pPr>
      <w:rPr>
        <w:rFonts w:ascii="Courier New" w:hAnsi="Courier New" w:hint="default"/>
      </w:rPr>
    </w:lvl>
    <w:lvl w:ilvl="5" w:tplc="CE3094B0">
      <w:start w:val="1"/>
      <w:numFmt w:val="bullet"/>
      <w:lvlText w:val=""/>
      <w:lvlJc w:val="left"/>
      <w:pPr>
        <w:ind w:left="4320" w:hanging="360"/>
      </w:pPr>
      <w:rPr>
        <w:rFonts w:ascii="Wingdings" w:hAnsi="Wingdings" w:hint="default"/>
      </w:rPr>
    </w:lvl>
    <w:lvl w:ilvl="6" w:tplc="AF0616B8">
      <w:start w:val="1"/>
      <w:numFmt w:val="bullet"/>
      <w:lvlText w:val=""/>
      <w:lvlJc w:val="left"/>
      <w:pPr>
        <w:ind w:left="5040" w:hanging="360"/>
      </w:pPr>
      <w:rPr>
        <w:rFonts w:ascii="Symbol" w:hAnsi="Symbol" w:hint="default"/>
      </w:rPr>
    </w:lvl>
    <w:lvl w:ilvl="7" w:tplc="D32244E8">
      <w:start w:val="1"/>
      <w:numFmt w:val="bullet"/>
      <w:lvlText w:val="o"/>
      <w:lvlJc w:val="left"/>
      <w:pPr>
        <w:ind w:left="5760" w:hanging="360"/>
      </w:pPr>
      <w:rPr>
        <w:rFonts w:ascii="Courier New" w:hAnsi="Courier New" w:hint="default"/>
      </w:rPr>
    </w:lvl>
    <w:lvl w:ilvl="8" w:tplc="C34E2870">
      <w:start w:val="1"/>
      <w:numFmt w:val="bullet"/>
      <w:lvlText w:val=""/>
      <w:lvlJc w:val="left"/>
      <w:pPr>
        <w:ind w:left="6480" w:hanging="360"/>
      </w:pPr>
      <w:rPr>
        <w:rFonts w:ascii="Wingdings" w:hAnsi="Wingdings" w:hint="default"/>
      </w:rPr>
    </w:lvl>
  </w:abstractNum>
  <w:abstractNum w:abstractNumId="5" w15:restartNumberingAfterBreak="0">
    <w:nsid w:val="25666AC0"/>
    <w:multiLevelType w:val="multilevel"/>
    <w:tmpl w:val="7BFCE652"/>
    <w:numStyleLink w:val="NumberedList"/>
  </w:abstractNum>
  <w:abstractNum w:abstractNumId="6" w15:restartNumberingAfterBreak="0">
    <w:nsid w:val="29735F96"/>
    <w:multiLevelType w:val="hybridMultilevel"/>
    <w:tmpl w:val="E44CCAD6"/>
    <w:lvl w:ilvl="0" w:tplc="3252C8C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98547C"/>
    <w:multiLevelType w:val="hybridMultilevel"/>
    <w:tmpl w:val="B2D2AF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5F7A6D"/>
    <w:multiLevelType w:val="multilevel"/>
    <w:tmpl w:val="ED86C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0A5671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352D3828"/>
    <w:multiLevelType w:val="multilevel"/>
    <w:tmpl w:val="7BFCE652"/>
    <w:numStyleLink w:val="NumberedList"/>
  </w:abstractNum>
  <w:abstractNum w:abstractNumId="11" w15:restartNumberingAfterBreak="0">
    <w:nsid w:val="3BEE6AFC"/>
    <w:multiLevelType w:val="multilevel"/>
    <w:tmpl w:val="B2EA7044"/>
    <w:numStyleLink w:val="AlphaBulletList"/>
  </w:abstractNum>
  <w:abstractNum w:abstractNumId="12" w15:restartNumberingAfterBreak="0">
    <w:nsid w:val="44AF2690"/>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44B3539F"/>
    <w:multiLevelType w:val="hybridMultilevel"/>
    <w:tmpl w:val="10AE69D8"/>
    <w:lvl w:ilvl="0" w:tplc="0BBEB3D8">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8445CA"/>
    <w:multiLevelType w:val="multilevel"/>
    <w:tmpl w:val="7BFCE652"/>
    <w:styleLink w:val="NumberedList"/>
    <w:lvl w:ilvl="0">
      <w:start w:val="1"/>
      <w:numFmt w:val="decimal"/>
      <w:pStyle w:val="NumberedParaLevel1"/>
      <w:lvlText w:val="%1."/>
      <w:lvlJc w:val="left"/>
      <w:pPr>
        <w:tabs>
          <w:tab w:val="num" w:pos="357"/>
        </w:tabs>
        <w:ind w:left="357" w:hanging="357"/>
      </w:pPr>
      <w:rPr>
        <w:rFonts w:hint="default"/>
      </w:rPr>
    </w:lvl>
    <w:lvl w:ilvl="1">
      <w:start w:val="1"/>
      <w:numFmt w:val="lowerLetter"/>
      <w:pStyle w:val="NumberedParaLevel2"/>
      <w:lvlText w:val="%2."/>
      <w:lvlJc w:val="left"/>
      <w:pPr>
        <w:tabs>
          <w:tab w:val="num" w:pos="720"/>
        </w:tabs>
        <w:ind w:left="720" w:hanging="363"/>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4890040D"/>
    <w:multiLevelType w:val="hybridMultilevel"/>
    <w:tmpl w:val="5B4493FE"/>
    <w:lvl w:ilvl="0" w:tplc="86863BE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D9A44C4"/>
    <w:multiLevelType w:val="multilevel"/>
    <w:tmpl w:val="3AE85308"/>
    <w:styleLink w:val="BulletList"/>
    <w:lvl w:ilvl="0">
      <w:start w:val="1"/>
      <w:numFmt w:val="bullet"/>
      <w:pStyle w:val="RoundBullet"/>
      <w:lvlText w:val=""/>
      <w:lvlJc w:val="left"/>
      <w:pPr>
        <w:tabs>
          <w:tab w:val="num" w:pos="357"/>
        </w:tabs>
        <w:ind w:left="357" w:hanging="357"/>
      </w:pPr>
      <w:rPr>
        <w:rFonts w:ascii="Symbol" w:hAnsi="Symbol" w:hint="default"/>
      </w:rPr>
    </w:lvl>
    <w:lvl w:ilvl="1">
      <w:start w:val="1"/>
      <w:numFmt w:val="bullet"/>
      <w:lvlText w:val="–"/>
      <w:lvlJc w:val="left"/>
      <w:pPr>
        <w:tabs>
          <w:tab w:val="num" w:pos="720"/>
        </w:tabs>
        <w:ind w:left="720" w:hanging="363"/>
      </w:pPr>
      <w:rPr>
        <w:rFonts w:ascii="Segoe UI" w:hAnsi="Segoe UI"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4F512B6F"/>
    <w:multiLevelType w:val="multilevel"/>
    <w:tmpl w:val="3AE85308"/>
    <w:numStyleLink w:val="BulletList"/>
  </w:abstractNum>
  <w:abstractNum w:abstractNumId="18" w15:restartNumberingAfterBreak="0">
    <w:nsid w:val="5E6628F8"/>
    <w:multiLevelType w:val="multilevel"/>
    <w:tmpl w:val="3AE85308"/>
    <w:numStyleLink w:val="BulletList"/>
  </w:abstractNum>
  <w:abstractNum w:abstractNumId="19" w15:restartNumberingAfterBreak="0">
    <w:nsid w:val="60FE3F83"/>
    <w:multiLevelType w:val="hybridMultilevel"/>
    <w:tmpl w:val="CB3AFFAC"/>
    <w:lvl w:ilvl="0" w:tplc="8D2C57BA">
      <w:start w:val="1"/>
      <w:numFmt w:val="bullet"/>
      <w:lvlText w:val="•"/>
      <w:lvlJc w:val="left"/>
      <w:pPr>
        <w:ind w:left="1080" w:hanging="720"/>
      </w:pPr>
      <w:rPr>
        <w:rFonts w:ascii="Segoe UI" w:eastAsiaTheme="minorHAnsi"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BC5AB0"/>
    <w:multiLevelType w:val="multilevel"/>
    <w:tmpl w:val="A6E29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98F5633"/>
    <w:multiLevelType w:val="multilevel"/>
    <w:tmpl w:val="47726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F636881"/>
    <w:multiLevelType w:val="multilevel"/>
    <w:tmpl w:val="B2EA7044"/>
    <w:numStyleLink w:val="AlphaBulletList"/>
  </w:abstractNum>
  <w:abstractNum w:abstractNumId="23" w15:restartNumberingAfterBreak="0">
    <w:nsid w:val="700B17D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5734409">
    <w:abstractNumId w:val="7"/>
  </w:num>
  <w:num w:numId="2" w16cid:durableId="1684671406">
    <w:abstractNumId w:val="15"/>
  </w:num>
  <w:num w:numId="3" w16cid:durableId="918716003">
    <w:abstractNumId w:val="14"/>
  </w:num>
  <w:num w:numId="4" w16cid:durableId="12208990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52209429">
    <w:abstractNumId w:val="12"/>
  </w:num>
  <w:num w:numId="6" w16cid:durableId="1725639818">
    <w:abstractNumId w:val="19"/>
  </w:num>
  <w:num w:numId="7" w16cid:durableId="918444637">
    <w:abstractNumId w:val="16"/>
  </w:num>
  <w:num w:numId="8" w16cid:durableId="732127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0531008">
    <w:abstractNumId w:val="5"/>
  </w:num>
  <w:num w:numId="10" w16cid:durableId="116412020">
    <w:abstractNumId w:val="23"/>
  </w:num>
  <w:num w:numId="11" w16cid:durableId="910189117">
    <w:abstractNumId w:val="6"/>
  </w:num>
  <w:num w:numId="12" w16cid:durableId="371343430">
    <w:abstractNumId w:val="1"/>
  </w:num>
  <w:num w:numId="13" w16cid:durableId="67622990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13999059">
    <w:abstractNumId w:val="17"/>
  </w:num>
  <w:num w:numId="15" w16cid:durableId="1736853345">
    <w:abstractNumId w:val="10"/>
  </w:num>
  <w:num w:numId="16" w16cid:durableId="2078088633">
    <w:abstractNumId w:val="9"/>
  </w:num>
  <w:num w:numId="17" w16cid:durableId="2112779368">
    <w:abstractNumId w:val="13"/>
  </w:num>
  <w:num w:numId="18" w16cid:durableId="1563445639">
    <w:abstractNumId w:val="0"/>
  </w:num>
  <w:num w:numId="19" w16cid:durableId="77509576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69716344">
    <w:abstractNumId w:val="0"/>
  </w:num>
  <w:num w:numId="21" w16cid:durableId="25762591">
    <w:abstractNumId w:val="22"/>
  </w:num>
  <w:num w:numId="22" w16cid:durableId="779646864">
    <w:abstractNumId w:val="11"/>
  </w:num>
  <w:num w:numId="23" w16cid:durableId="1818305177">
    <w:abstractNumId w:val="18"/>
  </w:num>
  <w:num w:numId="24" w16cid:durableId="262539620">
    <w:abstractNumId w:val="3"/>
  </w:num>
  <w:num w:numId="25" w16cid:durableId="1808086051">
    <w:abstractNumId w:val="4"/>
  </w:num>
  <w:num w:numId="26" w16cid:durableId="1708792476">
    <w:abstractNumId w:val="2"/>
  </w:num>
  <w:num w:numId="27" w16cid:durableId="160119624">
    <w:abstractNumId w:val="21"/>
  </w:num>
  <w:num w:numId="28" w16cid:durableId="1828587814">
    <w:abstractNumId w:val="20"/>
  </w:num>
  <w:num w:numId="29" w16cid:durableId="47706836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7F1"/>
    <w:rsid w:val="00004D32"/>
    <w:rsid w:val="00091A71"/>
    <w:rsid w:val="000A6D94"/>
    <w:rsid w:val="000B30D7"/>
    <w:rsid w:val="000C07D7"/>
    <w:rsid w:val="000C3E46"/>
    <w:rsid w:val="000F7A40"/>
    <w:rsid w:val="00101B48"/>
    <w:rsid w:val="00101EA3"/>
    <w:rsid w:val="0010221C"/>
    <w:rsid w:val="0010743B"/>
    <w:rsid w:val="00111E62"/>
    <w:rsid w:val="00156834"/>
    <w:rsid w:val="00160956"/>
    <w:rsid w:val="00163A9C"/>
    <w:rsid w:val="001A2204"/>
    <w:rsid w:val="001C214E"/>
    <w:rsid w:val="001C5451"/>
    <w:rsid w:val="001D74D0"/>
    <w:rsid w:val="001D772E"/>
    <w:rsid w:val="001E03EC"/>
    <w:rsid w:val="001F27F1"/>
    <w:rsid w:val="00210F48"/>
    <w:rsid w:val="002177B9"/>
    <w:rsid w:val="00281182"/>
    <w:rsid w:val="002833FC"/>
    <w:rsid w:val="00286E0A"/>
    <w:rsid w:val="00294406"/>
    <w:rsid w:val="00294C6A"/>
    <w:rsid w:val="002B7118"/>
    <w:rsid w:val="002D2A56"/>
    <w:rsid w:val="00300845"/>
    <w:rsid w:val="00301DA1"/>
    <w:rsid w:val="00311CD5"/>
    <w:rsid w:val="003152F7"/>
    <w:rsid w:val="00317056"/>
    <w:rsid w:val="00321B74"/>
    <w:rsid w:val="00385504"/>
    <w:rsid w:val="003A0539"/>
    <w:rsid w:val="003A6DB9"/>
    <w:rsid w:val="003B7634"/>
    <w:rsid w:val="003C6FC2"/>
    <w:rsid w:val="003D0831"/>
    <w:rsid w:val="003D3536"/>
    <w:rsid w:val="003F3BA1"/>
    <w:rsid w:val="00405E99"/>
    <w:rsid w:val="00414DFF"/>
    <w:rsid w:val="0046020A"/>
    <w:rsid w:val="00465C90"/>
    <w:rsid w:val="00493C6A"/>
    <w:rsid w:val="004A4231"/>
    <w:rsid w:val="004E0F24"/>
    <w:rsid w:val="004E7C7D"/>
    <w:rsid w:val="004F5C80"/>
    <w:rsid w:val="004F7DEE"/>
    <w:rsid w:val="00517617"/>
    <w:rsid w:val="00522BF7"/>
    <w:rsid w:val="00572935"/>
    <w:rsid w:val="0061085E"/>
    <w:rsid w:val="00621E34"/>
    <w:rsid w:val="006267C1"/>
    <w:rsid w:val="00692CD9"/>
    <w:rsid w:val="006930A5"/>
    <w:rsid w:val="006D5519"/>
    <w:rsid w:val="006E54B2"/>
    <w:rsid w:val="006E58AD"/>
    <w:rsid w:val="006E5DA8"/>
    <w:rsid w:val="00721A0B"/>
    <w:rsid w:val="0073008F"/>
    <w:rsid w:val="00743F19"/>
    <w:rsid w:val="0074474A"/>
    <w:rsid w:val="00746E39"/>
    <w:rsid w:val="00792653"/>
    <w:rsid w:val="0079500B"/>
    <w:rsid w:val="007A4B2C"/>
    <w:rsid w:val="007B07F0"/>
    <w:rsid w:val="007E1173"/>
    <w:rsid w:val="007E6206"/>
    <w:rsid w:val="007F3565"/>
    <w:rsid w:val="007F6BFF"/>
    <w:rsid w:val="00801461"/>
    <w:rsid w:val="00803910"/>
    <w:rsid w:val="0080649F"/>
    <w:rsid w:val="0080742D"/>
    <w:rsid w:val="00817E5F"/>
    <w:rsid w:val="00840BB4"/>
    <w:rsid w:val="008416A8"/>
    <w:rsid w:val="00853621"/>
    <w:rsid w:val="008545E4"/>
    <w:rsid w:val="0085765C"/>
    <w:rsid w:val="00863F34"/>
    <w:rsid w:val="008B39F8"/>
    <w:rsid w:val="008C724D"/>
    <w:rsid w:val="008D153A"/>
    <w:rsid w:val="008E080F"/>
    <w:rsid w:val="008E724A"/>
    <w:rsid w:val="00901B7D"/>
    <w:rsid w:val="00921B49"/>
    <w:rsid w:val="00950E77"/>
    <w:rsid w:val="009605AB"/>
    <w:rsid w:val="009659F1"/>
    <w:rsid w:val="00976CE3"/>
    <w:rsid w:val="0098290C"/>
    <w:rsid w:val="009849D6"/>
    <w:rsid w:val="009950AF"/>
    <w:rsid w:val="009B0C24"/>
    <w:rsid w:val="009E3276"/>
    <w:rsid w:val="00A26F69"/>
    <w:rsid w:val="00A329C8"/>
    <w:rsid w:val="00A36012"/>
    <w:rsid w:val="00A47C35"/>
    <w:rsid w:val="00A5577C"/>
    <w:rsid w:val="00A66B14"/>
    <w:rsid w:val="00A74382"/>
    <w:rsid w:val="00AA52B1"/>
    <w:rsid w:val="00AB037D"/>
    <w:rsid w:val="00AD17D7"/>
    <w:rsid w:val="00AD2012"/>
    <w:rsid w:val="00AD524B"/>
    <w:rsid w:val="00AE3922"/>
    <w:rsid w:val="00AE5989"/>
    <w:rsid w:val="00AF1B1B"/>
    <w:rsid w:val="00B0738A"/>
    <w:rsid w:val="00B26E01"/>
    <w:rsid w:val="00B26E16"/>
    <w:rsid w:val="00B31125"/>
    <w:rsid w:val="00B32CDC"/>
    <w:rsid w:val="00B37EF2"/>
    <w:rsid w:val="00B47BA4"/>
    <w:rsid w:val="00B85BBA"/>
    <w:rsid w:val="00B86B3D"/>
    <w:rsid w:val="00B94F22"/>
    <w:rsid w:val="00BA2388"/>
    <w:rsid w:val="00BA3530"/>
    <w:rsid w:val="00BA51DE"/>
    <w:rsid w:val="00BC5BCE"/>
    <w:rsid w:val="00BD76EC"/>
    <w:rsid w:val="00BE65E0"/>
    <w:rsid w:val="00C0545E"/>
    <w:rsid w:val="00C216F5"/>
    <w:rsid w:val="00C90142"/>
    <w:rsid w:val="00C90367"/>
    <w:rsid w:val="00CA5A60"/>
    <w:rsid w:val="00CB1FB1"/>
    <w:rsid w:val="00CC0DFB"/>
    <w:rsid w:val="00CE4C8B"/>
    <w:rsid w:val="00CE6D89"/>
    <w:rsid w:val="00D014CC"/>
    <w:rsid w:val="00D01CF8"/>
    <w:rsid w:val="00D135B9"/>
    <w:rsid w:val="00D21F45"/>
    <w:rsid w:val="00D229BD"/>
    <w:rsid w:val="00D32B17"/>
    <w:rsid w:val="00D55C39"/>
    <w:rsid w:val="00D57812"/>
    <w:rsid w:val="00D7635A"/>
    <w:rsid w:val="00D93654"/>
    <w:rsid w:val="00DB23AF"/>
    <w:rsid w:val="00DC5DA1"/>
    <w:rsid w:val="00DE7AA7"/>
    <w:rsid w:val="00E31A5B"/>
    <w:rsid w:val="00E368FA"/>
    <w:rsid w:val="00E46DAA"/>
    <w:rsid w:val="00E62CA1"/>
    <w:rsid w:val="00E672EC"/>
    <w:rsid w:val="00E71302"/>
    <w:rsid w:val="00E81882"/>
    <w:rsid w:val="00EA22B9"/>
    <w:rsid w:val="00EC5532"/>
    <w:rsid w:val="00EC6ADB"/>
    <w:rsid w:val="00ED24C1"/>
    <w:rsid w:val="00ED6FCE"/>
    <w:rsid w:val="00EE00E2"/>
    <w:rsid w:val="00F03D93"/>
    <w:rsid w:val="00F06F9D"/>
    <w:rsid w:val="00F07B4B"/>
    <w:rsid w:val="00F52DE4"/>
    <w:rsid w:val="00F531C6"/>
    <w:rsid w:val="00F55AEA"/>
    <w:rsid w:val="00F63433"/>
    <w:rsid w:val="00F72009"/>
    <w:rsid w:val="00F81049"/>
    <w:rsid w:val="00FA10CA"/>
    <w:rsid w:val="00FA175A"/>
    <w:rsid w:val="00FA3EED"/>
    <w:rsid w:val="00FA5E73"/>
    <w:rsid w:val="00FB1157"/>
    <w:rsid w:val="00FB1967"/>
    <w:rsid w:val="00FB1FEA"/>
    <w:rsid w:val="00FD1C63"/>
    <w:rsid w:val="00FD3A56"/>
    <w:rsid w:val="00FE27AF"/>
    <w:rsid w:val="00FE4055"/>
    <w:rsid w:val="06CDAF9E"/>
    <w:rsid w:val="4EDDD36A"/>
    <w:rsid w:val="751635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9B076C"/>
  <w14:defaultImageDpi w14:val="32767"/>
  <w15:chartTrackingRefBased/>
  <w15:docId w15:val="{924C1094-02CA-477F-A551-3F5E59418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semiHidden="1" w:uiPriority="9" w:unhideWhenUsed="1" w:qFormat="1"/>
    <w:lsdException w:name="heading 3" w:semiHidden="1" w:uiPriority="0" w:unhideWhenUsed="1" w:qFormat="1"/>
    <w:lsdException w:name="heading 4" w:uiPriority="0" w:qFormat="1"/>
    <w:lsdException w:name="heading 5" w:semiHidden="1"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iPriority="0" w:unhideWhenUsed="1" w:qFormat="1"/>
    <w:lsdException w:name="footer" w:locked="0"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0" w:semiHidden="1"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uiPriority="0" w:qFormat="1"/>
    <w:lsdException w:name="Closing" w:semiHidden="1" w:unhideWhenUsed="1"/>
    <w:lsdException w:name="Signature" w:semiHidden="1" w:unhideWhenUsed="1"/>
    <w:lsdException w:name="Default Paragraph Font" w:locked="0" w:semiHidden="1" w:uiPriority="1" w:unhideWhenUsed="1"/>
    <w:lsdException w:name="Body Text" w:locked="0" w:semiHidden="1"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qFormat="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locked="0" w:semiHidden="1"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6DB9"/>
    <w:pPr>
      <w:spacing w:after="140" w:line="240" w:lineRule="auto"/>
    </w:pPr>
  </w:style>
  <w:style w:type="paragraph" w:styleId="Heading1">
    <w:name w:val="heading 1"/>
    <w:basedOn w:val="Normal"/>
    <w:next w:val="Normal"/>
    <w:link w:val="Heading1Char"/>
    <w:qFormat/>
    <w:rsid w:val="003F3BA1"/>
    <w:pPr>
      <w:spacing w:before="360"/>
      <w:outlineLvl w:val="0"/>
    </w:pPr>
    <w:rPr>
      <w:rFonts w:asciiTheme="majorHAnsi" w:eastAsiaTheme="majorEastAsia" w:hAnsiTheme="majorHAnsi" w:cstheme="majorBidi"/>
      <w:b/>
      <w:color w:val="8F2F68" w:themeColor="accent1"/>
      <w:sz w:val="32"/>
      <w:szCs w:val="32"/>
    </w:rPr>
  </w:style>
  <w:style w:type="paragraph" w:styleId="Heading2">
    <w:name w:val="heading 2"/>
    <w:basedOn w:val="Normal"/>
    <w:next w:val="Normal"/>
    <w:link w:val="Heading2Char"/>
    <w:unhideWhenUsed/>
    <w:qFormat/>
    <w:rsid w:val="003F3BA1"/>
    <w:pPr>
      <w:spacing w:before="360"/>
      <w:outlineLvl w:val="1"/>
    </w:pPr>
    <w:rPr>
      <w:rFonts w:asciiTheme="majorHAnsi" w:eastAsiaTheme="majorEastAsia" w:hAnsiTheme="majorHAnsi" w:cstheme="majorBidi"/>
      <w:b/>
      <w:color w:val="8F2F68" w:themeColor="accent1"/>
      <w:sz w:val="28"/>
      <w:szCs w:val="26"/>
    </w:rPr>
  </w:style>
  <w:style w:type="paragraph" w:styleId="Heading3">
    <w:name w:val="heading 3"/>
    <w:basedOn w:val="Normal"/>
    <w:next w:val="Normal"/>
    <w:link w:val="Heading3Char"/>
    <w:unhideWhenUsed/>
    <w:qFormat/>
    <w:locked/>
    <w:rsid w:val="003F3BA1"/>
    <w:pPr>
      <w:keepNext/>
      <w:keepLines/>
      <w:spacing w:before="360"/>
      <w:outlineLvl w:val="2"/>
    </w:pPr>
    <w:rPr>
      <w:rFonts w:asciiTheme="majorHAnsi" w:eastAsiaTheme="majorEastAsia" w:hAnsiTheme="majorHAnsi" w:cstheme="majorBidi"/>
      <w:b/>
      <w:color w:val="8F2F68" w:themeColor="accent1"/>
      <w:sz w:val="24"/>
      <w:szCs w:val="24"/>
    </w:rPr>
  </w:style>
  <w:style w:type="paragraph" w:styleId="Heading4">
    <w:name w:val="heading 4"/>
    <w:basedOn w:val="Normal"/>
    <w:next w:val="Normal"/>
    <w:link w:val="Heading4Char"/>
    <w:qFormat/>
    <w:locked/>
    <w:rsid w:val="003F3BA1"/>
    <w:pPr>
      <w:keepNext/>
      <w:keepLines/>
      <w:spacing w:before="360"/>
      <w:outlineLvl w:val="3"/>
    </w:pPr>
    <w:rPr>
      <w:rFonts w:asciiTheme="majorHAnsi" w:eastAsiaTheme="majorEastAsia" w:hAnsiTheme="majorHAnsi" w:cstheme="majorBidi"/>
      <w:i/>
      <w:iCs/>
      <w:color w:val="8F2F68"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qFormat/>
    <w:rsid w:val="00AE3922"/>
    <w:pPr>
      <w:spacing w:after="0"/>
    </w:pPr>
    <w:rPr>
      <w:rFonts w:asciiTheme="majorHAnsi" w:hAnsiTheme="majorHAnsi"/>
      <w:b/>
      <w:color w:val="8F2F68" w:themeColor="accent1"/>
      <w:sz w:val="54"/>
    </w:rPr>
  </w:style>
  <w:style w:type="character" w:customStyle="1" w:styleId="HeaderChar">
    <w:name w:val="Header Char"/>
    <w:basedOn w:val="DefaultParagraphFont"/>
    <w:link w:val="Header"/>
    <w:rsid w:val="00AE3922"/>
    <w:rPr>
      <w:rFonts w:asciiTheme="majorHAnsi" w:hAnsiTheme="majorHAnsi"/>
      <w:b/>
      <w:color w:val="8F2F68" w:themeColor="accent1"/>
      <w:sz w:val="54"/>
    </w:rPr>
  </w:style>
  <w:style w:type="paragraph" w:styleId="Footer">
    <w:name w:val="footer"/>
    <w:basedOn w:val="Normal"/>
    <w:link w:val="FooterChar"/>
    <w:unhideWhenUsed/>
    <w:qFormat/>
    <w:rsid w:val="008B39F8"/>
    <w:pPr>
      <w:spacing w:after="0"/>
      <w:jc w:val="center"/>
    </w:pPr>
    <w:rPr>
      <w:sz w:val="16"/>
    </w:rPr>
  </w:style>
  <w:style w:type="character" w:customStyle="1" w:styleId="FooterChar">
    <w:name w:val="Footer Char"/>
    <w:basedOn w:val="DefaultParagraphFont"/>
    <w:link w:val="Footer"/>
    <w:rsid w:val="008B39F8"/>
    <w:rPr>
      <w:sz w:val="16"/>
    </w:rPr>
  </w:style>
  <w:style w:type="paragraph" w:styleId="Title">
    <w:name w:val="Title"/>
    <w:basedOn w:val="Normal"/>
    <w:next w:val="Normal"/>
    <w:link w:val="TitleChar"/>
    <w:qFormat/>
    <w:rsid w:val="00CE4C8B"/>
    <w:pPr>
      <w:spacing w:after="540" w:line="228" w:lineRule="auto"/>
      <w:contextualSpacing/>
    </w:pPr>
    <w:rPr>
      <w:rFonts w:asciiTheme="majorHAnsi" w:eastAsiaTheme="majorEastAsia" w:hAnsiTheme="majorHAnsi" w:cstheme="majorBidi"/>
      <w:b/>
      <w:color w:val="FFFFFF" w:themeColor="background1"/>
      <w:kern w:val="28"/>
      <w:sz w:val="68"/>
      <w:szCs w:val="56"/>
    </w:rPr>
  </w:style>
  <w:style w:type="character" w:customStyle="1" w:styleId="TitleChar">
    <w:name w:val="Title Char"/>
    <w:basedOn w:val="DefaultParagraphFont"/>
    <w:link w:val="Title"/>
    <w:rsid w:val="00CE4C8B"/>
    <w:rPr>
      <w:rFonts w:asciiTheme="majorHAnsi" w:eastAsiaTheme="majorEastAsia" w:hAnsiTheme="majorHAnsi" w:cstheme="majorBidi"/>
      <w:b/>
      <w:color w:val="FFFFFF" w:themeColor="background1"/>
      <w:kern w:val="28"/>
      <w:sz w:val="68"/>
      <w:szCs w:val="56"/>
    </w:rPr>
  </w:style>
  <w:style w:type="character" w:customStyle="1" w:styleId="Heading1Char">
    <w:name w:val="Heading 1 Char"/>
    <w:basedOn w:val="DefaultParagraphFont"/>
    <w:link w:val="Heading1"/>
    <w:rsid w:val="003F3BA1"/>
    <w:rPr>
      <w:rFonts w:asciiTheme="majorHAnsi" w:eastAsiaTheme="majorEastAsia" w:hAnsiTheme="majorHAnsi" w:cstheme="majorBidi"/>
      <w:b/>
      <w:color w:val="8F2F68" w:themeColor="accent1"/>
      <w:sz w:val="32"/>
      <w:szCs w:val="32"/>
    </w:rPr>
  </w:style>
  <w:style w:type="character" w:customStyle="1" w:styleId="Heading2Char">
    <w:name w:val="Heading 2 Char"/>
    <w:basedOn w:val="DefaultParagraphFont"/>
    <w:link w:val="Heading2"/>
    <w:rsid w:val="003F3BA1"/>
    <w:rPr>
      <w:rFonts w:asciiTheme="majorHAnsi" w:eastAsiaTheme="majorEastAsia" w:hAnsiTheme="majorHAnsi" w:cstheme="majorBidi"/>
      <w:b/>
      <w:color w:val="8F2F68" w:themeColor="accent1"/>
      <w:sz w:val="28"/>
      <w:szCs w:val="26"/>
    </w:rPr>
  </w:style>
  <w:style w:type="character" w:styleId="Hyperlink">
    <w:name w:val="Hyperlink"/>
    <w:basedOn w:val="DefaultParagraphFont"/>
    <w:uiPriority w:val="99"/>
    <w:unhideWhenUsed/>
    <w:qFormat/>
    <w:rsid w:val="0046020A"/>
    <w:rPr>
      <w:color w:val="3DAEB6" w:themeColor="hyperlink"/>
      <w:u w:val="single"/>
    </w:rPr>
  </w:style>
  <w:style w:type="character" w:styleId="UnresolvedMention">
    <w:name w:val="Unresolved Mention"/>
    <w:basedOn w:val="DefaultParagraphFont"/>
    <w:uiPriority w:val="99"/>
    <w:semiHidden/>
    <w:unhideWhenUsed/>
    <w:locked/>
    <w:rsid w:val="0046020A"/>
    <w:rPr>
      <w:color w:val="605E5C"/>
      <w:shd w:val="clear" w:color="auto" w:fill="E1DFDD"/>
    </w:rPr>
  </w:style>
  <w:style w:type="paragraph" w:customStyle="1" w:styleId="NumberedParaLevel1">
    <w:name w:val="Numbered Para Level 1"/>
    <w:basedOn w:val="Normal"/>
    <w:qFormat/>
    <w:rsid w:val="00160956"/>
    <w:pPr>
      <w:numPr>
        <w:numId w:val="15"/>
      </w:numPr>
    </w:pPr>
  </w:style>
  <w:style w:type="paragraph" w:customStyle="1" w:styleId="NumberedParaLevel2">
    <w:name w:val="Numbered Para Level 2"/>
    <w:basedOn w:val="Normal"/>
    <w:qFormat/>
    <w:rsid w:val="00160956"/>
    <w:pPr>
      <w:numPr>
        <w:ilvl w:val="1"/>
        <w:numId w:val="15"/>
      </w:numPr>
    </w:pPr>
  </w:style>
  <w:style w:type="numbering" w:customStyle="1" w:styleId="NumberedList">
    <w:name w:val="Numbered List"/>
    <w:uiPriority w:val="99"/>
    <w:rsid w:val="00160956"/>
    <w:pPr>
      <w:numPr>
        <w:numId w:val="3"/>
      </w:numPr>
    </w:pPr>
  </w:style>
  <w:style w:type="paragraph" w:customStyle="1" w:styleId="RoundBullet">
    <w:name w:val="Round Bullet"/>
    <w:basedOn w:val="Normal"/>
    <w:qFormat/>
    <w:rsid w:val="00D229BD"/>
    <w:pPr>
      <w:numPr>
        <w:numId w:val="23"/>
      </w:numPr>
    </w:pPr>
  </w:style>
  <w:style w:type="numbering" w:customStyle="1" w:styleId="BulletList">
    <w:name w:val="Bullet List"/>
    <w:uiPriority w:val="99"/>
    <w:rsid w:val="00D229BD"/>
    <w:pPr>
      <w:numPr>
        <w:numId w:val="7"/>
      </w:numPr>
    </w:pPr>
  </w:style>
  <w:style w:type="paragraph" w:styleId="Subtitle">
    <w:name w:val="Subtitle"/>
    <w:basedOn w:val="Normal"/>
    <w:next w:val="Normal"/>
    <w:link w:val="SubtitleChar"/>
    <w:qFormat/>
    <w:rsid w:val="00CE4C8B"/>
    <w:pPr>
      <w:numPr>
        <w:ilvl w:val="1"/>
      </w:numPr>
      <w:spacing w:after="0" w:line="276" w:lineRule="auto"/>
    </w:pPr>
    <w:rPr>
      <w:rFonts w:asciiTheme="majorHAnsi" w:eastAsiaTheme="minorEastAsia" w:hAnsiTheme="majorHAnsi"/>
      <w:b/>
      <w:color w:val="FFFFFF" w:themeColor="background1"/>
      <w:sz w:val="32"/>
    </w:rPr>
  </w:style>
  <w:style w:type="character" w:customStyle="1" w:styleId="SubtitleChar">
    <w:name w:val="Subtitle Char"/>
    <w:basedOn w:val="DefaultParagraphFont"/>
    <w:link w:val="Subtitle"/>
    <w:rsid w:val="00CE4C8B"/>
    <w:rPr>
      <w:rFonts w:asciiTheme="majorHAnsi" w:eastAsiaTheme="minorEastAsia" w:hAnsiTheme="majorHAnsi"/>
      <w:b/>
      <w:color w:val="FFFFFF" w:themeColor="background1"/>
      <w:sz w:val="32"/>
    </w:rPr>
  </w:style>
  <w:style w:type="table" w:styleId="TableGrid">
    <w:name w:val="Table Grid"/>
    <w:basedOn w:val="TableNormal"/>
    <w:uiPriority w:val="59"/>
    <w:locked/>
    <w:rsid w:val="00BA51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UCBlankTable">
    <w:name w:val="TUC Blank Table"/>
    <w:basedOn w:val="TableNormal"/>
    <w:uiPriority w:val="99"/>
    <w:rsid w:val="0098290C"/>
    <w:pPr>
      <w:spacing w:after="0" w:line="240" w:lineRule="auto"/>
    </w:pPr>
    <w:tblPr>
      <w:tblCellMar>
        <w:top w:w="28" w:type="dxa"/>
        <w:left w:w="28" w:type="dxa"/>
        <w:bottom w:w="28" w:type="dxa"/>
        <w:right w:w="28" w:type="dxa"/>
      </w:tblCellMar>
    </w:tblPr>
  </w:style>
  <w:style w:type="paragraph" w:styleId="NoSpacing">
    <w:name w:val="No Spacing"/>
    <w:basedOn w:val="Normal"/>
    <w:semiHidden/>
    <w:qFormat/>
    <w:rsid w:val="00EC6ADB"/>
    <w:pPr>
      <w:spacing w:after="0"/>
    </w:pPr>
  </w:style>
  <w:style w:type="character" w:customStyle="1" w:styleId="Heading3Char">
    <w:name w:val="Heading 3 Char"/>
    <w:basedOn w:val="DefaultParagraphFont"/>
    <w:link w:val="Heading3"/>
    <w:rsid w:val="003F3BA1"/>
    <w:rPr>
      <w:rFonts w:asciiTheme="majorHAnsi" w:eastAsiaTheme="majorEastAsia" w:hAnsiTheme="majorHAnsi" w:cstheme="majorBidi"/>
      <w:b/>
      <w:color w:val="8F2F68" w:themeColor="accent1"/>
      <w:sz w:val="24"/>
      <w:szCs w:val="24"/>
    </w:rPr>
  </w:style>
  <w:style w:type="paragraph" w:styleId="TOCHeading">
    <w:name w:val="TOC Heading"/>
    <w:basedOn w:val="Heading1"/>
    <w:next w:val="Normal"/>
    <w:uiPriority w:val="39"/>
    <w:semiHidden/>
    <w:qFormat/>
    <w:locked/>
    <w:rsid w:val="00F03D93"/>
    <w:pPr>
      <w:keepNext/>
      <w:keepLines/>
      <w:spacing w:before="240" w:after="0" w:line="259" w:lineRule="auto"/>
      <w:outlineLvl w:val="9"/>
    </w:pPr>
    <w:rPr>
      <w:b w:val="0"/>
      <w:color w:val="6A234D" w:themeColor="accent1" w:themeShade="BF"/>
      <w:lang w:val="en-US"/>
    </w:rPr>
  </w:style>
  <w:style w:type="paragraph" w:styleId="TOC1">
    <w:name w:val="toc 1"/>
    <w:basedOn w:val="Normal"/>
    <w:next w:val="Normal"/>
    <w:autoRedefine/>
    <w:uiPriority w:val="39"/>
    <w:semiHidden/>
    <w:locked/>
    <w:rsid w:val="00F03D93"/>
    <w:pPr>
      <w:spacing w:after="100"/>
    </w:pPr>
  </w:style>
  <w:style w:type="paragraph" w:styleId="TOC2">
    <w:name w:val="toc 2"/>
    <w:basedOn w:val="Normal"/>
    <w:next w:val="Normal"/>
    <w:autoRedefine/>
    <w:uiPriority w:val="39"/>
    <w:semiHidden/>
    <w:locked/>
    <w:rsid w:val="00F03D93"/>
    <w:pPr>
      <w:spacing w:after="100"/>
      <w:ind w:left="210"/>
    </w:pPr>
  </w:style>
  <w:style w:type="paragraph" w:styleId="TOC3">
    <w:name w:val="toc 3"/>
    <w:basedOn w:val="Normal"/>
    <w:next w:val="Normal"/>
    <w:autoRedefine/>
    <w:uiPriority w:val="39"/>
    <w:semiHidden/>
    <w:locked/>
    <w:rsid w:val="00F03D93"/>
    <w:pPr>
      <w:spacing w:after="100"/>
      <w:ind w:left="420"/>
    </w:pPr>
  </w:style>
  <w:style w:type="table" w:customStyle="1" w:styleId="TUCFullWidthTable">
    <w:name w:val="TUC Full Width Table"/>
    <w:basedOn w:val="TableNormal"/>
    <w:uiPriority w:val="99"/>
    <w:rsid w:val="0098290C"/>
    <w:pPr>
      <w:spacing w:after="0" w:line="240" w:lineRule="auto"/>
    </w:pPr>
    <w:tblPr>
      <w:tblBorders>
        <w:bottom w:val="single" w:sz="4" w:space="0" w:color="auto"/>
        <w:insideH w:val="single" w:sz="4" w:space="0" w:color="auto"/>
      </w:tblBorders>
      <w:tblCellMar>
        <w:top w:w="28" w:type="dxa"/>
        <w:left w:w="28" w:type="dxa"/>
        <w:bottom w:w="28" w:type="dxa"/>
        <w:right w:w="28" w:type="dxa"/>
      </w:tblCellMar>
    </w:tblPr>
    <w:tblStylePr w:type="firstRow">
      <w:rPr>
        <w:b/>
        <w:color w:val="8F2F68" w:themeColor="accent1"/>
      </w:rPr>
    </w:tblStylePr>
    <w:tblStylePr w:type="firstCol">
      <w:rPr>
        <w:b/>
      </w:rPr>
    </w:tblStylePr>
  </w:style>
  <w:style w:type="paragraph" w:styleId="BalloonText">
    <w:name w:val="Balloon Text"/>
    <w:basedOn w:val="Normal"/>
    <w:link w:val="BalloonTextChar"/>
    <w:uiPriority w:val="99"/>
    <w:semiHidden/>
    <w:unhideWhenUsed/>
    <w:locked/>
    <w:rsid w:val="00405E99"/>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5E99"/>
    <w:rPr>
      <w:rFonts w:ascii="Segoe UI" w:hAnsi="Segoe UI" w:cs="Segoe UI"/>
      <w:sz w:val="18"/>
      <w:szCs w:val="18"/>
    </w:rPr>
  </w:style>
  <w:style w:type="paragraph" w:styleId="FootnoteText">
    <w:name w:val="footnote text"/>
    <w:basedOn w:val="Normal"/>
    <w:link w:val="FootnoteTextChar"/>
    <w:uiPriority w:val="99"/>
    <w:locked/>
    <w:rsid w:val="008416A8"/>
    <w:pPr>
      <w:spacing w:after="0"/>
    </w:pPr>
    <w:rPr>
      <w:sz w:val="20"/>
      <w:szCs w:val="20"/>
    </w:rPr>
  </w:style>
  <w:style w:type="character" w:customStyle="1" w:styleId="FootnoteTextChar">
    <w:name w:val="Footnote Text Char"/>
    <w:basedOn w:val="DefaultParagraphFont"/>
    <w:link w:val="FootnoteText"/>
    <w:uiPriority w:val="99"/>
    <w:rsid w:val="003A6DB9"/>
    <w:rPr>
      <w:sz w:val="20"/>
      <w:szCs w:val="20"/>
    </w:rPr>
  </w:style>
  <w:style w:type="character" w:styleId="FootnoteReference">
    <w:name w:val="footnote reference"/>
    <w:basedOn w:val="DefaultParagraphFont"/>
    <w:uiPriority w:val="99"/>
    <w:semiHidden/>
    <w:unhideWhenUsed/>
    <w:locked/>
    <w:rsid w:val="008416A8"/>
    <w:rPr>
      <w:vertAlign w:val="superscript"/>
    </w:rPr>
  </w:style>
  <w:style w:type="paragraph" w:styleId="EndnoteText">
    <w:name w:val="endnote text"/>
    <w:basedOn w:val="Normal"/>
    <w:link w:val="EndnoteTextChar"/>
    <w:uiPriority w:val="99"/>
    <w:unhideWhenUsed/>
    <w:locked/>
    <w:rsid w:val="00294406"/>
    <w:pPr>
      <w:spacing w:after="0"/>
    </w:pPr>
    <w:rPr>
      <w:sz w:val="20"/>
      <w:szCs w:val="20"/>
    </w:rPr>
  </w:style>
  <w:style w:type="character" w:customStyle="1" w:styleId="EndnoteTextChar">
    <w:name w:val="Endnote Text Char"/>
    <w:basedOn w:val="DefaultParagraphFont"/>
    <w:link w:val="EndnoteText"/>
    <w:uiPriority w:val="99"/>
    <w:rsid w:val="00294406"/>
    <w:rPr>
      <w:sz w:val="20"/>
      <w:szCs w:val="20"/>
    </w:rPr>
  </w:style>
  <w:style w:type="character" w:styleId="EndnoteReference">
    <w:name w:val="endnote reference"/>
    <w:basedOn w:val="DefaultParagraphFont"/>
    <w:uiPriority w:val="99"/>
    <w:semiHidden/>
    <w:unhideWhenUsed/>
    <w:locked/>
    <w:rsid w:val="00294406"/>
    <w:rPr>
      <w:vertAlign w:val="superscript"/>
    </w:rPr>
  </w:style>
  <w:style w:type="character" w:customStyle="1" w:styleId="Heading4Char">
    <w:name w:val="Heading 4 Char"/>
    <w:basedOn w:val="DefaultParagraphFont"/>
    <w:link w:val="Heading4"/>
    <w:rsid w:val="003F3BA1"/>
    <w:rPr>
      <w:rFonts w:asciiTheme="majorHAnsi" w:eastAsiaTheme="majorEastAsia" w:hAnsiTheme="majorHAnsi" w:cstheme="majorBidi"/>
      <w:i/>
      <w:iCs/>
      <w:color w:val="8F2F68" w:themeColor="accent1"/>
    </w:rPr>
  </w:style>
  <w:style w:type="paragraph" w:customStyle="1" w:styleId="SectionTitle">
    <w:name w:val="Section Title"/>
    <w:basedOn w:val="Normal"/>
    <w:qFormat/>
    <w:rsid w:val="003F3BA1"/>
    <w:pPr>
      <w:spacing w:after="840"/>
    </w:pPr>
    <w:rPr>
      <w:rFonts w:asciiTheme="majorHAnsi" w:hAnsiTheme="majorHAnsi"/>
      <w:b/>
      <w:color w:val="8F2F68" w:themeColor="accent1"/>
      <w:sz w:val="44"/>
    </w:rPr>
  </w:style>
  <w:style w:type="paragraph" w:customStyle="1" w:styleId="SectionNumber">
    <w:name w:val="Section Number"/>
    <w:basedOn w:val="Normal"/>
    <w:qFormat/>
    <w:rsid w:val="003F3BA1"/>
    <w:pPr>
      <w:spacing w:after="0"/>
    </w:pPr>
    <w:rPr>
      <w:sz w:val="21"/>
    </w:rPr>
  </w:style>
  <w:style w:type="paragraph" w:customStyle="1" w:styleId="RomanBullet">
    <w:name w:val="Roman Bullet"/>
    <w:basedOn w:val="Normal"/>
    <w:qFormat/>
    <w:rsid w:val="00160956"/>
    <w:pPr>
      <w:numPr>
        <w:numId w:val="12"/>
      </w:numPr>
    </w:pPr>
  </w:style>
  <w:style w:type="paragraph" w:customStyle="1" w:styleId="AlphaBullet">
    <w:name w:val="Alpha Bullet"/>
    <w:basedOn w:val="Normal"/>
    <w:qFormat/>
    <w:rsid w:val="00DB23AF"/>
    <w:pPr>
      <w:numPr>
        <w:numId w:val="20"/>
      </w:numPr>
    </w:pPr>
  </w:style>
  <w:style w:type="numbering" w:customStyle="1" w:styleId="RomanBulletList">
    <w:name w:val="Roman Bullet List"/>
    <w:uiPriority w:val="99"/>
    <w:rsid w:val="00160956"/>
    <w:pPr>
      <w:numPr>
        <w:numId w:val="12"/>
      </w:numPr>
    </w:pPr>
  </w:style>
  <w:style w:type="numbering" w:customStyle="1" w:styleId="AlphaBulletList">
    <w:name w:val="Alpha Bullet List"/>
    <w:uiPriority w:val="99"/>
    <w:rsid w:val="00DB23AF"/>
    <w:pPr>
      <w:numPr>
        <w:numId w:val="18"/>
      </w:numPr>
    </w:pPr>
  </w:style>
  <w:style w:type="paragraph" w:styleId="ListParagraph">
    <w:name w:val="List Paragraph"/>
    <w:basedOn w:val="Normal"/>
    <w:uiPriority w:val="34"/>
    <w:qFormat/>
    <w:locked/>
    <w:rsid w:val="00CA5A60"/>
    <w:pPr>
      <w:spacing w:after="160" w:line="259" w:lineRule="auto"/>
      <w:ind w:left="720"/>
      <w:contextualSpacing/>
    </w:pPr>
  </w:style>
  <w:style w:type="paragraph" w:styleId="NormalWeb">
    <w:name w:val="Normal (Web)"/>
    <w:basedOn w:val="Normal"/>
    <w:uiPriority w:val="99"/>
    <w:unhideWhenUsed/>
    <w:locked/>
    <w:rsid w:val="00D32B17"/>
    <w:pPr>
      <w:spacing w:before="100" w:beforeAutospacing="1" w:after="100" w:afterAutospacing="1"/>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locked/>
    <w:rsid w:val="00D32B17"/>
    <w:rPr>
      <w:sz w:val="16"/>
      <w:szCs w:val="16"/>
    </w:rPr>
  </w:style>
  <w:style w:type="paragraph" w:styleId="CommentText">
    <w:name w:val="annotation text"/>
    <w:basedOn w:val="Normal"/>
    <w:link w:val="CommentTextChar"/>
    <w:uiPriority w:val="99"/>
    <w:unhideWhenUsed/>
    <w:locked/>
    <w:rsid w:val="00D32B17"/>
    <w:pPr>
      <w:spacing w:after="160"/>
    </w:pPr>
    <w:rPr>
      <w:sz w:val="20"/>
      <w:szCs w:val="20"/>
    </w:rPr>
  </w:style>
  <w:style w:type="character" w:customStyle="1" w:styleId="CommentTextChar">
    <w:name w:val="Comment Text Char"/>
    <w:basedOn w:val="DefaultParagraphFont"/>
    <w:link w:val="CommentText"/>
    <w:uiPriority w:val="99"/>
    <w:rsid w:val="00D32B17"/>
    <w:rPr>
      <w:sz w:val="20"/>
      <w:szCs w:val="20"/>
    </w:rPr>
  </w:style>
  <w:style w:type="character" w:customStyle="1" w:styleId="normaltextrun">
    <w:name w:val="normaltextrun"/>
    <w:basedOn w:val="DefaultParagraphFont"/>
    <w:rsid w:val="00D32B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478183">
      <w:bodyDiv w:val="1"/>
      <w:marLeft w:val="0"/>
      <w:marRight w:val="0"/>
      <w:marTop w:val="0"/>
      <w:marBottom w:val="0"/>
      <w:divBdr>
        <w:top w:val="none" w:sz="0" w:space="0" w:color="auto"/>
        <w:left w:val="none" w:sz="0" w:space="0" w:color="auto"/>
        <w:bottom w:val="none" w:sz="0" w:space="0" w:color="auto"/>
        <w:right w:val="none" w:sz="0" w:space="0" w:color="auto"/>
      </w:divBdr>
    </w:div>
    <w:div w:id="190567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tuc.org.uk/research-analysis/reports/replacement-universal-credit" TargetMode="External"/><Relationship Id="rId26" Type="http://schemas.openxmlformats.org/officeDocument/2006/relationships/hyperlink" Target="https://s3-eu-west-2.amazonaws.com/jotwpublic-prod-storage-1cxo1dnrmkg14/uploads/sites/6/2022/09/Letter-from-Dame-Vera-Baird-to-Brandon-Lewis-MP.pdf" TargetMode="External"/><Relationship Id="rId3" Type="http://schemas.openxmlformats.org/officeDocument/2006/relationships/customXml" Target="../customXml/item3.xml"/><Relationship Id="rId21" Type="http://schemas.openxmlformats.org/officeDocument/2006/relationships/hyperlink" Target="https://www.tuc.org.uk/research-analysis/reports/jobs-and-recovery-monitor-insecure-work"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tuc.org.uk/news/non-disabled-workers-paid-17-more-disabled-peers-tuc" TargetMode="External"/><Relationship Id="rId25" Type="http://schemas.openxmlformats.org/officeDocument/2006/relationships/hyperlink" Target="https://www.womensaid.org.uk/network-of-refuges-in-england-depends-on-services-running-with-no-funding/" TargetMode="External"/><Relationship Id="rId2" Type="http://schemas.openxmlformats.org/officeDocument/2006/relationships/customXml" Target="../customXml/item2.xml"/><Relationship Id="rId16" Type="http://schemas.openxmlformats.org/officeDocument/2006/relationships/hyperlink" Target="https://www.tuc.org.uk/news/now-not-time-turn-our-backs-equality-warns-tuc" TargetMode="External"/><Relationship Id="rId20" Type="http://schemas.openxmlformats.org/officeDocument/2006/relationships/hyperlink" Target="https://www.tuc.org.uk/sites/default/files/2022-08/RacismintheUKlabourmarket.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tuc.org.uk/research-analysis/reports/sexual-harassment-disabled-women-workplace" TargetMode="External"/><Relationship Id="rId5" Type="http://schemas.openxmlformats.org/officeDocument/2006/relationships/numbering" Target="numbering.xml"/><Relationship Id="rId15" Type="http://schemas.openxmlformats.org/officeDocument/2006/relationships/hyperlink" Target="https://prospect.org.uk/article/what-is-the-gender-pension-gap/" TargetMode="External"/><Relationship Id="rId23" Type="http://schemas.openxmlformats.org/officeDocument/2006/relationships/hyperlink" Target="https://www.tuc.org.uk/research-analysis/reports/replacement-universal-credit"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gov.uk/government/publications/the-report-of-the-commission-on-race-and-ethnic-disparit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fs.org.uk/news/barely-any-change-gender-earnings-gap-last-25-years-once-you-account-increases-womens" TargetMode="External"/><Relationship Id="rId22" Type="http://schemas.openxmlformats.org/officeDocument/2006/relationships/hyperlink" Target="https://www.gov.uk/government/publications/good-work-the-taylor-review-of-modern-working-practices" TargetMode="External"/><Relationship Id="rId27" Type="http://schemas.openxmlformats.org/officeDocument/2006/relationships/hyperlink" Target="https://maternityaction.org.uk/campaigns/nhscharging/"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footnotes.xml.rels><?xml version="1.0" encoding="UTF-8" standalone="yes"?>
<Relationships xmlns="http://schemas.openxmlformats.org/package/2006/relationships"><Relationship Id="rId8" Type="http://schemas.openxmlformats.org/officeDocument/2006/relationships/hyperlink" Target="https://www.tuc.org.uk/news/2022-worst-year-real-wage-growth-nearly-half-century" TargetMode="External"/><Relationship Id="rId13" Type="http://schemas.openxmlformats.org/officeDocument/2006/relationships/hyperlink" Target="https://www.tuc.org.uk/news/tuc-calls-overhaul-shared-parental-leave" TargetMode="External"/><Relationship Id="rId18" Type="http://schemas.openxmlformats.org/officeDocument/2006/relationships/hyperlink" Target="https://www.tuc.org.uk/blogs/recovery-properly-crisis-government-must-ensure-people-have-enough-live" TargetMode="External"/><Relationship Id="rId26" Type="http://schemas.openxmlformats.org/officeDocument/2006/relationships/hyperlink" Target="https://www.homecareinsight.co.uk/study-finds-2-6-million-aged-50-now-have-unmet-need-for-social-care/" TargetMode="External"/><Relationship Id="rId3" Type="http://schemas.openxmlformats.org/officeDocument/2006/relationships/hyperlink" Target="https://www.gov.uk/government/news/sea-change-in-uk-boardrooms-as-women-make-up-nearly-40-of-ftse-100-top-table-roles" TargetMode="External"/><Relationship Id="rId21" Type="http://schemas.openxmlformats.org/officeDocument/2006/relationships/hyperlink" Target="https://www.trusselltrust.org/news-and-blog/latest-stats/mid-year-stats/" TargetMode="External"/><Relationship Id="rId34" Type="http://schemas.openxmlformats.org/officeDocument/2006/relationships/hyperlink" Target="https://www.tuc.org.uk/research-analysis/reports/sexual-harassment-lgbt-people-workplace" TargetMode="External"/><Relationship Id="rId7" Type="http://schemas.openxmlformats.org/officeDocument/2006/relationships/hyperlink" Target="https://www.tuc.org.uk/news/tuc-under-21s-face-ps25-billion-minimum-wage-pay-penalty-being-young-workers" TargetMode="External"/><Relationship Id="rId12" Type="http://schemas.openxmlformats.org/officeDocument/2006/relationships/hyperlink" Target="https://www.tuc.org.uk/research-analysis/reports/new-deal-childcare-sector" TargetMode="External"/><Relationship Id="rId17" Type="http://schemas.openxmlformats.org/officeDocument/2006/relationships/hyperlink" Target="https://www.theguardian.com/politics/2022/dec/14/dominic-raab-blocked-victims-commissioners-reappointment" TargetMode="External"/><Relationship Id="rId25" Type="http://schemas.openxmlformats.org/officeDocument/2006/relationships/hyperlink" Target="https://www.bbc.co.uk/news/health-63905269" TargetMode="External"/><Relationship Id="rId33" Type="http://schemas.openxmlformats.org/officeDocument/2006/relationships/hyperlink" Target="https://www.tuc.org.uk/news/one-three-lgbt-people-have-been-harassed-or-bullied-work-says-tuc" TargetMode="External"/><Relationship Id="rId2" Type="http://schemas.openxmlformats.org/officeDocument/2006/relationships/hyperlink" Target="https://www.theguardian.com/society/2022/dec/07/nhs-workers-could-be-banned-from-striking-no-10-suggests" TargetMode="External"/><Relationship Id="rId16" Type="http://schemas.openxmlformats.org/officeDocument/2006/relationships/hyperlink" Target="https://www.womensaid.org.uk/evidence-hub/research-and-publications/the-domestic-abuse-report/" TargetMode="External"/><Relationship Id="rId20" Type="http://schemas.openxmlformats.org/officeDocument/2006/relationships/hyperlink" Target="https://www.tuc.org.uk/news/1-4-children-care-worker-parents-are-growing-poverty" TargetMode="External"/><Relationship Id="rId29" Type="http://schemas.openxmlformats.org/officeDocument/2006/relationships/hyperlink" Target="https://www.theguardian.com/commentisfree/2022/aug/19/abortion-legal-great-britain-women-life-sentences-roe-v-wade" TargetMode="External"/><Relationship Id="rId1" Type="http://schemas.openxmlformats.org/officeDocument/2006/relationships/hyperlink" Target="https://www.tuc.org.uk/research-analysis/reports/tuc-submission-ilo-committee-experts" TargetMode="External"/><Relationship Id="rId6" Type="http://schemas.openxmlformats.org/officeDocument/2006/relationships/hyperlink" Target="https://www.tuc.org.uk/news/tuc-bme-women-twice-likely-be-zero-hours-contracts-white-men" TargetMode="External"/><Relationship Id="rId11" Type="http://schemas.openxmlformats.org/officeDocument/2006/relationships/hyperlink" Target="https://www.gov.uk/government/news/ofsted-annual-report-pandemic-recovery-slowed-by-workforce-crisis-in-childrens-education-and-care" TargetMode="External"/><Relationship Id="rId24" Type="http://schemas.openxmlformats.org/officeDocument/2006/relationships/hyperlink" Target="https://www.tuc.org.uk/research-analysis/reports/better-normal?page=3" TargetMode="External"/><Relationship Id="rId32" Type="http://schemas.openxmlformats.org/officeDocument/2006/relationships/hyperlink" Target="https://www.tuc.org.uk/news/conversion-therapy-ban-should-protect-all-people-says-tuc" TargetMode="External"/><Relationship Id="rId5" Type="http://schemas.openxmlformats.org/officeDocument/2006/relationships/hyperlink" Target="https://www.tuc.org.uk/news/bme-unemployment-rate-over-twice-high-white-workers-gap-widening-through-pandemic" TargetMode="External"/><Relationship Id="rId15" Type="http://schemas.openxmlformats.org/officeDocument/2006/relationships/hyperlink" Target="https://www.tuc.org.uk/research-analysis/reports/good-work-plan-proposals-better-support-families" TargetMode="External"/><Relationship Id="rId23" Type="http://schemas.openxmlformats.org/officeDocument/2006/relationships/hyperlink" Target="https://www.tuc.org.uk/news/around-1-3-key-workers-public-sector-have-taken-steps-leave-their-profession-or-are-actively" TargetMode="External"/><Relationship Id="rId28" Type="http://schemas.openxmlformats.org/officeDocument/2006/relationships/hyperlink" Target="https://abortionrights.org.uk/the-current-situation-in-the-uk/" TargetMode="External"/><Relationship Id="rId10" Type="http://schemas.openxmlformats.org/officeDocument/2006/relationships/hyperlink" Target="https://www.tuc.org.uk/blogs/only-good-well-paid-work-route-out-poverty" TargetMode="External"/><Relationship Id="rId19" Type="http://schemas.openxmlformats.org/officeDocument/2006/relationships/hyperlink" Target="https://www.tuc.org.uk/news/1-7-skipping-meals-and-going-without-food-tuc-mega-poll-reveals" TargetMode="External"/><Relationship Id="rId31" Type="http://schemas.openxmlformats.org/officeDocument/2006/relationships/hyperlink" Target="https://www.ipso.co.uk/news-press-releases/press-releases/new-research-on-reporting-of-trans-issues-shows-400-increase-in-coverage-and-varying-perceptions-on-broader-editorial-standards/" TargetMode="External"/><Relationship Id="rId4" Type="http://schemas.openxmlformats.org/officeDocument/2006/relationships/hyperlink" Target="https://www.tuc.org.uk/research-analysis/reports/jobs-and-pay-monitor-disabled-workers" TargetMode="External"/><Relationship Id="rId9" Type="http://schemas.openxmlformats.org/officeDocument/2006/relationships/hyperlink" Target="https://www.business-humanrights.org/en/latest-news/uk-study-finds-over-half-of-leicester-garment-workers-face-continued-labour-violations-two-years-after-pandemic-revelations-on-working-conditions-incl-below-minimum-wage-pay/" TargetMode="External"/><Relationship Id="rId14" Type="http://schemas.openxmlformats.org/officeDocument/2006/relationships/hyperlink" Target="https://maternityaction.org.uk/wp-content/uploads/Shared-Parental-Leave-briefing-May-2021.pdf" TargetMode="External"/><Relationship Id="rId22" Type="http://schemas.openxmlformats.org/officeDocument/2006/relationships/hyperlink" Target="https://maternityaction.org.uk/wp-content/uploads/WhatPriceSafeMotherhoodFINAL.October.pdf" TargetMode="External"/><Relationship Id="rId27" Type="http://schemas.openxmlformats.org/officeDocument/2006/relationships/hyperlink" Target="https://www.theguardian.com/world/2022/may/04/abortion-services-in-northern-ireland-almost-nonexistent-despite-legalisation" TargetMode="External"/><Relationship Id="rId30" Type="http://schemas.openxmlformats.org/officeDocument/2006/relationships/hyperlink" Target="https://www.thepinknews.com/2021/10/11/hate-crime-rise-transphobic-homophobic/" TargetMode="External"/><Relationship Id="rId35" Type="http://schemas.openxmlformats.org/officeDocument/2006/relationships/hyperlink" Target="https://www.tuc.org.uk/news/1-5-workplaces-do-not-have-any-policies-support-lgbt-staff-tuc-pol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thetuc.sharepoint.com/sites/Assets/Office%20Templates/NATIONAL/New%20briefings%20and%20short%20reports%20with%20simpler,%20accessible%20styles/Short%20reports%20or%20consultations/Standard,%20full%20cover/Short%20Report%20Aubergine%20Cover.dotx" TargetMode="External"/></Relationships>
</file>

<file path=word/theme/theme1.xml><?xml version="1.0" encoding="utf-8"?>
<a:theme xmlns:a="http://schemas.openxmlformats.org/drawingml/2006/main" name="Office Theme">
  <a:themeElements>
    <a:clrScheme name="TUC Aubergine">
      <a:dk1>
        <a:sysClr val="windowText" lastClr="000000"/>
      </a:dk1>
      <a:lt1>
        <a:sysClr val="window" lastClr="FFFFFF"/>
      </a:lt1>
      <a:dk2>
        <a:srgbClr val="44546A"/>
      </a:dk2>
      <a:lt2>
        <a:srgbClr val="E7E6E6"/>
      </a:lt2>
      <a:accent1>
        <a:srgbClr val="8F2F68"/>
      </a:accent1>
      <a:accent2>
        <a:srgbClr val="ED7D31"/>
      </a:accent2>
      <a:accent3>
        <a:srgbClr val="A5A5A5"/>
      </a:accent3>
      <a:accent4>
        <a:srgbClr val="FFC000"/>
      </a:accent4>
      <a:accent5>
        <a:srgbClr val="5B9BD5"/>
      </a:accent5>
      <a:accent6>
        <a:srgbClr val="70AD47"/>
      </a:accent6>
      <a:hlink>
        <a:srgbClr val="3DAEB6"/>
      </a:hlink>
      <a:folHlink>
        <a:srgbClr val="000000"/>
      </a:folHlink>
    </a:clrScheme>
    <a:fontScheme name="TUC 12-19">
      <a:majorFont>
        <a:latin typeface="Rockwell"/>
        <a:ea typeface=""/>
        <a:cs typeface=""/>
      </a:majorFont>
      <a:minorFont>
        <a:latin typeface="Segoe UI"/>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4c7089a6-7e34-4da5-8d2b-dd7bb62097c5"/>
    <faa3cc5799324826a6a1c854d04a1bb4 xmlns="15639435-3344-42b8-84ba-1aba8285284b">
      <Terms xmlns="http://schemas.microsoft.com/office/infopath/2007/PartnerControls"/>
    </faa3cc5799324826a6a1c854d04a1bb4>
    <pac5306e5ccd42b8a1d198e64d4acd73 xmlns="15639435-3344-42b8-84ba-1aba8285284b">
      <Terms xmlns="http://schemas.microsoft.com/office/infopath/2007/PartnerControls"/>
    </pac5306e5ccd42b8a1d198e64d4acd73>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173C045DB08AC4C8F2F5751045AC4E7" ma:contentTypeVersion="16" ma:contentTypeDescription="Create a new document." ma:contentTypeScope="" ma:versionID="cec8f0312450fbc98a83dc9b4f6ebdbf">
  <xsd:schema xmlns:xsd="http://www.w3.org/2001/XMLSchema" xmlns:xs="http://www.w3.org/2001/XMLSchema" xmlns:p="http://schemas.microsoft.com/office/2006/metadata/properties" xmlns:ns2="15639435-3344-42b8-84ba-1aba8285284b" xmlns:ns3="4c7089a6-7e34-4da5-8d2b-dd7bb62097c5" xmlns:ns4="5048c64f-7ceb-48b7-9b3f-e9fbba056b44" targetNamespace="http://schemas.microsoft.com/office/2006/metadata/properties" ma:root="true" ma:fieldsID="a9a32816551c155da89182a962da96c0" ns2:_="" ns3:_="" ns4:_="">
    <xsd:import namespace="15639435-3344-42b8-84ba-1aba8285284b"/>
    <xsd:import namespace="4c7089a6-7e34-4da5-8d2b-dd7bb62097c5"/>
    <xsd:import namespace="5048c64f-7ceb-48b7-9b3f-e9fbba056b44"/>
    <xsd:element name="properties">
      <xsd:complexType>
        <xsd:sequence>
          <xsd:element name="documentManagement">
            <xsd:complexType>
              <xsd:all>
                <xsd:element ref="ns2:faa3cc5799324826a6a1c854d04a1bb4" minOccurs="0"/>
                <xsd:element ref="ns3:TaxCatchAll" minOccurs="0"/>
                <xsd:element ref="ns2:pac5306e5ccd42b8a1d198e64d4acd73" minOccurs="0"/>
                <xsd:element ref="ns4:MediaServiceMetadata" minOccurs="0"/>
                <xsd:element ref="ns4:MediaServiceFastMetadata" minOccurs="0"/>
                <xsd:element ref="ns4:MediaServiceDateTaken" minOccurs="0"/>
                <xsd:element ref="ns4:MediaServiceAutoTags" minOccurs="0"/>
                <xsd:element ref="ns4:MediaServiceOCR" minOccurs="0"/>
                <xsd:element ref="ns2:SharedWithUsers" minOccurs="0"/>
                <xsd:element ref="ns2:SharedWithDetails" minOccurs="0"/>
                <xsd:element ref="ns4:MediaServiceAutoKeyPoints" minOccurs="0"/>
                <xsd:element ref="ns4:MediaServiceKeyPoint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639435-3344-42b8-84ba-1aba8285284b" elementFormDefault="qualified">
    <xsd:import namespace="http://schemas.microsoft.com/office/2006/documentManagement/types"/>
    <xsd:import namespace="http://schemas.microsoft.com/office/infopath/2007/PartnerControls"/>
    <xsd:element name="faa3cc5799324826a6a1c854d04a1bb4" ma:index="9" nillable="true" ma:taxonomy="true" ma:internalName="faa3cc5799324826a6a1c854d04a1bb4" ma:taxonomyFieldName="Country_x0020_or_x0020_Region" ma:displayName="Country or Region" ma:default="" ma:fieldId="{faa3cc57-9932-4826-a6a1-c854d04a1bb4}" ma:taxonomyMulti="true" ma:sspId="99b51fab-051d-45c2-bf11-9453f0790ff8" ma:termSetId="980037d4-592c-49d0-88b0-54cc4ab12c20" ma:anchorId="00000000-0000-0000-0000-000000000000" ma:open="false" ma:isKeyword="false">
      <xsd:complexType>
        <xsd:sequence>
          <xsd:element ref="pc:Terms" minOccurs="0" maxOccurs="1"/>
        </xsd:sequence>
      </xsd:complexType>
    </xsd:element>
    <xsd:element name="pac5306e5ccd42b8a1d198e64d4acd73" ma:index="12" nillable="true" ma:taxonomy="true" ma:internalName="pac5306e5ccd42b8a1d198e64d4acd73" ma:taxonomyFieldName="Organisations" ma:displayName="Organisations" ma:default="" ma:fieldId="{9ac5306e-5ccd-42b8-a1d1-98e64d4acd73}" ma:taxonomyMulti="true" ma:sspId="99b51fab-051d-45c2-bf11-9453f0790ff8" ma:termSetId="1961eac8-ad23-40a3-8ea5-da1d45d7ae95" ma:anchorId="00000000-0000-0000-0000-000000000000" ma:open="false" ma:isKeyword="false">
      <xsd:complexType>
        <xsd:sequence>
          <xsd:element ref="pc:Terms" minOccurs="0" maxOccurs="1"/>
        </xsd:sequence>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c7089a6-7e34-4da5-8d2b-dd7bb62097c5"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db7db578-5889-491a-a5f2-13ab21c72de0}" ma:internalName="TaxCatchAll" ma:showField="CatchAllData" ma:web="15639435-3344-42b8-84ba-1aba8285284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048c64f-7ceb-48b7-9b3f-e9fbba056b44"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MediaServiceAutoTags"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815912-14F2-4574-8A87-282DE8670366}">
  <ds:schemaRefs>
    <ds:schemaRef ds:uri="http://schemas.microsoft.com/sharepoint/v3/contenttype/forms"/>
  </ds:schemaRefs>
</ds:datastoreItem>
</file>

<file path=customXml/itemProps2.xml><?xml version="1.0" encoding="utf-8"?>
<ds:datastoreItem xmlns:ds="http://schemas.openxmlformats.org/officeDocument/2006/customXml" ds:itemID="{D548C9CD-8916-4EA9-8F6E-0C5B0C59D54F}">
  <ds:schemaRefs>
    <ds:schemaRef ds:uri="http://schemas.openxmlformats.org/officeDocument/2006/bibliography"/>
  </ds:schemaRefs>
</ds:datastoreItem>
</file>

<file path=customXml/itemProps3.xml><?xml version="1.0" encoding="utf-8"?>
<ds:datastoreItem xmlns:ds="http://schemas.openxmlformats.org/officeDocument/2006/customXml" ds:itemID="{494B4403-8168-4A04-949B-A65E39E15A4D}">
  <ds:schemaRefs>
    <ds:schemaRef ds:uri="http://schemas.microsoft.com/office/2006/metadata/properties"/>
    <ds:schemaRef ds:uri="http://purl.org/dc/elements/1.1/"/>
    <ds:schemaRef ds:uri="http://purl.org/dc/terms/"/>
    <ds:schemaRef ds:uri="http://schemas.openxmlformats.org/package/2006/metadata/core-properties"/>
    <ds:schemaRef ds:uri="http://schemas.microsoft.com/office/infopath/2007/PartnerControls"/>
    <ds:schemaRef ds:uri="http://purl.org/dc/dcmitype/"/>
    <ds:schemaRef ds:uri="15639435-3344-42b8-84ba-1aba8285284b"/>
    <ds:schemaRef ds:uri="http://schemas.microsoft.com/office/2006/documentManagement/types"/>
    <ds:schemaRef ds:uri="5048c64f-7ceb-48b7-9b3f-e9fbba056b44"/>
    <ds:schemaRef ds:uri="4c7089a6-7e34-4da5-8d2b-dd7bb62097c5"/>
    <ds:schemaRef ds:uri="http://www.w3.org/XML/1998/namespace"/>
  </ds:schemaRefs>
</ds:datastoreItem>
</file>

<file path=customXml/itemProps4.xml><?xml version="1.0" encoding="utf-8"?>
<ds:datastoreItem xmlns:ds="http://schemas.openxmlformats.org/officeDocument/2006/customXml" ds:itemID="{B2B5B888-857F-464C-A9A5-84BBA2116F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639435-3344-42b8-84ba-1aba8285284b"/>
    <ds:schemaRef ds:uri="4c7089a6-7e34-4da5-8d2b-dd7bb62097c5"/>
    <ds:schemaRef ds:uri="5048c64f-7ceb-48b7-9b3f-e9fbba056b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Short%20Report%20Aubergine%20Cover</Template>
  <TotalTime>3</TotalTime>
  <Pages>13</Pages>
  <Words>4202</Words>
  <Characters>23957</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Russell</dc:creator>
  <cp:keywords/>
  <dc:description/>
  <cp:lastModifiedBy>Stephen Russell</cp:lastModifiedBy>
  <cp:revision>2</cp:revision>
  <cp:lastPrinted>2022-12-19T17:28:00Z</cp:lastPrinted>
  <dcterms:created xsi:type="dcterms:W3CDTF">2022-12-19T17:31:00Z</dcterms:created>
  <dcterms:modified xsi:type="dcterms:W3CDTF">2022-12-19T17:31:00Z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0x010100C173C045DB08AC4C8F2F5751045AC4E7</vt:lpwstr>
  </property>
</Properties>
</file>