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A1C0A" w14:textId="58C6BFFC" w:rsidR="00041B4C" w:rsidRPr="00FF5544" w:rsidRDefault="00BE46B1" w:rsidP="0055173B">
      <w:pPr>
        <w:widowControl w:val="0"/>
        <w:pBdr>
          <w:top w:val="nil"/>
          <w:left w:val="nil"/>
          <w:bottom w:val="nil"/>
          <w:right w:val="nil"/>
          <w:between w:val="nil"/>
        </w:pBdr>
        <w:spacing w:before="315" w:line="240" w:lineRule="auto"/>
        <w:ind w:left="936" w:right="61"/>
        <w:jc w:val="center"/>
        <w:rPr>
          <w:rFonts w:ascii="Cambria" w:eastAsia="Cambria" w:hAnsi="Cambria" w:cs="Cambria"/>
          <w:b/>
          <w:color w:val="000000"/>
          <w:sz w:val="28"/>
          <w:szCs w:val="28"/>
        </w:rPr>
      </w:pPr>
      <w:r w:rsidRPr="00FF5544">
        <w:rPr>
          <w:rFonts w:ascii="Cambria" w:eastAsia="Cambria" w:hAnsi="Cambria" w:cs="Cambria"/>
          <w:b/>
          <w:color w:val="000000"/>
          <w:sz w:val="28"/>
          <w:szCs w:val="28"/>
        </w:rPr>
        <w:t xml:space="preserve">Submission from the Committee on the Administration of Justice (CAJ) to the United Nations </w:t>
      </w:r>
      <w:r w:rsidR="0055173B">
        <w:rPr>
          <w:rFonts w:ascii="Cambria" w:eastAsia="Cambria" w:hAnsi="Cambria" w:cs="Cambria"/>
          <w:b/>
          <w:color w:val="000000"/>
          <w:sz w:val="28"/>
          <w:szCs w:val="28"/>
        </w:rPr>
        <w:t xml:space="preserve">Committee on Economic, Social and Cultural </w:t>
      </w:r>
      <w:r w:rsidRPr="00FF5544">
        <w:rPr>
          <w:rFonts w:ascii="Cambria" w:eastAsia="Cambria" w:hAnsi="Cambria" w:cs="Cambria"/>
          <w:b/>
          <w:color w:val="000000"/>
          <w:sz w:val="28"/>
          <w:szCs w:val="28"/>
        </w:rPr>
        <w:t xml:space="preserve">Rights on the </w:t>
      </w:r>
      <w:r w:rsidRPr="00FF5544">
        <w:rPr>
          <w:rFonts w:ascii="Cambria" w:eastAsia="Cambria" w:hAnsi="Cambria" w:cs="Cambria"/>
          <w:b/>
          <w:sz w:val="28"/>
          <w:szCs w:val="28"/>
        </w:rPr>
        <w:t>7th</w:t>
      </w:r>
      <w:r w:rsidRPr="00FF5544">
        <w:rPr>
          <w:rFonts w:ascii="Cambria" w:eastAsia="Cambria" w:hAnsi="Cambria" w:cs="Cambria"/>
          <w:b/>
          <w:color w:val="000000"/>
          <w:sz w:val="28"/>
          <w:szCs w:val="28"/>
        </w:rPr>
        <w:t xml:space="preserve"> P</w:t>
      </w:r>
      <w:r w:rsidRPr="00FF5544">
        <w:rPr>
          <w:rFonts w:ascii="Cambria" w:eastAsia="Cambria" w:hAnsi="Cambria" w:cs="Cambria"/>
          <w:b/>
          <w:sz w:val="28"/>
          <w:szCs w:val="28"/>
        </w:rPr>
        <w:t xml:space="preserve">eriodic Report submitted by the United Kingdom under the </w:t>
      </w:r>
      <w:r w:rsidR="00540F53" w:rsidRPr="00FF5544">
        <w:rPr>
          <w:rFonts w:ascii="Cambria" w:eastAsia="Cambria" w:hAnsi="Cambria" w:cs="Cambria"/>
          <w:b/>
          <w:sz w:val="28"/>
          <w:szCs w:val="28"/>
        </w:rPr>
        <w:t xml:space="preserve">International Covenant </w:t>
      </w:r>
      <w:r w:rsidRPr="00FF5544">
        <w:rPr>
          <w:rFonts w:ascii="Cambria" w:eastAsia="Cambria" w:hAnsi="Cambria" w:cs="Cambria"/>
          <w:b/>
          <w:color w:val="000000"/>
          <w:sz w:val="28"/>
          <w:szCs w:val="28"/>
        </w:rPr>
        <w:t>on Economic, Social and Cultural Rights (</w:t>
      </w:r>
      <w:r w:rsidR="00540F53" w:rsidRPr="00FF5544">
        <w:rPr>
          <w:rFonts w:ascii="Cambria" w:eastAsia="Cambria" w:hAnsi="Cambria" w:cs="Cambria"/>
          <w:b/>
          <w:color w:val="000000"/>
          <w:sz w:val="28"/>
          <w:szCs w:val="28"/>
        </w:rPr>
        <w:t>I</w:t>
      </w:r>
      <w:r w:rsidRPr="00FF5544">
        <w:rPr>
          <w:rFonts w:ascii="Cambria" w:eastAsia="Cambria" w:hAnsi="Cambria" w:cs="Cambria"/>
          <w:b/>
          <w:color w:val="000000"/>
          <w:sz w:val="28"/>
          <w:szCs w:val="28"/>
        </w:rPr>
        <w:t xml:space="preserve">CESCR) </w:t>
      </w:r>
    </w:p>
    <w:p w14:paraId="59D25F8F" w14:textId="77777777" w:rsidR="00041B4C" w:rsidRPr="00FF5544" w:rsidRDefault="00BE46B1" w:rsidP="0055173B">
      <w:pPr>
        <w:widowControl w:val="0"/>
        <w:pBdr>
          <w:top w:val="nil"/>
          <w:left w:val="nil"/>
          <w:bottom w:val="nil"/>
          <w:right w:val="nil"/>
          <w:between w:val="nil"/>
        </w:pBdr>
        <w:spacing w:before="334" w:line="240" w:lineRule="auto"/>
        <w:ind w:left="1609" w:right="747"/>
        <w:jc w:val="center"/>
        <w:rPr>
          <w:rFonts w:ascii="Cambria" w:eastAsia="Cambria" w:hAnsi="Cambria" w:cs="Cambria"/>
          <w:b/>
          <w:color w:val="000000"/>
          <w:sz w:val="28"/>
          <w:szCs w:val="28"/>
        </w:rPr>
      </w:pPr>
      <w:r w:rsidRPr="00FF5544">
        <w:rPr>
          <w:rFonts w:ascii="Cambria" w:eastAsia="Cambria" w:hAnsi="Cambria" w:cs="Cambria"/>
          <w:b/>
          <w:sz w:val="28"/>
          <w:szCs w:val="28"/>
        </w:rPr>
        <w:t xml:space="preserve">Compliance with the ICESCR and Northern Ireland </w:t>
      </w:r>
      <w:r w:rsidRPr="00FF5544">
        <w:rPr>
          <w:rFonts w:ascii="Cambria" w:eastAsia="Cambria" w:hAnsi="Cambria" w:cs="Cambria"/>
          <w:b/>
          <w:sz w:val="28"/>
          <w:szCs w:val="28"/>
        </w:rPr>
        <w:br/>
        <w:t>December</w:t>
      </w:r>
      <w:r w:rsidRPr="00FF5544">
        <w:rPr>
          <w:rFonts w:ascii="Cambria" w:eastAsia="Cambria" w:hAnsi="Cambria" w:cs="Cambria"/>
          <w:b/>
          <w:color w:val="000000"/>
          <w:sz w:val="28"/>
          <w:szCs w:val="28"/>
        </w:rPr>
        <w:t xml:space="preserve"> 202</w:t>
      </w:r>
      <w:r w:rsidRPr="00FF5544">
        <w:rPr>
          <w:rFonts w:ascii="Cambria" w:eastAsia="Cambria" w:hAnsi="Cambria" w:cs="Cambria"/>
          <w:b/>
          <w:sz w:val="28"/>
          <w:szCs w:val="28"/>
        </w:rPr>
        <w:t>4</w:t>
      </w:r>
    </w:p>
    <w:p w14:paraId="180067DD" w14:textId="5BC00CF9" w:rsidR="0055173B" w:rsidRPr="00FF5544" w:rsidRDefault="00BE46B1" w:rsidP="0055173B">
      <w:pPr>
        <w:spacing w:line="240" w:lineRule="auto"/>
        <w:rPr>
          <w:rFonts w:ascii="Calibri" w:eastAsia="Calibri" w:hAnsi="Calibri" w:cs="Calibri"/>
          <w:sz w:val="24"/>
          <w:szCs w:val="24"/>
        </w:rPr>
      </w:pPr>
      <w:r w:rsidRPr="00FF5544">
        <w:rPr>
          <w:rFonts w:ascii="Cambria" w:eastAsia="Cambria" w:hAnsi="Cambria" w:cs="Cambria"/>
          <w:b/>
          <w:sz w:val="24"/>
          <w:szCs w:val="24"/>
        </w:rPr>
        <w:t xml:space="preserve">About CAJ </w:t>
      </w:r>
      <w:r w:rsidRPr="00FF5544">
        <w:rPr>
          <w:rFonts w:ascii="Cambria" w:eastAsia="Cambria" w:hAnsi="Cambria" w:cs="Cambria"/>
          <w:b/>
          <w:sz w:val="24"/>
          <w:szCs w:val="24"/>
        </w:rPr>
        <w:br/>
      </w:r>
      <w:r w:rsidRPr="00FF5544">
        <w:rPr>
          <w:rFonts w:ascii="Calibri" w:eastAsia="Calibri" w:hAnsi="Calibri" w:cs="Calibri"/>
          <w:sz w:val="24"/>
          <w:szCs w:val="24"/>
        </w:rPr>
        <w:t>The Committee on the Administration of Justice (CAJ) is an independent human rights NGO with cross community membership in Northern Ireland and beyond. It was established in 1981 and campaigns on a broad range of human rights issues. CAJ seeks to secure the highest standards in the administration of justice in Northern Ireland by</w:t>
      </w:r>
      <w:r w:rsidR="000B77FD" w:rsidRPr="00FF5544">
        <w:rPr>
          <w:rFonts w:ascii="Calibri" w:eastAsia="Calibri" w:hAnsi="Calibri" w:cs="Calibri"/>
          <w:sz w:val="24"/>
          <w:szCs w:val="24"/>
        </w:rPr>
        <w:t xml:space="preserve"> </w:t>
      </w:r>
      <w:r w:rsidRPr="00FF5544">
        <w:rPr>
          <w:rFonts w:ascii="Calibri" w:eastAsia="Calibri" w:hAnsi="Calibri" w:cs="Calibri"/>
          <w:sz w:val="24"/>
          <w:szCs w:val="24"/>
        </w:rPr>
        <w:t xml:space="preserve">ensuring that the government complies with its international human rights obligations. CAJ is the UK member of the International Federation of Human Rights (FIDH) and is co-convener, alongside the trade union, UNISON, of the Equality Coalition which is a network of over 100 equality NGOs and trade unions campaigning for equality in Northern Ireland (NI). </w:t>
      </w:r>
      <w:r w:rsidR="0055173B" w:rsidRPr="00FF5544">
        <w:rPr>
          <w:rFonts w:ascii="Calibri" w:eastAsia="Calibri" w:hAnsi="Calibri" w:cs="Calibri"/>
          <w:sz w:val="24"/>
          <w:szCs w:val="24"/>
        </w:rPr>
        <w:t>CAJ regularly engages with Council of Europe and United Nations monitoring mechanisms</w:t>
      </w:r>
      <w:r w:rsidR="00F25E1E">
        <w:rPr>
          <w:rFonts w:ascii="Calibri" w:eastAsia="Calibri" w:hAnsi="Calibri" w:cs="Calibri"/>
          <w:sz w:val="24"/>
          <w:szCs w:val="24"/>
        </w:rPr>
        <w:t>.</w:t>
      </w:r>
    </w:p>
    <w:p w14:paraId="52A024A4" w14:textId="77777777" w:rsidR="00041B4C" w:rsidRPr="00FF5544" w:rsidRDefault="00041B4C" w:rsidP="0055173B">
      <w:pPr>
        <w:spacing w:line="240" w:lineRule="auto"/>
        <w:rPr>
          <w:rFonts w:ascii="Calibri" w:eastAsia="Calibri" w:hAnsi="Calibri" w:cs="Calibri"/>
          <w:sz w:val="24"/>
          <w:szCs w:val="24"/>
        </w:rPr>
      </w:pPr>
    </w:p>
    <w:p w14:paraId="7DF9E31B" w14:textId="03FEDF26" w:rsidR="00041B4C" w:rsidRPr="00FF5544" w:rsidRDefault="0055173B" w:rsidP="0055173B">
      <w:pPr>
        <w:spacing w:line="240" w:lineRule="auto"/>
        <w:rPr>
          <w:rFonts w:ascii="Calibri" w:eastAsia="Calibri" w:hAnsi="Calibri" w:cs="Calibri"/>
          <w:sz w:val="24"/>
          <w:szCs w:val="24"/>
        </w:rPr>
      </w:pPr>
      <w:r w:rsidRPr="00FF5544">
        <w:rPr>
          <w:rFonts w:ascii="Cambria" w:eastAsia="Cambria" w:hAnsi="Cambria" w:cs="Cambria"/>
          <w:b/>
          <w:sz w:val="24"/>
          <w:szCs w:val="24"/>
        </w:rPr>
        <w:t>Focus of this submission</w:t>
      </w:r>
    </w:p>
    <w:p w14:paraId="32863965" w14:textId="22289127" w:rsidR="00F25E1E" w:rsidRDefault="0055173B" w:rsidP="006630D1">
      <w:pPr>
        <w:spacing w:after="120" w:line="240" w:lineRule="auto"/>
        <w:rPr>
          <w:rFonts w:ascii="Calibri" w:eastAsia="Calibri" w:hAnsi="Calibri" w:cs="Calibri"/>
          <w:sz w:val="24"/>
          <w:szCs w:val="24"/>
        </w:rPr>
      </w:pPr>
      <w:r>
        <w:rPr>
          <w:rFonts w:ascii="Calibri" w:eastAsia="Calibri" w:hAnsi="Calibri" w:cs="Calibri"/>
          <w:sz w:val="24"/>
          <w:szCs w:val="24"/>
        </w:rPr>
        <w:t xml:space="preserve">The UK </w:t>
      </w:r>
      <w:r w:rsidR="00F25E1E">
        <w:rPr>
          <w:rFonts w:ascii="Calibri" w:eastAsia="Calibri" w:hAnsi="Calibri" w:cs="Calibri"/>
          <w:sz w:val="24"/>
          <w:szCs w:val="24"/>
        </w:rPr>
        <w:t>7</w:t>
      </w:r>
      <w:r w:rsidR="00F25E1E" w:rsidRPr="00F25E1E">
        <w:rPr>
          <w:rFonts w:ascii="Calibri" w:eastAsia="Calibri" w:hAnsi="Calibri" w:cs="Calibri"/>
          <w:sz w:val="24"/>
          <w:szCs w:val="24"/>
          <w:vertAlign w:val="superscript"/>
        </w:rPr>
        <w:t>th</w:t>
      </w:r>
      <w:r w:rsidR="00F25E1E">
        <w:rPr>
          <w:rFonts w:ascii="Calibri" w:eastAsia="Calibri" w:hAnsi="Calibri" w:cs="Calibri"/>
          <w:sz w:val="24"/>
          <w:szCs w:val="24"/>
        </w:rPr>
        <w:t xml:space="preserve"> Periodic</w:t>
      </w:r>
      <w:r>
        <w:rPr>
          <w:rFonts w:ascii="Calibri" w:eastAsia="Calibri" w:hAnsi="Calibri" w:cs="Calibri"/>
          <w:sz w:val="24"/>
          <w:szCs w:val="24"/>
        </w:rPr>
        <w:t xml:space="preserve"> Report </w:t>
      </w:r>
      <w:r w:rsidR="00F25E1E">
        <w:rPr>
          <w:rFonts w:ascii="Calibri" w:eastAsia="Calibri" w:hAnsi="Calibri" w:cs="Calibri"/>
          <w:sz w:val="24"/>
          <w:szCs w:val="24"/>
        </w:rPr>
        <w:t xml:space="preserve">to the Committee </w:t>
      </w:r>
      <w:r>
        <w:rPr>
          <w:rFonts w:ascii="Calibri" w:eastAsia="Calibri" w:hAnsi="Calibri" w:cs="Calibri"/>
          <w:sz w:val="24"/>
          <w:szCs w:val="24"/>
        </w:rPr>
        <w:t xml:space="preserve">was issued in </w:t>
      </w:r>
      <w:r w:rsidR="00F25E1E">
        <w:rPr>
          <w:rFonts w:ascii="Calibri" w:eastAsia="Calibri" w:hAnsi="Calibri" w:cs="Calibri"/>
          <w:sz w:val="24"/>
          <w:szCs w:val="24"/>
        </w:rPr>
        <w:t xml:space="preserve">June </w:t>
      </w:r>
      <w:r>
        <w:rPr>
          <w:rFonts w:ascii="Calibri" w:eastAsia="Calibri" w:hAnsi="Calibri" w:cs="Calibri"/>
          <w:sz w:val="24"/>
          <w:szCs w:val="24"/>
        </w:rPr>
        <w:t>2022</w:t>
      </w:r>
      <w:r w:rsidR="00F25E1E">
        <w:rPr>
          <w:rFonts w:ascii="Calibri" w:eastAsia="Calibri" w:hAnsi="Calibri" w:cs="Calibri"/>
          <w:sz w:val="24"/>
          <w:szCs w:val="24"/>
        </w:rPr>
        <w:t>.</w:t>
      </w:r>
      <w:r w:rsidR="00F25E1E">
        <w:rPr>
          <w:rStyle w:val="FootnoteReference"/>
          <w:rFonts w:ascii="Calibri" w:eastAsia="Calibri" w:hAnsi="Calibri" w:cs="Calibri"/>
          <w:sz w:val="24"/>
          <w:szCs w:val="24"/>
        </w:rPr>
        <w:footnoteReference w:id="1"/>
      </w:r>
      <w:r w:rsidR="00F25E1E">
        <w:rPr>
          <w:rFonts w:ascii="Calibri" w:eastAsia="Calibri" w:hAnsi="Calibri" w:cs="Calibri"/>
          <w:sz w:val="24"/>
          <w:szCs w:val="24"/>
        </w:rPr>
        <w:t xml:space="preserve"> CAJ provided a submission to the Committee’s pre-sessional working group on the List of Issues in January 2023.</w:t>
      </w:r>
      <w:r w:rsidR="00F25E1E">
        <w:rPr>
          <w:rStyle w:val="FootnoteReference"/>
          <w:rFonts w:ascii="Calibri" w:eastAsia="Calibri" w:hAnsi="Calibri" w:cs="Calibri"/>
          <w:sz w:val="24"/>
          <w:szCs w:val="24"/>
        </w:rPr>
        <w:footnoteReference w:id="2"/>
      </w:r>
      <w:r w:rsidR="00F25E1E">
        <w:rPr>
          <w:rFonts w:ascii="Calibri" w:eastAsia="Calibri" w:hAnsi="Calibri" w:cs="Calibri"/>
          <w:sz w:val="24"/>
          <w:szCs w:val="24"/>
        </w:rPr>
        <w:t xml:space="preserve"> This submission</w:t>
      </w:r>
      <w:r w:rsidR="00CB3114">
        <w:rPr>
          <w:rFonts w:ascii="Calibri" w:eastAsia="Calibri" w:hAnsi="Calibri" w:cs="Calibri"/>
          <w:sz w:val="24"/>
          <w:szCs w:val="24"/>
        </w:rPr>
        <w:t>,</w:t>
      </w:r>
      <w:r w:rsidR="00F25E1E">
        <w:rPr>
          <w:rFonts w:ascii="Calibri" w:eastAsia="Calibri" w:hAnsi="Calibri" w:cs="Calibri"/>
          <w:sz w:val="24"/>
          <w:szCs w:val="24"/>
        </w:rPr>
        <w:t xml:space="preserve"> in advance of the </w:t>
      </w:r>
      <w:r w:rsidR="009B1241">
        <w:rPr>
          <w:rFonts w:ascii="Calibri" w:eastAsia="Calibri" w:hAnsi="Calibri" w:cs="Calibri"/>
          <w:sz w:val="24"/>
          <w:szCs w:val="24"/>
        </w:rPr>
        <w:t>Committee’s 77</w:t>
      </w:r>
      <w:r w:rsidR="00CB3114" w:rsidRPr="006630D1">
        <w:rPr>
          <w:rFonts w:ascii="Calibri" w:eastAsia="Calibri" w:hAnsi="Calibri" w:cs="Calibri"/>
          <w:sz w:val="24"/>
          <w:szCs w:val="24"/>
          <w:vertAlign w:val="superscript"/>
        </w:rPr>
        <w:t>th</w:t>
      </w:r>
      <w:r w:rsidR="00CB3114">
        <w:rPr>
          <w:rFonts w:ascii="Calibri" w:eastAsia="Calibri" w:hAnsi="Calibri" w:cs="Calibri"/>
          <w:sz w:val="24"/>
          <w:szCs w:val="24"/>
        </w:rPr>
        <w:t xml:space="preserve"> </w:t>
      </w:r>
      <w:r w:rsidR="009B1241">
        <w:rPr>
          <w:rFonts w:ascii="Calibri" w:eastAsia="Calibri" w:hAnsi="Calibri" w:cs="Calibri"/>
          <w:sz w:val="24"/>
          <w:szCs w:val="24"/>
        </w:rPr>
        <w:t xml:space="preserve">session in February </w:t>
      </w:r>
      <w:r w:rsidR="00F25E1E">
        <w:rPr>
          <w:rFonts w:ascii="Calibri" w:eastAsia="Calibri" w:hAnsi="Calibri" w:cs="Calibri"/>
          <w:sz w:val="24"/>
          <w:szCs w:val="24"/>
        </w:rPr>
        <w:t>2025</w:t>
      </w:r>
      <w:r w:rsidR="009B1241">
        <w:rPr>
          <w:rFonts w:ascii="Calibri" w:eastAsia="Calibri" w:hAnsi="Calibri" w:cs="Calibri"/>
          <w:sz w:val="24"/>
          <w:szCs w:val="24"/>
        </w:rPr>
        <w:t xml:space="preserve"> where the UK will be examined</w:t>
      </w:r>
      <w:r w:rsidR="00CB3114">
        <w:rPr>
          <w:rFonts w:ascii="Calibri" w:eastAsia="Calibri" w:hAnsi="Calibri" w:cs="Calibri"/>
          <w:sz w:val="24"/>
          <w:szCs w:val="24"/>
        </w:rPr>
        <w:t>,</w:t>
      </w:r>
      <w:r w:rsidR="009B1241">
        <w:rPr>
          <w:rStyle w:val="FootnoteReference"/>
          <w:rFonts w:ascii="Calibri" w:eastAsia="Calibri" w:hAnsi="Calibri" w:cs="Calibri"/>
          <w:sz w:val="24"/>
          <w:szCs w:val="24"/>
        </w:rPr>
        <w:footnoteReference w:id="3"/>
      </w:r>
      <w:r w:rsidR="00F25E1E">
        <w:rPr>
          <w:rFonts w:ascii="Calibri" w:eastAsia="Calibri" w:hAnsi="Calibri" w:cs="Calibri"/>
          <w:sz w:val="24"/>
          <w:szCs w:val="24"/>
        </w:rPr>
        <w:t xml:space="preserve"> focuses on the fo</w:t>
      </w:r>
      <w:r w:rsidR="009B1241">
        <w:rPr>
          <w:rFonts w:ascii="Calibri" w:eastAsia="Calibri" w:hAnsi="Calibri" w:cs="Calibri"/>
          <w:sz w:val="24"/>
          <w:szCs w:val="24"/>
        </w:rPr>
        <w:t>llowing areas of the Committee’s List of Issues:</w:t>
      </w:r>
      <w:r w:rsidR="009B1241">
        <w:rPr>
          <w:rStyle w:val="FootnoteReference"/>
          <w:rFonts w:ascii="Calibri" w:eastAsia="Calibri" w:hAnsi="Calibri" w:cs="Calibri"/>
          <w:sz w:val="24"/>
          <w:szCs w:val="24"/>
        </w:rPr>
        <w:footnoteReference w:id="4"/>
      </w:r>
      <w:r w:rsidR="009B1241">
        <w:rPr>
          <w:rFonts w:ascii="Calibri" w:eastAsia="Calibri" w:hAnsi="Calibri" w:cs="Calibri"/>
          <w:sz w:val="24"/>
          <w:szCs w:val="24"/>
        </w:rPr>
        <w:t xml:space="preserve"> </w:t>
      </w:r>
    </w:p>
    <w:p w14:paraId="6BC1D04C" w14:textId="3BA3AEF6" w:rsidR="00041B4C" w:rsidRPr="00FF5544" w:rsidRDefault="00BE46B1" w:rsidP="006630D1">
      <w:pPr>
        <w:widowControl w:val="0"/>
        <w:numPr>
          <w:ilvl w:val="0"/>
          <w:numId w:val="1"/>
        </w:numPr>
        <w:pBdr>
          <w:top w:val="nil"/>
          <w:left w:val="nil"/>
          <w:bottom w:val="nil"/>
          <w:right w:val="nil"/>
          <w:between w:val="nil"/>
        </w:pBdr>
        <w:spacing w:after="120" w:line="240" w:lineRule="auto"/>
        <w:ind w:left="714" w:hanging="357"/>
        <w:rPr>
          <w:rFonts w:ascii="Calibri" w:eastAsia="Calibri" w:hAnsi="Calibri" w:cs="Calibri"/>
          <w:sz w:val="24"/>
          <w:szCs w:val="24"/>
        </w:rPr>
      </w:pPr>
      <w:r w:rsidRPr="00FF5544">
        <w:rPr>
          <w:rFonts w:ascii="Calibri" w:eastAsia="Calibri" w:hAnsi="Calibri" w:cs="Calibri"/>
          <w:color w:val="000000"/>
          <w:sz w:val="24"/>
          <w:szCs w:val="24"/>
        </w:rPr>
        <w:t>A Bill of Rights for Northern Ireland (Art</w:t>
      </w:r>
      <w:r w:rsidR="008C1703">
        <w:rPr>
          <w:rFonts w:ascii="Calibri" w:eastAsia="Calibri" w:hAnsi="Calibri" w:cs="Calibri"/>
          <w:color w:val="000000"/>
          <w:sz w:val="24"/>
          <w:szCs w:val="24"/>
        </w:rPr>
        <w:t>s</w:t>
      </w:r>
      <w:r w:rsidRPr="00FF5544">
        <w:rPr>
          <w:rFonts w:ascii="Calibri" w:eastAsia="Calibri" w:hAnsi="Calibri" w:cs="Calibri"/>
          <w:color w:val="000000"/>
          <w:sz w:val="24"/>
          <w:szCs w:val="24"/>
        </w:rPr>
        <w:t>. 1, 2</w:t>
      </w:r>
      <w:r w:rsidR="00CB3114">
        <w:rPr>
          <w:rFonts w:ascii="Calibri" w:eastAsia="Calibri" w:hAnsi="Calibri" w:cs="Calibri"/>
          <w:color w:val="000000"/>
          <w:sz w:val="24"/>
          <w:szCs w:val="24"/>
        </w:rPr>
        <w:t>, List of Issues [</w:t>
      </w:r>
      <w:proofErr w:type="spellStart"/>
      <w:r w:rsidR="00CB3114">
        <w:rPr>
          <w:rFonts w:ascii="Calibri" w:eastAsia="Calibri" w:hAnsi="Calibri" w:cs="Calibri"/>
          <w:color w:val="000000"/>
          <w:sz w:val="24"/>
          <w:szCs w:val="24"/>
        </w:rPr>
        <w:t>LoI</w:t>
      </w:r>
      <w:proofErr w:type="spellEnd"/>
      <w:r w:rsidR="00CB3114">
        <w:rPr>
          <w:rFonts w:ascii="Calibri" w:eastAsia="Calibri" w:hAnsi="Calibri" w:cs="Calibri"/>
          <w:color w:val="000000"/>
          <w:sz w:val="24"/>
          <w:szCs w:val="24"/>
        </w:rPr>
        <w:t>] para 2</w:t>
      </w:r>
      <w:r w:rsidRPr="00FF5544">
        <w:rPr>
          <w:rFonts w:ascii="Calibri" w:eastAsia="Calibri" w:hAnsi="Calibri" w:cs="Calibri"/>
          <w:color w:val="000000"/>
          <w:sz w:val="24"/>
          <w:szCs w:val="24"/>
        </w:rPr>
        <w:t xml:space="preserve">) </w:t>
      </w:r>
    </w:p>
    <w:p w14:paraId="0560EE0C" w14:textId="763914F9" w:rsidR="00041B4C" w:rsidRPr="00FF5544" w:rsidRDefault="00BE46B1" w:rsidP="006630D1">
      <w:pPr>
        <w:widowControl w:val="0"/>
        <w:numPr>
          <w:ilvl w:val="0"/>
          <w:numId w:val="1"/>
        </w:numPr>
        <w:pBdr>
          <w:top w:val="nil"/>
          <w:left w:val="nil"/>
          <w:bottom w:val="nil"/>
          <w:right w:val="nil"/>
          <w:between w:val="nil"/>
        </w:pBdr>
        <w:spacing w:after="120" w:line="240" w:lineRule="auto"/>
        <w:ind w:left="714" w:hanging="357"/>
        <w:rPr>
          <w:rFonts w:ascii="Calibri" w:eastAsia="Calibri" w:hAnsi="Calibri" w:cs="Calibri"/>
          <w:sz w:val="24"/>
          <w:szCs w:val="24"/>
        </w:rPr>
      </w:pPr>
      <w:r w:rsidRPr="00FF5544">
        <w:rPr>
          <w:rFonts w:ascii="Calibri" w:eastAsia="Calibri" w:hAnsi="Calibri" w:cs="Calibri"/>
          <w:color w:val="000000"/>
          <w:sz w:val="24"/>
          <w:szCs w:val="24"/>
        </w:rPr>
        <w:t xml:space="preserve">An Anti-Poverty Strategy </w:t>
      </w:r>
      <w:r w:rsidR="009541E4">
        <w:rPr>
          <w:rFonts w:ascii="Calibri" w:eastAsia="Calibri" w:hAnsi="Calibri" w:cs="Calibri"/>
          <w:color w:val="000000"/>
          <w:sz w:val="24"/>
          <w:szCs w:val="24"/>
        </w:rPr>
        <w:t>(Northern Ireland)</w:t>
      </w:r>
      <w:r w:rsidRPr="00FF5544">
        <w:rPr>
          <w:rFonts w:ascii="Calibri" w:eastAsia="Calibri" w:hAnsi="Calibri" w:cs="Calibri"/>
          <w:color w:val="000000"/>
          <w:sz w:val="24"/>
          <w:szCs w:val="24"/>
        </w:rPr>
        <w:t xml:space="preserve"> (Art</w:t>
      </w:r>
      <w:r w:rsidR="008C1703">
        <w:rPr>
          <w:rFonts w:ascii="Calibri" w:eastAsia="Calibri" w:hAnsi="Calibri" w:cs="Calibri"/>
          <w:color w:val="000000"/>
          <w:sz w:val="24"/>
          <w:szCs w:val="24"/>
        </w:rPr>
        <w:t>s</w:t>
      </w:r>
      <w:r w:rsidRPr="00FF5544">
        <w:rPr>
          <w:rFonts w:ascii="Calibri" w:eastAsia="Calibri" w:hAnsi="Calibri" w:cs="Calibri"/>
          <w:color w:val="000000"/>
          <w:sz w:val="24"/>
          <w:szCs w:val="24"/>
        </w:rPr>
        <w:t xml:space="preserve">. </w:t>
      </w:r>
      <w:r w:rsidR="008C1703">
        <w:rPr>
          <w:rFonts w:ascii="Calibri" w:eastAsia="Calibri" w:hAnsi="Calibri" w:cs="Calibri"/>
          <w:color w:val="000000"/>
          <w:sz w:val="24"/>
          <w:szCs w:val="24"/>
        </w:rPr>
        <w:t>2(1)</w:t>
      </w:r>
      <w:r w:rsidRPr="00FF5544">
        <w:rPr>
          <w:rFonts w:ascii="Calibri" w:eastAsia="Calibri" w:hAnsi="Calibri" w:cs="Calibri"/>
          <w:color w:val="000000"/>
          <w:sz w:val="24"/>
          <w:szCs w:val="24"/>
        </w:rPr>
        <w:t>,</w:t>
      </w:r>
      <w:r w:rsidR="008C1703">
        <w:rPr>
          <w:rFonts w:ascii="Calibri" w:eastAsia="Calibri" w:hAnsi="Calibri" w:cs="Calibri"/>
          <w:color w:val="000000"/>
          <w:sz w:val="24"/>
          <w:szCs w:val="24"/>
        </w:rPr>
        <w:t xml:space="preserve"> 7</w:t>
      </w:r>
      <w:r w:rsidRPr="00FF5544">
        <w:rPr>
          <w:rFonts w:ascii="Calibri" w:eastAsia="Calibri" w:hAnsi="Calibri" w:cs="Calibri"/>
          <w:color w:val="000000"/>
          <w:sz w:val="24"/>
          <w:szCs w:val="24"/>
        </w:rPr>
        <w:t xml:space="preserve">, 11) </w:t>
      </w:r>
    </w:p>
    <w:p w14:paraId="7298EE57" w14:textId="57ED541E" w:rsidR="00041B4C" w:rsidRPr="00FF5544" w:rsidRDefault="00BE46B1" w:rsidP="006630D1">
      <w:pPr>
        <w:widowControl w:val="0"/>
        <w:numPr>
          <w:ilvl w:val="0"/>
          <w:numId w:val="1"/>
        </w:numPr>
        <w:pBdr>
          <w:top w:val="nil"/>
          <w:left w:val="nil"/>
          <w:bottom w:val="nil"/>
          <w:right w:val="nil"/>
          <w:between w:val="nil"/>
        </w:pBdr>
        <w:spacing w:after="120" w:line="240" w:lineRule="auto"/>
        <w:ind w:left="714" w:hanging="357"/>
        <w:rPr>
          <w:rFonts w:ascii="Calibri" w:eastAsia="Calibri" w:hAnsi="Calibri" w:cs="Calibri"/>
          <w:sz w:val="24"/>
          <w:szCs w:val="24"/>
        </w:rPr>
      </w:pPr>
      <w:r w:rsidRPr="00FF5544">
        <w:rPr>
          <w:rFonts w:ascii="Calibri" w:eastAsia="Calibri" w:hAnsi="Calibri" w:cs="Calibri"/>
          <w:color w:val="000000"/>
          <w:sz w:val="24"/>
          <w:szCs w:val="24"/>
        </w:rPr>
        <w:t xml:space="preserve">Irish Language </w:t>
      </w:r>
      <w:r w:rsidR="008C1703">
        <w:rPr>
          <w:rFonts w:ascii="Calibri" w:eastAsia="Calibri" w:hAnsi="Calibri" w:cs="Calibri"/>
          <w:color w:val="000000"/>
          <w:sz w:val="24"/>
          <w:szCs w:val="24"/>
        </w:rPr>
        <w:t>and Ulster Scots Strategies</w:t>
      </w:r>
      <w:r w:rsidR="008C1703" w:rsidRPr="00FF5544">
        <w:rPr>
          <w:rFonts w:ascii="Calibri" w:eastAsia="Calibri" w:hAnsi="Calibri" w:cs="Calibri"/>
          <w:color w:val="000000"/>
          <w:sz w:val="24"/>
          <w:szCs w:val="24"/>
        </w:rPr>
        <w:t xml:space="preserve"> </w:t>
      </w:r>
      <w:r w:rsidRPr="00FF5544">
        <w:rPr>
          <w:rFonts w:ascii="Calibri" w:eastAsia="Calibri" w:hAnsi="Calibri" w:cs="Calibri"/>
          <w:color w:val="000000"/>
          <w:sz w:val="24"/>
          <w:szCs w:val="24"/>
        </w:rPr>
        <w:t>(Art. 1</w:t>
      </w:r>
      <w:r w:rsidR="008C1703">
        <w:rPr>
          <w:rFonts w:ascii="Calibri" w:eastAsia="Calibri" w:hAnsi="Calibri" w:cs="Calibri"/>
          <w:color w:val="000000"/>
          <w:sz w:val="24"/>
          <w:szCs w:val="24"/>
        </w:rPr>
        <w:t>5</w:t>
      </w:r>
      <w:r w:rsidR="00CB3114">
        <w:rPr>
          <w:rFonts w:ascii="Calibri" w:eastAsia="Calibri" w:hAnsi="Calibri" w:cs="Calibri"/>
          <w:color w:val="000000"/>
          <w:sz w:val="24"/>
          <w:szCs w:val="24"/>
        </w:rPr>
        <w:t xml:space="preserve">, </w:t>
      </w:r>
      <w:proofErr w:type="spellStart"/>
      <w:r w:rsidR="00CB3114">
        <w:rPr>
          <w:rFonts w:ascii="Calibri" w:eastAsia="Calibri" w:hAnsi="Calibri" w:cs="Calibri"/>
          <w:color w:val="000000"/>
          <w:sz w:val="24"/>
          <w:szCs w:val="24"/>
        </w:rPr>
        <w:t>LoI</w:t>
      </w:r>
      <w:proofErr w:type="spellEnd"/>
      <w:r w:rsidR="00CB3114">
        <w:rPr>
          <w:rFonts w:ascii="Calibri" w:eastAsia="Calibri" w:hAnsi="Calibri" w:cs="Calibri"/>
          <w:color w:val="000000"/>
          <w:sz w:val="24"/>
          <w:szCs w:val="24"/>
        </w:rPr>
        <w:t xml:space="preserve"> 40</w:t>
      </w:r>
      <w:r w:rsidRPr="00FF5544">
        <w:rPr>
          <w:rFonts w:ascii="Calibri" w:eastAsia="Calibri" w:hAnsi="Calibri" w:cs="Calibri"/>
          <w:color w:val="000000"/>
          <w:sz w:val="24"/>
          <w:szCs w:val="24"/>
        </w:rPr>
        <w:t xml:space="preserve">) </w:t>
      </w:r>
    </w:p>
    <w:p w14:paraId="18F2DA1C" w14:textId="66EAB779" w:rsidR="00680CCE" w:rsidRPr="00FF5544" w:rsidRDefault="00680CCE" w:rsidP="006630D1">
      <w:pPr>
        <w:widowControl w:val="0"/>
        <w:numPr>
          <w:ilvl w:val="0"/>
          <w:numId w:val="1"/>
        </w:numPr>
        <w:pBdr>
          <w:top w:val="nil"/>
          <w:left w:val="nil"/>
          <w:bottom w:val="nil"/>
          <w:right w:val="nil"/>
          <w:between w:val="nil"/>
        </w:pBdr>
        <w:spacing w:after="120" w:line="240" w:lineRule="auto"/>
        <w:ind w:left="714" w:hanging="357"/>
        <w:rPr>
          <w:rFonts w:ascii="Calibri" w:eastAsia="Calibri" w:hAnsi="Calibri" w:cs="Calibri"/>
          <w:sz w:val="24"/>
          <w:szCs w:val="24"/>
        </w:rPr>
      </w:pPr>
      <w:r w:rsidRPr="00FF5544">
        <w:rPr>
          <w:rFonts w:ascii="Calibri" w:eastAsia="Calibri" w:hAnsi="Calibri" w:cs="Calibri"/>
          <w:color w:val="000000"/>
          <w:sz w:val="24"/>
          <w:szCs w:val="24"/>
        </w:rPr>
        <w:t xml:space="preserve">Paramilitary Intimidation from Housing (Art. 11)  </w:t>
      </w:r>
    </w:p>
    <w:p w14:paraId="473689D6" w14:textId="78259C25" w:rsidR="009541E4" w:rsidRDefault="00CB3114" w:rsidP="006630D1">
      <w:pPr>
        <w:widowControl w:val="0"/>
        <w:numPr>
          <w:ilvl w:val="0"/>
          <w:numId w:val="1"/>
        </w:numPr>
        <w:pBdr>
          <w:top w:val="nil"/>
          <w:left w:val="nil"/>
          <w:bottom w:val="nil"/>
          <w:right w:val="nil"/>
          <w:between w:val="nil"/>
        </w:pBdr>
        <w:spacing w:after="120" w:line="240" w:lineRule="auto"/>
        <w:ind w:left="714" w:hanging="357"/>
        <w:rPr>
          <w:rFonts w:ascii="Calibri" w:eastAsia="Calibri" w:hAnsi="Calibri" w:cs="Calibri"/>
          <w:sz w:val="24"/>
          <w:szCs w:val="24"/>
        </w:rPr>
      </w:pPr>
      <w:r>
        <w:rPr>
          <w:rFonts w:ascii="Calibri" w:eastAsia="Calibri" w:hAnsi="Calibri" w:cs="Calibri"/>
          <w:sz w:val="24"/>
          <w:szCs w:val="24"/>
        </w:rPr>
        <w:t xml:space="preserve">Reconciliation and the </w:t>
      </w:r>
      <w:r w:rsidR="00BE46B1" w:rsidRPr="00FF5544">
        <w:rPr>
          <w:rFonts w:ascii="Calibri" w:eastAsia="Calibri" w:hAnsi="Calibri" w:cs="Calibri"/>
          <w:sz w:val="24"/>
          <w:szCs w:val="24"/>
        </w:rPr>
        <w:t xml:space="preserve">Northern Ireland </w:t>
      </w:r>
      <w:r>
        <w:rPr>
          <w:rFonts w:ascii="Calibri" w:eastAsia="Calibri" w:hAnsi="Calibri" w:cs="Calibri"/>
          <w:sz w:val="24"/>
          <w:szCs w:val="24"/>
        </w:rPr>
        <w:t xml:space="preserve">Legacy Act </w:t>
      </w:r>
      <w:r w:rsidR="008C1703">
        <w:rPr>
          <w:rFonts w:ascii="Calibri" w:eastAsia="Calibri" w:hAnsi="Calibri" w:cs="Calibri"/>
          <w:sz w:val="24"/>
          <w:szCs w:val="24"/>
        </w:rPr>
        <w:t>(Art</w:t>
      </w:r>
      <w:r>
        <w:rPr>
          <w:rFonts w:ascii="Calibri" w:eastAsia="Calibri" w:hAnsi="Calibri" w:cs="Calibri"/>
          <w:sz w:val="24"/>
          <w:szCs w:val="24"/>
        </w:rPr>
        <w:t>.</w:t>
      </w:r>
      <w:r w:rsidR="008C1703">
        <w:rPr>
          <w:rFonts w:ascii="Calibri" w:eastAsia="Calibri" w:hAnsi="Calibri" w:cs="Calibri"/>
          <w:sz w:val="24"/>
          <w:szCs w:val="24"/>
        </w:rPr>
        <w:t xml:space="preserve"> 15). </w:t>
      </w:r>
    </w:p>
    <w:p w14:paraId="4C3F0A69" w14:textId="77777777" w:rsidR="009B1241" w:rsidRDefault="009B1241">
      <w:pPr>
        <w:rPr>
          <w:rStyle w:val="FootnoteReference"/>
        </w:rPr>
      </w:pPr>
      <w:r>
        <w:rPr>
          <w:rStyle w:val="FootnoteReference"/>
        </w:rPr>
        <w:br w:type="page"/>
      </w:r>
    </w:p>
    <w:p w14:paraId="01DE0424" w14:textId="55E441FC" w:rsidR="00240129" w:rsidRDefault="00BE46B1" w:rsidP="00214A69">
      <w:pPr>
        <w:widowControl w:val="0"/>
        <w:pBdr>
          <w:top w:val="nil"/>
          <w:left w:val="nil"/>
          <w:bottom w:val="nil"/>
          <w:right w:val="nil"/>
          <w:between w:val="nil"/>
        </w:pBdr>
        <w:spacing w:after="120" w:line="240" w:lineRule="auto"/>
        <w:rPr>
          <w:rFonts w:ascii="Cambria" w:eastAsia="Cambria" w:hAnsi="Cambria" w:cs="Cambria"/>
          <w:b/>
          <w:color w:val="000000"/>
          <w:sz w:val="24"/>
          <w:szCs w:val="24"/>
        </w:rPr>
      </w:pPr>
      <w:r w:rsidRPr="00FF5544">
        <w:rPr>
          <w:rFonts w:ascii="Cambria" w:eastAsia="Cambria" w:hAnsi="Cambria" w:cs="Cambria"/>
          <w:b/>
          <w:color w:val="000000"/>
          <w:sz w:val="24"/>
          <w:szCs w:val="24"/>
        </w:rPr>
        <w:lastRenderedPageBreak/>
        <w:t xml:space="preserve">A Bill of Rights for Northern Ireland </w:t>
      </w:r>
      <w:r w:rsidR="00214A69">
        <w:rPr>
          <w:rFonts w:ascii="Cambria" w:eastAsia="Cambria" w:hAnsi="Cambria" w:cs="Cambria"/>
          <w:b/>
          <w:color w:val="000000"/>
          <w:sz w:val="24"/>
          <w:szCs w:val="24"/>
        </w:rPr>
        <w:t xml:space="preserve">(List of Issues, para. 2) </w:t>
      </w:r>
    </w:p>
    <w:p w14:paraId="1630C30B" w14:textId="07BBFEDC" w:rsidR="00CB3114" w:rsidRDefault="00CB3114" w:rsidP="00214A69">
      <w:pPr>
        <w:pStyle w:val="ListParagraph"/>
        <w:widowControl w:val="0"/>
        <w:numPr>
          <w:ilvl w:val="0"/>
          <w:numId w:val="2"/>
        </w:numPr>
        <w:pBdr>
          <w:top w:val="nil"/>
          <w:left w:val="nil"/>
          <w:bottom w:val="nil"/>
          <w:right w:val="nil"/>
          <w:between w:val="nil"/>
        </w:pBdr>
        <w:spacing w:after="120" w:line="240" w:lineRule="auto"/>
        <w:ind w:right="7"/>
        <w:contextualSpacing w:val="0"/>
        <w:rPr>
          <w:rFonts w:ascii="Calibri" w:eastAsia="Calibri" w:hAnsi="Calibri" w:cs="Calibri"/>
          <w:color w:val="000000"/>
          <w:sz w:val="24"/>
          <w:szCs w:val="24"/>
        </w:rPr>
      </w:pPr>
      <w:r>
        <w:rPr>
          <w:rFonts w:ascii="Calibri" w:eastAsia="Calibri" w:hAnsi="Calibri" w:cs="Calibri"/>
          <w:color w:val="000000"/>
          <w:sz w:val="24"/>
          <w:szCs w:val="24"/>
        </w:rPr>
        <w:t xml:space="preserve">The List of Issues seeks </w:t>
      </w:r>
      <w:r w:rsidRPr="006541F0">
        <w:rPr>
          <w:rFonts w:ascii="Calibri" w:eastAsia="Calibri" w:hAnsi="Calibri" w:cs="Calibri"/>
          <w:color w:val="000000"/>
          <w:sz w:val="24"/>
          <w:szCs w:val="24"/>
        </w:rPr>
        <w:t xml:space="preserve">information </w:t>
      </w:r>
      <w:r>
        <w:rPr>
          <w:rFonts w:ascii="Calibri" w:eastAsia="Calibri" w:hAnsi="Calibri" w:cs="Calibri"/>
          <w:color w:val="000000"/>
          <w:sz w:val="24"/>
          <w:szCs w:val="24"/>
        </w:rPr>
        <w:t>‘</w:t>
      </w:r>
      <w:r w:rsidRPr="006541F0">
        <w:rPr>
          <w:rFonts w:ascii="Calibri" w:eastAsia="Calibri" w:hAnsi="Calibri" w:cs="Calibri"/>
          <w:color w:val="000000"/>
          <w:sz w:val="24"/>
          <w:szCs w:val="24"/>
        </w:rPr>
        <w:t xml:space="preserve">on the measures taken to enshrine the provisions of the Covenant in the proposed </w:t>
      </w:r>
      <w:r>
        <w:rPr>
          <w:rFonts w:ascii="Calibri" w:eastAsia="Calibri" w:hAnsi="Calibri" w:cs="Calibri"/>
          <w:color w:val="000000"/>
          <w:sz w:val="24"/>
          <w:szCs w:val="24"/>
        </w:rPr>
        <w:t>B</w:t>
      </w:r>
      <w:r w:rsidRPr="006541F0">
        <w:rPr>
          <w:rFonts w:ascii="Calibri" w:eastAsia="Calibri" w:hAnsi="Calibri" w:cs="Calibri"/>
          <w:color w:val="000000"/>
          <w:sz w:val="24"/>
          <w:szCs w:val="24"/>
        </w:rPr>
        <w:t xml:space="preserve">ill of </w:t>
      </w:r>
      <w:r>
        <w:rPr>
          <w:rFonts w:ascii="Calibri" w:eastAsia="Calibri" w:hAnsi="Calibri" w:cs="Calibri"/>
          <w:color w:val="000000"/>
          <w:sz w:val="24"/>
          <w:szCs w:val="24"/>
        </w:rPr>
        <w:t>R</w:t>
      </w:r>
      <w:r w:rsidRPr="006541F0">
        <w:rPr>
          <w:rFonts w:ascii="Calibri" w:eastAsia="Calibri" w:hAnsi="Calibri" w:cs="Calibri"/>
          <w:color w:val="000000"/>
          <w:sz w:val="24"/>
          <w:szCs w:val="24"/>
        </w:rPr>
        <w:t>ights for Northern Ireland.</w:t>
      </w:r>
      <w:r>
        <w:rPr>
          <w:rFonts w:ascii="Calibri" w:eastAsia="Calibri" w:hAnsi="Calibri" w:cs="Calibri"/>
          <w:color w:val="000000"/>
          <w:sz w:val="24"/>
          <w:szCs w:val="24"/>
        </w:rPr>
        <w:t>’</w:t>
      </w:r>
      <w:r w:rsidRPr="006541F0">
        <w:rPr>
          <w:rFonts w:ascii="Calibri" w:eastAsia="Calibri" w:hAnsi="Calibri" w:cs="Calibri"/>
          <w:color w:val="000000"/>
          <w:sz w:val="24"/>
          <w:szCs w:val="24"/>
        </w:rPr>
        <w:t> </w:t>
      </w:r>
      <w:r>
        <w:rPr>
          <w:rFonts w:ascii="Calibri" w:eastAsia="Calibri" w:hAnsi="Calibri" w:cs="Calibri"/>
          <w:color w:val="000000"/>
          <w:sz w:val="24"/>
          <w:szCs w:val="24"/>
        </w:rPr>
        <w:t>To recap</w:t>
      </w:r>
      <w:r w:rsidR="00FB163E">
        <w:rPr>
          <w:rFonts w:ascii="Calibri" w:eastAsia="Calibri" w:hAnsi="Calibri" w:cs="Calibri"/>
          <w:color w:val="000000"/>
          <w:sz w:val="24"/>
          <w:szCs w:val="24"/>
        </w:rPr>
        <w:t>,</w:t>
      </w:r>
      <w:r>
        <w:rPr>
          <w:rFonts w:ascii="Calibri" w:eastAsia="Calibri" w:hAnsi="Calibri" w:cs="Calibri"/>
          <w:color w:val="000000"/>
          <w:sz w:val="24"/>
          <w:szCs w:val="24"/>
        </w:rPr>
        <w:t xml:space="preserve"> t</w:t>
      </w:r>
      <w:r w:rsidR="00BE46B1" w:rsidRPr="00FF5544">
        <w:rPr>
          <w:rFonts w:ascii="Calibri" w:eastAsia="Calibri" w:hAnsi="Calibri" w:cs="Calibri"/>
          <w:color w:val="000000"/>
          <w:sz w:val="24"/>
          <w:szCs w:val="24"/>
        </w:rPr>
        <w:t xml:space="preserve">he 1998 UK-Ireland Belfast/Good Friday Agreement </w:t>
      </w:r>
      <w:r w:rsidR="00214A69">
        <w:rPr>
          <w:rFonts w:ascii="Calibri" w:eastAsia="Calibri" w:hAnsi="Calibri" w:cs="Calibri"/>
          <w:color w:val="000000"/>
          <w:sz w:val="24"/>
          <w:szCs w:val="24"/>
        </w:rPr>
        <w:t xml:space="preserve">(GFA) </w:t>
      </w:r>
      <w:r w:rsidR="00BE46B1" w:rsidRPr="00FF5544">
        <w:rPr>
          <w:rFonts w:ascii="Calibri" w:eastAsia="Calibri" w:hAnsi="Calibri" w:cs="Calibri"/>
          <w:color w:val="000000"/>
          <w:sz w:val="24"/>
          <w:szCs w:val="24"/>
        </w:rPr>
        <w:t xml:space="preserve">included a commitment </w:t>
      </w:r>
      <w:r w:rsidR="00540F53" w:rsidRPr="00FF5544">
        <w:rPr>
          <w:rFonts w:ascii="Calibri" w:eastAsia="Calibri" w:hAnsi="Calibri" w:cs="Calibri"/>
          <w:color w:val="000000"/>
          <w:sz w:val="24"/>
          <w:szCs w:val="24"/>
        </w:rPr>
        <w:t>to incorporate</w:t>
      </w:r>
      <w:r w:rsidR="00BE46B1" w:rsidRPr="00FF5544">
        <w:rPr>
          <w:rFonts w:ascii="Calibri" w:eastAsia="Calibri" w:hAnsi="Calibri" w:cs="Calibri"/>
          <w:color w:val="000000"/>
          <w:sz w:val="24"/>
          <w:szCs w:val="24"/>
        </w:rPr>
        <w:t xml:space="preserve"> further rights in addition to those within the European Convention on Human Rights (ECHR) into Northern Ireland law through legislation in the UK Parliament. </w:t>
      </w:r>
    </w:p>
    <w:p w14:paraId="31EE8FD9" w14:textId="1F61F7AD" w:rsidR="00041B4C" w:rsidRPr="006630D1" w:rsidRDefault="00BE46B1" w:rsidP="006630D1">
      <w:pPr>
        <w:pStyle w:val="ListParagraph"/>
        <w:widowControl w:val="0"/>
        <w:numPr>
          <w:ilvl w:val="0"/>
          <w:numId w:val="2"/>
        </w:numPr>
        <w:pBdr>
          <w:top w:val="nil"/>
          <w:left w:val="nil"/>
          <w:bottom w:val="nil"/>
          <w:right w:val="nil"/>
          <w:between w:val="nil"/>
        </w:pBdr>
        <w:spacing w:after="120" w:line="240" w:lineRule="auto"/>
        <w:ind w:right="7"/>
        <w:contextualSpacing w:val="0"/>
        <w:rPr>
          <w:rFonts w:asciiTheme="majorHAnsi" w:hAnsiTheme="majorHAnsi" w:cstheme="majorHAnsi"/>
          <w:sz w:val="24"/>
          <w:szCs w:val="24"/>
        </w:rPr>
      </w:pPr>
      <w:r w:rsidRPr="00FF5544">
        <w:rPr>
          <w:rFonts w:ascii="Calibri" w:eastAsia="Calibri" w:hAnsi="Calibri" w:cs="Calibri"/>
          <w:color w:val="000000"/>
          <w:sz w:val="24"/>
          <w:szCs w:val="24"/>
        </w:rPr>
        <w:t xml:space="preserve">The Northern Ireland Bill of Rights, by virtue of being ‘ECHR+’, would have a focus on economic, social, and cultural rights and </w:t>
      </w:r>
      <w:r w:rsidR="00FF5544" w:rsidRPr="00FF5544">
        <w:rPr>
          <w:rFonts w:ascii="Calibri" w:eastAsia="Calibri" w:hAnsi="Calibri" w:cs="Calibri"/>
          <w:color w:val="000000"/>
          <w:sz w:val="24"/>
          <w:szCs w:val="24"/>
        </w:rPr>
        <w:t xml:space="preserve">therefore </w:t>
      </w:r>
      <w:r w:rsidRPr="00FF5544">
        <w:rPr>
          <w:rFonts w:ascii="Calibri" w:eastAsia="Calibri" w:hAnsi="Calibri" w:cs="Calibri"/>
          <w:color w:val="000000"/>
          <w:sz w:val="24"/>
          <w:szCs w:val="24"/>
        </w:rPr>
        <w:t xml:space="preserve">be the vehicle whereby many rights within the Covenant could be incorporated into </w:t>
      </w:r>
      <w:r w:rsidR="00CB3114">
        <w:rPr>
          <w:rFonts w:ascii="Calibri" w:eastAsia="Calibri" w:hAnsi="Calibri" w:cs="Calibri"/>
          <w:color w:val="000000"/>
          <w:sz w:val="24"/>
          <w:szCs w:val="24"/>
        </w:rPr>
        <w:t>NI</w:t>
      </w:r>
      <w:r w:rsidRPr="00FF5544">
        <w:rPr>
          <w:rFonts w:ascii="Calibri" w:eastAsia="Calibri" w:hAnsi="Calibri" w:cs="Calibri"/>
          <w:color w:val="000000"/>
          <w:sz w:val="24"/>
          <w:szCs w:val="24"/>
        </w:rPr>
        <w:t xml:space="preserve"> law.</w:t>
      </w:r>
      <w:r w:rsidR="009B1241">
        <w:rPr>
          <w:rStyle w:val="FootnoteReference"/>
          <w:rFonts w:ascii="Calibri" w:eastAsia="Calibri" w:hAnsi="Calibri" w:cs="Calibri"/>
          <w:color w:val="000000"/>
          <w:sz w:val="24"/>
          <w:szCs w:val="24"/>
        </w:rPr>
        <w:footnoteReference w:id="5"/>
      </w:r>
      <w:r w:rsidRPr="00FF5544">
        <w:rPr>
          <w:rFonts w:ascii="Calibri" w:eastAsia="Calibri" w:hAnsi="Calibri" w:cs="Calibri"/>
          <w:color w:val="000000"/>
          <w:sz w:val="24"/>
          <w:szCs w:val="24"/>
        </w:rPr>
        <w:t xml:space="preserve"> </w:t>
      </w:r>
      <w:r w:rsidR="00CB3114">
        <w:rPr>
          <w:rFonts w:asciiTheme="majorHAnsi" w:eastAsia="Calibri" w:hAnsiTheme="majorHAnsi" w:cstheme="majorHAnsi"/>
          <w:color w:val="000000"/>
          <w:sz w:val="24"/>
          <w:szCs w:val="24"/>
        </w:rPr>
        <w:t>The NI Bill of Rights</w:t>
      </w:r>
      <w:r w:rsidRPr="006630D1">
        <w:rPr>
          <w:rFonts w:asciiTheme="majorHAnsi" w:hAnsiTheme="majorHAnsi" w:cstheme="majorHAnsi"/>
          <w:sz w:val="24"/>
          <w:szCs w:val="24"/>
        </w:rPr>
        <w:t xml:space="preserve"> would provide a key safeguard over the exercise of Executive and legislative power in </w:t>
      </w:r>
      <w:r w:rsidR="00CB3114">
        <w:rPr>
          <w:rFonts w:asciiTheme="majorHAnsi" w:hAnsiTheme="majorHAnsi" w:cstheme="majorHAnsi"/>
          <w:sz w:val="24"/>
          <w:szCs w:val="24"/>
        </w:rPr>
        <w:t>NI</w:t>
      </w:r>
      <w:r w:rsidRPr="006630D1">
        <w:rPr>
          <w:rFonts w:asciiTheme="majorHAnsi" w:hAnsiTheme="majorHAnsi" w:cstheme="majorHAnsi"/>
          <w:sz w:val="24"/>
          <w:szCs w:val="24"/>
        </w:rPr>
        <w:t xml:space="preserve"> in a manner which is consistent with protected Covenant rights. </w:t>
      </w:r>
    </w:p>
    <w:p w14:paraId="6BF7867F" w14:textId="493EC8AC" w:rsidR="00240129" w:rsidRPr="00FF5544" w:rsidRDefault="00BE46B1" w:rsidP="00214A69">
      <w:pPr>
        <w:pStyle w:val="ListParagraph"/>
        <w:widowControl w:val="0"/>
        <w:numPr>
          <w:ilvl w:val="0"/>
          <w:numId w:val="2"/>
        </w:numPr>
        <w:pBdr>
          <w:top w:val="nil"/>
          <w:left w:val="nil"/>
          <w:bottom w:val="nil"/>
          <w:right w:val="nil"/>
          <w:between w:val="nil"/>
        </w:pBdr>
        <w:spacing w:after="120" w:line="240" w:lineRule="auto"/>
        <w:ind w:right="48"/>
        <w:contextualSpacing w:val="0"/>
        <w:rPr>
          <w:rFonts w:ascii="Calibri" w:eastAsia="Calibri" w:hAnsi="Calibri" w:cs="Calibri"/>
          <w:color w:val="000000"/>
          <w:sz w:val="24"/>
          <w:szCs w:val="24"/>
        </w:rPr>
      </w:pPr>
      <w:r w:rsidRPr="00FF5544">
        <w:rPr>
          <w:rFonts w:ascii="Calibri" w:eastAsia="Calibri" w:hAnsi="Calibri" w:cs="Calibri"/>
          <w:color w:val="000000"/>
          <w:sz w:val="24"/>
          <w:szCs w:val="24"/>
        </w:rPr>
        <w:t xml:space="preserve">In its previous Concluding Observations, the Committee expressed regret that the </w:t>
      </w:r>
      <w:r w:rsidR="00CB3114">
        <w:rPr>
          <w:rFonts w:ascii="Calibri" w:eastAsia="Calibri" w:hAnsi="Calibri" w:cs="Calibri"/>
          <w:color w:val="000000"/>
          <w:sz w:val="24"/>
          <w:szCs w:val="24"/>
        </w:rPr>
        <w:t>‘</w:t>
      </w:r>
      <w:r w:rsidRPr="00FF5544">
        <w:rPr>
          <w:rFonts w:ascii="Calibri" w:eastAsia="Calibri" w:hAnsi="Calibri" w:cs="Calibri"/>
          <w:color w:val="000000"/>
          <w:sz w:val="24"/>
          <w:szCs w:val="24"/>
        </w:rPr>
        <w:t>bill of rights for Northern Ireland has not yet been adopted, as provided by the Belfast (Good Friday) Agreement</w:t>
      </w:r>
      <w:r w:rsidR="00CB3114">
        <w:rPr>
          <w:rFonts w:ascii="Calibri" w:eastAsia="Calibri" w:hAnsi="Calibri" w:cs="Calibri"/>
          <w:color w:val="000000"/>
          <w:sz w:val="24"/>
          <w:szCs w:val="24"/>
        </w:rPr>
        <w:t>’</w:t>
      </w:r>
      <w:r w:rsidRPr="00FF5544">
        <w:rPr>
          <w:rFonts w:ascii="Calibri" w:eastAsia="Calibri" w:hAnsi="Calibri" w:cs="Calibri"/>
          <w:color w:val="000000"/>
          <w:sz w:val="24"/>
          <w:szCs w:val="24"/>
        </w:rPr>
        <w:t xml:space="preserve">. Recalling its previous recommendation (E/C.12/GBR/CO/5, para. 10), the Committee urged the UK </w:t>
      </w:r>
      <w:r w:rsidR="00CB3114">
        <w:rPr>
          <w:rFonts w:ascii="Calibri" w:eastAsia="Calibri" w:hAnsi="Calibri" w:cs="Calibri"/>
          <w:color w:val="000000"/>
          <w:sz w:val="24"/>
          <w:szCs w:val="24"/>
        </w:rPr>
        <w:t>‘</w:t>
      </w:r>
      <w:r w:rsidRPr="00FF5544">
        <w:rPr>
          <w:rFonts w:ascii="Calibri" w:eastAsia="Calibri" w:hAnsi="Calibri" w:cs="Calibri"/>
          <w:color w:val="000000"/>
          <w:sz w:val="24"/>
          <w:szCs w:val="24"/>
        </w:rPr>
        <w:t>to take all necessary measures to expedite the adoption of a bill of rights for Northern Ireland.</w:t>
      </w:r>
      <w:r w:rsidR="00CB3114">
        <w:rPr>
          <w:rFonts w:ascii="Calibri" w:eastAsia="Calibri" w:hAnsi="Calibri" w:cs="Calibri"/>
          <w:color w:val="000000"/>
          <w:sz w:val="24"/>
          <w:szCs w:val="24"/>
        </w:rPr>
        <w:t>’</w:t>
      </w:r>
      <w:r w:rsidRPr="00FF5544">
        <w:rPr>
          <w:vertAlign w:val="superscript"/>
        </w:rPr>
        <w:footnoteReference w:id="6"/>
      </w:r>
    </w:p>
    <w:p w14:paraId="4C58750B" w14:textId="4A742A23" w:rsidR="00240129" w:rsidRPr="00CB3114" w:rsidRDefault="00FF5544" w:rsidP="00CB3114">
      <w:pPr>
        <w:pStyle w:val="ListParagraph"/>
        <w:widowControl w:val="0"/>
        <w:numPr>
          <w:ilvl w:val="0"/>
          <w:numId w:val="2"/>
        </w:numPr>
        <w:pBdr>
          <w:top w:val="nil"/>
          <w:left w:val="nil"/>
          <w:bottom w:val="nil"/>
          <w:right w:val="nil"/>
          <w:between w:val="nil"/>
        </w:pBdr>
        <w:spacing w:after="120" w:line="240" w:lineRule="auto"/>
        <w:ind w:right="462"/>
        <w:contextualSpacing w:val="0"/>
        <w:rPr>
          <w:rFonts w:ascii="Calibri" w:eastAsia="Calibri" w:hAnsi="Calibri" w:cs="Calibri"/>
          <w:color w:val="000000"/>
          <w:sz w:val="24"/>
          <w:szCs w:val="24"/>
        </w:rPr>
      </w:pPr>
      <w:r w:rsidRPr="00CB3114">
        <w:rPr>
          <w:rFonts w:ascii="Calibri" w:eastAsia="Calibri" w:hAnsi="Calibri" w:cs="Calibri"/>
          <w:sz w:val="24"/>
          <w:szCs w:val="24"/>
        </w:rPr>
        <w:t xml:space="preserve">In 2020, a new UK-Ireland </w:t>
      </w:r>
      <w:r w:rsidR="00CB3114" w:rsidRPr="00CB3114">
        <w:rPr>
          <w:rFonts w:ascii="Calibri" w:eastAsia="Calibri" w:hAnsi="Calibri" w:cs="Calibri"/>
          <w:sz w:val="24"/>
          <w:szCs w:val="24"/>
        </w:rPr>
        <w:t>a</w:t>
      </w:r>
      <w:r w:rsidRPr="00CB3114">
        <w:rPr>
          <w:rFonts w:ascii="Calibri" w:eastAsia="Calibri" w:hAnsi="Calibri" w:cs="Calibri"/>
          <w:sz w:val="24"/>
          <w:szCs w:val="24"/>
        </w:rPr>
        <w:t xml:space="preserve">greement </w:t>
      </w:r>
      <w:r w:rsidR="00CB3114" w:rsidRPr="00CB3114">
        <w:rPr>
          <w:rFonts w:ascii="Calibri" w:eastAsia="Calibri" w:hAnsi="Calibri" w:cs="Calibri"/>
          <w:sz w:val="24"/>
          <w:szCs w:val="24"/>
        </w:rPr>
        <w:t>-</w:t>
      </w:r>
      <w:r w:rsidRPr="00CB3114">
        <w:rPr>
          <w:rFonts w:ascii="Calibri" w:eastAsia="Calibri" w:hAnsi="Calibri" w:cs="Calibri"/>
          <w:i/>
          <w:color w:val="000000"/>
          <w:sz w:val="24"/>
          <w:szCs w:val="24"/>
        </w:rPr>
        <w:t>New Decade New Approach</w:t>
      </w:r>
      <w:r w:rsidRPr="00CB3114">
        <w:rPr>
          <w:rFonts w:ascii="Calibri" w:eastAsia="Calibri" w:hAnsi="Calibri" w:cs="Calibri"/>
          <w:color w:val="000000"/>
          <w:sz w:val="24"/>
          <w:szCs w:val="24"/>
        </w:rPr>
        <w:t xml:space="preserve"> </w:t>
      </w:r>
      <w:r w:rsidR="004D498B" w:rsidRPr="00CB3114">
        <w:rPr>
          <w:rFonts w:ascii="Calibri" w:eastAsia="Calibri" w:hAnsi="Calibri" w:cs="Calibri"/>
          <w:color w:val="000000"/>
          <w:sz w:val="24"/>
          <w:szCs w:val="24"/>
        </w:rPr>
        <w:t>(</w:t>
      </w:r>
      <w:r w:rsidRPr="00CB3114">
        <w:rPr>
          <w:rFonts w:ascii="Calibri" w:eastAsia="Calibri" w:hAnsi="Calibri" w:cs="Calibri"/>
          <w:color w:val="000000"/>
          <w:sz w:val="24"/>
          <w:szCs w:val="24"/>
        </w:rPr>
        <w:t>NDNA)</w:t>
      </w:r>
      <w:r w:rsidR="00CB3114" w:rsidRPr="00CB3114">
        <w:rPr>
          <w:rFonts w:ascii="Calibri" w:eastAsia="Calibri" w:hAnsi="Calibri" w:cs="Calibri"/>
          <w:color w:val="000000"/>
          <w:sz w:val="24"/>
          <w:szCs w:val="24"/>
        </w:rPr>
        <w:t>-</w:t>
      </w:r>
      <w:r w:rsidRPr="00FF5544">
        <w:rPr>
          <w:vertAlign w:val="superscript"/>
        </w:rPr>
        <w:footnoteReference w:id="7"/>
      </w:r>
      <w:r w:rsidRPr="00CB3114">
        <w:rPr>
          <w:rFonts w:ascii="Calibri" w:eastAsia="Calibri" w:hAnsi="Calibri" w:cs="Calibri"/>
          <w:color w:val="000000"/>
          <w:sz w:val="24"/>
          <w:szCs w:val="24"/>
        </w:rPr>
        <w:t xml:space="preserve"> re-established the suspended Northern Ireland Executive and Legislature. NDNA included a commitment to progress the NI Bill of Rights through a dedicated Committee in the NI legislature. </w:t>
      </w:r>
      <w:r w:rsidR="00CB3114">
        <w:rPr>
          <w:rFonts w:ascii="Calibri" w:eastAsia="Calibri" w:hAnsi="Calibri" w:cs="Calibri"/>
          <w:color w:val="000000"/>
          <w:sz w:val="24"/>
          <w:szCs w:val="24"/>
        </w:rPr>
        <w:t>T</w:t>
      </w:r>
      <w:r w:rsidR="00BE46B1" w:rsidRPr="00CB3114">
        <w:rPr>
          <w:rFonts w:ascii="Calibri" w:eastAsia="Calibri" w:hAnsi="Calibri" w:cs="Calibri"/>
          <w:color w:val="000000"/>
          <w:sz w:val="24"/>
          <w:szCs w:val="24"/>
        </w:rPr>
        <w:t xml:space="preserve">he developments are summarised in a report by the </w:t>
      </w:r>
      <w:r w:rsidR="00214A69" w:rsidRPr="00CB3114">
        <w:rPr>
          <w:rFonts w:ascii="Calibri" w:eastAsia="Calibri" w:hAnsi="Calibri" w:cs="Calibri"/>
          <w:color w:val="000000"/>
          <w:sz w:val="24"/>
          <w:szCs w:val="24"/>
        </w:rPr>
        <w:t xml:space="preserve">then </w:t>
      </w:r>
      <w:r w:rsidR="00BE46B1" w:rsidRPr="00CB3114">
        <w:rPr>
          <w:rFonts w:ascii="Calibri" w:eastAsia="Calibri" w:hAnsi="Calibri" w:cs="Calibri"/>
          <w:color w:val="000000"/>
          <w:sz w:val="24"/>
          <w:szCs w:val="24"/>
        </w:rPr>
        <w:t xml:space="preserve">Council of Europe Commissioner for Human Rights Dunja Mijatović: </w:t>
      </w:r>
    </w:p>
    <w:p w14:paraId="01BE0360" w14:textId="3F400C50" w:rsidR="00041B4C" w:rsidRPr="006630D1" w:rsidRDefault="00BE46B1" w:rsidP="00214A69">
      <w:pPr>
        <w:widowControl w:val="0"/>
        <w:pBdr>
          <w:top w:val="nil"/>
          <w:left w:val="nil"/>
          <w:bottom w:val="nil"/>
          <w:right w:val="nil"/>
          <w:between w:val="nil"/>
        </w:pBdr>
        <w:spacing w:after="120" w:line="240" w:lineRule="auto"/>
        <w:ind w:left="720" w:right="32"/>
        <w:rPr>
          <w:rFonts w:asciiTheme="majorHAnsi" w:eastAsia="Calibri" w:hAnsiTheme="majorHAnsi" w:cstheme="majorHAnsi"/>
          <w:color w:val="000000"/>
          <w:sz w:val="23"/>
          <w:szCs w:val="23"/>
        </w:rPr>
      </w:pPr>
      <w:r w:rsidRPr="006630D1">
        <w:rPr>
          <w:rFonts w:asciiTheme="majorHAnsi" w:eastAsia="Calibri" w:hAnsiTheme="majorHAnsi" w:cstheme="majorHAnsi"/>
          <w:color w:val="000000"/>
          <w:sz w:val="23"/>
          <w:szCs w:val="23"/>
        </w:rPr>
        <w:t>The [</w:t>
      </w:r>
      <w:r w:rsidR="00214A69" w:rsidRPr="006630D1">
        <w:rPr>
          <w:rFonts w:asciiTheme="majorHAnsi" w:eastAsia="Calibri" w:hAnsiTheme="majorHAnsi" w:cstheme="majorHAnsi"/>
          <w:color w:val="000000"/>
          <w:sz w:val="23"/>
          <w:szCs w:val="23"/>
        </w:rPr>
        <w:t>G</w:t>
      </w:r>
      <w:r w:rsidRPr="006630D1">
        <w:rPr>
          <w:rFonts w:asciiTheme="majorHAnsi" w:eastAsia="Calibri" w:hAnsiTheme="majorHAnsi" w:cstheme="majorHAnsi"/>
          <w:color w:val="000000"/>
          <w:sz w:val="23"/>
          <w:szCs w:val="23"/>
        </w:rPr>
        <w:t xml:space="preserve">ood Friday] Agreement mandated the [NI Human Rights Commission]- NIHRC to consult and advise on the scope of such a Bill of Rights for Northern Ireland. The NIHRC submitted its advice in 2008, but no Bill has been put forward in </w:t>
      </w:r>
      <w:r w:rsidR="000C547F">
        <w:rPr>
          <w:rFonts w:asciiTheme="majorHAnsi" w:eastAsia="Calibri" w:hAnsiTheme="majorHAnsi" w:cstheme="majorHAnsi"/>
          <w:color w:val="000000"/>
          <w:sz w:val="23"/>
          <w:szCs w:val="23"/>
        </w:rPr>
        <w:t xml:space="preserve">the </w:t>
      </w:r>
      <w:r w:rsidRPr="006630D1">
        <w:rPr>
          <w:rFonts w:asciiTheme="majorHAnsi" w:eastAsia="Calibri" w:hAnsiTheme="majorHAnsi" w:cstheme="majorHAnsi"/>
          <w:color w:val="000000"/>
          <w:sz w:val="23"/>
          <w:szCs w:val="23"/>
        </w:rPr>
        <w:t xml:space="preserve">almost 15 years that have followed it. After the publication of the New Decade, New Approach document in 2020, the Northern Ireland Assembly set up an Ad Hoc Committee on a Bill of Rights. In June 2021, the Ad Hoc Committee agreed </w:t>
      </w:r>
      <w:r w:rsidR="00FF5544" w:rsidRPr="006630D1">
        <w:rPr>
          <w:rFonts w:asciiTheme="majorHAnsi" w:eastAsia="Calibri" w:hAnsiTheme="majorHAnsi" w:cstheme="majorHAnsi"/>
          <w:color w:val="000000"/>
          <w:sz w:val="23"/>
          <w:szCs w:val="23"/>
        </w:rPr>
        <w:t>it supported</w:t>
      </w:r>
      <w:r w:rsidRPr="006630D1">
        <w:rPr>
          <w:rFonts w:asciiTheme="majorHAnsi" w:eastAsia="Calibri" w:hAnsiTheme="majorHAnsi" w:cstheme="majorHAnsi"/>
          <w:color w:val="000000"/>
          <w:sz w:val="23"/>
          <w:szCs w:val="23"/>
        </w:rPr>
        <w:t xml:space="preserve"> the creation of a Bill of Rights for Northern Ireland, but it made any further decisions contingent on the advice from a panel of experts, which </w:t>
      </w:r>
      <w:r w:rsidR="00FF5544" w:rsidRPr="006630D1">
        <w:rPr>
          <w:rFonts w:asciiTheme="majorHAnsi" w:eastAsia="Calibri" w:hAnsiTheme="majorHAnsi" w:cstheme="majorHAnsi"/>
          <w:color w:val="000000"/>
          <w:sz w:val="23"/>
          <w:szCs w:val="23"/>
        </w:rPr>
        <w:t>would have</w:t>
      </w:r>
      <w:r w:rsidRPr="006630D1">
        <w:rPr>
          <w:rFonts w:asciiTheme="majorHAnsi" w:eastAsia="Calibri" w:hAnsiTheme="majorHAnsi" w:cstheme="majorHAnsi"/>
          <w:color w:val="000000"/>
          <w:sz w:val="23"/>
          <w:szCs w:val="23"/>
        </w:rPr>
        <w:t xml:space="preserve"> to be created for this purpose. This panel was not established due to </w:t>
      </w:r>
      <w:r w:rsidR="00FF5544" w:rsidRPr="006630D1">
        <w:rPr>
          <w:rFonts w:asciiTheme="majorHAnsi" w:eastAsia="Calibri" w:hAnsiTheme="majorHAnsi" w:cstheme="majorHAnsi"/>
          <w:color w:val="000000"/>
          <w:sz w:val="23"/>
          <w:szCs w:val="23"/>
        </w:rPr>
        <w:t>political disagreement</w:t>
      </w:r>
      <w:r w:rsidRPr="006630D1">
        <w:rPr>
          <w:rFonts w:asciiTheme="majorHAnsi" w:eastAsia="Calibri" w:hAnsiTheme="majorHAnsi" w:cstheme="majorHAnsi"/>
          <w:color w:val="000000"/>
          <w:sz w:val="23"/>
          <w:szCs w:val="23"/>
        </w:rPr>
        <w:t xml:space="preserve">. The Committee delivered a report in </w:t>
      </w:r>
      <w:proofErr w:type="gramStart"/>
      <w:r w:rsidRPr="006630D1">
        <w:rPr>
          <w:rFonts w:asciiTheme="majorHAnsi" w:eastAsia="Calibri" w:hAnsiTheme="majorHAnsi" w:cstheme="majorHAnsi"/>
          <w:color w:val="000000"/>
          <w:sz w:val="23"/>
          <w:szCs w:val="23"/>
        </w:rPr>
        <w:t>February 2022, but</w:t>
      </w:r>
      <w:proofErr w:type="gramEnd"/>
      <w:r w:rsidRPr="006630D1">
        <w:rPr>
          <w:rFonts w:asciiTheme="majorHAnsi" w:eastAsia="Calibri" w:hAnsiTheme="majorHAnsi" w:cstheme="majorHAnsi"/>
          <w:color w:val="000000"/>
          <w:sz w:val="23"/>
          <w:szCs w:val="23"/>
        </w:rPr>
        <w:t xml:space="preserve"> could </w:t>
      </w:r>
      <w:r w:rsidR="00FF5544" w:rsidRPr="006630D1">
        <w:rPr>
          <w:rFonts w:asciiTheme="majorHAnsi" w:eastAsia="Calibri" w:hAnsiTheme="majorHAnsi" w:cstheme="majorHAnsi"/>
          <w:color w:val="000000"/>
          <w:sz w:val="23"/>
          <w:szCs w:val="23"/>
        </w:rPr>
        <w:t>not make</w:t>
      </w:r>
      <w:r w:rsidRPr="006630D1">
        <w:rPr>
          <w:rFonts w:asciiTheme="majorHAnsi" w:eastAsia="Calibri" w:hAnsiTheme="majorHAnsi" w:cstheme="majorHAnsi"/>
          <w:color w:val="000000"/>
          <w:sz w:val="23"/>
          <w:szCs w:val="23"/>
        </w:rPr>
        <w:t xml:space="preserve"> a decision on what approach a Bill of Rights for Northern Ireland should take </w:t>
      </w:r>
      <w:r w:rsidR="00FF5544" w:rsidRPr="006630D1">
        <w:rPr>
          <w:rFonts w:asciiTheme="majorHAnsi" w:eastAsia="Calibri" w:hAnsiTheme="majorHAnsi" w:cstheme="majorHAnsi"/>
          <w:color w:val="000000"/>
          <w:sz w:val="23"/>
          <w:szCs w:val="23"/>
        </w:rPr>
        <w:t>in view</w:t>
      </w:r>
      <w:r w:rsidRPr="006630D1">
        <w:rPr>
          <w:rFonts w:asciiTheme="majorHAnsi" w:eastAsia="Calibri" w:hAnsiTheme="majorHAnsi" w:cstheme="majorHAnsi"/>
          <w:color w:val="000000"/>
          <w:sz w:val="23"/>
          <w:szCs w:val="23"/>
        </w:rPr>
        <w:t xml:space="preserve"> of the afore-mentioned issues. Whilst the Belfast/Good Friday </w:t>
      </w:r>
      <w:r w:rsidR="00FF5544" w:rsidRPr="006630D1">
        <w:rPr>
          <w:rFonts w:asciiTheme="majorHAnsi" w:eastAsia="Calibri" w:hAnsiTheme="majorHAnsi" w:cstheme="majorHAnsi"/>
          <w:color w:val="000000"/>
          <w:sz w:val="23"/>
          <w:szCs w:val="23"/>
        </w:rPr>
        <w:t>Agreement provides</w:t>
      </w:r>
      <w:r w:rsidRPr="006630D1">
        <w:rPr>
          <w:rFonts w:asciiTheme="majorHAnsi" w:eastAsia="Calibri" w:hAnsiTheme="majorHAnsi" w:cstheme="majorHAnsi"/>
          <w:color w:val="000000"/>
          <w:sz w:val="23"/>
          <w:szCs w:val="23"/>
        </w:rPr>
        <w:t xml:space="preserve"> that a Bill of Rights for Northern Ireland must be legislated for by the UK Parliament, the UK government has declined to put forward legislation </w:t>
      </w:r>
      <w:r w:rsidR="00FF5544" w:rsidRPr="006630D1">
        <w:rPr>
          <w:rFonts w:asciiTheme="majorHAnsi" w:eastAsia="Calibri" w:hAnsiTheme="majorHAnsi" w:cstheme="majorHAnsi"/>
          <w:color w:val="000000"/>
          <w:sz w:val="23"/>
          <w:szCs w:val="23"/>
        </w:rPr>
        <w:t>until consensus</w:t>
      </w:r>
      <w:r w:rsidRPr="006630D1">
        <w:rPr>
          <w:rFonts w:asciiTheme="majorHAnsi" w:eastAsia="Calibri" w:hAnsiTheme="majorHAnsi" w:cstheme="majorHAnsi"/>
          <w:color w:val="000000"/>
          <w:sz w:val="23"/>
          <w:szCs w:val="23"/>
        </w:rPr>
        <w:t xml:space="preserve"> is reached in Stormont, which is unlikely in view of the deep divisions </w:t>
      </w:r>
      <w:r w:rsidR="000C547F" w:rsidRPr="006630D1">
        <w:rPr>
          <w:rFonts w:asciiTheme="majorHAnsi" w:eastAsia="Calibri" w:hAnsiTheme="majorHAnsi" w:cstheme="majorHAnsi"/>
          <w:color w:val="000000"/>
          <w:sz w:val="23"/>
          <w:szCs w:val="23"/>
        </w:rPr>
        <w:t>and current</w:t>
      </w:r>
      <w:r w:rsidRPr="006630D1">
        <w:rPr>
          <w:rFonts w:asciiTheme="majorHAnsi" w:eastAsia="Calibri" w:hAnsiTheme="majorHAnsi" w:cstheme="majorHAnsi"/>
          <w:color w:val="000000"/>
          <w:sz w:val="23"/>
          <w:szCs w:val="23"/>
        </w:rPr>
        <w:t xml:space="preserve"> political stalemate.</w:t>
      </w:r>
      <w:r w:rsidRPr="006630D1">
        <w:rPr>
          <w:rFonts w:asciiTheme="majorHAnsi" w:hAnsiTheme="majorHAnsi" w:cstheme="majorHAnsi"/>
          <w:sz w:val="23"/>
          <w:szCs w:val="23"/>
          <w:vertAlign w:val="superscript"/>
        </w:rPr>
        <w:footnoteReference w:id="8"/>
      </w:r>
    </w:p>
    <w:p w14:paraId="71942029" w14:textId="783ECBFC" w:rsidR="00041B4C" w:rsidRPr="00FF5544" w:rsidRDefault="00BE46B1" w:rsidP="00214A69">
      <w:pPr>
        <w:pStyle w:val="ListParagraph"/>
        <w:widowControl w:val="0"/>
        <w:numPr>
          <w:ilvl w:val="0"/>
          <w:numId w:val="2"/>
        </w:numPr>
        <w:pBdr>
          <w:top w:val="nil"/>
          <w:left w:val="nil"/>
          <w:bottom w:val="nil"/>
          <w:right w:val="nil"/>
          <w:between w:val="nil"/>
        </w:pBdr>
        <w:spacing w:after="120" w:line="240" w:lineRule="auto"/>
        <w:ind w:right="205"/>
        <w:contextualSpacing w:val="0"/>
        <w:jc w:val="both"/>
        <w:rPr>
          <w:rFonts w:ascii="Calibri" w:eastAsia="Calibri" w:hAnsi="Calibri" w:cs="Calibri"/>
          <w:sz w:val="24"/>
          <w:szCs w:val="24"/>
        </w:rPr>
      </w:pPr>
      <w:r w:rsidRPr="00FF5544">
        <w:rPr>
          <w:rFonts w:ascii="Calibri" w:eastAsia="Calibri" w:hAnsi="Calibri" w:cs="Calibri"/>
          <w:sz w:val="24"/>
          <w:szCs w:val="24"/>
        </w:rPr>
        <w:lastRenderedPageBreak/>
        <w:t>The UK 7th Periodic Report claims that it was ‘always envisaged’ in the GFA that there would need to be ‘consensus’ between Northern Ireland political parties on the content of a Bill of Rights before legislation was taken forward.</w:t>
      </w:r>
      <w:r w:rsidRPr="00FF5544">
        <w:rPr>
          <w:vertAlign w:val="superscript"/>
        </w:rPr>
        <w:footnoteReference w:id="9"/>
      </w:r>
      <w:r w:rsidRPr="00FF5544">
        <w:rPr>
          <w:rFonts w:ascii="Calibri" w:eastAsia="Calibri" w:hAnsi="Calibri" w:cs="Calibri"/>
          <w:sz w:val="24"/>
          <w:szCs w:val="24"/>
        </w:rPr>
        <w:t xml:space="preserve"> This is false, th</w:t>
      </w:r>
      <w:r w:rsidR="004D498B">
        <w:rPr>
          <w:rFonts w:ascii="Calibri" w:eastAsia="Calibri" w:hAnsi="Calibri" w:cs="Calibri"/>
          <w:sz w:val="24"/>
          <w:szCs w:val="24"/>
        </w:rPr>
        <w:t>e</w:t>
      </w:r>
      <w:r w:rsidRPr="00FF5544">
        <w:rPr>
          <w:rFonts w:ascii="Calibri" w:eastAsia="Calibri" w:hAnsi="Calibri" w:cs="Calibri"/>
          <w:sz w:val="24"/>
          <w:szCs w:val="24"/>
        </w:rPr>
        <w:t xml:space="preserve"> GFA makes no such reference and expressly defers to the NHRI for the content of the NI Bill of Rights</w:t>
      </w:r>
      <w:r w:rsidR="004D498B">
        <w:rPr>
          <w:rFonts w:ascii="Calibri" w:eastAsia="Calibri" w:hAnsi="Calibri" w:cs="Calibri"/>
          <w:sz w:val="24"/>
          <w:szCs w:val="24"/>
        </w:rPr>
        <w:t>.</w:t>
      </w:r>
      <w:r w:rsidRPr="00FF5544">
        <w:rPr>
          <w:vertAlign w:val="superscript"/>
        </w:rPr>
        <w:footnoteReference w:id="10"/>
      </w:r>
    </w:p>
    <w:p w14:paraId="5AA2BE21" w14:textId="3D5D2CA8" w:rsidR="00041B4C" w:rsidRPr="006630D1" w:rsidRDefault="00BE46B1" w:rsidP="00214A69">
      <w:pPr>
        <w:pStyle w:val="ListParagraph"/>
        <w:widowControl w:val="0"/>
        <w:pBdr>
          <w:top w:val="nil"/>
          <w:left w:val="nil"/>
          <w:bottom w:val="nil"/>
          <w:right w:val="nil"/>
          <w:between w:val="nil"/>
        </w:pBdr>
        <w:spacing w:after="120" w:line="240" w:lineRule="auto"/>
        <w:contextualSpacing w:val="0"/>
        <w:rPr>
          <w:rFonts w:ascii="Calibri" w:eastAsia="Calibri" w:hAnsi="Calibri" w:cs="Calibri"/>
          <w:b/>
          <w:sz w:val="24"/>
          <w:szCs w:val="24"/>
        </w:rPr>
      </w:pPr>
      <w:r w:rsidRPr="00FF5544">
        <w:rPr>
          <w:rFonts w:ascii="Calibri" w:eastAsia="Calibri" w:hAnsi="Calibri" w:cs="Calibri"/>
          <w:b/>
          <w:sz w:val="24"/>
          <w:szCs w:val="24"/>
        </w:rPr>
        <w:t xml:space="preserve">The Committee may wish to </w:t>
      </w:r>
      <w:r w:rsidR="004D498B">
        <w:rPr>
          <w:rFonts w:ascii="Calibri" w:eastAsia="Calibri" w:hAnsi="Calibri" w:cs="Calibri"/>
          <w:b/>
          <w:sz w:val="24"/>
          <w:szCs w:val="24"/>
        </w:rPr>
        <w:t xml:space="preserve">press the UK on introducing legislation for the Bill of Rights for Northern Ireland as a vehicle to incorporate further ICESCR rights, without a pre-condition of all party consensus. </w:t>
      </w:r>
      <w:r w:rsidRPr="006630D1">
        <w:rPr>
          <w:rFonts w:ascii="Calibri" w:eastAsia="Calibri" w:hAnsi="Calibri" w:cs="Calibri"/>
          <w:b/>
          <w:sz w:val="24"/>
          <w:szCs w:val="24"/>
        </w:rPr>
        <w:t xml:space="preserve"> </w:t>
      </w:r>
    </w:p>
    <w:p w14:paraId="5EEFE08E" w14:textId="77777777" w:rsidR="00041B4C" w:rsidRPr="00214A69" w:rsidRDefault="00BE46B1" w:rsidP="006630D1">
      <w:pPr>
        <w:widowControl w:val="0"/>
        <w:pBdr>
          <w:top w:val="nil"/>
          <w:left w:val="nil"/>
          <w:bottom w:val="nil"/>
          <w:right w:val="nil"/>
          <w:between w:val="nil"/>
        </w:pBdr>
        <w:spacing w:after="120" w:line="240" w:lineRule="auto"/>
        <w:ind w:right="233"/>
        <w:rPr>
          <w:rFonts w:ascii="Cambria" w:eastAsia="Cambria" w:hAnsi="Cambria" w:cs="Cambria"/>
          <w:b/>
          <w:color w:val="000000"/>
          <w:sz w:val="24"/>
          <w:szCs w:val="24"/>
        </w:rPr>
      </w:pPr>
      <w:r w:rsidRPr="00214A69">
        <w:rPr>
          <w:rFonts w:ascii="Cambria" w:eastAsia="Cambria" w:hAnsi="Cambria" w:cs="Cambria"/>
          <w:b/>
          <w:color w:val="000000"/>
          <w:sz w:val="24"/>
          <w:szCs w:val="24"/>
        </w:rPr>
        <w:t xml:space="preserve">A Northern Ireland anti-poverty strategy </w:t>
      </w:r>
      <w:proofErr w:type="gramStart"/>
      <w:r w:rsidRPr="00214A69">
        <w:rPr>
          <w:rFonts w:ascii="Cambria" w:eastAsia="Cambria" w:hAnsi="Cambria" w:cs="Cambria"/>
          <w:b/>
          <w:color w:val="000000"/>
          <w:sz w:val="24"/>
          <w:szCs w:val="24"/>
        </w:rPr>
        <w:t>on the basis of</w:t>
      </w:r>
      <w:proofErr w:type="gramEnd"/>
      <w:r w:rsidRPr="00214A69">
        <w:rPr>
          <w:rFonts w:ascii="Cambria" w:eastAsia="Cambria" w:hAnsi="Cambria" w:cs="Cambria"/>
          <w:b/>
          <w:color w:val="000000"/>
          <w:sz w:val="24"/>
          <w:szCs w:val="24"/>
        </w:rPr>
        <w:t xml:space="preserve"> objective need </w:t>
      </w:r>
    </w:p>
    <w:p w14:paraId="3726DAB4" w14:textId="1EC365B7" w:rsidR="00240129" w:rsidRPr="006630D1" w:rsidRDefault="00BE46B1" w:rsidP="006630D1">
      <w:pPr>
        <w:pStyle w:val="ListParagraph"/>
        <w:widowControl w:val="0"/>
        <w:numPr>
          <w:ilvl w:val="0"/>
          <w:numId w:val="2"/>
        </w:numPr>
        <w:pBdr>
          <w:top w:val="nil"/>
          <w:left w:val="nil"/>
          <w:bottom w:val="nil"/>
          <w:right w:val="nil"/>
          <w:between w:val="nil"/>
        </w:pBdr>
        <w:spacing w:after="120" w:line="240" w:lineRule="auto"/>
        <w:ind w:right="397"/>
        <w:contextualSpacing w:val="0"/>
        <w:rPr>
          <w:sz w:val="24"/>
          <w:szCs w:val="24"/>
        </w:rPr>
      </w:pPr>
      <w:r w:rsidRPr="00FF5544">
        <w:rPr>
          <w:rFonts w:ascii="Calibri" w:eastAsia="Calibri" w:hAnsi="Calibri" w:cs="Calibri"/>
          <w:color w:val="000000"/>
          <w:sz w:val="24"/>
          <w:szCs w:val="24"/>
        </w:rPr>
        <w:t>A further key peace-agreement safeguard, which protects Covenant rights, is the statutory duty on the Northern Ireland Executive to adopt an anti-poverty strategy based on objective need. The 2006 (UK-Ireland) St Andrews Agreement led to legislation obliging the Northern Ireland Executive to adopt such a strategy</w:t>
      </w:r>
      <w:r w:rsidR="00214A69">
        <w:rPr>
          <w:rFonts w:ascii="Calibri" w:eastAsia="Calibri" w:hAnsi="Calibri" w:cs="Calibri"/>
          <w:color w:val="000000"/>
          <w:sz w:val="24"/>
          <w:szCs w:val="24"/>
        </w:rPr>
        <w:t>.</w:t>
      </w:r>
      <w:r w:rsidRPr="00FF5544">
        <w:rPr>
          <w:vertAlign w:val="superscript"/>
        </w:rPr>
        <w:footnoteReference w:id="11"/>
      </w:r>
    </w:p>
    <w:p w14:paraId="4565F3D6" w14:textId="09668815" w:rsidR="00041B4C" w:rsidRPr="00FF5544" w:rsidRDefault="00604A85" w:rsidP="006630D1">
      <w:pPr>
        <w:pStyle w:val="ListParagraph"/>
        <w:widowControl w:val="0"/>
        <w:numPr>
          <w:ilvl w:val="0"/>
          <w:numId w:val="2"/>
        </w:numPr>
        <w:pBdr>
          <w:top w:val="nil"/>
          <w:left w:val="nil"/>
          <w:bottom w:val="nil"/>
          <w:right w:val="nil"/>
          <w:between w:val="nil"/>
        </w:pBdr>
        <w:spacing w:after="120" w:line="240" w:lineRule="auto"/>
        <w:ind w:right="209"/>
        <w:contextualSpacing w:val="0"/>
        <w:rPr>
          <w:rFonts w:ascii="Calibri" w:eastAsia="Calibri" w:hAnsi="Calibri" w:cs="Calibri"/>
          <w:color w:val="000000"/>
          <w:sz w:val="24"/>
          <w:szCs w:val="24"/>
        </w:rPr>
      </w:pPr>
      <w:r>
        <w:rPr>
          <w:rFonts w:ascii="Calibri" w:eastAsia="Calibri" w:hAnsi="Calibri" w:cs="Calibri"/>
          <w:color w:val="000000"/>
          <w:sz w:val="24"/>
          <w:szCs w:val="24"/>
        </w:rPr>
        <w:t>T</w:t>
      </w:r>
      <w:r w:rsidR="00BE46B1" w:rsidRPr="00FF5544">
        <w:rPr>
          <w:rFonts w:ascii="Calibri" w:eastAsia="Calibri" w:hAnsi="Calibri" w:cs="Calibri"/>
          <w:color w:val="000000"/>
          <w:sz w:val="24"/>
          <w:szCs w:val="24"/>
        </w:rPr>
        <w:t xml:space="preserve">he </w:t>
      </w:r>
      <w:r>
        <w:rPr>
          <w:rFonts w:ascii="Calibri" w:eastAsia="Calibri" w:hAnsi="Calibri" w:cs="Calibri"/>
          <w:color w:val="000000"/>
          <w:sz w:val="24"/>
          <w:szCs w:val="24"/>
        </w:rPr>
        <w:t>NI</w:t>
      </w:r>
      <w:r w:rsidR="00BE46B1" w:rsidRPr="00FF5544">
        <w:rPr>
          <w:rFonts w:ascii="Calibri" w:eastAsia="Calibri" w:hAnsi="Calibri" w:cs="Calibri"/>
          <w:color w:val="000000"/>
          <w:sz w:val="24"/>
          <w:szCs w:val="24"/>
        </w:rPr>
        <w:t xml:space="preserve"> Executive </w:t>
      </w:r>
      <w:r>
        <w:rPr>
          <w:rFonts w:ascii="Calibri" w:eastAsia="Calibri" w:hAnsi="Calibri" w:cs="Calibri"/>
          <w:color w:val="000000"/>
          <w:sz w:val="24"/>
          <w:szCs w:val="24"/>
        </w:rPr>
        <w:t xml:space="preserve">however </w:t>
      </w:r>
      <w:r w:rsidR="00BE46B1" w:rsidRPr="00FF5544">
        <w:rPr>
          <w:rFonts w:ascii="Calibri" w:eastAsia="Calibri" w:hAnsi="Calibri" w:cs="Calibri"/>
          <w:color w:val="000000"/>
          <w:sz w:val="24"/>
          <w:szCs w:val="24"/>
        </w:rPr>
        <w:t>failed to adopt such a strategy</w:t>
      </w:r>
      <w:r>
        <w:rPr>
          <w:rFonts w:ascii="Calibri" w:eastAsia="Calibri" w:hAnsi="Calibri" w:cs="Calibri"/>
          <w:color w:val="000000"/>
          <w:sz w:val="24"/>
          <w:szCs w:val="24"/>
        </w:rPr>
        <w:t xml:space="preserve"> and i</w:t>
      </w:r>
      <w:r w:rsidR="00BE46B1" w:rsidRPr="00FF5544">
        <w:rPr>
          <w:rFonts w:ascii="Calibri" w:eastAsia="Calibri" w:hAnsi="Calibri" w:cs="Calibri"/>
          <w:color w:val="000000"/>
          <w:sz w:val="24"/>
          <w:szCs w:val="24"/>
        </w:rPr>
        <w:t xml:space="preserve">n 2014 CAJ took legal action through </w:t>
      </w:r>
      <w:r>
        <w:rPr>
          <w:rFonts w:ascii="Calibri" w:eastAsia="Calibri" w:hAnsi="Calibri" w:cs="Calibri"/>
          <w:color w:val="000000"/>
          <w:sz w:val="24"/>
          <w:szCs w:val="24"/>
        </w:rPr>
        <w:t xml:space="preserve">successful </w:t>
      </w:r>
      <w:r w:rsidR="00BE46B1" w:rsidRPr="00FF5544">
        <w:rPr>
          <w:rFonts w:ascii="Calibri" w:eastAsia="Calibri" w:hAnsi="Calibri" w:cs="Calibri"/>
          <w:color w:val="000000"/>
          <w:sz w:val="24"/>
          <w:szCs w:val="24"/>
        </w:rPr>
        <w:t xml:space="preserve">judicial review proceedings. </w:t>
      </w:r>
      <w:r>
        <w:rPr>
          <w:rFonts w:ascii="Calibri" w:eastAsia="Calibri" w:hAnsi="Calibri" w:cs="Calibri"/>
          <w:color w:val="000000"/>
          <w:sz w:val="24"/>
          <w:szCs w:val="24"/>
        </w:rPr>
        <w:t>T</w:t>
      </w:r>
      <w:r w:rsidR="004D498B" w:rsidRPr="00FF5544">
        <w:rPr>
          <w:rFonts w:ascii="Calibri" w:eastAsia="Calibri" w:hAnsi="Calibri" w:cs="Calibri"/>
          <w:color w:val="000000"/>
          <w:sz w:val="24"/>
          <w:szCs w:val="24"/>
        </w:rPr>
        <w:t>he</w:t>
      </w:r>
      <w:r w:rsidR="00BE46B1" w:rsidRPr="00FF5544">
        <w:rPr>
          <w:rFonts w:ascii="Calibri" w:eastAsia="Calibri" w:hAnsi="Calibri" w:cs="Calibri"/>
          <w:color w:val="000000"/>
          <w:sz w:val="24"/>
          <w:szCs w:val="24"/>
        </w:rPr>
        <w:t xml:space="preserve"> Court h</w:t>
      </w:r>
      <w:r>
        <w:rPr>
          <w:rFonts w:ascii="Calibri" w:eastAsia="Calibri" w:hAnsi="Calibri" w:cs="Calibri"/>
          <w:color w:val="000000"/>
          <w:sz w:val="24"/>
          <w:szCs w:val="24"/>
        </w:rPr>
        <w:t xml:space="preserve">eld </w:t>
      </w:r>
      <w:r w:rsidR="00BE46B1" w:rsidRPr="00FF5544">
        <w:rPr>
          <w:rFonts w:ascii="Calibri" w:eastAsia="Calibri" w:hAnsi="Calibri" w:cs="Calibri"/>
          <w:color w:val="000000"/>
          <w:sz w:val="24"/>
          <w:szCs w:val="24"/>
        </w:rPr>
        <w:t xml:space="preserve">that it was clear that ‘no such’ anti-poverty strategy had been adopted by the </w:t>
      </w:r>
      <w:r w:rsidR="00387EB1">
        <w:rPr>
          <w:rFonts w:ascii="Calibri" w:eastAsia="Calibri" w:hAnsi="Calibri" w:cs="Calibri"/>
          <w:color w:val="000000"/>
          <w:sz w:val="24"/>
          <w:szCs w:val="24"/>
        </w:rPr>
        <w:t>NI</w:t>
      </w:r>
      <w:r w:rsidR="00BE46B1" w:rsidRPr="00FF5544">
        <w:rPr>
          <w:rFonts w:ascii="Calibri" w:eastAsia="Calibri" w:hAnsi="Calibri" w:cs="Calibri"/>
          <w:color w:val="000000"/>
          <w:sz w:val="24"/>
          <w:szCs w:val="24"/>
        </w:rPr>
        <w:t xml:space="preserve"> Executive who had therefore acted unlawfully.</w:t>
      </w:r>
      <w:r w:rsidR="00BE46B1" w:rsidRPr="00FF5544">
        <w:rPr>
          <w:vertAlign w:val="superscript"/>
        </w:rPr>
        <w:footnoteReference w:id="12"/>
      </w:r>
      <w:r>
        <w:rPr>
          <w:rFonts w:ascii="Calibri" w:eastAsia="Calibri" w:hAnsi="Calibri" w:cs="Calibri"/>
          <w:color w:val="000000"/>
          <w:sz w:val="24"/>
          <w:szCs w:val="24"/>
        </w:rPr>
        <w:t xml:space="preserve"> </w:t>
      </w:r>
    </w:p>
    <w:p w14:paraId="6A0D5CE4" w14:textId="2A0A543F" w:rsidR="00240129" w:rsidRPr="00604A85" w:rsidRDefault="00BE46B1" w:rsidP="00604A85">
      <w:pPr>
        <w:pStyle w:val="ListParagraph"/>
        <w:widowControl w:val="0"/>
        <w:numPr>
          <w:ilvl w:val="0"/>
          <w:numId w:val="2"/>
        </w:numPr>
        <w:pBdr>
          <w:top w:val="nil"/>
          <w:left w:val="nil"/>
          <w:bottom w:val="nil"/>
          <w:right w:val="nil"/>
          <w:between w:val="nil"/>
        </w:pBdr>
        <w:spacing w:after="120" w:line="240" w:lineRule="auto"/>
        <w:ind w:right="279"/>
        <w:contextualSpacing w:val="0"/>
        <w:rPr>
          <w:rFonts w:ascii="Calibri" w:eastAsia="Calibri" w:hAnsi="Calibri" w:cs="Calibri"/>
          <w:color w:val="000000"/>
          <w:sz w:val="24"/>
          <w:szCs w:val="24"/>
        </w:rPr>
      </w:pPr>
      <w:r w:rsidRPr="00604A85">
        <w:rPr>
          <w:rFonts w:ascii="Calibri" w:eastAsia="Calibri" w:hAnsi="Calibri" w:cs="Calibri"/>
          <w:color w:val="000000"/>
          <w:sz w:val="24"/>
          <w:szCs w:val="24"/>
        </w:rPr>
        <w:t>In 2016, the Committee’s previous concluding observations urged the UK to adopt the</w:t>
      </w:r>
      <w:r w:rsidRPr="00604A85">
        <w:rPr>
          <w:rFonts w:ascii="Calibri" w:eastAsia="Calibri" w:hAnsi="Calibri" w:cs="Calibri"/>
          <w:sz w:val="24"/>
          <w:szCs w:val="24"/>
        </w:rPr>
        <w:t xml:space="preserve"> </w:t>
      </w:r>
      <w:r w:rsidRPr="00604A85">
        <w:rPr>
          <w:rFonts w:ascii="Calibri" w:eastAsia="Calibri" w:hAnsi="Calibri" w:cs="Calibri"/>
          <w:color w:val="000000"/>
          <w:sz w:val="24"/>
          <w:szCs w:val="24"/>
        </w:rPr>
        <w:t>anti-poverty strategy in Northern Ireland</w:t>
      </w:r>
      <w:r w:rsidR="00863639" w:rsidRPr="00604A85">
        <w:rPr>
          <w:rFonts w:ascii="Calibri" w:eastAsia="Calibri" w:hAnsi="Calibri" w:cs="Calibri"/>
          <w:color w:val="000000"/>
          <w:sz w:val="24"/>
          <w:szCs w:val="24"/>
        </w:rPr>
        <w:t>.</w:t>
      </w:r>
      <w:r w:rsidRPr="00FF5544">
        <w:rPr>
          <w:vertAlign w:val="superscript"/>
        </w:rPr>
        <w:footnoteReference w:id="13"/>
      </w:r>
      <w:r w:rsidR="00387EB1" w:rsidRPr="00604A85">
        <w:rPr>
          <w:rFonts w:ascii="Calibri" w:eastAsia="Calibri" w:hAnsi="Calibri" w:cs="Calibri"/>
          <w:color w:val="000000"/>
          <w:sz w:val="24"/>
          <w:szCs w:val="24"/>
        </w:rPr>
        <w:t xml:space="preserve"> </w:t>
      </w:r>
      <w:r w:rsidRPr="00604A85">
        <w:rPr>
          <w:rFonts w:ascii="Calibri" w:eastAsia="Calibri" w:hAnsi="Calibri" w:cs="Calibri"/>
          <w:color w:val="000000"/>
          <w:sz w:val="24"/>
          <w:szCs w:val="24"/>
        </w:rPr>
        <w:t xml:space="preserve">The NI Executive collapsed into suspension from January 2017 until it was </w:t>
      </w:r>
      <w:r w:rsidR="00800C4A" w:rsidRPr="00604A85">
        <w:rPr>
          <w:rFonts w:ascii="Calibri" w:eastAsia="Calibri" w:hAnsi="Calibri" w:cs="Calibri"/>
          <w:color w:val="000000"/>
          <w:sz w:val="24"/>
          <w:szCs w:val="24"/>
        </w:rPr>
        <w:t>reestablished</w:t>
      </w:r>
      <w:r w:rsidRPr="00604A85">
        <w:rPr>
          <w:rFonts w:ascii="Calibri" w:eastAsia="Calibri" w:hAnsi="Calibri" w:cs="Calibri"/>
          <w:color w:val="000000"/>
          <w:sz w:val="24"/>
          <w:szCs w:val="24"/>
        </w:rPr>
        <w:t xml:space="preserve"> in 2020 under the NDNA Agreement. NDNA facilitated a process to develop the anti-poverty strategy. This involved the convening </w:t>
      </w:r>
      <w:r w:rsidR="00604A85">
        <w:rPr>
          <w:rFonts w:ascii="Calibri" w:eastAsia="Calibri" w:hAnsi="Calibri" w:cs="Calibri"/>
          <w:color w:val="000000"/>
          <w:sz w:val="24"/>
          <w:szCs w:val="24"/>
        </w:rPr>
        <w:t xml:space="preserve">of </w:t>
      </w:r>
      <w:r w:rsidRPr="00604A85">
        <w:rPr>
          <w:rFonts w:ascii="Calibri" w:eastAsia="Calibri" w:hAnsi="Calibri" w:cs="Calibri"/>
          <w:color w:val="000000"/>
          <w:sz w:val="24"/>
          <w:szCs w:val="24"/>
        </w:rPr>
        <w:t>an Expert Advisory Panel</w:t>
      </w:r>
      <w:r w:rsidR="00863639" w:rsidRPr="00604A85">
        <w:rPr>
          <w:rFonts w:ascii="Calibri" w:eastAsia="Calibri" w:hAnsi="Calibri" w:cs="Calibri"/>
          <w:color w:val="000000"/>
          <w:sz w:val="24"/>
          <w:szCs w:val="24"/>
        </w:rPr>
        <w:t>, which</w:t>
      </w:r>
      <w:r w:rsidRPr="00604A85">
        <w:rPr>
          <w:rFonts w:ascii="Calibri" w:eastAsia="Calibri" w:hAnsi="Calibri" w:cs="Calibri"/>
          <w:color w:val="000000"/>
          <w:sz w:val="24"/>
          <w:szCs w:val="24"/>
        </w:rPr>
        <w:t xml:space="preserve"> produced a comprehensive blueprint for the strategy. This was followed by the establishment of a co-design group and cross-departmental advisory group. The NI Executive collapsed again in </w:t>
      </w:r>
      <w:proofErr w:type="gramStart"/>
      <w:r w:rsidRPr="00604A85">
        <w:rPr>
          <w:rFonts w:ascii="Calibri" w:eastAsia="Calibri" w:hAnsi="Calibri" w:cs="Calibri"/>
          <w:color w:val="000000"/>
          <w:sz w:val="24"/>
          <w:szCs w:val="24"/>
        </w:rPr>
        <w:t>2022</w:t>
      </w:r>
      <w:proofErr w:type="gramEnd"/>
      <w:r w:rsidRPr="00604A85">
        <w:rPr>
          <w:rFonts w:ascii="Calibri" w:eastAsia="Calibri" w:hAnsi="Calibri" w:cs="Calibri"/>
          <w:color w:val="000000"/>
          <w:sz w:val="24"/>
          <w:szCs w:val="24"/>
        </w:rPr>
        <w:t xml:space="preserve"> and the anti-poverty </w:t>
      </w:r>
      <w:r w:rsidR="00863639" w:rsidRPr="00604A85">
        <w:rPr>
          <w:rFonts w:ascii="Calibri" w:eastAsia="Calibri" w:hAnsi="Calibri" w:cs="Calibri"/>
          <w:color w:val="000000"/>
          <w:sz w:val="24"/>
          <w:szCs w:val="24"/>
        </w:rPr>
        <w:t xml:space="preserve">strategy </w:t>
      </w:r>
      <w:r w:rsidR="00863639" w:rsidRPr="00604A85">
        <w:rPr>
          <w:rFonts w:ascii="Calibri" w:eastAsia="Calibri" w:hAnsi="Calibri" w:cs="Calibri"/>
          <w:sz w:val="24"/>
          <w:szCs w:val="24"/>
        </w:rPr>
        <w:t>was</w:t>
      </w:r>
      <w:r w:rsidRPr="00604A85">
        <w:rPr>
          <w:rFonts w:ascii="Calibri" w:eastAsia="Calibri" w:hAnsi="Calibri" w:cs="Calibri"/>
          <w:sz w:val="24"/>
          <w:szCs w:val="24"/>
        </w:rPr>
        <w:t xml:space="preserve"> not </w:t>
      </w:r>
      <w:r w:rsidRPr="00604A85">
        <w:rPr>
          <w:rFonts w:ascii="Calibri" w:eastAsia="Calibri" w:hAnsi="Calibri" w:cs="Calibri"/>
          <w:color w:val="000000"/>
          <w:sz w:val="24"/>
          <w:szCs w:val="24"/>
        </w:rPr>
        <w:t>formally adopted</w:t>
      </w:r>
      <w:r w:rsidR="00387EB1" w:rsidRPr="00604A85">
        <w:rPr>
          <w:rFonts w:ascii="Calibri" w:eastAsia="Calibri" w:hAnsi="Calibri" w:cs="Calibri"/>
          <w:color w:val="000000"/>
          <w:sz w:val="24"/>
          <w:szCs w:val="24"/>
        </w:rPr>
        <w:t>. However</w:t>
      </w:r>
      <w:r w:rsidR="009541E4" w:rsidRPr="00604A85">
        <w:rPr>
          <w:rFonts w:ascii="Calibri" w:eastAsia="Calibri" w:hAnsi="Calibri" w:cs="Calibri"/>
          <w:color w:val="000000"/>
          <w:sz w:val="24"/>
          <w:szCs w:val="24"/>
        </w:rPr>
        <w:t>,</w:t>
      </w:r>
      <w:r w:rsidR="00387EB1" w:rsidRPr="00604A85">
        <w:rPr>
          <w:rFonts w:ascii="Calibri" w:eastAsia="Calibri" w:hAnsi="Calibri" w:cs="Calibri"/>
          <w:color w:val="000000"/>
          <w:sz w:val="24"/>
          <w:szCs w:val="24"/>
        </w:rPr>
        <w:t xml:space="preserve"> these processes had led to the development of a draft Anti-Poverty Strategy that could be taken forward by</w:t>
      </w:r>
      <w:r w:rsidR="00604A85">
        <w:rPr>
          <w:rFonts w:ascii="Calibri" w:eastAsia="Calibri" w:hAnsi="Calibri" w:cs="Calibri"/>
          <w:color w:val="000000"/>
          <w:sz w:val="24"/>
          <w:szCs w:val="24"/>
        </w:rPr>
        <w:t xml:space="preserve"> Ministers in</w:t>
      </w:r>
      <w:r w:rsidR="00387EB1" w:rsidRPr="00604A85">
        <w:rPr>
          <w:rFonts w:ascii="Calibri" w:eastAsia="Calibri" w:hAnsi="Calibri" w:cs="Calibri"/>
          <w:color w:val="000000"/>
          <w:sz w:val="24"/>
          <w:szCs w:val="24"/>
        </w:rPr>
        <w:t xml:space="preserve"> a reestablished NI Executive</w:t>
      </w:r>
      <w:r w:rsidRPr="00604A85">
        <w:rPr>
          <w:rFonts w:ascii="Calibri" w:eastAsia="Calibri" w:hAnsi="Calibri" w:cs="Calibri"/>
          <w:color w:val="000000"/>
          <w:sz w:val="24"/>
          <w:szCs w:val="24"/>
        </w:rPr>
        <w:t>.</w:t>
      </w:r>
      <w:r w:rsidR="00387EB1" w:rsidRPr="00FF5544">
        <w:rPr>
          <w:vertAlign w:val="superscript"/>
        </w:rPr>
        <w:footnoteReference w:id="14"/>
      </w:r>
    </w:p>
    <w:p w14:paraId="219F9F0A" w14:textId="0B89DB74" w:rsidR="009541E4" w:rsidRPr="006630D1" w:rsidRDefault="009541E4" w:rsidP="006630D1">
      <w:pPr>
        <w:pStyle w:val="ListParagraph"/>
        <w:widowControl w:val="0"/>
        <w:numPr>
          <w:ilvl w:val="0"/>
          <w:numId w:val="2"/>
        </w:numPr>
        <w:pBdr>
          <w:top w:val="nil"/>
          <w:left w:val="nil"/>
          <w:bottom w:val="nil"/>
          <w:right w:val="nil"/>
          <w:between w:val="nil"/>
        </w:pBdr>
        <w:spacing w:after="120" w:line="240" w:lineRule="auto"/>
        <w:ind w:right="279"/>
        <w:contextualSpacing w:val="0"/>
        <w:rPr>
          <w:rFonts w:ascii="Calibri" w:hAnsi="Calibri" w:cs="Calibri"/>
          <w:sz w:val="24"/>
          <w:szCs w:val="24"/>
        </w:rPr>
      </w:pPr>
      <w:r>
        <w:rPr>
          <w:rFonts w:ascii="Calibri" w:eastAsia="Calibri" w:hAnsi="Calibri" w:cs="Calibri"/>
          <w:color w:val="000000"/>
          <w:sz w:val="24"/>
          <w:szCs w:val="24"/>
        </w:rPr>
        <w:t xml:space="preserve">However, following </w:t>
      </w:r>
      <w:r w:rsidR="00863639" w:rsidRPr="00FF5544">
        <w:rPr>
          <w:rFonts w:ascii="Calibri" w:hAnsi="Calibri" w:cs="Calibri"/>
          <w:sz w:val="24"/>
          <w:szCs w:val="24"/>
        </w:rPr>
        <w:t>the reappointment of the Executive in early 2024</w:t>
      </w:r>
      <w:r w:rsidR="00863639">
        <w:rPr>
          <w:rFonts w:ascii="Calibri" w:hAnsi="Calibri" w:cs="Calibri"/>
          <w:sz w:val="24"/>
          <w:szCs w:val="24"/>
        </w:rPr>
        <w:t xml:space="preserve">, </w:t>
      </w:r>
      <w:r>
        <w:rPr>
          <w:rFonts w:ascii="Calibri" w:hAnsi="Calibri" w:cs="Calibri"/>
          <w:sz w:val="24"/>
          <w:szCs w:val="24"/>
        </w:rPr>
        <w:t xml:space="preserve">with the lead </w:t>
      </w:r>
      <w:r>
        <w:rPr>
          <w:rFonts w:ascii="Calibri" w:hAnsi="Calibri" w:cs="Calibri"/>
          <w:sz w:val="24"/>
          <w:szCs w:val="24"/>
        </w:rPr>
        <w:lastRenderedPageBreak/>
        <w:t>department under a new Minister</w:t>
      </w:r>
      <w:r w:rsidR="00555EAE">
        <w:rPr>
          <w:rFonts w:ascii="Calibri" w:hAnsi="Calibri" w:cs="Calibri"/>
          <w:sz w:val="24"/>
          <w:szCs w:val="24"/>
        </w:rPr>
        <w:t>,</w:t>
      </w:r>
      <w:r>
        <w:rPr>
          <w:rFonts w:ascii="Calibri" w:hAnsi="Calibri" w:cs="Calibri"/>
          <w:sz w:val="24"/>
          <w:szCs w:val="24"/>
        </w:rPr>
        <w:t xml:space="preserve"> </w:t>
      </w:r>
      <w:r w:rsidR="00BE46B1" w:rsidRPr="006630D1">
        <w:rPr>
          <w:rFonts w:ascii="Calibri" w:hAnsi="Calibri" w:cs="Calibri"/>
          <w:sz w:val="24"/>
          <w:szCs w:val="24"/>
        </w:rPr>
        <w:t>the</w:t>
      </w:r>
      <w:r>
        <w:rPr>
          <w:rFonts w:ascii="Calibri" w:hAnsi="Calibri" w:cs="Calibri"/>
          <w:sz w:val="24"/>
          <w:szCs w:val="24"/>
        </w:rPr>
        <w:t>re were signs of regression.</w:t>
      </w:r>
      <w:r>
        <w:rPr>
          <w:rStyle w:val="FootnoteReference"/>
          <w:rFonts w:ascii="Calibri" w:hAnsi="Calibri" w:cs="Calibri"/>
          <w:sz w:val="24"/>
          <w:szCs w:val="24"/>
        </w:rPr>
        <w:footnoteReference w:id="15"/>
      </w:r>
      <w:r>
        <w:rPr>
          <w:rFonts w:ascii="Calibri" w:hAnsi="Calibri" w:cs="Calibri"/>
          <w:sz w:val="24"/>
          <w:szCs w:val="24"/>
        </w:rPr>
        <w:t xml:space="preserve"> No visible progress has been made in adopting the </w:t>
      </w:r>
      <w:proofErr w:type="spellStart"/>
      <w:r>
        <w:rPr>
          <w:rFonts w:ascii="Calibri" w:hAnsi="Calibri" w:cs="Calibri"/>
          <w:sz w:val="24"/>
          <w:szCs w:val="24"/>
        </w:rPr>
        <w:t>anti poverty</w:t>
      </w:r>
      <w:proofErr w:type="spellEnd"/>
      <w:r>
        <w:rPr>
          <w:rFonts w:ascii="Calibri" w:hAnsi="Calibri" w:cs="Calibri"/>
          <w:sz w:val="24"/>
          <w:szCs w:val="24"/>
        </w:rPr>
        <w:t xml:space="preserve"> strategy in 2024 to the extent that CAJ considers the NI Executive to again be in default of its legal obligations.</w:t>
      </w:r>
    </w:p>
    <w:p w14:paraId="073E8370" w14:textId="36A0B0C3" w:rsidR="00041B4C" w:rsidRPr="00807AEA" w:rsidRDefault="00BE46B1" w:rsidP="008E3413">
      <w:pPr>
        <w:spacing w:after="120" w:line="240" w:lineRule="auto"/>
        <w:rPr>
          <w:rFonts w:asciiTheme="majorHAnsi" w:hAnsiTheme="majorHAnsi" w:cstheme="majorHAnsi"/>
          <w:b/>
          <w:sz w:val="24"/>
          <w:szCs w:val="24"/>
        </w:rPr>
      </w:pPr>
      <w:r w:rsidRPr="00807AEA">
        <w:rPr>
          <w:rFonts w:asciiTheme="majorHAnsi" w:hAnsiTheme="majorHAnsi" w:cstheme="majorHAnsi"/>
          <w:b/>
          <w:sz w:val="24"/>
          <w:szCs w:val="24"/>
        </w:rPr>
        <w:t xml:space="preserve">The Committee may wish to </w:t>
      </w:r>
      <w:r w:rsidR="009541E4" w:rsidRPr="00807AEA">
        <w:rPr>
          <w:rFonts w:asciiTheme="majorHAnsi" w:hAnsiTheme="majorHAnsi" w:cstheme="majorHAnsi"/>
          <w:b/>
          <w:sz w:val="24"/>
          <w:szCs w:val="24"/>
        </w:rPr>
        <w:t xml:space="preserve">press </w:t>
      </w:r>
      <w:r w:rsidRPr="00807AEA">
        <w:rPr>
          <w:rFonts w:asciiTheme="majorHAnsi" w:hAnsiTheme="majorHAnsi" w:cstheme="majorHAnsi"/>
          <w:b/>
          <w:sz w:val="24"/>
          <w:szCs w:val="24"/>
        </w:rPr>
        <w:t xml:space="preserve">the UK </w:t>
      </w:r>
      <w:r w:rsidR="009541E4" w:rsidRPr="00807AEA">
        <w:rPr>
          <w:rFonts w:asciiTheme="majorHAnsi" w:hAnsiTheme="majorHAnsi" w:cstheme="majorHAnsi"/>
          <w:b/>
          <w:sz w:val="24"/>
          <w:szCs w:val="24"/>
        </w:rPr>
        <w:t xml:space="preserve">on </w:t>
      </w:r>
      <w:r w:rsidRPr="00807AEA">
        <w:rPr>
          <w:rFonts w:asciiTheme="majorHAnsi" w:hAnsiTheme="majorHAnsi" w:cstheme="majorHAnsi"/>
          <w:b/>
          <w:sz w:val="24"/>
          <w:szCs w:val="24"/>
        </w:rPr>
        <w:t>how it will ensure an anti-poverty strategy based on objective need is taken forward in Northern Ireland.</w:t>
      </w:r>
    </w:p>
    <w:p w14:paraId="0445120B" w14:textId="4DA9E994" w:rsidR="00041B4C" w:rsidRPr="00FF5544" w:rsidRDefault="00BE46B1" w:rsidP="006630D1">
      <w:pPr>
        <w:widowControl w:val="0"/>
        <w:pBdr>
          <w:top w:val="nil"/>
          <w:left w:val="nil"/>
          <w:bottom w:val="nil"/>
          <w:right w:val="nil"/>
          <w:between w:val="nil"/>
        </w:pBdr>
        <w:spacing w:after="120" w:line="240" w:lineRule="auto"/>
        <w:rPr>
          <w:rFonts w:ascii="Cambria" w:eastAsia="Cambria" w:hAnsi="Cambria" w:cs="Cambria"/>
          <w:b/>
          <w:color w:val="000000"/>
          <w:sz w:val="24"/>
          <w:szCs w:val="24"/>
        </w:rPr>
      </w:pPr>
      <w:r w:rsidRPr="00FF5544">
        <w:rPr>
          <w:rFonts w:ascii="Cambria" w:eastAsia="Cambria" w:hAnsi="Cambria" w:cs="Cambria"/>
          <w:b/>
          <w:color w:val="000000"/>
          <w:sz w:val="24"/>
          <w:szCs w:val="24"/>
        </w:rPr>
        <w:t xml:space="preserve">Irish Language </w:t>
      </w:r>
      <w:r w:rsidR="008C1703">
        <w:rPr>
          <w:rFonts w:ascii="Cambria" w:eastAsia="Cambria" w:hAnsi="Cambria" w:cs="Cambria"/>
          <w:b/>
          <w:color w:val="000000"/>
          <w:sz w:val="24"/>
          <w:szCs w:val="24"/>
        </w:rPr>
        <w:t xml:space="preserve">and Ulster Scots Strategies </w:t>
      </w:r>
    </w:p>
    <w:p w14:paraId="6686CB7A" w14:textId="77777777" w:rsidR="004B7F9B" w:rsidRPr="006630D1" w:rsidRDefault="008C1703" w:rsidP="00F6431A">
      <w:pPr>
        <w:pStyle w:val="ListParagraph"/>
        <w:widowControl w:val="0"/>
        <w:numPr>
          <w:ilvl w:val="0"/>
          <w:numId w:val="2"/>
        </w:numPr>
        <w:pBdr>
          <w:top w:val="nil"/>
          <w:left w:val="nil"/>
          <w:bottom w:val="nil"/>
          <w:right w:val="nil"/>
          <w:between w:val="nil"/>
        </w:pBdr>
        <w:spacing w:after="120" w:line="240" w:lineRule="auto"/>
        <w:ind w:right="131"/>
        <w:contextualSpacing w:val="0"/>
        <w:rPr>
          <w:rFonts w:ascii="Calibri" w:eastAsia="Calibri" w:hAnsi="Calibri" w:cs="Calibri"/>
          <w:sz w:val="24"/>
          <w:szCs w:val="24"/>
        </w:rPr>
      </w:pPr>
      <w:r w:rsidRPr="006630D1">
        <w:rPr>
          <w:rFonts w:asciiTheme="majorHAnsi" w:eastAsia="Calibri" w:hAnsiTheme="majorHAnsi" w:cstheme="majorHAnsi"/>
          <w:color w:val="000000"/>
          <w:sz w:val="24"/>
          <w:szCs w:val="24"/>
        </w:rPr>
        <w:t xml:space="preserve">The Committee’s List of Issues seeks </w:t>
      </w:r>
      <w:r w:rsidR="004B7F9B" w:rsidRPr="004B7F9B">
        <w:rPr>
          <w:rFonts w:asciiTheme="majorHAnsi" w:eastAsia="Calibri" w:hAnsiTheme="majorHAnsi" w:cstheme="majorHAnsi"/>
          <w:color w:val="000000"/>
          <w:sz w:val="24"/>
          <w:szCs w:val="24"/>
        </w:rPr>
        <w:t>‘</w:t>
      </w:r>
      <w:r w:rsidRPr="006630D1">
        <w:rPr>
          <w:rFonts w:asciiTheme="majorHAnsi" w:hAnsiTheme="majorHAnsi" w:cstheme="majorHAnsi"/>
          <w:sz w:val="24"/>
          <w:szCs w:val="24"/>
        </w:rPr>
        <w:t>information on any steps taken to implement Irish language and Ulster-Scots strategies</w:t>
      </w:r>
      <w:r w:rsidR="004B7F9B" w:rsidRPr="004B7F9B">
        <w:rPr>
          <w:rFonts w:asciiTheme="majorHAnsi" w:hAnsiTheme="majorHAnsi" w:cstheme="majorHAnsi"/>
          <w:sz w:val="24"/>
          <w:szCs w:val="24"/>
        </w:rPr>
        <w:t>’</w:t>
      </w:r>
      <w:r w:rsidRPr="006630D1">
        <w:rPr>
          <w:rFonts w:asciiTheme="majorHAnsi" w:hAnsiTheme="majorHAnsi" w:cstheme="majorHAnsi"/>
          <w:sz w:val="24"/>
          <w:szCs w:val="24"/>
        </w:rPr>
        <w:t xml:space="preserve"> (para 40)</w:t>
      </w:r>
      <w:r w:rsidR="004B7F9B" w:rsidRPr="004B7F9B">
        <w:rPr>
          <w:rFonts w:asciiTheme="majorHAnsi" w:hAnsiTheme="majorHAnsi" w:cstheme="majorHAnsi"/>
          <w:sz w:val="24"/>
          <w:szCs w:val="24"/>
        </w:rPr>
        <w:t xml:space="preserve">. </w:t>
      </w:r>
    </w:p>
    <w:p w14:paraId="66491705" w14:textId="20397BC9" w:rsidR="008C1703" w:rsidRPr="004B7F9B" w:rsidRDefault="008C1703" w:rsidP="006630D1">
      <w:pPr>
        <w:pStyle w:val="ListParagraph"/>
        <w:widowControl w:val="0"/>
        <w:numPr>
          <w:ilvl w:val="0"/>
          <w:numId w:val="2"/>
        </w:numPr>
        <w:pBdr>
          <w:top w:val="nil"/>
          <w:left w:val="nil"/>
          <w:bottom w:val="nil"/>
          <w:right w:val="nil"/>
          <w:between w:val="nil"/>
        </w:pBdr>
        <w:spacing w:after="120" w:line="240" w:lineRule="auto"/>
        <w:ind w:right="131"/>
        <w:contextualSpacing w:val="0"/>
        <w:rPr>
          <w:rFonts w:ascii="Calibri" w:eastAsia="Calibri" w:hAnsi="Calibri" w:cs="Calibri"/>
          <w:sz w:val="24"/>
          <w:szCs w:val="24"/>
        </w:rPr>
      </w:pPr>
      <w:proofErr w:type="gramStart"/>
      <w:r w:rsidRPr="004B7F9B">
        <w:rPr>
          <w:rFonts w:asciiTheme="majorHAnsi" w:eastAsia="Calibri" w:hAnsiTheme="majorHAnsi" w:cstheme="majorHAnsi"/>
          <w:color w:val="000000"/>
          <w:sz w:val="24"/>
          <w:szCs w:val="24"/>
        </w:rPr>
        <w:t>Similar to</w:t>
      </w:r>
      <w:proofErr w:type="gramEnd"/>
      <w:r w:rsidRPr="004B7F9B">
        <w:rPr>
          <w:rFonts w:asciiTheme="majorHAnsi" w:eastAsia="Calibri" w:hAnsiTheme="majorHAnsi" w:cstheme="majorHAnsi"/>
          <w:color w:val="000000"/>
          <w:sz w:val="24"/>
          <w:szCs w:val="24"/>
        </w:rPr>
        <w:t xml:space="preserve"> the duty to adopt the anti-poverty strategy </w:t>
      </w:r>
      <w:r w:rsidRPr="004B7F9B">
        <w:rPr>
          <w:rFonts w:ascii="Calibri" w:eastAsia="Calibri" w:hAnsi="Calibri" w:cs="Calibri"/>
          <w:sz w:val="24"/>
          <w:szCs w:val="24"/>
        </w:rPr>
        <w:t xml:space="preserve">the 2006 St Andrews Agreement also placed a statutory duty on the NI Executive to adopt a </w:t>
      </w:r>
      <w:r w:rsidR="004B7F9B">
        <w:rPr>
          <w:rFonts w:ascii="Calibri" w:eastAsia="Calibri" w:hAnsi="Calibri" w:cs="Calibri"/>
          <w:sz w:val="24"/>
          <w:szCs w:val="24"/>
        </w:rPr>
        <w:t>‘</w:t>
      </w:r>
      <w:r w:rsidRPr="004B7F9B">
        <w:rPr>
          <w:rFonts w:ascii="Calibri" w:eastAsia="Calibri" w:hAnsi="Calibri" w:cs="Calibri"/>
          <w:sz w:val="24"/>
          <w:szCs w:val="24"/>
        </w:rPr>
        <w:t>strategy setting out how it proposes to enhance and protect the development of the Irish language</w:t>
      </w:r>
      <w:r w:rsidR="004B7F9B">
        <w:rPr>
          <w:rFonts w:ascii="Calibri" w:eastAsia="Calibri" w:hAnsi="Calibri" w:cs="Calibri"/>
          <w:sz w:val="24"/>
          <w:szCs w:val="24"/>
        </w:rPr>
        <w:t>’</w:t>
      </w:r>
      <w:r w:rsidRPr="00FF5544">
        <w:rPr>
          <w:rStyle w:val="FootnoteReference"/>
          <w:rFonts w:ascii="Calibri" w:eastAsia="Calibri" w:hAnsi="Calibri" w:cs="Calibri"/>
          <w:sz w:val="24"/>
          <w:szCs w:val="24"/>
        </w:rPr>
        <w:footnoteReference w:id="16"/>
      </w:r>
      <w:r w:rsidRPr="004B7F9B">
        <w:rPr>
          <w:rFonts w:ascii="Calibri" w:eastAsia="Calibri" w:hAnsi="Calibri" w:cs="Calibri"/>
          <w:sz w:val="24"/>
          <w:szCs w:val="24"/>
        </w:rPr>
        <w:t xml:space="preserve"> and a statutory duty to adopt a strategy for Ulster Scots. </w:t>
      </w:r>
      <w:r w:rsidR="004B7F9B">
        <w:rPr>
          <w:rFonts w:ascii="Calibri" w:eastAsia="Calibri" w:hAnsi="Calibri" w:cs="Calibri"/>
          <w:sz w:val="24"/>
          <w:szCs w:val="24"/>
        </w:rPr>
        <w:t>(</w:t>
      </w:r>
      <w:r w:rsidRPr="004B7F9B">
        <w:rPr>
          <w:rFonts w:ascii="Calibri" w:eastAsia="Calibri" w:hAnsi="Calibri" w:cs="Calibri"/>
          <w:sz w:val="24"/>
          <w:szCs w:val="24"/>
        </w:rPr>
        <w:t xml:space="preserve">The latter refers a variant of the Scots language, </w:t>
      </w:r>
      <w:r w:rsidR="00F438F6" w:rsidRPr="004B7F9B">
        <w:rPr>
          <w:rFonts w:ascii="Calibri" w:eastAsia="Calibri" w:hAnsi="Calibri" w:cs="Calibri"/>
          <w:sz w:val="24"/>
          <w:szCs w:val="24"/>
        </w:rPr>
        <w:t xml:space="preserve">spoken in parts of </w:t>
      </w:r>
      <w:proofErr w:type="gramStart"/>
      <w:r w:rsidR="00F438F6" w:rsidRPr="004B7F9B">
        <w:rPr>
          <w:rFonts w:ascii="Calibri" w:eastAsia="Calibri" w:hAnsi="Calibri" w:cs="Calibri"/>
          <w:sz w:val="24"/>
          <w:szCs w:val="24"/>
        </w:rPr>
        <w:t>present day</w:t>
      </w:r>
      <w:proofErr w:type="gramEnd"/>
      <w:r w:rsidR="00F438F6" w:rsidRPr="004B7F9B">
        <w:rPr>
          <w:rFonts w:ascii="Calibri" w:eastAsia="Calibri" w:hAnsi="Calibri" w:cs="Calibri"/>
          <w:sz w:val="24"/>
          <w:szCs w:val="24"/>
        </w:rPr>
        <w:t xml:space="preserve"> Northern Ireland</w:t>
      </w:r>
      <w:r w:rsidR="004B7F9B">
        <w:rPr>
          <w:rFonts w:ascii="Calibri" w:eastAsia="Calibri" w:hAnsi="Calibri" w:cs="Calibri"/>
          <w:sz w:val="24"/>
          <w:szCs w:val="24"/>
        </w:rPr>
        <w:t xml:space="preserve"> and Donegal in the</w:t>
      </w:r>
      <w:r w:rsidR="00555EAE">
        <w:rPr>
          <w:rFonts w:ascii="Calibri" w:eastAsia="Calibri" w:hAnsi="Calibri" w:cs="Calibri"/>
          <w:sz w:val="24"/>
          <w:szCs w:val="24"/>
        </w:rPr>
        <w:t xml:space="preserve"> </w:t>
      </w:r>
      <w:r w:rsidR="004B7F9B">
        <w:rPr>
          <w:rFonts w:ascii="Calibri" w:eastAsia="Calibri" w:hAnsi="Calibri" w:cs="Calibri"/>
          <w:sz w:val="24"/>
          <w:szCs w:val="24"/>
        </w:rPr>
        <w:t>Republic</w:t>
      </w:r>
      <w:r w:rsidR="00555EAE">
        <w:rPr>
          <w:rFonts w:ascii="Calibri" w:eastAsia="Calibri" w:hAnsi="Calibri" w:cs="Calibri"/>
          <w:sz w:val="24"/>
          <w:szCs w:val="24"/>
        </w:rPr>
        <w:t xml:space="preserve"> of Ireland</w:t>
      </w:r>
      <w:r w:rsidR="004B7F9B">
        <w:rPr>
          <w:rFonts w:ascii="Calibri" w:eastAsia="Calibri" w:hAnsi="Calibri" w:cs="Calibri"/>
          <w:sz w:val="24"/>
          <w:szCs w:val="24"/>
        </w:rPr>
        <w:t>)</w:t>
      </w:r>
      <w:r w:rsidR="00F438F6" w:rsidRPr="004B7F9B">
        <w:rPr>
          <w:rFonts w:ascii="Calibri" w:eastAsia="Calibri" w:hAnsi="Calibri" w:cs="Calibri"/>
          <w:sz w:val="24"/>
          <w:szCs w:val="24"/>
        </w:rPr>
        <w:t xml:space="preserve">. </w:t>
      </w:r>
    </w:p>
    <w:p w14:paraId="200B838D" w14:textId="5D4C171E" w:rsidR="00F438F6" w:rsidRDefault="00F438F6" w:rsidP="0030021B">
      <w:pPr>
        <w:pStyle w:val="ListParagraph"/>
        <w:widowControl w:val="0"/>
        <w:numPr>
          <w:ilvl w:val="0"/>
          <w:numId w:val="2"/>
        </w:numPr>
        <w:pBdr>
          <w:top w:val="nil"/>
          <w:left w:val="nil"/>
          <w:bottom w:val="nil"/>
          <w:right w:val="nil"/>
          <w:between w:val="nil"/>
        </w:pBdr>
        <w:spacing w:after="120" w:line="240" w:lineRule="auto"/>
        <w:ind w:left="357" w:right="131" w:hanging="357"/>
        <w:contextualSpacing w:val="0"/>
        <w:rPr>
          <w:rFonts w:asciiTheme="majorHAnsi" w:eastAsia="Calibri" w:hAnsiTheme="majorHAnsi" w:cstheme="majorHAnsi"/>
          <w:color w:val="000000"/>
          <w:sz w:val="24"/>
          <w:szCs w:val="24"/>
        </w:rPr>
      </w:pPr>
      <w:r>
        <w:rPr>
          <w:rFonts w:asciiTheme="majorHAnsi" w:eastAsia="Calibri" w:hAnsiTheme="majorHAnsi" w:cstheme="majorHAnsi"/>
          <w:color w:val="000000"/>
          <w:sz w:val="24"/>
          <w:szCs w:val="24"/>
        </w:rPr>
        <w:t>Following the GFA</w:t>
      </w:r>
      <w:r w:rsidR="00BF3F3D">
        <w:rPr>
          <w:rFonts w:asciiTheme="majorHAnsi" w:eastAsia="Calibri" w:hAnsiTheme="majorHAnsi" w:cstheme="majorHAnsi"/>
          <w:color w:val="000000"/>
          <w:sz w:val="24"/>
          <w:szCs w:val="24"/>
        </w:rPr>
        <w:t>,</w:t>
      </w:r>
      <w:r>
        <w:rPr>
          <w:rFonts w:asciiTheme="majorHAnsi" w:eastAsia="Calibri" w:hAnsiTheme="majorHAnsi" w:cstheme="majorHAnsi"/>
          <w:color w:val="000000"/>
          <w:sz w:val="24"/>
          <w:szCs w:val="24"/>
        </w:rPr>
        <w:t xml:space="preserve"> both the Irish language (a Celtic language also </w:t>
      </w:r>
      <w:r w:rsidRPr="00F438F6">
        <w:rPr>
          <w:rFonts w:asciiTheme="majorHAnsi" w:eastAsia="Calibri" w:hAnsiTheme="majorHAnsi" w:cstheme="majorHAnsi"/>
          <w:color w:val="000000"/>
          <w:sz w:val="24"/>
          <w:szCs w:val="24"/>
        </w:rPr>
        <w:t>known as Gaelic</w:t>
      </w:r>
      <w:r>
        <w:rPr>
          <w:rFonts w:asciiTheme="majorHAnsi" w:eastAsia="Calibri" w:hAnsiTheme="majorHAnsi" w:cstheme="majorHAnsi"/>
          <w:color w:val="000000"/>
          <w:sz w:val="24"/>
          <w:szCs w:val="24"/>
        </w:rPr>
        <w:t xml:space="preserve">) and the Scots language (including its Ulster variant) were registered under the European </w:t>
      </w:r>
      <w:r w:rsidRPr="0030021B">
        <w:rPr>
          <w:rFonts w:asciiTheme="majorHAnsi" w:eastAsia="Calibri" w:hAnsiTheme="majorHAnsi" w:cstheme="majorHAnsi"/>
          <w:color w:val="000000"/>
          <w:sz w:val="24"/>
          <w:szCs w:val="24"/>
        </w:rPr>
        <w:t xml:space="preserve">Charter for Regional or Minority Languages (ECRML) and subject to regular monitoring by the treaty body the Council of Europe Committee of Experts (COMEX). </w:t>
      </w:r>
      <w:r w:rsidR="00BA31C1">
        <w:rPr>
          <w:rFonts w:asciiTheme="majorHAnsi" w:eastAsia="Calibri" w:hAnsiTheme="majorHAnsi" w:cstheme="majorHAnsi"/>
          <w:color w:val="000000"/>
          <w:sz w:val="24"/>
          <w:szCs w:val="24"/>
        </w:rPr>
        <w:t xml:space="preserve">Speakers of both Irish and Ulster Scots emphasise that both </w:t>
      </w:r>
      <w:r w:rsidR="004B7F9B">
        <w:rPr>
          <w:rFonts w:asciiTheme="majorHAnsi" w:eastAsia="Calibri" w:hAnsiTheme="majorHAnsi" w:cstheme="majorHAnsi"/>
          <w:color w:val="000000"/>
          <w:sz w:val="24"/>
          <w:szCs w:val="24"/>
        </w:rPr>
        <w:t xml:space="preserve">are </w:t>
      </w:r>
      <w:r w:rsidR="00BA31C1">
        <w:rPr>
          <w:rFonts w:asciiTheme="majorHAnsi" w:eastAsia="Calibri" w:hAnsiTheme="majorHAnsi" w:cstheme="majorHAnsi"/>
          <w:color w:val="000000"/>
          <w:sz w:val="24"/>
          <w:szCs w:val="24"/>
        </w:rPr>
        <w:t xml:space="preserve">spoken across the ethnic divide in Northern Ireland and are not the preserve of one community. </w:t>
      </w:r>
    </w:p>
    <w:p w14:paraId="6D394650" w14:textId="783A8194" w:rsidR="0011706A" w:rsidRPr="006630D1" w:rsidRDefault="0011706A" w:rsidP="006630D1">
      <w:pPr>
        <w:widowControl w:val="0"/>
        <w:pBdr>
          <w:top w:val="nil"/>
          <w:left w:val="nil"/>
          <w:bottom w:val="nil"/>
          <w:right w:val="nil"/>
          <w:between w:val="nil"/>
        </w:pBdr>
        <w:spacing w:after="120" w:line="240" w:lineRule="auto"/>
        <w:ind w:right="131"/>
        <w:rPr>
          <w:rFonts w:asciiTheme="majorHAnsi" w:eastAsia="Calibri" w:hAnsiTheme="majorHAnsi" w:cstheme="majorHAnsi"/>
          <w:b/>
          <w:bCs/>
          <w:color w:val="000000"/>
          <w:sz w:val="24"/>
          <w:szCs w:val="24"/>
        </w:rPr>
      </w:pPr>
      <w:r w:rsidRPr="006630D1">
        <w:rPr>
          <w:rFonts w:asciiTheme="majorHAnsi" w:eastAsia="Calibri" w:hAnsiTheme="majorHAnsi" w:cstheme="majorHAnsi"/>
          <w:b/>
          <w:bCs/>
          <w:color w:val="000000"/>
          <w:sz w:val="24"/>
          <w:szCs w:val="24"/>
        </w:rPr>
        <w:t xml:space="preserve">Irish language Strategy </w:t>
      </w:r>
    </w:p>
    <w:p w14:paraId="5342B9BB" w14:textId="6B2D026E" w:rsidR="00F438F6" w:rsidRPr="006630D1" w:rsidRDefault="00F438F6" w:rsidP="0030021B">
      <w:pPr>
        <w:pStyle w:val="ListParagraph"/>
        <w:widowControl w:val="0"/>
        <w:numPr>
          <w:ilvl w:val="0"/>
          <w:numId w:val="2"/>
        </w:numPr>
        <w:pBdr>
          <w:top w:val="nil"/>
          <w:left w:val="nil"/>
          <w:bottom w:val="nil"/>
          <w:right w:val="nil"/>
          <w:between w:val="nil"/>
        </w:pBdr>
        <w:spacing w:after="120" w:line="240" w:lineRule="auto"/>
        <w:ind w:right="131"/>
        <w:contextualSpacing w:val="0"/>
        <w:rPr>
          <w:rFonts w:asciiTheme="majorHAnsi" w:eastAsia="Calibri" w:hAnsiTheme="majorHAnsi" w:cstheme="majorHAnsi"/>
          <w:sz w:val="24"/>
          <w:szCs w:val="24"/>
        </w:rPr>
      </w:pPr>
      <w:r w:rsidRPr="0030021B">
        <w:rPr>
          <w:rFonts w:asciiTheme="majorHAnsi" w:eastAsia="Calibri" w:hAnsiTheme="majorHAnsi" w:cstheme="majorHAnsi"/>
          <w:color w:val="000000"/>
          <w:sz w:val="24"/>
          <w:szCs w:val="24"/>
        </w:rPr>
        <w:t>The a</w:t>
      </w:r>
      <w:r w:rsidRPr="006630D1">
        <w:rPr>
          <w:rFonts w:asciiTheme="majorHAnsi" w:eastAsia="Calibri" w:hAnsiTheme="majorHAnsi" w:cstheme="majorHAnsi"/>
          <w:sz w:val="24"/>
          <w:szCs w:val="24"/>
        </w:rPr>
        <w:t>doption of the Irish Language strategy has been repeatedly obstructed, with the High Court in Belfast finding now on two occasions (</w:t>
      </w:r>
      <w:r w:rsidR="00DE7640">
        <w:rPr>
          <w:rFonts w:asciiTheme="majorHAnsi" w:eastAsia="Calibri" w:hAnsiTheme="majorHAnsi" w:cstheme="majorHAnsi"/>
          <w:sz w:val="24"/>
          <w:szCs w:val="24"/>
        </w:rPr>
        <w:t xml:space="preserve">first in </w:t>
      </w:r>
      <w:r w:rsidRPr="006630D1">
        <w:rPr>
          <w:rFonts w:asciiTheme="majorHAnsi" w:eastAsia="Calibri" w:hAnsiTheme="majorHAnsi" w:cstheme="majorHAnsi"/>
          <w:sz w:val="24"/>
          <w:szCs w:val="24"/>
        </w:rPr>
        <w:t>2017</w:t>
      </w:r>
      <w:r w:rsidRPr="006630D1">
        <w:rPr>
          <w:rStyle w:val="FootnoteReference"/>
          <w:rFonts w:asciiTheme="majorHAnsi" w:eastAsia="Calibri" w:hAnsiTheme="majorHAnsi" w:cstheme="majorHAnsi"/>
          <w:sz w:val="24"/>
          <w:szCs w:val="24"/>
        </w:rPr>
        <w:footnoteReference w:id="17"/>
      </w:r>
      <w:r w:rsidRPr="006630D1">
        <w:rPr>
          <w:rFonts w:asciiTheme="majorHAnsi" w:eastAsia="Calibri" w:hAnsiTheme="majorHAnsi" w:cstheme="majorHAnsi"/>
          <w:sz w:val="24"/>
          <w:szCs w:val="24"/>
        </w:rPr>
        <w:t xml:space="preserve">) that the Northern Ireland Executive had acted unlawfully in not adopting </w:t>
      </w:r>
      <w:r w:rsidR="004B7F9B">
        <w:rPr>
          <w:rFonts w:asciiTheme="majorHAnsi" w:eastAsia="Calibri" w:hAnsiTheme="majorHAnsi" w:cstheme="majorHAnsi"/>
          <w:sz w:val="24"/>
          <w:szCs w:val="24"/>
        </w:rPr>
        <w:t>it</w:t>
      </w:r>
      <w:r w:rsidRPr="006630D1">
        <w:rPr>
          <w:rFonts w:asciiTheme="majorHAnsi" w:eastAsia="Calibri" w:hAnsiTheme="majorHAnsi" w:cstheme="majorHAnsi"/>
          <w:sz w:val="24"/>
          <w:szCs w:val="24"/>
        </w:rPr>
        <w:t xml:space="preserve">. </w:t>
      </w:r>
      <w:proofErr w:type="gramStart"/>
      <w:r w:rsidR="004B7F9B">
        <w:rPr>
          <w:rFonts w:asciiTheme="majorHAnsi" w:eastAsia="Calibri" w:hAnsiTheme="majorHAnsi" w:cstheme="majorHAnsi"/>
          <w:sz w:val="24"/>
          <w:szCs w:val="24"/>
        </w:rPr>
        <w:t>Similar to</w:t>
      </w:r>
      <w:proofErr w:type="gramEnd"/>
      <w:r w:rsidR="004B7F9B">
        <w:rPr>
          <w:rFonts w:asciiTheme="majorHAnsi" w:eastAsia="Calibri" w:hAnsiTheme="majorHAnsi" w:cstheme="majorHAnsi"/>
          <w:sz w:val="24"/>
          <w:szCs w:val="24"/>
        </w:rPr>
        <w:t xml:space="preserve"> the anti-poverty strategy</w:t>
      </w:r>
      <w:r w:rsidR="00BF3F3D">
        <w:rPr>
          <w:rFonts w:asciiTheme="majorHAnsi" w:eastAsia="Calibri" w:hAnsiTheme="majorHAnsi" w:cstheme="majorHAnsi"/>
          <w:sz w:val="24"/>
          <w:szCs w:val="24"/>
        </w:rPr>
        <w:t>,</w:t>
      </w:r>
      <w:r w:rsidR="004B7F9B">
        <w:rPr>
          <w:rFonts w:asciiTheme="majorHAnsi" w:eastAsia="Calibri" w:hAnsiTheme="majorHAnsi" w:cstheme="majorHAnsi"/>
          <w:sz w:val="24"/>
          <w:szCs w:val="24"/>
        </w:rPr>
        <w:t xml:space="preserve"> t</w:t>
      </w:r>
      <w:r w:rsidRPr="006630D1">
        <w:rPr>
          <w:rFonts w:asciiTheme="majorHAnsi" w:eastAsia="Calibri" w:hAnsiTheme="majorHAnsi" w:cstheme="majorHAnsi"/>
          <w:sz w:val="24"/>
          <w:szCs w:val="24"/>
        </w:rPr>
        <w:t xml:space="preserve">here was considerable progress in the 2020 </w:t>
      </w:r>
      <w:r w:rsidR="004B7F9B">
        <w:rPr>
          <w:rFonts w:asciiTheme="majorHAnsi" w:eastAsia="Calibri" w:hAnsiTheme="majorHAnsi" w:cstheme="majorHAnsi"/>
          <w:sz w:val="24"/>
          <w:szCs w:val="24"/>
        </w:rPr>
        <w:t xml:space="preserve">Executive </w:t>
      </w:r>
      <w:r w:rsidRPr="006630D1">
        <w:rPr>
          <w:rFonts w:asciiTheme="majorHAnsi" w:eastAsia="Calibri" w:hAnsiTheme="majorHAnsi" w:cstheme="majorHAnsi"/>
          <w:sz w:val="24"/>
          <w:szCs w:val="24"/>
        </w:rPr>
        <w:t xml:space="preserve">mandate in the appointment of an Irish Language Strategy Expert Advisory Panel which produced a comprehensive blueprint for the Irish language strategy. In August 2022, the High Court in Belfast ruled the Executive had again acted unlawfully in not adopting the Irish language strategy. This was in a judicial review taken by Conradh na Gaeilge, the representative group for the Irish speaking community. The Court found that the then Ministers attempts to place the Irish Language strategy on the agenda of the NI Executive had been thwarted on over 30 occasions, holding </w:t>
      </w:r>
      <w:r w:rsidR="004B7F9B">
        <w:rPr>
          <w:rFonts w:asciiTheme="majorHAnsi" w:eastAsia="Calibri" w:hAnsiTheme="majorHAnsi" w:cstheme="majorHAnsi"/>
          <w:sz w:val="24"/>
          <w:szCs w:val="24"/>
        </w:rPr>
        <w:t>‘</w:t>
      </w:r>
      <w:r w:rsidRPr="006630D1">
        <w:rPr>
          <w:rFonts w:asciiTheme="majorHAnsi" w:eastAsia="Calibri" w:hAnsiTheme="majorHAnsi" w:cstheme="majorHAnsi"/>
          <w:sz w:val="24"/>
          <w:szCs w:val="24"/>
        </w:rPr>
        <w:t>It is difficult to avoid any conclusion other than that the issue was being blocked from substantive consideration at the Executive Committee.</w:t>
      </w:r>
      <w:r w:rsidR="004B7F9B">
        <w:rPr>
          <w:rFonts w:asciiTheme="majorHAnsi" w:eastAsia="Calibri" w:hAnsiTheme="majorHAnsi" w:cstheme="majorHAnsi"/>
          <w:sz w:val="24"/>
          <w:szCs w:val="24"/>
        </w:rPr>
        <w:t>’</w:t>
      </w:r>
      <w:r w:rsidR="00DE7640" w:rsidRPr="006630D1">
        <w:rPr>
          <w:rStyle w:val="FootnoteReference"/>
          <w:rFonts w:asciiTheme="majorHAnsi" w:eastAsia="Calibri" w:hAnsiTheme="majorHAnsi" w:cstheme="majorHAnsi"/>
          <w:sz w:val="24"/>
          <w:szCs w:val="24"/>
        </w:rPr>
        <w:footnoteReference w:id="18"/>
      </w:r>
    </w:p>
    <w:p w14:paraId="4E918312" w14:textId="273E7B3C" w:rsidR="0030021B" w:rsidRDefault="0030021B" w:rsidP="0030021B">
      <w:pPr>
        <w:pStyle w:val="ListParagraph"/>
        <w:numPr>
          <w:ilvl w:val="0"/>
          <w:numId w:val="2"/>
        </w:numPr>
        <w:spacing w:after="120" w:line="240" w:lineRule="auto"/>
        <w:contextualSpacing w:val="0"/>
        <w:rPr>
          <w:rFonts w:asciiTheme="majorHAnsi" w:eastAsia="Calibri" w:hAnsiTheme="majorHAnsi" w:cstheme="majorHAnsi"/>
          <w:sz w:val="24"/>
          <w:szCs w:val="24"/>
        </w:rPr>
      </w:pPr>
      <w:r w:rsidRPr="006630D1">
        <w:rPr>
          <w:rFonts w:asciiTheme="majorHAnsi" w:eastAsia="Calibri" w:hAnsiTheme="majorHAnsi" w:cstheme="majorHAnsi"/>
          <w:sz w:val="24"/>
          <w:szCs w:val="24"/>
        </w:rPr>
        <w:lastRenderedPageBreak/>
        <w:t xml:space="preserve">Since the reestablishment of the NI Executive in February 2024 there is yet to be any visible progress in adopting the Irish Language Strategy, with COMEX </w:t>
      </w:r>
      <w:r w:rsidR="004B7F9B">
        <w:rPr>
          <w:rFonts w:asciiTheme="majorHAnsi" w:eastAsia="Calibri" w:hAnsiTheme="majorHAnsi" w:cstheme="majorHAnsi"/>
          <w:sz w:val="24"/>
          <w:szCs w:val="24"/>
        </w:rPr>
        <w:t xml:space="preserve">recently </w:t>
      </w:r>
      <w:r w:rsidRPr="006630D1">
        <w:rPr>
          <w:rFonts w:asciiTheme="majorHAnsi" w:eastAsia="Calibri" w:hAnsiTheme="majorHAnsi" w:cstheme="majorHAnsi"/>
          <w:sz w:val="24"/>
          <w:szCs w:val="24"/>
        </w:rPr>
        <w:t xml:space="preserve">urging that the UK adopt the Irish Language strategy </w:t>
      </w:r>
      <w:r w:rsidR="004B7F9B">
        <w:rPr>
          <w:rFonts w:asciiTheme="majorHAnsi" w:eastAsia="Calibri" w:hAnsiTheme="majorHAnsi" w:cstheme="majorHAnsi"/>
          <w:sz w:val="24"/>
          <w:szCs w:val="24"/>
        </w:rPr>
        <w:t>‘</w:t>
      </w:r>
      <w:r w:rsidRPr="006630D1">
        <w:rPr>
          <w:rFonts w:asciiTheme="majorHAnsi" w:eastAsia="Calibri" w:hAnsiTheme="majorHAnsi" w:cstheme="majorHAnsi"/>
          <w:sz w:val="24"/>
          <w:szCs w:val="24"/>
        </w:rPr>
        <w:t>without further delay.</w:t>
      </w:r>
      <w:r w:rsidR="004B7F9B">
        <w:rPr>
          <w:rFonts w:asciiTheme="majorHAnsi" w:eastAsia="Calibri" w:hAnsiTheme="majorHAnsi" w:cstheme="majorHAnsi"/>
          <w:sz w:val="24"/>
          <w:szCs w:val="24"/>
        </w:rPr>
        <w:t>’</w:t>
      </w:r>
      <w:r w:rsidRPr="006630D1">
        <w:rPr>
          <w:rFonts w:asciiTheme="majorHAnsi" w:hAnsiTheme="majorHAnsi" w:cstheme="majorHAnsi"/>
          <w:sz w:val="24"/>
          <w:szCs w:val="24"/>
          <w:vertAlign w:val="superscript"/>
        </w:rPr>
        <w:footnoteReference w:id="19"/>
      </w:r>
    </w:p>
    <w:p w14:paraId="07D8A943" w14:textId="6C9F1472" w:rsidR="0011706A" w:rsidRPr="006630D1" w:rsidRDefault="0011706A" w:rsidP="006630D1">
      <w:pPr>
        <w:spacing w:after="120" w:line="240" w:lineRule="auto"/>
        <w:rPr>
          <w:rFonts w:asciiTheme="majorHAnsi" w:eastAsia="Calibri" w:hAnsiTheme="majorHAnsi" w:cstheme="majorHAnsi"/>
          <w:b/>
          <w:bCs/>
          <w:i/>
          <w:iCs/>
          <w:sz w:val="24"/>
          <w:szCs w:val="24"/>
        </w:rPr>
      </w:pPr>
      <w:r w:rsidRPr="006630D1">
        <w:rPr>
          <w:rFonts w:asciiTheme="majorHAnsi" w:eastAsia="Calibri" w:hAnsiTheme="majorHAnsi" w:cstheme="majorHAnsi"/>
          <w:b/>
          <w:bCs/>
          <w:i/>
          <w:iCs/>
          <w:sz w:val="24"/>
          <w:szCs w:val="24"/>
        </w:rPr>
        <w:t xml:space="preserve">Ulster Scots Strategy </w:t>
      </w:r>
    </w:p>
    <w:p w14:paraId="585519D8" w14:textId="3C94A3E5" w:rsidR="00BA31C1" w:rsidRDefault="0030021B" w:rsidP="0030021B">
      <w:pPr>
        <w:pStyle w:val="ListParagraph"/>
        <w:numPr>
          <w:ilvl w:val="0"/>
          <w:numId w:val="2"/>
        </w:numPr>
        <w:spacing w:after="120" w:line="240" w:lineRule="auto"/>
        <w:contextualSpacing w:val="0"/>
        <w:rPr>
          <w:rFonts w:ascii="Calibri" w:eastAsia="Calibri" w:hAnsi="Calibri" w:cs="Calibri"/>
          <w:sz w:val="24"/>
          <w:szCs w:val="24"/>
        </w:rPr>
      </w:pPr>
      <w:r w:rsidRPr="006630D1">
        <w:rPr>
          <w:rFonts w:asciiTheme="majorHAnsi" w:eastAsia="Calibri" w:hAnsiTheme="majorHAnsi" w:cstheme="majorHAnsi"/>
          <w:sz w:val="24"/>
          <w:szCs w:val="24"/>
        </w:rPr>
        <w:t>The adoption of an Ulster Scots strategy has also not been realised and there has been a pattern of moving away from treating Ulster Scots speakers as a linguistic minority. An Expert Advisory Panel was convened to develop a strategy for the promotion of Ulster Scots and reported in 2022 on the strategy</w:t>
      </w:r>
      <w:r w:rsidR="004B7F9B">
        <w:rPr>
          <w:rFonts w:asciiTheme="majorHAnsi" w:eastAsia="Calibri" w:hAnsiTheme="majorHAnsi" w:cstheme="majorHAnsi"/>
          <w:sz w:val="24"/>
          <w:szCs w:val="24"/>
        </w:rPr>
        <w:t>, h</w:t>
      </w:r>
      <w:r w:rsidRPr="006630D1">
        <w:rPr>
          <w:rFonts w:asciiTheme="majorHAnsi" w:eastAsia="Calibri" w:hAnsiTheme="majorHAnsi" w:cstheme="majorHAnsi"/>
          <w:sz w:val="24"/>
          <w:szCs w:val="24"/>
        </w:rPr>
        <w:t>owever, only two of its 74 pages focus on language-related issues.</w:t>
      </w:r>
      <w:r w:rsidRPr="006630D1">
        <w:rPr>
          <w:rFonts w:asciiTheme="majorHAnsi" w:hAnsiTheme="majorHAnsi" w:cstheme="majorHAnsi"/>
          <w:sz w:val="24"/>
          <w:szCs w:val="24"/>
          <w:vertAlign w:val="superscript"/>
        </w:rPr>
        <w:footnoteReference w:id="20"/>
      </w:r>
      <w:r w:rsidRPr="006630D1">
        <w:rPr>
          <w:rFonts w:asciiTheme="majorHAnsi" w:eastAsia="Calibri" w:hAnsiTheme="majorHAnsi" w:cstheme="majorHAnsi"/>
          <w:sz w:val="24"/>
          <w:szCs w:val="24"/>
        </w:rPr>
        <w:t xml:space="preserve"> </w:t>
      </w:r>
      <w:r>
        <w:rPr>
          <w:rFonts w:asciiTheme="majorHAnsi" w:eastAsia="Calibri" w:hAnsiTheme="majorHAnsi" w:cstheme="majorHAnsi"/>
          <w:sz w:val="24"/>
          <w:szCs w:val="24"/>
        </w:rPr>
        <w:t>COMEX</w:t>
      </w:r>
      <w:r w:rsidRPr="006630D1">
        <w:rPr>
          <w:rFonts w:asciiTheme="majorHAnsi" w:eastAsia="Calibri" w:hAnsiTheme="majorHAnsi" w:cstheme="majorHAnsi"/>
          <w:sz w:val="24"/>
          <w:szCs w:val="24"/>
        </w:rPr>
        <w:t xml:space="preserve"> in their </w:t>
      </w:r>
      <w:r>
        <w:rPr>
          <w:rFonts w:asciiTheme="majorHAnsi" w:eastAsia="Calibri" w:hAnsiTheme="majorHAnsi" w:cstheme="majorHAnsi"/>
          <w:sz w:val="24"/>
          <w:szCs w:val="24"/>
        </w:rPr>
        <w:t xml:space="preserve">2024 </w:t>
      </w:r>
      <w:r w:rsidRPr="006630D1">
        <w:rPr>
          <w:rFonts w:asciiTheme="majorHAnsi" w:eastAsia="Calibri" w:hAnsiTheme="majorHAnsi" w:cstheme="majorHAnsi"/>
          <w:sz w:val="24"/>
          <w:szCs w:val="24"/>
        </w:rPr>
        <w:t xml:space="preserve">evaluation report expressed concern and </w:t>
      </w:r>
      <w:r w:rsidR="00BA31C1">
        <w:rPr>
          <w:rFonts w:asciiTheme="majorHAnsi" w:eastAsia="Calibri" w:hAnsiTheme="majorHAnsi" w:cstheme="majorHAnsi"/>
          <w:sz w:val="24"/>
          <w:szCs w:val="24"/>
        </w:rPr>
        <w:t xml:space="preserve">recommended </w:t>
      </w:r>
      <w:r w:rsidRPr="006630D1">
        <w:rPr>
          <w:rFonts w:asciiTheme="majorHAnsi" w:eastAsia="Calibri" w:hAnsiTheme="majorHAnsi" w:cstheme="majorHAnsi"/>
          <w:sz w:val="24"/>
          <w:szCs w:val="24"/>
        </w:rPr>
        <w:t xml:space="preserve">that a </w:t>
      </w:r>
      <w:r w:rsidRPr="006630D1">
        <w:rPr>
          <w:rFonts w:asciiTheme="majorHAnsi" w:eastAsia="Calibri" w:hAnsiTheme="majorHAnsi" w:cstheme="majorHAnsi"/>
          <w:sz w:val="24"/>
          <w:szCs w:val="24"/>
          <w:u w:val="single"/>
        </w:rPr>
        <w:t>language</w:t>
      </w:r>
      <w:r w:rsidRPr="006630D1">
        <w:rPr>
          <w:rFonts w:asciiTheme="majorHAnsi" w:eastAsia="Calibri" w:hAnsiTheme="majorHAnsi" w:cstheme="majorHAnsi"/>
          <w:sz w:val="24"/>
          <w:szCs w:val="24"/>
        </w:rPr>
        <w:t xml:space="preserve"> strategy to promote Ulster Scots in education, media and other areas of public life is adopted immediately</w:t>
      </w:r>
      <w:r w:rsidR="00BA31C1">
        <w:rPr>
          <w:rFonts w:asciiTheme="majorHAnsi" w:eastAsia="Calibri" w:hAnsiTheme="majorHAnsi" w:cstheme="majorHAnsi"/>
          <w:sz w:val="24"/>
          <w:szCs w:val="24"/>
        </w:rPr>
        <w:t>.</w:t>
      </w:r>
      <w:r w:rsidRPr="006630D1">
        <w:rPr>
          <w:rStyle w:val="FootnoteReference"/>
          <w:rFonts w:asciiTheme="majorHAnsi" w:eastAsia="Calibri" w:hAnsiTheme="majorHAnsi" w:cstheme="majorHAnsi"/>
          <w:sz w:val="24"/>
          <w:szCs w:val="24"/>
        </w:rPr>
        <w:footnoteReference w:id="21"/>
      </w:r>
      <w:r w:rsidRPr="006630D1">
        <w:rPr>
          <w:rFonts w:ascii="Calibri" w:eastAsia="Calibri" w:hAnsi="Calibri" w:cs="Calibri"/>
          <w:sz w:val="24"/>
          <w:szCs w:val="24"/>
        </w:rPr>
        <w:t xml:space="preserve"> </w:t>
      </w:r>
    </w:p>
    <w:p w14:paraId="1F3BC22A" w14:textId="275C62BD" w:rsidR="0030021B" w:rsidRPr="006630D1" w:rsidRDefault="00DD29DD" w:rsidP="00BA31C1">
      <w:pPr>
        <w:pStyle w:val="ListParagraph"/>
        <w:widowControl w:val="0"/>
        <w:numPr>
          <w:ilvl w:val="0"/>
          <w:numId w:val="2"/>
        </w:numPr>
        <w:pBdr>
          <w:top w:val="nil"/>
          <w:left w:val="nil"/>
          <w:bottom w:val="nil"/>
          <w:right w:val="nil"/>
          <w:between w:val="nil"/>
        </w:pBdr>
        <w:spacing w:after="120" w:line="240" w:lineRule="auto"/>
        <w:ind w:left="357" w:right="131" w:hanging="357"/>
        <w:contextualSpacing w:val="0"/>
        <w:rPr>
          <w:rFonts w:ascii="Calibri" w:eastAsia="Calibri" w:hAnsi="Calibri" w:cs="Calibri"/>
          <w:sz w:val="24"/>
          <w:szCs w:val="24"/>
        </w:rPr>
      </w:pPr>
      <w:r>
        <w:rPr>
          <w:rFonts w:ascii="Calibri" w:eastAsia="Calibri" w:hAnsi="Calibri" w:cs="Calibri"/>
          <w:sz w:val="24"/>
          <w:szCs w:val="24"/>
        </w:rPr>
        <w:t>The above</w:t>
      </w:r>
      <w:r w:rsidR="00BA31C1">
        <w:rPr>
          <w:rFonts w:ascii="Calibri" w:eastAsia="Calibri" w:hAnsi="Calibri" w:cs="Calibri"/>
          <w:sz w:val="24"/>
          <w:szCs w:val="24"/>
        </w:rPr>
        <w:t xml:space="preserve"> reflects a broader concerning </w:t>
      </w:r>
      <w:r w:rsidR="0030021B" w:rsidRPr="006630D1">
        <w:rPr>
          <w:rFonts w:ascii="Calibri" w:eastAsia="Calibri" w:hAnsi="Calibri" w:cs="Calibri"/>
          <w:sz w:val="24"/>
          <w:szCs w:val="24"/>
        </w:rPr>
        <w:t xml:space="preserve">approach by </w:t>
      </w:r>
      <w:r w:rsidR="00BA31C1">
        <w:rPr>
          <w:rFonts w:ascii="Calibri" w:eastAsia="Calibri" w:hAnsi="Calibri" w:cs="Calibri"/>
          <w:sz w:val="24"/>
          <w:szCs w:val="24"/>
        </w:rPr>
        <w:t xml:space="preserve">some </w:t>
      </w:r>
      <w:r w:rsidR="0030021B" w:rsidRPr="006630D1">
        <w:rPr>
          <w:rFonts w:ascii="Calibri" w:eastAsia="Calibri" w:hAnsi="Calibri" w:cs="Calibri"/>
          <w:sz w:val="24"/>
          <w:szCs w:val="24"/>
        </w:rPr>
        <w:t>key actors, including the UK Government, to move away from focus on Ulster Scots speakers as a linguistic minority</w:t>
      </w:r>
      <w:r w:rsidR="00BA31C1">
        <w:rPr>
          <w:rFonts w:ascii="Calibri" w:eastAsia="Calibri" w:hAnsi="Calibri" w:cs="Calibri"/>
          <w:sz w:val="24"/>
          <w:szCs w:val="24"/>
        </w:rPr>
        <w:t xml:space="preserve"> and instead increasingly </w:t>
      </w:r>
      <w:r w:rsidR="0030021B" w:rsidRPr="006630D1">
        <w:rPr>
          <w:rFonts w:ascii="Calibri" w:eastAsia="Calibri" w:hAnsi="Calibri" w:cs="Calibri"/>
          <w:sz w:val="24"/>
          <w:szCs w:val="24"/>
        </w:rPr>
        <w:t>conceptualise</w:t>
      </w:r>
      <w:r w:rsidR="00BA31C1">
        <w:rPr>
          <w:rFonts w:ascii="Calibri" w:eastAsia="Calibri" w:hAnsi="Calibri" w:cs="Calibri"/>
          <w:sz w:val="24"/>
          <w:szCs w:val="24"/>
        </w:rPr>
        <w:t xml:space="preserve"> Ulster Scots </w:t>
      </w:r>
      <w:r w:rsidR="0030021B" w:rsidRPr="006630D1">
        <w:rPr>
          <w:rFonts w:ascii="Calibri" w:eastAsia="Calibri" w:hAnsi="Calibri" w:cs="Calibri"/>
          <w:sz w:val="24"/>
          <w:szCs w:val="24"/>
        </w:rPr>
        <w:t xml:space="preserve">as an ethnic group </w:t>
      </w:r>
      <w:r w:rsidR="00BA31C1">
        <w:rPr>
          <w:rFonts w:ascii="Calibri" w:eastAsia="Calibri" w:hAnsi="Calibri" w:cs="Calibri"/>
          <w:sz w:val="24"/>
          <w:szCs w:val="24"/>
        </w:rPr>
        <w:t xml:space="preserve">(‘a distinct people’) </w:t>
      </w:r>
      <w:r w:rsidR="0030021B" w:rsidRPr="006630D1">
        <w:rPr>
          <w:rFonts w:ascii="Calibri" w:eastAsia="Calibri" w:hAnsi="Calibri" w:cs="Calibri"/>
          <w:sz w:val="24"/>
          <w:szCs w:val="24"/>
        </w:rPr>
        <w:t>and tied to (British) unionism and loyalism politically</w:t>
      </w:r>
      <w:r w:rsidR="00BA31C1">
        <w:rPr>
          <w:rFonts w:ascii="Calibri" w:eastAsia="Calibri" w:hAnsi="Calibri" w:cs="Calibri"/>
          <w:sz w:val="24"/>
          <w:szCs w:val="24"/>
        </w:rPr>
        <w:t>.</w:t>
      </w:r>
      <w:r w:rsidR="00BA31C1">
        <w:rPr>
          <w:rStyle w:val="FootnoteReference"/>
          <w:rFonts w:ascii="Calibri" w:eastAsia="Calibri" w:hAnsi="Calibri" w:cs="Calibri"/>
          <w:sz w:val="24"/>
          <w:szCs w:val="24"/>
        </w:rPr>
        <w:footnoteReference w:id="22"/>
      </w:r>
      <w:r w:rsidR="00BA31C1">
        <w:rPr>
          <w:rFonts w:ascii="Calibri" w:eastAsia="Calibri" w:hAnsi="Calibri" w:cs="Calibri"/>
          <w:sz w:val="24"/>
          <w:szCs w:val="24"/>
        </w:rPr>
        <w:t xml:space="preserve"> </w:t>
      </w:r>
      <w:r w:rsidR="00BA31C1" w:rsidRPr="006630D1">
        <w:rPr>
          <w:rFonts w:asciiTheme="majorHAnsi" w:eastAsia="Calibri" w:hAnsiTheme="majorHAnsi" w:cstheme="majorHAnsi"/>
          <w:sz w:val="24"/>
          <w:szCs w:val="24"/>
        </w:rPr>
        <w:t xml:space="preserve">In </w:t>
      </w:r>
      <w:r w:rsidR="0030021B" w:rsidRPr="006630D1">
        <w:rPr>
          <w:rFonts w:asciiTheme="majorHAnsi" w:hAnsiTheme="majorHAnsi" w:cstheme="majorHAnsi"/>
          <w:sz w:val="24"/>
          <w:szCs w:val="24"/>
        </w:rPr>
        <w:t xml:space="preserve">this context the </w:t>
      </w:r>
      <w:r w:rsidR="00BA31C1" w:rsidRPr="006630D1">
        <w:rPr>
          <w:rFonts w:asciiTheme="majorHAnsi" w:hAnsiTheme="majorHAnsi" w:cstheme="majorHAnsi"/>
          <w:sz w:val="24"/>
          <w:szCs w:val="24"/>
        </w:rPr>
        <w:t xml:space="preserve">Council of Europe </w:t>
      </w:r>
      <w:r w:rsidR="0030021B" w:rsidRPr="006630D1">
        <w:rPr>
          <w:rFonts w:asciiTheme="majorHAnsi" w:hAnsiTheme="majorHAnsi" w:cstheme="majorHAnsi"/>
          <w:sz w:val="24"/>
          <w:szCs w:val="24"/>
        </w:rPr>
        <w:t xml:space="preserve">Framework Convention Advisory Committee raised its concerns that the official actions taken regarding Ulster Scots </w:t>
      </w:r>
      <w:r>
        <w:rPr>
          <w:rFonts w:asciiTheme="majorHAnsi" w:hAnsiTheme="majorHAnsi" w:cstheme="majorHAnsi"/>
          <w:sz w:val="24"/>
          <w:szCs w:val="24"/>
        </w:rPr>
        <w:t>‘</w:t>
      </w:r>
      <w:r w:rsidR="0030021B" w:rsidRPr="006630D1">
        <w:rPr>
          <w:rFonts w:asciiTheme="majorHAnsi" w:hAnsiTheme="majorHAnsi" w:cstheme="majorHAnsi"/>
          <w:sz w:val="24"/>
          <w:szCs w:val="24"/>
        </w:rPr>
        <w:t>further contribute to the sectarianism surrounding cultural questions</w:t>
      </w:r>
      <w:r>
        <w:rPr>
          <w:rFonts w:asciiTheme="majorHAnsi" w:hAnsiTheme="majorHAnsi" w:cstheme="majorHAnsi"/>
          <w:sz w:val="24"/>
          <w:szCs w:val="24"/>
        </w:rPr>
        <w:t>’</w:t>
      </w:r>
      <w:r w:rsidR="0030021B" w:rsidRPr="006630D1">
        <w:rPr>
          <w:rFonts w:asciiTheme="majorHAnsi" w:hAnsiTheme="majorHAnsi" w:cstheme="majorHAnsi"/>
          <w:sz w:val="24"/>
          <w:szCs w:val="24"/>
        </w:rPr>
        <w:t xml:space="preserve"> singling out that </w:t>
      </w:r>
      <w:r>
        <w:rPr>
          <w:rFonts w:asciiTheme="majorHAnsi" w:hAnsiTheme="majorHAnsi" w:cstheme="majorHAnsi"/>
          <w:sz w:val="24"/>
          <w:szCs w:val="24"/>
        </w:rPr>
        <w:t>‘</w:t>
      </w:r>
      <w:r w:rsidR="0030021B" w:rsidRPr="006630D1">
        <w:rPr>
          <w:rFonts w:asciiTheme="majorHAnsi" w:hAnsiTheme="majorHAnsi" w:cstheme="majorHAnsi"/>
          <w:sz w:val="24"/>
          <w:szCs w:val="24"/>
        </w:rPr>
        <w:t>the naming of a commissioner for Ulster Scots as for the Ulster Scots and the Ulster British Tradition unnecessarily conflates this minority identity with a distinct political one.</w:t>
      </w:r>
      <w:r>
        <w:rPr>
          <w:rFonts w:asciiTheme="majorHAnsi" w:hAnsiTheme="majorHAnsi" w:cstheme="majorHAnsi"/>
          <w:sz w:val="24"/>
          <w:szCs w:val="24"/>
        </w:rPr>
        <w:t>’</w:t>
      </w:r>
      <w:r w:rsidR="0030021B" w:rsidRPr="006630D1">
        <w:rPr>
          <w:rStyle w:val="FootnoteReference"/>
          <w:rFonts w:asciiTheme="majorHAnsi" w:hAnsiTheme="majorHAnsi" w:cstheme="majorHAnsi"/>
          <w:sz w:val="24"/>
          <w:szCs w:val="24"/>
        </w:rPr>
        <w:footnoteReference w:id="23"/>
      </w:r>
    </w:p>
    <w:p w14:paraId="1FEE3372" w14:textId="107D4E10" w:rsidR="0011706A" w:rsidRPr="006630D1" w:rsidRDefault="0011706A" w:rsidP="006630D1">
      <w:pPr>
        <w:widowControl w:val="0"/>
        <w:pBdr>
          <w:top w:val="nil"/>
          <w:left w:val="nil"/>
          <w:bottom w:val="nil"/>
          <w:right w:val="nil"/>
          <w:between w:val="nil"/>
        </w:pBdr>
        <w:spacing w:after="120" w:line="240" w:lineRule="auto"/>
        <w:ind w:right="131"/>
        <w:rPr>
          <w:rFonts w:ascii="Calibri" w:eastAsia="Calibri" w:hAnsi="Calibri" w:cs="Calibri"/>
          <w:b/>
          <w:bCs/>
          <w:i/>
          <w:iCs/>
          <w:sz w:val="24"/>
          <w:szCs w:val="24"/>
        </w:rPr>
      </w:pPr>
      <w:r w:rsidRPr="006630D1">
        <w:rPr>
          <w:rFonts w:ascii="Calibri" w:eastAsia="Calibri" w:hAnsi="Calibri" w:cs="Calibri"/>
          <w:b/>
          <w:bCs/>
          <w:i/>
          <w:iCs/>
          <w:sz w:val="24"/>
          <w:szCs w:val="24"/>
        </w:rPr>
        <w:t xml:space="preserve">Links to Irish Language Act and languages legislation </w:t>
      </w:r>
    </w:p>
    <w:p w14:paraId="72FB8A19" w14:textId="39A74F41" w:rsidR="0011706A" w:rsidRPr="006630D1" w:rsidRDefault="00BA31C1" w:rsidP="006630D1">
      <w:pPr>
        <w:pStyle w:val="ListParagraph"/>
        <w:widowControl w:val="0"/>
        <w:numPr>
          <w:ilvl w:val="0"/>
          <w:numId w:val="2"/>
        </w:numPr>
        <w:pBdr>
          <w:top w:val="nil"/>
          <w:left w:val="nil"/>
          <w:bottom w:val="nil"/>
          <w:right w:val="nil"/>
          <w:between w:val="nil"/>
        </w:pBdr>
        <w:spacing w:after="120" w:line="240" w:lineRule="auto"/>
        <w:ind w:left="357" w:right="255" w:hanging="357"/>
        <w:contextualSpacing w:val="0"/>
        <w:rPr>
          <w:rFonts w:asciiTheme="majorHAnsi" w:eastAsia="Calibri" w:hAnsiTheme="majorHAnsi" w:cstheme="majorHAnsi"/>
          <w:color w:val="000000"/>
          <w:sz w:val="24"/>
          <w:szCs w:val="24"/>
        </w:rPr>
      </w:pPr>
      <w:r w:rsidRPr="006630D1">
        <w:rPr>
          <w:rFonts w:asciiTheme="majorHAnsi" w:eastAsia="Calibri" w:hAnsiTheme="majorHAnsi" w:cstheme="majorHAnsi"/>
          <w:sz w:val="24"/>
          <w:szCs w:val="24"/>
        </w:rPr>
        <w:t xml:space="preserve">At the time of the original </w:t>
      </w:r>
      <w:r w:rsidR="00DE7640">
        <w:rPr>
          <w:rFonts w:asciiTheme="majorHAnsi" w:eastAsia="Calibri" w:hAnsiTheme="majorHAnsi" w:cstheme="majorHAnsi"/>
          <w:sz w:val="24"/>
          <w:szCs w:val="24"/>
        </w:rPr>
        <w:t>provisions on</w:t>
      </w:r>
      <w:r w:rsidRPr="006630D1">
        <w:rPr>
          <w:rFonts w:asciiTheme="majorHAnsi" w:eastAsia="Calibri" w:hAnsiTheme="majorHAnsi" w:cstheme="majorHAnsi"/>
          <w:sz w:val="24"/>
          <w:szCs w:val="24"/>
        </w:rPr>
        <w:t xml:space="preserve"> the language strategies the </w:t>
      </w:r>
      <w:r w:rsidR="00BE46B1" w:rsidRPr="006630D1">
        <w:rPr>
          <w:rFonts w:asciiTheme="majorHAnsi" w:eastAsia="Calibri" w:hAnsiTheme="majorHAnsi" w:cstheme="majorHAnsi"/>
          <w:color w:val="000000"/>
          <w:sz w:val="24"/>
          <w:szCs w:val="24"/>
        </w:rPr>
        <w:t xml:space="preserve">2006 St Andrews Agreement </w:t>
      </w:r>
      <w:r w:rsidR="00DE7640">
        <w:rPr>
          <w:rFonts w:asciiTheme="majorHAnsi" w:eastAsia="Calibri" w:hAnsiTheme="majorHAnsi" w:cstheme="majorHAnsi"/>
          <w:color w:val="000000"/>
          <w:sz w:val="24"/>
          <w:szCs w:val="24"/>
        </w:rPr>
        <w:t xml:space="preserve">also </w:t>
      </w:r>
      <w:r w:rsidR="00BE46B1" w:rsidRPr="006630D1">
        <w:rPr>
          <w:rFonts w:asciiTheme="majorHAnsi" w:eastAsia="Calibri" w:hAnsiTheme="majorHAnsi" w:cstheme="majorHAnsi"/>
          <w:color w:val="000000"/>
          <w:sz w:val="24"/>
          <w:szCs w:val="24"/>
        </w:rPr>
        <w:t xml:space="preserve">committed the UK to introducing an Irish Language Act </w:t>
      </w:r>
      <w:r w:rsidR="00DE7640">
        <w:rPr>
          <w:rFonts w:asciiTheme="majorHAnsi" w:eastAsia="Calibri" w:hAnsiTheme="majorHAnsi" w:cstheme="majorHAnsi"/>
          <w:color w:val="000000"/>
          <w:sz w:val="24"/>
          <w:szCs w:val="24"/>
        </w:rPr>
        <w:t>‘</w:t>
      </w:r>
      <w:r w:rsidR="00BE46B1" w:rsidRPr="006630D1">
        <w:rPr>
          <w:rFonts w:asciiTheme="majorHAnsi" w:eastAsia="Calibri" w:hAnsiTheme="majorHAnsi" w:cstheme="majorHAnsi"/>
          <w:color w:val="000000"/>
          <w:sz w:val="24"/>
          <w:szCs w:val="24"/>
        </w:rPr>
        <w:t>reflecting on the experience of Wales and Ireland.</w:t>
      </w:r>
      <w:r w:rsidR="00DE7640">
        <w:rPr>
          <w:rFonts w:asciiTheme="majorHAnsi" w:eastAsia="Calibri" w:hAnsiTheme="majorHAnsi" w:cstheme="majorHAnsi"/>
          <w:color w:val="000000"/>
          <w:sz w:val="24"/>
          <w:szCs w:val="24"/>
        </w:rPr>
        <w:t>’</w:t>
      </w:r>
      <w:r w:rsidR="00800C4A" w:rsidRPr="006630D1">
        <w:rPr>
          <w:rStyle w:val="FootnoteReference"/>
          <w:rFonts w:asciiTheme="majorHAnsi" w:eastAsia="Calibri" w:hAnsiTheme="majorHAnsi" w:cstheme="majorHAnsi"/>
          <w:color w:val="000000"/>
          <w:sz w:val="24"/>
          <w:szCs w:val="24"/>
        </w:rPr>
        <w:footnoteReference w:id="24"/>
      </w:r>
      <w:r w:rsidR="00BE46B1" w:rsidRPr="006630D1">
        <w:rPr>
          <w:rFonts w:asciiTheme="majorHAnsi" w:eastAsia="Calibri" w:hAnsiTheme="majorHAnsi" w:cstheme="majorHAnsi"/>
          <w:color w:val="000000"/>
          <w:sz w:val="24"/>
          <w:szCs w:val="24"/>
        </w:rPr>
        <w:t xml:space="preserve"> </w:t>
      </w:r>
      <w:r w:rsidRPr="0011706A">
        <w:rPr>
          <w:rFonts w:asciiTheme="majorHAnsi" w:eastAsia="Calibri" w:hAnsiTheme="majorHAnsi" w:cstheme="majorHAnsi"/>
          <w:color w:val="000000"/>
          <w:sz w:val="24"/>
          <w:szCs w:val="24"/>
        </w:rPr>
        <w:t>T</w:t>
      </w:r>
      <w:r w:rsidR="00BE46B1" w:rsidRPr="006630D1">
        <w:rPr>
          <w:rFonts w:asciiTheme="majorHAnsi" w:eastAsia="Calibri" w:hAnsiTheme="majorHAnsi" w:cstheme="majorHAnsi"/>
          <w:color w:val="000000"/>
          <w:sz w:val="24"/>
          <w:szCs w:val="24"/>
        </w:rPr>
        <w:t xml:space="preserve">he UK delayed introducing an Irish language act. The Committee in its previous Concluding Observations remained concerned </w:t>
      </w:r>
      <w:r w:rsidR="007A67E5" w:rsidRPr="006630D1">
        <w:rPr>
          <w:rFonts w:asciiTheme="majorHAnsi" w:eastAsia="Calibri" w:hAnsiTheme="majorHAnsi" w:cstheme="majorHAnsi"/>
          <w:color w:val="000000"/>
          <w:sz w:val="24"/>
          <w:szCs w:val="24"/>
        </w:rPr>
        <w:t>about the</w:t>
      </w:r>
      <w:r w:rsidR="00BE46B1" w:rsidRPr="006630D1">
        <w:rPr>
          <w:rFonts w:asciiTheme="majorHAnsi" w:eastAsia="Calibri" w:hAnsiTheme="majorHAnsi" w:cstheme="majorHAnsi"/>
          <w:color w:val="000000"/>
          <w:sz w:val="24"/>
          <w:szCs w:val="24"/>
        </w:rPr>
        <w:t xml:space="preserve"> </w:t>
      </w:r>
      <w:r w:rsidR="00DD29DD">
        <w:rPr>
          <w:rFonts w:asciiTheme="majorHAnsi" w:eastAsia="Calibri" w:hAnsiTheme="majorHAnsi" w:cstheme="majorHAnsi"/>
          <w:color w:val="000000"/>
          <w:sz w:val="24"/>
          <w:szCs w:val="24"/>
        </w:rPr>
        <w:t>‘</w:t>
      </w:r>
      <w:r w:rsidR="00BE46B1" w:rsidRPr="006630D1">
        <w:rPr>
          <w:rFonts w:asciiTheme="majorHAnsi" w:eastAsia="Calibri" w:hAnsiTheme="majorHAnsi" w:cstheme="majorHAnsi"/>
          <w:color w:val="000000"/>
          <w:sz w:val="24"/>
          <w:szCs w:val="24"/>
        </w:rPr>
        <w:t>lack of effective measures adopted by the State party to promote the use of the Irish language in Northern Ireland</w:t>
      </w:r>
      <w:r w:rsidR="00DD29DD">
        <w:rPr>
          <w:rFonts w:asciiTheme="majorHAnsi" w:eastAsia="Calibri" w:hAnsiTheme="majorHAnsi" w:cstheme="majorHAnsi"/>
          <w:color w:val="000000"/>
          <w:sz w:val="24"/>
          <w:szCs w:val="24"/>
        </w:rPr>
        <w:t>’</w:t>
      </w:r>
      <w:r w:rsidRPr="0011706A">
        <w:rPr>
          <w:rFonts w:asciiTheme="majorHAnsi" w:eastAsia="Calibri" w:hAnsiTheme="majorHAnsi" w:cstheme="majorHAnsi"/>
          <w:color w:val="000000"/>
          <w:sz w:val="24"/>
          <w:szCs w:val="24"/>
        </w:rPr>
        <w:t xml:space="preserve"> </w:t>
      </w:r>
      <w:r w:rsidR="00BE46B1" w:rsidRPr="006630D1">
        <w:rPr>
          <w:rFonts w:asciiTheme="majorHAnsi" w:eastAsia="Calibri" w:hAnsiTheme="majorHAnsi" w:cstheme="majorHAnsi"/>
          <w:color w:val="000000"/>
          <w:sz w:val="24"/>
          <w:szCs w:val="24"/>
        </w:rPr>
        <w:t>and reiterated its previous recommendation for the UK to adopt an Irish language act.</w:t>
      </w:r>
      <w:r w:rsidR="00BE46B1" w:rsidRPr="006630D1">
        <w:rPr>
          <w:rFonts w:asciiTheme="majorHAnsi" w:hAnsiTheme="majorHAnsi" w:cstheme="majorHAnsi"/>
          <w:sz w:val="24"/>
          <w:szCs w:val="24"/>
          <w:vertAlign w:val="superscript"/>
        </w:rPr>
        <w:footnoteReference w:id="25"/>
      </w:r>
    </w:p>
    <w:p w14:paraId="73B577FC" w14:textId="3FC72301" w:rsidR="0011706A" w:rsidRPr="0011706A" w:rsidRDefault="0011706A" w:rsidP="00ED43FD">
      <w:pPr>
        <w:pStyle w:val="ListParagraph"/>
        <w:widowControl w:val="0"/>
        <w:numPr>
          <w:ilvl w:val="0"/>
          <w:numId w:val="2"/>
        </w:numPr>
        <w:pBdr>
          <w:top w:val="nil"/>
          <w:left w:val="nil"/>
          <w:bottom w:val="nil"/>
          <w:right w:val="nil"/>
          <w:between w:val="nil"/>
        </w:pBdr>
        <w:spacing w:after="120" w:line="240" w:lineRule="auto"/>
        <w:ind w:left="357" w:right="255" w:hanging="357"/>
        <w:contextualSpacing w:val="0"/>
        <w:rPr>
          <w:rFonts w:ascii="Calibri" w:eastAsia="Calibri" w:hAnsi="Calibri" w:cs="Calibri"/>
          <w:sz w:val="24"/>
          <w:szCs w:val="24"/>
        </w:rPr>
      </w:pPr>
      <w:r w:rsidRPr="00DD29DD">
        <w:rPr>
          <w:rFonts w:asciiTheme="majorHAnsi" w:eastAsia="Calibri" w:hAnsiTheme="majorHAnsi" w:cstheme="majorHAnsi"/>
          <w:color w:val="000000"/>
          <w:sz w:val="24"/>
          <w:szCs w:val="24"/>
        </w:rPr>
        <w:t xml:space="preserve">The 2020 </w:t>
      </w:r>
      <w:r w:rsidR="00BE46B1" w:rsidRPr="006630D1">
        <w:rPr>
          <w:rFonts w:asciiTheme="majorHAnsi" w:eastAsia="Calibri" w:hAnsiTheme="majorHAnsi" w:cstheme="majorHAnsi"/>
          <w:color w:val="000000"/>
          <w:sz w:val="24"/>
          <w:szCs w:val="24"/>
        </w:rPr>
        <w:t xml:space="preserve">NDNA </w:t>
      </w:r>
      <w:r w:rsidR="00DD29DD" w:rsidRPr="00DD29DD">
        <w:rPr>
          <w:rFonts w:asciiTheme="majorHAnsi" w:eastAsia="Calibri" w:hAnsiTheme="majorHAnsi" w:cstheme="majorHAnsi"/>
          <w:color w:val="000000"/>
          <w:sz w:val="24"/>
          <w:szCs w:val="24"/>
        </w:rPr>
        <w:t>a</w:t>
      </w:r>
      <w:r w:rsidR="00BE46B1" w:rsidRPr="006630D1">
        <w:rPr>
          <w:rFonts w:asciiTheme="majorHAnsi" w:eastAsia="Calibri" w:hAnsiTheme="majorHAnsi" w:cstheme="majorHAnsi"/>
          <w:color w:val="000000"/>
          <w:sz w:val="24"/>
          <w:szCs w:val="24"/>
        </w:rPr>
        <w:t>greement</w:t>
      </w:r>
      <w:r w:rsidRPr="00DD29DD">
        <w:rPr>
          <w:rFonts w:asciiTheme="majorHAnsi" w:eastAsia="Calibri" w:hAnsiTheme="majorHAnsi" w:cstheme="majorHAnsi"/>
          <w:color w:val="000000"/>
          <w:sz w:val="24"/>
          <w:szCs w:val="24"/>
        </w:rPr>
        <w:t xml:space="preserve"> to re-establish the Northern Ireland institutions (suspended from 2017 for reasons including the failure to implement the Irish Language Act) </w:t>
      </w:r>
      <w:r w:rsidR="00BE46B1" w:rsidRPr="006630D1">
        <w:rPr>
          <w:rFonts w:asciiTheme="majorHAnsi" w:eastAsia="Calibri" w:hAnsiTheme="majorHAnsi" w:cstheme="majorHAnsi"/>
          <w:color w:val="000000"/>
          <w:sz w:val="24"/>
          <w:szCs w:val="24"/>
        </w:rPr>
        <w:t xml:space="preserve">provided for languages and identity legislation to take forward the commitment to an Irish </w:t>
      </w:r>
      <w:r w:rsidR="00DD29DD" w:rsidRPr="00DD29DD">
        <w:rPr>
          <w:rFonts w:asciiTheme="majorHAnsi" w:eastAsia="Calibri" w:hAnsiTheme="majorHAnsi" w:cstheme="majorHAnsi"/>
          <w:color w:val="000000"/>
          <w:sz w:val="24"/>
          <w:szCs w:val="24"/>
        </w:rPr>
        <w:t>L</w:t>
      </w:r>
      <w:r w:rsidR="00BE46B1" w:rsidRPr="006630D1">
        <w:rPr>
          <w:rFonts w:asciiTheme="majorHAnsi" w:eastAsia="Calibri" w:hAnsiTheme="majorHAnsi" w:cstheme="majorHAnsi"/>
          <w:color w:val="000000"/>
          <w:sz w:val="24"/>
          <w:szCs w:val="24"/>
        </w:rPr>
        <w:t xml:space="preserve">anguage </w:t>
      </w:r>
      <w:r w:rsidR="00DD29DD" w:rsidRPr="00DD29DD">
        <w:rPr>
          <w:rFonts w:asciiTheme="majorHAnsi" w:eastAsia="Calibri" w:hAnsiTheme="majorHAnsi" w:cstheme="majorHAnsi"/>
          <w:color w:val="000000"/>
          <w:sz w:val="24"/>
          <w:szCs w:val="24"/>
        </w:rPr>
        <w:t>A</w:t>
      </w:r>
      <w:r w:rsidR="00BE46B1" w:rsidRPr="006630D1">
        <w:rPr>
          <w:rFonts w:asciiTheme="majorHAnsi" w:eastAsia="Calibri" w:hAnsiTheme="majorHAnsi" w:cstheme="majorHAnsi"/>
          <w:color w:val="000000"/>
          <w:sz w:val="24"/>
          <w:szCs w:val="24"/>
        </w:rPr>
        <w:t xml:space="preserve">ct. After considerable delay, this was introduced and completed passage in the UK Parliament in December 2022 as the Identity and </w:t>
      </w:r>
      <w:r w:rsidR="00BE46B1" w:rsidRPr="006630D1">
        <w:rPr>
          <w:rFonts w:asciiTheme="majorHAnsi" w:eastAsia="Calibri" w:hAnsiTheme="majorHAnsi" w:cstheme="majorHAnsi"/>
          <w:color w:val="000000"/>
          <w:sz w:val="24"/>
          <w:szCs w:val="24"/>
        </w:rPr>
        <w:lastRenderedPageBreak/>
        <w:t>Language (Northern Ireland) Act 2022.</w:t>
      </w:r>
      <w:r w:rsidR="00BE46B1" w:rsidRPr="006630D1">
        <w:rPr>
          <w:rFonts w:asciiTheme="majorHAnsi" w:hAnsiTheme="majorHAnsi" w:cstheme="majorHAnsi"/>
          <w:sz w:val="24"/>
          <w:szCs w:val="24"/>
          <w:vertAlign w:val="superscript"/>
        </w:rPr>
        <w:footnoteReference w:id="26"/>
      </w:r>
      <w:r w:rsidR="00DD29DD" w:rsidRPr="00DD29DD">
        <w:rPr>
          <w:rFonts w:asciiTheme="majorHAnsi" w:eastAsia="Calibri" w:hAnsiTheme="majorHAnsi" w:cstheme="majorHAnsi"/>
          <w:color w:val="000000"/>
          <w:sz w:val="24"/>
          <w:szCs w:val="24"/>
        </w:rPr>
        <w:t xml:space="preserve"> </w:t>
      </w:r>
      <w:r w:rsidRPr="00DD29DD">
        <w:rPr>
          <w:rFonts w:asciiTheme="majorHAnsi" w:eastAsia="Calibri" w:hAnsiTheme="majorHAnsi" w:cstheme="majorHAnsi"/>
          <w:color w:val="000000"/>
          <w:sz w:val="24"/>
          <w:szCs w:val="24"/>
        </w:rPr>
        <w:t xml:space="preserve">The legislation provided for </w:t>
      </w:r>
      <w:r w:rsidR="00BE46B1" w:rsidRPr="006630D1">
        <w:rPr>
          <w:rFonts w:asciiTheme="majorHAnsi" w:eastAsia="Calibri" w:hAnsiTheme="majorHAnsi" w:cstheme="majorHAnsi"/>
          <w:color w:val="000000"/>
          <w:sz w:val="24"/>
          <w:szCs w:val="24"/>
        </w:rPr>
        <w:t xml:space="preserve">an Irish </w:t>
      </w:r>
      <w:r w:rsidR="00BE46B1" w:rsidRPr="006630D1">
        <w:rPr>
          <w:rFonts w:asciiTheme="majorHAnsi" w:eastAsia="Calibri" w:hAnsiTheme="majorHAnsi" w:cstheme="majorHAnsi"/>
          <w:sz w:val="24"/>
          <w:szCs w:val="24"/>
        </w:rPr>
        <w:t>L</w:t>
      </w:r>
      <w:r w:rsidR="00BE46B1" w:rsidRPr="006630D1">
        <w:rPr>
          <w:rFonts w:asciiTheme="majorHAnsi" w:eastAsia="Calibri" w:hAnsiTheme="majorHAnsi" w:cstheme="majorHAnsi"/>
          <w:color w:val="000000"/>
          <w:sz w:val="24"/>
          <w:szCs w:val="24"/>
        </w:rPr>
        <w:t xml:space="preserve">anguage Commissioner who will issue Irish Language Best Practice Standards. However, </w:t>
      </w:r>
      <w:r w:rsidRPr="0011706A">
        <w:rPr>
          <w:rFonts w:asciiTheme="majorHAnsi" w:eastAsia="Calibri" w:hAnsiTheme="majorHAnsi" w:cstheme="majorHAnsi"/>
          <w:color w:val="000000"/>
          <w:sz w:val="24"/>
          <w:szCs w:val="24"/>
        </w:rPr>
        <w:t xml:space="preserve">the Commissioner is yet to be appointed and COMEX </w:t>
      </w:r>
      <w:r w:rsidR="00BE46B1" w:rsidRPr="006630D1">
        <w:rPr>
          <w:rFonts w:asciiTheme="majorHAnsi" w:eastAsia="Calibri" w:hAnsiTheme="majorHAnsi" w:cstheme="majorHAnsi"/>
          <w:color w:val="000000"/>
          <w:sz w:val="24"/>
          <w:szCs w:val="24"/>
        </w:rPr>
        <w:t xml:space="preserve">assessed the </w:t>
      </w:r>
      <w:r w:rsidRPr="0011706A">
        <w:rPr>
          <w:rFonts w:asciiTheme="majorHAnsi" w:eastAsia="Calibri" w:hAnsiTheme="majorHAnsi" w:cstheme="majorHAnsi"/>
          <w:color w:val="000000"/>
          <w:sz w:val="24"/>
          <w:szCs w:val="24"/>
        </w:rPr>
        <w:t xml:space="preserve">legislation </w:t>
      </w:r>
      <w:r w:rsidR="00BE46B1" w:rsidRPr="006630D1">
        <w:rPr>
          <w:rFonts w:asciiTheme="majorHAnsi" w:eastAsia="Calibri" w:hAnsiTheme="majorHAnsi" w:cstheme="majorHAnsi"/>
          <w:color w:val="000000"/>
          <w:sz w:val="24"/>
          <w:szCs w:val="24"/>
        </w:rPr>
        <w:t>as falling below the UKs treaty-based requirements towards the Irish language.</w:t>
      </w:r>
      <w:r w:rsidR="00BE46B1" w:rsidRPr="006630D1">
        <w:rPr>
          <w:rFonts w:asciiTheme="majorHAnsi" w:hAnsiTheme="majorHAnsi" w:cstheme="majorHAnsi"/>
          <w:sz w:val="24"/>
          <w:szCs w:val="24"/>
          <w:vertAlign w:val="superscript"/>
        </w:rPr>
        <w:footnoteReference w:id="27"/>
      </w:r>
    </w:p>
    <w:p w14:paraId="13C8E37A" w14:textId="0786F4A7" w:rsidR="0011706A" w:rsidRPr="00B4470F" w:rsidRDefault="0011706A" w:rsidP="00B4470F">
      <w:pPr>
        <w:pStyle w:val="ListParagraph"/>
        <w:widowControl w:val="0"/>
        <w:numPr>
          <w:ilvl w:val="0"/>
          <w:numId w:val="2"/>
        </w:numPr>
        <w:spacing w:after="120" w:line="240" w:lineRule="auto"/>
        <w:contextualSpacing w:val="0"/>
        <w:rPr>
          <w:rFonts w:asciiTheme="majorHAnsi" w:eastAsia="Calibri" w:hAnsiTheme="majorHAnsi" w:cstheme="majorHAnsi"/>
          <w:sz w:val="24"/>
          <w:szCs w:val="24"/>
        </w:rPr>
      </w:pPr>
      <w:r w:rsidRPr="006630D1">
        <w:rPr>
          <w:rFonts w:asciiTheme="majorHAnsi" w:eastAsia="Calibri" w:hAnsiTheme="majorHAnsi" w:cstheme="majorHAnsi"/>
          <w:color w:val="000000"/>
          <w:sz w:val="24"/>
          <w:szCs w:val="24"/>
        </w:rPr>
        <w:t xml:space="preserve">It is this legislation which also established </w:t>
      </w:r>
      <w:r w:rsidRPr="006630D1">
        <w:rPr>
          <w:rFonts w:asciiTheme="majorHAnsi" w:hAnsiTheme="majorHAnsi" w:cstheme="majorHAnsi"/>
          <w:sz w:val="24"/>
          <w:szCs w:val="24"/>
        </w:rPr>
        <w:t>a Commissioner for Ulster Scots and the Ulster British tradition. This Commissioner is yet to be appointed</w:t>
      </w:r>
      <w:r w:rsidRPr="00B4470F">
        <w:rPr>
          <w:rFonts w:asciiTheme="majorHAnsi" w:hAnsiTheme="majorHAnsi" w:cstheme="majorHAnsi"/>
          <w:sz w:val="24"/>
          <w:szCs w:val="24"/>
        </w:rPr>
        <w:t xml:space="preserve"> by the First and deputy First Ministers who have declined to clarify whether there will be a </w:t>
      </w:r>
      <w:r w:rsidRPr="00B4470F">
        <w:rPr>
          <w:rFonts w:asciiTheme="majorHAnsi" w:eastAsia="Calibri" w:hAnsiTheme="majorHAnsi" w:cstheme="majorHAnsi"/>
          <w:sz w:val="24"/>
          <w:szCs w:val="24"/>
        </w:rPr>
        <w:t>requirement for the Commissioner to be a speaker of Ulster Scots.</w:t>
      </w:r>
      <w:r w:rsidRPr="00B4470F">
        <w:rPr>
          <w:rFonts w:asciiTheme="majorHAnsi" w:hAnsiTheme="majorHAnsi" w:cstheme="majorHAnsi"/>
          <w:sz w:val="24"/>
          <w:szCs w:val="24"/>
          <w:vertAlign w:val="superscript"/>
        </w:rPr>
        <w:t xml:space="preserve"> </w:t>
      </w:r>
      <w:r w:rsidRPr="00B4470F">
        <w:rPr>
          <w:rFonts w:asciiTheme="majorHAnsi" w:hAnsiTheme="majorHAnsi" w:cstheme="majorHAnsi"/>
          <w:sz w:val="24"/>
          <w:szCs w:val="24"/>
          <w:vertAlign w:val="superscript"/>
        </w:rPr>
        <w:footnoteReference w:id="28"/>
      </w:r>
      <w:r w:rsidRPr="00B4470F">
        <w:rPr>
          <w:rFonts w:asciiTheme="majorHAnsi" w:eastAsia="Calibri" w:hAnsiTheme="majorHAnsi" w:cstheme="majorHAnsi"/>
          <w:sz w:val="24"/>
          <w:szCs w:val="24"/>
        </w:rPr>
        <w:t xml:space="preserve"> COMEX expressed concern regarding this, stating that they consider it </w:t>
      </w:r>
      <w:r w:rsidR="00DD29DD">
        <w:rPr>
          <w:rFonts w:asciiTheme="majorHAnsi" w:eastAsia="Calibri" w:hAnsiTheme="majorHAnsi" w:cstheme="majorHAnsi"/>
          <w:sz w:val="24"/>
          <w:szCs w:val="24"/>
        </w:rPr>
        <w:t>‘</w:t>
      </w:r>
      <w:r w:rsidRPr="00B4470F">
        <w:rPr>
          <w:rFonts w:asciiTheme="majorHAnsi" w:eastAsia="Calibri" w:hAnsiTheme="majorHAnsi" w:cstheme="majorHAnsi"/>
          <w:sz w:val="24"/>
          <w:szCs w:val="24"/>
        </w:rPr>
        <w:t>essential that the commissioners speak the language of their mandate</w:t>
      </w:r>
      <w:r w:rsidR="00DD29DD">
        <w:rPr>
          <w:rFonts w:asciiTheme="majorHAnsi" w:eastAsia="Calibri" w:hAnsiTheme="majorHAnsi" w:cstheme="majorHAnsi"/>
          <w:sz w:val="24"/>
          <w:szCs w:val="24"/>
        </w:rPr>
        <w:t>’</w:t>
      </w:r>
      <w:r w:rsidRPr="00B4470F">
        <w:rPr>
          <w:rFonts w:asciiTheme="majorHAnsi" w:eastAsia="Calibri" w:hAnsiTheme="majorHAnsi" w:cstheme="majorHAnsi"/>
          <w:sz w:val="24"/>
          <w:szCs w:val="24"/>
        </w:rPr>
        <w:t xml:space="preserve"> and asked the UK authorities to ensure the Commissioner for the Ulster Scots and the Ulster British tradition is required to speak Ulster Scots.</w:t>
      </w:r>
      <w:r w:rsidRPr="00B4470F">
        <w:rPr>
          <w:rFonts w:asciiTheme="majorHAnsi" w:hAnsiTheme="majorHAnsi" w:cstheme="majorHAnsi"/>
          <w:sz w:val="24"/>
          <w:szCs w:val="24"/>
          <w:vertAlign w:val="superscript"/>
        </w:rPr>
        <w:footnoteReference w:id="29"/>
      </w:r>
      <w:r w:rsidRPr="00B4470F">
        <w:rPr>
          <w:rFonts w:asciiTheme="majorHAnsi" w:eastAsia="Calibri" w:hAnsiTheme="majorHAnsi" w:cstheme="majorHAnsi"/>
          <w:sz w:val="24"/>
          <w:szCs w:val="24"/>
        </w:rPr>
        <w:t xml:space="preserve"> </w:t>
      </w:r>
    </w:p>
    <w:p w14:paraId="19A1778A" w14:textId="2F20695B" w:rsidR="0011706A" w:rsidRPr="00B4470F" w:rsidRDefault="0011706A" w:rsidP="00B4470F">
      <w:pPr>
        <w:pStyle w:val="ListParagraph"/>
        <w:spacing w:after="120" w:line="240" w:lineRule="auto"/>
        <w:contextualSpacing w:val="0"/>
        <w:rPr>
          <w:rFonts w:asciiTheme="majorHAnsi" w:hAnsiTheme="majorHAnsi" w:cstheme="majorHAnsi"/>
          <w:b/>
          <w:sz w:val="24"/>
          <w:szCs w:val="24"/>
        </w:rPr>
      </w:pPr>
      <w:r w:rsidRPr="00B4470F">
        <w:rPr>
          <w:rFonts w:asciiTheme="majorHAnsi" w:hAnsiTheme="majorHAnsi" w:cstheme="majorHAnsi"/>
          <w:b/>
          <w:sz w:val="24"/>
          <w:szCs w:val="24"/>
        </w:rPr>
        <w:t xml:space="preserve">The Committee may wish to press the UK authorities to take steps to ensure the expeditious </w:t>
      </w:r>
      <w:r w:rsidR="00B4470F" w:rsidRPr="00B4470F">
        <w:rPr>
          <w:rFonts w:asciiTheme="majorHAnsi" w:hAnsiTheme="majorHAnsi" w:cstheme="majorHAnsi"/>
          <w:b/>
          <w:sz w:val="24"/>
          <w:szCs w:val="24"/>
        </w:rPr>
        <w:t>adoption</w:t>
      </w:r>
      <w:r w:rsidRPr="00B4470F">
        <w:rPr>
          <w:rFonts w:asciiTheme="majorHAnsi" w:hAnsiTheme="majorHAnsi" w:cstheme="majorHAnsi"/>
          <w:b/>
          <w:sz w:val="24"/>
          <w:szCs w:val="24"/>
        </w:rPr>
        <w:t xml:space="preserve"> of </w:t>
      </w:r>
      <w:r w:rsidR="00B4470F" w:rsidRPr="00B4470F">
        <w:rPr>
          <w:rFonts w:asciiTheme="majorHAnsi" w:hAnsiTheme="majorHAnsi" w:cstheme="majorHAnsi"/>
          <w:b/>
          <w:sz w:val="24"/>
          <w:szCs w:val="24"/>
        </w:rPr>
        <w:t xml:space="preserve">an </w:t>
      </w:r>
      <w:r w:rsidRPr="00B4470F">
        <w:rPr>
          <w:rFonts w:asciiTheme="majorHAnsi" w:hAnsiTheme="majorHAnsi" w:cstheme="majorHAnsi"/>
          <w:b/>
          <w:sz w:val="24"/>
          <w:szCs w:val="24"/>
        </w:rPr>
        <w:t xml:space="preserve">Irish Language </w:t>
      </w:r>
      <w:r w:rsidR="00DD29DD">
        <w:rPr>
          <w:rFonts w:asciiTheme="majorHAnsi" w:hAnsiTheme="majorHAnsi" w:cstheme="majorHAnsi"/>
          <w:b/>
          <w:sz w:val="24"/>
          <w:szCs w:val="24"/>
        </w:rPr>
        <w:t>S</w:t>
      </w:r>
      <w:r w:rsidR="00B4470F" w:rsidRPr="00B4470F">
        <w:rPr>
          <w:rFonts w:asciiTheme="majorHAnsi" w:hAnsiTheme="majorHAnsi" w:cstheme="majorHAnsi"/>
          <w:b/>
          <w:sz w:val="24"/>
          <w:szCs w:val="24"/>
        </w:rPr>
        <w:t xml:space="preserve">trategy reflecting the work to date and international standards </w:t>
      </w:r>
      <w:r w:rsidRPr="00B4470F">
        <w:rPr>
          <w:rFonts w:asciiTheme="majorHAnsi" w:hAnsiTheme="majorHAnsi" w:cstheme="majorHAnsi"/>
          <w:b/>
          <w:sz w:val="24"/>
          <w:szCs w:val="24"/>
        </w:rPr>
        <w:t xml:space="preserve">and appoint the Irish Language Commissioner. </w:t>
      </w:r>
    </w:p>
    <w:p w14:paraId="6D9C73F3" w14:textId="1F0939B7" w:rsidR="00041B4C" w:rsidRDefault="00B4470F" w:rsidP="00B4470F">
      <w:pPr>
        <w:pStyle w:val="ListParagraph"/>
        <w:spacing w:after="120" w:line="240" w:lineRule="auto"/>
        <w:contextualSpacing w:val="0"/>
        <w:rPr>
          <w:rFonts w:ascii="Calibri" w:eastAsia="Calibri" w:hAnsi="Calibri" w:cs="Calibri"/>
          <w:b/>
          <w:sz w:val="24"/>
          <w:szCs w:val="24"/>
        </w:rPr>
      </w:pPr>
      <w:r w:rsidRPr="00B4470F">
        <w:rPr>
          <w:rFonts w:asciiTheme="majorHAnsi" w:hAnsiTheme="majorHAnsi" w:cstheme="majorHAnsi"/>
          <w:b/>
          <w:sz w:val="24"/>
          <w:szCs w:val="24"/>
        </w:rPr>
        <w:t>T</w:t>
      </w:r>
      <w:r w:rsidR="0011706A" w:rsidRPr="00B4470F">
        <w:rPr>
          <w:rFonts w:asciiTheme="majorHAnsi" w:eastAsia="Calibri" w:hAnsiTheme="majorHAnsi" w:cstheme="majorHAnsi"/>
          <w:b/>
          <w:sz w:val="24"/>
          <w:szCs w:val="24"/>
        </w:rPr>
        <w:t xml:space="preserve">he </w:t>
      </w:r>
      <w:r w:rsidRPr="00B4470F">
        <w:rPr>
          <w:rFonts w:asciiTheme="majorHAnsi" w:eastAsia="Calibri" w:hAnsiTheme="majorHAnsi" w:cstheme="majorHAnsi"/>
          <w:b/>
          <w:sz w:val="24"/>
          <w:szCs w:val="24"/>
        </w:rPr>
        <w:t xml:space="preserve">Committee may wish to stress the Commissioner dealing with Ulster Scots be required to be a speaker of Ulster Scots and press for the development of an Ulster Scots </w:t>
      </w:r>
      <w:r w:rsidR="00DD29DD">
        <w:rPr>
          <w:rFonts w:asciiTheme="majorHAnsi" w:eastAsia="Calibri" w:hAnsiTheme="majorHAnsi" w:cstheme="majorHAnsi"/>
          <w:b/>
          <w:sz w:val="24"/>
          <w:szCs w:val="24"/>
        </w:rPr>
        <w:t xml:space="preserve">language </w:t>
      </w:r>
      <w:r w:rsidRPr="00B4470F">
        <w:rPr>
          <w:rFonts w:asciiTheme="majorHAnsi" w:eastAsia="Calibri" w:hAnsiTheme="majorHAnsi" w:cstheme="majorHAnsi"/>
          <w:b/>
          <w:sz w:val="24"/>
          <w:szCs w:val="24"/>
        </w:rPr>
        <w:t>strategy addressing the rights of Ulster Scots speakers.</w:t>
      </w:r>
      <w:r>
        <w:rPr>
          <w:rFonts w:ascii="Calibri" w:eastAsia="Calibri" w:hAnsi="Calibri" w:cs="Calibri"/>
          <w:b/>
          <w:sz w:val="24"/>
          <w:szCs w:val="24"/>
        </w:rPr>
        <w:t xml:space="preserve"> </w:t>
      </w:r>
    </w:p>
    <w:p w14:paraId="6AA96022" w14:textId="559AD128" w:rsidR="00041B4C" w:rsidRPr="00DE7640" w:rsidRDefault="00BE46B1" w:rsidP="004E4F9F">
      <w:pPr>
        <w:spacing w:after="120" w:line="240" w:lineRule="auto"/>
        <w:rPr>
          <w:rFonts w:ascii="Cambria" w:eastAsia="Cambria" w:hAnsi="Cambria" w:cs="Cambria"/>
          <w:b/>
          <w:color w:val="000000"/>
          <w:sz w:val="24"/>
          <w:szCs w:val="24"/>
        </w:rPr>
      </w:pPr>
      <w:r w:rsidRPr="00DE7640">
        <w:rPr>
          <w:rFonts w:ascii="Cambria" w:eastAsia="Cambria" w:hAnsi="Cambria" w:cs="Cambria"/>
          <w:b/>
          <w:color w:val="000000"/>
          <w:sz w:val="24"/>
          <w:szCs w:val="24"/>
        </w:rPr>
        <w:t xml:space="preserve">Paramilitary Intimidation in Housing  </w:t>
      </w:r>
    </w:p>
    <w:p w14:paraId="2577EA93" w14:textId="725290D2" w:rsidR="00B4470F" w:rsidRPr="00DE7640" w:rsidRDefault="009870A5" w:rsidP="00680CCE">
      <w:pPr>
        <w:pStyle w:val="ListParagraph"/>
        <w:widowControl w:val="0"/>
        <w:numPr>
          <w:ilvl w:val="0"/>
          <w:numId w:val="2"/>
        </w:numPr>
        <w:pBdr>
          <w:top w:val="nil"/>
          <w:left w:val="nil"/>
          <w:bottom w:val="nil"/>
          <w:right w:val="nil"/>
          <w:between w:val="nil"/>
        </w:pBdr>
        <w:spacing w:after="120" w:line="240" w:lineRule="auto"/>
        <w:ind w:right="-6"/>
        <w:contextualSpacing w:val="0"/>
        <w:rPr>
          <w:rFonts w:asciiTheme="majorHAnsi" w:eastAsia="Calibri" w:hAnsiTheme="majorHAnsi" w:cstheme="majorHAnsi"/>
          <w:color w:val="000000"/>
          <w:sz w:val="24"/>
          <w:szCs w:val="24"/>
        </w:rPr>
      </w:pPr>
      <w:r w:rsidRPr="00DE7640">
        <w:rPr>
          <w:rFonts w:asciiTheme="majorHAnsi" w:eastAsia="Calibri" w:hAnsiTheme="majorHAnsi" w:cstheme="majorHAnsi"/>
          <w:sz w:val="24"/>
          <w:szCs w:val="24"/>
        </w:rPr>
        <w:t xml:space="preserve">The Committee’s List of Issues seeks information from the UK </w:t>
      </w:r>
      <w:r w:rsidR="00E04D44" w:rsidRPr="00DE7640">
        <w:rPr>
          <w:rFonts w:asciiTheme="majorHAnsi" w:eastAsia="Calibri" w:hAnsiTheme="majorHAnsi" w:cstheme="majorHAnsi"/>
          <w:sz w:val="24"/>
          <w:szCs w:val="24"/>
        </w:rPr>
        <w:t>Government</w:t>
      </w:r>
      <w:r w:rsidRPr="00DE7640">
        <w:rPr>
          <w:rFonts w:asciiTheme="majorHAnsi" w:eastAsia="Calibri" w:hAnsiTheme="majorHAnsi" w:cstheme="majorHAnsi"/>
          <w:sz w:val="24"/>
          <w:szCs w:val="24"/>
        </w:rPr>
        <w:t xml:space="preserve"> on</w:t>
      </w:r>
      <w:r w:rsidR="00E04D44" w:rsidRPr="00DE7640">
        <w:rPr>
          <w:rFonts w:asciiTheme="majorHAnsi" w:eastAsia="Calibri" w:hAnsiTheme="majorHAnsi" w:cstheme="majorHAnsi"/>
          <w:sz w:val="24"/>
          <w:szCs w:val="24"/>
        </w:rPr>
        <w:t xml:space="preserve"> </w:t>
      </w:r>
      <w:r w:rsidR="00DD29DD" w:rsidRPr="00DE7640">
        <w:rPr>
          <w:rFonts w:asciiTheme="majorHAnsi" w:eastAsia="Calibri" w:hAnsiTheme="majorHAnsi" w:cstheme="majorHAnsi"/>
          <w:sz w:val="24"/>
          <w:szCs w:val="24"/>
        </w:rPr>
        <w:t>‘</w:t>
      </w:r>
      <w:r w:rsidRPr="00DE7640">
        <w:rPr>
          <w:rFonts w:asciiTheme="majorHAnsi" w:eastAsia="Calibri" w:hAnsiTheme="majorHAnsi" w:cstheme="majorHAnsi"/>
          <w:i/>
          <w:iCs/>
          <w:sz w:val="24"/>
          <w:szCs w:val="24"/>
        </w:rPr>
        <w:t>the measures taken to address the persistent inequalities in housing in Northern Belfast. In this regard, please provide information on reports of paramilitary intimidation, violence and illegal lending, leading to housing segregation and displacement in Northern Ireland, with a disproportionate effect on women</w:t>
      </w:r>
      <w:r w:rsidR="00DD29DD" w:rsidRPr="00DE7640">
        <w:rPr>
          <w:rFonts w:asciiTheme="majorHAnsi" w:eastAsia="Calibri" w:hAnsiTheme="majorHAnsi" w:cstheme="majorHAnsi"/>
          <w:i/>
          <w:iCs/>
          <w:sz w:val="24"/>
          <w:szCs w:val="24"/>
        </w:rPr>
        <w:t>’</w:t>
      </w:r>
      <w:r w:rsidR="004E4F9F" w:rsidRPr="00DE7640">
        <w:rPr>
          <w:rFonts w:asciiTheme="majorHAnsi" w:eastAsia="Calibri" w:hAnsiTheme="majorHAnsi" w:cstheme="majorHAnsi"/>
          <w:sz w:val="24"/>
          <w:szCs w:val="24"/>
        </w:rPr>
        <w:t xml:space="preserve"> </w:t>
      </w:r>
      <w:r w:rsidR="00B4470F" w:rsidRPr="00DE7640">
        <w:rPr>
          <w:rFonts w:asciiTheme="majorHAnsi" w:eastAsia="Calibri" w:hAnsiTheme="majorHAnsi" w:cstheme="majorHAnsi"/>
          <w:sz w:val="24"/>
          <w:szCs w:val="24"/>
        </w:rPr>
        <w:t>(</w:t>
      </w:r>
      <w:r w:rsidR="004E4F9F" w:rsidRPr="00DE7640">
        <w:rPr>
          <w:rFonts w:asciiTheme="majorHAnsi" w:eastAsia="Calibri" w:hAnsiTheme="majorHAnsi" w:cstheme="majorHAnsi"/>
          <w:sz w:val="24"/>
          <w:szCs w:val="24"/>
        </w:rPr>
        <w:t xml:space="preserve">paragraph </w:t>
      </w:r>
      <w:r w:rsidR="00B4470F" w:rsidRPr="00DE7640">
        <w:rPr>
          <w:rFonts w:asciiTheme="majorHAnsi" w:eastAsia="Calibri" w:hAnsiTheme="majorHAnsi" w:cstheme="majorHAnsi"/>
          <w:sz w:val="24"/>
          <w:szCs w:val="24"/>
        </w:rPr>
        <w:t>31)</w:t>
      </w:r>
      <w:r w:rsidR="004E4F9F" w:rsidRPr="00DE7640">
        <w:rPr>
          <w:rFonts w:asciiTheme="majorHAnsi" w:eastAsia="Calibri" w:hAnsiTheme="majorHAnsi" w:cstheme="majorHAnsi"/>
          <w:sz w:val="24"/>
          <w:szCs w:val="24"/>
        </w:rPr>
        <w:t>.</w:t>
      </w:r>
      <w:r w:rsidRPr="00DE7640">
        <w:rPr>
          <w:rFonts w:asciiTheme="majorHAnsi" w:hAnsiTheme="majorHAnsi" w:cstheme="majorHAnsi"/>
          <w:sz w:val="24"/>
          <w:szCs w:val="24"/>
          <w:vertAlign w:val="superscript"/>
        </w:rPr>
        <w:footnoteReference w:id="30"/>
      </w:r>
      <w:r w:rsidR="00311038" w:rsidRPr="00DE7640">
        <w:rPr>
          <w:rFonts w:asciiTheme="majorHAnsi" w:eastAsia="Calibri" w:hAnsiTheme="majorHAnsi" w:cstheme="majorHAnsi"/>
          <w:sz w:val="24"/>
          <w:szCs w:val="24"/>
        </w:rPr>
        <w:t xml:space="preserve"> </w:t>
      </w:r>
    </w:p>
    <w:p w14:paraId="06732EFB" w14:textId="3C7926FF" w:rsidR="00680CCE" w:rsidRPr="00DE7640" w:rsidRDefault="00680CCE" w:rsidP="00680CCE">
      <w:pPr>
        <w:pStyle w:val="ListParagraph"/>
        <w:widowControl w:val="0"/>
        <w:numPr>
          <w:ilvl w:val="0"/>
          <w:numId w:val="2"/>
        </w:numPr>
        <w:pBdr>
          <w:top w:val="nil"/>
          <w:left w:val="nil"/>
          <w:bottom w:val="nil"/>
          <w:right w:val="nil"/>
          <w:between w:val="nil"/>
        </w:pBdr>
        <w:spacing w:after="120" w:line="240" w:lineRule="auto"/>
        <w:ind w:right="-6"/>
        <w:contextualSpacing w:val="0"/>
        <w:rPr>
          <w:rFonts w:asciiTheme="majorHAnsi" w:eastAsia="Calibri" w:hAnsiTheme="majorHAnsi" w:cstheme="majorHAnsi"/>
          <w:color w:val="000000"/>
          <w:sz w:val="24"/>
          <w:szCs w:val="24"/>
        </w:rPr>
      </w:pPr>
      <w:r w:rsidRPr="00DE7640">
        <w:rPr>
          <w:rFonts w:asciiTheme="majorHAnsi" w:eastAsia="Calibri" w:hAnsiTheme="majorHAnsi" w:cstheme="majorHAnsi"/>
          <w:color w:val="000000"/>
          <w:sz w:val="24"/>
          <w:szCs w:val="24"/>
        </w:rPr>
        <w:t xml:space="preserve">In Summer 2024 the UN Committee on the Elimination of Racial Discrimination (CERD) issued its Concluding Observations on the UK, raising concerns regarding paramilitary involvement in racist violence, including housing intimidation in the following terms: </w:t>
      </w:r>
    </w:p>
    <w:p w14:paraId="05257EDB" w14:textId="6B68C069" w:rsidR="00680CCE" w:rsidRPr="00DE7640" w:rsidRDefault="00680CCE" w:rsidP="00680CCE">
      <w:pPr>
        <w:widowControl w:val="0"/>
        <w:pBdr>
          <w:top w:val="nil"/>
          <w:left w:val="nil"/>
          <w:bottom w:val="nil"/>
          <w:right w:val="nil"/>
          <w:between w:val="nil"/>
        </w:pBdr>
        <w:spacing w:after="120" w:line="240" w:lineRule="auto"/>
        <w:ind w:left="720" w:right="-6"/>
        <w:rPr>
          <w:rFonts w:asciiTheme="majorHAnsi" w:hAnsiTheme="majorHAnsi" w:cstheme="majorHAnsi"/>
          <w:sz w:val="24"/>
          <w:szCs w:val="24"/>
        </w:rPr>
      </w:pPr>
      <w:r w:rsidRPr="00DE7640">
        <w:rPr>
          <w:rFonts w:asciiTheme="majorHAnsi" w:hAnsiTheme="majorHAnsi" w:cstheme="majorHAnsi"/>
          <w:sz w:val="24"/>
          <w:szCs w:val="24"/>
        </w:rPr>
        <w:t>While noting the efforts by the State party to tackle paramilitarism in Northern Ireland, the Committee is concerned about reports of paramilitary groups and affiliated individuals perpetrating acts of racist violence and intimidation to deter persons belonging to ethnic minorities and migrants from taking up housing or establish business in certain areas.</w:t>
      </w:r>
      <w:r w:rsidRPr="00DE7640">
        <w:rPr>
          <w:rStyle w:val="FootnoteReference"/>
          <w:rFonts w:asciiTheme="majorHAnsi" w:hAnsiTheme="majorHAnsi" w:cstheme="majorHAnsi"/>
          <w:sz w:val="24"/>
          <w:szCs w:val="24"/>
        </w:rPr>
        <w:footnoteReference w:id="31"/>
      </w:r>
    </w:p>
    <w:p w14:paraId="1479A78C" w14:textId="684A2CB1" w:rsidR="00680CCE" w:rsidRPr="00DE7640" w:rsidRDefault="00680CCE" w:rsidP="00680CCE">
      <w:pPr>
        <w:pStyle w:val="Default"/>
        <w:numPr>
          <w:ilvl w:val="0"/>
          <w:numId w:val="2"/>
        </w:numPr>
        <w:spacing w:after="120"/>
        <w:rPr>
          <w:rFonts w:asciiTheme="majorHAnsi" w:eastAsia="Calibri" w:hAnsiTheme="majorHAnsi" w:cstheme="majorHAnsi"/>
        </w:rPr>
      </w:pPr>
      <w:r w:rsidRPr="00DE7640">
        <w:rPr>
          <w:rFonts w:asciiTheme="majorHAnsi" w:eastAsia="Calibri" w:hAnsiTheme="majorHAnsi" w:cstheme="majorHAnsi"/>
        </w:rPr>
        <w:t xml:space="preserve">Consequently, CERD recommended that: </w:t>
      </w:r>
    </w:p>
    <w:p w14:paraId="3F56AE5B" w14:textId="269C2628" w:rsidR="00B4470F" w:rsidRPr="00680CCE" w:rsidRDefault="00680CCE" w:rsidP="00680CCE">
      <w:pPr>
        <w:pStyle w:val="Default"/>
        <w:spacing w:after="120"/>
        <w:ind w:left="720"/>
        <w:rPr>
          <w:rFonts w:asciiTheme="majorHAnsi" w:hAnsiTheme="majorHAnsi" w:cstheme="majorHAnsi"/>
        </w:rPr>
      </w:pPr>
      <w:r w:rsidRPr="00680CCE">
        <w:rPr>
          <w:rFonts w:asciiTheme="majorHAnsi" w:hAnsiTheme="majorHAnsi" w:cstheme="majorHAnsi"/>
        </w:rPr>
        <w:lastRenderedPageBreak/>
        <w:t>…</w:t>
      </w:r>
      <w:r w:rsidR="00B4470F" w:rsidRPr="00680CCE">
        <w:rPr>
          <w:rFonts w:asciiTheme="majorHAnsi" w:hAnsiTheme="majorHAnsi" w:cstheme="majorHAnsi"/>
        </w:rPr>
        <w:t>the State party, particularly the government of Northern Ireland, adopt robust measures to prevent and combat paramilitary racist violence and intimidation against ethnic minorities and migrants in Northern Ireland, systematically collect information on these acts of intimidation and ensure that cases of paramilitary racist violence and intimidation are promptly and effectively investigated, prosecuted and punished with appropriate sanctions, and that victims have access to effective protection and redress.</w:t>
      </w:r>
      <w:r>
        <w:rPr>
          <w:rStyle w:val="FootnoteReference"/>
          <w:rFonts w:asciiTheme="majorHAnsi" w:hAnsiTheme="majorHAnsi" w:cstheme="majorHAnsi"/>
        </w:rPr>
        <w:footnoteReference w:id="32"/>
      </w:r>
    </w:p>
    <w:p w14:paraId="443D2805" w14:textId="0DD5520D" w:rsidR="004E4F9F" w:rsidRPr="004E4F9F" w:rsidRDefault="00BE46B1" w:rsidP="004E4F9F">
      <w:pPr>
        <w:pStyle w:val="ListParagraph"/>
        <w:widowControl w:val="0"/>
        <w:numPr>
          <w:ilvl w:val="0"/>
          <w:numId w:val="2"/>
        </w:numPr>
        <w:pBdr>
          <w:top w:val="nil"/>
          <w:left w:val="nil"/>
          <w:bottom w:val="nil"/>
          <w:right w:val="nil"/>
          <w:between w:val="nil"/>
        </w:pBdr>
        <w:spacing w:after="120" w:line="240" w:lineRule="auto"/>
        <w:ind w:left="357" w:right="23" w:hanging="357"/>
        <w:contextualSpacing w:val="0"/>
        <w:rPr>
          <w:rFonts w:ascii="Calibri" w:eastAsia="Calibri" w:hAnsi="Calibri" w:cs="Calibri"/>
          <w:color w:val="000000"/>
          <w:sz w:val="24"/>
          <w:szCs w:val="24"/>
        </w:rPr>
      </w:pPr>
      <w:r w:rsidRPr="00FF5544">
        <w:rPr>
          <w:rFonts w:ascii="Calibri" w:eastAsia="Calibri" w:hAnsi="Calibri" w:cs="Calibri"/>
          <w:color w:val="000000"/>
          <w:sz w:val="24"/>
          <w:szCs w:val="24"/>
        </w:rPr>
        <w:t xml:space="preserve">Control of certain areas and direct acts of sectarian and racist intimidation from housing by non-state armed groups remains a key factor in preventing families </w:t>
      </w:r>
      <w:r w:rsidR="00E04D44" w:rsidRPr="00FF5544">
        <w:rPr>
          <w:rFonts w:ascii="Calibri" w:eastAsia="Calibri" w:hAnsi="Calibri" w:cs="Calibri"/>
          <w:color w:val="000000"/>
          <w:sz w:val="24"/>
          <w:szCs w:val="24"/>
        </w:rPr>
        <w:t>moving into</w:t>
      </w:r>
      <w:r w:rsidRPr="00FF5544">
        <w:rPr>
          <w:rFonts w:ascii="Calibri" w:eastAsia="Calibri" w:hAnsi="Calibri" w:cs="Calibri"/>
          <w:color w:val="000000"/>
          <w:sz w:val="24"/>
          <w:szCs w:val="24"/>
        </w:rPr>
        <w:t xml:space="preserve"> areas where there is available housing. The state response to such incidents can be </w:t>
      </w:r>
      <w:r w:rsidR="00E04D44" w:rsidRPr="00FF5544">
        <w:rPr>
          <w:rFonts w:ascii="Calibri" w:eastAsia="Calibri" w:hAnsi="Calibri" w:cs="Calibri"/>
          <w:color w:val="000000"/>
          <w:sz w:val="24"/>
          <w:szCs w:val="24"/>
        </w:rPr>
        <w:t>limited to</w:t>
      </w:r>
      <w:r w:rsidRPr="00FF5544">
        <w:rPr>
          <w:rFonts w:ascii="Calibri" w:eastAsia="Calibri" w:hAnsi="Calibri" w:cs="Calibri"/>
          <w:color w:val="000000"/>
          <w:sz w:val="24"/>
          <w:szCs w:val="24"/>
        </w:rPr>
        <w:t xml:space="preserve"> verifying the authenticity of the paramilitary threat and moving the victim.</w:t>
      </w:r>
      <w:r w:rsidRPr="00FF5544">
        <w:rPr>
          <w:vertAlign w:val="superscript"/>
        </w:rPr>
        <w:footnoteReference w:id="33"/>
      </w:r>
      <w:r w:rsidR="004E4F9F">
        <w:rPr>
          <w:rFonts w:ascii="Calibri" w:eastAsia="Calibri" w:hAnsi="Calibri" w:cs="Calibri"/>
          <w:sz w:val="24"/>
          <w:szCs w:val="24"/>
        </w:rPr>
        <w:t xml:space="preserve"> </w:t>
      </w:r>
      <w:r w:rsidRPr="004E4F9F">
        <w:rPr>
          <w:rFonts w:ascii="Calibri" w:eastAsia="Calibri" w:hAnsi="Calibri" w:cs="Calibri"/>
          <w:sz w:val="24"/>
          <w:szCs w:val="24"/>
        </w:rPr>
        <w:t>It is no exaggeration to suggest that housing is an area of public policy in Northern Ireland that is still extensively shaped by paramilitary control and coercion. The public policy response has not moved much beyond assistance in moving victims of intimidation. There is a lack of transparency and public scrutiny in the handling of the issue. This includes a level of obfuscation of data as to which paramilitary groups are thought to be the source of threats.</w:t>
      </w:r>
      <w:r w:rsidRPr="00FF5544">
        <w:rPr>
          <w:vertAlign w:val="superscript"/>
        </w:rPr>
        <w:footnoteReference w:id="34"/>
      </w:r>
      <w:r w:rsidRPr="004E4F9F">
        <w:rPr>
          <w:rFonts w:ascii="Calibri" w:eastAsia="Calibri" w:hAnsi="Calibri" w:cs="Calibri"/>
          <w:sz w:val="24"/>
          <w:szCs w:val="24"/>
        </w:rPr>
        <w:t xml:space="preserve"> </w:t>
      </w:r>
    </w:p>
    <w:p w14:paraId="79994E2A" w14:textId="3C1ADF2B" w:rsidR="00041B4C" w:rsidRPr="004E4F9F" w:rsidRDefault="004E4F9F" w:rsidP="006630D1">
      <w:pPr>
        <w:pStyle w:val="ListParagraph"/>
        <w:widowControl w:val="0"/>
        <w:numPr>
          <w:ilvl w:val="0"/>
          <w:numId w:val="2"/>
        </w:numPr>
        <w:pBdr>
          <w:top w:val="nil"/>
          <w:left w:val="nil"/>
          <w:bottom w:val="nil"/>
          <w:right w:val="nil"/>
          <w:between w:val="nil"/>
        </w:pBdr>
        <w:spacing w:before="135" w:after="120" w:line="240" w:lineRule="auto"/>
        <w:ind w:right="22"/>
        <w:contextualSpacing w:val="0"/>
        <w:rPr>
          <w:rFonts w:ascii="Calibri" w:eastAsia="Calibri" w:hAnsi="Calibri" w:cs="Calibri"/>
          <w:sz w:val="24"/>
          <w:szCs w:val="24"/>
        </w:rPr>
      </w:pPr>
      <w:r w:rsidRPr="004E4F9F">
        <w:rPr>
          <w:rFonts w:ascii="Calibri" w:eastAsia="Calibri" w:hAnsi="Calibri" w:cs="Calibri"/>
          <w:sz w:val="24"/>
          <w:szCs w:val="24"/>
        </w:rPr>
        <w:t xml:space="preserve">The </w:t>
      </w:r>
      <w:r w:rsidR="00BE46B1" w:rsidRPr="004E4F9F">
        <w:rPr>
          <w:rFonts w:ascii="Calibri" w:eastAsia="Calibri" w:hAnsi="Calibri" w:cs="Calibri"/>
          <w:sz w:val="24"/>
          <w:szCs w:val="24"/>
        </w:rPr>
        <w:t xml:space="preserve">Northern Ireland Executive </w:t>
      </w:r>
      <w:r w:rsidRPr="004E4F9F">
        <w:rPr>
          <w:rFonts w:ascii="Calibri" w:eastAsia="Calibri" w:hAnsi="Calibri" w:cs="Calibri"/>
          <w:sz w:val="24"/>
          <w:szCs w:val="24"/>
        </w:rPr>
        <w:t>has a specific</w:t>
      </w:r>
      <w:r w:rsidR="00BE46B1" w:rsidRPr="004E4F9F">
        <w:rPr>
          <w:rFonts w:ascii="Calibri" w:eastAsia="Calibri" w:hAnsi="Calibri" w:cs="Calibri"/>
          <w:sz w:val="24"/>
          <w:szCs w:val="24"/>
        </w:rPr>
        <w:t xml:space="preserve"> strategic policy to tackle paramilitary activity</w:t>
      </w:r>
      <w:r w:rsidRPr="004E4F9F">
        <w:rPr>
          <w:rFonts w:ascii="Calibri" w:eastAsia="Calibri" w:hAnsi="Calibri" w:cs="Calibri"/>
          <w:sz w:val="24"/>
          <w:szCs w:val="24"/>
        </w:rPr>
        <w:t xml:space="preserve"> </w:t>
      </w:r>
      <w:r w:rsidR="00BE46B1" w:rsidRPr="004E4F9F">
        <w:rPr>
          <w:rFonts w:ascii="Calibri" w:eastAsia="Calibri" w:hAnsi="Calibri" w:cs="Calibri"/>
          <w:sz w:val="24"/>
          <w:szCs w:val="24"/>
        </w:rPr>
        <w:t>known as the</w:t>
      </w:r>
      <w:r w:rsidRPr="004E4F9F">
        <w:rPr>
          <w:rFonts w:ascii="Calibri" w:eastAsia="Calibri" w:hAnsi="Calibri" w:cs="Calibri"/>
          <w:sz w:val="24"/>
          <w:szCs w:val="24"/>
        </w:rPr>
        <w:t xml:space="preserve"> </w:t>
      </w:r>
      <w:r w:rsidR="00BE46B1" w:rsidRPr="004E4F9F">
        <w:rPr>
          <w:rFonts w:ascii="Calibri" w:eastAsia="Calibri" w:hAnsi="Calibri" w:cs="Calibri"/>
          <w:sz w:val="24"/>
          <w:szCs w:val="24"/>
        </w:rPr>
        <w:t>Executive Action Plan for ‘Tackling Paramilitary Activity, Criminality and Organised Crime’.</w:t>
      </w:r>
      <w:r w:rsidR="00BE46B1" w:rsidRPr="00FF5544">
        <w:rPr>
          <w:vertAlign w:val="superscript"/>
        </w:rPr>
        <w:footnoteReference w:id="35"/>
      </w:r>
      <w:r w:rsidRPr="004E4F9F">
        <w:rPr>
          <w:rFonts w:ascii="Calibri" w:eastAsia="Calibri" w:hAnsi="Calibri" w:cs="Calibri"/>
          <w:sz w:val="24"/>
          <w:szCs w:val="24"/>
        </w:rPr>
        <w:t xml:space="preserve"> </w:t>
      </w:r>
      <w:r w:rsidR="00BE46B1" w:rsidRPr="004E4F9F">
        <w:rPr>
          <w:rFonts w:ascii="Calibri" w:eastAsia="Calibri" w:hAnsi="Calibri" w:cs="Calibri"/>
          <w:sz w:val="24"/>
          <w:szCs w:val="24"/>
        </w:rPr>
        <w:t xml:space="preserve">It is notable that neither housing intimidation nor racist crime are mentioned at all in </w:t>
      </w:r>
      <w:r>
        <w:rPr>
          <w:rFonts w:ascii="Calibri" w:eastAsia="Calibri" w:hAnsi="Calibri" w:cs="Calibri"/>
          <w:sz w:val="24"/>
          <w:szCs w:val="24"/>
        </w:rPr>
        <w:t>this</w:t>
      </w:r>
      <w:r w:rsidR="00BE46B1" w:rsidRPr="004E4F9F">
        <w:rPr>
          <w:rFonts w:ascii="Calibri" w:eastAsia="Calibri" w:hAnsi="Calibri" w:cs="Calibri"/>
          <w:sz w:val="24"/>
          <w:szCs w:val="24"/>
        </w:rPr>
        <w:t xml:space="preserve"> Executive’s Action Plan.</w:t>
      </w:r>
    </w:p>
    <w:p w14:paraId="09589985" w14:textId="371BA3A2" w:rsidR="00041B4C" w:rsidRPr="00FF5544" w:rsidRDefault="00BE46B1" w:rsidP="006630D1">
      <w:pPr>
        <w:pStyle w:val="ListParagraph"/>
        <w:widowControl w:val="0"/>
        <w:pBdr>
          <w:top w:val="nil"/>
          <w:left w:val="nil"/>
          <w:bottom w:val="nil"/>
          <w:right w:val="nil"/>
          <w:between w:val="nil"/>
        </w:pBdr>
        <w:spacing w:after="120" w:line="240" w:lineRule="auto"/>
        <w:ind w:right="22"/>
        <w:contextualSpacing w:val="0"/>
        <w:rPr>
          <w:rFonts w:ascii="Calibri" w:eastAsia="Calibri" w:hAnsi="Calibri" w:cs="Calibri"/>
          <w:b/>
          <w:sz w:val="24"/>
          <w:szCs w:val="24"/>
        </w:rPr>
      </w:pPr>
      <w:r w:rsidRPr="00FF5544">
        <w:rPr>
          <w:rFonts w:ascii="Calibri" w:eastAsia="Calibri" w:hAnsi="Calibri" w:cs="Calibri"/>
          <w:b/>
          <w:sz w:val="24"/>
          <w:szCs w:val="24"/>
        </w:rPr>
        <w:t>The Committee may wish to press the UK on the need for an official strategic policy on tackling ongoing paramilitary activity in Northern Ireland that includes tackling paramilitary involvement in housing intimidation and racist crime</w:t>
      </w:r>
      <w:r w:rsidR="004E4F9F">
        <w:rPr>
          <w:rFonts w:ascii="Calibri" w:eastAsia="Calibri" w:hAnsi="Calibri" w:cs="Calibri"/>
          <w:b/>
          <w:sz w:val="24"/>
          <w:szCs w:val="24"/>
        </w:rPr>
        <w:t xml:space="preserve">. </w:t>
      </w:r>
    </w:p>
    <w:p w14:paraId="6330FE06" w14:textId="494F0DC4" w:rsidR="00A57B8E" w:rsidRPr="00B4470F" w:rsidRDefault="008E3413" w:rsidP="00DD29DD">
      <w:pPr>
        <w:widowControl w:val="0"/>
        <w:spacing w:after="120" w:line="240" w:lineRule="auto"/>
        <w:rPr>
          <w:rFonts w:ascii="Calibri" w:eastAsia="Calibri" w:hAnsi="Calibri" w:cs="Calibri"/>
          <w:sz w:val="24"/>
          <w:szCs w:val="24"/>
        </w:rPr>
      </w:pPr>
      <w:r>
        <w:rPr>
          <w:rFonts w:ascii="Cambria" w:eastAsia="Cambria" w:hAnsi="Cambria" w:cs="Cambria"/>
          <w:b/>
          <w:sz w:val="24"/>
          <w:szCs w:val="24"/>
        </w:rPr>
        <w:t xml:space="preserve">Reconciliation and the </w:t>
      </w:r>
      <w:r w:rsidR="00BE46B1" w:rsidRPr="00B4470F">
        <w:rPr>
          <w:rFonts w:ascii="Cambria" w:eastAsia="Cambria" w:hAnsi="Cambria" w:cs="Cambria"/>
          <w:b/>
          <w:sz w:val="24"/>
          <w:szCs w:val="24"/>
        </w:rPr>
        <w:t xml:space="preserve">Northern Ireland </w:t>
      </w:r>
      <w:r>
        <w:rPr>
          <w:rFonts w:ascii="Cambria" w:eastAsia="Cambria" w:hAnsi="Cambria" w:cs="Cambria"/>
          <w:b/>
          <w:sz w:val="24"/>
          <w:szCs w:val="24"/>
        </w:rPr>
        <w:t>Legacy Act (Art 15)</w:t>
      </w:r>
    </w:p>
    <w:p w14:paraId="3B1C427F" w14:textId="25375903" w:rsidR="00B4470F" w:rsidRDefault="00B4470F" w:rsidP="008E3413">
      <w:pPr>
        <w:pStyle w:val="ListParagraph"/>
        <w:widowControl w:val="0"/>
        <w:numPr>
          <w:ilvl w:val="0"/>
          <w:numId w:val="2"/>
        </w:numPr>
        <w:spacing w:after="120" w:line="240" w:lineRule="auto"/>
        <w:ind w:left="357" w:hanging="357"/>
        <w:contextualSpacing w:val="0"/>
        <w:rPr>
          <w:rFonts w:ascii="Calibri" w:eastAsia="Calibri" w:hAnsi="Calibri" w:cs="Calibri"/>
          <w:sz w:val="24"/>
          <w:szCs w:val="24"/>
        </w:rPr>
      </w:pPr>
      <w:r>
        <w:rPr>
          <w:rFonts w:ascii="Calibri" w:eastAsia="Calibri" w:hAnsi="Calibri" w:cs="Calibri"/>
          <w:sz w:val="24"/>
          <w:szCs w:val="24"/>
        </w:rPr>
        <w:t>T</w:t>
      </w:r>
      <w:r w:rsidR="00BE46B1" w:rsidRPr="00FF5544">
        <w:rPr>
          <w:rFonts w:ascii="Calibri" w:eastAsia="Calibri" w:hAnsi="Calibri" w:cs="Calibri"/>
          <w:sz w:val="24"/>
          <w:szCs w:val="24"/>
        </w:rPr>
        <w:t xml:space="preserve">he Committee’s </w:t>
      </w:r>
      <w:r w:rsidR="00713BB9">
        <w:rPr>
          <w:rFonts w:ascii="Calibri" w:eastAsia="Calibri" w:hAnsi="Calibri" w:cs="Calibri"/>
          <w:sz w:val="24"/>
          <w:szCs w:val="24"/>
        </w:rPr>
        <w:t>L</w:t>
      </w:r>
      <w:r w:rsidR="00BE46B1" w:rsidRPr="00FF5544">
        <w:rPr>
          <w:rFonts w:ascii="Calibri" w:eastAsia="Calibri" w:hAnsi="Calibri" w:cs="Calibri"/>
          <w:sz w:val="24"/>
          <w:szCs w:val="24"/>
        </w:rPr>
        <w:t xml:space="preserve">ist of </w:t>
      </w:r>
      <w:r w:rsidR="00713BB9">
        <w:rPr>
          <w:rFonts w:ascii="Calibri" w:eastAsia="Calibri" w:hAnsi="Calibri" w:cs="Calibri"/>
          <w:sz w:val="24"/>
          <w:szCs w:val="24"/>
        </w:rPr>
        <w:t>I</w:t>
      </w:r>
      <w:r w:rsidR="00BE46B1" w:rsidRPr="00FF5544">
        <w:rPr>
          <w:rFonts w:ascii="Calibri" w:eastAsia="Calibri" w:hAnsi="Calibri" w:cs="Calibri"/>
          <w:sz w:val="24"/>
          <w:szCs w:val="24"/>
        </w:rPr>
        <w:t>ssues</w:t>
      </w:r>
      <w:r>
        <w:rPr>
          <w:rFonts w:ascii="Calibri" w:eastAsia="Calibri" w:hAnsi="Calibri" w:cs="Calibri"/>
          <w:sz w:val="24"/>
          <w:szCs w:val="24"/>
        </w:rPr>
        <w:t xml:space="preserve"> seeks </w:t>
      </w:r>
      <w:r w:rsidR="00BE46B1" w:rsidRPr="00FF5544">
        <w:rPr>
          <w:rFonts w:ascii="Calibri" w:eastAsia="Calibri" w:hAnsi="Calibri" w:cs="Calibri"/>
          <w:sz w:val="24"/>
          <w:szCs w:val="24"/>
        </w:rPr>
        <w:t>‘information on the status of the proposed Northern Ireland Troubles (Legacy and Reconciliation) Bill and how it would contribute to fostering intercultural dialogue and reconciliation’</w:t>
      </w:r>
      <w:r>
        <w:rPr>
          <w:rFonts w:ascii="Calibri" w:eastAsia="Calibri" w:hAnsi="Calibri" w:cs="Calibri"/>
          <w:sz w:val="24"/>
          <w:szCs w:val="24"/>
        </w:rPr>
        <w:t xml:space="preserve"> (para 40).</w:t>
      </w:r>
    </w:p>
    <w:p w14:paraId="72FFE2B5" w14:textId="575E7CC3" w:rsidR="004E4F9F" w:rsidRDefault="00B4470F" w:rsidP="008E3413">
      <w:pPr>
        <w:pStyle w:val="ListParagraph"/>
        <w:widowControl w:val="0"/>
        <w:numPr>
          <w:ilvl w:val="0"/>
          <w:numId w:val="2"/>
        </w:numPr>
        <w:spacing w:after="120" w:line="240" w:lineRule="auto"/>
        <w:ind w:left="357" w:hanging="357"/>
        <w:contextualSpacing w:val="0"/>
        <w:rPr>
          <w:rFonts w:ascii="Calibri" w:eastAsia="Calibri" w:hAnsi="Calibri" w:cs="Calibri"/>
          <w:sz w:val="24"/>
          <w:szCs w:val="24"/>
        </w:rPr>
      </w:pPr>
      <w:r>
        <w:rPr>
          <w:rFonts w:ascii="Calibri" w:eastAsia="Calibri" w:hAnsi="Calibri" w:cs="Calibri"/>
          <w:sz w:val="24"/>
          <w:szCs w:val="24"/>
        </w:rPr>
        <w:t xml:space="preserve">The </w:t>
      </w:r>
      <w:r w:rsidRPr="00FF5544">
        <w:rPr>
          <w:rFonts w:ascii="Calibri" w:eastAsia="Calibri" w:hAnsi="Calibri" w:cs="Calibri"/>
          <w:sz w:val="24"/>
          <w:szCs w:val="24"/>
        </w:rPr>
        <w:t xml:space="preserve">Northern Ireland Troubles (Legacy and Reconciliation) Act 2023 </w:t>
      </w:r>
      <w:r>
        <w:rPr>
          <w:rFonts w:ascii="Calibri" w:eastAsia="Calibri" w:hAnsi="Calibri" w:cs="Calibri"/>
          <w:sz w:val="24"/>
          <w:szCs w:val="24"/>
        </w:rPr>
        <w:t>(the Legacy Act)</w:t>
      </w:r>
      <w:r w:rsidR="004E4F9F">
        <w:rPr>
          <w:rFonts w:ascii="Calibri" w:eastAsia="Calibri" w:hAnsi="Calibri" w:cs="Calibri"/>
          <w:sz w:val="24"/>
          <w:szCs w:val="24"/>
        </w:rPr>
        <w:t xml:space="preserve"> completed passage </w:t>
      </w:r>
      <w:r w:rsidR="00713BB9">
        <w:rPr>
          <w:rFonts w:ascii="Calibri" w:eastAsia="Calibri" w:hAnsi="Calibri" w:cs="Calibri"/>
          <w:sz w:val="24"/>
          <w:szCs w:val="24"/>
        </w:rPr>
        <w:t xml:space="preserve">in </w:t>
      </w:r>
      <w:r w:rsidR="004E4F9F" w:rsidRPr="00FF5544">
        <w:rPr>
          <w:rFonts w:ascii="Calibri" w:eastAsia="Calibri" w:hAnsi="Calibri" w:cs="Calibri"/>
          <w:sz w:val="24"/>
          <w:szCs w:val="24"/>
        </w:rPr>
        <w:t xml:space="preserve">the UK Parliament </w:t>
      </w:r>
      <w:r w:rsidR="00713BB9">
        <w:rPr>
          <w:rFonts w:ascii="Calibri" w:eastAsia="Calibri" w:hAnsi="Calibri" w:cs="Calibri"/>
          <w:sz w:val="24"/>
          <w:szCs w:val="24"/>
        </w:rPr>
        <w:t xml:space="preserve">in 2023 </w:t>
      </w:r>
      <w:r w:rsidR="004E4F9F">
        <w:rPr>
          <w:rFonts w:ascii="Calibri" w:eastAsia="Calibri" w:hAnsi="Calibri" w:cs="Calibri"/>
          <w:sz w:val="24"/>
          <w:szCs w:val="24"/>
        </w:rPr>
        <w:t xml:space="preserve">under the </w:t>
      </w:r>
      <w:r w:rsidR="004E4F9F" w:rsidRPr="00FF5544">
        <w:rPr>
          <w:rFonts w:ascii="Calibri" w:eastAsia="Calibri" w:hAnsi="Calibri" w:cs="Calibri"/>
          <w:sz w:val="24"/>
          <w:szCs w:val="24"/>
        </w:rPr>
        <w:t xml:space="preserve">previous </w:t>
      </w:r>
      <w:r w:rsidR="004E4F9F">
        <w:rPr>
          <w:rFonts w:ascii="Calibri" w:eastAsia="Calibri" w:hAnsi="Calibri" w:cs="Calibri"/>
          <w:sz w:val="24"/>
          <w:szCs w:val="24"/>
        </w:rPr>
        <w:t>UK</w:t>
      </w:r>
      <w:r w:rsidR="004E4F9F" w:rsidRPr="00FF5544">
        <w:rPr>
          <w:rFonts w:ascii="Calibri" w:eastAsia="Calibri" w:hAnsi="Calibri" w:cs="Calibri"/>
          <w:sz w:val="24"/>
          <w:szCs w:val="24"/>
        </w:rPr>
        <w:t xml:space="preserve"> Government</w:t>
      </w:r>
      <w:r w:rsidR="004E4F9F">
        <w:rPr>
          <w:rFonts w:ascii="Calibri" w:eastAsia="Calibri" w:hAnsi="Calibri" w:cs="Calibri"/>
          <w:sz w:val="24"/>
          <w:szCs w:val="24"/>
        </w:rPr>
        <w:t>.</w:t>
      </w:r>
      <w:r w:rsidR="00F9371E">
        <w:rPr>
          <w:rFonts w:ascii="Calibri" w:eastAsia="Calibri" w:hAnsi="Calibri" w:cs="Calibri"/>
          <w:sz w:val="24"/>
          <w:szCs w:val="24"/>
        </w:rPr>
        <w:t xml:space="preserve"> The new UK Government had committed to repealing the Legacy Act but is yet to do so. </w:t>
      </w:r>
    </w:p>
    <w:p w14:paraId="01337390" w14:textId="5EE53947" w:rsidR="00F9371E" w:rsidRDefault="004E4F9F" w:rsidP="008E3413">
      <w:pPr>
        <w:pStyle w:val="ListParagraph"/>
        <w:widowControl w:val="0"/>
        <w:numPr>
          <w:ilvl w:val="0"/>
          <w:numId w:val="2"/>
        </w:numPr>
        <w:spacing w:after="120" w:line="240" w:lineRule="auto"/>
        <w:ind w:left="357" w:hanging="357"/>
        <w:contextualSpacing w:val="0"/>
        <w:rPr>
          <w:rFonts w:ascii="Calibri" w:eastAsia="Calibri" w:hAnsi="Calibri" w:cs="Calibri"/>
          <w:sz w:val="24"/>
          <w:szCs w:val="24"/>
        </w:rPr>
      </w:pPr>
      <w:r>
        <w:rPr>
          <w:rFonts w:ascii="Calibri" w:eastAsia="Calibri" w:hAnsi="Calibri" w:cs="Calibri"/>
          <w:sz w:val="24"/>
          <w:szCs w:val="24"/>
        </w:rPr>
        <w:t xml:space="preserve">The Legacy Act </w:t>
      </w:r>
      <w:r w:rsidR="00E227FE">
        <w:rPr>
          <w:rFonts w:ascii="Calibri" w:eastAsia="Calibri" w:hAnsi="Calibri" w:cs="Calibri"/>
          <w:sz w:val="24"/>
          <w:szCs w:val="24"/>
        </w:rPr>
        <w:t xml:space="preserve">is </w:t>
      </w:r>
      <w:r w:rsidR="00F9371E">
        <w:rPr>
          <w:rFonts w:ascii="Calibri" w:eastAsia="Calibri" w:hAnsi="Calibri" w:cs="Calibri"/>
          <w:sz w:val="24"/>
          <w:szCs w:val="24"/>
        </w:rPr>
        <w:t xml:space="preserve">widely criticised and opposed by </w:t>
      </w:r>
      <w:r w:rsidR="00E227FE">
        <w:rPr>
          <w:rFonts w:ascii="Calibri" w:eastAsia="Calibri" w:hAnsi="Calibri" w:cs="Calibri"/>
          <w:sz w:val="24"/>
          <w:szCs w:val="24"/>
        </w:rPr>
        <w:t>victims’</w:t>
      </w:r>
      <w:r w:rsidR="00F9371E">
        <w:rPr>
          <w:rFonts w:ascii="Calibri" w:eastAsia="Calibri" w:hAnsi="Calibri" w:cs="Calibri"/>
          <w:sz w:val="24"/>
          <w:szCs w:val="24"/>
        </w:rPr>
        <w:t xml:space="preserve"> groups</w:t>
      </w:r>
      <w:r w:rsidR="00E227FE">
        <w:rPr>
          <w:rFonts w:ascii="Calibri" w:eastAsia="Calibri" w:hAnsi="Calibri" w:cs="Calibri"/>
          <w:sz w:val="24"/>
          <w:szCs w:val="24"/>
        </w:rPr>
        <w:t xml:space="preserve">, </w:t>
      </w:r>
      <w:r w:rsidR="00F9371E">
        <w:rPr>
          <w:rFonts w:ascii="Calibri" w:eastAsia="Calibri" w:hAnsi="Calibri" w:cs="Calibri"/>
          <w:sz w:val="24"/>
          <w:szCs w:val="24"/>
        </w:rPr>
        <w:t>human rights NGOs, the NHRI,</w:t>
      </w:r>
      <w:r w:rsidR="00713BB9">
        <w:rPr>
          <w:rFonts w:ascii="Calibri" w:eastAsia="Calibri" w:hAnsi="Calibri" w:cs="Calibri"/>
          <w:sz w:val="24"/>
          <w:szCs w:val="24"/>
        </w:rPr>
        <w:t xml:space="preserve"> and</w:t>
      </w:r>
      <w:r w:rsidR="00F9371E">
        <w:rPr>
          <w:rFonts w:ascii="Calibri" w:eastAsia="Calibri" w:hAnsi="Calibri" w:cs="Calibri"/>
          <w:sz w:val="24"/>
          <w:szCs w:val="24"/>
        </w:rPr>
        <w:t xml:space="preserve"> all political parties in Northern Ireland. </w:t>
      </w:r>
      <w:r w:rsidR="00F9371E" w:rsidRPr="00F9371E">
        <w:rPr>
          <w:rFonts w:ascii="Calibri" w:eastAsia="Calibri" w:hAnsi="Calibri" w:cs="Calibri"/>
          <w:sz w:val="24"/>
          <w:szCs w:val="24"/>
        </w:rPr>
        <w:t>The Irish Government has filed an inter-State application at the European Court of Human Rights</w:t>
      </w:r>
      <w:r w:rsidR="00F9371E">
        <w:rPr>
          <w:rFonts w:ascii="Calibri" w:eastAsia="Calibri" w:hAnsi="Calibri" w:cs="Calibri"/>
          <w:sz w:val="24"/>
          <w:szCs w:val="24"/>
        </w:rPr>
        <w:t xml:space="preserve"> </w:t>
      </w:r>
      <w:r w:rsidR="00713BB9">
        <w:rPr>
          <w:rFonts w:ascii="Calibri" w:eastAsia="Calibri" w:hAnsi="Calibri" w:cs="Calibri"/>
          <w:sz w:val="24"/>
          <w:szCs w:val="24"/>
        </w:rPr>
        <w:t xml:space="preserve">(ECtHR) </w:t>
      </w:r>
      <w:r w:rsidR="00F9371E" w:rsidRPr="00F9371E">
        <w:rPr>
          <w:rFonts w:ascii="Calibri" w:eastAsia="Calibri" w:hAnsi="Calibri" w:cs="Calibri"/>
          <w:sz w:val="24"/>
          <w:szCs w:val="24"/>
        </w:rPr>
        <w:t xml:space="preserve">against the </w:t>
      </w:r>
      <w:r w:rsidR="00F9371E" w:rsidRPr="00F9371E">
        <w:rPr>
          <w:rFonts w:ascii="Calibri" w:eastAsia="Calibri" w:hAnsi="Calibri" w:cs="Calibri"/>
          <w:sz w:val="24"/>
          <w:szCs w:val="24"/>
        </w:rPr>
        <w:lastRenderedPageBreak/>
        <w:t>Legacy Act.</w:t>
      </w:r>
      <w:r w:rsidR="00F9371E" w:rsidRPr="00FF5544">
        <w:rPr>
          <w:vertAlign w:val="superscript"/>
        </w:rPr>
        <w:footnoteReference w:id="36"/>
      </w:r>
      <w:r w:rsidR="00F9371E" w:rsidRPr="00F9371E">
        <w:rPr>
          <w:rFonts w:ascii="Calibri" w:eastAsia="Calibri" w:hAnsi="Calibri" w:cs="Calibri"/>
          <w:sz w:val="24"/>
          <w:szCs w:val="24"/>
        </w:rPr>
        <w:t xml:space="preserve"> There have also been </w:t>
      </w:r>
      <w:r w:rsidR="00F9371E">
        <w:rPr>
          <w:rFonts w:ascii="Calibri" w:eastAsia="Calibri" w:hAnsi="Calibri" w:cs="Calibri"/>
          <w:sz w:val="24"/>
          <w:szCs w:val="24"/>
        </w:rPr>
        <w:t>multiple domestic legal challenges which have found significant elements of the Legacy Act incompatible with the ECHR</w:t>
      </w:r>
      <w:r w:rsidR="00DD29DD">
        <w:rPr>
          <w:rFonts w:ascii="Calibri" w:eastAsia="Calibri" w:hAnsi="Calibri" w:cs="Calibri"/>
          <w:sz w:val="24"/>
          <w:szCs w:val="24"/>
        </w:rPr>
        <w:t xml:space="preserve"> and GFA rights</w:t>
      </w:r>
      <w:r w:rsidR="00F9371E">
        <w:rPr>
          <w:rFonts w:ascii="Calibri" w:eastAsia="Calibri" w:hAnsi="Calibri" w:cs="Calibri"/>
          <w:sz w:val="24"/>
          <w:szCs w:val="24"/>
        </w:rPr>
        <w:t>.</w:t>
      </w:r>
    </w:p>
    <w:p w14:paraId="5CCADB63" w14:textId="1AD33CFA" w:rsidR="00F9371E" w:rsidRPr="00F9371E" w:rsidRDefault="00F9371E" w:rsidP="008E3413">
      <w:pPr>
        <w:pStyle w:val="ListParagraph"/>
        <w:widowControl w:val="0"/>
        <w:numPr>
          <w:ilvl w:val="0"/>
          <w:numId w:val="2"/>
        </w:numPr>
        <w:spacing w:after="120" w:line="240" w:lineRule="auto"/>
        <w:ind w:left="357" w:hanging="357"/>
        <w:contextualSpacing w:val="0"/>
        <w:rPr>
          <w:rFonts w:ascii="Calibri" w:eastAsia="Calibri" w:hAnsi="Calibri" w:cs="Calibri"/>
          <w:sz w:val="24"/>
          <w:szCs w:val="24"/>
        </w:rPr>
      </w:pPr>
      <w:r w:rsidRPr="00F9371E">
        <w:rPr>
          <w:rFonts w:ascii="Calibri" w:eastAsia="Calibri" w:hAnsi="Calibri" w:cs="Calibri"/>
          <w:sz w:val="24"/>
          <w:szCs w:val="24"/>
        </w:rPr>
        <w:t xml:space="preserve">Significant concerns were also raised by </w:t>
      </w:r>
      <w:r w:rsidR="00E227FE">
        <w:rPr>
          <w:rFonts w:ascii="Calibri" w:eastAsia="Calibri" w:hAnsi="Calibri" w:cs="Calibri"/>
          <w:sz w:val="24"/>
          <w:szCs w:val="24"/>
        </w:rPr>
        <w:t xml:space="preserve">the </w:t>
      </w:r>
      <w:r w:rsidRPr="00F9371E">
        <w:rPr>
          <w:rFonts w:ascii="Calibri" w:eastAsia="Calibri" w:hAnsi="Calibri" w:cs="Calibri"/>
          <w:sz w:val="24"/>
          <w:szCs w:val="24"/>
        </w:rPr>
        <w:t xml:space="preserve">UN and Council of Europe </w:t>
      </w:r>
      <w:r w:rsidR="00E227FE">
        <w:rPr>
          <w:rFonts w:ascii="Calibri" w:eastAsia="Calibri" w:hAnsi="Calibri" w:cs="Calibri"/>
          <w:sz w:val="24"/>
          <w:szCs w:val="24"/>
        </w:rPr>
        <w:t>h</w:t>
      </w:r>
      <w:r w:rsidRPr="00F9371E">
        <w:rPr>
          <w:rFonts w:ascii="Calibri" w:eastAsia="Calibri" w:hAnsi="Calibri" w:cs="Calibri"/>
          <w:sz w:val="24"/>
          <w:szCs w:val="24"/>
        </w:rPr>
        <w:t xml:space="preserve">uman </w:t>
      </w:r>
      <w:r w:rsidR="00E227FE">
        <w:rPr>
          <w:rFonts w:ascii="Calibri" w:eastAsia="Calibri" w:hAnsi="Calibri" w:cs="Calibri"/>
          <w:sz w:val="24"/>
          <w:szCs w:val="24"/>
        </w:rPr>
        <w:t>r</w:t>
      </w:r>
      <w:r w:rsidRPr="00F9371E">
        <w:rPr>
          <w:rFonts w:ascii="Calibri" w:eastAsia="Calibri" w:hAnsi="Calibri" w:cs="Calibri"/>
          <w:sz w:val="24"/>
          <w:szCs w:val="24"/>
        </w:rPr>
        <w:t xml:space="preserve">ights </w:t>
      </w:r>
      <w:r w:rsidR="00E227FE">
        <w:rPr>
          <w:rFonts w:ascii="Calibri" w:eastAsia="Calibri" w:hAnsi="Calibri" w:cs="Calibri"/>
          <w:sz w:val="24"/>
          <w:szCs w:val="24"/>
        </w:rPr>
        <w:t>m</w:t>
      </w:r>
      <w:r w:rsidRPr="00F9371E">
        <w:rPr>
          <w:rFonts w:ascii="Calibri" w:eastAsia="Calibri" w:hAnsi="Calibri" w:cs="Calibri"/>
          <w:sz w:val="24"/>
          <w:szCs w:val="24"/>
        </w:rPr>
        <w:t>echanisms</w:t>
      </w:r>
      <w:r w:rsidR="00E227FE">
        <w:rPr>
          <w:rFonts w:ascii="Calibri" w:eastAsia="Calibri" w:hAnsi="Calibri" w:cs="Calibri"/>
          <w:sz w:val="24"/>
          <w:szCs w:val="24"/>
        </w:rPr>
        <w:t>.</w:t>
      </w:r>
      <w:r w:rsidRPr="00F9371E">
        <w:rPr>
          <w:rFonts w:ascii="Calibri" w:eastAsia="Calibri" w:hAnsi="Calibri" w:cs="Calibri"/>
          <w:sz w:val="24"/>
          <w:szCs w:val="24"/>
        </w:rPr>
        <w:t xml:space="preserve"> </w:t>
      </w:r>
      <w:r w:rsidRPr="00F9371E">
        <w:rPr>
          <w:rFonts w:ascii="Calibri" w:hAnsi="Calibri" w:cs="Calibri"/>
          <w:color w:val="000000"/>
          <w:sz w:val="24"/>
          <w:szCs w:val="24"/>
        </w:rPr>
        <w:t xml:space="preserve">In a statement in December 2022, UN Special Rapporteurs, Fabián </w:t>
      </w:r>
      <w:proofErr w:type="spellStart"/>
      <w:r w:rsidRPr="00F9371E">
        <w:rPr>
          <w:rFonts w:ascii="Calibri" w:hAnsi="Calibri" w:cs="Calibri"/>
          <w:color w:val="000000"/>
          <w:sz w:val="24"/>
          <w:szCs w:val="24"/>
        </w:rPr>
        <w:t>Salvioli</w:t>
      </w:r>
      <w:proofErr w:type="spellEnd"/>
      <w:r w:rsidRPr="00F9371E">
        <w:rPr>
          <w:rFonts w:ascii="Calibri" w:hAnsi="Calibri" w:cs="Calibri"/>
          <w:color w:val="000000"/>
          <w:sz w:val="24"/>
          <w:szCs w:val="24"/>
        </w:rPr>
        <w:t xml:space="preserve"> and Morris Tidball-Binz raised concerns that the legislation w</w:t>
      </w:r>
      <w:r w:rsidRPr="00F9371E">
        <w:rPr>
          <w:rFonts w:ascii="Calibri" w:hAnsi="Calibri" w:cs="Calibri"/>
          <w:sz w:val="24"/>
          <w:szCs w:val="24"/>
        </w:rPr>
        <w:t>ould ‘</w:t>
      </w:r>
      <w:r w:rsidRPr="00F9371E">
        <w:rPr>
          <w:rFonts w:ascii="Calibri" w:hAnsi="Calibri" w:cs="Calibri"/>
          <w:i/>
          <w:iCs/>
          <w:sz w:val="24"/>
          <w:szCs w:val="24"/>
        </w:rPr>
        <w:t>thwart victims’ right to truth and justice, undermine the country’s rule of law, and place the United Kingdom in flagrant contravention of its international human rights obligations’</w:t>
      </w:r>
      <w:r w:rsidRPr="00F9371E">
        <w:rPr>
          <w:rFonts w:ascii="Calibri" w:hAnsi="Calibri" w:cs="Calibri"/>
          <w:sz w:val="24"/>
          <w:szCs w:val="24"/>
        </w:rPr>
        <w:t>.</w:t>
      </w:r>
      <w:r w:rsidRPr="00F9371E">
        <w:rPr>
          <w:rStyle w:val="FootnoteReference"/>
          <w:rFonts w:ascii="Calibri" w:hAnsi="Calibri" w:cs="Calibri"/>
          <w:sz w:val="24"/>
          <w:szCs w:val="24"/>
        </w:rPr>
        <w:footnoteReference w:id="37"/>
      </w:r>
    </w:p>
    <w:p w14:paraId="06EB57D1" w14:textId="741EB870" w:rsidR="00F9371E" w:rsidRPr="00513100" w:rsidRDefault="00513100" w:rsidP="008E3413">
      <w:pPr>
        <w:pStyle w:val="ListParagraph"/>
        <w:numPr>
          <w:ilvl w:val="0"/>
          <w:numId w:val="2"/>
        </w:numPr>
        <w:spacing w:after="120" w:line="240" w:lineRule="auto"/>
        <w:contextualSpacing w:val="0"/>
        <w:rPr>
          <w:rFonts w:asciiTheme="majorHAnsi" w:eastAsia="Times New Roman" w:hAnsiTheme="majorHAnsi" w:cstheme="majorHAnsi"/>
          <w:color w:val="161616"/>
          <w:sz w:val="24"/>
          <w:szCs w:val="24"/>
          <w:lang w:eastAsia="en-GB"/>
        </w:rPr>
      </w:pPr>
      <w:r>
        <w:rPr>
          <w:rFonts w:asciiTheme="majorHAnsi" w:hAnsiTheme="majorHAnsi" w:cstheme="majorHAnsi"/>
          <w:sz w:val="24"/>
          <w:szCs w:val="24"/>
        </w:rPr>
        <w:t xml:space="preserve">The then </w:t>
      </w:r>
      <w:r w:rsidR="00F9371E" w:rsidRPr="00513100">
        <w:rPr>
          <w:rFonts w:asciiTheme="majorHAnsi" w:eastAsia="Calibri" w:hAnsiTheme="majorHAnsi" w:cstheme="majorHAnsi"/>
          <w:sz w:val="24"/>
          <w:szCs w:val="24"/>
        </w:rPr>
        <w:t>Council of Europe Commissioner for Human Rights, Dunja Mijatović, raised concerns that the Legacy Act would ‘</w:t>
      </w:r>
      <w:r w:rsidR="00F9371E" w:rsidRPr="00E227FE">
        <w:rPr>
          <w:rFonts w:asciiTheme="majorHAnsi" w:eastAsia="Calibri" w:hAnsiTheme="majorHAnsi" w:cstheme="majorHAnsi"/>
          <w:i/>
          <w:iCs/>
          <w:sz w:val="24"/>
          <w:szCs w:val="24"/>
        </w:rPr>
        <w:t>undermine justice for victims, truth seeking and reconciliation</w:t>
      </w:r>
      <w:r w:rsidR="00F9371E" w:rsidRPr="00513100">
        <w:rPr>
          <w:rFonts w:asciiTheme="majorHAnsi" w:eastAsia="Calibri" w:hAnsiTheme="majorHAnsi" w:cstheme="majorHAnsi"/>
          <w:sz w:val="24"/>
          <w:szCs w:val="24"/>
        </w:rPr>
        <w:t>’, and that the UK was ignoring ‘</w:t>
      </w:r>
      <w:r w:rsidR="00F9371E" w:rsidRPr="00E227FE">
        <w:rPr>
          <w:rFonts w:asciiTheme="majorHAnsi" w:eastAsia="Calibri" w:hAnsiTheme="majorHAnsi" w:cstheme="majorHAnsi"/>
          <w:i/>
          <w:iCs/>
          <w:sz w:val="24"/>
          <w:szCs w:val="24"/>
        </w:rPr>
        <w:t>the many warnings that this legislation would violate the UK’s international obligations and put victims’ rights at risk</w:t>
      </w:r>
      <w:r w:rsidR="00F9371E" w:rsidRPr="00513100">
        <w:rPr>
          <w:rFonts w:asciiTheme="majorHAnsi" w:eastAsia="Calibri" w:hAnsiTheme="majorHAnsi" w:cstheme="majorHAnsi"/>
          <w:sz w:val="24"/>
          <w:szCs w:val="24"/>
        </w:rPr>
        <w:t>.’</w:t>
      </w:r>
      <w:r w:rsidR="00713BB9">
        <w:rPr>
          <w:rStyle w:val="FootnoteReference"/>
          <w:rFonts w:asciiTheme="majorHAnsi" w:eastAsia="Calibri" w:hAnsiTheme="majorHAnsi" w:cstheme="majorHAnsi"/>
          <w:sz w:val="24"/>
          <w:szCs w:val="24"/>
        </w:rPr>
        <w:footnoteReference w:id="38"/>
      </w:r>
      <w:r w:rsidR="00F9371E" w:rsidRPr="00513100">
        <w:rPr>
          <w:rFonts w:asciiTheme="majorHAnsi" w:eastAsia="Calibri" w:hAnsiTheme="majorHAnsi" w:cstheme="majorHAnsi"/>
          <w:sz w:val="24"/>
          <w:szCs w:val="24"/>
        </w:rPr>
        <w:t xml:space="preserve"> </w:t>
      </w:r>
    </w:p>
    <w:p w14:paraId="21844EA1" w14:textId="768504BE" w:rsidR="00513100" w:rsidRPr="00513100" w:rsidRDefault="00513100" w:rsidP="008E3413">
      <w:pPr>
        <w:pStyle w:val="ListParagraph"/>
        <w:widowControl w:val="0"/>
        <w:numPr>
          <w:ilvl w:val="0"/>
          <w:numId w:val="2"/>
        </w:numPr>
        <w:spacing w:after="120" w:line="240" w:lineRule="auto"/>
        <w:contextualSpacing w:val="0"/>
        <w:rPr>
          <w:rFonts w:ascii="Calibri" w:eastAsia="Calibri" w:hAnsi="Calibri" w:cs="Calibri"/>
          <w:sz w:val="24"/>
          <w:szCs w:val="24"/>
        </w:rPr>
      </w:pPr>
      <w:r w:rsidRPr="00513100">
        <w:rPr>
          <w:rFonts w:ascii="Calibri" w:eastAsia="Calibri" w:hAnsi="Calibri" w:cs="Calibri"/>
          <w:sz w:val="24"/>
          <w:szCs w:val="24"/>
        </w:rPr>
        <w:t>Ministers</w:t>
      </w:r>
      <w:r w:rsidR="00E227FE">
        <w:rPr>
          <w:rFonts w:ascii="Calibri" w:eastAsia="Calibri" w:hAnsi="Calibri" w:cs="Calibri"/>
          <w:sz w:val="24"/>
          <w:szCs w:val="24"/>
        </w:rPr>
        <w:t xml:space="preserve"> </w:t>
      </w:r>
      <w:r w:rsidR="003F1E06">
        <w:rPr>
          <w:rFonts w:ascii="Calibri" w:eastAsia="Calibri" w:hAnsi="Calibri" w:cs="Calibri"/>
          <w:sz w:val="24"/>
          <w:szCs w:val="24"/>
        </w:rPr>
        <w:t xml:space="preserve">from the then UK Government </w:t>
      </w:r>
      <w:r w:rsidR="00E227FE">
        <w:rPr>
          <w:rFonts w:ascii="Calibri" w:eastAsia="Calibri" w:hAnsi="Calibri" w:cs="Calibri"/>
          <w:sz w:val="24"/>
          <w:szCs w:val="24"/>
        </w:rPr>
        <w:t>openly</w:t>
      </w:r>
      <w:r w:rsidRPr="00513100">
        <w:rPr>
          <w:rFonts w:ascii="Calibri" w:eastAsia="Calibri" w:hAnsi="Calibri" w:cs="Calibri"/>
          <w:sz w:val="24"/>
          <w:szCs w:val="24"/>
        </w:rPr>
        <w:t xml:space="preserve"> </w:t>
      </w:r>
      <w:r w:rsidR="00E227FE">
        <w:rPr>
          <w:rFonts w:ascii="Calibri" w:eastAsia="Calibri" w:hAnsi="Calibri" w:cs="Calibri"/>
          <w:sz w:val="24"/>
          <w:szCs w:val="24"/>
        </w:rPr>
        <w:t>stated</w:t>
      </w:r>
      <w:r w:rsidRPr="00513100">
        <w:rPr>
          <w:rFonts w:ascii="Calibri" w:eastAsia="Calibri" w:hAnsi="Calibri" w:cs="Calibri"/>
          <w:sz w:val="24"/>
          <w:szCs w:val="24"/>
        </w:rPr>
        <w:t xml:space="preserve"> the objective behind the legislation was to shut down legacy investigations being undertaken into</w:t>
      </w:r>
      <w:r w:rsidR="003F1E06">
        <w:rPr>
          <w:rFonts w:ascii="Calibri" w:eastAsia="Calibri" w:hAnsi="Calibri" w:cs="Calibri"/>
          <w:sz w:val="24"/>
          <w:szCs w:val="24"/>
        </w:rPr>
        <w:t xml:space="preserve"> the </w:t>
      </w:r>
      <w:r w:rsidRPr="00513100">
        <w:rPr>
          <w:rFonts w:ascii="Calibri" w:eastAsia="Calibri" w:hAnsi="Calibri" w:cs="Calibri"/>
          <w:sz w:val="24"/>
          <w:szCs w:val="24"/>
        </w:rPr>
        <w:t xml:space="preserve">state actors, arguing that they constituted a ‘witch-hunt’ of the military. </w:t>
      </w:r>
      <w:r w:rsidRPr="00513100">
        <w:rPr>
          <w:rFonts w:ascii="Calibri" w:hAnsi="Calibri" w:cs="Calibri"/>
          <w:sz w:val="24"/>
          <w:szCs w:val="24"/>
        </w:rPr>
        <w:t xml:space="preserve">By contrast in late April 2024 a Report issued by the </w:t>
      </w:r>
      <w:r w:rsidRPr="00513100">
        <w:rPr>
          <w:rFonts w:ascii="Calibri" w:hAnsi="Calibri" w:cs="Calibri"/>
          <w:i/>
          <w:iCs/>
          <w:sz w:val="24"/>
          <w:szCs w:val="24"/>
        </w:rPr>
        <w:t xml:space="preserve">International Expert Panel into State Impunity and the Northern Ireland Conflict </w:t>
      </w:r>
      <w:r w:rsidRPr="00513100">
        <w:rPr>
          <w:rFonts w:ascii="Calibri" w:hAnsi="Calibri" w:cs="Calibri"/>
          <w:sz w:val="24"/>
          <w:szCs w:val="24"/>
        </w:rPr>
        <w:t>concluded that the UK had ‘</w:t>
      </w:r>
      <w:r w:rsidRPr="00513100">
        <w:rPr>
          <w:rFonts w:ascii="Calibri" w:hAnsi="Calibri" w:cs="Calibri"/>
          <w:i/>
          <w:iCs/>
          <w:sz w:val="24"/>
          <w:szCs w:val="24"/>
        </w:rPr>
        <w:t>operated a widespread, systematic, and systemic practice of impunity, protecting security forces from sanction’</w:t>
      </w:r>
      <w:r w:rsidRPr="00513100">
        <w:rPr>
          <w:rFonts w:ascii="Calibri" w:hAnsi="Calibri" w:cs="Calibri"/>
          <w:sz w:val="24"/>
          <w:szCs w:val="24"/>
        </w:rPr>
        <w:t xml:space="preserve"> and ‘</w:t>
      </w:r>
      <w:r w:rsidRPr="00513100">
        <w:rPr>
          <w:rFonts w:ascii="Calibri" w:hAnsi="Calibri" w:cs="Calibri"/>
          <w:i/>
          <w:iCs/>
          <w:sz w:val="24"/>
          <w:szCs w:val="24"/>
        </w:rPr>
        <w:t>not only engaged in collusion but also blocked proper police investigations into conflict-related killings to protect implicated security force members and agents.’</w:t>
      </w:r>
      <w:r>
        <w:rPr>
          <w:rStyle w:val="FootnoteReference"/>
          <w:rFonts w:ascii="Calibri" w:hAnsi="Calibri" w:cs="Calibri"/>
          <w:i/>
          <w:iCs/>
          <w:sz w:val="24"/>
          <w:szCs w:val="24"/>
        </w:rPr>
        <w:footnoteReference w:id="39"/>
      </w:r>
    </w:p>
    <w:p w14:paraId="2919BD20" w14:textId="4226E42D" w:rsidR="00041B4C" w:rsidRPr="008E3413" w:rsidRDefault="00513100" w:rsidP="008E3413">
      <w:pPr>
        <w:pStyle w:val="ListParagraph"/>
        <w:widowControl w:val="0"/>
        <w:numPr>
          <w:ilvl w:val="0"/>
          <w:numId w:val="2"/>
        </w:numPr>
        <w:spacing w:before="143" w:after="120" w:line="240" w:lineRule="auto"/>
        <w:contextualSpacing w:val="0"/>
        <w:rPr>
          <w:rFonts w:ascii="Calibri" w:eastAsia="Calibri" w:hAnsi="Calibri" w:cs="Calibri"/>
          <w:sz w:val="24"/>
          <w:szCs w:val="24"/>
        </w:rPr>
      </w:pPr>
      <w:r w:rsidRPr="008E3413">
        <w:rPr>
          <w:rFonts w:ascii="Calibri" w:eastAsia="Calibri" w:hAnsi="Calibri" w:cs="Calibri"/>
          <w:sz w:val="24"/>
          <w:szCs w:val="24"/>
        </w:rPr>
        <w:t xml:space="preserve">In introducing the Legacy </w:t>
      </w:r>
      <w:r w:rsidR="0059366F" w:rsidRPr="008E3413">
        <w:rPr>
          <w:rFonts w:ascii="Calibri" w:eastAsia="Calibri" w:hAnsi="Calibri" w:cs="Calibri"/>
          <w:sz w:val="24"/>
          <w:szCs w:val="24"/>
        </w:rPr>
        <w:t>Act,</w:t>
      </w:r>
      <w:r w:rsidRPr="008E3413">
        <w:rPr>
          <w:rFonts w:ascii="Calibri" w:eastAsia="Calibri" w:hAnsi="Calibri" w:cs="Calibri"/>
          <w:sz w:val="24"/>
          <w:szCs w:val="24"/>
        </w:rPr>
        <w:t xml:space="preserve"> the then UK Government reneged on the </w:t>
      </w:r>
      <w:r w:rsidR="00D76C25">
        <w:rPr>
          <w:rFonts w:ascii="Calibri" w:eastAsia="Calibri" w:hAnsi="Calibri" w:cs="Calibri"/>
          <w:sz w:val="24"/>
          <w:szCs w:val="24"/>
        </w:rPr>
        <w:t xml:space="preserve">bilateral </w:t>
      </w:r>
      <w:r w:rsidR="00DD29DD">
        <w:rPr>
          <w:rFonts w:ascii="Calibri" w:eastAsia="Calibri" w:hAnsi="Calibri" w:cs="Calibri"/>
          <w:sz w:val="24"/>
          <w:szCs w:val="24"/>
        </w:rPr>
        <w:t>peace</w:t>
      </w:r>
      <w:r w:rsidR="00D76C25">
        <w:rPr>
          <w:rFonts w:ascii="Calibri" w:eastAsia="Calibri" w:hAnsi="Calibri" w:cs="Calibri"/>
          <w:sz w:val="24"/>
          <w:szCs w:val="24"/>
        </w:rPr>
        <w:t>-</w:t>
      </w:r>
      <w:r w:rsidR="00DD29DD">
        <w:rPr>
          <w:rFonts w:ascii="Calibri" w:eastAsia="Calibri" w:hAnsi="Calibri" w:cs="Calibri"/>
          <w:sz w:val="24"/>
          <w:szCs w:val="24"/>
        </w:rPr>
        <w:t xml:space="preserve">process </w:t>
      </w:r>
      <w:r w:rsidR="00D76C25">
        <w:rPr>
          <w:rFonts w:ascii="Calibri" w:eastAsia="Calibri" w:hAnsi="Calibri" w:cs="Calibri"/>
          <w:sz w:val="24"/>
          <w:szCs w:val="24"/>
        </w:rPr>
        <w:t>(</w:t>
      </w:r>
      <w:r w:rsidRPr="008E3413">
        <w:rPr>
          <w:rFonts w:ascii="Calibri" w:eastAsia="Calibri" w:hAnsi="Calibri" w:cs="Calibri"/>
          <w:sz w:val="24"/>
          <w:szCs w:val="24"/>
        </w:rPr>
        <w:t>UK-Ireland</w:t>
      </w:r>
      <w:r w:rsidR="00D76C25">
        <w:rPr>
          <w:rFonts w:ascii="Calibri" w:eastAsia="Calibri" w:hAnsi="Calibri" w:cs="Calibri"/>
          <w:sz w:val="24"/>
          <w:szCs w:val="24"/>
        </w:rPr>
        <w:t>)</w:t>
      </w:r>
      <w:r w:rsidRPr="008E3413">
        <w:rPr>
          <w:rFonts w:ascii="Calibri" w:eastAsia="Calibri" w:hAnsi="Calibri" w:cs="Calibri"/>
          <w:sz w:val="24"/>
          <w:szCs w:val="24"/>
        </w:rPr>
        <w:t xml:space="preserve"> Stormont House Agreement </w:t>
      </w:r>
      <w:r w:rsidR="00D76C25">
        <w:rPr>
          <w:rFonts w:ascii="Calibri" w:eastAsia="Calibri" w:hAnsi="Calibri" w:cs="Calibri"/>
          <w:sz w:val="24"/>
          <w:szCs w:val="24"/>
        </w:rPr>
        <w:t xml:space="preserve">2014 </w:t>
      </w:r>
      <w:r w:rsidRPr="008E3413">
        <w:rPr>
          <w:rFonts w:ascii="Calibri" w:eastAsia="Calibri" w:hAnsi="Calibri" w:cs="Calibri"/>
          <w:sz w:val="24"/>
          <w:szCs w:val="24"/>
        </w:rPr>
        <w:t>(and a 2015 implementation treaty)</w:t>
      </w:r>
      <w:r w:rsidR="00DD29DD">
        <w:rPr>
          <w:rFonts w:ascii="Calibri" w:eastAsia="Calibri" w:hAnsi="Calibri" w:cs="Calibri"/>
          <w:sz w:val="24"/>
          <w:szCs w:val="24"/>
        </w:rPr>
        <w:t>, which would have provided for new transitional justice mechanisms</w:t>
      </w:r>
      <w:r w:rsidRPr="008E3413">
        <w:rPr>
          <w:rFonts w:ascii="Calibri" w:eastAsia="Calibri" w:hAnsi="Calibri" w:cs="Calibri"/>
          <w:sz w:val="24"/>
          <w:szCs w:val="24"/>
        </w:rPr>
        <w:t xml:space="preserve">. </w:t>
      </w:r>
      <w:r w:rsidR="00BE46B1" w:rsidRPr="008E3413">
        <w:rPr>
          <w:rFonts w:ascii="Calibri" w:eastAsia="Calibri" w:hAnsi="Calibri" w:cs="Calibri"/>
          <w:sz w:val="24"/>
          <w:szCs w:val="24"/>
        </w:rPr>
        <w:t xml:space="preserve">The main </w:t>
      </w:r>
      <w:r w:rsidR="008E3413" w:rsidRPr="008E3413">
        <w:rPr>
          <w:rFonts w:ascii="Calibri" w:eastAsia="Calibri" w:hAnsi="Calibri" w:cs="Calibri"/>
          <w:sz w:val="24"/>
          <w:szCs w:val="24"/>
        </w:rPr>
        <w:t>impacts</w:t>
      </w:r>
      <w:r w:rsidR="00BE46B1" w:rsidRPr="008E3413">
        <w:rPr>
          <w:rFonts w:ascii="Calibri" w:eastAsia="Calibri" w:hAnsi="Calibri" w:cs="Calibri"/>
          <w:sz w:val="24"/>
          <w:szCs w:val="24"/>
        </w:rPr>
        <w:t xml:space="preserve"> of the </w:t>
      </w:r>
      <w:r w:rsidR="008E3413" w:rsidRPr="008E3413">
        <w:rPr>
          <w:rFonts w:ascii="Calibri" w:eastAsia="Calibri" w:hAnsi="Calibri" w:cs="Calibri"/>
          <w:sz w:val="24"/>
          <w:szCs w:val="24"/>
        </w:rPr>
        <w:t>Legacy Act have been</w:t>
      </w:r>
      <w:r w:rsidR="00BE46B1" w:rsidRPr="008E3413">
        <w:rPr>
          <w:rFonts w:ascii="Calibri" w:eastAsia="Calibri" w:hAnsi="Calibri" w:cs="Calibri"/>
          <w:sz w:val="24"/>
          <w:szCs w:val="24"/>
        </w:rPr>
        <w:t xml:space="preserve">: </w:t>
      </w:r>
    </w:p>
    <w:p w14:paraId="7223BC66" w14:textId="22F30F41" w:rsidR="00A57B8E" w:rsidRPr="006630D1" w:rsidRDefault="008E3413" w:rsidP="008E3413">
      <w:pPr>
        <w:pStyle w:val="ListParagraph"/>
        <w:widowControl w:val="0"/>
        <w:numPr>
          <w:ilvl w:val="1"/>
          <w:numId w:val="5"/>
        </w:numPr>
        <w:spacing w:after="120" w:line="240" w:lineRule="auto"/>
        <w:ind w:left="1077" w:hanging="357"/>
        <w:contextualSpacing w:val="0"/>
        <w:rPr>
          <w:rFonts w:asciiTheme="majorHAnsi" w:eastAsia="Calibri" w:hAnsiTheme="majorHAnsi" w:cstheme="majorHAnsi"/>
          <w:sz w:val="24"/>
          <w:szCs w:val="24"/>
        </w:rPr>
      </w:pPr>
      <w:r w:rsidRPr="008E3413">
        <w:rPr>
          <w:rFonts w:ascii="Calibri" w:eastAsia="Calibri" w:hAnsi="Calibri" w:cs="Calibri"/>
          <w:sz w:val="24"/>
          <w:szCs w:val="24"/>
        </w:rPr>
        <w:t>To p</w:t>
      </w:r>
      <w:r w:rsidR="00BE46B1" w:rsidRPr="008E3413">
        <w:rPr>
          <w:rFonts w:ascii="Calibri" w:eastAsia="Calibri" w:hAnsi="Calibri" w:cs="Calibri"/>
          <w:sz w:val="24"/>
          <w:szCs w:val="24"/>
        </w:rPr>
        <w:t xml:space="preserve">ermanently </w:t>
      </w:r>
      <w:proofErr w:type="gramStart"/>
      <w:r w:rsidR="00BE46B1" w:rsidRPr="008E3413">
        <w:rPr>
          <w:rFonts w:ascii="Calibri" w:eastAsia="Calibri" w:hAnsi="Calibri" w:cs="Calibri"/>
          <w:sz w:val="24"/>
          <w:szCs w:val="24"/>
        </w:rPr>
        <w:t>close down</w:t>
      </w:r>
      <w:proofErr w:type="gramEnd"/>
      <w:r w:rsidR="00BE46B1" w:rsidRPr="008E3413">
        <w:rPr>
          <w:rFonts w:ascii="Calibri" w:eastAsia="Calibri" w:hAnsi="Calibri" w:cs="Calibri"/>
          <w:sz w:val="24"/>
          <w:szCs w:val="24"/>
        </w:rPr>
        <w:t xml:space="preserve"> </w:t>
      </w:r>
      <w:r w:rsidRPr="008E3413">
        <w:rPr>
          <w:rFonts w:ascii="Calibri" w:eastAsia="Calibri" w:hAnsi="Calibri" w:cs="Calibri"/>
          <w:sz w:val="24"/>
          <w:szCs w:val="24"/>
        </w:rPr>
        <w:t xml:space="preserve">all the </w:t>
      </w:r>
      <w:r w:rsidR="00BE46B1" w:rsidRPr="008E3413">
        <w:rPr>
          <w:rFonts w:ascii="Calibri" w:eastAsia="Calibri" w:hAnsi="Calibri" w:cs="Calibri"/>
          <w:sz w:val="24"/>
          <w:szCs w:val="24"/>
        </w:rPr>
        <w:t xml:space="preserve">existing mechanisms investigating </w:t>
      </w:r>
      <w:r w:rsidRPr="008E3413">
        <w:rPr>
          <w:rFonts w:ascii="Calibri" w:eastAsia="Calibri" w:hAnsi="Calibri" w:cs="Calibri"/>
          <w:sz w:val="24"/>
          <w:szCs w:val="24"/>
        </w:rPr>
        <w:t xml:space="preserve">Northern </w:t>
      </w:r>
      <w:r w:rsidRPr="006630D1">
        <w:rPr>
          <w:rFonts w:asciiTheme="majorHAnsi" w:eastAsia="Calibri" w:hAnsiTheme="majorHAnsi" w:cstheme="majorHAnsi"/>
          <w:sz w:val="24"/>
          <w:szCs w:val="24"/>
        </w:rPr>
        <w:t xml:space="preserve">Ireland </w:t>
      </w:r>
      <w:r w:rsidR="00BE46B1" w:rsidRPr="006630D1">
        <w:rPr>
          <w:rFonts w:asciiTheme="majorHAnsi" w:eastAsia="Calibri" w:hAnsiTheme="majorHAnsi" w:cstheme="majorHAnsi"/>
          <w:sz w:val="24"/>
          <w:szCs w:val="24"/>
        </w:rPr>
        <w:t>legacy cases</w:t>
      </w:r>
      <w:r w:rsidRPr="006630D1">
        <w:rPr>
          <w:rFonts w:asciiTheme="majorHAnsi" w:eastAsia="Calibri" w:hAnsiTheme="majorHAnsi" w:cstheme="majorHAnsi"/>
          <w:sz w:val="24"/>
          <w:szCs w:val="24"/>
        </w:rPr>
        <w:t xml:space="preserve"> </w:t>
      </w:r>
      <w:r w:rsidR="00BE46B1" w:rsidRPr="006630D1">
        <w:rPr>
          <w:rFonts w:asciiTheme="majorHAnsi" w:eastAsia="Calibri" w:hAnsiTheme="majorHAnsi" w:cstheme="majorHAnsi"/>
          <w:sz w:val="24"/>
          <w:szCs w:val="24"/>
        </w:rPr>
        <w:t xml:space="preserve">on the 1 May 2024. </w:t>
      </w:r>
      <w:r w:rsidRPr="006630D1">
        <w:rPr>
          <w:rFonts w:asciiTheme="majorHAnsi" w:eastAsia="Calibri" w:hAnsiTheme="majorHAnsi" w:cstheme="majorHAnsi"/>
          <w:sz w:val="24"/>
          <w:szCs w:val="24"/>
        </w:rPr>
        <w:t xml:space="preserve">These mechanisms, known as the </w:t>
      </w:r>
      <w:r w:rsidR="00E227FE" w:rsidRPr="006630D1">
        <w:rPr>
          <w:rFonts w:asciiTheme="majorHAnsi" w:eastAsia="Calibri" w:hAnsiTheme="majorHAnsi" w:cstheme="majorHAnsi"/>
          <w:sz w:val="24"/>
          <w:szCs w:val="24"/>
        </w:rPr>
        <w:t>‘</w:t>
      </w:r>
      <w:r w:rsidRPr="006630D1">
        <w:rPr>
          <w:rFonts w:asciiTheme="majorHAnsi" w:eastAsia="Calibri" w:hAnsiTheme="majorHAnsi" w:cstheme="majorHAnsi"/>
          <w:sz w:val="24"/>
          <w:szCs w:val="24"/>
        </w:rPr>
        <w:t>Package of Measures</w:t>
      </w:r>
      <w:r w:rsidR="00E227FE" w:rsidRPr="006630D1">
        <w:rPr>
          <w:rFonts w:asciiTheme="majorHAnsi" w:eastAsia="Calibri" w:hAnsiTheme="majorHAnsi" w:cstheme="majorHAnsi"/>
          <w:sz w:val="24"/>
          <w:szCs w:val="24"/>
        </w:rPr>
        <w:t>’</w:t>
      </w:r>
      <w:r w:rsidRPr="006630D1">
        <w:rPr>
          <w:rFonts w:asciiTheme="majorHAnsi" w:eastAsia="Calibri" w:hAnsiTheme="majorHAnsi" w:cstheme="majorHAnsi"/>
          <w:sz w:val="24"/>
          <w:szCs w:val="24"/>
        </w:rPr>
        <w:t xml:space="preserve">, </w:t>
      </w:r>
      <w:r w:rsidR="00E227FE" w:rsidRPr="006630D1">
        <w:rPr>
          <w:rFonts w:asciiTheme="majorHAnsi" w:eastAsia="Calibri" w:hAnsiTheme="majorHAnsi" w:cstheme="majorHAnsi"/>
          <w:sz w:val="24"/>
          <w:szCs w:val="24"/>
        </w:rPr>
        <w:t xml:space="preserve">were </w:t>
      </w:r>
      <w:r w:rsidRPr="006630D1">
        <w:rPr>
          <w:rFonts w:asciiTheme="majorHAnsi" w:hAnsiTheme="majorHAnsi" w:cstheme="majorHAnsi"/>
          <w:sz w:val="24"/>
          <w:szCs w:val="24"/>
          <w:lang w:val="en-IE"/>
        </w:rPr>
        <w:t xml:space="preserve">established by the UK in response to adverse </w:t>
      </w:r>
      <w:r w:rsidR="00713BB9" w:rsidRPr="006630D1">
        <w:rPr>
          <w:rFonts w:asciiTheme="majorHAnsi" w:hAnsiTheme="majorHAnsi" w:cstheme="majorHAnsi"/>
          <w:sz w:val="24"/>
          <w:szCs w:val="24"/>
          <w:lang w:val="en-IE"/>
        </w:rPr>
        <w:t xml:space="preserve">ECtHR </w:t>
      </w:r>
      <w:r w:rsidRPr="006630D1">
        <w:rPr>
          <w:rFonts w:asciiTheme="majorHAnsi" w:hAnsiTheme="majorHAnsi" w:cstheme="majorHAnsi"/>
          <w:sz w:val="24"/>
          <w:szCs w:val="24"/>
          <w:lang w:val="en-IE"/>
        </w:rPr>
        <w:t>rulings. These mechanisms were</w:t>
      </w:r>
      <w:r w:rsidR="00E227FE" w:rsidRPr="006630D1">
        <w:rPr>
          <w:rFonts w:asciiTheme="majorHAnsi" w:hAnsiTheme="majorHAnsi" w:cstheme="majorHAnsi"/>
          <w:sz w:val="24"/>
          <w:szCs w:val="24"/>
          <w:lang w:val="en-IE"/>
        </w:rPr>
        <w:t xml:space="preserve"> </w:t>
      </w:r>
      <w:r w:rsidR="00DD29DD">
        <w:rPr>
          <w:rFonts w:asciiTheme="majorHAnsi" w:hAnsiTheme="majorHAnsi" w:cstheme="majorHAnsi"/>
          <w:sz w:val="24"/>
          <w:szCs w:val="24"/>
          <w:lang w:val="en-IE"/>
        </w:rPr>
        <w:t>shut</w:t>
      </w:r>
      <w:r w:rsidR="00713BB9" w:rsidRPr="006630D1">
        <w:rPr>
          <w:rFonts w:asciiTheme="majorHAnsi" w:hAnsiTheme="majorHAnsi" w:cstheme="majorHAnsi"/>
          <w:sz w:val="24"/>
          <w:szCs w:val="24"/>
          <w:lang w:val="en-IE"/>
        </w:rPr>
        <w:t xml:space="preserve"> down at a time they were </w:t>
      </w:r>
      <w:r w:rsidRPr="006630D1">
        <w:rPr>
          <w:rFonts w:asciiTheme="majorHAnsi" w:hAnsiTheme="majorHAnsi" w:cstheme="majorHAnsi"/>
          <w:sz w:val="24"/>
          <w:szCs w:val="24"/>
          <w:lang w:val="en-IE"/>
        </w:rPr>
        <w:t xml:space="preserve">delivering considerable historical clarification and truth recovery for families. </w:t>
      </w:r>
    </w:p>
    <w:p w14:paraId="0F9BD382" w14:textId="32147E59" w:rsidR="00A57B8E" w:rsidRPr="006630D1" w:rsidRDefault="00BE46B1" w:rsidP="008E3413">
      <w:pPr>
        <w:pStyle w:val="ListParagraph"/>
        <w:widowControl w:val="0"/>
        <w:numPr>
          <w:ilvl w:val="1"/>
          <w:numId w:val="5"/>
        </w:numPr>
        <w:spacing w:after="120" w:line="240" w:lineRule="auto"/>
        <w:ind w:left="1077" w:hanging="357"/>
        <w:contextualSpacing w:val="0"/>
        <w:rPr>
          <w:rFonts w:asciiTheme="majorHAnsi" w:eastAsia="Calibri" w:hAnsiTheme="majorHAnsi" w:cstheme="majorHAnsi"/>
          <w:sz w:val="24"/>
          <w:szCs w:val="24"/>
        </w:rPr>
      </w:pPr>
      <w:r w:rsidRPr="006630D1">
        <w:rPr>
          <w:rFonts w:asciiTheme="majorHAnsi" w:eastAsia="Calibri" w:hAnsiTheme="majorHAnsi" w:cstheme="majorHAnsi"/>
          <w:sz w:val="24"/>
          <w:szCs w:val="24"/>
        </w:rPr>
        <w:t>Introduce a broad amnesty in the form of a ‘conditional immunities scheme’</w:t>
      </w:r>
      <w:r w:rsidR="008E3413" w:rsidRPr="006630D1">
        <w:rPr>
          <w:rFonts w:asciiTheme="majorHAnsi" w:eastAsia="Calibri" w:hAnsiTheme="majorHAnsi" w:cstheme="majorHAnsi"/>
          <w:sz w:val="24"/>
          <w:szCs w:val="24"/>
        </w:rPr>
        <w:t xml:space="preserve"> with a conspicuously low threshold </w:t>
      </w:r>
      <w:r w:rsidR="00DD29DD">
        <w:rPr>
          <w:rFonts w:asciiTheme="majorHAnsi" w:eastAsia="Calibri" w:hAnsiTheme="majorHAnsi" w:cstheme="majorHAnsi"/>
          <w:sz w:val="24"/>
          <w:szCs w:val="24"/>
        </w:rPr>
        <w:t>(</w:t>
      </w:r>
      <w:r w:rsidR="008E3413" w:rsidRPr="006630D1">
        <w:rPr>
          <w:rFonts w:asciiTheme="majorHAnsi" w:eastAsia="Calibri" w:hAnsiTheme="majorHAnsi" w:cstheme="majorHAnsi"/>
          <w:sz w:val="24"/>
          <w:szCs w:val="24"/>
        </w:rPr>
        <w:t>This was found to be incompatible</w:t>
      </w:r>
      <w:r w:rsidR="00E227FE" w:rsidRPr="006630D1">
        <w:rPr>
          <w:rFonts w:asciiTheme="majorHAnsi" w:eastAsia="Calibri" w:hAnsiTheme="majorHAnsi" w:cstheme="majorHAnsi"/>
          <w:sz w:val="24"/>
          <w:szCs w:val="24"/>
        </w:rPr>
        <w:t xml:space="preserve"> with the</w:t>
      </w:r>
      <w:r w:rsidR="008E3413" w:rsidRPr="006630D1">
        <w:rPr>
          <w:rFonts w:asciiTheme="majorHAnsi" w:eastAsia="Calibri" w:hAnsiTheme="majorHAnsi" w:cstheme="majorHAnsi"/>
          <w:sz w:val="24"/>
          <w:szCs w:val="24"/>
        </w:rPr>
        <w:t xml:space="preserve"> </w:t>
      </w:r>
      <w:r w:rsidR="00E227FE" w:rsidRPr="006630D1">
        <w:rPr>
          <w:rFonts w:asciiTheme="majorHAnsi" w:eastAsia="Calibri" w:hAnsiTheme="majorHAnsi" w:cstheme="majorHAnsi"/>
          <w:sz w:val="24"/>
          <w:szCs w:val="24"/>
        </w:rPr>
        <w:t xml:space="preserve">ECHR </w:t>
      </w:r>
      <w:r w:rsidR="008E3413" w:rsidRPr="006630D1">
        <w:rPr>
          <w:rFonts w:asciiTheme="majorHAnsi" w:eastAsia="Calibri" w:hAnsiTheme="majorHAnsi" w:cstheme="majorHAnsi"/>
          <w:sz w:val="24"/>
          <w:szCs w:val="24"/>
        </w:rPr>
        <w:t>by the domestic courts and has never been operational</w:t>
      </w:r>
      <w:r w:rsidR="008761DB">
        <w:rPr>
          <w:rFonts w:asciiTheme="majorHAnsi" w:eastAsia="Calibri" w:hAnsiTheme="majorHAnsi" w:cstheme="majorHAnsi"/>
          <w:sz w:val="24"/>
          <w:szCs w:val="24"/>
        </w:rPr>
        <w:t>)</w:t>
      </w:r>
      <w:r w:rsidR="008761DB" w:rsidRPr="006630D1">
        <w:rPr>
          <w:rFonts w:asciiTheme="majorHAnsi" w:eastAsia="Calibri" w:hAnsiTheme="majorHAnsi" w:cstheme="majorHAnsi"/>
          <w:sz w:val="24"/>
          <w:szCs w:val="24"/>
        </w:rPr>
        <w:t>.</w:t>
      </w:r>
    </w:p>
    <w:p w14:paraId="63EACA6D" w14:textId="47645ABD" w:rsidR="008E3413" w:rsidRPr="006630D1" w:rsidRDefault="00BE46B1" w:rsidP="008E3413">
      <w:pPr>
        <w:pStyle w:val="ListParagraph"/>
        <w:widowControl w:val="0"/>
        <w:numPr>
          <w:ilvl w:val="1"/>
          <w:numId w:val="5"/>
        </w:numPr>
        <w:spacing w:after="120" w:line="240" w:lineRule="auto"/>
        <w:ind w:left="1077" w:hanging="357"/>
        <w:contextualSpacing w:val="0"/>
        <w:rPr>
          <w:rFonts w:asciiTheme="majorHAnsi" w:eastAsia="Calibri" w:hAnsiTheme="majorHAnsi" w:cstheme="majorHAnsi"/>
          <w:sz w:val="24"/>
          <w:szCs w:val="24"/>
        </w:rPr>
      </w:pPr>
      <w:r w:rsidRPr="006630D1">
        <w:rPr>
          <w:rFonts w:asciiTheme="majorHAnsi" w:eastAsia="Calibri" w:hAnsiTheme="majorHAnsi" w:cstheme="majorHAnsi"/>
          <w:sz w:val="24"/>
          <w:szCs w:val="24"/>
        </w:rPr>
        <w:t>Set up a new temporary legacy body</w:t>
      </w:r>
      <w:r w:rsidR="008761DB">
        <w:rPr>
          <w:rFonts w:asciiTheme="majorHAnsi" w:eastAsia="Calibri" w:hAnsiTheme="majorHAnsi" w:cstheme="majorHAnsi"/>
          <w:sz w:val="24"/>
          <w:szCs w:val="24"/>
        </w:rPr>
        <w:t>,</w:t>
      </w:r>
      <w:r w:rsidRPr="006630D1">
        <w:rPr>
          <w:rFonts w:asciiTheme="majorHAnsi" w:eastAsia="Calibri" w:hAnsiTheme="majorHAnsi" w:cstheme="majorHAnsi"/>
          <w:sz w:val="24"/>
          <w:szCs w:val="24"/>
        </w:rPr>
        <w:t xml:space="preserve"> the Independent Commission for Reconciliation and Information Recovery (ICRIR)</w:t>
      </w:r>
      <w:r w:rsidR="008761DB">
        <w:rPr>
          <w:rFonts w:asciiTheme="majorHAnsi" w:eastAsia="Calibri" w:hAnsiTheme="majorHAnsi" w:cstheme="majorHAnsi"/>
          <w:sz w:val="24"/>
          <w:szCs w:val="24"/>
        </w:rPr>
        <w:t>,</w:t>
      </w:r>
      <w:r w:rsidRPr="006630D1">
        <w:rPr>
          <w:rFonts w:asciiTheme="majorHAnsi" w:eastAsia="Calibri" w:hAnsiTheme="majorHAnsi" w:cstheme="majorHAnsi"/>
          <w:sz w:val="24"/>
          <w:szCs w:val="24"/>
        </w:rPr>
        <w:t xml:space="preserve"> to undertake ‘reviews’ of </w:t>
      </w:r>
      <w:r w:rsidRPr="006630D1">
        <w:rPr>
          <w:rFonts w:asciiTheme="majorHAnsi" w:eastAsia="Calibri" w:hAnsiTheme="majorHAnsi" w:cstheme="majorHAnsi"/>
          <w:sz w:val="24"/>
          <w:szCs w:val="24"/>
        </w:rPr>
        <w:lastRenderedPageBreak/>
        <w:t>certain cases</w:t>
      </w:r>
      <w:r w:rsidR="00E227FE" w:rsidRPr="006630D1">
        <w:rPr>
          <w:rFonts w:asciiTheme="majorHAnsi" w:eastAsia="Calibri" w:hAnsiTheme="majorHAnsi" w:cstheme="majorHAnsi"/>
          <w:sz w:val="24"/>
          <w:szCs w:val="24"/>
        </w:rPr>
        <w:t>. The ICRIR is now</w:t>
      </w:r>
      <w:r w:rsidRPr="006630D1">
        <w:rPr>
          <w:rFonts w:asciiTheme="majorHAnsi" w:eastAsia="Calibri" w:hAnsiTheme="majorHAnsi" w:cstheme="majorHAnsi"/>
          <w:sz w:val="24"/>
          <w:szCs w:val="24"/>
        </w:rPr>
        <w:t xml:space="preserve"> the only body permitted to </w:t>
      </w:r>
      <w:r w:rsidR="00E227FE" w:rsidRPr="006630D1">
        <w:rPr>
          <w:rFonts w:asciiTheme="majorHAnsi" w:eastAsia="Calibri" w:hAnsiTheme="majorHAnsi" w:cstheme="majorHAnsi"/>
          <w:sz w:val="24"/>
          <w:szCs w:val="24"/>
        </w:rPr>
        <w:t xml:space="preserve">‘review’ </w:t>
      </w:r>
      <w:r w:rsidRPr="006630D1">
        <w:rPr>
          <w:rFonts w:asciiTheme="majorHAnsi" w:eastAsia="Calibri" w:hAnsiTheme="majorHAnsi" w:cstheme="majorHAnsi"/>
          <w:sz w:val="24"/>
          <w:szCs w:val="24"/>
        </w:rPr>
        <w:t>legacy cases.</w:t>
      </w:r>
    </w:p>
    <w:p w14:paraId="5B793AAE" w14:textId="639B9190" w:rsidR="00041B4C" w:rsidRPr="006630D1" w:rsidRDefault="008E3413" w:rsidP="008E3413">
      <w:pPr>
        <w:pStyle w:val="ListParagraph"/>
        <w:widowControl w:val="0"/>
        <w:numPr>
          <w:ilvl w:val="1"/>
          <w:numId w:val="5"/>
        </w:numPr>
        <w:spacing w:after="120" w:line="240" w:lineRule="auto"/>
        <w:ind w:left="1077" w:hanging="357"/>
        <w:contextualSpacing w:val="0"/>
        <w:rPr>
          <w:rFonts w:asciiTheme="majorHAnsi" w:eastAsia="Calibri" w:hAnsiTheme="majorHAnsi" w:cstheme="majorHAnsi"/>
          <w:sz w:val="24"/>
          <w:szCs w:val="24"/>
        </w:rPr>
      </w:pPr>
      <w:r w:rsidRPr="006630D1">
        <w:rPr>
          <w:rFonts w:asciiTheme="majorHAnsi" w:hAnsiTheme="majorHAnsi" w:cstheme="majorHAnsi"/>
          <w:sz w:val="24"/>
          <w:szCs w:val="24"/>
        </w:rPr>
        <w:t xml:space="preserve">Establish provisions on Troubles </w:t>
      </w:r>
      <w:r w:rsidRPr="006630D1">
        <w:rPr>
          <w:rFonts w:asciiTheme="majorHAnsi" w:hAnsiTheme="majorHAnsi" w:cstheme="majorHAnsi"/>
          <w:i/>
          <w:iCs/>
          <w:sz w:val="24"/>
          <w:szCs w:val="24"/>
        </w:rPr>
        <w:t>memorialisation</w:t>
      </w:r>
      <w:r w:rsidRPr="006630D1">
        <w:rPr>
          <w:rFonts w:asciiTheme="majorHAnsi" w:hAnsiTheme="majorHAnsi" w:cstheme="majorHAnsi"/>
          <w:sz w:val="24"/>
          <w:szCs w:val="24"/>
        </w:rPr>
        <w:t xml:space="preserve">, largely under the control of the UK Secretary of State.  </w:t>
      </w:r>
    </w:p>
    <w:p w14:paraId="1A06011F" w14:textId="619CF3F9" w:rsidR="003F1E06" w:rsidRPr="006630D1" w:rsidRDefault="00BE46B1" w:rsidP="00713BB9">
      <w:pPr>
        <w:pStyle w:val="ListParagraph"/>
        <w:widowControl w:val="0"/>
        <w:numPr>
          <w:ilvl w:val="0"/>
          <w:numId w:val="2"/>
        </w:numPr>
        <w:spacing w:after="120" w:line="240" w:lineRule="auto"/>
        <w:ind w:left="357" w:hanging="357"/>
        <w:contextualSpacing w:val="0"/>
        <w:rPr>
          <w:rFonts w:asciiTheme="majorHAnsi" w:eastAsia="Calibri" w:hAnsiTheme="majorHAnsi" w:cstheme="majorHAnsi"/>
          <w:sz w:val="24"/>
          <w:szCs w:val="24"/>
        </w:rPr>
      </w:pPr>
      <w:r w:rsidRPr="006630D1">
        <w:rPr>
          <w:rFonts w:asciiTheme="majorHAnsi" w:eastAsia="Calibri" w:hAnsiTheme="majorHAnsi" w:cstheme="majorHAnsi"/>
          <w:sz w:val="24"/>
          <w:szCs w:val="24"/>
        </w:rPr>
        <w:t xml:space="preserve">In 2024 the UN Human Rights Committee raised concerns regarding the </w:t>
      </w:r>
      <w:r w:rsidR="003F1E06" w:rsidRPr="006630D1">
        <w:rPr>
          <w:rFonts w:asciiTheme="majorHAnsi" w:eastAsia="Calibri" w:hAnsiTheme="majorHAnsi" w:cstheme="majorHAnsi"/>
          <w:sz w:val="24"/>
          <w:szCs w:val="24"/>
        </w:rPr>
        <w:t xml:space="preserve">adoption of the </w:t>
      </w:r>
      <w:r w:rsidRPr="006630D1">
        <w:rPr>
          <w:rFonts w:asciiTheme="majorHAnsi" w:eastAsia="Calibri" w:hAnsiTheme="majorHAnsi" w:cstheme="majorHAnsi"/>
          <w:sz w:val="24"/>
          <w:szCs w:val="24"/>
        </w:rPr>
        <w:t>Legacy Act, expressing concerns about the ‘</w:t>
      </w:r>
      <w:r w:rsidRPr="006630D1">
        <w:rPr>
          <w:rFonts w:asciiTheme="majorHAnsi" w:eastAsia="Calibri" w:hAnsiTheme="majorHAnsi" w:cstheme="majorHAnsi"/>
          <w:i/>
          <w:iCs/>
          <w:sz w:val="24"/>
          <w:szCs w:val="24"/>
        </w:rPr>
        <w:t>the weakness of the ‘review’ function of the</w:t>
      </w:r>
      <w:r w:rsidR="00DD29DD" w:rsidRPr="006630D1">
        <w:rPr>
          <w:rFonts w:asciiTheme="majorHAnsi" w:eastAsia="Calibri" w:hAnsiTheme="majorHAnsi" w:cstheme="majorHAnsi"/>
          <w:i/>
          <w:iCs/>
          <w:sz w:val="24"/>
          <w:szCs w:val="24"/>
        </w:rPr>
        <w:t>’</w:t>
      </w:r>
      <w:r w:rsidRPr="006630D1">
        <w:rPr>
          <w:rFonts w:asciiTheme="majorHAnsi" w:eastAsia="Calibri" w:hAnsiTheme="majorHAnsi" w:cstheme="majorHAnsi"/>
          <w:sz w:val="24"/>
          <w:szCs w:val="24"/>
        </w:rPr>
        <w:t xml:space="preserve"> ICRIR </w:t>
      </w:r>
      <w:r w:rsidR="003F1E06" w:rsidRPr="006630D1">
        <w:rPr>
          <w:rFonts w:asciiTheme="majorHAnsi" w:eastAsia="Calibri" w:hAnsiTheme="majorHAnsi" w:cstheme="majorHAnsi"/>
          <w:sz w:val="24"/>
          <w:szCs w:val="24"/>
        </w:rPr>
        <w:t>and ‘</w:t>
      </w:r>
      <w:r w:rsidR="003F1E06" w:rsidRPr="006630D1">
        <w:rPr>
          <w:rFonts w:asciiTheme="majorHAnsi" w:eastAsia="Calibri" w:hAnsiTheme="majorHAnsi" w:cstheme="majorHAnsi"/>
          <w:i/>
          <w:iCs/>
          <w:sz w:val="24"/>
          <w:szCs w:val="24"/>
        </w:rPr>
        <w:t>the absence of any power of investigation to guarantee the right to truth for victims, and the procedural barriers and obstacles to criminal investigations, civil suits and other remedies, effectively stifling any criminal or civil proceedings connected to the Troubles</w:t>
      </w:r>
      <w:r w:rsidR="003F1E06" w:rsidRPr="006630D1">
        <w:rPr>
          <w:rFonts w:asciiTheme="majorHAnsi" w:eastAsia="Calibri" w:hAnsiTheme="majorHAnsi" w:cstheme="majorHAnsi"/>
          <w:sz w:val="24"/>
          <w:szCs w:val="24"/>
        </w:rPr>
        <w:t xml:space="preserve">.’ The Human Rights Committee </w:t>
      </w:r>
      <w:r w:rsidRPr="006630D1">
        <w:rPr>
          <w:rFonts w:asciiTheme="majorHAnsi" w:eastAsia="Calibri" w:hAnsiTheme="majorHAnsi" w:cstheme="majorHAnsi"/>
          <w:sz w:val="24"/>
          <w:szCs w:val="24"/>
        </w:rPr>
        <w:t>urg</w:t>
      </w:r>
      <w:r w:rsidR="003F1E06" w:rsidRPr="006630D1">
        <w:rPr>
          <w:rFonts w:asciiTheme="majorHAnsi" w:eastAsia="Calibri" w:hAnsiTheme="majorHAnsi" w:cstheme="majorHAnsi"/>
          <w:sz w:val="24"/>
          <w:szCs w:val="24"/>
        </w:rPr>
        <w:t>ed</w:t>
      </w:r>
      <w:r w:rsidRPr="006630D1">
        <w:rPr>
          <w:rFonts w:asciiTheme="majorHAnsi" w:eastAsia="Calibri" w:hAnsiTheme="majorHAnsi" w:cstheme="majorHAnsi"/>
          <w:sz w:val="24"/>
          <w:szCs w:val="24"/>
        </w:rPr>
        <w:t xml:space="preserve"> the UK to ‘</w:t>
      </w:r>
      <w:r w:rsidRPr="00803721">
        <w:rPr>
          <w:rFonts w:asciiTheme="majorHAnsi" w:eastAsia="Calibri" w:hAnsiTheme="majorHAnsi" w:cstheme="majorHAnsi"/>
          <w:i/>
          <w:iCs/>
          <w:sz w:val="24"/>
          <w:szCs w:val="24"/>
        </w:rPr>
        <w:t>repeal or reform</w:t>
      </w:r>
      <w:r w:rsidRPr="006630D1">
        <w:rPr>
          <w:rFonts w:asciiTheme="majorHAnsi" w:eastAsia="Calibri" w:hAnsiTheme="majorHAnsi" w:cstheme="majorHAnsi"/>
          <w:sz w:val="24"/>
          <w:szCs w:val="24"/>
        </w:rPr>
        <w:t>’ the Legacy Act and ‘</w:t>
      </w:r>
      <w:r w:rsidRPr="006630D1">
        <w:rPr>
          <w:rFonts w:asciiTheme="majorHAnsi" w:eastAsia="Calibri" w:hAnsiTheme="majorHAnsi" w:cstheme="majorHAnsi"/>
          <w:i/>
          <w:iCs/>
          <w:sz w:val="24"/>
          <w:szCs w:val="24"/>
        </w:rPr>
        <w:t xml:space="preserve">to adopt proper mechanisms with guarantees of independence, transparency, and genuine investigation power that discharge the State party’s human rights obligations </w:t>
      </w:r>
      <w:r w:rsidR="003F1E06" w:rsidRPr="006630D1">
        <w:rPr>
          <w:rFonts w:asciiTheme="majorHAnsi" w:eastAsia="Calibri" w:hAnsiTheme="majorHAnsi" w:cstheme="majorHAnsi"/>
          <w:i/>
          <w:iCs/>
          <w:sz w:val="24"/>
          <w:szCs w:val="24"/>
        </w:rPr>
        <w:t>and deliver truth, justice and effective remedies, including reparations to victims of the Northern Ireland conflict</w:t>
      </w:r>
      <w:r w:rsidR="00713BB9" w:rsidRPr="006630D1">
        <w:rPr>
          <w:rFonts w:asciiTheme="majorHAnsi" w:eastAsia="Calibri" w:hAnsiTheme="majorHAnsi" w:cstheme="majorHAnsi"/>
          <w:sz w:val="24"/>
          <w:szCs w:val="24"/>
        </w:rPr>
        <w:t>’</w:t>
      </w:r>
      <w:r w:rsidR="003F1E06" w:rsidRPr="006630D1">
        <w:rPr>
          <w:rFonts w:asciiTheme="majorHAnsi" w:eastAsia="Calibri" w:hAnsiTheme="majorHAnsi" w:cstheme="majorHAnsi"/>
          <w:sz w:val="24"/>
          <w:szCs w:val="24"/>
        </w:rPr>
        <w:t>.</w:t>
      </w:r>
      <w:r w:rsidR="0062414A" w:rsidRPr="006630D1">
        <w:rPr>
          <w:rStyle w:val="FootnoteReference"/>
          <w:rFonts w:asciiTheme="majorHAnsi" w:eastAsia="Calibri" w:hAnsiTheme="majorHAnsi" w:cstheme="majorHAnsi"/>
          <w:sz w:val="24"/>
          <w:szCs w:val="24"/>
        </w:rPr>
        <w:footnoteReference w:id="40"/>
      </w:r>
      <w:r w:rsidR="003F1E06" w:rsidRPr="006630D1">
        <w:rPr>
          <w:rFonts w:asciiTheme="majorHAnsi" w:eastAsia="Calibri" w:hAnsiTheme="majorHAnsi" w:cstheme="majorHAnsi"/>
          <w:sz w:val="24"/>
          <w:szCs w:val="24"/>
        </w:rPr>
        <w:t xml:space="preserve"> </w:t>
      </w:r>
    </w:p>
    <w:p w14:paraId="4A08F929" w14:textId="40E14EC1" w:rsidR="003F1E06" w:rsidRPr="006630D1" w:rsidRDefault="00BE46B1" w:rsidP="00713BB9">
      <w:pPr>
        <w:pStyle w:val="ListParagraph"/>
        <w:widowControl w:val="0"/>
        <w:numPr>
          <w:ilvl w:val="0"/>
          <w:numId w:val="2"/>
        </w:numPr>
        <w:spacing w:after="120" w:line="240" w:lineRule="auto"/>
        <w:ind w:left="357" w:hanging="357"/>
        <w:contextualSpacing w:val="0"/>
        <w:rPr>
          <w:rFonts w:asciiTheme="majorHAnsi" w:eastAsia="Calibri" w:hAnsiTheme="majorHAnsi" w:cstheme="majorHAnsi"/>
          <w:sz w:val="24"/>
          <w:szCs w:val="24"/>
        </w:rPr>
      </w:pPr>
      <w:r w:rsidRPr="006630D1">
        <w:rPr>
          <w:rFonts w:asciiTheme="majorHAnsi" w:eastAsia="Calibri" w:hAnsiTheme="majorHAnsi" w:cstheme="majorHAnsi"/>
          <w:sz w:val="24"/>
          <w:szCs w:val="24"/>
        </w:rPr>
        <w:t>In February 2024, the High Court in Northern Ireland ruled that key provisions of the Legacy Act, including the ICRIR's amnesty scheme, were unlawful</w:t>
      </w:r>
      <w:r w:rsidR="005B72E9" w:rsidRPr="006630D1">
        <w:rPr>
          <w:rFonts w:asciiTheme="majorHAnsi" w:eastAsia="Calibri" w:hAnsiTheme="majorHAnsi" w:cstheme="majorHAnsi"/>
          <w:sz w:val="24"/>
          <w:szCs w:val="24"/>
        </w:rPr>
        <w:t>.</w:t>
      </w:r>
      <w:r w:rsidRPr="006630D1">
        <w:rPr>
          <w:rFonts w:asciiTheme="majorHAnsi" w:hAnsiTheme="majorHAnsi" w:cstheme="majorHAnsi"/>
          <w:sz w:val="24"/>
          <w:szCs w:val="24"/>
          <w:vertAlign w:val="superscript"/>
        </w:rPr>
        <w:footnoteReference w:id="41"/>
      </w:r>
      <w:r w:rsidR="005B72E9" w:rsidRPr="006630D1">
        <w:rPr>
          <w:rFonts w:asciiTheme="majorHAnsi" w:eastAsia="Calibri" w:hAnsiTheme="majorHAnsi" w:cstheme="majorHAnsi"/>
          <w:sz w:val="24"/>
          <w:szCs w:val="24"/>
        </w:rPr>
        <w:t xml:space="preserve"> </w:t>
      </w:r>
      <w:r w:rsidRPr="006630D1">
        <w:rPr>
          <w:rFonts w:asciiTheme="majorHAnsi" w:eastAsia="Calibri" w:hAnsiTheme="majorHAnsi" w:cstheme="majorHAnsi"/>
          <w:sz w:val="24"/>
          <w:szCs w:val="24"/>
        </w:rPr>
        <w:t>In September 2024, the Court of Appeal upheld the High Court's findings</w:t>
      </w:r>
      <w:r w:rsidR="003F1E06" w:rsidRPr="006630D1">
        <w:rPr>
          <w:rFonts w:asciiTheme="majorHAnsi" w:eastAsia="Calibri" w:hAnsiTheme="majorHAnsi" w:cstheme="majorHAnsi"/>
          <w:sz w:val="24"/>
          <w:szCs w:val="24"/>
        </w:rPr>
        <w:t xml:space="preserve"> and found further elements of the</w:t>
      </w:r>
      <w:r w:rsidR="005A499F" w:rsidRPr="006630D1">
        <w:rPr>
          <w:rFonts w:asciiTheme="majorHAnsi" w:eastAsia="Calibri" w:hAnsiTheme="majorHAnsi" w:cstheme="majorHAnsi"/>
          <w:sz w:val="24"/>
          <w:szCs w:val="24"/>
        </w:rPr>
        <w:t xml:space="preserve"> Legacy Act unlawful, including the ban on all civil cases</w:t>
      </w:r>
      <w:r w:rsidR="00713BB9" w:rsidRPr="006630D1">
        <w:rPr>
          <w:rFonts w:asciiTheme="majorHAnsi" w:eastAsia="Calibri" w:hAnsiTheme="majorHAnsi" w:cstheme="majorHAnsi"/>
          <w:sz w:val="24"/>
          <w:szCs w:val="24"/>
        </w:rPr>
        <w:t xml:space="preserve">. It also found that </w:t>
      </w:r>
      <w:r w:rsidR="005A499F" w:rsidRPr="006630D1">
        <w:rPr>
          <w:rFonts w:asciiTheme="majorHAnsi" w:eastAsia="Calibri" w:hAnsiTheme="majorHAnsi" w:cstheme="majorHAnsi"/>
          <w:sz w:val="24"/>
          <w:szCs w:val="24"/>
        </w:rPr>
        <w:t>the ICRIR was incapable of conducting investigations compliant with ECHR standards</w:t>
      </w:r>
      <w:r w:rsidR="00713BB9" w:rsidRPr="006630D1">
        <w:rPr>
          <w:rFonts w:asciiTheme="majorHAnsi" w:eastAsia="Calibri" w:hAnsiTheme="majorHAnsi" w:cstheme="majorHAnsi"/>
          <w:sz w:val="24"/>
          <w:szCs w:val="24"/>
        </w:rPr>
        <w:t xml:space="preserve"> in specific reference to </w:t>
      </w:r>
      <w:r w:rsidR="005A499F" w:rsidRPr="006630D1">
        <w:rPr>
          <w:rFonts w:asciiTheme="majorHAnsi" w:eastAsia="Calibri" w:hAnsiTheme="majorHAnsi" w:cstheme="majorHAnsi"/>
          <w:sz w:val="24"/>
          <w:szCs w:val="24"/>
        </w:rPr>
        <w:t>inquests</w:t>
      </w:r>
      <w:r w:rsidR="00713BB9" w:rsidRPr="006630D1">
        <w:rPr>
          <w:rFonts w:asciiTheme="majorHAnsi" w:eastAsia="Calibri" w:hAnsiTheme="majorHAnsi" w:cstheme="majorHAnsi"/>
          <w:sz w:val="24"/>
          <w:szCs w:val="24"/>
        </w:rPr>
        <w:t xml:space="preserve"> previously carried out as part of the Package of Measures</w:t>
      </w:r>
      <w:r w:rsidR="005B72E9" w:rsidRPr="006630D1">
        <w:rPr>
          <w:rFonts w:asciiTheme="majorHAnsi" w:eastAsia="Calibri" w:hAnsiTheme="majorHAnsi" w:cstheme="majorHAnsi"/>
          <w:sz w:val="24"/>
          <w:szCs w:val="24"/>
        </w:rPr>
        <w:t>.</w:t>
      </w:r>
      <w:r w:rsidRPr="006630D1">
        <w:rPr>
          <w:rFonts w:asciiTheme="majorHAnsi" w:hAnsiTheme="majorHAnsi" w:cstheme="majorHAnsi"/>
          <w:sz w:val="24"/>
          <w:szCs w:val="24"/>
          <w:vertAlign w:val="superscript"/>
        </w:rPr>
        <w:footnoteReference w:id="42"/>
      </w:r>
      <w:r w:rsidRPr="006630D1">
        <w:rPr>
          <w:rFonts w:asciiTheme="majorHAnsi" w:eastAsia="Calibri" w:hAnsiTheme="majorHAnsi" w:cstheme="majorHAnsi"/>
          <w:sz w:val="24"/>
          <w:szCs w:val="24"/>
        </w:rPr>
        <w:t xml:space="preserve"> </w:t>
      </w:r>
    </w:p>
    <w:p w14:paraId="34CE1839" w14:textId="1B924212" w:rsidR="00795A4E" w:rsidRPr="008E3413" w:rsidRDefault="00BE46B1" w:rsidP="006630D1">
      <w:pPr>
        <w:widowControl w:val="0"/>
        <w:spacing w:after="120" w:line="240" w:lineRule="auto"/>
        <w:rPr>
          <w:rFonts w:ascii="Calibri" w:eastAsia="Calibri" w:hAnsi="Calibri" w:cs="Calibri"/>
          <w:sz w:val="24"/>
          <w:szCs w:val="24"/>
        </w:rPr>
      </w:pPr>
      <w:r w:rsidRPr="008E3413">
        <w:rPr>
          <w:rFonts w:ascii="Calibri" w:eastAsia="Calibri" w:hAnsi="Calibri" w:cs="Calibri"/>
          <w:b/>
          <w:sz w:val="24"/>
          <w:szCs w:val="24"/>
        </w:rPr>
        <w:t xml:space="preserve">Role of ‘reconciliation’ </w:t>
      </w:r>
      <w:r w:rsidR="005A499F">
        <w:rPr>
          <w:rFonts w:ascii="Calibri" w:eastAsia="Calibri" w:hAnsi="Calibri" w:cs="Calibri"/>
          <w:b/>
          <w:sz w:val="24"/>
          <w:szCs w:val="24"/>
        </w:rPr>
        <w:t xml:space="preserve">and the Legacy Act </w:t>
      </w:r>
    </w:p>
    <w:p w14:paraId="512DCAA9" w14:textId="45885D90" w:rsidR="00713BB9" w:rsidRDefault="005A499F" w:rsidP="00713BB9">
      <w:pPr>
        <w:pStyle w:val="ListParagraph"/>
        <w:widowControl w:val="0"/>
        <w:numPr>
          <w:ilvl w:val="0"/>
          <w:numId w:val="2"/>
        </w:numPr>
        <w:spacing w:after="120" w:line="240" w:lineRule="auto"/>
        <w:contextualSpacing w:val="0"/>
        <w:rPr>
          <w:rFonts w:ascii="Calibri" w:eastAsia="Calibri" w:hAnsi="Calibri" w:cs="Calibri"/>
          <w:sz w:val="24"/>
          <w:szCs w:val="24"/>
        </w:rPr>
      </w:pPr>
      <w:r w:rsidRPr="005A499F">
        <w:rPr>
          <w:rFonts w:ascii="Calibri" w:eastAsia="Calibri" w:hAnsi="Calibri" w:cs="Calibri"/>
          <w:sz w:val="24"/>
          <w:szCs w:val="24"/>
        </w:rPr>
        <w:t xml:space="preserve">Officially </w:t>
      </w:r>
      <w:r w:rsidR="00BE46B1" w:rsidRPr="005A499F">
        <w:rPr>
          <w:rFonts w:ascii="Calibri" w:eastAsia="Calibri" w:hAnsi="Calibri" w:cs="Calibri"/>
          <w:sz w:val="24"/>
          <w:szCs w:val="24"/>
        </w:rPr>
        <w:t xml:space="preserve">the Legacy Act </w:t>
      </w:r>
      <w:r w:rsidRPr="005A499F">
        <w:rPr>
          <w:rFonts w:ascii="Calibri" w:eastAsia="Calibri" w:hAnsi="Calibri" w:cs="Calibri"/>
          <w:sz w:val="24"/>
          <w:szCs w:val="24"/>
        </w:rPr>
        <w:t xml:space="preserve">includes the </w:t>
      </w:r>
      <w:r w:rsidR="00BE46B1" w:rsidRPr="005A499F">
        <w:rPr>
          <w:rFonts w:ascii="Calibri" w:eastAsia="Calibri" w:hAnsi="Calibri" w:cs="Calibri"/>
          <w:sz w:val="24"/>
          <w:szCs w:val="24"/>
        </w:rPr>
        <w:t>concept of ‘reconciliation’ in</w:t>
      </w:r>
      <w:r>
        <w:rPr>
          <w:rFonts w:ascii="Calibri" w:eastAsia="Calibri" w:hAnsi="Calibri" w:cs="Calibri"/>
          <w:sz w:val="24"/>
          <w:szCs w:val="24"/>
        </w:rPr>
        <w:t xml:space="preserve"> </w:t>
      </w:r>
      <w:r w:rsidR="00713BB9">
        <w:rPr>
          <w:rFonts w:ascii="Calibri" w:eastAsia="Calibri" w:hAnsi="Calibri" w:cs="Calibri"/>
          <w:sz w:val="24"/>
          <w:szCs w:val="24"/>
        </w:rPr>
        <w:t>its</w:t>
      </w:r>
      <w:r>
        <w:rPr>
          <w:rFonts w:ascii="Calibri" w:eastAsia="Calibri" w:hAnsi="Calibri" w:cs="Calibri"/>
          <w:sz w:val="24"/>
          <w:szCs w:val="24"/>
        </w:rPr>
        <w:t xml:space="preserve"> title</w:t>
      </w:r>
      <w:r w:rsidR="004901B9">
        <w:rPr>
          <w:rFonts w:ascii="Calibri" w:eastAsia="Calibri" w:hAnsi="Calibri" w:cs="Calibri"/>
          <w:sz w:val="24"/>
          <w:szCs w:val="24"/>
        </w:rPr>
        <w:t xml:space="preserve">, the title of the </w:t>
      </w:r>
      <w:r w:rsidR="00BE46B1" w:rsidRPr="005A499F">
        <w:rPr>
          <w:rFonts w:ascii="Calibri" w:eastAsia="Calibri" w:hAnsi="Calibri" w:cs="Calibri"/>
          <w:sz w:val="24"/>
          <w:szCs w:val="24"/>
        </w:rPr>
        <w:t>ICRIR</w:t>
      </w:r>
      <w:r w:rsidR="00713BB9">
        <w:rPr>
          <w:rFonts w:ascii="Calibri" w:eastAsia="Calibri" w:hAnsi="Calibri" w:cs="Calibri"/>
          <w:sz w:val="24"/>
          <w:szCs w:val="24"/>
        </w:rPr>
        <w:t xml:space="preserve"> </w:t>
      </w:r>
      <w:proofErr w:type="gramStart"/>
      <w:r w:rsidR="00713BB9">
        <w:rPr>
          <w:rFonts w:ascii="Calibri" w:eastAsia="Calibri" w:hAnsi="Calibri" w:cs="Calibri"/>
          <w:sz w:val="24"/>
          <w:szCs w:val="24"/>
        </w:rPr>
        <w:t xml:space="preserve">and </w:t>
      </w:r>
      <w:r w:rsidR="004901B9">
        <w:rPr>
          <w:rFonts w:ascii="Calibri" w:eastAsia="Calibri" w:hAnsi="Calibri" w:cs="Calibri"/>
          <w:sz w:val="24"/>
          <w:szCs w:val="24"/>
        </w:rPr>
        <w:t>also</w:t>
      </w:r>
      <w:proofErr w:type="gramEnd"/>
      <w:r w:rsidR="004901B9">
        <w:rPr>
          <w:rFonts w:ascii="Calibri" w:eastAsia="Calibri" w:hAnsi="Calibri" w:cs="Calibri"/>
          <w:sz w:val="24"/>
          <w:szCs w:val="24"/>
        </w:rPr>
        <w:t xml:space="preserve"> provides </w:t>
      </w:r>
      <w:r w:rsidR="00713BB9">
        <w:rPr>
          <w:rFonts w:ascii="Calibri" w:eastAsia="Calibri" w:hAnsi="Calibri" w:cs="Calibri"/>
          <w:sz w:val="24"/>
          <w:szCs w:val="24"/>
        </w:rPr>
        <w:t>that the ICRIR</w:t>
      </w:r>
      <w:r w:rsidR="004901B9">
        <w:rPr>
          <w:rFonts w:ascii="Calibri" w:eastAsia="Calibri" w:hAnsi="Calibri" w:cs="Calibri"/>
          <w:sz w:val="24"/>
          <w:szCs w:val="24"/>
        </w:rPr>
        <w:t>’</w:t>
      </w:r>
      <w:r w:rsidR="00713BB9">
        <w:rPr>
          <w:rFonts w:ascii="Calibri" w:eastAsia="Calibri" w:hAnsi="Calibri" w:cs="Calibri"/>
          <w:sz w:val="24"/>
          <w:szCs w:val="24"/>
        </w:rPr>
        <w:t>s ‘princip</w:t>
      </w:r>
      <w:r w:rsidR="004901B9">
        <w:rPr>
          <w:rFonts w:ascii="Calibri" w:eastAsia="Calibri" w:hAnsi="Calibri" w:cs="Calibri"/>
          <w:sz w:val="24"/>
          <w:szCs w:val="24"/>
        </w:rPr>
        <w:t>a</w:t>
      </w:r>
      <w:r w:rsidR="00713BB9">
        <w:rPr>
          <w:rFonts w:ascii="Calibri" w:eastAsia="Calibri" w:hAnsi="Calibri" w:cs="Calibri"/>
          <w:sz w:val="24"/>
          <w:szCs w:val="24"/>
        </w:rPr>
        <w:t>l objective’ is to promote reconciliation</w:t>
      </w:r>
      <w:r>
        <w:rPr>
          <w:rFonts w:ascii="Calibri" w:eastAsia="Calibri" w:hAnsi="Calibri" w:cs="Calibri"/>
          <w:sz w:val="24"/>
          <w:szCs w:val="24"/>
        </w:rPr>
        <w:t xml:space="preserve">. </w:t>
      </w:r>
    </w:p>
    <w:p w14:paraId="2C75C236" w14:textId="3E1551E7" w:rsidR="00041B4C" w:rsidRPr="006630D1" w:rsidRDefault="005A499F" w:rsidP="006630D1">
      <w:pPr>
        <w:pStyle w:val="ListParagraph"/>
        <w:widowControl w:val="0"/>
        <w:numPr>
          <w:ilvl w:val="0"/>
          <w:numId w:val="2"/>
        </w:numPr>
        <w:spacing w:after="120" w:line="240" w:lineRule="auto"/>
        <w:contextualSpacing w:val="0"/>
        <w:rPr>
          <w:rFonts w:asciiTheme="majorHAnsi" w:eastAsia="Calibri" w:hAnsiTheme="majorHAnsi" w:cstheme="majorHAnsi"/>
          <w:sz w:val="24"/>
          <w:szCs w:val="24"/>
        </w:rPr>
      </w:pPr>
      <w:r>
        <w:rPr>
          <w:rFonts w:ascii="Calibri" w:eastAsia="Calibri" w:hAnsi="Calibri" w:cs="Calibri"/>
          <w:sz w:val="24"/>
          <w:szCs w:val="24"/>
        </w:rPr>
        <w:t>Th</w:t>
      </w:r>
      <w:r w:rsidR="00713BB9">
        <w:rPr>
          <w:rFonts w:ascii="Calibri" w:eastAsia="Calibri" w:hAnsi="Calibri" w:cs="Calibri"/>
          <w:sz w:val="24"/>
          <w:szCs w:val="24"/>
        </w:rPr>
        <w:t>e</w:t>
      </w:r>
      <w:r w:rsidR="00DD29DD">
        <w:rPr>
          <w:rFonts w:ascii="Calibri" w:eastAsia="Calibri" w:hAnsi="Calibri" w:cs="Calibri"/>
          <w:sz w:val="24"/>
          <w:szCs w:val="24"/>
        </w:rPr>
        <w:t xml:space="preserve"> official</w:t>
      </w:r>
      <w:r w:rsidR="00713BB9">
        <w:rPr>
          <w:rFonts w:ascii="Calibri" w:eastAsia="Calibri" w:hAnsi="Calibri" w:cs="Calibri"/>
          <w:sz w:val="24"/>
          <w:szCs w:val="24"/>
        </w:rPr>
        <w:t xml:space="preserve"> incorporation of the term ‘reconciliation’ </w:t>
      </w:r>
      <w:r w:rsidR="00DD29DD">
        <w:rPr>
          <w:rFonts w:ascii="Calibri" w:eastAsia="Calibri" w:hAnsi="Calibri" w:cs="Calibri"/>
          <w:sz w:val="24"/>
          <w:szCs w:val="24"/>
        </w:rPr>
        <w:t xml:space="preserve">in the title </w:t>
      </w:r>
      <w:r w:rsidR="00BE46B1" w:rsidRPr="005A499F">
        <w:rPr>
          <w:rFonts w:ascii="Calibri" w:eastAsia="Calibri" w:hAnsi="Calibri" w:cs="Calibri"/>
          <w:sz w:val="24"/>
          <w:szCs w:val="24"/>
        </w:rPr>
        <w:t xml:space="preserve">appears to have been primarily driven by seeking to provide some legal basis to argue that the </w:t>
      </w:r>
      <w:r w:rsidR="00713BB9">
        <w:rPr>
          <w:rFonts w:ascii="Calibri" w:eastAsia="Calibri" w:hAnsi="Calibri" w:cs="Calibri"/>
          <w:sz w:val="24"/>
          <w:szCs w:val="24"/>
        </w:rPr>
        <w:t xml:space="preserve">ICRIR’s </w:t>
      </w:r>
      <w:r w:rsidR="00BE46B1" w:rsidRPr="005A499F">
        <w:rPr>
          <w:rFonts w:ascii="Calibri" w:eastAsia="Calibri" w:hAnsi="Calibri" w:cs="Calibri"/>
          <w:sz w:val="24"/>
          <w:szCs w:val="24"/>
        </w:rPr>
        <w:t xml:space="preserve">conditional immunities </w:t>
      </w:r>
      <w:r w:rsidR="00713BB9">
        <w:rPr>
          <w:rFonts w:ascii="Calibri" w:eastAsia="Calibri" w:hAnsi="Calibri" w:cs="Calibri"/>
          <w:sz w:val="24"/>
          <w:szCs w:val="24"/>
        </w:rPr>
        <w:t xml:space="preserve">(amnesty) </w:t>
      </w:r>
      <w:r w:rsidR="00BE46B1" w:rsidRPr="005A499F">
        <w:rPr>
          <w:rFonts w:ascii="Calibri" w:eastAsia="Calibri" w:hAnsi="Calibri" w:cs="Calibri"/>
          <w:sz w:val="24"/>
          <w:szCs w:val="24"/>
        </w:rPr>
        <w:t>scheme was lawful. Whilst the ECtHR case law on amnesties is limited, one key element is the possibility of legal space for an amnesty in some circumstances where it is necessary for reconciliation.</w:t>
      </w:r>
      <w:r w:rsidR="00BE46B1" w:rsidRPr="00FF5544">
        <w:rPr>
          <w:vertAlign w:val="superscript"/>
        </w:rPr>
        <w:footnoteReference w:id="43"/>
      </w:r>
      <w:r w:rsidR="00BE46B1" w:rsidRPr="005A499F">
        <w:rPr>
          <w:rFonts w:ascii="Calibri" w:eastAsia="Calibri" w:hAnsi="Calibri" w:cs="Calibri"/>
          <w:sz w:val="24"/>
          <w:szCs w:val="24"/>
        </w:rPr>
        <w:t xml:space="preserve"> This context is alluded to in the </w:t>
      </w:r>
      <w:r w:rsidR="00BE46B1" w:rsidRPr="006630D1">
        <w:rPr>
          <w:rFonts w:asciiTheme="majorHAnsi" w:eastAsia="Calibri" w:hAnsiTheme="majorHAnsi" w:cstheme="majorHAnsi"/>
          <w:sz w:val="24"/>
          <w:szCs w:val="24"/>
        </w:rPr>
        <w:t xml:space="preserve">official ECHR Memorandum published with the </w:t>
      </w:r>
      <w:r w:rsidR="00713BB9" w:rsidRPr="006630D1">
        <w:rPr>
          <w:rFonts w:asciiTheme="majorHAnsi" w:eastAsia="Calibri" w:hAnsiTheme="majorHAnsi" w:cstheme="majorHAnsi"/>
          <w:sz w:val="24"/>
          <w:szCs w:val="24"/>
        </w:rPr>
        <w:t xml:space="preserve">Legacy </w:t>
      </w:r>
      <w:r w:rsidR="00BE46B1" w:rsidRPr="006630D1">
        <w:rPr>
          <w:rFonts w:asciiTheme="majorHAnsi" w:eastAsia="Calibri" w:hAnsiTheme="majorHAnsi" w:cstheme="majorHAnsi"/>
          <w:sz w:val="24"/>
          <w:szCs w:val="24"/>
        </w:rPr>
        <w:t>Bill</w:t>
      </w:r>
      <w:r w:rsidR="004901B9" w:rsidRPr="006630D1">
        <w:rPr>
          <w:rFonts w:asciiTheme="majorHAnsi" w:eastAsia="Calibri" w:hAnsiTheme="majorHAnsi" w:cstheme="majorHAnsi"/>
          <w:sz w:val="24"/>
          <w:szCs w:val="24"/>
        </w:rPr>
        <w:t>.</w:t>
      </w:r>
      <w:r w:rsidR="00BE46B1" w:rsidRPr="006630D1">
        <w:rPr>
          <w:rFonts w:asciiTheme="majorHAnsi" w:hAnsiTheme="majorHAnsi" w:cstheme="majorHAnsi"/>
          <w:sz w:val="24"/>
          <w:szCs w:val="24"/>
          <w:vertAlign w:val="superscript"/>
        </w:rPr>
        <w:footnoteReference w:id="44"/>
      </w:r>
    </w:p>
    <w:p w14:paraId="223B0FAE" w14:textId="263ECFCB" w:rsidR="00041B4C" w:rsidRPr="006630D1" w:rsidRDefault="00BE46B1" w:rsidP="006630D1">
      <w:pPr>
        <w:pStyle w:val="ListParagraph"/>
        <w:numPr>
          <w:ilvl w:val="0"/>
          <w:numId w:val="2"/>
        </w:numPr>
        <w:spacing w:after="120" w:line="240" w:lineRule="auto"/>
        <w:contextualSpacing w:val="0"/>
        <w:rPr>
          <w:rFonts w:asciiTheme="majorHAnsi" w:eastAsia="Calibri" w:hAnsiTheme="majorHAnsi" w:cstheme="majorHAnsi"/>
          <w:sz w:val="24"/>
          <w:szCs w:val="24"/>
        </w:rPr>
      </w:pPr>
      <w:r w:rsidRPr="006630D1">
        <w:rPr>
          <w:rFonts w:asciiTheme="majorHAnsi" w:eastAsia="Calibri" w:hAnsiTheme="majorHAnsi" w:cstheme="majorHAnsi"/>
          <w:sz w:val="24"/>
          <w:szCs w:val="24"/>
        </w:rPr>
        <w:t xml:space="preserve">Notwithstanding the applicability of this test, the Legacy Act was always going to face an uphill struggle to contribute to reconciliation, not least as all those the Act was supposed to reconcile were firmly opposed to it. Furthermore, the genesis of </w:t>
      </w:r>
      <w:r w:rsidR="005B72E9" w:rsidRPr="006630D1">
        <w:rPr>
          <w:rFonts w:asciiTheme="majorHAnsi" w:eastAsia="Calibri" w:hAnsiTheme="majorHAnsi" w:cstheme="majorHAnsi"/>
          <w:sz w:val="24"/>
          <w:szCs w:val="24"/>
        </w:rPr>
        <w:t xml:space="preserve">the </w:t>
      </w:r>
      <w:r w:rsidRPr="006630D1">
        <w:rPr>
          <w:rFonts w:asciiTheme="majorHAnsi" w:eastAsia="Calibri" w:hAnsiTheme="majorHAnsi" w:cstheme="majorHAnsi"/>
          <w:sz w:val="24"/>
          <w:szCs w:val="24"/>
        </w:rPr>
        <w:t xml:space="preserve">Legacy Act was </w:t>
      </w:r>
      <w:r w:rsidRPr="006630D1">
        <w:rPr>
          <w:rFonts w:asciiTheme="majorHAnsi" w:eastAsia="Calibri" w:hAnsiTheme="majorHAnsi" w:cstheme="majorHAnsi"/>
          <w:sz w:val="24"/>
          <w:szCs w:val="24"/>
        </w:rPr>
        <w:lastRenderedPageBreak/>
        <w:t>grounded in furthering impunity and closing off remedies and accountability sought by families</w:t>
      </w:r>
      <w:r w:rsidR="004901B9" w:rsidRPr="006630D1">
        <w:rPr>
          <w:rFonts w:asciiTheme="majorHAnsi" w:eastAsia="Calibri" w:hAnsiTheme="majorHAnsi" w:cstheme="majorHAnsi"/>
          <w:sz w:val="24"/>
          <w:szCs w:val="24"/>
        </w:rPr>
        <w:t>, the antithesis of reconciliation</w:t>
      </w:r>
      <w:r w:rsidRPr="006630D1">
        <w:rPr>
          <w:rFonts w:asciiTheme="majorHAnsi" w:eastAsia="Calibri" w:hAnsiTheme="majorHAnsi" w:cstheme="majorHAnsi"/>
          <w:sz w:val="24"/>
          <w:szCs w:val="24"/>
        </w:rPr>
        <w:t xml:space="preserve">. </w:t>
      </w:r>
      <w:r w:rsidR="004901B9" w:rsidRPr="006630D1">
        <w:rPr>
          <w:rFonts w:asciiTheme="majorHAnsi" w:eastAsia="Calibri" w:hAnsiTheme="majorHAnsi" w:cstheme="majorHAnsi"/>
          <w:sz w:val="24"/>
          <w:szCs w:val="24"/>
        </w:rPr>
        <w:t xml:space="preserve">As noted by the </w:t>
      </w:r>
      <w:r w:rsidRPr="006630D1">
        <w:rPr>
          <w:rFonts w:asciiTheme="majorHAnsi" w:eastAsia="Calibri" w:hAnsiTheme="majorHAnsi" w:cstheme="majorHAnsi"/>
          <w:sz w:val="24"/>
          <w:szCs w:val="24"/>
        </w:rPr>
        <w:t>UN</w:t>
      </w:r>
      <w:r w:rsidR="004901B9" w:rsidRPr="006630D1">
        <w:rPr>
          <w:rFonts w:asciiTheme="majorHAnsi" w:eastAsia="Calibri" w:hAnsiTheme="majorHAnsi" w:cstheme="majorHAnsi"/>
          <w:sz w:val="24"/>
          <w:szCs w:val="24"/>
        </w:rPr>
        <w:t xml:space="preserve"> </w:t>
      </w:r>
      <w:r w:rsidRPr="006630D1">
        <w:rPr>
          <w:rFonts w:asciiTheme="majorHAnsi" w:eastAsia="Calibri" w:hAnsiTheme="majorHAnsi" w:cstheme="majorHAnsi"/>
          <w:sz w:val="24"/>
          <w:szCs w:val="24"/>
        </w:rPr>
        <w:t>Special Rapporteur</w:t>
      </w:r>
      <w:r w:rsidR="004901B9" w:rsidRPr="006630D1">
        <w:rPr>
          <w:rFonts w:asciiTheme="majorHAnsi" w:eastAsia="Calibri" w:hAnsiTheme="majorHAnsi" w:cstheme="majorHAnsi"/>
          <w:sz w:val="24"/>
          <w:szCs w:val="24"/>
        </w:rPr>
        <w:t xml:space="preserve">s </w:t>
      </w:r>
      <w:proofErr w:type="spellStart"/>
      <w:r w:rsidR="004901B9" w:rsidRPr="006630D1">
        <w:rPr>
          <w:rFonts w:asciiTheme="majorHAnsi" w:eastAsia="Calibri" w:hAnsiTheme="majorHAnsi" w:cstheme="majorHAnsi"/>
          <w:sz w:val="24"/>
          <w:szCs w:val="24"/>
        </w:rPr>
        <w:t>Salvioli</w:t>
      </w:r>
      <w:proofErr w:type="spellEnd"/>
      <w:r w:rsidR="004901B9" w:rsidRPr="006630D1">
        <w:rPr>
          <w:rFonts w:asciiTheme="majorHAnsi" w:eastAsia="Calibri" w:hAnsiTheme="majorHAnsi" w:cstheme="majorHAnsi"/>
          <w:sz w:val="24"/>
          <w:szCs w:val="24"/>
        </w:rPr>
        <w:t xml:space="preserve"> and </w:t>
      </w:r>
      <w:r w:rsidRPr="006630D1">
        <w:rPr>
          <w:rFonts w:asciiTheme="majorHAnsi" w:eastAsia="Calibri" w:hAnsiTheme="majorHAnsi" w:cstheme="majorHAnsi"/>
          <w:sz w:val="24"/>
          <w:szCs w:val="24"/>
        </w:rPr>
        <w:t xml:space="preserve">Tidball-Binz </w:t>
      </w:r>
      <w:r w:rsidR="004901B9" w:rsidRPr="006630D1">
        <w:rPr>
          <w:rFonts w:asciiTheme="majorHAnsi" w:eastAsia="Calibri" w:hAnsiTheme="majorHAnsi" w:cstheme="majorHAnsi"/>
          <w:sz w:val="24"/>
          <w:szCs w:val="24"/>
        </w:rPr>
        <w:t>the Legacy Act</w:t>
      </w:r>
      <w:r w:rsidRPr="006630D1">
        <w:rPr>
          <w:rFonts w:asciiTheme="majorHAnsi" w:eastAsia="Calibri" w:hAnsiTheme="majorHAnsi" w:cstheme="majorHAnsi"/>
          <w:sz w:val="24"/>
          <w:szCs w:val="24"/>
        </w:rPr>
        <w:t xml:space="preserve">: </w:t>
      </w:r>
    </w:p>
    <w:p w14:paraId="4ED553C3" w14:textId="29288A21" w:rsidR="00041B4C" w:rsidRPr="006630D1" w:rsidRDefault="00BE46B1" w:rsidP="006630D1">
      <w:pPr>
        <w:pStyle w:val="ListParagraph"/>
        <w:spacing w:after="120" w:line="240" w:lineRule="auto"/>
        <w:ind w:left="1080"/>
        <w:contextualSpacing w:val="0"/>
        <w:rPr>
          <w:rFonts w:asciiTheme="majorHAnsi" w:eastAsia="Calibri" w:hAnsiTheme="majorHAnsi" w:cstheme="majorHAnsi"/>
          <w:sz w:val="24"/>
          <w:szCs w:val="24"/>
        </w:rPr>
      </w:pPr>
      <w:r w:rsidRPr="006630D1">
        <w:rPr>
          <w:rFonts w:asciiTheme="majorHAnsi" w:eastAsia="Calibri" w:hAnsiTheme="majorHAnsi" w:cstheme="majorHAnsi"/>
          <w:sz w:val="24"/>
          <w:szCs w:val="24"/>
        </w:rPr>
        <w:t>… appears to conflate reconciliation with impunity, as well as oppose legal accountability, an essential pillar of transitional justice processes, to truth, information recovery and reconciliation</w:t>
      </w:r>
      <w:r w:rsidR="004901B9">
        <w:rPr>
          <w:rFonts w:asciiTheme="majorHAnsi" w:eastAsia="Calibri" w:hAnsiTheme="majorHAnsi" w:cstheme="majorHAnsi"/>
          <w:sz w:val="24"/>
          <w:szCs w:val="24"/>
        </w:rPr>
        <w:t>.</w:t>
      </w:r>
      <w:r w:rsidRPr="006630D1">
        <w:rPr>
          <w:rFonts w:asciiTheme="majorHAnsi" w:hAnsiTheme="majorHAnsi" w:cstheme="majorHAnsi"/>
          <w:sz w:val="24"/>
          <w:szCs w:val="24"/>
          <w:vertAlign w:val="superscript"/>
        </w:rPr>
        <w:footnoteReference w:id="45"/>
      </w:r>
    </w:p>
    <w:p w14:paraId="68FB399A" w14:textId="3CF76075" w:rsidR="00041B4C" w:rsidRPr="00FF5544" w:rsidRDefault="004901B9" w:rsidP="006630D1">
      <w:pPr>
        <w:pStyle w:val="ListParagraph"/>
        <w:widowControl w:val="0"/>
        <w:numPr>
          <w:ilvl w:val="0"/>
          <w:numId w:val="2"/>
        </w:numPr>
        <w:spacing w:after="120" w:line="240" w:lineRule="auto"/>
        <w:ind w:left="357" w:hanging="357"/>
        <w:contextualSpacing w:val="0"/>
        <w:rPr>
          <w:rFonts w:ascii="Calibri" w:eastAsia="Calibri" w:hAnsi="Calibri" w:cs="Calibri"/>
          <w:sz w:val="24"/>
          <w:szCs w:val="24"/>
        </w:rPr>
      </w:pPr>
      <w:r>
        <w:rPr>
          <w:rFonts w:asciiTheme="majorHAnsi" w:eastAsia="Calibri" w:hAnsiTheme="majorHAnsi" w:cstheme="majorHAnsi"/>
          <w:sz w:val="24"/>
          <w:szCs w:val="24"/>
        </w:rPr>
        <w:t>The</w:t>
      </w:r>
      <w:r w:rsidR="00BE46B1" w:rsidRPr="006630D1">
        <w:rPr>
          <w:rFonts w:asciiTheme="majorHAnsi" w:eastAsia="Calibri" w:hAnsiTheme="majorHAnsi" w:cstheme="majorHAnsi"/>
          <w:sz w:val="24"/>
          <w:szCs w:val="24"/>
        </w:rPr>
        <w:t xml:space="preserve"> High Court </w:t>
      </w:r>
      <w:r>
        <w:rPr>
          <w:rFonts w:asciiTheme="majorHAnsi" w:eastAsia="Calibri" w:hAnsiTheme="majorHAnsi" w:cstheme="majorHAnsi"/>
          <w:sz w:val="24"/>
          <w:szCs w:val="24"/>
        </w:rPr>
        <w:t xml:space="preserve">in Northern Ireland, in finding the amnesty </w:t>
      </w:r>
      <w:r w:rsidR="00BE46B1" w:rsidRPr="006630D1">
        <w:rPr>
          <w:rFonts w:asciiTheme="majorHAnsi" w:eastAsia="Calibri" w:hAnsiTheme="majorHAnsi" w:cstheme="majorHAnsi"/>
          <w:sz w:val="24"/>
          <w:szCs w:val="24"/>
        </w:rPr>
        <w:t>scheme unlawful</w:t>
      </w:r>
      <w:r>
        <w:rPr>
          <w:rFonts w:asciiTheme="majorHAnsi" w:eastAsia="Calibri" w:hAnsiTheme="majorHAnsi" w:cstheme="majorHAnsi"/>
          <w:sz w:val="24"/>
          <w:szCs w:val="24"/>
        </w:rPr>
        <w:t xml:space="preserve">, </w:t>
      </w:r>
      <w:r w:rsidR="00BE46B1" w:rsidRPr="006630D1">
        <w:rPr>
          <w:rFonts w:asciiTheme="majorHAnsi" w:eastAsia="Calibri" w:hAnsiTheme="majorHAnsi" w:cstheme="majorHAnsi"/>
          <w:sz w:val="24"/>
          <w:szCs w:val="24"/>
        </w:rPr>
        <w:t>dealt with the question as to whether the scheme could be justified by the contention it promoted reconciliation holding that ‘</w:t>
      </w:r>
      <w:r w:rsidR="00BE46B1" w:rsidRPr="006630D1">
        <w:rPr>
          <w:rFonts w:asciiTheme="majorHAnsi" w:eastAsia="Calibri" w:hAnsiTheme="majorHAnsi" w:cstheme="majorHAnsi"/>
          <w:i/>
          <w:iCs/>
          <w:sz w:val="24"/>
          <w:szCs w:val="24"/>
        </w:rPr>
        <w:t>there is no evidence that the granting of immunity under the 2023 Act will in any way contribute to reconciliation in Northern Ireland, indeed, the evidence is to the contrary.</w:t>
      </w:r>
      <w:r w:rsidR="00BE46B1" w:rsidRPr="006630D1">
        <w:rPr>
          <w:rFonts w:asciiTheme="majorHAnsi" w:eastAsia="Calibri" w:hAnsiTheme="majorHAnsi" w:cstheme="majorHAnsi"/>
          <w:sz w:val="24"/>
          <w:szCs w:val="24"/>
        </w:rPr>
        <w:t>’</w:t>
      </w:r>
      <w:r w:rsidR="00BE46B1" w:rsidRPr="006630D1">
        <w:rPr>
          <w:rFonts w:asciiTheme="majorHAnsi" w:hAnsiTheme="majorHAnsi" w:cstheme="majorHAnsi"/>
          <w:sz w:val="24"/>
          <w:szCs w:val="24"/>
          <w:vertAlign w:val="superscript"/>
        </w:rPr>
        <w:footnoteReference w:id="46"/>
      </w:r>
    </w:p>
    <w:p w14:paraId="704F6F81" w14:textId="374090CC" w:rsidR="004901B9" w:rsidRPr="006630D1" w:rsidRDefault="00BE46B1" w:rsidP="006630D1">
      <w:pPr>
        <w:pStyle w:val="ListParagraph"/>
        <w:widowControl w:val="0"/>
        <w:numPr>
          <w:ilvl w:val="0"/>
          <w:numId w:val="2"/>
        </w:numPr>
        <w:spacing w:after="120" w:line="240" w:lineRule="auto"/>
        <w:ind w:left="357" w:hanging="357"/>
        <w:contextualSpacing w:val="0"/>
        <w:rPr>
          <w:rFonts w:ascii="Calibri" w:eastAsia="Calibri" w:hAnsi="Calibri" w:cs="Calibri"/>
          <w:sz w:val="24"/>
          <w:szCs w:val="24"/>
        </w:rPr>
      </w:pPr>
      <w:r w:rsidRPr="00FF5544">
        <w:rPr>
          <w:rFonts w:ascii="Calibri" w:eastAsia="Calibri" w:hAnsi="Calibri" w:cs="Calibri"/>
          <w:sz w:val="24"/>
          <w:szCs w:val="24"/>
        </w:rPr>
        <w:t>This ruling and the consequent disapplication of the ‘conditional immunities scheme’ from the Legacy Act remove</w:t>
      </w:r>
      <w:r w:rsidR="004901B9">
        <w:rPr>
          <w:rFonts w:ascii="Calibri" w:eastAsia="Calibri" w:hAnsi="Calibri" w:cs="Calibri"/>
          <w:sz w:val="24"/>
          <w:szCs w:val="24"/>
        </w:rPr>
        <w:t>d</w:t>
      </w:r>
      <w:r w:rsidRPr="00FF5544">
        <w:rPr>
          <w:rFonts w:ascii="Calibri" w:eastAsia="Calibri" w:hAnsi="Calibri" w:cs="Calibri"/>
          <w:sz w:val="24"/>
          <w:szCs w:val="24"/>
        </w:rPr>
        <w:t xml:space="preserve"> the primary reason why reconciliation was included as the primary objective of the ICRIR</w:t>
      </w:r>
      <w:r w:rsidR="004901B9">
        <w:rPr>
          <w:rFonts w:ascii="Calibri" w:eastAsia="Calibri" w:hAnsi="Calibri" w:cs="Calibri"/>
          <w:sz w:val="24"/>
          <w:szCs w:val="24"/>
        </w:rPr>
        <w:t xml:space="preserve"> and in the title of the Legacy Act</w:t>
      </w:r>
      <w:r w:rsidRPr="00FF5544">
        <w:rPr>
          <w:rFonts w:ascii="Calibri" w:eastAsia="Calibri" w:hAnsi="Calibri" w:cs="Calibri"/>
          <w:sz w:val="24"/>
          <w:szCs w:val="24"/>
        </w:rPr>
        <w:t xml:space="preserve">. </w:t>
      </w:r>
      <w:r w:rsidR="005E4560">
        <w:rPr>
          <w:rFonts w:ascii="Calibri" w:eastAsia="Calibri" w:hAnsi="Calibri" w:cs="Calibri"/>
          <w:sz w:val="24"/>
          <w:szCs w:val="24"/>
        </w:rPr>
        <w:t>Notably also t</w:t>
      </w:r>
      <w:r w:rsidRPr="006630D1">
        <w:rPr>
          <w:rFonts w:ascii="Calibri" w:eastAsia="Calibri" w:hAnsi="Calibri" w:cs="Calibri"/>
          <w:sz w:val="24"/>
          <w:szCs w:val="24"/>
        </w:rPr>
        <w:t xml:space="preserve">he ICRIR </w:t>
      </w:r>
      <w:r w:rsidR="004901B9" w:rsidRPr="006630D1">
        <w:rPr>
          <w:rFonts w:ascii="Calibri" w:eastAsia="Calibri" w:hAnsi="Calibri" w:cs="Calibri"/>
          <w:sz w:val="24"/>
          <w:szCs w:val="24"/>
        </w:rPr>
        <w:t xml:space="preserve">itself </w:t>
      </w:r>
      <w:r w:rsidRPr="006630D1">
        <w:rPr>
          <w:rFonts w:ascii="Calibri" w:eastAsia="Calibri" w:hAnsi="Calibri" w:cs="Calibri"/>
          <w:sz w:val="24"/>
          <w:szCs w:val="24"/>
        </w:rPr>
        <w:t>do</w:t>
      </w:r>
      <w:r w:rsidR="004901B9" w:rsidRPr="006630D1">
        <w:rPr>
          <w:rFonts w:ascii="Calibri" w:eastAsia="Calibri" w:hAnsi="Calibri" w:cs="Calibri"/>
          <w:sz w:val="24"/>
          <w:szCs w:val="24"/>
        </w:rPr>
        <w:t>es</w:t>
      </w:r>
      <w:r w:rsidRPr="006630D1">
        <w:rPr>
          <w:rFonts w:ascii="Calibri" w:eastAsia="Calibri" w:hAnsi="Calibri" w:cs="Calibri"/>
          <w:sz w:val="24"/>
          <w:szCs w:val="24"/>
        </w:rPr>
        <w:t xml:space="preserve"> not have a working definition of what ‘reconciliation’ would entail or theory of change explaining how the ICRIR’s work would contribute to reconciliation</w:t>
      </w:r>
      <w:r w:rsidR="005E4560" w:rsidRPr="006630D1">
        <w:rPr>
          <w:rFonts w:ascii="Calibri" w:eastAsia="Calibri" w:hAnsi="Calibri" w:cs="Calibri"/>
          <w:sz w:val="24"/>
          <w:szCs w:val="24"/>
        </w:rPr>
        <w:t>.</w:t>
      </w:r>
      <w:r w:rsidR="005E4560" w:rsidRPr="00FF5544">
        <w:rPr>
          <w:vertAlign w:val="superscript"/>
        </w:rPr>
        <w:footnoteReference w:id="47"/>
      </w:r>
      <w:r w:rsidRPr="006630D1">
        <w:rPr>
          <w:rFonts w:ascii="Calibri" w:eastAsia="Calibri" w:hAnsi="Calibri" w:cs="Calibri"/>
          <w:sz w:val="24"/>
          <w:szCs w:val="24"/>
        </w:rPr>
        <w:t xml:space="preserve"> </w:t>
      </w:r>
    </w:p>
    <w:p w14:paraId="51A72101" w14:textId="42CE7F96" w:rsidR="005E4560" w:rsidRDefault="005E4560" w:rsidP="006630D1">
      <w:pPr>
        <w:pStyle w:val="ListParagraph"/>
        <w:widowControl w:val="0"/>
        <w:numPr>
          <w:ilvl w:val="0"/>
          <w:numId w:val="2"/>
        </w:numPr>
        <w:spacing w:after="120" w:line="240" w:lineRule="auto"/>
        <w:contextualSpacing w:val="0"/>
        <w:rPr>
          <w:rFonts w:ascii="Calibri" w:eastAsia="Calibri" w:hAnsi="Calibri" w:cs="Calibri"/>
          <w:sz w:val="24"/>
          <w:szCs w:val="24"/>
        </w:rPr>
      </w:pPr>
      <w:r>
        <w:rPr>
          <w:rFonts w:ascii="Calibri" w:eastAsia="Calibri" w:hAnsi="Calibri" w:cs="Calibri"/>
          <w:sz w:val="24"/>
          <w:szCs w:val="24"/>
        </w:rPr>
        <w:t xml:space="preserve">The </w:t>
      </w:r>
      <w:r w:rsidRPr="00FF5544">
        <w:rPr>
          <w:rFonts w:ascii="Calibri" w:eastAsia="Calibri" w:hAnsi="Calibri" w:cs="Calibri"/>
          <w:sz w:val="24"/>
          <w:szCs w:val="24"/>
        </w:rPr>
        <w:t xml:space="preserve">concept of reconciliation as applied within the Legacy Act </w:t>
      </w:r>
      <w:r>
        <w:rPr>
          <w:rFonts w:ascii="Calibri" w:eastAsia="Calibri" w:hAnsi="Calibri" w:cs="Calibri"/>
          <w:sz w:val="24"/>
          <w:szCs w:val="24"/>
        </w:rPr>
        <w:t>has been further explored by academics, including the broader memorialisation provisions of the legislation.</w:t>
      </w:r>
      <w:r w:rsidR="00BE46B1" w:rsidRPr="00FF5544">
        <w:rPr>
          <w:vertAlign w:val="superscript"/>
        </w:rPr>
        <w:footnoteReference w:id="48"/>
      </w:r>
      <w:r w:rsidR="00BE46B1" w:rsidRPr="00FF5544">
        <w:rPr>
          <w:rFonts w:ascii="Calibri" w:eastAsia="Calibri" w:hAnsi="Calibri" w:cs="Calibri"/>
          <w:sz w:val="24"/>
          <w:szCs w:val="24"/>
        </w:rPr>
        <w:t xml:space="preserve"> Their analysis highlights that while international human rights bodies and criminal tribunals emphasise victim-</w:t>
      </w:r>
      <w:proofErr w:type="spellStart"/>
      <w:r w:rsidR="00BE46B1" w:rsidRPr="00FF5544">
        <w:rPr>
          <w:rFonts w:ascii="Calibri" w:eastAsia="Calibri" w:hAnsi="Calibri" w:cs="Calibri"/>
          <w:sz w:val="24"/>
          <w:szCs w:val="24"/>
        </w:rPr>
        <w:t>cent</w:t>
      </w:r>
      <w:r w:rsidR="007512BA">
        <w:rPr>
          <w:rFonts w:ascii="Calibri" w:eastAsia="Calibri" w:hAnsi="Calibri" w:cs="Calibri"/>
          <w:sz w:val="24"/>
          <w:szCs w:val="24"/>
        </w:rPr>
        <w:t>ered</w:t>
      </w:r>
      <w:proofErr w:type="spellEnd"/>
      <w:r w:rsidR="00BE46B1" w:rsidRPr="00FF5544">
        <w:rPr>
          <w:rFonts w:ascii="Calibri" w:eastAsia="Calibri" w:hAnsi="Calibri" w:cs="Calibri"/>
          <w:sz w:val="24"/>
          <w:szCs w:val="24"/>
        </w:rPr>
        <w:t>, inclusive, and gender-sensitive approaches to reconciliation, the Legacy Act fails to meet these standards. Instead, it promotes a narrow and outdated framing of reconciliation as merely addressing sectarian animosities, ignoring the need for a comprehensive acknowledgment of multiple narratives, including those critical of state actions</w:t>
      </w:r>
      <w:r w:rsidR="007512BA">
        <w:rPr>
          <w:rFonts w:ascii="Calibri" w:eastAsia="Calibri" w:hAnsi="Calibri" w:cs="Calibri"/>
          <w:sz w:val="24"/>
          <w:szCs w:val="24"/>
        </w:rPr>
        <w:t>.</w:t>
      </w:r>
      <w:r w:rsidR="00BE46B1" w:rsidRPr="00FF5544">
        <w:rPr>
          <w:vertAlign w:val="superscript"/>
        </w:rPr>
        <w:footnoteReference w:id="49"/>
      </w:r>
      <w:r w:rsidR="00BE46B1" w:rsidRPr="00FF5544">
        <w:rPr>
          <w:rFonts w:ascii="Calibri" w:eastAsia="Calibri" w:hAnsi="Calibri" w:cs="Calibri"/>
          <w:sz w:val="24"/>
          <w:szCs w:val="24"/>
        </w:rPr>
        <w:t xml:space="preserve"> They argue that the Act’s unilateral introduction, coupled with its neglect of dialogic processes, undermines its ability to foster genuine reconciliation, as required by international jurisprudence.</w:t>
      </w:r>
    </w:p>
    <w:p w14:paraId="2629E030" w14:textId="243E37D0" w:rsidR="00041B4C" w:rsidRPr="006630D1" w:rsidRDefault="00A57B8E" w:rsidP="006630D1">
      <w:pPr>
        <w:pStyle w:val="ListParagraph"/>
        <w:widowControl w:val="0"/>
        <w:spacing w:after="120" w:line="240" w:lineRule="auto"/>
        <w:ind w:left="360"/>
        <w:contextualSpacing w:val="0"/>
      </w:pPr>
      <w:r w:rsidRPr="006630D1">
        <w:rPr>
          <w:rFonts w:ascii="Calibri" w:eastAsia="Calibri" w:hAnsi="Calibri" w:cs="Calibri"/>
          <w:b/>
          <w:iCs/>
          <w:sz w:val="24"/>
          <w:szCs w:val="24"/>
        </w:rPr>
        <w:t xml:space="preserve">The Committee may wish to urge the UK Government to repeal and replace the Legacy </w:t>
      </w:r>
      <w:r w:rsidR="005E4560">
        <w:rPr>
          <w:rFonts w:ascii="Calibri" w:eastAsia="Calibri" w:hAnsi="Calibri" w:cs="Calibri"/>
          <w:b/>
          <w:iCs/>
          <w:sz w:val="24"/>
          <w:szCs w:val="24"/>
        </w:rPr>
        <w:t xml:space="preserve">Act, instead implement the existing UK-Ireland peace process agreement on transitional justice mechanisms; ensure that the </w:t>
      </w:r>
      <w:r w:rsidRPr="006630D1">
        <w:rPr>
          <w:rFonts w:ascii="Calibri" w:eastAsia="Calibri" w:hAnsi="Calibri" w:cs="Calibri"/>
          <w:b/>
          <w:iCs/>
          <w:sz w:val="24"/>
          <w:szCs w:val="24"/>
        </w:rPr>
        <w:t>role of reconciliation in the process is brought in line with international standards</w:t>
      </w:r>
      <w:r w:rsidR="005E4560">
        <w:rPr>
          <w:rFonts w:ascii="Calibri" w:eastAsia="Calibri" w:hAnsi="Calibri" w:cs="Calibri"/>
          <w:b/>
          <w:iCs/>
          <w:sz w:val="24"/>
          <w:szCs w:val="24"/>
        </w:rPr>
        <w:t xml:space="preserve">, and that the </w:t>
      </w:r>
      <w:r w:rsidRPr="006630D1">
        <w:rPr>
          <w:rFonts w:ascii="Calibri" w:eastAsia="Calibri" w:hAnsi="Calibri" w:cs="Calibri"/>
          <w:b/>
          <w:iCs/>
          <w:sz w:val="24"/>
          <w:szCs w:val="24"/>
        </w:rPr>
        <w:t>initiatives taken forward under the previous Government’s agenda are discontinued.</w:t>
      </w:r>
      <w:r w:rsidRPr="006630D1">
        <w:t xml:space="preserve"> </w:t>
      </w:r>
    </w:p>
    <w:p w14:paraId="34489B1C" w14:textId="07C3D75C" w:rsidR="00041B4C" w:rsidRDefault="00BE46B1" w:rsidP="006630D1">
      <w:pPr>
        <w:widowControl w:val="0"/>
        <w:pBdr>
          <w:top w:val="nil"/>
          <w:left w:val="nil"/>
          <w:bottom w:val="nil"/>
          <w:right w:val="nil"/>
          <w:between w:val="nil"/>
        </w:pBdr>
        <w:spacing w:before="132" w:line="240" w:lineRule="auto"/>
        <w:ind w:right="47"/>
        <w:jc w:val="right"/>
        <w:rPr>
          <w:rFonts w:ascii="Times New Roman" w:eastAsia="Times New Roman" w:hAnsi="Times New Roman" w:cs="Times New Roman"/>
          <w:color w:val="000000"/>
          <w:sz w:val="19"/>
          <w:szCs w:val="19"/>
        </w:rPr>
      </w:pPr>
      <w:r w:rsidRPr="00FF5544">
        <w:rPr>
          <w:rFonts w:ascii="Calibri" w:eastAsia="Calibri" w:hAnsi="Calibri" w:cs="Calibri"/>
          <w:b/>
          <w:color w:val="000000"/>
          <w:sz w:val="24"/>
          <w:szCs w:val="24"/>
        </w:rPr>
        <w:t xml:space="preserve">CAJ, </w:t>
      </w:r>
      <w:r w:rsidRPr="00FF5544">
        <w:rPr>
          <w:rFonts w:ascii="Calibri" w:eastAsia="Calibri" w:hAnsi="Calibri" w:cs="Calibri"/>
          <w:b/>
          <w:sz w:val="24"/>
          <w:szCs w:val="24"/>
        </w:rPr>
        <w:t>December</w:t>
      </w:r>
      <w:r w:rsidRPr="00FF5544">
        <w:rPr>
          <w:rFonts w:ascii="Calibri" w:eastAsia="Calibri" w:hAnsi="Calibri" w:cs="Calibri"/>
          <w:b/>
          <w:color w:val="000000"/>
          <w:sz w:val="24"/>
          <w:szCs w:val="24"/>
        </w:rPr>
        <w:t xml:space="preserve"> 202</w:t>
      </w:r>
      <w:r w:rsidRPr="00FF5544">
        <w:rPr>
          <w:rFonts w:ascii="Calibri" w:eastAsia="Calibri" w:hAnsi="Calibri" w:cs="Calibri"/>
          <w:b/>
          <w:sz w:val="24"/>
          <w:szCs w:val="24"/>
        </w:rPr>
        <w:t>4</w:t>
      </w:r>
    </w:p>
    <w:sectPr w:rsidR="00041B4C" w:rsidSect="0055173B">
      <w:headerReference w:type="default" r:id="rId8"/>
      <w:footerReference w:type="default" r:id="rId9"/>
      <w:pgSz w:w="11900" w:h="16820"/>
      <w:pgMar w:top="1440" w:right="1440" w:bottom="1440" w:left="1440"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892C9" w14:textId="77777777" w:rsidR="00D9319E" w:rsidRPr="00FF5544" w:rsidRDefault="00D9319E">
      <w:pPr>
        <w:spacing w:line="240" w:lineRule="auto"/>
      </w:pPr>
      <w:r w:rsidRPr="00FF5544">
        <w:separator/>
      </w:r>
    </w:p>
    <w:p w14:paraId="6F841A4F" w14:textId="77777777" w:rsidR="00D9319E" w:rsidRPr="00FF5544" w:rsidRDefault="00D9319E"/>
  </w:endnote>
  <w:endnote w:type="continuationSeparator" w:id="0">
    <w:p w14:paraId="1CD2AF77" w14:textId="77777777" w:rsidR="00D9319E" w:rsidRPr="00FF5544" w:rsidRDefault="00D9319E">
      <w:pPr>
        <w:spacing w:line="240" w:lineRule="auto"/>
      </w:pPr>
      <w:r w:rsidRPr="00FF5544">
        <w:continuationSeparator/>
      </w:r>
    </w:p>
    <w:p w14:paraId="59A2193B" w14:textId="77777777" w:rsidR="00D9319E" w:rsidRPr="00FF5544" w:rsidRDefault="00D931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0848661"/>
      <w:docPartObj>
        <w:docPartGallery w:val="Page Numbers (Bottom of Page)"/>
        <w:docPartUnique/>
      </w:docPartObj>
    </w:sdtPr>
    <w:sdtEndPr/>
    <w:sdtContent>
      <w:p w14:paraId="3FAA36D0" w14:textId="6F372796" w:rsidR="00540F53" w:rsidRPr="00FF5544" w:rsidRDefault="00540F53">
        <w:pPr>
          <w:pStyle w:val="Footer"/>
          <w:jc w:val="right"/>
        </w:pPr>
        <w:r w:rsidRPr="00FF5544">
          <w:fldChar w:fldCharType="begin"/>
        </w:r>
        <w:r w:rsidRPr="00FF5544">
          <w:instrText xml:space="preserve"> PAGE   \* MERGEFORMAT </w:instrText>
        </w:r>
        <w:r w:rsidRPr="00FF5544">
          <w:fldChar w:fldCharType="separate"/>
        </w:r>
        <w:r w:rsidRPr="00FF5544">
          <w:t>2</w:t>
        </w:r>
        <w:r w:rsidRPr="00FF5544">
          <w:fldChar w:fldCharType="end"/>
        </w:r>
      </w:p>
    </w:sdtContent>
  </w:sdt>
  <w:p w14:paraId="7CA3E71E" w14:textId="77777777" w:rsidR="00540F53" w:rsidRPr="00FF5544" w:rsidRDefault="00540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A1139" w14:textId="77777777" w:rsidR="00D9319E" w:rsidRPr="00FF5544" w:rsidRDefault="00D9319E">
      <w:pPr>
        <w:spacing w:line="240" w:lineRule="auto"/>
      </w:pPr>
      <w:r w:rsidRPr="00FF5544">
        <w:separator/>
      </w:r>
    </w:p>
    <w:p w14:paraId="20137FCA" w14:textId="77777777" w:rsidR="00D9319E" w:rsidRPr="00FF5544" w:rsidRDefault="00D9319E"/>
  </w:footnote>
  <w:footnote w:type="continuationSeparator" w:id="0">
    <w:p w14:paraId="33EA27B6" w14:textId="77777777" w:rsidR="00D9319E" w:rsidRPr="00FF5544" w:rsidRDefault="00D9319E">
      <w:pPr>
        <w:spacing w:line="240" w:lineRule="auto"/>
      </w:pPr>
      <w:r w:rsidRPr="00FF5544">
        <w:continuationSeparator/>
      </w:r>
    </w:p>
    <w:p w14:paraId="39023348" w14:textId="77777777" w:rsidR="00D9319E" w:rsidRPr="00FF5544" w:rsidRDefault="00D9319E"/>
  </w:footnote>
  <w:footnote w:id="1">
    <w:p w14:paraId="0C2F212C" w14:textId="2B3E8C20" w:rsidR="00F25E1E" w:rsidRPr="00803721" w:rsidRDefault="00F25E1E" w:rsidP="009B1241">
      <w:pPr>
        <w:pStyle w:val="FootnoteText"/>
        <w:rPr>
          <w:rFonts w:asciiTheme="majorHAnsi" w:hAnsiTheme="majorHAnsi" w:cstheme="majorHAnsi"/>
          <w:lang w:val="en-US"/>
        </w:rPr>
      </w:pPr>
      <w:r w:rsidRPr="00803721">
        <w:rPr>
          <w:rStyle w:val="FootnoteReference"/>
          <w:rFonts w:asciiTheme="majorHAnsi" w:hAnsiTheme="majorHAnsi" w:cstheme="majorHAnsi"/>
        </w:rPr>
        <w:footnoteRef/>
      </w:r>
      <w:r w:rsidRPr="00803721">
        <w:rPr>
          <w:rFonts w:asciiTheme="majorHAnsi" w:hAnsiTheme="majorHAnsi" w:cstheme="majorHAnsi"/>
        </w:rPr>
        <w:t xml:space="preserve"> </w:t>
      </w:r>
      <w:hyperlink r:id="rId1" w:history="1">
        <w:r w:rsidRPr="00803721">
          <w:rPr>
            <w:rStyle w:val="Hyperlink"/>
            <w:rFonts w:asciiTheme="majorHAnsi" w:hAnsiTheme="majorHAnsi" w:cstheme="majorHAnsi"/>
          </w:rPr>
          <w:t>E/C.12/GBR/7 Seventh periodic report submitted by the UK, June 2022</w:t>
        </w:r>
      </w:hyperlink>
      <w:r w:rsidRPr="00803721">
        <w:rPr>
          <w:rFonts w:asciiTheme="majorHAnsi" w:hAnsiTheme="majorHAnsi" w:cstheme="majorHAnsi"/>
        </w:rPr>
        <w:t xml:space="preserve"> </w:t>
      </w:r>
    </w:p>
  </w:footnote>
  <w:footnote w:id="2">
    <w:p w14:paraId="5A5F48F2" w14:textId="7D6421C0" w:rsidR="00F25E1E" w:rsidRPr="00803721" w:rsidRDefault="00F25E1E" w:rsidP="009B1241">
      <w:pPr>
        <w:spacing w:line="240" w:lineRule="auto"/>
        <w:rPr>
          <w:rFonts w:asciiTheme="majorHAnsi" w:hAnsiTheme="majorHAnsi" w:cstheme="majorHAnsi"/>
          <w:sz w:val="20"/>
          <w:szCs w:val="20"/>
          <w:lang w:val="en-US"/>
        </w:rPr>
      </w:pPr>
      <w:r w:rsidRPr="00803721">
        <w:rPr>
          <w:rStyle w:val="FootnoteReference"/>
          <w:rFonts w:asciiTheme="majorHAnsi" w:hAnsiTheme="majorHAnsi" w:cstheme="majorHAnsi"/>
          <w:sz w:val="20"/>
          <w:szCs w:val="20"/>
        </w:rPr>
        <w:footnoteRef/>
      </w:r>
      <w:r w:rsidRPr="00803721">
        <w:rPr>
          <w:rFonts w:asciiTheme="majorHAnsi" w:hAnsiTheme="majorHAnsi" w:cstheme="majorHAnsi"/>
          <w:sz w:val="20"/>
          <w:szCs w:val="20"/>
        </w:rPr>
        <w:t xml:space="preserve"> </w:t>
      </w:r>
      <w:hyperlink r:id="rId2" w:history="1">
        <w:r w:rsidRPr="00803721">
          <w:rPr>
            <w:rStyle w:val="Hyperlink"/>
            <w:rFonts w:asciiTheme="majorHAnsi" w:eastAsia="Calibri" w:hAnsiTheme="majorHAnsi" w:cstheme="majorHAnsi"/>
            <w:sz w:val="20"/>
            <w:szCs w:val="20"/>
          </w:rPr>
          <w:t>Submission from the Committee on the Administration of Justice (CAJ) to the Committee on Economic, Social and Cultural Rights (CESCR) 72 Pre-Sessional Working Group (PSWG), 6-10 March 2023, List of Issues (</w:t>
        </w:r>
        <w:proofErr w:type="spellStart"/>
        <w:r w:rsidRPr="00803721">
          <w:rPr>
            <w:rStyle w:val="Hyperlink"/>
            <w:rFonts w:asciiTheme="majorHAnsi" w:eastAsia="Calibri" w:hAnsiTheme="majorHAnsi" w:cstheme="majorHAnsi"/>
            <w:sz w:val="20"/>
            <w:szCs w:val="20"/>
          </w:rPr>
          <w:t>LoI</w:t>
        </w:r>
        <w:proofErr w:type="spellEnd"/>
        <w:r w:rsidRPr="00803721">
          <w:rPr>
            <w:rStyle w:val="Hyperlink"/>
            <w:rFonts w:asciiTheme="majorHAnsi" w:eastAsia="Calibri" w:hAnsiTheme="majorHAnsi" w:cstheme="majorHAnsi"/>
            <w:sz w:val="20"/>
            <w:szCs w:val="20"/>
          </w:rPr>
          <w:t>) for the United Kingdom</w:t>
        </w:r>
      </w:hyperlink>
    </w:p>
  </w:footnote>
  <w:footnote w:id="3">
    <w:p w14:paraId="42FA7A6F" w14:textId="6BD9C836" w:rsidR="009B1241" w:rsidRPr="00803721" w:rsidRDefault="009B1241" w:rsidP="009B1241">
      <w:pPr>
        <w:widowControl w:val="0"/>
        <w:pBdr>
          <w:top w:val="nil"/>
          <w:left w:val="nil"/>
          <w:bottom w:val="nil"/>
          <w:right w:val="nil"/>
          <w:between w:val="nil"/>
        </w:pBdr>
        <w:spacing w:line="240" w:lineRule="auto"/>
        <w:ind w:right="426"/>
        <w:rPr>
          <w:rFonts w:asciiTheme="majorHAnsi" w:hAnsiTheme="majorHAnsi" w:cstheme="majorHAnsi"/>
          <w:sz w:val="20"/>
          <w:szCs w:val="20"/>
          <w:lang w:val="en-US"/>
        </w:rPr>
      </w:pPr>
      <w:r w:rsidRPr="00803721">
        <w:rPr>
          <w:rStyle w:val="FootnoteReference"/>
          <w:rFonts w:asciiTheme="majorHAnsi" w:hAnsiTheme="majorHAnsi" w:cstheme="majorHAnsi"/>
          <w:sz w:val="20"/>
          <w:szCs w:val="20"/>
        </w:rPr>
        <w:footnoteRef/>
      </w:r>
      <w:r w:rsidRPr="00803721">
        <w:rPr>
          <w:rFonts w:asciiTheme="majorHAnsi" w:hAnsiTheme="majorHAnsi" w:cstheme="majorHAnsi"/>
          <w:sz w:val="20"/>
          <w:szCs w:val="20"/>
        </w:rPr>
        <w:t xml:space="preserve"> </w:t>
      </w:r>
      <w:hyperlink r:id="rId3" w:history="1">
        <w:r w:rsidRPr="00803721">
          <w:rPr>
            <w:rStyle w:val="Hyperlink"/>
            <w:rFonts w:asciiTheme="majorHAnsi" w:eastAsia="Cambria" w:hAnsiTheme="majorHAnsi" w:cstheme="majorHAnsi"/>
            <w:sz w:val="20"/>
            <w:szCs w:val="20"/>
          </w:rPr>
          <w:t>CESCR -77 Session (10 Feb 2025 - 28 Feb 2025)</w:t>
        </w:r>
      </w:hyperlink>
    </w:p>
  </w:footnote>
  <w:footnote w:id="4">
    <w:p w14:paraId="1120991D" w14:textId="77777777" w:rsidR="009B1241" w:rsidRPr="00803721" w:rsidRDefault="009B1241" w:rsidP="009B1241">
      <w:pPr>
        <w:widowControl w:val="0"/>
        <w:pBdr>
          <w:top w:val="nil"/>
          <w:left w:val="nil"/>
          <w:bottom w:val="nil"/>
          <w:right w:val="nil"/>
          <w:between w:val="nil"/>
        </w:pBdr>
        <w:spacing w:line="240" w:lineRule="auto"/>
        <w:ind w:right="426"/>
        <w:rPr>
          <w:rStyle w:val="Hyperlink"/>
          <w:rFonts w:asciiTheme="majorHAnsi" w:hAnsiTheme="majorHAnsi" w:cstheme="majorHAnsi"/>
          <w:sz w:val="20"/>
          <w:szCs w:val="20"/>
        </w:rPr>
      </w:pPr>
      <w:r w:rsidRPr="00803721">
        <w:rPr>
          <w:rStyle w:val="FootnoteReference"/>
          <w:rFonts w:asciiTheme="majorHAnsi" w:hAnsiTheme="majorHAnsi" w:cstheme="majorHAnsi"/>
          <w:sz w:val="20"/>
          <w:szCs w:val="20"/>
        </w:rPr>
        <w:footnoteRef/>
      </w:r>
      <w:r w:rsidRPr="00803721">
        <w:rPr>
          <w:rFonts w:asciiTheme="majorHAnsi" w:hAnsiTheme="majorHAnsi" w:cstheme="majorHAnsi"/>
          <w:sz w:val="20"/>
          <w:szCs w:val="20"/>
        </w:rPr>
        <w:t xml:space="preserve"> </w:t>
      </w:r>
      <w:hyperlink r:id="rId4" w:history="1">
        <w:r w:rsidRPr="00803721">
          <w:rPr>
            <w:rStyle w:val="Hyperlink"/>
            <w:rFonts w:asciiTheme="majorHAnsi" w:hAnsiTheme="majorHAnsi" w:cstheme="majorHAnsi"/>
            <w:sz w:val="20"/>
            <w:szCs w:val="20"/>
          </w:rPr>
          <w:t>E/C.12/GBR/Q/7 List of issues in relation to the seventh periodic report of UK (March 2023)</w:t>
        </w:r>
      </w:hyperlink>
    </w:p>
    <w:p w14:paraId="56C49460" w14:textId="2A9EA98E" w:rsidR="009B1241" w:rsidRPr="009B1241" w:rsidRDefault="009B1241">
      <w:pPr>
        <w:pStyle w:val="FootnoteText"/>
        <w:rPr>
          <w:lang w:val="en-US"/>
        </w:rPr>
      </w:pPr>
    </w:p>
  </w:footnote>
  <w:footnote w:id="5">
    <w:p w14:paraId="0703D858" w14:textId="2622B72B" w:rsidR="009B1241" w:rsidRPr="00803721" w:rsidRDefault="009B1241" w:rsidP="009B1241">
      <w:pPr>
        <w:widowControl w:val="0"/>
        <w:pBdr>
          <w:top w:val="nil"/>
          <w:left w:val="nil"/>
          <w:bottom w:val="nil"/>
          <w:right w:val="nil"/>
          <w:between w:val="nil"/>
        </w:pBdr>
        <w:spacing w:line="240" w:lineRule="auto"/>
        <w:ind w:right="32"/>
        <w:rPr>
          <w:rFonts w:asciiTheme="majorHAnsi" w:eastAsia="Calibri" w:hAnsiTheme="majorHAnsi" w:cstheme="majorHAnsi"/>
          <w:color w:val="000000"/>
          <w:sz w:val="20"/>
          <w:szCs w:val="20"/>
        </w:rPr>
      </w:pPr>
      <w:r w:rsidRPr="00803721">
        <w:rPr>
          <w:rStyle w:val="FootnoteReference"/>
          <w:rFonts w:asciiTheme="majorHAnsi" w:hAnsiTheme="majorHAnsi" w:cstheme="majorHAnsi"/>
          <w:sz w:val="20"/>
          <w:szCs w:val="20"/>
        </w:rPr>
        <w:footnoteRef/>
      </w:r>
      <w:r w:rsidRPr="00803721">
        <w:rPr>
          <w:rFonts w:asciiTheme="majorHAnsi" w:hAnsiTheme="majorHAnsi" w:cstheme="majorHAnsi"/>
          <w:sz w:val="20"/>
          <w:szCs w:val="20"/>
        </w:rPr>
        <w:t xml:space="preserve"> </w:t>
      </w:r>
      <w:r w:rsidRPr="00803721">
        <w:rPr>
          <w:rFonts w:asciiTheme="majorHAnsi" w:eastAsia="Calibri" w:hAnsiTheme="majorHAnsi" w:cstheme="majorHAnsi"/>
          <w:color w:val="000000"/>
          <w:sz w:val="20"/>
          <w:szCs w:val="20"/>
        </w:rPr>
        <w:t>The Northern Ireland Bill of Rights has been an entirely process to the various proposals from UK Governments for a UK-wide British Bill of Rights.</w:t>
      </w:r>
    </w:p>
  </w:footnote>
  <w:footnote w:id="6">
    <w:p w14:paraId="6DCA5973" w14:textId="77777777" w:rsidR="00041B4C" w:rsidRPr="00803721" w:rsidRDefault="00BE46B1" w:rsidP="009B1241">
      <w:pPr>
        <w:spacing w:line="240" w:lineRule="auto"/>
        <w:rPr>
          <w:rFonts w:asciiTheme="majorHAnsi" w:hAnsiTheme="majorHAnsi" w:cstheme="majorHAnsi"/>
          <w:sz w:val="20"/>
          <w:szCs w:val="20"/>
          <w:vertAlign w:val="superscript"/>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vertAlign w:val="superscript"/>
        </w:rPr>
        <w:t xml:space="preserve"> </w:t>
      </w:r>
      <w:r w:rsidRPr="00803721">
        <w:rPr>
          <w:rFonts w:asciiTheme="majorHAnsi" w:eastAsia="Calibri" w:hAnsiTheme="majorHAnsi" w:cstheme="majorHAnsi"/>
          <w:sz w:val="20"/>
          <w:szCs w:val="20"/>
        </w:rPr>
        <w:t>E/C.12/GBR/CO/6 Concluding Observations on the UK, 2016, Paras 9-10.</w:t>
      </w:r>
    </w:p>
  </w:footnote>
  <w:footnote w:id="7">
    <w:p w14:paraId="06D67ABB" w14:textId="77777777" w:rsidR="00041B4C" w:rsidRPr="00803721" w:rsidRDefault="00BE46B1">
      <w:pPr>
        <w:spacing w:line="240" w:lineRule="auto"/>
        <w:rPr>
          <w:rFonts w:asciiTheme="majorHAnsi" w:hAnsiTheme="majorHAnsi" w:cstheme="majorHAnsi"/>
          <w:sz w:val="20"/>
          <w:szCs w:val="20"/>
          <w:vertAlign w:val="superscript"/>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vertAlign w:val="superscript"/>
        </w:rPr>
        <w:t xml:space="preserve"> </w:t>
      </w:r>
      <w:r w:rsidRPr="00803721">
        <w:rPr>
          <w:rFonts w:asciiTheme="majorHAnsi" w:eastAsia="Calibri" w:hAnsiTheme="majorHAnsi" w:cstheme="majorHAnsi"/>
          <w:color w:val="0563C1"/>
          <w:sz w:val="20"/>
          <w:szCs w:val="20"/>
          <w:u w:val="single"/>
        </w:rPr>
        <w:t>https://www.gov.uk/government/news/deal-to-see-restored-government-in-northern-ireland-tomorrow</w:t>
      </w:r>
      <w:r w:rsidRPr="00803721">
        <w:rPr>
          <w:rFonts w:asciiTheme="majorHAnsi" w:eastAsia="Calibri" w:hAnsiTheme="majorHAnsi" w:cstheme="majorHAnsi"/>
          <w:color w:val="0563C1"/>
          <w:sz w:val="20"/>
          <w:szCs w:val="20"/>
        </w:rPr>
        <w:t xml:space="preserve"> </w:t>
      </w:r>
    </w:p>
  </w:footnote>
  <w:footnote w:id="8">
    <w:p w14:paraId="6D2F056A" w14:textId="6FA534E2" w:rsidR="00041B4C" w:rsidRPr="00FF5544"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r w:rsidR="00214A69" w:rsidRPr="00803721">
        <w:rPr>
          <w:rFonts w:asciiTheme="majorHAnsi" w:hAnsiTheme="majorHAnsi" w:cstheme="majorHAnsi"/>
          <w:sz w:val="20"/>
          <w:szCs w:val="20"/>
        </w:rPr>
        <w:t>h</w:t>
      </w:r>
      <w:r w:rsidRPr="00803721">
        <w:rPr>
          <w:rFonts w:asciiTheme="majorHAnsi" w:eastAsia="Calibri" w:hAnsiTheme="majorHAnsi" w:cstheme="majorHAnsi"/>
          <w:color w:val="0563C1"/>
          <w:sz w:val="20"/>
          <w:szCs w:val="20"/>
          <w:u w:val="single"/>
        </w:rPr>
        <w:t>ttps://www.coe.int/en/web/commissioner/-/united-kingdom-commissioner-warns-against-regression-on human-rights-calls-for-concrete-steps-to-protect-children-s-rights-and-to-tackle-human-rights-issues-in northern-</w:t>
      </w:r>
      <w:proofErr w:type="spellStart"/>
      <w:r w:rsidRPr="00803721">
        <w:rPr>
          <w:rFonts w:asciiTheme="majorHAnsi" w:eastAsia="Calibri" w:hAnsiTheme="majorHAnsi" w:cstheme="majorHAnsi"/>
          <w:color w:val="0563C1"/>
          <w:sz w:val="20"/>
          <w:szCs w:val="20"/>
          <w:u w:val="single"/>
        </w:rPr>
        <w:t>ireland</w:t>
      </w:r>
      <w:proofErr w:type="spellEnd"/>
    </w:p>
  </w:footnote>
  <w:footnote w:id="9">
    <w:p w14:paraId="3FEF972A" w14:textId="354A95ED" w:rsidR="00041B4C" w:rsidRPr="00803721" w:rsidRDefault="00BE46B1">
      <w:pPr>
        <w:spacing w:line="240" w:lineRule="auto"/>
        <w:rPr>
          <w:rFonts w:asciiTheme="majorHAnsi" w:hAnsiTheme="majorHAnsi" w:cstheme="majorHAnsi"/>
          <w:sz w:val="20"/>
          <w:szCs w:val="20"/>
        </w:rPr>
      </w:pPr>
      <w:r w:rsidRPr="00807AEA">
        <w:rPr>
          <w:rFonts w:asciiTheme="majorHAnsi" w:hAnsiTheme="majorHAnsi" w:cstheme="majorHAnsi"/>
          <w:sz w:val="20"/>
          <w:szCs w:val="20"/>
          <w:vertAlign w:val="superscript"/>
        </w:rPr>
        <w:footnoteRef/>
      </w:r>
      <w:r w:rsidR="00807AEA" w:rsidRPr="00807AEA">
        <w:rPr>
          <w:rFonts w:asciiTheme="majorHAnsi" w:hAnsiTheme="majorHAnsi" w:cstheme="majorHAnsi"/>
        </w:rPr>
        <w:t xml:space="preserve"> </w:t>
      </w:r>
      <w:hyperlink r:id="rId5" w:history="1">
        <w:r w:rsidR="00807AEA" w:rsidRPr="00807AEA">
          <w:rPr>
            <w:rStyle w:val="Hyperlink"/>
            <w:rFonts w:asciiTheme="majorHAnsi" w:hAnsiTheme="majorHAnsi" w:cstheme="majorHAnsi"/>
            <w:sz w:val="20"/>
            <w:szCs w:val="20"/>
          </w:rPr>
          <w:t>E/C.12/GBR/RQ/7</w:t>
        </w:r>
        <w:r w:rsidR="00807AEA" w:rsidRPr="00807AEA">
          <w:rPr>
            <w:rStyle w:val="Hyperlink"/>
            <w:rFonts w:asciiTheme="majorHAnsi" w:hAnsiTheme="majorHAnsi" w:cstheme="majorHAnsi"/>
            <w:sz w:val="20"/>
            <w:szCs w:val="20"/>
          </w:rPr>
          <w:t xml:space="preserve"> Reply of U</w:t>
        </w:r>
        <w:r w:rsidR="00807AEA" w:rsidRPr="00807AEA">
          <w:rPr>
            <w:rStyle w:val="Hyperlink"/>
            <w:rFonts w:asciiTheme="majorHAnsi" w:hAnsiTheme="majorHAnsi" w:cstheme="majorHAnsi"/>
            <w:sz w:val="20"/>
            <w:szCs w:val="20"/>
          </w:rPr>
          <w:t>K</w:t>
        </w:r>
        <w:r w:rsidR="00807AEA" w:rsidRPr="00807AEA">
          <w:rPr>
            <w:rStyle w:val="Hyperlink"/>
            <w:rFonts w:asciiTheme="majorHAnsi" w:hAnsiTheme="majorHAnsi" w:cstheme="majorHAnsi"/>
            <w:sz w:val="20"/>
            <w:szCs w:val="20"/>
          </w:rPr>
          <w:t xml:space="preserve"> to CESCR L</w:t>
        </w:r>
        <w:r w:rsidR="00807AEA" w:rsidRPr="00807AEA">
          <w:rPr>
            <w:rStyle w:val="Hyperlink"/>
            <w:rFonts w:asciiTheme="majorHAnsi" w:hAnsiTheme="majorHAnsi" w:cstheme="majorHAnsi"/>
            <w:sz w:val="20"/>
            <w:szCs w:val="20"/>
          </w:rPr>
          <w:t>i</w:t>
        </w:r>
        <w:r w:rsidR="00807AEA" w:rsidRPr="00807AEA">
          <w:rPr>
            <w:rStyle w:val="Hyperlink"/>
            <w:rFonts w:asciiTheme="majorHAnsi" w:hAnsiTheme="majorHAnsi" w:cstheme="majorHAnsi"/>
            <w:sz w:val="20"/>
            <w:szCs w:val="20"/>
          </w:rPr>
          <w:t>st of Issues</w:t>
        </w:r>
      </w:hyperlink>
      <w:r w:rsidR="00807AEA" w:rsidRPr="00807AEA">
        <w:rPr>
          <w:rFonts w:asciiTheme="majorHAnsi" w:hAnsiTheme="majorHAnsi" w:cstheme="majorHAnsi"/>
          <w:sz w:val="20"/>
          <w:szCs w:val="20"/>
        </w:rPr>
        <w:t xml:space="preserve">, 2024. </w:t>
      </w:r>
    </w:p>
  </w:footnote>
  <w:footnote w:id="10">
    <w:p w14:paraId="6586F036" w14:textId="4A311A36" w:rsidR="00041B4C" w:rsidRPr="00803721" w:rsidRDefault="00BE46B1">
      <w:pPr>
        <w:spacing w:line="240" w:lineRule="auto"/>
        <w:rPr>
          <w:rFonts w:asciiTheme="majorHAnsi" w:eastAsia="Calibr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r w:rsidRPr="00803721">
        <w:rPr>
          <w:rFonts w:asciiTheme="majorHAnsi" w:eastAsia="Calibri" w:hAnsiTheme="majorHAnsi" w:cstheme="majorHAnsi"/>
          <w:sz w:val="20"/>
          <w:szCs w:val="20"/>
        </w:rPr>
        <w:t>The text of the GFA commitment is: “</w:t>
      </w:r>
      <w:r w:rsidRPr="00803721">
        <w:rPr>
          <w:rFonts w:asciiTheme="majorHAnsi" w:eastAsia="Calibri" w:hAnsiTheme="majorHAnsi" w:cstheme="majorHAnsi"/>
          <w:i/>
          <w:iCs/>
          <w:sz w:val="20"/>
          <w:szCs w:val="20"/>
        </w:rPr>
        <w:t xml:space="preserve">The new Northern Ireland Human Rights Commission </w:t>
      </w:r>
      <w:r w:rsidR="00214A69" w:rsidRPr="00803721">
        <w:rPr>
          <w:rFonts w:asciiTheme="majorHAnsi" w:eastAsia="Calibri" w:hAnsiTheme="majorHAnsi" w:cstheme="majorHAnsi"/>
          <w:i/>
          <w:iCs/>
          <w:sz w:val="20"/>
          <w:szCs w:val="20"/>
        </w:rPr>
        <w:t>…</w:t>
      </w:r>
      <w:r w:rsidRPr="00803721">
        <w:rPr>
          <w:rFonts w:asciiTheme="majorHAnsi" w:eastAsia="Calibri" w:hAnsiTheme="majorHAnsi" w:cstheme="majorHAnsi"/>
          <w:i/>
          <w:iCs/>
          <w:sz w:val="20"/>
          <w:szCs w:val="20"/>
        </w:rPr>
        <w:t xml:space="preserve"> will be invited to consult and to advise on the scope for defining, in Westminster legislation, rights supplementary to those in the European Convention on Human Rights, to reflect the </w:t>
      </w:r>
      <w:proofErr w:type="gramStart"/>
      <w:r w:rsidRPr="00803721">
        <w:rPr>
          <w:rFonts w:asciiTheme="majorHAnsi" w:eastAsia="Calibri" w:hAnsiTheme="majorHAnsi" w:cstheme="majorHAnsi"/>
          <w:i/>
          <w:iCs/>
          <w:sz w:val="20"/>
          <w:szCs w:val="20"/>
        </w:rPr>
        <w:t>particular circumstances</w:t>
      </w:r>
      <w:proofErr w:type="gramEnd"/>
      <w:r w:rsidRPr="00803721">
        <w:rPr>
          <w:rFonts w:asciiTheme="majorHAnsi" w:eastAsia="Calibri" w:hAnsiTheme="majorHAnsi" w:cstheme="majorHAnsi"/>
          <w:i/>
          <w:iCs/>
          <w:sz w:val="20"/>
          <w:szCs w:val="20"/>
        </w:rPr>
        <w:t xml:space="preserve"> of Northern Ireland, drawing as appropriate on international instruments and experience. These additional rights to reflect the principles of mutual respect for the identity and ethos of both communities and parity of esteem, and - taken together with the ECHR - to constitute a Bill of Rights for Northern Ireland</w:t>
      </w:r>
      <w:proofErr w:type="gramStart"/>
      <w:r w:rsidR="00214A69" w:rsidRPr="00803721">
        <w:rPr>
          <w:rFonts w:asciiTheme="majorHAnsi" w:eastAsia="Calibri" w:hAnsiTheme="majorHAnsi" w:cstheme="majorHAnsi"/>
          <w:i/>
          <w:iCs/>
          <w:sz w:val="20"/>
          <w:szCs w:val="20"/>
        </w:rPr>
        <w:t>..</w:t>
      </w:r>
      <w:r w:rsidRPr="00803721">
        <w:rPr>
          <w:rFonts w:asciiTheme="majorHAnsi" w:eastAsia="Calibri" w:hAnsiTheme="majorHAnsi" w:cstheme="majorHAnsi"/>
          <w:i/>
          <w:iCs/>
          <w:sz w:val="20"/>
          <w:szCs w:val="20"/>
        </w:rPr>
        <w:t>.</w:t>
      </w:r>
      <w:r w:rsidRPr="00803721">
        <w:rPr>
          <w:rFonts w:asciiTheme="majorHAnsi" w:eastAsia="Calibri" w:hAnsiTheme="majorHAnsi" w:cstheme="majorHAnsi"/>
          <w:sz w:val="20"/>
          <w:szCs w:val="20"/>
        </w:rPr>
        <w:t>(</w:t>
      </w:r>
      <w:proofErr w:type="gramEnd"/>
      <w:r w:rsidRPr="00803721">
        <w:rPr>
          <w:rFonts w:asciiTheme="majorHAnsi" w:eastAsia="Calibri" w:hAnsiTheme="majorHAnsi" w:cstheme="majorHAnsi"/>
          <w:sz w:val="20"/>
          <w:szCs w:val="20"/>
        </w:rPr>
        <w:t>GFA, Rights, Safeguards and Equality of Opportunity Section, paragraph 4).</w:t>
      </w:r>
    </w:p>
  </w:footnote>
  <w:footnote w:id="11">
    <w:p w14:paraId="04BA2C2D" w14:textId="05D9050B" w:rsidR="00041B4C" w:rsidRPr="00803721"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hyperlink r:id="rId6" w:history="1">
        <w:r w:rsidRPr="00807AEA">
          <w:rPr>
            <w:rStyle w:val="Hyperlink"/>
            <w:rFonts w:asciiTheme="majorHAnsi" w:eastAsia="Calibri" w:hAnsiTheme="majorHAnsi" w:cstheme="majorHAnsi"/>
            <w:sz w:val="20"/>
            <w:szCs w:val="20"/>
          </w:rPr>
          <w:t>S28E Northern Ireland Act 1998</w:t>
        </w:r>
      </w:hyperlink>
      <w:r w:rsidRPr="00803721">
        <w:rPr>
          <w:rFonts w:asciiTheme="majorHAnsi" w:eastAsia="Calibri" w:hAnsiTheme="majorHAnsi" w:cstheme="majorHAnsi"/>
          <w:sz w:val="20"/>
          <w:szCs w:val="20"/>
        </w:rPr>
        <w:t xml:space="preserve"> (as inserted by the Northern Ireland (St Andrews Agreement) Act 2006)</w:t>
      </w:r>
      <w:r w:rsidR="00214A69" w:rsidRPr="00803721">
        <w:rPr>
          <w:rFonts w:asciiTheme="majorHAnsi" w:eastAsia="Calibri" w:hAnsiTheme="majorHAnsi" w:cstheme="majorHAnsi"/>
          <w:sz w:val="20"/>
          <w:szCs w:val="20"/>
        </w:rPr>
        <w:t xml:space="preserve"> S28E Strategy relating to poverty, social exclusion etc 1) The Executive Committee </w:t>
      </w:r>
      <w:r w:rsidR="00387EB1" w:rsidRPr="00803721">
        <w:rPr>
          <w:rFonts w:asciiTheme="majorHAnsi" w:eastAsia="Calibri" w:hAnsiTheme="majorHAnsi" w:cstheme="majorHAnsi"/>
          <w:sz w:val="20"/>
          <w:szCs w:val="20"/>
        </w:rPr>
        <w:t xml:space="preserve">(Northern Ireland Executive) </w:t>
      </w:r>
      <w:r w:rsidR="00214A69" w:rsidRPr="00803721">
        <w:rPr>
          <w:rFonts w:asciiTheme="majorHAnsi" w:eastAsia="Calibri" w:hAnsiTheme="majorHAnsi" w:cstheme="majorHAnsi"/>
          <w:sz w:val="20"/>
          <w:szCs w:val="20"/>
        </w:rPr>
        <w:t>shall adopt a strategy setting out how it proposes to tackle poverty, social exclusion and patterns of deprivation based on objective need.  2) The Executive Committee - (a) must keep under review the strategy; and (b) may from time to time adopt a new strategy or revise the strategy.</w:t>
      </w:r>
    </w:p>
  </w:footnote>
  <w:footnote w:id="12">
    <w:p w14:paraId="753D64AE" w14:textId="64F59773" w:rsidR="00041B4C" w:rsidRPr="00803721"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hyperlink r:id="rId7" w:history="1">
        <w:r w:rsidRPr="00807AEA">
          <w:rPr>
            <w:rStyle w:val="Hyperlink"/>
            <w:rFonts w:asciiTheme="majorHAnsi" w:eastAsia="Calibri" w:hAnsiTheme="majorHAnsi" w:cstheme="majorHAnsi"/>
            <w:sz w:val="20"/>
            <w:szCs w:val="20"/>
          </w:rPr>
          <w:t>Application for Judicial Review by the Committee on the Administration of Justice 2015 NIQB 59</w:t>
        </w:r>
      </w:hyperlink>
    </w:p>
  </w:footnote>
  <w:footnote w:id="13">
    <w:p w14:paraId="4F4C591A" w14:textId="77777777" w:rsidR="00041B4C" w:rsidRPr="00803721"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r w:rsidRPr="00803721">
        <w:rPr>
          <w:rFonts w:asciiTheme="majorHAnsi" w:eastAsia="Calibri" w:hAnsiTheme="majorHAnsi" w:cstheme="majorHAnsi"/>
          <w:sz w:val="20"/>
          <w:szCs w:val="20"/>
        </w:rPr>
        <w:t>E/C.12/GBR/CO/6 Concluding Observations on the UK, 2016, para 48.</w:t>
      </w:r>
    </w:p>
  </w:footnote>
  <w:footnote w:id="14">
    <w:p w14:paraId="55A1F663" w14:textId="7DF5FEDB" w:rsidR="00387EB1" w:rsidRPr="00FF5544" w:rsidRDefault="00387EB1" w:rsidP="00387E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009541E4" w:rsidRPr="00803721">
        <w:rPr>
          <w:rFonts w:asciiTheme="majorHAnsi" w:hAnsiTheme="majorHAnsi" w:cstheme="majorHAnsi"/>
          <w:sz w:val="20"/>
          <w:szCs w:val="20"/>
        </w:rPr>
        <w:t xml:space="preserve"> See</w:t>
      </w:r>
      <w:hyperlink r:id="rId8" w:anchor=":~:text=%E2%80%98Progressing%20an%20anti-poverty%20strategy%20for%20Northern%20Ireland%E2%80%99%20was,day%20one%20priority%20for%20the%20next%20NI%20Executive." w:history="1">
        <w:r w:rsidRPr="00807AEA">
          <w:rPr>
            <w:rStyle w:val="Hyperlink"/>
            <w:rFonts w:asciiTheme="majorHAnsi" w:hAnsiTheme="majorHAnsi" w:cstheme="majorHAnsi"/>
            <w:sz w:val="20"/>
            <w:szCs w:val="20"/>
          </w:rPr>
          <w:t xml:space="preserve"> Equality Coalition ‘Progressing an anti-poverty strategy for Northern Ireland’ 2023</w:t>
        </w:r>
      </w:hyperlink>
      <w:r w:rsidRPr="00803721">
        <w:rPr>
          <w:rFonts w:asciiTheme="majorHAnsi" w:hAnsiTheme="majorHAnsi" w:cstheme="majorHAnsi"/>
          <w:sz w:val="20"/>
          <w:szCs w:val="20"/>
        </w:rPr>
        <w:t>. Page</w:t>
      </w:r>
      <w:r w:rsidR="009541E4" w:rsidRPr="00803721">
        <w:rPr>
          <w:rFonts w:asciiTheme="majorHAnsi" w:hAnsiTheme="majorHAnsi" w:cstheme="majorHAnsi"/>
          <w:sz w:val="20"/>
          <w:szCs w:val="20"/>
        </w:rPr>
        <w:t xml:space="preserve"> </w:t>
      </w:r>
      <w:r w:rsidRPr="00803721">
        <w:rPr>
          <w:rFonts w:asciiTheme="majorHAnsi" w:hAnsiTheme="majorHAnsi" w:cstheme="majorHAnsi"/>
          <w:sz w:val="20"/>
          <w:szCs w:val="20"/>
        </w:rPr>
        <w:t>21</w:t>
      </w:r>
      <w:r w:rsidR="009541E4" w:rsidRPr="00803721">
        <w:rPr>
          <w:rFonts w:asciiTheme="majorHAnsi" w:hAnsiTheme="majorHAnsi" w:cstheme="majorHAnsi"/>
          <w:sz w:val="20"/>
          <w:szCs w:val="20"/>
        </w:rPr>
        <w:t xml:space="preserve"> where officials confirm the draft Anti-Poverty Strategy had been prepared for incoming ministers. </w:t>
      </w:r>
      <w:r w:rsidRPr="00803721">
        <w:rPr>
          <w:rFonts w:asciiTheme="majorHAnsi" w:hAnsiTheme="majorHAnsi" w:cstheme="majorHAnsi"/>
          <w:sz w:val="20"/>
          <w:szCs w:val="20"/>
        </w:rPr>
        <w:t xml:space="preserve"> </w:t>
      </w:r>
    </w:p>
  </w:footnote>
  <w:footnote w:id="15">
    <w:p w14:paraId="6D20AB27" w14:textId="22385F04" w:rsidR="009541E4" w:rsidRPr="00803721" w:rsidRDefault="009541E4" w:rsidP="009541E4">
      <w:pPr>
        <w:pStyle w:val="FootnoteText"/>
        <w:rPr>
          <w:rFonts w:asciiTheme="majorHAnsi" w:hAnsiTheme="majorHAnsi" w:cstheme="majorHAnsi"/>
          <w:lang w:val="en-US"/>
        </w:rPr>
      </w:pPr>
      <w:r w:rsidRPr="00803721">
        <w:rPr>
          <w:rStyle w:val="FootnoteReference"/>
          <w:rFonts w:asciiTheme="majorHAnsi" w:hAnsiTheme="majorHAnsi" w:cstheme="majorHAnsi"/>
        </w:rPr>
        <w:footnoteRef/>
      </w:r>
      <w:r w:rsidRPr="00803721">
        <w:rPr>
          <w:rFonts w:asciiTheme="majorHAnsi" w:hAnsiTheme="majorHAnsi" w:cstheme="majorHAnsi"/>
        </w:rPr>
        <w:t xml:space="preserve"> See </w:t>
      </w:r>
      <w:hyperlink r:id="rId9" w:history="1">
        <w:r w:rsidRPr="00807AEA">
          <w:rPr>
            <w:rStyle w:val="Hyperlink"/>
            <w:rFonts w:asciiTheme="majorHAnsi" w:hAnsiTheme="majorHAnsi" w:cstheme="majorHAnsi"/>
          </w:rPr>
          <w:t>Written Evidence from the Equality Coalition to the Committee for Communities of the Northern Ireland Assembly – the Anti-Poverty Strategy</w:t>
        </w:r>
      </w:hyperlink>
      <w:r w:rsidR="00807AEA">
        <w:rPr>
          <w:rFonts w:asciiTheme="majorHAnsi" w:hAnsiTheme="majorHAnsi" w:cstheme="majorHAnsi"/>
        </w:rPr>
        <w:t>,</w:t>
      </w:r>
      <w:r w:rsidRPr="00803721">
        <w:rPr>
          <w:rFonts w:asciiTheme="majorHAnsi" w:hAnsiTheme="majorHAnsi" w:cstheme="majorHAnsi"/>
        </w:rPr>
        <w:t xml:space="preserve"> April 2024</w:t>
      </w:r>
      <w:r w:rsidR="00807AEA">
        <w:rPr>
          <w:rFonts w:asciiTheme="majorHAnsi" w:hAnsiTheme="majorHAnsi" w:cstheme="majorHAnsi"/>
        </w:rPr>
        <w:t>.</w:t>
      </w:r>
    </w:p>
  </w:footnote>
  <w:footnote w:id="16">
    <w:p w14:paraId="666931D1" w14:textId="67A1E090" w:rsidR="008C1703" w:rsidRPr="00803721" w:rsidRDefault="008C1703" w:rsidP="008C1703">
      <w:pPr>
        <w:pStyle w:val="FootnoteText"/>
        <w:rPr>
          <w:rFonts w:asciiTheme="majorHAnsi" w:hAnsiTheme="majorHAnsi" w:cstheme="majorHAnsi"/>
        </w:rPr>
      </w:pPr>
      <w:r w:rsidRPr="00803721">
        <w:rPr>
          <w:rStyle w:val="FootnoteReference"/>
          <w:rFonts w:asciiTheme="majorHAnsi" w:hAnsiTheme="majorHAnsi" w:cstheme="majorHAnsi"/>
        </w:rPr>
        <w:footnoteRef/>
      </w:r>
      <w:r w:rsidRPr="00803721">
        <w:rPr>
          <w:rFonts w:asciiTheme="majorHAnsi" w:hAnsiTheme="majorHAnsi" w:cstheme="majorHAnsi"/>
        </w:rPr>
        <w:t xml:space="preserve"> St Andrew’s Agreement 2006, 15(</w:t>
      </w:r>
      <w:proofErr w:type="spellStart"/>
      <w:r w:rsidRPr="00803721">
        <w:rPr>
          <w:rFonts w:asciiTheme="majorHAnsi" w:hAnsiTheme="majorHAnsi" w:cstheme="majorHAnsi"/>
        </w:rPr>
        <w:t>i</w:t>
      </w:r>
      <w:proofErr w:type="spellEnd"/>
      <w:r w:rsidRPr="00803721">
        <w:rPr>
          <w:rFonts w:asciiTheme="majorHAnsi" w:hAnsiTheme="majorHAnsi" w:cstheme="majorHAnsi"/>
        </w:rPr>
        <w:t xml:space="preserve">). </w:t>
      </w:r>
    </w:p>
  </w:footnote>
  <w:footnote w:id="17">
    <w:p w14:paraId="0A14FFAB" w14:textId="79467698" w:rsidR="00F438F6" w:rsidRPr="00803721" w:rsidRDefault="00F438F6" w:rsidP="00F438F6">
      <w:pPr>
        <w:pStyle w:val="FootnoteText"/>
        <w:rPr>
          <w:rFonts w:asciiTheme="majorHAnsi" w:hAnsiTheme="majorHAnsi" w:cstheme="majorHAnsi"/>
        </w:rPr>
      </w:pPr>
      <w:r w:rsidRPr="00803721">
        <w:rPr>
          <w:rStyle w:val="FootnoteReference"/>
          <w:rFonts w:asciiTheme="majorHAnsi" w:hAnsiTheme="majorHAnsi" w:cstheme="majorHAnsi"/>
        </w:rPr>
        <w:footnoteRef/>
      </w:r>
      <w:r w:rsidRPr="00803721">
        <w:rPr>
          <w:rFonts w:asciiTheme="majorHAnsi" w:hAnsiTheme="majorHAnsi" w:cstheme="majorHAnsi"/>
        </w:rPr>
        <w:t xml:space="preserve"> </w:t>
      </w:r>
      <w:hyperlink r:id="rId10" w:history="1">
        <w:r w:rsidR="00DE7640" w:rsidRPr="00DE7640">
          <w:rPr>
            <w:rStyle w:val="Hyperlink"/>
            <w:rFonts w:asciiTheme="majorHAnsi" w:hAnsiTheme="majorHAnsi" w:cstheme="majorHAnsi"/>
          </w:rPr>
          <w:t xml:space="preserve">Conradh Na </w:t>
        </w:r>
        <w:proofErr w:type="spellStart"/>
        <w:r w:rsidR="00DE7640" w:rsidRPr="00DE7640">
          <w:rPr>
            <w:rStyle w:val="Hyperlink"/>
            <w:rFonts w:asciiTheme="majorHAnsi" w:hAnsiTheme="majorHAnsi" w:cstheme="majorHAnsi"/>
          </w:rPr>
          <w:t>Gaeilge's</w:t>
        </w:r>
        <w:proofErr w:type="spellEnd"/>
        <w:r w:rsidR="00DE7640" w:rsidRPr="00DE7640">
          <w:rPr>
            <w:rStyle w:val="Hyperlink"/>
            <w:rFonts w:asciiTheme="majorHAnsi" w:hAnsiTheme="majorHAnsi" w:cstheme="majorHAnsi"/>
          </w:rPr>
          <w:t xml:space="preserve"> Application</w:t>
        </w:r>
        <w:r w:rsidR="00DE7640" w:rsidRPr="00DE7640">
          <w:rPr>
            <w:rStyle w:val="Hyperlink"/>
            <w:rFonts w:asciiTheme="majorHAnsi" w:hAnsiTheme="majorHAnsi" w:cstheme="majorHAnsi"/>
          </w:rPr>
          <w:t xml:space="preserve"> </w:t>
        </w:r>
        <w:r w:rsidRPr="00DE7640">
          <w:rPr>
            <w:rStyle w:val="Hyperlink"/>
            <w:rFonts w:asciiTheme="majorHAnsi" w:hAnsiTheme="majorHAnsi" w:cstheme="majorHAnsi"/>
          </w:rPr>
          <w:t>[2017] NIQB 27</w:t>
        </w:r>
      </w:hyperlink>
      <w:r w:rsidR="00807AEA">
        <w:rPr>
          <w:rFonts w:asciiTheme="majorHAnsi" w:hAnsiTheme="majorHAnsi" w:cstheme="majorHAnsi"/>
        </w:rPr>
        <w:t>.</w:t>
      </w:r>
    </w:p>
  </w:footnote>
  <w:footnote w:id="18">
    <w:p w14:paraId="1EA74C5E" w14:textId="77777777" w:rsidR="00DE7640" w:rsidRPr="00FF5544" w:rsidRDefault="00DE7640" w:rsidP="00DE7640">
      <w:pPr>
        <w:pStyle w:val="FootnoteText"/>
        <w:rPr>
          <w:rFonts w:asciiTheme="majorHAnsi" w:hAnsiTheme="majorHAnsi" w:cstheme="majorHAnsi"/>
        </w:rPr>
      </w:pPr>
      <w:r w:rsidRPr="00803721">
        <w:rPr>
          <w:rStyle w:val="FootnoteReference"/>
          <w:rFonts w:asciiTheme="majorHAnsi" w:hAnsiTheme="majorHAnsi" w:cstheme="majorHAnsi"/>
        </w:rPr>
        <w:footnoteRef/>
      </w:r>
      <w:r w:rsidRPr="00803721">
        <w:rPr>
          <w:rFonts w:asciiTheme="majorHAnsi" w:hAnsiTheme="majorHAnsi" w:cstheme="majorHAnsi"/>
        </w:rPr>
        <w:t xml:space="preserve"> </w:t>
      </w:r>
      <w:r w:rsidRPr="00DE7640">
        <w:rPr>
          <w:rFonts w:asciiTheme="majorHAnsi" w:hAnsiTheme="majorHAnsi" w:cstheme="majorHAnsi"/>
        </w:rPr>
        <w:t xml:space="preserve">Conradh Na </w:t>
      </w:r>
      <w:proofErr w:type="spellStart"/>
      <w:r w:rsidRPr="00DE7640">
        <w:rPr>
          <w:rFonts w:asciiTheme="majorHAnsi" w:hAnsiTheme="majorHAnsi" w:cstheme="majorHAnsi"/>
        </w:rPr>
        <w:t>Gaeilge's</w:t>
      </w:r>
      <w:proofErr w:type="spellEnd"/>
      <w:r w:rsidRPr="00DE7640">
        <w:rPr>
          <w:rFonts w:asciiTheme="majorHAnsi" w:hAnsiTheme="majorHAnsi" w:cstheme="majorHAnsi"/>
        </w:rPr>
        <w:t xml:space="preserve"> Application</w:t>
      </w:r>
      <w:r>
        <w:rPr>
          <w:rFonts w:asciiTheme="majorHAnsi" w:hAnsiTheme="majorHAnsi" w:cstheme="majorHAnsi"/>
        </w:rPr>
        <w:t xml:space="preserve"> </w:t>
      </w:r>
      <w:hyperlink r:id="rId11" w:history="1">
        <w:r w:rsidRPr="00DE7640">
          <w:rPr>
            <w:rStyle w:val="Hyperlink"/>
            <w:rFonts w:asciiTheme="majorHAnsi" w:hAnsiTheme="majorHAnsi" w:cstheme="majorHAnsi"/>
          </w:rPr>
          <w:t>[2022] NIQB 56.</w:t>
        </w:r>
      </w:hyperlink>
    </w:p>
  </w:footnote>
  <w:footnote w:id="19">
    <w:p w14:paraId="17E22489" w14:textId="77777777" w:rsidR="0030021B" w:rsidRPr="00803721" w:rsidRDefault="0030021B" w:rsidP="0030021B">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hyperlink r:id="rId12">
        <w:r w:rsidRPr="00803721">
          <w:rPr>
            <w:rFonts w:asciiTheme="majorHAnsi" w:hAnsiTheme="majorHAnsi" w:cstheme="majorHAnsi"/>
            <w:color w:val="1155CC"/>
            <w:sz w:val="20"/>
            <w:szCs w:val="20"/>
            <w:u w:val="single"/>
          </w:rPr>
          <w:t>https://rm.coe.int/united-kingdomecrml6-en/1680b1a73f</w:t>
        </w:r>
      </w:hyperlink>
    </w:p>
  </w:footnote>
  <w:footnote w:id="20">
    <w:p w14:paraId="43B62240" w14:textId="335542C4" w:rsidR="0030021B" w:rsidRPr="00803721" w:rsidRDefault="0030021B" w:rsidP="0030021B">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r w:rsidRPr="00803721">
        <w:rPr>
          <w:rFonts w:asciiTheme="majorHAnsi" w:eastAsia="Calibri" w:hAnsiTheme="majorHAnsi" w:cstheme="majorHAnsi"/>
          <w:sz w:val="20"/>
          <w:szCs w:val="20"/>
        </w:rPr>
        <w:t xml:space="preserve">Department for Communities, </w:t>
      </w:r>
      <w:hyperlink r:id="rId13">
        <w:r w:rsidRPr="00803721">
          <w:rPr>
            <w:rFonts w:asciiTheme="majorHAnsi" w:eastAsia="Calibri" w:hAnsiTheme="majorHAnsi" w:cstheme="majorHAnsi"/>
            <w:color w:val="1155CC"/>
            <w:sz w:val="20"/>
            <w:szCs w:val="20"/>
            <w:u w:val="single"/>
          </w:rPr>
          <w:t>Ulster-Scots Language, Heritage and Culture Strategy Expert Advisory Panel Recommendation Report</w:t>
        </w:r>
      </w:hyperlink>
      <w:r w:rsidRPr="00803721">
        <w:rPr>
          <w:rFonts w:asciiTheme="majorHAnsi" w:eastAsia="Calibri" w:hAnsiTheme="majorHAnsi" w:cstheme="majorHAnsi"/>
          <w:sz w:val="20"/>
          <w:szCs w:val="20"/>
        </w:rPr>
        <w:t>, May 2022</w:t>
      </w:r>
    </w:p>
  </w:footnote>
  <w:footnote w:id="21">
    <w:p w14:paraId="3D4CD115" w14:textId="4BAF83B4" w:rsidR="0030021B" w:rsidRPr="00803721" w:rsidRDefault="0030021B" w:rsidP="0030021B">
      <w:pPr>
        <w:pStyle w:val="FootnoteText"/>
        <w:rPr>
          <w:rFonts w:asciiTheme="majorHAnsi" w:hAnsiTheme="majorHAnsi" w:cstheme="majorHAnsi"/>
        </w:rPr>
      </w:pPr>
      <w:r w:rsidRPr="00803721">
        <w:rPr>
          <w:rStyle w:val="FootnoteReference"/>
          <w:rFonts w:asciiTheme="majorHAnsi" w:hAnsiTheme="majorHAnsi" w:cstheme="majorHAnsi"/>
        </w:rPr>
        <w:footnoteRef/>
      </w:r>
      <w:r w:rsidRPr="00803721">
        <w:rPr>
          <w:rFonts w:asciiTheme="majorHAnsi" w:hAnsiTheme="majorHAnsi" w:cstheme="majorHAnsi"/>
        </w:rPr>
        <w:t xml:space="preserve"> </w:t>
      </w:r>
      <w:hyperlink r:id="rId14" w:history="1">
        <w:r w:rsidRPr="00803721">
          <w:rPr>
            <w:rStyle w:val="Hyperlink"/>
            <w:rFonts w:asciiTheme="majorHAnsi" w:hAnsiTheme="majorHAnsi" w:cstheme="majorHAnsi"/>
          </w:rPr>
          <w:t>https://rm.coe.int/united-kingdomecrml6-en/1680b1a73f 2.2.3</w:t>
        </w:r>
      </w:hyperlink>
      <w:r w:rsidRPr="00803721">
        <w:rPr>
          <w:rFonts w:asciiTheme="majorHAnsi" w:hAnsiTheme="majorHAnsi" w:cstheme="majorHAnsi"/>
        </w:rPr>
        <w:t xml:space="preserve"> I(a)</w:t>
      </w:r>
      <w:r w:rsidR="00DE7640">
        <w:rPr>
          <w:rFonts w:asciiTheme="majorHAnsi" w:hAnsiTheme="majorHAnsi" w:cstheme="majorHAnsi"/>
        </w:rPr>
        <w:t xml:space="preserve"> [Emphasis added]</w:t>
      </w:r>
    </w:p>
  </w:footnote>
  <w:footnote w:id="22">
    <w:p w14:paraId="798B7860" w14:textId="547B209E" w:rsidR="00BA31C1" w:rsidRPr="00803721" w:rsidRDefault="00BA31C1" w:rsidP="00BA31C1">
      <w:pPr>
        <w:pStyle w:val="FootnoteText"/>
        <w:rPr>
          <w:rFonts w:asciiTheme="majorHAnsi" w:hAnsiTheme="majorHAnsi" w:cstheme="majorHAnsi"/>
          <w:lang w:val="en-US"/>
        </w:rPr>
      </w:pPr>
      <w:r w:rsidRPr="00803721">
        <w:rPr>
          <w:rStyle w:val="FootnoteReference"/>
          <w:rFonts w:asciiTheme="majorHAnsi" w:hAnsiTheme="majorHAnsi" w:cstheme="majorHAnsi"/>
        </w:rPr>
        <w:footnoteRef/>
      </w:r>
      <w:r w:rsidRPr="00803721">
        <w:rPr>
          <w:rFonts w:asciiTheme="majorHAnsi" w:hAnsiTheme="majorHAnsi" w:cstheme="majorHAnsi"/>
        </w:rPr>
        <w:t xml:space="preserve"> </w:t>
      </w:r>
      <w:r w:rsidRPr="00803721">
        <w:rPr>
          <w:rFonts w:asciiTheme="majorHAnsi" w:hAnsiTheme="majorHAnsi" w:cstheme="majorHAnsi"/>
          <w:lang w:val="en-US"/>
        </w:rPr>
        <w:t xml:space="preserve">For further detail see </w:t>
      </w:r>
      <w:hyperlink r:id="rId15" w:history="1">
        <w:r w:rsidRPr="00803721">
          <w:rPr>
            <w:rStyle w:val="Hyperlink"/>
            <w:rFonts w:asciiTheme="majorHAnsi" w:hAnsiTheme="majorHAnsi" w:cstheme="majorHAnsi"/>
            <w:lang w:val="en-US"/>
          </w:rPr>
          <w:t xml:space="preserve">CAJ </w:t>
        </w:r>
        <w:r w:rsidRPr="00803721">
          <w:rPr>
            <w:rStyle w:val="Hyperlink"/>
            <w:rFonts w:asciiTheme="majorHAnsi" w:hAnsiTheme="majorHAnsi" w:cstheme="majorHAnsi"/>
          </w:rPr>
          <w:t xml:space="preserve">Submission </w:t>
        </w:r>
        <w:r w:rsidRPr="00803721">
          <w:rPr>
            <w:rStyle w:val="Hyperlink"/>
            <w:rFonts w:asciiTheme="majorHAnsi" w:hAnsiTheme="majorHAnsi" w:cstheme="majorHAnsi"/>
            <w:lang w:val="en-US"/>
          </w:rPr>
          <w:t>to COMEX</w:t>
        </w:r>
        <w:r w:rsidRPr="00803721">
          <w:rPr>
            <w:rStyle w:val="Hyperlink"/>
            <w:rFonts w:asciiTheme="majorHAnsi" w:hAnsiTheme="majorHAnsi" w:cstheme="majorHAnsi"/>
          </w:rPr>
          <w:t xml:space="preserve"> on 6th UK periodic report compliance with the </w:t>
        </w:r>
        <w:r w:rsidRPr="00803721">
          <w:rPr>
            <w:rStyle w:val="Hyperlink"/>
            <w:rFonts w:asciiTheme="majorHAnsi" w:hAnsiTheme="majorHAnsi" w:cstheme="majorHAnsi"/>
            <w:lang w:val="en-US"/>
          </w:rPr>
          <w:t xml:space="preserve">ECRML, </w:t>
        </w:r>
        <w:r w:rsidRPr="00803721">
          <w:rPr>
            <w:rStyle w:val="Hyperlink"/>
            <w:rFonts w:asciiTheme="majorHAnsi" w:hAnsiTheme="majorHAnsi" w:cstheme="majorHAnsi"/>
          </w:rPr>
          <w:t>February 2024</w:t>
        </w:r>
      </w:hyperlink>
      <w:r w:rsidRPr="00803721">
        <w:rPr>
          <w:rFonts w:asciiTheme="majorHAnsi" w:hAnsiTheme="majorHAnsi" w:cstheme="majorHAnsi"/>
          <w:lang w:val="en-US"/>
        </w:rPr>
        <w:t xml:space="preserve">. </w:t>
      </w:r>
    </w:p>
  </w:footnote>
  <w:footnote w:id="23">
    <w:p w14:paraId="65707263" w14:textId="77777777" w:rsidR="0030021B" w:rsidRPr="00803721" w:rsidRDefault="0030021B" w:rsidP="0030021B">
      <w:pPr>
        <w:pStyle w:val="FootnoteText"/>
        <w:rPr>
          <w:rFonts w:asciiTheme="majorHAnsi" w:hAnsiTheme="majorHAnsi" w:cstheme="majorHAnsi"/>
        </w:rPr>
      </w:pPr>
      <w:r w:rsidRPr="00803721">
        <w:rPr>
          <w:rStyle w:val="FootnoteReference"/>
          <w:rFonts w:asciiTheme="majorHAnsi" w:hAnsiTheme="majorHAnsi" w:cstheme="majorHAnsi"/>
        </w:rPr>
        <w:footnoteRef/>
      </w:r>
      <w:r w:rsidRPr="00803721">
        <w:rPr>
          <w:rFonts w:asciiTheme="majorHAnsi" w:hAnsiTheme="majorHAnsi" w:cstheme="majorHAnsi"/>
        </w:rPr>
        <w:t xml:space="preserve"> ACFC/OP/</w:t>
      </w:r>
      <w:proofErr w:type="gramStart"/>
      <w:r w:rsidRPr="00803721">
        <w:rPr>
          <w:rFonts w:asciiTheme="majorHAnsi" w:hAnsiTheme="majorHAnsi" w:cstheme="majorHAnsi"/>
        </w:rPr>
        <w:t>V(</w:t>
      </w:r>
      <w:proofErr w:type="gramEnd"/>
      <w:r w:rsidRPr="00803721">
        <w:rPr>
          <w:rFonts w:asciiTheme="majorHAnsi" w:hAnsiTheme="majorHAnsi" w:cstheme="majorHAnsi"/>
        </w:rPr>
        <w:t xml:space="preserve">2022)003, Fifth Opinion on UK, 2022, paragraph 11 </w:t>
      </w:r>
    </w:p>
  </w:footnote>
  <w:footnote w:id="24">
    <w:p w14:paraId="47D1B769" w14:textId="7F1999D3" w:rsidR="00800C4A" w:rsidRPr="00803721" w:rsidRDefault="00800C4A">
      <w:pPr>
        <w:pStyle w:val="FootnoteText"/>
        <w:rPr>
          <w:rFonts w:asciiTheme="majorHAnsi" w:hAnsiTheme="majorHAnsi" w:cstheme="majorHAnsi"/>
        </w:rPr>
      </w:pPr>
      <w:r w:rsidRPr="00803721">
        <w:rPr>
          <w:rStyle w:val="FootnoteReference"/>
          <w:rFonts w:asciiTheme="majorHAnsi" w:hAnsiTheme="majorHAnsi" w:cstheme="majorHAnsi"/>
        </w:rPr>
        <w:footnoteRef/>
      </w:r>
      <w:r w:rsidRPr="00803721">
        <w:rPr>
          <w:rFonts w:asciiTheme="majorHAnsi" w:hAnsiTheme="majorHAnsi" w:cstheme="majorHAnsi"/>
        </w:rPr>
        <w:t xml:space="preserve"> St Andrews Agreement 2006</w:t>
      </w:r>
    </w:p>
  </w:footnote>
  <w:footnote w:id="25">
    <w:p w14:paraId="20B8AAFE" w14:textId="629AC410" w:rsidR="00041B4C" w:rsidRPr="00FF5544"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r w:rsidRPr="00803721">
        <w:rPr>
          <w:rFonts w:asciiTheme="majorHAnsi" w:eastAsia="Calibri" w:hAnsiTheme="majorHAnsi" w:cstheme="majorHAnsi"/>
          <w:sz w:val="20"/>
          <w:szCs w:val="20"/>
        </w:rPr>
        <w:t>E/C.12/GBR/CO/6 Concluding Observations on the UK, 2016, paras 67-8.</w:t>
      </w:r>
      <w:r w:rsidRPr="00FF5544">
        <w:rPr>
          <w:rFonts w:asciiTheme="majorHAnsi" w:eastAsia="Calibri" w:hAnsiTheme="majorHAnsi" w:cstheme="majorHAnsi"/>
          <w:sz w:val="20"/>
          <w:szCs w:val="20"/>
        </w:rPr>
        <w:t xml:space="preserve">  </w:t>
      </w:r>
    </w:p>
  </w:footnote>
  <w:footnote w:id="26">
    <w:p w14:paraId="6784A212" w14:textId="77777777" w:rsidR="00041B4C" w:rsidRPr="00803721"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r w:rsidRPr="00803721">
        <w:rPr>
          <w:rFonts w:asciiTheme="majorHAnsi" w:eastAsia="Calibri" w:hAnsiTheme="majorHAnsi" w:cstheme="majorHAnsi"/>
          <w:sz w:val="20"/>
          <w:szCs w:val="20"/>
          <w:u w:val="single"/>
        </w:rPr>
        <w:t xml:space="preserve">https://www.legislation.gov.uk/ukpga/2022/45/enacted </w:t>
      </w:r>
    </w:p>
  </w:footnote>
  <w:footnote w:id="27">
    <w:p w14:paraId="664A7789" w14:textId="77777777" w:rsidR="00041B4C" w:rsidRPr="00803721"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r w:rsidRPr="00803721">
        <w:rPr>
          <w:rFonts w:asciiTheme="majorHAnsi" w:eastAsia="Calibri" w:hAnsiTheme="majorHAnsi" w:cstheme="majorHAnsi"/>
          <w:sz w:val="20"/>
          <w:szCs w:val="20"/>
        </w:rPr>
        <w:t xml:space="preserve">MIN-LANG (2021)3, ‘Evaluation by the Committee of Experts of the Implementation of </w:t>
      </w:r>
      <w:proofErr w:type="gramStart"/>
      <w:r w:rsidRPr="00803721">
        <w:rPr>
          <w:rFonts w:asciiTheme="majorHAnsi" w:eastAsia="Calibri" w:hAnsiTheme="majorHAnsi" w:cstheme="majorHAnsi"/>
          <w:sz w:val="20"/>
          <w:szCs w:val="20"/>
        </w:rPr>
        <w:t>the  Recommendations</w:t>
      </w:r>
      <w:proofErr w:type="gramEnd"/>
      <w:r w:rsidRPr="00803721">
        <w:rPr>
          <w:rFonts w:asciiTheme="majorHAnsi" w:eastAsia="Calibri" w:hAnsiTheme="majorHAnsi" w:cstheme="majorHAnsi"/>
          <w:sz w:val="20"/>
          <w:szCs w:val="20"/>
        </w:rPr>
        <w:t xml:space="preserve"> for Immediate Action contained in the Committee of Experts’ fifth evaluation report on the  UNITED KINGDOM and ISLE OF MAN’, Paragraphs 24-26.  </w:t>
      </w:r>
    </w:p>
  </w:footnote>
  <w:footnote w:id="28">
    <w:p w14:paraId="66985E3E" w14:textId="77777777" w:rsidR="0011706A" w:rsidRPr="00803721" w:rsidRDefault="0011706A" w:rsidP="0011706A">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hyperlink r:id="rId16">
        <w:r w:rsidRPr="00803721">
          <w:rPr>
            <w:rFonts w:asciiTheme="majorHAnsi" w:hAnsiTheme="majorHAnsi" w:cstheme="majorHAnsi"/>
            <w:color w:val="1155CC"/>
            <w:sz w:val="20"/>
            <w:szCs w:val="20"/>
            <w:highlight w:val="white"/>
            <w:u w:val="single"/>
          </w:rPr>
          <w:t>AQW 16568/22-27</w:t>
        </w:r>
      </w:hyperlink>
    </w:p>
  </w:footnote>
  <w:footnote w:id="29">
    <w:p w14:paraId="7624956E" w14:textId="77777777" w:rsidR="0011706A" w:rsidRPr="00803721" w:rsidRDefault="0011706A" w:rsidP="0011706A">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hyperlink r:id="rId17">
        <w:r w:rsidRPr="00803721">
          <w:rPr>
            <w:rFonts w:asciiTheme="majorHAnsi" w:hAnsiTheme="majorHAnsi" w:cstheme="majorHAnsi"/>
            <w:color w:val="1155CC"/>
            <w:sz w:val="20"/>
            <w:szCs w:val="20"/>
            <w:u w:val="single"/>
          </w:rPr>
          <w:t>https://rm.coe.int/united-kingdomecrml6-en/1680b1a73f</w:t>
        </w:r>
      </w:hyperlink>
      <w:r w:rsidRPr="00803721">
        <w:rPr>
          <w:rFonts w:asciiTheme="majorHAnsi" w:hAnsiTheme="majorHAnsi" w:cstheme="majorHAnsi"/>
          <w:sz w:val="20"/>
          <w:szCs w:val="20"/>
        </w:rPr>
        <w:t xml:space="preserve"> 1.1 (11)</w:t>
      </w:r>
    </w:p>
  </w:footnote>
  <w:footnote w:id="30">
    <w:p w14:paraId="7130339B" w14:textId="6BDA5B24" w:rsidR="009870A5" w:rsidRPr="00803721" w:rsidRDefault="009870A5" w:rsidP="009870A5">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00DE7640">
        <w:t xml:space="preserve"> </w:t>
      </w:r>
      <w:hyperlink r:id="rId18" w:history="1">
        <w:r w:rsidR="00DE7640" w:rsidRPr="00DE7640">
          <w:rPr>
            <w:rStyle w:val="Hyperlink"/>
            <w:rFonts w:asciiTheme="majorHAnsi" w:eastAsia="Calibri" w:hAnsiTheme="majorHAnsi" w:cstheme="majorHAnsi"/>
            <w:sz w:val="20"/>
            <w:szCs w:val="20"/>
          </w:rPr>
          <w:t>E/C.12/GBR/Q/7</w:t>
        </w:r>
        <w:r w:rsidR="00DE7640" w:rsidRPr="00DE7640">
          <w:rPr>
            <w:rStyle w:val="Hyperlink"/>
            <w:rFonts w:asciiTheme="majorHAnsi" w:eastAsia="Calibri" w:hAnsiTheme="majorHAnsi" w:cstheme="majorHAnsi"/>
            <w:sz w:val="20"/>
            <w:szCs w:val="20"/>
          </w:rPr>
          <w:t xml:space="preserve"> List of Issues for the UK </w:t>
        </w:r>
      </w:hyperlink>
      <w:r w:rsidR="00DE7640" w:rsidRPr="00DE7640">
        <w:rPr>
          <w:rFonts w:asciiTheme="majorHAnsi" w:eastAsia="Calibri" w:hAnsiTheme="majorHAnsi" w:cstheme="majorHAnsi"/>
          <w:sz w:val="20"/>
          <w:szCs w:val="20"/>
        </w:rPr>
        <w:t xml:space="preserve"> </w:t>
      </w:r>
    </w:p>
  </w:footnote>
  <w:footnote w:id="31">
    <w:p w14:paraId="2CAA6FC3" w14:textId="05988984" w:rsidR="00680CCE" w:rsidRPr="00680CCE" w:rsidRDefault="00680CCE">
      <w:pPr>
        <w:pStyle w:val="FootnoteText"/>
        <w:rPr>
          <w:rFonts w:asciiTheme="majorHAnsi" w:hAnsiTheme="majorHAnsi" w:cstheme="majorHAnsi"/>
          <w:lang w:val="en-US"/>
        </w:rPr>
      </w:pPr>
      <w:r w:rsidRPr="00803721">
        <w:rPr>
          <w:rStyle w:val="FootnoteReference"/>
          <w:rFonts w:asciiTheme="majorHAnsi" w:hAnsiTheme="majorHAnsi" w:cstheme="majorHAnsi"/>
        </w:rPr>
        <w:footnoteRef/>
      </w:r>
      <w:r w:rsidRPr="00803721">
        <w:rPr>
          <w:rFonts w:asciiTheme="majorHAnsi" w:hAnsiTheme="majorHAnsi" w:cstheme="majorHAnsi"/>
        </w:rPr>
        <w:t xml:space="preserve"> CERD/C/GBR/CO/24-26, CERD Concluding Observations on UK, 2024, p</w:t>
      </w:r>
      <w:proofErr w:type="spellStart"/>
      <w:r w:rsidRPr="00803721">
        <w:rPr>
          <w:rFonts w:asciiTheme="majorHAnsi" w:hAnsiTheme="majorHAnsi" w:cstheme="majorHAnsi"/>
          <w:lang w:val="en-US"/>
        </w:rPr>
        <w:t>ara</w:t>
      </w:r>
      <w:proofErr w:type="spellEnd"/>
      <w:r w:rsidRPr="00803721">
        <w:rPr>
          <w:rFonts w:asciiTheme="majorHAnsi" w:hAnsiTheme="majorHAnsi" w:cstheme="majorHAnsi"/>
          <w:lang w:val="en-US"/>
        </w:rPr>
        <w:t xml:space="preserve"> 25.</w:t>
      </w:r>
      <w:r w:rsidRPr="00680CCE">
        <w:rPr>
          <w:rFonts w:asciiTheme="majorHAnsi" w:hAnsiTheme="majorHAnsi" w:cstheme="majorHAnsi"/>
          <w:lang w:val="en-US"/>
        </w:rPr>
        <w:t xml:space="preserve">  </w:t>
      </w:r>
    </w:p>
  </w:footnote>
  <w:footnote w:id="32">
    <w:p w14:paraId="6C246106" w14:textId="3456615A" w:rsidR="00680CCE" w:rsidRPr="00803721" w:rsidRDefault="00680CCE">
      <w:pPr>
        <w:pStyle w:val="FootnoteText"/>
        <w:rPr>
          <w:rFonts w:asciiTheme="majorHAnsi" w:hAnsiTheme="majorHAnsi" w:cstheme="majorHAnsi"/>
          <w:lang w:val="en-US"/>
        </w:rPr>
      </w:pPr>
      <w:r w:rsidRPr="00803721">
        <w:rPr>
          <w:rStyle w:val="FootnoteReference"/>
          <w:rFonts w:asciiTheme="majorHAnsi" w:hAnsiTheme="majorHAnsi" w:cstheme="majorHAnsi"/>
        </w:rPr>
        <w:footnoteRef/>
      </w:r>
      <w:r w:rsidRPr="00803721">
        <w:rPr>
          <w:rFonts w:asciiTheme="majorHAnsi" w:hAnsiTheme="majorHAnsi" w:cstheme="majorHAnsi"/>
        </w:rPr>
        <w:t xml:space="preserve"> CERD/C/GBR/CO/24-26, CERD Concluding Observations on UK, 2024, p</w:t>
      </w:r>
      <w:proofErr w:type="spellStart"/>
      <w:r w:rsidRPr="00803721">
        <w:rPr>
          <w:rFonts w:asciiTheme="majorHAnsi" w:hAnsiTheme="majorHAnsi" w:cstheme="majorHAnsi"/>
          <w:lang w:val="en-US"/>
        </w:rPr>
        <w:t>ara</w:t>
      </w:r>
      <w:proofErr w:type="spellEnd"/>
      <w:r w:rsidRPr="00803721">
        <w:rPr>
          <w:rFonts w:asciiTheme="majorHAnsi" w:hAnsiTheme="majorHAnsi" w:cstheme="majorHAnsi"/>
          <w:lang w:val="en-US"/>
        </w:rPr>
        <w:t xml:space="preserve"> 26. </w:t>
      </w:r>
    </w:p>
  </w:footnote>
  <w:footnote w:id="33">
    <w:p w14:paraId="216659C2" w14:textId="6B3DE209" w:rsidR="00041B4C" w:rsidRPr="00803721"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r w:rsidRPr="00803721">
        <w:rPr>
          <w:rFonts w:asciiTheme="majorHAnsi" w:eastAsia="Calibri" w:hAnsiTheme="majorHAnsi" w:cstheme="majorHAnsi"/>
          <w:sz w:val="20"/>
          <w:szCs w:val="20"/>
        </w:rPr>
        <w:t xml:space="preserve">For further detail see CAJ </w:t>
      </w:r>
      <w:hyperlink r:id="rId19" w:history="1">
        <w:r w:rsidRPr="00803721">
          <w:rPr>
            <w:rStyle w:val="Hyperlink"/>
            <w:rFonts w:asciiTheme="majorHAnsi" w:eastAsia="Calibri" w:hAnsiTheme="majorHAnsi" w:cstheme="majorHAnsi"/>
            <w:sz w:val="20"/>
            <w:szCs w:val="20"/>
          </w:rPr>
          <w:t>Written Evidence to the UK Parliament ‘Inquiry into the effect of paramilitaries on  NI society’</w:t>
        </w:r>
      </w:hyperlink>
      <w:r w:rsidRPr="00803721">
        <w:rPr>
          <w:rFonts w:asciiTheme="majorHAnsi" w:eastAsia="Calibri" w:hAnsiTheme="majorHAnsi" w:cstheme="majorHAnsi"/>
          <w:sz w:val="20"/>
          <w:szCs w:val="20"/>
        </w:rPr>
        <w:t xml:space="preserve"> (June 2022) </w:t>
      </w:r>
    </w:p>
  </w:footnote>
  <w:footnote w:id="34">
    <w:p w14:paraId="5EA3DDAE" w14:textId="4EF6B099" w:rsidR="00041B4C" w:rsidRPr="00803721" w:rsidRDefault="00BE46B1">
      <w:pPr>
        <w:spacing w:line="240" w:lineRule="auto"/>
        <w:rPr>
          <w:rFonts w:asciiTheme="majorHAnsi" w:eastAsia="Calibr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r w:rsidRPr="00803721">
        <w:rPr>
          <w:rFonts w:asciiTheme="majorHAnsi" w:eastAsia="Calibri" w:hAnsiTheme="majorHAnsi" w:cstheme="majorHAnsi"/>
          <w:sz w:val="20"/>
          <w:szCs w:val="20"/>
        </w:rPr>
        <w:t xml:space="preserve">For further detail see </w:t>
      </w:r>
      <w:hyperlink r:id="rId20" w:history="1">
        <w:r w:rsidRPr="008A6193">
          <w:rPr>
            <w:rStyle w:val="Hyperlink"/>
            <w:rFonts w:asciiTheme="majorHAnsi" w:eastAsia="Calibri" w:hAnsiTheme="majorHAnsi" w:cstheme="majorHAnsi"/>
            <w:sz w:val="20"/>
            <w:szCs w:val="20"/>
          </w:rPr>
          <w:t>CAJ Written Evidence to the Northern Ireland Affairs Committee of the UK Parliament inquiry into ‘The effect of paramilitaries on society in Northern Ireland’</w:t>
        </w:r>
      </w:hyperlink>
      <w:r w:rsidRPr="00803721">
        <w:rPr>
          <w:rFonts w:asciiTheme="majorHAnsi" w:eastAsia="Calibri" w:hAnsiTheme="majorHAnsi" w:cstheme="majorHAnsi"/>
          <w:sz w:val="20"/>
          <w:szCs w:val="20"/>
        </w:rPr>
        <w:t>, May 2022</w:t>
      </w:r>
    </w:p>
  </w:footnote>
  <w:footnote w:id="35">
    <w:p w14:paraId="0830FC59" w14:textId="77777777" w:rsidR="00041B4C" w:rsidRPr="00FF5544"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hyperlink r:id="rId21">
        <w:r w:rsidR="00041B4C" w:rsidRPr="00803721">
          <w:rPr>
            <w:rFonts w:asciiTheme="majorHAnsi" w:hAnsiTheme="majorHAnsi" w:cstheme="majorHAnsi"/>
            <w:color w:val="1155CC"/>
            <w:sz w:val="20"/>
            <w:szCs w:val="20"/>
            <w:u w:val="single"/>
          </w:rPr>
          <w:t>https://www.northernireland.gov.uk/sites/default/files/publications/newnigov/Executive%20Action%20Plan%20-%20Tackling%20Paramilitary%20Activity.pdf</w:t>
        </w:r>
      </w:hyperlink>
    </w:p>
  </w:footnote>
  <w:footnote w:id="36">
    <w:p w14:paraId="369FD6B3" w14:textId="6E4EE786" w:rsidR="00F9371E" w:rsidRPr="00803721" w:rsidRDefault="00F9371E" w:rsidP="00F9371E">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hyperlink r:id="rId22" w:anchor="%7B%22itemid%22:%5B%22003-7854820-10910604%22%5D%7D">
        <w:r w:rsidRPr="00803721">
          <w:rPr>
            <w:rFonts w:asciiTheme="majorHAnsi" w:hAnsiTheme="majorHAnsi" w:cstheme="majorHAnsi"/>
            <w:color w:val="1155CC"/>
            <w:sz w:val="20"/>
            <w:szCs w:val="20"/>
            <w:u w:val="single"/>
          </w:rPr>
          <w:t>New inter-State application brought by Ireland against the United Kingdom</w:t>
        </w:r>
      </w:hyperlink>
      <w:r w:rsidRPr="00803721">
        <w:rPr>
          <w:rFonts w:asciiTheme="majorHAnsi" w:hAnsiTheme="majorHAnsi" w:cstheme="majorHAnsi"/>
          <w:sz w:val="20"/>
          <w:szCs w:val="20"/>
        </w:rPr>
        <w:t xml:space="preserve"> </w:t>
      </w:r>
      <w:r w:rsidR="008E3413" w:rsidRPr="00803721">
        <w:rPr>
          <w:rFonts w:asciiTheme="majorHAnsi" w:hAnsiTheme="majorHAnsi" w:cstheme="majorHAnsi"/>
          <w:sz w:val="20"/>
          <w:szCs w:val="20"/>
        </w:rPr>
        <w:t xml:space="preserve">ECtHR statement. </w:t>
      </w:r>
    </w:p>
  </w:footnote>
  <w:footnote w:id="37">
    <w:p w14:paraId="139F3CB8" w14:textId="77777777" w:rsidR="00F9371E" w:rsidRPr="00803721" w:rsidRDefault="00F9371E" w:rsidP="00F9371E">
      <w:pPr>
        <w:tabs>
          <w:tab w:val="left" w:pos="1418"/>
        </w:tabs>
        <w:spacing w:line="240" w:lineRule="auto"/>
        <w:rPr>
          <w:rFonts w:asciiTheme="majorHAnsi" w:hAnsiTheme="majorHAnsi" w:cstheme="majorHAnsi"/>
          <w:sz w:val="20"/>
          <w:szCs w:val="20"/>
        </w:rPr>
      </w:pPr>
      <w:r w:rsidRPr="00803721">
        <w:rPr>
          <w:rStyle w:val="FootnoteReference"/>
          <w:rFonts w:asciiTheme="majorHAnsi" w:hAnsiTheme="majorHAnsi" w:cstheme="majorHAnsi"/>
          <w:sz w:val="20"/>
          <w:szCs w:val="20"/>
        </w:rPr>
        <w:footnoteRef/>
      </w:r>
      <w:r w:rsidRPr="00803721">
        <w:rPr>
          <w:rFonts w:asciiTheme="majorHAnsi" w:hAnsiTheme="majorHAnsi" w:cstheme="majorHAnsi"/>
          <w:sz w:val="20"/>
          <w:szCs w:val="20"/>
        </w:rPr>
        <w:t xml:space="preserve"> </w:t>
      </w:r>
      <w:hyperlink r:id="rId23" w:history="1">
        <w:r w:rsidRPr="00803721">
          <w:rPr>
            <w:rStyle w:val="Hyperlink"/>
            <w:rFonts w:asciiTheme="majorHAnsi" w:hAnsiTheme="majorHAnsi" w:cstheme="majorHAnsi"/>
            <w:sz w:val="20"/>
            <w:szCs w:val="20"/>
          </w:rPr>
          <w:t>https://www.ohchr.org/en/press-releases/2022/12/uk-flawed-northern-ireland-troubles-bill-flagrantly-contravenes-rights</w:t>
        </w:r>
      </w:hyperlink>
      <w:r w:rsidRPr="00803721">
        <w:rPr>
          <w:rFonts w:asciiTheme="majorHAnsi" w:hAnsiTheme="majorHAnsi" w:cstheme="majorHAnsi"/>
          <w:sz w:val="20"/>
          <w:szCs w:val="20"/>
        </w:rPr>
        <w:t xml:space="preserve"> </w:t>
      </w:r>
    </w:p>
  </w:footnote>
  <w:footnote w:id="38">
    <w:p w14:paraId="599694E6" w14:textId="5FD00BE9" w:rsidR="00713BB9" w:rsidRPr="00803721" w:rsidRDefault="00713BB9">
      <w:pPr>
        <w:pStyle w:val="FootnoteText"/>
        <w:rPr>
          <w:rFonts w:asciiTheme="majorHAnsi" w:hAnsiTheme="majorHAnsi" w:cstheme="majorHAnsi"/>
          <w:lang w:val="en-US"/>
        </w:rPr>
      </w:pPr>
      <w:r w:rsidRPr="00803721">
        <w:rPr>
          <w:rStyle w:val="FootnoteReference"/>
          <w:rFonts w:asciiTheme="majorHAnsi" w:hAnsiTheme="majorHAnsi" w:cstheme="majorHAnsi"/>
        </w:rPr>
        <w:footnoteRef/>
      </w:r>
      <w:r w:rsidRPr="00803721">
        <w:rPr>
          <w:rFonts w:asciiTheme="majorHAnsi" w:hAnsiTheme="majorHAnsi" w:cstheme="majorHAnsi"/>
        </w:rPr>
        <w:t xml:space="preserve"> </w:t>
      </w:r>
      <w:hyperlink r:id="rId24" w:history="1">
        <w:r w:rsidRPr="00803721">
          <w:rPr>
            <w:rStyle w:val="Hyperlink"/>
            <w:rFonts w:asciiTheme="majorHAnsi" w:hAnsiTheme="majorHAnsi" w:cstheme="majorHAnsi"/>
          </w:rPr>
          <w:t>https://www.coe.int/en/web/commissioner/-/united-kingdom-adopting-northern-ireland-legacy-bill-will-undermine-justice-for-victims-truth-seeking-and-reconciliation</w:t>
        </w:r>
      </w:hyperlink>
    </w:p>
  </w:footnote>
  <w:footnote w:id="39">
    <w:p w14:paraId="6498C8FB" w14:textId="2684E715" w:rsidR="00513100" w:rsidRPr="00513100" w:rsidRDefault="00513100">
      <w:pPr>
        <w:pStyle w:val="FootnoteText"/>
        <w:rPr>
          <w:lang w:val="en-US"/>
        </w:rPr>
      </w:pPr>
      <w:r w:rsidRPr="00803721">
        <w:rPr>
          <w:rStyle w:val="FootnoteReference"/>
          <w:rFonts w:asciiTheme="majorHAnsi" w:hAnsiTheme="majorHAnsi" w:cstheme="majorHAnsi"/>
        </w:rPr>
        <w:footnoteRef/>
      </w:r>
      <w:r w:rsidRPr="00803721">
        <w:rPr>
          <w:rFonts w:asciiTheme="majorHAnsi" w:hAnsiTheme="majorHAnsi" w:cstheme="majorHAnsi"/>
        </w:rPr>
        <w:t xml:space="preserve"> </w:t>
      </w:r>
      <w:r w:rsidRPr="00803721">
        <w:rPr>
          <w:rFonts w:asciiTheme="majorHAnsi" w:hAnsiTheme="majorHAnsi" w:cstheme="majorHAnsi"/>
          <w:i/>
          <w:iCs/>
        </w:rPr>
        <w:t>Bitter Legacy’, The Report of the International Expert Panel into State Impunity and the Northern Ireland Conflict</w:t>
      </w:r>
      <w:r w:rsidRPr="00803721">
        <w:rPr>
          <w:rFonts w:asciiTheme="majorHAnsi" w:hAnsiTheme="majorHAnsi" w:cstheme="majorHAnsi"/>
        </w:rPr>
        <w:t xml:space="preserve"> </w:t>
      </w:r>
      <w:hyperlink r:id="rId25" w:history="1">
        <w:r w:rsidRPr="00803721">
          <w:rPr>
            <w:rStyle w:val="Hyperlink"/>
            <w:rFonts w:asciiTheme="majorHAnsi" w:hAnsiTheme="majorHAnsi" w:cstheme="majorHAnsi"/>
          </w:rPr>
          <w:t>https://www.jus.uio.no/smr/english/about/id/law/nipanel.html</w:t>
        </w:r>
      </w:hyperlink>
      <w:r w:rsidRPr="00803721">
        <w:rPr>
          <w:rFonts w:asciiTheme="majorHAnsi" w:hAnsiTheme="majorHAnsi" w:cstheme="majorHAnsi"/>
        </w:rPr>
        <w:t xml:space="preserve"> See summaries in media including the </w:t>
      </w:r>
      <w:hyperlink r:id="rId26" w:history="1">
        <w:r w:rsidRPr="00803721">
          <w:rPr>
            <w:rStyle w:val="Hyperlink"/>
            <w:rFonts w:asciiTheme="majorHAnsi" w:hAnsiTheme="majorHAnsi" w:cstheme="majorHAnsi"/>
          </w:rPr>
          <w:t>Irish Times</w:t>
        </w:r>
      </w:hyperlink>
      <w:r w:rsidRPr="00803721">
        <w:rPr>
          <w:rFonts w:asciiTheme="majorHAnsi" w:hAnsiTheme="majorHAnsi" w:cstheme="majorHAnsi"/>
        </w:rPr>
        <w:t xml:space="preserve"> and </w:t>
      </w:r>
      <w:hyperlink r:id="rId27" w:history="1">
        <w:r w:rsidRPr="00803721">
          <w:rPr>
            <w:rStyle w:val="Hyperlink"/>
            <w:rFonts w:asciiTheme="majorHAnsi" w:hAnsiTheme="majorHAnsi" w:cstheme="majorHAnsi"/>
          </w:rPr>
          <w:t>Guardian</w:t>
        </w:r>
      </w:hyperlink>
      <w:r w:rsidRPr="00803721">
        <w:rPr>
          <w:rFonts w:asciiTheme="majorHAnsi" w:hAnsiTheme="majorHAnsi" w:cstheme="majorHAnsi"/>
        </w:rPr>
        <w:t>)</w:t>
      </w:r>
    </w:p>
  </w:footnote>
  <w:footnote w:id="40">
    <w:p w14:paraId="705C0EB8" w14:textId="72BC3BA7" w:rsidR="0062414A" w:rsidRPr="00803721" w:rsidRDefault="0062414A">
      <w:pPr>
        <w:pStyle w:val="FootnoteText"/>
        <w:rPr>
          <w:rFonts w:asciiTheme="majorHAnsi" w:hAnsiTheme="majorHAnsi" w:cstheme="majorHAnsi"/>
        </w:rPr>
      </w:pPr>
      <w:r w:rsidRPr="00803721">
        <w:rPr>
          <w:rStyle w:val="FootnoteReference"/>
          <w:rFonts w:asciiTheme="majorHAnsi" w:hAnsiTheme="majorHAnsi" w:cstheme="majorHAnsi"/>
        </w:rPr>
        <w:footnoteRef/>
      </w:r>
      <w:r w:rsidRPr="00803721">
        <w:rPr>
          <w:rFonts w:asciiTheme="majorHAnsi" w:hAnsiTheme="majorHAnsi" w:cstheme="majorHAnsi"/>
        </w:rPr>
        <w:t xml:space="preserve"> </w:t>
      </w:r>
      <w:hyperlink r:id="rId28" w:history="1">
        <w:r w:rsidRPr="00803721">
          <w:rPr>
            <w:rStyle w:val="Hyperlink"/>
            <w:rFonts w:asciiTheme="majorHAnsi" w:hAnsiTheme="majorHAnsi" w:cstheme="majorHAnsi"/>
          </w:rPr>
          <w:t>CCPR/C/GBR/CO/8</w:t>
        </w:r>
        <w:r w:rsidR="003F1E06" w:rsidRPr="00803721">
          <w:rPr>
            <w:rStyle w:val="Hyperlink"/>
            <w:rFonts w:asciiTheme="majorHAnsi" w:hAnsiTheme="majorHAnsi" w:cstheme="majorHAnsi"/>
          </w:rPr>
          <w:t>, Concluding Observations on the UK, May 2024</w:t>
        </w:r>
      </w:hyperlink>
      <w:r w:rsidR="003F1E06" w:rsidRPr="00803721">
        <w:rPr>
          <w:rFonts w:asciiTheme="majorHAnsi" w:hAnsiTheme="majorHAnsi" w:cstheme="majorHAnsi"/>
        </w:rPr>
        <w:t>, paras 10 &amp;11</w:t>
      </w:r>
    </w:p>
  </w:footnote>
  <w:footnote w:id="41">
    <w:p w14:paraId="6CDDBEDA" w14:textId="6FF737D1" w:rsidR="00041B4C" w:rsidRPr="00803721"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hyperlink r:id="rId29" w:history="1">
        <w:r w:rsidR="003F1E06" w:rsidRPr="00803721">
          <w:rPr>
            <w:rStyle w:val="Hyperlink"/>
            <w:rFonts w:asciiTheme="majorHAnsi" w:hAnsiTheme="majorHAnsi" w:cstheme="majorHAnsi"/>
            <w:sz w:val="20"/>
            <w:szCs w:val="20"/>
          </w:rPr>
          <w:t xml:space="preserve">Dillon and others </w:t>
        </w:r>
        <w:r w:rsidRPr="00803721">
          <w:rPr>
            <w:rStyle w:val="Hyperlink"/>
            <w:rFonts w:asciiTheme="majorHAnsi" w:hAnsiTheme="majorHAnsi" w:cstheme="majorHAnsi"/>
            <w:sz w:val="20"/>
            <w:szCs w:val="20"/>
          </w:rPr>
          <w:t>[2024] NIKB 11</w:t>
        </w:r>
      </w:hyperlink>
    </w:p>
  </w:footnote>
  <w:footnote w:id="42">
    <w:p w14:paraId="323EF5C5" w14:textId="19649F5C" w:rsidR="00041B4C" w:rsidRPr="00803721"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hyperlink r:id="rId30" w:history="1">
        <w:r w:rsidR="003F1E06" w:rsidRPr="00803721">
          <w:rPr>
            <w:rStyle w:val="Hyperlink"/>
            <w:rFonts w:asciiTheme="majorHAnsi" w:hAnsiTheme="majorHAnsi" w:cstheme="majorHAnsi"/>
            <w:sz w:val="20"/>
            <w:szCs w:val="20"/>
            <w:lang w:val="en-US"/>
          </w:rPr>
          <w:t>Dillon [2024] NICA 59 [</w:t>
        </w:r>
        <w:r w:rsidR="003F1E06" w:rsidRPr="00803721">
          <w:rPr>
            <w:rStyle w:val="Hyperlink"/>
            <w:rFonts w:asciiTheme="majorHAnsi" w:hAnsiTheme="majorHAnsi" w:cstheme="majorHAnsi"/>
            <w:sz w:val="20"/>
            <w:szCs w:val="20"/>
          </w:rPr>
          <w:t>270</w:t>
        </w:r>
      </w:hyperlink>
      <w:r w:rsidR="003F1E06" w:rsidRPr="00803721">
        <w:rPr>
          <w:rFonts w:asciiTheme="majorHAnsi" w:hAnsiTheme="majorHAnsi" w:cstheme="majorHAnsi"/>
          <w:sz w:val="20"/>
          <w:szCs w:val="20"/>
        </w:rPr>
        <w:t xml:space="preserve">]. </w:t>
      </w:r>
    </w:p>
  </w:footnote>
  <w:footnote w:id="43">
    <w:p w14:paraId="735AB5E8" w14:textId="71D26D1B" w:rsidR="00041B4C" w:rsidRPr="00803721"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Dillon and others [2024] NIKB 11 [183] </w:t>
      </w:r>
    </w:p>
  </w:footnote>
  <w:footnote w:id="44">
    <w:p w14:paraId="7A016D6E" w14:textId="1A6B5F93" w:rsidR="00041B4C" w:rsidRPr="00FF5544"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004901B9" w:rsidRPr="00803721">
        <w:rPr>
          <w:rFonts w:asciiTheme="majorHAnsi" w:hAnsiTheme="majorHAnsi" w:cstheme="majorHAnsi"/>
          <w:sz w:val="20"/>
          <w:szCs w:val="20"/>
        </w:rPr>
        <w:t xml:space="preserve"> </w:t>
      </w:r>
      <w:r w:rsidR="004901B9" w:rsidRPr="00803721">
        <w:rPr>
          <w:rFonts w:asciiTheme="majorHAnsi" w:eastAsia="Calibri" w:hAnsiTheme="majorHAnsi" w:cstheme="majorHAnsi"/>
          <w:sz w:val="20"/>
          <w:szCs w:val="20"/>
        </w:rPr>
        <w:t xml:space="preserve">This states that the ‘conditional immunity scheme’ the ICRIR was to operate ‘can be justified as an exception to the requirement to punish those identified as being responsible for a death or life-threatening injury, as a proportionate means of achieving and facilitating truth recovery and reconciliation in Northern Ireland, taking into account current ECtHR case-law in relation to amnesties.’ Citing the Margus case, it continues the ‘ECtHR has countenanced the possibility of an amnesty being compatible with Article 2 in some </w:t>
      </w:r>
      <w:proofErr w:type="gramStart"/>
      <w:r w:rsidR="004901B9" w:rsidRPr="00803721">
        <w:rPr>
          <w:rFonts w:asciiTheme="majorHAnsi" w:eastAsia="Calibri" w:hAnsiTheme="majorHAnsi" w:cstheme="majorHAnsi"/>
          <w:sz w:val="20"/>
          <w:szCs w:val="20"/>
        </w:rPr>
        <w:t>particular circumstances</w:t>
      </w:r>
      <w:proofErr w:type="gramEnd"/>
      <w:r w:rsidR="004901B9" w:rsidRPr="00803721">
        <w:rPr>
          <w:rFonts w:asciiTheme="majorHAnsi" w:eastAsia="Calibri" w:hAnsiTheme="majorHAnsi" w:cstheme="majorHAnsi"/>
          <w:sz w:val="20"/>
          <w:szCs w:val="20"/>
        </w:rPr>
        <w:t>, including where a reconciliation process is in existence.</w:t>
      </w:r>
      <w:r w:rsidR="004901B9" w:rsidRPr="00803721">
        <w:rPr>
          <w:rFonts w:asciiTheme="majorHAnsi" w:hAnsiTheme="majorHAnsi" w:cstheme="majorHAnsi"/>
          <w:sz w:val="20"/>
          <w:szCs w:val="20"/>
        </w:rPr>
        <w:t xml:space="preserve"> </w:t>
      </w:r>
      <w:r w:rsidRPr="00803721">
        <w:rPr>
          <w:rFonts w:asciiTheme="majorHAnsi" w:hAnsiTheme="majorHAnsi" w:cstheme="majorHAnsi"/>
          <w:sz w:val="20"/>
          <w:szCs w:val="20"/>
        </w:rPr>
        <w:t>ECHR Memorandum Legacy Act, paragraphs 22 and 47. See also paras 38, 43</w:t>
      </w:r>
      <w:r w:rsidR="00803721" w:rsidRPr="00803721">
        <w:rPr>
          <w:rFonts w:asciiTheme="majorHAnsi" w:hAnsiTheme="majorHAnsi" w:cstheme="majorHAnsi"/>
          <w:sz w:val="20"/>
          <w:szCs w:val="20"/>
        </w:rPr>
        <w:t>.</w:t>
      </w:r>
    </w:p>
  </w:footnote>
  <w:footnote w:id="45">
    <w:p w14:paraId="23D00162" w14:textId="77777777" w:rsidR="00041B4C" w:rsidRPr="00803721" w:rsidRDefault="00BE46B1">
      <w:pPr>
        <w:spacing w:line="240" w:lineRule="auto"/>
        <w:rPr>
          <w:rFonts w:asciiTheme="majorHAnsi" w:hAnsiTheme="majorHAnsi" w:cstheme="majorHAnsi"/>
          <w:sz w:val="20"/>
          <w:szCs w:val="20"/>
        </w:rPr>
      </w:pPr>
      <w:r w:rsidRPr="00FF5544">
        <w:rPr>
          <w:rFonts w:asciiTheme="majorHAnsi" w:hAnsiTheme="majorHAnsi" w:cstheme="majorHAnsi"/>
          <w:sz w:val="20"/>
          <w:szCs w:val="20"/>
          <w:vertAlign w:val="superscript"/>
        </w:rPr>
        <w:footnoteRef/>
      </w:r>
      <w:hyperlink r:id="rId31">
        <w:r w:rsidR="00041B4C" w:rsidRPr="00803721">
          <w:rPr>
            <w:rFonts w:asciiTheme="majorHAnsi" w:hAnsiTheme="majorHAnsi" w:cstheme="majorHAnsi"/>
            <w:color w:val="1155CC"/>
            <w:sz w:val="20"/>
            <w:szCs w:val="20"/>
            <w:u w:val="single"/>
          </w:rPr>
          <w:t>https://www.ohchr.org/en/press-releases/2022/12/uk-flawed-northern-ireland-troubles-bill-flagrantlycontravenes-rights</w:t>
        </w:r>
      </w:hyperlink>
    </w:p>
  </w:footnote>
  <w:footnote w:id="46">
    <w:p w14:paraId="7DD1E025" w14:textId="77777777" w:rsidR="00041B4C" w:rsidRPr="00803721"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Dillon and others [2024] NIKB 11 [187]</w:t>
      </w:r>
    </w:p>
  </w:footnote>
  <w:footnote w:id="47">
    <w:p w14:paraId="08CAE46D" w14:textId="47DE992E" w:rsidR="005E4560" w:rsidRPr="00803721" w:rsidRDefault="005E4560" w:rsidP="005E4560">
      <w:pPr>
        <w:spacing w:line="240" w:lineRule="auto"/>
        <w:rPr>
          <w:rFonts w:asciiTheme="majorHAnsi" w:hAnsiTheme="majorHAnsi" w:cstheme="majorHAnsi"/>
          <w:color w:val="1155CC"/>
          <w:sz w:val="20"/>
          <w:szCs w:val="20"/>
          <w:u w:val="single"/>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hyperlink r:id="rId32">
        <w:r w:rsidRPr="00803721">
          <w:rPr>
            <w:rFonts w:asciiTheme="majorHAnsi" w:hAnsiTheme="majorHAnsi" w:cstheme="majorHAnsi"/>
            <w:color w:val="1155CC"/>
            <w:sz w:val="20"/>
            <w:szCs w:val="20"/>
            <w:u w:val="single"/>
          </w:rPr>
          <w:t>Northern Ireland Assembly Executive Office Committee 18 September 2024</w:t>
        </w:r>
      </w:hyperlink>
      <w:r w:rsidRPr="00803721">
        <w:rPr>
          <w:rFonts w:asciiTheme="majorHAnsi" w:hAnsiTheme="majorHAnsi" w:cstheme="majorHAnsi"/>
          <w:sz w:val="20"/>
          <w:szCs w:val="20"/>
        </w:rPr>
        <w:t xml:space="preserve"> In response to a question at a Northern Ireland Assembly Committee as to how the ICRIR was defining and conceptualising reconciliation in a transitional justice context, the ICRIR Chief Commissioner made clear that the ICRIR was ‘not going to try and define it’ as it ‘means different things to different people</w:t>
      </w:r>
      <w:r w:rsidR="00803721" w:rsidRPr="00803721">
        <w:rPr>
          <w:rFonts w:asciiTheme="majorHAnsi" w:hAnsiTheme="majorHAnsi" w:cstheme="majorHAnsi"/>
          <w:sz w:val="20"/>
          <w:szCs w:val="20"/>
        </w:rPr>
        <w:t>’.</w:t>
      </w:r>
    </w:p>
  </w:footnote>
  <w:footnote w:id="48">
    <w:p w14:paraId="0AF829EF" w14:textId="77777777" w:rsidR="00041B4C" w:rsidRPr="00803721" w:rsidRDefault="00BE46B1">
      <w:pPr>
        <w:spacing w:line="240" w:lineRule="auto"/>
        <w:rPr>
          <w:rFonts w:asciiTheme="majorHAnsi" w:hAnsiTheme="majorHAnsi" w:cstheme="majorHAnsi"/>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hyperlink r:id="rId33">
        <w:r w:rsidR="00041B4C" w:rsidRPr="00803721">
          <w:rPr>
            <w:rFonts w:asciiTheme="majorHAnsi" w:hAnsiTheme="majorHAnsi" w:cstheme="majorHAnsi"/>
            <w:color w:val="1155CC"/>
            <w:sz w:val="20"/>
            <w:szCs w:val="20"/>
            <w:u w:val="single"/>
          </w:rPr>
          <w:t>https://ohrh.law.ox.ac.uk/reconciliation-and-the-northern-ireland-legacy-act-a-human-rights-perspectivepart-2/</w:t>
        </w:r>
      </w:hyperlink>
    </w:p>
  </w:footnote>
  <w:footnote w:id="49">
    <w:p w14:paraId="6D6D7297" w14:textId="77777777" w:rsidR="00041B4C" w:rsidRPr="00FF5544" w:rsidRDefault="00BE46B1">
      <w:pPr>
        <w:spacing w:line="240" w:lineRule="auto"/>
        <w:rPr>
          <w:sz w:val="20"/>
          <w:szCs w:val="20"/>
        </w:rPr>
      </w:pPr>
      <w:r w:rsidRPr="00803721">
        <w:rPr>
          <w:rFonts w:asciiTheme="majorHAnsi" w:hAnsiTheme="majorHAnsi" w:cstheme="majorHAnsi"/>
          <w:sz w:val="20"/>
          <w:szCs w:val="20"/>
          <w:vertAlign w:val="superscript"/>
        </w:rPr>
        <w:footnoteRef/>
      </w:r>
      <w:r w:rsidRPr="00803721">
        <w:rPr>
          <w:rFonts w:asciiTheme="majorHAnsi" w:hAnsiTheme="majorHAnsi" w:cstheme="majorHAnsi"/>
          <w:sz w:val="20"/>
          <w:szCs w:val="20"/>
        </w:rPr>
        <w:t xml:space="preserve"> </w:t>
      </w:r>
      <w:hyperlink r:id="rId34">
        <w:r w:rsidR="00041B4C" w:rsidRPr="00803721">
          <w:rPr>
            <w:rFonts w:asciiTheme="majorHAnsi" w:hAnsiTheme="majorHAnsi" w:cstheme="majorHAnsi"/>
            <w:color w:val="1155CC"/>
            <w:sz w:val="20"/>
            <w:szCs w:val="20"/>
            <w:u w:val="single"/>
          </w:rPr>
          <w:t>https://ohrh.law.ox.ac.uk/reconciliation-and-the-northern-ireland-legacy-act-a-human-rights-perspectivepart-2/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4F015" w14:textId="10CFCD5F" w:rsidR="00540F53" w:rsidRPr="00FF5544" w:rsidRDefault="00540F53">
    <w:pPr>
      <w:pStyle w:val="Header"/>
    </w:pPr>
  </w:p>
  <w:p w14:paraId="28F7DD9A" w14:textId="64B7C9CE" w:rsidR="00540F53" w:rsidRPr="00FF5544" w:rsidRDefault="00540F53">
    <w:pPr>
      <w:pStyle w:val="Header"/>
    </w:pPr>
    <w:r w:rsidRPr="00FF5544">
      <w:rPr>
        <w:noProof/>
        <w:color w:val="000000"/>
      </w:rPr>
      <w:drawing>
        <wp:inline distT="19050" distB="19050" distL="19050" distR="19050" wp14:anchorId="79C5DC18" wp14:editId="55CE0952">
          <wp:extent cx="2209800" cy="746760"/>
          <wp:effectExtent l="0" t="0" r="0" b="0"/>
          <wp:docPr id="393444068"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close up of a sign&#10;&#10;Description automatically generated"/>
                  <pic:cNvPicPr preferRelativeResize="0"/>
                </pic:nvPicPr>
                <pic:blipFill>
                  <a:blip r:embed="rId1"/>
                  <a:srcRect/>
                  <a:stretch>
                    <a:fillRect/>
                  </a:stretch>
                </pic:blipFill>
                <pic:spPr>
                  <a:xfrm>
                    <a:off x="0" y="0"/>
                    <a:ext cx="2209800" cy="746760"/>
                  </a:xfrm>
                  <a:prstGeom prst="rect">
                    <a:avLst/>
                  </a:prstGeom>
                  <a:ln/>
                </pic:spPr>
              </pic:pic>
            </a:graphicData>
          </a:graphic>
        </wp:inline>
      </w:drawing>
    </w:r>
  </w:p>
  <w:p w14:paraId="03444B9B" w14:textId="77777777" w:rsidR="00540F53" w:rsidRPr="00FF5544" w:rsidRDefault="00540F53">
    <w:pPr>
      <w:pStyle w:val="Header"/>
    </w:pPr>
  </w:p>
  <w:p w14:paraId="17936C88" w14:textId="77777777" w:rsidR="00871DB0" w:rsidRPr="00FF5544" w:rsidRDefault="00871D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48EAB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834CA9"/>
    <w:multiLevelType w:val="hybridMultilevel"/>
    <w:tmpl w:val="DA2C77D0"/>
    <w:lvl w:ilvl="0" w:tplc="D87481BE">
      <w:start w:val="1"/>
      <w:numFmt w:val="decimal"/>
      <w:lvlText w:val="%1."/>
      <w:lvlJc w:val="left"/>
      <w:pPr>
        <w:ind w:left="360" w:hanging="360"/>
      </w:pPr>
      <w:rPr>
        <w:b w:val="0"/>
        <w:bCs/>
      </w:rPr>
    </w:lvl>
    <w:lvl w:ilvl="1" w:tplc="49A48AF4">
      <w:start w:val="1"/>
      <w:numFmt w:val="decimal"/>
      <w:lvlText w:val="(%2)"/>
      <w:lvlJc w:val="left"/>
      <w:pPr>
        <w:ind w:left="1080" w:hanging="360"/>
      </w:pPr>
      <w:rPr>
        <w:rFonts w:hint="default"/>
      </w:rPr>
    </w:lvl>
    <w:lvl w:ilvl="2" w:tplc="20F01DB6">
      <w:start w:val="1"/>
      <w:numFmt w:val="decimal"/>
      <w:lvlText w:val="(%3)"/>
      <w:lvlJc w:val="right"/>
      <w:pPr>
        <w:ind w:left="1800" w:hanging="180"/>
      </w:pPr>
      <w:rPr>
        <w:rFonts w:ascii="Calibri" w:eastAsia="Calibri" w:hAnsi="Calibri" w:cs="Calibri"/>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3F4F61"/>
    <w:multiLevelType w:val="hybridMultilevel"/>
    <w:tmpl w:val="9EF49A5C"/>
    <w:lvl w:ilvl="0" w:tplc="72267D48">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F2D5AAF"/>
    <w:multiLevelType w:val="hybridMultilevel"/>
    <w:tmpl w:val="5CE6446E"/>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27AA5C18"/>
    <w:multiLevelType w:val="hybridMultilevel"/>
    <w:tmpl w:val="68843022"/>
    <w:lvl w:ilvl="0" w:tplc="FFFFFFFF">
      <w:start w:val="1"/>
      <w:numFmt w:val="decimal"/>
      <w:lvlText w:val="%1."/>
      <w:lvlJc w:val="left"/>
      <w:pPr>
        <w:ind w:left="360" w:hanging="360"/>
      </w:pPr>
      <w:rPr>
        <w:b w:val="0"/>
        <w:bCs/>
      </w:rPr>
    </w:lvl>
    <w:lvl w:ilvl="1" w:tplc="08090001">
      <w:start w:val="1"/>
      <w:numFmt w:val="bullet"/>
      <w:lvlText w:val=""/>
      <w:lvlJc w:val="left"/>
      <w:pPr>
        <w:ind w:left="1080" w:hanging="360"/>
      </w:pPr>
      <w:rPr>
        <w:rFonts w:ascii="Symbol" w:hAnsi="Symbol" w:hint="default"/>
      </w:rPr>
    </w:lvl>
    <w:lvl w:ilvl="2" w:tplc="FFFFFFFF">
      <w:start w:val="1"/>
      <w:numFmt w:val="decimal"/>
      <w:lvlText w:val="(%3)"/>
      <w:lvlJc w:val="right"/>
      <w:pPr>
        <w:ind w:left="1800" w:hanging="180"/>
      </w:pPr>
      <w:rPr>
        <w:rFonts w:ascii="Calibri" w:eastAsia="Calibri" w:hAnsi="Calibri" w:cs="Calibri"/>
      </w:r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73ED2332"/>
    <w:multiLevelType w:val="multilevel"/>
    <w:tmpl w:val="F3465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741C38"/>
    <w:multiLevelType w:val="multilevel"/>
    <w:tmpl w:val="8D929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83719017">
    <w:abstractNumId w:val="6"/>
  </w:num>
  <w:num w:numId="2" w16cid:durableId="1812599622">
    <w:abstractNumId w:val="1"/>
  </w:num>
  <w:num w:numId="3" w16cid:durableId="1737389505">
    <w:abstractNumId w:val="2"/>
  </w:num>
  <w:num w:numId="4" w16cid:durableId="1388147185">
    <w:abstractNumId w:val="0"/>
  </w:num>
  <w:num w:numId="5" w16cid:durableId="1243833104">
    <w:abstractNumId w:val="4"/>
  </w:num>
  <w:num w:numId="6" w16cid:durableId="1733696002">
    <w:abstractNumId w:val="3"/>
  </w:num>
  <w:num w:numId="7" w16cid:durableId="10233659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B4C"/>
    <w:rsid w:val="00041B4C"/>
    <w:rsid w:val="000B77FD"/>
    <w:rsid w:val="000C547F"/>
    <w:rsid w:val="0011706A"/>
    <w:rsid w:val="001708FF"/>
    <w:rsid w:val="001B21C2"/>
    <w:rsid w:val="001C52FC"/>
    <w:rsid w:val="001F2EED"/>
    <w:rsid w:val="00214A69"/>
    <w:rsid w:val="00240129"/>
    <w:rsid w:val="002C4DCB"/>
    <w:rsid w:val="0030021B"/>
    <w:rsid w:val="00311038"/>
    <w:rsid w:val="00387EB1"/>
    <w:rsid w:val="003A5E44"/>
    <w:rsid w:val="003F1E06"/>
    <w:rsid w:val="004901B9"/>
    <w:rsid w:val="004B7F9B"/>
    <w:rsid w:val="004D498B"/>
    <w:rsid w:val="004E4F9F"/>
    <w:rsid w:val="00513100"/>
    <w:rsid w:val="005214AD"/>
    <w:rsid w:val="00540F53"/>
    <w:rsid w:val="0054628C"/>
    <w:rsid w:val="0055173B"/>
    <w:rsid w:val="00555EAE"/>
    <w:rsid w:val="0059366F"/>
    <w:rsid w:val="005A499F"/>
    <w:rsid w:val="005B72E9"/>
    <w:rsid w:val="005D1840"/>
    <w:rsid w:val="005E4560"/>
    <w:rsid w:val="005E52FB"/>
    <w:rsid w:val="00604A85"/>
    <w:rsid w:val="0062414A"/>
    <w:rsid w:val="006630D1"/>
    <w:rsid w:val="00680CCE"/>
    <w:rsid w:val="007017F0"/>
    <w:rsid w:val="00713BB9"/>
    <w:rsid w:val="00732507"/>
    <w:rsid w:val="00737202"/>
    <w:rsid w:val="007512BA"/>
    <w:rsid w:val="00795A4E"/>
    <w:rsid w:val="007A67E5"/>
    <w:rsid w:val="00800C4A"/>
    <w:rsid w:val="00803721"/>
    <w:rsid w:val="00807AEA"/>
    <w:rsid w:val="00863639"/>
    <w:rsid w:val="00871DB0"/>
    <w:rsid w:val="008761DB"/>
    <w:rsid w:val="008A6193"/>
    <w:rsid w:val="008C1703"/>
    <w:rsid w:val="008C6C46"/>
    <w:rsid w:val="008E3413"/>
    <w:rsid w:val="008F10B4"/>
    <w:rsid w:val="00947E3C"/>
    <w:rsid w:val="009521C0"/>
    <w:rsid w:val="009541E4"/>
    <w:rsid w:val="00955E4E"/>
    <w:rsid w:val="009663EA"/>
    <w:rsid w:val="009870A5"/>
    <w:rsid w:val="009B1241"/>
    <w:rsid w:val="00A371BB"/>
    <w:rsid w:val="00A57B8E"/>
    <w:rsid w:val="00A8632A"/>
    <w:rsid w:val="00B23622"/>
    <w:rsid w:val="00B4470F"/>
    <w:rsid w:val="00BA31C1"/>
    <w:rsid w:val="00BE46B1"/>
    <w:rsid w:val="00BF3F3D"/>
    <w:rsid w:val="00C1259E"/>
    <w:rsid w:val="00C2611F"/>
    <w:rsid w:val="00CA475D"/>
    <w:rsid w:val="00CB3114"/>
    <w:rsid w:val="00D76033"/>
    <w:rsid w:val="00D76C25"/>
    <w:rsid w:val="00D9319E"/>
    <w:rsid w:val="00DD29DD"/>
    <w:rsid w:val="00DD33B8"/>
    <w:rsid w:val="00DE7640"/>
    <w:rsid w:val="00E04D44"/>
    <w:rsid w:val="00E074D9"/>
    <w:rsid w:val="00E227FE"/>
    <w:rsid w:val="00E43E7D"/>
    <w:rsid w:val="00E57A90"/>
    <w:rsid w:val="00E94AF1"/>
    <w:rsid w:val="00EB452A"/>
    <w:rsid w:val="00EF6453"/>
    <w:rsid w:val="00F25E1E"/>
    <w:rsid w:val="00F438F6"/>
    <w:rsid w:val="00F439BA"/>
    <w:rsid w:val="00F9371E"/>
    <w:rsid w:val="00FB163E"/>
    <w:rsid w:val="00FB510B"/>
    <w:rsid w:val="00FF55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21D19"/>
  <w15:docId w15:val="{364212EB-2677-4EE8-876C-7ADC699A2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A57B8E"/>
    <w:pPr>
      <w:ind w:left="720"/>
      <w:contextualSpacing/>
    </w:pPr>
  </w:style>
  <w:style w:type="paragraph" w:styleId="FootnoteText">
    <w:name w:val="footnote text"/>
    <w:aliases w:val="Footnote Text Char2,Footnote Text Char Char1,Footnote Text Char1 Char Char,Footnote Text Char Char Char Char,Footnote Text Char2 Char1 Char Char Char,Footnote Text Char1 Char1 Char1 Char Char Char,Footnote Text Char Cha,5_G,Char,FA Fu, Cha"/>
    <w:basedOn w:val="Normal"/>
    <w:link w:val="FootnoteTextChar"/>
    <w:uiPriority w:val="99"/>
    <w:unhideWhenUsed/>
    <w:qFormat/>
    <w:rsid w:val="00795A4E"/>
    <w:pPr>
      <w:spacing w:line="240" w:lineRule="auto"/>
    </w:pPr>
    <w:rPr>
      <w:sz w:val="20"/>
      <w:szCs w:val="20"/>
    </w:rPr>
  </w:style>
  <w:style w:type="character" w:customStyle="1" w:styleId="FootnoteTextChar">
    <w:name w:val="Footnote Text Char"/>
    <w:aliases w:val="Footnote Text Char2 Char,Footnote Text Char Char1 Char,Footnote Text Char1 Char Char Char,Footnote Text Char Char Char Char Char,Footnote Text Char2 Char1 Char Char Char Char,Footnote Text Char1 Char1 Char1 Char Char Char Char"/>
    <w:basedOn w:val="DefaultParagraphFont"/>
    <w:link w:val="FootnoteText"/>
    <w:uiPriority w:val="99"/>
    <w:qFormat/>
    <w:rsid w:val="00795A4E"/>
    <w:rPr>
      <w:sz w:val="20"/>
      <w:szCs w:val="20"/>
    </w:rPr>
  </w:style>
  <w:style w:type="character" w:styleId="FootnoteReference">
    <w:name w:val="footnote reference"/>
    <w:aliases w:val="4_G,Footnotes refss,Footnote number"/>
    <w:basedOn w:val="DefaultParagraphFont"/>
    <w:uiPriority w:val="99"/>
    <w:unhideWhenUsed/>
    <w:qFormat/>
    <w:rsid w:val="00795A4E"/>
    <w:rPr>
      <w:vertAlign w:val="superscript"/>
    </w:rPr>
  </w:style>
  <w:style w:type="character" w:styleId="Hyperlink">
    <w:name w:val="Hyperlink"/>
    <w:basedOn w:val="DefaultParagraphFont"/>
    <w:uiPriority w:val="99"/>
    <w:unhideWhenUsed/>
    <w:rsid w:val="00795A4E"/>
    <w:rPr>
      <w:color w:val="0000FF" w:themeColor="hyperlink"/>
      <w:u w:val="single"/>
    </w:rPr>
  </w:style>
  <w:style w:type="character" w:styleId="UnresolvedMention">
    <w:name w:val="Unresolved Mention"/>
    <w:basedOn w:val="DefaultParagraphFont"/>
    <w:uiPriority w:val="99"/>
    <w:semiHidden/>
    <w:unhideWhenUsed/>
    <w:rsid w:val="00795A4E"/>
    <w:rPr>
      <w:color w:val="605E5C"/>
      <w:shd w:val="clear" w:color="auto" w:fill="E1DFDD"/>
    </w:rPr>
  </w:style>
  <w:style w:type="paragraph" w:styleId="NormalWeb">
    <w:name w:val="Normal (Web)"/>
    <w:basedOn w:val="Normal"/>
    <w:uiPriority w:val="99"/>
    <w:unhideWhenUsed/>
    <w:rsid w:val="009870A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40F53"/>
    <w:pPr>
      <w:tabs>
        <w:tab w:val="center" w:pos="4513"/>
        <w:tab w:val="right" w:pos="9026"/>
      </w:tabs>
      <w:spacing w:line="240" w:lineRule="auto"/>
    </w:pPr>
  </w:style>
  <w:style w:type="character" w:customStyle="1" w:styleId="HeaderChar">
    <w:name w:val="Header Char"/>
    <w:basedOn w:val="DefaultParagraphFont"/>
    <w:link w:val="Header"/>
    <w:uiPriority w:val="99"/>
    <w:rsid w:val="00540F53"/>
  </w:style>
  <w:style w:type="paragraph" w:styleId="Footer">
    <w:name w:val="footer"/>
    <w:basedOn w:val="Normal"/>
    <w:link w:val="FooterChar"/>
    <w:uiPriority w:val="99"/>
    <w:unhideWhenUsed/>
    <w:rsid w:val="00540F53"/>
    <w:pPr>
      <w:tabs>
        <w:tab w:val="center" w:pos="4513"/>
        <w:tab w:val="right" w:pos="9026"/>
      </w:tabs>
      <w:spacing w:line="240" w:lineRule="auto"/>
    </w:pPr>
  </w:style>
  <w:style w:type="character" w:customStyle="1" w:styleId="FooterChar">
    <w:name w:val="Footer Char"/>
    <w:basedOn w:val="DefaultParagraphFont"/>
    <w:link w:val="Footer"/>
    <w:uiPriority w:val="99"/>
    <w:rsid w:val="00540F53"/>
  </w:style>
  <w:style w:type="paragraph" w:styleId="Revision">
    <w:name w:val="Revision"/>
    <w:hidden/>
    <w:uiPriority w:val="99"/>
    <w:semiHidden/>
    <w:rsid w:val="00540F53"/>
    <w:pPr>
      <w:spacing w:line="240" w:lineRule="auto"/>
    </w:pPr>
  </w:style>
  <w:style w:type="character" w:styleId="CommentReference">
    <w:name w:val="annotation reference"/>
    <w:basedOn w:val="DefaultParagraphFont"/>
    <w:uiPriority w:val="99"/>
    <w:semiHidden/>
    <w:unhideWhenUsed/>
    <w:rsid w:val="00FF5544"/>
    <w:rPr>
      <w:sz w:val="16"/>
      <w:szCs w:val="16"/>
    </w:rPr>
  </w:style>
  <w:style w:type="paragraph" w:styleId="CommentText">
    <w:name w:val="annotation text"/>
    <w:basedOn w:val="Normal"/>
    <w:link w:val="CommentTextChar"/>
    <w:uiPriority w:val="99"/>
    <w:unhideWhenUsed/>
    <w:rsid w:val="00FF5544"/>
    <w:pPr>
      <w:spacing w:line="240" w:lineRule="auto"/>
    </w:pPr>
    <w:rPr>
      <w:sz w:val="20"/>
      <w:szCs w:val="20"/>
    </w:rPr>
  </w:style>
  <w:style w:type="character" w:customStyle="1" w:styleId="CommentTextChar">
    <w:name w:val="Comment Text Char"/>
    <w:basedOn w:val="DefaultParagraphFont"/>
    <w:link w:val="CommentText"/>
    <w:uiPriority w:val="99"/>
    <w:rsid w:val="00FF5544"/>
    <w:rPr>
      <w:sz w:val="20"/>
      <w:szCs w:val="20"/>
    </w:rPr>
  </w:style>
  <w:style w:type="paragraph" w:styleId="CommentSubject">
    <w:name w:val="annotation subject"/>
    <w:basedOn w:val="CommentText"/>
    <w:next w:val="CommentText"/>
    <w:link w:val="CommentSubjectChar"/>
    <w:uiPriority w:val="99"/>
    <w:semiHidden/>
    <w:unhideWhenUsed/>
    <w:rsid w:val="00FF5544"/>
    <w:rPr>
      <w:b/>
      <w:bCs/>
    </w:rPr>
  </w:style>
  <w:style w:type="character" w:customStyle="1" w:styleId="CommentSubjectChar">
    <w:name w:val="Comment Subject Char"/>
    <w:basedOn w:val="CommentTextChar"/>
    <w:link w:val="CommentSubject"/>
    <w:uiPriority w:val="99"/>
    <w:semiHidden/>
    <w:rsid w:val="00FF5544"/>
    <w:rPr>
      <w:b/>
      <w:bCs/>
      <w:sz w:val="20"/>
      <w:szCs w:val="20"/>
    </w:rPr>
  </w:style>
  <w:style w:type="character" w:styleId="FollowedHyperlink">
    <w:name w:val="FollowedHyperlink"/>
    <w:basedOn w:val="DefaultParagraphFont"/>
    <w:uiPriority w:val="99"/>
    <w:semiHidden/>
    <w:unhideWhenUsed/>
    <w:rsid w:val="007A67E5"/>
    <w:rPr>
      <w:color w:val="800080" w:themeColor="followedHyperlink"/>
      <w:u w:val="single"/>
    </w:rPr>
  </w:style>
  <w:style w:type="paragraph" w:customStyle="1" w:styleId="Default">
    <w:name w:val="Default"/>
    <w:rsid w:val="00B4470F"/>
    <w:pPr>
      <w:autoSpaceDE w:val="0"/>
      <w:autoSpaceDN w:val="0"/>
      <w:adjustRightInd w:val="0"/>
      <w:spacing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585275">
      <w:bodyDiv w:val="1"/>
      <w:marLeft w:val="0"/>
      <w:marRight w:val="0"/>
      <w:marTop w:val="0"/>
      <w:marBottom w:val="0"/>
      <w:divBdr>
        <w:top w:val="none" w:sz="0" w:space="0" w:color="auto"/>
        <w:left w:val="none" w:sz="0" w:space="0" w:color="auto"/>
        <w:bottom w:val="none" w:sz="0" w:space="0" w:color="auto"/>
        <w:right w:val="none" w:sz="0" w:space="0" w:color="auto"/>
      </w:divBdr>
    </w:div>
    <w:div w:id="295065363">
      <w:bodyDiv w:val="1"/>
      <w:marLeft w:val="0"/>
      <w:marRight w:val="0"/>
      <w:marTop w:val="0"/>
      <w:marBottom w:val="0"/>
      <w:divBdr>
        <w:top w:val="none" w:sz="0" w:space="0" w:color="auto"/>
        <w:left w:val="none" w:sz="0" w:space="0" w:color="auto"/>
        <w:bottom w:val="none" w:sz="0" w:space="0" w:color="auto"/>
        <w:right w:val="none" w:sz="0" w:space="0" w:color="auto"/>
      </w:divBdr>
    </w:div>
    <w:div w:id="414522237">
      <w:bodyDiv w:val="1"/>
      <w:marLeft w:val="0"/>
      <w:marRight w:val="0"/>
      <w:marTop w:val="0"/>
      <w:marBottom w:val="0"/>
      <w:divBdr>
        <w:top w:val="none" w:sz="0" w:space="0" w:color="auto"/>
        <w:left w:val="none" w:sz="0" w:space="0" w:color="auto"/>
        <w:bottom w:val="none" w:sz="0" w:space="0" w:color="auto"/>
        <w:right w:val="none" w:sz="0" w:space="0" w:color="auto"/>
      </w:divBdr>
    </w:div>
    <w:div w:id="448354636">
      <w:bodyDiv w:val="1"/>
      <w:marLeft w:val="0"/>
      <w:marRight w:val="0"/>
      <w:marTop w:val="0"/>
      <w:marBottom w:val="0"/>
      <w:divBdr>
        <w:top w:val="none" w:sz="0" w:space="0" w:color="auto"/>
        <w:left w:val="none" w:sz="0" w:space="0" w:color="auto"/>
        <w:bottom w:val="none" w:sz="0" w:space="0" w:color="auto"/>
        <w:right w:val="none" w:sz="0" w:space="0" w:color="auto"/>
      </w:divBdr>
      <w:divsChild>
        <w:div w:id="74211522">
          <w:marLeft w:val="0"/>
          <w:marRight w:val="0"/>
          <w:marTop w:val="0"/>
          <w:marBottom w:val="0"/>
          <w:divBdr>
            <w:top w:val="none" w:sz="0" w:space="0" w:color="auto"/>
            <w:left w:val="none" w:sz="0" w:space="0" w:color="auto"/>
            <w:bottom w:val="none" w:sz="0" w:space="0" w:color="auto"/>
            <w:right w:val="none" w:sz="0" w:space="0" w:color="auto"/>
          </w:divBdr>
        </w:div>
        <w:div w:id="661399228">
          <w:marLeft w:val="0"/>
          <w:marRight w:val="0"/>
          <w:marTop w:val="0"/>
          <w:marBottom w:val="0"/>
          <w:divBdr>
            <w:top w:val="none" w:sz="0" w:space="0" w:color="auto"/>
            <w:left w:val="none" w:sz="0" w:space="0" w:color="auto"/>
            <w:bottom w:val="none" w:sz="0" w:space="0" w:color="auto"/>
            <w:right w:val="none" w:sz="0" w:space="0" w:color="auto"/>
          </w:divBdr>
        </w:div>
      </w:divsChild>
    </w:div>
    <w:div w:id="454063940">
      <w:bodyDiv w:val="1"/>
      <w:marLeft w:val="0"/>
      <w:marRight w:val="0"/>
      <w:marTop w:val="0"/>
      <w:marBottom w:val="0"/>
      <w:divBdr>
        <w:top w:val="none" w:sz="0" w:space="0" w:color="auto"/>
        <w:left w:val="none" w:sz="0" w:space="0" w:color="auto"/>
        <w:bottom w:val="none" w:sz="0" w:space="0" w:color="auto"/>
        <w:right w:val="none" w:sz="0" w:space="0" w:color="auto"/>
      </w:divBdr>
      <w:divsChild>
        <w:div w:id="1464495611">
          <w:marLeft w:val="0"/>
          <w:marRight w:val="0"/>
          <w:marTop w:val="0"/>
          <w:marBottom w:val="0"/>
          <w:divBdr>
            <w:top w:val="none" w:sz="0" w:space="0" w:color="auto"/>
            <w:left w:val="none" w:sz="0" w:space="0" w:color="auto"/>
            <w:bottom w:val="none" w:sz="0" w:space="0" w:color="auto"/>
            <w:right w:val="none" w:sz="0" w:space="0" w:color="auto"/>
          </w:divBdr>
          <w:divsChild>
            <w:div w:id="368333829">
              <w:marLeft w:val="0"/>
              <w:marRight w:val="0"/>
              <w:marTop w:val="0"/>
              <w:marBottom w:val="0"/>
              <w:divBdr>
                <w:top w:val="none" w:sz="0" w:space="0" w:color="auto"/>
                <w:left w:val="none" w:sz="0" w:space="0" w:color="auto"/>
                <w:bottom w:val="none" w:sz="0" w:space="0" w:color="auto"/>
                <w:right w:val="none" w:sz="0" w:space="0" w:color="auto"/>
              </w:divBdr>
              <w:divsChild>
                <w:div w:id="1739017465">
                  <w:marLeft w:val="0"/>
                  <w:marRight w:val="0"/>
                  <w:marTop w:val="0"/>
                  <w:marBottom w:val="0"/>
                  <w:divBdr>
                    <w:top w:val="none" w:sz="0" w:space="0" w:color="auto"/>
                    <w:left w:val="none" w:sz="0" w:space="0" w:color="auto"/>
                    <w:bottom w:val="none" w:sz="0" w:space="0" w:color="auto"/>
                    <w:right w:val="none" w:sz="0" w:space="0" w:color="auto"/>
                  </w:divBdr>
                  <w:divsChild>
                    <w:div w:id="42704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028481">
          <w:marLeft w:val="0"/>
          <w:marRight w:val="0"/>
          <w:marTop w:val="0"/>
          <w:marBottom w:val="0"/>
          <w:divBdr>
            <w:top w:val="none" w:sz="0" w:space="0" w:color="auto"/>
            <w:left w:val="none" w:sz="0" w:space="0" w:color="auto"/>
            <w:bottom w:val="none" w:sz="0" w:space="0" w:color="auto"/>
            <w:right w:val="none" w:sz="0" w:space="0" w:color="auto"/>
          </w:divBdr>
          <w:divsChild>
            <w:div w:id="1302927456">
              <w:marLeft w:val="0"/>
              <w:marRight w:val="0"/>
              <w:marTop w:val="0"/>
              <w:marBottom w:val="0"/>
              <w:divBdr>
                <w:top w:val="none" w:sz="0" w:space="0" w:color="auto"/>
                <w:left w:val="none" w:sz="0" w:space="0" w:color="auto"/>
                <w:bottom w:val="none" w:sz="0" w:space="0" w:color="auto"/>
                <w:right w:val="none" w:sz="0" w:space="0" w:color="auto"/>
              </w:divBdr>
              <w:divsChild>
                <w:div w:id="1136724281">
                  <w:marLeft w:val="0"/>
                  <w:marRight w:val="0"/>
                  <w:marTop w:val="0"/>
                  <w:marBottom w:val="0"/>
                  <w:divBdr>
                    <w:top w:val="none" w:sz="0" w:space="0" w:color="auto"/>
                    <w:left w:val="none" w:sz="0" w:space="0" w:color="auto"/>
                    <w:bottom w:val="none" w:sz="0" w:space="0" w:color="auto"/>
                    <w:right w:val="none" w:sz="0" w:space="0" w:color="auto"/>
                  </w:divBdr>
                  <w:divsChild>
                    <w:div w:id="172124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181065">
      <w:bodyDiv w:val="1"/>
      <w:marLeft w:val="0"/>
      <w:marRight w:val="0"/>
      <w:marTop w:val="0"/>
      <w:marBottom w:val="0"/>
      <w:divBdr>
        <w:top w:val="none" w:sz="0" w:space="0" w:color="auto"/>
        <w:left w:val="none" w:sz="0" w:space="0" w:color="auto"/>
        <w:bottom w:val="none" w:sz="0" w:space="0" w:color="auto"/>
        <w:right w:val="none" w:sz="0" w:space="0" w:color="auto"/>
      </w:divBdr>
      <w:divsChild>
        <w:div w:id="1123037687">
          <w:marLeft w:val="0"/>
          <w:marRight w:val="0"/>
          <w:marTop w:val="0"/>
          <w:marBottom w:val="0"/>
          <w:divBdr>
            <w:top w:val="none" w:sz="0" w:space="0" w:color="auto"/>
            <w:left w:val="none" w:sz="0" w:space="0" w:color="auto"/>
            <w:bottom w:val="none" w:sz="0" w:space="0" w:color="auto"/>
            <w:right w:val="none" w:sz="0" w:space="0" w:color="auto"/>
          </w:divBdr>
          <w:divsChild>
            <w:div w:id="246350653">
              <w:marLeft w:val="0"/>
              <w:marRight w:val="0"/>
              <w:marTop w:val="0"/>
              <w:marBottom w:val="0"/>
              <w:divBdr>
                <w:top w:val="none" w:sz="0" w:space="0" w:color="auto"/>
                <w:left w:val="none" w:sz="0" w:space="0" w:color="auto"/>
                <w:bottom w:val="none" w:sz="0" w:space="0" w:color="auto"/>
                <w:right w:val="none" w:sz="0" w:space="0" w:color="auto"/>
              </w:divBdr>
              <w:divsChild>
                <w:div w:id="660541798">
                  <w:marLeft w:val="0"/>
                  <w:marRight w:val="0"/>
                  <w:marTop w:val="0"/>
                  <w:marBottom w:val="0"/>
                  <w:divBdr>
                    <w:top w:val="none" w:sz="0" w:space="0" w:color="auto"/>
                    <w:left w:val="none" w:sz="0" w:space="0" w:color="auto"/>
                    <w:bottom w:val="none" w:sz="0" w:space="0" w:color="auto"/>
                    <w:right w:val="none" w:sz="0" w:space="0" w:color="auto"/>
                  </w:divBdr>
                  <w:divsChild>
                    <w:div w:id="155249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415424">
          <w:marLeft w:val="0"/>
          <w:marRight w:val="0"/>
          <w:marTop w:val="0"/>
          <w:marBottom w:val="0"/>
          <w:divBdr>
            <w:top w:val="none" w:sz="0" w:space="0" w:color="auto"/>
            <w:left w:val="none" w:sz="0" w:space="0" w:color="auto"/>
            <w:bottom w:val="none" w:sz="0" w:space="0" w:color="auto"/>
            <w:right w:val="none" w:sz="0" w:space="0" w:color="auto"/>
          </w:divBdr>
          <w:divsChild>
            <w:div w:id="179010364">
              <w:marLeft w:val="0"/>
              <w:marRight w:val="0"/>
              <w:marTop w:val="0"/>
              <w:marBottom w:val="0"/>
              <w:divBdr>
                <w:top w:val="none" w:sz="0" w:space="0" w:color="auto"/>
                <w:left w:val="none" w:sz="0" w:space="0" w:color="auto"/>
                <w:bottom w:val="none" w:sz="0" w:space="0" w:color="auto"/>
                <w:right w:val="none" w:sz="0" w:space="0" w:color="auto"/>
              </w:divBdr>
              <w:divsChild>
                <w:div w:id="788940231">
                  <w:marLeft w:val="0"/>
                  <w:marRight w:val="0"/>
                  <w:marTop w:val="0"/>
                  <w:marBottom w:val="0"/>
                  <w:divBdr>
                    <w:top w:val="none" w:sz="0" w:space="0" w:color="auto"/>
                    <w:left w:val="none" w:sz="0" w:space="0" w:color="auto"/>
                    <w:bottom w:val="none" w:sz="0" w:space="0" w:color="auto"/>
                    <w:right w:val="none" w:sz="0" w:space="0" w:color="auto"/>
                  </w:divBdr>
                  <w:divsChild>
                    <w:div w:id="15517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403857">
      <w:bodyDiv w:val="1"/>
      <w:marLeft w:val="0"/>
      <w:marRight w:val="0"/>
      <w:marTop w:val="0"/>
      <w:marBottom w:val="0"/>
      <w:divBdr>
        <w:top w:val="none" w:sz="0" w:space="0" w:color="auto"/>
        <w:left w:val="none" w:sz="0" w:space="0" w:color="auto"/>
        <w:bottom w:val="none" w:sz="0" w:space="0" w:color="auto"/>
        <w:right w:val="none" w:sz="0" w:space="0" w:color="auto"/>
      </w:divBdr>
      <w:divsChild>
        <w:div w:id="873347158">
          <w:marLeft w:val="0"/>
          <w:marRight w:val="0"/>
          <w:marTop w:val="0"/>
          <w:marBottom w:val="0"/>
          <w:divBdr>
            <w:top w:val="none" w:sz="0" w:space="0" w:color="auto"/>
            <w:left w:val="none" w:sz="0" w:space="0" w:color="auto"/>
            <w:bottom w:val="none" w:sz="0" w:space="0" w:color="auto"/>
            <w:right w:val="none" w:sz="0" w:space="0" w:color="auto"/>
          </w:divBdr>
        </w:div>
        <w:div w:id="1368407006">
          <w:marLeft w:val="0"/>
          <w:marRight w:val="0"/>
          <w:marTop w:val="0"/>
          <w:marBottom w:val="0"/>
          <w:divBdr>
            <w:top w:val="none" w:sz="0" w:space="0" w:color="auto"/>
            <w:left w:val="none" w:sz="0" w:space="0" w:color="auto"/>
            <w:bottom w:val="none" w:sz="0" w:space="0" w:color="auto"/>
            <w:right w:val="none" w:sz="0" w:space="0" w:color="auto"/>
          </w:divBdr>
        </w:div>
      </w:divsChild>
    </w:div>
    <w:div w:id="1478720338">
      <w:bodyDiv w:val="1"/>
      <w:marLeft w:val="0"/>
      <w:marRight w:val="0"/>
      <w:marTop w:val="0"/>
      <w:marBottom w:val="0"/>
      <w:divBdr>
        <w:top w:val="none" w:sz="0" w:space="0" w:color="auto"/>
        <w:left w:val="none" w:sz="0" w:space="0" w:color="auto"/>
        <w:bottom w:val="none" w:sz="0" w:space="0" w:color="auto"/>
        <w:right w:val="none" w:sz="0" w:space="0" w:color="auto"/>
      </w:divBdr>
    </w:div>
    <w:div w:id="1811632377">
      <w:bodyDiv w:val="1"/>
      <w:marLeft w:val="0"/>
      <w:marRight w:val="0"/>
      <w:marTop w:val="0"/>
      <w:marBottom w:val="0"/>
      <w:divBdr>
        <w:top w:val="none" w:sz="0" w:space="0" w:color="auto"/>
        <w:left w:val="none" w:sz="0" w:space="0" w:color="auto"/>
        <w:bottom w:val="none" w:sz="0" w:space="0" w:color="auto"/>
        <w:right w:val="none" w:sz="0" w:space="0" w:color="auto"/>
      </w:divBdr>
    </w:div>
    <w:div w:id="21417965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communities-ni.gov.uk/publications/ulster-scots-language-heritage-and-culture-strategy-expert-advisory-panel-recommendation-report" TargetMode="External"/><Relationship Id="rId18" Type="http://schemas.openxmlformats.org/officeDocument/2006/relationships/hyperlink" Target="tbinternet.ohchr.org/_layouts/15/treatybodyexternal/Download.aspx?symbolno=E%2FC.12%2FGBR%2FQ%2F7&amp;Lang=en" TargetMode="External"/><Relationship Id="rId26" Type="http://schemas.openxmlformats.org/officeDocument/2006/relationships/hyperlink" Target="https://www.irishtimes.com/ireland/2024/04/29/britain-acted-with-systematic-impunity-regarding-state-killings-and-torture-during-troubles-say-international-experts/" TargetMode="External"/><Relationship Id="rId3" Type="http://schemas.openxmlformats.org/officeDocument/2006/relationships/hyperlink" Target="https://tbinternet.ohchr.org/_layouts/15/treatybodyexternal/SessionDetails1.aspx?SessionID=2761&amp;Lang=en" TargetMode="External"/><Relationship Id="rId21" Type="http://schemas.openxmlformats.org/officeDocument/2006/relationships/hyperlink" Target="https://www.northernireland.gov.uk/sites/default/files/publications/newnigov/Executive%20Action%20Plan%20-%20Tackling%20Paramilitary%20Activity.pdf" TargetMode="External"/><Relationship Id="rId34" Type="http://schemas.openxmlformats.org/officeDocument/2006/relationships/hyperlink" Target="https://ohrh.law.ox.ac.uk/reconciliation-and-the-northern-ireland-legacy-act-a-human-rights-perspectivepart-2/" TargetMode="External"/><Relationship Id="rId7" Type="http://schemas.openxmlformats.org/officeDocument/2006/relationships/hyperlink" Target="https://www.judiciaryni.uk/files/judiciaryni/decisions/Committee%20on%20the%20Administration%20of%20Justice%20%28CAJ%29%20and%20Brian%20Gormally%E2%80%99s%20Application.pdf" TargetMode="External"/><Relationship Id="rId12" Type="http://schemas.openxmlformats.org/officeDocument/2006/relationships/hyperlink" Target="https://rm.coe.int/united-kingdomecrml6-en/1680b1a73f" TargetMode="External"/><Relationship Id="rId17" Type="http://schemas.openxmlformats.org/officeDocument/2006/relationships/hyperlink" Target="https://rm.coe.int/united-kingdomecrml6-en/1680b1a73f" TargetMode="External"/><Relationship Id="rId25" Type="http://schemas.openxmlformats.org/officeDocument/2006/relationships/hyperlink" Target="https://www.jus.uio.no/smr/english/about/id/law/nipanel.html" TargetMode="External"/><Relationship Id="rId33" Type="http://schemas.openxmlformats.org/officeDocument/2006/relationships/hyperlink" Target="https://ohrh.law.ox.ac.uk/reconciliation-and-the-northern-ireland-legacy-act-a-human-rights-perspectivepart-2/" TargetMode="External"/><Relationship Id="rId2" Type="http://schemas.openxmlformats.org/officeDocument/2006/relationships/hyperlink" Target="https://tbinternet.ohchr.org/_layouts/15/treatybodyexternal/Download.aspx?symbolno=INT%2FCESCR%2FICO%2FGBR%2F51089&amp;Lang=en" TargetMode="External"/><Relationship Id="rId16" Type="http://schemas.openxmlformats.org/officeDocument/2006/relationships/hyperlink" Target="https://aims.niassembly.gov.uk/questions/searchresults.aspx?&amp;qf=0&amp;asb=0&amp;tbm=0&amp;anb=0&amp;abp=0&amp;sp=1&amp;qfv=1&amp;asbv=0&amp;tbmv=1&amp;anbv=0&amp;abpv=0&amp;spv=27&amp;ss=FND9IBXytC61dsYY+KU/uQ==&amp;per=1&amp;fd=&amp;td=&amp;pm=0&amp;asbt=All%20Members&amp;anbt=All%20Ministers&amp;abpt=All%20Parties&amp;spt=2024-2025" TargetMode="External"/><Relationship Id="rId20" Type="http://schemas.openxmlformats.org/officeDocument/2006/relationships/hyperlink" Target="https://committees.parliament.uk/writtenevidence/108540/pdf/" TargetMode="External"/><Relationship Id="rId29" Type="http://schemas.openxmlformats.org/officeDocument/2006/relationships/hyperlink" Target="https://www.judiciaryni.uk/judicial-decisions/2024-nikb-11" TargetMode="External"/><Relationship Id="rId1" Type="http://schemas.openxmlformats.org/officeDocument/2006/relationships/hyperlink" Target="https://docstore.ohchr.org/SelfServices/FilesHandler.ashx?enc=4slQ6QSmlBEDzFEovLCuW3XRinAE8KCBFoqOHNz%2FvuCf55MNZXfjuUyPtoFoBNMwDeyj%2FCYG0K%2Bn%2BSR4727oo8pPLQBR0HFi%2FCCbzUN0VmPeHw9FR1m51%2FHciTRKO8bq" TargetMode="External"/><Relationship Id="rId6" Type="http://schemas.openxmlformats.org/officeDocument/2006/relationships/hyperlink" Target="https://www.legislation.gov.uk/ukpga/1998/47/section/28E" TargetMode="External"/><Relationship Id="rId11" Type="http://schemas.openxmlformats.org/officeDocument/2006/relationships/hyperlink" Target="https://www.judiciaryni.uk/judicial-decisions/2022-niqb-56-0" TargetMode="External"/><Relationship Id="rId24" Type="http://schemas.openxmlformats.org/officeDocument/2006/relationships/hyperlink" Target="https://www.coe.int/en/web/commissioner/-/united-kingdom-adopting-northern-ireland-legacy-bill-will-undermine-justice-for-victims-truth-seeking-and-reconciliation" TargetMode="External"/><Relationship Id="rId32" Type="http://schemas.openxmlformats.org/officeDocument/2006/relationships/hyperlink" Target="https://niassembly.tv/committee-for-the-executive-office-meeting-wednesday-18-september-2024/" TargetMode="External"/><Relationship Id="rId5" Type="http://schemas.openxmlformats.org/officeDocument/2006/relationships/hyperlink" Target="https://tbinternet.ohchr.org/_layouts/15/treatybodyexternal/Download.aspx?symbolno=E%2FC.12%2FGBR%2FRQ%2F7&amp;Lang=en" TargetMode="External"/><Relationship Id="rId15" Type="http://schemas.openxmlformats.org/officeDocument/2006/relationships/hyperlink" Target="https://caj.org.uk/wp-content/uploads/2024/02/CAJ-submission-to-COMEX-6th-UK-report-Feb-24-.pdf" TargetMode="External"/><Relationship Id="rId23" Type="http://schemas.openxmlformats.org/officeDocument/2006/relationships/hyperlink" Target="https://www.ohchr.org/en/press-releases/2022/12/uk-flawed-northern-ireland-troubles-bill-flagrantly-contravenes-rights" TargetMode="External"/><Relationship Id="rId28" Type="http://schemas.openxmlformats.org/officeDocument/2006/relationships/hyperlink" Target="https://documents.un.org/doc/undoc/gen/g24/056/43/pdf/g2405643.pdf" TargetMode="External"/><Relationship Id="rId10" Type="http://schemas.openxmlformats.org/officeDocument/2006/relationships/hyperlink" Target="https://www.judiciaryni.uk/judicial-decisions/2017-niqb-27" TargetMode="External"/><Relationship Id="rId19" Type="http://schemas.openxmlformats.org/officeDocument/2006/relationships/hyperlink" Target="https://caj.org.uk/publications/submissions-and-briefings/response-to-inquiry-into%20the-effect-of-paramilitaries-on-ni-society/" TargetMode="External"/><Relationship Id="rId31" Type="http://schemas.openxmlformats.org/officeDocument/2006/relationships/hyperlink" Target="https://www.ohchr.org/en/press-releases/2022/12/uk-flawed-northern-ireland-troubles-bill-flagrantlycontravenes-rights" TargetMode="External"/><Relationship Id="rId4" Type="http://schemas.openxmlformats.org/officeDocument/2006/relationships/hyperlink" Target="https://docstore.ohchr.org/SelfServices/FilesHandler.ashx?enc=4slQ6QSmlBEDzFEovLCuW3XRinAE8KCBFoqOHNz%2FvuA8gWnkDtMaQRPpczgpoNYnx4%2BF33QcKEJudfH36CovyC%2BAZrop7A%2FsI%2BnNH9m4QwnZ%2BcIG1FUmFCEDCXgbRQqb" TargetMode="External"/><Relationship Id="rId9" Type="http://schemas.openxmlformats.org/officeDocument/2006/relationships/hyperlink" Target="https://caj.org.uk/wp-content/uploads/2024/06/Equality-Coalition-Written-Evidence-Communities-Commitee-Anti-Poverty-Strategy-April-2024.pdf" TargetMode="External"/><Relationship Id="rId14" Type="http://schemas.openxmlformats.org/officeDocument/2006/relationships/hyperlink" Target="https://rm.coe.int/united-kingdomecrml6-en/1680b1a73f%202.2.3" TargetMode="External"/><Relationship Id="rId22" Type="http://schemas.openxmlformats.org/officeDocument/2006/relationships/hyperlink" Target="https://hudoc.echr.coe.int/fre-press" TargetMode="External"/><Relationship Id="rId27" Type="http://schemas.openxmlformats.org/officeDocument/2006/relationships/hyperlink" Target="https://www.theguardian.com/uk-news/2024/apr/29/northern-ireland-legacy-act-will-harm-britains-reputation-rights-panel-warns" TargetMode="External"/><Relationship Id="rId30" Type="http://schemas.openxmlformats.org/officeDocument/2006/relationships/hyperlink" Target="https://www.judiciaryni.uk/judicial-decisions/2024-nica-59" TargetMode="External"/><Relationship Id="rId8" Type="http://schemas.openxmlformats.org/officeDocument/2006/relationships/hyperlink" Target="https://www.equalitycoalition.net/wp-content/uploads/2024/01/Progressing-an-anti-poverty-strategy-for-Northern-Ireland-JAN-24-FIN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E9492-FF4B-4B1E-AE42-6679A6FD4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10</Pages>
  <Words>3703</Words>
  <Characters>21111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Dara Keeve</dc:creator>
  <cp:lastModifiedBy>Daniel Holder</cp:lastModifiedBy>
  <cp:revision>4</cp:revision>
  <dcterms:created xsi:type="dcterms:W3CDTF">2025-01-06T13:19:00Z</dcterms:created>
  <dcterms:modified xsi:type="dcterms:W3CDTF">2025-01-06T15:49:00Z</dcterms:modified>
</cp:coreProperties>
</file>