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626BB5">
      <w:pPr>
        <w:pStyle w:val="Title"/>
        <w:rPr>
          <w:b w:val="0"/>
          <w:u w:val="none"/>
        </w:rPr>
      </w:pPr>
      <w:r>
        <w:rPr>
          <w:noProof/>
          <w:u w:val="none"/>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A93637">
        <w:rPr>
          <w:b/>
          <w:sz w:val="28"/>
          <w:szCs w:val="28"/>
          <w:u w:val="single"/>
        </w:rPr>
        <w:t>LITHUAN</w:t>
      </w:r>
      <w:bookmarkStart w:id="0" w:name="_GoBack"/>
      <w:bookmarkEnd w:id="0"/>
      <w:r w:rsidR="00A93637">
        <w:rPr>
          <w:b/>
          <w:sz w:val="28"/>
          <w:szCs w:val="28"/>
          <w:u w:val="single"/>
        </w:rPr>
        <w:t>IA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812F6C">
        <w:rPr>
          <w:b/>
          <w:sz w:val="28"/>
          <w:szCs w:val="28"/>
          <w:u w:val="single"/>
        </w:rPr>
        <w:t>3-7 December</w:t>
      </w:r>
      <w:r w:rsidR="008F10FD" w:rsidRPr="007000A6">
        <w:rPr>
          <w:b/>
          <w:sz w:val="28"/>
          <w:szCs w:val="28"/>
          <w:u w:val="single"/>
        </w:rPr>
        <w:t xml:space="preserve">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626BB5" w:rsidP="009A4DF8">
      <w:pPr>
        <w:spacing w:after="120"/>
        <w:rPr>
          <w:b/>
          <w:u w:val="single"/>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770630"/>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770630"/>
                        </a:xfrm>
                        <a:prstGeom prst="rect">
                          <a:avLst/>
                        </a:prstGeom>
                        <a:solidFill>
                          <a:srgbClr val="FFFFFF"/>
                        </a:solidFill>
                        <a:ln w="9525">
                          <a:solidFill>
                            <a:srgbClr val="000000"/>
                          </a:solidFill>
                          <a:miter lim="800000"/>
                          <a:headEnd/>
                          <a:tailEnd/>
                        </a:ln>
                      </wps:spPr>
                      <wps:txbx>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FE14D7">
                              <w:rPr>
                                <w:b/>
                                <w:sz w:val="26"/>
                                <w:szCs w:val="26"/>
                              </w:rPr>
                              <w:t>Lithuania</w:t>
                            </w:r>
                            <w:r w:rsidRPr="0050346D">
                              <w:rPr>
                                <w:b/>
                                <w:sz w:val="26"/>
                                <w:szCs w:val="26"/>
                              </w:rPr>
                              <w:t xml:space="preserve">. In light of the obligation under international human rights law to prohibit all corporal punishment of children, the recommendations of the UN Secretary-General’s Study on Violence against Children, the recommendations of </w:t>
                            </w:r>
                            <w:r w:rsidR="00A03341">
                              <w:rPr>
                                <w:b/>
                                <w:sz w:val="26"/>
                                <w:szCs w:val="26"/>
                              </w:rPr>
                              <w:t>the Committee on the Rights of the Child</w:t>
                            </w:r>
                            <w:r w:rsidR="00FE14D7">
                              <w:rPr>
                                <w:b/>
                                <w:sz w:val="26"/>
                                <w:szCs w:val="26"/>
                              </w:rPr>
                              <w:t xml:space="preserve"> and other treaty bodies</w:t>
                            </w:r>
                            <w:r w:rsidR="00A03341">
                              <w:rPr>
                                <w:b/>
                                <w:sz w:val="26"/>
                                <w:szCs w:val="26"/>
                              </w:rPr>
                              <w:t xml:space="preserve"> and </w:t>
                            </w:r>
                            <w:r w:rsidR="00FE14D7">
                              <w:rPr>
                                <w:b/>
                                <w:sz w:val="26"/>
                                <w:szCs w:val="26"/>
                              </w:rPr>
                              <w:t>Lithuania</w:t>
                            </w:r>
                            <w:r w:rsidR="00A03341">
                              <w:rPr>
                                <w:b/>
                                <w:sz w:val="26"/>
                                <w:szCs w:val="26"/>
                              </w:rPr>
                              <w:t xml:space="preserve">’s </w:t>
                            </w:r>
                            <w:r w:rsidR="002C63DF">
                              <w:rPr>
                                <w:b/>
                                <w:sz w:val="26"/>
                                <w:szCs w:val="26"/>
                              </w:rPr>
                              <w:t xml:space="preserve">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FE14D7">
                              <w:rPr>
                                <w:b/>
                                <w:sz w:val="26"/>
                                <w:szCs w:val="26"/>
                              </w:rPr>
                              <w:t>Lithuania</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all settings, including the home,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FE14D7">
                              <w:rPr>
                                <w:b/>
                                <w:sz w:val="26"/>
                                <w:szCs w:val="26"/>
                              </w:rPr>
                              <w:t>Lithuania</w:t>
                            </w:r>
                            <w:r w:rsidRPr="0050346D">
                              <w:rPr>
                                <w:b/>
                                <w:sz w:val="26"/>
                                <w:szCs w:val="26"/>
                              </w:rPr>
                              <w:t xml:space="preserve">, in the concluding observations on the </w:t>
                            </w:r>
                            <w:r w:rsidR="00A03341">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FE14D7">
                        <w:rPr>
                          <w:b/>
                          <w:sz w:val="26"/>
                          <w:szCs w:val="26"/>
                        </w:rPr>
                        <w:t>Lithuania</w:t>
                      </w:r>
                      <w:r w:rsidRPr="0050346D">
                        <w:rPr>
                          <w:b/>
                          <w:sz w:val="26"/>
                          <w:szCs w:val="26"/>
                        </w:rPr>
                        <w:t xml:space="preserve">. In light of the obligation under international human rights law to prohibit all corporal punishment of children, the recommendations of the UN Secretary-General’s Study on Violence against Children, the recommendations of </w:t>
                      </w:r>
                      <w:r w:rsidR="00A03341">
                        <w:rPr>
                          <w:b/>
                          <w:sz w:val="26"/>
                          <w:szCs w:val="26"/>
                        </w:rPr>
                        <w:t>the Committee on the Rights of the Child</w:t>
                      </w:r>
                      <w:r w:rsidR="00FE14D7">
                        <w:rPr>
                          <w:b/>
                          <w:sz w:val="26"/>
                          <w:szCs w:val="26"/>
                        </w:rPr>
                        <w:t xml:space="preserve"> and other treaty bodies</w:t>
                      </w:r>
                      <w:r w:rsidR="00A03341">
                        <w:rPr>
                          <w:b/>
                          <w:sz w:val="26"/>
                          <w:szCs w:val="26"/>
                        </w:rPr>
                        <w:t xml:space="preserve"> and </w:t>
                      </w:r>
                      <w:r w:rsidR="00FE14D7">
                        <w:rPr>
                          <w:b/>
                          <w:sz w:val="26"/>
                          <w:szCs w:val="26"/>
                        </w:rPr>
                        <w:t>Lithuania</w:t>
                      </w:r>
                      <w:r w:rsidR="00A03341">
                        <w:rPr>
                          <w:b/>
                          <w:sz w:val="26"/>
                          <w:szCs w:val="26"/>
                        </w:rPr>
                        <w:t xml:space="preserve">’s </w:t>
                      </w:r>
                      <w:r w:rsidR="002C63DF">
                        <w:rPr>
                          <w:b/>
                          <w:sz w:val="26"/>
                          <w:szCs w:val="26"/>
                        </w:rPr>
                        <w:t xml:space="preserve">acceptance of the recommendation to prohibit corporal punishment made </w:t>
                      </w:r>
                      <w:r>
                        <w:rPr>
                          <w:b/>
                          <w:sz w:val="26"/>
                          <w:szCs w:val="26"/>
                        </w:rPr>
                        <w:t xml:space="preserve">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FE14D7">
                        <w:rPr>
                          <w:b/>
                          <w:sz w:val="26"/>
                          <w:szCs w:val="26"/>
                        </w:rPr>
                        <w:t>Lithuania</w:t>
                      </w:r>
                      <w:r w:rsidRPr="0050346D">
                        <w:rPr>
                          <w:b/>
                          <w:sz w:val="26"/>
                          <w:szCs w:val="26"/>
                        </w:rPr>
                        <w:t xml:space="preserve">, in particular asking what measures have been taken to ensure </w:t>
                      </w:r>
                      <w:r w:rsidR="00A03341">
                        <w:rPr>
                          <w:b/>
                          <w:sz w:val="26"/>
                          <w:szCs w:val="26"/>
                        </w:rPr>
                        <w:t xml:space="preserve">that </w:t>
                      </w:r>
                      <w:r w:rsidRPr="0050346D">
                        <w:rPr>
                          <w:b/>
                          <w:sz w:val="26"/>
                          <w:szCs w:val="26"/>
                        </w:rPr>
                        <w:t>the law explicitly prohibits corporal punishment in all settings, including the home,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FE14D7">
                        <w:rPr>
                          <w:b/>
                          <w:sz w:val="26"/>
                          <w:szCs w:val="26"/>
                        </w:rPr>
                        <w:t>Lithuania</w:t>
                      </w:r>
                      <w:r w:rsidRPr="0050346D">
                        <w:rPr>
                          <w:b/>
                          <w:sz w:val="26"/>
                          <w:szCs w:val="26"/>
                        </w:rPr>
                        <w:t xml:space="preserve">, in the concluding observations on the </w:t>
                      </w:r>
                      <w:r w:rsidR="00A03341">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mc:Fallback>
        </mc:AlternateContent>
      </w:r>
    </w:p>
    <w:p w:rsidR="00FE14D7" w:rsidRDefault="00FE14D7" w:rsidP="008467B3">
      <w:pPr>
        <w:spacing w:after="120"/>
        <w:rPr>
          <w:b/>
          <w:sz w:val="28"/>
          <w:szCs w:val="28"/>
        </w:rPr>
      </w:pPr>
    </w:p>
    <w:p w:rsidR="00FE14D7" w:rsidRDefault="00FE14D7" w:rsidP="008467B3">
      <w:pPr>
        <w:spacing w:after="120"/>
        <w:rPr>
          <w:b/>
          <w:sz w:val="28"/>
          <w:szCs w:val="28"/>
        </w:rPr>
      </w:pPr>
    </w:p>
    <w:p w:rsidR="008467B3" w:rsidRPr="00F01BFF" w:rsidRDefault="008C188E" w:rsidP="008467B3">
      <w:pPr>
        <w:spacing w:after="120"/>
        <w:rPr>
          <w:b/>
          <w:sz w:val="28"/>
          <w:szCs w:val="28"/>
        </w:rPr>
      </w:pPr>
      <w:r>
        <w:rPr>
          <w:b/>
          <w:sz w:val="28"/>
          <w:szCs w:val="28"/>
        </w:rPr>
        <w:t xml:space="preserve">1 </w:t>
      </w:r>
      <w:r w:rsidR="00FE14D7">
        <w:rPr>
          <w:b/>
          <w:sz w:val="28"/>
          <w:szCs w:val="28"/>
        </w:rPr>
        <w:t>Lithuania</w:t>
      </w:r>
      <w:r w:rsidR="008467B3">
        <w:rPr>
          <w:b/>
          <w:sz w:val="28"/>
          <w:szCs w:val="28"/>
        </w:rPr>
        <w:t>’s</w:t>
      </w:r>
      <w:r w:rsidR="008467B3" w:rsidRPr="00F01BFF">
        <w:rPr>
          <w:b/>
          <w:sz w:val="28"/>
          <w:szCs w:val="28"/>
        </w:rPr>
        <w:t xml:space="preserve"> report to the Committee</w:t>
      </w:r>
      <w:r w:rsidR="008467B3">
        <w:rPr>
          <w:b/>
          <w:sz w:val="28"/>
          <w:szCs w:val="28"/>
        </w:rPr>
        <w:t xml:space="preserve"> on Economic, Social and Cultural Rights</w:t>
      </w:r>
    </w:p>
    <w:p w:rsidR="00483F29" w:rsidRDefault="008C188E" w:rsidP="00FE14D7">
      <w:pPr>
        <w:pStyle w:val="Header"/>
        <w:spacing w:after="120"/>
        <w:rPr>
          <w:sz w:val="26"/>
          <w:szCs w:val="26"/>
        </w:rPr>
      </w:pPr>
      <w:r>
        <w:rPr>
          <w:sz w:val="26"/>
          <w:szCs w:val="26"/>
        </w:rPr>
        <w:t xml:space="preserve">1.1 </w:t>
      </w:r>
      <w:r w:rsidR="008467B3" w:rsidRPr="00483F29">
        <w:rPr>
          <w:sz w:val="26"/>
          <w:szCs w:val="26"/>
        </w:rPr>
        <w:t>The</w:t>
      </w:r>
      <w:r w:rsidR="00ED1459" w:rsidRPr="00483F29">
        <w:rPr>
          <w:sz w:val="26"/>
          <w:szCs w:val="26"/>
        </w:rPr>
        <w:t xml:space="preserve"> second</w:t>
      </w:r>
      <w:r w:rsidR="008467B3" w:rsidRPr="00483F29">
        <w:rPr>
          <w:sz w:val="26"/>
          <w:szCs w:val="26"/>
        </w:rPr>
        <w:t xml:space="preserve"> state party report to the Committee on Economic, Social and Cultural Rights</w:t>
      </w:r>
      <w:r w:rsidR="00483F29" w:rsidRPr="00483F29">
        <w:rPr>
          <w:sz w:val="26"/>
          <w:szCs w:val="26"/>
        </w:rPr>
        <w:t xml:space="preserve"> (</w:t>
      </w:r>
      <w:r w:rsidR="00FE14D7">
        <w:t>E/C.12/LTU/2</w:t>
      </w:r>
      <w:r w:rsidR="00483F29" w:rsidRPr="00483F29">
        <w:rPr>
          <w:sz w:val="26"/>
          <w:szCs w:val="26"/>
          <w:lang w:eastAsia="en-GB"/>
        </w:rPr>
        <w:t>)</w:t>
      </w:r>
      <w:r w:rsidR="00837361" w:rsidRPr="00483F29">
        <w:rPr>
          <w:sz w:val="26"/>
          <w:szCs w:val="26"/>
        </w:rPr>
        <w:t xml:space="preserve"> describes a number of measures aimed at </w:t>
      </w:r>
      <w:r w:rsidR="00FE14D7">
        <w:rPr>
          <w:sz w:val="26"/>
          <w:szCs w:val="26"/>
        </w:rPr>
        <w:t xml:space="preserve">safeguarding children from abuse but it makes no reference to violence which may lawfully </w:t>
      </w:r>
      <w:r w:rsidR="00483F29">
        <w:rPr>
          <w:sz w:val="26"/>
          <w:szCs w:val="26"/>
        </w:rPr>
        <w:t>be inflicted on children in the guise of “discipline</w:t>
      </w:r>
      <w:r w:rsidR="00FE14D7">
        <w:rPr>
          <w:sz w:val="26"/>
          <w:szCs w:val="26"/>
        </w:rPr>
        <w:t>” nor to efforts by the state party to enact legislation to prohibit it.</w:t>
      </w:r>
    </w:p>
    <w:p w:rsidR="008467B3" w:rsidRDefault="008467B3" w:rsidP="008467B3">
      <w:pPr>
        <w:pStyle w:val="Header"/>
        <w:spacing w:after="120"/>
      </w:pPr>
    </w:p>
    <w:p w:rsidR="008467B3" w:rsidRPr="00F01BFF" w:rsidRDefault="008C188E" w:rsidP="008467B3">
      <w:pPr>
        <w:spacing w:after="120"/>
        <w:rPr>
          <w:sz w:val="28"/>
          <w:szCs w:val="28"/>
        </w:rPr>
      </w:pPr>
      <w:r>
        <w:rPr>
          <w:b/>
          <w:sz w:val="28"/>
          <w:szCs w:val="28"/>
        </w:rPr>
        <w:lastRenderedPageBreak/>
        <w:t xml:space="preserve">2 </w:t>
      </w:r>
      <w:r w:rsidR="00483F29">
        <w:rPr>
          <w:b/>
          <w:sz w:val="28"/>
          <w:szCs w:val="28"/>
        </w:rPr>
        <w:t>The legality of c</w:t>
      </w:r>
      <w:r w:rsidR="008467B3" w:rsidRPr="00F01BFF">
        <w:rPr>
          <w:b/>
          <w:sz w:val="28"/>
          <w:szCs w:val="28"/>
        </w:rPr>
        <w:t xml:space="preserve">orporal punishment of children in </w:t>
      </w:r>
      <w:r w:rsidR="00FE14D7">
        <w:rPr>
          <w:b/>
          <w:sz w:val="28"/>
          <w:szCs w:val="28"/>
        </w:rPr>
        <w:t>Lithuania</w:t>
      </w:r>
    </w:p>
    <w:p w:rsidR="00FE14D7" w:rsidRPr="00E03551" w:rsidRDefault="00FE14D7" w:rsidP="00FE14D7">
      <w:pPr>
        <w:tabs>
          <w:tab w:val="left" w:pos="8244"/>
          <w:tab w:val="left" w:pos="9160"/>
          <w:tab w:val="left" w:pos="10076"/>
          <w:tab w:val="left" w:pos="10992"/>
          <w:tab w:val="left" w:pos="11908"/>
          <w:tab w:val="left" w:pos="12824"/>
          <w:tab w:val="left" w:pos="13740"/>
          <w:tab w:val="left" w:pos="14656"/>
        </w:tabs>
        <w:spacing w:after="120"/>
        <w:rPr>
          <w:sz w:val="26"/>
          <w:szCs w:val="26"/>
        </w:rPr>
      </w:pPr>
      <w:bookmarkStart w:id="1" w:name="OLE_LINK52"/>
      <w:bookmarkStart w:id="2" w:name="OLE_LINK53"/>
      <w:r>
        <w:rPr>
          <w:sz w:val="26"/>
          <w:szCs w:val="26"/>
        </w:rPr>
        <w:t>2</w:t>
      </w:r>
      <w:r w:rsidRPr="00E03551">
        <w:rPr>
          <w:sz w:val="26"/>
          <w:szCs w:val="26"/>
        </w:rPr>
        <w:t>.1 In Lithuania, corporal punishment is unlawful as a sentence for crime. It is considered unlawful in schools and in penal institutions, but it is not explicitly prohibited in those settings. It is lawful in the home and in alternative care settings.</w:t>
      </w:r>
    </w:p>
    <w:p w:rsid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lang w:eastAsia="en-GB"/>
        </w:rPr>
      </w:pPr>
      <w:bookmarkStart w:id="3" w:name="OLE_LINK11"/>
      <w:bookmarkStart w:id="4" w:name="OLE_LINK12"/>
      <w:r>
        <w:rPr>
          <w:sz w:val="26"/>
          <w:szCs w:val="26"/>
        </w:rPr>
        <w:t>2</w:t>
      </w:r>
      <w:r w:rsidRPr="00E03551">
        <w:rPr>
          <w:sz w:val="26"/>
          <w:szCs w:val="26"/>
        </w:rPr>
        <w:t xml:space="preserve">.2 With regard to the </w:t>
      </w:r>
      <w:r w:rsidRPr="00E03551">
        <w:rPr>
          <w:b/>
          <w:sz w:val="26"/>
          <w:szCs w:val="26"/>
        </w:rPr>
        <w:t>home</w:t>
      </w:r>
      <w:r w:rsidRPr="00E03551">
        <w:rPr>
          <w:sz w:val="26"/>
          <w:szCs w:val="26"/>
        </w:rPr>
        <w:t xml:space="preserve">, </w:t>
      </w:r>
      <w:bookmarkEnd w:id="3"/>
      <w:bookmarkEnd w:id="4"/>
      <w:r w:rsidRPr="00E03551">
        <w:rPr>
          <w:sz w:val="26"/>
          <w:szCs w:val="26"/>
        </w:rPr>
        <w:t xml:space="preserve">article 49.1 of the Law on the Fundamentals of Protection of the Rights of the Child (1996) states: “Parents and other legal representatives of the child may appropriately, according to their judgment, discipline the child, for avoiding to carry out his duties and for disciplinary infractions, with the exception of physical and mental torture, other cruel behaviour and the humiliation of the child’s honour and dignity.” Provisions against violence and abuse in this Law and in the Criminal Code (2000), the Constitution (1992), the </w:t>
      </w:r>
      <w:r w:rsidRPr="00E03551">
        <w:rPr>
          <w:sz w:val="26"/>
          <w:szCs w:val="26"/>
          <w:lang w:eastAsia="en-GB"/>
        </w:rPr>
        <w:t>Civil Code (2000), and the Code of Administrative Offences of the Republic of Lithuania (2002) are not interpreted as prohibiting all corporal punishment in childrearing.</w:t>
      </w:r>
    </w:p>
    <w:p w:rsidR="00FE14D7" w:rsidRDefault="00FE14D7" w:rsidP="00FE14D7">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2</w:t>
      </w:r>
      <w:r w:rsidRPr="00E03551">
        <w:rPr>
          <w:sz w:val="26"/>
          <w:szCs w:val="26"/>
        </w:rPr>
        <w:t>.</w:t>
      </w:r>
      <w:r>
        <w:rPr>
          <w:sz w:val="26"/>
          <w:szCs w:val="26"/>
        </w:rPr>
        <w:t>3</w:t>
      </w:r>
      <w:r w:rsidRPr="00E03551">
        <w:rPr>
          <w:sz w:val="26"/>
          <w:szCs w:val="26"/>
        </w:rPr>
        <w:t xml:space="preserve"> Corporal punishment is considered unlawful in </w:t>
      </w:r>
      <w:r w:rsidRPr="00E03551">
        <w:rPr>
          <w:b/>
          <w:sz w:val="26"/>
          <w:szCs w:val="26"/>
        </w:rPr>
        <w:t>schools</w:t>
      </w:r>
      <w:r w:rsidRPr="00E03551">
        <w:rPr>
          <w:sz w:val="26"/>
          <w:szCs w:val="26"/>
        </w:rPr>
        <w:t xml:space="preserve">, but there is no explicit prohibition. Article 25 of the Law on Education (1991) states that “parents, guardians, and teachers who do not carry out their responsibilities, or who cause physical, psychological, or moral harm to their pupils, shall be accountable in accordance with the procedures established by law”. </w:t>
      </w:r>
      <w:r>
        <w:rPr>
          <w:sz w:val="26"/>
          <w:szCs w:val="26"/>
        </w:rPr>
        <w:t>T</w:t>
      </w:r>
      <w:r w:rsidRPr="00E03551">
        <w:rPr>
          <w:sz w:val="26"/>
          <w:szCs w:val="26"/>
        </w:rPr>
        <w:t xml:space="preserve">he Law on the Fundamentals of Protection of the Rights of the Child </w:t>
      </w:r>
      <w:r>
        <w:rPr>
          <w:sz w:val="26"/>
          <w:szCs w:val="26"/>
        </w:rPr>
        <w:t>does not include corporal punishment among permitted disciplinary measures in schools though again does not explicitly prohibit it.</w:t>
      </w:r>
    </w:p>
    <w:p w:rsidR="00FE14D7" w:rsidRPr="00E03551" w:rsidRDefault="00FE14D7" w:rsidP="00FE14D7">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2</w:t>
      </w:r>
      <w:r w:rsidRPr="00E03551">
        <w:rPr>
          <w:sz w:val="26"/>
          <w:szCs w:val="26"/>
        </w:rPr>
        <w:t>.</w:t>
      </w:r>
      <w:r>
        <w:rPr>
          <w:sz w:val="26"/>
          <w:szCs w:val="26"/>
        </w:rPr>
        <w:t>4</w:t>
      </w:r>
      <w:r w:rsidRPr="00E03551">
        <w:rPr>
          <w:sz w:val="26"/>
          <w:szCs w:val="26"/>
        </w:rPr>
        <w:t xml:space="preserve"> In the </w:t>
      </w:r>
      <w:r w:rsidRPr="00E03551">
        <w:rPr>
          <w:b/>
          <w:sz w:val="26"/>
          <w:szCs w:val="26"/>
        </w:rPr>
        <w:t>penal system</w:t>
      </w:r>
      <w:r w:rsidRPr="00E03551">
        <w:rPr>
          <w:sz w:val="26"/>
          <w:szCs w:val="26"/>
        </w:rPr>
        <w:t>, corporal punishment is unlawful as a sentence for crime: there is no provision for judicial corporal punishment in criminal law. It is considered unlawful as a disciplinary measure in penal institutions, but there is no explicit prohibition in law.</w:t>
      </w:r>
    </w:p>
    <w:p w:rsidR="00FE14D7" w:rsidRPr="00E03551" w:rsidRDefault="00FE14D7" w:rsidP="00FE14D7">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2</w:t>
      </w:r>
      <w:r w:rsidRPr="00E03551">
        <w:rPr>
          <w:sz w:val="26"/>
          <w:szCs w:val="26"/>
        </w:rPr>
        <w:t>.</w:t>
      </w:r>
      <w:r>
        <w:rPr>
          <w:sz w:val="26"/>
          <w:szCs w:val="26"/>
        </w:rPr>
        <w:t>5</w:t>
      </w:r>
      <w:r w:rsidRPr="00E03551">
        <w:rPr>
          <w:sz w:val="26"/>
          <w:szCs w:val="26"/>
        </w:rPr>
        <w:t xml:space="preserve"> There is no explicit prohibition of corporal punishment in </w:t>
      </w:r>
      <w:r w:rsidRPr="00E03551">
        <w:rPr>
          <w:b/>
          <w:sz w:val="26"/>
          <w:szCs w:val="26"/>
        </w:rPr>
        <w:t>alternative care settings</w:t>
      </w:r>
      <w:r w:rsidRPr="00E03551">
        <w:rPr>
          <w:sz w:val="26"/>
          <w:szCs w:val="26"/>
        </w:rPr>
        <w:t>.</w:t>
      </w:r>
    </w:p>
    <w:p w:rsidR="00FE14D7" w:rsidRDefault="00FE14D7" w:rsidP="00FE14D7">
      <w:pPr>
        <w:spacing w:after="120"/>
        <w:rPr>
          <w:sz w:val="26"/>
          <w:szCs w:val="26"/>
        </w:rPr>
      </w:pPr>
      <w:r>
        <w:rPr>
          <w:sz w:val="26"/>
          <w:szCs w:val="26"/>
        </w:rPr>
        <w:t>2</w:t>
      </w:r>
      <w:r w:rsidRPr="00E03551">
        <w:rPr>
          <w:sz w:val="26"/>
          <w:szCs w:val="26"/>
        </w:rPr>
        <w:t>.</w:t>
      </w:r>
      <w:r>
        <w:rPr>
          <w:sz w:val="26"/>
          <w:szCs w:val="26"/>
        </w:rPr>
        <w:t>6</w:t>
      </w:r>
      <w:r w:rsidRPr="00E03551">
        <w:rPr>
          <w:sz w:val="26"/>
          <w:szCs w:val="26"/>
        </w:rPr>
        <w:t xml:space="preserve"> In 2008, a survey of 1,143 children aged 10-15 found that almost half (48%) had experienced corporal punishment</w:t>
      </w:r>
      <w:r>
        <w:rPr>
          <w:sz w:val="26"/>
          <w:szCs w:val="26"/>
        </w:rPr>
        <w:t>;</w:t>
      </w:r>
      <w:r w:rsidRPr="00E03551">
        <w:rPr>
          <w:sz w:val="26"/>
          <w:szCs w:val="26"/>
        </w:rPr>
        <w:t xml:space="preserve"> 5% reported being constantly physically punished. A quarter of children (24%) reported being physically punished for talking back or lying to adults, 20% for smoking or drinking alcohol, and 16% for disobedience or non-compliance. Only 29% of children believed that corporal punishment should never be used.</w:t>
      </w:r>
      <w:r w:rsidRPr="00E03551">
        <w:rPr>
          <w:rStyle w:val="FootnoteReference"/>
          <w:sz w:val="26"/>
          <w:szCs w:val="26"/>
        </w:rPr>
        <w:footnoteReference w:id="1"/>
      </w:r>
    </w:p>
    <w:p w:rsidR="00FE14D7" w:rsidRDefault="00FE14D7" w:rsidP="00FE14D7">
      <w:pPr>
        <w:spacing w:after="120"/>
        <w:rPr>
          <w:sz w:val="26"/>
          <w:szCs w:val="26"/>
        </w:rPr>
      </w:pPr>
    </w:p>
    <w:p w:rsidR="00FE14D7" w:rsidRPr="00FE14D7" w:rsidRDefault="00FE14D7" w:rsidP="00FE14D7">
      <w:pPr>
        <w:spacing w:after="120"/>
        <w:rPr>
          <w:b/>
          <w:sz w:val="28"/>
          <w:szCs w:val="28"/>
        </w:rPr>
      </w:pPr>
      <w:r>
        <w:rPr>
          <w:b/>
          <w:sz w:val="28"/>
          <w:szCs w:val="28"/>
        </w:rPr>
        <w:t xml:space="preserve">3 </w:t>
      </w:r>
      <w:r w:rsidRPr="00FE14D7">
        <w:rPr>
          <w:b/>
          <w:sz w:val="28"/>
          <w:szCs w:val="28"/>
        </w:rPr>
        <w:t>Moves towards prohibition of corporal punishment</w:t>
      </w:r>
    </w:p>
    <w:p w:rsidR="00FE14D7" w:rsidRPr="00FE14D7" w:rsidRDefault="00FE14D7" w:rsidP="00FE14D7">
      <w:pPr>
        <w:autoSpaceDE w:val="0"/>
        <w:autoSpaceDN w:val="0"/>
        <w:adjustRightInd w:val="0"/>
        <w:spacing w:after="120"/>
        <w:rPr>
          <w:sz w:val="26"/>
          <w:szCs w:val="26"/>
        </w:rPr>
      </w:pPr>
      <w:r>
        <w:rPr>
          <w:sz w:val="26"/>
          <w:szCs w:val="26"/>
        </w:rPr>
        <w:t>3</w:t>
      </w:r>
      <w:r w:rsidRPr="00FE14D7">
        <w:rPr>
          <w:sz w:val="26"/>
          <w:szCs w:val="26"/>
        </w:rPr>
        <w:t>.1 Under examination by the Committee on the Rights of the Child in 2006, the Government stated that legislation was being drafted to prohibit corporal punishment.</w:t>
      </w:r>
      <w:r w:rsidRPr="00FE14D7">
        <w:rPr>
          <w:rStyle w:val="FootnoteReference"/>
          <w:sz w:val="26"/>
          <w:szCs w:val="26"/>
        </w:rPr>
        <w:footnoteReference w:id="2"/>
      </w:r>
      <w:r w:rsidRPr="00FE14D7">
        <w:rPr>
          <w:sz w:val="26"/>
          <w:szCs w:val="26"/>
        </w:rPr>
        <w:t xml:space="preserve"> In the same year, the Ministry of Social Security and Labour commissioned research by the Institute of Law which concluded that prohibition required amendments to the Civil Code and the Law on the Fundamentals of the Rights of the Child, rather than a separate law. In March 2010, a bill which would have </w:t>
      </w:r>
      <w:r>
        <w:rPr>
          <w:sz w:val="26"/>
          <w:szCs w:val="26"/>
        </w:rPr>
        <w:t xml:space="preserve">amended </w:t>
      </w:r>
      <w:r w:rsidRPr="00FE14D7">
        <w:rPr>
          <w:sz w:val="26"/>
          <w:szCs w:val="26"/>
        </w:rPr>
        <w:t xml:space="preserve">article 49 of the Law on the Fundamentals of Protection of the Rights of the Child </w:t>
      </w:r>
      <w:r>
        <w:rPr>
          <w:sz w:val="26"/>
          <w:szCs w:val="26"/>
        </w:rPr>
        <w:t xml:space="preserve">to prohibit corporal punishment </w:t>
      </w:r>
      <w:r w:rsidRPr="00FE14D7">
        <w:rPr>
          <w:sz w:val="26"/>
          <w:szCs w:val="26"/>
        </w:rPr>
        <w:t xml:space="preserve">was rejected by parliament. A draft Child Protection Law is currently under discussion which would explicitly prohibit all corporal punishment but also provide for a “right to discipline”. </w:t>
      </w:r>
    </w:p>
    <w:p w:rsidR="00FE14D7" w:rsidRPr="00FE14D7" w:rsidRDefault="00FE14D7" w:rsidP="00FE14D7">
      <w:pPr>
        <w:autoSpaceDE w:val="0"/>
        <w:autoSpaceDN w:val="0"/>
        <w:adjustRightInd w:val="0"/>
        <w:spacing w:after="120"/>
        <w:rPr>
          <w:sz w:val="26"/>
          <w:szCs w:val="26"/>
        </w:rPr>
      </w:pPr>
      <w:r>
        <w:rPr>
          <w:sz w:val="26"/>
          <w:szCs w:val="26"/>
        </w:rPr>
        <w:t xml:space="preserve">3.2 </w:t>
      </w:r>
      <w:r w:rsidRPr="00FE14D7">
        <w:rPr>
          <w:sz w:val="26"/>
          <w:szCs w:val="26"/>
        </w:rPr>
        <w:t xml:space="preserve">The enactment of a new child law provides a key opportunity for realising children’s right to legal protection from all forms of corporal punishment in all settings, but it is vital that no </w:t>
      </w:r>
      <w:r w:rsidRPr="00FE14D7">
        <w:rPr>
          <w:sz w:val="26"/>
          <w:szCs w:val="26"/>
        </w:rPr>
        <w:lastRenderedPageBreak/>
        <w:t xml:space="preserve">loopholes remain – such as confirmation of a “right to discipline” – which may provide a legal defence for the use of some degree of physical punishment in childrearing. </w:t>
      </w:r>
      <w:r w:rsidRPr="00FE14D7">
        <w:rPr>
          <w:b/>
          <w:sz w:val="26"/>
          <w:szCs w:val="26"/>
        </w:rPr>
        <w:t>We hope the Committee on Economic, Social and Cultural Rights will urge the Government of Lithuania to ensure that the new Child Protection Law explicitly prohibits all corporal punishment and does not include any legal defences for its use – however light – in childrearing.</w:t>
      </w:r>
    </w:p>
    <w:p w:rsidR="00483F29" w:rsidRPr="00FE14D7" w:rsidRDefault="00483F29" w:rsidP="00483F29">
      <w:pPr>
        <w:spacing w:after="120"/>
        <w:rPr>
          <w:b/>
          <w:sz w:val="26"/>
          <w:szCs w:val="26"/>
          <w:u w:val="single"/>
        </w:rPr>
      </w:pPr>
    </w:p>
    <w:bookmarkEnd w:id="1"/>
    <w:bookmarkEnd w:id="2"/>
    <w:p w:rsidR="00837361" w:rsidRPr="00B902F0" w:rsidRDefault="00FE14D7" w:rsidP="00B902F0">
      <w:pPr>
        <w:spacing w:after="120"/>
        <w:rPr>
          <w:b/>
          <w:sz w:val="28"/>
          <w:szCs w:val="28"/>
        </w:rPr>
      </w:pPr>
      <w:r>
        <w:rPr>
          <w:b/>
          <w:sz w:val="28"/>
          <w:szCs w:val="28"/>
        </w:rPr>
        <w:t>4</w:t>
      </w:r>
      <w:r w:rsidR="008C188E">
        <w:rPr>
          <w:b/>
          <w:sz w:val="28"/>
          <w:szCs w:val="28"/>
        </w:rPr>
        <w:t xml:space="preserve"> </w:t>
      </w:r>
      <w:r w:rsidR="00837361" w:rsidRPr="00B902F0">
        <w:rPr>
          <w:b/>
          <w:sz w:val="28"/>
          <w:szCs w:val="28"/>
        </w:rPr>
        <w:t>Recommendations by human rights treaty bodies</w:t>
      </w:r>
      <w:r w:rsidR="00B902F0" w:rsidRPr="00B902F0">
        <w:rPr>
          <w:b/>
          <w:sz w:val="28"/>
          <w:szCs w:val="28"/>
        </w:rPr>
        <w:t xml:space="preserve"> and during the UPR</w:t>
      </w:r>
    </w:p>
    <w:p w:rsidR="00FE14D7" w:rsidRP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bookmarkStart w:id="5" w:name="OLE_LINK16"/>
      <w:bookmarkStart w:id="6" w:name="OLE_LINK17"/>
      <w:r w:rsidRPr="00FE14D7">
        <w:rPr>
          <w:sz w:val="26"/>
          <w:szCs w:val="26"/>
        </w:rPr>
        <w:t xml:space="preserve">3.1 The </w:t>
      </w:r>
      <w:r w:rsidRPr="00FE14D7">
        <w:rPr>
          <w:b/>
          <w:sz w:val="26"/>
          <w:szCs w:val="26"/>
        </w:rPr>
        <w:t>Committee on the Rights of the Child</w:t>
      </w:r>
      <w:r w:rsidRPr="00FE14D7">
        <w:rPr>
          <w:sz w:val="26"/>
          <w:szCs w:val="26"/>
        </w:rPr>
        <w:t xml:space="preserve"> has twice recommended that corporal punishment be prohibited in the home in Lithuania – following examination of the state party’s initial report in 2001</w:t>
      </w:r>
      <w:r w:rsidRPr="00FE14D7">
        <w:rPr>
          <w:rStyle w:val="FootnoteReference"/>
          <w:sz w:val="26"/>
          <w:szCs w:val="26"/>
        </w:rPr>
        <w:footnoteReference w:id="3"/>
      </w:r>
      <w:r w:rsidRPr="00FE14D7">
        <w:rPr>
          <w:sz w:val="26"/>
          <w:szCs w:val="26"/>
        </w:rPr>
        <w:t xml:space="preserve"> and again in its concluding observations on the second report in 2006.</w:t>
      </w:r>
      <w:r w:rsidRPr="00FE14D7">
        <w:rPr>
          <w:rStyle w:val="FootnoteReference"/>
          <w:sz w:val="26"/>
          <w:szCs w:val="26"/>
        </w:rPr>
        <w:footnoteReference w:id="4"/>
      </w:r>
    </w:p>
    <w:p w:rsidR="00FE14D7" w:rsidRP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t xml:space="preserve">3.2 </w:t>
      </w:r>
      <w:r w:rsidRPr="00FE14D7">
        <w:rPr>
          <w:sz w:val="26"/>
          <w:szCs w:val="26"/>
        </w:rPr>
        <w:t xml:space="preserve">In July 2012, the </w:t>
      </w:r>
      <w:r w:rsidRPr="00FE14D7">
        <w:rPr>
          <w:b/>
          <w:sz w:val="26"/>
          <w:szCs w:val="26"/>
        </w:rPr>
        <w:t>Human Rights Committee</w:t>
      </w:r>
      <w:r w:rsidRPr="00FE14D7">
        <w:rPr>
          <w:sz w:val="26"/>
          <w:szCs w:val="26"/>
        </w:rPr>
        <w:t xml:space="preserve"> expressed concern at corporal punishment of children in Lithuania and recommended that the state party end corporal punishment in all institutional settings.</w:t>
      </w:r>
      <w:r w:rsidRPr="00FE14D7">
        <w:rPr>
          <w:rStyle w:val="FootnoteReference"/>
          <w:sz w:val="26"/>
          <w:szCs w:val="26"/>
        </w:rPr>
        <w:footnoteReference w:id="5"/>
      </w:r>
    </w:p>
    <w:p w:rsidR="00FE14D7" w:rsidRP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sidRPr="00FE14D7">
        <w:rPr>
          <w:sz w:val="26"/>
          <w:szCs w:val="26"/>
        </w:rPr>
        <w:t xml:space="preserve">3.2 In 2011, the </w:t>
      </w:r>
      <w:r w:rsidRPr="00FE14D7">
        <w:rPr>
          <w:b/>
          <w:sz w:val="26"/>
          <w:szCs w:val="26"/>
        </w:rPr>
        <w:t>European Committee of Social Rights</w:t>
      </w:r>
      <w:r w:rsidRPr="00FE14D7">
        <w:rPr>
          <w:sz w:val="26"/>
          <w:szCs w:val="26"/>
        </w:rPr>
        <w:t xml:space="preserve"> concluded that the situation in Lithuania is not in conformity with article 17 of the Revised European Social Charter because corporal punishment of children is not explicitly prohibited in the home, in schools and in institutions.</w:t>
      </w:r>
      <w:r w:rsidRPr="00FE14D7">
        <w:rPr>
          <w:rStyle w:val="FootnoteReference"/>
          <w:sz w:val="26"/>
          <w:szCs w:val="26"/>
        </w:rPr>
        <w:footnoteReference w:id="6"/>
      </w:r>
      <w:r w:rsidRPr="00FE14D7">
        <w:rPr>
          <w:sz w:val="26"/>
          <w:szCs w:val="26"/>
        </w:rPr>
        <w:t xml:space="preserve"> The Committee had previously found a lack of conformity due to the absence of prohibition of corporal punishment in the family in 2005.</w:t>
      </w:r>
      <w:r w:rsidRPr="00FE14D7">
        <w:rPr>
          <w:rStyle w:val="FootnoteReference"/>
          <w:sz w:val="26"/>
          <w:szCs w:val="26"/>
        </w:rPr>
        <w:footnoteReference w:id="7"/>
      </w:r>
    </w:p>
    <w:p w:rsidR="00FE14D7" w:rsidRP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r w:rsidRPr="00FE14D7">
        <w:rPr>
          <w:sz w:val="26"/>
          <w:szCs w:val="26"/>
        </w:rPr>
        <w:t xml:space="preserve">3.3 Lithuania was examined in the first cycle of the </w:t>
      </w:r>
      <w:r w:rsidRPr="00FE14D7">
        <w:rPr>
          <w:b/>
          <w:sz w:val="26"/>
          <w:szCs w:val="26"/>
        </w:rPr>
        <w:t>Universal Periodic Review</w:t>
      </w:r>
      <w:r w:rsidRPr="00FE14D7">
        <w:rPr>
          <w:sz w:val="26"/>
          <w:szCs w:val="26"/>
        </w:rPr>
        <w:t xml:space="preserve"> in 2011. The following recommendation was made and was accepted by the Government: “Explicitly prohibit corporal punishment in the family and implement existing prohibitions (Romania)”.</w:t>
      </w:r>
      <w:r w:rsidRPr="00FE14D7">
        <w:rPr>
          <w:rStyle w:val="FootnoteReference"/>
          <w:sz w:val="26"/>
          <w:szCs w:val="26"/>
        </w:rPr>
        <w:footnoteReference w:id="8"/>
      </w:r>
    </w:p>
    <w:p w:rsidR="00FE14D7" w:rsidRPr="00FE14D7" w:rsidRDefault="00FE14D7" w:rsidP="00FE14D7">
      <w:pPr>
        <w:pStyle w:val="BodyText1"/>
        <w:tabs>
          <w:tab w:val="left" w:pos="8244"/>
          <w:tab w:val="left" w:pos="9160"/>
          <w:tab w:val="left" w:pos="10076"/>
          <w:tab w:val="left" w:pos="10992"/>
          <w:tab w:val="left" w:pos="11908"/>
          <w:tab w:val="left" w:pos="12824"/>
          <w:tab w:val="left" w:pos="13740"/>
          <w:tab w:val="left" w:pos="14656"/>
        </w:tabs>
        <w:spacing w:after="120"/>
        <w:rPr>
          <w:sz w:val="26"/>
          <w:szCs w:val="26"/>
        </w:rPr>
      </w:pPr>
    </w:p>
    <w:p w:rsidR="005E798C" w:rsidRDefault="005E798C" w:rsidP="005E798C">
      <w:pPr>
        <w:rPr>
          <w:i/>
        </w:rPr>
      </w:pPr>
      <w:r>
        <w:rPr>
          <w:i/>
        </w:rPr>
        <w:t>Briefing prepared by the Global Initiative to End All Corporal Punishment of Children</w:t>
      </w:r>
    </w:p>
    <w:p w:rsidR="00FE14D7" w:rsidRDefault="00626BB5"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5"/>
      <w:bookmarkEnd w:id="6"/>
    </w:p>
    <w:p w:rsidR="005E798C" w:rsidRPr="005E798C" w:rsidRDefault="00A03341" w:rsidP="005E798C">
      <w:pPr>
        <w:rPr>
          <w:i/>
        </w:rPr>
      </w:pPr>
      <w:r>
        <w:rPr>
          <w:i/>
        </w:rPr>
        <w:t xml:space="preserve">September </w:t>
      </w:r>
      <w:r w:rsidR="008F10FD">
        <w:rPr>
          <w:i/>
        </w:rPr>
        <w:t>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D09" w:rsidRDefault="009B7D09">
      <w:r>
        <w:separator/>
      </w:r>
    </w:p>
  </w:endnote>
  <w:endnote w:type="continuationSeparator" w:id="0">
    <w:p w:rsidR="009B7D09" w:rsidRDefault="009B7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D09" w:rsidRDefault="009B7D09">
      <w:r>
        <w:separator/>
      </w:r>
    </w:p>
  </w:footnote>
  <w:footnote w:type="continuationSeparator" w:id="0">
    <w:p w:rsidR="009B7D09" w:rsidRDefault="009B7D09">
      <w:r>
        <w:continuationSeparator/>
      </w:r>
    </w:p>
  </w:footnote>
  <w:footnote w:id="1">
    <w:p w:rsidR="00FE14D7" w:rsidRPr="00FE14D7" w:rsidRDefault="00FE14D7" w:rsidP="00FE14D7">
      <w:pPr>
        <w:pStyle w:val="FootnoteText"/>
      </w:pPr>
      <w:r w:rsidRPr="00FE14D7">
        <w:rPr>
          <w:rStyle w:val="FootnoteReference"/>
        </w:rPr>
        <w:footnoteRef/>
      </w:r>
      <w:r w:rsidRPr="00FE14D7">
        <w:t xml:space="preserve"> Save the Children (2008), </w:t>
      </w:r>
      <w:r w:rsidRPr="00FE14D7">
        <w:rPr>
          <w:i/>
        </w:rPr>
        <w:t>Children’s interview on relations in their families</w:t>
      </w:r>
      <w:r w:rsidRPr="00FE14D7">
        <w:t xml:space="preserve">. Reported in Kromelyte, I. (2011), “Lithuania: Changing a Culture of Violence Towards Children”, in Durrant, J. E. &amp; Smith, A. B. (eds) (2011), </w:t>
      </w:r>
      <w:r w:rsidRPr="00FE14D7">
        <w:rPr>
          <w:i/>
        </w:rPr>
        <w:t>Global Pathways to Abolishing Physical Punishment: Realizing Children’s Rights</w:t>
      </w:r>
      <w:r w:rsidRPr="00FE14D7">
        <w:t>, New York: Routledge, pp.146-153</w:t>
      </w:r>
    </w:p>
  </w:footnote>
  <w:footnote w:id="2">
    <w:p w:rsidR="00FE14D7" w:rsidRPr="00FE14D7" w:rsidRDefault="00FE14D7" w:rsidP="00FE14D7">
      <w:pPr>
        <w:pStyle w:val="FootnoteText"/>
      </w:pPr>
      <w:r w:rsidRPr="00FE14D7">
        <w:rPr>
          <w:rStyle w:val="FootnoteReference"/>
        </w:rPr>
        <w:footnoteRef/>
      </w:r>
      <w:r w:rsidRPr="00FE14D7">
        <w:t xml:space="preserve"> 7 January 2006, CRC/C/SR.1103, Summary record, para. 11</w:t>
      </w:r>
    </w:p>
  </w:footnote>
  <w:footnote w:id="3">
    <w:p w:rsidR="00FE14D7" w:rsidRPr="00FE14D7" w:rsidRDefault="00FE14D7" w:rsidP="00FE14D7">
      <w:pPr>
        <w:pStyle w:val="FootnoteText"/>
      </w:pPr>
      <w:r w:rsidRPr="00FE14D7">
        <w:rPr>
          <w:rStyle w:val="FootnoteReference"/>
        </w:rPr>
        <w:footnoteRef/>
      </w:r>
      <w:r w:rsidRPr="00FE14D7">
        <w:t xml:space="preserve"> </w:t>
      </w:r>
      <w:r w:rsidRPr="00FE14D7">
        <w:rPr>
          <w:iCs/>
        </w:rPr>
        <w:t>21 February 2001, CRC/C/15/Add.146, Concluding observations on initial report, paras. 25 and 26</w:t>
      </w:r>
    </w:p>
  </w:footnote>
  <w:footnote w:id="4">
    <w:p w:rsidR="00FE14D7" w:rsidRPr="00FE14D7" w:rsidRDefault="00FE14D7" w:rsidP="00FE14D7">
      <w:pPr>
        <w:pStyle w:val="FootnoteText"/>
      </w:pPr>
      <w:r w:rsidRPr="00FE14D7">
        <w:rPr>
          <w:rStyle w:val="FootnoteReference"/>
        </w:rPr>
        <w:footnoteRef/>
      </w:r>
      <w:r w:rsidRPr="00FE14D7">
        <w:t xml:space="preserve"> 17 March 2006, CRC/C/LTU/CO/2, Concluding observations on second report, paras. 8, 37 and 38</w:t>
      </w:r>
    </w:p>
  </w:footnote>
  <w:footnote w:id="5">
    <w:p w:rsidR="00FE14D7" w:rsidRPr="00FE14D7" w:rsidRDefault="00FE14D7" w:rsidP="00FE14D7">
      <w:pPr>
        <w:tabs>
          <w:tab w:val="left" w:pos="8244"/>
          <w:tab w:val="left" w:pos="9160"/>
          <w:tab w:val="left" w:pos="10076"/>
          <w:tab w:val="left" w:pos="10992"/>
          <w:tab w:val="left" w:pos="11908"/>
          <w:tab w:val="left" w:pos="12824"/>
          <w:tab w:val="left" w:pos="13740"/>
          <w:tab w:val="left" w:pos="14656"/>
        </w:tabs>
        <w:rPr>
          <w:sz w:val="20"/>
          <w:szCs w:val="20"/>
        </w:rPr>
      </w:pPr>
      <w:r w:rsidRPr="00FE14D7">
        <w:rPr>
          <w:rStyle w:val="FootnoteReference"/>
          <w:sz w:val="20"/>
          <w:szCs w:val="20"/>
        </w:rPr>
        <w:footnoteRef/>
      </w:r>
      <w:r w:rsidRPr="00FE14D7">
        <w:rPr>
          <w:sz w:val="20"/>
          <w:szCs w:val="20"/>
        </w:rPr>
        <w:t xml:space="preserve"> [July 2012], Advance Unedited Version, Concluding observations on third report, para. 10</w:t>
      </w:r>
    </w:p>
  </w:footnote>
  <w:footnote w:id="6">
    <w:p w:rsidR="00FE14D7" w:rsidRPr="00FE14D7" w:rsidRDefault="00FE14D7" w:rsidP="00FE14D7">
      <w:pPr>
        <w:pStyle w:val="FootnoteText"/>
      </w:pPr>
      <w:r w:rsidRPr="00FE14D7">
        <w:rPr>
          <w:rStyle w:val="FootnoteReference"/>
        </w:rPr>
        <w:footnoteRef/>
      </w:r>
      <w:r w:rsidRPr="00FE14D7">
        <w:t xml:space="preserve"> January 2012, Conclusions 2011</w:t>
      </w:r>
    </w:p>
  </w:footnote>
  <w:footnote w:id="7">
    <w:p w:rsidR="00FE14D7" w:rsidRPr="00FE14D7" w:rsidRDefault="00FE14D7" w:rsidP="00FE14D7">
      <w:pPr>
        <w:pStyle w:val="FootnoteText"/>
      </w:pPr>
      <w:r w:rsidRPr="00FE14D7">
        <w:rPr>
          <w:rStyle w:val="FootnoteReference"/>
        </w:rPr>
        <w:footnoteRef/>
      </w:r>
      <w:r w:rsidRPr="00FE14D7">
        <w:t xml:space="preserve"> March 2005, Conclusions 2005</w:t>
      </w:r>
    </w:p>
  </w:footnote>
  <w:footnote w:id="8">
    <w:p w:rsidR="00FE14D7" w:rsidRPr="00FE14D7" w:rsidRDefault="00FE14D7" w:rsidP="00FE14D7">
      <w:pPr>
        <w:pStyle w:val="FootnoteText"/>
      </w:pPr>
      <w:r w:rsidRPr="00FE14D7">
        <w:rPr>
          <w:rStyle w:val="FootnoteReference"/>
        </w:rPr>
        <w:footnoteRef/>
      </w:r>
      <w:r w:rsidRPr="00FE14D7">
        <w:t xml:space="preserve"> 19 December 2011, A/HRC/19/15, Report of the Working Group, para. 88(37)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C718C"/>
    <w:rsid w:val="0010682F"/>
    <w:rsid w:val="00107CF6"/>
    <w:rsid w:val="00117F0F"/>
    <w:rsid w:val="001A7CC5"/>
    <w:rsid w:val="001B0E10"/>
    <w:rsid w:val="001D3BCB"/>
    <w:rsid w:val="002049D3"/>
    <w:rsid w:val="002153F5"/>
    <w:rsid w:val="002562A6"/>
    <w:rsid w:val="00265C98"/>
    <w:rsid w:val="002826D8"/>
    <w:rsid w:val="00293A27"/>
    <w:rsid w:val="00294720"/>
    <w:rsid w:val="002A3C6B"/>
    <w:rsid w:val="002C63DF"/>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238C5"/>
    <w:rsid w:val="00423C0F"/>
    <w:rsid w:val="004522A4"/>
    <w:rsid w:val="00452997"/>
    <w:rsid w:val="00463053"/>
    <w:rsid w:val="00464016"/>
    <w:rsid w:val="004640D9"/>
    <w:rsid w:val="00483F29"/>
    <w:rsid w:val="004932F0"/>
    <w:rsid w:val="0049523D"/>
    <w:rsid w:val="00495D13"/>
    <w:rsid w:val="004A1623"/>
    <w:rsid w:val="005055FC"/>
    <w:rsid w:val="00514287"/>
    <w:rsid w:val="005243C9"/>
    <w:rsid w:val="0053166A"/>
    <w:rsid w:val="0058326F"/>
    <w:rsid w:val="005E798C"/>
    <w:rsid w:val="005F0533"/>
    <w:rsid w:val="005F1D6C"/>
    <w:rsid w:val="0062121F"/>
    <w:rsid w:val="00623842"/>
    <w:rsid w:val="00626BB5"/>
    <w:rsid w:val="00637B76"/>
    <w:rsid w:val="0066205C"/>
    <w:rsid w:val="00664D69"/>
    <w:rsid w:val="00670043"/>
    <w:rsid w:val="00690D2A"/>
    <w:rsid w:val="00695C05"/>
    <w:rsid w:val="006A2A06"/>
    <w:rsid w:val="006A7FD6"/>
    <w:rsid w:val="006D5472"/>
    <w:rsid w:val="006F70EE"/>
    <w:rsid w:val="007000A6"/>
    <w:rsid w:val="00733FE4"/>
    <w:rsid w:val="00735255"/>
    <w:rsid w:val="00736F96"/>
    <w:rsid w:val="007A2191"/>
    <w:rsid w:val="007C41C0"/>
    <w:rsid w:val="007E43D1"/>
    <w:rsid w:val="007E68FF"/>
    <w:rsid w:val="007F0C6D"/>
    <w:rsid w:val="007F7310"/>
    <w:rsid w:val="00806840"/>
    <w:rsid w:val="00812F6C"/>
    <w:rsid w:val="00837361"/>
    <w:rsid w:val="008467B3"/>
    <w:rsid w:val="008716D9"/>
    <w:rsid w:val="0088646B"/>
    <w:rsid w:val="008B476A"/>
    <w:rsid w:val="008B6355"/>
    <w:rsid w:val="008C188E"/>
    <w:rsid w:val="008C677C"/>
    <w:rsid w:val="008F10FD"/>
    <w:rsid w:val="008F5DBA"/>
    <w:rsid w:val="00935CF3"/>
    <w:rsid w:val="00964D9F"/>
    <w:rsid w:val="00965F4E"/>
    <w:rsid w:val="009909E6"/>
    <w:rsid w:val="00995341"/>
    <w:rsid w:val="00997763"/>
    <w:rsid w:val="009A26BC"/>
    <w:rsid w:val="009A4DF8"/>
    <w:rsid w:val="009B7D09"/>
    <w:rsid w:val="009D778F"/>
    <w:rsid w:val="00A03341"/>
    <w:rsid w:val="00A077F7"/>
    <w:rsid w:val="00A25D01"/>
    <w:rsid w:val="00A36851"/>
    <w:rsid w:val="00A543F1"/>
    <w:rsid w:val="00A562E2"/>
    <w:rsid w:val="00A62797"/>
    <w:rsid w:val="00A629C9"/>
    <w:rsid w:val="00A6491F"/>
    <w:rsid w:val="00A76009"/>
    <w:rsid w:val="00A93637"/>
    <w:rsid w:val="00AA09E7"/>
    <w:rsid w:val="00AC502E"/>
    <w:rsid w:val="00AE243C"/>
    <w:rsid w:val="00AE5677"/>
    <w:rsid w:val="00B868FE"/>
    <w:rsid w:val="00B902F0"/>
    <w:rsid w:val="00BC4562"/>
    <w:rsid w:val="00BE5640"/>
    <w:rsid w:val="00C1753A"/>
    <w:rsid w:val="00C40886"/>
    <w:rsid w:val="00C930FA"/>
    <w:rsid w:val="00C95DFD"/>
    <w:rsid w:val="00C978D4"/>
    <w:rsid w:val="00D76C4E"/>
    <w:rsid w:val="00DA7807"/>
    <w:rsid w:val="00DE60A9"/>
    <w:rsid w:val="00DF1FC6"/>
    <w:rsid w:val="00E015BF"/>
    <w:rsid w:val="00E1152D"/>
    <w:rsid w:val="00E12D78"/>
    <w:rsid w:val="00E30F52"/>
    <w:rsid w:val="00E4286C"/>
    <w:rsid w:val="00E82DAD"/>
    <w:rsid w:val="00E90091"/>
    <w:rsid w:val="00EB5617"/>
    <w:rsid w:val="00EC6CBB"/>
    <w:rsid w:val="00ED1459"/>
    <w:rsid w:val="00ED7D40"/>
    <w:rsid w:val="00EF11F9"/>
    <w:rsid w:val="00EF3961"/>
    <w:rsid w:val="00EF4A2B"/>
    <w:rsid w:val="00F2218E"/>
    <w:rsid w:val="00F640B3"/>
    <w:rsid w:val="00F812AD"/>
    <w:rsid w:val="00FD211B"/>
    <w:rsid w:val="00FE1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DDFEC0-39A7-400C-AF88-ECC6FFAC0C1B}"/>
</file>

<file path=customXml/itemProps2.xml><?xml version="1.0" encoding="utf-8"?>
<ds:datastoreItem xmlns:ds="http://schemas.openxmlformats.org/officeDocument/2006/customXml" ds:itemID="{59BE0056-19DF-4A1E-A730-338163D49C9C}"/>
</file>

<file path=customXml/itemProps3.xml><?xml version="1.0" encoding="utf-8"?>
<ds:datastoreItem xmlns:ds="http://schemas.openxmlformats.org/officeDocument/2006/customXml" ds:itemID="{18B17733-85DF-4618-8A57-183B5A08769E}"/>
</file>

<file path=customXml/itemProps4.xml><?xml version="1.0" encoding="utf-8"?>
<ds:datastoreItem xmlns:ds="http://schemas.openxmlformats.org/officeDocument/2006/customXml" ds:itemID="{168F119F-8B50-4648-82FE-EFE477D9C9C2}"/>
</file>

<file path=docProps/app.xml><?xml version="1.0" encoding="utf-8"?>
<Properties xmlns="http://schemas.openxmlformats.org/officeDocument/2006/extended-properties" xmlns:vt="http://schemas.openxmlformats.org/officeDocument/2006/docPropsVTypes">
  <Template>Normal</Template>
  <TotalTime>0</TotalTime>
  <Pages>3</Pages>
  <Words>911</Words>
  <Characters>5198</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6097</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Denis D'aniello</cp:lastModifiedBy>
  <cp:revision>2</cp:revision>
  <cp:lastPrinted>2008-04-11T08:34:00Z</cp:lastPrinted>
  <dcterms:created xsi:type="dcterms:W3CDTF">2013-06-28T15:26:00Z</dcterms:created>
  <dcterms:modified xsi:type="dcterms:W3CDTF">2013-06-28T15:26:00Z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