
<file path=[Content_Types].xml><?xml version="1.0" encoding="utf-8"?>
<Types xmlns="http://schemas.openxmlformats.org/package/2006/content-types">
  <Default Extension="png" ContentType="image/png"/>
  <Default Extension="bmp" ContentType="image/bmp"/>
  <Default Extension="pdf" ContentType="application/pdf"/>
  <Default Extension="rels" ContentType="application/vnd.openxmlformats-package.relationships+xml"/>
  <Default Extension="jpeg" ContentType="image/jpg"/>
  <Default Extension="mov" ContentType="application/movie"/>
  <Default Extension="xml" ContentType="application/xml"/>
  <Default Extension="gif" ContentType="image/gif"/>
  <Default Extension="tif" ContentType="image/tif"/>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theme/theme1.xml" ContentType="application/vnd.openxmlformats-officedocument.theme+xml"/>
  <Override PartName="/word/header1.xml" ContentType="application/vnd.openxmlformats-officedocument.wordprocessingml.header+xml"/>
  <Override PartName="/word/footer1.xml" ContentType="application/vnd.openxmlformats-officedocument.wordprocessingml.footer+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officeDocument" Target="word/document.xml"/><Relationship Id="rId2" Type="http://schemas.openxmlformats.org/officeDocument/2006/relationships/extended-properties" Target="docProps/app.xml"/><Relationship Id="rId1" Type="http://schemas.openxmlformats.org/package/2006/relationships/metadata/core-properties" Target="docProps/core.xml"/><Relationship Id="rId4" Type="http://schemas.openxmlformats.org/officeDocument/2006/relationships/custom-properties" Target="docProps/custom.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jc w:val="center"/>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 xml:space="preserve">Additional Response to Question between Article 20-33  </w:t>
      </w:r>
    </w:p>
    <w:p>
      <w:pPr>
        <w:pStyle w:val="List Paragraph"/>
        <w:numPr>
          <w:ilvl w:val="0"/>
          <w:numId w:val="2"/>
        </w:numPr>
        <w:bidi w:val="0"/>
        <w:ind w:right="0"/>
        <w:jc w:val="both"/>
        <w:rPr>
          <w:rFonts w:ascii="Times New Roman" w:cs="Times New Roman" w:hAnsi="Times New Roman" w:eastAsia="Times New Roman"/>
          <w:b w:val="1"/>
          <w:bCs w:val="1"/>
          <w:sz w:val="24"/>
          <w:szCs w:val="24"/>
          <w:rtl w:val="0"/>
          <w:lang w:val="en-US"/>
        </w:rPr>
      </w:pPr>
      <w:r>
        <w:rPr>
          <w:rFonts w:ascii="Times New Roman" w:hAnsi="Times New Roman"/>
          <w:b w:val="1"/>
          <w:bCs w:val="1"/>
          <w:sz w:val="24"/>
          <w:szCs w:val="24"/>
          <w:rtl w:val="0"/>
          <w:lang w:val="en-US"/>
        </w:rPr>
        <w:t>Additional response to insurance practice and health care services for rare diseases, reproductive health and protection of privacy rights about health issues:</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General Health Insurance Practice entered into effect in 2008, and started to be implemented in all aspects in 2012. One of the most crucial steps of this reform is that it has almost covered all </w:t>
      </w:r>
      <w:r>
        <w:rPr>
          <w:rFonts w:ascii="Times New Roman" w:hAnsi="Times New Roman"/>
          <w:sz w:val="24"/>
          <w:szCs w:val="24"/>
          <w:rtl w:val="0"/>
          <w:lang w:val="en-US"/>
        </w:rPr>
        <w:t xml:space="preserve">the </w:t>
      </w:r>
      <w:r>
        <w:rPr>
          <w:rFonts w:ascii="Times New Roman" w:hAnsi="Times New Roman"/>
          <w:sz w:val="24"/>
          <w:szCs w:val="24"/>
          <w:rtl w:val="0"/>
          <w:lang w:val="en-US"/>
        </w:rPr>
        <w:t>population. All people such as immigrants, refugees, asylum seekers, PwDs and similar groups were assessed in this scope. General health insurance system provides comprehensive, equally and fairly accessible health service to all individuals living in our country, regardless of their economic status. Besides, coverage package implemented in our country is considered to be one of the most wide-ranging coverage packages in the world. In our legislation, health services, individuals and situations that will not be asked for additional fee or participation fee are defined and these individuals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access to health is facilitated.    </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PwDs can access to all health services such as all kinds of medicines, medical device, without facing any barriers. For example, devices that PwDs need most such as electric wheelchair, hearing aid, telescopic cane, external prosthesis, tailored orthesis and prosthesis are in repayment cover. </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Among costs incurred under the scope of guarantee period, maintenance and repair costs of medical devices used in outpatient treatments are covered by company, and costs incurred out of the scope of guarantee period are covered by Social Security Institution (the institution). Again, calibration of devices requiring calibration is conducted by the institution. The list of repayment data within the last five years for medical devices that are mostly used by PwDs and covered within the scope of individual payment is given in the table below: </w:t>
      </w:r>
    </w:p>
    <w:tbl>
      <w:tblPr>
        <w:tblW w:w="892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7173"/>
        <w:gridCol w:w="1752"/>
      </w:tblGrid>
      <w:tr>
        <w:tblPrEx>
          <w:shd w:val="clear" w:color="auto" w:fill="d0ddef"/>
        </w:tblPrEx>
        <w:trPr>
          <w:trHeight w:val="300" w:hRule="atLeast"/>
        </w:trPr>
        <w:tc>
          <w:tcPr>
            <w:tcW w:type="dxa" w:w="7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Times New Roman" w:hAnsi="Times New Roman"/>
                <w:b w:val="1"/>
                <w:bCs w:val="1"/>
                <w:sz w:val="24"/>
                <w:szCs w:val="24"/>
                <w:rtl w:val="0"/>
                <w:lang w:val="en-US"/>
              </w:rPr>
              <w:t>NAME OF MEDICAL EQUIPMENT</w:t>
            </w:r>
          </w:p>
        </w:tc>
        <w:tc>
          <w:tcPr>
            <w:tcW w:type="dxa" w:w="17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Times New Roman" w:hAnsi="Times New Roman"/>
                <w:b w:val="1"/>
                <w:bCs w:val="1"/>
                <w:sz w:val="24"/>
                <w:szCs w:val="24"/>
                <w:rtl w:val="0"/>
                <w:lang w:val="en-US"/>
              </w:rPr>
              <w:t>UNIT</w:t>
            </w:r>
          </w:p>
        </w:tc>
      </w:tr>
      <w:tr>
        <w:tblPrEx>
          <w:shd w:val="clear" w:color="auto" w:fill="d0ddef"/>
        </w:tblPrEx>
        <w:trPr>
          <w:trHeight w:val="300" w:hRule="atLeast"/>
        </w:trPr>
        <w:tc>
          <w:tcPr>
            <w:tcW w:type="dxa" w:w="7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Times New Roman" w:hAnsi="Times New Roman"/>
                <w:sz w:val="24"/>
                <w:szCs w:val="24"/>
                <w:rtl w:val="0"/>
                <w:lang w:val="en-US"/>
              </w:rPr>
              <w:t>EXTERNAL ORGAN ORTHESIS</w:t>
            </w:r>
          </w:p>
        </w:tc>
        <w:tc>
          <w:tcPr>
            <w:tcW w:type="dxa" w:w="17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Times New Roman" w:hAnsi="Times New Roman"/>
                <w:sz w:val="24"/>
                <w:szCs w:val="24"/>
                <w:rtl w:val="0"/>
                <w:lang w:val="en-US"/>
              </w:rPr>
              <w:t>1,812,268</w:t>
            </w:r>
          </w:p>
        </w:tc>
      </w:tr>
      <w:tr>
        <w:tblPrEx>
          <w:shd w:val="clear" w:color="auto" w:fill="d0ddef"/>
        </w:tblPrEx>
        <w:trPr>
          <w:trHeight w:val="300" w:hRule="atLeast"/>
        </w:trPr>
        <w:tc>
          <w:tcPr>
            <w:tcW w:type="dxa" w:w="7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Times New Roman" w:hAnsi="Times New Roman"/>
                <w:sz w:val="24"/>
                <w:szCs w:val="24"/>
                <w:rtl w:val="0"/>
                <w:lang w:val="en-US"/>
              </w:rPr>
              <w:t>EXTERNAL ORGAN PROTHESIS</w:t>
            </w:r>
          </w:p>
        </w:tc>
        <w:tc>
          <w:tcPr>
            <w:tcW w:type="dxa" w:w="17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Times New Roman" w:hAnsi="Times New Roman"/>
                <w:sz w:val="24"/>
                <w:szCs w:val="24"/>
                <w:rtl w:val="0"/>
                <w:lang w:val="en-US"/>
              </w:rPr>
              <w:t>40,444</w:t>
            </w:r>
          </w:p>
        </w:tc>
      </w:tr>
      <w:tr>
        <w:tblPrEx>
          <w:shd w:val="clear" w:color="auto" w:fill="d0ddef"/>
        </w:tblPrEx>
        <w:trPr>
          <w:trHeight w:val="623" w:hRule="atLeast"/>
        </w:trPr>
        <w:tc>
          <w:tcPr>
            <w:tcW w:type="dxa" w:w="7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Times New Roman" w:hAnsi="Times New Roman"/>
                <w:sz w:val="24"/>
                <w:szCs w:val="24"/>
                <w:rtl w:val="0"/>
                <w:lang w:val="en-US"/>
              </w:rPr>
              <w:t xml:space="preserve">EXTERNAL ORTHESIS PROTHESIS MAINTENANCE AND REPAIR </w:t>
            </w:r>
          </w:p>
        </w:tc>
        <w:tc>
          <w:tcPr>
            <w:tcW w:type="dxa" w:w="17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Times New Roman" w:hAnsi="Times New Roman"/>
                <w:sz w:val="24"/>
                <w:szCs w:val="24"/>
                <w:rtl w:val="0"/>
                <w:lang w:val="en-US"/>
              </w:rPr>
              <w:t>152,188</w:t>
            </w:r>
          </w:p>
        </w:tc>
      </w:tr>
      <w:tr>
        <w:tblPrEx>
          <w:shd w:val="clear" w:color="auto" w:fill="d0ddef"/>
        </w:tblPrEx>
        <w:trPr>
          <w:trHeight w:val="300" w:hRule="atLeast"/>
        </w:trPr>
        <w:tc>
          <w:tcPr>
            <w:tcW w:type="dxa" w:w="7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Times New Roman" w:hAnsi="Times New Roman"/>
                <w:sz w:val="24"/>
                <w:szCs w:val="24"/>
                <w:rtl w:val="0"/>
                <w:lang w:val="en-US"/>
              </w:rPr>
              <w:t>OTHER ORTHESIS</w:t>
            </w:r>
          </w:p>
        </w:tc>
        <w:tc>
          <w:tcPr>
            <w:tcW w:type="dxa" w:w="17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Times New Roman" w:hAnsi="Times New Roman"/>
                <w:sz w:val="24"/>
                <w:szCs w:val="24"/>
                <w:rtl w:val="0"/>
                <w:lang w:val="en-US"/>
              </w:rPr>
              <w:t>9,684</w:t>
            </w:r>
          </w:p>
        </w:tc>
      </w:tr>
      <w:tr>
        <w:tblPrEx>
          <w:shd w:val="clear" w:color="auto" w:fill="d0ddef"/>
        </w:tblPrEx>
        <w:trPr>
          <w:trHeight w:val="300" w:hRule="atLeast"/>
        </w:trPr>
        <w:tc>
          <w:tcPr>
            <w:tcW w:type="dxa" w:w="7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Times New Roman" w:hAnsi="Times New Roman"/>
                <w:sz w:val="24"/>
                <w:szCs w:val="24"/>
                <w:rtl w:val="0"/>
                <w:lang w:val="en-US"/>
              </w:rPr>
              <w:t>MANUAL WHEELCHAIRS</w:t>
            </w:r>
          </w:p>
        </w:tc>
        <w:tc>
          <w:tcPr>
            <w:tcW w:type="dxa" w:w="17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Times New Roman" w:hAnsi="Times New Roman"/>
                <w:sz w:val="24"/>
                <w:szCs w:val="24"/>
                <w:rtl w:val="0"/>
                <w:lang w:val="en-US"/>
              </w:rPr>
              <w:t>48,615</w:t>
            </w:r>
          </w:p>
        </w:tc>
      </w:tr>
      <w:tr>
        <w:tblPrEx>
          <w:shd w:val="clear" w:color="auto" w:fill="d0ddef"/>
        </w:tblPrEx>
        <w:trPr>
          <w:trHeight w:val="300" w:hRule="atLeast"/>
        </w:trPr>
        <w:tc>
          <w:tcPr>
            <w:tcW w:type="dxa" w:w="7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Times New Roman" w:hAnsi="Times New Roman"/>
                <w:sz w:val="24"/>
                <w:szCs w:val="24"/>
                <w:rtl w:val="0"/>
                <w:lang w:val="en-US"/>
              </w:rPr>
              <w:t>ELECTRIC WHEELCHAIRS</w:t>
            </w:r>
          </w:p>
        </w:tc>
        <w:tc>
          <w:tcPr>
            <w:tcW w:type="dxa" w:w="17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Times New Roman" w:hAnsi="Times New Roman"/>
                <w:sz w:val="24"/>
                <w:szCs w:val="24"/>
                <w:rtl w:val="0"/>
                <w:lang w:val="en-US"/>
              </w:rPr>
              <w:t>2,159</w:t>
            </w:r>
          </w:p>
        </w:tc>
      </w:tr>
      <w:tr>
        <w:tblPrEx>
          <w:shd w:val="clear" w:color="auto" w:fill="d0ddef"/>
        </w:tblPrEx>
        <w:trPr>
          <w:trHeight w:val="300" w:hRule="atLeast"/>
        </w:trPr>
        <w:tc>
          <w:tcPr>
            <w:tcW w:type="dxa" w:w="7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Times New Roman" w:hAnsi="Times New Roman"/>
                <w:sz w:val="24"/>
                <w:szCs w:val="24"/>
                <w:rtl w:val="0"/>
                <w:lang w:val="en-US"/>
              </w:rPr>
              <w:t>HEARING AIDS</w:t>
            </w:r>
          </w:p>
        </w:tc>
        <w:tc>
          <w:tcPr>
            <w:tcW w:type="dxa" w:w="17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Times New Roman" w:hAnsi="Times New Roman"/>
                <w:sz w:val="24"/>
                <w:szCs w:val="24"/>
                <w:rtl w:val="0"/>
                <w:lang w:val="en-US"/>
              </w:rPr>
              <w:t>595,423</w:t>
            </w:r>
          </w:p>
        </w:tc>
      </w:tr>
      <w:tr>
        <w:tblPrEx>
          <w:shd w:val="clear" w:color="auto" w:fill="d0ddef"/>
        </w:tblPrEx>
        <w:trPr>
          <w:trHeight w:val="300" w:hRule="atLeast"/>
        </w:trPr>
        <w:tc>
          <w:tcPr>
            <w:tcW w:type="dxa" w:w="7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Times New Roman" w:hAnsi="Times New Roman"/>
                <w:sz w:val="24"/>
                <w:szCs w:val="24"/>
                <w:rtl w:val="0"/>
                <w:lang w:val="en-US"/>
              </w:rPr>
              <w:t>RESPIRATORY APPARATUS</w:t>
            </w:r>
          </w:p>
        </w:tc>
        <w:tc>
          <w:tcPr>
            <w:tcW w:type="dxa" w:w="17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Times New Roman" w:hAnsi="Times New Roman"/>
                <w:sz w:val="24"/>
                <w:szCs w:val="24"/>
                <w:rtl w:val="0"/>
                <w:lang w:val="en-US"/>
              </w:rPr>
              <w:t>483,421</w:t>
            </w:r>
          </w:p>
        </w:tc>
      </w:tr>
      <w:tr>
        <w:tblPrEx>
          <w:shd w:val="clear" w:color="auto" w:fill="d0ddef"/>
        </w:tblPrEx>
        <w:trPr>
          <w:trHeight w:val="300" w:hRule="atLeast"/>
        </w:trPr>
        <w:tc>
          <w:tcPr>
            <w:tcW w:type="dxa" w:w="7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Times New Roman" w:hAnsi="Times New Roman"/>
                <w:sz w:val="24"/>
                <w:szCs w:val="24"/>
                <w:rtl w:val="0"/>
                <w:lang w:val="en-US"/>
              </w:rPr>
              <w:t>OTHER MEDICAL DEVICES</w:t>
            </w:r>
          </w:p>
        </w:tc>
        <w:tc>
          <w:tcPr>
            <w:tcW w:type="dxa" w:w="17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Times New Roman" w:hAnsi="Times New Roman"/>
                <w:sz w:val="24"/>
                <w:szCs w:val="24"/>
                <w:rtl w:val="0"/>
                <w:lang w:val="en-US"/>
              </w:rPr>
              <w:t>9,235</w:t>
            </w:r>
          </w:p>
        </w:tc>
      </w:tr>
      <w:tr>
        <w:tblPrEx>
          <w:shd w:val="clear" w:color="auto" w:fill="d0ddef"/>
        </w:tblPrEx>
        <w:trPr>
          <w:trHeight w:val="300" w:hRule="atLeast"/>
        </w:trPr>
        <w:tc>
          <w:tcPr>
            <w:tcW w:type="dxa" w:w="7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Times New Roman" w:hAnsi="Times New Roman"/>
                <w:sz w:val="24"/>
                <w:szCs w:val="24"/>
                <w:rtl w:val="0"/>
                <w:lang w:val="en-US"/>
              </w:rPr>
              <w:t>TOTAL</w:t>
            </w:r>
          </w:p>
        </w:tc>
        <w:tc>
          <w:tcPr>
            <w:tcW w:type="dxa" w:w="17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Times New Roman" w:hAnsi="Times New Roman"/>
                <w:sz w:val="24"/>
                <w:szCs w:val="24"/>
                <w:rtl w:val="0"/>
                <w:lang w:val="en-US"/>
              </w:rPr>
              <w:t>3,153,437</w:t>
            </w:r>
          </w:p>
        </w:tc>
      </w:tr>
    </w:tbl>
    <w:p>
      <w:pPr>
        <w:pStyle w:val="Body"/>
        <w:widowControl w:val="0"/>
        <w:spacing w:line="240" w:lineRule="auto"/>
        <w:jc w:val="both"/>
        <w:rPr>
          <w:rFonts w:ascii="Times New Roman" w:cs="Times New Roman" w:hAnsi="Times New Roman" w:eastAsia="Times New Roman"/>
          <w:sz w:val="24"/>
          <w:szCs w:val="24"/>
        </w:rPr>
      </w:pPr>
    </w:p>
    <w:p>
      <w:pPr>
        <w:pStyle w:val="Body"/>
        <w:jc w:val="both"/>
        <w:rPr>
          <w:rFonts w:ascii="Times New Roman" w:cs="Times New Roman" w:hAnsi="Times New Roman" w:eastAsia="Times New Roman"/>
          <w:sz w:val="24"/>
          <w:szCs w:val="24"/>
          <w:lang w:val="en-US"/>
        </w:rPr>
      </w:pPr>
    </w:p>
    <w:p>
      <w:pPr>
        <w:pStyle w:val="Body"/>
        <w:jc w:val="both"/>
        <w:rPr>
          <w:rFonts w:ascii="Times New Roman" w:cs="Times New Roman" w:hAnsi="Times New Roman" w:eastAsia="Times New Roman"/>
          <w:sz w:val="24"/>
          <w:szCs w:val="24"/>
          <w:lang w:val="en-US"/>
        </w:rPr>
      </w:pP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In order for our general health insurers to access to medical equipment more easily, the institution has signed agreements with pharmacies/medical companies/hearing aid, orthesis and prosthesis centres, and if an individual applies to these centres with regards to his/her prescription or health report, medical devices they need are supplied.  </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Medical home services provided by hospitals affiliated to Ministry of Health are covered by the institution under the scope of outpatient treatments. Additionally, prescriptions prepared by Medical Home Centre or its Units providing service as special health institution are covered by our institution on the grounds that these prescriptions are within the scope of prescriptions paid by the Institution.  </w:t>
      </w:r>
    </w:p>
    <w:p>
      <w:pPr>
        <w:pStyle w:val="Body"/>
        <w:jc w:val="both"/>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Rare diseases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are illnesses that are observed in less people compared to general population. For many rare diseases, there is no treatment that completely cures the disease. And yet, appropriate treatment and medical care can enhance life quality of patients and exceed expected life spans. Almost all genetic diseases are rare diseases. Many medicines both licensed in our country and supplied abroad for many rare diseases such as Mucopolysaccharidosis, Duchenne Muscular Dystrophy, Cystic Fibrosis, Glycogen Storage Diseases, Phenylketonuria, Celiac Disease and Spinal Muscular Atrophy Type I-II-III, etc. are in repayment coverage. In metabolic diseases observed very rarely such as Phenylketonuria and Celiac Disease, special dietary products as well as medical baby food and enteral nutrition solutions are in repayment coverage; and for special formulated flour and special-formulated manufactured goods (pasta, noodle, biscuit, chocolate, wafer, etc.) vital due to limited diets, cash payments are also made to patients.    </w:t>
      </w:r>
    </w:p>
    <w:p>
      <w:pPr>
        <w:pStyle w:val="Body"/>
        <w:jc w:val="both"/>
        <w:rPr>
          <w:rFonts w:ascii="Times New Roman" w:cs="Times New Roman" w:hAnsi="Times New Roman" w:eastAsia="Times New Roman"/>
          <w:b w:val="1"/>
          <w:bCs w:val="1"/>
          <w:sz w:val="24"/>
          <w:szCs w:val="24"/>
          <w:lang w:val="en-US"/>
        </w:rPr>
      </w:pPr>
    </w:p>
    <w:p>
      <w:pPr>
        <w:pStyle w:val="List Paragraph"/>
        <w:numPr>
          <w:ilvl w:val="0"/>
          <w:numId w:val="4"/>
        </w:numPr>
        <w:bidi w:val="0"/>
        <w:ind w:right="0"/>
        <w:jc w:val="both"/>
        <w:rPr>
          <w:rFonts w:ascii="Times New Roman" w:cs="Times New Roman" w:hAnsi="Times New Roman" w:eastAsia="Times New Roman"/>
          <w:b w:val="1"/>
          <w:bCs w:val="1"/>
          <w:sz w:val="24"/>
          <w:szCs w:val="24"/>
          <w:rtl w:val="0"/>
          <w:lang w:val="en-US"/>
        </w:rPr>
      </w:pPr>
      <w:r>
        <w:rPr>
          <w:rFonts w:ascii="Times New Roman" w:hAnsi="Times New Roman"/>
          <w:b w:val="1"/>
          <w:bCs w:val="1"/>
          <w:sz w:val="24"/>
          <w:szCs w:val="24"/>
          <w:rtl w:val="0"/>
          <w:lang w:val="en-US"/>
        </w:rPr>
        <w:t>Additional response in relation to the restriction of being foster parents:</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The process for caring, raising and educating a child is directly affected by the physical wellbeing, psychological condition, social skills, economic abilities of the people who would undertake this responsibility, availability of social support, their life history, problem solving methods, and being prepared for a life with kids as well as their expectation from a child. The eligibility of parents with disabilities for being a foster family is examined based on whether their condition has a negative impact on the care and supervision for the child. The application of the families, which are able to meet the needs of the children as required by their age groups and which are able to involve in their physical activities, are accepted and the procedures are carried out for the benefit of the child. For the best interest of the children in our family oriented services, only the applications of families which are found suitable in this context are accepted.</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Besides, there are special provisions for persons with disabilities in the legislation with regards to the family services. For instance, monthly fee for the care of children with special challenges or needs or of the children with disabilities is implemented with 50% increase considering the disability and age factors. The health report is requested from the potential foster families and their cohabitants, if any, due to the best interest of the child for preventing negative influence on the care, psychosocial development and education of the child and for preventing any possible harm towards the child. </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There are 684 children with disabilities which are provided care by foster families. In the last two years, 32 children with disabilities, 18 of whom are girls, have been adopted. The number of persons/families who request to adopt a child with disability is 15. The number of persons/families with disabilities who apply for adoption is 10 and they have been included in the waiting list of 2000 persons.</w:t>
      </w:r>
    </w:p>
    <w:p>
      <w:pPr>
        <w:pStyle w:val="List Paragraph"/>
        <w:numPr>
          <w:ilvl w:val="0"/>
          <w:numId w:val="4"/>
        </w:numPr>
        <w:bidi w:val="0"/>
        <w:ind w:right="0"/>
        <w:jc w:val="both"/>
        <w:rPr>
          <w:rFonts w:ascii="Times New Roman" w:cs="Times New Roman" w:hAnsi="Times New Roman" w:eastAsia="Times New Roman"/>
          <w:b w:val="1"/>
          <w:bCs w:val="1"/>
          <w:sz w:val="24"/>
          <w:szCs w:val="24"/>
          <w:rtl w:val="0"/>
          <w:lang w:val="en-US"/>
        </w:rPr>
      </w:pPr>
      <w:r>
        <w:rPr>
          <w:rFonts w:ascii="Times New Roman" w:hAnsi="Times New Roman"/>
          <w:b w:val="1"/>
          <w:bCs w:val="1"/>
          <w:sz w:val="24"/>
          <w:szCs w:val="24"/>
          <w:rtl w:val="0"/>
          <w:lang w:val="en-US"/>
        </w:rPr>
        <w:t>Additional response in relation to the criteria of maintenance fee for the needy:</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There are many applications in force in Turkey for PwDs without any criteria of the dependency. There are free of charge transportation, various tax exemptions and other programs among others. </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There is also another application Turkey for the support of PwDs with a household income under certain level with reference to the dependency condition in addition to the circumstances resulting from the disabilities providing the social aid payments in cash for PwDs. In this regard, the economic dependency is observed for PwDs in addition to their disabilities for monetary aids.  </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The limits of the dependency are re-defined when needed by the conditions. Thus, the dependency condition for disability aids to be applied within the scope of the Law no: 2022 was equal to the 1/6 of the minimum wage and it became 1/3 in 2012 as a result of the amendment in the law. </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One of the important goals of the sustainable development is to eradicate the poverty. In this scope, some of the practices to fight against the poverty of PwDs in Turkey are as follows hereinbelow;</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The poverty contains the effects of the changes in various fields of the politics as an interactive result of economics, social and environmental factors. As a consequence of the achievements of Turkey in these different fields of politics, there are remarkable improvements with regard to eradicating poverty. There is not any citizen in the last decade with a daily spending less than 1$. The rate of our citizens with absolute poverty that is defined with spending per capita less than 4.3$ was 30.3 % in 2002 and 1,58 % in 2015. According to the Sustainable Development Goals Atlas 2017 of the World Bank, Turkey has been the leading country to eradicate poverty in the world in the last fifteen years. </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The ratio of social aid transfers in Turkey to the GDP was 0.3% in 2002 and this rate increased up to 1.16 % in 2018.  </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In addition to the noticeable achievements of Turkey in economy, the improvements in the fields of social, education and health services also have an important role in efforts to fight against poverty by increasing financial resources to be allocated and for developing institutional capacity. As a result, considerable improvements were achieved in the social aid practices for PwDs. Currently; social aids for PwDs have the highest rate among others. </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There are various social aid programs to be applied by the Republic of Turkey to fight against the poverty of PwDs. </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The most important social aids are the Allowance for PwDs within the scope of the Law no: 2022 and the Home Care Allowance within the scope of the Law no: 2028. </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There are two separate practices for PwDs within the scope of the Law no: 2022. These are the aids for PwDs and for their relatives. Within the scope of the aid, a total of 3.022.000.000 TL (approx. 570 million USD) was reserved for 621.934 PwDs in 2018. For relatives of PwDs under the age of 18, a total of 345.000.000 TL (65 million USD) was allocated for 93.303 people in 2018 within this scope.</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In addition to these aid programs, a total of 6.675.000.000 TL was allocated as Home Care Allowance for 513.276 persons in accordance with Law no: 2828. Taking into consideration the fact that PwDs in need of care are more fragile, the income criterion is applied as 2/3 of the minimum wage unlike other aid programs.  </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Furthermore, total of the sources to be allocated for social aid expenses was 43 billion TL in 2018. The source for the aid programs mentioned above only applied for PwDs corresponds to 23% of total social aids. </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Besides, PwDs can also benefit from other monetary or similar social aids in addition to the aids specifically targeting them. In this scope, the dwellings of families with members with disabilities can also benefit from the aids of food, shelter, heating and education.</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In relation with the access to the health services, within the scope of the Law no: 2022, people receiving monthly disability allowance and their dependents are included in the General Health Insurance (GSS) and the health insurance premiums for these individuals are covered by the Ministry. Within this scope, the State pays health premiums for approximately 714 thousand PwDs. </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Within the scope of the social services projects, the house cleaning, personal care, food and similar services are provided for destitute and lonely persons with disabilities or older citizens. In this scope, 27.1 million TL source was allocated for 32.228 persons in 2018.</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There are also activities implement social aids for tuberculosis and SSPE patients experiencing psycho-social and financial loss. Such individuals receive a monthly cash aid of 1.305,97 TL. In this scope, 2.576 tuberculosis patients were paid 19.9 million TL in 2018.</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Within the scope of the electric support program which started to be implemented on 12.11.2018 in order to continue the treatment of persons with disabilities dependent on the device due to severe chronic diseases, 200 TL aid for each billing period is paid in cash and for once, at the initial aid, all the accumulated bills are paid and the procurement of uninterrupted power source is provided not to experience any problem due to the power failure. </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In addition to the aforementioned social aids, the Government of the Republic of Turkey continues to develop social aid programs for the citizens. In this scope, the electric consumption program was started on 1st of March, 2019 for the families with such needs. The Beneficiaries of social aids provided as per Law no: 2022 are automatically taken into the scope of this program without requiring any further applications. 541.338 dwellings with PwDs are expected to benefit from the Electric Consumption Aid Program in 2019.  The amount of this benefit differs between 40.31 to 80.63 TL according to the number of people living in the house. In this frame, 75 kilowatt/hour for houses with 1-2 individuals, 100 kilowatt/hour for houses with 3 individuals, 125 kilowatt/hour for houses with 4 individuals, 150 kilowatt/hour for houses with 5 or more individuals are provided.</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Consequently, dwellings with PwDs are not only supported with social aids specifically designed for them. They are financially supported with complementary social aid programs. </w:t>
      </w:r>
    </w:p>
    <w:p>
      <w:pPr>
        <w:pStyle w:val="Body"/>
        <w:jc w:val="both"/>
        <w:rPr>
          <w:rFonts w:ascii="Times New Roman" w:cs="Times New Roman" w:hAnsi="Times New Roman" w:eastAsia="Times New Roman"/>
          <w:sz w:val="24"/>
          <w:szCs w:val="24"/>
          <w:lang w:val="en-US"/>
        </w:rPr>
      </w:pPr>
    </w:p>
    <w:p>
      <w:pPr>
        <w:pStyle w:val="List Paragraph"/>
        <w:numPr>
          <w:ilvl w:val="0"/>
          <w:numId w:val="6"/>
        </w:numPr>
        <w:bidi w:val="0"/>
        <w:ind w:right="0"/>
        <w:jc w:val="both"/>
        <w:rPr>
          <w:rFonts w:ascii="Times New Roman" w:cs="Times New Roman" w:hAnsi="Times New Roman" w:eastAsia="Times New Roman"/>
          <w:b w:val="1"/>
          <w:bCs w:val="1"/>
          <w:sz w:val="24"/>
          <w:szCs w:val="24"/>
          <w:rtl w:val="0"/>
          <w:lang w:val="en-US"/>
        </w:rPr>
      </w:pPr>
      <w:r>
        <w:rPr>
          <w:rFonts w:ascii="Times New Roman" w:hAnsi="Times New Roman"/>
          <w:b w:val="1"/>
          <w:bCs w:val="1"/>
          <w:sz w:val="24"/>
          <w:szCs w:val="24"/>
          <w:rtl w:val="0"/>
          <w:lang w:val="en-US"/>
        </w:rPr>
        <w:t>Additional response in relation to the legal status of sign language in Turkey:</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Turkish sign language studies initiated with the law in 2005. The training programs to educate sign language interpreters, sign language teachers were opened. In 2015, Turkish sign language grammar research project was carried out, Turkish sign language dictionary was published in 3 languages on the web in 2016. Turkish sign language was added to the European common languages text in 2015.</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The master degree and doctorate programs in universities to train Turkish sign language interpreters have been started. The international classification was used to classify the language levels in Turkish sign language and the language proficiency examinations were made. The ministries started to employ sign language interpreters and the personnel of many institutions were trained for sign language.</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As part of the services provided by Ministry of Health and e-government, distant service of sign language interpretation is available. Additionally, Ministry of Family, Labor and Social Services has currently 60 sign language interpreters in 41 provinces. </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Ministry of National Education has prepared curricula for students with hearing disabilities at 1</w:t>
      </w:r>
      <w:r>
        <w:rPr>
          <w:rFonts w:ascii="Times New Roman" w:hAnsi="Times New Roman"/>
          <w:sz w:val="24"/>
          <w:szCs w:val="24"/>
          <w:vertAlign w:val="superscript"/>
          <w:rtl w:val="0"/>
          <w:lang w:val="en-US"/>
        </w:rPr>
        <w:t>st</w:t>
      </w:r>
      <w:r>
        <w:rPr>
          <w:rFonts w:ascii="Times New Roman" w:hAnsi="Times New Roman"/>
          <w:sz w:val="24"/>
          <w:szCs w:val="24"/>
          <w:rtl w:val="0"/>
          <w:lang w:val="en-US"/>
        </w:rPr>
        <w:t>, 2</w:t>
      </w:r>
      <w:r>
        <w:rPr>
          <w:rFonts w:ascii="Times New Roman" w:hAnsi="Times New Roman"/>
          <w:sz w:val="24"/>
          <w:szCs w:val="24"/>
          <w:vertAlign w:val="superscript"/>
          <w:rtl w:val="0"/>
          <w:lang w:val="en-US"/>
        </w:rPr>
        <w:t>nd</w:t>
      </w:r>
      <w:r>
        <w:rPr>
          <w:rFonts w:ascii="Times New Roman" w:hAnsi="Times New Roman"/>
          <w:sz w:val="24"/>
          <w:szCs w:val="24"/>
          <w:rtl w:val="0"/>
          <w:lang w:val="en-US"/>
        </w:rPr>
        <w:t xml:space="preserve"> and 3</w:t>
      </w:r>
      <w:r>
        <w:rPr>
          <w:rFonts w:ascii="Times New Roman" w:hAnsi="Times New Roman"/>
          <w:sz w:val="24"/>
          <w:szCs w:val="24"/>
          <w:vertAlign w:val="superscript"/>
          <w:rtl w:val="0"/>
          <w:lang w:val="en-US"/>
        </w:rPr>
        <w:t>rd</w:t>
      </w:r>
      <w:r>
        <w:rPr>
          <w:rFonts w:ascii="Times New Roman" w:hAnsi="Times New Roman"/>
          <w:sz w:val="24"/>
          <w:szCs w:val="24"/>
          <w:rtl w:val="0"/>
          <w:lang w:val="en-US"/>
        </w:rPr>
        <w:t xml:space="preserve"> grades.   </w:t>
      </w:r>
    </w:p>
    <w:p>
      <w:pPr>
        <w:pStyle w:val="List Paragraph"/>
        <w:numPr>
          <w:ilvl w:val="0"/>
          <w:numId w:val="8"/>
        </w:numPr>
        <w:bidi w:val="0"/>
        <w:ind w:right="0"/>
        <w:jc w:val="both"/>
        <w:rPr>
          <w:rFonts w:ascii="Times New Roman" w:cs="Times New Roman" w:hAnsi="Times New Roman" w:eastAsia="Times New Roman"/>
          <w:b w:val="1"/>
          <w:bCs w:val="1"/>
          <w:sz w:val="24"/>
          <w:szCs w:val="24"/>
          <w:rtl w:val="0"/>
          <w:lang w:val="en-US"/>
        </w:rPr>
      </w:pPr>
      <w:r>
        <w:rPr>
          <w:rFonts w:ascii="Times New Roman" w:hAnsi="Times New Roman"/>
          <w:b w:val="1"/>
          <w:bCs w:val="1"/>
          <w:sz w:val="24"/>
          <w:szCs w:val="24"/>
          <w:rtl w:val="0"/>
          <w:lang w:val="en-US"/>
        </w:rPr>
        <w:t>Additional response in relation to provide assistive devices to PwDs at affordable cost, Seeing Eye Project, web accessibility standards and accessibility of Government websites:</w:t>
      </w:r>
    </w:p>
    <w:p>
      <w:pPr>
        <w:pStyle w:val="Body"/>
        <w:jc w:val="both"/>
        <w:rPr>
          <w:rFonts w:ascii="Times New Roman" w:cs="Times New Roman" w:hAnsi="Times New Roman" w:eastAsia="Times New Roman"/>
          <w:sz w:val="24"/>
          <w:szCs w:val="24"/>
        </w:rPr>
      </w:pPr>
      <w:r>
        <w:rPr>
          <w:rFonts w:ascii="Times New Roman" w:hAnsi="Times New Roman" w:hint="default"/>
          <w:sz w:val="24"/>
          <w:szCs w:val="24"/>
          <w:rtl w:val="0"/>
          <w:lang w:val="en-US"/>
        </w:rPr>
        <w:t>“</w:t>
      </w:r>
      <w:r>
        <w:rPr>
          <w:rFonts w:ascii="Times New Roman" w:hAnsi="Times New Roman"/>
          <w:sz w:val="24"/>
          <w:szCs w:val="24"/>
          <w:rtl w:val="0"/>
          <w:lang w:val="en-US"/>
        </w:rPr>
        <w:t>Cooperation Protocol on Barrier Free Informatics Projects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between Ministry of Transport and Infrastructure and Ministry of Family, Labour and Social Services was signed on 20 November 2013. Within the scope of the protocol and with the aim of ensuring that PwDs who cannot use their hands for any reason can completely use all features of tablet PCs through a Accessibility Device that to be provided to them, achieving equality of opportunity in the field of employment, and eliminating barriers in the field of informatics, The Third Hand Project was carried out. Within the framework of the project, 1,000 tablet PCs and accessibility devices were distributed in April 2015.  </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Besides, within the scope of the Seeing Eye Project, it was aimed that persons with visual disabilities can easily and rapidly reach to a destination they want to go on foot or by using a public transport vehicle. To this end, distribution of a smart phone including features such as navigation application containing blind maps, screen reading support, walking meter, internet browser, media player, e-mail application and e-book reader was targeted. In 2011, 2013 and 2018, 5,000 Seeing Eye Devices were distributed. Additionally, licence of 25,000 Seeing Eye Devices was obtained and PwDs were provided free of charge devices in provinces where these devices were not previously distributed.  </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Within the framework of monitoring and auditing mechanisms, in regards to access to information, Accessibility Monitoring and Auditing Forms include questions such as whether informative, warning and directive signs, visual and verbal warning systems, easily noticeable illuminated and audio directive signs that will lead to emergency exits, and audible and visual alarms are all in place at buildings, open spaces and public transport vehicles, whether all writings and signs are at an appropriate visibility distance and they are written in Braille alphabet, and these are audited by commissions. Besides, international standards and web accessibility guideline related to accessibility of webpages were translated into Turkish. In 2006, it was aimed to ensure compliance of public websites to accessibility and availability standards through Public Websites Manual (KAMIS) Project, and it was envisaged that awareness must be raised to ensure that institutions providing public services should have more accessible and usable websites. In Public Websites Manual, descriptions and examples are included, ensuring that information and measures used in the standards are in the format of easy to understand. Within the scope of 2016-2019 National E-Government Strategy, with regards to accessibility of information and communication technologies, </w:t>
      </w:r>
      <w:r>
        <w:rPr>
          <w:rFonts w:ascii="Times New Roman" w:hAnsi="Times New Roman" w:hint="default"/>
          <w:sz w:val="24"/>
          <w:szCs w:val="24"/>
          <w:rtl w:val="0"/>
          <w:lang w:val="en-US"/>
        </w:rPr>
        <w:t>“</w:t>
      </w:r>
      <w:r>
        <w:rPr>
          <w:rFonts w:ascii="Times New Roman" w:hAnsi="Times New Roman"/>
          <w:sz w:val="24"/>
          <w:szCs w:val="24"/>
          <w:rtl w:val="0"/>
          <w:lang w:val="en-US"/>
        </w:rPr>
        <w:t>Web accessibility checklist - A level</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draft was prepared. The aforementioned draft was developed upon receiving opinions of relevant institutions, universities and non-governmental organizations. Upon its completion, it is planned to establish relevant auditing mechanism.      </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When e-government website began to operate in 2008, it only had 159 users, and today it has reached to the number of 41,812,998 users. In this respect, while the number of institutions providing service was 9 and the number of services provided was 22 in 2008, today 549 institutions provide 4,453 services through e-government website. In 2015, e-government services were started to be presented as mobile applications. While 128 services were presented in mobile format in 2015, as of March 2019, this numbers increased to 1,995 mobile services. Within the framework of 2016-2019 National E-Government Strategy and Action Plan, it was decided that e-government services must be reviewed by taking disadvantaged groups into consideration, and accessibility options such as text only, clearer focus and keyboard shortcuts were presented. Besides, thanks to visual call centre established within the scope of </w:t>
      </w:r>
      <w:r>
        <w:rPr>
          <w:rFonts w:ascii="Times New Roman" w:hAnsi="Times New Roman" w:hint="default"/>
          <w:sz w:val="24"/>
          <w:szCs w:val="24"/>
          <w:rtl w:val="0"/>
          <w:lang w:val="en-US"/>
        </w:rPr>
        <w:t>“</w:t>
      </w:r>
      <w:r>
        <w:rPr>
          <w:rFonts w:ascii="Times New Roman" w:hAnsi="Times New Roman"/>
          <w:sz w:val="24"/>
          <w:szCs w:val="24"/>
          <w:rtl w:val="0"/>
          <w:lang w:val="en-US"/>
        </w:rPr>
        <w:t>there are no barriers in e-government</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project, persons with hearing and speech disabilities can receive support from experts using sign language through e-government gateway.     </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Within the framework of duties assigned as per Law No 5809 on electronic Communications, Information and Communication Technologies Authority has the responsibility of </w:t>
      </w:r>
      <w:r>
        <w:rPr>
          <w:rFonts w:ascii="Times New Roman" w:hAnsi="Times New Roman" w:hint="default"/>
          <w:sz w:val="24"/>
          <w:szCs w:val="24"/>
          <w:rtl w:val="0"/>
          <w:lang w:val="en-US"/>
        </w:rPr>
        <w:t>“</w:t>
      </w:r>
      <w:r>
        <w:rPr>
          <w:rFonts w:ascii="Times New Roman" w:hAnsi="Times New Roman"/>
          <w:sz w:val="24"/>
          <w:szCs w:val="24"/>
          <w:rtl w:val="0"/>
          <w:lang w:val="en-US"/>
        </w:rPr>
        <w:t>imposing obligations to companies operating in electronic communication sector</w:t>
      </w:r>
      <w:r>
        <w:rPr>
          <w:rFonts w:ascii="Times New Roman" w:hAnsi="Times New Roman" w:hint="default"/>
          <w:sz w:val="24"/>
          <w:szCs w:val="24"/>
          <w:rtl w:val="0"/>
          <w:lang w:val="en-US"/>
        </w:rPr>
        <w:t>”</w:t>
      </w:r>
      <w:r>
        <w:rPr>
          <w:rFonts w:ascii="Times New Roman" w:hAnsi="Times New Roman"/>
          <w:sz w:val="24"/>
          <w:szCs w:val="24"/>
          <w:rtl w:val="0"/>
          <w:lang w:val="en-US"/>
        </w:rPr>
        <w:t xml:space="preserve">. Within the scope of this responsibility, in line with </w:t>
      </w:r>
      <w:r>
        <w:rPr>
          <w:rFonts w:ascii="Times New Roman" w:hAnsi="Times New Roman" w:hint="default"/>
          <w:sz w:val="24"/>
          <w:szCs w:val="24"/>
          <w:rtl w:val="0"/>
          <w:lang w:val="en-US"/>
        </w:rPr>
        <w:t>“</w:t>
      </w:r>
      <w:r>
        <w:rPr>
          <w:rFonts w:ascii="Times New Roman" w:hAnsi="Times New Roman"/>
          <w:sz w:val="24"/>
          <w:szCs w:val="24"/>
          <w:rtl w:val="0"/>
          <w:lang w:val="en-US"/>
        </w:rPr>
        <w:t>Procedures and Principles on Measures For Groups That Need to be Supported Socially</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published as per Council Decision no 2018/DK-THD/190 dated 2018, a regulation was issued to ensure that operators in electronic communication sector with more than 200,000 must comply with AA level (WCAG 2.0-AA)  of </w:t>
      </w:r>
      <w:r>
        <w:rPr>
          <w:rFonts w:ascii="Times New Roman" w:hAnsi="Times New Roman" w:hint="default"/>
          <w:sz w:val="24"/>
          <w:szCs w:val="24"/>
          <w:rtl w:val="0"/>
          <w:lang w:val="en-US"/>
        </w:rPr>
        <w:t>“</w:t>
      </w:r>
      <w:r>
        <w:rPr>
          <w:rFonts w:ascii="Times New Roman" w:hAnsi="Times New Roman"/>
          <w:sz w:val="24"/>
          <w:szCs w:val="24"/>
          <w:rtl w:val="0"/>
          <w:lang w:val="en-US"/>
        </w:rPr>
        <w:t>Web Content Accessibility Manual 2.0</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criteria created by </w:t>
      </w:r>
      <w:r>
        <w:rPr>
          <w:rFonts w:ascii="Times New Roman" w:hAnsi="Times New Roman" w:hint="default"/>
          <w:sz w:val="24"/>
          <w:szCs w:val="24"/>
          <w:rtl w:val="0"/>
          <w:lang w:val="en-US"/>
        </w:rPr>
        <w:t>“</w:t>
      </w:r>
      <w:r>
        <w:rPr>
          <w:rFonts w:ascii="Times New Roman" w:hAnsi="Times New Roman"/>
          <w:sz w:val="24"/>
          <w:szCs w:val="24"/>
          <w:rtl w:val="0"/>
          <w:lang w:val="en-US"/>
        </w:rPr>
        <w:t>World Wide Web Consortium</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while designing their websites, and it took effect on 1 January 2019.   </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Physical access of PwDs to Turkish Post Offices has been facilitated. In buildings where construction of pedestrian ramp and elevator is technically not possible, PwDs call button is created as an alternative solution. In Turkish Post, the number of offices with disabled help button is 286; the number of offices with tactile surface is 1,330; the number of offices with ramps is 1,065; the number of offices with restrooms for PwDs is 313; the number of offices with mobile ramp for PwDs is 44; the number of ATMs with a ramp is 816; the number of offices with an accessibility certificate is 17. Turkish Post website has taken accessibility standards into consideration and has been updated in compliance with accessibility rules and principles. For customers with hearing and speech disabilities, a special SMS line has been put into service within the scope of </w:t>
      </w:r>
      <w:r>
        <w:rPr>
          <w:rFonts w:ascii="Times New Roman" w:hAnsi="Times New Roman" w:hint="default"/>
          <w:sz w:val="24"/>
          <w:szCs w:val="24"/>
          <w:rtl w:val="0"/>
          <w:lang w:val="en-US"/>
        </w:rPr>
        <w:t>“</w:t>
      </w:r>
      <w:r>
        <w:rPr>
          <w:rFonts w:ascii="Times New Roman" w:hAnsi="Times New Roman"/>
          <w:sz w:val="24"/>
          <w:szCs w:val="24"/>
          <w:rtl w:val="0"/>
          <w:lang w:val="en-US"/>
        </w:rPr>
        <w:t>Disability Friendly Numbers</w:t>
      </w:r>
      <w:r>
        <w:rPr>
          <w:rFonts w:ascii="Times New Roman" w:hAnsi="Times New Roman" w:hint="default"/>
          <w:sz w:val="24"/>
          <w:szCs w:val="24"/>
          <w:rtl w:val="0"/>
          <w:lang w:val="en-US"/>
        </w:rPr>
        <w:t xml:space="preserve">” </w:t>
      </w:r>
      <w:r>
        <w:rPr>
          <w:rFonts w:ascii="Times New Roman" w:hAnsi="Times New Roman"/>
          <w:sz w:val="24"/>
          <w:szCs w:val="24"/>
          <w:rtl w:val="0"/>
          <w:lang w:val="en-US"/>
        </w:rPr>
        <w:t>Project. Besides, customers with hearing or speech disabilities can access to Turkish Post services through the call centre with mobile phones with android operation system through the agency of two customer representatives using sign language and working in Turkish Post</w:t>
      </w:r>
      <w:r>
        <w:rPr>
          <w:rFonts w:ascii="Times New Roman" w:hAnsi="Times New Roman" w:hint="default"/>
          <w:sz w:val="24"/>
          <w:szCs w:val="24"/>
          <w:rtl w:val="0"/>
          <w:lang w:val="en-US"/>
        </w:rPr>
        <w:t>’</w:t>
      </w:r>
      <w:r>
        <w:rPr>
          <w:rFonts w:ascii="Times New Roman" w:hAnsi="Times New Roman"/>
          <w:sz w:val="24"/>
          <w:szCs w:val="24"/>
          <w:rtl w:val="0"/>
          <w:lang w:val="en-US"/>
        </w:rPr>
        <w:t xml:space="preserve">s Corporate Call Centre.  Efforts initiated with the aim of enabling persons with visual disabilities to make audible transactions by darkening </w:t>
      </w:r>
      <w:r>
        <w:rPr>
          <w:rFonts w:ascii="Times New Roman" w:hAnsi="Times New Roman"/>
          <w:i w:val="1"/>
          <w:iCs w:val="1"/>
          <w:sz w:val="24"/>
          <w:szCs w:val="24"/>
          <w:rtl w:val="0"/>
          <w:lang w:val="en-US"/>
        </w:rPr>
        <w:t>Pttmatik screen</w:t>
      </w:r>
      <w:r>
        <w:rPr>
          <w:rFonts w:ascii="Times New Roman" w:hAnsi="Times New Roman"/>
          <w:sz w:val="24"/>
          <w:szCs w:val="24"/>
          <w:rtl w:val="0"/>
          <w:lang w:val="en-US"/>
        </w:rPr>
        <w:t xml:space="preserve"> (Post Office ATMs) are currently in progress. The aforementioned effort is at the stage of generalisation and as of the end of 2018, the informative posters were hung on 1,120 Pttmatiks. Turkish Post website has been redesigned in conformity with accessibility for customers with disabilities. Through </w:t>
      </w:r>
      <w:r>
        <w:rPr>
          <w:rFonts w:ascii="Times New Roman" w:hAnsi="Times New Roman" w:hint="default"/>
          <w:sz w:val="24"/>
          <w:szCs w:val="24"/>
          <w:rtl w:val="0"/>
          <w:lang w:val="en-US"/>
        </w:rPr>
        <w:t>“</w:t>
      </w:r>
      <w:r>
        <w:rPr>
          <w:rFonts w:ascii="Times New Roman" w:hAnsi="Times New Roman"/>
          <w:sz w:val="24"/>
          <w:szCs w:val="24"/>
          <w:rtl w:val="0"/>
          <w:lang w:val="en-US"/>
        </w:rPr>
        <w:t>Online Live Support</w:t>
      </w:r>
      <w:r>
        <w:rPr>
          <w:rFonts w:ascii="Times New Roman" w:hAnsi="Times New Roman" w:hint="default"/>
          <w:sz w:val="24"/>
          <w:szCs w:val="24"/>
          <w:rtl w:val="0"/>
          <w:lang w:val="en-US"/>
        </w:rPr>
        <w:t xml:space="preserve">” </w:t>
      </w:r>
      <w:r>
        <w:rPr>
          <w:rFonts w:ascii="Times New Roman" w:hAnsi="Times New Roman"/>
          <w:sz w:val="24"/>
          <w:szCs w:val="24"/>
          <w:rtl w:val="0"/>
          <w:lang w:val="en-US"/>
        </w:rPr>
        <w:t>application on Turkish Post Office</w:t>
      </w:r>
      <w:r>
        <w:rPr>
          <w:rFonts w:ascii="Times New Roman" w:hAnsi="Times New Roman" w:hint="default"/>
          <w:sz w:val="24"/>
          <w:szCs w:val="24"/>
          <w:rtl w:val="0"/>
          <w:lang w:val="en-US"/>
        </w:rPr>
        <w:t>’</w:t>
      </w:r>
      <w:r>
        <w:rPr>
          <w:rFonts w:ascii="Times New Roman" w:hAnsi="Times New Roman"/>
          <w:sz w:val="24"/>
          <w:szCs w:val="24"/>
          <w:rtl w:val="0"/>
          <w:lang w:val="en-US"/>
        </w:rPr>
        <w:t xml:space="preserve">s website, http://www.aloptt.gov.tr, customers with hearing or speech disabilities can benefit from Turkish Post services through correspondence in webchat environment. Pttcell Tariff </w:t>
      </w:r>
      <w:r>
        <w:rPr>
          <w:rFonts w:ascii="Times New Roman" w:hAnsi="Times New Roman" w:hint="default"/>
          <w:sz w:val="24"/>
          <w:szCs w:val="24"/>
          <w:rtl w:val="0"/>
          <w:lang w:val="en-US"/>
        </w:rPr>
        <w:t>“</w:t>
      </w:r>
      <w:r>
        <w:rPr>
          <w:rFonts w:ascii="Times New Roman" w:hAnsi="Times New Roman"/>
          <w:sz w:val="24"/>
          <w:szCs w:val="24"/>
          <w:rtl w:val="0"/>
          <w:lang w:val="en-US"/>
        </w:rPr>
        <w:t>Good Days Will Come</w:t>
      </w:r>
      <w:r>
        <w:rPr>
          <w:rFonts w:ascii="Times New Roman" w:hAnsi="Times New Roman" w:hint="default"/>
          <w:sz w:val="24"/>
          <w:szCs w:val="24"/>
          <w:rtl w:val="0"/>
          <w:lang w:val="en-US"/>
        </w:rPr>
        <w:t xml:space="preserve">” </w:t>
      </w:r>
      <w:r>
        <w:rPr>
          <w:rFonts w:ascii="Times New Roman" w:hAnsi="Times New Roman"/>
          <w:sz w:val="24"/>
          <w:szCs w:val="24"/>
          <w:rtl w:val="0"/>
          <w:lang w:val="en-US"/>
        </w:rPr>
        <w:t>for customers with disabilities and their relatives has been put into service.</w:t>
      </w:r>
    </w:p>
    <w:p>
      <w:pPr>
        <w:pStyle w:val="Body"/>
        <w:jc w:val="both"/>
        <w:rPr>
          <w:rFonts w:ascii="Times New Roman" w:cs="Times New Roman" w:hAnsi="Times New Roman" w:eastAsia="Times New Roman"/>
          <w:sz w:val="24"/>
          <w:szCs w:val="24"/>
          <w:lang w:val="en-US"/>
        </w:rPr>
      </w:pPr>
    </w:p>
    <w:p>
      <w:pPr>
        <w:pStyle w:val="List Paragraph"/>
        <w:numPr>
          <w:ilvl w:val="0"/>
          <w:numId w:val="8"/>
        </w:numPr>
        <w:bidi w:val="0"/>
        <w:ind w:right="0"/>
        <w:jc w:val="both"/>
        <w:rPr>
          <w:rFonts w:ascii="Times New Roman" w:cs="Times New Roman" w:hAnsi="Times New Roman" w:eastAsia="Times New Roman"/>
          <w:b w:val="1"/>
          <w:bCs w:val="1"/>
          <w:sz w:val="24"/>
          <w:szCs w:val="24"/>
          <w:rtl w:val="0"/>
          <w:lang w:val="en-US"/>
        </w:rPr>
      </w:pPr>
      <w:r>
        <w:rPr>
          <w:rFonts w:ascii="Times New Roman" w:hAnsi="Times New Roman"/>
          <w:b w:val="1"/>
          <w:bCs w:val="1"/>
          <w:sz w:val="24"/>
          <w:szCs w:val="24"/>
          <w:rtl w:val="0"/>
          <w:lang w:val="en-US"/>
        </w:rPr>
        <w:t>Additional response in relation to measures taken to guarantee the right of the secret ballot of PwDs:</w:t>
      </w:r>
      <w:r>
        <w:rPr>
          <w:rFonts w:ascii="Times New Roman" w:hAnsi="Times New Roman"/>
          <w:b w:val="0"/>
          <w:bCs w:val="0"/>
          <w:sz w:val="24"/>
          <w:szCs w:val="24"/>
          <w:rtl w:val="0"/>
          <w:lang w:val="en-US"/>
        </w:rPr>
        <w:t xml:space="preserve"> </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In Article 67 of Constitution of the Republic of Turkey, </w:t>
      </w:r>
      <w:r>
        <w:rPr>
          <w:rFonts w:ascii="Times New Roman" w:hAnsi="Times New Roman" w:hint="default"/>
          <w:sz w:val="24"/>
          <w:szCs w:val="24"/>
          <w:rtl w:val="0"/>
          <w:lang w:val="en-US"/>
        </w:rPr>
        <w:t>“</w:t>
      </w:r>
      <w:r>
        <w:rPr>
          <w:rFonts w:ascii="Times New Roman" w:hAnsi="Times New Roman"/>
          <w:sz w:val="24"/>
          <w:szCs w:val="24"/>
          <w:rtl w:val="0"/>
          <w:lang w:val="en-US"/>
        </w:rPr>
        <w:t>Elections and referenda shall be held under the direction and supervision of the judiciary, in accordance with the principles of free, equal, secret, direct, universal suffrage, and public counting of the votes. However, the law determines applicable measures for Turkish citizens abroad to exercise their right to vote.</w:t>
      </w:r>
      <w:r>
        <w:rPr>
          <w:rFonts w:ascii="Times New Roman" w:hAnsi="Times New Roman" w:hint="default"/>
          <w:sz w:val="24"/>
          <w:szCs w:val="24"/>
          <w:rtl w:val="0"/>
          <w:lang w:val="en-US"/>
        </w:rPr>
        <w:t>”</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In Article 10 of Constitution titled </w:t>
      </w:r>
      <w:r>
        <w:rPr>
          <w:rFonts w:ascii="Times New Roman" w:hAnsi="Times New Roman" w:hint="default"/>
          <w:sz w:val="24"/>
          <w:szCs w:val="24"/>
          <w:rtl w:val="0"/>
          <w:lang w:val="en-US"/>
        </w:rPr>
        <w:t>“</w:t>
      </w:r>
      <w:r>
        <w:rPr>
          <w:rFonts w:ascii="Times New Roman" w:hAnsi="Times New Roman"/>
          <w:sz w:val="24"/>
          <w:szCs w:val="24"/>
          <w:rtl w:val="0"/>
          <w:lang w:val="en-US"/>
        </w:rPr>
        <w:t>Equality before the Law</w:t>
      </w:r>
      <w:r>
        <w:rPr>
          <w:rFonts w:ascii="Times New Roman" w:hAnsi="Times New Roman" w:hint="default"/>
          <w:sz w:val="24"/>
          <w:szCs w:val="24"/>
          <w:rtl w:val="0"/>
          <w:lang w:val="en-US"/>
        </w:rPr>
        <w:t>”</w:t>
      </w:r>
      <w:r>
        <w:rPr>
          <w:rFonts w:ascii="Times New Roman" w:hAnsi="Times New Roman"/>
          <w:sz w:val="24"/>
          <w:szCs w:val="24"/>
          <w:rtl w:val="0"/>
          <w:lang w:val="en-US"/>
        </w:rPr>
        <w:t xml:space="preserve">, it is stated, </w:t>
      </w:r>
      <w:r>
        <w:rPr>
          <w:rFonts w:ascii="Times New Roman" w:hAnsi="Times New Roman" w:hint="default"/>
          <w:sz w:val="24"/>
          <w:szCs w:val="24"/>
          <w:rtl w:val="0"/>
          <w:lang w:val="en-US"/>
        </w:rPr>
        <w:t>“</w:t>
      </w:r>
      <w:r>
        <w:rPr>
          <w:rFonts w:ascii="Times New Roman" w:hAnsi="Times New Roman"/>
          <w:sz w:val="24"/>
          <w:szCs w:val="24"/>
          <w:rtl w:val="0"/>
          <w:lang w:val="en-US"/>
        </w:rPr>
        <w:t>Everyone is equal before the law without distinction as to language, race, colour, sex, political opinion, philosophical belief, religion and sect, or any such grounds</w:t>
      </w:r>
      <w:r>
        <w:rPr>
          <w:rFonts w:ascii="Times New Roman" w:hAnsi="Times New Roman" w:hint="default"/>
          <w:sz w:val="24"/>
          <w:szCs w:val="24"/>
          <w:rtl w:val="0"/>
          <w:lang w:val="en-US"/>
        </w:rPr>
        <w:t xml:space="preserve">… </w:t>
      </w:r>
      <w:r>
        <w:rPr>
          <w:rFonts w:ascii="Times New Roman" w:hAnsi="Times New Roman"/>
          <w:sz w:val="24"/>
          <w:szCs w:val="24"/>
          <w:rtl w:val="0"/>
          <w:lang w:val="en-US"/>
        </w:rPr>
        <w:t>No privilege shall be granted to any individual, family, group or class. State organs and administrative authorities are obliged to act in compliance with the principle of equality before the law in all their proceedings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to this provision, </w:t>
      </w:r>
      <w:r>
        <w:rPr>
          <w:rFonts w:ascii="Times New Roman" w:hAnsi="Times New Roman" w:hint="default"/>
          <w:sz w:val="24"/>
          <w:szCs w:val="24"/>
          <w:rtl w:val="0"/>
          <w:lang w:val="en-US"/>
        </w:rPr>
        <w:t>“</w:t>
      </w:r>
      <w:r>
        <w:rPr>
          <w:rFonts w:ascii="Times New Roman" w:hAnsi="Times New Roman"/>
          <w:sz w:val="24"/>
          <w:szCs w:val="24"/>
          <w:rtl w:val="0"/>
          <w:lang w:val="en-US"/>
        </w:rPr>
        <w:t>Measures to be taken for children, the elderly, persons with disabilities, widows and orphans of martyrs as well as for the invalid and veterans shall not be considered as violation of the principle of equality</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phrase was added with the referenda held on 12th September 2010. </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In article 74 of 298 numbered Law on Basic Provisions on Elections and Voter Registers, it is stated </w:t>
      </w:r>
      <w:r>
        <w:rPr>
          <w:rFonts w:ascii="Times New Roman" w:hAnsi="Times New Roman" w:hint="default"/>
          <w:sz w:val="24"/>
          <w:szCs w:val="24"/>
          <w:rtl w:val="0"/>
          <w:lang w:val="en-US"/>
        </w:rPr>
        <w:t xml:space="preserve">“… </w:t>
      </w:r>
      <w:r>
        <w:rPr>
          <w:rFonts w:ascii="Times New Roman" w:hAnsi="Times New Roman"/>
          <w:sz w:val="24"/>
          <w:szCs w:val="24"/>
          <w:rtl w:val="0"/>
          <w:lang w:val="en-US"/>
        </w:rPr>
        <w:t>It is considered, in determining the locations of ballot-boxes that voters cast their votes simply, freely and confidentially; measures shall be taken to facilitate vote casting procedure for voters with disabilities.</w:t>
      </w:r>
      <w:r>
        <w:rPr>
          <w:rFonts w:ascii="Times New Roman" w:hAnsi="Times New Roman" w:hint="default"/>
          <w:sz w:val="24"/>
          <w:szCs w:val="24"/>
          <w:rtl w:val="0"/>
          <w:lang w:val="en-US"/>
        </w:rPr>
        <w:t>”</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In article 90, </w:t>
      </w:r>
      <w:r>
        <w:rPr>
          <w:rFonts w:ascii="Times New Roman" w:hAnsi="Times New Roman" w:hint="default"/>
          <w:sz w:val="24"/>
          <w:szCs w:val="24"/>
          <w:rtl w:val="0"/>
          <w:lang w:val="en-US"/>
        </w:rPr>
        <w:t xml:space="preserve">“…… </w:t>
      </w:r>
      <w:r>
        <w:rPr>
          <w:rFonts w:ascii="Times New Roman" w:hAnsi="Times New Roman"/>
          <w:sz w:val="24"/>
          <w:szCs w:val="24"/>
          <w:rtl w:val="0"/>
          <w:lang w:val="en-US"/>
        </w:rPr>
        <w:t>voters coming to related ballot-box on the day of voting shall be admitted by the chairman of the committee consecutively, one voter at a time. Pregnant women, ill and voters with disabilities shall have priority. Elderly voters may be admitted earlier.</w:t>
      </w:r>
      <w:r>
        <w:rPr>
          <w:rFonts w:ascii="Times New Roman" w:hAnsi="Times New Roman" w:hint="default"/>
          <w:sz w:val="24"/>
          <w:szCs w:val="24"/>
          <w:rtl w:val="0"/>
          <w:lang w:val="en-US"/>
        </w:rPr>
        <w:t>”</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In article 93, </w:t>
      </w:r>
      <w:r>
        <w:rPr>
          <w:rFonts w:ascii="Times New Roman" w:hAnsi="Times New Roman" w:hint="default"/>
          <w:sz w:val="24"/>
          <w:szCs w:val="24"/>
          <w:rtl w:val="0"/>
          <w:lang w:val="en-US"/>
        </w:rPr>
        <w:t>“</w:t>
      </w:r>
      <w:r>
        <w:rPr>
          <w:rFonts w:ascii="Times New Roman" w:hAnsi="Times New Roman"/>
          <w:sz w:val="24"/>
          <w:szCs w:val="24"/>
          <w:rtl w:val="0"/>
          <w:lang w:val="en-US"/>
        </w:rPr>
        <w:t>Voters with disabilities, with apparent disabilities such as blindness, stroke, paralysis or similar physical defects may be accompanied by one of their relatives who are voters in the same election district or, in the absence of any relatives, by any other voter to provide assistance in casting their votes. A voter cannot accompany to more than one PwD.</w:t>
      </w:r>
      <w:r>
        <w:rPr>
          <w:rFonts w:ascii="Times New Roman" w:hAnsi="Times New Roman" w:hint="default"/>
          <w:sz w:val="24"/>
          <w:szCs w:val="24"/>
          <w:rtl w:val="0"/>
          <w:lang w:val="en-US"/>
        </w:rPr>
        <w:t>”</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Furthermore, like in previous elections, with the Supreme Election Council</w:t>
      </w:r>
      <w:r>
        <w:rPr>
          <w:rFonts w:ascii="Times New Roman" w:hAnsi="Times New Roman" w:hint="default"/>
          <w:sz w:val="24"/>
          <w:szCs w:val="24"/>
          <w:rtl w:val="0"/>
          <w:lang w:val="en-US"/>
        </w:rPr>
        <w:t>’</w:t>
      </w:r>
      <w:r>
        <w:rPr>
          <w:rFonts w:ascii="Times New Roman" w:hAnsi="Times New Roman"/>
          <w:sz w:val="24"/>
          <w:szCs w:val="24"/>
          <w:rtl w:val="0"/>
          <w:lang w:val="en-US"/>
        </w:rPr>
        <w:t>s Decision No 1103 of 12/12/2018 voters with visual disabilities are allowed to cast their votes by bringing their patterns with the purpose of casting their votes independently.</w:t>
      </w:r>
    </w:p>
    <w:p>
      <w:pPr>
        <w:pStyle w:val="List Paragraph"/>
        <w:ind w:left="0" w:firstLine="0"/>
        <w:jc w:val="both"/>
        <w:rPr>
          <w:rFonts w:ascii="Times New Roman" w:cs="Times New Roman" w:hAnsi="Times New Roman" w:eastAsia="Times New Roman"/>
          <w:sz w:val="24"/>
          <w:szCs w:val="24"/>
        </w:rPr>
      </w:pPr>
      <w:r>
        <w:rPr>
          <w:rFonts w:ascii="Times New Roman" w:hAnsi="Times New Roman"/>
          <w:sz w:val="24"/>
          <w:szCs w:val="24"/>
          <w:rtl w:val="0"/>
          <w:lang w:val="en-US"/>
        </w:rPr>
        <w:t>Mobile ballot box committees have been constituted to provide bedbound voters due to their sickness and disability cast their votes (except mukhtar elections) for the first time in Presidential and 27th Term Parliamentary General elections together held on June 24th 2018. Thus, with mobile ballot box application, mobile ballots were taken to the voters. (Law No 298, Articles 14 and 17)</w:t>
      </w:r>
    </w:p>
    <w:p>
      <w:pPr>
        <w:pStyle w:val="List Paragraph"/>
        <w:ind w:left="0" w:firstLine="0"/>
        <w:jc w:val="both"/>
        <w:rPr>
          <w:rFonts w:ascii="Times New Roman" w:cs="Times New Roman" w:hAnsi="Times New Roman" w:eastAsia="Times New Roman"/>
          <w:sz w:val="24"/>
          <w:szCs w:val="24"/>
          <w:lang w:val="en-US"/>
        </w:rPr>
      </w:pPr>
    </w:p>
    <w:p>
      <w:pPr>
        <w:pStyle w:val="List Paragraph"/>
        <w:numPr>
          <w:ilvl w:val="0"/>
          <w:numId w:val="10"/>
        </w:numPr>
        <w:bidi w:val="0"/>
        <w:ind w:right="0"/>
        <w:jc w:val="both"/>
        <w:rPr>
          <w:rFonts w:ascii="Times New Roman" w:cs="Times New Roman" w:hAnsi="Times New Roman" w:eastAsia="Times New Roman"/>
          <w:sz w:val="24"/>
          <w:szCs w:val="24"/>
          <w:rtl w:val="0"/>
          <w:lang w:val="en-US"/>
        </w:rPr>
      </w:pPr>
      <w:r>
        <w:rPr>
          <w:rFonts w:ascii="Times New Roman" w:hAnsi="Times New Roman"/>
          <w:sz w:val="24"/>
          <w:szCs w:val="24"/>
          <w:rtl w:val="0"/>
          <w:lang w:val="en-US"/>
        </w:rPr>
        <w:t>Number of districts with portable/mobile ballot box = 739</w:t>
      </w:r>
    </w:p>
    <w:p>
      <w:pPr>
        <w:pStyle w:val="List Paragraph"/>
        <w:numPr>
          <w:ilvl w:val="0"/>
          <w:numId w:val="10"/>
        </w:numPr>
        <w:bidi w:val="0"/>
        <w:ind w:right="0"/>
        <w:jc w:val="both"/>
        <w:rPr>
          <w:rFonts w:ascii="Times New Roman" w:cs="Times New Roman" w:hAnsi="Times New Roman" w:eastAsia="Times New Roman"/>
          <w:sz w:val="24"/>
          <w:szCs w:val="24"/>
          <w:rtl w:val="0"/>
          <w:lang w:val="en-US"/>
        </w:rPr>
      </w:pPr>
      <w:r>
        <w:rPr>
          <w:rFonts w:ascii="Times New Roman" w:hAnsi="Times New Roman"/>
          <w:sz w:val="24"/>
          <w:szCs w:val="24"/>
          <w:rtl w:val="0"/>
          <w:lang w:val="en-US"/>
        </w:rPr>
        <w:t>Number of portable/mobile ballot box = 1.307</w:t>
      </w:r>
    </w:p>
    <w:p>
      <w:pPr>
        <w:pStyle w:val="List Paragraph"/>
        <w:numPr>
          <w:ilvl w:val="0"/>
          <w:numId w:val="10"/>
        </w:numPr>
        <w:bidi w:val="0"/>
        <w:ind w:right="0"/>
        <w:jc w:val="both"/>
        <w:rPr>
          <w:rFonts w:ascii="Times New Roman" w:cs="Times New Roman" w:hAnsi="Times New Roman" w:eastAsia="Times New Roman"/>
          <w:sz w:val="24"/>
          <w:szCs w:val="24"/>
          <w:rtl w:val="0"/>
          <w:lang w:val="en-US"/>
        </w:rPr>
      </w:pPr>
      <w:r>
        <w:rPr>
          <w:rFonts w:ascii="Times New Roman" w:hAnsi="Times New Roman"/>
          <w:sz w:val="24"/>
          <w:szCs w:val="24"/>
          <w:rtl w:val="0"/>
          <w:lang w:val="en-US"/>
        </w:rPr>
        <w:t>Number of voters who cast their votes in portable/mobile ballot boxes = 17.359</w:t>
      </w:r>
    </w:p>
    <w:p>
      <w:pPr>
        <w:pStyle w:val="Plain Text"/>
        <w:jc w:val="center"/>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Voting Statistics of Voters with Disabilities (Vision and Orthopedic)</w:t>
      </w:r>
    </w:p>
    <w:p>
      <w:pPr>
        <w:pStyle w:val="Plain Text"/>
        <w:rPr>
          <w:rFonts w:ascii="Times New Roman" w:cs="Times New Roman" w:hAnsi="Times New Roman" w:eastAsia="Times New Roman"/>
          <w:sz w:val="24"/>
          <w:szCs w:val="24"/>
          <w:lang w:val="en-US"/>
        </w:rPr>
      </w:pPr>
    </w:p>
    <w:p>
      <w:pPr>
        <w:pStyle w:val="Plain Text"/>
        <w:rPr>
          <w:rFonts w:ascii="Times New Roman" w:cs="Times New Roman" w:hAnsi="Times New Roman" w:eastAsia="Times New Roman"/>
          <w:b w:val="1"/>
          <w:bCs w:val="1"/>
          <w:i w:val="1"/>
          <w:iCs w:val="1"/>
          <w:sz w:val="24"/>
          <w:szCs w:val="24"/>
        </w:rPr>
      </w:pPr>
      <w:r>
        <w:rPr>
          <w:rFonts w:ascii="Times New Roman" w:hAnsi="Times New Roman"/>
          <w:b w:val="1"/>
          <w:bCs w:val="1"/>
          <w:i w:val="1"/>
          <w:iCs w:val="1"/>
          <w:sz w:val="24"/>
          <w:szCs w:val="24"/>
          <w:rtl w:val="0"/>
          <w:lang w:val="en-US"/>
        </w:rPr>
        <w:t>Registered to electoral register in 25th Term Parliamentary General Elections;</w:t>
      </w:r>
    </w:p>
    <w:p>
      <w:pPr>
        <w:pStyle w:val="Plain Text"/>
        <w:ind w:left="1416" w:firstLine="708"/>
        <w:rPr>
          <w:rFonts w:ascii="Times New Roman" w:cs="Times New Roman" w:hAnsi="Times New Roman" w:eastAsia="Times New Roman"/>
          <w:sz w:val="24"/>
          <w:szCs w:val="24"/>
        </w:rPr>
      </w:pPr>
      <w:r>
        <w:rPr>
          <w:rFonts w:ascii="Times New Roman" w:hAnsi="Times New Roman"/>
          <w:sz w:val="24"/>
          <w:szCs w:val="24"/>
          <w:rtl w:val="0"/>
          <w:lang w:val="en-US"/>
        </w:rPr>
        <w:t xml:space="preserve">Number of voters with disabilities = 606.082 </w:t>
      </w:r>
    </w:p>
    <w:p>
      <w:pPr>
        <w:pStyle w:val="Plain Text"/>
        <w:ind w:left="1416" w:firstLine="708"/>
        <w:rPr>
          <w:rFonts w:ascii="Times New Roman" w:cs="Times New Roman" w:hAnsi="Times New Roman" w:eastAsia="Times New Roman"/>
          <w:sz w:val="24"/>
          <w:szCs w:val="24"/>
        </w:rPr>
      </w:pPr>
      <w:r>
        <w:rPr>
          <w:rFonts w:ascii="Times New Roman" w:hAnsi="Times New Roman"/>
          <w:sz w:val="24"/>
          <w:szCs w:val="24"/>
          <w:rtl w:val="0"/>
          <w:lang w:val="en-US"/>
        </w:rPr>
        <w:t xml:space="preserve">Number of voters with disabilities who cast votes = 470.249 </w:t>
      </w:r>
    </w:p>
    <w:p>
      <w:pPr>
        <w:pStyle w:val="Plain Text"/>
        <w:ind w:left="1416" w:firstLine="708"/>
        <w:rPr>
          <w:rFonts w:ascii="Times New Roman" w:cs="Times New Roman" w:hAnsi="Times New Roman" w:eastAsia="Times New Roman"/>
          <w:sz w:val="24"/>
          <w:szCs w:val="24"/>
        </w:rPr>
      </w:pPr>
      <w:r>
        <w:rPr>
          <w:rFonts w:ascii="Times New Roman" w:hAnsi="Times New Roman"/>
          <w:sz w:val="24"/>
          <w:szCs w:val="24"/>
          <w:rtl w:val="0"/>
          <w:lang w:val="en-US"/>
        </w:rPr>
        <w:t>Ratio (%) of voters with disabilities who cast votes = 77,59</w:t>
      </w:r>
    </w:p>
    <w:p>
      <w:pPr>
        <w:pStyle w:val="Plain Text"/>
        <w:rPr>
          <w:rFonts w:ascii="Times New Roman" w:cs="Times New Roman" w:hAnsi="Times New Roman" w:eastAsia="Times New Roman"/>
          <w:b w:val="1"/>
          <w:bCs w:val="1"/>
          <w:i w:val="1"/>
          <w:iCs w:val="1"/>
          <w:sz w:val="24"/>
          <w:szCs w:val="24"/>
          <w:lang w:val="en-US"/>
        </w:rPr>
      </w:pPr>
    </w:p>
    <w:p>
      <w:pPr>
        <w:pStyle w:val="Plain Text"/>
        <w:rPr>
          <w:rFonts w:ascii="Times New Roman" w:cs="Times New Roman" w:hAnsi="Times New Roman" w:eastAsia="Times New Roman"/>
          <w:b w:val="1"/>
          <w:bCs w:val="1"/>
          <w:i w:val="1"/>
          <w:iCs w:val="1"/>
          <w:sz w:val="24"/>
          <w:szCs w:val="24"/>
        </w:rPr>
      </w:pPr>
      <w:r>
        <w:rPr>
          <w:rFonts w:ascii="Times New Roman" w:hAnsi="Times New Roman"/>
          <w:b w:val="1"/>
          <w:bCs w:val="1"/>
          <w:i w:val="1"/>
          <w:iCs w:val="1"/>
          <w:sz w:val="24"/>
          <w:szCs w:val="24"/>
          <w:rtl w:val="0"/>
          <w:lang w:val="en-US"/>
        </w:rPr>
        <w:t>Registered to electoral register in 26th Term Parliamentary General Elections;</w:t>
      </w:r>
    </w:p>
    <w:p>
      <w:pPr>
        <w:pStyle w:val="Plain Text"/>
        <w:ind w:left="1416" w:firstLine="708"/>
        <w:rPr>
          <w:rFonts w:ascii="Times New Roman" w:cs="Times New Roman" w:hAnsi="Times New Roman" w:eastAsia="Times New Roman"/>
          <w:sz w:val="24"/>
          <w:szCs w:val="24"/>
        </w:rPr>
      </w:pPr>
      <w:r>
        <w:rPr>
          <w:rFonts w:ascii="Times New Roman" w:hAnsi="Times New Roman"/>
          <w:sz w:val="24"/>
          <w:szCs w:val="24"/>
          <w:rtl w:val="0"/>
          <w:lang w:val="en-US"/>
        </w:rPr>
        <w:t xml:space="preserve">Number of voters with disabilities  = 622.012 </w:t>
      </w:r>
    </w:p>
    <w:p>
      <w:pPr>
        <w:pStyle w:val="Plain Text"/>
        <w:ind w:left="1416" w:firstLine="708"/>
        <w:rPr>
          <w:rFonts w:ascii="Times New Roman" w:cs="Times New Roman" w:hAnsi="Times New Roman" w:eastAsia="Times New Roman"/>
          <w:sz w:val="24"/>
          <w:szCs w:val="24"/>
        </w:rPr>
      </w:pPr>
      <w:r>
        <w:rPr>
          <w:rFonts w:ascii="Times New Roman" w:hAnsi="Times New Roman"/>
          <w:sz w:val="24"/>
          <w:szCs w:val="24"/>
          <w:rtl w:val="0"/>
          <w:lang w:val="en-US"/>
        </w:rPr>
        <w:t xml:space="preserve">Number of voters with disabilities who cast votes = 487.838 </w:t>
      </w:r>
    </w:p>
    <w:p>
      <w:pPr>
        <w:pStyle w:val="Plain Text"/>
        <w:ind w:left="1416" w:firstLine="708"/>
        <w:rPr>
          <w:rFonts w:ascii="Times New Roman" w:cs="Times New Roman" w:hAnsi="Times New Roman" w:eastAsia="Times New Roman"/>
          <w:sz w:val="24"/>
          <w:szCs w:val="24"/>
        </w:rPr>
      </w:pPr>
      <w:r>
        <w:rPr>
          <w:rFonts w:ascii="Times New Roman" w:hAnsi="Times New Roman"/>
          <w:sz w:val="24"/>
          <w:szCs w:val="24"/>
          <w:rtl w:val="0"/>
          <w:lang w:val="en-US"/>
        </w:rPr>
        <w:t>Ratio (%) of disabled voter casting votes = 78,43</w:t>
      </w:r>
    </w:p>
    <w:p>
      <w:pPr>
        <w:pStyle w:val="Plain Text"/>
        <w:rPr>
          <w:rFonts w:ascii="Times New Roman" w:cs="Times New Roman" w:hAnsi="Times New Roman" w:eastAsia="Times New Roman"/>
          <w:b w:val="1"/>
          <w:bCs w:val="1"/>
          <w:i w:val="1"/>
          <w:iCs w:val="1"/>
          <w:sz w:val="24"/>
          <w:szCs w:val="24"/>
          <w:lang w:val="en-US"/>
        </w:rPr>
      </w:pPr>
    </w:p>
    <w:p>
      <w:pPr>
        <w:pStyle w:val="Plain Text"/>
        <w:rPr>
          <w:rFonts w:ascii="Times New Roman" w:cs="Times New Roman" w:hAnsi="Times New Roman" w:eastAsia="Times New Roman"/>
          <w:b w:val="1"/>
          <w:bCs w:val="1"/>
          <w:i w:val="1"/>
          <w:iCs w:val="1"/>
          <w:sz w:val="24"/>
          <w:szCs w:val="24"/>
        </w:rPr>
      </w:pPr>
      <w:r>
        <w:rPr>
          <w:rFonts w:ascii="Times New Roman" w:hAnsi="Times New Roman"/>
          <w:b w:val="1"/>
          <w:bCs w:val="1"/>
          <w:i w:val="1"/>
          <w:iCs w:val="1"/>
          <w:sz w:val="24"/>
          <w:szCs w:val="24"/>
          <w:rtl w:val="0"/>
          <w:lang w:val="en-US"/>
        </w:rPr>
        <w:t xml:space="preserve">Registered to electoral register in Constitutional Amendment Referanda held on 16th April 2017; </w:t>
      </w:r>
    </w:p>
    <w:p>
      <w:pPr>
        <w:pStyle w:val="Plain Text"/>
        <w:ind w:left="1416" w:firstLine="708"/>
        <w:rPr>
          <w:rFonts w:ascii="Times New Roman" w:cs="Times New Roman" w:hAnsi="Times New Roman" w:eastAsia="Times New Roman"/>
          <w:sz w:val="24"/>
          <w:szCs w:val="24"/>
        </w:rPr>
      </w:pPr>
      <w:r>
        <w:rPr>
          <w:rFonts w:ascii="Times New Roman" w:hAnsi="Times New Roman"/>
          <w:sz w:val="24"/>
          <w:szCs w:val="24"/>
          <w:rtl w:val="0"/>
          <w:lang w:val="en-US"/>
        </w:rPr>
        <w:t>Number of voters with disabilities  = 612.703</w:t>
      </w:r>
    </w:p>
    <w:p>
      <w:pPr>
        <w:pStyle w:val="Plain Text"/>
        <w:ind w:left="1416" w:firstLine="708"/>
        <w:rPr>
          <w:rFonts w:ascii="Times New Roman" w:cs="Times New Roman" w:hAnsi="Times New Roman" w:eastAsia="Times New Roman"/>
          <w:sz w:val="24"/>
          <w:szCs w:val="24"/>
        </w:rPr>
      </w:pPr>
      <w:r>
        <w:rPr>
          <w:rFonts w:ascii="Times New Roman" w:hAnsi="Times New Roman"/>
          <w:sz w:val="24"/>
          <w:szCs w:val="24"/>
          <w:rtl w:val="0"/>
          <w:lang w:val="en-US"/>
        </w:rPr>
        <w:t>Number of voters with disabilities who cast votes = 468.985</w:t>
      </w:r>
    </w:p>
    <w:p>
      <w:pPr>
        <w:pStyle w:val="Plain Text"/>
        <w:ind w:left="1416" w:firstLine="708"/>
        <w:rPr>
          <w:rFonts w:ascii="Times New Roman" w:cs="Times New Roman" w:hAnsi="Times New Roman" w:eastAsia="Times New Roman"/>
          <w:sz w:val="24"/>
          <w:szCs w:val="24"/>
        </w:rPr>
      </w:pPr>
      <w:r>
        <w:rPr>
          <w:rFonts w:ascii="Times New Roman" w:hAnsi="Times New Roman"/>
          <w:sz w:val="24"/>
          <w:szCs w:val="24"/>
          <w:rtl w:val="0"/>
          <w:lang w:val="en-US"/>
        </w:rPr>
        <w:t>Ratio (%) of voters with disabilities who cast votes = 76,54</w:t>
      </w:r>
    </w:p>
    <w:p>
      <w:pPr>
        <w:pStyle w:val="Plain Text"/>
        <w:ind w:left="1416" w:firstLine="708"/>
        <w:rPr>
          <w:rFonts w:ascii="Times New Roman" w:cs="Times New Roman" w:hAnsi="Times New Roman" w:eastAsia="Times New Roman"/>
          <w:sz w:val="24"/>
          <w:szCs w:val="24"/>
          <w:lang w:val="en-US"/>
        </w:rPr>
      </w:pPr>
    </w:p>
    <w:p>
      <w:pPr>
        <w:pStyle w:val="Plain Text"/>
        <w:jc w:val="both"/>
        <w:rPr>
          <w:rFonts w:ascii="Times New Roman" w:cs="Times New Roman" w:hAnsi="Times New Roman" w:eastAsia="Times New Roman"/>
          <w:b w:val="1"/>
          <w:bCs w:val="1"/>
          <w:i w:val="1"/>
          <w:iCs w:val="1"/>
          <w:sz w:val="24"/>
          <w:szCs w:val="24"/>
        </w:rPr>
      </w:pPr>
      <w:r>
        <w:rPr>
          <w:rFonts w:ascii="Times New Roman" w:hAnsi="Times New Roman"/>
          <w:b w:val="1"/>
          <w:bCs w:val="1"/>
          <w:i w:val="1"/>
          <w:iCs w:val="1"/>
          <w:sz w:val="24"/>
          <w:szCs w:val="24"/>
          <w:rtl w:val="0"/>
          <w:lang w:val="en-US"/>
        </w:rPr>
        <w:t xml:space="preserve">Registered to electoral register in Presidential and 27th Term Parliamentary General Elections held on June 24th 2018; </w:t>
      </w:r>
    </w:p>
    <w:p>
      <w:pPr>
        <w:pStyle w:val="Plain Text"/>
        <w:ind w:left="1416" w:firstLine="708"/>
        <w:rPr>
          <w:rFonts w:ascii="Times New Roman" w:cs="Times New Roman" w:hAnsi="Times New Roman" w:eastAsia="Times New Roman"/>
          <w:sz w:val="24"/>
          <w:szCs w:val="24"/>
        </w:rPr>
      </w:pPr>
      <w:r>
        <w:rPr>
          <w:rFonts w:ascii="Times New Roman" w:hAnsi="Times New Roman"/>
          <w:sz w:val="24"/>
          <w:szCs w:val="24"/>
          <w:rtl w:val="0"/>
          <w:lang w:val="en-US"/>
        </w:rPr>
        <w:t>Number of voters with disabilities  = 667.974</w:t>
      </w:r>
    </w:p>
    <w:p>
      <w:pPr>
        <w:pStyle w:val="Plain Text"/>
        <w:ind w:left="1416" w:firstLine="708"/>
        <w:rPr>
          <w:rFonts w:ascii="Times New Roman" w:cs="Times New Roman" w:hAnsi="Times New Roman" w:eastAsia="Times New Roman"/>
          <w:sz w:val="24"/>
          <w:szCs w:val="24"/>
        </w:rPr>
      </w:pPr>
      <w:r>
        <w:rPr>
          <w:rFonts w:ascii="Times New Roman" w:hAnsi="Times New Roman"/>
          <w:sz w:val="24"/>
          <w:szCs w:val="24"/>
          <w:rtl w:val="0"/>
          <w:lang w:val="en-US"/>
        </w:rPr>
        <w:t>Number of voters with disabilities cast votes = 521.403</w:t>
      </w:r>
    </w:p>
    <w:p>
      <w:pPr>
        <w:pStyle w:val="Plain Text"/>
        <w:ind w:left="1416" w:firstLine="708"/>
        <w:rPr>
          <w:rFonts w:ascii="Times New Roman" w:cs="Times New Roman" w:hAnsi="Times New Roman" w:eastAsia="Times New Roman"/>
          <w:sz w:val="24"/>
          <w:szCs w:val="24"/>
        </w:rPr>
      </w:pPr>
      <w:r>
        <w:rPr>
          <w:rFonts w:ascii="Times New Roman" w:hAnsi="Times New Roman"/>
          <w:sz w:val="24"/>
          <w:szCs w:val="24"/>
          <w:rtl w:val="0"/>
          <w:lang w:val="en-US"/>
        </w:rPr>
        <w:t>Ratio (%) of voters with disabilities casting votes = 78,05</w:t>
      </w:r>
    </w:p>
    <w:p>
      <w:pPr>
        <w:pStyle w:val="Body"/>
        <w:jc w:val="both"/>
        <w:rPr>
          <w:rFonts w:ascii="Times New Roman" w:cs="Times New Roman" w:hAnsi="Times New Roman" w:eastAsia="Times New Roman"/>
          <w:sz w:val="24"/>
          <w:szCs w:val="24"/>
          <w:lang w:val="en-US"/>
        </w:rPr>
      </w:pPr>
    </w:p>
    <w:p>
      <w:pPr>
        <w:pStyle w:val="List Paragraph"/>
        <w:numPr>
          <w:ilvl w:val="0"/>
          <w:numId w:val="12"/>
        </w:numPr>
        <w:bidi w:val="0"/>
        <w:ind w:right="0"/>
        <w:jc w:val="both"/>
        <w:rPr>
          <w:rFonts w:ascii="Times New Roman" w:cs="Times New Roman" w:hAnsi="Times New Roman" w:eastAsia="Times New Roman"/>
          <w:b w:val="1"/>
          <w:bCs w:val="1"/>
          <w:color w:val="000000"/>
          <w:sz w:val="24"/>
          <w:szCs w:val="24"/>
          <w:u w:color="000000"/>
          <w:rtl w:val="0"/>
          <w:lang w:val="en-US"/>
        </w:rPr>
      </w:pPr>
      <w:r>
        <w:rPr>
          <w:rFonts w:ascii="Times New Roman" w:hAnsi="Times New Roman"/>
          <w:b w:val="1"/>
          <w:bCs w:val="1"/>
          <w:sz w:val="24"/>
          <w:szCs w:val="24"/>
          <w:rtl w:val="0"/>
          <w:lang w:val="en-US"/>
        </w:rPr>
        <w:t xml:space="preserve">Additional response in relation to the implementation of the </w:t>
      </w:r>
      <w:r>
        <w:rPr>
          <w:rFonts w:ascii="Times New Roman" w:hAnsi="Times New Roman"/>
          <w:b w:val="1"/>
          <w:bCs w:val="1"/>
          <w:color w:val="000000"/>
          <w:sz w:val="24"/>
          <w:szCs w:val="24"/>
          <w:u w:color="000000"/>
          <w:rtl w:val="0"/>
          <w:lang w:val="en-US"/>
        </w:rPr>
        <w:t>Strategic Plan of RTUK relevant to accessibility of information and communications by PwDs:</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In various meetings held with media service providers; recommendations were made for the boost-up of the broadcasts targeting the people with hearing disabilities whilst the same recommendations were made for the start-up of the broadcasts specifically made for the visually impaired people. Since there has been a consensus on the fact that such broadcasts need to be compulsory a commission has been formed in the body of RTUK to update the legislation in relation to the people with disabilities. In framework of the works under the commission</w:t>
      </w:r>
      <w:r>
        <w:rPr>
          <w:rFonts w:ascii="Times New Roman" w:hAnsi="Times New Roman" w:hint="default"/>
          <w:sz w:val="24"/>
          <w:szCs w:val="24"/>
          <w:rtl w:val="0"/>
          <w:lang w:val="en-US"/>
        </w:rPr>
        <w:t>’</w:t>
      </w:r>
      <w:r>
        <w:rPr>
          <w:rFonts w:ascii="Times New Roman" w:hAnsi="Times New Roman"/>
          <w:sz w:val="24"/>
          <w:szCs w:val="24"/>
          <w:rtl w:val="0"/>
          <w:lang w:val="en-US"/>
        </w:rPr>
        <w:t xml:space="preserve">s scope, a workshop has been organised on the issue of </w:t>
      </w:r>
      <w:r>
        <w:rPr>
          <w:rFonts w:ascii="Times New Roman" w:hAnsi="Times New Roman" w:hint="default"/>
          <w:sz w:val="24"/>
          <w:szCs w:val="24"/>
          <w:rtl w:val="0"/>
          <w:lang w:val="en-US"/>
        </w:rPr>
        <w:t>‘</w:t>
      </w:r>
      <w:r>
        <w:rPr>
          <w:rFonts w:ascii="Times New Roman" w:hAnsi="Times New Roman"/>
          <w:sz w:val="24"/>
          <w:szCs w:val="24"/>
          <w:rtl w:val="0"/>
          <w:lang w:val="en-US"/>
        </w:rPr>
        <w:t>unimpeded accessibility</w:t>
      </w:r>
      <w:r>
        <w:rPr>
          <w:rFonts w:ascii="Times New Roman" w:hAnsi="Times New Roman" w:hint="default"/>
          <w:sz w:val="24"/>
          <w:szCs w:val="24"/>
          <w:rtl w:val="0"/>
          <w:lang w:val="en-US"/>
        </w:rPr>
        <w:t>’</w:t>
      </w:r>
      <w:r>
        <w:rPr>
          <w:rFonts w:ascii="Times New Roman" w:hAnsi="Times New Roman"/>
          <w:sz w:val="24"/>
          <w:szCs w:val="24"/>
          <w:rtl w:val="0"/>
          <w:lang w:val="en-US"/>
        </w:rPr>
        <w:t xml:space="preserve">. </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In the workshop, groups of experts composed of the representatives of broadcasting enterprises, non-profit organisations for the people of disabilities and academicians agreed on publicising the declaration text below as a result of a far-reaching consensus and made it public on 15th of January, 2019. </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The basic principles negotiated as the applications meliorating the accessibility to the audio-visual media services:</w:t>
      </w:r>
    </w:p>
    <w:p>
      <w:pPr>
        <w:pStyle w:val="Body"/>
        <w:jc w:val="both"/>
        <w:rPr>
          <w:rFonts w:ascii="Times New Roman" w:cs="Times New Roman" w:hAnsi="Times New Roman" w:eastAsia="Times New Roman"/>
          <w:color w:val="000000"/>
          <w:sz w:val="24"/>
          <w:szCs w:val="24"/>
          <w:u w:color="000000"/>
        </w:rPr>
      </w:pPr>
      <w:r>
        <w:rPr>
          <w:rFonts w:ascii="Times New Roman" w:hAnsi="Times New Roman"/>
          <w:color w:val="000000"/>
          <w:sz w:val="24"/>
          <w:szCs w:val="24"/>
          <w:u w:color="000000"/>
          <w:rtl w:val="0"/>
          <w:lang w:val="en-US"/>
        </w:rPr>
        <w:t>1. In different programme zones broadcast in a day, a wide range of various programming types shall need to be included in the broadcasts made for the people with disabilities;</w:t>
      </w:r>
    </w:p>
    <w:p>
      <w:pPr>
        <w:pStyle w:val="Body"/>
        <w:jc w:val="both"/>
        <w:rPr>
          <w:rFonts w:ascii="Times New Roman" w:cs="Times New Roman" w:hAnsi="Times New Roman" w:eastAsia="Times New Roman"/>
          <w:color w:val="000000"/>
          <w:sz w:val="24"/>
          <w:szCs w:val="24"/>
          <w:u w:color="000000"/>
        </w:rPr>
      </w:pPr>
      <w:r>
        <w:rPr>
          <w:rFonts w:ascii="Times New Roman" w:hAnsi="Times New Roman"/>
          <w:color w:val="000000"/>
          <w:sz w:val="24"/>
          <w:szCs w:val="24"/>
          <w:u w:color="000000"/>
          <w:rtl w:val="0"/>
          <w:lang w:val="en-US"/>
        </w:rPr>
        <w:t>2. By selecting some out of the programmes broadcast between the hours 06:00 and 24:00, the media service providing enterprise shall broadcast them in line with its prototype/its monthly programme schedule;</w:t>
      </w:r>
    </w:p>
    <w:p>
      <w:pPr>
        <w:pStyle w:val="Body"/>
        <w:jc w:val="both"/>
        <w:rPr>
          <w:rFonts w:ascii="Times New Roman" w:cs="Times New Roman" w:hAnsi="Times New Roman" w:eastAsia="Times New Roman"/>
          <w:color w:val="000000"/>
          <w:sz w:val="24"/>
          <w:szCs w:val="24"/>
          <w:u w:color="000000"/>
        </w:rPr>
      </w:pPr>
      <w:r>
        <w:rPr>
          <w:rFonts w:ascii="Times New Roman" w:hAnsi="Times New Roman"/>
          <w:color w:val="000000"/>
          <w:sz w:val="24"/>
          <w:szCs w:val="24"/>
          <w:u w:color="000000"/>
          <w:rtl w:val="0"/>
          <w:lang w:val="en-US"/>
        </w:rPr>
        <w:t>3. Announcements shall be made by the media service providers on the accession types and the time-schedules of their broadcasting programmes;</w:t>
      </w:r>
    </w:p>
    <w:p>
      <w:pPr>
        <w:pStyle w:val="Body"/>
        <w:jc w:val="both"/>
        <w:rPr>
          <w:rFonts w:ascii="Times New Roman" w:cs="Times New Roman" w:hAnsi="Times New Roman" w:eastAsia="Times New Roman"/>
          <w:color w:val="000000"/>
          <w:sz w:val="24"/>
          <w:szCs w:val="24"/>
          <w:u w:color="000000"/>
        </w:rPr>
      </w:pPr>
      <w:r>
        <w:rPr>
          <w:rFonts w:ascii="Times New Roman" w:hAnsi="Times New Roman"/>
          <w:color w:val="000000"/>
          <w:sz w:val="24"/>
          <w:szCs w:val="24"/>
          <w:u w:color="000000"/>
          <w:rtl w:val="0"/>
          <w:lang w:val="en-US"/>
        </w:rPr>
        <w:t>4. In cases of emergency and extraordinary situations, ensuring the accession should be rendered as much and soon as possible without losing time for the announcement of the programme time;</w:t>
      </w:r>
    </w:p>
    <w:p>
      <w:pPr>
        <w:pStyle w:val="Body"/>
        <w:jc w:val="both"/>
        <w:rPr>
          <w:rFonts w:ascii="Times New Roman" w:cs="Times New Roman" w:hAnsi="Times New Roman" w:eastAsia="Times New Roman"/>
          <w:color w:val="000000"/>
          <w:sz w:val="24"/>
          <w:szCs w:val="24"/>
          <w:u w:color="000000"/>
        </w:rPr>
      </w:pPr>
      <w:r>
        <w:rPr>
          <w:rFonts w:ascii="Times New Roman" w:hAnsi="Times New Roman"/>
          <w:color w:val="000000"/>
          <w:sz w:val="24"/>
          <w:szCs w:val="24"/>
          <w:u w:color="000000"/>
          <w:rtl w:val="0"/>
          <w:lang w:val="en-US"/>
        </w:rPr>
        <w:t xml:space="preserve">5. So as not to let the deaf people and the people with hearing disability live any problem in comprehending and perceiving the programmes that they watch, the sign language translator shall be allowed by means of the </w:t>
      </w:r>
      <w:r>
        <w:rPr>
          <w:rFonts w:ascii="Times New Roman" w:hAnsi="Times New Roman" w:hint="default"/>
          <w:color w:val="000000"/>
          <w:sz w:val="24"/>
          <w:szCs w:val="24"/>
          <w:u w:color="000000"/>
          <w:rtl w:val="0"/>
          <w:lang w:val="en-US"/>
        </w:rPr>
        <w:t>‘</w:t>
      </w:r>
      <w:r>
        <w:rPr>
          <w:rFonts w:ascii="Times New Roman" w:hAnsi="Times New Roman"/>
          <w:color w:val="000000"/>
          <w:sz w:val="24"/>
          <w:szCs w:val="24"/>
          <w:u w:color="000000"/>
          <w:rtl w:val="0"/>
          <w:lang w:val="en-US"/>
        </w:rPr>
        <w:t>Green Box</w:t>
      </w:r>
      <w:r>
        <w:rPr>
          <w:rFonts w:ascii="Times New Roman" w:hAnsi="Times New Roman" w:hint="default"/>
          <w:color w:val="000000"/>
          <w:sz w:val="24"/>
          <w:szCs w:val="24"/>
          <w:u w:color="000000"/>
          <w:rtl w:val="0"/>
          <w:lang w:val="en-US"/>
        </w:rPr>
        <w:t xml:space="preserve">’ </w:t>
      </w:r>
      <w:r>
        <w:rPr>
          <w:rFonts w:ascii="Times New Roman" w:hAnsi="Times New Roman"/>
          <w:color w:val="000000"/>
          <w:sz w:val="24"/>
          <w:szCs w:val="24"/>
          <w:u w:color="000000"/>
          <w:rtl w:val="0"/>
          <w:lang w:val="en-US"/>
        </w:rPr>
        <w:t xml:space="preserve">application a space consisting of 1/8 size of the screen, reflecting his/her appearance onscreen beginning from a hand-size gap overhead down below until his/her hip level;       </w:t>
      </w:r>
    </w:p>
    <w:p>
      <w:pPr>
        <w:pStyle w:val="Body"/>
        <w:jc w:val="both"/>
        <w:rPr>
          <w:rFonts w:ascii="Times New Roman" w:cs="Times New Roman" w:hAnsi="Times New Roman" w:eastAsia="Times New Roman"/>
          <w:color w:val="000000"/>
          <w:sz w:val="24"/>
          <w:szCs w:val="24"/>
          <w:u w:color="000000"/>
        </w:rPr>
      </w:pPr>
      <w:r>
        <w:rPr>
          <w:rFonts w:ascii="Times New Roman" w:hAnsi="Times New Roman"/>
          <w:color w:val="000000"/>
          <w:sz w:val="24"/>
          <w:szCs w:val="24"/>
          <w:u w:color="000000"/>
          <w:rtl w:val="0"/>
          <w:lang w:val="en-US"/>
        </w:rPr>
        <w:t>6. During the application process, meetings might be held with the stakeholders to receive their feedbacks when needed.</w:t>
      </w:r>
    </w:p>
    <w:p>
      <w:pPr>
        <w:pStyle w:val="Body"/>
        <w:jc w:val="both"/>
        <w:rPr>
          <w:rFonts w:ascii="Times New Roman" w:cs="Times New Roman" w:hAnsi="Times New Roman" w:eastAsia="Times New Roman"/>
          <w:color w:val="000000"/>
          <w:sz w:val="24"/>
          <w:szCs w:val="24"/>
          <w:u w:color="000000"/>
          <w:lang w:val="en-US"/>
        </w:rPr>
      </w:pPr>
    </w:p>
    <w:p>
      <w:pPr>
        <w:pStyle w:val="List Paragraph"/>
        <w:numPr>
          <w:ilvl w:val="0"/>
          <w:numId w:val="12"/>
        </w:numPr>
        <w:bidi w:val="0"/>
        <w:ind w:right="0"/>
        <w:jc w:val="both"/>
        <w:rPr>
          <w:rFonts w:ascii="Times New Roman" w:cs="Times New Roman" w:hAnsi="Times New Roman" w:eastAsia="Times New Roman"/>
          <w:color w:val="000000"/>
          <w:sz w:val="24"/>
          <w:szCs w:val="24"/>
          <w:u w:color="000000"/>
          <w:rtl w:val="0"/>
          <w:lang w:val="en-US"/>
        </w:rPr>
      </w:pPr>
      <w:r>
        <w:rPr>
          <w:rFonts w:ascii="Times New Roman" w:hAnsi="Times New Roman"/>
          <w:b w:val="1"/>
          <w:bCs w:val="1"/>
          <w:sz w:val="24"/>
          <w:szCs w:val="24"/>
          <w:rtl w:val="0"/>
          <w:lang w:val="en-US"/>
        </w:rPr>
        <w:t xml:space="preserve">Additional response in relation to the accessibility of </w:t>
      </w:r>
      <w:r>
        <w:rPr>
          <w:rFonts w:ascii="Times New Roman" w:hAnsi="Times New Roman"/>
          <w:b w:val="1"/>
          <w:bCs w:val="1"/>
          <w:sz w:val="24"/>
          <w:szCs w:val="24"/>
          <w:rtl w:val="0"/>
          <w:lang w:val="en-US"/>
        </w:rPr>
        <w:t>TV channels:</w:t>
      </w:r>
    </w:p>
    <w:p>
      <w:pPr>
        <w:pStyle w:val="Body"/>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In addition to media service providers affiliated with TRT, national media service providers named NTV and Fox have accessible broadcasts for persons with hearing disabilities. Kanal D has accessible broadcasts for persons with visual and hearing disabilities on its website.</w:t>
      </w:r>
    </w:p>
    <w:p>
      <w:pPr>
        <w:pStyle w:val="Body"/>
        <w:numPr>
          <w:ilvl w:val="0"/>
          <w:numId w:val="14"/>
        </w:numPr>
        <w:jc w:val="both"/>
        <w:rPr>
          <w:rFonts w:ascii="Times New Roman" w:cs="Times New Roman" w:hAnsi="Times New Roman" w:eastAsia="Times New Roman"/>
          <w:b w:val="1"/>
          <w:bCs w:val="1"/>
          <w:sz w:val="24"/>
          <w:szCs w:val="24"/>
          <w:lang w:val="en-US"/>
        </w:rPr>
      </w:pPr>
      <w:r>
        <w:rPr>
          <w:rFonts w:ascii="Times New Roman" w:hAnsi="Times New Roman"/>
          <w:sz w:val="24"/>
          <w:szCs w:val="24"/>
          <w:rtl w:val="0"/>
          <w:lang w:val="en-US"/>
        </w:rPr>
        <w:t xml:space="preserve">   </w:t>
      </w:r>
      <w:r>
        <w:rPr>
          <w:rFonts w:ascii="Times New Roman" w:hAnsi="Times New Roman"/>
          <w:b w:val="1"/>
          <w:bCs w:val="1"/>
          <w:sz w:val="24"/>
          <w:szCs w:val="24"/>
          <w:rtl w:val="0"/>
          <w:lang w:val="en-US"/>
        </w:rPr>
        <w:t>Additional response in relation to the ratification of the Marrakesh Treaty:</w:t>
      </w:r>
    </w:p>
    <w:p>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bidi w:val="0"/>
        <w:ind w:left="0" w:right="0" w:firstLine="0"/>
        <w:jc w:val="left"/>
        <w:rPr>
          <w:rFonts w:ascii="Times New Roman" w:cs="Times New Roman" w:hAnsi="Times New Roman" w:eastAsia="Times New Roman"/>
          <w:color w:val="212121"/>
          <w:sz w:val="24"/>
          <w:szCs w:val="24"/>
          <w:rtl w:val="0"/>
        </w:rPr>
      </w:pPr>
      <w:r>
        <w:rPr>
          <w:rFonts w:ascii="Times New Roman" w:hAnsi="Times New Roman"/>
          <w:color w:val="212121"/>
          <w:sz w:val="24"/>
          <w:szCs w:val="24"/>
          <w:rtl w:val="0"/>
          <w:lang w:val="en-US"/>
        </w:rPr>
        <w:t>Turkey signed Marrakesh Treaty to Facilitate Access to Published Works for Persons Who Are Blind, Visually Impaired or Otherwise Print Disabled (MVT) in 2013. The internal ratification process regarding the Treaty is still in progress.</w:t>
      </w:r>
    </w:p>
    <w:p>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bidi w:val="0"/>
        <w:ind w:left="0" w:right="0" w:firstLine="0"/>
        <w:jc w:val="left"/>
        <w:rPr>
          <w:color w:val="000000"/>
          <w:sz w:val="27"/>
          <w:szCs w:val="27"/>
          <w:u w:color="000000"/>
          <w:rtl w:val="0"/>
        </w:rPr>
      </w:pPr>
    </w:p>
    <w:p>
      <w:pPr>
        <w:pStyle w:val="List Paragraph"/>
        <w:numPr>
          <w:ilvl w:val="0"/>
          <w:numId w:val="12"/>
        </w:numPr>
        <w:bidi w:val="0"/>
        <w:ind w:right="0"/>
        <w:jc w:val="both"/>
        <w:rPr>
          <w:rFonts w:ascii="Times New Roman" w:cs="Times New Roman" w:hAnsi="Times New Roman" w:eastAsia="Times New Roman"/>
          <w:b w:val="1"/>
          <w:bCs w:val="1"/>
          <w:sz w:val="24"/>
          <w:szCs w:val="24"/>
          <w:rtl w:val="0"/>
          <w:lang w:val="en-US"/>
        </w:rPr>
      </w:pPr>
      <w:r>
        <w:rPr>
          <w:rFonts w:ascii="Times New Roman" w:hAnsi="Times New Roman"/>
          <w:b w:val="1"/>
          <w:bCs w:val="1"/>
          <w:sz w:val="24"/>
          <w:szCs w:val="24"/>
          <w:rtl w:val="0"/>
          <w:lang w:val="en-US"/>
        </w:rPr>
        <w:t>Additional response in relation to public procurement policy to enhance greater accessibility:</w:t>
      </w:r>
    </w:p>
    <w:p>
      <w:pPr>
        <w:pStyle w:val="Body"/>
        <w:jc w:val="both"/>
      </w:pPr>
      <w:r>
        <w:rPr>
          <w:rFonts w:ascii="Times New Roman" w:hAnsi="Times New Roman"/>
          <w:sz w:val="24"/>
          <w:szCs w:val="24"/>
          <w:rtl w:val="0"/>
          <w:lang w:val="en-US"/>
        </w:rPr>
        <w:t xml:space="preserve">As per Article 7 of Turkish Disability Act No 5378, accessibility standards shall be applied in planning, design, construction, production, certification and audit of built environments. In accordance with this provision, the condition of meeting accessibility standards in public procurement is a legal obligation. The same article also obligates ensuring accessibility of public transportation vehicles. In this context, the criteria of accessibility shall be taken into consideration in the procurement of public transportation vehicles. Within the framework of concerned obligations, typical projects of all new buildings of education and health services to be built in Turkey shall also meet the accessibility standards.  </w:t>
      </w:r>
    </w:p>
    <w:p>
      <w:pPr>
        <w:pStyle w:val="Body"/>
        <w:jc w:val="both"/>
        <w:rPr>
          <w:rFonts w:ascii="Times New Roman" w:cs="Times New Roman" w:hAnsi="Times New Roman" w:eastAsia="Times New Roman"/>
          <w:sz w:val="24"/>
          <w:szCs w:val="24"/>
          <w:lang w:val="en-US"/>
        </w:rPr>
      </w:pPr>
    </w:p>
    <w:p>
      <w:pPr>
        <w:pStyle w:val="List Paragraph"/>
        <w:numPr>
          <w:ilvl w:val="0"/>
          <w:numId w:val="12"/>
        </w:numPr>
        <w:bidi w:val="0"/>
        <w:ind w:right="0"/>
        <w:jc w:val="both"/>
        <w:rPr>
          <w:rFonts w:ascii="Times New Roman" w:cs="Times New Roman" w:hAnsi="Times New Roman" w:eastAsia="Times New Roman"/>
          <w:b w:val="1"/>
          <w:bCs w:val="1"/>
          <w:sz w:val="24"/>
          <w:szCs w:val="24"/>
          <w:rtl w:val="0"/>
          <w:lang w:val="en-US"/>
        </w:rPr>
      </w:pPr>
      <w:r>
        <w:rPr>
          <w:rFonts w:ascii="Times New Roman" w:hAnsi="Times New Roman"/>
          <w:b w:val="1"/>
          <w:bCs w:val="1"/>
          <w:sz w:val="24"/>
          <w:szCs w:val="24"/>
          <w:rtl w:val="0"/>
          <w:lang w:val="en-US"/>
        </w:rPr>
        <w:t>Additional response in relation to access to justice:</w:t>
      </w:r>
    </w:p>
    <w:p>
      <w:pPr>
        <w:pStyle w:val="Body"/>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The Project for the Performance of the Service on-Site was initiated on 14.10.2014 in order that all citizens, complainants, victims and witnesses, including PwDs, can fulfill all official procedures and services at their own place without visiting the police stations. In order to implement the Project for the Performance of the Service On-site, 1.775 Mobile Statement Kits (Tablet, Printer and Bag) were purchased and distributed to the police stations. 3.051 personnel were trained between 2015-2018 in relation with the Project. The trainings are still conducted. Within the scope of the Project, 582.021 citizens, 391.260 male and 190.761 female, benefited from this service between 14.10.2014 and 01.11.2018. Among them, 6.315 were PwDs, consisting 3492 male and 2.823 female. Additionally, Circular No: 2011/2 on Security Services for PwDs of 03/10/2011 issued by General Directorate of Security is taken into consideration in implementation.  </w:t>
      </w:r>
    </w:p>
    <w:p>
      <w:pPr>
        <w:pStyle w:val="Body"/>
        <w:jc w:val="both"/>
      </w:pPr>
      <w:r>
        <w:rPr>
          <w:rFonts w:ascii="Times New Roman" w:hAnsi="Times New Roman"/>
          <w:sz w:val="24"/>
          <w:szCs w:val="24"/>
          <w:rtl w:val="0"/>
          <w:lang w:val="en-US"/>
        </w:rPr>
        <w:t xml:space="preserve">In the last eight years, 2.914 personnel in the Security Services Class were trained on disabilities including the sign language teaching to 898 personnel through 15 courses, 6 trainings and 1 seminar including the in-service trainings.  </w:t>
      </w:r>
      <w:r>
        <w:rPr>
          <w:rFonts w:ascii="Times New Roman" w:cs="Times New Roman" w:hAnsi="Times New Roman" w:eastAsia="Times New Roman"/>
          <w:sz w:val="24"/>
          <w:szCs w:val="24"/>
        </w:rPr>
      </w:r>
    </w:p>
    <w:sectPr>
      <w:headerReference w:type="default" r:id="rId4"/>
      <w:footerReference w:type="default" r:id="rId5"/>
      <w:pgSz w:w="11900" w:h="16840" w:orient="portrait"/>
      <w:pgMar w:top="1417" w:right="1417" w:bottom="1417" w:left="1417"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bullet"/>
      <w:suff w:val="tab"/>
      <w:lvlText w:val="•"/>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Imported Style 4"/>
  </w:abstractNum>
  <w:abstractNum w:abstractNumId="7">
    <w:multiLevelType w:val="hybridMultilevel"/>
    <w:styleLink w:val="Imported Style 4"/>
    <w:lvl w:ilvl="0">
      <w:start w:val="1"/>
      <w:numFmt w:val="bullet"/>
      <w:suff w:val="tab"/>
      <w:lvlText w:val="•"/>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Imported Style 5"/>
  </w:abstractNum>
  <w:abstractNum w:abstractNumId="9">
    <w:multiLevelType w:val="hybridMultilevel"/>
    <w:styleLink w:val="Imported Style 5"/>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numStyleLink w:val="Imported Style 6"/>
  </w:abstractNum>
  <w:abstractNum w:abstractNumId="11">
    <w:multiLevelType w:val="hybridMultilevel"/>
    <w:styleLink w:val="Imported Style 6"/>
    <w:lvl w:ilvl="0">
      <w:start w:val="1"/>
      <w:numFmt w:val="bullet"/>
      <w:suff w:val="tab"/>
      <w:lvlText w:val="•"/>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numStyleLink w:val="Bullets"/>
  </w:abstractNum>
  <w:abstractNum w:abstractNumId="13">
    <w:multiLevelType w:val="hybridMultilevel"/>
    <w:styleLink w:val="Bullets"/>
    <w:lvl w:ilvl="0">
      <w:start w:val="1"/>
      <w:numFmt w:val="bullet"/>
      <w:suff w:val="tab"/>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7"/>
  </w:num>
  <w:num w:numId="8">
    <w:abstractNumId w:val="6"/>
  </w:num>
  <w:num w:numId="9">
    <w:abstractNumId w:val="9"/>
  </w:num>
  <w:num w:numId="10">
    <w:abstractNumId w:val="8"/>
  </w:num>
  <w:num w:numId="11">
    <w:abstractNumId w:val="11"/>
  </w:num>
  <w:num w:numId="12">
    <w:abstractNumId w:val="10"/>
  </w:num>
  <w:num w:numId="13">
    <w:abstractNumId w:val="13"/>
  </w:num>
  <w:num w:numId="14">
    <w:abstractNumId w:val="1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08"/>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200" w:line="276"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Imported Style 1">
    <w:name w:val="Imported Style 1"/>
    <w:pPr>
      <w:numPr>
        <w:numId w:val="1"/>
      </w:numPr>
    </w:pPr>
  </w:style>
  <w:style w:type="numbering" w:styleId="Imported Style 2">
    <w:name w:val="Imported Style 2"/>
    <w:pPr>
      <w:numPr>
        <w:numId w:val="3"/>
      </w:numPr>
    </w:pPr>
  </w:style>
  <w:style w:type="numbering" w:styleId="Imported Style 3">
    <w:name w:val="Imported Style 3"/>
    <w:pPr>
      <w:numPr>
        <w:numId w:val="5"/>
      </w:numPr>
    </w:pPr>
  </w:style>
  <w:style w:type="numbering" w:styleId="Imported Style 4">
    <w:name w:val="Imported Style 4"/>
    <w:pPr>
      <w:numPr>
        <w:numId w:val="7"/>
      </w:numPr>
    </w:pPr>
  </w:style>
  <w:style w:type="numbering" w:styleId="Imported Style 5">
    <w:name w:val="Imported Style 5"/>
    <w:pPr>
      <w:numPr>
        <w:numId w:val="9"/>
      </w:numPr>
    </w:pPr>
  </w:style>
  <w:style w:type="paragraph" w:styleId="Plain Text">
    <w:name w:val="Plain Text"/>
    <w:next w:val="Plain Tex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Imported Style 6">
    <w:name w:val="Imported Style 6"/>
    <w:pPr>
      <w:numPr>
        <w:numId w:val="11"/>
      </w:numPr>
    </w:pPr>
  </w:style>
  <w:style w:type="numbering" w:styleId="Bullets">
    <w:name w:val="Bullets"/>
    <w:pPr>
      <w:numPr>
        <w:numId w:val="13"/>
      </w:numPr>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fontTable" Target="fontTable.xml"/><Relationship Id="rId1" Type="http://schemas.openxmlformats.org/officeDocument/2006/relationships/settings" Target="settings.xml"/><Relationship Id="rId6" Type="http://schemas.openxmlformats.org/officeDocument/2006/relationships/numbering" Target="numbering.xml"/><Relationship Id="rId5" Type="http://schemas.openxmlformats.org/officeDocument/2006/relationships/footer" Target="footer1.xml"/><Relationship Id="rId10" Type="http://schemas.openxmlformats.org/officeDocument/2006/relationships/customXml" Target="../customXml/item3.xml"/><Relationship Id="rId4" Type="http://schemas.openxmlformats.org/officeDocument/2006/relationships/header" Target="header1.xml"/><Relationship Id="rId9" Type="http://schemas.openxmlformats.org/officeDocument/2006/relationships/customXml" Target="../customXml/item2.xml"/></Relationships>
</file>

<file path=word/theme/theme1.xml><?xml version="1.0" encoding="utf-8"?>
<a:theme xmlns:a="http://schemas.openxmlformats.org/drawingml/2006/main" xmlns:r="http://schemas.openxmlformats.org/officeDocument/2006/relationships" name="Office Teması">
  <a:themeElements>
    <a:clrScheme name="Office Teması">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eması">
      <a:majorFont>
        <a:latin typeface="Helvetica"/>
        <a:ea typeface="Helvetica"/>
        <a:cs typeface="Helvetica"/>
      </a:majorFont>
      <a:minorFont>
        <a:latin typeface="Helvetica"/>
        <a:ea typeface="Helvetica"/>
        <a:cs typeface="Helvetica"/>
      </a:minorFont>
    </a:fontScheme>
    <a:fmtScheme name="Office Teması">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49CB7B-498C-4EC8-A26B-10E62559501A}"/>
</file>

<file path=customXml/itemProps2.xml><?xml version="1.0" encoding="utf-8"?>
<ds:datastoreItem xmlns:ds="http://schemas.openxmlformats.org/officeDocument/2006/customXml" ds:itemID="{1210B120-9FFA-4EF0-B17B-2A83980F6F8F}"/>
</file>

<file path=customXml/itemProps3.xml><?xml version="1.0" encoding="utf-8"?>
<ds:datastoreItem xmlns:ds="http://schemas.openxmlformats.org/officeDocument/2006/customXml" ds:itemID="{5F9F782B-8CBE-4B2F-942F-5A6D01751912}"/>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