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EA7" w:rsidRPr="000376B3" w:rsidRDefault="004C1EA7" w:rsidP="004C1EA7">
      <w:pPr>
        <w:jc w:val="both"/>
        <w:rPr>
          <w:rFonts w:ascii="Arial" w:hAnsi="Arial" w:cs="Arial"/>
          <w:b/>
          <w:bCs/>
          <w:color w:val="000000"/>
          <w:sz w:val="22"/>
          <w:szCs w:val="22"/>
        </w:rPr>
      </w:pPr>
      <w:bookmarkStart w:id="0" w:name="_GoBack"/>
      <w:bookmarkEnd w:id="0"/>
      <w:r w:rsidRPr="000376B3">
        <w:rPr>
          <w:rFonts w:ascii="Arial" w:hAnsi="Arial" w:cs="Arial"/>
          <w:b/>
          <w:bCs/>
          <w:color w:val="000000"/>
          <w:sz w:val="22"/>
          <w:szCs w:val="22"/>
        </w:rPr>
        <w:t>Equality and Human Rights Commission submission to the UN Committee against Torture 57</w:t>
      </w:r>
      <w:r w:rsidR="00BB0F45">
        <w:rPr>
          <w:rFonts w:ascii="Arial" w:hAnsi="Arial" w:cs="Arial"/>
          <w:b/>
          <w:bCs/>
          <w:color w:val="000000"/>
          <w:sz w:val="22"/>
          <w:szCs w:val="22"/>
        </w:rPr>
        <w:t>th</w:t>
      </w:r>
      <w:r w:rsidRPr="000376B3">
        <w:rPr>
          <w:rFonts w:ascii="Arial" w:hAnsi="Arial" w:cs="Arial"/>
          <w:b/>
          <w:bCs/>
          <w:color w:val="000000"/>
          <w:sz w:val="22"/>
          <w:szCs w:val="22"/>
        </w:rPr>
        <w:t xml:space="preserve"> Session on the Sixth Periodic Report of the United Kingdom of Great Britain and Northern Ireland on compliance with the UN Convention against Torture and Other Cruel, Inhuman or Degrading Treatment or Punishment</w:t>
      </w:r>
    </w:p>
    <w:p w:rsidR="004C1EA7" w:rsidRDefault="004C1EA7" w:rsidP="004C1EA7">
      <w:pPr>
        <w:jc w:val="both"/>
        <w:rPr>
          <w:rFonts w:ascii="Arial" w:hAnsi="Arial" w:cs="Arial"/>
          <w:b/>
          <w:bCs/>
          <w:color w:val="000000"/>
          <w:sz w:val="22"/>
          <w:szCs w:val="22"/>
        </w:rPr>
      </w:pPr>
    </w:p>
    <w:p w:rsidR="001E7E37" w:rsidRDefault="001E7E37" w:rsidP="004C1EA7">
      <w:pPr>
        <w:jc w:val="both"/>
        <w:rPr>
          <w:rFonts w:ascii="Arial" w:hAnsi="Arial" w:cs="Arial"/>
          <w:b/>
          <w:bCs/>
          <w:color w:val="000000"/>
          <w:sz w:val="22"/>
          <w:szCs w:val="22"/>
        </w:rPr>
      </w:pPr>
      <w:r>
        <w:rPr>
          <w:rFonts w:ascii="Arial" w:hAnsi="Arial" w:cs="Arial"/>
          <w:b/>
          <w:bCs/>
          <w:color w:val="000000"/>
          <w:sz w:val="22"/>
          <w:szCs w:val="22"/>
        </w:rPr>
        <w:t>Introduction</w:t>
      </w:r>
    </w:p>
    <w:p w:rsidR="007C33F6" w:rsidRDefault="007C33F6" w:rsidP="008153BF">
      <w:pPr>
        <w:jc w:val="both"/>
        <w:rPr>
          <w:rFonts w:ascii="Arial" w:hAnsi="Arial" w:cs="Arial"/>
          <w:b/>
          <w:bCs/>
          <w:color w:val="000000"/>
          <w:sz w:val="22"/>
          <w:szCs w:val="22"/>
        </w:rPr>
      </w:pPr>
    </w:p>
    <w:p w:rsidR="008931C1" w:rsidRPr="008153BF" w:rsidRDefault="007C33F6" w:rsidP="008153BF">
      <w:pPr>
        <w:pStyle w:val="ListParagraph"/>
        <w:numPr>
          <w:ilvl w:val="0"/>
          <w:numId w:val="25"/>
        </w:numPr>
        <w:jc w:val="both"/>
        <w:rPr>
          <w:rFonts w:ascii="Arial" w:hAnsi="Arial" w:cs="Arial"/>
          <w:sz w:val="22"/>
          <w:szCs w:val="22"/>
        </w:rPr>
      </w:pPr>
      <w:r w:rsidRPr="008153BF">
        <w:rPr>
          <w:rFonts w:ascii="Arial" w:hAnsi="Arial" w:cs="Arial"/>
          <w:sz w:val="22"/>
          <w:szCs w:val="22"/>
        </w:rPr>
        <w:t xml:space="preserve">The Equality and Human Rights Commission (EHRC) is one of the United Kingdom’s (UK’s) three ‘A status’ accredited National Human Rights Institutions (NHRIs). The EHRC’s jurisdiction covers England and Wales and </w:t>
      </w:r>
      <w:r w:rsidR="003712D4">
        <w:rPr>
          <w:rFonts w:ascii="Arial" w:hAnsi="Arial" w:cs="Arial"/>
          <w:sz w:val="22"/>
          <w:szCs w:val="22"/>
        </w:rPr>
        <w:t>also Scotland in relation to</w:t>
      </w:r>
      <w:r w:rsidRPr="008153BF">
        <w:rPr>
          <w:rFonts w:ascii="Arial" w:hAnsi="Arial" w:cs="Arial"/>
          <w:sz w:val="22"/>
          <w:szCs w:val="22"/>
        </w:rPr>
        <w:t xml:space="preserve"> matters that are reserved to the UK Parliament. The EHRC's remit does not extend to Northern Ireland, which is therefore outside the scope of this report. The Northern Ireland Human Rights Commission (NIHRC) has made a separate submission. </w:t>
      </w:r>
    </w:p>
    <w:p w:rsidR="008931C1" w:rsidRDefault="008931C1" w:rsidP="008153BF">
      <w:pPr>
        <w:jc w:val="both"/>
        <w:rPr>
          <w:rFonts w:ascii="Arial" w:hAnsi="Arial" w:cs="Arial"/>
          <w:sz w:val="22"/>
          <w:szCs w:val="22"/>
        </w:rPr>
      </w:pPr>
    </w:p>
    <w:p w:rsidR="00BB0F45" w:rsidRDefault="008931C1" w:rsidP="008153BF">
      <w:pPr>
        <w:pStyle w:val="ListParagraph"/>
        <w:numPr>
          <w:ilvl w:val="0"/>
          <w:numId w:val="25"/>
        </w:numPr>
        <w:jc w:val="both"/>
        <w:rPr>
          <w:rFonts w:ascii="Arial" w:hAnsi="Arial" w:cs="Arial"/>
          <w:sz w:val="22"/>
          <w:szCs w:val="22"/>
        </w:rPr>
      </w:pPr>
      <w:r w:rsidRPr="008153BF">
        <w:rPr>
          <w:rFonts w:ascii="Arial" w:hAnsi="Arial" w:cs="Arial"/>
          <w:sz w:val="22"/>
          <w:szCs w:val="22"/>
        </w:rPr>
        <w:t>This initial submission addresses six key issues</w:t>
      </w:r>
      <w:r w:rsidR="00BB0F45" w:rsidRPr="008153BF">
        <w:rPr>
          <w:rFonts w:ascii="Arial" w:hAnsi="Arial" w:cs="Arial"/>
          <w:sz w:val="22"/>
          <w:szCs w:val="22"/>
        </w:rPr>
        <w:t xml:space="preserve"> which we recommend as priorities for </w:t>
      </w:r>
      <w:r w:rsidR="00C34AB5">
        <w:rPr>
          <w:rFonts w:ascii="Arial" w:hAnsi="Arial" w:cs="Arial"/>
          <w:sz w:val="22"/>
          <w:szCs w:val="22"/>
        </w:rPr>
        <w:t>inclusion in the list of issues</w:t>
      </w:r>
      <w:r w:rsidR="00C34AB5" w:rsidRPr="008153BF">
        <w:rPr>
          <w:rFonts w:ascii="Arial" w:hAnsi="Arial" w:cs="Arial"/>
          <w:sz w:val="22"/>
          <w:szCs w:val="22"/>
        </w:rPr>
        <w:t xml:space="preserve"> </w:t>
      </w:r>
      <w:r w:rsidR="00C34AB5">
        <w:rPr>
          <w:rFonts w:ascii="Arial" w:hAnsi="Arial" w:cs="Arial"/>
          <w:sz w:val="22"/>
          <w:szCs w:val="22"/>
        </w:rPr>
        <w:t>for</w:t>
      </w:r>
      <w:r w:rsidR="00C34AB5" w:rsidRPr="008153BF">
        <w:rPr>
          <w:rFonts w:ascii="Arial" w:hAnsi="Arial" w:cs="Arial"/>
          <w:sz w:val="22"/>
          <w:szCs w:val="22"/>
        </w:rPr>
        <w:t xml:space="preserve"> </w:t>
      </w:r>
      <w:r w:rsidR="00BB0F45" w:rsidRPr="008153BF">
        <w:rPr>
          <w:rFonts w:ascii="Arial" w:hAnsi="Arial" w:cs="Arial"/>
          <w:sz w:val="22"/>
          <w:szCs w:val="22"/>
        </w:rPr>
        <w:t>the UK</w:t>
      </w:r>
      <w:r w:rsidRPr="008153BF">
        <w:rPr>
          <w:rFonts w:ascii="Arial" w:hAnsi="Arial" w:cs="Arial"/>
          <w:sz w:val="22"/>
          <w:szCs w:val="22"/>
        </w:rPr>
        <w:t xml:space="preserve">: </w:t>
      </w:r>
    </w:p>
    <w:p w:rsidR="00197596" w:rsidRPr="00197596" w:rsidRDefault="00197596" w:rsidP="00197596">
      <w:pPr>
        <w:jc w:val="both"/>
        <w:rPr>
          <w:rFonts w:ascii="Arial" w:hAnsi="Arial" w:cs="Arial"/>
          <w:sz w:val="22"/>
          <w:szCs w:val="22"/>
        </w:rPr>
      </w:pPr>
    </w:p>
    <w:p w:rsidR="00197596" w:rsidRPr="00197596" w:rsidRDefault="00197596" w:rsidP="00C34AB5">
      <w:pPr>
        <w:pStyle w:val="ListParagraph"/>
        <w:numPr>
          <w:ilvl w:val="0"/>
          <w:numId w:val="24"/>
        </w:numPr>
        <w:jc w:val="both"/>
        <w:rPr>
          <w:rFonts w:ascii="Arial" w:eastAsia="Calibri" w:hAnsi="Arial" w:cs="Arial"/>
          <w:color w:val="000000"/>
          <w:sz w:val="22"/>
          <w:szCs w:val="22"/>
        </w:rPr>
      </w:pPr>
      <w:r w:rsidRPr="00197596">
        <w:rPr>
          <w:rFonts w:ascii="Arial" w:eastAsia="Calibri" w:hAnsi="Arial" w:cs="Arial"/>
          <w:color w:val="000000"/>
          <w:sz w:val="22"/>
          <w:szCs w:val="22"/>
        </w:rPr>
        <w:t xml:space="preserve">incorporation of the Convention Against Torture </w:t>
      </w:r>
      <w:r w:rsidR="00C34AB5" w:rsidRPr="00C34AB5">
        <w:rPr>
          <w:rFonts w:ascii="Arial" w:eastAsia="Calibri" w:hAnsi="Arial" w:cs="Arial"/>
          <w:color w:val="000000"/>
          <w:sz w:val="22"/>
          <w:szCs w:val="22"/>
        </w:rPr>
        <w:t xml:space="preserve">and Other Cruel, Inhuman or Degrading Treatment or Punishment </w:t>
      </w:r>
      <w:r w:rsidRPr="00197596">
        <w:rPr>
          <w:rFonts w:ascii="Arial" w:eastAsia="Calibri" w:hAnsi="Arial" w:cs="Arial"/>
          <w:color w:val="000000"/>
          <w:sz w:val="22"/>
          <w:szCs w:val="22"/>
        </w:rPr>
        <w:t xml:space="preserve">into Domestic Law: the proposed British Bill of Rights (Article 2); </w:t>
      </w:r>
    </w:p>
    <w:p w:rsidR="00BB0F45" w:rsidRPr="00F707BD" w:rsidRDefault="008931C1" w:rsidP="00F707BD">
      <w:pPr>
        <w:pStyle w:val="ListParagraph"/>
        <w:numPr>
          <w:ilvl w:val="0"/>
          <w:numId w:val="24"/>
        </w:numPr>
        <w:jc w:val="both"/>
        <w:rPr>
          <w:rFonts w:ascii="Arial" w:eastAsia="Calibri" w:hAnsi="Arial" w:cs="Arial"/>
          <w:color w:val="000000"/>
          <w:sz w:val="22"/>
          <w:szCs w:val="22"/>
        </w:rPr>
      </w:pPr>
      <w:r w:rsidRPr="00F707BD">
        <w:rPr>
          <w:rFonts w:ascii="Arial" w:hAnsi="Arial" w:cs="Arial"/>
          <w:sz w:val="22"/>
          <w:szCs w:val="22"/>
        </w:rPr>
        <w:t xml:space="preserve">British Forces abroad (Article 2); </w:t>
      </w:r>
    </w:p>
    <w:p w:rsidR="00BB0F45" w:rsidRPr="00F707BD" w:rsidRDefault="00BB0F45" w:rsidP="00F707BD">
      <w:pPr>
        <w:pStyle w:val="ListParagraph"/>
        <w:numPr>
          <w:ilvl w:val="0"/>
          <w:numId w:val="24"/>
        </w:numPr>
        <w:jc w:val="both"/>
        <w:rPr>
          <w:rFonts w:ascii="Arial" w:eastAsia="Calibri" w:hAnsi="Arial" w:cs="Arial"/>
          <w:color w:val="000000"/>
          <w:sz w:val="22"/>
          <w:szCs w:val="22"/>
        </w:rPr>
      </w:pPr>
      <w:r>
        <w:rPr>
          <w:rFonts w:ascii="Arial" w:hAnsi="Arial" w:cs="Arial"/>
          <w:sz w:val="22"/>
          <w:szCs w:val="22"/>
        </w:rPr>
        <w:t>d</w:t>
      </w:r>
      <w:r w:rsidR="0055329C" w:rsidRPr="00F707BD">
        <w:rPr>
          <w:rFonts w:ascii="Arial" w:hAnsi="Arial" w:cs="Arial"/>
          <w:sz w:val="22"/>
          <w:szCs w:val="22"/>
        </w:rPr>
        <w:t xml:space="preserve">etention and </w:t>
      </w:r>
      <w:r w:rsidR="00316839">
        <w:rPr>
          <w:rFonts w:ascii="Arial" w:hAnsi="Arial" w:cs="Arial"/>
          <w:sz w:val="22"/>
          <w:szCs w:val="22"/>
        </w:rPr>
        <w:t>a</w:t>
      </w:r>
      <w:r w:rsidR="00316839" w:rsidRPr="00F707BD">
        <w:rPr>
          <w:rFonts w:ascii="Arial" w:hAnsi="Arial" w:cs="Arial"/>
          <w:sz w:val="22"/>
          <w:szCs w:val="22"/>
        </w:rPr>
        <w:t xml:space="preserve">sylum </w:t>
      </w:r>
      <w:r w:rsidR="0055329C" w:rsidRPr="00F707BD">
        <w:rPr>
          <w:rFonts w:ascii="Arial" w:hAnsi="Arial" w:cs="Arial"/>
          <w:sz w:val="22"/>
          <w:szCs w:val="22"/>
        </w:rPr>
        <w:t xml:space="preserve">(Articles 11 and 16); </w:t>
      </w:r>
    </w:p>
    <w:p w:rsidR="00BB0F45" w:rsidRPr="00F707BD" w:rsidRDefault="00BB0F45" w:rsidP="00F707BD">
      <w:pPr>
        <w:pStyle w:val="ListParagraph"/>
        <w:numPr>
          <w:ilvl w:val="0"/>
          <w:numId w:val="24"/>
        </w:numPr>
        <w:jc w:val="both"/>
        <w:rPr>
          <w:rFonts w:ascii="Arial" w:eastAsia="Calibri" w:hAnsi="Arial" w:cs="Arial"/>
          <w:color w:val="000000"/>
          <w:sz w:val="22"/>
          <w:szCs w:val="22"/>
        </w:rPr>
      </w:pPr>
      <w:r>
        <w:rPr>
          <w:rFonts w:ascii="Arial" w:hAnsi="Arial" w:cs="Arial"/>
          <w:sz w:val="22"/>
          <w:szCs w:val="22"/>
        </w:rPr>
        <w:t>h</w:t>
      </w:r>
      <w:r w:rsidR="0055329C" w:rsidRPr="00F707BD">
        <w:rPr>
          <w:rFonts w:ascii="Arial" w:hAnsi="Arial" w:cs="Arial"/>
          <w:sz w:val="22"/>
          <w:szCs w:val="22"/>
        </w:rPr>
        <w:t xml:space="preserve">ighest attainable standard of health (Articles 11 and 16); </w:t>
      </w:r>
    </w:p>
    <w:p w:rsidR="00BB0F45" w:rsidRPr="00F707BD" w:rsidRDefault="00BB0F45" w:rsidP="00F707BD">
      <w:pPr>
        <w:pStyle w:val="ListParagraph"/>
        <w:numPr>
          <w:ilvl w:val="0"/>
          <w:numId w:val="24"/>
        </w:numPr>
        <w:jc w:val="both"/>
        <w:rPr>
          <w:rFonts w:ascii="Arial" w:eastAsia="Calibri" w:hAnsi="Arial" w:cs="Arial"/>
          <w:color w:val="000000"/>
          <w:sz w:val="22"/>
          <w:szCs w:val="22"/>
        </w:rPr>
      </w:pPr>
      <w:r>
        <w:rPr>
          <w:rFonts w:ascii="Arial" w:hAnsi="Arial" w:cs="Arial"/>
          <w:sz w:val="22"/>
          <w:szCs w:val="22"/>
        </w:rPr>
        <w:t>h</w:t>
      </w:r>
      <w:r w:rsidR="0055329C" w:rsidRPr="00F707BD">
        <w:rPr>
          <w:rFonts w:ascii="Arial" w:hAnsi="Arial" w:cs="Arial"/>
          <w:sz w:val="22"/>
          <w:szCs w:val="22"/>
        </w:rPr>
        <w:t>uman trafficking and modern slavery</w:t>
      </w:r>
      <w:r w:rsidR="00DC4C61" w:rsidRPr="00F707BD">
        <w:rPr>
          <w:rFonts w:ascii="Arial" w:hAnsi="Arial" w:cs="Arial"/>
          <w:sz w:val="22"/>
          <w:szCs w:val="22"/>
        </w:rPr>
        <w:t xml:space="preserve"> </w:t>
      </w:r>
      <w:r w:rsidR="00C65160" w:rsidRPr="00F707BD">
        <w:rPr>
          <w:rFonts w:ascii="Arial" w:hAnsi="Arial" w:cs="Arial"/>
          <w:sz w:val="22"/>
          <w:szCs w:val="22"/>
        </w:rPr>
        <w:t>(A</w:t>
      </w:r>
      <w:r w:rsidR="00DC4C61" w:rsidRPr="00F707BD">
        <w:rPr>
          <w:rFonts w:ascii="Arial" w:hAnsi="Arial" w:cs="Arial"/>
          <w:sz w:val="22"/>
          <w:szCs w:val="22"/>
        </w:rPr>
        <w:t>rt</w:t>
      </w:r>
      <w:r w:rsidR="00C65160" w:rsidRPr="00F707BD">
        <w:rPr>
          <w:rFonts w:ascii="Arial" w:hAnsi="Arial" w:cs="Arial"/>
          <w:sz w:val="22"/>
          <w:szCs w:val="22"/>
        </w:rPr>
        <w:t>icles</w:t>
      </w:r>
      <w:r w:rsidR="00EE37CA" w:rsidRPr="00F707BD">
        <w:rPr>
          <w:rFonts w:ascii="Arial" w:hAnsi="Arial" w:cs="Arial"/>
          <w:sz w:val="22"/>
          <w:szCs w:val="22"/>
        </w:rPr>
        <w:t xml:space="preserve"> 2, 12, 13</w:t>
      </w:r>
      <w:r w:rsidR="00DC4C61" w:rsidRPr="00F707BD">
        <w:rPr>
          <w:rFonts w:ascii="Arial" w:hAnsi="Arial" w:cs="Arial"/>
          <w:sz w:val="22"/>
          <w:szCs w:val="22"/>
        </w:rPr>
        <w:t xml:space="preserve"> and 16)</w:t>
      </w:r>
      <w:r w:rsidR="0055329C" w:rsidRPr="00F707BD">
        <w:rPr>
          <w:rFonts w:ascii="Arial" w:hAnsi="Arial" w:cs="Arial"/>
          <w:sz w:val="22"/>
          <w:szCs w:val="22"/>
        </w:rPr>
        <w:t xml:space="preserve">; and </w:t>
      </w:r>
    </w:p>
    <w:p w:rsidR="00BB0F45" w:rsidRPr="00F707BD" w:rsidRDefault="00316839" w:rsidP="00F707BD">
      <w:pPr>
        <w:pStyle w:val="ListParagraph"/>
        <w:numPr>
          <w:ilvl w:val="0"/>
          <w:numId w:val="24"/>
        </w:numPr>
        <w:jc w:val="both"/>
        <w:rPr>
          <w:rFonts w:ascii="Arial" w:eastAsia="Calibri" w:hAnsi="Arial" w:cs="Arial"/>
          <w:color w:val="000000"/>
          <w:sz w:val="22"/>
          <w:szCs w:val="22"/>
        </w:rPr>
      </w:pPr>
      <w:r>
        <w:rPr>
          <w:rFonts w:ascii="Arial" w:hAnsi="Arial" w:cs="Arial"/>
          <w:sz w:val="22"/>
          <w:szCs w:val="22"/>
        </w:rPr>
        <w:t>v</w:t>
      </w:r>
      <w:r w:rsidRPr="00F707BD">
        <w:rPr>
          <w:rFonts w:ascii="Arial" w:hAnsi="Arial" w:cs="Arial"/>
          <w:sz w:val="22"/>
          <w:szCs w:val="22"/>
        </w:rPr>
        <w:t xml:space="preserve">iolence </w:t>
      </w:r>
      <w:r w:rsidR="0055329C" w:rsidRPr="00F707BD">
        <w:rPr>
          <w:rFonts w:ascii="Arial" w:hAnsi="Arial" w:cs="Arial"/>
          <w:sz w:val="22"/>
          <w:szCs w:val="22"/>
        </w:rPr>
        <w:t xml:space="preserve">against </w:t>
      </w:r>
      <w:r>
        <w:rPr>
          <w:rFonts w:ascii="Arial" w:hAnsi="Arial" w:cs="Arial"/>
          <w:sz w:val="22"/>
          <w:szCs w:val="22"/>
        </w:rPr>
        <w:t>w</w:t>
      </w:r>
      <w:r w:rsidRPr="00F707BD">
        <w:rPr>
          <w:rFonts w:ascii="Arial" w:hAnsi="Arial" w:cs="Arial"/>
          <w:sz w:val="22"/>
          <w:szCs w:val="22"/>
        </w:rPr>
        <w:t xml:space="preserve">omen </w:t>
      </w:r>
      <w:r w:rsidR="0055329C" w:rsidRPr="00F707BD">
        <w:rPr>
          <w:rFonts w:ascii="Arial" w:hAnsi="Arial" w:cs="Arial"/>
          <w:sz w:val="22"/>
          <w:szCs w:val="22"/>
        </w:rPr>
        <w:t xml:space="preserve">and </w:t>
      </w:r>
      <w:r>
        <w:rPr>
          <w:rFonts w:ascii="Arial" w:hAnsi="Arial" w:cs="Arial"/>
          <w:sz w:val="22"/>
          <w:szCs w:val="22"/>
        </w:rPr>
        <w:t>g</w:t>
      </w:r>
      <w:r w:rsidRPr="00F707BD">
        <w:rPr>
          <w:rFonts w:ascii="Arial" w:hAnsi="Arial" w:cs="Arial"/>
          <w:sz w:val="22"/>
          <w:szCs w:val="22"/>
        </w:rPr>
        <w:t>irls</w:t>
      </w:r>
      <w:r w:rsidRPr="00DC4C61">
        <w:t xml:space="preserve"> </w:t>
      </w:r>
      <w:r w:rsidR="00DC4C61" w:rsidRPr="00F707BD">
        <w:rPr>
          <w:rFonts w:ascii="Arial" w:hAnsi="Arial" w:cs="Arial"/>
          <w:sz w:val="22"/>
          <w:szCs w:val="22"/>
        </w:rPr>
        <w:t>(</w:t>
      </w:r>
      <w:r w:rsidR="00C65160" w:rsidRPr="00F707BD">
        <w:rPr>
          <w:rFonts w:ascii="Arial" w:hAnsi="Arial" w:cs="Arial"/>
          <w:sz w:val="22"/>
          <w:szCs w:val="22"/>
        </w:rPr>
        <w:t xml:space="preserve">Articles </w:t>
      </w:r>
      <w:r w:rsidR="00EE37CA" w:rsidRPr="00F707BD">
        <w:rPr>
          <w:rFonts w:ascii="Arial" w:hAnsi="Arial" w:cs="Arial"/>
          <w:sz w:val="22"/>
          <w:szCs w:val="22"/>
        </w:rPr>
        <w:t>2, 12, 13</w:t>
      </w:r>
      <w:r w:rsidR="00DC4C61" w:rsidRPr="00F707BD">
        <w:rPr>
          <w:rFonts w:ascii="Arial" w:hAnsi="Arial" w:cs="Arial"/>
          <w:sz w:val="22"/>
          <w:szCs w:val="22"/>
        </w:rPr>
        <w:t xml:space="preserve"> and 16)</w:t>
      </w:r>
      <w:r w:rsidR="0055329C" w:rsidRPr="00F707BD">
        <w:rPr>
          <w:rFonts w:ascii="Arial" w:hAnsi="Arial" w:cs="Arial"/>
          <w:sz w:val="22"/>
          <w:szCs w:val="22"/>
        </w:rPr>
        <w:t>.</w:t>
      </w:r>
      <w:r w:rsidR="00DC4C61" w:rsidRPr="00F707BD">
        <w:rPr>
          <w:rFonts w:ascii="Arial" w:hAnsi="Arial" w:cs="Arial"/>
          <w:sz w:val="22"/>
          <w:szCs w:val="22"/>
        </w:rPr>
        <w:t xml:space="preserve"> </w:t>
      </w:r>
    </w:p>
    <w:p w:rsidR="00BB0F45" w:rsidRDefault="00BB0F45" w:rsidP="00BB0F45">
      <w:pPr>
        <w:jc w:val="both"/>
        <w:rPr>
          <w:rFonts w:ascii="Arial" w:eastAsia="Calibri" w:hAnsi="Arial" w:cs="Arial"/>
          <w:color w:val="000000"/>
          <w:sz w:val="22"/>
          <w:szCs w:val="22"/>
        </w:rPr>
      </w:pPr>
    </w:p>
    <w:p w:rsidR="007C33F6" w:rsidRPr="008153BF" w:rsidRDefault="007C33F6" w:rsidP="008153BF">
      <w:pPr>
        <w:pStyle w:val="ListParagraph"/>
        <w:numPr>
          <w:ilvl w:val="0"/>
          <w:numId w:val="25"/>
        </w:numPr>
        <w:jc w:val="both"/>
        <w:rPr>
          <w:rFonts w:ascii="Arial" w:eastAsia="Calibri" w:hAnsi="Arial" w:cs="Arial"/>
          <w:color w:val="000000"/>
          <w:sz w:val="22"/>
          <w:szCs w:val="22"/>
        </w:rPr>
      </w:pPr>
      <w:r w:rsidRPr="008153BF">
        <w:rPr>
          <w:rFonts w:ascii="Arial" w:eastAsia="Calibri" w:hAnsi="Arial" w:cs="Arial"/>
          <w:color w:val="000000"/>
          <w:sz w:val="22"/>
          <w:szCs w:val="22"/>
        </w:rPr>
        <w:t xml:space="preserve">The EHRC will provide </w:t>
      </w:r>
      <w:r w:rsidR="00863463" w:rsidRPr="008153BF">
        <w:rPr>
          <w:rFonts w:ascii="Arial" w:eastAsia="Calibri" w:hAnsi="Arial" w:cs="Arial"/>
          <w:color w:val="000000"/>
          <w:sz w:val="22"/>
          <w:szCs w:val="22"/>
        </w:rPr>
        <w:t xml:space="preserve">the Committee with </w:t>
      </w:r>
      <w:r w:rsidRPr="008153BF">
        <w:rPr>
          <w:rFonts w:ascii="Arial" w:eastAsia="Calibri" w:hAnsi="Arial" w:cs="Arial"/>
          <w:color w:val="000000"/>
          <w:sz w:val="22"/>
          <w:szCs w:val="22"/>
        </w:rPr>
        <w:t xml:space="preserve">a more </w:t>
      </w:r>
      <w:r w:rsidR="00BB0F45" w:rsidRPr="008153BF">
        <w:rPr>
          <w:rFonts w:ascii="Arial" w:eastAsia="Calibri" w:hAnsi="Arial" w:cs="Arial"/>
          <w:color w:val="000000"/>
          <w:sz w:val="22"/>
          <w:szCs w:val="22"/>
        </w:rPr>
        <w:t xml:space="preserve">detailed </w:t>
      </w:r>
      <w:r w:rsidRPr="008153BF">
        <w:rPr>
          <w:rFonts w:ascii="Arial" w:eastAsia="Calibri" w:hAnsi="Arial" w:cs="Arial"/>
          <w:color w:val="000000"/>
          <w:sz w:val="22"/>
          <w:szCs w:val="22"/>
        </w:rPr>
        <w:t>submission in March 2016.</w:t>
      </w:r>
    </w:p>
    <w:p w:rsidR="00010605" w:rsidRPr="008931C1" w:rsidRDefault="00010605" w:rsidP="007C33F6">
      <w:pPr>
        <w:jc w:val="both"/>
        <w:rPr>
          <w:rFonts w:ascii="Arial" w:hAnsi="Arial" w:cs="Arial"/>
          <w:sz w:val="22"/>
          <w:szCs w:val="22"/>
        </w:rPr>
      </w:pPr>
    </w:p>
    <w:p w:rsidR="004C1EA7" w:rsidRPr="005A314B" w:rsidRDefault="008D6308" w:rsidP="00F54F3A">
      <w:pPr>
        <w:pStyle w:val="Heading2"/>
        <w:spacing w:before="0" w:after="0"/>
        <w:jc w:val="both"/>
        <w:rPr>
          <w:sz w:val="22"/>
          <w:szCs w:val="22"/>
        </w:rPr>
      </w:pPr>
      <w:r w:rsidRPr="005A314B">
        <w:rPr>
          <w:sz w:val="22"/>
          <w:szCs w:val="22"/>
        </w:rPr>
        <w:t xml:space="preserve">Incorporation of the Convention into Domestic Law: The </w:t>
      </w:r>
      <w:r w:rsidR="00526DF8" w:rsidRPr="005A314B">
        <w:rPr>
          <w:sz w:val="22"/>
          <w:szCs w:val="22"/>
        </w:rPr>
        <w:t>Proposed British Bill of Rights</w:t>
      </w:r>
      <w:r w:rsidR="00403D2D" w:rsidRPr="005A314B">
        <w:rPr>
          <w:sz w:val="22"/>
          <w:szCs w:val="22"/>
        </w:rPr>
        <w:t xml:space="preserve"> (Article</w:t>
      </w:r>
      <w:r w:rsidR="00316839">
        <w:rPr>
          <w:sz w:val="22"/>
          <w:szCs w:val="22"/>
        </w:rPr>
        <w:t>s 1 and</w:t>
      </w:r>
      <w:r w:rsidR="00403D2D" w:rsidRPr="005A314B">
        <w:rPr>
          <w:sz w:val="22"/>
          <w:szCs w:val="22"/>
        </w:rPr>
        <w:t xml:space="preserve"> 2)</w:t>
      </w:r>
    </w:p>
    <w:p w:rsidR="00887F0F" w:rsidRPr="000376B3" w:rsidRDefault="00887F0F" w:rsidP="00887F0F">
      <w:pPr>
        <w:pStyle w:val="CM7"/>
        <w:jc w:val="both"/>
        <w:rPr>
          <w:rFonts w:ascii="Arial" w:hAnsi="Arial" w:cs="Arial"/>
          <w:color w:val="000000"/>
          <w:sz w:val="22"/>
          <w:szCs w:val="22"/>
        </w:rPr>
      </w:pPr>
    </w:p>
    <w:p w:rsidR="008D6308" w:rsidRPr="008D6308" w:rsidRDefault="008D6308" w:rsidP="008153BF">
      <w:pPr>
        <w:pStyle w:val="CM7"/>
        <w:numPr>
          <w:ilvl w:val="0"/>
          <w:numId w:val="25"/>
        </w:numPr>
        <w:jc w:val="both"/>
        <w:rPr>
          <w:rFonts w:ascii="Arial" w:hAnsi="Arial" w:cs="Arial"/>
          <w:bCs/>
          <w:color w:val="000000"/>
          <w:sz w:val="22"/>
          <w:szCs w:val="22"/>
        </w:rPr>
      </w:pPr>
      <w:r>
        <w:rPr>
          <w:rFonts w:ascii="Arial" w:hAnsi="Arial" w:cs="Arial"/>
          <w:bCs/>
          <w:color w:val="000000"/>
          <w:sz w:val="22"/>
          <w:szCs w:val="22"/>
        </w:rPr>
        <w:t>In 2013, the</w:t>
      </w:r>
      <w:r w:rsidRPr="008D6308">
        <w:rPr>
          <w:rFonts w:ascii="Arial" w:hAnsi="Arial" w:cs="Arial"/>
          <w:bCs/>
          <w:color w:val="000000"/>
          <w:sz w:val="22"/>
          <w:szCs w:val="22"/>
        </w:rPr>
        <w:t xml:space="preserve"> </w:t>
      </w:r>
      <w:r w:rsidRPr="000376B3">
        <w:rPr>
          <w:rFonts w:ascii="Arial" w:hAnsi="Arial" w:cs="Arial"/>
          <w:color w:val="000000"/>
          <w:sz w:val="22"/>
          <w:szCs w:val="22"/>
        </w:rPr>
        <w:t xml:space="preserve">Committee </w:t>
      </w:r>
      <w:r>
        <w:rPr>
          <w:rFonts w:ascii="Arial" w:hAnsi="Arial" w:cs="Arial"/>
          <w:color w:val="000000"/>
          <w:sz w:val="22"/>
          <w:szCs w:val="22"/>
        </w:rPr>
        <w:t xml:space="preserve">against Torture (the Committee) </w:t>
      </w:r>
      <w:r>
        <w:rPr>
          <w:rFonts w:ascii="Arial" w:hAnsi="Arial" w:cs="Arial"/>
          <w:bCs/>
          <w:color w:val="000000"/>
          <w:sz w:val="22"/>
          <w:szCs w:val="22"/>
        </w:rPr>
        <w:t>noted</w:t>
      </w:r>
      <w:r w:rsidR="000A09DE">
        <w:rPr>
          <w:rFonts w:ascii="Arial" w:hAnsi="Arial" w:cs="Arial"/>
          <w:bCs/>
          <w:color w:val="000000"/>
          <w:sz w:val="22"/>
          <w:szCs w:val="22"/>
        </w:rPr>
        <w:t xml:space="preserve"> that </w:t>
      </w:r>
      <w:r w:rsidRPr="008D6308">
        <w:rPr>
          <w:rFonts w:ascii="Arial" w:hAnsi="Arial" w:cs="Arial"/>
          <w:bCs/>
          <w:color w:val="000000"/>
          <w:sz w:val="22"/>
          <w:szCs w:val="22"/>
        </w:rPr>
        <w:t>the Human Rights Act</w:t>
      </w:r>
      <w:r>
        <w:rPr>
          <w:rFonts w:ascii="Arial" w:hAnsi="Arial" w:cs="Arial"/>
          <w:bCs/>
          <w:color w:val="000000"/>
          <w:sz w:val="22"/>
          <w:szCs w:val="22"/>
        </w:rPr>
        <w:t xml:space="preserve"> 1998</w:t>
      </w:r>
      <w:r w:rsidRPr="008D6308">
        <w:rPr>
          <w:rFonts w:ascii="Arial" w:hAnsi="Arial" w:cs="Arial"/>
          <w:bCs/>
          <w:color w:val="000000"/>
          <w:sz w:val="22"/>
          <w:szCs w:val="22"/>
        </w:rPr>
        <w:t xml:space="preserve"> incorporates the European Convention of Human Rights</w:t>
      </w:r>
      <w:r>
        <w:rPr>
          <w:rFonts w:ascii="Arial" w:hAnsi="Arial" w:cs="Arial"/>
          <w:bCs/>
          <w:color w:val="000000"/>
          <w:sz w:val="22"/>
          <w:szCs w:val="22"/>
        </w:rPr>
        <w:t xml:space="preserve"> (ECHR)</w:t>
      </w:r>
      <w:r w:rsidRPr="008D6308">
        <w:rPr>
          <w:rFonts w:ascii="Arial" w:hAnsi="Arial" w:cs="Arial"/>
          <w:bCs/>
          <w:color w:val="000000"/>
          <w:sz w:val="22"/>
          <w:szCs w:val="22"/>
        </w:rPr>
        <w:t xml:space="preserve">, including the prohibition of </w:t>
      </w:r>
      <w:r w:rsidRPr="00016C3E">
        <w:rPr>
          <w:rFonts w:ascii="Arial" w:hAnsi="Arial" w:cs="Arial"/>
          <w:bCs/>
          <w:color w:val="000000"/>
          <w:sz w:val="22"/>
          <w:szCs w:val="22"/>
        </w:rPr>
        <w:t>torture</w:t>
      </w:r>
      <w:r w:rsidR="00B31027" w:rsidRPr="00016C3E">
        <w:rPr>
          <w:rFonts w:ascii="Arial" w:hAnsi="Arial" w:cs="Arial"/>
          <w:color w:val="1F497D"/>
          <w:sz w:val="22"/>
          <w:szCs w:val="22"/>
        </w:rPr>
        <w:t xml:space="preserve"> </w:t>
      </w:r>
      <w:r w:rsidR="00016C3E">
        <w:rPr>
          <w:rFonts w:ascii="Arial" w:hAnsi="Arial" w:cs="Arial"/>
          <w:color w:val="000000"/>
          <w:sz w:val="22"/>
          <w:szCs w:val="22"/>
        </w:rPr>
        <w:t>or</w:t>
      </w:r>
      <w:r w:rsidR="00016C3E" w:rsidRPr="00016C3E">
        <w:rPr>
          <w:rFonts w:ascii="Arial" w:hAnsi="Arial" w:cs="Arial"/>
          <w:color w:val="000000"/>
          <w:sz w:val="22"/>
          <w:szCs w:val="22"/>
        </w:rPr>
        <w:t xml:space="preserve"> inhuman or degrading treatment or punishment</w:t>
      </w:r>
      <w:r w:rsidRPr="00016C3E">
        <w:rPr>
          <w:rFonts w:ascii="Arial" w:hAnsi="Arial" w:cs="Arial"/>
          <w:bCs/>
          <w:sz w:val="22"/>
          <w:szCs w:val="22"/>
        </w:rPr>
        <w:t>,</w:t>
      </w:r>
      <w:r w:rsidRPr="00B31027">
        <w:rPr>
          <w:rFonts w:ascii="Arial" w:hAnsi="Arial" w:cs="Arial"/>
          <w:bCs/>
          <w:sz w:val="22"/>
          <w:szCs w:val="22"/>
        </w:rPr>
        <w:t xml:space="preserve"> </w:t>
      </w:r>
      <w:r w:rsidRPr="008D6308">
        <w:rPr>
          <w:rFonts w:ascii="Arial" w:hAnsi="Arial" w:cs="Arial"/>
          <w:bCs/>
          <w:color w:val="000000"/>
          <w:sz w:val="22"/>
          <w:szCs w:val="22"/>
        </w:rPr>
        <w:t>in</w:t>
      </w:r>
      <w:r>
        <w:rPr>
          <w:rFonts w:ascii="Arial" w:hAnsi="Arial" w:cs="Arial"/>
          <w:bCs/>
          <w:color w:val="000000"/>
          <w:sz w:val="22"/>
          <w:szCs w:val="22"/>
        </w:rPr>
        <w:t>to</w:t>
      </w:r>
      <w:r w:rsidRPr="008D6308">
        <w:rPr>
          <w:rFonts w:ascii="Arial" w:hAnsi="Arial" w:cs="Arial"/>
          <w:bCs/>
          <w:color w:val="000000"/>
          <w:sz w:val="22"/>
          <w:szCs w:val="22"/>
        </w:rPr>
        <w:t xml:space="preserve"> </w:t>
      </w:r>
      <w:r>
        <w:rPr>
          <w:rFonts w:ascii="Arial" w:hAnsi="Arial" w:cs="Arial"/>
          <w:bCs/>
          <w:color w:val="000000"/>
          <w:sz w:val="22"/>
          <w:szCs w:val="22"/>
        </w:rPr>
        <w:t>domestic</w:t>
      </w:r>
      <w:r w:rsidRPr="008D6308">
        <w:rPr>
          <w:rFonts w:ascii="Arial" w:hAnsi="Arial" w:cs="Arial"/>
          <w:bCs/>
          <w:color w:val="000000"/>
          <w:sz w:val="22"/>
          <w:szCs w:val="22"/>
        </w:rPr>
        <w:t xml:space="preserve"> legislation. However, the Committee </w:t>
      </w:r>
      <w:r>
        <w:rPr>
          <w:rFonts w:ascii="Arial" w:hAnsi="Arial" w:cs="Arial"/>
          <w:bCs/>
          <w:color w:val="000000"/>
          <w:sz w:val="22"/>
          <w:szCs w:val="22"/>
        </w:rPr>
        <w:t>noted</w:t>
      </w:r>
      <w:r w:rsidRPr="008D6308">
        <w:rPr>
          <w:rFonts w:ascii="Arial" w:hAnsi="Arial" w:cs="Arial"/>
          <w:bCs/>
          <w:color w:val="000000"/>
          <w:sz w:val="22"/>
          <w:szCs w:val="22"/>
        </w:rPr>
        <w:t xml:space="preserve"> that </w:t>
      </w:r>
      <w:r w:rsidRPr="008931C1">
        <w:rPr>
          <w:rFonts w:ascii="Arial" w:hAnsi="Arial" w:cs="Arial"/>
          <w:bCs/>
          <w:i/>
          <w:color w:val="000000"/>
          <w:sz w:val="22"/>
          <w:szCs w:val="22"/>
        </w:rPr>
        <w:t>“incorporation of the Convention against Torture into the State party’s legislation and adoption of a definition of torture in full conformity with article 1 of the Convention would strengthen the protection framework and allow individuals to invoke the provisions of the Convention directly before the courts.”</w:t>
      </w:r>
      <w:r>
        <w:rPr>
          <w:rStyle w:val="FootnoteReference"/>
          <w:rFonts w:ascii="Arial" w:hAnsi="Arial" w:cs="Arial"/>
          <w:bCs/>
          <w:i/>
          <w:color w:val="000000"/>
          <w:sz w:val="22"/>
          <w:szCs w:val="22"/>
        </w:rPr>
        <w:footnoteReference w:id="1"/>
      </w:r>
    </w:p>
    <w:p w:rsidR="00AE424E" w:rsidRDefault="008D6308" w:rsidP="008153BF">
      <w:pPr>
        <w:pStyle w:val="CM7"/>
        <w:numPr>
          <w:ilvl w:val="0"/>
          <w:numId w:val="25"/>
        </w:numPr>
        <w:jc w:val="both"/>
        <w:rPr>
          <w:rFonts w:ascii="Arial" w:hAnsi="Arial" w:cs="Arial"/>
          <w:bCs/>
          <w:color w:val="000000"/>
          <w:sz w:val="22"/>
          <w:szCs w:val="22"/>
        </w:rPr>
      </w:pPr>
      <w:r>
        <w:rPr>
          <w:rFonts w:ascii="Arial" w:hAnsi="Arial" w:cs="Arial"/>
          <w:color w:val="000000"/>
          <w:sz w:val="22"/>
          <w:szCs w:val="22"/>
        </w:rPr>
        <w:t>T</w:t>
      </w:r>
      <w:r w:rsidR="004C1EA7" w:rsidRPr="000376B3">
        <w:rPr>
          <w:rFonts w:ascii="Arial" w:hAnsi="Arial" w:cs="Arial"/>
          <w:color w:val="000000"/>
          <w:sz w:val="22"/>
          <w:szCs w:val="22"/>
        </w:rPr>
        <w:t>he</w:t>
      </w:r>
      <w:r w:rsidR="00E42B05" w:rsidRPr="000376B3">
        <w:rPr>
          <w:rFonts w:ascii="Arial" w:hAnsi="Arial" w:cs="Arial"/>
          <w:color w:val="000000"/>
          <w:sz w:val="22"/>
          <w:szCs w:val="22"/>
        </w:rPr>
        <w:t xml:space="preserve"> Committee</w:t>
      </w:r>
      <w:r>
        <w:rPr>
          <w:rFonts w:ascii="Arial" w:hAnsi="Arial" w:cs="Arial"/>
          <w:color w:val="000000"/>
          <w:sz w:val="22"/>
          <w:szCs w:val="22"/>
        </w:rPr>
        <w:t xml:space="preserve"> also</w:t>
      </w:r>
      <w:r w:rsidR="00E42B05" w:rsidRPr="000376B3">
        <w:rPr>
          <w:rFonts w:ascii="Arial" w:hAnsi="Arial" w:cs="Arial"/>
          <w:color w:val="000000"/>
          <w:sz w:val="22"/>
          <w:szCs w:val="22"/>
        </w:rPr>
        <w:t xml:space="preserve"> </w:t>
      </w:r>
      <w:r w:rsidR="00B5321C">
        <w:rPr>
          <w:rFonts w:ascii="Arial" w:hAnsi="Arial" w:cs="Arial"/>
          <w:color w:val="000000"/>
          <w:sz w:val="22"/>
          <w:szCs w:val="22"/>
        </w:rPr>
        <w:t>stated</w:t>
      </w:r>
      <w:r w:rsidR="00470BD0" w:rsidRPr="000376B3">
        <w:rPr>
          <w:rFonts w:ascii="Arial" w:hAnsi="Arial" w:cs="Arial"/>
          <w:color w:val="000000"/>
          <w:sz w:val="22"/>
          <w:szCs w:val="22"/>
        </w:rPr>
        <w:t xml:space="preserve"> </w:t>
      </w:r>
      <w:r w:rsidR="00470BD0" w:rsidRPr="00994536">
        <w:rPr>
          <w:rFonts w:ascii="Arial" w:hAnsi="Arial" w:cs="Arial"/>
          <w:color w:val="000000"/>
          <w:sz w:val="22"/>
          <w:szCs w:val="22"/>
        </w:rPr>
        <w:t xml:space="preserve">that </w:t>
      </w:r>
      <w:r w:rsidR="00994536" w:rsidRPr="00994536">
        <w:rPr>
          <w:rFonts w:ascii="Arial" w:hAnsi="Arial" w:cs="Arial"/>
          <w:color w:val="000000"/>
          <w:sz w:val="22"/>
          <w:szCs w:val="22"/>
        </w:rPr>
        <w:t>it wa</w:t>
      </w:r>
      <w:r w:rsidR="00B5321C">
        <w:rPr>
          <w:rFonts w:ascii="Arial" w:hAnsi="Arial" w:cs="Arial"/>
          <w:color w:val="000000"/>
          <w:sz w:val="22"/>
          <w:szCs w:val="22"/>
        </w:rPr>
        <w:t>s concerned by</w:t>
      </w:r>
      <w:r w:rsidR="00994536" w:rsidRPr="00994536">
        <w:rPr>
          <w:rFonts w:ascii="Arial" w:hAnsi="Arial" w:cs="Arial"/>
          <w:color w:val="000000"/>
          <w:sz w:val="22"/>
          <w:szCs w:val="22"/>
        </w:rPr>
        <w:t xml:space="preserve"> </w:t>
      </w:r>
      <w:r w:rsidR="00B5321C" w:rsidRPr="00994536">
        <w:rPr>
          <w:rFonts w:ascii="Arial" w:hAnsi="Arial" w:cs="Arial"/>
          <w:color w:val="000000"/>
          <w:sz w:val="22"/>
          <w:szCs w:val="22"/>
        </w:rPr>
        <w:t xml:space="preserve">negative criticisms </w:t>
      </w:r>
      <w:r w:rsidR="00B5321C">
        <w:rPr>
          <w:rFonts w:ascii="Arial" w:hAnsi="Arial" w:cs="Arial"/>
          <w:color w:val="000000"/>
          <w:sz w:val="22"/>
          <w:szCs w:val="22"/>
        </w:rPr>
        <w:t xml:space="preserve">of the </w:t>
      </w:r>
      <w:r w:rsidR="00994536" w:rsidRPr="00994536">
        <w:rPr>
          <w:rFonts w:ascii="Arial" w:hAnsi="Arial" w:cs="Arial"/>
          <w:color w:val="000000"/>
          <w:sz w:val="22"/>
          <w:szCs w:val="22"/>
        </w:rPr>
        <w:t>Human Rights Act 1998 by public figures</w:t>
      </w:r>
      <w:r w:rsidR="00B5321C">
        <w:rPr>
          <w:rFonts w:ascii="Arial" w:hAnsi="Arial" w:cs="Arial"/>
          <w:color w:val="000000"/>
          <w:sz w:val="22"/>
          <w:szCs w:val="22"/>
        </w:rPr>
        <w:t xml:space="preserve">. </w:t>
      </w:r>
      <w:r w:rsidR="00940C3B">
        <w:rPr>
          <w:rFonts w:ascii="Arial" w:hAnsi="Arial" w:cs="Arial"/>
          <w:color w:val="000000"/>
          <w:sz w:val="22"/>
          <w:szCs w:val="22"/>
        </w:rPr>
        <w:t xml:space="preserve">The Committee </w:t>
      </w:r>
      <w:r w:rsidR="00B5321C">
        <w:rPr>
          <w:rFonts w:ascii="Arial" w:hAnsi="Arial" w:cs="Arial"/>
          <w:color w:val="000000"/>
          <w:sz w:val="22"/>
          <w:szCs w:val="22"/>
        </w:rPr>
        <w:t>concluded that</w:t>
      </w:r>
      <w:r w:rsidR="00994536" w:rsidRPr="00994536">
        <w:rPr>
          <w:rFonts w:ascii="Arial" w:hAnsi="Arial" w:cs="Arial"/>
          <w:color w:val="000000"/>
          <w:sz w:val="22"/>
          <w:szCs w:val="22"/>
        </w:rPr>
        <w:t xml:space="preserve"> </w:t>
      </w:r>
      <w:r w:rsidR="00B5321C">
        <w:rPr>
          <w:rFonts w:ascii="Arial" w:hAnsi="Arial" w:cs="Arial"/>
          <w:bCs/>
          <w:color w:val="000000"/>
          <w:sz w:val="22"/>
          <w:szCs w:val="22"/>
        </w:rPr>
        <w:t>t</w:t>
      </w:r>
      <w:r w:rsidR="004C1EA7" w:rsidRPr="00994536">
        <w:rPr>
          <w:rFonts w:ascii="Arial" w:hAnsi="Arial" w:cs="Arial"/>
          <w:bCs/>
          <w:color w:val="000000"/>
          <w:sz w:val="22"/>
          <w:szCs w:val="22"/>
        </w:rPr>
        <w:t xml:space="preserve">he </w:t>
      </w:r>
      <w:r w:rsidR="00AC2D72">
        <w:rPr>
          <w:rFonts w:ascii="Arial" w:hAnsi="Arial" w:cs="Arial"/>
          <w:bCs/>
          <w:color w:val="000000"/>
          <w:sz w:val="22"/>
          <w:szCs w:val="22"/>
        </w:rPr>
        <w:t>UK</w:t>
      </w:r>
      <w:r w:rsidR="004C1EA7" w:rsidRPr="00994536">
        <w:rPr>
          <w:rFonts w:ascii="Arial" w:hAnsi="Arial" w:cs="Arial"/>
          <w:bCs/>
          <w:color w:val="000000"/>
          <w:sz w:val="22"/>
          <w:szCs w:val="22"/>
        </w:rPr>
        <w:t xml:space="preserve"> should ensure that public statements or legislative changes</w:t>
      </w:r>
      <w:r w:rsidR="006D6AB5">
        <w:rPr>
          <w:rFonts w:ascii="Arial" w:hAnsi="Arial" w:cs="Arial"/>
          <w:bCs/>
          <w:color w:val="000000"/>
          <w:sz w:val="22"/>
          <w:szCs w:val="22"/>
        </w:rPr>
        <w:t>,</w:t>
      </w:r>
      <w:r w:rsidR="004C1EA7" w:rsidRPr="00994536">
        <w:rPr>
          <w:rFonts w:ascii="Arial" w:hAnsi="Arial" w:cs="Arial"/>
          <w:bCs/>
          <w:color w:val="000000"/>
          <w:sz w:val="22"/>
          <w:szCs w:val="22"/>
        </w:rPr>
        <w:t xml:space="preserve"> such as the </w:t>
      </w:r>
      <w:r w:rsidR="006D6AB5">
        <w:rPr>
          <w:rFonts w:ascii="Arial" w:hAnsi="Arial" w:cs="Arial"/>
          <w:bCs/>
          <w:color w:val="000000"/>
          <w:sz w:val="22"/>
          <w:szCs w:val="22"/>
        </w:rPr>
        <w:t xml:space="preserve">proposed </w:t>
      </w:r>
      <w:r w:rsidR="004C1EA7" w:rsidRPr="00994536">
        <w:rPr>
          <w:rFonts w:ascii="Arial" w:hAnsi="Arial" w:cs="Arial"/>
          <w:bCs/>
          <w:color w:val="000000"/>
          <w:sz w:val="22"/>
          <w:szCs w:val="22"/>
        </w:rPr>
        <w:t>establishment</w:t>
      </w:r>
      <w:r w:rsidR="004C1EA7" w:rsidRPr="000376B3">
        <w:rPr>
          <w:rFonts w:ascii="Arial" w:hAnsi="Arial" w:cs="Arial"/>
          <w:bCs/>
          <w:color w:val="000000"/>
          <w:sz w:val="22"/>
          <w:szCs w:val="22"/>
        </w:rPr>
        <w:t xml:space="preserve"> of a Bill of Rights</w:t>
      </w:r>
      <w:r w:rsidR="006D6AB5">
        <w:rPr>
          <w:rFonts w:ascii="Arial" w:hAnsi="Arial" w:cs="Arial"/>
          <w:bCs/>
          <w:color w:val="000000"/>
          <w:sz w:val="22"/>
          <w:szCs w:val="22"/>
        </w:rPr>
        <w:t>,</w:t>
      </w:r>
      <w:r w:rsidR="00ED2FD4">
        <w:rPr>
          <w:rFonts w:ascii="Arial" w:hAnsi="Arial" w:cs="Arial"/>
          <w:bCs/>
          <w:color w:val="000000"/>
          <w:sz w:val="22"/>
          <w:szCs w:val="22"/>
        </w:rPr>
        <w:t xml:space="preserve"> did</w:t>
      </w:r>
      <w:r w:rsidR="004C1EA7" w:rsidRPr="000376B3">
        <w:rPr>
          <w:rFonts w:ascii="Arial" w:hAnsi="Arial" w:cs="Arial"/>
          <w:bCs/>
          <w:color w:val="000000"/>
          <w:sz w:val="22"/>
          <w:szCs w:val="22"/>
        </w:rPr>
        <w:t xml:space="preserve"> not </w:t>
      </w:r>
      <w:r w:rsidR="00ED2FD4" w:rsidRPr="008931C1">
        <w:rPr>
          <w:rFonts w:ascii="Arial" w:hAnsi="Arial" w:cs="Arial"/>
          <w:bCs/>
          <w:i/>
          <w:color w:val="000000"/>
          <w:sz w:val="22"/>
          <w:szCs w:val="22"/>
        </w:rPr>
        <w:t>“</w:t>
      </w:r>
      <w:r w:rsidR="004C1EA7" w:rsidRPr="008931C1">
        <w:rPr>
          <w:rFonts w:ascii="Arial" w:hAnsi="Arial" w:cs="Arial"/>
          <w:bCs/>
          <w:i/>
          <w:color w:val="000000"/>
          <w:sz w:val="22"/>
          <w:szCs w:val="22"/>
        </w:rPr>
        <w:t>erode the level of constitutional protection afforded to the prohibition of torture, cruel, inhuman or degrading treatment or punishment currently provided by the Human Rights Act.</w:t>
      </w:r>
      <w:r w:rsidR="00ED2FD4" w:rsidRPr="008931C1">
        <w:rPr>
          <w:rFonts w:ascii="Arial" w:hAnsi="Arial" w:cs="Arial"/>
          <w:bCs/>
          <w:i/>
          <w:color w:val="000000"/>
          <w:sz w:val="22"/>
          <w:szCs w:val="22"/>
        </w:rPr>
        <w:t>”</w:t>
      </w:r>
      <w:r w:rsidR="00E42B05" w:rsidRPr="000376B3">
        <w:rPr>
          <w:rStyle w:val="FootnoteReference"/>
          <w:rFonts w:ascii="Arial" w:hAnsi="Arial" w:cs="Arial"/>
          <w:bCs/>
          <w:color w:val="000000"/>
          <w:sz w:val="22"/>
          <w:szCs w:val="22"/>
        </w:rPr>
        <w:footnoteReference w:id="2"/>
      </w:r>
      <w:r w:rsidR="006665FA" w:rsidRPr="000376B3">
        <w:rPr>
          <w:rFonts w:ascii="Arial" w:hAnsi="Arial" w:cs="Arial"/>
          <w:bCs/>
          <w:color w:val="000000"/>
          <w:sz w:val="22"/>
          <w:szCs w:val="22"/>
        </w:rPr>
        <w:t xml:space="preserve"> </w:t>
      </w:r>
    </w:p>
    <w:p w:rsidR="00282693" w:rsidRDefault="00512A20" w:rsidP="008153BF">
      <w:pPr>
        <w:pStyle w:val="CM7"/>
        <w:numPr>
          <w:ilvl w:val="0"/>
          <w:numId w:val="25"/>
        </w:numPr>
        <w:jc w:val="both"/>
        <w:rPr>
          <w:rFonts w:ascii="Arial" w:hAnsi="Arial" w:cs="Arial"/>
          <w:bCs/>
          <w:color w:val="000000"/>
          <w:sz w:val="22"/>
          <w:szCs w:val="22"/>
        </w:rPr>
      </w:pPr>
      <w:r>
        <w:rPr>
          <w:rFonts w:ascii="Arial" w:hAnsi="Arial" w:cs="Arial"/>
          <w:bCs/>
          <w:color w:val="000000"/>
          <w:sz w:val="22"/>
          <w:szCs w:val="22"/>
        </w:rPr>
        <w:t>In December 2015, t</w:t>
      </w:r>
      <w:r w:rsidR="006665FA" w:rsidRPr="000376B3">
        <w:rPr>
          <w:rFonts w:ascii="Arial" w:hAnsi="Arial" w:cs="Arial"/>
          <w:bCs/>
          <w:color w:val="000000"/>
          <w:sz w:val="22"/>
          <w:szCs w:val="22"/>
        </w:rPr>
        <w:t xml:space="preserve">he UK </w:t>
      </w:r>
      <w:r>
        <w:rPr>
          <w:rFonts w:ascii="Arial" w:hAnsi="Arial" w:cs="Arial"/>
          <w:bCs/>
          <w:color w:val="000000"/>
          <w:sz w:val="22"/>
          <w:szCs w:val="22"/>
        </w:rPr>
        <w:t xml:space="preserve">Government </w:t>
      </w:r>
      <w:r w:rsidR="00CA256C">
        <w:rPr>
          <w:rFonts w:ascii="Arial" w:hAnsi="Arial" w:cs="Arial"/>
          <w:bCs/>
          <w:color w:val="000000"/>
          <w:sz w:val="22"/>
          <w:szCs w:val="22"/>
        </w:rPr>
        <w:t>reiterated</w:t>
      </w:r>
      <w:r>
        <w:rPr>
          <w:rFonts w:ascii="Arial" w:hAnsi="Arial" w:cs="Arial"/>
          <w:bCs/>
          <w:color w:val="000000"/>
          <w:sz w:val="22"/>
          <w:szCs w:val="22"/>
        </w:rPr>
        <w:t xml:space="preserve"> its intention</w:t>
      </w:r>
      <w:r w:rsidR="000376B3" w:rsidRPr="000376B3">
        <w:rPr>
          <w:rFonts w:ascii="Arial" w:hAnsi="Arial" w:cs="Arial"/>
          <w:bCs/>
          <w:color w:val="000000"/>
          <w:sz w:val="22"/>
          <w:szCs w:val="22"/>
        </w:rPr>
        <w:t xml:space="preserve"> to </w:t>
      </w:r>
      <w:r w:rsidR="00075D40">
        <w:rPr>
          <w:rFonts w:ascii="Arial" w:hAnsi="Arial" w:cs="Arial"/>
          <w:bCs/>
          <w:color w:val="000000"/>
          <w:sz w:val="22"/>
          <w:szCs w:val="22"/>
        </w:rPr>
        <w:t xml:space="preserve">consult </w:t>
      </w:r>
      <w:r w:rsidR="006D6AB5">
        <w:rPr>
          <w:rFonts w:ascii="Arial" w:hAnsi="Arial" w:cs="Arial"/>
          <w:bCs/>
          <w:color w:val="000000"/>
          <w:sz w:val="22"/>
          <w:szCs w:val="22"/>
        </w:rPr>
        <w:t xml:space="preserve">on </w:t>
      </w:r>
      <w:r w:rsidR="00075D40">
        <w:rPr>
          <w:rFonts w:ascii="Arial" w:hAnsi="Arial" w:cs="Arial"/>
          <w:bCs/>
          <w:color w:val="000000"/>
          <w:sz w:val="22"/>
          <w:szCs w:val="22"/>
        </w:rPr>
        <w:t xml:space="preserve">the </w:t>
      </w:r>
      <w:r w:rsidR="006D6AB5">
        <w:rPr>
          <w:rFonts w:ascii="Arial" w:hAnsi="Arial" w:cs="Arial"/>
          <w:bCs/>
          <w:color w:val="000000"/>
          <w:sz w:val="22"/>
          <w:szCs w:val="22"/>
        </w:rPr>
        <w:t xml:space="preserve">proposal to </w:t>
      </w:r>
      <w:r w:rsidR="000376B3">
        <w:rPr>
          <w:rFonts w:ascii="Arial" w:hAnsi="Arial" w:cs="Arial"/>
          <w:bCs/>
          <w:color w:val="000000"/>
          <w:sz w:val="22"/>
          <w:szCs w:val="22"/>
        </w:rPr>
        <w:t>replace</w:t>
      </w:r>
      <w:r w:rsidR="00075D40">
        <w:rPr>
          <w:rFonts w:ascii="Arial" w:hAnsi="Arial" w:cs="Arial"/>
          <w:bCs/>
          <w:color w:val="000000"/>
          <w:sz w:val="22"/>
          <w:szCs w:val="22"/>
        </w:rPr>
        <w:t xml:space="preserve"> </w:t>
      </w:r>
      <w:r w:rsidR="000376B3">
        <w:rPr>
          <w:rFonts w:ascii="Arial" w:hAnsi="Arial" w:cs="Arial"/>
          <w:bCs/>
          <w:color w:val="000000"/>
          <w:sz w:val="22"/>
          <w:szCs w:val="22"/>
        </w:rPr>
        <w:t>the Human Rights Act</w:t>
      </w:r>
      <w:r w:rsidR="00075D40" w:rsidRPr="00075D40">
        <w:rPr>
          <w:rFonts w:ascii="Arial" w:hAnsi="Arial" w:cs="Arial"/>
          <w:bCs/>
          <w:color w:val="000000"/>
          <w:sz w:val="22"/>
          <w:szCs w:val="22"/>
        </w:rPr>
        <w:t xml:space="preserve"> </w:t>
      </w:r>
      <w:r w:rsidR="00075D40">
        <w:rPr>
          <w:rFonts w:ascii="Arial" w:hAnsi="Arial" w:cs="Arial"/>
          <w:bCs/>
          <w:color w:val="000000"/>
          <w:sz w:val="22"/>
          <w:szCs w:val="22"/>
        </w:rPr>
        <w:t>with a British Bill of Rights</w:t>
      </w:r>
      <w:r w:rsidR="000376B3">
        <w:rPr>
          <w:rFonts w:ascii="Arial" w:hAnsi="Arial" w:cs="Arial"/>
          <w:bCs/>
          <w:color w:val="000000"/>
          <w:sz w:val="22"/>
          <w:szCs w:val="22"/>
        </w:rPr>
        <w:t>.</w:t>
      </w:r>
      <w:r w:rsidR="00B5321C">
        <w:rPr>
          <w:rStyle w:val="FootnoteReference"/>
          <w:rFonts w:ascii="Arial" w:hAnsi="Arial" w:cs="Arial"/>
          <w:bCs/>
          <w:color w:val="000000"/>
          <w:sz w:val="22"/>
          <w:szCs w:val="22"/>
        </w:rPr>
        <w:footnoteReference w:id="3"/>
      </w:r>
      <w:r w:rsidR="000376B3">
        <w:rPr>
          <w:rFonts w:ascii="Arial" w:hAnsi="Arial" w:cs="Arial"/>
          <w:bCs/>
          <w:color w:val="000000"/>
          <w:sz w:val="22"/>
          <w:szCs w:val="22"/>
        </w:rPr>
        <w:t xml:space="preserve"> </w:t>
      </w:r>
    </w:p>
    <w:p w:rsidR="00F54C1D" w:rsidRDefault="00282693" w:rsidP="008153BF">
      <w:pPr>
        <w:pStyle w:val="CM7"/>
        <w:numPr>
          <w:ilvl w:val="0"/>
          <w:numId w:val="25"/>
        </w:numPr>
        <w:jc w:val="both"/>
        <w:rPr>
          <w:rFonts w:ascii="Arial" w:hAnsi="Arial" w:cs="Arial"/>
          <w:bCs/>
          <w:color w:val="000000"/>
          <w:sz w:val="22"/>
          <w:szCs w:val="22"/>
        </w:rPr>
      </w:pPr>
      <w:r w:rsidRPr="00282693">
        <w:rPr>
          <w:rFonts w:ascii="Arial" w:hAnsi="Arial" w:cs="Arial"/>
          <w:color w:val="000000"/>
          <w:sz w:val="22"/>
        </w:rPr>
        <w:lastRenderedPageBreak/>
        <w:t xml:space="preserve">The EHRC </w:t>
      </w:r>
      <w:r w:rsidR="006D6AB5">
        <w:rPr>
          <w:rFonts w:ascii="Arial" w:hAnsi="Arial" w:cs="Arial"/>
          <w:color w:val="000000"/>
          <w:sz w:val="22"/>
          <w:szCs w:val="22"/>
        </w:rPr>
        <w:t>considers</w:t>
      </w:r>
      <w:r w:rsidR="006D6AB5" w:rsidRPr="003C4E22">
        <w:rPr>
          <w:rFonts w:ascii="Arial" w:hAnsi="Arial" w:cs="Arial"/>
          <w:color w:val="000000"/>
          <w:sz w:val="22"/>
          <w:szCs w:val="22"/>
        </w:rPr>
        <w:t xml:space="preserve"> </w:t>
      </w:r>
      <w:r w:rsidRPr="003C4E22">
        <w:rPr>
          <w:rFonts w:ascii="Arial" w:hAnsi="Arial" w:cs="Arial"/>
          <w:color w:val="000000"/>
          <w:sz w:val="22"/>
          <w:szCs w:val="22"/>
        </w:rPr>
        <w:t xml:space="preserve">the </w:t>
      </w:r>
      <w:r w:rsidR="00E64875">
        <w:rPr>
          <w:rFonts w:ascii="Arial" w:hAnsi="Arial" w:cs="Arial"/>
          <w:color w:val="000000"/>
          <w:sz w:val="22"/>
          <w:szCs w:val="22"/>
        </w:rPr>
        <w:t xml:space="preserve">Human Rights </w:t>
      </w:r>
      <w:r w:rsidRPr="003C4E22">
        <w:rPr>
          <w:rFonts w:ascii="Arial" w:hAnsi="Arial" w:cs="Arial"/>
          <w:color w:val="000000"/>
          <w:sz w:val="22"/>
          <w:szCs w:val="22"/>
        </w:rPr>
        <w:t>Act is well-crafted and both reflects and is embedded in the constitutional arrangements for the UK. Changing our human rights laws would have significant constitutional and social consequences and should only be considered as part of a broad and participative</w:t>
      </w:r>
      <w:r w:rsidR="00540BE9">
        <w:rPr>
          <w:rFonts w:ascii="Arial" w:hAnsi="Arial" w:cs="Arial"/>
          <w:color w:val="000000"/>
          <w:sz w:val="22"/>
          <w:szCs w:val="22"/>
        </w:rPr>
        <w:t xml:space="preserve"> public process.</w:t>
      </w:r>
      <w:r w:rsidRPr="003C4E22">
        <w:rPr>
          <w:rStyle w:val="FootnoteReference"/>
          <w:rFonts w:ascii="Arial" w:hAnsi="Arial" w:cs="Arial"/>
          <w:color w:val="000000"/>
          <w:sz w:val="22"/>
          <w:szCs w:val="22"/>
        </w:rPr>
        <w:footnoteReference w:id="4"/>
      </w:r>
      <w:r>
        <w:rPr>
          <w:rFonts w:ascii="Arial" w:hAnsi="Arial" w:cs="Arial"/>
          <w:bCs/>
          <w:color w:val="000000"/>
          <w:sz w:val="22"/>
          <w:szCs w:val="22"/>
        </w:rPr>
        <w:t xml:space="preserve"> </w:t>
      </w:r>
    </w:p>
    <w:p w:rsidR="00F54C1D" w:rsidRDefault="008D6308" w:rsidP="008153BF">
      <w:pPr>
        <w:pStyle w:val="Default"/>
        <w:numPr>
          <w:ilvl w:val="0"/>
          <w:numId w:val="25"/>
        </w:numPr>
        <w:jc w:val="both"/>
        <w:rPr>
          <w:sz w:val="22"/>
          <w:szCs w:val="22"/>
        </w:rPr>
      </w:pPr>
      <w:r w:rsidRPr="007972B9">
        <w:rPr>
          <w:sz w:val="22"/>
          <w:szCs w:val="22"/>
        </w:rPr>
        <w:t xml:space="preserve">While the </w:t>
      </w:r>
      <w:r>
        <w:rPr>
          <w:sz w:val="22"/>
          <w:szCs w:val="22"/>
        </w:rPr>
        <w:t xml:space="preserve">UK Government is yet to publish its consultation document, it is likely to consider the extent of the jurisdiction of the state’s human rights obligations, for example the </w:t>
      </w:r>
      <w:r w:rsidR="001E7E37">
        <w:rPr>
          <w:sz w:val="22"/>
          <w:szCs w:val="22"/>
        </w:rPr>
        <w:t xml:space="preserve">applicability to actions of British Forces abroad. </w:t>
      </w:r>
      <w:r w:rsidR="001E7E37" w:rsidRPr="001E7E37">
        <w:rPr>
          <w:sz w:val="22"/>
          <w:szCs w:val="22"/>
        </w:rPr>
        <w:t xml:space="preserve">The </w:t>
      </w:r>
      <w:r w:rsidR="001E7E37">
        <w:rPr>
          <w:sz w:val="22"/>
          <w:szCs w:val="22"/>
        </w:rPr>
        <w:t xml:space="preserve">EHRC </w:t>
      </w:r>
      <w:r w:rsidR="001E7E37" w:rsidRPr="001E7E37">
        <w:rPr>
          <w:sz w:val="22"/>
          <w:szCs w:val="22"/>
        </w:rPr>
        <w:t>agrees with the Committee‘s interpretation of the extent of the jurisdiction of UNCAT as expres</w:t>
      </w:r>
      <w:r w:rsidR="001E7E37">
        <w:rPr>
          <w:sz w:val="22"/>
          <w:szCs w:val="22"/>
        </w:rPr>
        <w:t xml:space="preserve">sed in its General Comment No 2: </w:t>
      </w:r>
      <w:r w:rsidR="001E7E37" w:rsidRPr="007972B9">
        <w:rPr>
          <w:i/>
          <w:sz w:val="22"/>
          <w:szCs w:val="22"/>
        </w:rPr>
        <w:t xml:space="preserve">“the Convention protections extend to all territories under the jurisdiction of a State party and </w:t>
      </w:r>
      <w:r w:rsidR="00BB0F45">
        <w:rPr>
          <w:i/>
          <w:sz w:val="22"/>
          <w:szCs w:val="22"/>
        </w:rPr>
        <w:t xml:space="preserve">[this Committee] </w:t>
      </w:r>
      <w:r w:rsidR="001E7E37" w:rsidRPr="007972B9">
        <w:rPr>
          <w:i/>
          <w:sz w:val="22"/>
          <w:szCs w:val="22"/>
        </w:rPr>
        <w:t>considers that this principle includes all areas under the de facto effective control of the State party‘s authorities.”</w:t>
      </w:r>
      <w:r w:rsidR="001E7E37">
        <w:rPr>
          <w:rStyle w:val="FootnoteReference"/>
          <w:i/>
          <w:sz w:val="22"/>
          <w:szCs w:val="22"/>
        </w:rPr>
        <w:footnoteReference w:id="5"/>
      </w:r>
    </w:p>
    <w:p w:rsidR="001E7E37" w:rsidRPr="001E7E37" w:rsidRDefault="001E7E37" w:rsidP="007972B9">
      <w:pPr>
        <w:pStyle w:val="Default"/>
        <w:ind w:left="360"/>
        <w:rPr>
          <w:sz w:val="22"/>
          <w:szCs w:val="22"/>
        </w:rPr>
      </w:pPr>
    </w:p>
    <w:p w:rsidR="00E958E6" w:rsidRPr="00282693" w:rsidRDefault="00F54C1D" w:rsidP="008153BF">
      <w:pPr>
        <w:pStyle w:val="CM7"/>
        <w:numPr>
          <w:ilvl w:val="0"/>
          <w:numId w:val="25"/>
        </w:numPr>
        <w:jc w:val="both"/>
        <w:rPr>
          <w:rFonts w:ascii="Arial" w:hAnsi="Arial" w:cs="Arial"/>
          <w:bCs/>
          <w:color w:val="000000"/>
          <w:sz w:val="22"/>
          <w:szCs w:val="22"/>
        </w:rPr>
      </w:pPr>
      <w:r>
        <w:rPr>
          <w:rFonts w:ascii="Arial" w:hAnsi="Arial" w:cs="Arial"/>
          <w:b/>
          <w:bCs/>
          <w:color w:val="000000"/>
          <w:sz w:val="22"/>
          <w:szCs w:val="22"/>
        </w:rPr>
        <w:t xml:space="preserve">Recommendation: </w:t>
      </w:r>
      <w:r w:rsidR="00512A20" w:rsidRPr="00282693">
        <w:rPr>
          <w:rFonts w:ascii="Arial" w:hAnsi="Arial" w:cs="Arial"/>
          <w:b/>
          <w:bCs/>
          <w:color w:val="000000"/>
          <w:sz w:val="22"/>
          <w:szCs w:val="22"/>
        </w:rPr>
        <w:t>The</w:t>
      </w:r>
      <w:r>
        <w:rPr>
          <w:rFonts w:ascii="Arial" w:hAnsi="Arial" w:cs="Arial"/>
          <w:b/>
          <w:bCs/>
          <w:color w:val="000000"/>
          <w:sz w:val="22"/>
          <w:szCs w:val="22"/>
        </w:rPr>
        <w:t xml:space="preserve"> Committee should ask the</w:t>
      </w:r>
      <w:r w:rsidR="00512A20" w:rsidRPr="00282693">
        <w:rPr>
          <w:rFonts w:ascii="Arial" w:hAnsi="Arial" w:cs="Arial"/>
          <w:b/>
          <w:bCs/>
          <w:color w:val="000000"/>
          <w:sz w:val="22"/>
          <w:szCs w:val="22"/>
        </w:rPr>
        <w:t xml:space="preserve"> </w:t>
      </w:r>
      <w:r w:rsidR="006D6AB5">
        <w:rPr>
          <w:rFonts w:ascii="Arial" w:hAnsi="Arial" w:cs="Arial"/>
          <w:b/>
          <w:bCs/>
          <w:color w:val="000000"/>
          <w:sz w:val="22"/>
          <w:szCs w:val="22"/>
        </w:rPr>
        <w:t xml:space="preserve">UK </w:t>
      </w:r>
      <w:r w:rsidR="00512A20" w:rsidRPr="00282693">
        <w:rPr>
          <w:rFonts w:ascii="Arial" w:hAnsi="Arial" w:cs="Arial"/>
          <w:b/>
          <w:bCs/>
          <w:color w:val="000000"/>
          <w:sz w:val="22"/>
          <w:szCs w:val="22"/>
        </w:rPr>
        <w:t xml:space="preserve">Government </w:t>
      </w:r>
      <w:r>
        <w:rPr>
          <w:rFonts w:ascii="Arial" w:hAnsi="Arial" w:cs="Arial"/>
          <w:b/>
          <w:bCs/>
          <w:color w:val="000000"/>
          <w:sz w:val="22"/>
          <w:szCs w:val="22"/>
        </w:rPr>
        <w:t>to</w:t>
      </w:r>
      <w:r w:rsidRPr="00282693">
        <w:rPr>
          <w:rFonts w:ascii="Arial" w:hAnsi="Arial" w:cs="Arial"/>
          <w:b/>
          <w:bCs/>
          <w:color w:val="000000"/>
          <w:sz w:val="22"/>
          <w:szCs w:val="22"/>
        </w:rPr>
        <w:t xml:space="preserve"> </w:t>
      </w:r>
      <w:r w:rsidR="00512A20" w:rsidRPr="00282693">
        <w:rPr>
          <w:rFonts w:ascii="Arial" w:hAnsi="Arial" w:cs="Arial"/>
          <w:b/>
          <w:bCs/>
          <w:color w:val="000000"/>
          <w:sz w:val="22"/>
          <w:szCs w:val="22"/>
        </w:rPr>
        <w:t xml:space="preserve">outline </w:t>
      </w:r>
      <w:r w:rsidR="00075D40" w:rsidRPr="00282693">
        <w:rPr>
          <w:rFonts w:ascii="Arial" w:hAnsi="Arial" w:cs="Arial"/>
          <w:b/>
          <w:bCs/>
          <w:color w:val="000000"/>
          <w:sz w:val="22"/>
          <w:szCs w:val="22"/>
        </w:rPr>
        <w:t>the</w:t>
      </w:r>
      <w:r w:rsidR="00512A20" w:rsidRPr="00282693">
        <w:rPr>
          <w:rFonts w:ascii="Arial" w:hAnsi="Arial" w:cs="Arial"/>
          <w:b/>
          <w:bCs/>
          <w:color w:val="000000"/>
          <w:sz w:val="22"/>
          <w:szCs w:val="22"/>
        </w:rPr>
        <w:t xml:space="preserve"> </w:t>
      </w:r>
      <w:r>
        <w:rPr>
          <w:rFonts w:ascii="Arial" w:hAnsi="Arial" w:cs="Arial"/>
          <w:b/>
          <w:bCs/>
          <w:color w:val="000000"/>
          <w:sz w:val="22"/>
          <w:szCs w:val="22"/>
        </w:rPr>
        <w:t>likely</w:t>
      </w:r>
      <w:r w:rsidRPr="00282693">
        <w:rPr>
          <w:rFonts w:ascii="Arial" w:hAnsi="Arial" w:cs="Arial"/>
          <w:b/>
          <w:bCs/>
          <w:color w:val="000000"/>
          <w:sz w:val="22"/>
          <w:szCs w:val="22"/>
        </w:rPr>
        <w:t xml:space="preserve"> </w:t>
      </w:r>
      <w:r w:rsidR="00512A20" w:rsidRPr="00282693">
        <w:rPr>
          <w:rFonts w:ascii="Arial" w:hAnsi="Arial" w:cs="Arial"/>
          <w:b/>
          <w:bCs/>
          <w:color w:val="000000"/>
          <w:sz w:val="22"/>
          <w:szCs w:val="22"/>
        </w:rPr>
        <w:t>impacts of a</w:t>
      </w:r>
      <w:r w:rsidR="000376B3" w:rsidRPr="00282693">
        <w:rPr>
          <w:rFonts w:ascii="Arial" w:hAnsi="Arial" w:cs="Arial"/>
          <w:b/>
          <w:bCs/>
          <w:color w:val="000000"/>
          <w:sz w:val="22"/>
          <w:szCs w:val="22"/>
        </w:rPr>
        <w:t xml:space="preserve">ny changes to the legal framework </w:t>
      </w:r>
      <w:r w:rsidR="00512A20" w:rsidRPr="00282693">
        <w:rPr>
          <w:rFonts w:ascii="Arial" w:hAnsi="Arial" w:cs="Arial"/>
          <w:b/>
          <w:bCs/>
          <w:color w:val="000000"/>
          <w:sz w:val="22"/>
          <w:szCs w:val="22"/>
        </w:rPr>
        <w:t>on</w:t>
      </w:r>
      <w:r w:rsidR="000376B3" w:rsidRPr="00282693">
        <w:rPr>
          <w:rFonts w:ascii="Arial" w:hAnsi="Arial" w:cs="Arial"/>
          <w:b/>
          <w:bCs/>
          <w:color w:val="000000"/>
          <w:sz w:val="22"/>
          <w:szCs w:val="22"/>
        </w:rPr>
        <w:t xml:space="preserve"> the human rights protections </w:t>
      </w:r>
      <w:r w:rsidR="00B5321C" w:rsidRPr="00282693">
        <w:rPr>
          <w:rFonts w:ascii="Arial" w:hAnsi="Arial" w:cs="Arial"/>
          <w:b/>
          <w:bCs/>
          <w:color w:val="000000"/>
          <w:sz w:val="22"/>
          <w:szCs w:val="22"/>
        </w:rPr>
        <w:t>set out in the UN Convention against Torture</w:t>
      </w:r>
      <w:r w:rsidR="001E7E37">
        <w:rPr>
          <w:rFonts w:ascii="Arial" w:hAnsi="Arial" w:cs="Arial"/>
          <w:b/>
          <w:bCs/>
          <w:color w:val="000000"/>
          <w:sz w:val="22"/>
          <w:szCs w:val="22"/>
        </w:rPr>
        <w:t>, including the extent of their jurisdiction</w:t>
      </w:r>
      <w:r w:rsidR="000376B3" w:rsidRPr="00282693">
        <w:rPr>
          <w:rFonts w:ascii="Arial" w:hAnsi="Arial" w:cs="Arial"/>
          <w:b/>
          <w:bCs/>
          <w:color w:val="000000"/>
          <w:sz w:val="22"/>
          <w:szCs w:val="22"/>
        </w:rPr>
        <w:t>.</w:t>
      </w:r>
    </w:p>
    <w:p w:rsidR="00965540" w:rsidRPr="00965540" w:rsidRDefault="00965540" w:rsidP="00965540">
      <w:pPr>
        <w:pStyle w:val="Default"/>
      </w:pPr>
    </w:p>
    <w:p w:rsidR="00EB16CA" w:rsidRPr="00994536" w:rsidRDefault="00FC2DE2" w:rsidP="00965540">
      <w:pPr>
        <w:pStyle w:val="Heading2"/>
        <w:rPr>
          <w:rFonts w:cs="Arial"/>
          <w:i/>
          <w:sz w:val="22"/>
          <w:szCs w:val="22"/>
        </w:rPr>
      </w:pPr>
      <w:r w:rsidRPr="00994536">
        <w:rPr>
          <w:rFonts w:cs="Arial"/>
          <w:sz w:val="22"/>
          <w:szCs w:val="22"/>
        </w:rPr>
        <w:t>British Forces Abroad</w:t>
      </w:r>
      <w:r w:rsidR="00DE6606" w:rsidRPr="00994536">
        <w:rPr>
          <w:rFonts w:cs="Arial"/>
          <w:sz w:val="22"/>
          <w:szCs w:val="22"/>
        </w:rPr>
        <w:t xml:space="preserve"> </w:t>
      </w:r>
      <w:r w:rsidR="00403D2D">
        <w:rPr>
          <w:rFonts w:cs="Arial"/>
          <w:sz w:val="22"/>
          <w:szCs w:val="22"/>
        </w:rPr>
        <w:t>(Article 2)</w:t>
      </w:r>
    </w:p>
    <w:p w:rsidR="00607E20" w:rsidRDefault="00607E20" w:rsidP="00DE6606">
      <w:pPr>
        <w:pStyle w:val="Default"/>
        <w:jc w:val="both"/>
        <w:rPr>
          <w:color w:val="auto"/>
        </w:rPr>
      </w:pPr>
    </w:p>
    <w:p w:rsidR="005733FB" w:rsidRPr="005733FB" w:rsidRDefault="005733FB" w:rsidP="00DE6606">
      <w:pPr>
        <w:pStyle w:val="Default"/>
        <w:jc w:val="both"/>
        <w:rPr>
          <w:i/>
          <w:color w:val="auto"/>
          <w:sz w:val="22"/>
          <w:szCs w:val="22"/>
        </w:rPr>
      </w:pPr>
      <w:r w:rsidRPr="005733FB">
        <w:rPr>
          <w:i/>
          <w:color w:val="auto"/>
          <w:sz w:val="22"/>
          <w:szCs w:val="22"/>
        </w:rPr>
        <w:t>Detainee inquiry</w:t>
      </w:r>
    </w:p>
    <w:p w:rsidR="005733FB" w:rsidRPr="008220D9" w:rsidRDefault="005733FB" w:rsidP="00DE6606">
      <w:pPr>
        <w:pStyle w:val="Default"/>
        <w:jc w:val="both"/>
        <w:rPr>
          <w:color w:val="auto"/>
        </w:rPr>
      </w:pPr>
    </w:p>
    <w:p w:rsidR="00D15E47" w:rsidRPr="00D15E47" w:rsidRDefault="00CA256C" w:rsidP="008153BF">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sidRPr="00D15E47">
        <w:rPr>
          <w:rFonts w:ascii="Arial" w:eastAsia="Calibri" w:hAnsi="Arial" w:cs="Arial"/>
          <w:color w:val="000000"/>
          <w:sz w:val="22"/>
          <w:szCs w:val="22"/>
        </w:rPr>
        <w:t>In 2010, Prime Minister David Cameron announced an inquiry into</w:t>
      </w:r>
      <w:r w:rsidR="00577841" w:rsidRPr="00D15E47">
        <w:rPr>
          <w:rFonts w:ascii="Arial" w:eastAsia="Calibri" w:hAnsi="Arial" w:cs="Arial"/>
          <w:color w:val="000000"/>
          <w:sz w:val="22"/>
          <w:szCs w:val="22"/>
        </w:rPr>
        <w:t xml:space="preserve"> the treatment of detainees</w:t>
      </w:r>
      <w:r w:rsidR="00EF184C">
        <w:rPr>
          <w:rFonts w:ascii="Arial" w:eastAsia="Calibri" w:hAnsi="Arial" w:cs="Arial"/>
          <w:color w:val="000000"/>
          <w:sz w:val="22"/>
          <w:szCs w:val="22"/>
        </w:rPr>
        <w:t xml:space="preserve"> held by other countries</w:t>
      </w:r>
      <w:r w:rsidR="00577841" w:rsidRPr="00D15E47">
        <w:rPr>
          <w:rFonts w:ascii="Arial" w:eastAsia="Calibri" w:hAnsi="Arial" w:cs="Arial"/>
          <w:color w:val="000000"/>
          <w:sz w:val="22"/>
          <w:szCs w:val="22"/>
        </w:rPr>
        <w:t>, stating “</w:t>
      </w:r>
      <w:r w:rsidR="00577841" w:rsidRPr="00D15E47">
        <w:rPr>
          <w:rFonts w:ascii="Arial" w:eastAsia="Calibri" w:hAnsi="Arial" w:cs="Arial"/>
          <w:i/>
          <w:color w:val="000000"/>
          <w:sz w:val="22"/>
          <w:szCs w:val="22"/>
        </w:rPr>
        <w:t>in answer to why there is an inquiry rather than the Intelligence and Security Committee doing the job, the inquiry will be led by a judge and will be fully independent of Parliament, party and Government. That is what we need to get to the bottom of the case</w:t>
      </w:r>
      <w:r w:rsidR="00577841" w:rsidRPr="00D15E47">
        <w:rPr>
          <w:rFonts w:ascii="Arial" w:eastAsia="Calibri" w:hAnsi="Arial" w:cs="Arial"/>
          <w:color w:val="000000"/>
          <w:sz w:val="22"/>
          <w:szCs w:val="22"/>
        </w:rPr>
        <w:t>.”</w:t>
      </w:r>
      <w:r w:rsidRPr="00D15E47">
        <w:rPr>
          <w:rStyle w:val="FootnoteReference"/>
          <w:rFonts w:ascii="Arial" w:eastAsia="Calibri" w:hAnsi="Arial" w:cs="Arial"/>
          <w:color w:val="000000"/>
          <w:sz w:val="22"/>
          <w:szCs w:val="22"/>
        </w:rPr>
        <w:footnoteReference w:id="6"/>
      </w:r>
      <w:r w:rsidR="00E20D39" w:rsidRPr="00D15E47">
        <w:rPr>
          <w:rFonts w:ascii="Arial" w:eastAsia="Calibri" w:hAnsi="Arial" w:cs="Arial"/>
          <w:color w:val="000000"/>
          <w:sz w:val="22"/>
          <w:szCs w:val="22"/>
        </w:rPr>
        <w:t xml:space="preserve"> </w:t>
      </w:r>
      <w:r w:rsidR="00577841" w:rsidRPr="00D15E47">
        <w:rPr>
          <w:rFonts w:ascii="Arial" w:hAnsi="Arial" w:cs="Arial"/>
          <w:sz w:val="22"/>
          <w:szCs w:val="22"/>
          <w:lang w:val="en-US"/>
        </w:rPr>
        <w:t>On 18 January 2012, the then Justi</w:t>
      </w:r>
      <w:r w:rsidR="00E20D39" w:rsidRPr="00D15E47">
        <w:rPr>
          <w:rFonts w:ascii="Arial" w:hAnsi="Arial" w:cs="Arial"/>
          <w:sz w:val="22"/>
          <w:szCs w:val="22"/>
          <w:lang w:val="en-US"/>
        </w:rPr>
        <w:t>ce Secretary Kenneth Clarke stated that “</w:t>
      </w:r>
      <w:r w:rsidR="00E20D39" w:rsidRPr="00D15E47">
        <w:rPr>
          <w:rFonts w:ascii="Arial" w:eastAsia="Calibri" w:hAnsi="Arial" w:cs="Arial"/>
          <w:i/>
          <w:sz w:val="22"/>
          <w:szCs w:val="22"/>
        </w:rPr>
        <w:t>further police investigations into the Libyan allegations may take some considerable time to conclude</w:t>
      </w:r>
      <w:r w:rsidR="00E20D39" w:rsidRPr="00D15E47">
        <w:rPr>
          <w:rFonts w:ascii="Arial" w:eastAsia="Calibri" w:hAnsi="Arial" w:cs="Arial"/>
          <w:sz w:val="22"/>
          <w:szCs w:val="22"/>
        </w:rPr>
        <w:t>” and</w:t>
      </w:r>
      <w:r w:rsidR="00577841" w:rsidRPr="00D15E47">
        <w:rPr>
          <w:rFonts w:ascii="Arial" w:hAnsi="Arial" w:cs="Arial"/>
          <w:sz w:val="22"/>
          <w:szCs w:val="22"/>
          <w:lang w:val="en-US"/>
        </w:rPr>
        <w:t xml:space="preserve"> “</w:t>
      </w:r>
      <w:r w:rsidR="00577841" w:rsidRPr="00D15E47">
        <w:rPr>
          <w:rFonts w:ascii="Arial" w:hAnsi="Arial" w:cs="Arial"/>
          <w:i/>
          <w:sz w:val="22"/>
          <w:szCs w:val="22"/>
          <w:lang w:val="en-US"/>
        </w:rPr>
        <w:t>following consultations with Sir Peter Gibson, the chair of the Inquiry</w:t>
      </w:r>
      <w:r w:rsidR="005917DC">
        <w:rPr>
          <w:rFonts w:ascii="Arial" w:hAnsi="Arial" w:cs="Arial"/>
          <w:i/>
          <w:sz w:val="22"/>
          <w:szCs w:val="22"/>
          <w:lang w:val="en-US"/>
        </w:rPr>
        <w:t>,</w:t>
      </w:r>
      <w:r w:rsidR="00577841" w:rsidRPr="00D15E47">
        <w:rPr>
          <w:rFonts w:ascii="Arial" w:hAnsi="Arial" w:cs="Arial"/>
          <w:i/>
          <w:sz w:val="22"/>
          <w:szCs w:val="22"/>
          <w:lang w:val="en-US"/>
        </w:rPr>
        <w:t xml:space="preserve"> we have decided to bring the work</w:t>
      </w:r>
      <w:r w:rsidR="00E20D39" w:rsidRPr="00D15E47">
        <w:rPr>
          <w:rFonts w:ascii="Arial" w:hAnsi="Arial" w:cs="Arial"/>
          <w:i/>
          <w:sz w:val="22"/>
          <w:szCs w:val="22"/>
          <w:lang w:val="en-US"/>
        </w:rPr>
        <w:t xml:space="preserve"> of his Inquiry to a conclusion</w:t>
      </w:r>
      <w:r w:rsidR="00D15E47" w:rsidRPr="00D15E47">
        <w:rPr>
          <w:rFonts w:ascii="Arial" w:hAnsi="Arial" w:cs="Arial"/>
          <w:sz w:val="22"/>
          <w:szCs w:val="22"/>
          <w:lang w:val="en-US"/>
        </w:rPr>
        <w:t>.”</w:t>
      </w:r>
      <w:r w:rsidR="00EF184C">
        <w:rPr>
          <w:rStyle w:val="FootnoteReference"/>
          <w:rFonts w:ascii="Arial" w:hAnsi="Arial" w:cs="Arial"/>
          <w:sz w:val="22"/>
          <w:szCs w:val="22"/>
          <w:lang w:val="en-US"/>
        </w:rPr>
        <w:footnoteReference w:id="7"/>
      </w:r>
      <w:r w:rsidR="00D15E47" w:rsidRPr="00D15E47">
        <w:rPr>
          <w:rFonts w:ascii="Arial" w:hAnsi="Arial" w:cs="Arial"/>
          <w:sz w:val="22"/>
          <w:szCs w:val="22"/>
          <w:lang w:val="en-US"/>
        </w:rPr>
        <w:t xml:space="preserve"> </w:t>
      </w:r>
      <w:r w:rsidR="00D15E47">
        <w:rPr>
          <w:rFonts w:ascii="Arial" w:hAnsi="Arial" w:cs="Arial"/>
          <w:sz w:val="22"/>
          <w:szCs w:val="22"/>
          <w:lang w:val="en-US"/>
        </w:rPr>
        <w:t xml:space="preserve">It was agreed that the Inquiry would </w:t>
      </w:r>
      <w:r w:rsidR="00D15E47" w:rsidRPr="00D15E47">
        <w:rPr>
          <w:rFonts w:ascii="Arial" w:eastAsia="Calibri" w:hAnsi="Arial" w:cs="Arial"/>
          <w:color w:val="000000"/>
          <w:sz w:val="22"/>
          <w:szCs w:val="22"/>
        </w:rPr>
        <w:t xml:space="preserve">provide the </w:t>
      </w:r>
      <w:r w:rsidR="00316839">
        <w:rPr>
          <w:rFonts w:ascii="Arial" w:eastAsia="Calibri" w:hAnsi="Arial" w:cs="Arial"/>
          <w:color w:val="000000"/>
          <w:sz w:val="22"/>
          <w:szCs w:val="22"/>
        </w:rPr>
        <w:t xml:space="preserve">UK </w:t>
      </w:r>
      <w:r w:rsidR="00D15E47" w:rsidRPr="00D15E47">
        <w:rPr>
          <w:rFonts w:ascii="Arial" w:eastAsia="Calibri" w:hAnsi="Arial" w:cs="Arial"/>
          <w:color w:val="000000"/>
          <w:sz w:val="22"/>
          <w:szCs w:val="22"/>
        </w:rPr>
        <w:t xml:space="preserve">Government with a report on its preparatory work to date, highlighting particular themes or issues </w:t>
      </w:r>
      <w:r w:rsidR="00D15E47">
        <w:rPr>
          <w:rFonts w:ascii="Arial" w:eastAsia="Calibri" w:hAnsi="Arial" w:cs="Arial"/>
          <w:color w:val="000000"/>
          <w:sz w:val="22"/>
          <w:szCs w:val="22"/>
        </w:rPr>
        <w:t>that</w:t>
      </w:r>
      <w:r w:rsidR="00D15E47" w:rsidRPr="00D15E47">
        <w:rPr>
          <w:rFonts w:ascii="Arial" w:eastAsia="Calibri" w:hAnsi="Arial" w:cs="Arial"/>
          <w:color w:val="000000"/>
          <w:sz w:val="22"/>
          <w:szCs w:val="22"/>
        </w:rPr>
        <w:t xml:space="preserve"> might be the subject of further examination</w:t>
      </w:r>
      <w:r w:rsidR="00D15E47">
        <w:rPr>
          <w:rFonts w:ascii="Arial" w:eastAsia="Calibri" w:hAnsi="Arial" w:cs="Arial"/>
          <w:color w:val="000000"/>
          <w:sz w:val="22"/>
          <w:szCs w:val="22"/>
        </w:rPr>
        <w:t>.</w:t>
      </w:r>
      <w:r w:rsidR="00E20D39">
        <w:rPr>
          <w:rStyle w:val="FootnoteReference"/>
          <w:rFonts w:ascii="Arial" w:hAnsi="Arial" w:cs="Arial"/>
          <w:sz w:val="22"/>
          <w:szCs w:val="22"/>
          <w:lang w:val="en-US"/>
        </w:rPr>
        <w:footnoteReference w:id="8"/>
      </w:r>
      <w:r w:rsidR="00E20D39" w:rsidRPr="00D15E47">
        <w:rPr>
          <w:rFonts w:ascii="Arial" w:hAnsi="Arial" w:cs="Arial"/>
          <w:sz w:val="22"/>
          <w:szCs w:val="22"/>
          <w:lang w:val="en-US"/>
        </w:rPr>
        <w:t xml:space="preserve"> </w:t>
      </w:r>
    </w:p>
    <w:p w:rsidR="00D15E47" w:rsidRPr="00D15E47" w:rsidRDefault="00B1320C" w:rsidP="008153BF">
      <w:pPr>
        <w:pStyle w:val="ListParagraph"/>
        <w:numPr>
          <w:ilvl w:val="0"/>
          <w:numId w:val="25"/>
        </w:numPr>
        <w:tabs>
          <w:tab w:val="left" w:pos="720"/>
        </w:tabs>
        <w:autoSpaceDE w:val="0"/>
        <w:autoSpaceDN w:val="0"/>
        <w:adjustRightInd w:val="0"/>
        <w:jc w:val="both"/>
        <w:rPr>
          <w:sz w:val="22"/>
          <w:szCs w:val="22"/>
        </w:rPr>
      </w:pPr>
      <w:r>
        <w:rPr>
          <w:rFonts w:ascii="Arial" w:eastAsia="Calibri" w:hAnsi="Arial" w:cs="Arial"/>
          <w:color w:val="000000"/>
          <w:sz w:val="22"/>
          <w:szCs w:val="22"/>
        </w:rPr>
        <w:t xml:space="preserve">In 2013, the Committee </w:t>
      </w:r>
      <w:r w:rsidR="004C39BD" w:rsidRPr="004C39BD">
        <w:rPr>
          <w:rFonts w:ascii="Arial" w:hAnsi="Arial" w:cs="Arial"/>
          <w:bCs/>
          <w:color w:val="000000"/>
          <w:sz w:val="22"/>
          <w:szCs w:val="22"/>
        </w:rPr>
        <w:t xml:space="preserve">recommended the </w:t>
      </w:r>
      <w:r w:rsidR="00AC2D72">
        <w:rPr>
          <w:rFonts w:ascii="Arial" w:hAnsi="Arial" w:cs="Arial"/>
          <w:bCs/>
          <w:color w:val="000000"/>
          <w:sz w:val="22"/>
          <w:szCs w:val="22"/>
        </w:rPr>
        <w:t>UK</w:t>
      </w:r>
      <w:r w:rsidR="00F54C1D">
        <w:rPr>
          <w:rFonts w:ascii="Arial" w:hAnsi="Arial" w:cs="Arial"/>
          <w:bCs/>
          <w:color w:val="000000"/>
          <w:sz w:val="22"/>
          <w:szCs w:val="22"/>
        </w:rPr>
        <w:t xml:space="preserve"> Government</w:t>
      </w:r>
      <w:r w:rsidR="004C39BD" w:rsidRPr="004C39BD">
        <w:rPr>
          <w:rFonts w:ascii="Arial" w:hAnsi="Arial" w:cs="Arial"/>
          <w:bCs/>
          <w:color w:val="000000"/>
          <w:sz w:val="22"/>
          <w:szCs w:val="22"/>
        </w:rPr>
        <w:t xml:space="preserve"> </w:t>
      </w:r>
      <w:r w:rsidR="00864B78" w:rsidRPr="007972B9">
        <w:rPr>
          <w:rFonts w:ascii="Arial" w:hAnsi="Arial" w:cs="Arial"/>
          <w:bCs/>
          <w:i/>
          <w:color w:val="000000"/>
          <w:sz w:val="22"/>
          <w:szCs w:val="22"/>
        </w:rPr>
        <w:t>“</w:t>
      </w:r>
      <w:r w:rsidR="004C39BD" w:rsidRPr="007972B9">
        <w:rPr>
          <w:rFonts w:ascii="Arial" w:hAnsi="Arial" w:cs="Arial"/>
          <w:bCs/>
          <w:i/>
          <w:color w:val="000000"/>
          <w:sz w:val="22"/>
          <w:szCs w:val="22"/>
        </w:rPr>
        <w:t>establish without further delay an inquiry on alleged acts of torture and other ill-treatment of detainees held overseas committed by or at the instigation of or with the consent or acquiescence of British official</w:t>
      </w:r>
      <w:r w:rsidR="00BB0F45">
        <w:rPr>
          <w:rFonts w:ascii="Arial" w:hAnsi="Arial" w:cs="Arial"/>
          <w:bCs/>
          <w:i/>
          <w:color w:val="000000"/>
          <w:sz w:val="22"/>
          <w:szCs w:val="22"/>
        </w:rPr>
        <w:t>s</w:t>
      </w:r>
      <w:r w:rsidR="004C39BD" w:rsidRPr="007972B9">
        <w:rPr>
          <w:rFonts w:ascii="Arial" w:hAnsi="Arial" w:cs="Arial"/>
          <w:bCs/>
          <w:i/>
          <w:color w:val="000000"/>
          <w:sz w:val="22"/>
          <w:szCs w:val="22"/>
        </w:rPr>
        <w:t>.</w:t>
      </w:r>
      <w:r w:rsidR="00864B78" w:rsidRPr="007972B9">
        <w:rPr>
          <w:rFonts w:ascii="Arial" w:hAnsi="Arial" w:cs="Arial"/>
          <w:bCs/>
          <w:i/>
          <w:color w:val="000000"/>
          <w:sz w:val="22"/>
          <w:szCs w:val="22"/>
        </w:rPr>
        <w:t>”</w:t>
      </w:r>
      <w:r w:rsidR="004C39BD" w:rsidRPr="004C39BD">
        <w:rPr>
          <w:rFonts w:ascii="Arial" w:hAnsi="Arial" w:cs="Arial"/>
          <w:bCs/>
          <w:color w:val="000000"/>
          <w:sz w:val="22"/>
          <w:szCs w:val="22"/>
        </w:rPr>
        <w:t xml:space="preserve"> </w:t>
      </w:r>
      <w:r w:rsidR="00F54C1D">
        <w:rPr>
          <w:rFonts w:ascii="Arial" w:hAnsi="Arial" w:cs="Arial"/>
          <w:bCs/>
          <w:color w:val="000000"/>
          <w:sz w:val="22"/>
          <w:szCs w:val="22"/>
        </w:rPr>
        <w:t>The UK Government</w:t>
      </w:r>
      <w:r w:rsidR="00F54C1D" w:rsidRPr="004C39BD">
        <w:rPr>
          <w:rFonts w:ascii="Arial" w:hAnsi="Arial" w:cs="Arial"/>
          <w:bCs/>
          <w:color w:val="000000"/>
          <w:sz w:val="22"/>
          <w:szCs w:val="22"/>
        </w:rPr>
        <w:t xml:space="preserve"> </w:t>
      </w:r>
      <w:r w:rsidR="004C39BD" w:rsidRPr="004C39BD">
        <w:rPr>
          <w:rFonts w:ascii="Arial" w:hAnsi="Arial" w:cs="Arial"/>
          <w:bCs/>
          <w:color w:val="000000"/>
          <w:sz w:val="22"/>
          <w:szCs w:val="22"/>
        </w:rPr>
        <w:t xml:space="preserve">should ensure that the new inquiry is </w:t>
      </w:r>
      <w:r w:rsidR="00864B78" w:rsidRPr="007972B9">
        <w:rPr>
          <w:rFonts w:ascii="Arial" w:hAnsi="Arial" w:cs="Arial"/>
          <w:bCs/>
          <w:i/>
          <w:color w:val="000000"/>
          <w:sz w:val="22"/>
          <w:szCs w:val="22"/>
        </w:rPr>
        <w:t>“</w:t>
      </w:r>
      <w:r w:rsidR="004C39BD" w:rsidRPr="007972B9">
        <w:rPr>
          <w:rFonts w:ascii="Arial" w:hAnsi="Arial" w:cs="Arial"/>
          <w:bCs/>
          <w:i/>
          <w:color w:val="000000"/>
          <w:sz w:val="22"/>
          <w:szCs w:val="22"/>
        </w:rPr>
        <w:t>designed to satisfactorily address the shortcomings of the ‘Detainee Inquiry’ identified by a broad range of actors</w:t>
      </w:r>
      <w:r w:rsidR="00EF184C" w:rsidRPr="00EF184C">
        <w:rPr>
          <w:rFonts w:ascii="Arial" w:hAnsi="Arial" w:cs="Arial"/>
          <w:bCs/>
          <w:i/>
          <w:color w:val="000000"/>
          <w:sz w:val="22"/>
          <w:szCs w:val="22"/>
        </w:rPr>
        <w:t>.</w:t>
      </w:r>
      <w:r w:rsidR="00864B78" w:rsidRPr="00EF184C">
        <w:rPr>
          <w:rFonts w:ascii="Arial" w:hAnsi="Arial" w:cs="Arial"/>
          <w:bCs/>
          <w:i/>
          <w:color w:val="000000"/>
          <w:sz w:val="22"/>
          <w:szCs w:val="22"/>
        </w:rPr>
        <w:t>”</w:t>
      </w:r>
      <w:r w:rsidR="00EF184C" w:rsidRPr="00EF184C">
        <w:rPr>
          <w:rFonts w:ascii="Arial" w:hAnsi="Arial" w:cs="Arial"/>
          <w:bCs/>
          <w:i/>
          <w:color w:val="000000"/>
          <w:sz w:val="22"/>
          <w:szCs w:val="22"/>
        </w:rPr>
        <w:t xml:space="preserve"> </w:t>
      </w:r>
      <w:r w:rsidR="00EF184C" w:rsidRPr="00EF184C">
        <w:rPr>
          <w:rFonts w:ascii="Arial" w:hAnsi="Arial" w:cs="Arial"/>
          <w:bCs/>
          <w:color w:val="000000"/>
          <w:sz w:val="22"/>
          <w:szCs w:val="22"/>
        </w:rPr>
        <w:t>The Committee encouraged the UK “</w:t>
      </w:r>
      <w:r w:rsidR="00EF184C" w:rsidRPr="00EF184C">
        <w:rPr>
          <w:rFonts w:ascii="Arial" w:hAnsi="Arial" w:cs="Arial"/>
          <w:bCs/>
          <w:i/>
          <w:color w:val="000000"/>
          <w:sz w:val="22"/>
          <w:szCs w:val="22"/>
        </w:rPr>
        <w:t xml:space="preserve">to give due consideration to the </w:t>
      </w:r>
      <w:r w:rsidR="00EF184C" w:rsidRPr="00EF184C">
        <w:rPr>
          <w:rFonts w:ascii="Arial" w:hAnsi="Arial" w:cs="Arial"/>
          <w:bCs/>
          <w:i/>
          <w:color w:val="000000"/>
          <w:sz w:val="22"/>
          <w:szCs w:val="22"/>
        </w:rPr>
        <w:lastRenderedPageBreak/>
        <w:t>report of the UN Special Rapporteur on Torture on best practices for commissions of inquiry into allegations of this nature (A/HRC/22/52).”</w:t>
      </w:r>
      <w:r w:rsidR="00FA286D" w:rsidRPr="00EF184C">
        <w:rPr>
          <w:rStyle w:val="FootnoteReference"/>
          <w:rFonts w:ascii="Arial" w:eastAsia="Calibri" w:hAnsi="Arial" w:cs="Arial"/>
          <w:i/>
          <w:color w:val="000000"/>
          <w:sz w:val="22"/>
          <w:szCs w:val="22"/>
        </w:rPr>
        <w:footnoteReference w:id="9"/>
      </w:r>
    </w:p>
    <w:p w:rsidR="00FA33A1" w:rsidRPr="00762CFD" w:rsidRDefault="00FA33A1" w:rsidP="008153BF">
      <w:pPr>
        <w:pStyle w:val="ListParagraph"/>
        <w:numPr>
          <w:ilvl w:val="0"/>
          <w:numId w:val="25"/>
        </w:numPr>
        <w:tabs>
          <w:tab w:val="left" w:pos="720"/>
        </w:tabs>
        <w:autoSpaceDE w:val="0"/>
        <w:autoSpaceDN w:val="0"/>
        <w:adjustRightInd w:val="0"/>
        <w:jc w:val="both"/>
        <w:rPr>
          <w:sz w:val="22"/>
          <w:szCs w:val="22"/>
        </w:rPr>
      </w:pPr>
      <w:r w:rsidRPr="00D15E47">
        <w:rPr>
          <w:rFonts w:ascii="Arial" w:eastAsia="Calibri" w:hAnsi="Arial" w:cs="Arial"/>
          <w:color w:val="000000"/>
          <w:sz w:val="22"/>
          <w:szCs w:val="22"/>
        </w:rPr>
        <w:t>In December 2013, the Detainee Inquiry published a report on its preparatory work.</w:t>
      </w:r>
      <w:r>
        <w:rPr>
          <w:rStyle w:val="FootnoteReference"/>
          <w:rFonts w:ascii="Arial" w:eastAsia="Calibri" w:hAnsi="Arial" w:cs="Arial"/>
          <w:color w:val="000000"/>
          <w:sz w:val="22"/>
          <w:szCs w:val="22"/>
        </w:rPr>
        <w:footnoteReference w:id="10"/>
      </w:r>
      <w:r w:rsidR="00D15E47" w:rsidRPr="00D15E47">
        <w:rPr>
          <w:rFonts w:ascii="Arial" w:eastAsia="Calibri" w:hAnsi="Arial" w:cs="Arial"/>
          <w:color w:val="000000"/>
          <w:sz w:val="22"/>
          <w:szCs w:val="22"/>
        </w:rPr>
        <w:t xml:space="preserve"> </w:t>
      </w:r>
      <w:r w:rsidR="00762CFD">
        <w:rPr>
          <w:rFonts w:ascii="Arial" w:eastAsia="Calibri" w:hAnsi="Arial" w:cs="Arial"/>
          <w:color w:val="000000"/>
          <w:sz w:val="22"/>
          <w:szCs w:val="22"/>
        </w:rPr>
        <w:t xml:space="preserve">The </w:t>
      </w:r>
      <w:r w:rsidR="00316839">
        <w:rPr>
          <w:rFonts w:ascii="Arial" w:eastAsia="Calibri" w:hAnsi="Arial" w:cs="Arial"/>
          <w:color w:val="000000"/>
          <w:sz w:val="22"/>
          <w:szCs w:val="22"/>
        </w:rPr>
        <w:t xml:space="preserve">UK </w:t>
      </w:r>
      <w:r w:rsidR="00762CFD">
        <w:rPr>
          <w:rFonts w:ascii="Arial" w:eastAsia="Calibri" w:hAnsi="Arial" w:cs="Arial"/>
          <w:color w:val="000000"/>
          <w:sz w:val="22"/>
          <w:szCs w:val="22"/>
        </w:rPr>
        <w:t>Government announced the sa</w:t>
      </w:r>
      <w:r w:rsidR="00762CFD" w:rsidRPr="00762CFD">
        <w:rPr>
          <w:rFonts w:ascii="Arial" w:eastAsia="Calibri" w:hAnsi="Arial" w:cs="Arial"/>
          <w:color w:val="000000"/>
          <w:sz w:val="22"/>
          <w:szCs w:val="22"/>
        </w:rPr>
        <w:t>me day that the Prime Minister had</w:t>
      </w:r>
      <w:r w:rsidR="00D15E47" w:rsidRPr="00762CFD">
        <w:rPr>
          <w:rFonts w:ascii="Arial" w:eastAsia="Calibri" w:hAnsi="Arial" w:cs="Arial"/>
          <w:color w:val="000000"/>
          <w:sz w:val="22"/>
          <w:szCs w:val="22"/>
        </w:rPr>
        <w:t xml:space="preserve"> </w:t>
      </w:r>
      <w:r w:rsidR="00762CFD" w:rsidRPr="00762CFD">
        <w:rPr>
          <w:rFonts w:ascii="Arial" w:eastAsia="Calibri" w:hAnsi="Arial" w:cs="Arial"/>
          <w:color w:val="000000"/>
          <w:sz w:val="22"/>
          <w:szCs w:val="22"/>
        </w:rPr>
        <w:t>“</w:t>
      </w:r>
      <w:r w:rsidR="00D15E47" w:rsidRPr="00762CFD">
        <w:rPr>
          <w:rFonts w:ascii="Arial" w:eastAsia="Calibri" w:hAnsi="Arial" w:cs="Arial"/>
          <w:i/>
          <w:color w:val="000000"/>
          <w:sz w:val="22"/>
          <w:szCs w:val="22"/>
        </w:rPr>
        <w:t>discussed and agreed with the Intelligence and Security Committee of Parliament that it will inquire into the themes and issues that Sir Peter has raised, take further evidence, and report to the Government and to Parliament on the outcome of its inquiry. Additional resources will be provided to the Committee to undertake that work</w:t>
      </w:r>
      <w:r w:rsidR="00762CFD" w:rsidRPr="00762CFD">
        <w:rPr>
          <w:rFonts w:ascii="Arial" w:eastAsia="Calibri" w:hAnsi="Arial" w:cs="Arial"/>
          <w:color w:val="000000"/>
          <w:sz w:val="22"/>
          <w:szCs w:val="22"/>
        </w:rPr>
        <w:t>.”</w:t>
      </w:r>
      <w:r w:rsidR="00762CFD">
        <w:rPr>
          <w:rStyle w:val="FootnoteReference"/>
          <w:rFonts w:ascii="Arial" w:eastAsia="Calibri" w:hAnsi="Arial" w:cs="Arial"/>
          <w:color w:val="000000"/>
          <w:sz w:val="22"/>
          <w:szCs w:val="22"/>
        </w:rPr>
        <w:footnoteReference w:id="11"/>
      </w:r>
    </w:p>
    <w:p w:rsidR="00FA286D" w:rsidRPr="00FA286D" w:rsidRDefault="00AF6BBC" w:rsidP="008153BF">
      <w:pPr>
        <w:pStyle w:val="ListParagraph"/>
        <w:numPr>
          <w:ilvl w:val="0"/>
          <w:numId w:val="25"/>
        </w:numPr>
        <w:tabs>
          <w:tab w:val="left" w:pos="720"/>
        </w:tabs>
        <w:autoSpaceDE w:val="0"/>
        <w:autoSpaceDN w:val="0"/>
        <w:adjustRightInd w:val="0"/>
        <w:jc w:val="both"/>
        <w:rPr>
          <w:sz w:val="22"/>
          <w:szCs w:val="22"/>
        </w:rPr>
      </w:pPr>
      <w:r>
        <w:rPr>
          <w:rFonts w:ascii="Arial" w:eastAsia="Calibri" w:hAnsi="Arial" w:cs="Arial"/>
          <w:color w:val="000000"/>
          <w:sz w:val="22"/>
          <w:szCs w:val="22"/>
        </w:rPr>
        <w:t>In 2015</w:t>
      </w:r>
      <w:r w:rsidR="00FA286D">
        <w:rPr>
          <w:rFonts w:ascii="Arial" w:eastAsia="Calibri" w:hAnsi="Arial" w:cs="Arial"/>
          <w:color w:val="000000"/>
          <w:sz w:val="22"/>
          <w:szCs w:val="22"/>
        </w:rPr>
        <w:t xml:space="preserve">, the </w:t>
      </w:r>
      <w:r w:rsidR="005D3F18">
        <w:rPr>
          <w:rFonts w:ascii="Arial" w:eastAsia="Calibri" w:hAnsi="Arial" w:cs="Arial"/>
          <w:color w:val="000000"/>
          <w:sz w:val="22"/>
          <w:szCs w:val="22"/>
        </w:rPr>
        <w:t xml:space="preserve">UN </w:t>
      </w:r>
      <w:r w:rsidR="00FA286D">
        <w:rPr>
          <w:rFonts w:ascii="Arial" w:eastAsia="Calibri" w:hAnsi="Arial" w:cs="Arial"/>
          <w:color w:val="000000"/>
          <w:sz w:val="22"/>
          <w:szCs w:val="22"/>
        </w:rPr>
        <w:t>Human Rights Committee stated that it was</w:t>
      </w:r>
      <w:r w:rsidR="00B5321C" w:rsidRPr="00AE424E">
        <w:rPr>
          <w:rFonts w:ascii="Arial" w:eastAsia="Calibri" w:hAnsi="Arial" w:cs="Arial"/>
          <w:color w:val="000000"/>
          <w:sz w:val="22"/>
          <w:szCs w:val="22"/>
        </w:rPr>
        <w:t xml:space="preserve"> </w:t>
      </w:r>
      <w:r w:rsidR="00FA286D" w:rsidRPr="007972B9">
        <w:rPr>
          <w:rFonts w:ascii="Arial" w:eastAsia="Calibri" w:hAnsi="Arial" w:cs="Arial"/>
          <w:i/>
          <w:color w:val="000000"/>
          <w:sz w:val="22"/>
          <w:szCs w:val="22"/>
        </w:rPr>
        <w:t>“</w:t>
      </w:r>
      <w:r w:rsidR="00B5321C" w:rsidRPr="007972B9">
        <w:rPr>
          <w:rFonts w:ascii="Arial" w:eastAsia="Calibri" w:hAnsi="Arial" w:cs="Arial"/>
          <w:i/>
          <w:color w:val="000000"/>
          <w:sz w:val="22"/>
          <w:szCs w:val="22"/>
        </w:rPr>
        <w:t>concerned about the slow progress in proceedings before the Intelligence and Security Committee of Parliament (ISC) in relation to the Detainee Inquiry</w:t>
      </w:r>
      <w:r w:rsidR="005733FB" w:rsidRPr="007972B9">
        <w:rPr>
          <w:rFonts w:ascii="Arial" w:eastAsia="Calibri" w:hAnsi="Arial" w:cs="Arial"/>
          <w:i/>
          <w:color w:val="000000"/>
          <w:sz w:val="22"/>
          <w:szCs w:val="22"/>
        </w:rPr>
        <w:t xml:space="preserve"> and</w:t>
      </w:r>
      <w:r w:rsidR="00B5321C" w:rsidRPr="007972B9">
        <w:rPr>
          <w:rFonts w:ascii="Arial" w:eastAsia="Calibri" w:hAnsi="Arial" w:cs="Arial"/>
          <w:i/>
          <w:color w:val="000000"/>
          <w:sz w:val="22"/>
          <w:szCs w:val="22"/>
        </w:rPr>
        <w:t xml:space="preserve"> </w:t>
      </w:r>
      <w:r w:rsidR="00AE424E" w:rsidRPr="007972B9">
        <w:rPr>
          <w:rFonts w:ascii="Arial" w:eastAsia="Calibri" w:hAnsi="Arial" w:cs="Arial"/>
          <w:i/>
          <w:color w:val="000000"/>
          <w:sz w:val="22"/>
          <w:szCs w:val="22"/>
        </w:rPr>
        <w:t xml:space="preserve">also </w:t>
      </w:r>
      <w:r w:rsidR="00B5321C" w:rsidRPr="007972B9">
        <w:rPr>
          <w:rFonts w:ascii="Arial" w:eastAsia="Calibri" w:hAnsi="Arial" w:cs="Arial"/>
          <w:i/>
          <w:color w:val="000000"/>
          <w:sz w:val="22"/>
          <w:szCs w:val="22"/>
        </w:rPr>
        <w:t xml:space="preserve">the adequacy of the </w:t>
      </w:r>
      <w:r w:rsidR="007B5CDA" w:rsidRPr="007972B9">
        <w:rPr>
          <w:rFonts w:ascii="Arial" w:eastAsia="Calibri" w:hAnsi="Arial" w:cs="Arial"/>
          <w:i/>
          <w:color w:val="000000"/>
          <w:sz w:val="22"/>
          <w:szCs w:val="22"/>
        </w:rPr>
        <w:t>ISC</w:t>
      </w:r>
      <w:r w:rsidR="00B5321C" w:rsidRPr="007972B9">
        <w:rPr>
          <w:rFonts w:ascii="Arial" w:eastAsia="Calibri" w:hAnsi="Arial" w:cs="Arial"/>
          <w:i/>
          <w:color w:val="000000"/>
          <w:sz w:val="22"/>
          <w:szCs w:val="22"/>
        </w:rPr>
        <w:t xml:space="preserve"> as an investigation mechanism, given concerns about its independence from the executive power and the power of the government to withhold sensitive info</w:t>
      </w:r>
      <w:r w:rsidR="007B5CDA" w:rsidRPr="007972B9">
        <w:rPr>
          <w:rFonts w:ascii="Arial" w:eastAsia="Calibri" w:hAnsi="Arial" w:cs="Arial"/>
          <w:i/>
          <w:color w:val="000000"/>
          <w:sz w:val="22"/>
          <w:szCs w:val="22"/>
        </w:rPr>
        <w:t>rmation from it.</w:t>
      </w:r>
      <w:r w:rsidR="00FA286D" w:rsidRPr="007972B9">
        <w:rPr>
          <w:rFonts w:ascii="Arial" w:eastAsia="Calibri" w:hAnsi="Arial" w:cs="Arial"/>
          <w:i/>
          <w:color w:val="000000"/>
          <w:sz w:val="22"/>
          <w:szCs w:val="22"/>
        </w:rPr>
        <w:t>”</w:t>
      </w:r>
      <w:r w:rsidR="00FA286D">
        <w:rPr>
          <w:rStyle w:val="FootnoteReference"/>
          <w:rFonts w:ascii="Arial" w:eastAsia="Calibri" w:hAnsi="Arial" w:cs="Arial"/>
          <w:color w:val="000000"/>
          <w:sz w:val="22"/>
          <w:szCs w:val="22"/>
        </w:rPr>
        <w:footnoteReference w:id="12"/>
      </w:r>
      <w:r w:rsidR="007B5CDA" w:rsidRPr="00AE424E">
        <w:rPr>
          <w:rFonts w:ascii="Arial" w:eastAsia="Calibri" w:hAnsi="Arial" w:cs="Arial"/>
          <w:color w:val="000000"/>
          <w:sz w:val="22"/>
          <w:szCs w:val="22"/>
        </w:rPr>
        <w:t xml:space="preserve"> </w:t>
      </w:r>
    </w:p>
    <w:p w:rsidR="00AE424E" w:rsidRPr="007972B9" w:rsidRDefault="00AE424E" w:rsidP="008153BF">
      <w:pPr>
        <w:pStyle w:val="ListParagraph"/>
        <w:numPr>
          <w:ilvl w:val="0"/>
          <w:numId w:val="25"/>
        </w:numPr>
        <w:tabs>
          <w:tab w:val="left" w:pos="720"/>
        </w:tabs>
        <w:autoSpaceDE w:val="0"/>
        <w:autoSpaceDN w:val="0"/>
        <w:adjustRightInd w:val="0"/>
        <w:jc w:val="both"/>
        <w:rPr>
          <w:rFonts w:ascii="Arial" w:hAnsi="Arial" w:cs="Arial"/>
          <w:i/>
          <w:sz w:val="22"/>
          <w:szCs w:val="22"/>
        </w:rPr>
      </w:pPr>
      <w:r w:rsidRPr="00AE424E">
        <w:rPr>
          <w:rFonts w:ascii="Arial" w:eastAsia="Calibri" w:hAnsi="Arial" w:cs="Arial"/>
          <w:color w:val="000000"/>
          <w:sz w:val="22"/>
          <w:szCs w:val="22"/>
        </w:rPr>
        <w:t xml:space="preserve">In October 2015, the ISC stated that </w:t>
      </w:r>
      <w:r w:rsidR="00FA286D">
        <w:rPr>
          <w:rFonts w:ascii="Arial" w:eastAsia="Calibri" w:hAnsi="Arial" w:cs="Arial"/>
          <w:iCs/>
          <w:color w:val="000000"/>
          <w:sz w:val="22"/>
          <w:szCs w:val="22"/>
        </w:rPr>
        <w:t>the i</w:t>
      </w:r>
      <w:r w:rsidRPr="00AE424E">
        <w:rPr>
          <w:rFonts w:ascii="Arial" w:eastAsia="Calibri" w:hAnsi="Arial" w:cs="Arial"/>
          <w:iCs/>
          <w:color w:val="000000"/>
          <w:sz w:val="22"/>
          <w:szCs w:val="22"/>
        </w:rPr>
        <w:t>nquiry into the role of the UK Government and Security and Intelligence Agencies in relation to de</w:t>
      </w:r>
      <w:r w:rsidR="00766F92">
        <w:rPr>
          <w:rFonts w:ascii="Arial" w:eastAsia="Calibri" w:hAnsi="Arial" w:cs="Arial"/>
          <w:iCs/>
          <w:color w:val="000000"/>
          <w:sz w:val="22"/>
          <w:szCs w:val="22"/>
        </w:rPr>
        <w:t xml:space="preserve">tainee treatment and rendition </w:t>
      </w:r>
      <w:r w:rsidRPr="00AE424E">
        <w:rPr>
          <w:rFonts w:ascii="Arial" w:eastAsia="Calibri" w:hAnsi="Arial" w:cs="Arial"/>
          <w:iCs/>
          <w:color w:val="000000"/>
          <w:sz w:val="22"/>
          <w:szCs w:val="22"/>
        </w:rPr>
        <w:t xml:space="preserve">was its </w:t>
      </w:r>
      <w:r w:rsidRPr="007972B9">
        <w:rPr>
          <w:rFonts w:ascii="Arial" w:eastAsia="Calibri" w:hAnsi="Arial" w:cs="Arial"/>
          <w:i/>
          <w:color w:val="000000"/>
          <w:sz w:val="22"/>
          <w:szCs w:val="22"/>
        </w:rPr>
        <w:t>“</w:t>
      </w:r>
      <w:r w:rsidRPr="007972B9">
        <w:rPr>
          <w:rFonts w:ascii="Arial" w:eastAsia="Calibri" w:hAnsi="Arial" w:cs="Arial"/>
          <w:i/>
          <w:iCs/>
          <w:color w:val="000000"/>
          <w:sz w:val="22"/>
          <w:szCs w:val="22"/>
        </w:rPr>
        <w:t>longer-term priority.”</w:t>
      </w:r>
      <w:r>
        <w:rPr>
          <w:rStyle w:val="FootnoteReference"/>
          <w:rFonts w:ascii="Arial" w:eastAsia="Calibri" w:hAnsi="Arial" w:cs="Arial"/>
          <w:iCs/>
          <w:color w:val="000000"/>
          <w:sz w:val="22"/>
          <w:szCs w:val="22"/>
        </w:rPr>
        <w:footnoteReference w:id="13"/>
      </w:r>
      <w:r w:rsidRPr="00AE424E">
        <w:rPr>
          <w:sz w:val="22"/>
          <w:szCs w:val="22"/>
        </w:rPr>
        <w:t xml:space="preserve"> </w:t>
      </w:r>
      <w:r w:rsidR="00F54C1D" w:rsidRPr="007972B9">
        <w:rPr>
          <w:rFonts w:ascii="Arial" w:hAnsi="Arial" w:cs="Arial"/>
          <w:sz w:val="22"/>
          <w:szCs w:val="22"/>
        </w:rPr>
        <w:t>On 15 December</w:t>
      </w:r>
      <w:r w:rsidR="00F54C1D">
        <w:rPr>
          <w:rFonts w:ascii="Arial" w:hAnsi="Arial" w:cs="Arial"/>
          <w:sz w:val="22"/>
          <w:szCs w:val="22"/>
        </w:rPr>
        <w:t xml:space="preserve"> 2015, the EHRC and Northern Ireland Human Rights Commission wrote to the Chair of the Intelligence and Security Committee noting that we consider it vital that </w:t>
      </w:r>
      <w:r w:rsidR="00F54C1D" w:rsidRPr="007972B9">
        <w:rPr>
          <w:rFonts w:ascii="Arial" w:hAnsi="Arial" w:cs="Arial"/>
          <w:i/>
          <w:sz w:val="22"/>
          <w:szCs w:val="22"/>
        </w:rPr>
        <w:t>“a properly resourced inquiry is carried out within an expedited timetable.”</w:t>
      </w:r>
      <w:r w:rsidR="00F54C1D">
        <w:rPr>
          <w:rFonts w:ascii="Arial" w:hAnsi="Arial" w:cs="Arial"/>
          <w:i/>
          <w:sz w:val="22"/>
          <w:szCs w:val="22"/>
        </w:rPr>
        <w:t xml:space="preserve"> </w:t>
      </w:r>
      <w:r w:rsidR="00940C3B">
        <w:rPr>
          <w:rFonts w:ascii="Arial" w:hAnsi="Arial" w:cs="Arial"/>
          <w:sz w:val="22"/>
          <w:szCs w:val="22"/>
        </w:rPr>
        <w:t xml:space="preserve">We received a response on 16 December, which noted that </w:t>
      </w:r>
      <w:r w:rsidR="00940C3B" w:rsidRPr="007972B9">
        <w:rPr>
          <w:rFonts w:ascii="Arial" w:hAnsi="Arial" w:cs="Arial"/>
          <w:i/>
          <w:sz w:val="22"/>
          <w:szCs w:val="22"/>
        </w:rPr>
        <w:t>“</w:t>
      </w:r>
      <w:r w:rsidR="00940C3B">
        <w:rPr>
          <w:rFonts w:ascii="Arial" w:hAnsi="Arial" w:cs="Arial"/>
          <w:i/>
          <w:sz w:val="22"/>
          <w:szCs w:val="22"/>
        </w:rPr>
        <w:t>whilst the Committee will make every effort to report in a reasonable timeframe, we can only do so once we have considered all of the evidence… it is preferable for us to take our time and follow the evidence rather than rus</w:t>
      </w:r>
      <w:r w:rsidR="000A6F11">
        <w:rPr>
          <w:rFonts w:ascii="Arial" w:hAnsi="Arial" w:cs="Arial"/>
          <w:i/>
          <w:sz w:val="22"/>
          <w:szCs w:val="22"/>
        </w:rPr>
        <w:t>h to meet a particular deadline</w:t>
      </w:r>
      <w:r w:rsidR="00940C3B">
        <w:rPr>
          <w:rFonts w:ascii="Arial" w:hAnsi="Arial" w:cs="Arial"/>
          <w:i/>
          <w:sz w:val="22"/>
          <w:szCs w:val="22"/>
        </w:rPr>
        <w:t>”</w:t>
      </w:r>
      <w:r w:rsidR="0033009D">
        <w:rPr>
          <w:rFonts w:ascii="Arial" w:hAnsi="Arial" w:cs="Arial"/>
          <w:i/>
          <w:sz w:val="22"/>
          <w:szCs w:val="22"/>
        </w:rPr>
        <w:t xml:space="preserve"> (see appendix 1).</w:t>
      </w:r>
    </w:p>
    <w:p w:rsidR="00940C3B" w:rsidRDefault="00940C3B" w:rsidP="008153BF">
      <w:pPr>
        <w:pStyle w:val="ListParagraph"/>
        <w:tabs>
          <w:tab w:val="left" w:pos="720"/>
        </w:tabs>
        <w:autoSpaceDE w:val="0"/>
        <w:autoSpaceDN w:val="0"/>
        <w:adjustRightInd w:val="0"/>
        <w:ind w:left="0"/>
        <w:jc w:val="both"/>
        <w:rPr>
          <w:rFonts w:ascii="Arial" w:eastAsia="Calibri" w:hAnsi="Arial" w:cs="Arial"/>
          <w:color w:val="000000"/>
          <w:sz w:val="22"/>
          <w:szCs w:val="22"/>
        </w:rPr>
      </w:pPr>
    </w:p>
    <w:p w:rsidR="005733FB" w:rsidRDefault="00940C3B" w:rsidP="008153BF">
      <w:pPr>
        <w:pStyle w:val="ListParagraph"/>
        <w:numPr>
          <w:ilvl w:val="0"/>
          <w:numId w:val="25"/>
        </w:numPr>
        <w:tabs>
          <w:tab w:val="left" w:pos="720"/>
        </w:tabs>
        <w:autoSpaceDE w:val="0"/>
        <w:autoSpaceDN w:val="0"/>
        <w:adjustRightInd w:val="0"/>
        <w:jc w:val="both"/>
        <w:rPr>
          <w:sz w:val="22"/>
          <w:szCs w:val="22"/>
        </w:rPr>
      </w:pPr>
      <w:r w:rsidRPr="007972B9">
        <w:rPr>
          <w:rFonts w:ascii="Arial" w:eastAsia="Calibri" w:hAnsi="Arial" w:cs="Arial"/>
          <w:b/>
          <w:color w:val="000000"/>
          <w:sz w:val="22"/>
          <w:szCs w:val="22"/>
        </w:rPr>
        <w:t>Recommendation:</w:t>
      </w:r>
      <w:r>
        <w:rPr>
          <w:rFonts w:ascii="Arial" w:eastAsia="Calibri" w:hAnsi="Arial" w:cs="Arial"/>
          <w:color w:val="000000"/>
          <w:sz w:val="22"/>
          <w:szCs w:val="22"/>
        </w:rPr>
        <w:t xml:space="preserve"> </w:t>
      </w:r>
      <w:r w:rsidR="00AE424E" w:rsidRPr="00AF4C12">
        <w:rPr>
          <w:rFonts w:ascii="Arial" w:eastAsia="Calibri" w:hAnsi="Arial" w:cs="Arial"/>
          <w:b/>
          <w:color w:val="000000"/>
          <w:sz w:val="22"/>
          <w:szCs w:val="22"/>
        </w:rPr>
        <w:t>The</w:t>
      </w:r>
      <w:r>
        <w:rPr>
          <w:rFonts w:ascii="Arial" w:eastAsia="Calibri" w:hAnsi="Arial" w:cs="Arial"/>
          <w:b/>
          <w:color w:val="000000"/>
          <w:sz w:val="22"/>
          <w:szCs w:val="22"/>
        </w:rPr>
        <w:t xml:space="preserve"> Committee should ask the UK</w:t>
      </w:r>
      <w:r w:rsidR="00AE424E" w:rsidRPr="00AF4C12">
        <w:rPr>
          <w:rFonts w:ascii="Arial" w:eastAsia="Calibri" w:hAnsi="Arial" w:cs="Arial"/>
          <w:b/>
          <w:color w:val="000000"/>
          <w:sz w:val="22"/>
          <w:szCs w:val="22"/>
        </w:rPr>
        <w:t xml:space="preserve"> Government </w:t>
      </w:r>
      <w:r>
        <w:rPr>
          <w:rFonts w:ascii="Arial" w:eastAsia="Calibri" w:hAnsi="Arial" w:cs="Arial"/>
          <w:b/>
          <w:color w:val="000000"/>
          <w:sz w:val="22"/>
          <w:szCs w:val="22"/>
        </w:rPr>
        <w:t>to</w:t>
      </w:r>
      <w:r w:rsidRPr="00AF4C12">
        <w:rPr>
          <w:rFonts w:ascii="Arial" w:eastAsia="Calibri" w:hAnsi="Arial" w:cs="Arial"/>
          <w:b/>
          <w:color w:val="000000"/>
          <w:sz w:val="22"/>
          <w:szCs w:val="22"/>
        </w:rPr>
        <w:t xml:space="preserve"> </w:t>
      </w:r>
      <w:r>
        <w:rPr>
          <w:rFonts w:ascii="Arial" w:eastAsia="Calibri" w:hAnsi="Arial" w:cs="Arial"/>
          <w:b/>
          <w:color w:val="000000"/>
          <w:sz w:val="22"/>
          <w:szCs w:val="22"/>
        </w:rPr>
        <w:t>outline</w:t>
      </w:r>
      <w:r w:rsidRPr="00AF4C12">
        <w:rPr>
          <w:rFonts w:ascii="Arial" w:eastAsia="Calibri" w:hAnsi="Arial" w:cs="Arial"/>
          <w:b/>
          <w:color w:val="000000"/>
          <w:sz w:val="22"/>
          <w:szCs w:val="22"/>
        </w:rPr>
        <w:t xml:space="preserve"> </w:t>
      </w:r>
      <w:r w:rsidR="00AE424E" w:rsidRPr="00AF4C12">
        <w:rPr>
          <w:rFonts w:ascii="Arial" w:eastAsia="Calibri" w:hAnsi="Arial" w:cs="Arial"/>
          <w:b/>
          <w:color w:val="000000"/>
          <w:sz w:val="22"/>
          <w:szCs w:val="22"/>
        </w:rPr>
        <w:t xml:space="preserve">what actions it is taking to ensure </w:t>
      </w:r>
      <w:r>
        <w:rPr>
          <w:rFonts w:ascii="Arial" w:eastAsia="Calibri" w:hAnsi="Arial" w:cs="Arial"/>
          <w:b/>
          <w:color w:val="000000"/>
          <w:sz w:val="22"/>
          <w:szCs w:val="22"/>
        </w:rPr>
        <w:t>the</w:t>
      </w:r>
      <w:r w:rsidRPr="00AF4C12">
        <w:rPr>
          <w:rFonts w:ascii="Arial" w:eastAsia="Calibri" w:hAnsi="Arial" w:cs="Arial"/>
          <w:b/>
          <w:color w:val="000000"/>
          <w:sz w:val="22"/>
          <w:szCs w:val="22"/>
        </w:rPr>
        <w:t xml:space="preserve"> </w:t>
      </w:r>
      <w:r w:rsidR="00AE424E" w:rsidRPr="00AF4C12">
        <w:rPr>
          <w:rFonts w:ascii="Arial" w:eastAsia="Calibri" w:hAnsi="Arial" w:cs="Arial"/>
          <w:b/>
          <w:color w:val="000000"/>
          <w:sz w:val="22"/>
          <w:szCs w:val="22"/>
        </w:rPr>
        <w:t xml:space="preserve">allegations of </w:t>
      </w:r>
      <w:r w:rsidR="007B5CDA" w:rsidRPr="00AF4C12">
        <w:rPr>
          <w:rFonts w:ascii="Arial" w:hAnsi="Arial" w:cs="Arial"/>
          <w:b/>
          <w:sz w:val="22"/>
          <w:szCs w:val="22"/>
        </w:rPr>
        <w:t>complicity of British military personnel, security and intelligence services in the ill-treatment of de</w:t>
      </w:r>
      <w:r w:rsidR="00AE424E" w:rsidRPr="00AF4C12">
        <w:rPr>
          <w:rFonts w:ascii="Arial" w:hAnsi="Arial" w:cs="Arial"/>
          <w:b/>
          <w:sz w:val="22"/>
          <w:szCs w:val="22"/>
        </w:rPr>
        <w:t>tainees and civilians overseas are being investigated</w:t>
      </w:r>
      <w:r>
        <w:rPr>
          <w:rFonts w:ascii="Arial" w:hAnsi="Arial" w:cs="Arial"/>
          <w:b/>
          <w:sz w:val="22"/>
          <w:szCs w:val="22"/>
        </w:rPr>
        <w:t xml:space="preserve"> within a reasonable timeframe</w:t>
      </w:r>
      <w:r w:rsidR="00AE424E" w:rsidRPr="00AF4C12">
        <w:rPr>
          <w:rFonts w:ascii="Arial" w:hAnsi="Arial" w:cs="Arial"/>
          <w:b/>
          <w:sz w:val="22"/>
          <w:szCs w:val="22"/>
        </w:rPr>
        <w:t>.</w:t>
      </w:r>
      <w:r w:rsidR="00577841">
        <w:rPr>
          <w:rFonts w:ascii="Arial" w:hAnsi="Arial" w:cs="Arial"/>
          <w:b/>
          <w:sz w:val="22"/>
          <w:szCs w:val="22"/>
        </w:rPr>
        <w:t xml:space="preserve"> It should state </w:t>
      </w:r>
      <w:r w:rsidR="00AD2E49">
        <w:rPr>
          <w:rFonts w:ascii="Arial" w:hAnsi="Arial" w:cs="Arial"/>
          <w:b/>
          <w:sz w:val="22"/>
          <w:szCs w:val="22"/>
        </w:rPr>
        <w:t xml:space="preserve">when the Intelligence and Security Committee (ISC) will report and </w:t>
      </w:r>
      <w:r w:rsidR="00E52184">
        <w:rPr>
          <w:rFonts w:ascii="Arial" w:hAnsi="Arial" w:cs="Arial"/>
          <w:b/>
          <w:sz w:val="22"/>
          <w:szCs w:val="22"/>
        </w:rPr>
        <w:t>what</w:t>
      </w:r>
      <w:r w:rsidR="00577841">
        <w:rPr>
          <w:rFonts w:ascii="Arial" w:hAnsi="Arial" w:cs="Arial"/>
          <w:b/>
          <w:sz w:val="22"/>
          <w:szCs w:val="22"/>
        </w:rPr>
        <w:t xml:space="preserve"> resources </w:t>
      </w:r>
      <w:r w:rsidR="00AD2E49">
        <w:rPr>
          <w:rFonts w:ascii="Arial" w:hAnsi="Arial" w:cs="Arial"/>
          <w:b/>
          <w:sz w:val="22"/>
          <w:szCs w:val="22"/>
        </w:rPr>
        <w:t>are devoted to this work</w:t>
      </w:r>
      <w:r w:rsidR="00577841">
        <w:rPr>
          <w:rFonts w:ascii="Arial" w:hAnsi="Arial" w:cs="Arial"/>
          <w:b/>
          <w:sz w:val="22"/>
          <w:szCs w:val="22"/>
        </w:rPr>
        <w:t>.</w:t>
      </w:r>
    </w:p>
    <w:p w:rsidR="008C4B9D" w:rsidRDefault="008C4B9D" w:rsidP="005733FB">
      <w:pPr>
        <w:tabs>
          <w:tab w:val="left" w:pos="720"/>
        </w:tabs>
        <w:autoSpaceDE w:val="0"/>
        <w:autoSpaceDN w:val="0"/>
        <w:adjustRightInd w:val="0"/>
        <w:jc w:val="both"/>
        <w:rPr>
          <w:rFonts w:ascii="Arial" w:eastAsia="Calibri" w:hAnsi="Arial" w:cs="Arial"/>
          <w:color w:val="000000"/>
          <w:sz w:val="22"/>
          <w:szCs w:val="22"/>
        </w:rPr>
      </w:pPr>
    </w:p>
    <w:p w:rsidR="00AE424E" w:rsidRPr="00AE424E" w:rsidRDefault="00526DF8" w:rsidP="005733FB">
      <w:pPr>
        <w:tabs>
          <w:tab w:val="left" w:pos="720"/>
        </w:tabs>
        <w:autoSpaceDE w:val="0"/>
        <w:autoSpaceDN w:val="0"/>
        <w:adjustRightInd w:val="0"/>
        <w:jc w:val="both"/>
        <w:rPr>
          <w:rFonts w:ascii="Arial" w:eastAsia="Calibri" w:hAnsi="Arial" w:cs="Arial"/>
          <w:i/>
          <w:color w:val="000000"/>
          <w:sz w:val="22"/>
          <w:szCs w:val="22"/>
        </w:rPr>
      </w:pPr>
      <w:r>
        <w:rPr>
          <w:rFonts w:ascii="Arial" w:eastAsia="Calibri" w:hAnsi="Arial" w:cs="Arial"/>
          <w:i/>
          <w:color w:val="000000"/>
          <w:sz w:val="22"/>
          <w:szCs w:val="22"/>
        </w:rPr>
        <w:t>Iraq Historic</w:t>
      </w:r>
      <w:r w:rsidR="00AE424E" w:rsidRPr="00AE424E">
        <w:rPr>
          <w:rFonts w:ascii="Arial" w:eastAsia="Calibri" w:hAnsi="Arial" w:cs="Arial"/>
          <w:i/>
          <w:color w:val="000000"/>
          <w:sz w:val="22"/>
          <w:szCs w:val="22"/>
        </w:rPr>
        <w:t xml:space="preserve"> Allegations Team (IHAT)</w:t>
      </w:r>
    </w:p>
    <w:p w:rsidR="00AE424E" w:rsidRDefault="00AE424E" w:rsidP="005733FB">
      <w:pPr>
        <w:tabs>
          <w:tab w:val="left" w:pos="720"/>
        </w:tabs>
        <w:autoSpaceDE w:val="0"/>
        <w:autoSpaceDN w:val="0"/>
        <w:adjustRightInd w:val="0"/>
        <w:jc w:val="both"/>
        <w:rPr>
          <w:rFonts w:ascii="Arial" w:eastAsia="Calibri" w:hAnsi="Arial" w:cs="Arial"/>
          <w:color w:val="000000"/>
          <w:sz w:val="22"/>
          <w:szCs w:val="22"/>
        </w:rPr>
      </w:pPr>
    </w:p>
    <w:p w:rsidR="005D3F18" w:rsidRPr="00843D59" w:rsidRDefault="00B1320C" w:rsidP="008153BF">
      <w:pPr>
        <w:pStyle w:val="ListParagraph"/>
        <w:numPr>
          <w:ilvl w:val="0"/>
          <w:numId w:val="25"/>
        </w:numPr>
        <w:tabs>
          <w:tab w:val="left" w:pos="720"/>
        </w:tabs>
        <w:autoSpaceDE w:val="0"/>
        <w:autoSpaceDN w:val="0"/>
        <w:adjustRightInd w:val="0"/>
        <w:jc w:val="both"/>
        <w:rPr>
          <w:rFonts w:ascii="Arial" w:hAnsi="Arial" w:cs="Arial"/>
          <w:sz w:val="22"/>
          <w:szCs w:val="22"/>
        </w:rPr>
      </w:pPr>
      <w:r>
        <w:rPr>
          <w:rFonts w:ascii="Arial" w:hAnsi="Arial" w:cs="Arial"/>
          <w:color w:val="000000"/>
          <w:sz w:val="22"/>
          <w:szCs w:val="22"/>
        </w:rPr>
        <w:t>In 2013, the Committee</w:t>
      </w:r>
      <w:r w:rsidR="00E5299A">
        <w:rPr>
          <w:rFonts w:ascii="Arial" w:hAnsi="Arial" w:cs="Arial"/>
          <w:color w:val="000000"/>
          <w:sz w:val="22"/>
          <w:szCs w:val="22"/>
        </w:rPr>
        <w:t xml:space="preserve"> </w:t>
      </w:r>
      <w:r w:rsidR="00C30885" w:rsidRPr="00C30885">
        <w:rPr>
          <w:rFonts w:ascii="Arial" w:hAnsi="Arial" w:cs="Arial"/>
          <w:color w:val="000000"/>
          <w:sz w:val="22"/>
          <w:szCs w:val="22"/>
        </w:rPr>
        <w:t>noted the establishment of the Iraq Historic Allegations Team</w:t>
      </w:r>
      <w:r w:rsidR="00916167">
        <w:rPr>
          <w:rFonts w:ascii="Arial" w:hAnsi="Arial" w:cs="Arial"/>
          <w:color w:val="000000"/>
          <w:sz w:val="22"/>
          <w:szCs w:val="22"/>
        </w:rPr>
        <w:t>, which was</w:t>
      </w:r>
      <w:r w:rsidR="00C30885" w:rsidRPr="00C30885">
        <w:rPr>
          <w:rFonts w:ascii="Arial" w:hAnsi="Arial" w:cs="Arial"/>
          <w:color w:val="000000"/>
          <w:sz w:val="22"/>
          <w:szCs w:val="22"/>
        </w:rPr>
        <w:t xml:space="preserve"> set up</w:t>
      </w:r>
      <w:r w:rsidR="00916167">
        <w:rPr>
          <w:rFonts w:ascii="Arial" w:hAnsi="Arial" w:cs="Arial"/>
          <w:color w:val="000000"/>
          <w:sz w:val="22"/>
          <w:szCs w:val="22"/>
        </w:rPr>
        <w:t xml:space="preserve"> in 2010</w:t>
      </w:r>
      <w:r w:rsidR="00C30885" w:rsidRPr="00C30885">
        <w:rPr>
          <w:rFonts w:ascii="Arial" w:hAnsi="Arial" w:cs="Arial"/>
          <w:color w:val="000000"/>
          <w:sz w:val="22"/>
          <w:szCs w:val="22"/>
        </w:rPr>
        <w:t xml:space="preserve"> to investigate allegations of abuse of Iraqi citizens by Britis</w:t>
      </w:r>
      <w:r w:rsidR="00916167">
        <w:rPr>
          <w:rFonts w:ascii="Arial" w:hAnsi="Arial" w:cs="Arial"/>
          <w:color w:val="000000"/>
          <w:sz w:val="22"/>
          <w:szCs w:val="22"/>
        </w:rPr>
        <w:t>h Service personnel.</w:t>
      </w:r>
      <w:r w:rsidR="00C30885">
        <w:rPr>
          <w:rFonts w:ascii="Arial" w:hAnsi="Arial" w:cs="Arial"/>
          <w:color w:val="000000"/>
          <w:sz w:val="22"/>
          <w:szCs w:val="22"/>
        </w:rPr>
        <w:t xml:space="preserve"> </w:t>
      </w:r>
      <w:r w:rsidR="00940C3B">
        <w:rPr>
          <w:rFonts w:ascii="Arial" w:hAnsi="Arial" w:cs="Arial"/>
          <w:color w:val="000000"/>
          <w:sz w:val="22"/>
          <w:szCs w:val="22"/>
        </w:rPr>
        <w:t xml:space="preserve">The Committee </w:t>
      </w:r>
      <w:r w:rsidR="00916167">
        <w:rPr>
          <w:rFonts w:ascii="Arial" w:hAnsi="Arial" w:cs="Arial"/>
          <w:color w:val="000000"/>
          <w:sz w:val="22"/>
          <w:szCs w:val="22"/>
        </w:rPr>
        <w:t>was</w:t>
      </w:r>
      <w:r w:rsidR="00C30885" w:rsidRPr="00C30885">
        <w:rPr>
          <w:rFonts w:ascii="Arial" w:hAnsi="Arial" w:cs="Arial"/>
          <w:color w:val="000000"/>
          <w:sz w:val="22"/>
          <w:szCs w:val="22"/>
        </w:rPr>
        <w:t xml:space="preserve"> concerned that </w:t>
      </w:r>
      <w:r w:rsidR="00916167">
        <w:rPr>
          <w:rFonts w:ascii="Arial" w:hAnsi="Arial" w:cs="Arial"/>
          <w:color w:val="000000"/>
          <w:sz w:val="22"/>
          <w:szCs w:val="22"/>
        </w:rPr>
        <w:t>IHAT’s</w:t>
      </w:r>
      <w:r w:rsidR="00C30885" w:rsidRPr="00C30885">
        <w:rPr>
          <w:rFonts w:ascii="Arial" w:hAnsi="Arial" w:cs="Arial"/>
          <w:color w:val="000000"/>
          <w:sz w:val="22"/>
          <w:szCs w:val="22"/>
        </w:rPr>
        <w:t xml:space="preserve"> </w:t>
      </w:r>
      <w:r w:rsidR="00916167" w:rsidRPr="007972B9">
        <w:rPr>
          <w:rFonts w:ascii="Arial" w:hAnsi="Arial" w:cs="Arial"/>
          <w:i/>
          <w:color w:val="000000"/>
          <w:sz w:val="22"/>
          <w:szCs w:val="22"/>
        </w:rPr>
        <w:t>“</w:t>
      </w:r>
      <w:r w:rsidR="00C30885" w:rsidRPr="007972B9">
        <w:rPr>
          <w:rFonts w:ascii="Arial" w:hAnsi="Arial" w:cs="Arial"/>
          <w:i/>
          <w:color w:val="000000"/>
          <w:sz w:val="22"/>
          <w:szCs w:val="22"/>
        </w:rPr>
        <w:t>composition and structural independence”</w:t>
      </w:r>
      <w:r w:rsidR="00C30885">
        <w:rPr>
          <w:rFonts w:ascii="Arial" w:hAnsi="Arial" w:cs="Arial"/>
          <w:color w:val="000000"/>
          <w:sz w:val="22"/>
          <w:szCs w:val="22"/>
        </w:rPr>
        <w:t xml:space="preserve"> wa</w:t>
      </w:r>
      <w:r w:rsidR="00C30885" w:rsidRPr="00C30885">
        <w:rPr>
          <w:rFonts w:ascii="Arial" w:hAnsi="Arial" w:cs="Arial"/>
          <w:color w:val="000000"/>
          <w:sz w:val="22"/>
          <w:szCs w:val="22"/>
        </w:rPr>
        <w:t xml:space="preserve">s </w:t>
      </w:r>
      <w:r w:rsidR="00C30885" w:rsidRPr="007972B9">
        <w:rPr>
          <w:rFonts w:ascii="Arial" w:hAnsi="Arial" w:cs="Arial"/>
          <w:i/>
          <w:color w:val="000000"/>
          <w:sz w:val="22"/>
          <w:szCs w:val="22"/>
        </w:rPr>
        <w:t>“challenged, as close institutional links with the Ministry of Defence remain.”</w:t>
      </w:r>
      <w:r w:rsidR="004306DC" w:rsidRPr="004306DC">
        <w:rPr>
          <w:rFonts w:ascii="Arial" w:hAnsi="Arial" w:cs="Arial"/>
          <w:color w:val="000000"/>
          <w:sz w:val="22"/>
          <w:szCs w:val="22"/>
        </w:rPr>
        <w:t xml:space="preserve"> </w:t>
      </w:r>
      <w:r w:rsidR="00CC0F64">
        <w:rPr>
          <w:rFonts w:ascii="Arial" w:hAnsi="Arial" w:cs="Arial"/>
          <w:color w:val="000000"/>
          <w:sz w:val="22"/>
          <w:szCs w:val="22"/>
        </w:rPr>
        <w:t>The Committee</w:t>
      </w:r>
      <w:r w:rsidR="00CC0F64" w:rsidRPr="004306DC">
        <w:rPr>
          <w:rFonts w:ascii="Arial" w:hAnsi="Arial" w:cs="Arial"/>
          <w:color w:val="000000"/>
          <w:sz w:val="22"/>
          <w:szCs w:val="22"/>
        </w:rPr>
        <w:t xml:space="preserve"> </w:t>
      </w:r>
      <w:r w:rsidR="004306DC" w:rsidRPr="004306DC">
        <w:rPr>
          <w:rFonts w:ascii="Arial" w:hAnsi="Arial" w:cs="Arial"/>
          <w:color w:val="000000"/>
          <w:sz w:val="22"/>
          <w:szCs w:val="22"/>
        </w:rPr>
        <w:t xml:space="preserve">also noted its deep concern that </w:t>
      </w:r>
      <w:r w:rsidR="004306DC" w:rsidRPr="007972B9">
        <w:rPr>
          <w:rFonts w:ascii="Arial" w:hAnsi="Arial" w:cs="Arial"/>
          <w:i/>
          <w:color w:val="000000"/>
          <w:sz w:val="22"/>
          <w:szCs w:val="22"/>
        </w:rPr>
        <w:t>“to date, there have been no criminal prosecutions for torture or complicity in torture involving State’s officials, members of the security services or military personnel, although there have been a number of court martials of soldiers for abuses committed in Iraq against civilians.”</w:t>
      </w:r>
      <w:r w:rsidR="00843D59">
        <w:rPr>
          <w:rFonts w:ascii="Arial" w:hAnsi="Arial" w:cs="Arial"/>
          <w:color w:val="000000"/>
          <w:sz w:val="22"/>
          <w:szCs w:val="22"/>
        </w:rPr>
        <w:t xml:space="preserve"> </w:t>
      </w:r>
      <w:r w:rsidR="00843D59">
        <w:rPr>
          <w:rFonts w:ascii="Arial" w:eastAsia="Calibri" w:hAnsi="Arial" w:cs="Arial"/>
          <w:color w:val="000000"/>
          <w:sz w:val="22"/>
          <w:szCs w:val="22"/>
        </w:rPr>
        <w:t>The Committee urged</w:t>
      </w:r>
      <w:r w:rsidR="00843D59" w:rsidRPr="00843D59">
        <w:rPr>
          <w:rFonts w:ascii="Arial" w:eastAsia="Calibri" w:hAnsi="Arial" w:cs="Arial"/>
          <w:color w:val="000000"/>
          <w:sz w:val="22"/>
          <w:szCs w:val="22"/>
        </w:rPr>
        <w:t xml:space="preserve"> the </w:t>
      </w:r>
      <w:r w:rsidR="00843D59">
        <w:rPr>
          <w:rFonts w:ascii="Arial" w:eastAsia="Calibri" w:hAnsi="Arial" w:cs="Arial"/>
          <w:color w:val="000000"/>
          <w:sz w:val="22"/>
          <w:szCs w:val="22"/>
        </w:rPr>
        <w:t>UK</w:t>
      </w:r>
      <w:r w:rsidR="00843D59" w:rsidRPr="00843D59">
        <w:rPr>
          <w:rFonts w:ascii="Arial" w:eastAsia="Calibri" w:hAnsi="Arial" w:cs="Arial"/>
          <w:color w:val="000000"/>
          <w:sz w:val="22"/>
          <w:szCs w:val="22"/>
        </w:rPr>
        <w:t xml:space="preserve"> to </w:t>
      </w:r>
      <w:r w:rsidR="007558AF" w:rsidRPr="007972B9">
        <w:rPr>
          <w:rFonts w:ascii="Arial" w:eastAsia="Calibri" w:hAnsi="Arial" w:cs="Arial"/>
          <w:i/>
          <w:color w:val="000000"/>
          <w:sz w:val="22"/>
          <w:szCs w:val="22"/>
        </w:rPr>
        <w:t>“</w:t>
      </w:r>
      <w:r w:rsidR="00843D59" w:rsidRPr="007972B9">
        <w:rPr>
          <w:rFonts w:ascii="Arial" w:eastAsia="Calibri" w:hAnsi="Arial" w:cs="Arial"/>
          <w:i/>
          <w:color w:val="000000"/>
          <w:sz w:val="22"/>
          <w:szCs w:val="22"/>
        </w:rPr>
        <w:t>take all necessary measures, including setting up a single, independent public inquiry, to investigate allegations of torture and cruel, inhuman or degrading treatment or punishment in Iraq from 2003 to 2009, establish responsibilities and ensure accountability.</w:t>
      </w:r>
      <w:r w:rsidR="00CC0F64" w:rsidRPr="007972B9">
        <w:rPr>
          <w:rFonts w:ascii="Arial" w:eastAsia="Calibri" w:hAnsi="Arial" w:cs="Arial"/>
          <w:i/>
          <w:color w:val="000000"/>
          <w:sz w:val="22"/>
          <w:szCs w:val="22"/>
        </w:rPr>
        <w:t>”</w:t>
      </w:r>
      <w:r w:rsidR="00C30885" w:rsidRPr="00843D59">
        <w:rPr>
          <w:rStyle w:val="FootnoteReference"/>
          <w:rFonts w:ascii="Arial" w:hAnsi="Arial" w:cs="Arial"/>
          <w:color w:val="000000"/>
          <w:sz w:val="22"/>
          <w:szCs w:val="22"/>
        </w:rPr>
        <w:footnoteReference w:id="14"/>
      </w:r>
      <w:r w:rsidR="00C30885" w:rsidRPr="00843D59">
        <w:rPr>
          <w:rFonts w:ascii="Arial" w:hAnsi="Arial" w:cs="Arial"/>
          <w:color w:val="000000"/>
          <w:sz w:val="22"/>
          <w:szCs w:val="22"/>
        </w:rPr>
        <w:t xml:space="preserve"> </w:t>
      </w:r>
    </w:p>
    <w:p w:rsidR="007558AF" w:rsidRPr="007558AF" w:rsidRDefault="00C34AB5" w:rsidP="008153BF">
      <w:pPr>
        <w:pStyle w:val="ListParagraph"/>
        <w:numPr>
          <w:ilvl w:val="0"/>
          <w:numId w:val="25"/>
        </w:numPr>
        <w:tabs>
          <w:tab w:val="left" w:pos="720"/>
        </w:tabs>
        <w:autoSpaceDE w:val="0"/>
        <w:autoSpaceDN w:val="0"/>
        <w:adjustRightInd w:val="0"/>
        <w:jc w:val="both"/>
        <w:rPr>
          <w:rFonts w:ascii="Arial" w:hAnsi="Arial" w:cs="Arial"/>
          <w:sz w:val="22"/>
          <w:szCs w:val="22"/>
        </w:rPr>
      </w:pPr>
      <w:r>
        <w:rPr>
          <w:rFonts w:ascii="Arial" w:hAnsi="Arial" w:cs="Arial"/>
          <w:sz w:val="22"/>
          <w:szCs w:val="22"/>
        </w:rPr>
        <w:lastRenderedPageBreak/>
        <w:t>In 2015, t</w:t>
      </w:r>
      <w:r w:rsidRPr="007558AF">
        <w:rPr>
          <w:rFonts w:ascii="Arial" w:hAnsi="Arial" w:cs="Arial"/>
          <w:sz w:val="22"/>
          <w:szCs w:val="22"/>
        </w:rPr>
        <w:t xml:space="preserve">he </w:t>
      </w:r>
      <w:r w:rsidR="007558AF" w:rsidRPr="007558AF">
        <w:rPr>
          <w:rFonts w:ascii="Arial" w:hAnsi="Arial" w:cs="Arial"/>
          <w:sz w:val="22"/>
          <w:szCs w:val="22"/>
        </w:rPr>
        <w:t xml:space="preserve">UN Human Rights Committee </w:t>
      </w:r>
      <w:r w:rsidR="00AF6BBC">
        <w:rPr>
          <w:rFonts w:ascii="Arial" w:hAnsi="Arial" w:cs="Arial"/>
          <w:sz w:val="22"/>
          <w:szCs w:val="22"/>
        </w:rPr>
        <w:t>expressed</w:t>
      </w:r>
      <w:r w:rsidR="007558AF" w:rsidRPr="007558AF">
        <w:rPr>
          <w:rFonts w:ascii="Arial" w:hAnsi="Arial" w:cs="Arial"/>
          <w:sz w:val="22"/>
          <w:szCs w:val="22"/>
        </w:rPr>
        <w:t xml:space="preserve"> its </w:t>
      </w:r>
      <w:r w:rsidR="007558AF" w:rsidRPr="007558AF">
        <w:rPr>
          <w:rFonts w:ascii="Arial" w:eastAsia="Calibri" w:hAnsi="Arial" w:cs="Arial"/>
          <w:color w:val="000000"/>
          <w:sz w:val="22"/>
          <w:szCs w:val="22"/>
        </w:rPr>
        <w:t>concern about “the slow progress of the Iraq Historical Allegations Team (IHAT) and the very small number of criminal proceedings completed so far.”</w:t>
      </w:r>
      <w:r w:rsidR="007558AF" w:rsidRPr="007558AF">
        <w:rPr>
          <w:rStyle w:val="FootnoteReference"/>
          <w:rFonts w:ascii="Arial" w:eastAsia="Calibri" w:hAnsi="Arial" w:cs="Arial"/>
          <w:color w:val="000000"/>
          <w:sz w:val="22"/>
          <w:szCs w:val="22"/>
        </w:rPr>
        <w:footnoteReference w:id="15"/>
      </w:r>
    </w:p>
    <w:p w:rsidR="00940C3B" w:rsidRPr="007972B9" w:rsidRDefault="00CC3E37" w:rsidP="008153BF">
      <w:pPr>
        <w:pStyle w:val="Default"/>
        <w:numPr>
          <w:ilvl w:val="0"/>
          <w:numId w:val="25"/>
        </w:numPr>
        <w:spacing w:after="37"/>
        <w:jc w:val="both"/>
        <w:rPr>
          <w:color w:val="auto"/>
          <w:sz w:val="22"/>
          <w:szCs w:val="22"/>
        </w:rPr>
      </w:pPr>
      <w:r w:rsidRPr="00467545">
        <w:rPr>
          <w:sz w:val="22"/>
          <w:szCs w:val="22"/>
        </w:rPr>
        <w:t xml:space="preserve">The IHAT updated the information on its website about its investigations in </w:t>
      </w:r>
      <w:r w:rsidR="00F707BD">
        <w:rPr>
          <w:sz w:val="22"/>
          <w:szCs w:val="22"/>
        </w:rPr>
        <w:t>Novembe</w:t>
      </w:r>
      <w:r w:rsidR="00F707BD" w:rsidRPr="00467545">
        <w:rPr>
          <w:sz w:val="22"/>
          <w:szCs w:val="22"/>
        </w:rPr>
        <w:t xml:space="preserve">r </w:t>
      </w:r>
      <w:r w:rsidRPr="00467545">
        <w:rPr>
          <w:sz w:val="22"/>
          <w:szCs w:val="22"/>
        </w:rPr>
        <w:t xml:space="preserve">2015. </w:t>
      </w:r>
      <w:r w:rsidR="00F707BD">
        <w:rPr>
          <w:sz w:val="22"/>
          <w:szCs w:val="22"/>
        </w:rPr>
        <w:t>As of 30 September 2015, t</w:t>
      </w:r>
      <w:r w:rsidRPr="00467545">
        <w:rPr>
          <w:sz w:val="22"/>
          <w:szCs w:val="22"/>
        </w:rPr>
        <w:t>he total number of victims allocated to the IHAT for investigation ha</w:t>
      </w:r>
      <w:r w:rsidR="00F707BD">
        <w:rPr>
          <w:sz w:val="22"/>
          <w:szCs w:val="22"/>
        </w:rPr>
        <w:t>d</w:t>
      </w:r>
      <w:r w:rsidRPr="00467545">
        <w:rPr>
          <w:sz w:val="22"/>
          <w:szCs w:val="22"/>
        </w:rPr>
        <w:t xml:space="preserve"> risen to 1514.</w:t>
      </w:r>
      <w:r w:rsidRPr="00467545">
        <w:rPr>
          <w:rStyle w:val="FootnoteReference"/>
          <w:sz w:val="22"/>
          <w:szCs w:val="22"/>
        </w:rPr>
        <w:footnoteReference w:id="16"/>
      </w:r>
      <w:r w:rsidRPr="00467545">
        <w:rPr>
          <w:sz w:val="22"/>
          <w:szCs w:val="22"/>
        </w:rPr>
        <w:t xml:space="preserve"> </w:t>
      </w:r>
      <w:r w:rsidR="007558AF" w:rsidRPr="00467545">
        <w:rPr>
          <w:sz w:val="22"/>
          <w:szCs w:val="22"/>
        </w:rPr>
        <w:t xml:space="preserve">The EHRC does not consider </w:t>
      </w:r>
      <w:r>
        <w:rPr>
          <w:sz w:val="22"/>
          <w:szCs w:val="22"/>
        </w:rPr>
        <w:t>current progress</w:t>
      </w:r>
      <w:r w:rsidR="007558AF" w:rsidRPr="00467545">
        <w:rPr>
          <w:sz w:val="22"/>
          <w:szCs w:val="22"/>
        </w:rPr>
        <w:t xml:space="preserve"> to be consistent with the prompt investigative duty under Articles 2 and 3 of the E</w:t>
      </w:r>
      <w:r w:rsidR="00CC0F64">
        <w:rPr>
          <w:sz w:val="22"/>
          <w:szCs w:val="22"/>
        </w:rPr>
        <w:t xml:space="preserve">uropean </w:t>
      </w:r>
      <w:r w:rsidR="007558AF" w:rsidRPr="00467545">
        <w:rPr>
          <w:sz w:val="22"/>
          <w:szCs w:val="22"/>
        </w:rPr>
        <w:t>C</w:t>
      </w:r>
      <w:r w:rsidR="00CC0F64">
        <w:rPr>
          <w:sz w:val="22"/>
          <w:szCs w:val="22"/>
        </w:rPr>
        <w:t xml:space="preserve">onvention on </w:t>
      </w:r>
      <w:r w:rsidR="007558AF" w:rsidRPr="00467545">
        <w:rPr>
          <w:sz w:val="22"/>
          <w:szCs w:val="22"/>
        </w:rPr>
        <w:t>H</w:t>
      </w:r>
      <w:r w:rsidR="00CC0F64">
        <w:rPr>
          <w:sz w:val="22"/>
          <w:szCs w:val="22"/>
        </w:rPr>
        <w:t xml:space="preserve">uman </w:t>
      </w:r>
      <w:r w:rsidR="007558AF" w:rsidRPr="00467545">
        <w:rPr>
          <w:sz w:val="22"/>
          <w:szCs w:val="22"/>
        </w:rPr>
        <w:t>R</w:t>
      </w:r>
      <w:r w:rsidR="00CC0F64">
        <w:rPr>
          <w:sz w:val="22"/>
          <w:szCs w:val="22"/>
        </w:rPr>
        <w:t>ights</w:t>
      </w:r>
      <w:r w:rsidR="007558AF" w:rsidRPr="00467545">
        <w:rPr>
          <w:sz w:val="22"/>
          <w:szCs w:val="22"/>
        </w:rPr>
        <w:t xml:space="preserve">. </w:t>
      </w:r>
      <w:r w:rsidR="00F707BD">
        <w:rPr>
          <w:sz w:val="22"/>
          <w:szCs w:val="22"/>
        </w:rPr>
        <w:t xml:space="preserve">As of </w:t>
      </w:r>
      <w:r w:rsidR="004D6904">
        <w:rPr>
          <w:sz w:val="22"/>
          <w:szCs w:val="22"/>
        </w:rPr>
        <w:t xml:space="preserve">the </w:t>
      </w:r>
      <w:r w:rsidR="00F707BD">
        <w:rPr>
          <w:sz w:val="22"/>
          <w:szCs w:val="22"/>
        </w:rPr>
        <w:t>November 2015</w:t>
      </w:r>
      <w:r w:rsidR="004D6904">
        <w:rPr>
          <w:sz w:val="22"/>
          <w:szCs w:val="22"/>
        </w:rPr>
        <w:t xml:space="preserve"> update</w:t>
      </w:r>
      <w:r w:rsidR="00F3282E" w:rsidRPr="00467545">
        <w:rPr>
          <w:sz w:val="22"/>
          <w:szCs w:val="22"/>
        </w:rPr>
        <w:t xml:space="preserve">, </w:t>
      </w:r>
      <w:r w:rsidR="00CC0F64">
        <w:rPr>
          <w:sz w:val="22"/>
          <w:szCs w:val="22"/>
        </w:rPr>
        <w:t>IHAT</w:t>
      </w:r>
      <w:r w:rsidR="00CC0F64" w:rsidRPr="00467545">
        <w:rPr>
          <w:sz w:val="22"/>
          <w:szCs w:val="22"/>
        </w:rPr>
        <w:t xml:space="preserve"> </w:t>
      </w:r>
      <w:r w:rsidR="00F3282E" w:rsidRPr="00467545">
        <w:rPr>
          <w:sz w:val="22"/>
          <w:szCs w:val="22"/>
        </w:rPr>
        <w:t>ha</w:t>
      </w:r>
      <w:r w:rsidR="004D6904">
        <w:rPr>
          <w:sz w:val="22"/>
          <w:szCs w:val="22"/>
        </w:rPr>
        <w:t>d</w:t>
      </w:r>
      <w:r w:rsidR="00F3282E" w:rsidRPr="00467545">
        <w:rPr>
          <w:sz w:val="22"/>
          <w:szCs w:val="22"/>
        </w:rPr>
        <w:t xml:space="preserve"> still only completed investigations into eighteen cases, and ha</w:t>
      </w:r>
      <w:r w:rsidR="004D6904">
        <w:rPr>
          <w:sz w:val="22"/>
          <w:szCs w:val="22"/>
        </w:rPr>
        <w:t>d</w:t>
      </w:r>
      <w:r w:rsidR="00F3282E" w:rsidRPr="00467545">
        <w:rPr>
          <w:sz w:val="22"/>
          <w:szCs w:val="22"/>
        </w:rPr>
        <w:t xml:space="preserve"> ordered only one fine against a British soldier.</w:t>
      </w:r>
      <w:r w:rsidR="00F3282E" w:rsidRPr="00467545">
        <w:rPr>
          <w:rStyle w:val="FootnoteReference"/>
          <w:color w:val="auto"/>
          <w:sz w:val="22"/>
          <w:szCs w:val="22"/>
        </w:rPr>
        <w:footnoteReference w:id="17"/>
      </w:r>
      <w:r w:rsidR="00732103" w:rsidRPr="00467545">
        <w:rPr>
          <w:sz w:val="22"/>
          <w:szCs w:val="22"/>
        </w:rPr>
        <w:t xml:space="preserve"> </w:t>
      </w:r>
    </w:p>
    <w:p w:rsidR="00940C3B" w:rsidRPr="007972B9" w:rsidRDefault="00940C3B" w:rsidP="008153BF">
      <w:pPr>
        <w:pStyle w:val="Default"/>
        <w:spacing w:after="37"/>
        <w:ind w:left="360"/>
        <w:jc w:val="both"/>
        <w:rPr>
          <w:color w:val="auto"/>
          <w:sz w:val="22"/>
          <w:szCs w:val="22"/>
        </w:rPr>
      </w:pPr>
    </w:p>
    <w:p w:rsidR="00F3282E" w:rsidRPr="00E64FCC" w:rsidRDefault="00940C3B" w:rsidP="008153BF">
      <w:pPr>
        <w:pStyle w:val="Default"/>
        <w:numPr>
          <w:ilvl w:val="0"/>
          <w:numId w:val="25"/>
        </w:numPr>
        <w:spacing w:after="37"/>
        <w:jc w:val="both"/>
        <w:rPr>
          <w:color w:val="auto"/>
          <w:sz w:val="22"/>
          <w:szCs w:val="22"/>
        </w:rPr>
      </w:pPr>
      <w:r>
        <w:rPr>
          <w:b/>
          <w:sz w:val="22"/>
          <w:szCs w:val="22"/>
        </w:rPr>
        <w:t xml:space="preserve">Recommendation: </w:t>
      </w:r>
      <w:r w:rsidR="008501E4" w:rsidRPr="00467545">
        <w:rPr>
          <w:b/>
          <w:sz w:val="22"/>
          <w:szCs w:val="22"/>
        </w:rPr>
        <w:t xml:space="preserve">The </w:t>
      </w:r>
      <w:r>
        <w:rPr>
          <w:b/>
          <w:sz w:val="22"/>
          <w:szCs w:val="22"/>
        </w:rPr>
        <w:t xml:space="preserve">UK </w:t>
      </w:r>
      <w:r w:rsidR="008501E4" w:rsidRPr="00467545">
        <w:rPr>
          <w:b/>
          <w:sz w:val="22"/>
          <w:szCs w:val="22"/>
        </w:rPr>
        <w:t>Government should</w:t>
      </w:r>
      <w:r w:rsidR="008501E4" w:rsidRPr="00467545">
        <w:rPr>
          <w:sz w:val="22"/>
          <w:szCs w:val="22"/>
        </w:rPr>
        <w:t xml:space="preserve"> </w:t>
      </w:r>
      <w:r w:rsidR="008501E4" w:rsidRPr="00467545">
        <w:rPr>
          <w:b/>
          <w:sz w:val="22"/>
          <w:szCs w:val="22"/>
        </w:rPr>
        <w:t>state</w:t>
      </w:r>
      <w:r w:rsidR="008501E4" w:rsidRPr="00467545">
        <w:rPr>
          <w:sz w:val="22"/>
          <w:szCs w:val="22"/>
        </w:rPr>
        <w:t xml:space="preserve"> </w:t>
      </w:r>
      <w:r w:rsidR="008501E4" w:rsidRPr="00467545">
        <w:rPr>
          <w:b/>
          <w:sz w:val="22"/>
          <w:szCs w:val="22"/>
        </w:rPr>
        <w:t>w</w:t>
      </w:r>
      <w:r w:rsidR="00F6507D" w:rsidRPr="00467545">
        <w:rPr>
          <w:b/>
          <w:sz w:val="22"/>
          <w:szCs w:val="22"/>
        </w:rPr>
        <w:t xml:space="preserve">hat action is being taken to ensure </w:t>
      </w:r>
      <w:r w:rsidR="007558AF" w:rsidRPr="00467545">
        <w:rPr>
          <w:b/>
          <w:sz w:val="22"/>
          <w:szCs w:val="22"/>
        </w:rPr>
        <w:t>prompt</w:t>
      </w:r>
      <w:r w:rsidR="00F6507D" w:rsidRPr="00467545">
        <w:rPr>
          <w:b/>
          <w:sz w:val="22"/>
          <w:szCs w:val="22"/>
        </w:rPr>
        <w:t xml:space="preserve"> inv</w:t>
      </w:r>
      <w:r w:rsidR="007558AF" w:rsidRPr="00467545">
        <w:rPr>
          <w:b/>
          <w:sz w:val="22"/>
          <w:szCs w:val="22"/>
        </w:rPr>
        <w:t>estigation of</w:t>
      </w:r>
      <w:r w:rsidR="008501E4" w:rsidRPr="00467545">
        <w:rPr>
          <w:b/>
          <w:sz w:val="22"/>
          <w:szCs w:val="22"/>
        </w:rPr>
        <w:t xml:space="preserve"> </w:t>
      </w:r>
      <w:r w:rsidR="007558AF" w:rsidRPr="00467545">
        <w:rPr>
          <w:b/>
          <w:sz w:val="22"/>
          <w:szCs w:val="22"/>
        </w:rPr>
        <w:t xml:space="preserve">torture </w:t>
      </w:r>
      <w:r w:rsidR="008501E4" w:rsidRPr="00467545">
        <w:rPr>
          <w:b/>
          <w:sz w:val="22"/>
          <w:szCs w:val="22"/>
        </w:rPr>
        <w:t>allegations</w:t>
      </w:r>
      <w:r w:rsidR="007558AF" w:rsidRPr="00467545">
        <w:rPr>
          <w:b/>
          <w:sz w:val="22"/>
          <w:szCs w:val="22"/>
        </w:rPr>
        <w:t xml:space="preserve"> in Iraq</w:t>
      </w:r>
      <w:r w:rsidR="00CC0F64">
        <w:rPr>
          <w:b/>
          <w:sz w:val="22"/>
          <w:szCs w:val="22"/>
        </w:rPr>
        <w:t xml:space="preserve">, in compliance with its investigative duties under Articles </w:t>
      </w:r>
      <w:r w:rsidR="00CC0F64" w:rsidRPr="007972B9">
        <w:rPr>
          <w:b/>
          <w:sz w:val="22"/>
          <w:szCs w:val="22"/>
        </w:rPr>
        <w:t>2 and 3 of the European Convention on Human Rights</w:t>
      </w:r>
      <w:r w:rsidR="00577841">
        <w:rPr>
          <w:b/>
          <w:sz w:val="22"/>
          <w:szCs w:val="22"/>
        </w:rPr>
        <w:t>, and Articles 12 and 16 of UNCAT</w:t>
      </w:r>
      <w:r w:rsidR="008501E4" w:rsidRPr="007972B9">
        <w:rPr>
          <w:b/>
          <w:sz w:val="22"/>
          <w:szCs w:val="22"/>
        </w:rPr>
        <w:t>.</w:t>
      </w:r>
    </w:p>
    <w:p w:rsidR="00E64FCC" w:rsidRPr="00467545" w:rsidRDefault="00E64FCC" w:rsidP="00E64FCC">
      <w:pPr>
        <w:pStyle w:val="Default"/>
        <w:spacing w:after="37"/>
        <w:jc w:val="both"/>
        <w:rPr>
          <w:color w:val="auto"/>
          <w:sz w:val="22"/>
          <w:szCs w:val="22"/>
        </w:rPr>
      </w:pPr>
    </w:p>
    <w:p w:rsidR="00512A20" w:rsidRPr="00E64FCC" w:rsidRDefault="00A74BBE" w:rsidP="00E64FCC">
      <w:pPr>
        <w:pStyle w:val="Heading2"/>
        <w:spacing w:before="0" w:after="0"/>
        <w:rPr>
          <w:sz w:val="22"/>
          <w:szCs w:val="22"/>
        </w:rPr>
      </w:pPr>
      <w:r w:rsidRPr="00E64FCC">
        <w:rPr>
          <w:sz w:val="22"/>
          <w:szCs w:val="22"/>
        </w:rPr>
        <w:t>Detention and Asylum</w:t>
      </w:r>
      <w:r w:rsidR="00A94D45" w:rsidRPr="00E64FCC">
        <w:rPr>
          <w:sz w:val="22"/>
          <w:szCs w:val="22"/>
        </w:rPr>
        <w:t xml:space="preserve"> (Articles 11 and 16)</w:t>
      </w:r>
      <w:r w:rsidR="00FC2DE2" w:rsidRPr="00E64FCC">
        <w:rPr>
          <w:sz w:val="22"/>
          <w:szCs w:val="22"/>
        </w:rPr>
        <w:t xml:space="preserve"> </w:t>
      </w:r>
    </w:p>
    <w:p w:rsidR="00512A20" w:rsidRDefault="00512A20" w:rsidP="00607E20">
      <w:pPr>
        <w:jc w:val="both"/>
        <w:rPr>
          <w:rFonts w:ascii="Arial" w:hAnsi="Arial" w:cs="Arial"/>
        </w:rPr>
      </w:pPr>
    </w:p>
    <w:p w:rsidR="00F3282E" w:rsidRPr="00732103" w:rsidRDefault="00732103" w:rsidP="00607E20">
      <w:pPr>
        <w:jc w:val="both"/>
        <w:rPr>
          <w:rFonts w:ascii="Arial" w:hAnsi="Arial" w:cs="Arial"/>
          <w:i/>
          <w:sz w:val="22"/>
          <w:szCs w:val="22"/>
        </w:rPr>
      </w:pPr>
      <w:r w:rsidRPr="00732103">
        <w:rPr>
          <w:rFonts w:ascii="Arial" w:hAnsi="Arial" w:cs="Arial"/>
          <w:i/>
          <w:sz w:val="22"/>
          <w:szCs w:val="22"/>
        </w:rPr>
        <w:t>P</w:t>
      </w:r>
      <w:r w:rsidR="00FC2DE2" w:rsidRPr="00732103">
        <w:rPr>
          <w:rFonts w:ascii="Arial" w:hAnsi="Arial" w:cs="Arial"/>
          <w:i/>
          <w:sz w:val="22"/>
          <w:szCs w:val="22"/>
        </w:rPr>
        <w:t>reventing violence and self-harm in places of detent</w:t>
      </w:r>
      <w:r w:rsidRPr="00732103">
        <w:rPr>
          <w:rFonts w:ascii="Arial" w:hAnsi="Arial" w:cs="Arial"/>
          <w:i/>
          <w:sz w:val="22"/>
          <w:szCs w:val="22"/>
        </w:rPr>
        <w:t xml:space="preserve">ion </w:t>
      </w:r>
    </w:p>
    <w:p w:rsidR="00976C7B" w:rsidRDefault="00FC2DE2" w:rsidP="00607E20">
      <w:pPr>
        <w:jc w:val="both"/>
        <w:rPr>
          <w:rFonts w:ascii="Arial" w:hAnsi="Arial" w:cs="Arial"/>
          <w:i/>
        </w:rPr>
      </w:pPr>
      <w:r w:rsidRPr="008220D9">
        <w:rPr>
          <w:rFonts w:ascii="Arial" w:hAnsi="Arial" w:cs="Arial"/>
          <w:i/>
        </w:rPr>
        <w:t xml:space="preserve"> </w:t>
      </w:r>
    </w:p>
    <w:p w:rsidR="000D2FFF" w:rsidRPr="00B56D06" w:rsidRDefault="00B1320C" w:rsidP="008153BF">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Pr>
          <w:rFonts w:ascii="Arial" w:eastAsia="Calibri" w:hAnsi="Arial" w:cs="Arial"/>
          <w:color w:val="000000"/>
          <w:sz w:val="22"/>
          <w:szCs w:val="22"/>
        </w:rPr>
        <w:t>In 2013, the Committee</w:t>
      </w:r>
      <w:r w:rsidR="00E5299A">
        <w:rPr>
          <w:rFonts w:ascii="Arial" w:eastAsia="Calibri" w:hAnsi="Arial" w:cs="Arial"/>
          <w:color w:val="000000"/>
          <w:sz w:val="22"/>
          <w:szCs w:val="22"/>
        </w:rPr>
        <w:t xml:space="preserve"> </w:t>
      </w:r>
      <w:r w:rsidR="000D2FFF" w:rsidRPr="00B56D06">
        <w:rPr>
          <w:rFonts w:ascii="Arial" w:eastAsia="Calibri" w:hAnsi="Arial" w:cs="Arial"/>
          <w:color w:val="000000"/>
          <w:sz w:val="22"/>
          <w:szCs w:val="22"/>
        </w:rPr>
        <w:t xml:space="preserve">highlighted concerns </w:t>
      </w:r>
      <w:r w:rsidR="00735219" w:rsidRPr="00B56D06">
        <w:rPr>
          <w:rFonts w:ascii="Arial" w:hAnsi="Arial" w:cs="Arial"/>
          <w:color w:val="000000"/>
          <w:sz w:val="22"/>
          <w:szCs w:val="22"/>
        </w:rPr>
        <w:t xml:space="preserve">regarding the </w:t>
      </w:r>
      <w:r w:rsidR="00A46F4F" w:rsidRPr="007972B9">
        <w:rPr>
          <w:rFonts w:ascii="Arial" w:hAnsi="Arial" w:cs="Arial"/>
          <w:i/>
          <w:color w:val="000000"/>
          <w:sz w:val="22"/>
          <w:szCs w:val="22"/>
        </w:rPr>
        <w:t>“</w:t>
      </w:r>
      <w:r w:rsidR="00735219" w:rsidRPr="007972B9">
        <w:rPr>
          <w:rFonts w:ascii="Arial" w:hAnsi="Arial" w:cs="Arial"/>
          <w:i/>
          <w:color w:val="000000"/>
          <w:sz w:val="22"/>
          <w:szCs w:val="22"/>
        </w:rPr>
        <w:t>steady increase in the prison population throughout the past decade and the problem of overcrowding, and its impact on suicide rate, cases of self-injuries, prisoner violence and access to recreational activities</w:t>
      </w:r>
      <w:r w:rsidR="000D2FFF" w:rsidRPr="007972B9">
        <w:rPr>
          <w:rFonts w:ascii="Arial" w:hAnsi="Arial" w:cs="Arial"/>
          <w:i/>
          <w:color w:val="000000"/>
          <w:sz w:val="22"/>
          <w:szCs w:val="22"/>
        </w:rPr>
        <w:t>.</w:t>
      </w:r>
      <w:r w:rsidR="00A46F4F" w:rsidRPr="007972B9">
        <w:rPr>
          <w:rFonts w:ascii="Arial" w:hAnsi="Arial" w:cs="Arial"/>
          <w:i/>
          <w:color w:val="000000"/>
          <w:sz w:val="22"/>
          <w:szCs w:val="22"/>
        </w:rPr>
        <w:t>”</w:t>
      </w:r>
      <w:r w:rsidR="00B56D06" w:rsidRPr="00B56D06">
        <w:rPr>
          <w:rFonts w:ascii="Arial" w:hAnsi="Arial" w:cs="Arial"/>
          <w:color w:val="000000"/>
          <w:sz w:val="22"/>
          <w:szCs w:val="22"/>
        </w:rPr>
        <w:t xml:space="preserve"> </w:t>
      </w:r>
      <w:r w:rsidR="00B56D06">
        <w:rPr>
          <w:rFonts w:ascii="Arial" w:eastAsia="Calibri" w:hAnsi="Arial" w:cs="Arial"/>
          <w:color w:val="000000"/>
          <w:sz w:val="22"/>
          <w:szCs w:val="22"/>
        </w:rPr>
        <w:t>The Committee urged</w:t>
      </w:r>
      <w:r w:rsidR="00B56D06" w:rsidRPr="00B56D06">
        <w:rPr>
          <w:rFonts w:ascii="Arial" w:eastAsia="Calibri" w:hAnsi="Arial" w:cs="Arial"/>
          <w:color w:val="000000"/>
          <w:sz w:val="22"/>
          <w:szCs w:val="22"/>
        </w:rPr>
        <w:t xml:space="preserve"> the </w:t>
      </w:r>
      <w:r w:rsidR="00AC2D72">
        <w:rPr>
          <w:rFonts w:ascii="Arial" w:eastAsia="Calibri" w:hAnsi="Arial" w:cs="Arial"/>
          <w:color w:val="000000"/>
          <w:sz w:val="22"/>
          <w:szCs w:val="22"/>
        </w:rPr>
        <w:t>UK</w:t>
      </w:r>
      <w:r w:rsidR="00B56D06" w:rsidRPr="00B56D06">
        <w:rPr>
          <w:rFonts w:ascii="Arial" w:eastAsia="Calibri" w:hAnsi="Arial" w:cs="Arial"/>
          <w:color w:val="000000"/>
          <w:sz w:val="22"/>
          <w:szCs w:val="22"/>
        </w:rPr>
        <w:t xml:space="preserve"> to </w:t>
      </w:r>
      <w:r w:rsidR="00A46F4F" w:rsidRPr="007972B9">
        <w:rPr>
          <w:rFonts w:ascii="Arial" w:eastAsia="Calibri" w:hAnsi="Arial" w:cs="Arial"/>
          <w:i/>
          <w:color w:val="000000"/>
          <w:sz w:val="22"/>
          <w:szCs w:val="22"/>
        </w:rPr>
        <w:t>“</w:t>
      </w:r>
      <w:r w:rsidR="00B56D06" w:rsidRPr="007972B9">
        <w:rPr>
          <w:rFonts w:ascii="Arial" w:eastAsia="Calibri" w:hAnsi="Arial" w:cs="Arial"/>
          <w:i/>
          <w:color w:val="000000"/>
          <w:sz w:val="22"/>
          <w:szCs w:val="22"/>
        </w:rPr>
        <w:t>strengthen its efforts and set concrete targets to reduce the high level of imprisonment and overcrowding, in particular through the wider use of non-custodial measures as an alternative to imprisonment, in the light of the United Nations Standard Minimum Rules for Non-Custodial Measures (the Tokyo Rules).</w:t>
      </w:r>
      <w:r w:rsidR="00282693" w:rsidRPr="007972B9">
        <w:rPr>
          <w:rFonts w:ascii="Arial" w:eastAsia="Calibri" w:hAnsi="Arial" w:cs="Arial"/>
          <w:i/>
          <w:color w:val="000000"/>
          <w:sz w:val="22"/>
          <w:szCs w:val="22"/>
        </w:rPr>
        <w:t>”</w:t>
      </w:r>
      <w:r w:rsidR="00B56D06" w:rsidRPr="00B56D06">
        <w:rPr>
          <w:rStyle w:val="FootnoteReference"/>
          <w:rFonts w:ascii="Arial" w:hAnsi="Arial" w:cs="Arial"/>
          <w:color w:val="000000"/>
          <w:sz w:val="22"/>
          <w:szCs w:val="22"/>
        </w:rPr>
        <w:footnoteReference w:id="18"/>
      </w:r>
    </w:p>
    <w:p w:rsidR="00DF1A96" w:rsidRPr="00DF1A96" w:rsidRDefault="00322635" w:rsidP="008153BF">
      <w:pPr>
        <w:pStyle w:val="ListParagraph"/>
        <w:numPr>
          <w:ilvl w:val="0"/>
          <w:numId w:val="25"/>
        </w:numPr>
        <w:autoSpaceDE w:val="0"/>
        <w:autoSpaceDN w:val="0"/>
        <w:adjustRightInd w:val="0"/>
        <w:spacing w:after="140" w:line="241" w:lineRule="atLeast"/>
        <w:jc w:val="both"/>
        <w:rPr>
          <w:rFonts w:ascii="Arial" w:eastAsia="Calibri" w:hAnsi="Arial" w:cs="Arial"/>
          <w:color w:val="000000"/>
          <w:sz w:val="22"/>
          <w:szCs w:val="22"/>
        </w:rPr>
      </w:pPr>
      <w:r w:rsidRPr="00B56D06">
        <w:rPr>
          <w:rFonts w:ascii="Arial" w:hAnsi="Arial" w:cs="Arial"/>
          <w:sz w:val="22"/>
          <w:szCs w:val="22"/>
          <w:lang w:val="en"/>
        </w:rPr>
        <w:t xml:space="preserve">The EHRC conducted an inquiry into deaths in detention of adults with mental health conditions. It covered a three year period between 2010-13, during which time </w:t>
      </w:r>
      <w:r w:rsidR="005D04BE">
        <w:rPr>
          <w:rFonts w:ascii="Arial" w:hAnsi="Arial" w:cs="Arial"/>
          <w:sz w:val="22"/>
          <w:szCs w:val="22"/>
          <w:lang w:val="en"/>
        </w:rPr>
        <w:t xml:space="preserve">in England and Wales, </w:t>
      </w:r>
      <w:r w:rsidRPr="00B56D06">
        <w:rPr>
          <w:rFonts w:ascii="Arial" w:hAnsi="Arial" w:cs="Arial"/>
          <w:sz w:val="22"/>
          <w:szCs w:val="22"/>
          <w:lang w:val="en"/>
        </w:rPr>
        <w:t>350 adults with mental health conditions died of non-natural causes while detained in psychiatric wards, 17 adults died in police cells and another 295 adults died in prison, many of whom had mental health conditions.</w:t>
      </w:r>
      <w:r w:rsidRPr="00B56D06">
        <w:rPr>
          <w:rStyle w:val="FootnoteReference"/>
          <w:rFonts w:ascii="Arial" w:hAnsi="Arial" w:cs="Arial"/>
          <w:sz w:val="22"/>
          <w:szCs w:val="22"/>
          <w:lang w:val="en"/>
        </w:rPr>
        <w:footnoteReference w:id="19"/>
      </w:r>
      <w:r w:rsidR="00B56D06">
        <w:rPr>
          <w:rFonts w:ascii="Arial" w:hAnsi="Arial" w:cs="Arial"/>
          <w:sz w:val="22"/>
          <w:szCs w:val="22"/>
          <w:lang w:val="en"/>
        </w:rPr>
        <w:t xml:space="preserve"> </w:t>
      </w:r>
    </w:p>
    <w:p w:rsidR="005D04BE" w:rsidRPr="00BC340B" w:rsidRDefault="005D04BE" w:rsidP="008153BF">
      <w:pPr>
        <w:pStyle w:val="ListParagraph"/>
        <w:numPr>
          <w:ilvl w:val="0"/>
          <w:numId w:val="25"/>
        </w:numPr>
        <w:autoSpaceDE w:val="0"/>
        <w:autoSpaceDN w:val="0"/>
        <w:adjustRightInd w:val="0"/>
        <w:spacing w:after="140" w:line="241" w:lineRule="atLeast"/>
        <w:jc w:val="both"/>
        <w:rPr>
          <w:rFonts w:ascii="Arial" w:eastAsia="Calibri" w:hAnsi="Arial" w:cs="Arial"/>
          <w:color w:val="000000"/>
          <w:sz w:val="22"/>
          <w:szCs w:val="22"/>
        </w:rPr>
      </w:pPr>
      <w:r>
        <w:rPr>
          <w:rFonts w:ascii="Arial" w:hAnsi="Arial" w:cs="Arial"/>
          <w:sz w:val="22"/>
          <w:szCs w:val="22"/>
          <w:lang w:val="en"/>
        </w:rPr>
        <w:t>Non-natural deaths in Scottish prisons have fallen slightly since 2010. Most non-natural deaths from 2010 to 2013 were suicides (or were considered apparent suicides). Of these only one was a female prisoner.  Prisons are also reporting increasing numbers of suicides in older prisoners.</w:t>
      </w:r>
      <w:r>
        <w:rPr>
          <w:rStyle w:val="FootnoteReference"/>
          <w:rFonts w:ascii="Arial" w:hAnsi="Arial" w:cs="Arial"/>
          <w:sz w:val="22"/>
          <w:szCs w:val="22"/>
          <w:lang w:val="en"/>
        </w:rPr>
        <w:footnoteReference w:id="20"/>
      </w:r>
      <w:r>
        <w:rPr>
          <w:rFonts w:ascii="Arial" w:hAnsi="Arial" w:cs="Arial"/>
          <w:sz w:val="22"/>
          <w:szCs w:val="22"/>
          <w:lang w:val="en"/>
        </w:rPr>
        <w:t xml:space="preserve"> Evidence repeatedly highlights insufficient mental health </w:t>
      </w:r>
      <w:r>
        <w:rPr>
          <w:rFonts w:ascii="Arial" w:hAnsi="Arial" w:cs="Arial"/>
          <w:sz w:val="22"/>
          <w:szCs w:val="22"/>
          <w:lang w:val="en"/>
        </w:rPr>
        <w:lastRenderedPageBreak/>
        <w:t>training of staff in both the police and prison services as an area of concern, with slow and patchy progress to address this</w:t>
      </w:r>
      <w:r w:rsidR="00EE7084">
        <w:rPr>
          <w:rFonts w:ascii="Arial" w:hAnsi="Arial" w:cs="Arial"/>
          <w:sz w:val="22"/>
          <w:szCs w:val="22"/>
          <w:lang w:val="en"/>
        </w:rPr>
        <w:t>.</w:t>
      </w:r>
      <w:r>
        <w:rPr>
          <w:rStyle w:val="FootnoteReference"/>
          <w:rFonts w:ascii="Arial" w:hAnsi="Arial" w:cs="Arial"/>
          <w:sz w:val="22"/>
          <w:szCs w:val="22"/>
          <w:lang w:val="en"/>
        </w:rPr>
        <w:footnoteReference w:id="21"/>
      </w:r>
      <w:r>
        <w:rPr>
          <w:rFonts w:ascii="Arial" w:hAnsi="Arial" w:cs="Arial"/>
          <w:sz w:val="22"/>
          <w:szCs w:val="22"/>
          <w:lang w:val="en"/>
        </w:rPr>
        <w:t xml:space="preserve"> Referral and diversion schemes identify vulnerable offenders when they first come into contact with the criminal justice system. However, these schemes for mental health are much less common that the schemes for substance abuse.</w:t>
      </w:r>
      <w:r>
        <w:rPr>
          <w:rStyle w:val="FootnoteReference"/>
          <w:rFonts w:ascii="Arial" w:hAnsi="Arial" w:cs="Arial"/>
          <w:sz w:val="22"/>
          <w:szCs w:val="22"/>
          <w:lang w:val="en"/>
        </w:rPr>
        <w:footnoteReference w:id="22"/>
      </w:r>
      <w:r>
        <w:rPr>
          <w:rFonts w:ascii="Arial" w:hAnsi="Arial" w:cs="Arial"/>
          <w:sz w:val="22"/>
          <w:szCs w:val="22"/>
          <w:lang w:val="en"/>
        </w:rPr>
        <w:t xml:space="preserve"> </w:t>
      </w:r>
    </w:p>
    <w:p w:rsidR="005D04BE" w:rsidRPr="00BC340B" w:rsidRDefault="005D04BE" w:rsidP="008153BF">
      <w:pPr>
        <w:pStyle w:val="ListParagraph"/>
        <w:numPr>
          <w:ilvl w:val="0"/>
          <w:numId w:val="25"/>
        </w:numPr>
        <w:autoSpaceDE w:val="0"/>
        <w:autoSpaceDN w:val="0"/>
        <w:adjustRightInd w:val="0"/>
        <w:spacing w:after="140" w:line="241" w:lineRule="atLeast"/>
        <w:jc w:val="both"/>
        <w:rPr>
          <w:rFonts w:ascii="Arial" w:eastAsia="Calibri" w:hAnsi="Arial" w:cs="Arial"/>
          <w:color w:val="000000"/>
          <w:sz w:val="22"/>
          <w:szCs w:val="22"/>
        </w:rPr>
      </w:pPr>
      <w:r>
        <w:rPr>
          <w:rFonts w:ascii="Arial" w:hAnsi="Arial" w:cs="Arial"/>
          <w:sz w:val="22"/>
          <w:szCs w:val="22"/>
          <w:lang w:val="en"/>
        </w:rPr>
        <w:t>The number of non-natural deaths of detained patients in Scotland remained constant between 2010 and 2012 and all were recorded as suicides. The EHRC has recommended that the investigative structures for the deaths of detained patients in NHS Scotland mental health wards should be strengthened in line with our Human Rights Framework and clarified.</w:t>
      </w:r>
      <w:r>
        <w:rPr>
          <w:rStyle w:val="FootnoteReference"/>
          <w:rFonts w:ascii="Arial" w:hAnsi="Arial" w:cs="Arial"/>
          <w:sz w:val="22"/>
          <w:szCs w:val="22"/>
          <w:lang w:val="en"/>
        </w:rPr>
        <w:footnoteReference w:id="23"/>
      </w:r>
      <w:r>
        <w:rPr>
          <w:rFonts w:ascii="Arial" w:hAnsi="Arial" w:cs="Arial"/>
          <w:sz w:val="22"/>
          <w:szCs w:val="22"/>
          <w:lang w:val="en"/>
        </w:rPr>
        <w:t xml:space="preserve"> </w:t>
      </w:r>
    </w:p>
    <w:p w:rsidR="005D04BE" w:rsidRPr="00B56D06" w:rsidRDefault="005D04BE" w:rsidP="008153BF">
      <w:pPr>
        <w:pStyle w:val="ListParagraph"/>
        <w:numPr>
          <w:ilvl w:val="0"/>
          <w:numId w:val="25"/>
        </w:numPr>
        <w:autoSpaceDE w:val="0"/>
        <w:autoSpaceDN w:val="0"/>
        <w:adjustRightInd w:val="0"/>
        <w:spacing w:after="140" w:line="241" w:lineRule="atLeast"/>
        <w:jc w:val="both"/>
        <w:rPr>
          <w:rFonts w:ascii="Arial" w:eastAsia="Calibri" w:hAnsi="Arial" w:cs="Arial"/>
          <w:color w:val="000000"/>
          <w:sz w:val="22"/>
          <w:szCs w:val="22"/>
        </w:rPr>
      </w:pPr>
      <w:r w:rsidRPr="00B56D06">
        <w:rPr>
          <w:rFonts w:ascii="Arial" w:eastAsia="Calibri" w:hAnsi="Arial" w:cs="Arial"/>
          <w:color w:val="000000"/>
          <w:sz w:val="22"/>
          <w:szCs w:val="22"/>
        </w:rPr>
        <w:t>The Chief Inspectors of Prisons for England and Wales and for Scotland reported, in 2015 and 2014 respectively, that overcrowding continued to be a significant problem in prisons.</w:t>
      </w:r>
      <w:r w:rsidRPr="00B56D06">
        <w:rPr>
          <w:rStyle w:val="FootnoteReference"/>
          <w:rFonts w:ascii="Arial" w:eastAsia="Calibri" w:hAnsi="Arial" w:cs="Arial"/>
          <w:color w:val="000000"/>
          <w:sz w:val="22"/>
          <w:szCs w:val="22"/>
        </w:rPr>
        <w:footnoteReference w:id="24"/>
      </w:r>
      <w:r w:rsidRPr="00B56D06">
        <w:rPr>
          <w:rFonts w:ascii="Arial" w:hAnsi="Arial" w:cs="Arial"/>
          <w:i/>
          <w:sz w:val="22"/>
          <w:szCs w:val="22"/>
        </w:rPr>
        <w:t> </w:t>
      </w:r>
    </w:p>
    <w:p w:rsidR="00DF1A96" w:rsidRDefault="00DF1A96" w:rsidP="008153BF">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sidRPr="00DF1A96">
        <w:rPr>
          <w:rFonts w:ascii="Arial" w:eastAsia="Calibri" w:hAnsi="Arial" w:cs="Arial"/>
          <w:color w:val="000000"/>
          <w:sz w:val="22"/>
          <w:szCs w:val="22"/>
        </w:rPr>
        <w:t xml:space="preserve">While the UK Government has made recent progress and committed to ‘Transforming Rehabilitation’ in England and Wales, considerable challenges in protecting the human rights of those detained by the prison service remain, particularly for offenders with mental health conditions who are at risk </w:t>
      </w:r>
      <w:r w:rsidR="00BB0F45">
        <w:rPr>
          <w:rFonts w:ascii="Arial" w:eastAsia="Calibri" w:hAnsi="Arial" w:cs="Arial"/>
          <w:color w:val="000000"/>
          <w:sz w:val="22"/>
          <w:szCs w:val="22"/>
        </w:rPr>
        <w:t xml:space="preserve">of </w:t>
      </w:r>
      <w:r w:rsidRPr="00DF1A96">
        <w:rPr>
          <w:rFonts w:ascii="Arial" w:eastAsia="Calibri" w:hAnsi="Arial" w:cs="Arial"/>
          <w:color w:val="000000"/>
          <w:sz w:val="22"/>
          <w:szCs w:val="22"/>
        </w:rPr>
        <w:t>self-harm and self-inflicted deaths.</w:t>
      </w:r>
      <w:r w:rsidRPr="00DF1A96">
        <w:rPr>
          <w:rStyle w:val="FootnoteReference"/>
          <w:rFonts w:ascii="Arial" w:eastAsia="Calibri" w:hAnsi="Arial" w:cs="Arial"/>
          <w:color w:val="000000"/>
          <w:sz w:val="22"/>
          <w:szCs w:val="22"/>
        </w:rPr>
        <w:footnoteReference w:id="25"/>
      </w:r>
    </w:p>
    <w:p w:rsidR="009331E9" w:rsidRDefault="00E514F6" w:rsidP="00467619">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Pr>
          <w:rFonts w:ascii="Arial" w:eastAsia="Calibri" w:hAnsi="Arial" w:cs="Arial"/>
          <w:color w:val="000000"/>
          <w:sz w:val="22"/>
          <w:szCs w:val="22"/>
        </w:rPr>
        <w:t>O</w:t>
      </w:r>
      <w:r w:rsidR="004F1D87">
        <w:rPr>
          <w:rFonts w:ascii="Arial" w:eastAsia="Calibri" w:hAnsi="Arial" w:cs="Arial"/>
          <w:color w:val="000000"/>
          <w:sz w:val="22"/>
          <w:szCs w:val="22"/>
        </w:rPr>
        <w:t xml:space="preserve">n </w:t>
      </w:r>
      <w:r>
        <w:rPr>
          <w:rFonts w:ascii="Arial" w:eastAsia="Calibri" w:hAnsi="Arial" w:cs="Arial"/>
          <w:color w:val="000000"/>
          <w:sz w:val="22"/>
          <w:szCs w:val="22"/>
        </w:rPr>
        <w:t xml:space="preserve">12 </w:t>
      </w:r>
      <w:r w:rsidR="004F1D87">
        <w:rPr>
          <w:rFonts w:ascii="Arial" w:eastAsia="Calibri" w:hAnsi="Arial" w:cs="Arial"/>
          <w:color w:val="000000"/>
          <w:sz w:val="22"/>
          <w:szCs w:val="22"/>
        </w:rPr>
        <w:t xml:space="preserve">January 2016, allegations were reported in the press regarding </w:t>
      </w:r>
      <w:r w:rsidR="004F1D87" w:rsidRPr="004F1D87">
        <w:rPr>
          <w:rFonts w:ascii="Arial" w:eastAsia="Calibri" w:hAnsi="Arial" w:cs="Arial"/>
          <w:color w:val="000000"/>
          <w:sz w:val="22"/>
          <w:szCs w:val="22"/>
        </w:rPr>
        <w:t xml:space="preserve">the behaviour of staff at the Medway Secure Training </w:t>
      </w:r>
      <w:r w:rsidR="004F1D87">
        <w:rPr>
          <w:rFonts w:ascii="Arial" w:eastAsia="Calibri" w:hAnsi="Arial" w:cs="Arial"/>
          <w:color w:val="000000"/>
          <w:sz w:val="22"/>
          <w:szCs w:val="22"/>
        </w:rPr>
        <w:t xml:space="preserve">Centre in Rochester, which is run by </w:t>
      </w:r>
      <w:r w:rsidR="004F1D87" w:rsidRPr="004F1D87">
        <w:rPr>
          <w:rFonts w:ascii="Arial" w:eastAsia="Calibri" w:hAnsi="Arial" w:cs="Arial"/>
          <w:color w:val="000000"/>
          <w:sz w:val="22"/>
          <w:szCs w:val="22"/>
        </w:rPr>
        <w:t>Secu</w:t>
      </w:r>
      <w:r w:rsidR="004F1D87">
        <w:rPr>
          <w:rFonts w:ascii="Arial" w:eastAsia="Calibri" w:hAnsi="Arial" w:cs="Arial"/>
          <w:color w:val="000000"/>
          <w:sz w:val="22"/>
          <w:szCs w:val="22"/>
        </w:rPr>
        <w:t>rity firm G4S. The allegations relate to ten</w:t>
      </w:r>
      <w:r w:rsidR="004F1D87" w:rsidRPr="004F1D87">
        <w:rPr>
          <w:rFonts w:ascii="Arial" w:eastAsia="Calibri" w:hAnsi="Arial" w:cs="Arial"/>
          <w:color w:val="000000"/>
          <w:sz w:val="22"/>
          <w:szCs w:val="22"/>
        </w:rPr>
        <w:t xml:space="preserve"> boys, aged 14 to 17, and involve unnecessary force, foul language and a cover-up.</w:t>
      </w:r>
      <w:r w:rsidR="004F1D87">
        <w:rPr>
          <w:rStyle w:val="FootnoteReference"/>
          <w:rFonts w:ascii="Arial" w:eastAsia="Calibri" w:hAnsi="Arial" w:cs="Arial"/>
          <w:color w:val="000000"/>
          <w:sz w:val="22"/>
          <w:szCs w:val="22"/>
        </w:rPr>
        <w:footnoteReference w:id="26"/>
      </w:r>
      <w:r w:rsidR="00467619">
        <w:rPr>
          <w:rFonts w:ascii="Arial" w:eastAsia="Calibri" w:hAnsi="Arial" w:cs="Arial"/>
          <w:color w:val="000000"/>
          <w:sz w:val="22"/>
          <w:szCs w:val="22"/>
        </w:rPr>
        <w:t xml:space="preserve"> </w:t>
      </w:r>
      <w:r w:rsidR="009331E9">
        <w:rPr>
          <w:rFonts w:ascii="Arial" w:hAnsi="Arial" w:cs="Arial"/>
          <w:bCs/>
          <w:sz w:val="22"/>
          <w:szCs w:val="22"/>
        </w:rPr>
        <w:t>Her Majesty’s Inspectorate of Prisons (for England and Wales) (</w:t>
      </w:r>
      <w:r w:rsidR="00467619" w:rsidRPr="00467619">
        <w:rPr>
          <w:rFonts w:ascii="Arial" w:eastAsia="Calibri" w:hAnsi="Arial" w:cs="Arial"/>
          <w:color w:val="000000"/>
          <w:sz w:val="22"/>
          <w:szCs w:val="22"/>
        </w:rPr>
        <w:t>HMIP</w:t>
      </w:r>
      <w:r w:rsidR="009331E9">
        <w:rPr>
          <w:rFonts w:ascii="Arial" w:eastAsia="Calibri" w:hAnsi="Arial" w:cs="Arial"/>
          <w:color w:val="000000"/>
          <w:sz w:val="22"/>
          <w:szCs w:val="22"/>
        </w:rPr>
        <w:t>)</w:t>
      </w:r>
      <w:r w:rsidR="00467619" w:rsidRPr="00467619">
        <w:rPr>
          <w:rFonts w:ascii="Arial" w:eastAsia="Calibri" w:hAnsi="Arial" w:cs="Arial"/>
          <w:color w:val="000000"/>
          <w:sz w:val="22"/>
          <w:szCs w:val="22"/>
        </w:rPr>
        <w:t xml:space="preserve"> and Ofsted visited Medway Secure Training Centre on 11 January and published their findings on 26 January 2016.</w:t>
      </w:r>
      <w:r w:rsidR="009331E9">
        <w:rPr>
          <w:rStyle w:val="FootnoteReference"/>
          <w:rFonts w:ascii="Arial" w:eastAsia="Calibri" w:hAnsi="Arial" w:cs="Arial"/>
          <w:i/>
          <w:color w:val="000000"/>
          <w:sz w:val="22"/>
          <w:szCs w:val="22"/>
        </w:rPr>
        <w:footnoteReference w:id="27"/>
      </w:r>
      <w:r w:rsidR="00467619" w:rsidRPr="00467619">
        <w:rPr>
          <w:rFonts w:ascii="Arial" w:eastAsia="Calibri" w:hAnsi="Arial" w:cs="Arial"/>
          <w:color w:val="000000"/>
          <w:sz w:val="22"/>
          <w:szCs w:val="22"/>
        </w:rPr>
        <w:t xml:space="preserve"> </w:t>
      </w:r>
    </w:p>
    <w:p w:rsidR="00570923" w:rsidRPr="009331E9" w:rsidRDefault="00B678F9" w:rsidP="009331E9">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Pr>
          <w:rFonts w:ascii="Arial" w:eastAsia="Calibri" w:hAnsi="Arial" w:cs="Arial"/>
          <w:color w:val="000000"/>
          <w:sz w:val="22"/>
          <w:szCs w:val="22"/>
        </w:rPr>
        <w:t>Justice Secretary Michael Gove</w:t>
      </w:r>
      <w:r w:rsidR="00467619" w:rsidRPr="00467619">
        <w:rPr>
          <w:rFonts w:ascii="Arial" w:eastAsia="Calibri" w:hAnsi="Arial" w:cs="Arial"/>
          <w:color w:val="000000"/>
          <w:sz w:val="22"/>
          <w:szCs w:val="22"/>
        </w:rPr>
        <w:t xml:space="preserve"> stated </w:t>
      </w:r>
      <w:r w:rsidR="009331E9">
        <w:rPr>
          <w:rFonts w:ascii="Arial" w:eastAsia="Calibri" w:hAnsi="Arial" w:cs="Arial"/>
          <w:color w:val="000000"/>
          <w:sz w:val="22"/>
          <w:szCs w:val="22"/>
        </w:rPr>
        <w:t xml:space="preserve">on 26 January 2016 </w:t>
      </w:r>
      <w:r w:rsidR="00467619" w:rsidRPr="00467619">
        <w:rPr>
          <w:rFonts w:ascii="Arial" w:eastAsia="Calibri" w:hAnsi="Arial" w:cs="Arial"/>
          <w:color w:val="000000"/>
          <w:sz w:val="22"/>
          <w:szCs w:val="22"/>
        </w:rPr>
        <w:t>that “Kent Police and Medway Council’s child protection team had launched an investigation “</w:t>
      </w:r>
      <w:r w:rsidR="00467619" w:rsidRPr="00467619">
        <w:rPr>
          <w:rFonts w:ascii="Arial" w:eastAsia="Calibri" w:hAnsi="Arial" w:cs="Arial"/>
          <w:i/>
          <w:color w:val="000000"/>
          <w:sz w:val="22"/>
          <w:szCs w:val="22"/>
        </w:rPr>
        <w:t>to determine whether there is any evidence to justify criminal proceedings</w:t>
      </w:r>
      <w:r w:rsidR="00467619" w:rsidRPr="00467619">
        <w:rPr>
          <w:rFonts w:ascii="Arial" w:eastAsia="Calibri" w:hAnsi="Arial" w:cs="Arial"/>
          <w:color w:val="000000"/>
          <w:sz w:val="22"/>
          <w:szCs w:val="22"/>
        </w:rPr>
        <w:t>.” Additionally, the Youth Justice Board, which is responsible for commissioning and oversight of the secure youth estate, has “</w:t>
      </w:r>
      <w:r w:rsidR="00467619" w:rsidRPr="00467619">
        <w:rPr>
          <w:rFonts w:ascii="Arial" w:eastAsia="Calibri" w:hAnsi="Arial" w:cs="Arial"/>
          <w:i/>
          <w:color w:val="000000"/>
          <w:sz w:val="22"/>
          <w:szCs w:val="22"/>
        </w:rPr>
        <w:t>increased both its own monitoring at Medway STC and the presence of Barnardos, who provide an independent advocacy service at the centre</w:t>
      </w:r>
      <w:r w:rsidR="00467619" w:rsidRPr="00467619">
        <w:rPr>
          <w:rFonts w:ascii="Arial" w:eastAsia="Calibri" w:hAnsi="Arial" w:cs="Arial"/>
          <w:color w:val="000000"/>
          <w:sz w:val="22"/>
          <w:szCs w:val="22"/>
        </w:rPr>
        <w:t xml:space="preserve">.” </w:t>
      </w:r>
      <w:r w:rsidR="00E514F6">
        <w:rPr>
          <w:rFonts w:ascii="Arial" w:eastAsia="Calibri" w:hAnsi="Arial" w:cs="Arial"/>
          <w:color w:val="000000"/>
          <w:sz w:val="22"/>
          <w:szCs w:val="22"/>
        </w:rPr>
        <w:t xml:space="preserve">The </w:t>
      </w:r>
      <w:r w:rsidR="00467619" w:rsidRPr="00467619">
        <w:rPr>
          <w:rFonts w:ascii="Arial" w:eastAsia="Calibri" w:hAnsi="Arial" w:cs="Arial"/>
          <w:color w:val="000000"/>
          <w:sz w:val="22"/>
          <w:szCs w:val="22"/>
        </w:rPr>
        <w:t>Justice Secretary has “</w:t>
      </w:r>
      <w:r w:rsidR="00467619" w:rsidRPr="009331E9">
        <w:rPr>
          <w:rFonts w:ascii="Arial" w:eastAsia="Calibri" w:hAnsi="Arial" w:cs="Arial"/>
          <w:i/>
          <w:color w:val="000000"/>
          <w:sz w:val="22"/>
          <w:szCs w:val="22"/>
        </w:rPr>
        <w:t>tasked G4S with putting an improvement plan in place.</w:t>
      </w:r>
      <w:r w:rsidR="00467619" w:rsidRPr="00467619">
        <w:rPr>
          <w:rFonts w:ascii="Arial" w:eastAsia="Calibri" w:hAnsi="Arial" w:cs="Arial"/>
          <w:color w:val="000000"/>
          <w:sz w:val="22"/>
          <w:szCs w:val="22"/>
        </w:rPr>
        <w:t>” The work will be overseen by a newly appointed Independent Improvement Board, “</w:t>
      </w:r>
      <w:r w:rsidR="00467619" w:rsidRPr="00467619">
        <w:rPr>
          <w:rFonts w:ascii="Arial" w:eastAsia="Calibri" w:hAnsi="Arial" w:cs="Arial"/>
          <w:i/>
          <w:color w:val="000000"/>
          <w:sz w:val="22"/>
          <w:szCs w:val="22"/>
        </w:rPr>
        <w:t>comprised of four members with substantial expertise in education, running secure establishments and looking after children with behavioural difficulties.”</w:t>
      </w:r>
      <w:r w:rsidR="009331E9">
        <w:rPr>
          <w:rStyle w:val="FootnoteReference"/>
          <w:rFonts w:ascii="Arial" w:eastAsia="Calibri" w:hAnsi="Arial" w:cs="Arial"/>
          <w:i/>
          <w:color w:val="000000"/>
          <w:sz w:val="22"/>
          <w:szCs w:val="22"/>
        </w:rPr>
        <w:footnoteReference w:id="28"/>
      </w:r>
    </w:p>
    <w:p w:rsidR="009331E9" w:rsidRPr="009331E9" w:rsidRDefault="009331E9" w:rsidP="009331E9">
      <w:pPr>
        <w:pStyle w:val="ListParagraph"/>
        <w:tabs>
          <w:tab w:val="left" w:pos="720"/>
        </w:tabs>
        <w:autoSpaceDE w:val="0"/>
        <w:autoSpaceDN w:val="0"/>
        <w:adjustRightInd w:val="0"/>
        <w:ind w:left="360"/>
        <w:jc w:val="both"/>
        <w:rPr>
          <w:rFonts w:ascii="Arial" w:eastAsia="Calibri" w:hAnsi="Arial" w:cs="Arial"/>
          <w:color w:val="000000"/>
          <w:sz w:val="22"/>
          <w:szCs w:val="22"/>
        </w:rPr>
      </w:pPr>
    </w:p>
    <w:p w:rsidR="00282693" w:rsidRPr="009D309D" w:rsidRDefault="00570923" w:rsidP="008153BF">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Pr>
          <w:rFonts w:ascii="Arial" w:hAnsi="Arial" w:cs="Arial"/>
          <w:b/>
          <w:bCs/>
          <w:sz w:val="22"/>
          <w:szCs w:val="22"/>
        </w:rPr>
        <w:t>Recommendation: The Committee should ask t</w:t>
      </w:r>
      <w:r w:rsidR="00D54339" w:rsidRPr="00965540">
        <w:rPr>
          <w:rFonts w:ascii="Arial" w:hAnsi="Arial" w:cs="Arial"/>
          <w:b/>
          <w:bCs/>
          <w:sz w:val="22"/>
          <w:szCs w:val="22"/>
        </w:rPr>
        <w:t xml:space="preserve">he </w:t>
      </w:r>
      <w:r>
        <w:rPr>
          <w:rFonts w:ascii="Arial" w:hAnsi="Arial" w:cs="Arial"/>
          <w:b/>
          <w:bCs/>
          <w:sz w:val="22"/>
          <w:szCs w:val="22"/>
        </w:rPr>
        <w:t>UK to</w:t>
      </w:r>
      <w:r w:rsidRPr="00965540">
        <w:rPr>
          <w:rFonts w:ascii="Arial" w:hAnsi="Arial" w:cs="Arial"/>
          <w:b/>
          <w:bCs/>
          <w:sz w:val="22"/>
          <w:szCs w:val="22"/>
        </w:rPr>
        <w:t xml:space="preserve"> </w:t>
      </w:r>
      <w:r w:rsidR="00D54339" w:rsidRPr="00965540">
        <w:rPr>
          <w:rFonts w:ascii="Arial" w:hAnsi="Arial" w:cs="Arial"/>
          <w:b/>
          <w:bCs/>
          <w:sz w:val="22"/>
          <w:szCs w:val="22"/>
        </w:rPr>
        <w:t>outline its timetable for carrying out the commitments ma</w:t>
      </w:r>
      <w:r w:rsidR="000E30A7">
        <w:rPr>
          <w:rFonts w:ascii="Arial" w:hAnsi="Arial" w:cs="Arial"/>
          <w:b/>
          <w:bCs/>
          <w:sz w:val="22"/>
          <w:szCs w:val="22"/>
        </w:rPr>
        <w:t>de by the Justice S</w:t>
      </w:r>
      <w:r w:rsidR="00D54339" w:rsidRPr="00965540">
        <w:rPr>
          <w:rFonts w:ascii="Arial" w:hAnsi="Arial" w:cs="Arial"/>
          <w:b/>
          <w:bCs/>
          <w:sz w:val="22"/>
          <w:szCs w:val="22"/>
        </w:rPr>
        <w:t>ecretary to improve mental health services in prisons, and</w:t>
      </w:r>
      <w:r w:rsidR="00D54339" w:rsidRPr="00965540">
        <w:rPr>
          <w:rFonts w:ascii="Arial" w:hAnsi="Arial" w:cs="Arial"/>
          <w:sz w:val="22"/>
          <w:szCs w:val="22"/>
        </w:rPr>
        <w:t xml:space="preserve"> </w:t>
      </w:r>
      <w:r w:rsidR="008F3F58" w:rsidRPr="008153BF">
        <w:rPr>
          <w:rFonts w:ascii="Arial" w:hAnsi="Arial" w:cs="Arial"/>
          <w:b/>
          <w:sz w:val="22"/>
          <w:szCs w:val="22"/>
        </w:rPr>
        <w:t>to</w:t>
      </w:r>
      <w:r w:rsidR="008F3F58">
        <w:rPr>
          <w:rFonts w:ascii="Arial" w:hAnsi="Arial" w:cs="Arial"/>
          <w:sz w:val="22"/>
          <w:szCs w:val="22"/>
        </w:rPr>
        <w:t xml:space="preserve"> </w:t>
      </w:r>
      <w:r w:rsidR="00D54339" w:rsidRPr="00965540">
        <w:rPr>
          <w:rFonts w:ascii="Arial" w:hAnsi="Arial" w:cs="Arial"/>
          <w:b/>
          <w:bCs/>
          <w:sz w:val="22"/>
          <w:szCs w:val="22"/>
        </w:rPr>
        <w:t>identify offenders with mental health conditions.</w:t>
      </w:r>
      <w:r w:rsidR="009D309D">
        <w:rPr>
          <w:rFonts w:ascii="Arial" w:hAnsi="Arial" w:cs="Arial"/>
          <w:b/>
          <w:bCs/>
          <w:sz w:val="22"/>
          <w:szCs w:val="22"/>
        </w:rPr>
        <w:t xml:space="preserve"> It should also state what steps it is taking to reduce the number of people being incarcerated in prisons in England and Wales, and to reduce the number of hours </w:t>
      </w:r>
      <w:r w:rsidR="009D309D">
        <w:rPr>
          <w:rFonts w:ascii="Arial" w:hAnsi="Arial" w:cs="Arial"/>
          <w:b/>
          <w:bCs/>
          <w:sz w:val="22"/>
          <w:szCs w:val="22"/>
        </w:rPr>
        <w:lastRenderedPageBreak/>
        <w:t>prisoner</w:t>
      </w:r>
      <w:r w:rsidR="008F3F58">
        <w:rPr>
          <w:rFonts w:ascii="Arial" w:hAnsi="Arial" w:cs="Arial"/>
          <w:b/>
          <w:bCs/>
          <w:sz w:val="22"/>
          <w:szCs w:val="22"/>
        </w:rPr>
        <w:t>s are</w:t>
      </w:r>
      <w:r w:rsidR="004D6904">
        <w:rPr>
          <w:rFonts w:ascii="Arial" w:hAnsi="Arial" w:cs="Arial"/>
          <w:b/>
          <w:bCs/>
          <w:sz w:val="22"/>
          <w:szCs w:val="22"/>
        </w:rPr>
        <w:t xml:space="preserve"> </w:t>
      </w:r>
      <w:r w:rsidR="009D309D">
        <w:rPr>
          <w:rFonts w:ascii="Arial" w:hAnsi="Arial" w:cs="Arial"/>
          <w:b/>
          <w:bCs/>
          <w:sz w:val="22"/>
          <w:szCs w:val="22"/>
        </w:rPr>
        <w:t>locked in their cells in favour of improved purposeful activity and rehabilitation.</w:t>
      </w:r>
      <w:r w:rsidR="00D54339" w:rsidRPr="00965540">
        <w:rPr>
          <w:rStyle w:val="FootnoteReference"/>
          <w:rFonts w:ascii="Arial" w:hAnsi="Arial" w:cs="Arial"/>
          <w:b/>
          <w:bCs/>
          <w:sz w:val="22"/>
          <w:szCs w:val="22"/>
        </w:rPr>
        <w:footnoteReference w:id="29"/>
      </w:r>
    </w:p>
    <w:p w:rsidR="00282693" w:rsidRDefault="00282693" w:rsidP="00607E20">
      <w:pPr>
        <w:jc w:val="both"/>
        <w:rPr>
          <w:rFonts w:ascii="Arial" w:hAnsi="Arial" w:cs="Arial"/>
          <w:i/>
          <w:sz w:val="22"/>
          <w:szCs w:val="22"/>
        </w:rPr>
      </w:pPr>
    </w:p>
    <w:p w:rsidR="003262CE" w:rsidRPr="007F1593" w:rsidRDefault="003262CE" w:rsidP="00607E20">
      <w:pPr>
        <w:jc w:val="both"/>
        <w:rPr>
          <w:rFonts w:ascii="Arial" w:hAnsi="Arial" w:cs="Arial"/>
          <w:i/>
          <w:sz w:val="22"/>
          <w:szCs w:val="22"/>
        </w:rPr>
      </w:pPr>
    </w:p>
    <w:p w:rsidR="00976C7B" w:rsidRPr="007F1593" w:rsidRDefault="00473C8F" w:rsidP="00607E20">
      <w:pPr>
        <w:jc w:val="both"/>
        <w:rPr>
          <w:rFonts w:ascii="Arial" w:hAnsi="Arial" w:cs="Arial"/>
          <w:i/>
          <w:sz w:val="22"/>
          <w:szCs w:val="22"/>
        </w:rPr>
      </w:pPr>
      <w:r w:rsidRPr="007F1593">
        <w:rPr>
          <w:rFonts w:ascii="Arial" w:hAnsi="Arial" w:cs="Arial"/>
          <w:i/>
          <w:sz w:val="22"/>
          <w:szCs w:val="22"/>
        </w:rPr>
        <w:t>P</w:t>
      </w:r>
      <w:r w:rsidR="00FC2DE2" w:rsidRPr="007F1593">
        <w:rPr>
          <w:rFonts w:ascii="Arial" w:hAnsi="Arial" w:cs="Arial"/>
          <w:i/>
          <w:sz w:val="22"/>
          <w:szCs w:val="22"/>
        </w:rPr>
        <w:t xml:space="preserve">reventing vulnerable asylum seekers being detained for immigration purposes and the need for a statutory time limit </w:t>
      </w:r>
    </w:p>
    <w:p w:rsidR="008D0354" w:rsidRPr="008D0354" w:rsidRDefault="008D0354" w:rsidP="007F1593">
      <w:pPr>
        <w:autoSpaceDE w:val="0"/>
        <w:autoSpaceDN w:val="0"/>
        <w:adjustRightInd w:val="0"/>
        <w:jc w:val="both"/>
        <w:rPr>
          <w:rFonts w:ascii="Arial" w:eastAsia="Calibri" w:hAnsi="Arial" w:cs="Arial"/>
          <w:color w:val="000000"/>
          <w:sz w:val="22"/>
          <w:szCs w:val="22"/>
        </w:rPr>
      </w:pPr>
    </w:p>
    <w:p w:rsidR="007F1593" w:rsidRPr="000D2FFF" w:rsidRDefault="00B1320C" w:rsidP="008153BF">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Pr>
          <w:rFonts w:ascii="Arial" w:eastAsia="Calibri" w:hAnsi="Arial" w:cs="Arial"/>
          <w:color w:val="000000"/>
          <w:sz w:val="22"/>
          <w:szCs w:val="22"/>
        </w:rPr>
        <w:t>In 2013, the Committee</w:t>
      </w:r>
      <w:r w:rsidR="0058545B">
        <w:rPr>
          <w:rFonts w:ascii="Arial" w:eastAsia="Calibri" w:hAnsi="Arial" w:cs="Arial"/>
          <w:color w:val="000000"/>
          <w:sz w:val="22"/>
          <w:szCs w:val="22"/>
        </w:rPr>
        <w:t xml:space="preserve"> </w:t>
      </w:r>
      <w:r w:rsidR="008D0354" w:rsidRPr="000D2FFF">
        <w:rPr>
          <w:rFonts w:ascii="Arial" w:eastAsia="Calibri" w:hAnsi="Arial" w:cs="Arial"/>
          <w:color w:val="000000"/>
          <w:sz w:val="22"/>
          <w:szCs w:val="22"/>
        </w:rPr>
        <w:t xml:space="preserve">stated that it was concerned </w:t>
      </w:r>
      <w:r w:rsidR="004F5F6C">
        <w:rPr>
          <w:rFonts w:ascii="Arial" w:eastAsia="Calibri" w:hAnsi="Arial" w:cs="Arial"/>
          <w:color w:val="000000"/>
          <w:sz w:val="22"/>
          <w:szCs w:val="22"/>
        </w:rPr>
        <w:t>about</w:t>
      </w:r>
      <w:r w:rsidR="008D0354" w:rsidRPr="000D2FFF">
        <w:rPr>
          <w:rFonts w:ascii="Arial" w:eastAsia="Calibri" w:hAnsi="Arial" w:cs="Arial"/>
          <w:color w:val="000000"/>
          <w:sz w:val="22"/>
          <w:szCs w:val="22"/>
        </w:rPr>
        <w:t xml:space="preserve"> instances where </w:t>
      </w:r>
      <w:r w:rsidR="009B5982" w:rsidRPr="007972B9">
        <w:rPr>
          <w:rFonts w:ascii="Arial" w:eastAsia="Calibri" w:hAnsi="Arial" w:cs="Arial"/>
          <w:i/>
          <w:color w:val="000000"/>
          <w:sz w:val="22"/>
          <w:szCs w:val="22"/>
        </w:rPr>
        <w:t>“</w:t>
      </w:r>
      <w:r w:rsidR="008D0354" w:rsidRPr="007972B9">
        <w:rPr>
          <w:rFonts w:ascii="Arial" w:eastAsia="Calibri" w:hAnsi="Arial" w:cs="Arial"/>
          <w:i/>
          <w:color w:val="000000"/>
          <w:sz w:val="22"/>
          <w:szCs w:val="22"/>
        </w:rPr>
        <w:t>torture survivors, victims of traffic</w:t>
      </w:r>
      <w:r w:rsidR="007F3716" w:rsidRPr="007972B9">
        <w:rPr>
          <w:rFonts w:ascii="Arial" w:eastAsia="Calibri" w:hAnsi="Arial" w:cs="Arial"/>
          <w:i/>
          <w:color w:val="000000"/>
          <w:sz w:val="22"/>
          <w:szCs w:val="22"/>
        </w:rPr>
        <w:t>king, and persons with serious</w:t>
      </w:r>
      <w:r w:rsidR="008D0354" w:rsidRPr="007972B9">
        <w:rPr>
          <w:rFonts w:ascii="Arial" w:eastAsia="Calibri" w:hAnsi="Arial" w:cs="Arial"/>
          <w:i/>
          <w:color w:val="000000"/>
          <w:sz w:val="22"/>
          <w:szCs w:val="22"/>
        </w:rPr>
        <w:t xml:space="preserve"> mental disability were detained while their asylum cases were decided.”</w:t>
      </w:r>
      <w:r w:rsidR="007F1593" w:rsidRPr="000D2FFF">
        <w:rPr>
          <w:rFonts w:ascii="Arial" w:eastAsia="Calibri" w:hAnsi="Arial" w:cs="Arial"/>
          <w:color w:val="000000"/>
          <w:sz w:val="22"/>
          <w:szCs w:val="22"/>
        </w:rPr>
        <w:t xml:space="preserve"> The Committee urged the </w:t>
      </w:r>
      <w:r w:rsidR="00AC2D72">
        <w:rPr>
          <w:rFonts w:ascii="Arial" w:eastAsia="Calibri" w:hAnsi="Arial" w:cs="Arial"/>
          <w:color w:val="000000"/>
          <w:sz w:val="22"/>
          <w:szCs w:val="22"/>
        </w:rPr>
        <w:t>UK</w:t>
      </w:r>
      <w:r w:rsidR="007F1593" w:rsidRPr="000D2FFF">
        <w:rPr>
          <w:rFonts w:ascii="Arial" w:eastAsia="Calibri" w:hAnsi="Arial" w:cs="Arial"/>
          <w:color w:val="000000"/>
          <w:sz w:val="22"/>
          <w:szCs w:val="22"/>
        </w:rPr>
        <w:t xml:space="preserve"> to </w:t>
      </w:r>
      <w:r w:rsidR="009B5982">
        <w:rPr>
          <w:rFonts w:ascii="Arial" w:eastAsia="Calibri" w:hAnsi="Arial" w:cs="Arial"/>
          <w:color w:val="000000"/>
          <w:sz w:val="22"/>
          <w:szCs w:val="22"/>
        </w:rPr>
        <w:t>e</w:t>
      </w:r>
      <w:r w:rsidR="007F1593" w:rsidRPr="000D2FFF">
        <w:rPr>
          <w:rFonts w:ascii="Arial" w:eastAsia="Calibri" w:hAnsi="Arial" w:cs="Arial"/>
          <w:color w:val="000000"/>
          <w:sz w:val="22"/>
          <w:szCs w:val="22"/>
        </w:rPr>
        <w:t xml:space="preserve">nsure that detention is used only as a </w:t>
      </w:r>
      <w:r w:rsidR="009B5982">
        <w:rPr>
          <w:rFonts w:ascii="Arial" w:eastAsia="Calibri" w:hAnsi="Arial" w:cs="Arial"/>
          <w:color w:val="000000"/>
          <w:sz w:val="22"/>
          <w:szCs w:val="22"/>
        </w:rPr>
        <w:t>“</w:t>
      </w:r>
      <w:r w:rsidR="007F1593" w:rsidRPr="00F90ADB">
        <w:rPr>
          <w:rFonts w:ascii="Arial" w:eastAsia="Calibri" w:hAnsi="Arial" w:cs="Arial"/>
          <w:i/>
          <w:color w:val="000000"/>
          <w:sz w:val="22"/>
          <w:szCs w:val="22"/>
        </w:rPr>
        <w:t>last resort</w:t>
      </w:r>
      <w:r w:rsidR="009B5982">
        <w:rPr>
          <w:rFonts w:ascii="Arial" w:eastAsia="Calibri" w:hAnsi="Arial" w:cs="Arial"/>
          <w:color w:val="000000"/>
          <w:sz w:val="22"/>
          <w:szCs w:val="22"/>
        </w:rPr>
        <w:t>”</w:t>
      </w:r>
      <w:r w:rsidR="007F1593" w:rsidRPr="000D2FFF">
        <w:rPr>
          <w:rFonts w:ascii="Arial" w:eastAsia="Calibri" w:hAnsi="Arial" w:cs="Arial"/>
          <w:color w:val="000000"/>
          <w:sz w:val="22"/>
          <w:szCs w:val="22"/>
        </w:rPr>
        <w:t xml:space="preserve"> in accordance with the requirements of international law and </w:t>
      </w:r>
      <w:r w:rsidR="009B5982">
        <w:rPr>
          <w:rFonts w:ascii="Arial" w:eastAsia="Calibri" w:hAnsi="Arial" w:cs="Arial"/>
          <w:color w:val="000000"/>
          <w:sz w:val="22"/>
          <w:szCs w:val="22"/>
        </w:rPr>
        <w:t>“</w:t>
      </w:r>
      <w:r w:rsidR="007F1593" w:rsidRPr="000D2FFF">
        <w:rPr>
          <w:rFonts w:ascii="Arial" w:eastAsia="Calibri" w:hAnsi="Arial" w:cs="Arial"/>
          <w:color w:val="000000"/>
          <w:sz w:val="22"/>
          <w:szCs w:val="22"/>
        </w:rPr>
        <w:t>not for administrative convenience.”</w:t>
      </w:r>
      <w:r w:rsidR="007F1593" w:rsidRPr="000D2FFF">
        <w:rPr>
          <w:rStyle w:val="FootnoteReference"/>
          <w:rFonts w:ascii="Arial" w:eastAsia="Calibri" w:hAnsi="Arial" w:cs="Arial"/>
          <w:color w:val="000000"/>
          <w:sz w:val="22"/>
          <w:szCs w:val="22"/>
        </w:rPr>
        <w:footnoteReference w:id="30"/>
      </w:r>
    </w:p>
    <w:p w:rsidR="00710ABF" w:rsidRPr="00710ABF" w:rsidRDefault="00403D2D" w:rsidP="008153BF">
      <w:pPr>
        <w:pStyle w:val="ListParagraph"/>
        <w:numPr>
          <w:ilvl w:val="0"/>
          <w:numId w:val="25"/>
        </w:numPr>
        <w:autoSpaceDE w:val="0"/>
        <w:autoSpaceDN w:val="0"/>
        <w:adjustRightInd w:val="0"/>
        <w:jc w:val="both"/>
        <w:rPr>
          <w:rFonts w:ascii="Arial" w:eastAsia="Calibri" w:hAnsi="Arial" w:cs="Arial"/>
          <w:color w:val="000000"/>
          <w:sz w:val="22"/>
          <w:szCs w:val="22"/>
        </w:rPr>
      </w:pPr>
      <w:r>
        <w:rPr>
          <w:rFonts w:ascii="Arial" w:eastAsia="Calibri" w:hAnsi="Arial" w:cs="Arial"/>
          <w:color w:val="000000"/>
          <w:sz w:val="22"/>
          <w:szCs w:val="22"/>
        </w:rPr>
        <w:t>In 2015, the</w:t>
      </w:r>
      <w:r w:rsidRPr="00710ABF">
        <w:rPr>
          <w:rFonts w:ascii="Arial" w:eastAsia="Calibri" w:hAnsi="Arial" w:cs="Arial"/>
          <w:color w:val="000000"/>
          <w:sz w:val="22"/>
          <w:szCs w:val="22"/>
        </w:rPr>
        <w:t xml:space="preserve"> </w:t>
      </w:r>
      <w:r w:rsidR="005F5C27">
        <w:rPr>
          <w:rFonts w:ascii="Arial" w:eastAsia="Calibri" w:hAnsi="Arial" w:cs="Arial"/>
          <w:color w:val="000000"/>
          <w:sz w:val="22"/>
          <w:szCs w:val="22"/>
        </w:rPr>
        <w:t xml:space="preserve">UN </w:t>
      </w:r>
      <w:r w:rsidR="00710ABF" w:rsidRPr="00710ABF">
        <w:rPr>
          <w:rFonts w:ascii="Arial" w:eastAsia="Calibri" w:hAnsi="Arial" w:cs="Arial"/>
          <w:color w:val="000000"/>
          <w:sz w:val="22"/>
          <w:szCs w:val="22"/>
        </w:rPr>
        <w:t xml:space="preserve">Human Rights Committee stated that it was </w:t>
      </w:r>
      <w:r w:rsidR="00710ABF" w:rsidRPr="007972B9">
        <w:rPr>
          <w:rFonts w:ascii="Arial" w:eastAsia="Calibri" w:hAnsi="Arial" w:cs="Arial"/>
          <w:i/>
          <w:color w:val="000000"/>
          <w:sz w:val="22"/>
          <w:szCs w:val="22"/>
        </w:rPr>
        <w:t>“concerned that no fixed time limit on the duration of detention in Immigration Removal Centres has been established and that individuals may be</w:t>
      </w:r>
      <w:r w:rsidR="00710694" w:rsidRPr="007972B9">
        <w:rPr>
          <w:rFonts w:ascii="Arial" w:eastAsia="Calibri" w:hAnsi="Arial" w:cs="Arial"/>
          <w:i/>
          <w:color w:val="000000"/>
          <w:sz w:val="22"/>
          <w:szCs w:val="22"/>
        </w:rPr>
        <w:t xml:space="preserve"> detained for prolonged periods</w:t>
      </w:r>
      <w:r w:rsidR="00710ABF" w:rsidRPr="007972B9">
        <w:rPr>
          <w:rFonts w:ascii="Arial" w:eastAsia="Calibri" w:hAnsi="Arial" w:cs="Arial"/>
          <w:i/>
          <w:color w:val="000000"/>
          <w:sz w:val="22"/>
          <w:szCs w:val="22"/>
        </w:rPr>
        <w:t>.</w:t>
      </w:r>
      <w:r w:rsidR="00710694" w:rsidRPr="007972B9">
        <w:rPr>
          <w:rFonts w:ascii="Arial" w:eastAsia="Calibri" w:hAnsi="Arial" w:cs="Arial"/>
          <w:i/>
          <w:color w:val="000000"/>
          <w:sz w:val="22"/>
          <w:szCs w:val="22"/>
        </w:rPr>
        <w:t>”</w:t>
      </w:r>
      <w:r w:rsidR="00710ABF">
        <w:rPr>
          <w:rStyle w:val="FootnoteReference"/>
          <w:rFonts w:ascii="Arial" w:eastAsia="Calibri" w:hAnsi="Arial" w:cs="Arial"/>
          <w:color w:val="000000"/>
          <w:sz w:val="22"/>
          <w:szCs w:val="22"/>
        </w:rPr>
        <w:footnoteReference w:id="31"/>
      </w:r>
      <w:r w:rsidR="00710ABF" w:rsidRPr="00710ABF">
        <w:rPr>
          <w:rFonts w:ascii="Arial" w:eastAsia="Calibri" w:hAnsi="Arial" w:cs="Arial"/>
          <w:color w:val="000000"/>
          <w:sz w:val="22"/>
          <w:szCs w:val="22"/>
        </w:rPr>
        <w:t xml:space="preserve"> </w:t>
      </w:r>
    </w:p>
    <w:p w:rsidR="00AB59DA" w:rsidRPr="00AB59DA" w:rsidRDefault="006367B0" w:rsidP="008153BF">
      <w:pPr>
        <w:pStyle w:val="ListParagraph"/>
        <w:numPr>
          <w:ilvl w:val="0"/>
          <w:numId w:val="25"/>
        </w:numPr>
        <w:jc w:val="both"/>
        <w:rPr>
          <w:rFonts w:ascii="Arial" w:hAnsi="Arial" w:cs="Arial"/>
          <w:bCs/>
          <w:sz w:val="22"/>
          <w:szCs w:val="22"/>
        </w:rPr>
      </w:pPr>
      <w:r w:rsidRPr="00AB59DA">
        <w:rPr>
          <w:rFonts w:ascii="Arial" w:hAnsi="Arial" w:cs="Arial"/>
          <w:bCs/>
          <w:sz w:val="22"/>
          <w:szCs w:val="22"/>
        </w:rPr>
        <w:t>The EHRC</w:t>
      </w:r>
      <w:r w:rsidR="00570923" w:rsidRPr="00AB59DA">
        <w:rPr>
          <w:rFonts w:ascii="Arial" w:hAnsi="Arial" w:cs="Arial"/>
          <w:bCs/>
          <w:sz w:val="22"/>
          <w:szCs w:val="22"/>
        </w:rPr>
        <w:t>’s monitoring suggests</w:t>
      </w:r>
      <w:r w:rsidRPr="00AB59DA">
        <w:rPr>
          <w:rFonts w:ascii="Arial" w:hAnsi="Arial" w:cs="Arial"/>
          <w:bCs/>
          <w:sz w:val="22"/>
          <w:szCs w:val="22"/>
        </w:rPr>
        <w:t xml:space="preserve"> that many of the concerns raised by the Committee in 2013 have not yet been acted upon. </w:t>
      </w:r>
      <w:r w:rsidR="004041D6" w:rsidRPr="00AB59DA">
        <w:rPr>
          <w:rFonts w:ascii="Arial" w:hAnsi="Arial" w:cs="Arial"/>
          <w:bCs/>
          <w:sz w:val="22"/>
          <w:szCs w:val="22"/>
        </w:rPr>
        <w:t>In July 2015, the UK’s Immigration Minister told the UK Parliament he was suspending the Home Office’s Detained Fast Track (DFT) System</w:t>
      </w:r>
      <w:r w:rsidR="00B738A9">
        <w:rPr>
          <w:rFonts w:ascii="Arial" w:hAnsi="Arial" w:cs="Arial"/>
          <w:bCs/>
          <w:sz w:val="22"/>
          <w:szCs w:val="22"/>
        </w:rPr>
        <w:t>.</w:t>
      </w:r>
      <w:r w:rsidR="00B738A9">
        <w:rPr>
          <w:rStyle w:val="FootnoteReference"/>
          <w:rFonts w:ascii="Arial" w:hAnsi="Arial" w:cs="Arial"/>
          <w:bCs/>
          <w:sz w:val="22"/>
          <w:szCs w:val="22"/>
        </w:rPr>
        <w:footnoteReference w:id="32"/>
      </w:r>
      <w:r w:rsidR="00B738A9">
        <w:rPr>
          <w:rFonts w:ascii="Arial" w:hAnsi="Arial" w:cs="Arial"/>
          <w:bCs/>
          <w:sz w:val="22"/>
          <w:szCs w:val="22"/>
        </w:rPr>
        <w:t xml:space="preserve"> J</w:t>
      </w:r>
      <w:r w:rsidR="004041D6" w:rsidRPr="00AB59DA">
        <w:rPr>
          <w:rFonts w:ascii="Arial" w:hAnsi="Arial" w:cs="Arial"/>
          <w:bCs/>
          <w:sz w:val="22"/>
          <w:szCs w:val="22"/>
        </w:rPr>
        <w:t>udgments in the High Court and Court of Appeal</w:t>
      </w:r>
      <w:r w:rsidR="00B738A9">
        <w:rPr>
          <w:rFonts w:ascii="Arial" w:hAnsi="Arial" w:cs="Arial"/>
          <w:bCs/>
          <w:sz w:val="22"/>
          <w:szCs w:val="22"/>
        </w:rPr>
        <w:t xml:space="preserve"> in June and July 2015</w:t>
      </w:r>
      <w:r w:rsidR="004041D6" w:rsidRPr="00AB59DA">
        <w:rPr>
          <w:rFonts w:ascii="Arial" w:hAnsi="Arial" w:cs="Arial"/>
          <w:bCs/>
          <w:sz w:val="22"/>
          <w:szCs w:val="22"/>
        </w:rPr>
        <w:t xml:space="preserve"> found significant deficiencies, including failure to prevent torture survivors from entering the DFT system and </w:t>
      </w:r>
      <w:r w:rsidR="003712D4">
        <w:rPr>
          <w:rFonts w:ascii="Arial" w:hAnsi="Arial" w:cs="Arial"/>
          <w:bCs/>
          <w:sz w:val="22"/>
          <w:szCs w:val="22"/>
        </w:rPr>
        <w:t xml:space="preserve">to </w:t>
      </w:r>
      <w:r w:rsidR="004041D6" w:rsidRPr="00AB59DA">
        <w:rPr>
          <w:rFonts w:ascii="Arial" w:hAnsi="Arial" w:cs="Arial"/>
          <w:bCs/>
          <w:sz w:val="22"/>
          <w:szCs w:val="22"/>
        </w:rPr>
        <w:t>provid</w:t>
      </w:r>
      <w:r w:rsidR="003712D4">
        <w:rPr>
          <w:rFonts w:ascii="Arial" w:hAnsi="Arial" w:cs="Arial"/>
          <w:bCs/>
          <w:sz w:val="22"/>
          <w:szCs w:val="22"/>
        </w:rPr>
        <w:t>e</w:t>
      </w:r>
      <w:r w:rsidR="004041D6" w:rsidRPr="00AB59DA">
        <w:rPr>
          <w:rFonts w:ascii="Arial" w:hAnsi="Arial" w:cs="Arial"/>
          <w:bCs/>
          <w:sz w:val="22"/>
          <w:szCs w:val="22"/>
        </w:rPr>
        <w:t xml:space="preserve"> effective access to justice.</w:t>
      </w:r>
      <w:r w:rsidR="007972B9">
        <w:rPr>
          <w:rStyle w:val="FootnoteReference"/>
          <w:rFonts w:ascii="Arial" w:hAnsi="Arial" w:cs="Arial"/>
          <w:bCs/>
          <w:sz w:val="22"/>
          <w:szCs w:val="22"/>
        </w:rPr>
        <w:footnoteReference w:id="33"/>
      </w:r>
      <w:r w:rsidR="004041D6" w:rsidRPr="00AB59DA">
        <w:rPr>
          <w:rFonts w:ascii="Arial" w:hAnsi="Arial" w:cs="Arial"/>
          <w:bCs/>
          <w:sz w:val="22"/>
          <w:szCs w:val="22"/>
        </w:rPr>
        <w:t xml:space="preserve"> </w:t>
      </w:r>
      <w:r w:rsidR="00AB59DA" w:rsidRPr="00710ABF">
        <w:rPr>
          <w:rFonts w:ascii="Arial" w:eastAsia="Calibri" w:hAnsi="Arial" w:cs="Arial"/>
          <w:color w:val="000000"/>
          <w:sz w:val="22"/>
          <w:szCs w:val="22"/>
        </w:rPr>
        <w:t xml:space="preserve">The </w:t>
      </w:r>
      <w:r w:rsidR="00AB59DA">
        <w:rPr>
          <w:rFonts w:ascii="Arial" w:eastAsia="Calibri" w:hAnsi="Arial" w:cs="Arial"/>
          <w:color w:val="000000"/>
          <w:sz w:val="22"/>
          <w:szCs w:val="22"/>
        </w:rPr>
        <w:t xml:space="preserve">UN </w:t>
      </w:r>
      <w:r w:rsidR="00AB59DA" w:rsidRPr="00710ABF">
        <w:rPr>
          <w:rFonts w:ascii="Arial" w:eastAsia="Calibri" w:hAnsi="Arial" w:cs="Arial"/>
          <w:color w:val="000000"/>
          <w:sz w:val="22"/>
          <w:szCs w:val="22"/>
        </w:rPr>
        <w:t xml:space="preserve">Human Rights Committee </w:t>
      </w:r>
      <w:r w:rsidR="00AB59DA">
        <w:rPr>
          <w:rFonts w:ascii="Arial" w:eastAsia="Calibri" w:hAnsi="Arial" w:cs="Arial"/>
          <w:color w:val="000000"/>
          <w:sz w:val="22"/>
          <w:szCs w:val="22"/>
        </w:rPr>
        <w:t xml:space="preserve">(2015) asked the UK Government to </w:t>
      </w:r>
      <w:r w:rsidR="00AB59DA" w:rsidRPr="007972B9">
        <w:rPr>
          <w:rFonts w:ascii="Arial" w:eastAsia="Calibri" w:hAnsi="Arial" w:cs="Arial"/>
          <w:i/>
          <w:color w:val="000000"/>
          <w:sz w:val="22"/>
          <w:szCs w:val="22"/>
        </w:rPr>
        <w:t>“</w:t>
      </w:r>
      <w:r w:rsidR="00AB59DA" w:rsidRPr="007972B9">
        <w:rPr>
          <w:rFonts w:ascii="Arial" w:eastAsia="Calibri" w:hAnsi="Arial" w:cs="Arial"/>
          <w:bCs/>
          <w:i/>
          <w:sz w:val="22"/>
          <w:szCs w:val="22"/>
        </w:rPr>
        <w:t>ensure that reforms to the detained fast track (DFT) system are fully compliant with the State party’s obligations under the Covenant. It should also ensure that the system protects vulnerable persons, and provides for effective safeguards against arbitrariness and for effective access to justice, including to legal aid.”</w:t>
      </w:r>
      <w:r w:rsidR="00AB59DA">
        <w:rPr>
          <w:rStyle w:val="FootnoteReference"/>
          <w:rFonts w:ascii="Arial" w:eastAsia="Calibri" w:hAnsi="Arial" w:cs="Arial"/>
          <w:bCs/>
          <w:i/>
          <w:sz w:val="22"/>
          <w:szCs w:val="22"/>
        </w:rPr>
        <w:footnoteReference w:id="34"/>
      </w:r>
    </w:p>
    <w:p w:rsidR="00340C13" w:rsidRPr="00340C13" w:rsidRDefault="00340C13" w:rsidP="008153BF">
      <w:pPr>
        <w:pStyle w:val="ListParagraph"/>
        <w:numPr>
          <w:ilvl w:val="0"/>
          <w:numId w:val="25"/>
        </w:numPr>
        <w:jc w:val="both"/>
        <w:rPr>
          <w:rFonts w:ascii="Arial" w:hAnsi="Arial" w:cs="Arial"/>
          <w:bCs/>
          <w:sz w:val="22"/>
          <w:szCs w:val="22"/>
        </w:rPr>
      </w:pPr>
      <w:r>
        <w:rPr>
          <w:rFonts w:ascii="Arial" w:hAnsi="Arial" w:cs="Arial"/>
          <w:bCs/>
          <w:sz w:val="22"/>
          <w:szCs w:val="22"/>
        </w:rPr>
        <w:t xml:space="preserve">Only </w:t>
      </w:r>
      <w:r w:rsidR="00467619">
        <w:rPr>
          <w:rFonts w:ascii="Arial" w:hAnsi="Arial" w:cs="Arial"/>
          <w:bCs/>
          <w:sz w:val="22"/>
          <w:szCs w:val="22"/>
        </w:rPr>
        <w:t>HMIP</w:t>
      </w:r>
      <w:r>
        <w:rPr>
          <w:rFonts w:ascii="Arial" w:hAnsi="Arial" w:cs="Arial"/>
          <w:bCs/>
          <w:sz w:val="22"/>
          <w:szCs w:val="22"/>
        </w:rPr>
        <w:t xml:space="preserve"> can inspect or conduct unannounced visits to the one Immigration Removal Centre in Scotland, Dungavel Immigration Removal Centre. An unannounced visit to Dungavel in 2015 reported that it was a ‘safe place’ but that “detainees were routinely handcuffed for outside appointments, regardless of individual risk” and that “some detainees were held [in the separation unit] for long periods.”</w:t>
      </w:r>
      <w:r>
        <w:rPr>
          <w:rStyle w:val="FootnoteReference"/>
          <w:rFonts w:ascii="Arial" w:hAnsi="Arial" w:cs="Arial"/>
          <w:bCs/>
          <w:sz w:val="22"/>
          <w:szCs w:val="22"/>
        </w:rPr>
        <w:footnoteReference w:id="35"/>
      </w:r>
    </w:p>
    <w:p w:rsidR="00206B6D" w:rsidRPr="001D323E" w:rsidRDefault="00570923" w:rsidP="00206B6D">
      <w:pPr>
        <w:pStyle w:val="Pa3"/>
        <w:numPr>
          <w:ilvl w:val="0"/>
          <w:numId w:val="25"/>
        </w:numPr>
        <w:spacing w:line="240" w:lineRule="auto"/>
        <w:jc w:val="both"/>
        <w:rPr>
          <w:rFonts w:ascii="Arial" w:hAnsi="Arial" w:cs="Arial"/>
          <w:color w:val="000000"/>
          <w:sz w:val="22"/>
          <w:szCs w:val="22"/>
        </w:rPr>
      </w:pPr>
      <w:r>
        <w:rPr>
          <w:rFonts w:ascii="Arial" w:hAnsi="Arial" w:cs="Arial"/>
          <w:bCs/>
          <w:sz w:val="22"/>
          <w:szCs w:val="22"/>
        </w:rPr>
        <w:t xml:space="preserve">In January 2016, the UK Government published an independent review of the impact of immigration detention </w:t>
      </w:r>
      <w:r w:rsidRPr="0014604D">
        <w:rPr>
          <w:sz w:val="22"/>
          <w:szCs w:val="22"/>
        </w:rPr>
        <w:t>policies and operating procedures on the welfare of immigration detainees</w:t>
      </w:r>
      <w:r w:rsidR="004041D6">
        <w:rPr>
          <w:sz w:val="22"/>
          <w:szCs w:val="22"/>
        </w:rPr>
        <w:t xml:space="preserve"> and included 64 specific recommendations for improvements</w:t>
      </w:r>
      <w:r w:rsidRPr="0014604D">
        <w:rPr>
          <w:sz w:val="22"/>
          <w:szCs w:val="22"/>
        </w:rPr>
        <w:t>.</w:t>
      </w:r>
      <w:r>
        <w:rPr>
          <w:rStyle w:val="FootnoteReference"/>
          <w:sz w:val="22"/>
          <w:szCs w:val="22"/>
        </w:rPr>
        <w:footnoteReference w:id="36"/>
      </w:r>
      <w:r w:rsidRPr="0014604D">
        <w:rPr>
          <w:sz w:val="22"/>
          <w:szCs w:val="22"/>
        </w:rPr>
        <w:t xml:space="preserve"> </w:t>
      </w:r>
      <w:r w:rsidR="00206B6D">
        <w:rPr>
          <w:sz w:val="22"/>
          <w:szCs w:val="22"/>
        </w:rPr>
        <w:t xml:space="preserve">The </w:t>
      </w:r>
      <w:r w:rsidR="00C67192">
        <w:rPr>
          <w:sz w:val="22"/>
          <w:szCs w:val="22"/>
        </w:rPr>
        <w:t xml:space="preserve">UK </w:t>
      </w:r>
      <w:r w:rsidR="00206B6D">
        <w:rPr>
          <w:sz w:val="22"/>
          <w:szCs w:val="22"/>
        </w:rPr>
        <w:t xml:space="preserve">Government </w:t>
      </w:r>
      <w:r w:rsidR="00206B6D" w:rsidRPr="00206B6D">
        <w:rPr>
          <w:rFonts w:ascii="Arial" w:hAnsi="Arial" w:cs="Arial"/>
          <w:sz w:val="22"/>
          <w:szCs w:val="22"/>
        </w:rPr>
        <w:t xml:space="preserve">stated that it </w:t>
      </w:r>
      <w:r w:rsidR="00D96E31">
        <w:rPr>
          <w:rFonts w:ascii="Arial" w:hAnsi="Arial" w:cs="Arial"/>
          <w:sz w:val="22"/>
          <w:szCs w:val="22"/>
        </w:rPr>
        <w:t>“</w:t>
      </w:r>
      <w:r w:rsidR="00206B6D" w:rsidRPr="00D96E31">
        <w:rPr>
          <w:rFonts w:ascii="Arial" w:hAnsi="Arial" w:cs="Arial"/>
          <w:i/>
          <w:sz w:val="22"/>
          <w:szCs w:val="22"/>
        </w:rPr>
        <w:t>accept</w:t>
      </w:r>
      <w:r w:rsidR="00D96E31" w:rsidRPr="00D96E31">
        <w:rPr>
          <w:rFonts w:ascii="Arial" w:hAnsi="Arial" w:cs="Arial"/>
          <w:i/>
          <w:sz w:val="22"/>
          <w:szCs w:val="22"/>
        </w:rPr>
        <w:t xml:space="preserve">s the </w:t>
      </w:r>
      <w:r w:rsidR="0096069C" w:rsidRPr="00206B6D">
        <w:rPr>
          <w:rFonts w:ascii="Arial" w:hAnsi="Arial" w:cs="Arial"/>
          <w:i/>
          <w:color w:val="000000"/>
          <w:sz w:val="22"/>
          <w:szCs w:val="22"/>
        </w:rPr>
        <w:t>broad thrust of his recommendations</w:t>
      </w:r>
      <w:r w:rsidR="00206B6D" w:rsidRPr="00206B6D">
        <w:rPr>
          <w:rFonts w:ascii="Arial" w:hAnsi="Arial" w:cs="Arial"/>
          <w:color w:val="000000"/>
          <w:sz w:val="22"/>
          <w:szCs w:val="22"/>
        </w:rPr>
        <w:t xml:space="preserve">” and would take forward three key reforms. First, the </w:t>
      </w:r>
      <w:r w:rsidR="00C67192">
        <w:rPr>
          <w:rFonts w:ascii="Arial" w:hAnsi="Arial" w:cs="Arial"/>
          <w:color w:val="000000"/>
          <w:sz w:val="22"/>
          <w:szCs w:val="22"/>
        </w:rPr>
        <w:t xml:space="preserve">UK </w:t>
      </w:r>
      <w:r w:rsidR="00206B6D" w:rsidRPr="00206B6D">
        <w:rPr>
          <w:rFonts w:ascii="Arial" w:hAnsi="Arial" w:cs="Arial"/>
          <w:color w:val="000000"/>
          <w:sz w:val="22"/>
          <w:szCs w:val="22"/>
        </w:rPr>
        <w:t xml:space="preserve">Government accepted the </w:t>
      </w:r>
      <w:r w:rsidR="001D323E">
        <w:rPr>
          <w:rFonts w:ascii="Arial" w:hAnsi="Arial" w:cs="Arial"/>
          <w:color w:val="000000"/>
          <w:sz w:val="22"/>
          <w:szCs w:val="22"/>
        </w:rPr>
        <w:t xml:space="preserve">Shaw </w:t>
      </w:r>
      <w:r w:rsidR="00206B6D" w:rsidRPr="001D323E">
        <w:rPr>
          <w:rFonts w:ascii="Arial" w:hAnsi="Arial" w:cs="Arial"/>
          <w:color w:val="000000"/>
          <w:sz w:val="22"/>
          <w:szCs w:val="22"/>
        </w:rPr>
        <w:t xml:space="preserve">recommendations to </w:t>
      </w:r>
      <w:r w:rsidR="001D323E">
        <w:rPr>
          <w:rFonts w:ascii="Arial" w:hAnsi="Arial" w:cs="Arial"/>
          <w:i/>
          <w:color w:val="000000"/>
          <w:sz w:val="22"/>
          <w:szCs w:val="22"/>
        </w:rPr>
        <w:t>“</w:t>
      </w:r>
      <w:r w:rsidR="00206B6D" w:rsidRPr="0043783D">
        <w:rPr>
          <w:rFonts w:ascii="Arial" w:hAnsi="Arial" w:cs="Arial"/>
          <w:i/>
          <w:color w:val="000000"/>
          <w:sz w:val="22"/>
          <w:szCs w:val="22"/>
        </w:rPr>
        <w:t>adopt a wider definition of those at risk</w:t>
      </w:r>
      <w:r w:rsidR="001D323E">
        <w:rPr>
          <w:rFonts w:ascii="Arial" w:hAnsi="Arial" w:cs="Arial"/>
          <w:i/>
          <w:color w:val="000000"/>
          <w:sz w:val="22"/>
          <w:szCs w:val="22"/>
        </w:rPr>
        <w:t>”</w:t>
      </w:r>
      <w:r w:rsidR="00206B6D" w:rsidRPr="001D323E">
        <w:rPr>
          <w:rFonts w:ascii="Arial" w:hAnsi="Arial" w:cs="Arial"/>
          <w:color w:val="000000"/>
          <w:sz w:val="22"/>
          <w:szCs w:val="22"/>
        </w:rPr>
        <w:t xml:space="preserve"> and it will also </w:t>
      </w:r>
      <w:r w:rsidR="001D323E">
        <w:rPr>
          <w:rFonts w:ascii="Arial" w:hAnsi="Arial" w:cs="Arial"/>
          <w:i/>
          <w:color w:val="000000"/>
          <w:sz w:val="22"/>
          <w:szCs w:val="22"/>
        </w:rPr>
        <w:t>“introduce a new ‘adult at risk’</w:t>
      </w:r>
      <w:r w:rsidR="00206B6D" w:rsidRPr="0043783D">
        <w:rPr>
          <w:rFonts w:ascii="Arial" w:hAnsi="Arial" w:cs="Arial"/>
          <w:i/>
          <w:color w:val="000000"/>
          <w:sz w:val="22"/>
          <w:szCs w:val="22"/>
        </w:rPr>
        <w:t xml:space="preserve"> concept into decision-making on immigration detention with a clear presumption that people who are at risk should not be detained, building on the existing legal framework.</w:t>
      </w:r>
      <w:r w:rsidR="0043783D">
        <w:rPr>
          <w:rFonts w:ascii="Arial" w:hAnsi="Arial" w:cs="Arial"/>
          <w:color w:val="000000"/>
          <w:sz w:val="22"/>
          <w:szCs w:val="22"/>
        </w:rPr>
        <w:t>”</w:t>
      </w:r>
      <w:r w:rsidR="00206B6D" w:rsidRPr="00206B6D">
        <w:rPr>
          <w:rFonts w:ascii="Arial" w:hAnsi="Arial" w:cs="Arial"/>
          <w:color w:val="000000"/>
          <w:sz w:val="22"/>
          <w:szCs w:val="22"/>
        </w:rPr>
        <w:t xml:space="preserve"> Second, the </w:t>
      </w:r>
      <w:r w:rsidR="00C67192">
        <w:rPr>
          <w:rFonts w:ascii="Arial" w:hAnsi="Arial" w:cs="Arial"/>
          <w:color w:val="000000"/>
          <w:sz w:val="22"/>
          <w:szCs w:val="22"/>
        </w:rPr>
        <w:t xml:space="preserve">UK </w:t>
      </w:r>
      <w:r w:rsidR="00206B6D" w:rsidRPr="00206B6D">
        <w:rPr>
          <w:rFonts w:ascii="Arial" w:hAnsi="Arial" w:cs="Arial"/>
          <w:color w:val="000000"/>
          <w:sz w:val="22"/>
          <w:szCs w:val="22"/>
        </w:rPr>
        <w:t>Government will “</w:t>
      </w:r>
      <w:r w:rsidR="00206B6D" w:rsidRPr="00206B6D">
        <w:rPr>
          <w:rFonts w:ascii="Arial" w:hAnsi="Arial" w:cs="Arial"/>
          <w:i/>
          <w:color w:val="000000"/>
          <w:sz w:val="22"/>
          <w:szCs w:val="22"/>
        </w:rPr>
        <w:t>carry out a more detailed mental health needs assessment in Immigration Removal Centres, using the expertise of the Centre for Mental Health. This will report in March 2016, and NHS commissioners will use that assessment to consider and revisit current provision</w:t>
      </w:r>
      <w:r w:rsidR="00206B6D" w:rsidRPr="00206B6D">
        <w:rPr>
          <w:rFonts w:ascii="Arial" w:hAnsi="Arial" w:cs="Arial"/>
          <w:color w:val="000000"/>
          <w:sz w:val="22"/>
          <w:szCs w:val="22"/>
        </w:rPr>
        <w:t xml:space="preserve">”. Third, the </w:t>
      </w:r>
      <w:r w:rsidR="00C67192">
        <w:rPr>
          <w:rFonts w:ascii="Arial" w:hAnsi="Arial" w:cs="Arial"/>
          <w:color w:val="000000"/>
          <w:sz w:val="22"/>
          <w:szCs w:val="22"/>
        </w:rPr>
        <w:t xml:space="preserve">UK </w:t>
      </w:r>
      <w:r w:rsidR="00206B6D" w:rsidRPr="00206B6D">
        <w:rPr>
          <w:rFonts w:ascii="Arial" w:hAnsi="Arial" w:cs="Arial"/>
          <w:color w:val="000000"/>
          <w:sz w:val="22"/>
          <w:szCs w:val="22"/>
        </w:rPr>
        <w:t>Government will “</w:t>
      </w:r>
      <w:r w:rsidR="00206B6D" w:rsidRPr="00206B6D">
        <w:rPr>
          <w:rFonts w:ascii="Arial" w:hAnsi="Arial" w:cs="Arial"/>
          <w:i/>
          <w:color w:val="000000"/>
          <w:sz w:val="22"/>
          <w:szCs w:val="22"/>
        </w:rPr>
        <w:t>implement a new approach to the case management of those detained, replacing the existing detention review process with a clear removal plan for all those in detention</w:t>
      </w:r>
      <w:r w:rsidR="00206B6D" w:rsidRPr="00206B6D">
        <w:rPr>
          <w:rFonts w:ascii="Arial" w:hAnsi="Arial" w:cs="Arial"/>
          <w:color w:val="000000"/>
          <w:sz w:val="22"/>
          <w:szCs w:val="22"/>
        </w:rPr>
        <w:t>.”</w:t>
      </w:r>
      <w:r w:rsidR="001D323E">
        <w:rPr>
          <w:rStyle w:val="FootnoteReference"/>
          <w:rFonts w:ascii="Arial" w:hAnsi="Arial" w:cs="Arial"/>
          <w:color w:val="000000"/>
          <w:sz w:val="22"/>
          <w:szCs w:val="22"/>
        </w:rPr>
        <w:footnoteReference w:id="37"/>
      </w:r>
    </w:p>
    <w:p w:rsidR="00BB046C" w:rsidRPr="001B1ADC" w:rsidRDefault="004041D6" w:rsidP="008153BF">
      <w:pPr>
        <w:pStyle w:val="Pa3"/>
        <w:numPr>
          <w:ilvl w:val="0"/>
          <w:numId w:val="25"/>
        </w:numPr>
        <w:spacing w:line="240" w:lineRule="auto"/>
        <w:jc w:val="both"/>
        <w:rPr>
          <w:rFonts w:ascii="Arial" w:hAnsi="Arial" w:cs="Arial"/>
          <w:color w:val="000000"/>
          <w:sz w:val="22"/>
          <w:szCs w:val="22"/>
        </w:rPr>
      </w:pPr>
      <w:r>
        <w:rPr>
          <w:rFonts w:ascii="Arial" w:hAnsi="Arial" w:cs="Arial"/>
          <w:bCs/>
          <w:sz w:val="22"/>
          <w:szCs w:val="22"/>
        </w:rPr>
        <w:t>An Immigration Bill is currently being considered by the UK Parliament.</w:t>
      </w:r>
      <w:r w:rsidR="007D2631">
        <w:rPr>
          <w:rStyle w:val="FootnoteReference"/>
          <w:rFonts w:ascii="Arial" w:hAnsi="Arial" w:cs="Arial"/>
          <w:bCs/>
          <w:sz w:val="22"/>
          <w:szCs w:val="22"/>
        </w:rPr>
        <w:footnoteReference w:id="38"/>
      </w:r>
      <w:r w:rsidR="00B67B96">
        <w:rPr>
          <w:rFonts w:ascii="Arial" w:hAnsi="Arial" w:cs="Arial"/>
          <w:bCs/>
          <w:sz w:val="22"/>
          <w:szCs w:val="22"/>
        </w:rPr>
        <w:t xml:space="preserve"> The EHRC has</w:t>
      </w:r>
      <w:r>
        <w:rPr>
          <w:rFonts w:ascii="Arial" w:hAnsi="Arial" w:cs="Arial"/>
          <w:bCs/>
          <w:sz w:val="22"/>
          <w:szCs w:val="22"/>
        </w:rPr>
        <w:t xml:space="preserve"> highlighted that </w:t>
      </w:r>
      <w:r>
        <w:rPr>
          <w:rFonts w:ascii="Arial" w:hAnsi="Arial" w:cs="Arial"/>
          <w:color w:val="000000"/>
          <w:sz w:val="22"/>
          <w:szCs w:val="22"/>
        </w:rPr>
        <w:t>t</w:t>
      </w:r>
      <w:r w:rsidR="000D2FFF" w:rsidRPr="000D2FFF">
        <w:rPr>
          <w:rFonts w:ascii="Arial" w:hAnsi="Arial" w:cs="Arial"/>
          <w:color w:val="000000"/>
          <w:sz w:val="22"/>
          <w:szCs w:val="22"/>
        </w:rPr>
        <w:t>he UK continues to be the only European Union member without a time limit on how long it can detain people subject to immigration controls.</w:t>
      </w:r>
      <w:r w:rsidR="000D2FFF" w:rsidRPr="000D2FFF">
        <w:rPr>
          <w:rStyle w:val="A9"/>
          <w:rFonts w:ascii="Arial" w:hAnsi="Arial" w:cs="Arial"/>
          <w:sz w:val="22"/>
          <w:szCs w:val="22"/>
        </w:rPr>
        <w:t xml:space="preserve"> </w:t>
      </w:r>
      <w:r w:rsidR="000D2FFF" w:rsidRPr="000D2FFF">
        <w:rPr>
          <w:rFonts w:ascii="Arial" w:hAnsi="Arial" w:cs="Arial"/>
          <w:color w:val="000000"/>
          <w:sz w:val="22"/>
          <w:szCs w:val="22"/>
        </w:rPr>
        <w:t xml:space="preserve">People are detained in the UK for months and even years, in contrast to the 6–12 month time limit set </w:t>
      </w:r>
      <w:r w:rsidR="000D2FFF" w:rsidRPr="001B1ADC">
        <w:rPr>
          <w:rFonts w:ascii="Arial" w:hAnsi="Arial" w:cs="Arial"/>
          <w:color w:val="000000"/>
          <w:sz w:val="22"/>
          <w:szCs w:val="22"/>
        </w:rPr>
        <w:t xml:space="preserve">under European Union rules (the UK has exercised </w:t>
      </w:r>
      <w:r w:rsidR="006367B0" w:rsidRPr="001B1ADC">
        <w:rPr>
          <w:rFonts w:ascii="Arial" w:hAnsi="Arial" w:cs="Arial"/>
          <w:color w:val="000000"/>
          <w:sz w:val="22"/>
          <w:szCs w:val="22"/>
        </w:rPr>
        <w:t>its right to opt out of these).</w:t>
      </w:r>
      <w:r w:rsidR="00B67B96" w:rsidRPr="001B1ADC">
        <w:rPr>
          <w:rStyle w:val="FootnoteReference"/>
          <w:rFonts w:ascii="Arial" w:hAnsi="Arial" w:cs="Arial"/>
          <w:color w:val="000000"/>
          <w:sz w:val="22"/>
          <w:szCs w:val="22"/>
        </w:rPr>
        <w:footnoteReference w:id="39"/>
      </w:r>
      <w:r w:rsidR="00BB046C" w:rsidRPr="001B1ADC">
        <w:rPr>
          <w:rFonts w:ascii="Arial" w:hAnsi="Arial" w:cs="Arial"/>
          <w:color w:val="000000"/>
          <w:sz w:val="22"/>
          <w:szCs w:val="22"/>
        </w:rPr>
        <w:t xml:space="preserve"> </w:t>
      </w:r>
      <w:r w:rsidR="00BB046C" w:rsidRPr="001B1ADC">
        <w:rPr>
          <w:rFonts w:ascii="Arial" w:hAnsi="Arial" w:cs="Arial"/>
          <w:sz w:val="22"/>
          <w:szCs w:val="22"/>
        </w:rPr>
        <w:t>During the year ending September 2014, 144 people had been in immigration detention between one and two years and 30 people for two years or longer. The Home Office does not collect data on the length of time immigration detainees are held in prison. Deprivation of liberty for extended periods can have a significant impact on the mental and physical health of those detained in the immigration system, many of whom live with the uncertainty of not knowing if they are about to be deported or released.</w:t>
      </w:r>
      <w:r w:rsidR="00BB046C" w:rsidRPr="001B1ADC">
        <w:rPr>
          <w:rStyle w:val="FootnoteReference"/>
          <w:rFonts w:ascii="Arial" w:hAnsi="Arial" w:cs="Arial"/>
          <w:sz w:val="22"/>
          <w:szCs w:val="22"/>
        </w:rPr>
        <w:footnoteReference w:id="40"/>
      </w:r>
    </w:p>
    <w:p w:rsidR="00BB046C" w:rsidRPr="005C07D2" w:rsidRDefault="00BB046C" w:rsidP="005C07D2">
      <w:pPr>
        <w:pStyle w:val="Default"/>
      </w:pPr>
    </w:p>
    <w:p w:rsidR="00F9119D" w:rsidRPr="006367B0" w:rsidRDefault="00570923" w:rsidP="008153BF">
      <w:pPr>
        <w:pStyle w:val="Pa3"/>
        <w:numPr>
          <w:ilvl w:val="0"/>
          <w:numId w:val="25"/>
        </w:numPr>
        <w:spacing w:line="240" w:lineRule="auto"/>
        <w:jc w:val="both"/>
        <w:rPr>
          <w:rFonts w:ascii="Arial" w:hAnsi="Arial" w:cs="Arial"/>
          <w:color w:val="000000"/>
          <w:sz w:val="22"/>
          <w:szCs w:val="22"/>
        </w:rPr>
      </w:pPr>
      <w:r>
        <w:rPr>
          <w:rFonts w:ascii="Arial" w:hAnsi="Arial" w:cs="Arial"/>
          <w:b/>
          <w:bCs/>
          <w:sz w:val="22"/>
          <w:szCs w:val="22"/>
        </w:rPr>
        <w:t xml:space="preserve">Recommendation: </w:t>
      </w:r>
      <w:r w:rsidR="009B5982" w:rsidRPr="006367B0">
        <w:rPr>
          <w:rFonts w:ascii="Arial" w:hAnsi="Arial" w:cs="Arial"/>
          <w:b/>
          <w:bCs/>
          <w:sz w:val="22"/>
          <w:szCs w:val="22"/>
        </w:rPr>
        <w:t>The</w:t>
      </w:r>
      <w:r>
        <w:rPr>
          <w:rFonts w:ascii="Arial" w:hAnsi="Arial" w:cs="Arial"/>
          <w:b/>
          <w:bCs/>
          <w:sz w:val="22"/>
          <w:szCs w:val="22"/>
        </w:rPr>
        <w:t xml:space="preserve"> Committee should ask the UK</w:t>
      </w:r>
      <w:r w:rsidR="009B5982" w:rsidRPr="006367B0">
        <w:rPr>
          <w:rFonts w:ascii="Arial" w:hAnsi="Arial" w:cs="Arial"/>
          <w:b/>
          <w:bCs/>
          <w:sz w:val="22"/>
          <w:szCs w:val="22"/>
        </w:rPr>
        <w:t xml:space="preserve"> Government </w:t>
      </w:r>
      <w:r>
        <w:rPr>
          <w:rFonts w:ascii="Arial" w:hAnsi="Arial" w:cs="Arial"/>
          <w:b/>
          <w:bCs/>
          <w:sz w:val="22"/>
          <w:szCs w:val="22"/>
        </w:rPr>
        <w:t>to</w:t>
      </w:r>
      <w:r w:rsidRPr="006367B0">
        <w:rPr>
          <w:rFonts w:ascii="Arial" w:hAnsi="Arial" w:cs="Arial"/>
          <w:b/>
          <w:bCs/>
          <w:sz w:val="22"/>
          <w:szCs w:val="22"/>
        </w:rPr>
        <w:t xml:space="preserve"> </w:t>
      </w:r>
      <w:r w:rsidR="00AB59DA">
        <w:rPr>
          <w:rFonts w:ascii="Arial" w:hAnsi="Arial" w:cs="Arial"/>
          <w:b/>
          <w:bCs/>
          <w:sz w:val="22"/>
          <w:szCs w:val="22"/>
        </w:rPr>
        <w:t>outline how it is ensuring</w:t>
      </w:r>
      <w:r w:rsidR="00AB59DA" w:rsidRPr="00AB59DA">
        <w:rPr>
          <w:rFonts w:ascii="Arial" w:hAnsi="Arial" w:cs="Arial"/>
          <w:b/>
          <w:bCs/>
          <w:sz w:val="22"/>
          <w:szCs w:val="22"/>
        </w:rPr>
        <w:t xml:space="preserve"> that reforms to the detained fast track (DFT) system are fully compliant with the </w:t>
      </w:r>
      <w:r w:rsidR="00AB59DA">
        <w:rPr>
          <w:rFonts w:ascii="Arial" w:hAnsi="Arial" w:cs="Arial"/>
          <w:b/>
          <w:bCs/>
          <w:sz w:val="22"/>
          <w:szCs w:val="22"/>
        </w:rPr>
        <w:t>UK’s</w:t>
      </w:r>
      <w:r w:rsidR="00AB59DA" w:rsidRPr="00AB59DA">
        <w:rPr>
          <w:rFonts w:ascii="Arial" w:hAnsi="Arial" w:cs="Arial"/>
          <w:b/>
          <w:bCs/>
          <w:sz w:val="22"/>
          <w:szCs w:val="22"/>
        </w:rPr>
        <w:t xml:space="preserve"> obligations </w:t>
      </w:r>
      <w:r w:rsidR="009D46FF">
        <w:rPr>
          <w:rFonts w:ascii="Arial" w:hAnsi="Arial" w:cs="Arial"/>
          <w:b/>
          <w:bCs/>
          <w:sz w:val="22"/>
          <w:szCs w:val="22"/>
        </w:rPr>
        <w:t>under ICCPR and UNCAT;</w:t>
      </w:r>
      <w:r w:rsidR="003712D4">
        <w:rPr>
          <w:rFonts w:ascii="Arial" w:hAnsi="Arial" w:cs="Arial"/>
          <w:b/>
          <w:bCs/>
          <w:sz w:val="22"/>
          <w:szCs w:val="22"/>
        </w:rPr>
        <w:t xml:space="preserve"> to provide </w:t>
      </w:r>
      <w:r w:rsidR="00AB59DA">
        <w:rPr>
          <w:rFonts w:ascii="Arial" w:hAnsi="Arial" w:cs="Arial"/>
          <w:b/>
          <w:bCs/>
          <w:sz w:val="22"/>
          <w:szCs w:val="22"/>
        </w:rPr>
        <w:t>its response to the 64 recommendations in the Shaw Review on the Welfare of Immigration Detainees; and</w:t>
      </w:r>
      <w:r w:rsidR="003712D4">
        <w:rPr>
          <w:rFonts w:ascii="Arial" w:hAnsi="Arial" w:cs="Arial"/>
          <w:b/>
          <w:bCs/>
          <w:sz w:val="22"/>
          <w:szCs w:val="22"/>
        </w:rPr>
        <w:t xml:space="preserve"> to confirm</w:t>
      </w:r>
      <w:r w:rsidR="00AB59DA">
        <w:rPr>
          <w:rFonts w:ascii="Arial" w:hAnsi="Arial" w:cs="Arial"/>
          <w:b/>
          <w:bCs/>
          <w:sz w:val="22"/>
          <w:szCs w:val="22"/>
        </w:rPr>
        <w:t xml:space="preserve"> </w:t>
      </w:r>
      <w:r w:rsidR="006367B0">
        <w:rPr>
          <w:rFonts w:ascii="Arial" w:hAnsi="Arial" w:cs="Arial"/>
          <w:b/>
          <w:bCs/>
          <w:sz w:val="22"/>
          <w:szCs w:val="22"/>
        </w:rPr>
        <w:t xml:space="preserve">whether it will </w:t>
      </w:r>
      <w:r w:rsidR="009B5982" w:rsidRPr="006367B0">
        <w:rPr>
          <w:rFonts w:ascii="Arial" w:hAnsi="Arial" w:cs="Arial"/>
          <w:b/>
          <w:bCs/>
          <w:sz w:val="22"/>
          <w:szCs w:val="22"/>
        </w:rPr>
        <w:t xml:space="preserve">commit to setting a </w:t>
      </w:r>
      <w:r w:rsidR="00AB59DA">
        <w:rPr>
          <w:rFonts w:ascii="Arial" w:hAnsi="Arial" w:cs="Arial"/>
          <w:b/>
          <w:bCs/>
          <w:sz w:val="22"/>
          <w:szCs w:val="22"/>
        </w:rPr>
        <w:t>statutory time</w:t>
      </w:r>
      <w:r w:rsidR="00AB59DA" w:rsidRPr="006367B0">
        <w:rPr>
          <w:rFonts w:ascii="Arial" w:hAnsi="Arial" w:cs="Arial"/>
          <w:b/>
          <w:bCs/>
          <w:sz w:val="22"/>
          <w:szCs w:val="22"/>
        </w:rPr>
        <w:t xml:space="preserve"> </w:t>
      </w:r>
      <w:r w:rsidR="009B5982" w:rsidRPr="006367B0">
        <w:rPr>
          <w:rFonts w:ascii="Arial" w:hAnsi="Arial" w:cs="Arial"/>
          <w:b/>
          <w:bCs/>
          <w:sz w:val="22"/>
          <w:szCs w:val="22"/>
        </w:rPr>
        <w:t xml:space="preserve">limit of 28 days </w:t>
      </w:r>
      <w:r w:rsidR="00AB59DA">
        <w:rPr>
          <w:rFonts w:ascii="Arial" w:hAnsi="Arial" w:cs="Arial"/>
          <w:b/>
          <w:bCs/>
          <w:sz w:val="22"/>
          <w:szCs w:val="22"/>
        </w:rPr>
        <w:t>for</w:t>
      </w:r>
      <w:r w:rsidR="00AB59DA" w:rsidRPr="006367B0">
        <w:rPr>
          <w:rFonts w:ascii="Arial" w:hAnsi="Arial" w:cs="Arial"/>
          <w:b/>
          <w:bCs/>
          <w:sz w:val="22"/>
          <w:szCs w:val="22"/>
        </w:rPr>
        <w:t xml:space="preserve"> </w:t>
      </w:r>
      <w:r w:rsidR="003712D4">
        <w:rPr>
          <w:rFonts w:ascii="Arial" w:hAnsi="Arial" w:cs="Arial"/>
          <w:b/>
          <w:bCs/>
          <w:sz w:val="22"/>
          <w:szCs w:val="22"/>
        </w:rPr>
        <w:t>holding</w:t>
      </w:r>
      <w:r w:rsidR="009B5982" w:rsidRPr="006367B0">
        <w:rPr>
          <w:rFonts w:ascii="Arial" w:hAnsi="Arial" w:cs="Arial"/>
          <w:b/>
          <w:bCs/>
          <w:sz w:val="22"/>
          <w:szCs w:val="22"/>
        </w:rPr>
        <w:t xml:space="preserve"> an individual in immigration detention</w:t>
      </w:r>
      <w:r w:rsidR="00AB59DA">
        <w:rPr>
          <w:rFonts w:ascii="Arial" w:hAnsi="Arial" w:cs="Arial"/>
          <w:b/>
          <w:bCs/>
          <w:sz w:val="22"/>
          <w:szCs w:val="22"/>
        </w:rPr>
        <w:t>.</w:t>
      </w:r>
    </w:p>
    <w:p w:rsidR="00607E20" w:rsidRDefault="00607E20" w:rsidP="00607E20">
      <w:pPr>
        <w:jc w:val="both"/>
        <w:rPr>
          <w:rFonts w:ascii="Arial" w:hAnsi="Arial" w:cs="Arial"/>
          <w:b/>
        </w:rPr>
      </w:pPr>
    </w:p>
    <w:p w:rsidR="00500A34" w:rsidRDefault="00500A34" w:rsidP="00500A34">
      <w:pPr>
        <w:pStyle w:val="Heading2"/>
      </w:pPr>
      <w:r w:rsidRPr="000A7091">
        <w:t>Human trafficking</w:t>
      </w:r>
      <w:r w:rsidR="00403D2D">
        <w:t xml:space="preserve"> and modern slavery</w:t>
      </w:r>
      <w:r w:rsidR="00386308">
        <w:t xml:space="preserve"> </w:t>
      </w:r>
      <w:r w:rsidR="00386308">
        <w:rPr>
          <w:rFonts w:cs="Arial"/>
          <w:sz w:val="22"/>
          <w:szCs w:val="22"/>
        </w:rPr>
        <w:t>(A</w:t>
      </w:r>
      <w:r w:rsidR="00386308" w:rsidRPr="00DC4C61">
        <w:rPr>
          <w:rFonts w:cs="Arial"/>
          <w:sz w:val="22"/>
          <w:szCs w:val="22"/>
        </w:rPr>
        <w:t>rt</w:t>
      </w:r>
      <w:r w:rsidR="00386308">
        <w:rPr>
          <w:rFonts w:cs="Arial"/>
          <w:sz w:val="22"/>
          <w:szCs w:val="22"/>
        </w:rPr>
        <w:t>icles</w:t>
      </w:r>
      <w:r w:rsidR="00EE37CA">
        <w:rPr>
          <w:rFonts w:cs="Arial"/>
          <w:sz w:val="22"/>
          <w:szCs w:val="22"/>
        </w:rPr>
        <w:t xml:space="preserve"> 2, 12, 13</w:t>
      </w:r>
      <w:r w:rsidR="00386308" w:rsidRPr="00DC4C61">
        <w:rPr>
          <w:rFonts w:cs="Arial"/>
          <w:sz w:val="22"/>
          <w:szCs w:val="22"/>
        </w:rPr>
        <w:t xml:space="preserve"> and 16)</w:t>
      </w:r>
    </w:p>
    <w:p w:rsidR="00500A34" w:rsidRPr="00AF4C12" w:rsidRDefault="00500A34" w:rsidP="00500A34">
      <w:pPr>
        <w:jc w:val="both"/>
        <w:rPr>
          <w:rFonts w:ascii="Arial" w:hAnsi="Arial" w:cs="Arial"/>
          <w:b/>
          <w:sz w:val="22"/>
          <w:szCs w:val="22"/>
        </w:rPr>
      </w:pPr>
    </w:p>
    <w:p w:rsidR="00DB483F" w:rsidRPr="00DB483F" w:rsidRDefault="00DB483F" w:rsidP="008153BF">
      <w:pPr>
        <w:pStyle w:val="ListParagraph"/>
        <w:numPr>
          <w:ilvl w:val="0"/>
          <w:numId w:val="25"/>
        </w:numPr>
        <w:jc w:val="both"/>
        <w:rPr>
          <w:rFonts w:ascii="Arial" w:hAnsi="Arial" w:cs="Arial"/>
          <w:sz w:val="22"/>
          <w:szCs w:val="22"/>
        </w:rPr>
      </w:pPr>
      <w:r>
        <w:rPr>
          <w:rFonts w:ascii="Arial" w:hAnsi="Arial" w:cs="Arial"/>
          <w:sz w:val="22"/>
          <w:szCs w:val="22"/>
        </w:rPr>
        <w:t>The Committ</w:t>
      </w:r>
      <w:r w:rsidRPr="0064154E">
        <w:rPr>
          <w:rFonts w:ascii="Arial" w:hAnsi="Arial" w:cs="Arial"/>
          <w:sz w:val="22"/>
          <w:szCs w:val="22"/>
        </w:rPr>
        <w:t xml:space="preserve">ee </w:t>
      </w:r>
      <w:r w:rsidR="0064154E" w:rsidRPr="0064154E">
        <w:rPr>
          <w:rFonts w:ascii="Arial" w:hAnsi="Arial" w:cs="Arial"/>
          <w:sz w:val="22"/>
          <w:szCs w:val="22"/>
        </w:rPr>
        <w:t xml:space="preserve">has adopted </w:t>
      </w:r>
      <w:r w:rsidR="003712D4">
        <w:rPr>
          <w:rFonts w:ascii="Arial" w:hAnsi="Arial" w:cs="Arial"/>
          <w:sz w:val="22"/>
          <w:szCs w:val="22"/>
        </w:rPr>
        <w:t>C</w:t>
      </w:r>
      <w:r w:rsidR="003712D4" w:rsidRPr="0064154E">
        <w:rPr>
          <w:rFonts w:ascii="Arial" w:hAnsi="Arial" w:cs="Arial"/>
          <w:sz w:val="22"/>
          <w:szCs w:val="22"/>
        </w:rPr>
        <w:t xml:space="preserve">oncluding </w:t>
      </w:r>
      <w:r w:rsidR="003712D4">
        <w:rPr>
          <w:rFonts w:ascii="Arial" w:hAnsi="Arial" w:cs="Arial"/>
          <w:sz w:val="22"/>
          <w:szCs w:val="22"/>
        </w:rPr>
        <w:t>O</w:t>
      </w:r>
      <w:r w:rsidR="003712D4" w:rsidRPr="0064154E">
        <w:rPr>
          <w:rFonts w:ascii="Arial" w:hAnsi="Arial" w:cs="Arial"/>
          <w:sz w:val="22"/>
          <w:szCs w:val="22"/>
        </w:rPr>
        <w:t xml:space="preserve">bservations </w:t>
      </w:r>
      <w:r w:rsidR="0064154E" w:rsidRPr="0064154E">
        <w:rPr>
          <w:rFonts w:ascii="Arial" w:hAnsi="Arial" w:cs="Arial"/>
          <w:sz w:val="22"/>
          <w:szCs w:val="22"/>
        </w:rPr>
        <w:t xml:space="preserve">regarding </w:t>
      </w:r>
      <w:r w:rsidR="003712D4">
        <w:rPr>
          <w:rFonts w:ascii="Arial" w:hAnsi="Arial" w:cs="Arial"/>
          <w:sz w:val="22"/>
          <w:szCs w:val="22"/>
        </w:rPr>
        <w:t>S</w:t>
      </w:r>
      <w:r w:rsidR="003712D4" w:rsidRPr="0064154E">
        <w:rPr>
          <w:rFonts w:ascii="Arial" w:hAnsi="Arial" w:cs="Arial"/>
          <w:sz w:val="22"/>
          <w:szCs w:val="22"/>
        </w:rPr>
        <w:t xml:space="preserve">tate </w:t>
      </w:r>
      <w:r w:rsidR="00C10C6D" w:rsidRPr="0064154E">
        <w:rPr>
          <w:rFonts w:ascii="Arial" w:hAnsi="Arial" w:cs="Arial"/>
          <w:sz w:val="22"/>
          <w:szCs w:val="22"/>
        </w:rPr>
        <w:t>parties</w:t>
      </w:r>
      <w:r w:rsidR="0064154E" w:rsidRPr="0064154E">
        <w:rPr>
          <w:rFonts w:ascii="Arial" w:hAnsi="Arial" w:cs="Arial"/>
          <w:sz w:val="22"/>
          <w:szCs w:val="22"/>
        </w:rPr>
        <w:t>’</w:t>
      </w:r>
      <w:r w:rsidR="00C10C6D">
        <w:rPr>
          <w:rFonts w:ascii="Arial" w:hAnsi="Arial" w:cs="Arial"/>
          <w:sz w:val="22"/>
          <w:szCs w:val="22"/>
        </w:rPr>
        <w:t xml:space="preserve"> </w:t>
      </w:r>
      <w:r>
        <w:rPr>
          <w:rFonts w:ascii="Arial" w:hAnsi="Arial" w:cs="Arial"/>
          <w:sz w:val="22"/>
          <w:szCs w:val="22"/>
        </w:rPr>
        <w:t>obligation</w:t>
      </w:r>
      <w:r w:rsidR="003712D4">
        <w:rPr>
          <w:rFonts w:ascii="Arial" w:hAnsi="Arial" w:cs="Arial"/>
          <w:sz w:val="22"/>
          <w:szCs w:val="22"/>
        </w:rPr>
        <w:t>s</w:t>
      </w:r>
      <w:r>
        <w:rPr>
          <w:rFonts w:ascii="Arial" w:hAnsi="Arial" w:cs="Arial"/>
          <w:sz w:val="22"/>
          <w:szCs w:val="22"/>
        </w:rPr>
        <w:t xml:space="preserve"> to </w:t>
      </w:r>
      <w:r w:rsidR="00BD1001">
        <w:rPr>
          <w:rFonts w:ascii="Arial" w:hAnsi="Arial" w:cs="Arial"/>
          <w:sz w:val="22"/>
          <w:szCs w:val="22"/>
        </w:rPr>
        <w:t xml:space="preserve">combat human trafficking, and to </w:t>
      </w:r>
      <w:r>
        <w:rPr>
          <w:rFonts w:ascii="Arial" w:hAnsi="Arial" w:cs="Arial"/>
          <w:sz w:val="22"/>
          <w:szCs w:val="22"/>
        </w:rPr>
        <w:t>“</w:t>
      </w:r>
      <w:r w:rsidRPr="00DB483F">
        <w:rPr>
          <w:rFonts w:ascii="Arial" w:hAnsi="Arial" w:cs="Arial"/>
          <w:i/>
          <w:sz w:val="22"/>
          <w:szCs w:val="22"/>
        </w:rPr>
        <w:t>strengthen measures to prevent and combat trafficking and domestic violence, provide protection for victims and their access to medical, social rehabilitative and legal services, including counselling services, as appropriate</w:t>
      </w:r>
      <w:r w:rsidRPr="00DB483F">
        <w:rPr>
          <w:rFonts w:ascii="Arial" w:hAnsi="Arial" w:cs="Arial"/>
          <w:sz w:val="22"/>
          <w:szCs w:val="22"/>
        </w:rPr>
        <w:t>.</w:t>
      </w:r>
      <w:r>
        <w:rPr>
          <w:rFonts w:ascii="Arial" w:hAnsi="Arial" w:cs="Arial"/>
          <w:sz w:val="22"/>
          <w:szCs w:val="22"/>
        </w:rPr>
        <w:t>”</w:t>
      </w:r>
      <w:r>
        <w:rPr>
          <w:rStyle w:val="FootnoteReference"/>
          <w:rFonts w:ascii="Arial" w:hAnsi="Arial" w:cs="Arial"/>
          <w:sz w:val="22"/>
          <w:szCs w:val="22"/>
        </w:rPr>
        <w:footnoteReference w:id="41"/>
      </w:r>
      <w:r w:rsidRPr="00DB483F">
        <w:rPr>
          <w:rFonts w:ascii="Arial" w:hAnsi="Arial" w:cs="Arial"/>
          <w:sz w:val="22"/>
          <w:szCs w:val="22"/>
        </w:rPr>
        <w:t xml:space="preserve"> </w:t>
      </w:r>
    </w:p>
    <w:p w:rsidR="00AB59DA" w:rsidRDefault="00C05A79" w:rsidP="008153BF">
      <w:pPr>
        <w:pStyle w:val="ListParagraph"/>
        <w:numPr>
          <w:ilvl w:val="0"/>
          <w:numId w:val="25"/>
        </w:numPr>
        <w:jc w:val="both"/>
        <w:rPr>
          <w:rFonts w:ascii="Arial" w:hAnsi="Arial" w:cs="Arial"/>
          <w:sz w:val="22"/>
          <w:szCs w:val="22"/>
        </w:rPr>
      </w:pPr>
      <w:r w:rsidRPr="00995E21">
        <w:rPr>
          <w:rFonts w:ascii="Arial" w:eastAsia="Calibri" w:hAnsi="Arial" w:cs="Arial"/>
          <w:color w:val="000000"/>
          <w:sz w:val="22"/>
          <w:szCs w:val="22"/>
        </w:rPr>
        <w:t xml:space="preserve">The </w:t>
      </w:r>
      <w:r>
        <w:rPr>
          <w:rFonts w:ascii="Arial" w:eastAsia="Calibri" w:hAnsi="Arial" w:cs="Arial"/>
          <w:color w:val="000000"/>
          <w:sz w:val="22"/>
          <w:szCs w:val="22"/>
        </w:rPr>
        <w:t xml:space="preserve">UK uses the </w:t>
      </w:r>
      <w:r w:rsidRPr="00995E21">
        <w:rPr>
          <w:rFonts w:ascii="Arial" w:eastAsia="Calibri" w:hAnsi="Arial" w:cs="Arial"/>
          <w:color w:val="000000"/>
          <w:sz w:val="22"/>
          <w:szCs w:val="22"/>
        </w:rPr>
        <w:t>National Referral Mechanism (NRM) framework for identifying victims of human trafficking or modern slavery and ensuring they receive the appropriate support.</w:t>
      </w:r>
      <w:r>
        <w:rPr>
          <w:rStyle w:val="FootnoteReference"/>
          <w:rFonts w:ascii="Arial" w:eastAsia="Calibri" w:hAnsi="Arial" w:cs="Arial"/>
          <w:color w:val="000000"/>
          <w:sz w:val="22"/>
          <w:szCs w:val="22"/>
        </w:rPr>
        <w:footnoteReference w:id="42"/>
      </w:r>
      <w:r>
        <w:rPr>
          <w:rFonts w:ascii="Arial" w:eastAsia="Calibri" w:hAnsi="Arial" w:cs="Arial"/>
          <w:color w:val="000000"/>
          <w:sz w:val="22"/>
          <w:szCs w:val="22"/>
        </w:rPr>
        <w:t xml:space="preserve"> </w:t>
      </w:r>
      <w:r w:rsidRPr="00C05A79">
        <w:rPr>
          <w:rFonts w:ascii="Arial" w:hAnsi="Arial" w:cs="Arial"/>
          <w:sz w:val="22"/>
          <w:szCs w:val="22"/>
        </w:rPr>
        <w:t xml:space="preserve">Data from 2013 shows a 47% increase in the number </w:t>
      </w:r>
      <w:r w:rsidR="003712D4">
        <w:rPr>
          <w:rFonts w:ascii="Arial" w:hAnsi="Arial" w:cs="Arial"/>
          <w:sz w:val="22"/>
          <w:szCs w:val="22"/>
        </w:rPr>
        <w:t xml:space="preserve">of </w:t>
      </w:r>
      <w:r w:rsidRPr="00C05A79">
        <w:rPr>
          <w:rFonts w:ascii="Arial" w:hAnsi="Arial" w:cs="Arial"/>
          <w:sz w:val="22"/>
          <w:szCs w:val="22"/>
        </w:rPr>
        <w:t xml:space="preserve">referrals to the UK’s National Referral Mechanism (NRM) of trafficking victims </w:t>
      </w:r>
      <w:r w:rsidR="003712D4">
        <w:rPr>
          <w:rFonts w:ascii="Arial" w:hAnsi="Arial" w:cs="Arial"/>
          <w:sz w:val="22"/>
          <w:szCs w:val="22"/>
        </w:rPr>
        <w:t>i</w:t>
      </w:r>
      <w:r w:rsidR="003712D4" w:rsidRPr="00C05A79">
        <w:rPr>
          <w:rFonts w:ascii="Arial" w:hAnsi="Arial" w:cs="Arial"/>
          <w:sz w:val="22"/>
          <w:szCs w:val="22"/>
        </w:rPr>
        <w:t xml:space="preserve">n </w:t>
      </w:r>
      <w:r w:rsidRPr="00C05A79">
        <w:rPr>
          <w:rFonts w:ascii="Arial" w:hAnsi="Arial" w:cs="Arial"/>
          <w:sz w:val="22"/>
          <w:szCs w:val="22"/>
        </w:rPr>
        <w:t>2012, with an 18% increase in the numbers of countries of origin. Victims under 17 years old accounted for 26% of these referrals (452) which was also a significant increase on 2012.</w:t>
      </w:r>
      <w:r w:rsidRPr="00C05A79">
        <w:rPr>
          <w:rStyle w:val="FootnoteReference"/>
          <w:rFonts w:ascii="Arial" w:hAnsi="Arial" w:cs="Arial"/>
          <w:sz w:val="22"/>
          <w:szCs w:val="22"/>
        </w:rPr>
        <w:footnoteReference w:id="43"/>
      </w:r>
      <w:r w:rsidRPr="00C05A79">
        <w:rPr>
          <w:rFonts w:ascii="Arial" w:hAnsi="Arial" w:cs="Arial"/>
          <w:sz w:val="22"/>
          <w:szCs w:val="22"/>
        </w:rPr>
        <w:t xml:space="preserve"> </w:t>
      </w:r>
    </w:p>
    <w:p w:rsidR="001A04C5" w:rsidRPr="00B50934" w:rsidRDefault="001A04C5" w:rsidP="008153BF">
      <w:pPr>
        <w:pStyle w:val="ListParagraph"/>
        <w:numPr>
          <w:ilvl w:val="0"/>
          <w:numId w:val="25"/>
        </w:numPr>
        <w:jc w:val="both"/>
        <w:rPr>
          <w:rFonts w:ascii="Arial" w:hAnsi="Arial" w:cs="Arial"/>
          <w:sz w:val="22"/>
          <w:szCs w:val="22"/>
        </w:rPr>
      </w:pPr>
      <w:r w:rsidRPr="00B82003">
        <w:rPr>
          <w:rFonts w:ascii="Arial" w:hAnsi="Arial" w:cs="Arial"/>
          <w:sz w:val="22"/>
          <w:szCs w:val="22"/>
        </w:rPr>
        <w:t xml:space="preserve">The </w:t>
      </w:r>
      <w:r w:rsidR="00B82003" w:rsidRPr="00B82003">
        <w:rPr>
          <w:rFonts w:ascii="Arial" w:hAnsi="Arial" w:cs="Arial"/>
          <w:sz w:val="22"/>
          <w:szCs w:val="22"/>
        </w:rPr>
        <w:t xml:space="preserve">Modern Slavery </w:t>
      </w:r>
      <w:r w:rsidRPr="00B82003">
        <w:rPr>
          <w:rFonts w:ascii="Arial" w:hAnsi="Arial" w:cs="Arial"/>
          <w:sz w:val="22"/>
          <w:szCs w:val="22"/>
        </w:rPr>
        <w:t>Act, which received</w:t>
      </w:r>
      <w:r w:rsidR="00C85350">
        <w:rPr>
          <w:rFonts w:ascii="Arial" w:hAnsi="Arial" w:cs="Arial"/>
          <w:sz w:val="22"/>
          <w:szCs w:val="22"/>
        </w:rPr>
        <w:t xml:space="preserve"> Royal Assent on 26 March 2015, is a major step forward. It </w:t>
      </w:r>
      <w:r w:rsidR="00C85350" w:rsidRPr="00B82003">
        <w:rPr>
          <w:rFonts w:ascii="Arial" w:hAnsi="Arial" w:cs="Arial"/>
          <w:sz w:val="22"/>
          <w:szCs w:val="22"/>
        </w:rPr>
        <w:t>consolidated current offences relat</w:t>
      </w:r>
      <w:r w:rsidR="00C85350">
        <w:rPr>
          <w:rFonts w:ascii="Arial" w:hAnsi="Arial" w:cs="Arial"/>
          <w:sz w:val="22"/>
          <w:szCs w:val="22"/>
        </w:rPr>
        <w:t>ing to trafficking and slavery, and</w:t>
      </w:r>
      <w:r w:rsidR="00C85350" w:rsidRPr="00B82003">
        <w:rPr>
          <w:rFonts w:ascii="Arial" w:hAnsi="Arial" w:cs="Arial"/>
          <w:sz w:val="22"/>
          <w:szCs w:val="22"/>
        </w:rPr>
        <w:t xml:space="preserve"> </w:t>
      </w:r>
      <w:r w:rsidRPr="00B82003">
        <w:rPr>
          <w:rFonts w:ascii="Arial" w:hAnsi="Arial" w:cs="Arial"/>
          <w:sz w:val="22"/>
          <w:szCs w:val="22"/>
        </w:rPr>
        <w:t xml:space="preserve">created two new civil orders to prevent modern </w:t>
      </w:r>
      <w:r w:rsidRPr="00B50934">
        <w:rPr>
          <w:rFonts w:ascii="Arial" w:hAnsi="Arial" w:cs="Arial"/>
          <w:sz w:val="22"/>
          <w:szCs w:val="22"/>
        </w:rPr>
        <w:t>slavery and made provision for the protection of modern slavery victims.</w:t>
      </w:r>
      <w:r w:rsidRPr="00B50934">
        <w:rPr>
          <w:rStyle w:val="FootnoteReference"/>
          <w:rFonts w:ascii="Arial" w:hAnsi="Arial" w:cs="Arial"/>
          <w:sz w:val="22"/>
          <w:szCs w:val="22"/>
        </w:rPr>
        <w:footnoteReference w:id="44"/>
      </w:r>
      <w:r w:rsidR="001765DB">
        <w:rPr>
          <w:rFonts w:ascii="Arial" w:hAnsi="Arial" w:cs="Arial"/>
          <w:sz w:val="22"/>
          <w:szCs w:val="22"/>
        </w:rPr>
        <w:t xml:space="preserve"> In Scotland, the Human Trafficking and Exploitation (Scotland) Act 2015, clarifies and consolidates devolved civil and criminal law to disrupt trafficking networks, prosecute offenders and support victims.</w:t>
      </w:r>
      <w:r w:rsidR="001765DB">
        <w:rPr>
          <w:rStyle w:val="FootnoteReference"/>
          <w:rFonts w:ascii="Arial" w:hAnsi="Arial" w:cs="Arial"/>
          <w:sz w:val="22"/>
          <w:szCs w:val="22"/>
        </w:rPr>
        <w:footnoteReference w:id="45"/>
      </w:r>
    </w:p>
    <w:p w:rsidR="003C02DB" w:rsidRPr="006C6153" w:rsidRDefault="00E50117" w:rsidP="008153BF">
      <w:pPr>
        <w:pStyle w:val="Default"/>
        <w:numPr>
          <w:ilvl w:val="0"/>
          <w:numId w:val="25"/>
        </w:numPr>
        <w:jc w:val="both"/>
        <w:rPr>
          <w:color w:val="auto"/>
        </w:rPr>
      </w:pPr>
      <w:r>
        <w:rPr>
          <w:sz w:val="22"/>
          <w:szCs w:val="22"/>
        </w:rPr>
        <w:t>However, t</w:t>
      </w:r>
      <w:r w:rsidRPr="00B50934">
        <w:rPr>
          <w:sz w:val="22"/>
          <w:szCs w:val="22"/>
        </w:rPr>
        <w:t xml:space="preserve">he </w:t>
      </w:r>
      <w:r w:rsidR="001A04C5" w:rsidRPr="00B50934">
        <w:rPr>
          <w:sz w:val="22"/>
          <w:szCs w:val="22"/>
        </w:rPr>
        <w:t xml:space="preserve">EHRC considers there are a number of issues not </w:t>
      </w:r>
      <w:r w:rsidR="003712D4">
        <w:rPr>
          <w:sz w:val="22"/>
          <w:szCs w:val="22"/>
        </w:rPr>
        <w:t>covered</w:t>
      </w:r>
      <w:r w:rsidR="003712D4" w:rsidRPr="00B50934">
        <w:rPr>
          <w:sz w:val="22"/>
          <w:szCs w:val="22"/>
        </w:rPr>
        <w:t xml:space="preserve"> </w:t>
      </w:r>
      <w:r w:rsidR="001A04C5" w:rsidRPr="00B50934">
        <w:rPr>
          <w:sz w:val="22"/>
          <w:szCs w:val="22"/>
        </w:rPr>
        <w:t>in the M</w:t>
      </w:r>
      <w:r w:rsidR="00B82003" w:rsidRPr="00B50934">
        <w:rPr>
          <w:sz w:val="22"/>
          <w:szCs w:val="22"/>
        </w:rPr>
        <w:t xml:space="preserve">odern </w:t>
      </w:r>
      <w:r w:rsidR="001A04C5" w:rsidRPr="00B50934">
        <w:rPr>
          <w:sz w:val="22"/>
          <w:szCs w:val="22"/>
        </w:rPr>
        <w:t>S</w:t>
      </w:r>
      <w:r w:rsidR="00B82003" w:rsidRPr="00B50934">
        <w:rPr>
          <w:sz w:val="22"/>
          <w:szCs w:val="22"/>
        </w:rPr>
        <w:t xml:space="preserve">lavery </w:t>
      </w:r>
      <w:r w:rsidR="001A04C5" w:rsidRPr="00B50934">
        <w:rPr>
          <w:sz w:val="22"/>
          <w:szCs w:val="22"/>
        </w:rPr>
        <w:t>A</w:t>
      </w:r>
      <w:r w:rsidR="00B82003" w:rsidRPr="00B50934">
        <w:rPr>
          <w:sz w:val="22"/>
          <w:szCs w:val="22"/>
        </w:rPr>
        <w:t>ct</w:t>
      </w:r>
      <w:r w:rsidR="001A04C5" w:rsidRPr="00B50934">
        <w:rPr>
          <w:sz w:val="22"/>
          <w:szCs w:val="22"/>
        </w:rPr>
        <w:t xml:space="preserve"> or sufficiently add</w:t>
      </w:r>
      <w:r w:rsidR="00595B8C" w:rsidRPr="00B50934">
        <w:rPr>
          <w:sz w:val="22"/>
          <w:szCs w:val="22"/>
        </w:rPr>
        <w:t>ressed in the review of the NRM</w:t>
      </w:r>
      <w:r w:rsidRPr="00E50117">
        <w:rPr>
          <w:sz w:val="22"/>
          <w:szCs w:val="22"/>
        </w:rPr>
        <w:t xml:space="preserve"> </w:t>
      </w:r>
      <w:r w:rsidRPr="0014604D">
        <w:rPr>
          <w:sz w:val="22"/>
          <w:szCs w:val="22"/>
        </w:rPr>
        <w:t>in particular in relation to the state’s responsibility to protect the rights of the child</w:t>
      </w:r>
      <w:r w:rsidR="005401D7">
        <w:rPr>
          <w:sz w:val="22"/>
          <w:szCs w:val="22"/>
        </w:rPr>
        <w:t>.</w:t>
      </w:r>
      <w:r w:rsidR="003712D4">
        <w:rPr>
          <w:sz w:val="22"/>
          <w:szCs w:val="22"/>
        </w:rPr>
        <w:t xml:space="preserve"> </w:t>
      </w:r>
      <w:r w:rsidR="005401D7">
        <w:rPr>
          <w:sz w:val="22"/>
          <w:szCs w:val="22"/>
        </w:rPr>
        <w:t>Issues include</w:t>
      </w:r>
      <w:r w:rsidRPr="0014604D">
        <w:rPr>
          <w:sz w:val="22"/>
          <w:szCs w:val="22"/>
        </w:rPr>
        <w:t xml:space="preserve"> a</w:t>
      </w:r>
      <w:r w:rsidR="005C07D2">
        <w:rPr>
          <w:sz w:val="22"/>
          <w:szCs w:val="22"/>
        </w:rPr>
        <w:t xml:space="preserve"> </w:t>
      </w:r>
      <w:r w:rsidRPr="0014604D">
        <w:rPr>
          <w:sz w:val="22"/>
          <w:szCs w:val="22"/>
        </w:rPr>
        <w:t>lack of detail in provisions to identify and provide support to victims, gaps in criminal offences, and weaknesses in the powers of the Anti-Slavery Commissioner and the resources available to them</w:t>
      </w:r>
      <w:r w:rsidR="00595B8C" w:rsidRPr="00E50117">
        <w:rPr>
          <w:sz w:val="22"/>
          <w:szCs w:val="22"/>
        </w:rPr>
        <w:t>.</w:t>
      </w:r>
      <w:r w:rsidRPr="00E50117">
        <w:rPr>
          <w:rStyle w:val="FootnoteReference"/>
          <w:sz w:val="22"/>
          <w:szCs w:val="22"/>
        </w:rPr>
        <w:footnoteReference w:id="46"/>
      </w:r>
      <w:r w:rsidR="00595B8C" w:rsidRPr="00E50117">
        <w:rPr>
          <w:sz w:val="22"/>
          <w:szCs w:val="22"/>
        </w:rPr>
        <w:t xml:space="preserve"> </w:t>
      </w:r>
      <w:r w:rsidR="00C24FEE">
        <w:rPr>
          <w:sz w:val="22"/>
          <w:szCs w:val="22"/>
        </w:rPr>
        <w:t>In addition to the UK-wide concerns regarding the working of the NRM, there remain questions on how the framework works alongside devolved agencies, policies and law.</w:t>
      </w:r>
      <w:r w:rsidR="00C24FEE">
        <w:rPr>
          <w:rStyle w:val="FootnoteReference"/>
          <w:sz w:val="22"/>
          <w:szCs w:val="22"/>
        </w:rPr>
        <w:footnoteReference w:id="47"/>
      </w:r>
      <w:r w:rsidR="00C24FEE">
        <w:rPr>
          <w:sz w:val="22"/>
          <w:szCs w:val="22"/>
        </w:rPr>
        <w:t xml:space="preserve">    </w:t>
      </w:r>
    </w:p>
    <w:p w:rsidR="006C6153" w:rsidRPr="0014604D" w:rsidRDefault="006C6153" w:rsidP="006C6153">
      <w:pPr>
        <w:pStyle w:val="Default"/>
        <w:jc w:val="both"/>
        <w:rPr>
          <w:color w:val="auto"/>
        </w:rPr>
      </w:pPr>
    </w:p>
    <w:p w:rsidR="004F5F6C" w:rsidRPr="00837349" w:rsidRDefault="003C02DB" w:rsidP="008153BF">
      <w:pPr>
        <w:pStyle w:val="Default"/>
        <w:numPr>
          <w:ilvl w:val="0"/>
          <w:numId w:val="25"/>
        </w:numPr>
        <w:jc w:val="both"/>
        <w:rPr>
          <w:color w:val="auto"/>
        </w:rPr>
      </w:pPr>
      <w:r w:rsidRPr="0014604D">
        <w:rPr>
          <w:b/>
          <w:sz w:val="22"/>
          <w:szCs w:val="22"/>
        </w:rPr>
        <w:t>Recommendation:</w:t>
      </w:r>
      <w:r>
        <w:rPr>
          <w:sz w:val="22"/>
          <w:szCs w:val="22"/>
        </w:rPr>
        <w:t xml:space="preserve"> </w:t>
      </w:r>
      <w:r w:rsidR="00595B8C" w:rsidRPr="00B50934">
        <w:rPr>
          <w:b/>
          <w:color w:val="auto"/>
          <w:sz w:val="22"/>
          <w:szCs w:val="22"/>
        </w:rPr>
        <w:t xml:space="preserve">The </w:t>
      </w:r>
      <w:r w:rsidR="00B1320C">
        <w:rPr>
          <w:b/>
          <w:color w:val="auto"/>
          <w:sz w:val="22"/>
          <w:szCs w:val="22"/>
        </w:rPr>
        <w:t xml:space="preserve">Committee should ask the </w:t>
      </w:r>
      <w:r>
        <w:rPr>
          <w:b/>
          <w:color w:val="auto"/>
          <w:sz w:val="22"/>
          <w:szCs w:val="22"/>
        </w:rPr>
        <w:t xml:space="preserve">UK </w:t>
      </w:r>
      <w:r w:rsidR="00B1320C">
        <w:rPr>
          <w:b/>
          <w:color w:val="auto"/>
          <w:sz w:val="22"/>
          <w:szCs w:val="22"/>
        </w:rPr>
        <w:t>to</w:t>
      </w:r>
      <w:r w:rsidR="00B1320C" w:rsidRPr="00B50934">
        <w:rPr>
          <w:b/>
          <w:color w:val="auto"/>
          <w:sz w:val="22"/>
          <w:szCs w:val="22"/>
        </w:rPr>
        <w:t xml:space="preserve"> </w:t>
      </w:r>
      <w:r w:rsidR="00595B8C" w:rsidRPr="00B50934">
        <w:rPr>
          <w:b/>
          <w:color w:val="auto"/>
          <w:sz w:val="22"/>
          <w:szCs w:val="22"/>
        </w:rPr>
        <w:t xml:space="preserve">outline what action it is taking to </w:t>
      </w:r>
      <w:r w:rsidR="00E50117">
        <w:rPr>
          <w:b/>
          <w:color w:val="auto"/>
          <w:sz w:val="22"/>
          <w:szCs w:val="22"/>
        </w:rPr>
        <w:t>address, including through regulations,</w:t>
      </w:r>
      <w:r w:rsidR="00595B8C" w:rsidRPr="00B50934">
        <w:rPr>
          <w:b/>
          <w:color w:val="auto"/>
          <w:sz w:val="22"/>
          <w:szCs w:val="22"/>
        </w:rPr>
        <w:t xml:space="preserve"> gaps</w:t>
      </w:r>
      <w:r w:rsidR="00E50117">
        <w:rPr>
          <w:b/>
          <w:color w:val="auto"/>
          <w:sz w:val="22"/>
          <w:szCs w:val="22"/>
        </w:rPr>
        <w:t xml:space="preserve"> in the Modern Slavery Act</w:t>
      </w:r>
      <w:r w:rsidR="00595B8C" w:rsidRPr="00B50934">
        <w:rPr>
          <w:b/>
          <w:color w:val="auto"/>
          <w:sz w:val="22"/>
          <w:szCs w:val="22"/>
        </w:rPr>
        <w:t>,</w:t>
      </w:r>
      <w:r w:rsidR="00E50117">
        <w:rPr>
          <w:b/>
          <w:color w:val="auto"/>
          <w:sz w:val="22"/>
          <w:szCs w:val="22"/>
        </w:rPr>
        <w:t xml:space="preserve"> which may impact on the </w:t>
      </w:r>
      <w:r w:rsidR="003712D4">
        <w:rPr>
          <w:b/>
          <w:color w:val="auto"/>
          <w:sz w:val="22"/>
          <w:szCs w:val="22"/>
        </w:rPr>
        <w:t>S</w:t>
      </w:r>
      <w:r w:rsidR="00E50117">
        <w:rPr>
          <w:b/>
          <w:color w:val="auto"/>
          <w:sz w:val="22"/>
          <w:szCs w:val="22"/>
        </w:rPr>
        <w:t xml:space="preserve">tate’s fulfilment of its obligations to prevent </w:t>
      </w:r>
      <w:r w:rsidR="00E50117">
        <w:rPr>
          <w:b/>
          <w:bCs/>
          <w:sz w:val="22"/>
          <w:szCs w:val="22"/>
        </w:rPr>
        <w:t>c</w:t>
      </w:r>
      <w:r w:rsidR="00E50117" w:rsidRPr="000376B3">
        <w:rPr>
          <w:b/>
          <w:bCs/>
          <w:sz w:val="22"/>
          <w:szCs w:val="22"/>
        </w:rPr>
        <w:t xml:space="preserve">ruel, </w:t>
      </w:r>
      <w:r w:rsidR="00E50117">
        <w:rPr>
          <w:b/>
          <w:bCs/>
          <w:sz w:val="22"/>
          <w:szCs w:val="22"/>
        </w:rPr>
        <w:t>inhuman or degrading t</w:t>
      </w:r>
      <w:r w:rsidR="00E50117" w:rsidRPr="000376B3">
        <w:rPr>
          <w:b/>
          <w:bCs/>
          <w:sz w:val="22"/>
          <w:szCs w:val="22"/>
        </w:rPr>
        <w:t>reatment</w:t>
      </w:r>
      <w:r w:rsidR="00B1320C">
        <w:rPr>
          <w:b/>
          <w:bCs/>
          <w:sz w:val="22"/>
          <w:szCs w:val="22"/>
        </w:rPr>
        <w:t xml:space="preserve"> and </w:t>
      </w:r>
      <w:r w:rsidR="003712D4">
        <w:rPr>
          <w:b/>
          <w:bCs/>
          <w:sz w:val="22"/>
          <w:szCs w:val="22"/>
        </w:rPr>
        <w:t xml:space="preserve">to </w:t>
      </w:r>
      <w:r w:rsidR="00B1320C">
        <w:rPr>
          <w:b/>
          <w:bCs/>
          <w:sz w:val="22"/>
          <w:szCs w:val="22"/>
        </w:rPr>
        <w:t>protect victims</w:t>
      </w:r>
      <w:r w:rsidR="00E50117">
        <w:rPr>
          <w:b/>
          <w:bCs/>
          <w:sz w:val="22"/>
          <w:szCs w:val="22"/>
        </w:rPr>
        <w:t>.</w:t>
      </w:r>
      <w:r w:rsidR="00595B8C" w:rsidRPr="00B50934">
        <w:rPr>
          <w:b/>
          <w:color w:val="auto"/>
          <w:sz w:val="22"/>
          <w:szCs w:val="22"/>
        </w:rPr>
        <w:t xml:space="preserve"> </w:t>
      </w:r>
      <w:r w:rsidR="00B1320C">
        <w:rPr>
          <w:b/>
          <w:color w:val="auto"/>
          <w:sz w:val="22"/>
          <w:szCs w:val="22"/>
        </w:rPr>
        <w:t>These gaps include</w:t>
      </w:r>
      <w:r w:rsidR="004F5F6C">
        <w:rPr>
          <w:b/>
          <w:color w:val="auto"/>
          <w:sz w:val="22"/>
          <w:szCs w:val="22"/>
        </w:rPr>
        <w:t>:</w:t>
      </w:r>
    </w:p>
    <w:p w:rsidR="004F5F6C" w:rsidRDefault="004F5F6C" w:rsidP="00837349">
      <w:pPr>
        <w:pStyle w:val="ListParagraph"/>
        <w:rPr>
          <w:b/>
          <w:sz w:val="22"/>
          <w:szCs w:val="22"/>
        </w:rPr>
      </w:pPr>
    </w:p>
    <w:p w:rsidR="004F5F6C" w:rsidRDefault="001A04C5" w:rsidP="004D6904">
      <w:pPr>
        <w:pStyle w:val="Default"/>
        <w:numPr>
          <w:ilvl w:val="1"/>
          <w:numId w:val="16"/>
        </w:numPr>
        <w:jc w:val="both"/>
        <w:rPr>
          <w:b/>
          <w:color w:val="auto"/>
          <w:sz w:val="22"/>
          <w:szCs w:val="22"/>
        </w:rPr>
      </w:pPr>
      <w:r w:rsidRPr="00B50934">
        <w:rPr>
          <w:b/>
          <w:color w:val="auto"/>
          <w:sz w:val="22"/>
          <w:szCs w:val="22"/>
        </w:rPr>
        <w:t xml:space="preserve">the </w:t>
      </w:r>
      <w:r w:rsidR="004F5F6C">
        <w:rPr>
          <w:b/>
          <w:color w:val="auto"/>
          <w:sz w:val="22"/>
          <w:szCs w:val="22"/>
        </w:rPr>
        <w:t xml:space="preserve">absence of </w:t>
      </w:r>
      <w:r w:rsidRPr="00B50934">
        <w:rPr>
          <w:b/>
          <w:color w:val="auto"/>
          <w:sz w:val="22"/>
          <w:szCs w:val="22"/>
        </w:rPr>
        <w:t xml:space="preserve"> a formal appeals</w:t>
      </w:r>
      <w:r w:rsidRPr="0010479D">
        <w:rPr>
          <w:b/>
          <w:color w:val="auto"/>
          <w:sz w:val="22"/>
          <w:szCs w:val="22"/>
        </w:rPr>
        <w:t xml:space="preserve"> process, in line with the view of the Council of Europe Convention on Action against Trafficking in Human Beings (GRETA)</w:t>
      </w:r>
      <w:r w:rsidR="00B82003" w:rsidRPr="0010479D">
        <w:rPr>
          <w:b/>
          <w:color w:val="auto"/>
          <w:sz w:val="22"/>
          <w:szCs w:val="22"/>
        </w:rPr>
        <w:t>;</w:t>
      </w:r>
      <w:r w:rsidRPr="0010479D">
        <w:rPr>
          <w:b/>
          <w:color w:val="auto"/>
          <w:sz w:val="22"/>
          <w:szCs w:val="22"/>
        </w:rPr>
        <w:t xml:space="preserve"> </w:t>
      </w:r>
    </w:p>
    <w:p w:rsidR="004F5F6C" w:rsidRDefault="004F5F6C" w:rsidP="004D6904">
      <w:pPr>
        <w:pStyle w:val="Default"/>
        <w:numPr>
          <w:ilvl w:val="1"/>
          <w:numId w:val="16"/>
        </w:numPr>
        <w:jc w:val="both"/>
        <w:rPr>
          <w:b/>
          <w:color w:val="auto"/>
          <w:sz w:val="22"/>
          <w:szCs w:val="22"/>
        </w:rPr>
      </w:pPr>
      <w:r>
        <w:rPr>
          <w:b/>
          <w:color w:val="auto"/>
          <w:sz w:val="22"/>
          <w:szCs w:val="22"/>
        </w:rPr>
        <w:t>no</w:t>
      </w:r>
      <w:r w:rsidR="001A04C5" w:rsidRPr="0010479D">
        <w:rPr>
          <w:b/>
          <w:color w:val="auto"/>
          <w:sz w:val="22"/>
          <w:szCs w:val="22"/>
        </w:rPr>
        <w:t xml:space="preserve"> clear statutory duty to record and report trafficked ch</w:t>
      </w:r>
      <w:r w:rsidR="00B82003" w:rsidRPr="0010479D">
        <w:rPr>
          <w:b/>
          <w:color w:val="auto"/>
          <w:sz w:val="22"/>
          <w:szCs w:val="22"/>
        </w:rPr>
        <w:t xml:space="preserve">ildren who go missing from care; </w:t>
      </w:r>
    </w:p>
    <w:p w:rsidR="004F5F6C" w:rsidRDefault="004F5F6C" w:rsidP="004D6904">
      <w:pPr>
        <w:pStyle w:val="Default"/>
        <w:numPr>
          <w:ilvl w:val="1"/>
          <w:numId w:val="16"/>
        </w:numPr>
        <w:jc w:val="both"/>
        <w:rPr>
          <w:b/>
          <w:color w:val="auto"/>
          <w:sz w:val="22"/>
          <w:szCs w:val="22"/>
        </w:rPr>
      </w:pPr>
      <w:r>
        <w:rPr>
          <w:b/>
          <w:color w:val="auto"/>
          <w:sz w:val="22"/>
          <w:szCs w:val="22"/>
        </w:rPr>
        <w:t xml:space="preserve">a lack of </w:t>
      </w:r>
      <w:r w:rsidR="001A04C5" w:rsidRPr="0010479D">
        <w:rPr>
          <w:b/>
          <w:color w:val="auto"/>
          <w:sz w:val="22"/>
          <w:szCs w:val="22"/>
        </w:rPr>
        <w:t xml:space="preserve">explicit </w:t>
      </w:r>
      <w:r>
        <w:rPr>
          <w:b/>
          <w:color w:val="auto"/>
          <w:sz w:val="22"/>
          <w:szCs w:val="22"/>
        </w:rPr>
        <w:t xml:space="preserve">requirements on </w:t>
      </w:r>
      <w:r w:rsidR="003712D4">
        <w:rPr>
          <w:b/>
          <w:color w:val="auto"/>
          <w:sz w:val="22"/>
          <w:szCs w:val="22"/>
        </w:rPr>
        <w:t xml:space="preserve">tackling </w:t>
      </w:r>
      <w:r>
        <w:rPr>
          <w:b/>
          <w:color w:val="auto"/>
          <w:sz w:val="22"/>
          <w:szCs w:val="22"/>
        </w:rPr>
        <w:t xml:space="preserve">trafficking and slavery </w:t>
      </w:r>
      <w:r w:rsidR="001A04C5" w:rsidRPr="0010479D">
        <w:rPr>
          <w:b/>
          <w:color w:val="auto"/>
          <w:sz w:val="22"/>
          <w:szCs w:val="22"/>
        </w:rPr>
        <w:t>in the regulations of all relevant authorities that are likely to come into contact with potential victims, including: health authorities, schools, prisons, probation services and competent authorities as well as voluntary organisations performing a public function</w:t>
      </w:r>
      <w:r w:rsidR="00B82003" w:rsidRPr="0010479D">
        <w:rPr>
          <w:b/>
          <w:color w:val="auto"/>
          <w:sz w:val="22"/>
          <w:szCs w:val="22"/>
        </w:rPr>
        <w:t xml:space="preserve">; and </w:t>
      </w:r>
    </w:p>
    <w:p w:rsidR="001A04C5" w:rsidRPr="00B82003" w:rsidRDefault="001A04C5" w:rsidP="004D6904">
      <w:pPr>
        <w:pStyle w:val="Default"/>
        <w:numPr>
          <w:ilvl w:val="1"/>
          <w:numId w:val="16"/>
        </w:numPr>
        <w:jc w:val="both"/>
        <w:rPr>
          <w:color w:val="auto"/>
        </w:rPr>
      </w:pPr>
      <w:r w:rsidRPr="0010479D">
        <w:rPr>
          <w:b/>
          <w:color w:val="auto"/>
          <w:sz w:val="22"/>
          <w:szCs w:val="22"/>
        </w:rPr>
        <w:t>clarification in th</w:t>
      </w:r>
      <w:r w:rsidR="004F5F6C">
        <w:rPr>
          <w:b/>
          <w:color w:val="auto"/>
          <w:sz w:val="22"/>
          <w:szCs w:val="22"/>
        </w:rPr>
        <w:t>ose</w:t>
      </w:r>
      <w:r w:rsidRPr="0010479D">
        <w:rPr>
          <w:b/>
          <w:color w:val="auto"/>
          <w:sz w:val="22"/>
          <w:szCs w:val="22"/>
        </w:rPr>
        <w:t xml:space="preserve"> regulations that only a credible suspicion is required to trigger this duty, </w:t>
      </w:r>
      <w:r w:rsidR="004F5F6C">
        <w:rPr>
          <w:b/>
          <w:color w:val="auto"/>
          <w:sz w:val="22"/>
          <w:szCs w:val="22"/>
        </w:rPr>
        <w:t>(</w:t>
      </w:r>
      <w:r w:rsidRPr="0010479D">
        <w:rPr>
          <w:b/>
          <w:color w:val="auto"/>
          <w:sz w:val="22"/>
          <w:szCs w:val="22"/>
        </w:rPr>
        <w:t>as noted in the review</w:t>
      </w:r>
      <w:r w:rsidR="004F5F6C">
        <w:rPr>
          <w:b/>
          <w:color w:val="auto"/>
          <w:sz w:val="22"/>
          <w:szCs w:val="22"/>
        </w:rPr>
        <w:t xml:space="preserve"> of the NRM</w:t>
      </w:r>
      <w:r w:rsidRPr="0010479D">
        <w:rPr>
          <w:b/>
          <w:color w:val="auto"/>
          <w:sz w:val="22"/>
          <w:szCs w:val="22"/>
        </w:rPr>
        <w:t>, and is consistent with the State’s positive obligations to investig</w:t>
      </w:r>
      <w:r w:rsidR="00B82003" w:rsidRPr="0010479D">
        <w:rPr>
          <w:b/>
          <w:color w:val="auto"/>
          <w:sz w:val="22"/>
          <w:szCs w:val="22"/>
        </w:rPr>
        <w:t>ate under Article 4 of the ECHR.</w:t>
      </w:r>
      <w:r w:rsidR="00B82003" w:rsidRPr="0010479D">
        <w:rPr>
          <w:rStyle w:val="FootnoteReference"/>
          <w:b/>
          <w:color w:val="auto"/>
          <w:sz w:val="22"/>
          <w:szCs w:val="22"/>
        </w:rPr>
        <w:footnoteReference w:id="48"/>
      </w:r>
      <w:r w:rsidR="00595B8C">
        <w:rPr>
          <w:color w:val="auto"/>
          <w:sz w:val="23"/>
          <w:szCs w:val="23"/>
        </w:rPr>
        <w:t xml:space="preserve"> </w:t>
      </w:r>
    </w:p>
    <w:p w:rsidR="00500A34" w:rsidRDefault="00500A34" w:rsidP="00500A34">
      <w:pPr>
        <w:jc w:val="both"/>
        <w:rPr>
          <w:rFonts w:ascii="Arial" w:hAnsi="Arial" w:cs="Arial"/>
          <w:b/>
        </w:rPr>
      </w:pPr>
    </w:p>
    <w:p w:rsidR="0010479D" w:rsidRPr="00526DF8" w:rsidRDefault="0010479D" w:rsidP="0010479D">
      <w:pPr>
        <w:pStyle w:val="Heading2"/>
      </w:pPr>
      <w:r w:rsidRPr="00526DF8">
        <w:t>Violence against Women and Girls</w:t>
      </w:r>
      <w:r w:rsidR="00386308">
        <w:t xml:space="preserve"> </w:t>
      </w:r>
      <w:r w:rsidR="00386308">
        <w:rPr>
          <w:rFonts w:cs="Arial"/>
          <w:sz w:val="22"/>
          <w:szCs w:val="22"/>
        </w:rPr>
        <w:t>(A</w:t>
      </w:r>
      <w:r w:rsidR="00386308" w:rsidRPr="00DC4C61">
        <w:rPr>
          <w:rFonts w:cs="Arial"/>
          <w:sz w:val="22"/>
          <w:szCs w:val="22"/>
        </w:rPr>
        <w:t>rt</w:t>
      </w:r>
      <w:r w:rsidR="00386308">
        <w:rPr>
          <w:rFonts w:cs="Arial"/>
          <w:sz w:val="22"/>
          <w:szCs w:val="22"/>
        </w:rPr>
        <w:t>icles</w:t>
      </w:r>
      <w:r w:rsidR="00EE37CA">
        <w:rPr>
          <w:rFonts w:cs="Arial"/>
          <w:sz w:val="22"/>
          <w:szCs w:val="22"/>
        </w:rPr>
        <w:t xml:space="preserve"> 2, 12, 13 </w:t>
      </w:r>
      <w:r w:rsidR="00386308" w:rsidRPr="00DC4C61">
        <w:rPr>
          <w:rFonts w:cs="Arial"/>
          <w:sz w:val="22"/>
          <w:szCs w:val="22"/>
        </w:rPr>
        <w:t>and 16)</w:t>
      </w:r>
    </w:p>
    <w:p w:rsidR="000351F5" w:rsidRPr="00372D29" w:rsidRDefault="00EE37CA" w:rsidP="008153BF">
      <w:pPr>
        <w:pStyle w:val="Default"/>
        <w:numPr>
          <w:ilvl w:val="0"/>
          <w:numId w:val="25"/>
        </w:numPr>
        <w:jc w:val="both"/>
        <w:rPr>
          <w:sz w:val="22"/>
          <w:szCs w:val="22"/>
        </w:rPr>
      </w:pPr>
      <w:r>
        <w:rPr>
          <w:sz w:val="22"/>
          <w:szCs w:val="22"/>
        </w:rPr>
        <w:t xml:space="preserve">The Committee has adopted </w:t>
      </w:r>
      <w:r w:rsidR="00990524">
        <w:rPr>
          <w:sz w:val="22"/>
          <w:szCs w:val="22"/>
        </w:rPr>
        <w:t>C</w:t>
      </w:r>
      <w:r>
        <w:rPr>
          <w:sz w:val="22"/>
          <w:szCs w:val="22"/>
        </w:rPr>
        <w:t xml:space="preserve">oncluding </w:t>
      </w:r>
      <w:r w:rsidR="00990524">
        <w:rPr>
          <w:sz w:val="22"/>
          <w:szCs w:val="22"/>
        </w:rPr>
        <w:t>O</w:t>
      </w:r>
      <w:r>
        <w:rPr>
          <w:sz w:val="22"/>
          <w:szCs w:val="22"/>
        </w:rPr>
        <w:t>b</w:t>
      </w:r>
      <w:r w:rsidRPr="00EE37CA">
        <w:rPr>
          <w:sz w:val="22"/>
          <w:szCs w:val="22"/>
        </w:rPr>
        <w:t>servations for addressing Violence against Women and Girls (VAWG), for instance that “</w:t>
      </w:r>
      <w:r w:rsidRPr="00EE37CA">
        <w:rPr>
          <w:i/>
          <w:sz w:val="22"/>
          <w:szCs w:val="22"/>
        </w:rPr>
        <w:t>all efforts</w:t>
      </w:r>
      <w:r w:rsidRPr="00EE37CA">
        <w:rPr>
          <w:sz w:val="22"/>
          <w:szCs w:val="22"/>
        </w:rPr>
        <w:t>” should be taken “</w:t>
      </w:r>
      <w:r w:rsidRPr="00EE37CA">
        <w:rPr>
          <w:i/>
          <w:sz w:val="22"/>
          <w:szCs w:val="22"/>
        </w:rPr>
        <w:t>to prevent violence against women, enhance the access of victims to justice, ensure that all acts of violence are promptly, effectively and impartially investigated and prosecuted, perpetrators brought to justice and victims provided with redress.</w:t>
      </w:r>
      <w:r w:rsidRPr="00EE37CA">
        <w:rPr>
          <w:sz w:val="22"/>
          <w:szCs w:val="22"/>
        </w:rPr>
        <w:t>”</w:t>
      </w:r>
      <w:r>
        <w:rPr>
          <w:rStyle w:val="FootnoteReference"/>
          <w:sz w:val="22"/>
          <w:szCs w:val="22"/>
        </w:rPr>
        <w:footnoteReference w:id="49"/>
      </w:r>
      <w:r w:rsidR="00372D29">
        <w:rPr>
          <w:sz w:val="22"/>
          <w:szCs w:val="22"/>
        </w:rPr>
        <w:t xml:space="preserve"> </w:t>
      </w:r>
      <w:r w:rsidR="002502A5" w:rsidRPr="00372D29">
        <w:rPr>
          <w:sz w:val="22"/>
          <w:szCs w:val="22"/>
        </w:rPr>
        <w:t>T</w:t>
      </w:r>
      <w:r w:rsidR="0029140F" w:rsidRPr="00372D29">
        <w:rPr>
          <w:sz w:val="22"/>
          <w:szCs w:val="22"/>
        </w:rPr>
        <w:t xml:space="preserve">he EHRC has stressed that </w:t>
      </w:r>
      <w:r w:rsidR="00AD618A" w:rsidRPr="00372D29">
        <w:rPr>
          <w:sz w:val="22"/>
          <w:szCs w:val="22"/>
        </w:rPr>
        <w:t>VAWG</w:t>
      </w:r>
      <w:r w:rsidR="0029140F" w:rsidRPr="00372D29">
        <w:rPr>
          <w:sz w:val="22"/>
          <w:szCs w:val="22"/>
        </w:rPr>
        <w:t xml:space="preserve"> is one of the most pervasive human rights issues in Britain.</w:t>
      </w:r>
      <w:r w:rsidR="0029140F" w:rsidRPr="000351F5">
        <w:rPr>
          <w:rStyle w:val="FootnoteReference"/>
          <w:sz w:val="22"/>
          <w:szCs w:val="22"/>
        </w:rPr>
        <w:footnoteReference w:id="50"/>
      </w:r>
      <w:r w:rsidR="00DC6CBB" w:rsidRPr="00372D29">
        <w:rPr>
          <w:sz w:val="22"/>
          <w:szCs w:val="22"/>
        </w:rPr>
        <w:t xml:space="preserve"> </w:t>
      </w:r>
    </w:p>
    <w:p w:rsidR="0010479D" w:rsidRPr="00965540" w:rsidRDefault="00C67192" w:rsidP="008153BF">
      <w:pPr>
        <w:pStyle w:val="Default"/>
        <w:numPr>
          <w:ilvl w:val="0"/>
          <w:numId w:val="25"/>
        </w:numPr>
        <w:jc w:val="both"/>
        <w:rPr>
          <w:sz w:val="22"/>
          <w:szCs w:val="22"/>
        </w:rPr>
      </w:pPr>
      <w:r>
        <w:rPr>
          <w:sz w:val="22"/>
          <w:szCs w:val="22"/>
        </w:rPr>
        <w:t xml:space="preserve">In 2015, the </w:t>
      </w:r>
      <w:r w:rsidR="0010479D">
        <w:rPr>
          <w:sz w:val="22"/>
          <w:szCs w:val="22"/>
        </w:rPr>
        <w:t xml:space="preserve">UN Human Rights Committee was </w:t>
      </w:r>
      <w:r w:rsidR="0010479D" w:rsidRPr="00C169C3">
        <w:rPr>
          <w:i/>
          <w:sz w:val="22"/>
          <w:szCs w:val="22"/>
        </w:rPr>
        <w:t>“concerned about continued reports of violence against women, including domestic violence and rape</w:t>
      </w:r>
      <w:r w:rsidR="00B1320C" w:rsidRPr="00C169C3">
        <w:rPr>
          <w:i/>
          <w:sz w:val="22"/>
          <w:szCs w:val="22"/>
        </w:rPr>
        <w:t>…</w:t>
      </w:r>
      <w:r w:rsidR="0010479D" w:rsidRPr="00C169C3">
        <w:rPr>
          <w:i/>
          <w:sz w:val="22"/>
          <w:szCs w:val="22"/>
        </w:rPr>
        <w:t>affecting mainly black and ethnic minority women</w:t>
      </w:r>
      <w:r w:rsidR="00B1320C">
        <w:rPr>
          <w:i/>
          <w:sz w:val="22"/>
          <w:szCs w:val="22"/>
        </w:rPr>
        <w:t>.</w:t>
      </w:r>
      <w:r w:rsidR="0010479D" w:rsidRPr="00C169C3">
        <w:rPr>
          <w:i/>
          <w:sz w:val="22"/>
          <w:szCs w:val="22"/>
        </w:rPr>
        <w:t>”</w:t>
      </w:r>
      <w:r w:rsidR="0010479D">
        <w:rPr>
          <w:sz w:val="22"/>
          <w:szCs w:val="22"/>
        </w:rPr>
        <w:t xml:space="preserve"> </w:t>
      </w:r>
      <w:r w:rsidR="00B1320C">
        <w:rPr>
          <w:sz w:val="22"/>
          <w:szCs w:val="22"/>
        </w:rPr>
        <w:t xml:space="preserve">The Human Rights Committee </w:t>
      </w:r>
      <w:r w:rsidR="0010479D">
        <w:rPr>
          <w:sz w:val="22"/>
          <w:szCs w:val="22"/>
        </w:rPr>
        <w:t xml:space="preserve">recommended the UK </w:t>
      </w:r>
      <w:r w:rsidR="0010479D" w:rsidRPr="00965540">
        <w:rPr>
          <w:sz w:val="22"/>
          <w:szCs w:val="22"/>
        </w:rPr>
        <w:t>should strengthen measures aimed at preventing and co</w:t>
      </w:r>
      <w:r w:rsidR="0010479D">
        <w:rPr>
          <w:sz w:val="22"/>
          <w:szCs w:val="22"/>
        </w:rPr>
        <w:t xml:space="preserve">mbating violence against women, including by </w:t>
      </w:r>
      <w:r w:rsidR="0010479D" w:rsidRPr="00C169C3">
        <w:rPr>
          <w:i/>
          <w:sz w:val="22"/>
          <w:szCs w:val="22"/>
        </w:rPr>
        <w:t>“ensuring that all domestic violence cases, in all UK territories and dependencies, are thoroughly investigated, that perpetrators are prosecuted and, if convicted, punished with appropriate sanctions</w:t>
      </w:r>
      <w:r w:rsidR="00B1320C">
        <w:rPr>
          <w:i/>
          <w:sz w:val="22"/>
          <w:szCs w:val="22"/>
        </w:rPr>
        <w:t>;</w:t>
      </w:r>
      <w:r w:rsidR="0010479D" w:rsidRPr="00C169C3">
        <w:rPr>
          <w:i/>
          <w:sz w:val="22"/>
          <w:szCs w:val="22"/>
        </w:rPr>
        <w:t>”</w:t>
      </w:r>
      <w:r w:rsidR="0010479D">
        <w:rPr>
          <w:sz w:val="22"/>
          <w:szCs w:val="22"/>
        </w:rPr>
        <w:t xml:space="preserve"> </w:t>
      </w:r>
      <w:r w:rsidR="00B1320C">
        <w:rPr>
          <w:sz w:val="22"/>
          <w:szCs w:val="22"/>
        </w:rPr>
        <w:t>and</w:t>
      </w:r>
      <w:r w:rsidR="0010479D">
        <w:rPr>
          <w:sz w:val="22"/>
          <w:szCs w:val="22"/>
        </w:rPr>
        <w:t xml:space="preserve"> highlighted that the UK should </w:t>
      </w:r>
      <w:r w:rsidR="0010479D" w:rsidRPr="00965540">
        <w:rPr>
          <w:sz w:val="22"/>
          <w:szCs w:val="22"/>
        </w:rPr>
        <w:t>e</w:t>
      </w:r>
      <w:r w:rsidR="0010479D">
        <w:rPr>
          <w:sz w:val="22"/>
          <w:szCs w:val="22"/>
        </w:rPr>
        <w:t>nsure</w:t>
      </w:r>
      <w:r w:rsidR="0010479D" w:rsidRPr="00965540">
        <w:rPr>
          <w:sz w:val="22"/>
          <w:szCs w:val="22"/>
        </w:rPr>
        <w:t xml:space="preserve"> that victims have </w:t>
      </w:r>
      <w:r w:rsidR="0010479D" w:rsidRPr="00C169C3">
        <w:rPr>
          <w:i/>
          <w:sz w:val="22"/>
          <w:szCs w:val="22"/>
        </w:rPr>
        <w:t>“access to effective remedies and means of protection, including to strong police protection, adequate emergency shelter, rehabilitative services, legal assistance and other support services.”</w:t>
      </w:r>
      <w:r w:rsidR="0010479D" w:rsidRPr="00FF6067">
        <w:rPr>
          <w:rStyle w:val="FootnoteReference"/>
          <w:sz w:val="22"/>
          <w:szCs w:val="22"/>
        </w:rPr>
        <w:footnoteReference w:id="51"/>
      </w:r>
      <w:r w:rsidR="0010479D" w:rsidRPr="00965540">
        <w:rPr>
          <w:sz w:val="22"/>
          <w:szCs w:val="22"/>
        </w:rPr>
        <w:t xml:space="preserve"> </w:t>
      </w:r>
    </w:p>
    <w:p w:rsidR="0010479D" w:rsidRPr="003B7A4C" w:rsidRDefault="0010479D" w:rsidP="008153BF">
      <w:pPr>
        <w:pStyle w:val="ListParagraph"/>
        <w:numPr>
          <w:ilvl w:val="0"/>
          <w:numId w:val="25"/>
        </w:numPr>
        <w:tabs>
          <w:tab w:val="left" w:pos="720"/>
        </w:tabs>
        <w:autoSpaceDE w:val="0"/>
        <w:autoSpaceDN w:val="0"/>
        <w:adjustRightInd w:val="0"/>
        <w:jc w:val="both"/>
        <w:rPr>
          <w:rFonts w:ascii="Arial" w:eastAsia="Calibri" w:hAnsi="Arial" w:cs="Arial"/>
          <w:color w:val="000000"/>
          <w:sz w:val="22"/>
          <w:szCs w:val="22"/>
        </w:rPr>
      </w:pPr>
      <w:r w:rsidRPr="00E5299A">
        <w:rPr>
          <w:rFonts w:ascii="Arial" w:eastAsia="Calibri" w:hAnsi="Arial" w:cs="Arial"/>
          <w:color w:val="000000"/>
          <w:sz w:val="22"/>
          <w:szCs w:val="22"/>
        </w:rPr>
        <w:t>The Council of Europe Convention on preventing and combating violence against women and domestic violence</w:t>
      </w:r>
      <w:r>
        <w:rPr>
          <w:rFonts w:ascii="Arial" w:eastAsia="Calibri" w:hAnsi="Arial" w:cs="Arial"/>
          <w:color w:val="000000"/>
          <w:sz w:val="22"/>
          <w:szCs w:val="22"/>
        </w:rPr>
        <w:t xml:space="preserve"> (‘the Istanbul Convention’)</w:t>
      </w:r>
      <w:r w:rsidRPr="003B7A4C">
        <w:rPr>
          <w:rFonts w:ascii="Arial" w:eastAsia="Calibri" w:hAnsi="Arial" w:cs="Arial"/>
          <w:color w:val="000000"/>
          <w:sz w:val="22"/>
          <w:szCs w:val="22"/>
        </w:rPr>
        <w:t xml:space="preserve"> </w:t>
      </w:r>
      <w:r w:rsidRPr="003B7A4C">
        <w:rPr>
          <w:rFonts w:ascii="Arial" w:hAnsi="Arial" w:cs="Arial"/>
          <w:sz w:val="22"/>
          <w:szCs w:val="22"/>
        </w:rPr>
        <w:t>was adopted by the Council of Europe Committee of Ministers on 7 April 2011.</w:t>
      </w:r>
      <w:r>
        <w:rPr>
          <w:rStyle w:val="FootnoteReference"/>
          <w:rFonts w:ascii="Arial" w:hAnsi="Arial" w:cs="Arial"/>
          <w:sz w:val="22"/>
          <w:szCs w:val="22"/>
        </w:rPr>
        <w:footnoteReference w:id="52"/>
      </w:r>
      <w:r>
        <w:rPr>
          <w:rFonts w:ascii="Arial" w:hAnsi="Arial" w:cs="Arial"/>
          <w:sz w:val="22"/>
          <w:szCs w:val="22"/>
        </w:rPr>
        <w:t xml:space="preserve"> </w:t>
      </w:r>
      <w:r w:rsidRPr="003B7A4C">
        <w:rPr>
          <w:rFonts w:ascii="Arial" w:hAnsi="Arial" w:cs="Arial"/>
          <w:sz w:val="22"/>
          <w:szCs w:val="22"/>
        </w:rPr>
        <w:t xml:space="preserve">In November 2015, the UK Government stated that it would </w:t>
      </w:r>
      <w:r w:rsidRPr="003B7A4C">
        <w:rPr>
          <w:rFonts w:ascii="Arial" w:eastAsia="Calibri" w:hAnsi="Arial" w:cs="Arial"/>
          <w:color w:val="000000"/>
          <w:sz w:val="22"/>
          <w:szCs w:val="22"/>
        </w:rPr>
        <w:t xml:space="preserve">only commit to ratification of the Istanbul Convention when it was “absolutely satisfied” that it complied with all articles. </w:t>
      </w:r>
      <w:r w:rsidR="00B1320C">
        <w:rPr>
          <w:rFonts w:ascii="Arial" w:eastAsia="Calibri" w:hAnsi="Arial" w:cs="Arial"/>
          <w:color w:val="000000"/>
          <w:sz w:val="22"/>
          <w:szCs w:val="22"/>
        </w:rPr>
        <w:t>The UK Government</w:t>
      </w:r>
      <w:r w:rsidR="00B1320C" w:rsidRPr="003B7A4C">
        <w:rPr>
          <w:rFonts w:ascii="Arial" w:eastAsia="Calibri" w:hAnsi="Arial" w:cs="Arial"/>
          <w:color w:val="000000"/>
          <w:sz w:val="22"/>
          <w:szCs w:val="22"/>
        </w:rPr>
        <w:t xml:space="preserve"> </w:t>
      </w:r>
      <w:r w:rsidRPr="003B7A4C">
        <w:rPr>
          <w:rFonts w:ascii="Arial" w:eastAsia="Calibri" w:hAnsi="Arial" w:cs="Arial"/>
          <w:color w:val="000000"/>
          <w:sz w:val="22"/>
          <w:szCs w:val="22"/>
        </w:rPr>
        <w:t>highlighted that primary legislation is required to comply with the extra-territorial jurisdiction provision set out in Article 44 of the Convention, and that it was liaising with the devolved administrations about ratification, including the further legislative steps required.</w:t>
      </w:r>
      <w:r>
        <w:rPr>
          <w:rStyle w:val="FootnoteReference"/>
          <w:rFonts w:ascii="Arial" w:eastAsia="Calibri" w:hAnsi="Arial" w:cs="Arial"/>
          <w:color w:val="000000"/>
          <w:sz w:val="22"/>
          <w:szCs w:val="22"/>
        </w:rPr>
        <w:footnoteReference w:id="53"/>
      </w:r>
    </w:p>
    <w:p w:rsidR="00C169C3" w:rsidRDefault="00C169C3" w:rsidP="00C169C3">
      <w:pPr>
        <w:pStyle w:val="ListParagraph"/>
        <w:ind w:left="360"/>
        <w:jc w:val="both"/>
        <w:rPr>
          <w:rFonts w:ascii="Arial" w:hAnsi="Arial" w:cs="Arial"/>
          <w:sz w:val="22"/>
          <w:szCs w:val="22"/>
        </w:rPr>
      </w:pPr>
    </w:p>
    <w:p w:rsidR="0010479D" w:rsidRPr="002D1DBF" w:rsidRDefault="00B1320C" w:rsidP="008153BF">
      <w:pPr>
        <w:pStyle w:val="ListParagraph"/>
        <w:numPr>
          <w:ilvl w:val="0"/>
          <w:numId w:val="25"/>
        </w:numPr>
        <w:jc w:val="both"/>
        <w:rPr>
          <w:rFonts w:ascii="Arial" w:hAnsi="Arial" w:cs="Arial"/>
          <w:sz w:val="22"/>
          <w:szCs w:val="22"/>
        </w:rPr>
      </w:pPr>
      <w:r>
        <w:rPr>
          <w:rFonts w:ascii="Arial" w:hAnsi="Arial" w:cs="Arial"/>
          <w:b/>
          <w:sz w:val="22"/>
          <w:szCs w:val="22"/>
          <w:lang w:val="en"/>
        </w:rPr>
        <w:t xml:space="preserve">Recommendation: </w:t>
      </w:r>
      <w:r w:rsidR="0010479D" w:rsidRPr="00387D0A">
        <w:rPr>
          <w:rFonts w:ascii="Arial" w:hAnsi="Arial" w:cs="Arial"/>
          <w:b/>
          <w:sz w:val="22"/>
          <w:szCs w:val="22"/>
          <w:lang w:val="en"/>
        </w:rPr>
        <w:t>The</w:t>
      </w:r>
      <w:r>
        <w:rPr>
          <w:rFonts w:ascii="Arial" w:hAnsi="Arial" w:cs="Arial"/>
          <w:b/>
          <w:sz w:val="22"/>
          <w:szCs w:val="22"/>
          <w:lang w:val="en"/>
        </w:rPr>
        <w:t xml:space="preserve"> Committee should ask the UK</w:t>
      </w:r>
      <w:r w:rsidR="0010479D" w:rsidRPr="00387D0A">
        <w:rPr>
          <w:rFonts w:ascii="Arial" w:hAnsi="Arial" w:cs="Arial"/>
          <w:b/>
          <w:sz w:val="22"/>
          <w:szCs w:val="22"/>
          <w:lang w:val="en"/>
        </w:rPr>
        <w:t xml:space="preserve"> </w:t>
      </w:r>
      <w:r w:rsidR="00752422">
        <w:rPr>
          <w:rFonts w:ascii="Arial" w:hAnsi="Arial" w:cs="Arial"/>
          <w:b/>
          <w:sz w:val="22"/>
          <w:szCs w:val="22"/>
          <w:lang w:val="en"/>
        </w:rPr>
        <w:t xml:space="preserve">to </w:t>
      </w:r>
      <w:r w:rsidR="0010479D" w:rsidRPr="00387D0A">
        <w:rPr>
          <w:rFonts w:ascii="Arial" w:hAnsi="Arial" w:cs="Arial"/>
          <w:b/>
          <w:sz w:val="22"/>
          <w:szCs w:val="22"/>
          <w:lang w:val="en"/>
        </w:rPr>
        <w:t>outline the extent to which UK law, policy and practice are compliant with the Istanbul Convention and what more needs to be done to enable the UK to ratify the Istanbul Convention and ensure its effective implementation.</w:t>
      </w:r>
      <w:r w:rsidR="0010479D">
        <w:rPr>
          <w:rStyle w:val="FootnoteReference"/>
          <w:rFonts w:ascii="Arial" w:hAnsi="Arial" w:cs="Arial"/>
          <w:b/>
          <w:sz w:val="22"/>
          <w:szCs w:val="22"/>
          <w:lang w:val="en"/>
        </w:rPr>
        <w:footnoteReference w:id="54"/>
      </w:r>
      <w:r w:rsidR="0010479D" w:rsidRPr="00FF6067">
        <w:rPr>
          <w:rFonts w:ascii="Arial" w:hAnsi="Arial" w:cs="Arial"/>
          <w:b/>
          <w:sz w:val="22"/>
          <w:szCs w:val="22"/>
          <w:lang w:val="en"/>
        </w:rPr>
        <w:t xml:space="preserve"> </w:t>
      </w:r>
      <w:r w:rsidR="0010479D" w:rsidRPr="00553B93">
        <w:rPr>
          <w:rFonts w:ascii="Arial" w:hAnsi="Arial" w:cs="Arial"/>
          <w:b/>
          <w:bCs/>
          <w:sz w:val="22"/>
          <w:szCs w:val="22"/>
        </w:rPr>
        <w:t xml:space="preserve">Information should also be supplied about how the UK Government monitors </w:t>
      </w:r>
      <w:r w:rsidR="004F5F6C">
        <w:rPr>
          <w:rFonts w:ascii="Arial" w:hAnsi="Arial" w:cs="Arial"/>
          <w:b/>
          <w:bCs/>
          <w:sz w:val="22"/>
          <w:szCs w:val="22"/>
        </w:rPr>
        <w:t xml:space="preserve">the delivery of VAWG strategies and services by </w:t>
      </w:r>
      <w:r w:rsidR="0010479D" w:rsidRPr="00553B93">
        <w:rPr>
          <w:rFonts w:ascii="Arial" w:hAnsi="Arial" w:cs="Arial"/>
          <w:b/>
          <w:bCs/>
          <w:sz w:val="22"/>
          <w:szCs w:val="22"/>
        </w:rPr>
        <w:t>local public agencies in England and Wales</w:t>
      </w:r>
      <w:r w:rsidR="00AA3F80">
        <w:rPr>
          <w:rFonts w:ascii="Arial" w:hAnsi="Arial" w:cs="Arial"/>
          <w:b/>
          <w:bCs/>
          <w:sz w:val="22"/>
          <w:szCs w:val="22"/>
        </w:rPr>
        <w:t xml:space="preserve"> </w:t>
      </w:r>
      <w:r w:rsidR="0010479D" w:rsidRPr="00553B93">
        <w:rPr>
          <w:rFonts w:ascii="Arial" w:hAnsi="Arial" w:cs="Arial"/>
          <w:b/>
          <w:bCs/>
          <w:sz w:val="22"/>
          <w:szCs w:val="22"/>
        </w:rPr>
        <w:t>to ensure compliance with the UK’s international human rights obligations, and also the total</w:t>
      </w:r>
      <w:r w:rsidR="0010479D" w:rsidRPr="00FF6067">
        <w:rPr>
          <w:rFonts w:ascii="Arial" w:hAnsi="Arial" w:cs="Arial"/>
          <w:b/>
          <w:bCs/>
          <w:sz w:val="22"/>
          <w:szCs w:val="22"/>
        </w:rPr>
        <w:t xml:space="preserve"> UK public expenditure on implementing the UK’s international human rights obligations in relation to VAWG.</w:t>
      </w:r>
      <w:r w:rsidR="0010479D" w:rsidRPr="00FF6067">
        <w:rPr>
          <w:rStyle w:val="FootnoteReference"/>
          <w:rFonts w:ascii="Arial" w:hAnsi="Arial" w:cs="Arial"/>
          <w:b/>
          <w:bCs/>
          <w:sz w:val="22"/>
          <w:szCs w:val="22"/>
        </w:rPr>
        <w:footnoteReference w:id="55"/>
      </w:r>
    </w:p>
    <w:p w:rsidR="002D1DBF" w:rsidRDefault="002D1DBF" w:rsidP="002D1DBF">
      <w:pPr>
        <w:pStyle w:val="ListParagraph"/>
        <w:rPr>
          <w:rFonts w:ascii="Arial" w:hAnsi="Arial" w:cs="Arial"/>
          <w:sz w:val="22"/>
          <w:szCs w:val="22"/>
        </w:rPr>
      </w:pPr>
    </w:p>
    <w:p w:rsidR="0063694C" w:rsidRDefault="0063694C" w:rsidP="002D1DBF">
      <w:pPr>
        <w:pStyle w:val="ListParagraph"/>
        <w:rPr>
          <w:rFonts w:ascii="Arial" w:hAnsi="Arial" w:cs="Arial"/>
          <w:sz w:val="22"/>
          <w:szCs w:val="22"/>
        </w:rPr>
      </w:pPr>
    </w:p>
    <w:p w:rsidR="0063694C" w:rsidRPr="002D1DBF" w:rsidRDefault="0063694C" w:rsidP="002D1DBF">
      <w:pPr>
        <w:pStyle w:val="ListParagraph"/>
        <w:rPr>
          <w:rFonts w:ascii="Arial" w:hAnsi="Arial" w:cs="Arial"/>
          <w:sz w:val="22"/>
          <w:szCs w:val="22"/>
        </w:rPr>
      </w:pPr>
    </w:p>
    <w:p w:rsidR="002D1DBF" w:rsidRPr="00732103" w:rsidRDefault="002D1DBF" w:rsidP="002D1DBF">
      <w:pPr>
        <w:pStyle w:val="Heading2"/>
      </w:pPr>
      <w:r w:rsidRPr="00732103">
        <w:t>Highest attainable standard of health</w:t>
      </w:r>
      <w:r>
        <w:t xml:space="preserve"> (Articles 11 and 16)</w:t>
      </w:r>
    </w:p>
    <w:p w:rsidR="002D1DBF" w:rsidRPr="00732103" w:rsidRDefault="002D1DBF" w:rsidP="002D1DBF">
      <w:pPr>
        <w:jc w:val="both"/>
        <w:rPr>
          <w:rFonts w:ascii="Arial" w:hAnsi="Arial" w:cs="Arial"/>
          <w:sz w:val="22"/>
          <w:szCs w:val="22"/>
        </w:rPr>
      </w:pPr>
    </w:p>
    <w:p w:rsidR="002D1DBF" w:rsidRPr="00732103" w:rsidRDefault="002D1DBF" w:rsidP="002D1DBF">
      <w:pPr>
        <w:jc w:val="both"/>
        <w:rPr>
          <w:rFonts w:ascii="Arial" w:hAnsi="Arial" w:cs="Arial"/>
          <w:i/>
          <w:sz w:val="22"/>
          <w:szCs w:val="22"/>
        </w:rPr>
      </w:pPr>
      <w:r w:rsidRPr="00BE5B25">
        <w:rPr>
          <w:rFonts w:ascii="Arial" w:hAnsi="Arial" w:cs="Arial"/>
          <w:i/>
          <w:sz w:val="22"/>
          <w:szCs w:val="22"/>
        </w:rPr>
        <w:t>Preventing ill-treatment of patients receiving mental and physical health</w:t>
      </w:r>
      <w:r w:rsidR="004F5F6C">
        <w:rPr>
          <w:rFonts w:ascii="Arial" w:hAnsi="Arial" w:cs="Arial"/>
          <w:i/>
          <w:sz w:val="22"/>
          <w:szCs w:val="22"/>
        </w:rPr>
        <w:t xml:space="preserve"> services</w:t>
      </w:r>
      <w:r w:rsidRPr="00BE5B25">
        <w:rPr>
          <w:rFonts w:ascii="Arial" w:hAnsi="Arial" w:cs="Arial"/>
          <w:i/>
          <w:sz w:val="22"/>
          <w:szCs w:val="22"/>
        </w:rPr>
        <w:t xml:space="preserve"> and social care services</w:t>
      </w:r>
    </w:p>
    <w:p w:rsidR="002D1DBF" w:rsidRDefault="002D1DBF" w:rsidP="002D1DBF">
      <w:pPr>
        <w:jc w:val="both"/>
        <w:rPr>
          <w:rFonts w:ascii="Arial" w:hAnsi="Arial" w:cs="Arial"/>
          <w:i/>
          <w:sz w:val="22"/>
          <w:szCs w:val="22"/>
        </w:rPr>
      </w:pPr>
    </w:p>
    <w:p w:rsidR="002D1DBF" w:rsidRPr="00C169C3" w:rsidRDefault="002D1DBF" w:rsidP="00E42E2D">
      <w:pPr>
        <w:pStyle w:val="CM8"/>
        <w:numPr>
          <w:ilvl w:val="0"/>
          <w:numId w:val="25"/>
        </w:numPr>
        <w:jc w:val="both"/>
        <w:rPr>
          <w:rFonts w:ascii="Arial" w:hAnsi="Arial" w:cs="Arial"/>
          <w:bCs/>
          <w:i/>
          <w:color w:val="000000"/>
          <w:sz w:val="22"/>
          <w:szCs w:val="22"/>
        </w:rPr>
      </w:pPr>
      <w:r>
        <w:rPr>
          <w:rFonts w:ascii="Arial" w:hAnsi="Arial" w:cs="Arial"/>
          <w:color w:val="000000"/>
          <w:sz w:val="22"/>
          <w:szCs w:val="22"/>
        </w:rPr>
        <w:t>In 2013, the Committee</w:t>
      </w:r>
      <w:r w:rsidRPr="009515C7">
        <w:rPr>
          <w:rFonts w:ascii="Arial" w:hAnsi="Arial" w:cs="Arial"/>
          <w:color w:val="000000"/>
          <w:sz w:val="22"/>
          <w:szCs w:val="22"/>
        </w:rPr>
        <w:t xml:space="preserve"> noted the findings of Mid Staffordshire NHS Foundation Trust Public Inquiries (‘Francis Inquiries’) published in 2010 and 2013, which </w:t>
      </w:r>
      <w:r w:rsidRPr="00C169C3">
        <w:rPr>
          <w:rFonts w:ascii="Arial" w:hAnsi="Arial" w:cs="Arial"/>
          <w:i/>
          <w:color w:val="000000"/>
          <w:sz w:val="22"/>
          <w:szCs w:val="22"/>
        </w:rPr>
        <w:t>“highlight the failure of the National Health System’s managers and regulators to identify and act upon the problems at Mid Staffordshire hospital trust that led to between 400 and 1,200 deaths between 2005 and 2009.”</w:t>
      </w:r>
      <w:r w:rsidRPr="009515C7">
        <w:rPr>
          <w:rFonts w:ascii="Arial" w:hAnsi="Arial" w:cs="Arial"/>
          <w:color w:val="000000"/>
          <w:sz w:val="22"/>
          <w:szCs w:val="22"/>
        </w:rPr>
        <w:t xml:space="preserve"> The Committee notes with particular concern the findings that the </w:t>
      </w:r>
      <w:r>
        <w:rPr>
          <w:rFonts w:ascii="Arial" w:hAnsi="Arial" w:cs="Arial"/>
          <w:i/>
          <w:color w:val="000000"/>
          <w:sz w:val="22"/>
          <w:szCs w:val="22"/>
        </w:rPr>
        <w:t>“</w:t>
      </w:r>
      <w:r w:rsidRPr="00C169C3">
        <w:rPr>
          <w:rFonts w:ascii="Arial" w:hAnsi="Arial" w:cs="Arial"/>
          <w:i/>
          <w:color w:val="000000"/>
          <w:sz w:val="22"/>
          <w:szCs w:val="22"/>
        </w:rPr>
        <w:t>system […] ignored the warning signs of poor care and put corporate self</w:t>
      </w:r>
      <w:r w:rsidR="00C67192">
        <w:rPr>
          <w:rFonts w:ascii="Arial" w:hAnsi="Arial" w:cs="Arial"/>
          <w:i/>
          <w:color w:val="000000"/>
          <w:sz w:val="22"/>
          <w:szCs w:val="22"/>
        </w:rPr>
        <w:t>-</w:t>
      </w:r>
      <w:r w:rsidRPr="00C169C3">
        <w:rPr>
          <w:rFonts w:ascii="Arial" w:hAnsi="Arial" w:cs="Arial"/>
          <w:i/>
          <w:color w:val="000000"/>
          <w:sz w:val="22"/>
          <w:szCs w:val="22"/>
        </w:rPr>
        <w:t>interest and cost control ahead of patients and their safety</w:t>
      </w:r>
      <w:r>
        <w:rPr>
          <w:rFonts w:ascii="Arial" w:hAnsi="Arial" w:cs="Arial"/>
          <w:i/>
          <w:color w:val="000000"/>
          <w:sz w:val="22"/>
          <w:szCs w:val="22"/>
        </w:rPr>
        <w:t>.”</w:t>
      </w:r>
      <w:r w:rsidRPr="009515C7">
        <w:rPr>
          <w:rFonts w:ascii="Arial" w:hAnsi="Arial" w:cs="Arial"/>
          <w:color w:val="000000"/>
          <w:sz w:val="22"/>
          <w:szCs w:val="22"/>
        </w:rPr>
        <w:t xml:space="preserve"> </w:t>
      </w:r>
      <w:r>
        <w:rPr>
          <w:rFonts w:ascii="Arial" w:hAnsi="Arial" w:cs="Arial"/>
          <w:bCs/>
          <w:color w:val="000000"/>
          <w:sz w:val="22"/>
          <w:szCs w:val="22"/>
        </w:rPr>
        <w:t>The Committee called</w:t>
      </w:r>
      <w:r w:rsidRPr="009515C7">
        <w:rPr>
          <w:rFonts w:ascii="Arial" w:hAnsi="Arial" w:cs="Arial"/>
          <w:bCs/>
          <w:color w:val="000000"/>
          <w:sz w:val="22"/>
          <w:szCs w:val="22"/>
        </w:rPr>
        <w:t xml:space="preserve"> upon the UK to </w:t>
      </w:r>
      <w:r w:rsidRPr="00C169C3">
        <w:rPr>
          <w:rFonts w:ascii="Arial" w:hAnsi="Arial" w:cs="Arial"/>
          <w:bCs/>
          <w:i/>
          <w:color w:val="000000"/>
          <w:sz w:val="22"/>
          <w:szCs w:val="22"/>
        </w:rPr>
        <w:t>“establish a structure of fundamental standards and measures of compliance in order to prevent ill-treatment of patients receiving health care services.”</w:t>
      </w:r>
      <w:r w:rsidRPr="00C169C3">
        <w:rPr>
          <w:rStyle w:val="FootnoteReference"/>
          <w:rFonts w:ascii="Arial" w:hAnsi="Arial" w:cs="Arial"/>
          <w:bCs/>
          <w:i/>
          <w:color w:val="000000"/>
          <w:sz w:val="22"/>
          <w:szCs w:val="22"/>
        </w:rPr>
        <w:footnoteReference w:id="56"/>
      </w:r>
    </w:p>
    <w:p w:rsidR="002D1DBF" w:rsidRPr="00BC340B" w:rsidRDefault="002D1DBF" w:rsidP="00E42E2D">
      <w:pPr>
        <w:pStyle w:val="ListParagraph"/>
        <w:numPr>
          <w:ilvl w:val="0"/>
          <w:numId w:val="25"/>
        </w:numPr>
        <w:tabs>
          <w:tab w:val="left" w:pos="720"/>
        </w:tabs>
        <w:autoSpaceDE w:val="0"/>
        <w:autoSpaceDN w:val="0"/>
        <w:adjustRightInd w:val="0"/>
        <w:jc w:val="both"/>
        <w:rPr>
          <w:rFonts w:ascii="Arial" w:eastAsia="Calibri" w:hAnsi="Arial" w:cs="Arial"/>
          <w:i/>
          <w:color w:val="000000"/>
          <w:sz w:val="22"/>
          <w:szCs w:val="22"/>
        </w:rPr>
      </w:pPr>
      <w:r>
        <w:rPr>
          <w:rFonts w:ascii="Arial" w:eastAsia="Calibri" w:hAnsi="Arial" w:cs="Arial"/>
          <w:color w:val="000000"/>
          <w:sz w:val="22"/>
          <w:szCs w:val="22"/>
        </w:rPr>
        <w:t xml:space="preserve">The Scottish Government response to addressing many of the issues raised by the </w:t>
      </w:r>
      <w:r w:rsidR="00C52F7B">
        <w:rPr>
          <w:rFonts w:ascii="Arial" w:eastAsia="Calibri" w:hAnsi="Arial" w:cs="Arial"/>
          <w:color w:val="000000"/>
          <w:sz w:val="22"/>
          <w:szCs w:val="22"/>
        </w:rPr>
        <w:t>Francis Inquiries</w:t>
      </w:r>
      <w:r>
        <w:rPr>
          <w:rFonts w:ascii="Arial" w:eastAsia="Calibri" w:hAnsi="Arial" w:cs="Arial"/>
          <w:color w:val="000000"/>
          <w:sz w:val="22"/>
          <w:szCs w:val="22"/>
        </w:rPr>
        <w:t xml:space="preserve"> is included within </w:t>
      </w:r>
      <w:r w:rsidRPr="00BC340B">
        <w:rPr>
          <w:rFonts w:ascii="Arial" w:eastAsia="Calibri" w:hAnsi="Arial" w:cs="Arial"/>
          <w:i/>
          <w:color w:val="000000"/>
          <w:sz w:val="22"/>
          <w:szCs w:val="22"/>
        </w:rPr>
        <w:t>A Route Map to the 2020 Vision for Health and Social Care</w:t>
      </w:r>
      <w:r>
        <w:rPr>
          <w:rFonts w:ascii="Arial" w:eastAsia="Calibri" w:hAnsi="Arial" w:cs="Arial"/>
          <w:color w:val="000000"/>
          <w:sz w:val="22"/>
          <w:szCs w:val="22"/>
        </w:rPr>
        <w:t>.</w:t>
      </w:r>
      <w:r>
        <w:rPr>
          <w:rStyle w:val="FootnoteReference"/>
          <w:rFonts w:ascii="Arial" w:eastAsia="Calibri" w:hAnsi="Arial" w:cs="Arial"/>
          <w:color w:val="000000"/>
          <w:sz w:val="22"/>
          <w:szCs w:val="22"/>
        </w:rPr>
        <w:footnoteReference w:id="57"/>
      </w:r>
      <w:r>
        <w:rPr>
          <w:rFonts w:ascii="Arial" w:eastAsia="Calibri" w:hAnsi="Arial" w:cs="Arial"/>
          <w:color w:val="000000"/>
          <w:sz w:val="22"/>
          <w:szCs w:val="22"/>
        </w:rPr>
        <w:t xml:space="preserve"> </w:t>
      </w:r>
    </w:p>
    <w:p w:rsidR="002D1DBF" w:rsidRPr="00C169C3" w:rsidRDefault="002D1DBF" w:rsidP="00E42E2D">
      <w:pPr>
        <w:pStyle w:val="ListParagraph"/>
        <w:numPr>
          <w:ilvl w:val="0"/>
          <w:numId w:val="25"/>
        </w:numPr>
        <w:tabs>
          <w:tab w:val="left" w:pos="720"/>
        </w:tabs>
        <w:autoSpaceDE w:val="0"/>
        <w:autoSpaceDN w:val="0"/>
        <w:adjustRightInd w:val="0"/>
        <w:jc w:val="both"/>
        <w:rPr>
          <w:rFonts w:ascii="Arial" w:eastAsia="Calibri" w:hAnsi="Arial" w:cs="Arial"/>
          <w:i/>
          <w:color w:val="000000"/>
          <w:sz w:val="22"/>
          <w:szCs w:val="22"/>
        </w:rPr>
      </w:pPr>
      <w:r w:rsidRPr="00352643">
        <w:rPr>
          <w:rFonts w:ascii="Arial" w:eastAsia="Calibri" w:hAnsi="Arial" w:cs="Arial"/>
          <w:color w:val="000000"/>
          <w:sz w:val="22"/>
          <w:szCs w:val="22"/>
        </w:rPr>
        <w:t xml:space="preserve">In February 2015, the </w:t>
      </w:r>
      <w:r>
        <w:rPr>
          <w:rFonts w:ascii="Arial" w:eastAsia="Calibri" w:hAnsi="Arial" w:cs="Arial"/>
          <w:color w:val="000000"/>
          <w:sz w:val="22"/>
          <w:szCs w:val="22"/>
        </w:rPr>
        <w:t xml:space="preserve">UK </w:t>
      </w:r>
      <w:r w:rsidRPr="00352643">
        <w:rPr>
          <w:rFonts w:ascii="Arial" w:eastAsia="Calibri" w:hAnsi="Arial" w:cs="Arial"/>
          <w:color w:val="000000"/>
          <w:sz w:val="22"/>
          <w:szCs w:val="22"/>
        </w:rPr>
        <w:t xml:space="preserve">Government published </w:t>
      </w:r>
      <w:r w:rsidRPr="00352643">
        <w:rPr>
          <w:rFonts w:ascii="Arial" w:eastAsia="Calibri" w:hAnsi="Arial" w:cs="Arial"/>
          <w:i/>
          <w:color w:val="000000"/>
          <w:sz w:val="22"/>
          <w:szCs w:val="22"/>
        </w:rPr>
        <w:t>Culture Change in the NHS</w:t>
      </w:r>
      <w:r>
        <w:rPr>
          <w:rFonts w:ascii="Arial" w:eastAsia="Calibri" w:hAnsi="Arial" w:cs="Arial"/>
          <w:color w:val="000000"/>
          <w:sz w:val="22"/>
          <w:szCs w:val="22"/>
        </w:rPr>
        <w:t xml:space="preserve"> (in England),</w:t>
      </w:r>
      <w:r w:rsidRPr="00352643">
        <w:rPr>
          <w:rFonts w:ascii="Arial" w:eastAsia="Calibri" w:hAnsi="Arial" w:cs="Arial"/>
          <w:color w:val="000000"/>
          <w:sz w:val="22"/>
          <w:szCs w:val="22"/>
        </w:rPr>
        <w:t xml:space="preserve"> outlining progress in implementing </w:t>
      </w:r>
      <w:r w:rsidR="00FA0947">
        <w:rPr>
          <w:rFonts w:ascii="Arial" w:eastAsia="Calibri" w:hAnsi="Arial" w:cs="Arial"/>
          <w:color w:val="000000"/>
          <w:sz w:val="22"/>
          <w:szCs w:val="22"/>
        </w:rPr>
        <w:t>the Francis Inquiries</w:t>
      </w:r>
      <w:r w:rsidRPr="00352643">
        <w:rPr>
          <w:rFonts w:ascii="Arial" w:eastAsia="Calibri" w:hAnsi="Arial" w:cs="Arial"/>
          <w:color w:val="000000"/>
          <w:sz w:val="22"/>
          <w:szCs w:val="22"/>
        </w:rPr>
        <w:t xml:space="preserve"> recommendations. </w:t>
      </w:r>
      <w:r>
        <w:rPr>
          <w:rFonts w:ascii="Arial" w:eastAsia="Calibri" w:hAnsi="Arial" w:cs="Arial"/>
          <w:color w:val="000000"/>
          <w:sz w:val="22"/>
          <w:szCs w:val="22"/>
        </w:rPr>
        <w:t>The UK Government states that the</w:t>
      </w:r>
      <w:r w:rsidRPr="00352643">
        <w:rPr>
          <w:rFonts w:ascii="Arial" w:eastAsia="Calibri" w:hAnsi="Arial" w:cs="Arial"/>
          <w:color w:val="000000"/>
          <w:sz w:val="22"/>
          <w:szCs w:val="22"/>
        </w:rPr>
        <w:t xml:space="preserve"> report shows that </w:t>
      </w:r>
      <w:r w:rsidRPr="00C169C3">
        <w:rPr>
          <w:rFonts w:ascii="Arial" w:eastAsia="Calibri" w:hAnsi="Arial" w:cs="Arial"/>
          <w:i/>
          <w:color w:val="000000"/>
          <w:sz w:val="22"/>
          <w:szCs w:val="22"/>
        </w:rPr>
        <w:t>“for the overwhelming majority of recommendations, progress has either been substantial, or the relevant action is now complete.”</w:t>
      </w:r>
      <w:r w:rsidRPr="00C169C3">
        <w:rPr>
          <w:rStyle w:val="FootnoteReference"/>
          <w:rFonts w:ascii="Arial" w:eastAsia="Calibri" w:hAnsi="Arial" w:cs="Arial"/>
          <w:i/>
          <w:color w:val="000000"/>
          <w:sz w:val="22"/>
          <w:szCs w:val="22"/>
        </w:rPr>
        <w:footnoteReference w:id="58"/>
      </w:r>
    </w:p>
    <w:p w:rsidR="002D1DBF" w:rsidRPr="00C169C3" w:rsidRDefault="002D1DBF" w:rsidP="002D1DBF">
      <w:pPr>
        <w:pStyle w:val="Default"/>
        <w:ind w:left="360"/>
        <w:jc w:val="both"/>
        <w:rPr>
          <w:color w:val="auto"/>
        </w:rPr>
      </w:pPr>
    </w:p>
    <w:p w:rsidR="002D1DBF" w:rsidRPr="00C97597" w:rsidRDefault="002D1DBF" w:rsidP="00E42E2D">
      <w:pPr>
        <w:pStyle w:val="Default"/>
        <w:numPr>
          <w:ilvl w:val="0"/>
          <w:numId w:val="25"/>
        </w:numPr>
        <w:jc w:val="both"/>
        <w:rPr>
          <w:color w:val="auto"/>
        </w:rPr>
      </w:pPr>
      <w:r>
        <w:rPr>
          <w:b/>
          <w:color w:val="auto"/>
          <w:sz w:val="21"/>
          <w:szCs w:val="21"/>
          <w:lang w:val="en"/>
        </w:rPr>
        <w:t xml:space="preserve">Recommendation: </w:t>
      </w:r>
      <w:r w:rsidRPr="00C97597">
        <w:rPr>
          <w:b/>
          <w:color w:val="auto"/>
          <w:sz w:val="21"/>
          <w:szCs w:val="21"/>
          <w:lang w:val="en"/>
        </w:rPr>
        <w:t>The</w:t>
      </w:r>
      <w:r>
        <w:rPr>
          <w:b/>
          <w:color w:val="auto"/>
          <w:sz w:val="21"/>
          <w:szCs w:val="21"/>
          <w:lang w:val="en"/>
        </w:rPr>
        <w:t xml:space="preserve"> Committee should ask the UK</w:t>
      </w:r>
      <w:r w:rsidRPr="00C97597">
        <w:rPr>
          <w:b/>
          <w:color w:val="auto"/>
          <w:sz w:val="21"/>
          <w:szCs w:val="21"/>
          <w:lang w:val="en"/>
        </w:rPr>
        <w:t xml:space="preserve"> </w:t>
      </w:r>
      <w:r>
        <w:rPr>
          <w:b/>
          <w:color w:val="auto"/>
          <w:sz w:val="21"/>
          <w:szCs w:val="21"/>
          <w:lang w:val="en"/>
        </w:rPr>
        <w:t>to</w:t>
      </w:r>
      <w:r w:rsidRPr="00C97597">
        <w:rPr>
          <w:b/>
          <w:color w:val="auto"/>
          <w:sz w:val="21"/>
          <w:szCs w:val="21"/>
          <w:lang w:val="en"/>
        </w:rPr>
        <w:t xml:space="preserve"> outline what </w:t>
      </w:r>
      <w:r>
        <w:rPr>
          <w:b/>
          <w:color w:val="auto"/>
          <w:sz w:val="21"/>
          <w:szCs w:val="21"/>
          <w:lang w:val="en"/>
        </w:rPr>
        <w:t xml:space="preserve">steps </w:t>
      </w:r>
      <w:r w:rsidRPr="00C97597">
        <w:rPr>
          <w:b/>
          <w:color w:val="auto"/>
          <w:sz w:val="21"/>
          <w:szCs w:val="21"/>
          <w:lang w:val="en"/>
        </w:rPr>
        <w:t>it has</w:t>
      </w:r>
      <w:r>
        <w:rPr>
          <w:b/>
          <w:color w:val="auto"/>
          <w:sz w:val="21"/>
          <w:szCs w:val="21"/>
          <w:lang w:val="en"/>
        </w:rPr>
        <w:t xml:space="preserve"> taken </w:t>
      </w:r>
      <w:r w:rsidR="00C85350">
        <w:rPr>
          <w:b/>
          <w:color w:val="auto"/>
          <w:sz w:val="21"/>
          <w:szCs w:val="21"/>
          <w:lang w:val="en"/>
        </w:rPr>
        <w:t xml:space="preserve">since February 2015 </w:t>
      </w:r>
      <w:r>
        <w:rPr>
          <w:b/>
          <w:color w:val="auto"/>
          <w:sz w:val="21"/>
          <w:szCs w:val="21"/>
          <w:lang w:val="en"/>
        </w:rPr>
        <w:t>to</w:t>
      </w:r>
      <w:r w:rsidRPr="00565B5E">
        <w:rPr>
          <w:b/>
          <w:color w:val="auto"/>
          <w:sz w:val="21"/>
          <w:szCs w:val="21"/>
          <w:lang w:val="en"/>
        </w:rPr>
        <w:t xml:space="preserve"> </w:t>
      </w:r>
      <w:r>
        <w:rPr>
          <w:b/>
          <w:sz w:val="22"/>
          <w:szCs w:val="22"/>
        </w:rPr>
        <w:t>prevent</w:t>
      </w:r>
      <w:r w:rsidRPr="00565B5E">
        <w:rPr>
          <w:b/>
          <w:sz w:val="22"/>
          <w:szCs w:val="22"/>
        </w:rPr>
        <w:t xml:space="preserve"> ill-treatment of patients receiving mental and physical health, and social care services</w:t>
      </w:r>
      <w:r w:rsidRPr="00C97597">
        <w:rPr>
          <w:b/>
          <w:color w:val="auto"/>
          <w:sz w:val="21"/>
          <w:szCs w:val="21"/>
          <w:lang w:val="en"/>
        </w:rPr>
        <w:t>.</w:t>
      </w:r>
      <w:r w:rsidRPr="00C97597">
        <w:rPr>
          <w:rStyle w:val="FootnoteReference"/>
          <w:b/>
          <w:sz w:val="21"/>
          <w:szCs w:val="21"/>
          <w:lang w:val="en"/>
        </w:rPr>
        <w:footnoteReference w:id="59"/>
      </w:r>
    </w:p>
    <w:p w:rsidR="009A71AB" w:rsidRPr="00732103" w:rsidRDefault="009A71AB" w:rsidP="002D1DBF">
      <w:pPr>
        <w:jc w:val="both"/>
        <w:rPr>
          <w:rFonts w:ascii="Arial" w:hAnsi="Arial" w:cs="Arial"/>
          <w:i/>
          <w:sz w:val="22"/>
          <w:szCs w:val="22"/>
        </w:rPr>
      </w:pPr>
    </w:p>
    <w:p w:rsidR="002D1DBF" w:rsidRPr="00732103" w:rsidRDefault="002D1DBF" w:rsidP="002D1DBF">
      <w:pPr>
        <w:jc w:val="both"/>
        <w:rPr>
          <w:sz w:val="22"/>
          <w:szCs w:val="22"/>
        </w:rPr>
      </w:pPr>
      <w:r w:rsidRPr="00355678">
        <w:rPr>
          <w:rFonts w:ascii="Arial" w:hAnsi="Arial" w:cs="Arial"/>
          <w:i/>
          <w:sz w:val="22"/>
          <w:szCs w:val="22"/>
        </w:rPr>
        <w:t xml:space="preserve">Directing children with mental </w:t>
      </w:r>
      <w:r>
        <w:rPr>
          <w:rFonts w:ascii="Arial" w:hAnsi="Arial" w:cs="Arial"/>
          <w:i/>
          <w:sz w:val="22"/>
          <w:szCs w:val="22"/>
        </w:rPr>
        <w:t>health conditions</w:t>
      </w:r>
      <w:r w:rsidRPr="00355678">
        <w:rPr>
          <w:rFonts w:ascii="Arial" w:hAnsi="Arial" w:cs="Arial"/>
          <w:i/>
          <w:sz w:val="22"/>
          <w:szCs w:val="22"/>
        </w:rPr>
        <w:t xml:space="preserve"> to appropriate health institutions rather than </w:t>
      </w:r>
      <w:r w:rsidR="00FF2101">
        <w:rPr>
          <w:rFonts w:ascii="Arial" w:hAnsi="Arial" w:cs="Arial"/>
          <w:i/>
          <w:sz w:val="22"/>
          <w:szCs w:val="22"/>
        </w:rPr>
        <w:t xml:space="preserve">detaining them </w:t>
      </w:r>
      <w:r w:rsidRPr="00355678">
        <w:rPr>
          <w:rFonts w:ascii="Arial" w:hAnsi="Arial" w:cs="Arial"/>
          <w:i/>
          <w:sz w:val="22"/>
          <w:szCs w:val="22"/>
        </w:rPr>
        <w:t>in police custody</w:t>
      </w:r>
    </w:p>
    <w:p w:rsidR="002D1DBF" w:rsidRDefault="002D1DBF" w:rsidP="002D1DBF">
      <w:pPr>
        <w:rPr>
          <w:rFonts w:ascii="Arial" w:hAnsi="Arial" w:cs="Arial"/>
          <w:b/>
          <w:bCs/>
          <w:color w:val="000000"/>
          <w:sz w:val="22"/>
          <w:szCs w:val="22"/>
        </w:rPr>
      </w:pPr>
    </w:p>
    <w:p w:rsidR="002D1DBF" w:rsidRPr="00E52201" w:rsidRDefault="002D1DBF" w:rsidP="009A71AB">
      <w:pPr>
        <w:pStyle w:val="ListParagraph"/>
        <w:numPr>
          <w:ilvl w:val="0"/>
          <w:numId w:val="25"/>
        </w:numPr>
        <w:jc w:val="both"/>
        <w:rPr>
          <w:rFonts w:ascii="Arial" w:hAnsi="Arial" w:cs="Arial"/>
          <w:sz w:val="22"/>
          <w:szCs w:val="22"/>
        </w:rPr>
      </w:pPr>
      <w:r>
        <w:rPr>
          <w:rFonts w:ascii="Arial" w:hAnsi="Arial" w:cs="Arial"/>
          <w:bCs/>
          <w:color w:val="000000"/>
          <w:sz w:val="22"/>
          <w:szCs w:val="22"/>
        </w:rPr>
        <w:t xml:space="preserve">In 2013, the Committee </w:t>
      </w:r>
      <w:r>
        <w:rPr>
          <w:rFonts w:ascii="Arial" w:hAnsi="Arial" w:cs="Arial"/>
          <w:color w:val="000000"/>
          <w:sz w:val="22"/>
          <w:szCs w:val="22"/>
        </w:rPr>
        <w:t xml:space="preserve">was </w:t>
      </w:r>
      <w:r w:rsidRPr="00C169C3">
        <w:rPr>
          <w:rFonts w:ascii="Arial" w:hAnsi="Arial" w:cs="Arial"/>
          <w:i/>
          <w:color w:val="000000"/>
          <w:sz w:val="22"/>
          <w:szCs w:val="22"/>
        </w:rPr>
        <w:t xml:space="preserve">“deeply concerned that children with mental disabilities can sometimes be placed in police custody in England for </w:t>
      </w:r>
      <w:r w:rsidR="00AA3F80">
        <w:rPr>
          <w:rFonts w:ascii="Arial" w:hAnsi="Arial" w:cs="Arial"/>
          <w:i/>
          <w:color w:val="000000"/>
          <w:sz w:val="22"/>
          <w:szCs w:val="22"/>
        </w:rPr>
        <w:t>his or her</w:t>
      </w:r>
      <w:r w:rsidR="004B7AC5">
        <w:rPr>
          <w:rFonts w:ascii="Arial" w:hAnsi="Arial" w:cs="Arial"/>
          <w:i/>
          <w:color w:val="000000"/>
          <w:sz w:val="22"/>
          <w:szCs w:val="22"/>
        </w:rPr>
        <w:t xml:space="preserve"> ‘</w:t>
      </w:r>
      <w:r w:rsidRPr="00C169C3">
        <w:rPr>
          <w:rFonts w:ascii="Arial" w:hAnsi="Arial" w:cs="Arial"/>
          <w:i/>
          <w:color w:val="000000"/>
          <w:sz w:val="22"/>
          <w:szCs w:val="22"/>
        </w:rPr>
        <w:t>own interest or</w:t>
      </w:r>
      <w:r w:rsidR="004B7AC5">
        <w:rPr>
          <w:rFonts w:ascii="Arial" w:hAnsi="Arial" w:cs="Arial"/>
          <w:i/>
          <w:color w:val="000000"/>
          <w:sz w:val="22"/>
          <w:szCs w:val="22"/>
        </w:rPr>
        <w:t xml:space="preserve"> for the protection of others’</w:t>
      </w:r>
      <w:r w:rsidRPr="00C169C3">
        <w:rPr>
          <w:rFonts w:ascii="Arial" w:hAnsi="Arial" w:cs="Arial"/>
          <w:i/>
          <w:color w:val="000000"/>
          <w:sz w:val="22"/>
          <w:szCs w:val="22"/>
        </w:rPr>
        <w:t xml:space="preserve"> </w:t>
      </w:r>
      <w:r w:rsidRPr="00F9119D">
        <w:rPr>
          <w:rFonts w:ascii="Arial" w:hAnsi="Arial" w:cs="Arial"/>
          <w:color w:val="000000"/>
          <w:sz w:val="22"/>
          <w:szCs w:val="22"/>
        </w:rPr>
        <w:t>(art</w:t>
      </w:r>
      <w:r w:rsidR="009E34F7">
        <w:rPr>
          <w:rFonts w:ascii="Arial" w:hAnsi="Arial" w:cs="Arial"/>
          <w:color w:val="000000"/>
          <w:sz w:val="22"/>
          <w:szCs w:val="22"/>
        </w:rPr>
        <w:t>icles</w:t>
      </w:r>
      <w:r w:rsidRPr="00F9119D">
        <w:rPr>
          <w:rFonts w:ascii="Arial" w:hAnsi="Arial" w:cs="Arial"/>
          <w:color w:val="000000"/>
          <w:sz w:val="22"/>
          <w:szCs w:val="22"/>
        </w:rPr>
        <w:t xml:space="preserve"> 11 and 16)</w:t>
      </w:r>
      <w:r>
        <w:rPr>
          <w:rFonts w:ascii="Arial" w:hAnsi="Arial" w:cs="Arial"/>
          <w:color w:val="000000"/>
          <w:sz w:val="22"/>
          <w:szCs w:val="22"/>
        </w:rPr>
        <w:t xml:space="preserve">”. It </w:t>
      </w:r>
      <w:r w:rsidRPr="00F9119D">
        <w:rPr>
          <w:rFonts w:ascii="Arial" w:hAnsi="Arial" w:cs="Arial"/>
          <w:bCs/>
          <w:color w:val="000000"/>
          <w:sz w:val="22"/>
          <w:szCs w:val="22"/>
        </w:rPr>
        <w:t xml:space="preserve">concluded that the </w:t>
      </w:r>
      <w:r>
        <w:rPr>
          <w:rFonts w:ascii="Arial" w:hAnsi="Arial" w:cs="Arial"/>
          <w:bCs/>
          <w:color w:val="000000"/>
          <w:sz w:val="22"/>
          <w:szCs w:val="22"/>
        </w:rPr>
        <w:t>UK</w:t>
      </w:r>
      <w:r w:rsidRPr="00F9119D">
        <w:rPr>
          <w:rFonts w:ascii="Arial" w:hAnsi="Arial" w:cs="Arial"/>
          <w:bCs/>
          <w:color w:val="000000"/>
          <w:sz w:val="22"/>
          <w:szCs w:val="22"/>
        </w:rPr>
        <w:t xml:space="preserve"> </w:t>
      </w:r>
      <w:r w:rsidRPr="00C169C3">
        <w:rPr>
          <w:rFonts w:ascii="Arial" w:hAnsi="Arial" w:cs="Arial"/>
          <w:bCs/>
          <w:i/>
          <w:color w:val="000000"/>
          <w:sz w:val="22"/>
          <w:szCs w:val="22"/>
        </w:rPr>
        <w:t>“should ensure that children with mental disabilities shall in no case be detained in police custody but directed to appropriate health institutions. Detainees who require psychiatric supervision and treatment should be provided with adequate accommodation and psychosocial support care.”</w:t>
      </w:r>
      <w:r w:rsidRPr="008F745A">
        <w:rPr>
          <w:rStyle w:val="FootnoteReference"/>
          <w:rFonts w:ascii="Arial" w:hAnsi="Arial" w:cs="Arial"/>
          <w:bCs/>
          <w:color w:val="000000"/>
          <w:sz w:val="22"/>
          <w:szCs w:val="22"/>
        </w:rPr>
        <w:footnoteReference w:id="60"/>
      </w:r>
    </w:p>
    <w:p w:rsidR="002D1DBF" w:rsidRPr="00C169C3" w:rsidRDefault="00AA3F80" w:rsidP="009A71AB">
      <w:pPr>
        <w:pStyle w:val="ListParagraph"/>
        <w:numPr>
          <w:ilvl w:val="0"/>
          <w:numId w:val="25"/>
        </w:numPr>
        <w:autoSpaceDE w:val="0"/>
        <w:autoSpaceDN w:val="0"/>
        <w:adjustRightInd w:val="0"/>
        <w:jc w:val="both"/>
        <w:rPr>
          <w:rFonts w:ascii="Arial" w:eastAsia="Calibri" w:hAnsi="Arial" w:cs="Arial"/>
          <w:color w:val="000000"/>
          <w:sz w:val="22"/>
          <w:szCs w:val="22"/>
        </w:rPr>
      </w:pPr>
      <w:r>
        <w:rPr>
          <w:rFonts w:ascii="Arial" w:hAnsi="Arial" w:cs="Arial"/>
          <w:color w:val="000000"/>
          <w:sz w:val="22"/>
          <w:szCs w:val="22"/>
        </w:rPr>
        <w:t>C</w:t>
      </w:r>
      <w:r w:rsidR="002D1DBF" w:rsidRPr="008F745A">
        <w:rPr>
          <w:rFonts w:ascii="Arial" w:hAnsi="Arial" w:cs="Arial"/>
          <w:color w:val="000000"/>
          <w:sz w:val="22"/>
          <w:szCs w:val="22"/>
        </w:rPr>
        <w:t>hildren and young people with mental health conditions have sometimes experienced high referral thresholds or long waiting times for specialist services, and have in some cases been admitted to hospitals a long way from home (House of Commons Health Committee, 2014). As a result, the UK Government stated that it was making improvements to child and adolescent mental health services (CAMHS) and improving access to therapies for children.</w:t>
      </w:r>
      <w:r w:rsidR="002D1DBF" w:rsidRPr="008F745A">
        <w:rPr>
          <w:rStyle w:val="FootnoteReference"/>
          <w:rFonts w:ascii="Arial" w:hAnsi="Arial" w:cs="Arial"/>
          <w:color w:val="000000"/>
          <w:sz w:val="22"/>
          <w:szCs w:val="22"/>
        </w:rPr>
        <w:footnoteReference w:id="61"/>
      </w:r>
      <w:r w:rsidR="002D1DBF">
        <w:rPr>
          <w:rFonts w:ascii="Arial" w:hAnsi="Arial" w:cs="Arial"/>
          <w:color w:val="000000"/>
          <w:sz w:val="22"/>
          <w:szCs w:val="22"/>
        </w:rPr>
        <w:t xml:space="preserve"> </w:t>
      </w:r>
    </w:p>
    <w:p w:rsidR="002D1DBF" w:rsidRPr="00BC340B" w:rsidRDefault="002D1DBF" w:rsidP="009A71AB">
      <w:pPr>
        <w:pStyle w:val="ListParagraph"/>
        <w:numPr>
          <w:ilvl w:val="0"/>
          <w:numId w:val="25"/>
        </w:numPr>
        <w:autoSpaceDE w:val="0"/>
        <w:autoSpaceDN w:val="0"/>
        <w:adjustRightInd w:val="0"/>
        <w:jc w:val="both"/>
        <w:rPr>
          <w:rFonts w:ascii="Arial" w:eastAsia="Calibri" w:hAnsi="Arial" w:cs="Arial"/>
          <w:color w:val="000000"/>
          <w:sz w:val="22"/>
          <w:szCs w:val="22"/>
        </w:rPr>
      </w:pPr>
      <w:r>
        <w:rPr>
          <w:rFonts w:ascii="Arial" w:hAnsi="Arial" w:cs="Arial"/>
          <w:color w:val="000000"/>
          <w:sz w:val="22"/>
          <w:szCs w:val="22"/>
        </w:rPr>
        <w:t>In Scotland, separate targets were introduced relating to access to specialist CAMHS. From December 2014, the target is a maximum 18 weeks wait. Recent published data showed that 73% of those who started their treatment in the period July to September 2015 had been waiting less than 18 weeks.</w:t>
      </w:r>
      <w:r>
        <w:rPr>
          <w:rStyle w:val="FootnoteReference"/>
          <w:rFonts w:ascii="Arial" w:hAnsi="Arial" w:cs="Arial"/>
          <w:color w:val="000000"/>
          <w:sz w:val="22"/>
          <w:szCs w:val="22"/>
        </w:rPr>
        <w:footnoteReference w:id="62"/>
      </w:r>
      <w:r>
        <w:rPr>
          <w:rFonts w:ascii="Arial" w:hAnsi="Arial" w:cs="Arial"/>
          <w:color w:val="000000"/>
          <w:sz w:val="22"/>
          <w:szCs w:val="22"/>
        </w:rPr>
        <w:t xml:space="preserve"> </w:t>
      </w:r>
    </w:p>
    <w:p w:rsidR="002D1DBF" w:rsidRPr="007972B9" w:rsidRDefault="002D1DBF" w:rsidP="002D1DBF">
      <w:pPr>
        <w:pStyle w:val="ListParagraph"/>
        <w:autoSpaceDE w:val="0"/>
        <w:autoSpaceDN w:val="0"/>
        <w:adjustRightInd w:val="0"/>
        <w:ind w:left="360"/>
        <w:jc w:val="both"/>
        <w:rPr>
          <w:rFonts w:ascii="Arial" w:eastAsia="Calibri" w:hAnsi="Arial" w:cs="Arial"/>
          <w:color w:val="000000"/>
          <w:sz w:val="22"/>
          <w:szCs w:val="22"/>
        </w:rPr>
      </w:pPr>
    </w:p>
    <w:p w:rsidR="002D1DBF" w:rsidRPr="00E52201" w:rsidRDefault="002D1DBF" w:rsidP="009A71AB">
      <w:pPr>
        <w:pStyle w:val="ListParagraph"/>
        <w:numPr>
          <w:ilvl w:val="0"/>
          <w:numId w:val="25"/>
        </w:numPr>
        <w:autoSpaceDE w:val="0"/>
        <w:autoSpaceDN w:val="0"/>
        <w:adjustRightInd w:val="0"/>
        <w:jc w:val="both"/>
        <w:rPr>
          <w:rFonts w:ascii="Arial" w:eastAsia="Calibri" w:hAnsi="Arial" w:cs="Arial"/>
          <w:color w:val="000000"/>
          <w:sz w:val="22"/>
          <w:szCs w:val="22"/>
        </w:rPr>
      </w:pPr>
      <w:r w:rsidRPr="00C169C3">
        <w:rPr>
          <w:rFonts w:ascii="Arial" w:hAnsi="Arial" w:cs="Arial"/>
          <w:b/>
          <w:color w:val="000000"/>
          <w:sz w:val="22"/>
          <w:szCs w:val="22"/>
        </w:rPr>
        <w:t>Recommendation:</w:t>
      </w:r>
      <w:r>
        <w:rPr>
          <w:rFonts w:ascii="Arial" w:hAnsi="Arial" w:cs="Arial"/>
          <w:color w:val="000000"/>
          <w:sz w:val="22"/>
          <w:szCs w:val="22"/>
        </w:rPr>
        <w:t xml:space="preserve"> </w:t>
      </w:r>
      <w:r w:rsidRPr="00E52201">
        <w:rPr>
          <w:rFonts w:ascii="Arial" w:hAnsi="Arial" w:cs="Arial"/>
          <w:b/>
          <w:color w:val="000000"/>
          <w:sz w:val="22"/>
          <w:szCs w:val="22"/>
        </w:rPr>
        <w:t>The</w:t>
      </w:r>
      <w:r>
        <w:rPr>
          <w:rFonts w:ascii="Arial" w:hAnsi="Arial" w:cs="Arial"/>
          <w:b/>
          <w:color w:val="000000"/>
          <w:sz w:val="22"/>
          <w:szCs w:val="22"/>
        </w:rPr>
        <w:t xml:space="preserve"> Committee should ask the UK</w:t>
      </w:r>
      <w:r w:rsidRPr="00E52201">
        <w:rPr>
          <w:rFonts w:ascii="Arial" w:hAnsi="Arial" w:cs="Arial"/>
          <w:b/>
          <w:color w:val="000000"/>
          <w:sz w:val="22"/>
          <w:szCs w:val="22"/>
        </w:rPr>
        <w:t xml:space="preserve"> </w:t>
      </w:r>
      <w:r>
        <w:rPr>
          <w:rFonts w:ascii="Arial" w:hAnsi="Arial" w:cs="Arial"/>
          <w:b/>
          <w:color w:val="000000"/>
          <w:sz w:val="22"/>
          <w:szCs w:val="22"/>
        </w:rPr>
        <w:t>to</w:t>
      </w:r>
      <w:r w:rsidRPr="00E52201">
        <w:rPr>
          <w:rFonts w:ascii="Arial" w:hAnsi="Arial" w:cs="Arial"/>
          <w:b/>
          <w:color w:val="000000"/>
          <w:sz w:val="22"/>
          <w:szCs w:val="22"/>
        </w:rPr>
        <w:t xml:space="preserve"> outline what improvements have been made to </w:t>
      </w:r>
      <w:r>
        <w:rPr>
          <w:rFonts w:ascii="Arial" w:hAnsi="Arial" w:cs="Arial"/>
          <w:b/>
          <w:color w:val="000000"/>
          <w:sz w:val="22"/>
          <w:szCs w:val="22"/>
        </w:rPr>
        <w:t>CAMHS</w:t>
      </w:r>
      <w:r w:rsidRPr="00E52201">
        <w:rPr>
          <w:rFonts w:ascii="Arial" w:hAnsi="Arial" w:cs="Arial"/>
          <w:b/>
          <w:color w:val="000000"/>
          <w:sz w:val="22"/>
          <w:szCs w:val="22"/>
        </w:rPr>
        <w:t xml:space="preserve"> and improving access to therapies for children. </w:t>
      </w:r>
    </w:p>
    <w:p w:rsidR="002D1DBF" w:rsidRDefault="002D1DBF" w:rsidP="002D1DBF"/>
    <w:p w:rsidR="002D1DBF" w:rsidRDefault="002D1DBF" w:rsidP="002D1DBF">
      <w:pPr>
        <w:rPr>
          <w:rFonts w:ascii="Calibri" w:eastAsia="Calibri" w:hAnsi="Calibri"/>
          <w:sz w:val="20"/>
          <w:szCs w:val="20"/>
        </w:rPr>
      </w:pPr>
    </w:p>
    <w:p w:rsidR="002D1DBF" w:rsidRDefault="002D1DBF" w:rsidP="002D1DBF">
      <w:pPr>
        <w:rPr>
          <w:rFonts w:ascii="Calibri" w:eastAsia="Calibri" w:hAnsi="Calibri"/>
          <w:sz w:val="20"/>
          <w:szCs w:val="20"/>
        </w:rPr>
      </w:pPr>
    </w:p>
    <w:p w:rsidR="002D1DBF" w:rsidRPr="002D1DBF" w:rsidRDefault="002D1DBF" w:rsidP="002D1DBF">
      <w:pPr>
        <w:jc w:val="both"/>
        <w:rPr>
          <w:rFonts w:ascii="Arial" w:hAnsi="Arial" w:cs="Arial"/>
          <w:sz w:val="22"/>
          <w:szCs w:val="22"/>
        </w:rPr>
      </w:pPr>
    </w:p>
    <w:p w:rsidR="0029140F" w:rsidRDefault="0029140F">
      <w:pPr>
        <w:rPr>
          <w:rFonts w:ascii="Arial" w:hAnsi="Arial" w:cs="Arial"/>
          <w:b/>
        </w:rPr>
      </w:pPr>
    </w:p>
    <w:p w:rsidR="00CA256C" w:rsidRDefault="00CA256C">
      <w:pPr>
        <w:rPr>
          <w:rFonts w:ascii="Arial" w:hAnsi="Arial" w:cs="Arial"/>
          <w:b/>
        </w:rPr>
      </w:pPr>
      <w:r>
        <w:rPr>
          <w:rFonts w:ascii="Arial" w:hAnsi="Arial" w:cs="Arial"/>
          <w:b/>
        </w:rPr>
        <w:br w:type="page"/>
      </w:r>
    </w:p>
    <w:p w:rsidR="0010479D" w:rsidRDefault="00226914" w:rsidP="00500A34">
      <w:pPr>
        <w:jc w:val="both"/>
        <w:rPr>
          <w:rFonts w:ascii="Arial" w:hAnsi="Arial" w:cs="Arial"/>
          <w:b/>
        </w:rPr>
      </w:pPr>
      <w:r>
        <w:rPr>
          <w:rFonts w:ascii="Arial" w:hAnsi="Arial" w:cs="Arial"/>
          <w:b/>
        </w:rPr>
        <w:t>Appendix 1</w:t>
      </w:r>
    </w:p>
    <w:p w:rsidR="0029140F" w:rsidRPr="008220D9" w:rsidRDefault="00226914" w:rsidP="004E12A9">
      <w:pPr>
        <w:jc w:val="center"/>
        <w:rPr>
          <w:rFonts w:ascii="Arial" w:hAnsi="Arial" w:cs="Arial"/>
          <w:b/>
        </w:rPr>
      </w:pPr>
      <w:r>
        <w:rPr>
          <w:rFonts w:ascii="Arial" w:hAnsi="Arial" w:cs="Arial"/>
          <w:b/>
          <w:noProof/>
        </w:rPr>
        <w:drawing>
          <wp:inline distT="0" distB="0" distL="0" distR="0" wp14:anchorId="2B1E396C" wp14:editId="418DA054">
            <wp:extent cx="5725160" cy="767715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160" cy="7677150"/>
                    </a:xfrm>
                    <a:prstGeom prst="rect">
                      <a:avLst/>
                    </a:prstGeom>
                    <a:noFill/>
                    <a:ln>
                      <a:noFill/>
                    </a:ln>
                  </pic:spPr>
                </pic:pic>
              </a:graphicData>
            </a:graphic>
          </wp:inline>
        </w:drawing>
      </w:r>
    </w:p>
    <w:sectPr w:rsidR="0029140F" w:rsidRPr="008220D9" w:rsidSect="00963673">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3D1" w:rsidRDefault="000373D1" w:rsidP="00EB16CA">
      <w:r>
        <w:separator/>
      </w:r>
    </w:p>
  </w:endnote>
  <w:endnote w:type="continuationSeparator" w:id="0">
    <w:p w:rsidR="000373D1" w:rsidRDefault="000373D1" w:rsidP="00EB1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Std">
    <w:altName w:val="Arial MT St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3D1" w:rsidRDefault="000373D1" w:rsidP="00EB16CA">
      <w:r>
        <w:separator/>
      </w:r>
    </w:p>
  </w:footnote>
  <w:footnote w:type="continuationSeparator" w:id="0">
    <w:p w:rsidR="000373D1" w:rsidRDefault="000373D1" w:rsidP="00EB16CA">
      <w:r>
        <w:continuationSeparator/>
      </w:r>
    </w:p>
  </w:footnote>
  <w:footnote w:id="1">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UN Committee against Torture, Concluding observations on the fifth periodic report of the United Kingdom, adopted by the Committee at its fiftieth session (6-31 May 2013) para 7, available at: </w:t>
      </w:r>
      <w:hyperlink r:id="rId1" w:history="1">
        <w:r w:rsidRPr="00E20D39">
          <w:rPr>
            <w:rStyle w:val="Hyperlink"/>
            <w:rFonts w:ascii="Arial" w:hAnsi="Arial" w:cs="Arial"/>
            <w:sz w:val="18"/>
            <w:szCs w:val="18"/>
          </w:rPr>
          <w:t>http://www.equalityhumanrights.com/about-us/our-work/human-rights/international-framework/un-convention-against-torture-and-other-cruel-inhuman-or-degrading-treatment-or-punishment</w:t>
        </w:r>
      </w:hyperlink>
      <w:r w:rsidRPr="00E20D39">
        <w:rPr>
          <w:rFonts w:ascii="Arial" w:hAnsi="Arial" w:cs="Arial"/>
          <w:sz w:val="18"/>
          <w:szCs w:val="18"/>
        </w:rPr>
        <w:t xml:space="preserve"> </w:t>
      </w:r>
    </w:p>
  </w:footnote>
  <w:footnote w:id="2">
    <w:p w:rsidR="006E0E63" w:rsidRPr="00E20D39" w:rsidRDefault="006E0E63" w:rsidP="006E0E63">
      <w:pPr>
        <w:pStyle w:val="Default"/>
        <w:rPr>
          <w:sz w:val="18"/>
          <w:szCs w:val="18"/>
        </w:rPr>
      </w:pPr>
      <w:r w:rsidRPr="00E20D39">
        <w:rPr>
          <w:rStyle w:val="FootnoteReference"/>
          <w:sz w:val="18"/>
          <w:szCs w:val="18"/>
        </w:rPr>
        <w:footnoteRef/>
      </w:r>
      <w:r w:rsidRPr="00E20D39">
        <w:rPr>
          <w:sz w:val="18"/>
          <w:szCs w:val="18"/>
        </w:rPr>
        <w:t xml:space="preserve"> UN Committee against Torture, </w:t>
      </w:r>
      <w:r w:rsidRPr="00E20D39">
        <w:rPr>
          <w:bCs/>
          <w:sz w:val="18"/>
          <w:szCs w:val="18"/>
        </w:rPr>
        <w:t xml:space="preserve">Concluding observations on the fifth periodic report of the United Kingdom, adopted by the Committee at its fiftieth session (6-31 May 2013) para 8, available at: </w:t>
      </w:r>
      <w:hyperlink r:id="rId2" w:history="1">
        <w:r w:rsidRPr="00E20D39">
          <w:rPr>
            <w:rStyle w:val="Hyperlink"/>
            <w:bCs/>
            <w:sz w:val="18"/>
            <w:szCs w:val="18"/>
          </w:rPr>
          <w:t>http://www.equalityhumanrights.com/about-us/our-work/human-rights/international-framework/un-convention-against-torture-and-other-cruel-inhuman-or-degrading-treatment-or-punishment</w:t>
        </w:r>
      </w:hyperlink>
      <w:r w:rsidRPr="00E20D39">
        <w:rPr>
          <w:bCs/>
          <w:sz w:val="18"/>
          <w:szCs w:val="18"/>
        </w:rPr>
        <w:t xml:space="preserve"> </w:t>
      </w:r>
    </w:p>
  </w:footnote>
  <w:footnote w:id="3">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This consultation is scheduled for 2016. Revised transcript of evidence taken before the Select Committee on the Constitution, oral evidence session with the Rt. Hon. Michael Gove, Lord Chancellor and Secretary of Sta</w:t>
      </w:r>
      <w:r w:rsidR="00DF0DC9" w:rsidRPr="00E20D39">
        <w:rPr>
          <w:rFonts w:ascii="Arial" w:hAnsi="Arial" w:cs="Arial"/>
          <w:sz w:val="18"/>
          <w:szCs w:val="18"/>
        </w:rPr>
        <w:t>te for Justice, 2 December 2015, available at:</w:t>
      </w:r>
      <w:r w:rsidRPr="00E20D39">
        <w:rPr>
          <w:rFonts w:ascii="Arial" w:hAnsi="Arial" w:cs="Arial"/>
          <w:sz w:val="18"/>
          <w:szCs w:val="18"/>
        </w:rPr>
        <w:t xml:space="preserve"> </w:t>
      </w:r>
      <w:hyperlink r:id="rId3" w:history="1">
        <w:r w:rsidRPr="00E20D39">
          <w:rPr>
            <w:rStyle w:val="Hyperlink"/>
            <w:rFonts w:ascii="Arial" w:hAnsi="Arial" w:cs="Arial"/>
            <w:sz w:val="18"/>
            <w:szCs w:val="18"/>
          </w:rPr>
          <w:t>http://www.parliament.uk/business/committees/committees-a-z/lords-select/constitution-committee/</w:t>
        </w:r>
      </w:hyperlink>
      <w:r w:rsidRPr="00E20D39">
        <w:rPr>
          <w:rFonts w:ascii="Arial" w:hAnsi="Arial" w:cs="Arial"/>
          <w:sz w:val="18"/>
          <w:szCs w:val="18"/>
        </w:rPr>
        <w:t xml:space="preserve"> </w:t>
      </w:r>
    </w:p>
  </w:footnote>
  <w:footnote w:id="4">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hAnsi="Arial" w:cs="Arial"/>
          <w:bCs/>
          <w:sz w:val="18"/>
          <w:szCs w:val="18"/>
        </w:rPr>
        <w:t xml:space="preserve">Equality and Human Rights Commission </w:t>
      </w:r>
      <w:r w:rsidR="0031116E" w:rsidRPr="00E20D39">
        <w:rPr>
          <w:rFonts w:ascii="Arial" w:hAnsi="Arial" w:cs="Arial"/>
          <w:bCs/>
          <w:sz w:val="18"/>
          <w:szCs w:val="18"/>
        </w:rPr>
        <w:t xml:space="preserve">(EHRC) </w:t>
      </w:r>
      <w:r w:rsidRPr="00E20D39">
        <w:rPr>
          <w:rFonts w:ascii="Arial" w:hAnsi="Arial" w:cs="Arial"/>
          <w:bCs/>
          <w:sz w:val="18"/>
          <w:szCs w:val="18"/>
        </w:rPr>
        <w:t xml:space="preserve">Statement on the UK’s implementation of the International Covenant on Civil and Political Rights, June 2015, available at: </w:t>
      </w:r>
      <w:hyperlink r:id="rId4" w:history="1">
        <w:r w:rsidRPr="00E20D39">
          <w:rPr>
            <w:rStyle w:val="Hyperlink"/>
            <w:rFonts w:ascii="Arial" w:hAnsi="Arial" w:cs="Arial"/>
            <w:bCs/>
            <w:sz w:val="18"/>
            <w:szCs w:val="18"/>
          </w:rPr>
          <w:t>http://www.equalityhumanrights.com/about-us/our-work/human-rights/international-framework/international-covenant-civil-and-political-rights</w:t>
        </w:r>
      </w:hyperlink>
      <w:r w:rsidRPr="00E20D39">
        <w:rPr>
          <w:rFonts w:ascii="Arial" w:hAnsi="Arial" w:cs="Arial"/>
          <w:bCs/>
          <w:sz w:val="18"/>
          <w:szCs w:val="18"/>
        </w:rPr>
        <w:t xml:space="preserve"> </w:t>
      </w:r>
    </w:p>
  </w:footnote>
  <w:footnote w:id="5">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00EF5FBA" w:rsidRPr="00E20D39">
        <w:rPr>
          <w:rFonts w:ascii="Arial" w:hAnsi="Arial" w:cs="Arial"/>
          <w:sz w:val="18"/>
          <w:szCs w:val="18"/>
        </w:rPr>
        <w:t xml:space="preserve"> </w:t>
      </w:r>
      <w:r w:rsidR="00E47128" w:rsidRPr="00E20D39">
        <w:rPr>
          <w:rFonts w:ascii="Arial" w:hAnsi="Arial" w:cs="Arial"/>
          <w:sz w:val="18"/>
          <w:szCs w:val="18"/>
        </w:rPr>
        <w:t xml:space="preserve">UN </w:t>
      </w:r>
      <w:r w:rsidRPr="00E20D39">
        <w:rPr>
          <w:rFonts w:ascii="Arial" w:hAnsi="Arial" w:cs="Arial"/>
          <w:sz w:val="18"/>
          <w:szCs w:val="18"/>
        </w:rPr>
        <w:t xml:space="preserve">Committee against Torture, General Comment No.2, Implementation of Article 2 by State Parties, January 2008, available at: </w:t>
      </w:r>
      <w:hyperlink r:id="rId5" w:history="1">
        <w:r w:rsidRPr="00E20D39">
          <w:rPr>
            <w:rStyle w:val="Hyperlink"/>
            <w:rFonts w:ascii="Arial" w:hAnsi="Arial" w:cs="Arial"/>
            <w:sz w:val="18"/>
            <w:szCs w:val="18"/>
          </w:rPr>
          <w:t>http://tbinternet.ohchr.org/_layouts/treatybodyexternal/Download.aspx?symbolno=CAT%2fC%2fGC%2f2&amp;Lang=en</w:t>
        </w:r>
      </w:hyperlink>
      <w:r w:rsidRPr="00E20D39">
        <w:rPr>
          <w:rFonts w:ascii="Arial" w:hAnsi="Arial" w:cs="Arial"/>
          <w:sz w:val="18"/>
          <w:szCs w:val="18"/>
        </w:rPr>
        <w:t xml:space="preserve">; Equality and Human Rights Commission submission </w:t>
      </w:r>
      <w:r w:rsidRPr="00E20D39">
        <w:rPr>
          <w:rFonts w:ascii="Arial" w:hAnsi="Arial" w:cs="Arial"/>
          <w:sz w:val="18"/>
          <w:szCs w:val="18"/>
          <w:lang w:val="en"/>
        </w:rPr>
        <w:t xml:space="preserve">to the UN Committee Against Torture: list of issues on the UK's 5th periodic report, August 2012, p. 9, available at: </w:t>
      </w:r>
      <w:hyperlink r:id="rId6" w:history="1">
        <w:r w:rsidRPr="00E20D39">
          <w:rPr>
            <w:rStyle w:val="Hyperlink"/>
            <w:rFonts w:ascii="Arial" w:hAnsi="Arial" w:cs="Arial"/>
            <w:sz w:val="18"/>
            <w:szCs w:val="18"/>
            <w:lang w:val="en"/>
          </w:rPr>
          <w:t>http://www.equalityhumanrights.com/about-us/our-work/human-rights/international-framework/un-convention-against-torture-and-other-cruel-inhuman-or-degrading-treatment-or-punishment</w:t>
        </w:r>
      </w:hyperlink>
      <w:r w:rsidRPr="00E20D39">
        <w:rPr>
          <w:rFonts w:ascii="Arial" w:hAnsi="Arial" w:cs="Arial"/>
          <w:color w:val="333333"/>
          <w:sz w:val="18"/>
          <w:szCs w:val="18"/>
          <w:lang w:val="en"/>
        </w:rPr>
        <w:t xml:space="preserve"> </w:t>
      </w:r>
    </w:p>
  </w:footnote>
  <w:footnote w:id="6">
    <w:p w:rsidR="00CA256C" w:rsidRPr="00E20D39" w:rsidRDefault="00CA256C">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577841" w:rsidRPr="00E20D39">
        <w:rPr>
          <w:rFonts w:ascii="Arial" w:hAnsi="Arial" w:cs="Arial"/>
          <w:sz w:val="18"/>
          <w:szCs w:val="18"/>
        </w:rPr>
        <w:t xml:space="preserve">Prime Minister </w:t>
      </w:r>
      <w:r w:rsidRPr="00E20D39">
        <w:rPr>
          <w:rFonts w:ascii="Arial" w:hAnsi="Arial" w:cs="Arial"/>
          <w:sz w:val="18"/>
          <w:szCs w:val="18"/>
        </w:rPr>
        <w:t xml:space="preserve">David Cameron, </w:t>
      </w:r>
      <w:r w:rsidR="00577841" w:rsidRPr="00E20D39">
        <w:rPr>
          <w:rFonts w:ascii="Arial" w:hAnsi="Arial" w:cs="Arial"/>
          <w:sz w:val="18"/>
          <w:szCs w:val="18"/>
        </w:rPr>
        <w:t xml:space="preserve">6 July 2010, available at: </w:t>
      </w:r>
      <w:hyperlink r:id="rId7" w:anchor="10070631000625" w:history="1">
        <w:r w:rsidR="00577841" w:rsidRPr="00E20D39">
          <w:rPr>
            <w:rStyle w:val="Hyperlink"/>
            <w:rFonts w:ascii="Arial" w:hAnsi="Arial" w:cs="Arial"/>
            <w:sz w:val="18"/>
            <w:szCs w:val="18"/>
          </w:rPr>
          <w:t>http://www.publications.parliament.uk/pa/cm201011/cmhansrd/cm100706/debtext/100706-0001.htm#10070631000625</w:t>
        </w:r>
      </w:hyperlink>
      <w:r w:rsidR="00577841" w:rsidRPr="00E20D39">
        <w:rPr>
          <w:rFonts w:ascii="Arial" w:hAnsi="Arial" w:cs="Arial"/>
          <w:sz w:val="18"/>
          <w:szCs w:val="18"/>
        </w:rPr>
        <w:t xml:space="preserve"> </w:t>
      </w:r>
    </w:p>
  </w:footnote>
  <w:footnote w:id="7">
    <w:p w:rsidR="00EF184C" w:rsidRPr="00E20D39" w:rsidRDefault="00EF184C" w:rsidP="00EF184C">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Justice Secretary Kenneth Clarke, 18 January 2012, available at:</w:t>
      </w:r>
      <w:r>
        <w:rPr>
          <w:rFonts w:ascii="Arial" w:hAnsi="Arial" w:cs="Arial"/>
          <w:sz w:val="18"/>
          <w:szCs w:val="18"/>
        </w:rPr>
        <w:t xml:space="preserve"> </w:t>
      </w:r>
      <w:hyperlink r:id="rId8" w:history="1">
        <w:r w:rsidRPr="00866F24">
          <w:rPr>
            <w:rStyle w:val="Hyperlink"/>
            <w:rFonts w:ascii="Arial" w:hAnsi="Arial" w:cs="Arial"/>
            <w:sz w:val="18"/>
            <w:szCs w:val="18"/>
          </w:rPr>
          <w:t>http://www.publications.parliament.uk/pa/cm201212/cmhansrd/cm120118/debtext/120118-0001.htm</w:t>
        </w:r>
      </w:hyperlink>
      <w:r>
        <w:rPr>
          <w:rFonts w:ascii="Arial" w:hAnsi="Arial" w:cs="Arial"/>
          <w:sz w:val="18"/>
          <w:szCs w:val="18"/>
        </w:rPr>
        <w:t xml:space="preserve"> </w:t>
      </w:r>
    </w:p>
  </w:footnote>
  <w:footnote w:id="8">
    <w:p w:rsidR="00E20D39" w:rsidRPr="00E20D39" w:rsidRDefault="00E20D39">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Justice Secretary Kenneth Clarke, 18 January 2012, available at:</w:t>
      </w:r>
      <w:r w:rsidR="00D15E47">
        <w:rPr>
          <w:rFonts w:ascii="Arial" w:hAnsi="Arial" w:cs="Arial"/>
          <w:sz w:val="18"/>
          <w:szCs w:val="18"/>
        </w:rPr>
        <w:t xml:space="preserve"> </w:t>
      </w:r>
      <w:hyperlink r:id="rId9" w:history="1">
        <w:r w:rsidR="00D15E47" w:rsidRPr="00866F24">
          <w:rPr>
            <w:rStyle w:val="Hyperlink"/>
            <w:rFonts w:ascii="Arial" w:hAnsi="Arial" w:cs="Arial"/>
            <w:sz w:val="18"/>
            <w:szCs w:val="18"/>
          </w:rPr>
          <w:t>http://www.publications.parliament.uk/pa/cm201212/cmhansrd/cm120118/debtext/120118-0001.htm</w:t>
        </w:r>
      </w:hyperlink>
      <w:r w:rsidR="00D15E47">
        <w:rPr>
          <w:rFonts w:ascii="Arial" w:hAnsi="Arial" w:cs="Arial"/>
          <w:sz w:val="18"/>
          <w:szCs w:val="18"/>
        </w:rPr>
        <w:t xml:space="preserve"> </w:t>
      </w:r>
    </w:p>
  </w:footnote>
  <w:footnote w:id="9">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E47128" w:rsidRPr="00E20D39">
        <w:rPr>
          <w:rFonts w:ascii="Arial" w:hAnsi="Arial" w:cs="Arial"/>
          <w:sz w:val="18"/>
          <w:szCs w:val="18"/>
        </w:rPr>
        <w:t xml:space="preserve">UN </w:t>
      </w:r>
      <w:r w:rsidRPr="00E20D39">
        <w:rPr>
          <w:rFonts w:ascii="Arial" w:hAnsi="Arial" w:cs="Arial"/>
          <w:sz w:val="18"/>
          <w:szCs w:val="18"/>
        </w:rPr>
        <w:t xml:space="preserve">Committee against Torture, </w:t>
      </w:r>
      <w:r w:rsidRPr="00E20D39">
        <w:rPr>
          <w:rFonts w:ascii="Arial" w:hAnsi="Arial" w:cs="Arial"/>
          <w:bCs/>
          <w:sz w:val="18"/>
          <w:szCs w:val="18"/>
        </w:rPr>
        <w:t xml:space="preserve">Concluding observations on the fifth periodic report of the United Kingdom, adopted by the Committee at its fiftieth session (6-31 May 2013), para 15, </w:t>
      </w:r>
      <w:r w:rsidRPr="00E20D39">
        <w:rPr>
          <w:rFonts w:ascii="Arial" w:hAnsi="Arial" w:cs="Arial"/>
          <w:sz w:val="18"/>
          <w:szCs w:val="18"/>
        </w:rPr>
        <w:t xml:space="preserve">available at: </w:t>
      </w:r>
      <w:hyperlink r:id="rId10" w:history="1">
        <w:r w:rsidRPr="00E20D39">
          <w:rPr>
            <w:rStyle w:val="Hyperlink"/>
            <w:rFonts w:ascii="Arial" w:hAnsi="Arial" w:cs="Arial"/>
            <w:sz w:val="18"/>
            <w:szCs w:val="18"/>
          </w:rPr>
          <w:t>http://www.equalityhumanrights.com/about-us/our-work/human-rights/international-framework/un-convention-against-torture-and-other-cruel-inhuman-or-degrading-treatment-or-punishment</w:t>
        </w:r>
      </w:hyperlink>
    </w:p>
  </w:footnote>
  <w:footnote w:id="10">
    <w:p w:rsidR="00FA33A1" w:rsidRPr="00FA33A1" w:rsidRDefault="00FA33A1">
      <w:pPr>
        <w:pStyle w:val="FootnoteText"/>
        <w:rPr>
          <w:rFonts w:ascii="Arial" w:hAnsi="Arial" w:cs="Arial"/>
          <w:sz w:val="18"/>
          <w:szCs w:val="18"/>
        </w:rPr>
      </w:pPr>
      <w:r w:rsidRPr="00FA33A1">
        <w:rPr>
          <w:rStyle w:val="FootnoteReference"/>
          <w:rFonts w:ascii="Arial" w:hAnsi="Arial" w:cs="Arial"/>
          <w:sz w:val="18"/>
          <w:szCs w:val="18"/>
        </w:rPr>
        <w:footnoteRef/>
      </w:r>
      <w:r w:rsidRPr="00FA33A1">
        <w:rPr>
          <w:rFonts w:ascii="Arial" w:hAnsi="Arial" w:cs="Arial"/>
          <w:sz w:val="18"/>
          <w:szCs w:val="18"/>
        </w:rPr>
        <w:t xml:space="preserve"> </w:t>
      </w:r>
      <w:r w:rsidR="00D15E47">
        <w:rPr>
          <w:rFonts w:ascii="Arial" w:hAnsi="Arial" w:cs="Arial"/>
          <w:sz w:val="18"/>
          <w:szCs w:val="18"/>
        </w:rPr>
        <w:t xml:space="preserve">The Detainee inquiry, About the inquiry, available at: </w:t>
      </w:r>
      <w:hyperlink r:id="rId11" w:history="1">
        <w:r w:rsidR="00D15E47" w:rsidRPr="00866F24">
          <w:rPr>
            <w:rStyle w:val="Hyperlink"/>
            <w:rFonts w:ascii="Arial" w:hAnsi="Arial" w:cs="Arial"/>
            <w:sz w:val="18"/>
            <w:szCs w:val="18"/>
          </w:rPr>
          <w:t>http://www.detaineeinquiry.org.uk/about/index.html</w:t>
        </w:r>
      </w:hyperlink>
      <w:r w:rsidR="00D15E47">
        <w:rPr>
          <w:rFonts w:ascii="Arial" w:hAnsi="Arial" w:cs="Arial"/>
          <w:sz w:val="18"/>
          <w:szCs w:val="18"/>
        </w:rPr>
        <w:t xml:space="preserve"> </w:t>
      </w:r>
    </w:p>
  </w:footnote>
  <w:footnote w:id="11">
    <w:p w:rsidR="00762CFD" w:rsidRPr="00762CFD" w:rsidRDefault="00762CFD">
      <w:pPr>
        <w:pStyle w:val="FootnoteText"/>
        <w:rPr>
          <w:rFonts w:ascii="Arial" w:hAnsi="Arial" w:cs="Arial"/>
        </w:rPr>
      </w:pPr>
      <w:r w:rsidRPr="00762CFD">
        <w:rPr>
          <w:rStyle w:val="FootnoteReference"/>
          <w:rFonts w:ascii="Arial" w:hAnsi="Arial" w:cs="Arial"/>
          <w:sz w:val="18"/>
        </w:rPr>
        <w:footnoteRef/>
      </w:r>
      <w:r w:rsidRPr="00762CFD">
        <w:rPr>
          <w:rFonts w:ascii="Arial" w:hAnsi="Arial" w:cs="Arial"/>
          <w:sz w:val="18"/>
        </w:rPr>
        <w:t xml:space="preserve"> Secretary of State for Justice Kenneth Clarke, 19 December 2013, available at: </w:t>
      </w:r>
      <w:hyperlink r:id="rId12" w:anchor="131219-0002.htm_spmin0" w:history="1">
        <w:r w:rsidRPr="00762CFD">
          <w:rPr>
            <w:rStyle w:val="Hyperlink"/>
            <w:rFonts w:ascii="Arial" w:hAnsi="Arial" w:cs="Arial"/>
            <w:sz w:val="18"/>
          </w:rPr>
          <w:t>http://www.publications.parliament.uk/pa/cm201314/cmhansrd/cm131219/debtext/131219-0002.htm#131219-0002.htm_spmin0</w:t>
        </w:r>
      </w:hyperlink>
      <w:r w:rsidRPr="00762CFD">
        <w:rPr>
          <w:rFonts w:ascii="Arial" w:hAnsi="Arial" w:cs="Arial"/>
          <w:sz w:val="18"/>
        </w:rPr>
        <w:t xml:space="preserve"> </w:t>
      </w:r>
    </w:p>
  </w:footnote>
  <w:footnote w:id="12">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 xml:space="preserve">Concluding Observations for the UK by the UN Human Rights Committee, July 2015, para 9, available at:  </w:t>
      </w:r>
      <w:hyperlink r:id="rId13" w:history="1">
        <w:r w:rsidRPr="00E20D39">
          <w:rPr>
            <w:rStyle w:val="Hyperlink"/>
            <w:rFonts w:ascii="Arial" w:eastAsia="Calibri" w:hAnsi="Arial" w:cs="Arial"/>
            <w:sz w:val="18"/>
            <w:szCs w:val="18"/>
          </w:rPr>
          <w:t>http://www.equalityhumanrights.com/sites/default/files/uploads/documents/humanrights/UN/CCPRC%20GB%20concluding%20observations%20(1).pdf</w:t>
        </w:r>
      </w:hyperlink>
      <w:r w:rsidRPr="00E20D39">
        <w:rPr>
          <w:rFonts w:ascii="Arial" w:eastAsia="Calibri" w:hAnsi="Arial" w:cs="Arial"/>
          <w:color w:val="000000"/>
          <w:sz w:val="18"/>
          <w:szCs w:val="18"/>
        </w:rPr>
        <w:t xml:space="preserve"> </w:t>
      </w:r>
    </w:p>
  </w:footnote>
  <w:footnote w:id="13">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Intelligence and Security Committee of Parliament, News, 29 October 2015, available at: </w:t>
      </w:r>
      <w:hyperlink r:id="rId14" w:history="1">
        <w:r w:rsidRPr="00E20D39">
          <w:rPr>
            <w:rStyle w:val="Hyperlink"/>
            <w:rFonts w:ascii="Arial" w:hAnsi="Arial" w:cs="Arial"/>
            <w:sz w:val="18"/>
            <w:szCs w:val="18"/>
          </w:rPr>
          <w:t>http://isc.independent.gov.uk/news-archive/29october2015</w:t>
        </w:r>
      </w:hyperlink>
      <w:r w:rsidRPr="00E20D39">
        <w:rPr>
          <w:rFonts w:ascii="Arial" w:hAnsi="Arial" w:cs="Arial"/>
          <w:sz w:val="18"/>
          <w:szCs w:val="18"/>
        </w:rPr>
        <w:t xml:space="preserve"> </w:t>
      </w:r>
    </w:p>
  </w:footnote>
  <w:footnote w:id="14">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E47128" w:rsidRPr="00E20D39">
        <w:rPr>
          <w:rFonts w:ascii="Arial" w:hAnsi="Arial" w:cs="Arial"/>
          <w:sz w:val="18"/>
          <w:szCs w:val="18"/>
        </w:rPr>
        <w:t xml:space="preserve">UN </w:t>
      </w:r>
      <w:r w:rsidRPr="00E20D39">
        <w:rPr>
          <w:rFonts w:ascii="Arial" w:hAnsi="Arial" w:cs="Arial"/>
          <w:sz w:val="18"/>
          <w:szCs w:val="18"/>
        </w:rPr>
        <w:t xml:space="preserve">Committee against Torture, </w:t>
      </w:r>
      <w:r w:rsidRPr="00E20D39">
        <w:rPr>
          <w:rFonts w:ascii="Arial" w:eastAsia="Calibri" w:hAnsi="Arial" w:cs="Arial"/>
          <w:bCs/>
          <w:color w:val="000000"/>
          <w:sz w:val="18"/>
          <w:szCs w:val="18"/>
        </w:rPr>
        <w:t>Concluding observations on the fifth periodic report of the United Kingdom, adopted by the Committee at its fiftieth</w:t>
      </w:r>
      <w:r w:rsidRPr="00E20D39">
        <w:rPr>
          <w:rFonts w:ascii="Arial" w:hAnsi="Arial" w:cs="Arial"/>
          <w:bCs/>
          <w:sz w:val="18"/>
          <w:szCs w:val="18"/>
        </w:rPr>
        <w:t xml:space="preserve"> </w:t>
      </w:r>
      <w:r w:rsidRPr="00E20D39">
        <w:rPr>
          <w:rFonts w:ascii="Arial" w:eastAsia="Calibri" w:hAnsi="Arial" w:cs="Arial"/>
          <w:bCs/>
          <w:color w:val="000000"/>
          <w:sz w:val="18"/>
          <w:szCs w:val="18"/>
        </w:rPr>
        <w:t>session (6-31 May 2013)</w:t>
      </w:r>
      <w:r w:rsidR="00EF5FBA" w:rsidRPr="00E20D39">
        <w:rPr>
          <w:rFonts w:ascii="Arial" w:eastAsia="Calibri" w:hAnsi="Arial" w:cs="Arial"/>
          <w:bCs/>
          <w:color w:val="000000"/>
          <w:sz w:val="18"/>
          <w:szCs w:val="18"/>
        </w:rPr>
        <w:t xml:space="preserve">, para 16, available at: </w:t>
      </w:r>
      <w:hyperlink r:id="rId15" w:history="1">
        <w:r w:rsidR="00E47128" w:rsidRPr="00E20D39">
          <w:rPr>
            <w:rStyle w:val="Hyperlink"/>
            <w:rFonts w:ascii="Arial" w:hAnsi="Arial" w:cs="Arial"/>
            <w:sz w:val="18"/>
            <w:szCs w:val="18"/>
          </w:rPr>
          <w:t>http://www.equalityhumanrights.com/about-us/our-work/human-rights/international-framework/un-convention-against-torture-and-other-cruel-inhuman-or-degrading-treatment-or-punishment</w:t>
        </w:r>
      </w:hyperlink>
    </w:p>
  </w:footnote>
  <w:footnote w:id="15">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Concluding Observations for the UK by the UN Human Rights Committee, July 2015</w:t>
      </w:r>
      <w:r w:rsidR="003C75F0" w:rsidRPr="00E20D39">
        <w:rPr>
          <w:rFonts w:ascii="Arial" w:eastAsia="Calibri" w:hAnsi="Arial" w:cs="Arial"/>
          <w:color w:val="000000"/>
          <w:sz w:val="18"/>
          <w:szCs w:val="18"/>
        </w:rPr>
        <w:t xml:space="preserve">, para 9, available at: </w:t>
      </w:r>
      <w:hyperlink r:id="rId16" w:history="1">
        <w:r w:rsidR="003C75F0" w:rsidRPr="00E20D39">
          <w:rPr>
            <w:rStyle w:val="Hyperlink"/>
            <w:rFonts w:ascii="Arial" w:eastAsia="Calibri" w:hAnsi="Arial" w:cs="Arial"/>
            <w:sz w:val="18"/>
            <w:szCs w:val="18"/>
          </w:rPr>
          <w:t>http://www.equalityhumanrights.com/about-us/our-work/human-rights/international-framework/international-covenant-civil-and-political-rights</w:t>
        </w:r>
      </w:hyperlink>
    </w:p>
  </w:footnote>
  <w:footnote w:id="16">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Ministry of Defence, </w:t>
      </w:r>
      <w:r w:rsidRPr="00E20D39">
        <w:rPr>
          <w:rFonts w:ascii="Arial" w:eastAsia="Calibri" w:hAnsi="Arial" w:cs="Arial"/>
          <w:color w:val="000000"/>
          <w:sz w:val="18"/>
          <w:szCs w:val="18"/>
        </w:rPr>
        <w:t>Corporate report: The Iraq Historic Allegations Team quarterly update: July to September 2015, 20 November 2015</w:t>
      </w:r>
      <w:r w:rsidR="00674E7E" w:rsidRPr="00E20D39">
        <w:rPr>
          <w:rFonts w:ascii="Arial" w:eastAsia="Calibri" w:hAnsi="Arial" w:cs="Arial"/>
          <w:color w:val="000000"/>
          <w:sz w:val="18"/>
          <w:szCs w:val="18"/>
        </w:rPr>
        <w:t>, available at:</w:t>
      </w:r>
      <w:r w:rsidRPr="00E20D39">
        <w:rPr>
          <w:rFonts w:ascii="Arial" w:hAnsi="Arial" w:cs="Arial"/>
          <w:sz w:val="18"/>
          <w:szCs w:val="18"/>
        </w:rPr>
        <w:t xml:space="preserve"> </w:t>
      </w:r>
      <w:hyperlink r:id="rId17" w:history="1">
        <w:r w:rsidRPr="00E20D39">
          <w:rPr>
            <w:rStyle w:val="Hyperlink"/>
            <w:rFonts w:ascii="Arial" w:eastAsia="Calibri" w:hAnsi="Arial" w:cs="Arial"/>
            <w:sz w:val="18"/>
            <w:szCs w:val="18"/>
          </w:rPr>
          <w:t>https://www.gov.uk/government/publications/iraq-historic-allegations-team-quarterly-updates</w:t>
        </w:r>
      </w:hyperlink>
      <w:r w:rsidRPr="00E20D39">
        <w:rPr>
          <w:rFonts w:ascii="Arial" w:eastAsia="Calibri" w:hAnsi="Arial" w:cs="Arial"/>
          <w:color w:val="000000"/>
          <w:sz w:val="18"/>
          <w:szCs w:val="18"/>
        </w:rPr>
        <w:t xml:space="preserve"> </w:t>
      </w:r>
    </w:p>
  </w:footnote>
  <w:footnote w:id="17">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31116E" w:rsidRPr="00E20D39">
        <w:rPr>
          <w:rFonts w:ascii="Arial" w:hAnsi="Arial" w:cs="Arial"/>
          <w:bCs/>
          <w:sz w:val="18"/>
          <w:szCs w:val="18"/>
        </w:rPr>
        <w:t>EHRC</w:t>
      </w:r>
      <w:r w:rsidRPr="00E20D39">
        <w:rPr>
          <w:rFonts w:ascii="Arial" w:hAnsi="Arial" w:cs="Arial"/>
          <w:bCs/>
          <w:sz w:val="18"/>
          <w:szCs w:val="18"/>
        </w:rPr>
        <w:t xml:space="preserve"> Statement on the UK’s implementation of the International Covenant on Civil and Political Rights, June 2015</w:t>
      </w:r>
      <w:r w:rsidR="00BB0A66" w:rsidRPr="00E20D39">
        <w:rPr>
          <w:rFonts w:ascii="Arial" w:hAnsi="Arial" w:cs="Arial"/>
          <w:bCs/>
          <w:sz w:val="18"/>
          <w:szCs w:val="18"/>
        </w:rPr>
        <w:t xml:space="preserve">, available at: </w:t>
      </w:r>
      <w:hyperlink r:id="rId18" w:history="1">
        <w:r w:rsidR="00BB0A66" w:rsidRPr="00E20D39">
          <w:rPr>
            <w:rStyle w:val="Hyperlink"/>
            <w:rFonts w:ascii="Arial" w:hAnsi="Arial" w:cs="Arial"/>
            <w:bCs/>
            <w:sz w:val="18"/>
            <w:szCs w:val="18"/>
          </w:rPr>
          <w:t>http://www.equalityhumanrights.com/about-us/our-work/human-rights/international-framework/international-covenant-civil-and-political-rights</w:t>
        </w:r>
      </w:hyperlink>
      <w:r w:rsidRPr="00E20D39">
        <w:rPr>
          <w:rFonts w:ascii="Arial" w:hAnsi="Arial" w:cs="Arial"/>
          <w:bCs/>
          <w:sz w:val="18"/>
          <w:szCs w:val="18"/>
        </w:rPr>
        <w:t xml:space="preserve">; </w:t>
      </w:r>
      <w:r w:rsidR="00BB0A66" w:rsidRPr="00E20D39">
        <w:rPr>
          <w:rFonts w:ascii="Arial" w:hAnsi="Arial" w:cs="Arial"/>
          <w:bCs/>
          <w:sz w:val="18"/>
          <w:szCs w:val="18"/>
        </w:rPr>
        <w:t>S</w:t>
      </w:r>
      <w:r w:rsidRPr="00E20D39">
        <w:rPr>
          <w:rFonts w:ascii="Arial" w:hAnsi="Arial" w:cs="Arial"/>
          <w:bCs/>
          <w:sz w:val="18"/>
          <w:szCs w:val="18"/>
        </w:rPr>
        <w:t xml:space="preserve">tatistics from Gov.uk, Guidance: IHAT work completed, </w:t>
      </w:r>
      <w:r w:rsidR="00BB0A66" w:rsidRPr="00E20D39">
        <w:rPr>
          <w:rFonts w:ascii="Arial" w:hAnsi="Arial" w:cs="Arial"/>
          <w:bCs/>
          <w:sz w:val="18"/>
          <w:szCs w:val="18"/>
        </w:rPr>
        <w:t xml:space="preserve">available at: </w:t>
      </w:r>
      <w:hyperlink r:id="rId19" w:history="1">
        <w:r w:rsidRPr="00E20D39">
          <w:rPr>
            <w:rStyle w:val="Hyperlink"/>
            <w:rFonts w:ascii="Arial" w:hAnsi="Arial" w:cs="Arial"/>
            <w:bCs/>
            <w:sz w:val="18"/>
            <w:szCs w:val="18"/>
          </w:rPr>
          <w:t>https://www.gov.uk/government/publications/ihat-work-completed</w:t>
        </w:r>
      </w:hyperlink>
      <w:r w:rsidRPr="00E20D39">
        <w:rPr>
          <w:rFonts w:ascii="Arial" w:hAnsi="Arial" w:cs="Arial"/>
          <w:bCs/>
          <w:sz w:val="18"/>
          <w:szCs w:val="18"/>
        </w:rPr>
        <w:t xml:space="preserve"> </w:t>
      </w:r>
    </w:p>
  </w:footnote>
  <w:footnote w:id="18">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BA0258" w:rsidRPr="00E20D39">
        <w:rPr>
          <w:rFonts w:ascii="Arial" w:hAnsi="Arial" w:cs="Arial"/>
          <w:sz w:val="18"/>
          <w:szCs w:val="18"/>
        </w:rPr>
        <w:t xml:space="preserve">UN </w:t>
      </w:r>
      <w:r w:rsidRPr="00E20D39">
        <w:rPr>
          <w:rFonts w:ascii="Arial" w:hAnsi="Arial" w:cs="Arial"/>
          <w:sz w:val="18"/>
          <w:szCs w:val="18"/>
        </w:rPr>
        <w:t xml:space="preserve">Committee against Torture, </w:t>
      </w:r>
      <w:r w:rsidRPr="00E20D39">
        <w:rPr>
          <w:rFonts w:ascii="Arial" w:eastAsia="Calibri" w:hAnsi="Arial" w:cs="Arial"/>
          <w:bCs/>
          <w:color w:val="000000"/>
          <w:sz w:val="18"/>
          <w:szCs w:val="18"/>
        </w:rPr>
        <w:t>Concluding observations on the fifth periodic report of the United Kingdom, adopted by the Committee at its fiftieth</w:t>
      </w:r>
      <w:r w:rsidRPr="00E20D39">
        <w:rPr>
          <w:rFonts w:ascii="Arial" w:hAnsi="Arial" w:cs="Arial"/>
          <w:bCs/>
          <w:sz w:val="18"/>
          <w:szCs w:val="18"/>
        </w:rPr>
        <w:t xml:space="preserve"> </w:t>
      </w:r>
      <w:r w:rsidRPr="00E20D39">
        <w:rPr>
          <w:rFonts w:ascii="Arial" w:eastAsia="Calibri" w:hAnsi="Arial" w:cs="Arial"/>
          <w:bCs/>
          <w:color w:val="000000"/>
          <w:sz w:val="18"/>
          <w:szCs w:val="18"/>
        </w:rPr>
        <w:t>session (6-31 May 2013)</w:t>
      </w:r>
      <w:r w:rsidR="003262CE" w:rsidRPr="00E20D39">
        <w:rPr>
          <w:rFonts w:ascii="Arial" w:eastAsia="Calibri" w:hAnsi="Arial" w:cs="Arial"/>
          <w:bCs/>
          <w:color w:val="000000"/>
          <w:sz w:val="18"/>
          <w:szCs w:val="18"/>
        </w:rPr>
        <w:t xml:space="preserve">, para 31, available at: </w:t>
      </w:r>
      <w:hyperlink r:id="rId20" w:history="1">
        <w:r w:rsidR="003262CE" w:rsidRPr="00E20D39">
          <w:rPr>
            <w:rStyle w:val="Hyperlink"/>
            <w:rFonts w:ascii="Arial" w:hAnsi="Arial" w:cs="Arial"/>
            <w:sz w:val="18"/>
            <w:szCs w:val="18"/>
          </w:rPr>
          <w:t>http://www.equalityhumanrights.com/about-us/our-work/human-rights/international-framework/un-convention-against-torture-and-other-cruel-inhuman-or-degrading-treatment-or-punishment</w:t>
        </w:r>
      </w:hyperlink>
    </w:p>
  </w:footnote>
  <w:footnote w:id="19">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EHRC, </w:t>
      </w:r>
      <w:r w:rsidRPr="00E20D39">
        <w:rPr>
          <w:rFonts w:ascii="Arial" w:eastAsia="Calibri" w:hAnsi="Arial" w:cs="Arial"/>
          <w:color w:val="000000"/>
          <w:sz w:val="18"/>
          <w:szCs w:val="18"/>
        </w:rPr>
        <w:t>Preventing Deaths in Detention of Adults with Mental Health Conditions</w:t>
      </w:r>
      <w:r w:rsidRPr="00E20D39">
        <w:rPr>
          <w:rFonts w:ascii="Arial" w:hAnsi="Arial" w:cs="Arial"/>
          <w:sz w:val="18"/>
          <w:szCs w:val="18"/>
        </w:rPr>
        <w:t xml:space="preserve"> </w:t>
      </w:r>
      <w:hyperlink r:id="rId21" w:history="1">
        <w:r w:rsidRPr="00E20D39">
          <w:rPr>
            <w:rStyle w:val="Hyperlink"/>
            <w:rFonts w:ascii="Arial" w:eastAsia="Calibri" w:hAnsi="Arial" w:cs="Arial"/>
            <w:sz w:val="18"/>
            <w:szCs w:val="18"/>
          </w:rPr>
          <w:t>http://www.equalityhumanrights.com/legal-and-policy/our-legal-work/inquiries-and-assessments/preventing-deaths-detention-adults-mental-health-conditions/news-and-updates</w:t>
        </w:r>
      </w:hyperlink>
      <w:r w:rsidRPr="00E20D39">
        <w:rPr>
          <w:rFonts w:ascii="Arial" w:eastAsia="Calibri" w:hAnsi="Arial" w:cs="Arial"/>
          <w:color w:val="000000"/>
          <w:sz w:val="18"/>
          <w:szCs w:val="18"/>
        </w:rPr>
        <w:t xml:space="preserve"> </w:t>
      </w:r>
    </w:p>
  </w:footnote>
  <w:footnote w:id="20">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EHRC</w:t>
      </w:r>
      <w:r w:rsidR="0031116E" w:rsidRPr="00E20D39">
        <w:rPr>
          <w:rFonts w:ascii="Arial" w:hAnsi="Arial" w:cs="Arial"/>
          <w:sz w:val="18"/>
          <w:szCs w:val="18"/>
        </w:rPr>
        <w:t xml:space="preserve">, </w:t>
      </w:r>
      <w:r w:rsidRPr="00E20D39">
        <w:rPr>
          <w:rFonts w:ascii="Arial" w:hAnsi="Arial" w:cs="Arial"/>
          <w:sz w:val="18"/>
          <w:szCs w:val="18"/>
        </w:rPr>
        <w:t xml:space="preserve">Adult Deaths in Detention Inquiry Report, Chapter 9 – Scotland, p. 67, </w:t>
      </w:r>
      <w:r w:rsidR="0031116E" w:rsidRPr="00E20D39">
        <w:rPr>
          <w:rFonts w:ascii="Arial" w:hAnsi="Arial" w:cs="Arial"/>
          <w:sz w:val="18"/>
          <w:szCs w:val="18"/>
        </w:rPr>
        <w:t xml:space="preserve">February 2015, </w:t>
      </w:r>
      <w:r w:rsidRPr="00E20D39">
        <w:rPr>
          <w:rFonts w:ascii="Arial" w:hAnsi="Arial" w:cs="Arial"/>
          <w:sz w:val="18"/>
          <w:szCs w:val="18"/>
        </w:rPr>
        <w:t xml:space="preserve">available at </w:t>
      </w:r>
      <w:hyperlink r:id="rId22" w:history="1">
        <w:r w:rsidRPr="00E20D39">
          <w:rPr>
            <w:rStyle w:val="Hyperlink"/>
            <w:rFonts w:ascii="Arial" w:hAnsi="Arial" w:cs="Arial"/>
            <w:sz w:val="18"/>
            <w:szCs w:val="18"/>
          </w:rPr>
          <w:t>http://www.equalityhumanrights.com/legal-and-policy/our-legal-work/inquiries-and-assessments/preventing-deaths-detention-adults-mental-health-conditions</w:t>
        </w:r>
      </w:hyperlink>
      <w:r w:rsidRPr="00E20D39">
        <w:rPr>
          <w:rFonts w:ascii="Arial" w:hAnsi="Arial" w:cs="Arial"/>
          <w:sz w:val="18"/>
          <w:szCs w:val="18"/>
        </w:rPr>
        <w:t xml:space="preserve"> </w:t>
      </w:r>
    </w:p>
  </w:footnote>
  <w:footnote w:id="21">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0031116E" w:rsidRPr="00E20D39">
        <w:rPr>
          <w:rFonts w:ascii="Arial" w:hAnsi="Arial" w:cs="Arial"/>
          <w:sz w:val="18"/>
          <w:szCs w:val="18"/>
        </w:rPr>
        <w:t xml:space="preserve"> EHRC, </w:t>
      </w:r>
      <w:r w:rsidRPr="00E20D39">
        <w:rPr>
          <w:rFonts w:ascii="Arial" w:hAnsi="Arial" w:cs="Arial"/>
          <w:sz w:val="18"/>
          <w:szCs w:val="18"/>
        </w:rPr>
        <w:t>Adult Deaths in Detention Inquiry Report, Chapter 9 – Scotland, p. 98</w:t>
      </w:r>
    </w:p>
  </w:footnote>
  <w:footnote w:id="22">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31116E" w:rsidRPr="00E20D39">
        <w:rPr>
          <w:rFonts w:ascii="Arial" w:hAnsi="Arial" w:cs="Arial"/>
          <w:sz w:val="18"/>
          <w:szCs w:val="18"/>
        </w:rPr>
        <w:t xml:space="preserve">EHRC, </w:t>
      </w:r>
      <w:r w:rsidRPr="00E20D39">
        <w:rPr>
          <w:rFonts w:ascii="Arial" w:hAnsi="Arial" w:cs="Arial"/>
          <w:sz w:val="18"/>
          <w:szCs w:val="18"/>
        </w:rPr>
        <w:t>Adult Deaths in Detention Inquiry Report, Chapter 9 – Scotland, p. 98</w:t>
      </w:r>
    </w:p>
  </w:footnote>
  <w:footnote w:id="23">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31116E" w:rsidRPr="00E20D39">
        <w:rPr>
          <w:rFonts w:ascii="Arial" w:hAnsi="Arial" w:cs="Arial"/>
          <w:sz w:val="18"/>
          <w:szCs w:val="18"/>
        </w:rPr>
        <w:t>EHRC,</w:t>
      </w:r>
      <w:r w:rsidRPr="00E20D39">
        <w:rPr>
          <w:rFonts w:ascii="Arial" w:hAnsi="Arial" w:cs="Arial"/>
          <w:sz w:val="18"/>
          <w:szCs w:val="18"/>
        </w:rPr>
        <w:t xml:space="preserve"> Adult Deaths in Detention Inquiry Report, Chapter 9 – Scotland, p. 73</w:t>
      </w:r>
    </w:p>
  </w:footnote>
  <w:footnote w:id="24">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0031116E" w:rsidRPr="00E20D39">
        <w:rPr>
          <w:rFonts w:ascii="Arial" w:hAnsi="Arial" w:cs="Arial"/>
          <w:sz w:val="18"/>
          <w:szCs w:val="18"/>
        </w:rPr>
        <w:t xml:space="preserve"> EHRC</w:t>
      </w:r>
      <w:r w:rsidRPr="00E20D39">
        <w:rPr>
          <w:rFonts w:ascii="Arial" w:hAnsi="Arial" w:cs="Arial"/>
          <w:sz w:val="18"/>
          <w:szCs w:val="18"/>
        </w:rPr>
        <w:t>, Is Britain fairer?</w:t>
      </w:r>
      <w:r w:rsidRPr="00E20D39">
        <w:rPr>
          <w:rFonts w:ascii="Arial" w:eastAsia="Calibri" w:hAnsi="Arial" w:cs="Arial"/>
          <w:color w:val="000000"/>
          <w:sz w:val="18"/>
          <w:szCs w:val="18"/>
        </w:rPr>
        <w:t xml:space="preserve"> The state of equality and human rights</w:t>
      </w:r>
      <w:r w:rsidRPr="00E20D39">
        <w:rPr>
          <w:rFonts w:ascii="Arial" w:hAnsi="Arial" w:cs="Arial"/>
          <w:sz w:val="18"/>
          <w:szCs w:val="18"/>
        </w:rPr>
        <w:t>, p. 78</w:t>
      </w:r>
      <w:r w:rsidR="0031116E" w:rsidRPr="00E20D39">
        <w:rPr>
          <w:rFonts w:ascii="Arial" w:hAnsi="Arial" w:cs="Arial"/>
          <w:sz w:val="18"/>
          <w:szCs w:val="18"/>
        </w:rPr>
        <w:t xml:space="preserve">, October 2015, available at: </w:t>
      </w:r>
      <w:hyperlink r:id="rId23" w:history="1">
        <w:r w:rsidR="0031116E" w:rsidRPr="00E20D39">
          <w:rPr>
            <w:rStyle w:val="Hyperlink"/>
            <w:rFonts w:ascii="Arial" w:hAnsi="Arial" w:cs="Arial"/>
            <w:sz w:val="18"/>
            <w:szCs w:val="18"/>
          </w:rPr>
          <w:t>http://www.equalityhumanrights.com/about-us/our-work/key-projects/britain-fairer-0</w:t>
        </w:r>
      </w:hyperlink>
    </w:p>
  </w:footnote>
  <w:footnote w:id="25">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31116E" w:rsidRPr="00E20D39">
        <w:rPr>
          <w:rFonts w:ascii="Arial" w:hAnsi="Arial" w:cs="Arial"/>
          <w:bCs/>
          <w:sz w:val="18"/>
          <w:szCs w:val="18"/>
        </w:rPr>
        <w:t>EHRC</w:t>
      </w:r>
      <w:r w:rsidRPr="00E20D39">
        <w:rPr>
          <w:rFonts w:ascii="Arial" w:hAnsi="Arial" w:cs="Arial"/>
          <w:bCs/>
          <w:sz w:val="18"/>
          <w:szCs w:val="18"/>
        </w:rPr>
        <w:t xml:space="preserve"> Submission to the United Nations Human Rights Committee on the United Kingdom’s Implementation of the International Covenant on Civil and Po</w:t>
      </w:r>
      <w:r w:rsidR="0031116E" w:rsidRPr="00E20D39">
        <w:rPr>
          <w:rFonts w:ascii="Arial" w:hAnsi="Arial" w:cs="Arial"/>
          <w:bCs/>
          <w:sz w:val="18"/>
          <w:szCs w:val="18"/>
        </w:rPr>
        <w:t xml:space="preserve">litical Rights, May 2015, p. 56, available at: </w:t>
      </w:r>
      <w:hyperlink r:id="rId24" w:history="1">
        <w:r w:rsidR="0031116E" w:rsidRPr="00E20D39">
          <w:rPr>
            <w:rStyle w:val="Hyperlink"/>
            <w:rFonts w:ascii="Arial" w:hAnsi="Arial" w:cs="Arial"/>
            <w:bCs/>
            <w:sz w:val="18"/>
            <w:szCs w:val="18"/>
          </w:rPr>
          <w:t>http://www.equalityhumanrights.com/about-us/our-work/human-rights/international-framework/international-covenant-civil-and-political-rights</w:t>
        </w:r>
      </w:hyperlink>
      <w:r w:rsidR="0031116E" w:rsidRPr="00E20D39">
        <w:rPr>
          <w:rFonts w:ascii="Arial" w:hAnsi="Arial" w:cs="Arial"/>
          <w:bCs/>
          <w:sz w:val="18"/>
          <w:szCs w:val="18"/>
        </w:rPr>
        <w:t xml:space="preserve"> </w:t>
      </w:r>
    </w:p>
  </w:footnote>
  <w:footnote w:id="26">
    <w:p w:rsidR="004F1D87" w:rsidRPr="004F1D87" w:rsidRDefault="004F1D87" w:rsidP="004F1D87">
      <w:pPr>
        <w:tabs>
          <w:tab w:val="left" w:pos="720"/>
        </w:tabs>
        <w:autoSpaceDE w:val="0"/>
        <w:autoSpaceDN w:val="0"/>
        <w:adjustRightInd w:val="0"/>
        <w:rPr>
          <w:rFonts w:ascii="Arial" w:eastAsia="Calibri" w:hAnsi="Arial" w:cs="Arial"/>
          <w:color w:val="000000"/>
          <w:sz w:val="18"/>
          <w:szCs w:val="18"/>
        </w:rPr>
      </w:pPr>
      <w:r w:rsidRPr="004F1D87">
        <w:rPr>
          <w:rStyle w:val="FootnoteReference"/>
          <w:rFonts w:ascii="Arial" w:hAnsi="Arial" w:cs="Arial"/>
          <w:sz w:val="18"/>
        </w:rPr>
        <w:footnoteRef/>
      </w:r>
      <w:r w:rsidRPr="004F1D87">
        <w:rPr>
          <w:rFonts w:ascii="Arial" w:hAnsi="Arial" w:cs="Arial"/>
          <w:sz w:val="18"/>
        </w:rPr>
        <w:t xml:space="preserve"> BBC, </w:t>
      </w:r>
      <w:r w:rsidRPr="004F1D87">
        <w:rPr>
          <w:rFonts w:ascii="Arial" w:eastAsia="Calibri" w:hAnsi="Arial" w:cs="Arial"/>
          <w:color w:val="000000"/>
          <w:sz w:val="18"/>
          <w:szCs w:val="18"/>
        </w:rPr>
        <w:t xml:space="preserve">Four sacked after Panorama investigation into G4S unit, </w:t>
      </w:r>
      <w:r w:rsidR="00467619">
        <w:rPr>
          <w:rFonts w:ascii="Arial" w:eastAsia="Calibri" w:hAnsi="Arial" w:cs="Arial"/>
          <w:color w:val="000000"/>
          <w:sz w:val="18"/>
          <w:szCs w:val="18"/>
        </w:rPr>
        <w:t xml:space="preserve">12 January 2016, </w:t>
      </w:r>
      <w:r w:rsidRPr="004F1D87">
        <w:rPr>
          <w:rFonts w:ascii="Arial" w:eastAsia="Calibri" w:hAnsi="Arial" w:cs="Arial"/>
          <w:color w:val="000000"/>
          <w:sz w:val="18"/>
          <w:szCs w:val="18"/>
        </w:rPr>
        <w:t xml:space="preserve">available at: </w:t>
      </w:r>
      <w:hyperlink r:id="rId25" w:history="1">
        <w:r w:rsidRPr="004F1D87">
          <w:rPr>
            <w:rStyle w:val="Hyperlink"/>
            <w:rFonts w:ascii="Arial" w:eastAsia="Calibri" w:hAnsi="Arial" w:cs="Arial"/>
            <w:sz w:val="18"/>
            <w:szCs w:val="18"/>
          </w:rPr>
          <w:t>http://www.bbc.co.uk/news/uk-england-kent-35290582</w:t>
        </w:r>
      </w:hyperlink>
      <w:r w:rsidRPr="004F1D87">
        <w:rPr>
          <w:rFonts w:ascii="Arial" w:eastAsia="Calibri" w:hAnsi="Arial" w:cs="Arial"/>
          <w:color w:val="000000"/>
          <w:sz w:val="18"/>
          <w:szCs w:val="18"/>
        </w:rPr>
        <w:t xml:space="preserve"> </w:t>
      </w:r>
    </w:p>
  </w:footnote>
  <w:footnote w:id="27">
    <w:p w:rsidR="009331E9" w:rsidRPr="009331E9" w:rsidRDefault="009331E9" w:rsidP="009331E9">
      <w:pPr>
        <w:pStyle w:val="FootnoteText"/>
        <w:rPr>
          <w:rFonts w:ascii="Arial" w:hAnsi="Arial" w:cs="Arial"/>
          <w:sz w:val="18"/>
          <w:szCs w:val="18"/>
        </w:rPr>
      </w:pPr>
      <w:r w:rsidRPr="009331E9">
        <w:rPr>
          <w:rStyle w:val="FootnoteReference"/>
          <w:rFonts w:ascii="Arial" w:hAnsi="Arial" w:cs="Arial"/>
          <w:sz w:val="18"/>
          <w:szCs w:val="18"/>
        </w:rPr>
        <w:footnoteRef/>
      </w:r>
      <w:r w:rsidRPr="009331E9">
        <w:rPr>
          <w:rFonts w:ascii="Arial" w:hAnsi="Arial" w:cs="Arial"/>
          <w:sz w:val="18"/>
          <w:szCs w:val="18"/>
        </w:rPr>
        <w:t xml:space="preserve"> Michael Gove, Justice Secretary,</w:t>
      </w:r>
      <w:r>
        <w:rPr>
          <w:rFonts w:ascii="Arial" w:hAnsi="Arial" w:cs="Arial"/>
          <w:sz w:val="18"/>
          <w:szCs w:val="18"/>
        </w:rPr>
        <w:t xml:space="preserve"> 26 January 2016, available at: </w:t>
      </w:r>
      <w:hyperlink r:id="rId26" w:history="1">
        <w:r w:rsidRPr="00422D0B">
          <w:rPr>
            <w:rStyle w:val="Hyperlink"/>
            <w:rFonts w:ascii="Arial" w:hAnsi="Arial" w:cs="Arial"/>
            <w:sz w:val="18"/>
            <w:szCs w:val="18"/>
          </w:rPr>
          <w:t>http://www.parliament.uk/business/publications/written-questions-answers-statements/written-statement/Commons/2016-01-26/HCWS492/</w:t>
        </w:r>
      </w:hyperlink>
      <w:r>
        <w:rPr>
          <w:rFonts w:ascii="Arial" w:hAnsi="Arial" w:cs="Arial"/>
          <w:sz w:val="18"/>
          <w:szCs w:val="18"/>
        </w:rPr>
        <w:t xml:space="preserve"> </w:t>
      </w:r>
      <w:r w:rsidRPr="009331E9">
        <w:rPr>
          <w:rFonts w:ascii="Arial" w:hAnsi="Arial" w:cs="Arial"/>
          <w:sz w:val="18"/>
          <w:szCs w:val="18"/>
        </w:rPr>
        <w:t xml:space="preserve"> </w:t>
      </w:r>
    </w:p>
  </w:footnote>
  <w:footnote w:id="28">
    <w:p w:rsidR="009331E9" w:rsidRPr="009331E9" w:rsidRDefault="009331E9">
      <w:pPr>
        <w:pStyle w:val="FootnoteText"/>
        <w:rPr>
          <w:rFonts w:ascii="Arial" w:hAnsi="Arial" w:cs="Arial"/>
          <w:sz w:val="18"/>
          <w:szCs w:val="18"/>
        </w:rPr>
      </w:pPr>
      <w:r w:rsidRPr="009331E9">
        <w:rPr>
          <w:rStyle w:val="FootnoteReference"/>
          <w:rFonts w:ascii="Arial" w:hAnsi="Arial" w:cs="Arial"/>
          <w:sz w:val="18"/>
          <w:szCs w:val="18"/>
        </w:rPr>
        <w:footnoteRef/>
      </w:r>
      <w:r w:rsidRPr="009331E9">
        <w:rPr>
          <w:rFonts w:ascii="Arial" w:hAnsi="Arial" w:cs="Arial"/>
          <w:sz w:val="18"/>
          <w:szCs w:val="18"/>
        </w:rPr>
        <w:t xml:space="preserve"> Michael Gove, Justice Secretary,</w:t>
      </w:r>
      <w:r>
        <w:rPr>
          <w:rFonts w:ascii="Arial" w:hAnsi="Arial" w:cs="Arial"/>
          <w:sz w:val="18"/>
          <w:szCs w:val="18"/>
        </w:rPr>
        <w:t xml:space="preserve"> 26 January 2016, available at: </w:t>
      </w:r>
      <w:hyperlink r:id="rId27" w:history="1">
        <w:r w:rsidRPr="00422D0B">
          <w:rPr>
            <w:rStyle w:val="Hyperlink"/>
            <w:rFonts w:ascii="Arial" w:hAnsi="Arial" w:cs="Arial"/>
            <w:sz w:val="18"/>
            <w:szCs w:val="18"/>
          </w:rPr>
          <w:t>http://www.parliament.uk/business/publications/written-questions-answers-statements/written-statement/Commons/2016-01-26/HCWS492/</w:t>
        </w:r>
      </w:hyperlink>
      <w:r>
        <w:rPr>
          <w:rFonts w:ascii="Arial" w:hAnsi="Arial" w:cs="Arial"/>
          <w:sz w:val="18"/>
          <w:szCs w:val="18"/>
        </w:rPr>
        <w:t xml:space="preserve"> </w:t>
      </w:r>
      <w:r w:rsidRPr="009331E9">
        <w:rPr>
          <w:rFonts w:ascii="Arial" w:hAnsi="Arial" w:cs="Arial"/>
          <w:sz w:val="18"/>
          <w:szCs w:val="18"/>
        </w:rPr>
        <w:t xml:space="preserve"> </w:t>
      </w:r>
    </w:p>
  </w:footnote>
  <w:footnote w:id="29">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hAnsi="Arial" w:cs="Arial"/>
          <w:bCs/>
          <w:sz w:val="18"/>
          <w:szCs w:val="18"/>
        </w:rPr>
        <w:t>Equality and Human Rights Commission Submission to the United Nations Human Rights Committee on the United Kingdom’s Implementation of the International Covenant on Civil and Political Rights, May 2015, p. 57</w:t>
      </w:r>
      <w:r w:rsidR="00406F4F" w:rsidRPr="00E20D39">
        <w:rPr>
          <w:rFonts w:ascii="Arial" w:hAnsi="Arial" w:cs="Arial"/>
          <w:bCs/>
          <w:sz w:val="18"/>
          <w:szCs w:val="18"/>
        </w:rPr>
        <w:t xml:space="preserve">, </w:t>
      </w:r>
      <w:r w:rsidR="00406F4F" w:rsidRPr="00E20D39">
        <w:rPr>
          <w:rFonts w:ascii="Arial" w:hAnsi="Arial" w:cs="Arial"/>
          <w:sz w:val="18"/>
          <w:szCs w:val="18"/>
        </w:rPr>
        <w:t xml:space="preserve">available at: </w:t>
      </w:r>
      <w:hyperlink r:id="rId28" w:history="1">
        <w:r w:rsidR="00406F4F" w:rsidRPr="00E20D39">
          <w:rPr>
            <w:rStyle w:val="Hyperlink"/>
            <w:rFonts w:ascii="Arial" w:hAnsi="Arial" w:cs="Arial"/>
            <w:sz w:val="18"/>
            <w:szCs w:val="18"/>
          </w:rPr>
          <w:t>http://www.equalityhumanrights.com/about-us/our-work/human-rights/international-framework/international-covenant-civil-and-political-rights</w:t>
        </w:r>
      </w:hyperlink>
    </w:p>
  </w:footnote>
  <w:footnote w:id="30">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Concluding Observations for the UK by the UN Human Rights Committee, July 2015</w:t>
      </w:r>
      <w:r w:rsidR="00F90ADB" w:rsidRPr="00E20D39">
        <w:rPr>
          <w:rFonts w:ascii="Arial" w:eastAsia="Calibri" w:hAnsi="Arial" w:cs="Arial"/>
          <w:color w:val="000000"/>
          <w:sz w:val="18"/>
          <w:szCs w:val="18"/>
        </w:rPr>
        <w:t xml:space="preserve">, para 21 available at:  </w:t>
      </w:r>
      <w:hyperlink r:id="rId29" w:history="1">
        <w:r w:rsidR="00F90ADB" w:rsidRPr="00E20D39">
          <w:rPr>
            <w:rStyle w:val="Hyperlink"/>
            <w:rFonts w:ascii="Arial" w:eastAsia="Calibri" w:hAnsi="Arial" w:cs="Arial"/>
            <w:sz w:val="18"/>
            <w:szCs w:val="18"/>
          </w:rPr>
          <w:t>http://www.equalityhumanrights.com/sites/default/files/uploads/documents/humanrights/UN/CCPRC%20GB%20concluding%20observations%20(1).pdf</w:t>
        </w:r>
      </w:hyperlink>
    </w:p>
  </w:footnote>
  <w:footnote w:id="31">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Concluding Observations for the UK by the UN Human Rights Committee, July 2015</w:t>
      </w:r>
      <w:r w:rsidR="00F90ADB" w:rsidRPr="00E20D39">
        <w:rPr>
          <w:rFonts w:ascii="Arial" w:eastAsia="Calibri" w:hAnsi="Arial" w:cs="Arial"/>
          <w:color w:val="000000"/>
          <w:sz w:val="18"/>
          <w:szCs w:val="18"/>
        </w:rPr>
        <w:t xml:space="preserve">, para 21 </w:t>
      </w:r>
    </w:p>
  </w:footnote>
  <w:footnote w:id="32">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James Brokenshire, Immigration Minister, Home Office, Hansard, 2 July 2015, </w:t>
      </w:r>
      <w:hyperlink r:id="rId30" w:history="1">
        <w:r w:rsidRPr="00E20D39">
          <w:rPr>
            <w:rStyle w:val="Hyperlink"/>
            <w:rFonts w:ascii="Arial" w:hAnsi="Arial" w:cs="Arial"/>
            <w:sz w:val="18"/>
            <w:szCs w:val="18"/>
          </w:rPr>
          <w:t>http://www.parliament.uk/business/publications/written-questions-answers-statements/written-statement/Commons/2015-07-02/HCWS83/</w:t>
        </w:r>
      </w:hyperlink>
      <w:r w:rsidRPr="00E20D39">
        <w:rPr>
          <w:rFonts w:ascii="Arial" w:hAnsi="Arial" w:cs="Arial"/>
          <w:sz w:val="18"/>
          <w:szCs w:val="18"/>
        </w:rPr>
        <w:t>;</w:t>
      </w:r>
    </w:p>
  </w:footnote>
  <w:footnote w:id="33">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Detention Action v First-Tier Tribunal (Immigration and Asylum Chamber) &amp; Ors [2015] EWHC 1689</w:t>
      </w:r>
      <w:r w:rsidRPr="00E20D39">
        <w:rPr>
          <w:rFonts w:ascii="Arial" w:eastAsia="Times New Roman" w:hAnsi="Arial" w:cs="Arial"/>
          <w:bCs/>
          <w:sz w:val="18"/>
          <w:szCs w:val="18"/>
        </w:rPr>
        <w:t xml:space="preserve">, 12 June 2015 </w:t>
      </w:r>
      <w:hyperlink r:id="rId31" w:history="1">
        <w:r w:rsidRPr="00E20D39">
          <w:rPr>
            <w:rStyle w:val="Hyperlink"/>
            <w:rFonts w:ascii="Arial" w:eastAsia="Calibri" w:hAnsi="Arial" w:cs="Arial"/>
            <w:sz w:val="18"/>
            <w:szCs w:val="18"/>
          </w:rPr>
          <w:t>https://www.judiciary.gov.uk/wp-content/uploads/2015/06/detention-action-v-first-tier-tribunal.pdf</w:t>
        </w:r>
      </w:hyperlink>
      <w:r w:rsidRPr="00E20D39">
        <w:rPr>
          <w:rFonts w:ascii="Arial" w:eastAsia="Calibri" w:hAnsi="Arial" w:cs="Arial"/>
          <w:color w:val="000000"/>
          <w:sz w:val="18"/>
          <w:szCs w:val="18"/>
        </w:rPr>
        <w:t xml:space="preserve">; The Lord Chancellor v Detention Action [2015] EWCA Civ 840, 29 July 2015 </w:t>
      </w:r>
      <w:hyperlink r:id="rId32" w:history="1">
        <w:r w:rsidRPr="00E20D39">
          <w:rPr>
            <w:rStyle w:val="Hyperlink"/>
            <w:rFonts w:ascii="Arial" w:eastAsia="Calibri" w:hAnsi="Arial" w:cs="Arial"/>
            <w:sz w:val="18"/>
            <w:szCs w:val="18"/>
          </w:rPr>
          <w:t>https://www.judiciary.gov.uk/wp-content/uploads/2015/07/lord-chancellor-v-detention-action-judgment.pdf</w:t>
        </w:r>
      </w:hyperlink>
      <w:r w:rsidRPr="00E20D39">
        <w:rPr>
          <w:rFonts w:ascii="Arial" w:eastAsia="Calibri" w:hAnsi="Arial" w:cs="Arial"/>
          <w:color w:val="000000"/>
          <w:sz w:val="18"/>
          <w:szCs w:val="18"/>
        </w:rPr>
        <w:t xml:space="preserve"> </w:t>
      </w:r>
    </w:p>
  </w:footnote>
  <w:footnote w:id="34">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UN Human Rights Committee, </w:t>
      </w:r>
      <w:r w:rsidRPr="00E20D39">
        <w:rPr>
          <w:rFonts w:ascii="Arial" w:eastAsia="Calibri" w:hAnsi="Arial" w:cs="Arial"/>
          <w:color w:val="000000"/>
          <w:sz w:val="18"/>
          <w:szCs w:val="18"/>
        </w:rPr>
        <w:t xml:space="preserve">Concluding Observations for the UK, July 2015, para 21.b. available at: </w:t>
      </w:r>
      <w:hyperlink r:id="rId33" w:history="1">
        <w:r w:rsidRPr="00E20D39">
          <w:rPr>
            <w:rStyle w:val="Hyperlink"/>
            <w:rFonts w:ascii="Arial" w:eastAsia="Calibri" w:hAnsi="Arial" w:cs="Arial"/>
            <w:sz w:val="18"/>
            <w:szCs w:val="18"/>
          </w:rPr>
          <w:t>http://www.equalityhumanrights.com/about-us/our-work/human-rights/international-framework/international-covenant-civil-and-political-rights</w:t>
        </w:r>
      </w:hyperlink>
      <w:r w:rsidRPr="00E20D39">
        <w:rPr>
          <w:rFonts w:ascii="Arial" w:eastAsia="Calibri" w:hAnsi="Arial" w:cs="Arial"/>
          <w:color w:val="000000"/>
          <w:sz w:val="18"/>
          <w:szCs w:val="18"/>
        </w:rPr>
        <w:t xml:space="preserve"> </w:t>
      </w:r>
    </w:p>
  </w:footnote>
  <w:footnote w:id="35">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HM Chief Inspector of Prisons (February 2015) “Report on an unannounced inspection of Dungavel House Immigration Removal Centre” pp.  9-20, available at: </w:t>
      </w:r>
      <w:hyperlink r:id="rId34" w:history="1">
        <w:r w:rsidRPr="00E20D39">
          <w:rPr>
            <w:rStyle w:val="Hyperlink"/>
            <w:rFonts w:ascii="Arial" w:eastAsia="Calibri" w:hAnsi="Arial" w:cs="Arial"/>
            <w:sz w:val="18"/>
            <w:szCs w:val="18"/>
          </w:rPr>
          <w:t>https://www.justiceinspectorates.gov.uk/hmiprisons/wp-content/uploads/sites/4/2015/07/Dungavel-web-2015.pdf</w:t>
        </w:r>
      </w:hyperlink>
      <w:r w:rsidRPr="00E20D39">
        <w:rPr>
          <w:rFonts w:ascii="Arial" w:eastAsia="Calibri" w:hAnsi="Arial" w:cs="Arial"/>
          <w:color w:val="000000"/>
          <w:sz w:val="18"/>
          <w:szCs w:val="18"/>
        </w:rPr>
        <w:t xml:space="preserve">   </w:t>
      </w:r>
    </w:p>
  </w:footnote>
  <w:footnote w:id="36">
    <w:p w:rsidR="006E0E63" w:rsidRPr="00E20D39" w:rsidRDefault="006E0E63" w:rsidP="006E0E63">
      <w:pPr>
        <w:pStyle w:val="Default"/>
        <w:rPr>
          <w:sz w:val="18"/>
          <w:szCs w:val="18"/>
        </w:rPr>
      </w:pPr>
      <w:r w:rsidRPr="00E20D39">
        <w:rPr>
          <w:rStyle w:val="FootnoteReference"/>
          <w:sz w:val="18"/>
          <w:szCs w:val="18"/>
        </w:rPr>
        <w:footnoteRef/>
      </w:r>
      <w:r w:rsidRPr="00E20D39">
        <w:rPr>
          <w:sz w:val="18"/>
          <w:szCs w:val="18"/>
        </w:rPr>
        <w:t xml:space="preserve"> </w:t>
      </w:r>
      <w:r w:rsidRPr="00E20D39">
        <w:rPr>
          <w:bCs/>
          <w:sz w:val="18"/>
          <w:szCs w:val="18"/>
        </w:rPr>
        <w:t xml:space="preserve">Stephen Shaw, Review into the Welfare in Detention of Vulnerable Persons: A report to the Home Office, 16 January 2016, available at: </w:t>
      </w:r>
      <w:hyperlink r:id="rId35" w:history="1">
        <w:r w:rsidRPr="00E20D39">
          <w:rPr>
            <w:rStyle w:val="Hyperlink"/>
            <w:sz w:val="18"/>
            <w:szCs w:val="18"/>
          </w:rPr>
          <w:t>https://www.gov.uk/government/publications/review-into-the-welfare-in-detention-of-vulnerable-persons</w:t>
        </w:r>
      </w:hyperlink>
    </w:p>
  </w:footnote>
  <w:footnote w:id="37">
    <w:p w:rsidR="001D323E" w:rsidRPr="001D323E" w:rsidRDefault="001D323E">
      <w:pPr>
        <w:pStyle w:val="FootnoteText"/>
        <w:rPr>
          <w:rFonts w:ascii="Arial" w:hAnsi="Arial" w:cs="Arial"/>
          <w:sz w:val="18"/>
          <w:szCs w:val="18"/>
        </w:rPr>
      </w:pPr>
      <w:r w:rsidRPr="001D323E">
        <w:rPr>
          <w:rStyle w:val="FootnoteReference"/>
          <w:rFonts w:ascii="Arial" w:hAnsi="Arial" w:cs="Arial"/>
          <w:sz w:val="18"/>
          <w:szCs w:val="18"/>
        </w:rPr>
        <w:footnoteRef/>
      </w:r>
      <w:r w:rsidRPr="001D323E">
        <w:rPr>
          <w:rFonts w:ascii="Arial" w:hAnsi="Arial" w:cs="Arial"/>
          <w:sz w:val="18"/>
          <w:szCs w:val="18"/>
        </w:rPr>
        <w:t xml:space="preserve"> James Brokenshire, </w:t>
      </w:r>
      <w:r w:rsidRPr="00E20D39">
        <w:rPr>
          <w:rFonts w:ascii="Arial" w:hAnsi="Arial" w:cs="Arial"/>
          <w:sz w:val="18"/>
          <w:szCs w:val="18"/>
        </w:rPr>
        <w:t>Immigration Minister, Home Office, Hansard,</w:t>
      </w:r>
      <w:r>
        <w:rPr>
          <w:rFonts w:ascii="Arial" w:hAnsi="Arial" w:cs="Arial"/>
          <w:sz w:val="18"/>
          <w:szCs w:val="18"/>
        </w:rPr>
        <w:t xml:space="preserve"> 14 January 2016, available at: </w:t>
      </w:r>
      <w:hyperlink r:id="rId36" w:history="1">
        <w:r w:rsidRPr="00422D0B">
          <w:rPr>
            <w:rStyle w:val="Hyperlink"/>
            <w:rFonts w:ascii="Arial" w:hAnsi="Arial" w:cs="Arial"/>
            <w:sz w:val="18"/>
            <w:szCs w:val="18"/>
          </w:rPr>
          <w:t>http://www.parliament.uk/business/publications/written-questions-answers-statements/written-statement/Commons/2016-01-14/HCWS470/</w:t>
        </w:r>
      </w:hyperlink>
      <w:r>
        <w:rPr>
          <w:rFonts w:ascii="Arial" w:hAnsi="Arial" w:cs="Arial"/>
          <w:sz w:val="18"/>
          <w:szCs w:val="18"/>
        </w:rPr>
        <w:t xml:space="preserve"> </w:t>
      </w:r>
    </w:p>
  </w:footnote>
  <w:footnote w:id="38">
    <w:p w:rsidR="007D2631" w:rsidRPr="00E20D39" w:rsidRDefault="007D2631">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Immigration Bill 2015-2016, available at: </w:t>
      </w:r>
      <w:hyperlink r:id="rId37" w:history="1">
        <w:r w:rsidRPr="00E20D39">
          <w:rPr>
            <w:rStyle w:val="Hyperlink"/>
            <w:rFonts w:ascii="Arial" w:hAnsi="Arial" w:cs="Arial"/>
            <w:sz w:val="18"/>
            <w:szCs w:val="18"/>
          </w:rPr>
          <w:t>http://services.parliament.uk/bills/2015-16/immigration.html</w:t>
        </w:r>
      </w:hyperlink>
      <w:r w:rsidRPr="00E20D39">
        <w:rPr>
          <w:rFonts w:ascii="Arial" w:hAnsi="Arial" w:cs="Arial"/>
          <w:sz w:val="18"/>
          <w:szCs w:val="18"/>
        </w:rPr>
        <w:t xml:space="preserve"> </w:t>
      </w:r>
    </w:p>
  </w:footnote>
  <w:footnote w:id="39">
    <w:p w:rsidR="00B67B96" w:rsidRPr="00E20D39" w:rsidRDefault="00B67B96" w:rsidP="00B67B96">
      <w:pPr>
        <w:tabs>
          <w:tab w:val="left" w:pos="720"/>
        </w:tabs>
        <w:autoSpaceDE w:val="0"/>
        <w:autoSpaceDN w:val="0"/>
        <w:adjustRightInd w:val="0"/>
        <w:jc w:val="both"/>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EHRC, Is Britain fairer? </w:t>
      </w:r>
      <w:r w:rsidRPr="00E20D39">
        <w:rPr>
          <w:rFonts w:ascii="Arial" w:eastAsia="Calibri" w:hAnsi="Arial" w:cs="Arial"/>
          <w:color w:val="000000"/>
          <w:sz w:val="18"/>
          <w:szCs w:val="18"/>
        </w:rPr>
        <w:t>The state of equality and human rights 2015</w:t>
      </w:r>
      <w:r w:rsidRPr="00E20D39">
        <w:rPr>
          <w:rFonts w:ascii="Arial" w:hAnsi="Arial" w:cs="Arial"/>
          <w:sz w:val="18"/>
          <w:szCs w:val="18"/>
        </w:rPr>
        <w:t xml:space="preserve">, p. 80, available at: </w:t>
      </w:r>
      <w:hyperlink r:id="rId38" w:history="1">
        <w:r w:rsidRPr="00E20D39">
          <w:rPr>
            <w:rStyle w:val="Hyperlink"/>
            <w:rFonts w:ascii="Arial" w:hAnsi="Arial" w:cs="Arial"/>
            <w:sz w:val="18"/>
            <w:szCs w:val="18"/>
          </w:rPr>
          <w:t>http://www.equalityhumanrights.com/about-us/our-work/key-projects/britain-fairer-0</w:t>
        </w:r>
      </w:hyperlink>
      <w:r w:rsidRPr="00E20D39">
        <w:rPr>
          <w:rFonts w:ascii="Arial" w:hAnsi="Arial" w:cs="Arial"/>
          <w:sz w:val="18"/>
          <w:szCs w:val="18"/>
        </w:rPr>
        <w:t xml:space="preserve"> </w:t>
      </w:r>
    </w:p>
  </w:footnote>
  <w:footnote w:id="40">
    <w:p w:rsidR="00BB046C" w:rsidRPr="00E20D39" w:rsidRDefault="00BB046C">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hAnsi="Arial" w:cs="Arial"/>
          <w:bCs/>
          <w:sz w:val="18"/>
          <w:szCs w:val="18"/>
        </w:rPr>
        <w:t xml:space="preserve">EHRC Submission to the United Nations Human Rights Committee on the United Kingdom’s Implementation of the International Covenant on Civil and Political Rights, May 2015, p. 45, </w:t>
      </w:r>
      <w:r w:rsidRPr="00E20D39">
        <w:rPr>
          <w:rFonts w:ascii="Arial" w:hAnsi="Arial" w:cs="Arial"/>
          <w:sz w:val="18"/>
          <w:szCs w:val="18"/>
        </w:rPr>
        <w:t xml:space="preserve">available at: </w:t>
      </w:r>
      <w:hyperlink r:id="rId39" w:history="1">
        <w:r w:rsidRPr="00E20D39">
          <w:rPr>
            <w:rStyle w:val="Hyperlink"/>
            <w:rFonts w:ascii="Arial" w:hAnsi="Arial" w:cs="Arial"/>
            <w:sz w:val="18"/>
            <w:szCs w:val="18"/>
          </w:rPr>
          <w:t>http://www.equalityhumanrights.com/about-us/our-work/human-rights/international-framework/international-covenant-civil-and-political-rights</w:t>
        </w:r>
      </w:hyperlink>
    </w:p>
  </w:footnote>
  <w:footnote w:id="41">
    <w:p w:rsidR="00DB483F" w:rsidRPr="00E20D39" w:rsidRDefault="00DB483F" w:rsidP="00DB483F">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 xml:space="preserve">CAT/C/UKR/CO/5, para 14 with regard to Ukraine’s duty to prevent violence against women and girls, including trafficking.  Available at: </w:t>
      </w:r>
      <w:hyperlink r:id="rId40" w:history="1">
        <w:r w:rsidRPr="00E20D39">
          <w:rPr>
            <w:rStyle w:val="Hyperlink"/>
            <w:rFonts w:ascii="Arial" w:eastAsia="Calibri" w:hAnsi="Arial" w:cs="Arial"/>
            <w:sz w:val="18"/>
            <w:szCs w:val="18"/>
          </w:rPr>
          <w:t>http://tbinternet.ohchr.org/_layouts/treatybodyexternal/Download.aspx?symbolno=CAT/C/ESP/CO/5&amp;Lang=En</w:t>
        </w:r>
      </w:hyperlink>
      <w:r w:rsidRPr="00E20D39">
        <w:rPr>
          <w:rFonts w:ascii="Arial" w:eastAsia="Calibri" w:hAnsi="Arial" w:cs="Arial"/>
          <w:color w:val="000000"/>
          <w:sz w:val="18"/>
          <w:szCs w:val="18"/>
        </w:rPr>
        <w:t xml:space="preserve"> </w:t>
      </w:r>
    </w:p>
  </w:footnote>
  <w:footnote w:id="42">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National Crime Agency, National Referral Mechanism, available at: </w:t>
      </w:r>
      <w:hyperlink r:id="rId41" w:history="1">
        <w:r w:rsidRPr="00E20D39">
          <w:rPr>
            <w:rStyle w:val="Hyperlink"/>
            <w:rFonts w:ascii="Arial" w:hAnsi="Arial" w:cs="Arial"/>
            <w:sz w:val="18"/>
            <w:szCs w:val="18"/>
          </w:rPr>
          <w:t>http://www.nationalcrimeagency.gov.uk/about-us/what-we-do/specialist-capabilities/uk-human-trafficking-centre/national-referral-mechanism</w:t>
        </w:r>
      </w:hyperlink>
      <w:r w:rsidRPr="00E20D39">
        <w:rPr>
          <w:rFonts w:ascii="Arial" w:hAnsi="Arial" w:cs="Arial"/>
          <w:sz w:val="18"/>
          <w:szCs w:val="18"/>
        </w:rPr>
        <w:t xml:space="preserve"> </w:t>
      </w:r>
    </w:p>
  </w:footnote>
  <w:footnote w:id="43">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9473AB" w:rsidRPr="00E20D39">
        <w:rPr>
          <w:rFonts w:ascii="Arial" w:hAnsi="Arial" w:cs="Arial"/>
          <w:bCs/>
          <w:sz w:val="18"/>
          <w:szCs w:val="18"/>
        </w:rPr>
        <w:t>EHRC</w:t>
      </w:r>
      <w:r w:rsidRPr="00E20D39">
        <w:rPr>
          <w:rFonts w:ascii="Arial" w:hAnsi="Arial" w:cs="Arial"/>
          <w:bCs/>
          <w:sz w:val="18"/>
          <w:szCs w:val="18"/>
        </w:rPr>
        <w:t xml:space="preserve"> Submission to the United Nations Human Rights Committee on the United Kingdom’s Implementation of the International Covenant on Civil and Political Rights, May 2015, p. 103</w:t>
      </w:r>
      <w:r w:rsidR="00406F4F" w:rsidRPr="00E20D39">
        <w:rPr>
          <w:rFonts w:ascii="Arial" w:hAnsi="Arial" w:cs="Arial"/>
          <w:bCs/>
          <w:sz w:val="18"/>
          <w:szCs w:val="18"/>
        </w:rPr>
        <w:t xml:space="preserve">, </w:t>
      </w:r>
      <w:r w:rsidR="00406F4F" w:rsidRPr="00E20D39">
        <w:rPr>
          <w:rFonts w:ascii="Arial" w:hAnsi="Arial" w:cs="Arial"/>
          <w:sz w:val="18"/>
          <w:szCs w:val="18"/>
        </w:rPr>
        <w:t xml:space="preserve">available at: </w:t>
      </w:r>
      <w:hyperlink r:id="rId42" w:history="1">
        <w:r w:rsidR="00406F4F" w:rsidRPr="00E20D39">
          <w:rPr>
            <w:rStyle w:val="Hyperlink"/>
            <w:rFonts w:ascii="Arial" w:hAnsi="Arial" w:cs="Arial"/>
            <w:sz w:val="18"/>
            <w:szCs w:val="18"/>
          </w:rPr>
          <w:t>http://www.equalityhumanrights.com/about-us/our-work/human-rights/international-framework/international-covenant-civil-and-political-rights</w:t>
        </w:r>
      </w:hyperlink>
    </w:p>
  </w:footnote>
  <w:footnote w:id="44">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Parliament, Modern Slavery Act, </w:t>
      </w:r>
      <w:r w:rsidR="009473AB" w:rsidRPr="00E20D39">
        <w:rPr>
          <w:rFonts w:ascii="Arial" w:hAnsi="Arial" w:cs="Arial"/>
          <w:sz w:val="18"/>
          <w:szCs w:val="18"/>
        </w:rPr>
        <w:t xml:space="preserve">available at: </w:t>
      </w:r>
      <w:hyperlink r:id="rId43" w:history="1">
        <w:r w:rsidRPr="00E20D39">
          <w:rPr>
            <w:rStyle w:val="Hyperlink"/>
            <w:rFonts w:ascii="Arial" w:hAnsi="Arial" w:cs="Arial"/>
            <w:sz w:val="18"/>
            <w:szCs w:val="18"/>
          </w:rPr>
          <w:t>http://services.parliament.uk/bills/2014-15/modernslavery.html</w:t>
        </w:r>
      </w:hyperlink>
      <w:r w:rsidRPr="00E20D39">
        <w:rPr>
          <w:rFonts w:ascii="Arial" w:hAnsi="Arial" w:cs="Arial"/>
          <w:sz w:val="18"/>
          <w:szCs w:val="18"/>
        </w:rPr>
        <w:t xml:space="preserve"> </w:t>
      </w:r>
    </w:p>
  </w:footnote>
  <w:footnote w:id="45">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 xml:space="preserve">Human Trafficking and Exploitation (Scotland) Act 2015, available at: </w:t>
      </w:r>
      <w:hyperlink r:id="rId44" w:history="1">
        <w:r w:rsidRPr="00E20D39">
          <w:rPr>
            <w:rStyle w:val="Hyperlink"/>
            <w:rFonts w:ascii="Arial" w:hAnsi="Arial" w:cs="Arial"/>
            <w:sz w:val="18"/>
            <w:szCs w:val="18"/>
          </w:rPr>
          <w:t>www.legislation.gov.uk/asp/2015/12/enacted</w:t>
        </w:r>
      </w:hyperlink>
      <w:r w:rsidRPr="00E20D39">
        <w:rPr>
          <w:rFonts w:ascii="Arial" w:hAnsi="Arial" w:cs="Arial"/>
          <w:sz w:val="18"/>
          <w:szCs w:val="18"/>
        </w:rPr>
        <w:t xml:space="preserve"> </w:t>
      </w:r>
    </w:p>
  </w:footnote>
  <w:footnote w:id="46">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2E61A0" w:rsidRPr="00E20D39">
        <w:rPr>
          <w:rFonts w:ascii="Arial" w:hAnsi="Arial" w:cs="Arial"/>
          <w:sz w:val="18"/>
          <w:szCs w:val="18"/>
        </w:rPr>
        <w:t>EHRC</w:t>
      </w:r>
      <w:r w:rsidRPr="00E20D39">
        <w:rPr>
          <w:rFonts w:ascii="Arial" w:hAnsi="Arial" w:cs="Arial"/>
          <w:sz w:val="18"/>
          <w:szCs w:val="18"/>
        </w:rPr>
        <w:t xml:space="preserve">, Children’s Rights in the UK, Submission to the UN Committee on the Rights of the Child, August 2015, pp.82-86, available at: </w:t>
      </w:r>
      <w:hyperlink r:id="rId45" w:history="1">
        <w:r w:rsidR="002E61A0" w:rsidRPr="00E20D39">
          <w:rPr>
            <w:rStyle w:val="Hyperlink"/>
            <w:rFonts w:ascii="Arial" w:hAnsi="Arial" w:cs="Arial"/>
            <w:sz w:val="18"/>
            <w:szCs w:val="18"/>
          </w:rPr>
          <w:t>http://www.equalityhumanrights.com/about-us/our-work/human-rights/international-framework/un-convention-rights-child</w:t>
        </w:r>
      </w:hyperlink>
      <w:r w:rsidR="002E61A0" w:rsidRPr="00E20D39">
        <w:rPr>
          <w:rFonts w:ascii="Arial" w:hAnsi="Arial" w:cs="Arial"/>
          <w:sz w:val="18"/>
          <w:szCs w:val="18"/>
        </w:rPr>
        <w:t xml:space="preserve"> </w:t>
      </w:r>
      <w:r w:rsidRPr="00E20D39">
        <w:rPr>
          <w:rFonts w:ascii="Arial" w:hAnsi="Arial" w:cs="Arial"/>
          <w:sz w:val="18"/>
          <w:szCs w:val="18"/>
        </w:rPr>
        <w:t xml:space="preserve"> </w:t>
      </w:r>
    </w:p>
  </w:footnote>
  <w:footnote w:id="47">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2E61A0" w:rsidRPr="00E20D39">
        <w:rPr>
          <w:rFonts w:ascii="Arial" w:hAnsi="Arial" w:cs="Arial"/>
          <w:sz w:val="18"/>
          <w:szCs w:val="18"/>
        </w:rPr>
        <w:t>EHRC</w:t>
      </w:r>
      <w:r w:rsidRPr="00E20D39">
        <w:rPr>
          <w:rFonts w:ascii="Arial" w:hAnsi="Arial" w:cs="Arial"/>
          <w:sz w:val="18"/>
          <w:szCs w:val="18"/>
        </w:rPr>
        <w:t xml:space="preserve">, evidence to the Scottish Parliament Justice Committee, February 2015, available at: </w:t>
      </w:r>
      <w:hyperlink r:id="rId46" w:history="1">
        <w:r w:rsidRPr="00E20D39">
          <w:rPr>
            <w:rStyle w:val="Hyperlink"/>
            <w:rFonts w:ascii="Arial" w:hAnsi="Arial" w:cs="Arial"/>
            <w:sz w:val="18"/>
            <w:szCs w:val="18"/>
          </w:rPr>
          <w:t>www.scottish.parliament.uk/S4_JusticeCommittee/Inquiries/HTE16EqualityandHumanRightsCommission.pdf</w:t>
        </w:r>
      </w:hyperlink>
      <w:r w:rsidRPr="00E20D39">
        <w:rPr>
          <w:rFonts w:ascii="Arial" w:hAnsi="Arial" w:cs="Arial"/>
          <w:sz w:val="18"/>
          <w:szCs w:val="18"/>
        </w:rPr>
        <w:t xml:space="preserve"> </w:t>
      </w:r>
    </w:p>
  </w:footnote>
  <w:footnote w:id="48">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2502A5" w:rsidRPr="00E20D39">
        <w:rPr>
          <w:rFonts w:ascii="Arial" w:hAnsi="Arial" w:cs="Arial"/>
          <w:bCs/>
          <w:sz w:val="18"/>
          <w:szCs w:val="18"/>
        </w:rPr>
        <w:t>EHRC</w:t>
      </w:r>
      <w:r w:rsidRPr="00E20D39">
        <w:rPr>
          <w:rFonts w:ascii="Arial" w:hAnsi="Arial" w:cs="Arial"/>
          <w:bCs/>
          <w:sz w:val="18"/>
          <w:szCs w:val="18"/>
        </w:rPr>
        <w:t xml:space="preserve"> Submission to the </w:t>
      </w:r>
      <w:r w:rsidR="00C52F7B" w:rsidRPr="00E20D39">
        <w:rPr>
          <w:rFonts w:ascii="Arial" w:hAnsi="Arial" w:cs="Arial"/>
          <w:bCs/>
          <w:sz w:val="18"/>
          <w:szCs w:val="18"/>
        </w:rPr>
        <w:t>UN</w:t>
      </w:r>
      <w:r w:rsidRPr="00E20D39">
        <w:rPr>
          <w:rFonts w:ascii="Arial" w:hAnsi="Arial" w:cs="Arial"/>
          <w:bCs/>
          <w:sz w:val="18"/>
          <w:szCs w:val="18"/>
        </w:rPr>
        <w:t xml:space="preserve"> Human Rights Committee on the United Kingdom’s Implementation of the International Covenant on Civil and Political Rights, May 2015, pp. 26-27</w:t>
      </w:r>
      <w:r w:rsidR="00406F4F" w:rsidRPr="00E20D39">
        <w:rPr>
          <w:rFonts w:ascii="Arial" w:hAnsi="Arial" w:cs="Arial"/>
          <w:bCs/>
          <w:sz w:val="18"/>
          <w:szCs w:val="18"/>
        </w:rPr>
        <w:t xml:space="preserve">, </w:t>
      </w:r>
      <w:r w:rsidR="00406F4F" w:rsidRPr="00E20D39">
        <w:rPr>
          <w:rFonts w:ascii="Arial" w:hAnsi="Arial" w:cs="Arial"/>
          <w:sz w:val="18"/>
          <w:szCs w:val="18"/>
        </w:rPr>
        <w:t xml:space="preserve">available at: </w:t>
      </w:r>
      <w:hyperlink r:id="rId47" w:history="1">
        <w:r w:rsidR="00406F4F" w:rsidRPr="00E20D39">
          <w:rPr>
            <w:rStyle w:val="Hyperlink"/>
            <w:rFonts w:ascii="Arial" w:hAnsi="Arial" w:cs="Arial"/>
            <w:sz w:val="18"/>
            <w:szCs w:val="18"/>
          </w:rPr>
          <w:t>http://www.equalityhumanrights.com/about-us/our-work/human-rights/international-framework/international-covenant-civil-and-political-rights</w:t>
        </w:r>
      </w:hyperlink>
    </w:p>
  </w:footnote>
  <w:footnote w:id="49">
    <w:p w:rsidR="00EE37CA" w:rsidRPr="00E20D39" w:rsidRDefault="00EE37CA" w:rsidP="00EE37CA">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For instance </w:t>
      </w:r>
      <w:r w:rsidRPr="00E20D39">
        <w:rPr>
          <w:rFonts w:ascii="Arial" w:eastAsia="Calibri" w:hAnsi="Arial" w:cs="Arial"/>
          <w:color w:val="000000"/>
          <w:sz w:val="18"/>
          <w:szCs w:val="18"/>
        </w:rPr>
        <w:t>CAT/C/PER/CO/5-6, para 14, regarding Peru’s</w:t>
      </w:r>
      <w:r w:rsidR="00E97E45" w:rsidRPr="00E20D39">
        <w:rPr>
          <w:rFonts w:ascii="Arial" w:eastAsia="Calibri" w:hAnsi="Arial" w:cs="Arial"/>
          <w:color w:val="000000"/>
          <w:sz w:val="18"/>
          <w:szCs w:val="18"/>
        </w:rPr>
        <w:t xml:space="preserve"> measures to combat violence against women and girls,</w:t>
      </w:r>
      <w:r w:rsidRPr="00E20D39">
        <w:rPr>
          <w:rFonts w:ascii="Arial" w:eastAsia="Calibri" w:hAnsi="Arial" w:cs="Arial"/>
          <w:color w:val="000000"/>
          <w:sz w:val="18"/>
          <w:szCs w:val="18"/>
        </w:rPr>
        <w:t xml:space="preserve"> available at </w:t>
      </w:r>
      <w:hyperlink r:id="rId48" w:history="1">
        <w:r w:rsidRPr="00E20D39">
          <w:rPr>
            <w:rStyle w:val="Hyperlink"/>
            <w:rFonts w:ascii="Arial" w:eastAsia="Calibri" w:hAnsi="Arial" w:cs="Arial"/>
            <w:sz w:val="18"/>
            <w:szCs w:val="18"/>
          </w:rPr>
          <w:t>http://tbinternet.ohchr.org/_layouts/treatybodyexternal/Download.aspx?symbolno=CAT/C/PER/CO/5-6&amp;Lang=En</w:t>
        </w:r>
      </w:hyperlink>
      <w:r w:rsidRPr="00E20D39">
        <w:rPr>
          <w:rFonts w:ascii="Arial" w:eastAsia="Calibri" w:hAnsi="Arial" w:cs="Arial"/>
          <w:color w:val="000000"/>
          <w:sz w:val="18"/>
          <w:szCs w:val="18"/>
        </w:rPr>
        <w:t xml:space="preserve"> </w:t>
      </w:r>
    </w:p>
  </w:footnote>
  <w:footnote w:id="50">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2502A5" w:rsidRPr="00E20D39">
        <w:rPr>
          <w:rFonts w:ascii="Arial" w:hAnsi="Arial" w:cs="Arial"/>
          <w:bCs/>
          <w:sz w:val="18"/>
          <w:szCs w:val="18"/>
        </w:rPr>
        <w:t>EHRC</w:t>
      </w:r>
      <w:r w:rsidRPr="00E20D39">
        <w:rPr>
          <w:rFonts w:ascii="Arial" w:hAnsi="Arial" w:cs="Arial"/>
          <w:bCs/>
          <w:sz w:val="18"/>
          <w:szCs w:val="18"/>
        </w:rPr>
        <w:t xml:space="preserve"> Submission to the </w:t>
      </w:r>
      <w:r w:rsidR="00F90ADB" w:rsidRPr="00E20D39">
        <w:rPr>
          <w:rFonts w:ascii="Arial" w:hAnsi="Arial" w:cs="Arial"/>
          <w:bCs/>
          <w:sz w:val="18"/>
          <w:szCs w:val="18"/>
        </w:rPr>
        <w:t>UN</w:t>
      </w:r>
      <w:r w:rsidRPr="00E20D39">
        <w:rPr>
          <w:rFonts w:ascii="Arial" w:hAnsi="Arial" w:cs="Arial"/>
          <w:bCs/>
          <w:sz w:val="18"/>
          <w:szCs w:val="18"/>
        </w:rPr>
        <w:t xml:space="preserve"> Human Rights Committee on the United Kingdom’s Implementation of the International Covenant on Civil and Po</w:t>
      </w:r>
      <w:r w:rsidR="00406F4F" w:rsidRPr="00E20D39">
        <w:rPr>
          <w:rFonts w:ascii="Arial" w:hAnsi="Arial" w:cs="Arial"/>
          <w:bCs/>
          <w:sz w:val="18"/>
          <w:szCs w:val="18"/>
        </w:rPr>
        <w:t xml:space="preserve">litical Rights, May 2015, p. 65, </w:t>
      </w:r>
      <w:r w:rsidR="00406F4F" w:rsidRPr="00E20D39">
        <w:rPr>
          <w:rFonts w:ascii="Arial" w:hAnsi="Arial" w:cs="Arial"/>
          <w:sz w:val="18"/>
          <w:szCs w:val="18"/>
        </w:rPr>
        <w:t xml:space="preserve">available at: </w:t>
      </w:r>
      <w:hyperlink r:id="rId49" w:history="1">
        <w:r w:rsidR="00406F4F" w:rsidRPr="00E20D39">
          <w:rPr>
            <w:rStyle w:val="Hyperlink"/>
            <w:rFonts w:ascii="Arial" w:hAnsi="Arial" w:cs="Arial"/>
            <w:sz w:val="18"/>
            <w:szCs w:val="18"/>
          </w:rPr>
          <w:t>http://www.equalityhumanrights.com/about-us/our-work/human-rights/international-framework/international-covenant-civil-and-political-rights</w:t>
        </w:r>
      </w:hyperlink>
    </w:p>
  </w:footnote>
  <w:footnote w:id="51">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Pr="00E20D39">
        <w:rPr>
          <w:rFonts w:ascii="Arial" w:eastAsia="Calibri" w:hAnsi="Arial" w:cs="Arial"/>
          <w:color w:val="000000"/>
          <w:sz w:val="18"/>
          <w:szCs w:val="18"/>
        </w:rPr>
        <w:t>Concluding Observations for the UK by the UN Human Rights Committee, July 2015</w:t>
      </w:r>
      <w:r w:rsidR="00F90ADB" w:rsidRPr="00E20D39">
        <w:rPr>
          <w:rFonts w:ascii="Arial" w:eastAsia="Calibri" w:hAnsi="Arial" w:cs="Arial"/>
          <w:color w:val="000000"/>
          <w:sz w:val="18"/>
          <w:szCs w:val="18"/>
        </w:rPr>
        <w:t>, para 13</w:t>
      </w:r>
      <w:r w:rsidR="00C32789" w:rsidRPr="00E20D39">
        <w:rPr>
          <w:rFonts w:ascii="Arial" w:eastAsia="Calibri" w:hAnsi="Arial" w:cs="Arial"/>
          <w:color w:val="000000"/>
          <w:sz w:val="18"/>
          <w:szCs w:val="18"/>
        </w:rPr>
        <w:t xml:space="preserve">, , available at:  </w:t>
      </w:r>
      <w:hyperlink r:id="rId50" w:history="1">
        <w:r w:rsidR="00C32789" w:rsidRPr="00E20D39">
          <w:rPr>
            <w:rStyle w:val="Hyperlink"/>
            <w:rFonts w:ascii="Arial" w:eastAsia="Calibri" w:hAnsi="Arial" w:cs="Arial"/>
            <w:sz w:val="18"/>
            <w:szCs w:val="18"/>
          </w:rPr>
          <w:t>http://www.equalityhumanrights.com/sites/default/files/uploads/documents/humanrights/UN/CCPRC%20GB%20concluding%20observations%20(1).pdf</w:t>
        </w:r>
      </w:hyperlink>
    </w:p>
  </w:footnote>
  <w:footnote w:id="52">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Council of Europe, About the Convention: Historical background, </w:t>
      </w:r>
      <w:r w:rsidR="00C32789" w:rsidRPr="00E20D39">
        <w:rPr>
          <w:rFonts w:ascii="Arial" w:hAnsi="Arial" w:cs="Arial"/>
          <w:sz w:val="18"/>
          <w:szCs w:val="18"/>
        </w:rPr>
        <w:t xml:space="preserve">available at: </w:t>
      </w:r>
      <w:hyperlink r:id="rId51" w:history="1">
        <w:r w:rsidRPr="00E20D39">
          <w:rPr>
            <w:rStyle w:val="Hyperlink"/>
            <w:rFonts w:ascii="Arial" w:hAnsi="Arial" w:cs="Arial"/>
            <w:sz w:val="18"/>
            <w:szCs w:val="18"/>
          </w:rPr>
          <w:t>http://www.coe.int/en/web/istanbul-convention/historical-background</w:t>
        </w:r>
      </w:hyperlink>
      <w:r w:rsidRPr="00E20D39">
        <w:rPr>
          <w:rFonts w:ascii="Arial" w:hAnsi="Arial" w:cs="Arial"/>
          <w:sz w:val="18"/>
          <w:szCs w:val="18"/>
        </w:rPr>
        <w:t xml:space="preserve"> </w:t>
      </w:r>
    </w:p>
  </w:footnote>
  <w:footnote w:id="53">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Parliamentary Under-Secretary of Sta</w:t>
      </w:r>
      <w:r w:rsidR="001B3E6D" w:rsidRPr="00E20D39">
        <w:rPr>
          <w:rFonts w:ascii="Arial" w:hAnsi="Arial" w:cs="Arial"/>
          <w:sz w:val="18"/>
          <w:szCs w:val="18"/>
        </w:rPr>
        <w:t>te Karen Bradley, Home Office</w:t>
      </w:r>
      <w:r w:rsidRPr="00E20D39">
        <w:rPr>
          <w:rFonts w:ascii="Arial" w:hAnsi="Arial" w:cs="Arial"/>
          <w:sz w:val="18"/>
          <w:szCs w:val="18"/>
        </w:rPr>
        <w:t>, 23 November 2015</w:t>
      </w:r>
      <w:r w:rsidR="007C2914" w:rsidRPr="00E20D39">
        <w:rPr>
          <w:rFonts w:ascii="Arial" w:hAnsi="Arial" w:cs="Arial"/>
          <w:sz w:val="18"/>
          <w:szCs w:val="18"/>
        </w:rPr>
        <w:t xml:space="preserve">, available at: </w:t>
      </w:r>
      <w:hyperlink r:id="rId52" w:history="1">
        <w:r w:rsidR="007C2914" w:rsidRPr="00E20D39">
          <w:rPr>
            <w:rStyle w:val="Hyperlink"/>
            <w:rFonts w:ascii="Arial" w:hAnsi="Arial" w:cs="Arial"/>
            <w:sz w:val="18"/>
            <w:szCs w:val="18"/>
          </w:rPr>
          <w:t>http://www.parliament.uk/business/publications/written-questions-answers-statements/written-question/Commons/2015-11-17/16621/</w:t>
        </w:r>
      </w:hyperlink>
      <w:r w:rsidR="007C2914" w:rsidRPr="00E20D39">
        <w:rPr>
          <w:rFonts w:ascii="Arial" w:hAnsi="Arial" w:cs="Arial"/>
          <w:sz w:val="18"/>
          <w:szCs w:val="18"/>
        </w:rPr>
        <w:t xml:space="preserve"> </w:t>
      </w:r>
    </w:p>
  </w:footnote>
  <w:footnote w:id="54">
    <w:p w:rsidR="006E0E63" w:rsidRPr="00E20D39" w:rsidRDefault="006E0E63" w:rsidP="006E0E63">
      <w:pPr>
        <w:tabs>
          <w:tab w:val="left" w:pos="720"/>
        </w:tabs>
        <w:autoSpaceDE w:val="0"/>
        <w:autoSpaceDN w:val="0"/>
        <w:adjustRightInd w:val="0"/>
        <w:rPr>
          <w:rFonts w:ascii="Arial" w:eastAsia="Calibri" w:hAnsi="Arial" w:cs="Arial"/>
          <w:color w:val="000000"/>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EHRC, </w:t>
      </w:r>
      <w:r w:rsidRPr="00E20D39">
        <w:rPr>
          <w:rFonts w:ascii="Arial" w:eastAsia="Calibri" w:hAnsi="Arial" w:cs="Arial"/>
          <w:color w:val="000000"/>
          <w:sz w:val="18"/>
          <w:szCs w:val="18"/>
        </w:rPr>
        <w:t>Response of the Equality and Human Rights Commission to the Joint Committee on Human Rights inquiry into violence against women and girls, 23 April 2015</w:t>
      </w:r>
      <w:r w:rsidR="007C2914" w:rsidRPr="00E20D39">
        <w:rPr>
          <w:rFonts w:ascii="Arial" w:eastAsia="Calibri" w:hAnsi="Arial" w:cs="Arial"/>
          <w:color w:val="000000"/>
          <w:sz w:val="18"/>
          <w:szCs w:val="18"/>
        </w:rPr>
        <w:t>, available at:</w:t>
      </w:r>
      <w:r w:rsidRPr="00E20D39">
        <w:rPr>
          <w:rFonts w:ascii="Arial" w:eastAsia="Calibri" w:hAnsi="Arial" w:cs="Arial"/>
          <w:color w:val="000000"/>
          <w:sz w:val="18"/>
          <w:szCs w:val="18"/>
        </w:rPr>
        <w:t xml:space="preserve"> </w:t>
      </w:r>
      <w:hyperlink r:id="rId53" w:history="1">
        <w:r w:rsidRPr="00E20D39">
          <w:rPr>
            <w:rStyle w:val="Hyperlink"/>
            <w:rFonts w:ascii="Arial" w:eastAsia="Calibri" w:hAnsi="Arial" w:cs="Arial"/>
            <w:sz w:val="18"/>
            <w:szCs w:val="18"/>
          </w:rPr>
          <w:t>http://www.equalityhumanrights.com/legal-and-policy/our-legal-work/parliamentary-briefings/response-equality-and-human-rights-commission-joint-committee-human-rights-inquiry-violence-against</w:t>
        </w:r>
      </w:hyperlink>
      <w:r w:rsidRPr="00E20D39">
        <w:rPr>
          <w:rFonts w:ascii="Arial" w:eastAsia="Calibri" w:hAnsi="Arial" w:cs="Arial"/>
          <w:color w:val="000000"/>
          <w:sz w:val="18"/>
          <w:szCs w:val="18"/>
        </w:rPr>
        <w:t xml:space="preserve">’ </w:t>
      </w:r>
    </w:p>
  </w:footnote>
  <w:footnote w:id="55">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111B95" w:rsidRPr="00E20D39">
        <w:rPr>
          <w:rFonts w:ascii="Arial" w:hAnsi="Arial" w:cs="Arial"/>
          <w:bCs/>
          <w:sz w:val="18"/>
          <w:szCs w:val="18"/>
        </w:rPr>
        <w:t>EHRC</w:t>
      </w:r>
      <w:r w:rsidRPr="00E20D39">
        <w:rPr>
          <w:rFonts w:ascii="Arial" w:hAnsi="Arial" w:cs="Arial"/>
          <w:bCs/>
          <w:sz w:val="18"/>
          <w:szCs w:val="18"/>
        </w:rPr>
        <w:t xml:space="preserve"> Submission to the </w:t>
      </w:r>
      <w:r w:rsidR="00111B95" w:rsidRPr="00E20D39">
        <w:rPr>
          <w:rFonts w:ascii="Arial" w:hAnsi="Arial" w:cs="Arial"/>
          <w:bCs/>
          <w:sz w:val="18"/>
          <w:szCs w:val="18"/>
        </w:rPr>
        <w:t>UN</w:t>
      </w:r>
      <w:r w:rsidRPr="00E20D39">
        <w:rPr>
          <w:rFonts w:ascii="Arial" w:hAnsi="Arial" w:cs="Arial"/>
          <w:bCs/>
          <w:sz w:val="18"/>
          <w:szCs w:val="18"/>
        </w:rPr>
        <w:t xml:space="preserve"> Human Rights Committee on the United Kingdom’s Implementation of the International Covenant on Civil and Political Rights, May 2015, </w:t>
      </w:r>
      <w:r w:rsidRPr="00E20D39">
        <w:rPr>
          <w:rFonts w:ascii="Arial" w:hAnsi="Arial" w:cs="Arial"/>
          <w:sz w:val="18"/>
          <w:szCs w:val="18"/>
        </w:rPr>
        <w:t>p. 69</w:t>
      </w:r>
      <w:r w:rsidR="00406F4F" w:rsidRPr="00E20D39">
        <w:rPr>
          <w:rFonts w:ascii="Arial" w:hAnsi="Arial" w:cs="Arial"/>
          <w:sz w:val="18"/>
          <w:szCs w:val="18"/>
        </w:rPr>
        <w:t xml:space="preserve">, available at: </w:t>
      </w:r>
      <w:hyperlink r:id="rId54" w:history="1">
        <w:r w:rsidR="00406F4F" w:rsidRPr="00E20D39">
          <w:rPr>
            <w:rStyle w:val="Hyperlink"/>
            <w:rFonts w:ascii="Arial" w:hAnsi="Arial" w:cs="Arial"/>
            <w:sz w:val="18"/>
            <w:szCs w:val="18"/>
          </w:rPr>
          <w:t>http://www.equalityhumanrights.com/about-us/our-work/human-rights/international-framework/international-covenant-civil-and-political-rights</w:t>
        </w:r>
      </w:hyperlink>
      <w:r w:rsidR="00406F4F" w:rsidRPr="00E20D39">
        <w:rPr>
          <w:rFonts w:ascii="Arial" w:hAnsi="Arial" w:cs="Arial"/>
          <w:sz w:val="18"/>
          <w:szCs w:val="18"/>
        </w:rPr>
        <w:t xml:space="preserve"> </w:t>
      </w:r>
    </w:p>
  </w:footnote>
  <w:footnote w:id="56">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003B5AD3" w:rsidRPr="00E20D39">
        <w:rPr>
          <w:rFonts w:ascii="Arial" w:hAnsi="Arial" w:cs="Arial"/>
          <w:sz w:val="18"/>
          <w:szCs w:val="18"/>
        </w:rPr>
        <w:t xml:space="preserve"> UN</w:t>
      </w:r>
      <w:r w:rsidRPr="00E20D39">
        <w:rPr>
          <w:rFonts w:ascii="Arial" w:hAnsi="Arial" w:cs="Arial"/>
          <w:sz w:val="18"/>
          <w:szCs w:val="18"/>
        </w:rPr>
        <w:t xml:space="preserve"> Committee against Torture, </w:t>
      </w:r>
      <w:r w:rsidRPr="00E20D39">
        <w:rPr>
          <w:rFonts w:ascii="Arial" w:hAnsi="Arial" w:cs="Arial"/>
          <w:bCs/>
          <w:sz w:val="18"/>
          <w:szCs w:val="18"/>
        </w:rPr>
        <w:t>Concluding observations on the fifth periodic report of the United Kingdom, adopted by the Committee at its fiftieth session (6-31 May 2013)</w:t>
      </w:r>
      <w:r w:rsidR="00111B95" w:rsidRPr="00E20D39">
        <w:rPr>
          <w:rFonts w:ascii="Arial" w:hAnsi="Arial" w:cs="Arial"/>
          <w:bCs/>
          <w:sz w:val="18"/>
          <w:szCs w:val="18"/>
        </w:rPr>
        <w:t xml:space="preserve">, </w:t>
      </w:r>
      <w:r w:rsidR="00F73DCB" w:rsidRPr="00E20D39">
        <w:rPr>
          <w:rFonts w:ascii="Arial" w:hAnsi="Arial" w:cs="Arial"/>
          <w:bCs/>
          <w:sz w:val="18"/>
          <w:szCs w:val="18"/>
        </w:rPr>
        <w:t>para 33 available at:</w:t>
      </w:r>
      <w:r w:rsidR="00F73DCB" w:rsidRPr="00E20D39">
        <w:rPr>
          <w:rFonts w:ascii="Arial" w:hAnsi="Arial" w:cs="Arial"/>
          <w:sz w:val="18"/>
          <w:szCs w:val="18"/>
        </w:rPr>
        <w:t xml:space="preserve"> </w:t>
      </w:r>
      <w:hyperlink r:id="rId55" w:history="1">
        <w:r w:rsidR="00F73DCB" w:rsidRPr="00E20D39">
          <w:rPr>
            <w:rStyle w:val="Hyperlink"/>
            <w:rFonts w:ascii="Arial" w:hAnsi="Arial" w:cs="Arial"/>
            <w:sz w:val="18"/>
            <w:szCs w:val="18"/>
          </w:rPr>
          <w:t>http://www.equalityhumanrights.com/about-us/our-work/human-rights/international-framework/un-convention-against-torture-and-other-cruel-inhuman-or-degrading-treatment-or-punishment</w:t>
        </w:r>
      </w:hyperlink>
    </w:p>
  </w:footnote>
  <w:footnote w:id="57">
    <w:p w:rsidR="006E0E63" w:rsidRPr="00E20D39" w:rsidRDefault="006E0E63" w:rsidP="006E0E63">
      <w:pPr>
        <w:tabs>
          <w:tab w:val="left" w:pos="720"/>
        </w:tabs>
        <w:autoSpaceDE w:val="0"/>
        <w:autoSpaceDN w:val="0"/>
        <w:adjustRightInd w:val="0"/>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NHS Scotland, A Route Map to the 2020 Vision for Health and Social Care, available at: </w:t>
      </w:r>
      <w:hyperlink r:id="rId56" w:history="1">
        <w:r w:rsidRPr="00E20D39">
          <w:rPr>
            <w:rStyle w:val="Hyperlink"/>
            <w:rFonts w:ascii="Arial" w:eastAsia="Calibri" w:hAnsi="Arial" w:cs="Arial"/>
            <w:sz w:val="18"/>
            <w:szCs w:val="18"/>
          </w:rPr>
          <w:t>http://www.gov.scot/Resource/0042/00423188.pdf</w:t>
        </w:r>
      </w:hyperlink>
      <w:r w:rsidRPr="00E20D39">
        <w:rPr>
          <w:rFonts w:ascii="Arial" w:eastAsia="Calibri" w:hAnsi="Arial" w:cs="Arial"/>
          <w:color w:val="000000"/>
          <w:sz w:val="18"/>
          <w:szCs w:val="18"/>
        </w:rPr>
        <w:t xml:space="preserve"> </w:t>
      </w:r>
      <w:r w:rsidRPr="00E20D39">
        <w:rPr>
          <w:rFonts w:ascii="Arial" w:hAnsi="Arial" w:cs="Arial"/>
          <w:sz w:val="18"/>
          <w:szCs w:val="18"/>
        </w:rPr>
        <w:t xml:space="preserve"> </w:t>
      </w:r>
    </w:p>
  </w:footnote>
  <w:footnote w:id="58">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Ben Gummer, Parliamentary Under-Secretary of State</w:t>
      </w:r>
      <w:r w:rsidR="001B3E6D" w:rsidRPr="00E20D39">
        <w:rPr>
          <w:rFonts w:ascii="Arial" w:hAnsi="Arial" w:cs="Arial"/>
          <w:sz w:val="18"/>
          <w:szCs w:val="18"/>
        </w:rPr>
        <w:t>, Department of Health</w:t>
      </w:r>
      <w:r w:rsidRPr="00E20D39">
        <w:rPr>
          <w:rFonts w:ascii="Arial" w:hAnsi="Arial" w:cs="Arial"/>
          <w:sz w:val="18"/>
          <w:szCs w:val="18"/>
        </w:rPr>
        <w:t xml:space="preserve">, </w:t>
      </w:r>
      <w:r w:rsidR="007C2914" w:rsidRPr="00E20D39">
        <w:rPr>
          <w:rFonts w:ascii="Arial" w:hAnsi="Arial" w:cs="Arial"/>
          <w:sz w:val="18"/>
          <w:szCs w:val="18"/>
        </w:rPr>
        <w:t xml:space="preserve">8 June 2015, available at: </w:t>
      </w:r>
      <w:hyperlink r:id="rId57" w:history="1">
        <w:r w:rsidRPr="00E20D39">
          <w:rPr>
            <w:rStyle w:val="Hyperlink"/>
            <w:rFonts w:ascii="Arial" w:hAnsi="Arial" w:cs="Arial"/>
            <w:sz w:val="18"/>
            <w:szCs w:val="18"/>
          </w:rPr>
          <w:t>http://www.parliament.uk/business/publications/written-questions-answers-statements/written-question/Commons/2015-06-08/1485/</w:t>
        </w:r>
      </w:hyperlink>
      <w:r w:rsidR="005E3A39" w:rsidRPr="00E20D39">
        <w:rPr>
          <w:rStyle w:val="Hyperlink"/>
          <w:rFonts w:ascii="Arial" w:hAnsi="Arial" w:cs="Arial"/>
          <w:sz w:val="18"/>
          <w:szCs w:val="18"/>
        </w:rPr>
        <w:t>;</w:t>
      </w:r>
      <w:r w:rsidRPr="00E20D39">
        <w:rPr>
          <w:rFonts w:ascii="Arial" w:hAnsi="Arial" w:cs="Arial"/>
          <w:sz w:val="18"/>
          <w:szCs w:val="18"/>
        </w:rPr>
        <w:t xml:space="preserve"> Government report, Culture change in the NHS: applying the lessons of the Francis Inquiries, February 2015 at </w:t>
      </w:r>
      <w:hyperlink r:id="rId58" w:history="1">
        <w:r w:rsidRPr="00E20D39">
          <w:rPr>
            <w:rStyle w:val="Hyperlink"/>
            <w:rFonts w:ascii="Arial" w:hAnsi="Arial" w:cs="Arial"/>
            <w:sz w:val="18"/>
            <w:szCs w:val="18"/>
          </w:rPr>
          <w:t>https://www.gov.uk/government/publications/culture-change-in-the-nhs</w:t>
        </w:r>
      </w:hyperlink>
      <w:r w:rsidRPr="00E20D39">
        <w:rPr>
          <w:rFonts w:ascii="Arial" w:hAnsi="Arial" w:cs="Arial"/>
          <w:sz w:val="18"/>
          <w:szCs w:val="18"/>
        </w:rPr>
        <w:t xml:space="preserve"> </w:t>
      </w:r>
    </w:p>
  </w:footnote>
  <w:footnote w:id="59">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EHRC, Human Rights in Health and Social Care, </w:t>
      </w:r>
      <w:r w:rsidR="000D26AB" w:rsidRPr="00E20D39">
        <w:rPr>
          <w:rFonts w:ascii="Arial" w:hAnsi="Arial" w:cs="Arial"/>
          <w:sz w:val="18"/>
          <w:szCs w:val="18"/>
        </w:rPr>
        <w:t xml:space="preserve">available at: </w:t>
      </w:r>
      <w:hyperlink r:id="rId59" w:history="1">
        <w:r w:rsidRPr="00E20D39">
          <w:rPr>
            <w:rStyle w:val="Hyperlink"/>
            <w:rFonts w:ascii="Arial" w:hAnsi="Arial" w:cs="Arial"/>
            <w:sz w:val="18"/>
            <w:szCs w:val="18"/>
          </w:rPr>
          <w:t>http://www.equalityhumanrights.com/private-and-public-sector-guidance/public-sector-providers/human-rights-health-and-social-care</w:t>
        </w:r>
      </w:hyperlink>
      <w:r w:rsidRPr="00E20D39">
        <w:rPr>
          <w:rFonts w:ascii="Arial" w:hAnsi="Arial" w:cs="Arial"/>
          <w:sz w:val="18"/>
          <w:szCs w:val="18"/>
        </w:rPr>
        <w:t xml:space="preserve"> </w:t>
      </w:r>
    </w:p>
  </w:footnote>
  <w:footnote w:id="60">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w:t>
      </w:r>
      <w:r w:rsidR="003B5AD3" w:rsidRPr="00E20D39">
        <w:rPr>
          <w:rFonts w:ascii="Arial" w:hAnsi="Arial" w:cs="Arial"/>
          <w:sz w:val="18"/>
          <w:szCs w:val="18"/>
        </w:rPr>
        <w:t xml:space="preserve">UN </w:t>
      </w:r>
      <w:r w:rsidRPr="00E20D39">
        <w:rPr>
          <w:rFonts w:ascii="Arial" w:hAnsi="Arial" w:cs="Arial"/>
          <w:sz w:val="18"/>
          <w:szCs w:val="18"/>
        </w:rPr>
        <w:t xml:space="preserve">Committee against Torture, </w:t>
      </w:r>
      <w:r w:rsidRPr="00E20D39">
        <w:rPr>
          <w:rFonts w:ascii="Arial" w:eastAsia="Calibri" w:hAnsi="Arial" w:cs="Arial"/>
          <w:bCs/>
          <w:color w:val="000000"/>
          <w:sz w:val="18"/>
          <w:szCs w:val="18"/>
        </w:rPr>
        <w:t>Concluding observations on the fifth periodic report of the United Kingdom, adopted by the Committee at its fiftieth</w:t>
      </w:r>
      <w:r w:rsidRPr="00E20D39">
        <w:rPr>
          <w:rFonts w:ascii="Arial" w:hAnsi="Arial" w:cs="Arial"/>
          <w:bCs/>
          <w:sz w:val="18"/>
          <w:szCs w:val="18"/>
        </w:rPr>
        <w:t xml:space="preserve"> </w:t>
      </w:r>
      <w:r w:rsidRPr="00E20D39">
        <w:rPr>
          <w:rFonts w:ascii="Arial" w:eastAsia="Calibri" w:hAnsi="Arial" w:cs="Arial"/>
          <w:bCs/>
          <w:color w:val="000000"/>
          <w:sz w:val="18"/>
          <w:szCs w:val="18"/>
        </w:rPr>
        <w:t>session (6-31 May 2013)</w:t>
      </w:r>
      <w:r w:rsidR="000D26AB" w:rsidRPr="00E20D39">
        <w:rPr>
          <w:rFonts w:ascii="Arial" w:eastAsia="Calibri" w:hAnsi="Arial" w:cs="Arial"/>
          <w:bCs/>
          <w:color w:val="000000"/>
          <w:sz w:val="18"/>
          <w:szCs w:val="18"/>
        </w:rPr>
        <w:t xml:space="preserve">, para 31, </w:t>
      </w:r>
      <w:r w:rsidR="000D26AB" w:rsidRPr="00E20D39">
        <w:rPr>
          <w:rFonts w:ascii="Arial" w:hAnsi="Arial" w:cs="Arial"/>
          <w:sz w:val="18"/>
          <w:szCs w:val="18"/>
        </w:rPr>
        <w:t xml:space="preserve">available at: </w:t>
      </w:r>
      <w:hyperlink r:id="rId60" w:history="1">
        <w:r w:rsidR="000D26AB" w:rsidRPr="00E20D39">
          <w:rPr>
            <w:rStyle w:val="Hyperlink"/>
            <w:rFonts w:ascii="Arial" w:hAnsi="Arial" w:cs="Arial"/>
            <w:sz w:val="18"/>
            <w:szCs w:val="18"/>
          </w:rPr>
          <w:t>http://www.equalityhumanrights.com/about-us/our-work/human-rights/international-framework/un-convention-against-torture-and-other-cruel-inhuman-or-degrading-treatment-or-punishment</w:t>
        </w:r>
      </w:hyperlink>
    </w:p>
  </w:footnote>
  <w:footnote w:id="61">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EHRC, Is Britain fairer? </w:t>
      </w:r>
      <w:r w:rsidRPr="00E20D39">
        <w:rPr>
          <w:rFonts w:ascii="Arial" w:eastAsia="Calibri" w:hAnsi="Arial" w:cs="Arial"/>
          <w:color w:val="000000"/>
          <w:sz w:val="18"/>
          <w:szCs w:val="18"/>
        </w:rPr>
        <w:t>The state of equality and human rights 2015</w:t>
      </w:r>
      <w:r w:rsidRPr="00E20D39">
        <w:rPr>
          <w:rFonts w:ascii="Arial" w:hAnsi="Arial" w:cs="Arial"/>
          <w:sz w:val="18"/>
          <w:szCs w:val="18"/>
        </w:rPr>
        <w:t xml:space="preserve">, pp. 59-60, available at: </w:t>
      </w:r>
      <w:hyperlink r:id="rId61" w:history="1">
        <w:r w:rsidRPr="00E20D39">
          <w:rPr>
            <w:rStyle w:val="Hyperlink"/>
            <w:rFonts w:ascii="Arial" w:hAnsi="Arial" w:cs="Arial"/>
            <w:sz w:val="18"/>
            <w:szCs w:val="18"/>
          </w:rPr>
          <w:t>http://www.equalityhumanrights.com/about-us/our-work/key-projects/britain-fairer-0</w:t>
        </w:r>
      </w:hyperlink>
    </w:p>
  </w:footnote>
  <w:footnote w:id="62">
    <w:p w:rsidR="006E0E63" w:rsidRPr="00E20D39" w:rsidRDefault="006E0E63" w:rsidP="006E0E63">
      <w:pPr>
        <w:pStyle w:val="FootnoteText"/>
        <w:rPr>
          <w:rFonts w:ascii="Arial" w:hAnsi="Arial" w:cs="Arial"/>
          <w:sz w:val="18"/>
          <w:szCs w:val="18"/>
        </w:rPr>
      </w:pPr>
      <w:r w:rsidRPr="00E20D39">
        <w:rPr>
          <w:rStyle w:val="FootnoteReference"/>
          <w:rFonts w:ascii="Arial" w:hAnsi="Arial" w:cs="Arial"/>
          <w:sz w:val="18"/>
          <w:szCs w:val="18"/>
        </w:rPr>
        <w:footnoteRef/>
      </w:r>
      <w:r w:rsidRPr="00E20D39">
        <w:rPr>
          <w:rFonts w:ascii="Arial" w:hAnsi="Arial" w:cs="Arial"/>
          <w:sz w:val="18"/>
          <w:szCs w:val="18"/>
        </w:rPr>
        <w:t xml:space="preserve"> Information Services Division Scotland (ISDS) (2015), Child and adolescent mental health services waiting times in Scotland, available at: </w:t>
      </w:r>
      <w:hyperlink r:id="rId62" w:history="1">
        <w:r w:rsidRPr="00E20D39">
          <w:rPr>
            <w:rStyle w:val="Hyperlink"/>
            <w:rFonts w:ascii="Arial" w:hAnsi="Arial" w:cs="Arial"/>
            <w:sz w:val="18"/>
            <w:szCs w:val="18"/>
          </w:rPr>
          <w:t>http://www.isdscotland.org/Health-Topics/Waiting-Times/Child-and-Adolescent-Mental-Health/</w:t>
        </w:r>
      </w:hyperlink>
      <w:r w:rsidRPr="00E20D39">
        <w:rPr>
          <w:rFonts w:ascii="Arial" w:hAnsi="Arial" w:cs="Arial"/>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6314BC"/>
    <w:multiLevelType w:val="hybridMultilevel"/>
    <w:tmpl w:val="92B03E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823A7D"/>
    <w:multiLevelType w:val="hybridMultilevel"/>
    <w:tmpl w:val="0BB8F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0CD2996"/>
    <w:multiLevelType w:val="hybridMultilevel"/>
    <w:tmpl w:val="464C55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2BE28D5"/>
    <w:multiLevelType w:val="hybridMultilevel"/>
    <w:tmpl w:val="364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F8737B"/>
    <w:multiLevelType w:val="hybridMultilevel"/>
    <w:tmpl w:val="EE12CD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25C683A"/>
    <w:multiLevelType w:val="hybridMultilevel"/>
    <w:tmpl w:val="A8B84886"/>
    <w:lvl w:ilvl="0" w:tplc="4B6A8496">
      <w:start w:val="1"/>
      <w:numFmt w:val="decimal"/>
      <w:lvlText w:val="%1."/>
      <w:lvlJc w:val="left"/>
      <w:pPr>
        <w:ind w:left="360" w:hanging="360"/>
      </w:pPr>
      <w:rPr>
        <w:rFonts w:ascii="Arial" w:hAnsi="Arial" w:cs="Arial" w:hint="default"/>
        <w:i w:val="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7D140D"/>
    <w:multiLevelType w:val="hybridMultilevel"/>
    <w:tmpl w:val="6BA88A5C"/>
    <w:lvl w:ilvl="0" w:tplc="057E0F9C">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6A12E9F"/>
    <w:multiLevelType w:val="hybridMultilevel"/>
    <w:tmpl w:val="B16C27A8"/>
    <w:lvl w:ilvl="0" w:tplc="CC1E592A">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7552B65"/>
    <w:multiLevelType w:val="hybridMultilevel"/>
    <w:tmpl w:val="0B147C9E"/>
    <w:lvl w:ilvl="0" w:tplc="0809000F">
      <w:start w:val="1"/>
      <w:numFmt w:val="decimal"/>
      <w:lvlText w:val="%1."/>
      <w:lvlJc w:val="left"/>
      <w:pPr>
        <w:ind w:left="360" w:hanging="360"/>
      </w:pPr>
      <w:rPr>
        <w:rFonts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E0B1421"/>
    <w:multiLevelType w:val="hybridMultilevel"/>
    <w:tmpl w:val="F72851CA"/>
    <w:lvl w:ilvl="0" w:tplc="3E5A8E98">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EFF25BE"/>
    <w:multiLevelType w:val="hybridMultilevel"/>
    <w:tmpl w:val="4B08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DD5BA4"/>
    <w:multiLevelType w:val="hybridMultilevel"/>
    <w:tmpl w:val="D16010AA"/>
    <w:lvl w:ilvl="0" w:tplc="CC1E592A">
      <w:start w:val="1"/>
      <w:numFmt w:val="decimal"/>
      <w:lvlText w:val="%1."/>
      <w:lvlJc w:val="left"/>
      <w:pPr>
        <w:ind w:left="360" w:hanging="360"/>
      </w:pPr>
      <w:rPr>
        <w:rFonts w:ascii="Arial" w:hAnsi="Arial" w:cs="Aria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EF5369"/>
    <w:multiLevelType w:val="hybridMultilevel"/>
    <w:tmpl w:val="054473B6"/>
    <w:lvl w:ilvl="0" w:tplc="B1E2B300">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B7069EE"/>
    <w:multiLevelType w:val="hybridMultilevel"/>
    <w:tmpl w:val="1A382EBE"/>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14">
    <w:nsid w:val="3C8333C4"/>
    <w:multiLevelType w:val="multilevel"/>
    <w:tmpl w:val="3BD4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4D12A4"/>
    <w:multiLevelType w:val="hybridMultilevel"/>
    <w:tmpl w:val="3156313C"/>
    <w:lvl w:ilvl="0" w:tplc="15D262A6">
      <w:start w:val="1"/>
      <w:numFmt w:val="bullet"/>
      <w:lvlText w:val=""/>
      <w:lvlJc w:val="left"/>
      <w:pPr>
        <w:ind w:left="360" w:hanging="360"/>
      </w:pPr>
      <w:rPr>
        <w:rFonts w:ascii="Symbol" w:hAnsi="Symbol" w:hint="default"/>
        <w:sz w:val="18"/>
        <w:szCs w:val="18"/>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5EE0E62"/>
    <w:multiLevelType w:val="multilevel"/>
    <w:tmpl w:val="CD5A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1C6A3F"/>
    <w:multiLevelType w:val="hybridMultilevel"/>
    <w:tmpl w:val="79E2492C"/>
    <w:lvl w:ilvl="0" w:tplc="CC1E592A">
      <w:start w:val="1"/>
      <w:numFmt w:val="decimal"/>
      <w:lvlText w:val="%1."/>
      <w:lvlJc w:val="left"/>
      <w:pPr>
        <w:ind w:left="360" w:hanging="360"/>
      </w:pPr>
      <w:rPr>
        <w:rFonts w:ascii="Arial"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EA60425"/>
    <w:multiLevelType w:val="hybridMultilevel"/>
    <w:tmpl w:val="3EF83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F6667F"/>
    <w:multiLevelType w:val="hybridMultilevel"/>
    <w:tmpl w:val="E65C0192"/>
    <w:lvl w:ilvl="0" w:tplc="C48E252E">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851739E"/>
    <w:multiLevelType w:val="hybridMultilevel"/>
    <w:tmpl w:val="874CD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871233D"/>
    <w:multiLevelType w:val="hybridMultilevel"/>
    <w:tmpl w:val="32DCA76C"/>
    <w:lvl w:ilvl="0" w:tplc="CC1E592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A40180E"/>
    <w:multiLevelType w:val="hybridMultilevel"/>
    <w:tmpl w:val="1B74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BB56B1F"/>
    <w:multiLevelType w:val="hybridMultilevel"/>
    <w:tmpl w:val="816A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D44437B"/>
    <w:multiLevelType w:val="hybridMultilevel"/>
    <w:tmpl w:val="2CE845C2"/>
    <w:lvl w:ilvl="0" w:tplc="4B6A8496">
      <w:start w:val="1"/>
      <w:numFmt w:val="decimal"/>
      <w:lvlText w:val="%1."/>
      <w:lvlJc w:val="left"/>
      <w:pPr>
        <w:ind w:left="360" w:hanging="360"/>
      </w:pPr>
      <w:rPr>
        <w:rFonts w:ascii="Arial" w:hAnsi="Arial" w:cs="Arial" w:hint="default"/>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DB2470C"/>
    <w:multiLevelType w:val="hybridMultilevel"/>
    <w:tmpl w:val="D4905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6D00962"/>
    <w:multiLevelType w:val="hybridMultilevel"/>
    <w:tmpl w:val="472CD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B91766"/>
    <w:multiLevelType w:val="hybridMultilevel"/>
    <w:tmpl w:val="94D89734"/>
    <w:lvl w:ilvl="0" w:tplc="CC1E592A">
      <w:start w:val="1"/>
      <w:numFmt w:val="decimal"/>
      <w:lvlText w:val="%1."/>
      <w:lvlJc w:val="left"/>
      <w:pPr>
        <w:ind w:left="360" w:hanging="360"/>
      </w:pPr>
      <w:rPr>
        <w:rFonts w:ascii="Arial" w:hAnsi="Arial" w:cs="Arial" w:hint="default"/>
        <w:sz w:val="18"/>
        <w:szCs w:val="18"/>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DEA6F9A"/>
    <w:multiLevelType w:val="hybridMultilevel"/>
    <w:tmpl w:val="52CC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3426EB8"/>
    <w:multiLevelType w:val="hybridMultilevel"/>
    <w:tmpl w:val="C62E7E42"/>
    <w:lvl w:ilvl="0" w:tplc="35F8C1B6">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ADA4E57"/>
    <w:multiLevelType w:val="hybridMultilevel"/>
    <w:tmpl w:val="674C586A"/>
    <w:lvl w:ilvl="0" w:tplc="CC1E592A">
      <w:start w:val="1"/>
      <w:numFmt w:val="decimal"/>
      <w:lvlText w:val="%1."/>
      <w:lvlJc w:val="left"/>
      <w:pPr>
        <w:ind w:left="360" w:hanging="360"/>
      </w:pPr>
      <w:rPr>
        <w:rFonts w:ascii="Arial" w:hAnsi="Arial" w:cs="Aria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B192F46"/>
    <w:multiLevelType w:val="hybridMultilevel"/>
    <w:tmpl w:val="D1FC46AC"/>
    <w:lvl w:ilvl="0" w:tplc="C48E252E">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B1F320A"/>
    <w:multiLevelType w:val="hybridMultilevel"/>
    <w:tmpl w:val="E48C8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nsid w:val="7EFA8B2C"/>
    <w:multiLevelType w:val="hybridMultilevel"/>
    <w:tmpl w:val="12BB21A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7F6767D4"/>
    <w:multiLevelType w:val="hybridMultilevel"/>
    <w:tmpl w:val="0314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18"/>
  </w:num>
  <w:num w:numId="4">
    <w:abstractNumId w:val="34"/>
  </w:num>
  <w:num w:numId="5">
    <w:abstractNumId w:val="32"/>
  </w:num>
  <w:num w:numId="6">
    <w:abstractNumId w:val="33"/>
  </w:num>
  <w:num w:numId="7">
    <w:abstractNumId w:val="16"/>
  </w:num>
  <w:num w:numId="8">
    <w:abstractNumId w:val="14"/>
  </w:num>
  <w:num w:numId="9">
    <w:abstractNumId w:val="10"/>
  </w:num>
  <w:num w:numId="10">
    <w:abstractNumId w:val="28"/>
  </w:num>
  <w:num w:numId="11">
    <w:abstractNumId w:val="13"/>
  </w:num>
  <w:num w:numId="12">
    <w:abstractNumId w:val="26"/>
  </w:num>
  <w:num w:numId="13">
    <w:abstractNumId w:val="9"/>
  </w:num>
  <w:num w:numId="14">
    <w:abstractNumId w:val="6"/>
  </w:num>
  <w:num w:numId="15">
    <w:abstractNumId w:val="12"/>
  </w:num>
  <w:num w:numId="16">
    <w:abstractNumId w:val="2"/>
  </w:num>
  <w:num w:numId="17">
    <w:abstractNumId w:val="15"/>
  </w:num>
  <w:num w:numId="18">
    <w:abstractNumId w:val="29"/>
  </w:num>
  <w:num w:numId="19">
    <w:abstractNumId w:val="20"/>
  </w:num>
  <w:num w:numId="20">
    <w:abstractNumId w:val="31"/>
  </w:num>
  <w:num w:numId="21">
    <w:abstractNumId w:val="19"/>
  </w:num>
  <w:num w:numId="22">
    <w:abstractNumId w:val="0"/>
  </w:num>
  <w:num w:numId="23">
    <w:abstractNumId w:val="1"/>
  </w:num>
  <w:num w:numId="24">
    <w:abstractNumId w:val="23"/>
  </w:num>
  <w:num w:numId="25">
    <w:abstractNumId w:val="24"/>
  </w:num>
  <w:num w:numId="26">
    <w:abstractNumId w:val="4"/>
  </w:num>
  <w:num w:numId="27">
    <w:abstractNumId w:val="8"/>
  </w:num>
  <w:num w:numId="28">
    <w:abstractNumId w:val="25"/>
  </w:num>
  <w:num w:numId="29">
    <w:abstractNumId w:val="30"/>
  </w:num>
  <w:num w:numId="30">
    <w:abstractNumId w:val="7"/>
  </w:num>
  <w:num w:numId="31">
    <w:abstractNumId w:val="27"/>
  </w:num>
  <w:num w:numId="32">
    <w:abstractNumId w:val="17"/>
  </w:num>
  <w:num w:numId="33">
    <w:abstractNumId w:val="21"/>
  </w:num>
  <w:num w:numId="34">
    <w:abstractNumId w:val="1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DE2"/>
    <w:rsid w:val="00004E4D"/>
    <w:rsid w:val="00007263"/>
    <w:rsid w:val="000101F8"/>
    <w:rsid w:val="00010605"/>
    <w:rsid w:val="000126CC"/>
    <w:rsid w:val="00016C3E"/>
    <w:rsid w:val="00021E46"/>
    <w:rsid w:val="000341AF"/>
    <w:rsid w:val="000351F5"/>
    <w:rsid w:val="000373D1"/>
    <w:rsid w:val="000376B3"/>
    <w:rsid w:val="000446D8"/>
    <w:rsid w:val="00050CFA"/>
    <w:rsid w:val="000513A8"/>
    <w:rsid w:val="00073576"/>
    <w:rsid w:val="00075D40"/>
    <w:rsid w:val="0008012F"/>
    <w:rsid w:val="00080850"/>
    <w:rsid w:val="00090047"/>
    <w:rsid w:val="000A09DE"/>
    <w:rsid w:val="000A6F11"/>
    <w:rsid w:val="000A7091"/>
    <w:rsid w:val="000C55D1"/>
    <w:rsid w:val="000D224F"/>
    <w:rsid w:val="000D26AB"/>
    <w:rsid w:val="000D2FFF"/>
    <w:rsid w:val="000E30A7"/>
    <w:rsid w:val="000E4884"/>
    <w:rsid w:val="000F511C"/>
    <w:rsid w:val="0010479D"/>
    <w:rsid w:val="00107240"/>
    <w:rsid w:val="001102FA"/>
    <w:rsid w:val="00111B95"/>
    <w:rsid w:val="001131C6"/>
    <w:rsid w:val="00114D5C"/>
    <w:rsid w:val="00115B01"/>
    <w:rsid w:val="00130C52"/>
    <w:rsid w:val="0013329E"/>
    <w:rsid w:val="00135A1C"/>
    <w:rsid w:val="00141CBD"/>
    <w:rsid w:val="001450C7"/>
    <w:rsid w:val="0014604D"/>
    <w:rsid w:val="00152C2E"/>
    <w:rsid w:val="001530D7"/>
    <w:rsid w:val="001549AB"/>
    <w:rsid w:val="001765DB"/>
    <w:rsid w:val="0018231F"/>
    <w:rsid w:val="00196769"/>
    <w:rsid w:val="00197596"/>
    <w:rsid w:val="00197A8F"/>
    <w:rsid w:val="001A04C5"/>
    <w:rsid w:val="001A12C1"/>
    <w:rsid w:val="001A25C0"/>
    <w:rsid w:val="001B1ADC"/>
    <w:rsid w:val="001B3E6D"/>
    <w:rsid w:val="001C4603"/>
    <w:rsid w:val="001D323E"/>
    <w:rsid w:val="001D3D82"/>
    <w:rsid w:val="001D7C1F"/>
    <w:rsid w:val="001E6B83"/>
    <w:rsid w:val="001E6C5F"/>
    <w:rsid w:val="001E7E37"/>
    <w:rsid w:val="00206B6D"/>
    <w:rsid w:val="00207D17"/>
    <w:rsid w:val="002251F2"/>
    <w:rsid w:val="00225D6B"/>
    <w:rsid w:val="00226914"/>
    <w:rsid w:val="0022778C"/>
    <w:rsid w:val="00232409"/>
    <w:rsid w:val="00236A10"/>
    <w:rsid w:val="00247F17"/>
    <w:rsid w:val="002502A5"/>
    <w:rsid w:val="00255F67"/>
    <w:rsid w:val="00270EFD"/>
    <w:rsid w:val="00282693"/>
    <w:rsid w:val="0029140F"/>
    <w:rsid w:val="00294EA6"/>
    <w:rsid w:val="002951F3"/>
    <w:rsid w:val="002C2302"/>
    <w:rsid w:val="002D1DBF"/>
    <w:rsid w:val="002D1F3A"/>
    <w:rsid w:val="002E61A0"/>
    <w:rsid w:val="002F3634"/>
    <w:rsid w:val="002F6987"/>
    <w:rsid w:val="00300FAD"/>
    <w:rsid w:val="0030782A"/>
    <w:rsid w:val="0031116E"/>
    <w:rsid w:val="00316839"/>
    <w:rsid w:val="00321305"/>
    <w:rsid w:val="00322635"/>
    <w:rsid w:val="003262CE"/>
    <w:rsid w:val="003266D3"/>
    <w:rsid w:val="003278E7"/>
    <w:rsid w:val="0033009D"/>
    <w:rsid w:val="003405DF"/>
    <w:rsid w:val="00340C13"/>
    <w:rsid w:val="00350D45"/>
    <w:rsid w:val="00352643"/>
    <w:rsid w:val="00355678"/>
    <w:rsid w:val="00364C3B"/>
    <w:rsid w:val="003712D4"/>
    <w:rsid w:val="00372D29"/>
    <w:rsid w:val="0038426A"/>
    <w:rsid w:val="00386308"/>
    <w:rsid w:val="00387D0A"/>
    <w:rsid w:val="00390F83"/>
    <w:rsid w:val="00392441"/>
    <w:rsid w:val="003A52E1"/>
    <w:rsid w:val="003B1986"/>
    <w:rsid w:val="003B39BD"/>
    <w:rsid w:val="003B5AD3"/>
    <w:rsid w:val="003B7A4C"/>
    <w:rsid w:val="003C02DB"/>
    <w:rsid w:val="003C4E22"/>
    <w:rsid w:val="003C5B9B"/>
    <w:rsid w:val="003C75F0"/>
    <w:rsid w:val="003E2B8A"/>
    <w:rsid w:val="003E3146"/>
    <w:rsid w:val="004003B7"/>
    <w:rsid w:val="004018C5"/>
    <w:rsid w:val="0040363F"/>
    <w:rsid w:val="00403D2D"/>
    <w:rsid w:val="004041D6"/>
    <w:rsid w:val="00406F4F"/>
    <w:rsid w:val="00412AE8"/>
    <w:rsid w:val="00420C4A"/>
    <w:rsid w:val="00421800"/>
    <w:rsid w:val="00422601"/>
    <w:rsid w:val="004306DC"/>
    <w:rsid w:val="0043783D"/>
    <w:rsid w:val="004513AC"/>
    <w:rsid w:val="00451BBF"/>
    <w:rsid w:val="0045574C"/>
    <w:rsid w:val="0046467C"/>
    <w:rsid w:val="00467545"/>
    <w:rsid w:val="00467619"/>
    <w:rsid w:val="00470BD0"/>
    <w:rsid w:val="00470C0B"/>
    <w:rsid w:val="004724A0"/>
    <w:rsid w:val="00473C8F"/>
    <w:rsid w:val="00481393"/>
    <w:rsid w:val="004850ED"/>
    <w:rsid w:val="004A012A"/>
    <w:rsid w:val="004A074B"/>
    <w:rsid w:val="004B7AC5"/>
    <w:rsid w:val="004C161F"/>
    <w:rsid w:val="004C1EA7"/>
    <w:rsid w:val="004C39BD"/>
    <w:rsid w:val="004C6C54"/>
    <w:rsid w:val="004D0D8D"/>
    <w:rsid w:val="004D6904"/>
    <w:rsid w:val="004E12A9"/>
    <w:rsid w:val="004F1D87"/>
    <w:rsid w:val="004F5F6C"/>
    <w:rsid w:val="00500A34"/>
    <w:rsid w:val="005036E9"/>
    <w:rsid w:val="00511FC9"/>
    <w:rsid w:val="00512A20"/>
    <w:rsid w:val="005146AB"/>
    <w:rsid w:val="00526DF8"/>
    <w:rsid w:val="005401D7"/>
    <w:rsid w:val="00540BE9"/>
    <w:rsid w:val="0055329C"/>
    <w:rsid w:val="00553B93"/>
    <w:rsid w:val="00562394"/>
    <w:rsid w:val="005628D8"/>
    <w:rsid w:val="00565B5E"/>
    <w:rsid w:val="005674C3"/>
    <w:rsid w:val="00570923"/>
    <w:rsid w:val="00570982"/>
    <w:rsid w:val="00572C1A"/>
    <w:rsid w:val="005733FB"/>
    <w:rsid w:val="00574BA2"/>
    <w:rsid w:val="00577841"/>
    <w:rsid w:val="005819A2"/>
    <w:rsid w:val="0058358B"/>
    <w:rsid w:val="0058545B"/>
    <w:rsid w:val="00585F9E"/>
    <w:rsid w:val="00586348"/>
    <w:rsid w:val="005917DC"/>
    <w:rsid w:val="00595B8C"/>
    <w:rsid w:val="005A2B15"/>
    <w:rsid w:val="005A314B"/>
    <w:rsid w:val="005A7BF2"/>
    <w:rsid w:val="005B582B"/>
    <w:rsid w:val="005C07D2"/>
    <w:rsid w:val="005D04BE"/>
    <w:rsid w:val="005D3F18"/>
    <w:rsid w:val="005E3A39"/>
    <w:rsid w:val="005E584E"/>
    <w:rsid w:val="005F5C27"/>
    <w:rsid w:val="005F7762"/>
    <w:rsid w:val="00604183"/>
    <w:rsid w:val="00607E20"/>
    <w:rsid w:val="00623191"/>
    <w:rsid w:val="00624443"/>
    <w:rsid w:val="00627A82"/>
    <w:rsid w:val="006367B0"/>
    <w:rsid w:val="0063694C"/>
    <w:rsid w:val="0064154E"/>
    <w:rsid w:val="00644E28"/>
    <w:rsid w:val="006665FA"/>
    <w:rsid w:val="00670DAA"/>
    <w:rsid w:val="00674E7E"/>
    <w:rsid w:val="00676346"/>
    <w:rsid w:val="00677037"/>
    <w:rsid w:val="00683BB0"/>
    <w:rsid w:val="00691940"/>
    <w:rsid w:val="006A0A76"/>
    <w:rsid w:val="006A0F4B"/>
    <w:rsid w:val="006B0182"/>
    <w:rsid w:val="006B61D8"/>
    <w:rsid w:val="006C43FE"/>
    <w:rsid w:val="006C6153"/>
    <w:rsid w:val="006C7757"/>
    <w:rsid w:val="006D6AB5"/>
    <w:rsid w:val="006E0E63"/>
    <w:rsid w:val="00706854"/>
    <w:rsid w:val="007068F5"/>
    <w:rsid w:val="00710694"/>
    <w:rsid w:val="00710ABF"/>
    <w:rsid w:val="00725500"/>
    <w:rsid w:val="00726351"/>
    <w:rsid w:val="00732103"/>
    <w:rsid w:val="007343E5"/>
    <w:rsid w:val="00735219"/>
    <w:rsid w:val="00752323"/>
    <w:rsid w:val="00752422"/>
    <w:rsid w:val="007549EC"/>
    <w:rsid w:val="007558AF"/>
    <w:rsid w:val="007603EA"/>
    <w:rsid w:val="00762CFD"/>
    <w:rsid w:val="00766F92"/>
    <w:rsid w:val="0077500F"/>
    <w:rsid w:val="0077692B"/>
    <w:rsid w:val="00786683"/>
    <w:rsid w:val="00794FD9"/>
    <w:rsid w:val="007965FC"/>
    <w:rsid w:val="007972B9"/>
    <w:rsid w:val="007A6A41"/>
    <w:rsid w:val="007B4B87"/>
    <w:rsid w:val="007B5CDA"/>
    <w:rsid w:val="007C2914"/>
    <w:rsid w:val="007C33F6"/>
    <w:rsid w:val="007C5797"/>
    <w:rsid w:val="007D2631"/>
    <w:rsid w:val="007E0E8B"/>
    <w:rsid w:val="007F1593"/>
    <w:rsid w:val="007F3472"/>
    <w:rsid w:val="007F3716"/>
    <w:rsid w:val="007F3930"/>
    <w:rsid w:val="00803F75"/>
    <w:rsid w:val="008122F0"/>
    <w:rsid w:val="008153BF"/>
    <w:rsid w:val="008220D9"/>
    <w:rsid w:val="00822EA1"/>
    <w:rsid w:val="008265A8"/>
    <w:rsid w:val="00836EBF"/>
    <w:rsid w:val="00837349"/>
    <w:rsid w:val="00843D59"/>
    <w:rsid w:val="008501E4"/>
    <w:rsid w:val="00863463"/>
    <w:rsid w:val="00864B78"/>
    <w:rsid w:val="00866291"/>
    <w:rsid w:val="00874CD1"/>
    <w:rsid w:val="008834BC"/>
    <w:rsid w:val="008877B0"/>
    <w:rsid w:val="00887F0F"/>
    <w:rsid w:val="00890B28"/>
    <w:rsid w:val="008931C1"/>
    <w:rsid w:val="008967AB"/>
    <w:rsid w:val="008A57D1"/>
    <w:rsid w:val="008B52C9"/>
    <w:rsid w:val="008C4B9D"/>
    <w:rsid w:val="008C5A70"/>
    <w:rsid w:val="008D0354"/>
    <w:rsid w:val="008D2A53"/>
    <w:rsid w:val="008D6308"/>
    <w:rsid w:val="008F3F58"/>
    <w:rsid w:val="008F69CA"/>
    <w:rsid w:val="008F745A"/>
    <w:rsid w:val="009041DD"/>
    <w:rsid w:val="00904F8C"/>
    <w:rsid w:val="00916167"/>
    <w:rsid w:val="00920223"/>
    <w:rsid w:val="00931407"/>
    <w:rsid w:val="009331E9"/>
    <w:rsid w:val="00940C3B"/>
    <w:rsid w:val="00942DC0"/>
    <w:rsid w:val="0094524D"/>
    <w:rsid w:val="009473AB"/>
    <w:rsid w:val="009515C7"/>
    <w:rsid w:val="00957DDD"/>
    <w:rsid w:val="0096069C"/>
    <w:rsid w:val="00963673"/>
    <w:rsid w:val="00965540"/>
    <w:rsid w:val="00973E34"/>
    <w:rsid w:val="00976C7B"/>
    <w:rsid w:val="00986242"/>
    <w:rsid w:val="00990524"/>
    <w:rsid w:val="00994536"/>
    <w:rsid w:val="00995E21"/>
    <w:rsid w:val="009A29E5"/>
    <w:rsid w:val="009A71AB"/>
    <w:rsid w:val="009A7ADB"/>
    <w:rsid w:val="009B5982"/>
    <w:rsid w:val="009C04FE"/>
    <w:rsid w:val="009C492D"/>
    <w:rsid w:val="009D309D"/>
    <w:rsid w:val="009D3AC5"/>
    <w:rsid w:val="009D46FF"/>
    <w:rsid w:val="009D48F8"/>
    <w:rsid w:val="009E34F7"/>
    <w:rsid w:val="009F1582"/>
    <w:rsid w:val="00A051C6"/>
    <w:rsid w:val="00A13A5E"/>
    <w:rsid w:val="00A14055"/>
    <w:rsid w:val="00A166AE"/>
    <w:rsid w:val="00A1691A"/>
    <w:rsid w:val="00A22829"/>
    <w:rsid w:val="00A343C1"/>
    <w:rsid w:val="00A46F4F"/>
    <w:rsid w:val="00A60DAB"/>
    <w:rsid w:val="00A6334C"/>
    <w:rsid w:val="00A7000E"/>
    <w:rsid w:val="00A74BBE"/>
    <w:rsid w:val="00A77FC0"/>
    <w:rsid w:val="00A94D45"/>
    <w:rsid w:val="00A95CE9"/>
    <w:rsid w:val="00AA2063"/>
    <w:rsid w:val="00AA3F80"/>
    <w:rsid w:val="00AB5406"/>
    <w:rsid w:val="00AB59DA"/>
    <w:rsid w:val="00AC2D72"/>
    <w:rsid w:val="00AD2E49"/>
    <w:rsid w:val="00AD44AE"/>
    <w:rsid w:val="00AD618A"/>
    <w:rsid w:val="00AE424E"/>
    <w:rsid w:val="00AE7205"/>
    <w:rsid w:val="00AF0542"/>
    <w:rsid w:val="00AF4AC6"/>
    <w:rsid w:val="00AF4C12"/>
    <w:rsid w:val="00AF6BBC"/>
    <w:rsid w:val="00B02AB8"/>
    <w:rsid w:val="00B035CD"/>
    <w:rsid w:val="00B1320C"/>
    <w:rsid w:val="00B20516"/>
    <w:rsid w:val="00B31027"/>
    <w:rsid w:val="00B3116F"/>
    <w:rsid w:val="00B36307"/>
    <w:rsid w:val="00B50934"/>
    <w:rsid w:val="00B518CC"/>
    <w:rsid w:val="00B5321C"/>
    <w:rsid w:val="00B56D06"/>
    <w:rsid w:val="00B574EF"/>
    <w:rsid w:val="00B65814"/>
    <w:rsid w:val="00B678F9"/>
    <w:rsid w:val="00B67B96"/>
    <w:rsid w:val="00B716BE"/>
    <w:rsid w:val="00B738A9"/>
    <w:rsid w:val="00B74EF0"/>
    <w:rsid w:val="00B803AF"/>
    <w:rsid w:val="00B82003"/>
    <w:rsid w:val="00BA0258"/>
    <w:rsid w:val="00BB046C"/>
    <w:rsid w:val="00BB0A66"/>
    <w:rsid w:val="00BB0F45"/>
    <w:rsid w:val="00BB7298"/>
    <w:rsid w:val="00BC3495"/>
    <w:rsid w:val="00BD1001"/>
    <w:rsid w:val="00BE5B25"/>
    <w:rsid w:val="00BF0286"/>
    <w:rsid w:val="00BF1A09"/>
    <w:rsid w:val="00BF4FCC"/>
    <w:rsid w:val="00BF5C09"/>
    <w:rsid w:val="00C05A79"/>
    <w:rsid w:val="00C10C6D"/>
    <w:rsid w:val="00C15994"/>
    <w:rsid w:val="00C169C3"/>
    <w:rsid w:val="00C21B1C"/>
    <w:rsid w:val="00C24FEE"/>
    <w:rsid w:val="00C25ADB"/>
    <w:rsid w:val="00C30885"/>
    <w:rsid w:val="00C32789"/>
    <w:rsid w:val="00C34AB5"/>
    <w:rsid w:val="00C371B2"/>
    <w:rsid w:val="00C40E04"/>
    <w:rsid w:val="00C441B7"/>
    <w:rsid w:val="00C52F7B"/>
    <w:rsid w:val="00C60273"/>
    <w:rsid w:val="00C61137"/>
    <w:rsid w:val="00C65160"/>
    <w:rsid w:val="00C67192"/>
    <w:rsid w:val="00C71BC5"/>
    <w:rsid w:val="00C7542E"/>
    <w:rsid w:val="00C83B02"/>
    <w:rsid w:val="00C85350"/>
    <w:rsid w:val="00C9388C"/>
    <w:rsid w:val="00C97597"/>
    <w:rsid w:val="00CA256C"/>
    <w:rsid w:val="00CA6494"/>
    <w:rsid w:val="00CB21A3"/>
    <w:rsid w:val="00CB7316"/>
    <w:rsid w:val="00CC0F64"/>
    <w:rsid w:val="00CC3E37"/>
    <w:rsid w:val="00CD33AF"/>
    <w:rsid w:val="00CD3A6D"/>
    <w:rsid w:val="00CE09CF"/>
    <w:rsid w:val="00CE1D12"/>
    <w:rsid w:val="00D1020B"/>
    <w:rsid w:val="00D15E47"/>
    <w:rsid w:val="00D27B7C"/>
    <w:rsid w:val="00D35742"/>
    <w:rsid w:val="00D54339"/>
    <w:rsid w:val="00D54A41"/>
    <w:rsid w:val="00D5725E"/>
    <w:rsid w:val="00D76B62"/>
    <w:rsid w:val="00D805A0"/>
    <w:rsid w:val="00D93938"/>
    <w:rsid w:val="00D96E31"/>
    <w:rsid w:val="00D972EB"/>
    <w:rsid w:val="00DB483F"/>
    <w:rsid w:val="00DC4C61"/>
    <w:rsid w:val="00DC6CBB"/>
    <w:rsid w:val="00DD6F7D"/>
    <w:rsid w:val="00DD7423"/>
    <w:rsid w:val="00DE38BA"/>
    <w:rsid w:val="00DE6606"/>
    <w:rsid w:val="00DF0DC9"/>
    <w:rsid w:val="00DF1A96"/>
    <w:rsid w:val="00DF36A9"/>
    <w:rsid w:val="00E0518E"/>
    <w:rsid w:val="00E06240"/>
    <w:rsid w:val="00E11071"/>
    <w:rsid w:val="00E11D8B"/>
    <w:rsid w:val="00E20D39"/>
    <w:rsid w:val="00E2480D"/>
    <w:rsid w:val="00E422DC"/>
    <w:rsid w:val="00E42B05"/>
    <w:rsid w:val="00E42E2D"/>
    <w:rsid w:val="00E47128"/>
    <w:rsid w:val="00E50117"/>
    <w:rsid w:val="00E50B8D"/>
    <w:rsid w:val="00E514F6"/>
    <w:rsid w:val="00E52184"/>
    <w:rsid w:val="00E52201"/>
    <w:rsid w:val="00E5299A"/>
    <w:rsid w:val="00E64875"/>
    <w:rsid w:val="00E64FCC"/>
    <w:rsid w:val="00E87B9F"/>
    <w:rsid w:val="00E92B27"/>
    <w:rsid w:val="00E958E6"/>
    <w:rsid w:val="00E97E45"/>
    <w:rsid w:val="00EA6343"/>
    <w:rsid w:val="00EA76AA"/>
    <w:rsid w:val="00EB16CA"/>
    <w:rsid w:val="00EB27C4"/>
    <w:rsid w:val="00EC0387"/>
    <w:rsid w:val="00EC0BA2"/>
    <w:rsid w:val="00EC0BB6"/>
    <w:rsid w:val="00EC235A"/>
    <w:rsid w:val="00ED2FD4"/>
    <w:rsid w:val="00EE2C9E"/>
    <w:rsid w:val="00EE37CA"/>
    <w:rsid w:val="00EE7084"/>
    <w:rsid w:val="00EF184C"/>
    <w:rsid w:val="00EF5FBA"/>
    <w:rsid w:val="00F02592"/>
    <w:rsid w:val="00F10AAC"/>
    <w:rsid w:val="00F1523F"/>
    <w:rsid w:val="00F25B97"/>
    <w:rsid w:val="00F3282E"/>
    <w:rsid w:val="00F33E5C"/>
    <w:rsid w:val="00F349AE"/>
    <w:rsid w:val="00F43AB9"/>
    <w:rsid w:val="00F4614C"/>
    <w:rsid w:val="00F46E31"/>
    <w:rsid w:val="00F5270D"/>
    <w:rsid w:val="00F54C1D"/>
    <w:rsid w:val="00F54F3A"/>
    <w:rsid w:val="00F6507D"/>
    <w:rsid w:val="00F707BD"/>
    <w:rsid w:val="00F73DCB"/>
    <w:rsid w:val="00F82411"/>
    <w:rsid w:val="00F839E3"/>
    <w:rsid w:val="00F90ADB"/>
    <w:rsid w:val="00F9119D"/>
    <w:rsid w:val="00FA0947"/>
    <w:rsid w:val="00FA1773"/>
    <w:rsid w:val="00FA286D"/>
    <w:rsid w:val="00FA33A1"/>
    <w:rsid w:val="00FB21B1"/>
    <w:rsid w:val="00FB4F95"/>
    <w:rsid w:val="00FB567B"/>
    <w:rsid w:val="00FC2DE2"/>
    <w:rsid w:val="00FC3191"/>
    <w:rsid w:val="00FC453D"/>
    <w:rsid w:val="00FD60C0"/>
    <w:rsid w:val="00FF1FB8"/>
    <w:rsid w:val="00FF2101"/>
    <w:rsid w:val="00FF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C2DE2"/>
    <w:rPr>
      <w:rFonts w:ascii="Times New Roman" w:eastAsiaTheme="minorHAnsi" w:hAnsi="Times New Roman"/>
      <w:sz w:val="24"/>
      <w:szCs w:val="24"/>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965540"/>
    <w:pPr>
      <w:keepNext/>
      <w:keepLines/>
      <w:spacing w:before="200" w:after="120"/>
      <w:outlineLvl w:val="1"/>
    </w:pPr>
    <w:rPr>
      <w:rFonts w:ascii="Arial" w:eastAsia="Times New Roman" w:hAnsi="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6B61D8"/>
    <w:rPr>
      <w:rFonts w:ascii="Arial" w:hAnsi="Arial"/>
      <w:sz w:val="24"/>
      <w:szCs w:val="22"/>
      <w:lang w:eastAsia="en-US"/>
    </w:rPr>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character" w:customStyle="1" w:styleId="Heading2Char">
    <w:name w:val="Heading 2 Char"/>
    <w:basedOn w:val="DefaultParagraphFont"/>
    <w:link w:val="Heading2"/>
    <w:uiPriority w:val="9"/>
    <w:rsid w:val="00965540"/>
    <w:rPr>
      <w:rFonts w:ascii="Arial" w:eastAsia="Times New Roman" w:hAnsi="Arial"/>
      <w:b/>
      <w:bCs/>
      <w:sz w:val="24"/>
      <w:szCs w:val="26"/>
    </w:rPr>
  </w:style>
  <w:style w:type="paragraph" w:styleId="ListParagraph">
    <w:name w:val="List Paragraph"/>
    <w:basedOn w:val="Normal"/>
    <w:uiPriority w:val="34"/>
    <w:qFormat/>
    <w:rsid w:val="00691940"/>
    <w:pPr>
      <w:ind w:left="720"/>
      <w:contextualSpacing/>
    </w:pPr>
  </w:style>
  <w:style w:type="character" w:styleId="Hyperlink">
    <w:name w:val="Hyperlink"/>
    <w:basedOn w:val="DefaultParagraphFont"/>
    <w:uiPriority w:val="99"/>
    <w:unhideWhenUsed/>
    <w:rsid w:val="004724A0"/>
    <w:rPr>
      <w:color w:val="0000FF"/>
      <w:u w:val="single"/>
    </w:rPr>
  </w:style>
  <w:style w:type="paragraph" w:customStyle="1" w:styleId="Default">
    <w:name w:val="Default"/>
    <w:rsid w:val="00EB16CA"/>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EB16CA"/>
    <w:rPr>
      <w:sz w:val="20"/>
      <w:szCs w:val="20"/>
    </w:rPr>
  </w:style>
  <w:style w:type="character" w:customStyle="1" w:styleId="FootnoteTextChar">
    <w:name w:val="Footnote Text Char"/>
    <w:basedOn w:val="DefaultParagraphFont"/>
    <w:link w:val="FootnoteText"/>
    <w:uiPriority w:val="99"/>
    <w:semiHidden/>
    <w:rsid w:val="00EB16CA"/>
    <w:rPr>
      <w:rFonts w:ascii="Times New Roman" w:eastAsiaTheme="minorHAnsi" w:hAnsi="Times New Roman"/>
    </w:rPr>
  </w:style>
  <w:style w:type="character" w:styleId="FootnoteReference">
    <w:name w:val="footnote reference"/>
    <w:basedOn w:val="DefaultParagraphFont"/>
    <w:uiPriority w:val="99"/>
    <w:semiHidden/>
    <w:unhideWhenUsed/>
    <w:rsid w:val="00EB16CA"/>
    <w:rPr>
      <w:vertAlign w:val="superscript"/>
    </w:rPr>
  </w:style>
  <w:style w:type="paragraph" w:customStyle="1" w:styleId="Pa3">
    <w:name w:val="Pa3"/>
    <w:basedOn w:val="Default"/>
    <w:next w:val="Default"/>
    <w:uiPriority w:val="99"/>
    <w:rsid w:val="00B716BE"/>
    <w:pPr>
      <w:spacing w:line="241" w:lineRule="atLeast"/>
    </w:pPr>
    <w:rPr>
      <w:rFonts w:ascii="Arial MT Std" w:hAnsi="Arial MT Std" w:cs="Times New Roman"/>
      <w:color w:val="auto"/>
    </w:rPr>
  </w:style>
  <w:style w:type="paragraph" w:customStyle="1" w:styleId="Pa11">
    <w:name w:val="Pa11"/>
    <w:basedOn w:val="Default"/>
    <w:next w:val="Default"/>
    <w:uiPriority w:val="99"/>
    <w:rsid w:val="00B716BE"/>
    <w:pPr>
      <w:spacing w:line="241" w:lineRule="atLeast"/>
    </w:pPr>
    <w:rPr>
      <w:rFonts w:ascii="Arial MT Std" w:hAnsi="Arial MT Std" w:cs="Times New Roman"/>
      <w:color w:val="auto"/>
    </w:rPr>
  </w:style>
  <w:style w:type="character" w:customStyle="1" w:styleId="A9">
    <w:name w:val="A9"/>
    <w:uiPriority w:val="99"/>
    <w:rsid w:val="008220D9"/>
    <w:rPr>
      <w:rFonts w:cs="Arial MT Std"/>
      <w:color w:val="000000"/>
      <w:sz w:val="14"/>
      <w:szCs w:val="14"/>
    </w:rPr>
  </w:style>
  <w:style w:type="table" w:styleId="TableGrid">
    <w:name w:val="Table Grid"/>
    <w:basedOn w:val="TableNormal"/>
    <w:uiPriority w:val="59"/>
    <w:rsid w:val="00B51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3930"/>
    <w:pPr>
      <w:spacing w:after="308"/>
    </w:pPr>
    <w:rPr>
      <w:rFonts w:eastAsia="Times New Roman"/>
    </w:rPr>
  </w:style>
  <w:style w:type="character" w:styleId="Strong">
    <w:name w:val="Strong"/>
    <w:basedOn w:val="DefaultParagraphFont"/>
    <w:uiPriority w:val="22"/>
    <w:qFormat/>
    <w:rsid w:val="007A6A41"/>
    <w:rPr>
      <w:b/>
      <w:bCs/>
    </w:rPr>
  </w:style>
  <w:style w:type="paragraph" w:customStyle="1" w:styleId="CM8">
    <w:name w:val="CM8"/>
    <w:basedOn w:val="Default"/>
    <w:next w:val="Default"/>
    <w:uiPriority w:val="99"/>
    <w:rsid w:val="004C1EA7"/>
    <w:rPr>
      <w:rFonts w:ascii="Times New Roman" w:hAnsi="Times New Roman" w:cs="Times New Roman"/>
      <w:color w:val="auto"/>
    </w:rPr>
  </w:style>
  <w:style w:type="paragraph" w:customStyle="1" w:styleId="CM7">
    <w:name w:val="CM7"/>
    <w:basedOn w:val="Default"/>
    <w:next w:val="Default"/>
    <w:uiPriority w:val="99"/>
    <w:rsid w:val="004C1EA7"/>
    <w:rPr>
      <w:rFonts w:ascii="Times New Roman" w:hAnsi="Times New Roman" w:cs="Times New Roman"/>
      <w:color w:val="auto"/>
    </w:rPr>
  </w:style>
  <w:style w:type="character" w:styleId="FollowedHyperlink">
    <w:name w:val="FollowedHyperlink"/>
    <w:basedOn w:val="DefaultParagraphFont"/>
    <w:uiPriority w:val="99"/>
    <w:semiHidden/>
    <w:unhideWhenUsed/>
    <w:rsid w:val="00B56D06"/>
    <w:rPr>
      <w:color w:val="800080" w:themeColor="followedHyperlink"/>
      <w:u w:val="single"/>
    </w:rPr>
  </w:style>
  <w:style w:type="paragraph" w:customStyle="1" w:styleId="Pa4">
    <w:name w:val="Pa4"/>
    <w:basedOn w:val="Default"/>
    <w:next w:val="Default"/>
    <w:uiPriority w:val="99"/>
    <w:rsid w:val="00352643"/>
    <w:pPr>
      <w:spacing w:line="241" w:lineRule="atLeast"/>
    </w:pPr>
    <w:rPr>
      <w:rFonts w:ascii="Arial MT Std" w:hAnsi="Arial MT Std" w:cs="Times New Roman"/>
      <w:color w:val="auto"/>
    </w:rPr>
  </w:style>
  <w:style w:type="character" w:styleId="CommentReference">
    <w:name w:val="annotation reference"/>
    <w:basedOn w:val="DefaultParagraphFont"/>
    <w:uiPriority w:val="99"/>
    <w:semiHidden/>
    <w:unhideWhenUsed/>
    <w:rsid w:val="006D6AB5"/>
    <w:rPr>
      <w:sz w:val="16"/>
      <w:szCs w:val="16"/>
    </w:rPr>
  </w:style>
  <w:style w:type="paragraph" w:styleId="CommentText">
    <w:name w:val="annotation text"/>
    <w:basedOn w:val="Normal"/>
    <w:link w:val="CommentTextChar"/>
    <w:uiPriority w:val="99"/>
    <w:semiHidden/>
    <w:unhideWhenUsed/>
    <w:rsid w:val="006D6AB5"/>
    <w:rPr>
      <w:sz w:val="20"/>
      <w:szCs w:val="20"/>
    </w:rPr>
  </w:style>
  <w:style w:type="character" w:customStyle="1" w:styleId="CommentTextChar">
    <w:name w:val="Comment Text Char"/>
    <w:basedOn w:val="DefaultParagraphFont"/>
    <w:link w:val="CommentText"/>
    <w:uiPriority w:val="99"/>
    <w:semiHidden/>
    <w:rsid w:val="006D6AB5"/>
    <w:rPr>
      <w:rFonts w:ascii="Times New Roman" w:eastAsiaTheme="minorHAnsi" w:hAnsi="Times New Roman"/>
    </w:rPr>
  </w:style>
  <w:style w:type="paragraph" w:styleId="CommentSubject">
    <w:name w:val="annotation subject"/>
    <w:basedOn w:val="CommentText"/>
    <w:next w:val="CommentText"/>
    <w:link w:val="CommentSubjectChar"/>
    <w:uiPriority w:val="99"/>
    <w:semiHidden/>
    <w:unhideWhenUsed/>
    <w:rsid w:val="006D6AB5"/>
    <w:rPr>
      <w:b/>
      <w:bCs/>
    </w:rPr>
  </w:style>
  <w:style w:type="character" w:customStyle="1" w:styleId="CommentSubjectChar">
    <w:name w:val="Comment Subject Char"/>
    <w:basedOn w:val="CommentTextChar"/>
    <w:link w:val="CommentSubject"/>
    <w:uiPriority w:val="99"/>
    <w:semiHidden/>
    <w:rsid w:val="006D6AB5"/>
    <w:rPr>
      <w:rFonts w:ascii="Times New Roman" w:eastAsiaTheme="minorHAnsi" w:hAnsi="Times New Roman"/>
      <w:b/>
      <w:bCs/>
    </w:rPr>
  </w:style>
  <w:style w:type="paragraph" w:styleId="BalloonText">
    <w:name w:val="Balloon Text"/>
    <w:basedOn w:val="Normal"/>
    <w:link w:val="BalloonTextChar"/>
    <w:uiPriority w:val="99"/>
    <w:semiHidden/>
    <w:unhideWhenUsed/>
    <w:rsid w:val="006D6AB5"/>
    <w:rPr>
      <w:rFonts w:ascii="Tahoma" w:hAnsi="Tahoma" w:cs="Tahoma"/>
      <w:sz w:val="16"/>
      <w:szCs w:val="16"/>
    </w:rPr>
  </w:style>
  <w:style w:type="character" w:customStyle="1" w:styleId="BalloonTextChar">
    <w:name w:val="Balloon Text Char"/>
    <w:basedOn w:val="DefaultParagraphFont"/>
    <w:link w:val="BalloonText"/>
    <w:uiPriority w:val="99"/>
    <w:semiHidden/>
    <w:rsid w:val="006D6AB5"/>
    <w:rPr>
      <w:rFonts w:ascii="Tahoma" w:eastAsiaTheme="minorHAns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C2DE2"/>
    <w:rPr>
      <w:rFonts w:ascii="Times New Roman" w:eastAsiaTheme="minorHAnsi" w:hAnsi="Times New Roman"/>
      <w:sz w:val="24"/>
      <w:szCs w:val="24"/>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965540"/>
    <w:pPr>
      <w:keepNext/>
      <w:keepLines/>
      <w:spacing w:before="200" w:after="120"/>
      <w:outlineLvl w:val="1"/>
    </w:pPr>
    <w:rPr>
      <w:rFonts w:ascii="Arial" w:eastAsia="Times New Roman" w:hAnsi="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6B61D8"/>
    <w:rPr>
      <w:rFonts w:ascii="Arial" w:hAnsi="Arial"/>
      <w:sz w:val="24"/>
      <w:szCs w:val="22"/>
      <w:lang w:eastAsia="en-US"/>
    </w:rPr>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character" w:customStyle="1" w:styleId="Heading2Char">
    <w:name w:val="Heading 2 Char"/>
    <w:basedOn w:val="DefaultParagraphFont"/>
    <w:link w:val="Heading2"/>
    <w:uiPriority w:val="9"/>
    <w:rsid w:val="00965540"/>
    <w:rPr>
      <w:rFonts w:ascii="Arial" w:eastAsia="Times New Roman" w:hAnsi="Arial"/>
      <w:b/>
      <w:bCs/>
      <w:sz w:val="24"/>
      <w:szCs w:val="26"/>
    </w:rPr>
  </w:style>
  <w:style w:type="paragraph" w:styleId="ListParagraph">
    <w:name w:val="List Paragraph"/>
    <w:basedOn w:val="Normal"/>
    <w:uiPriority w:val="34"/>
    <w:qFormat/>
    <w:rsid w:val="00691940"/>
    <w:pPr>
      <w:ind w:left="720"/>
      <w:contextualSpacing/>
    </w:pPr>
  </w:style>
  <w:style w:type="character" w:styleId="Hyperlink">
    <w:name w:val="Hyperlink"/>
    <w:basedOn w:val="DefaultParagraphFont"/>
    <w:uiPriority w:val="99"/>
    <w:unhideWhenUsed/>
    <w:rsid w:val="004724A0"/>
    <w:rPr>
      <w:color w:val="0000FF"/>
      <w:u w:val="single"/>
    </w:rPr>
  </w:style>
  <w:style w:type="paragraph" w:customStyle="1" w:styleId="Default">
    <w:name w:val="Default"/>
    <w:rsid w:val="00EB16CA"/>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EB16CA"/>
    <w:rPr>
      <w:sz w:val="20"/>
      <w:szCs w:val="20"/>
    </w:rPr>
  </w:style>
  <w:style w:type="character" w:customStyle="1" w:styleId="FootnoteTextChar">
    <w:name w:val="Footnote Text Char"/>
    <w:basedOn w:val="DefaultParagraphFont"/>
    <w:link w:val="FootnoteText"/>
    <w:uiPriority w:val="99"/>
    <w:semiHidden/>
    <w:rsid w:val="00EB16CA"/>
    <w:rPr>
      <w:rFonts w:ascii="Times New Roman" w:eastAsiaTheme="minorHAnsi" w:hAnsi="Times New Roman"/>
    </w:rPr>
  </w:style>
  <w:style w:type="character" w:styleId="FootnoteReference">
    <w:name w:val="footnote reference"/>
    <w:basedOn w:val="DefaultParagraphFont"/>
    <w:uiPriority w:val="99"/>
    <w:semiHidden/>
    <w:unhideWhenUsed/>
    <w:rsid w:val="00EB16CA"/>
    <w:rPr>
      <w:vertAlign w:val="superscript"/>
    </w:rPr>
  </w:style>
  <w:style w:type="paragraph" w:customStyle="1" w:styleId="Pa3">
    <w:name w:val="Pa3"/>
    <w:basedOn w:val="Default"/>
    <w:next w:val="Default"/>
    <w:uiPriority w:val="99"/>
    <w:rsid w:val="00B716BE"/>
    <w:pPr>
      <w:spacing w:line="241" w:lineRule="atLeast"/>
    </w:pPr>
    <w:rPr>
      <w:rFonts w:ascii="Arial MT Std" w:hAnsi="Arial MT Std" w:cs="Times New Roman"/>
      <w:color w:val="auto"/>
    </w:rPr>
  </w:style>
  <w:style w:type="paragraph" w:customStyle="1" w:styleId="Pa11">
    <w:name w:val="Pa11"/>
    <w:basedOn w:val="Default"/>
    <w:next w:val="Default"/>
    <w:uiPriority w:val="99"/>
    <w:rsid w:val="00B716BE"/>
    <w:pPr>
      <w:spacing w:line="241" w:lineRule="atLeast"/>
    </w:pPr>
    <w:rPr>
      <w:rFonts w:ascii="Arial MT Std" w:hAnsi="Arial MT Std" w:cs="Times New Roman"/>
      <w:color w:val="auto"/>
    </w:rPr>
  </w:style>
  <w:style w:type="character" w:customStyle="1" w:styleId="A9">
    <w:name w:val="A9"/>
    <w:uiPriority w:val="99"/>
    <w:rsid w:val="008220D9"/>
    <w:rPr>
      <w:rFonts w:cs="Arial MT Std"/>
      <w:color w:val="000000"/>
      <w:sz w:val="14"/>
      <w:szCs w:val="14"/>
    </w:rPr>
  </w:style>
  <w:style w:type="table" w:styleId="TableGrid">
    <w:name w:val="Table Grid"/>
    <w:basedOn w:val="TableNormal"/>
    <w:uiPriority w:val="59"/>
    <w:rsid w:val="00B518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3930"/>
    <w:pPr>
      <w:spacing w:after="308"/>
    </w:pPr>
    <w:rPr>
      <w:rFonts w:eastAsia="Times New Roman"/>
    </w:rPr>
  </w:style>
  <w:style w:type="character" w:styleId="Strong">
    <w:name w:val="Strong"/>
    <w:basedOn w:val="DefaultParagraphFont"/>
    <w:uiPriority w:val="22"/>
    <w:qFormat/>
    <w:rsid w:val="007A6A41"/>
    <w:rPr>
      <w:b/>
      <w:bCs/>
    </w:rPr>
  </w:style>
  <w:style w:type="paragraph" w:customStyle="1" w:styleId="CM8">
    <w:name w:val="CM8"/>
    <w:basedOn w:val="Default"/>
    <w:next w:val="Default"/>
    <w:uiPriority w:val="99"/>
    <w:rsid w:val="004C1EA7"/>
    <w:rPr>
      <w:rFonts w:ascii="Times New Roman" w:hAnsi="Times New Roman" w:cs="Times New Roman"/>
      <w:color w:val="auto"/>
    </w:rPr>
  </w:style>
  <w:style w:type="paragraph" w:customStyle="1" w:styleId="CM7">
    <w:name w:val="CM7"/>
    <w:basedOn w:val="Default"/>
    <w:next w:val="Default"/>
    <w:uiPriority w:val="99"/>
    <w:rsid w:val="004C1EA7"/>
    <w:rPr>
      <w:rFonts w:ascii="Times New Roman" w:hAnsi="Times New Roman" w:cs="Times New Roman"/>
      <w:color w:val="auto"/>
    </w:rPr>
  </w:style>
  <w:style w:type="character" w:styleId="FollowedHyperlink">
    <w:name w:val="FollowedHyperlink"/>
    <w:basedOn w:val="DefaultParagraphFont"/>
    <w:uiPriority w:val="99"/>
    <w:semiHidden/>
    <w:unhideWhenUsed/>
    <w:rsid w:val="00B56D06"/>
    <w:rPr>
      <w:color w:val="800080" w:themeColor="followedHyperlink"/>
      <w:u w:val="single"/>
    </w:rPr>
  </w:style>
  <w:style w:type="paragraph" w:customStyle="1" w:styleId="Pa4">
    <w:name w:val="Pa4"/>
    <w:basedOn w:val="Default"/>
    <w:next w:val="Default"/>
    <w:uiPriority w:val="99"/>
    <w:rsid w:val="00352643"/>
    <w:pPr>
      <w:spacing w:line="241" w:lineRule="atLeast"/>
    </w:pPr>
    <w:rPr>
      <w:rFonts w:ascii="Arial MT Std" w:hAnsi="Arial MT Std" w:cs="Times New Roman"/>
      <w:color w:val="auto"/>
    </w:rPr>
  </w:style>
  <w:style w:type="character" w:styleId="CommentReference">
    <w:name w:val="annotation reference"/>
    <w:basedOn w:val="DefaultParagraphFont"/>
    <w:uiPriority w:val="99"/>
    <w:semiHidden/>
    <w:unhideWhenUsed/>
    <w:rsid w:val="006D6AB5"/>
    <w:rPr>
      <w:sz w:val="16"/>
      <w:szCs w:val="16"/>
    </w:rPr>
  </w:style>
  <w:style w:type="paragraph" w:styleId="CommentText">
    <w:name w:val="annotation text"/>
    <w:basedOn w:val="Normal"/>
    <w:link w:val="CommentTextChar"/>
    <w:uiPriority w:val="99"/>
    <w:semiHidden/>
    <w:unhideWhenUsed/>
    <w:rsid w:val="006D6AB5"/>
    <w:rPr>
      <w:sz w:val="20"/>
      <w:szCs w:val="20"/>
    </w:rPr>
  </w:style>
  <w:style w:type="character" w:customStyle="1" w:styleId="CommentTextChar">
    <w:name w:val="Comment Text Char"/>
    <w:basedOn w:val="DefaultParagraphFont"/>
    <w:link w:val="CommentText"/>
    <w:uiPriority w:val="99"/>
    <w:semiHidden/>
    <w:rsid w:val="006D6AB5"/>
    <w:rPr>
      <w:rFonts w:ascii="Times New Roman" w:eastAsiaTheme="minorHAnsi" w:hAnsi="Times New Roman"/>
    </w:rPr>
  </w:style>
  <w:style w:type="paragraph" w:styleId="CommentSubject">
    <w:name w:val="annotation subject"/>
    <w:basedOn w:val="CommentText"/>
    <w:next w:val="CommentText"/>
    <w:link w:val="CommentSubjectChar"/>
    <w:uiPriority w:val="99"/>
    <w:semiHidden/>
    <w:unhideWhenUsed/>
    <w:rsid w:val="006D6AB5"/>
    <w:rPr>
      <w:b/>
      <w:bCs/>
    </w:rPr>
  </w:style>
  <w:style w:type="character" w:customStyle="1" w:styleId="CommentSubjectChar">
    <w:name w:val="Comment Subject Char"/>
    <w:basedOn w:val="CommentTextChar"/>
    <w:link w:val="CommentSubject"/>
    <w:uiPriority w:val="99"/>
    <w:semiHidden/>
    <w:rsid w:val="006D6AB5"/>
    <w:rPr>
      <w:rFonts w:ascii="Times New Roman" w:eastAsiaTheme="minorHAnsi" w:hAnsi="Times New Roman"/>
      <w:b/>
      <w:bCs/>
    </w:rPr>
  </w:style>
  <w:style w:type="paragraph" w:styleId="BalloonText">
    <w:name w:val="Balloon Text"/>
    <w:basedOn w:val="Normal"/>
    <w:link w:val="BalloonTextChar"/>
    <w:uiPriority w:val="99"/>
    <w:semiHidden/>
    <w:unhideWhenUsed/>
    <w:rsid w:val="006D6AB5"/>
    <w:rPr>
      <w:rFonts w:ascii="Tahoma" w:hAnsi="Tahoma" w:cs="Tahoma"/>
      <w:sz w:val="16"/>
      <w:szCs w:val="16"/>
    </w:rPr>
  </w:style>
  <w:style w:type="character" w:customStyle="1" w:styleId="BalloonTextChar">
    <w:name w:val="Balloon Text Char"/>
    <w:basedOn w:val="DefaultParagraphFont"/>
    <w:link w:val="BalloonText"/>
    <w:uiPriority w:val="99"/>
    <w:semiHidden/>
    <w:rsid w:val="006D6AB5"/>
    <w:rPr>
      <w:rFonts w:ascii="Tahoma" w:eastAsiaTheme="minorHAns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292994">
      <w:bodyDiv w:val="1"/>
      <w:marLeft w:val="0"/>
      <w:marRight w:val="0"/>
      <w:marTop w:val="0"/>
      <w:marBottom w:val="0"/>
      <w:divBdr>
        <w:top w:val="none" w:sz="0" w:space="0" w:color="auto"/>
        <w:left w:val="none" w:sz="0" w:space="0" w:color="auto"/>
        <w:bottom w:val="none" w:sz="0" w:space="0" w:color="auto"/>
        <w:right w:val="none" w:sz="0" w:space="0" w:color="auto"/>
      </w:divBdr>
      <w:divsChild>
        <w:div w:id="1280990352">
          <w:marLeft w:val="0"/>
          <w:marRight w:val="0"/>
          <w:marTop w:val="0"/>
          <w:marBottom w:val="0"/>
          <w:divBdr>
            <w:top w:val="none" w:sz="0" w:space="0" w:color="auto"/>
            <w:left w:val="none" w:sz="0" w:space="0" w:color="auto"/>
            <w:bottom w:val="none" w:sz="0" w:space="0" w:color="auto"/>
            <w:right w:val="none" w:sz="0" w:space="0" w:color="auto"/>
          </w:divBdr>
          <w:divsChild>
            <w:div w:id="1671591846">
              <w:marLeft w:val="0"/>
              <w:marRight w:val="0"/>
              <w:marTop w:val="0"/>
              <w:marBottom w:val="0"/>
              <w:divBdr>
                <w:top w:val="none" w:sz="0" w:space="0" w:color="auto"/>
                <w:left w:val="none" w:sz="0" w:space="0" w:color="auto"/>
                <w:bottom w:val="none" w:sz="0" w:space="0" w:color="auto"/>
                <w:right w:val="none" w:sz="0" w:space="0" w:color="auto"/>
              </w:divBdr>
              <w:divsChild>
                <w:div w:id="563955059">
                  <w:marLeft w:val="0"/>
                  <w:marRight w:val="0"/>
                  <w:marTop w:val="0"/>
                  <w:marBottom w:val="0"/>
                  <w:divBdr>
                    <w:top w:val="none" w:sz="0" w:space="0" w:color="auto"/>
                    <w:left w:val="none" w:sz="0" w:space="0" w:color="auto"/>
                    <w:bottom w:val="none" w:sz="0" w:space="0" w:color="auto"/>
                    <w:right w:val="none" w:sz="0" w:space="0" w:color="auto"/>
                  </w:divBdr>
                  <w:divsChild>
                    <w:div w:id="979267549">
                      <w:marLeft w:val="0"/>
                      <w:marRight w:val="0"/>
                      <w:marTop w:val="0"/>
                      <w:marBottom w:val="0"/>
                      <w:divBdr>
                        <w:top w:val="none" w:sz="0" w:space="0" w:color="auto"/>
                        <w:left w:val="none" w:sz="0" w:space="0" w:color="auto"/>
                        <w:bottom w:val="none" w:sz="0" w:space="0" w:color="auto"/>
                        <w:right w:val="none" w:sz="0" w:space="0" w:color="auto"/>
                      </w:divBdr>
                      <w:divsChild>
                        <w:div w:id="2976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869717">
      <w:bodyDiv w:val="1"/>
      <w:marLeft w:val="0"/>
      <w:marRight w:val="0"/>
      <w:marTop w:val="0"/>
      <w:marBottom w:val="0"/>
      <w:divBdr>
        <w:top w:val="none" w:sz="0" w:space="0" w:color="auto"/>
        <w:left w:val="none" w:sz="0" w:space="0" w:color="auto"/>
        <w:bottom w:val="none" w:sz="0" w:space="0" w:color="auto"/>
        <w:right w:val="none" w:sz="0" w:space="0" w:color="auto"/>
      </w:divBdr>
    </w:div>
    <w:div w:id="517426569">
      <w:bodyDiv w:val="1"/>
      <w:marLeft w:val="0"/>
      <w:marRight w:val="0"/>
      <w:marTop w:val="0"/>
      <w:marBottom w:val="0"/>
      <w:divBdr>
        <w:top w:val="none" w:sz="0" w:space="0" w:color="auto"/>
        <w:left w:val="none" w:sz="0" w:space="0" w:color="auto"/>
        <w:bottom w:val="none" w:sz="0" w:space="0" w:color="auto"/>
        <w:right w:val="none" w:sz="0" w:space="0" w:color="auto"/>
      </w:divBdr>
      <w:divsChild>
        <w:div w:id="969047790">
          <w:marLeft w:val="0"/>
          <w:marRight w:val="0"/>
          <w:marTop w:val="0"/>
          <w:marBottom w:val="0"/>
          <w:divBdr>
            <w:top w:val="none" w:sz="0" w:space="0" w:color="auto"/>
            <w:left w:val="none" w:sz="0" w:space="0" w:color="auto"/>
            <w:bottom w:val="none" w:sz="0" w:space="0" w:color="auto"/>
            <w:right w:val="none" w:sz="0" w:space="0" w:color="auto"/>
          </w:divBdr>
          <w:divsChild>
            <w:div w:id="981891192">
              <w:marLeft w:val="0"/>
              <w:marRight w:val="0"/>
              <w:marTop w:val="0"/>
              <w:marBottom w:val="0"/>
              <w:divBdr>
                <w:top w:val="none" w:sz="0" w:space="0" w:color="auto"/>
                <w:left w:val="none" w:sz="0" w:space="0" w:color="auto"/>
                <w:bottom w:val="none" w:sz="0" w:space="0" w:color="auto"/>
                <w:right w:val="none" w:sz="0" w:space="0" w:color="auto"/>
              </w:divBdr>
              <w:divsChild>
                <w:div w:id="716394650">
                  <w:marLeft w:val="0"/>
                  <w:marRight w:val="0"/>
                  <w:marTop w:val="0"/>
                  <w:marBottom w:val="0"/>
                  <w:divBdr>
                    <w:top w:val="none" w:sz="0" w:space="0" w:color="auto"/>
                    <w:left w:val="none" w:sz="0" w:space="0" w:color="auto"/>
                    <w:bottom w:val="none" w:sz="0" w:space="0" w:color="auto"/>
                    <w:right w:val="none" w:sz="0" w:space="0" w:color="auto"/>
                  </w:divBdr>
                  <w:divsChild>
                    <w:div w:id="168327901">
                      <w:marLeft w:val="0"/>
                      <w:marRight w:val="0"/>
                      <w:marTop w:val="0"/>
                      <w:marBottom w:val="600"/>
                      <w:divBdr>
                        <w:top w:val="none" w:sz="0" w:space="0" w:color="auto"/>
                        <w:left w:val="none" w:sz="0" w:space="0" w:color="auto"/>
                        <w:bottom w:val="none" w:sz="0" w:space="0" w:color="auto"/>
                        <w:right w:val="none" w:sz="0" w:space="0" w:color="auto"/>
                      </w:divBdr>
                      <w:divsChild>
                        <w:div w:id="1813524937">
                          <w:marLeft w:val="0"/>
                          <w:marRight w:val="0"/>
                          <w:marTop w:val="0"/>
                          <w:marBottom w:val="0"/>
                          <w:divBdr>
                            <w:top w:val="none" w:sz="0" w:space="0" w:color="auto"/>
                            <w:left w:val="none" w:sz="0" w:space="0" w:color="auto"/>
                            <w:bottom w:val="none" w:sz="0" w:space="0" w:color="auto"/>
                            <w:right w:val="none" w:sz="0" w:space="0" w:color="auto"/>
                          </w:divBdr>
                          <w:divsChild>
                            <w:div w:id="10904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9501492">
      <w:bodyDiv w:val="1"/>
      <w:marLeft w:val="0"/>
      <w:marRight w:val="0"/>
      <w:marTop w:val="0"/>
      <w:marBottom w:val="0"/>
      <w:divBdr>
        <w:top w:val="none" w:sz="0" w:space="0" w:color="auto"/>
        <w:left w:val="none" w:sz="0" w:space="0" w:color="auto"/>
        <w:bottom w:val="none" w:sz="0" w:space="0" w:color="auto"/>
        <w:right w:val="none" w:sz="0" w:space="0" w:color="auto"/>
      </w:divBdr>
    </w:div>
    <w:div w:id="945619697">
      <w:bodyDiv w:val="1"/>
      <w:marLeft w:val="0"/>
      <w:marRight w:val="0"/>
      <w:marTop w:val="0"/>
      <w:marBottom w:val="0"/>
      <w:divBdr>
        <w:top w:val="none" w:sz="0" w:space="0" w:color="auto"/>
        <w:left w:val="none" w:sz="0" w:space="0" w:color="auto"/>
        <w:bottom w:val="none" w:sz="0" w:space="0" w:color="auto"/>
        <w:right w:val="none" w:sz="0" w:space="0" w:color="auto"/>
      </w:divBdr>
      <w:divsChild>
        <w:div w:id="1058406461">
          <w:marLeft w:val="0"/>
          <w:marRight w:val="0"/>
          <w:marTop w:val="0"/>
          <w:marBottom w:val="0"/>
          <w:divBdr>
            <w:top w:val="none" w:sz="0" w:space="0" w:color="auto"/>
            <w:left w:val="none" w:sz="0" w:space="0" w:color="auto"/>
            <w:bottom w:val="none" w:sz="0" w:space="0" w:color="auto"/>
            <w:right w:val="none" w:sz="0" w:space="0" w:color="auto"/>
          </w:divBdr>
          <w:divsChild>
            <w:div w:id="872618504">
              <w:marLeft w:val="0"/>
              <w:marRight w:val="0"/>
              <w:marTop w:val="0"/>
              <w:marBottom w:val="0"/>
              <w:divBdr>
                <w:top w:val="single" w:sz="6" w:space="15" w:color="E4E2DC"/>
                <w:left w:val="none" w:sz="0" w:space="0" w:color="auto"/>
                <w:bottom w:val="none" w:sz="0" w:space="0" w:color="auto"/>
                <w:right w:val="none" w:sz="0" w:space="0" w:color="auto"/>
              </w:divBdr>
              <w:divsChild>
                <w:div w:id="1371417764">
                  <w:marLeft w:val="0"/>
                  <w:marRight w:val="0"/>
                  <w:marTop w:val="0"/>
                  <w:marBottom w:val="0"/>
                  <w:divBdr>
                    <w:top w:val="none" w:sz="0" w:space="0" w:color="auto"/>
                    <w:left w:val="none" w:sz="0" w:space="0" w:color="auto"/>
                    <w:bottom w:val="none" w:sz="0" w:space="0" w:color="auto"/>
                    <w:right w:val="none" w:sz="0" w:space="0" w:color="auto"/>
                  </w:divBdr>
                  <w:divsChild>
                    <w:div w:id="1053893747">
                      <w:marLeft w:val="0"/>
                      <w:marRight w:val="0"/>
                      <w:marTop w:val="0"/>
                      <w:marBottom w:val="0"/>
                      <w:divBdr>
                        <w:top w:val="none" w:sz="0" w:space="0" w:color="auto"/>
                        <w:left w:val="none" w:sz="0" w:space="0" w:color="auto"/>
                        <w:bottom w:val="none" w:sz="0" w:space="0" w:color="auto"/>
                        <w:right w:val="none" w:sz="0" w:space="0" w:color="auto"/>
                      </w:divBdr>
                      <w:divsChild>
                        <w:div w:id="1976182915">
                          <w:marLeft w:val="0"/>
                          <w:marRight w:val="0"/>
                          <w:marTop w:val="0"/>
                          <w:marBottom w:val="0"/>
                          <w:divBdr>
                            <w:top w:val="none" w:sz="0" w:space="0" w:color="auto"/>
                            <w:left w:val="none" w:sz="0" w:space="0" w:color="auto"/>
                            <w:bottom w:val="none" w:sz="0" w:space="0" w:color="auto"/>
                            <w:right w:val="none" w:sz="0" w:space="0" w:color="auto"/>
                          </w:divBdr>
                          <w:divsChild>
                            <w:div w:id="422992652">
                              <w:marLeft w:val="0"/>
                              <w:marRight w:val="0"/>
                              <w:marTop w:val="15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930816">
      <w:bodyDiv w:val="1"/>
      <w:marLeft w:val="0"/>
      <w:marRight w:val="0"/>
      <w:marTop w:val="0"/>
      <w:marBottom w:val="0"/>
      <w:divBdr>
        <w:top w:val="none" w:sz="0" w:space="0" w:color="auto"/>
        <w:left w:val="none" w:sz="0" w:space="0" w:color="auto"/>
        <w:bottom w:val="none" w:sz="0" w:space="0" w:color="auto"/>
        <w:right w:val="none" w:sz="0" w:space="0" w:color="auto"/>
      </w:divBdr>
      <w:divsChild>
        <w:div w:id="1044645603">
          <w:marLeft w:val="0"/>
          <w:marRight w:val="0"/>
          <w:marTop w:val="0"/>
          <w:marBottom w:val="0"/>
          <w:divBdr>
            <w:top w:val="none" w:sz="0" w:space="0" w:color="auto"/>
            <w:left w:val="none" w:sz="0" w:space="0" w:color="auto"/>
            <w:bottom w:val="none" w:sz="0" w:space="0" w:color="auto"/>
            <w:right w:val="none" w:sz="0" w:space="0" w:color="auto"/>
          </w:divBdr>
          <w:divsChild>
            <w:div w:id="565721233">
              <w:marLeft w:val="0"/>
              <w:marRight w:val="0"/>
              <w:marTop w:val="0"/>
              <w:marBottom w:val="0"/>
              <w:divBdr>
                <w:top w:val="none" w:sz="0" w:space="0" w:color="auto"/>
                <w:left w:val="none" w:sz="0" w:space="0" w:color="auto"/>
                <w:bottom w:val="none" w:sz="0" w:space="0" w:color="auto"/>
                <w:right w:val="none" w:sz="0" w:space="0" w:color="auto"/>
              </w:divBdr>
              <w:divsChild>
                <w:div w:id="1059866453">
                  <w:marLeft w:val="0"/>
                  <w:marRight w:val="0"/>
                  <w:marTop w:val="0"/>
                  <w:marBottom w:val="0"/>
                  <w:divBdr>
                    <w:top w:val="none" w:sz="0" w:space="0" w:color="auto"/>
                    <w:left w:val="none" w:sz="0" w:space="0" w:color="auto"/>
                    <w:bottom w:val="none" w:sz="0" w:space="0" w:color="auto"/>
                    <w:right w:val="none" w:sz="0" w:space="0" w:color="auto"/>
                  </w:divBdr>
                  <w:divsChild>
                    <w:div w:id="1757901817">
                      <w:marLeft w:val="0"/>
                      <w:marRight w:val="0"/>
                      <w:marTop w:val="0"/>
                      <w:marBottom w:val="600"/>
                      <w:divBdr>
                        <w:top w:val="none" w:sz="0" w:space="0" w:color="auto"/>
                        <w:left w:val="none" w:sz="0" w:space="0" w:color="auto"/>
                        <w:bottom w:val="none" w:sz="0" w:space="0" w:color="auto"/>
                        <w:right w:val="none" w:sz="0" w:space="0" w:color="auto"/>
                      </w:divBdr>
                      <w:divsChild>
                        <w:div w:id="444884361">
                          <w:marLeft w:val="0"/>
                          <w:marRight w:val="0"/>
                          <w:marTop w:val="0"/>
                          <w:marBottom w:val="0"/>
                          <w:divBdr>
                            <w:top w:val="none" w:sz="0" w:space="0" w:color="auto"/>
                            <w:left w:val="none" w:sz="0" w:space="0" w:color="auto"/>
                            <w:bottom w:val="none" w:sz="0" w:space="0" w:color="auto"/>
                            <w:right w:val="none" w:sz="0" w:space="0" w:color="auto"/>
                          </w:divBdr>
                          <w:divsChild>
                            <w:div w:id="199826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413254">
      <w:bodyDiv w:val="1"/>
      <w:marLeft w:val="0"/>
      <w:marRight w:val="0"/>
      <w:marTop w:val="0"/>
      <w:marBottom w:val="0"/>
      <w:divBdr>
        <w:top w:val="none" w:sz="0" w:space="0" w:color="auto"/>
        <w:left w:val="none" w:sz="0" w:space="0" w:color="auto"/>
        <w:bottom w:val="none" w:sz="0" w:space="0" w:color="auto"/>
        <w:right w:val="none" w:sz="0" w:space="0" w:color="auto"/>
      </w:divBdr>
      <w:divsChild>
        <w:div w:id="186143838">
          <w:marLeft w:val="0"/>
          <w:marRight w:val="0"/>
          <w:marTop w:val="0"/>
          <w:marBottom w:val="0"/>
          <w:divBdr>
            <w:top w:val="none" w:sz="0" w:space="0" w:color="auto"/>
            <w:left w:val="none" w:sz="0" w:space="0" w:color="auto"/>
            <w:bottom w:val="none" w:sz="0" w:space="0" w:color="auto"/>
            <w:right w:val="none" w:sz="0" w:space="0" w:color="auto"/>
          </w:divBdr>
          <w:divsChild>
            <w:div w:id="1485008427">
              <w:marLeft w:val="0"/>
              <w:marRight w:val="0"/>
              <w:marTop w:val="0"/>
              <w:marBottom w:val="0"/>
              <w:divBdr>
                <w:top w:val="none" w:sz="0" w:space="0" w:color="auto"/>
                <w:left w:val="none" w:sz="0" w:space="0" w:color="auto"/>
                <w:bottom w:val="none" w:sz="0" w:space="0" w:color="auto"/>
                <w:right w:val="none" w:sz="0" w:space="0" w:color="auto"/>
              </w:divBdr>
              <w:divsChild>
                <w:div w:id="1923488345">
                  <w:marLeft w:val="0"/>
                  <w:marRight w:val="0"/>
                  <w:marTop w:val="0"/>
                  <w:marBottom w:val="0"/>
                  <w:divBdr>
                    <w:top w:val="none" w:sz="0" w:space="0" w:color="auto"/>
                    <w:left w:val="none" w:sz="0" w:space="0" w:color="auto"/>
                    <w:bottom w:val="none" w:sz="0" w:space="0" w:color="auto"/>
                    <w:right w:val="none" w:sz="0" w:space="0" w:color="auto"/>
                  </w:divBdr>
                  <w:divsChild>
                    <w:div w:id="1530607619">
                      <w:marLeft w:val="0"/>
                      <w:marRight w:val="0"/>
                      <w:marTop w:val="0"/>
                      <w:marBottom w:val="600"/>
                      <w:divBdr>
                        <w:top w:val="none" w:sz="0" w:space="0" w:color="auto"/>
                        <w:left w:val="none" w:sz="0" w:space="0" w:color="auto"/>
                        <w:bottom w:val="none" w:sz="0" w:space="0" w:color="auto"/>
                        <w:right w:val="none" w:sz="0" w:space="0" w:color="auto"/>
                      </w:divBdr>
                      <w:divsChild>
                        <w:div w:id="170607790">
                          <w:marLeft w:val="0"/>
                          <w:marRight w:val="0"/>
                          <w:marTop w:val="0"/>
                          <w:marBottom w:val="0"/>
                          <w:divBdr>
                            <w:top w:val="none" w:sz="0" w:space="0" w:color="auto"/>
                            <w:left w:val="none" w:sz="0" w:space="0" w:color="auto"/>
                            <w:bottom w:val="none" w:sz="0" w:space="0" w:color="auto"/>
                            <w:right w:val="none" w:sz="0" w:space="0" w:color="auto"/>
                          </w:divBdr>
                          <w:divsChild>
                            <w:div w:id="451440371">
                              <w:marLeft w:val="0"/>
                              <w:marRight w:val="0"/>
                              <w:marTop w:val="0"/>
                              <w:marBottom w:val="0"/>
                              <w:divBdr>
                                <w:top w:val="none" w:sz="0" w:space="0" w:color="auto"/>
                                <w:left w:val="none" w:sz="0" w:space="0" w:color="auto"/>
                                <w:bottom w:val="none" w:sz="0" w:space="0" w:color="auto"/>
                                <w:right w:val="none" w:sz="0" w:space="0" w:color="auto"/>
                              </w:divBdr>
                              <w:divsChild>
                                <w:div w:id="2116706328">
                                  <w:marLeft w:val="0"/>
                                  <w:marRight w:val="0"/>
                                  <w:marTop w:val="0"/>
                                  <w:marBottom w:val="0"/>
                                  <w:divBdr>
                                    <w:top w:val="none" w:sz="0" w:space="0" w:color="auto"/>
                                    <w:left w:val="none" w:sz="0" w:space="0" w:color="auto"/>
                                    <w:bottom w:val="none" w:sz="0" w:space="0" w:color="auto"/>
                                    <w:right w:val="none" w:sz="0" w:space="0" w:color="auto"/>
                                  </w:divBdr>
                                  <w:divsChild>
                                    <w:div w:id="172741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205387">
      <w:bodyDiv w:val="1"/>
      <w:marLeft w:val="0"/>
      <w:marRight w:val="0"/>
      <w:marTop w:val="0"/>
      <w:marBottom w:val="0"/>
      <w:divBdr>
        <w:top w:val="none" w:sz="0" w:space="0" w:color="auto"/>
        <w:left w:val="none" w:sz="0" w:space="0" w:color="auto"/>
        <w:bottom w:val="none" w:sz="0" w:space="0" w:color="auto"/>
        <w:right w:val="none" w:sz="0" w:space="0" w:color="auto"/>
      </w:divBdr>
      <w:divsChild>
        <w:div w:id="810445190">
          <w:marLeft w:val="120"/>
          <w:marRight w:val="120"/>
          <w:marTop w:val="120"/>
          <w:marBottom w:val="120"/>
          <w:divBdr>
            <w:top w:val="none" w:sz="0" w:space="0" w:color="auto"/>
            <w:left w:val="none" w:sz="0" w:space="0" w:color="auto"/>
            <w:bottom w:val="none" w:sz="0" w:space="0" w:color="auto"/>
            <w:right w:val="none" w:sz="0" w:space="0" w:color="auto"/>
          </w:divBdr>
          <w:divsChild>
            <w:div w:id="1852259399">
              <w:marLeft w:val="0"/>
              <w:marRight w:val="0"/>
              <w:marTop w:val="0"/>
              <w:marBottom w:val="0"/>
              <w:divBdr>
                <w:top w:val="none" w:sz="0" w:space="0" w:color="auto"/>
                <w:left w:val="none" w:sz="0" w:space="0" w:color="auto"/>
                <w:bottom w:val="none" w:sz="0" w:space="0" w:color="auto"/>
                <w:right w:val="none" w:sz="0" w:space="0" w:color="auto"/>
              </w:divBdr>
            </w:div>
            <w:div w:id="2096628219">
              <w:marLeft w:val="0"/>
              <w:marRight w:val="0"/>
              <w:marTop w:val="0"/>
              <w:marBottom w:val="0"/>
              <w:divBdr>
                <w:top w:val="none" w:sz="0" w:space="0" w:color="auto"/>
                <w:left w:val="none" w:sz="0" w:space="0" w:color="auto"/>
                <w:bottom w:val="none" w:sz="0" w:space="0" w:color="auto"/>
                <w:right w:val="none" w:sz="0" w:space="0" w:color="auto"/>
              </w:divBdr>
            </w:div>
            <w:div w:id="2118283341">
              <w:marLeft w:val="0"/>
              <w:marRight w:val="0"/>
              <w:marTop w:val="0"/>
              <w:marBottom w:val="0"/>
              <w:divBdr>
                <w:top w:val="none" w:sz="0" w:space="0" w:color="auto"/>
                <w:left w:val="none" w:sz="0" w:space="0" w:color="auto"/>
                <w:bottom w:val="none" w:sz="0" w:space="0" w:color="auto"/>
                <w:right w:val="none" w:sz="0" w:space="0" w:color="auto"/>
              </w:divBdr>
            </w:div>
            <w:div w:id="1407411537">
              <w:marLeft w:val="0"/>
              <w:marRight w:val="0"/>
              <w:marTop w:val="0"/>
              <w:marBottom w:val="0"/>
              <w:divBdr>
                <w:top w:val="none" w:sz="0" w:space="0" w:color="auto"/>
                <w:left w:val="none" w:sz="0" w:space="0" w:color="auto"/>
                <w:bottom w:val="none" w:sz="0" w:space="0" w:color="auto"/>
                <w:right w:val="none" w:sz="0" w:space="0" w:color="auto"/>
              </w:divBdr>
            </w:div>
            <w:div w:id="200288413">
              <w:marLeft w:val="0"/>
              <w:marRight w:val="0"/>
              <w:marTop w:val="0"/>
              <w:marBottom w:val="0"/>
              <w:divBdr>
                <w:top w:val="none" w:sz="0" w:space="0" w:color="auto"/>
                <w:left w:val="none" w:sz="0" w:space="0" w:color="auto"/>
                <w:bottom w:val="none" w:sz="0" w:space="0" w:color="auto"/>
                <w:right w:val="none" w:sz="0" w:space="0" w:color="auto"/>
              </w:divBdr>
            </w:div>
            <w:div w:id="277688068">
              <w:marLeft w:val="0"/>
              <w:marRight w:val="0"/>
              <w:marTop w:val="0"/>
              <w:marBottom w:val="0"/>
              <w:divBdr>
                <w:top w:val="none" w:sz="0" w:space="0" w:color="auto"/>
                <w:left w:val="none" w:sz="0" w:space="0" w:color="auto"/>
                <w:bottom w:val="none" w:sz="0" w:space="0" w:color="auto"/>
                <w:right w:val="none" w:sz="0" w:space="0" w:color="auto"/>
              </w:divBdr>
            </w:div>
            <w:div w:id="1203591504">
              <w:marLeft w:val="0"/>
              <w:marRight w:val="0"/>
              <w:marTop w:val="0"/>
              <w:marBottom w:val="0"/>
              <w:divBdr>
                <w:top w:val="none" w:sz="0" w:space="0" w:color="auto"/>
                <w:left w:val="none" w:sz="0" w:space="0" w:color="auto"/>
                <w:bottom w:val="none" w:sz="0" w:space="0" w:color="auto"/>
                <w:right w:val="none" w:sz="0" w:space="0" w:color="auto"/>
              </w:divBdr>
            </w:div>
            <w:div w:id="2127462287">
              <w:marLeft w:val="0"/>
              <w:marRight w:val="0"/>
              <w:marTop w:val="0"/>
              <w:marBottom w:val="0"/>
              <w:divBdr>
                <w:top w:val="none" w:sz="0" w:space="0" w:color="auto"/>
                <w:left w:val="none" w:sz="0" w:space="0" w:color="auto"/>
                <w:bottom w:val="none" w:sz="0" w:space="0" w:color="auto"/>
                <w:right w:val="none" w:sz="0" w:space="0" w:color="auto"/>
              </w:divBdr>
            </w:div>
            <w:div w:id="957223295">
              <w:marLeft w:val="0"/>
              <w:marRight w:val="0"/>
              <w:marTop w:val="0"/>
              <w:marBottom w:val="0"/>
              <w:divBdr>
                <w:top w:val="none" w:sz="0" w:space="0" w:color="auto"/>
                <w:left w:val="none" w:sz="0" w:space="0" w:color="auto"/>
                <w:bottom w:val="none" w:sz="0" w:space="0" w:color="auto"/>
                <w:right w:val="none" w:sz="0" w:space="0" w:color="auto"/>
              </w:divBdr>
            </w:div>
            <w:div w:id="119796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862406">
      <w:bodyDiv w:val="1"/>
      <w:marLeft w:val="0"/>
      <w:marRight w:val="0"/>
      <w:marTop w:val="0"/>
      <w:marBottom w:val="0"/>
      <w:divBdr>
        <w:top w:val="none" w:sz="0" w:space="0" w:color="auto"/>
        <w:left w:val="none" w:sz="0" w:space="0" w:color="auto"/>
        <w:bottom w:val="none" w:sz="0" w:space="0" w:color="auto"/>
        <w:right w:val="none" w:sz="0" w:space="0" w:color="auto"/>
      </w:divBdr>
      <w:divsChild>
        <w:div w:id="1281064428">
          <w:marLeft w:val="0"/>
          <w:marRight w:val="0"/>
          <w:marTop w:val="0"/>
          <w:marBottom w:val="0"/>
          <w:divBdr>
            <w:top w:val="none" w:sz="0" w:space="0" w:color="auto"/>
            <w:left w:val="none" w:sz="0" w:space="0" w:color="auto"/>
            <w:bottom w:val="none" w:sz="0" w:space="0" w:color="auto"/>
            <w:right w:val="none" w:sz="0" w:space="0" w:color="auto"/>
          </w:divBdr>
          <w:divsChild>
            <w:div w:id="1552500506">
              <w:marLeft w:val="0"/>
              <w:marRight w:val="0"/>
              <w:marTop w:val="0"/>
              <w:marBottom w:val="0"/>
              <w:divBdr>
                <w:top w:val="none" w:sz="0" w:space="0" w:color="auto"/>
                <w:left w:val="none" w:sz="0" w:space="0" w:color="auto"/>
                <w:bottom w:val="none" w:sz="0" w:space="0" w:color="auto"/>
                <w:right w:val="none" w:sz="0" w:space="0" w:color="auto"/>
              </w:divBdr>
              <w:divsChild>
                <w:div w:id="186873940">
                  <w:marLeft w:val="0"/>
                  <w:marRight w:val="0"/>
                  <w:marTop w:val="0"/>
                  <w:marBottom w:val="0"/>
                  <w:divBdr>
                    <w:top w:val="none" w:sz="0" w:space="0" w:color="auto"/>
                    <w:left w:val="none" w:sz="0" w:space="0" w:color="auto"/>
                    <w:bottom w:val="none" w:sz="0" w:space="0" w:color="auto"/>
                    <w:right w:val="none" w:sz="0" w:space="0" w:color="auto"/>
                  </w:divBdr>
                  <w:divsChild>
                    <w:div w:id="1177622687">
                      <w:marLeft w:val="0"/>
                      <w:marRight w:val="0"/>
                      <w:marTop w:val="0"/>
                      <w:marBottom w:val="600"/>
                      <w:divBdr>
                        <w:top w:val="none" w:sz="0" w:space="0" w:color="auto"/>
                        <w:left w:val="none" w:sz="0" w:space="0" w:color="auto"/>
                        <w:bottom w:val="none" w:sz="0" w:space="0" w:color="auto"/>
                        <w:right w:val="none" w:sz="0" w:space="0" w:color="auto"/>
                      </w:divBdr>
                      <w:divsChild>
                        <w:div w:id="182549531">
                          <w:marLeft w:val="0"/>
                          <w:marRight w:val="0"/>
                          <w:marTop w:val="0"/>
                          <w:marBottom w:val="0"/>
                          <w:divBdr>
                            <w:top w:val="none" w:sz="0" w:space="0" w:color="auto"/>
                            <w:left w:val="none" w:sz="0" w:space="0" w:color="auto"/>
                            <w:bottom w:val="none" w:sz="0" w:space="0" w:color="auto"/>
                            <w:right w:val="none" w:sz="0" w:space="0" w:color="auto"/>
                          </w:divBdr>
                          <w:divsChild>
                            <w:div w:id="1768848396">
                              <w:marLeft w:val="0"/>
                              <w:marRight w:val="0"/>
                              <w:marTop w:val="0"/>
                              <w:marBottom w:val="0"/>
                              <w:divBdr>
                                <w:top w:val="none" w:sz="0" w:space="0" w:color="auto"/>
                                <w:left w:val="none" w:sz="0" w:space="0" w:color="auto"/>
                                <w:bottom w:val="none" w:sz="0" w:space="0" w:color="auto"/>
                                <w:right w:val="none" w:sz="0" w:space="0" w:color="auto"/>
                              </w:divBdr>
                              <w:divsChild>
                                <w:div w:id="692535844">
                                  <w:marLeft w:val="0"/>
                                  <w:marRight w:val="0"/>
                                  <w:marTop w:val="0"/>
                                  <w:marBottom w:val="0"/>
                                  <w:divBdr>
                                    <w:top w:val="none" w:sz="0" w:space="0" w:color="auto"/>
                                    <w:left w:val="none" w:sz="0" w:space="0" w:color="auto"/>
                                    <w:bottom w:val="none" w:sz="0" w:space="0" w:color="auto"/>
                                    <w:right w:val="none" w:sz="0" w:space="0" w:color="auto"/>
                                  </w:divBdr>
                                  <w:divsChild>
                                    <w:div w:id="126071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equalityhumanrights.com/sites/default/files/uploads/documents/humanrights/UN/CCPRC%20GB%20concluding%20observations%20(1).pdf" TargetMode="External"/><Relationship Id="rId18" Type="http://schemas.openxmlformats.org/officeDocument/2006/relationships/hyperlink" Target="http://www.equalityhumanrights.com/about-us/our-work/human-rights/international-framework/international-covenant-civil-and-political-rights" TargetMode="External"/><Relationship Id="rId26" Type="http://schemas.openxmlformats.org/officeDocument/2006/relationships/hyperlink" Target="http://www.parliament.uk/business/publications/written-questions-answers-statements/written-statement/Commons/2016-01-26/HCWS492/" TargetMode="External"/><Relationship Id="rId39" Type="http://schemas.openxmlformats.org/officeDocument/2006/relationships/hyperlink" Target="http://www.equalityhumanrights.com/about-us/our-work/human-rights/international-framework/international-covenant-civil-and-political-rights" TargetMode="External"/><Relationship Id="rId21" Type="http://schemas.openxmlformats.org/officeDocument/2006/relationships/hyperlink" Target="http://www.equalityhumanrights.com/legal-and-policy/our-legal-work/inquiries-and-assessments/preventing-deaths-detention-adults-mental-health-conditions/news-and-updates" TargetMode="External"/><Relationship Id="rId34" Type="http://schemas.openxmlformats.org/officeDocument/2006/relationships/hyperlink" Target="https://www.justiceinspectorates.gov.uk/hmiprisons/wp-content/uploads/sites/4/2015/07/Dungavel-web-2015.pdf" TargetMode="External"/><Relationship Id="rId42" Type="http://schemas.openxmlformats.org/officeDocument/2006/relationships/hyperlink" Target="http://www.equalityhumanrights.com/about-us/our-work/human-rights/international-framework/international-covenant-civil-and-political-rights" TargetMode="External"/><Relationship Id="rId47" Type="http://schemas.openxmlformats.org/officeDocument/2006/relationships/hyperlink" Target="http://www.equalityhumanrights.com/about-us/our-work/human-rights/international-framework/international-covenant-civil-and-political-rights" TargetMode="External"/><Relationship Id="rId50" Type="http://schemas.openxmlformats.org/officeDocument/2006/relationships/hyperlink" Target="http://www.equalityhumanrights.com/sites/default/files/uploads/documents/humanrights/UN/CCPRC%20GB%20concluding%20observations%20(1).pdf" TargetMode="External"/><Relationship Id="rId55" Type="http://schemas.openxmlformats.org/officeDocument/2006/relationships/hyperlink" Target="http://www.equalityhumanrights.com/about-us/our-work/human-rights/international-framework/un-convention-against-torture-and-other-cruel-inhuman-or-degrading-treatment-or-punishment" TargetMode="External"/><Relationship Id="rId7" Type="http://schemas.openxmlformats.org/officeDocument/2006/relationships/hyperlink" Target="http://www.publications.parliament.uk/pa/cm201011/cmhansrd/cm100706/debtext/100706-0001.htm" TargetMode="External"/><Relationship Id="rId2" Type="http://schemas.openxmlformats.org/officeDocument/2006/relationships/hyperlink" Target="http://www.equalityhumanrights.com/about-us/our-work/human-rights/international-framework/un-convention-against-torture-and-other-cruel-inhuman-or-degrading-treatment-or-punishment" TargetMode="External"/><Relationship Id="rId16" Type="http://schemas.openxmlformats.org/officeDocument/2006/relationships/hyperlink" Target="http://www.equalityhumanrights.com/about-us/our-work/human-rights/international-framework/international-covenant-civil-and-political-rights" TargetMode="External"/><Relationship Id="rId20" Type="http://schemas.openxmlformats.org/officeDocument/2006/relationships/hyperlink" Target="http://www.equalityhumanrights.com/about-us/our-work/human-rights/international-framework/un-convention-against-torture-and-other-cruel-inhuman-or-degrading-treatment-or-punishment" TargetMode="External"/><Relationship Id="rId29" Type="http://schemas.openxmlformats.org/officeDocument/2006/relationships/hyperlink" Target="http://www.equalityhumanrights.com/sites/default/files/uploads/documents/humanrights/UN/CCPRC%20GB%20concluding%20observations%20(1).pdf" TargetMode="External"/><Relationship Id="rId41" Type="http://schemas.openxmlformats.org/officeDocument/2006/relationships/hyperlink" Target="http://www.nationalcrimeagency.gov.uk/about-us/what-we-do/specialist-capabilities/uk-human-trafficking-centre/national-referral-mechanism" TargetMode="External"/><Relationship Id="rId54" Type="http://schemas.openxmlformats.org/officeDocument/2006/relationships/hyperlink" Target="http://www.equalityhumanrights.com/about-us/our-work/human-rights/international-framework/international-covenant-civil-and-political-rights" TargetMode="External"/><Relationship Id="rId62" Type="http://schemas.openxmlformats.org/officeDocument/2006/relationships/hyperlink" Target="http://www.isdscotland.org/Health-Topics/Waiting-Times/Child-and-Adolescent-Mental-Health/" TargetMode="External"/><Relationship Id="rId1" Type="http://schemas.openxmlformats.org/officeDocument/2006/relationships/hyperlink" Target="http://www.equalityhumanrights.com/about-us/our-work/human-rights/international-framework/un-convention-against-torture-and-other-cruel-inhuman-or-degrading-treatment-or-punishment" TargetMode="External"/><Relationship Id="rId6" Type="http://schemas.openxmlformats.org/officeDocument/2006/relationships/hyperlink" Target="http://www.equalityhumanrights.com/about-us/our-work/human-rights/international-framework/un-convention-against-torture-and-other-cruel-inhuman-or-degrading-treatment-or-punishment" TargetMode="External"/><Relationship Id="rId11" Type="http://schemas.openxmlformats.org/officeDocument/2006/relationships/hyperlink" Target="http://www.detaineeinquiry.org.uk/about/index.html" TargetMode="External"/><Relationship Id="rId24" Type="http://schemas.openxmlformats.org/officeDocument/2006/relationships/hyperlink" Target="http://www.equalityhumanrights.com/about-us/our-work/human-rights/international-framework/international-covenant-civil-and-political-rights" TargetMode="External"/><Relationship Id="rId32" Type="http://schemas.openxmlformats.org/officeDocument/2006/relationships/hyperlink" Target="https://www.judiciary.gov.uk/wp-content/uploads/2015/07/lord-chancellor-v-detention-action-judgment.pdf" TargetMode="External"/><Relationship Id="rId37" Type="http://schemas.openxmlformats.org/officeDocument/2006/relationships/hyperlink" Target="http://services.parliament.uk/bills/2015-16/immigration.html" TargetMode="External"/><Relationship Id="rId40" Type="http://schemas.openxmlformats.org/officeDocument/2006/relationships/hyperlink" Target="http://tbinternet.ohchr.org/_layouts/treatybodyexternal/Download.aspx?symbolno=CAT/C/ESP/CO/5&amp;Lang=En" TargetMode="External"/><Relationship Id="rId45" Type="http://schemas.openxmlformats.org/officeDocument/2006/relationships/hyperlink" Target="http://www.equalityhumanrights.com/about-us/our-work/human-rights/international-framework/un-convention-rights-child" TargetMode="External"/><Relationship Id="rId53" Type="http://schemas.openxmlformats.org/officeDocument/2006/relationships/hyperlink" Target="http://www.equalityhumanrights.com/legal-and-policy/our-legal-work/parliamentary-briefings/response-equality-and-human-rights-commission-joint-committee-human-rights-inquiry-violence-against" TargetMode="External"/><Relationship Id="rId58" Type="http://schemas.openxmlformats.org/officeDocument/2006/relationships/hyperlink" Target="https://www.gov.uk/government/publications/culture-change-in-the-nhs" TargetMode="External"/><Relationship Id="rId5" Type="http://schemas.openxmlformats.org/officeDocument/2006/relationships/hyperlink" Target="http://tbinternet.ohchr.org/_layouts/treatybodyexternal/Download.aspx?symbolno=CAT%2fC%2fGC%2f2&amp;Lang=en" TargetMode="External"/><Relationship Id="rId15" Type="http://schemas.openxmlformats.org/officeDocument/2006/relationships/hyperlink" Target="http://www.equalityhumanrights.com/about-us/our-work/human-rights/international-framework/un-convention-against-torture-and-other-cruel-inhuman-or-degrading-treatment-or-punishment" TargetMode="External"/><Relationship Id="rId23" Type="http://schemas.openxmlformats.org/officeDocument/2006/relationships/hyperlink" Target="http://www.equalityhumanrights.com/about-us/our-work/key-projects/britain-fairer-0" TargetMode="External"/><Relationship Id="rId28" Type="http://schemas.openxmlformats.org/officeDocument/2006/relationships/hyperlink" Target="http://www.equalityhumanrights.com/about-us/our-work/human-rights/international-framework/international-covenant-civil-and-political-rights" TargetMode="External"/><Relationship Id="rId36" Type="http://schemas.openxmlformats.org/officeDocument/2006/relationships/hyperlink" Target="http://www.parliament.uk/business/publications/written-questions-answers-statements/written-statement/Commons/2016-01-14/HCWS470/" TargetMode="External"/><Relationship Id="rId49" Type="http://schemas.openxmlformats.org/officeDocument/2006/relationships/hyperlink" Target="http://www.equalityhumanrights.com/about-us/our-work/human-rights/international-framework/international-covenant-civil-and-political-rights" TargetMode="External"/><Relationship Id="rId57" Type="http://schemas.openxmlformats.org/officeDocument/2006/relationships/hyperlink" Target="http://www.parliament.uk/business/publications/written-questions-answers-statements/written-question/Commons/2015-06-08/1485/" TargetMode="External"/><Relationship Id="rId61" Type="http://schemas.openxmlformats.org/officeDocument/2006/relationships/hyperlink" Target="http://www.equalityhumanrights.com/about-us/our-work/key-projects/britain-fairer-0" TargetMode="External"/><Relationship Id="rId10" Type="http://schemas.openxmlformats.org/officeDocument/2006/relationships/hyperlink" Target="http://www.equalityhumanrights.com/about-us/our-work/human-rights/international-framework/un-convention-against-torture-and-other-cruel-inhuman-or-degrading-treatment-or-punishment" TargetMode="External"/><Relationship Id="rId19" Type="http://schemas.openxmlformats.org/officeDocument/2006/relationships/hyperlink" Target="https://www.gov.uk/government/publications/ihat-work-completed" TargetMode="External"/><Relationship Id="rId31" Type="http://schemas.openxmlformats.org/officeDocument/2006/relationships/hyperlink" Target="https://www.judiciary.gov.uk/wp-content/uploads/2015/06/detention-action-v-first-tier-tribunal.pdf" TargetMode="External"/><Relationship Id="rId44" Type="http://schemas.openxmlformats.org/officeDocument/2006/relationships/hyperlink" Target="http://www.legislation.gov.uk/asp/2015/12/enacted" TargetMode="External"/><Relationship Id="rId52" Type="http://schemas.openxmlformats.org/officeDocument/2006/relationships/hyperlink" Target="http://www.parliament.uk/business/publications/written-questions-answers-statements/written-question/Commons/2015-11-17/16621/" TargetMode="External"/><Relationship Id="rId60" Type="http://schemas.openxmlformats.org/officeDocument/2006/relationships/hyperlink" Target="http://www.equalityhumanrights.com/about-us/our-work/human-rights/international-framework/un-convention-against-torture-and-other-cruel-inhuman-or-degrading-treatment-or-punishment" TargetMode="External"/><Relationship Id="rId4" Type="http://schemas.openxmlformats.org/officeDocument/2006/relationships/hyperlink" Target="http://www.equalityhumanrights.com/about-us/our-work/human-rights/international-framework/international-covenant-civil-and-political-rights" TargetMode="External"/><Relationship Id="rId9" Type="http://schemas.openxmlformats.org/officeDocument/2006/relationships/hyperlink" Target="http://www.publications.parliament.uk/pa/cm201212/cmhansrd/cm120118/debtext/120118-0001.htm" TargetMode="External"/><Relationship Id="rId14" Type="http://schemas.openxmlformats.org/officeDocument/2006/relationships/hyperlink" Target="http://isc.independent.gov.uk/news-archive/29october2015" TargetMode="External"/><Relationship Id="rId22" Type="http://schemas.openxmlformats.org/officeDocument/2006/relationships/hyperlink" Target="http://www.equalityhumanrights.com/legal-and-policy/our-legal-work/inquiries-and-assessments/preventing-deaths-detention-adults-mental-health-conditions" TargetMode="External"/><Relationship Id="rId27" Type="http://schemas.openxmlformats.org/officeDocument/2006/relationships/hyperlink" Target="http://www.parliament.uk/business/publications/written-questions-answers-statements/written-statement/Commons/2016-01-26/HCWS492/" TargetMode="External"/><Relationship Id="rId30" Type="http://schemas.openxmlformats.org/officeDocument/2006/relationships/hyperlink" Target="http://www.parliament.uk/business/publications/written-questions-answers-statements/written-statement/Commons/2015-07-02/HCWS83/" TargetMode="External"/><Relationship Id="rId35" Type="http://schemas.openxmlformats.org/officeDocument/2006/relationships/hyperlink" Target="https://www.gov.uk/government/publications/review-into-the-welfare-in-detention-of-vulnerable-persons" TargetMode="External"/><Relationship Id="rId43" Type="http://schemas.openxmlformats.org/officeDocument/2006/relationships/hyperlink" Target="http://services.parliament.uk/bills/2014-15/modernslavery.html" TargetMode="External"/><Relationship Id="rId48" Type="http://schemas.openxmlformats.org/officeDocument/2006/relationships/hyperlink" Target="http://tbinternet.ohchr.org/_layouts/treatybodyexternal/Download.aspx?symbolno=CAT/C/PER/CO/5-6&amp;Lang=En" TargetMode="External"/><Relationship Id="rId56" Type="http://schemas.openxmlformats.org/officeDocument/2006/relationships/hyperlink" Target="http://www.gov.scot/Resource/0042/00423188.pdf" TargetMode="External"/><Relationship Id="rId8" Type="http://schemas.openxmlformats.org/officeDocument/2006/relationships/hyperlink" Target="http://www.publications.parliament.uk/pa/cm201212/cmhansrd/cm120118/debtext/120118-0001.htm" TargetMode="External"/><Relationship Id="rId51" Type="http://schemas.openxmlformats.org/officeDocument/2006/relationships/hyperlink" Target="http://www.coe.int/en/web/istanbul-convention/historical-background" TargetMode="External"/><Relationship Id="rId3" Type="http://schemas.openxmlformats.org/officeDocument/2006/relationships/hyperlink" Target="http://www.parliament.uk/business/committees/committees-a-z/lords-select/constitution-committee/" TargetMode="External"/><Relationship Id="rId12" Type="http://schemas.openxmlformats.org/officeDocument/2006/relationships/hyperlink" Target="http://www.publications.parliament.uk/pa/cm201314/cmhansrd/cm131219/debtext/131219-0002.htm" TargetMode="External"/><Relationship Id="rId17" Type="http://schemas.openxmlformats.org/officeDocument/2006/relationships/hyperlink" Target="https://www.gov.uk/government/publications/iraq-historic-allegations-team-quarterly-updates" TargetMode="External"/><Relationship Id="rId25" Type="http://schemas.openxmlformats.org/officeDocument/2006/relationships/hyperlink" Target="http://www.bbc.co.uk/news/uk-england-kent-35290582" TargetMode="External"/><Relationship Id="rId33" Type="http://schemas.openxmlformats.org/officeDocument/2006/relationships/hyperlink" Target="http://www.equalityhumanrights.com/about-us/our-work/human-rights/international-framework/international-covenant-civil-and-political-rights" TargetMode="External"/><Relationship Id="rId38" Type="http://schemas.openxmlformats.org/officeDocument/2006/relationships/hyperlink" Target="http://www.equalityhumanrights.com/about-us/our-work/key-projects/britain-fairer-0" TargetMode="External"/><Relationship Id="rId46" Type="http://schemas.openxmlformats.org/officeDocument/2006/relationships/hyperlink" Target="http://www.scottish.parliament.uk/S4_JusticeCommittee/Inquiries/HTE16EqualityandHumanRightsCommission.pdf" TargetMode="External"/><Relationship Id="rId59" Type="http://schemas.openxmlformats.org/officeDocument/2006/relationships/hyperlink" Target="http://www.equalityhumanrights.com/private-and-public-sector-guidance/public-sector-providers/human-rights-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89D76C-9C99-4626-8A53-46FCD222D4A9}"/>
</file>

<file path=customXml/itemProps2.xml><?xml version="1.0" encoding="utf-8"?>
<ds:datastoreItem xmlns:ds="http://schemas.openxmlformats.org/officeDocument/2006/customXml" ds:itemID="{F32F37C7-F7AE-4052-8127-1596E222178B}"/>
</file>

<file path=customXml/itemProps3.xml><?xml version="1.0" encoding="utf-8"?>
<ds:datastoreItem xmlns:ds="http://schemas.openxmlformats.org/officeDocument/2006/customXml" ds:itemID="{7482D028-8A75-42FD-99EC-24FBD093C8E8}"/>
</file>

<file path=customXml/itemProps4.xml><?xml version="1.0" encoding="utf-8"?>
<ds:datastoreItem xmlns:ds="http://schemas.openxmlformats.org/officeDocument/2006/customXml" ds:itemID="{1921B49F-879E-454C-BA2A-05C12F8E4F36}"/>
</file>

<file path=docProps/app.xml><?xml version="1.0" encoding="utf-8"?>
<Properties xmlns="http://schemas.openxmlformats.org/officeDocument/2006/extended-properties" xmlns:vt="http://schemas.openxmlformats.org/officeDocument/2006/docPropsVTypes">
  <Template>Normal.dotm</Template>
  <TotalTime>0</TotalTime>
  <Pages>6</Pages>
  <Words>4177</Words>
  <Characters>23812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Martin</dc:creator>
  <cp:lastModifiedBy>United Nations</cp:lastModifiedBy>
  <cp:revision>2</cp:revision>
  <dcterms:created xsi:type="dcterms:W3CDTF">2016-02-05T15:15:00Z</dcterms:created>
  <dcterms:modified xsi:type="dcterms:W3CDTF">2016-02-05T15:15:00Z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