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7413F" w14:textId="741739EC" w:rsidR="001F539E" w:rsidRDefault="001F539E" w:rsidP="001F539E">
      <w:pPr>
        <w:pStyle w:val="Normal1"/>
        <w:rPr>
          <w:b/>
        </w:rPr>
      </w:pPr>
      <w:r w:rsidRPr="001F539E">
        <w:rPr>
          <w:b/>
          <w:noProof/>
        </w:rPr>
        <w:drawing>
          <wp:inline distT="0" distB="0" distL="0" distR="0" wp14:anchorId="3A1618DB" wp14:editId="7CC468CA">
            <wp:extent cx="5103495" cy="1095375"/>
            <wp:effectExtent l="0" t="0" r="0" b="0"/>
            <wp:docPr id="1" name="Picture 1" descr="Untitled:Users:admin:Desktop:AIIB Mandalika - ready for layout:Violations of the right to a clean and healthy environmen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admin:Desktop:AIIB Mandalika - ready for layout:Violations of the right to a clean and healthy environment-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03495" cy="1095375"/>
                    </a:xfrm>
                    <a:prstGeom prst="rect">
                      <a:avLst/>
                    </a:prstGeom>
                    <a:noFill/>
                    <a:ln>
                      <a:noFill/>
                    </a:ln>
                  </pic:spPr>
                </pic:pic>
              </a:graphicData>
            </a:graphic>
          </wp:inline>
        </w:drawing>
      </w:r>
    </w:p>
    <w:p w14:paraId="3CCED239" w14:textId="1403E28F" w:rsidR="001F539E" w:rsidRDefault="001F539E">
      <w:pPr>
        <w:pStyle w:val="Normal1"/>
        <w:jc w:val="center"/>
        <w:rPr>
          <w:b/>
        </w:rPr>
      </w:pPr>
    </w:p>
    <w:p w14:paraId="00000001" w14:textId="77777777" w:rsidR="00B766F9" w:rsidRDefault="001F539E">
      <w:pPr>
        <w:pStyle w:val="Normal1"/>
        <w:jc w:val="center"/>
        <w:rPr>
          <w:b/>
        </w:rPr>
      </w:pPr>
      <w:r>
        <w:rPr>
          <w:b/>
        </w:rPr>
        <w:t>AIIB-financed project leads to impoverishment and violations of human rights of Indigenous Populations in Indonesia</w:t>
      </w:r>
    </w:p>
    <w:p w14:paraId="00000002" w14:textId="77777777" w:rsidR="00B766F9" w:rsidRDefault="00B766F9">
      <w:pPr>
        <w:pStyle w:val="Normal1"/>
      </w:pPr>
    </w:p>
    <w:p w14:paraId="00000003" w14:textId="77777777" w:rsidR="00B766F9" w:rsidRDefault="001F539E">
      <w:pPr>
        <w:pStyle w:val="Normal1"/>
        <w:jc w:val="center"/>
      </w:pPr>
      <w:r>
        <w:t>A joint submission to the CESCR</w:t>
      </w:r>
      <w:r>
        <w:br/>
      </w:r>
    </w:p>
    <w:p w14:paraId="00000004" w14:textId="0E73B386" w:rsidR="00B766F9" w:rsidRDefault="001F539E">
      <w:pPr>
        <w:pStyle w:val="Normal1"/>
        <w:jc w:val="center"/>
        <w:rPr>
          <w:color w:val="222222"/>
          <w:highlight w:val="white"/>
        </w:rPr>
      </w:pPr>
      <w:r>
        <w:t>By Just Finance International (JFI) and K</w:t>
      </w:r>
      <w:r>
        <w:rPr>
          <w:color w:val="222222"/>
          <w:highlight w:val="white"/>
        </w:rPr>
        <w:t xml:space="preserve">oalisi Pemantau Pembangunan Infrastruktur </w:t>
      </w:r>
      <w:proofErr w:type="gramStart"/>
      <w:r>
        <w:rPr>
          <w:color w:val="222222"/>
          <w:highlight w:val="white"/>
        </w:rPr>
        <w:t xml:space="preserve">Indonesia </w:t>
      </w:r>
      <w:r w:rsidRPr="001F539E">
        <w:rPr>
          <w:color w:val="222222"/>
          <w:highlight w:val="white"/>
        </w:rPr>
        <w:t xml:space="preserve"> </w:t>
      </w:r>
      <w:r>
        <w:rPr>
          <w:color w:val="222222"/>
          <w:highlight w:val="white"/>
        </w:rPr>
        <w:t>(</w:t>
      </w:r>
      <w:proofErr w:type="gramEnd"/>
      <w:r>
        <w:rPr>
          <w:color w:val="222222"/>
          <w:highlight w:val="white"/>
        </w:rPr>
        <w:t xml:space="preserve">Indonesian Coalition for Monitoring Infrastructure Development) </w:t>
      </w:r>
    </w:p>
    <w:p w14:paraId="00000005" w14:textId="77777777" w:rsidR="00B766F9" w:rsidRDefault="00B766F9">
      <w:pPr>
        <w:pStyle w:val="Normal1"/>
        <w:jc w:val="center"/>
        <w:rPr>
          <w:color w:val="222222"/>
          <w:highlight w:val="white"/>
        </w:rPr>
      </w:pPr>
    </w:p>
    <w:p w14:paraId="00000006" w14:textId="77777777" w:rsidR="00B766F9" w:rsidRDefault="001F539E">
      <w:pPr>
        <w:pStyle w:val="Normal1"/>
        <w:jc w:val="center"/>
        <w:rPr>
          <w:color w:val="222222"/>
          <w:highlight w:val="white"/>
        </w:rPr>
      </w:pPr>
      <w:r>
        <w:rPr>
          <w:color w:val="222222"/>
          <w:highlight w:val="white"/>
        </w:rPr>
        <w:t>January 2023</w:t>
      </w:r>
    </w:p>
    <w:p w14:paraId="00000007" w14:textId="77777777" w:rsidR="00B766F9" w:rsidRDefault="00B766F9">
      <w:pPr>
        <w:pStyle w:val="Normal1"/>
        <w:jc w:val="center"/>
        <w:rPr>
          <w:color w:val="222222"/>
          <w:sz w:val="23"/>
          <w:szCs w:val="23"/>
          <w:highlight w:val="white"/>
        </w:rPr>
      </w:pPr>
    </w:p>
    <w:p w14:paraId="00000008" w14:textId="77777777" w:rsidR="00B766F9" w:rsidRDefault="00B766F9">
      <w:pPr>
        <w:pStyle w:val="Normal1"/>
      </w:pPr>
    </w:p>
    <w:p w14:paraId="00000009" w14:textId="77777777" w:rsidR="00B766F9" w:rsidRDefault="001F539E">
      <w:pPr>
        <w:pStyle w:val="Normal1"/>
        <w:spacing w:after="160" w:line="240" w:lineRule="auto"/>
        <w:jc w:val="both"/>
        <w:rPr>
          <w:b/>
        </w:rPr>
      </w:pPr>
      <w:r>
        <w:rPr>
          <w:b/>
        </w:rPr>
        <w:t xml:space="preserve">Introduction </w:t>
      </w:r>
    </w:p>
    <w:p w14:paraId="0000000A" w14:textId="181142E5" w:rsidR="00B766F9" w:rsidRDefault="001F539E">
      <w:pPr>
        <w:pStyle w:val="Normal1"/>
        <w:spacing w:line="240" w:lineRule="auto"/>
        <w:jc w:val="both"/>
        <w:rPr>
          <w:highlight w:val="white"/>
        </w:rPr>
      </w:pPr>
      <w:r>
        <w:rPr>
          <w:highlight w:val="white"/>
        </w:rPr>
        <w:t xml:space="preserve">The Mandalika Urban Tourism Infrastructure Development Project is the Beijing-based Asian Infrastructure Investment Bank (AIIB)’s first stand-alone project in Indonesia, designated as ‘category A’ for its high environmental and social impact. It is situated on the island of Lombok and part of the government of Indonesia’s economic development strategy to develop ten priority tourism destinations into ‘new Balis’. One of the key developments in Mandalika is an international motorcycle racetrack. </w:t>
      </w:r>
    </w:p>
    <w:p w14:paraId="0000000B" w14:textId="77777777" w:rsidR="00B766F9" w:rsidRDefault="00B766F9">
      <w:pPr>
        <w:pStyle w:val="Normal1"/>
        <w:spacing w:line="240" w:lineRule="auto"/>
        <w:jc w:val="both"/>
        <w:rPr>
          <w:highlight w:val="white"/>
        </w:rPr>
      </w:pPr>
    </w:p>
    <w:p w14:paraId="0000000C" w14:textId="52F868C4" w:rsidR="00B766F9" w:rsidRDefault="001F539E">
      <w:pPr>
        <w:pStyle w:val="Normal1"/>
        <w:spacing w:line="240" w:lineRule="auto"/>
        <w:jc w:val="both"/>
        <w:rPr>
          <w:highlight w:val="white"/>
        </w:rPr>
      </w:pPr>
      <w:r>
        <w:rPr>
          <w:highlight w:val="white"/>
        </w:rPr>
        <w:t xml:space="preserve">The project was approved in December 2018, amidst land conflicts </w:t>
      </w:r>
      <w:proofErr w:type="gramStart"/>
      <w:r>
        <w:rPr>
          <w:highlight w:val="white"/>
        </w:rPr>
        <w:t>as a result of</w:t>
      </w:r>
      <w:proofErr w:type="gramEnd"/>
      <w:r>
        <w:rPr>
          <w:highlight w:val="white"/>
        </w:rPr>
        <w:t xml:space="preserve"> involuntary land acquisition and resettlement in preparation for the project. The AIIB failed to exercise due diligence and ensure that the risks of involuntary resettlement and forced evictions of local Indigenous communities were avoided, minimized, or mitigated prior to loan approval. </w:t>
      </w:r>
    </w:p>
    <w:p w14:paraId="0000000D" w14:textId="77777777" w:rsidR="00B766F9" w:rsidRDefault="00B766F9">
      <w:pPr>
        <w:pStyle w:val="Normal1"/>
        <w:spacing w:line="240" w:lineRule="auto"/>
        <w:jc w:val="both"/>
        <w:rPr>
          <w:highlight w:val="white"/>
        </w:rPr>
      </w:pPr>
    </w:p>
    <w:p w14:paraId="0000000E" w14:textId="77777777" w:rsidR="00B766F9" w:rsidRDefault="001F539E">
      <w:pPr>
        <w:pStyle w:val="Normal1"/>
        <w:spacing w:line="240" w:lineRule="auto"/>
        <w:jc w:val="both"/>
        <w:rPr>
          <w:highlight w:val="white"/>
        </w:rPr>
      </w:pPr>
      <w:r>
        <w:rPr>
          <w:highlight w:val="white"/>
        </w:rPr>
        <w:t xml:space="preserve">The AIIB did not conduct and make public the bank’s own land </w:t>
      </w:r>
      <w:proofErr w:type="gramStart"/>
      <w:r>
        <w:rPr>
          <w:highlight w:val="white"/>
        </w:rPr>
        <w:t>audit  in</w:t>
      </w:r>
      <w:proofErr w:type="gramEnd"/>
      <w:r>
        <w:rPr>
          <w:highlight w:val="white"/>
        </w:rPr>
        <w:t xml:space="preserve"> the project area as a precondition of project approval, relying instead on the Indonesian Tourism Development Corporation (ITDC), a parastatal entity’s claim that over 92.7% of the land was clean and clear of land disputes and conflicts. The project moved forward without comprehensive social and environmental assessments or meaningful and inclusive consultations with local Indigenous Sasak communities, which violates the principle of Free, Prior and Informed Consent (FPIC), an universal principle not recognized by the China-led AIIB From 2018 to the present, local communities have been affected by land confiscations, forced resettlement, coercion and intimidation by Indonesian security forces, as well as irreversible loss of economic livelihoods and cultural identity.</w:t>
      </w:r>
    </w:p>
    <w:p w14:paraId="0000000F" w14:textId="77777777" w:rsidR="00B766F9" w:rsidRDefault="00B766F9">
      <w:pPr>
        <w:pStyle w:val="Normal1"/>
        <w:spacing w:line="240" w:lineRule="auto"/>
        <w:jc w:val="both"/>
        <w:rPr>
          <w:highlight w:val="white"/>
        </w:rPr>
      </w:pPr>
    </w:p>
    <w:p w14:paraId="00000010" w14:textId="77777777" w:rsidR="00B766F9" w:rsidRDefault="001F539E">
      <w:pPr>
        <w:pStyle w:val="Normal1"/>
        <w:spacing w:after="160" w:line="240" w:lineRule="auto"/>
        <w:jc w:val="both"/>
      </w:pPr>
      <w:r>
        <w:rPr>
          <w:b/>
        </w:rPr>
        <w:t>China is by far the biggest contributor to the Asian Infrastructure Investment Bank (AIIB</w:t>
      </w:r>
      <w:proofErr w:type="gramStart"/>
      <w:r>
        <w:rPr>
          <w:b/>
        </w:rPr>
        <w:t>), and</w:t>
      </w:r>
      <w:proofErr w:type="gramEnd"/>
      <w:r>
        <w:rPr>
          <w:b/>
        </w:rPr>
        <w:t xml:space="preserve"> has the largest percentage of the vote share among members of the bank (26.57%)</w:t>
      </w:r>
      <w:r>
        <w:t xml:space="preserve">. China’s importance within the AIIB is further exacerbated by the fact that the bank has adopted a particular governance model prioritizing “efficiency”, characterized by the concentration of decision-making powers in the hands of the AIIB’s President (and Chinese national) Jin Liqun - </w:t>
      </w:r>
      <w:r>
        <w:lastRenderedPageBreak/>
        <w:t xml:space="preserve">a system with no precedents at other multilateral development banks. The establishment of the AIIB was a milestone in China’s efforts to shape a new type of multilateralism in which it increasingly defines the rules. It is impossible to dissociate the establishment of the bank with China’s policy objectives. Xi Jinping proposed the establishment of the AIIB in the same year as the Belt and Road Initiative, and there are clear complementarities between the two. </w:t>
      </w:r>
    </w:p>
    <w:p w14:paraId="00000011" w14:textId="77777777" w:rsidR="00B766F9" w:rsidRDefault="001F539E">
      <w:pPr>
        <w:pStyle w:val="Normal1"/>
        <w:spacing w:after="160" w:line="240" w:lineRule="auto"/>
        <w:jc w:val="both"/>
        <w:rPr>
          <w:b/>
        </w:rPr>
      </w:pPr>
      <w:r>
        <w:t xml:space="preserve">The General Comment No. 24 of 2017 emphasizes the fact that </w:t>
      </w:r>
      <w:r>
        <w:rPr>
          <w:i/>
        </w:rPr>
        <w:t>“States parties may be held directly responsible for the action or inaction of business entities: (a) if the entity concerned is in fact acting on that State party’s instructions or is under its control or direction in carrying out the particular conduct at issue”</w:t>
      </w:r>
      <w:r>
        <w:t xml:space="preserve">, in accordance with international law. </w:t>
      </w:r>
      <w:r>
        <w:rPr>
          <w:b/>
        </w:rPr>
        <w:t xml:space="preserve">The Chinese State Party Report (December 2019) recognizes the quantity of international development funding it provides, the importance of the </w:t>
      </w:r>
      <w:r>
        <w:rPr>
          <w:b/>
          <w:i/>
        </w:rPr>
        <w:t>“protection of human rights when providing international assistance”</w:t>
      </w:r>
      <w:r>
        <w:rPr>
          <w:b/>
        </w:rPr>
        <w:t xml:space="preserve">, as well as </w:t>
      </w:r>
      <w:r>
        <w:rPr>
          <w:b/>
          <w:i/>
        </w:rPr>
        <w:t>“business and economic, social and cultural rights”</w:t>
      </w:r>
      <w:r>
        <w:rPr>
          <w:b/>
        </w:rPr>
        <w:t>. (</w:t>
      </w:r>
      <w:proofErr w:type="gramStart"/>
      <w:r>
        <w:rPr>
          <w:b/>
        </w:rPr>
        <w:t>paras</w:t>
      </w:r>
      <w:proofErr w:type="gramEnd"/>
      <w:r>
        <w:rPr>
          <w:b/>
        </w:rPr>
        <w:t xml:space="preserve"> 13 and 24) </w:t>
      </w:r>
    </w:p>
    <w:p w14:paraId="00000012" w14:textId="77777777" w:rsidR="00B766F9" w:rsidRDefault="001F539E">
      <w:pPr>
        <w:pStyle w:val="Normal1"/>
        <w:spacing w:after="160" w:line="240" w:lineRule="auto"/>
        <w:jc w:val="both"/>
        <w:rPr>
          <w:rFonts w:ascii="Verdana" w:eastAsia="Verdana" w:hAnsi="Verdana" w:cs="Verdana"/>
          <w:sz w:val="20"/>
          <w:szCs w:val="20"/>
        </w:rPr>
      </w:pPr>
      <w:r>
        <w:t xml:space="preserve">Section 6 of the Replies of China to the list of issues in relation to its third periodic report (March 2022) emphasizes that China’s role as a member of the AIIB is to support the bank in </w:t>
      </w:r>
      <w:r>
        <w:rPr>
          <w:i/>
        </w:rPr>
        <w:t xml:space="preserve">“conducting </w:t>
      </w:r>
      <w:r>
        <w:rPr>
          <w:rFonts w:ascii="Verdana" w:eastAsia="Verdana" w:hAnsi="Verdana" w:cs="Verdana"/>
          <w:i/>
          <w:sz w:val="20"/>
          <w:szCs w:val="20"/>
        </w:rPr>
        <w:t xml:space="preserve">business in accordance with their own strategies and policies, adhering to high environmental and social standards, and promoting the realization of development benefits”. </w:t>
      </w:r>
      <w:r>
        <w:rPr>
          <w:rFonts w:ascii="Verdana" w:eastAsia="Verdana" w:hAnsi="Verdana" w:cs="Verdana"/>
          <w:sz w:val="20"/>
          <w:szCs w:val="20"/>
        </w:rPr>
        <w:t xml:space="preserve">In this response, China stated its adherence to the principle of equality and mutual benefit in providing foreign aid, as well as respecting the wishes of recipient countries and protecting basic human rights. </w:t>
      </w:r>
    </w:p>
    <w:p w14:paraId="00000013" w14:textId="77777777" w:rsidR="00B766F9" w:rsidRDefault="001F539E">
      <w:pPr>
        <w:pStyle w:val="Normal1"/>
        <w:spacing w:after="160" w:line="240" w:lineRule="auto"/>
        <w:jc w:val="both"/>
        <w:rPr>
          <w:rFonts w:ascii="Verdana" w:eastAsia="Verdana" w:hAnsi="Verdana" w:cs="Verdana"/>
          <w:sz w:val="20"/>
          <w:szCs w:val="20"/>
        </w:rPr>
      </w:pPr>
      <w:r>
        <w:t xml:space="preserve">As the largest shareholder of the AIIB, the Chinese government must ensure that the bank protects the human, economic, environmental, </w:t>
      </w:r>
      <w:proofErr w:type="gramStart"/>
      <w:r>
        <w:t>social</w:t>
      </w:r>
      <w:proofErr w:type="gramEnd"/>
      <w:r>
        <w:t xml:space="preserve"> and cultural rights of project-affected populations, and that any reports of intimidation or coercion are investigated and addressed swiftly and meaningfully. This is especially important due to the weaker standards, safeguards, and due process that AIIB has adopted in a bid for more “efficiency”.</w:t>
      </w:r>
    </w:p>
    <w:p w14:paraId="00000014" w14:textId="77777777" w:rsidR="00B766F9" w:rsidRDefault="001F539E">
      <w:pPr>
        <w:pStyle w:val="Normal1"/>
        <w:jc w:val="both"/>
        <w:rPr>
          <w:highlight w:val="white"/>
        </w:rPr>
      </w:pPr>
      <w:r>
        <w:rPr>
          <w:highlight w:val="white"/>
        </w:rPr>
        <w:t xml:space="preserve">The Committee’s Statement on Human Rights Defenders and Economic, Social and Cultural Rights (E/C.12/2016/2 of 2017 refers) stipulates the obligations of States parties to respect, protect and realize the rights enshrined in the Covenant, the Committee reminds States parties of their responsibility to ensure that </w:t>
      </w:r>
      <w:r>
        <w:rPr>
          <w:b/>
          <w:highlight w:val="white"/>
        </w:rPr>
        <w:t>human rights defenders are effectively protected</w:t>
      </w:r>
      <w:r>
        <w:rPr>
          <w:highlight w:val="white"/>
        </w:rPr>
        <w:t xml:space="preserve"> against any and all forms of abuse, violence and reprisal that they might experience while carrying out their work to promote the realization of those rights. In the same vein, the Committee requires State parties to </w:t>
      </w:r>
      <w:r>
        <w:rPr>
          <w:b/>
          <w:highlight w:val="white"/>
        </w:rPr>
        <w:t>repeal any State legislation or commit to the elimination of any measures that are intended to penalize or obstruct the work of human rights defenders</w:t>
      </w:r>
      <w:r>
        <w:rPr>
          <w:highlight w:val="white"/>
        </w:rPr>
        <w:t>.</w:t>
      </w:r>
    </w:p>
    <w:p w14:paraId="00000015" w14:textId="77777777" w:rsidR="00B766F9" w:rsidRDefault="00B766F9">
      <w:pPr>
        <w:pStyle w:val="Normal1"/>
        <w:jc w:val="both"/>
        <w:rPr>
          <w:highlight w:val="white"/>
        </w:rPr>
      </w:pPr>
    </w:p>
    <w:p w14:paraId="00000016" w14:textId="77777777" w:rsidR="00B766F9" w:rsidRDefault="001F539E">
      <w:pPr>
        <w:pStyle w:val="Normal1"/>
        <w:spacing w:after="160"/>
        <w:jc w:val="both"/>
        <w:rPr>
          <w:highlight w:val="white"/>
        </w:rPr>
      </w:pPr>
      <w:r>
        <w:rPr>
          <w:highlight w:val="white"/>
        </w:rPr>
        <w:t xml:space="preserve">Finally, the Committee’s recent </w:t>
      </w:r>
      <w:hyperlink r:id="rId6">
        <w:r>
          <w:rPr>
            <w:color w:val="1155CC"/>
            <w:highlight w:val="white"/>
            <w:u w:val="single"/>
          </w:rPr>
          <w:t>General Comment No. 26 on land and economic, social and cultural rights</w:t>
        </w:r>
      </w:hyperlink>
      <w:r>
        <w:rPr>
          <w:highlight w:val="white"/>
        </w:rPr>
        <w:t xml:space="preserve"> makes clear that access to land has an impact on the realization of other rights, namely to food, housing, water, health and cultural life (paras 6-10). </w:t>
      </w:r>
    </w:p>
    <w:p w14:paraId="00000017" w14:textId="77777777" w:rsidR="00B766F9" w:rsidRDefault="00B766F9">
      <w:pPr>
        <w:pStyle w:val="Normal1"/>
        <w:spacing w:after="160"/>
        <w:jc w:val="both"/>
        <w:rPr>
          <w:highlight w:val="white"/>
        </w:rPr>
      </w:pPr>
    </w:p>
    <w:p w14:paraId="00000018" w14:textId="77777777" w:rsidR="00B766F9" w:rsidRDefault="001F539E">
      <w:pPr>
        <w:pStyle w:val="Normal1"/>
        <w:spacing w:after="160"/>
        <w:jc w:val="both"/>
        <w:rPr>
          <w:b/>
        </w:rPr>
      </w:pPr>
      <w:bookmarkStart w:id="0" w:name="_20tv6rw01t9p" w:colFirst="0" w:colLast="0"/>
      <w:bookmarkEnd w:id="0"/>
      <w:r>
        <w:rPr>
          <w:b/>
        </w:rPr>
        <w:t xml:space="preserve">Suggested general recommendations for the Committee to the PRC </w:t>
      </w:r>
    </w:p>
    <w:p w14:paraId="00000019" w14:textId="77777777" w:rsidR="00B766F9" w:rsidRDefault="001F539E">
      <w:pPr>
        <w:pStyle w:val="Normal1"/>
        <w:numPr>
          <w:ilvl w:val="0"/>
          <w:numId w:val="1"/>
        </w:numPr>
        <w:spacing w:before="240"/>
        <w:jc w:val="both"/>
      </w:pPr>
      <w:r>
        <w:t xml:space="preserve">Request China as the largest shareholder of the AIIB to suspend financing of the Mandalika Urban Tourism Infrastructure Development Project until all outstanding land acquisition and resettlement issues are adequately handled, including providing compensation reflecting the market value of the land and the livelihood impacts of the </w:t>
      </w:r>
      <w:r>
        <w:lastRenderedPageBreak/>
        <w:t>tourism project and providing permanent homes that meet international standards regarding involuntary resettlement.</w:t>
      </w:r>
      <w:r>
        <w:br/>
      </w:r>
    </w:p>
    <w:p w14:paraId="0000001A" w14:textId="77777777" w:rsidR="00B766F9" w:rsidRDefault="001F539E">
      <w:pPr>
        <w:pStyle w:val="Normal1"/>
        <w:numPr>
          <w:ilvl w:val="0"/>
          <w:numId w:val="1"/>
        </w:numPr>
        <w:jc w:val="both"/>
        <w:rPr>
          <w:color w:val="252525"/>
        </w:rPr>
      </w:pPr>
      <w:bookmarkStart w:id="1" w:name="_dam2afgy1up9" w:colFirst="0" w:colLast="0"/>
      <w:bookmarkEnd w:id="1"/>
      <w:r>
        <w:t>Demand that the Chinese government, as the largest shareholder of the AIIB, ensures that the ITDC respects the bank’s environmental and social safeguards and international human rights, particularly those related to Indigenous Populations, and that the AIIB immediately allows for an independent and impartial investigation of the Mandalika project to be conducted to ensure that indigenous populations in Indonesia and around the world are not harmed by development projects being designed and implemented without their consent.</w:t>
      </w:r>
      <w:r>
        <w:br/>
      </w:r>
    </w:p>
    <w:p w14:paraId="0000001B" w14:textId="77777777" w:rsidR="00B766F9" w:rsidRDefault="001F539E">
      <w:pPr>
        <w:pStyle w:val="Normal1"/>
        <w:numPr>
          <w:ilvl w:val="0"/>
          <w:numId w:val="1"/>
        </w:numPr>
        <w:jc w:val="both"/>
        <w:rPr>
          <w:color w:val="252525"/>
        </w:rPr>
      </w:pPr>
      <w:bookmarkStart w:id="2" w:name="_2fe8j1r2w2z7" w:colFirst="0" w:colLast="0"/>
      <w:bookmarkEnd w:id="2"/>
      <w:r>
        <w:rPr>
          <w:color w:val="252525"/>
        </w:rPr>
        <w:t xml:space="preserve">As the leading shareholder of the AIIB, press China to ensure the bank takes serious efforts to report, investigate and address instances of intimidation, </w:t>
      </w:r>
      <w:proofErr w:type="gramStart"/>
      <w:r>
        <w:rPr>
          <w:color w:val="252525"/>
        </w:rPr>
        <w:t>retaliation</w:t>
      </w:r>
      <w:proofErr w:type="gramEnd"/>
      <w:r>
        <w:rPr>
          <w:color w:val="252525"/>
        </w:rPr>
        <w:t xml:space="preserve"> and manipulation of project-affected communities with transparency, sensitivity and accountability. Compel the Chinese state to also work with the Indonesian government and all relevant authorities to protect environmental and human rights defenders, as well as civil society organizations, </w:t>
      </w:r>
      <w:proofErr w:type="gramStart"/>
      <w:r>
        <w:rPr>
          <w:color w:val="252525"/>
        </w:rPr>
        <w:t>in particular those</w:t>
      </w:r>
      <w:proofErr w:type="gramEnd"/>
      <w:r>
        <w:rPr>
          <w:color w:val="252525"/>
        </w:rPr>
        <w:t xml:space="preserve"> facing risks linked to their advocacy on Bank projects, and to repeal any state legislation and eliminate any measures used to penalize, harass, intimidate, human rights and environmental defenders. </w:t>
      </w:r>
      <w:r>
        <w:rPr>
          <w:color w:val="444444"/>
        </w:rPr>
        <w:br/>
      </w:r>
    </w:p>
    <w:p w14:paraId="0000001C" w14:textId="77777777" w:rsidR="00B766F9" w:rsidRDefault="001F539E">
      <w:pPr>
        <w:pStyle w:val="Normal1"/>
        <w:numPr>
          <w:ilvl w:val="0"/>
          <w:numId w:val="1"/>
        </w:numPr>
        <w:jc w:val="both"/>
        <w:rPr>
          <w:color w:val="444444"/>
        </w:rPr>
      </w:pPr>
      <w:bookmarkStart w:id="3" w:name="_5idq6g5nbq4y" w:colFirst="0" w:colLast="0"/>
      <w:bookmarkEnd w:id="3"/>
      <w:r>
        <w:t xml:space="preserve">As the largest shareholder of the AIIB, what is China doing to develop the bank’s human rights due diligence policies and processes? As it stands, the AIIB merely has a statement on anti-retaliation which is proving insufficient in putting an end to addressing intimidation and coercion in project implementation. The Mandalika case proves that China must work with other bank shareholders to further improve the bank’s safeguards. Despite repeated calls from Indonesian civil society and UN Special Procedures, the AIIB failed to adequately review allegations of retaliation,  violating its own Environmental and Social Policy provision by not asking a single question about coercion to affected community members during a recent site visit to Mandalika in 2022, following which the bank concluded that </w:t>
      </w:r>
      <w:hyperlink r:id="rId7">
        <w:r>
          <w:rPr>
            <w:color w:val="1155CC"/>
            <w:u w:val="single"/>
          </w:rPr>
          <w:t>“the absence of evidence of coercion or use of force or intimidation was reconfirmed during the bank’s site visit”</w:t>
        </w:r>
      </w:hyperlink>
      <w:r>
        <w:t xml:space="preserve">. </w:t>
      </w:r>
      <w:r>
        <w:br/>
      </w:r>
    </w:p>
    <w:p w14:paraId="0000001D" w14:textId="77777777" w:rsidR="00B766F9" w:rsidRDefault="001F539E">
      <w:pPr>
        <w:pStyle w:val="Normal1"/>
        <w:numPr>
          <w:ilvl w:val="0"/>
          <w:numId w:val="1"/>
        </w:numPr>
        <w:jc w:val="both"/>
        <w:rPr>
          <w:color w:val="444444"/>
        </w:rPr>
      </w:pPr>
      <w:bookmarkStart w:id="4" w:name="_4g0mahpugg3y" w:colFirst="0" w:colLast="0"/>
      <w:bookmarkEnd w:id="4"/>
      <w:r>
        <w:t>As the bank’s largest shareholder, what steps has China taken to ensure transparency and accountability in the monitoring of its clients’ use of Security Personnel in project implementation? The AIIB’s environmental and social policies requires the preparation and disclosure of the ‘use of security personnel management plan’, a critical document that both the shareholders of the AIIB and NGOs have repeatedly requested and not seen a copy of since 2019. The Mandalika case demonstrates a lack of transparency, with the AIIB further refusing to release the Standard Operating Procedures (SOP) for Security Personnel despite repeated calls from civil society organizations following well documented reprisals and arbitrary detentions of project-affected persons and civic actors in 2022.</w:t>
      </w:r>
      <w:r>
        <w:rPr>
          <w:rFonts w:ascii="Roboto" w:eastAsia="Roboto" w:hAnsi="Roboto" w:cs="Roboto"/>
          <w:color w:val="252525"/>
          <w:sz w:val="21"/>
          <w:szCs w:val="21"/>
          <w:highlight w:val="yellow"/>
        </w:rPr>
        <w:br/>
      </w:r>
    </w:p>
    <w:p w14:paraId="0000001E" w14:textId="77777777" w:rsidR="00B766F9" w:rsidRDefault="001F539E">
      <w:pPr>
        <w:pStyle w:val="Normal1"/>
        <w:numPr>
          <w:ilvl w:val="0"/>
          <w:numId w:val="1"/>
        </w:numPr>
        <w:jc w:val="both"/>
        <w:rPr>
          <w:color w:val="444444"/>
        </w:rPr>
      </w:pPr>
      <w:bookmarkStart w:id="5" w:name="_9fwugndf8rdj" w:colFirst="0" w:colLast="0"/>
      <w:bookmarkEnd w:id="5"/>
      <w:r>
        <w:rPr>
          <w:rFonts w:ascii="Roboto" w:eastAsia="Roboto" w:hAnsi="Roboto" w:cs="Roboto"/>
          <w:color w:val="252525"/>
          <w:sz w:val="21"/>
          <w:szCs w:val="21"/>
          <w:highlight w:val="white"/>
        </w:rPr>
        <w:lastRenderedPageBreak/>
        <w:t>As the bank’s largest shareholder, demand that China immediately initiates a policy review   of the people’s complaints mechanism (PPM</w:t>
      </w:r>
      <w:proofErr w:type="gramStart"/>
      <w:r>
        <w:rPr>
          <w:rFonts w:ascii="Roboto" w:eastAsia="Roboto" w:hAnsi="Roboto" w:cs="Roboto"/>
          <w:color w:val="252525"/>
          <w:sz w:val="21"/>
          <w:szCs w:val="21"/>
          <w:highlight w:val="white"/>
        </w:rPr>
        <w:t>), and</w:t>
      </w:r>
      <w:proofErr w:type="gramEnd"/>
      <w:r>
        <w:rPr>
          <w:rFonts w:ascii="Roboto" w:eastAsia="Roboto" w:hAnsi="Roboto" w:cs="Roboto"/>
          <w:color w:val="252525"/>
          <w:sz w:val="21"/>
          <w:szCs w:val="21"/>
          <w:highlight w:val="white"/>
        </w:rPr>
        <w:t xml:space="preserve"> commit to the lowering of the eligibility threshold and measures to guarantee impartiality to ensure that project-affected communities can effectively lodge complaints to the bank.</w:t>
      </w:r>
      <w:r>
        <w:rPr>
          <w:color w:val="252525"/>
          <w:highlight w:val="yellow"/>
        </w:rPr>
        <w:br/>
      </w:r>
    </w:p>
    <w:p w14:paraId="0000001F" w14:textId="77777777" w:rsidR="00B766F9" w:rsidRDefault="001F539E">
      <w:pPr>
        <w:pStyle w:val="Normal1"/>
        <w:numPr>
          <w:ilvl w:val="0"/>
          <w:numId w:val="1"/>
        </w:numPr>
        <w:spacing w:after="240"/>
        <w:jc w:val="both"/>
        <w:rPr>
          <w:color w:val="252525"/>
          <w:highlight w:val="white"/>
        </w:rPr>
      </w:pPr>
      <w:bookmarkStart w:id="6" w:name="_fak9xwph175q" w:colFirst="0" w:colLast="0"/>
      <w:bookmarkEnd w:id="6"/>
      <w:r>
        <w:rPr>
          <w:color w:val="252525"/>
          <w:highlight w:val="white"/>
        </w:rPr>
        <w:t xml:space="preserve">Demand that China, as the bank’s largest shareholder, commit to time-bound disclosure to reinforce the bank’s monitoring and reporting of the environmental, </w:t>
      </w:r>
      <w:proofErr w:type="gramStart"/>
      <w:r>
        <w:rPr>
          <w:color w:val="252525"/>
          <w:highlight w:val="white"/>
        </w:rPr>
        <w:t>social</w:t>
      </w:r>
      <w:proofErr w:type="gramEnd"/>
      <w:r>
        <w:rPr>
          <w:color w:val="252525"/>
          <w:highlight w:val="white"/>
        </w:rPr>
        <w:t xml:space="preserve"> and human rights impacts of funded projects, as is the existing practice by other multilateral development banks, for example, the social impact monitoring report of the Asian Development Bank.</w:t>
      </w:r>
    </w:p>
    <w:p w14:paraId="00000020" w14:textId="77777777" w:rsidR="00B766F9" w:rsidRDefault="001F539E">
      <w:pPr>
        <w:pStyle w:val="Normal1"/>
        <w:spacing w:line="240" w:lineRule="auto"/>
        <w:jc w:val="both"/>
        <w:rPr>
          <w:b/>
        </w:rPr>
      </w:pPr>
      <w:r>
        <w:rPr>
          <w:b/>
        </w:rPr>
        <w:t xml:space="preserve">Mandalika Case Study </w:t>
      </w:r>
    </w:p>
    <w:p w14:paraId="00000021" w14:textId="77777777" w:rsidR="00B766F9" w:rsidRDefault="00B766F9">
      <w:pPr>
        <w:pStyle w:val="Normal1"/>
        <w:spacing w:line="240" w:lineRule="auto"/>
        <w:jc w:val="both"/>
        <w:rPr>
          <w:b/>
        </w:rPr>
      </w:pPr>
    </w:p>
    <w:p w14:paraId="00000022" w14:textId="77777777" w:rsidR="00B766F9" w:rsidRDefault="001F539E">
      <w:pPr>
        <w:pStyle w:val="Normal1"/>
        <w:spacing w:line="240" w:lineRule="auto"/>
        <w:jc w:val="both"/>
      </w:pPr>
      <w:r>
        <w:rPr>
          <w:b/>
        </w:rPr>
        <w:t xml:space="preserve">Lack of Free, Prior and Informed Consent: </w:t>
      </w:r>
      <w:r>
        <w:t>The Indigenous communities of Mandalika were not consulted in a meaningful way or asked for their consent before the Indonesia Tourism Development Corporation (ITDC) moved forward with the construction of the Mandalika International Street Circuit and the Mandalika Urban Development and Tourism Project. Instead of providing basic information about the projects to affected communities and seeking broad consent of the populations on the implementation of the project and meaningful remedies, a single statement by a local village leader was misused by the ITDC to represent the consent of over a thousand community members. According to international human rights law, Indigenous Peoples “cannot be forcibly removed from their lands without their free, prior and informed consent and after agreement on just and fair compensation and, where possible, with the option of return”. The AIIB has due diligence responsibility to monitor whether the ITDC is carrying out meaningful consultation with affected communities, and whether the ITDC has obtained FPIC from these affected communities prior to project implementation.</w:t>
      </w:r>
    </w:p>
    <w:p w14:paraId="00000023" w14:textId="77777777" w:rsidR="00B766F9" w:rsidRDefault="00B766F9">
      <w:pPr>
        <w:pStyle w:val="Normal1"/>
        <w:spacing w:line="240" w:lineRule="auto"/>
        <w:jc w:val="both"/>
      </w:pPr>
    </w:p>
    <w:p w14:paraId="00000024" w14:textId="77777777" w:rsidR="00B766F9" w:rsidRDefault="001F539E">
      <w:pPr>
        <w:pStyle w:val="Normal1"/>
        <w:spacing w:line="240" w:lineRule="auto"/>
        <w:jc w:val="both"/>
        <w:rPr>
          <w:b/>
        </w:rPr>
      </w:pPr>
      <w:r>
        <w:rPr>
          <w:b/>
        </w:rPr>
        <w:t xml:space="preserve">Forced evictions without providing adequate compensation: </w:t>
      </w:r>
      <w:r>
        <w:t xml:space="preserve">Since 2018, Indigenous peoples in Mandalika have been subject to threats and intimidation if they refuse to give up their land. During a recent survey conducted by KPPI, 72 % of respondents indicated that they felt intimidated or coerced by members of the Indonesian security forces and/or state actors due to land acquisition process or involuntary resettlement relating to the Mandalika project.  Indigenous people were also not given the opportunity to negotiate adequate </w:t>
      </w:r>
      <w:proofErr w:type="gramStart"/>
      <w:r>
        <w:t>compensation, but</w:t>
      </w:r>
      <w:proofErr w:type="gramEnd"/>
      <w:r>
        <w:t xml:space="preserve"> were forced to accept unilaterally determined compensation in the involuntary land acquisition and resettlement. 99% of the respondents surveyed by KPPI said that they felt that they were not offered fair compensation for their land. Only 24% of respondents said that they received compensation for their house and/or the loss of crops and other agricultural resources. As the bank’s largest shareholder, China must work with the ITDC to resolve ongoing land disputes by offering proper compensation to victims, not only for the land and property lost, but also for the loss of income from crops and natural resources.</w:t>
      </w:r>
    </w:p>
    <w:p w14:paraId="00000025" w14:textId="77777777" w:rsidR="00B766F9" w:rsidRDefault="00B766F9">
      <w:pPr>
        <w:pStyle w:val="Normal1"/>
        <w:spacing w:line="240" w:lineRule="auto"/>
        <w:jc w:val="both"/>
        <w:rPr>
          <w:b/>
        </w:rPr>
      </w:pPr>
    </w:p>
    <w:p w14:paraId="00000026" w14:textId="77777777" w:rsidR="00B766F9" w:rsidRDefault="001F539E">
      <w:pPr>
        <w:pStyle w:val="Normal1"/>
        <w:spacing w:line="240" w:lineRule="auto"/>
        <w:jc w:val="both"/>
      </w:pPr>
      <w:r>
        <w:rPr>
          <w:b/>
        </w:rPr>
        <w:t xml:space="preserve">Inadequate conditions of resettlement: </w:t>
      </w:r>
      <w:r>
        <w:t xml:space="preserve">Households affected by forced evictions have spent more than three years living in cramped conditions in temporary shelters, waiting for permanent relocation. The ITDC’s Resettlement Action Plan states that affected households should be relocated to a permanent resettlement site within a year of forced eviction. Problematically, the permanent resettlement site is located 2 kilometers away from Mandalika, on a hilltop without any direct access to the sea, which will greatly affect the ability of Indigenous populations to continue their traditional livelihood activities upon which they depend for survival.  As a shareholder of the AIIB, China must hold the ITDC accountable to the deadlines and </w:t>
      </w:r>
      <w:r>
        <w:lastRenderedPageBreak/>
        <w:t xml:space="preserve">requirements outlined in the Resettlement Action </w:t>
      </w:r>
      <w:proofErr w:type="gramStart"/>
      <w:r>
        <w:t>Plan, and</w:t>
      </w:r>
      <w:proofErr w:type="gramEnd"/>
      <w:r>
        <w:t xml:space="preserve"> must work with the ITDC to ensure that resettlement complies with human rights standards. </w:t>
      </w:r>
    </w:p>
    <w:p w14:paraId="00000027" w14:textId="77777777" w:rsidR="00B766F9" w:rsidRDefault="00B766F9">
      <w:pPr>
        <w:pStyle w:val="Normal1"/>
        <w:spacing w:line="240" w:lineRule="auto"/>
        <w:jc w:val="both"/>
        <w:rPr>
          <w:b/>
        </w:rPr>
      </w:pPr>
    </w:p>
    <w:p w14:paraId="00000028" w14:textId="77777777" w:rsidR="00B766F9" w:rsidRDefault="001F539E">
      <w:pPr>
        <w:pStyle w:val="Normal1"/>
        <w:spacing w:line="240" w:lineRule="auto"/>
        <w:jc w:val="both"/>
        <w:rPr>
          <w:b/>
        </w:rPr>
      </w:pPr>
      <w:r>
        <w:rPr>
          <w:b/>
        </w:rPr>
        <w:t xml:space="preserve">Impoverishment of affected populations: </w:t>
      </w:r>
      <w:r>
        <w:t xml:space="preserve">A recent survey conducted by KPPI shows that 84% of respondents said that they have experienced financial difficulties due to the Mandalika project. 71% of the respondents said that the Mandalika project destroyed natural and/or communal resources that they depended on for their survival. It is unacceptable for a development project to further impoverish already vulnerable and marginalised Indigenous farmers and fisherfolks. </w:t>
      </w:r>
    </w:p>
    <w:p w14:paraId="00000029" w14:textId="77777777" w:rsidR="00B766F9" w:rsidRDefault="00B766F9">
      <w:pPr>
        <w:pStyle w:val="Normal1"/>
        <w:spacing w:line="240" w:lineRule="auto"/>
        <w:jc w:val="both"/>
        <w:rPr>
          <w:highlight w:val="yellow"/>
        </w:rPr>
      </w:pPr>
    </w:p>
    <w:p w14:paraId="0000002A" w14:textId="77777777" w:rsidR="00B766F9" w:rsidRDefault="001F539E">
      <w:pPr>
        <w:pStyle w:val="Normal1"/>
        <w:spacing w:line="240" w:lineRule="auto"/>
        <w:jc w:val="both"/>
      </w:pPr>
      <w:r>
        <w:rPr>
          <w:b/>
        </w:rPr>
        <w:t xml:space="preserve">Continued involvement of police and military forces in project implementation: </w:t>
      </w:r>
      <w:r>
        <w:t xml:space="preserve">the ITDC has used the threat of violence to force Indigenous families to leave their homes and their ancestral lands since 2018.  Members of the state security – both the military and police – continue to be implicated in tactics of intimidation including arrests to silence project-affected communities in Mandalika, as well as the civil society actors that have been supporting them in asserting their human and land rights. AIIB - and its shareholders - have a responsibility to ensure that the ITDC respects the land and human rights of Indigenous populations in Mandalika and to guarantee that there will be no intimidation or reprisals during project implementation. </w:t>
      </w:r>
    </w:p>
    <w:p w14:paraId="0000002B" w14:textId="77777777" w:rsidR="00B766F9" w:rsidRDefault="00B766F9">
      <w:pPr>
        <w:pStyle w:val="Normal1"/>
        <w:spacing w:line="240" w:lineRule="auto"/>
        <w:jc w:val="both"/>
        <w:rPr>
          <w:b/>
        </w:rPr>
      </w:pPr>
    </w:p>
    <w:p w14:paraId="0000002C" w14:textId="77777777" w:rsidR="00B766F9" w:rsidRDefault="001F539E">
      <w:pPr>
        <w:pStyle w:val="Normal1"/>
        <w:spacing w:line="240" w:lineRule="auto"/>
        <w:jc w:val="both"/>
        <w:rPr>
          <w:b/>
        </w:rPr>
      </w:pPr>
      <w:r>
        <w:rPr>
          <w:b/>
        </w:rPr>
        <w:t xml:space="preserve">Threats and Intimidation of land rights defenders: </w:t>
      </w:r>
      <w:r>
        <w:t xml:space="preserve">Community members advocating for their land rights were visited in the middle of the night by members of the police, </w:t>
      </w:r>
      <w:proofErr w:type="gramStart"/>
      <w:r>
        <w:t>military</w:t>
      </w:r>
      <w:proofErr w:type="gramEnd"/>
      <w:r>
        <w:t xml:space="preserve"> and intelligence forces. Some were detained for criticizing on Facebook the disproportionately heavy deployment of security forces in Mandalika during motorcycle races.  Local civil society organizations working to support affected communities have also been intimidated by members of the Indonesian security forces. As the largest shareholder of the AIIB, China must ensure that the bank takes serious efforts to adequately address instances of coercion and retaliation of land rights defenders. </w:t>
      </w:r>
    </w:p>
    <w:p w14:paraId="0000002D" w14:textId="77777777" w:rsidR="00B766F9" w:rsidRDefault="00B766F9">
      <w:pPr>
        <w:pStyle w:val="Normal1"/>
        <w:spacing w:line="240" w:lineRule="auto"/>
        <w:jc w:val="both"/>
      </w:pPr>
    </w:p>
    <w:p w14:paraId="0000002E" w14:textId="77777777" w:rsidR="00B766F9" w:rsidRDefault="001F539E">
      <w:pPr>
        <w:pStyle w:val="Normal1"/>
        <w:spacing w:line="240" w:lineRule="auto"/>
        <w:jc w:val="both"/>
      </w:pPr>
      <w:r>
        <w:rPr>
          <w:b/>
        </w:rPr>
        <w:t xml:space="preserve">Environmental degradation: </w:t>
      </w:r>
      <w:r>
        <w:t xml:space="preserve">due to the implementation of the infrastructure project, there has been significant soil erosion in the Mandalika area. The drastic change in the natural topography have made the area more vulnerable to floods, according to </w:t>
      </w:r>
      <w:proofErr w:type="gramStart"/>
      <w:r>
        <w:t>local residents</w:t>
      </w:r>
      <w:proofErr w:type="gramEnd"/>
      <w:r>
        <w:t xml:space="preserve">. </w:t>
      </w:r>
    </w:p>
    <w:p w14:paraId="0000002F" w14:textId="77777777" w:rsidR="00B766F9" w:rsidRDefault="00B766F9">
      <w:pPr>
        <w:pStyle w:val="Normal1"/>
        <w:spacing w:line="240" w:lineRule="auto"/>
        <w:jc w:val="both"/>
        <w:rPr>
          <w:b/>
        </w:rPr>
      </w:pPr>
    </w:p>
    <w:p w14:paraId="00000030" w14:textId="77777777" w:rsidR="00B766F9" w:rsidRDefault="00B766F9">
      <w:pPr>
        <w:pStyle w:val="Normal1"/>
        <w:spacing w:line="240" w:lineRule="auto"/>
        <w:jc w:val="both"/>
        <w:rPr>
          <w:b/>
        </w:rPr>
      </w:pPr>
    </w:p>
    <w:p w14:paraId="00000031" w14:textId="77777777" w:rsidR="00B766F9" w:rsidRDefault="001F539E">
      <w:pPr>
        <w:pStyle w:val="Normal1"/>
        <w:spacing w:line="240" w:lineRule="auto"/>
        <w:rPr>
          <w:b/>
        </w:rPr>
      </w:pPr>
      <w:r>
        <w:rPr>
          <w:b/>
        </w:rPr>
        <w:t>Appendix</w:t>
      </w:r>
    </w:p>
    <w:p w14:paraId="00000032" w14:textId="77777777" w:rsidR="00B766F9" w:rsidRDefault="00B766F9">
      <w:pPr>
        <w:pStyle w:val="Normal1"/>
        <w:spacing w:line="240" w:lineRule="auto"/>
        <w:jc w:val="both"/>
        <w:rPr>
          <w:b/>
        </w:rPr>
      </w:pPr>
    </w:p>
    <w:p w14:paraId="00000033" w14:textId="77777777" w:rsidR="00B766F9" w:rsidRDefault="001F539E">
      <w:pPr>
        <w:pStyle w:val="Normal1"/>
        <w:spacing w:line="240" w:lineRule="auto"/>
        <w:jc w:val="both"/>
      </w:pPr>
      <w:r>
        <w:t xml:space="preserve">Indonesian Coalition for Monitoring Infrastructure Development, </w:t>
      </w:r>
      <w:hyperlink r:id="rId8">
        <w:r>
          <w:rPr>
            <w:color w:val="1155CC"/>
            <w:u w:val="single"/>
          </w:rPr>
          <w:t xml:space="preserve">Official Statement Responding to the AIIB Annual Meeting of 2022: The AIIB’s Statement on Retaliation is misleading, the intimidation of Indigenous Sasak communities continues to this day with the heavy involvement of security forces in the Mandalika tourism development project </w:t>
        </w:r>
      </w:hyperlink>
      <w:r>
        <w:t>(October 2022)</w:t>
      </w:r>
    </w:p>
    <w:p w14:paraId="00000034" w14:textId="77777777" w:rsidR="00B766F9" w:rsidRDefault="00B766F9">
      <w:pPr>
        <w:pStyle w:val="Normal1"/>
        <w:spacing w:line="240" w:lineRule="auto"/>
        <w:jc w:val="both"/>
      </w:pPr>
    </w:p>
    <w:p w14:paraId="00000035" w14:textId="77777777" w:rsidR="00B766F9" w:rsidRDefault="001F539E">
      <w:pPr>
        <w:pStyle w:val="Normal1"/>
        <w:spacing w:line="240" w:lineRule="auto"/>
      </w:pPr>
      <w:r>
        <w:t xml:space="preserve">Indonesian Coalition for Monitoring Infrastructure Development, </w:t>
      </w:r>
      <w:hyperlink r:id="rId9">
        <w:r>
          <w:rPr>
            <w:color w:val="1155CC"/>
            <w:u w:val="single"/>
          </w:rPr>
          <w:t>A statement to the AIIB and the ITDC: Indonesian civil society rejects sham consultations and the use of state security in resolving land rights issues in the Mandalika project</w:t>
        </w:r>
      </w:hyperlink>
      <w:r>
        <w:t xml:space="preserve"> (December 2022)</w:t>
      </w:r>
    </w:p>
    <w:p w14:paraId="00000036" w14:textId="77777777" w:rsidR="00B766F9" w:rsidRDefault="00B766F9">
      <w:pPr>
        <w:pStyle w:val="Normal1"/>
        <w:spacing w:line="240" w:lineRule="auto"/>
        <w:jc w:val="both"/>
      </w:pPr>
    </w:p>
    <w:p w14:paraId="00000037" w14:textId="77777777" w:rsidR="00B766F9" w:rsidRDefault="001F539E">
      <w:pPr>
        <w:pStyle w:val="Normal1"/>
        <w:spacing w:line="240" w:lineRule="auto"/>
        <w:jc w:val="both"/>
      </w:pPr>
      <w:r>
        <w:t xml:space="preserve">Indonesian Coalition for Monitoring Infrastructure Development, </w:t>
      </w:r>
      <w:hyperlink r:id="rId10">
        <w:r>
          <w:rPr>
            <w:color w:val="1155CC"/>
            <w:u w:val="single"/>
          </w:rPr>
          <w:t>Indonesian civil society calls for the cancellation of the World Superbike event to honours victims of forced evictions who have yet to receive compensation and resettlement</w:t>
        </w:r>
      </w:hyperlink>
      <w:r>
        <w:t xml:space="preserve"> (November 2022)</w:t>
      </w:r>
    </w:p>
    <w:p w14:paraId="00000038" w14:textId="77777777" w:rsidR="00B766F9" w:rsidRDefault="00B766F9">
      <w:pPr>
        <w:pStyle w:val="Normal1"/>
        <w:spacing w:line="240" w:lineRule="auto"/>
      </w:pPr>
    </w:p>
    <w:p w14:paraId="00000039" w14:textId="77777777" w:rsidR="00B766F9" w:rsidRDefault="001F539E">
      <w:pPr>
        <w:pStyle w:val="Normal1"/>
        <w:spacing w:line="240" w:lineRule="auto"/>
      </w:pPr>
      <w:r>
        <w:t xml:space="preserve">Just Finance International, </w:t>
      </w:r>
      <w:hyperlink r:id="rId11">
        <w:r>
          <w:rPr>
            <w:color w:val="1155CC"/>
            <w:u w:val="single"/>
          </w:rPr>
          <w:t>AIIB’s Mandalika project in Indonesia force thousands to leave their homes “What can you do when they point guns at you?’’</w:t>
        </w:r>
      </w:hyperlink>
      <w:r>
        <w:t xml:space="preserve"> (August 2022)</w:t>
      </w:r>
    </w:p>
    <w:p w14:paraId="0000003A" w14:textId="77777777" w:rsidR="00B766F9" w:rsidRDefault="00B766F9">
      <w:pPr>
        <w:pStyle w:val="Normal1"/>
        <w:spacing w:line="240" w:lineRule="auto"/>
      </w:pPr>
    </w:p>
    <w:p w14:paraId="0000003B" w14:textId="77777777" w:rsidR="00B766F9" w:rsidRDefault="001F539E">
      <w:pPr>
        <w:pStyle w:val="Normal1"/>
        <w:spacing w:line="240" w:lineRule="auto"/>
      </w:pPr>
      <w:r>
        <w:t xml:space="preserve">Mongabay, </w:t>
      </w:r>
      <w:hyperlink r:id="rId12">
        <w:r>
          <w:rPr>
            <w:color w:val="1155CC"/>
            <w:u w:val="single"/>
          </w:rPr>
          <w:t xml:space="preserve">U.N., rights groups flag potential violations in $3b Indonesian tourism project </w:t>
        </w:r>
      </w:hyperlink>
      <w:r>
        <w:t>(May 2022)</w:t>
      </w:r>
    </w:p>
    <w:p w14:paraId="0000003C" w14:textId="77777777" w:rsidR="00B766F9" w:rsidRDefault="00B766F9">
      <w:pPr>
        <w:pStyle w:val="Normal1"/>
        <w:spacing w:line="240" w:lineRule="auto"/>
      </w:pPr>
    </w:p>
    <w:p w14:paraId="0000003D" w14:textId="77777777" w:rsidR="00B766F9" w:rsidRDefault="001F539E">
      <w:pPr>
        <w:pStyle w:val="Normal1"/>
        <w:spacing w:line="240" w:lineRule="auto"/>
      </w:pPr>
      <w:r>
        <w:t xml:space="preserve">Korinna Horta and Wawa Wang, </w:t>
      </w:r>
      <w:hyperlink r:id="rId13">
        <w:r>
          <w:rPr>
            <w:color w:val="1155CC"/>
            <w:u w:val="single"/>
          </w:rPr>
          <w:t>“The Beijing-led Asian Infrastructure Investment Bank: Global Leader in Infrastructure, at What Cost?”</w:t>
        </w:r>
      </w:hyperlink>
      <w:r>
        <w:t>, published by the Heinrich Boll Foundation and Just Finance International (May 2022)</w:t>
      </w:r>
    </w:p>
    <w:p w14:paraId="0000003E" w14:textId="77777777" w:rsidR="00B766F9" w:rsidRDefault="00B766F9">
      <w:pPr>
        <w:pStyle w:val="Normal1"/>
        <w:spacing w:line="240" w:lineRule="auto"/>
      </w:pPr>
    </w:p>
    <w:p w14:paraId="0000003F" w14:textId="77777777" w:rsidR="00B766F9" w:rsidRDefault="001F539E">
      <w:pPr>
        <w:pStyle w:val="Normal1"/>
        <w:spacing w:line="240" w:lineRule="auto"/>
      </w:pPr>
      <w:r>
        <w:t xml:space="preserve">WirtschaftsWoche, </w:t>
      </w:r>
      <w:hyperlink r:id="rId14">
        <w:r>
          <w:rPr>
            <w:color w:val="1155CC"/>
            <w:u w:val="single"/>
          </w:rPr>
          <w:t xml:space="preserve">Während über Klimaschutz geredet wird, wird hier ein neuer Hotspot für Massentourismus ausgebaut </w:t>
        </w:r>
      </w:hyperlink>
      <w:r>
        <w:t>(November 2022)</w:t>
      </w:r>
    </w:p>
    <w:p w14:paraId="00000040" w14:textId="77777777" w:rsidR="00B766F9" w:rsidRDefault="00B766F9">
      <w:pPr>
        <w:pStyle w:val="Normal1"/>
        <w:spacing w:line="240" w:lineRule="auto"/>
      </w:pPr>
    </w:p>
    <w:p w14:paraId="00000041" w14:textId="77777777" w:rsidR="00B766F9" w:rsidRPr="00A052CF" w:rsidRDefault="001F539E">
      <w:pPr>
        <w:pStyle w:val="Normal1"/>
        <w:spacing w:line="240" w:lineRule="auto"/>
        <w:rPr>
          <w:lang w:val="fr-FR"/>
        </w:rPr>
      </w:pPr>
      <w:r w:rsidRPr="00A052CF">
        <w:rPr>
          <w:lang w:val="fr-FR"/>
        </w:rPr>
        <w:t xml:space="preserve">AFP/ France Ouest, </w:t>
      </w:r>
      <w:hyperlink r:id="rId15">
        <w:r w:rsidRPr="00A052CF">
          <w:rPr>
            <w:color w:val="1155CC"/>
            <w:u w:val="single"/>
            <w:lang w:val="fr-FR"/>
          </w:rPr>
          <w:t>REPORTAGE. En Indonésie, le MotoGP s’apprête à faire son retour… au détriment des locaux</w:t>
        </w:r>
      </w:hyperlink>
      <w:r w:rsidRPr="00A052CF">
        <w:rPr>
          <w:lang w:val="fr-FR"/>
        </w:rPr>
        <w:t xml:space="preserve"> (November 2021)</w:t>
      </w:r>
    </w:p>
    <w:sectPr w:rsidR="00B766F9" w:rsidRPr="00A052C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Roboto">
    <w:charset w:val="00"/>
    <w:family w:val="auto"/>
    <w:pitch w:val="variable"/>
    <w:sig w:usb0="E0000AFF" w:usb1="5000217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04189"/>
    <w:multiLevelType w:val="multilevel"/>
    <w:tmpl w:val="F26CDE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6F9"/>
    <w:rsid w:val="001F539E"/>
    <w:rsid w:val="00A052CF"/>
    <w:rsid w:val="00B766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11A374D5-A0B8-4B18-BA92-4E78C5D46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1F539E"/>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F539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justfinanceinternational.org/2022/10/25/official-statement-indonesian-coalition-for-monitoring-infrastructure-development/" TargetMode="External"/><Relationship Id="rId13" Type="http://schemas.openxmlformats.org/officeDocument/2006/relationships/hyperlink" Target="https://www.boell.de/sites/default/files/2022-04/E_Paper_The_Beijing_led_Asian_Infrastructure_Investment_Bank.pdf" TargetMode="External"/><Relationship Id="rId3" Type="http://schemas.openxmlformats.org/officeDocument/2006/relationships/settings" Target="settings.xml"/><Relationship Id="rId7" Type="http://schemas.openxmlformats.org/officeDocument/2006/relationships/hyperlink" Target="https://www.business-humanrights.org/en/latest-news/aiibs-response/" TargetMode="External"/><Relationship Id="rId12" Type="http://schemas.openxmlformats.org/officeDocument/2006/relationships/hyperlink" Target="https://news.mongabay.com/2022/05/u-n-rights-groups-flag-potential-violations-in-3b-indonesian-tourism-projec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ohchr.org/en/documents/general-comments-and-recommendations/ec12gc26-general-comment-no-26-2022-land-and" TargetMode="External"/><Relationship Id="rId11" Type="http://schemas.openxmlformats.org/officeDocument/2006/relationships/hyperlink" Target="https://justfinanceinternational.org/2022/08/18/what-can-you-do-when-they-point-guns-at-you/" TargetMode="External"/><Relationship Id="rId5" Type="http://schemas.openxmlformats.org/officeDocument/2006/relationships/image" Target="media/image1.png"/><Relationship Id="rId15" Type="http://schemas.openxmlformats.org/officeDocument/2006/relationships/hyperlink" Target="https://www.ouest-france.fr/sport/moto/motogp/reportage-en-indonesie-le-motogp-s-apprete-a-faire-son-retour-au-detriment-des-locaux-912afb92-4ae1-11ec-8a6b-582d17cbe42b" TargetMode="External"/><Relationship Id="rId10" Type="http://schemas.openxmlformats.org/officeDocument/2006/relationships/hyperlink" Target="https://justfinanceinternational.org/2022/11/09/indonesian-coalition-for-monitoring-infrastructure-development-asli-mandalika/" TargetMode="External"/><Relationship Id="rId4" Type="http://schemas.openxmlformats.org/officeDocument/2006/relationships/webSettings" Target="webSettings.xml"/><Relationship Id="rId9" Type="http://schemas.openxmlformats.org/officeDocument/2006/relationships/hyperlink" Target="https://justfinanceinternational.org/2022/12/22/a-statement-to-the-aiib-and-the-itdc-indonesian-civil-society-rejects-sham-consultations-and-the-use-of-state-security-in-resolving-land-rights-issues-in-the-mandalika-project/" TargetMode="External"/><Relationship Id="rId14" Type="http://schemas.openxmlformats.org/officeDocument/2006/relationships/hyperlink" Target="https://www.wiwo.de/technologie/wirtschaft-von-oben/wirtschaft-von-oben-184-lombok-waehrend-ueber-klimaschutz-geredet-wird-wird-hier-ein-neuer-hotspot-fuer-massentourismus-ausgebaut/2880334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2743</Words>
  <Characters>15636</Characters>
  <Application>Microsoft Office Word</Application>
  <DocSecurity>0</DocSecurity>
  <Lines>130</Lines>
  <Paragraphs>36</Paragraphs>
  <ScaleCrop>false</ScaleCrop>
  <Company>Neka kompanija</Company>
  <LinksUpToDate>false</LinksUpToDate>
  <CharactersWithSpaces>18343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Celine Reynaud</cp:lastModifiedBy>
  <cp:revision>2</cp:revision>
  <dcterms:created xsi:type="dcterms:W3CDTF">2023-01-17T09:03:00Z</dcterms:created>
  <dcterms:modified xsi:type="dcterms:W3CDTF">2023-01-17T09:03:00Z</dcterms:modified>
</cp:coreProperties>
</file>