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E39A7" w14:textId="71D2FB36" w:rsidR="002313BE" w:rsidRDefault="00797147" w:rsidP="00800BEC">
      <w:pPr>
        <w:jc w:val="center"/>
      </w:pPr>
      <w:r>
        <w:rPr>
          <w:noProof/>
        </w:rPr>
        <w:drawing>
          <wp:inline distT="0" distB="0" distL="0" distR="0" wp14:anchorId="35772C78" wp14:editId="0697685C">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0DB54530" w14:textId="77777777" w:rsidR="002313BE" w:rsidRDefault="002313BE"/>
    <w:p w14:paraId="77CDC072" w14:textId="3422B0BE" w:rsidR="002313BE" w:rsidRDefault="00337EB7" w:rsidP="002313BE">
      <w:pPr>
        <w:jc w:val="center"/>
      </w:pPr>
      <w:r>
        <w:t xml:space="preserve">Concerning </w:t>
      </w:r>
      <w:r w:rsidR="00BE71BC">
        <w:t>Kazakhstan</w:t>
      </w:r>
      <w:r>
        <w:t>, presented to the</w:t>
      </w:r>
    </w:p>
    <w:p w14:paraId="268A5D94" w14:textId="43F68D5C" w:rsidR="002313BE" w:rsidRDefault="002313BE" w:rsidP="002313BE">
      <w:pPr>
        <w:jc w:val="center"/>
      </w:pPr>
      <w:r>
        <w:t>United Nations Human Rights Committee</w:t>
      </w:r>
    </w:p>
    <w:p w14:paraId="748466AB" w14:textId="47A39CC0" w:rsidR="002313BE" w:rsidRDefault="002313BE" w:rsidP="002313BE">
      <w:pPr>
        <w:jc w:val="center"/>
      </w:pPr>
      <w:r>
        <w:t xml:space="preserve">Submitted on </w:t>
      </w:r>
      <w:r w:rsidR="00337EB7">
        <w:t>May 26, 2025.</w:t>
      </w:r>
    </w:p>
    <w:p w14:paraId="1F6664B9" w14:textId="77777777" w:rsidR="002313BE" w:rsidRDefault="002313BE"/>
    <w:p w14:paraId="5735E74B" w14:textId="77644A67" w:rsidR="002313BE" w:rsidRPr="00800BEC" w:rsidRDefault="002313BE" w:rsidP="00800BEC">
      <w:pPr>
        <w:pStyle w:val="ListParagraph"/>
        <w:numPr>
          <w:ilvl w:val="0"/>
          <w:numId w:val="2"/>
        </w:numPr>
        <w:rPr>
          <w:b/>
          <w:bCs/>
        </w:rPr>
      </w:pPr>
      <w:r w:rsidRPr="00800BEC">
        <w:rPr>
          <w:b/>
          <w:bCs/>
        </w:rPr>
        <w:t>Authors</w:t>
      </w:r>
    </w:p>
    <w:p w14:paraId="4CBD12D0" w14:textId="458BAE10" w:rsidR="00800BEC" w:rsidRDefault="002313BE">
      <w:r>
        <w:t>The Wrongful Conviction International Law Task Force (WCILTF) is a global coalition of law professors, attorneys and activists w</w:t>
      </w:r>
      <w:r w:rsidR="000C5219">
        <w:t>orking together</w:t>
      </w:r>
      <w:r>
        <w:t xml:space="preserve"> to fill the “Innocence Gap” in international law.  </w:t>
      </w:r>
      <w:r w:rsidR="00800BEC">
        <w:t>The WCILTF is supported by a pro bono legal team at the international law firm Proskauer Rose (</w:t>
      </w:r>
      <w:r w:rsidR="00800BEC" w:rsidRPr="00800BEC">
        <w:t>www.proskauer.com/</w:t>
      </w:r>
      <w:r w:rsidR="00800BEC">
        <w:t>) located in New York City.</w:t>
      </w:r>
    </w:p>
    <w:p w14:paraId="3D6D6A3B" w14:textId="55161F56" w:rsidR="002313BE" w:rsidRDefault="002313BE">
      <w:r>
        <w:t xml:space="preserve">In the past twenty-five years, wrongful conviction of the innocent has emerged as a major problem in criminal justice systems around the world.  Research indicates that the problem has always existed but has only come to light in recent decades due </w:t>
      </w:r>
      <w:r w:rsidR="00800BEC">
        <w:t>to forensic advancements allowing for</w:t>
      </w:r>
      <w:r>
        <w:t xml:space="preserve"> </w:t>
      </w:r>
      <w:r w:rsidR="000C5219">
        <w:t>post-conviction</w:t>
      </w:r>
      <w:r>
        <w:t xml:space="preserve"> DNA testing of crime scene evidence.  Wrongful convictions occur because of human limitations in investigation and evidence collection, such as memory weaknesses</w:t>
      </w:r>
      <w:r w:rsidR="000C5219">
        <w:t xml:space="preserve"> and malleability</w:t>
      </w:r>
      <w:r>
        <w:t xml:space="preserve"> (leading to misidentifications by eyewitnesses), unreliable or faulty forensic evidence, false confessions, confirmation bias or tunnel vision on behalf of investigators, inadequate defense lawyering, and many other human problems.  Thus, wrongful convictions exist in all legal systems around the world, as all </w:t>
      </w:r>
      <w:r w:rsidR="000C5219">
        <w:t>nations</w:t>
      </w:r>
      <w:r>
        <w:t xml:space="preserve"> use the same types of evidence and investigation techniques regardless of</w:t>
      </w:r>
      <w:r w:rsidR="000C5219">
        <w:t xml:space="preserve"> the</w:t>
      </w:r>
      <w:r>
        <w:t xml:space="preserve"> precise legal procedures</w:t>
      </w:r>
      <w:r w:rsidR="000C5219">
        <w:t xml:space="preserve"> employed</w:t>
      </w:r>
      <w:r>
        <w:t xml:space="preserve"> in the</w:t>
      </w:r>
      <w:r w:rsidR="000C5219">
        <w:t>ir</w:t>
      </w:r>
      <w:r>
        <w:t xml:space="preserve"> courtroom</w:t>
      </w:r>
      <w:r w:rsidR="000C5219">
        <w:t>s</w:t>
      </w:r>
      <w:r>
        <w:t xml:space="preserve">.  </w:t>
      </w:r>
    </w:p>
    <w:p w14:paraId="45E98B76" w14:textId="77777777" w:rsidR="000C5219" w:rsidRDefault="002313BE">
      <w:r>
        <w:t xml:space="preserve">NGOs called “Innocence Projects” have sprung up around the globe to combat this problem, and now entire networks of innocence projects exist in Asia, Europe, North America and South America.  Innocence Projects are often housed at law schools and are operated by law professors and law students.  In one member state, for example, more than 3,000 innocent people have been released from prison in recent years due to the work </w:t>
      </w:r>
      <w:r>
        <w:lastRenderedPageBreak/>
        <w:t>of NGOs like Innocence Projects.  Exonerations of the innocent have occurred across the globe in the past three decades.</w:t>
      </w:r>
      <w:r w:rsidR="000C5219">
        <w:t xml:space="preserve">  </w:t>
      </w:r>
    </w:p>
    <w:p w14:paraId="0C12A86F" w14:textId="65510692" w:rsidR="002313BE" w:rsidRDefault="000C5219">
      <w:r>
        <w:t xml:space="preserve">For a brief video overview of the global problem of wrongful convictions, and the efforts of Innocence Projects to combat the problem, please view: </w:t>
      </w:r>
      <w:r w:rsidRPr="000C5219">
        <w:t>https://youtu.be/jMATkuFaRU8?si=fO0wXGhPr-oCyhBA</w:t>
      </w:r>
    </w:p>
    <w:p w14:paraId="21E18FA4" w14:textId="0A0BE969" w:rsidR="002313BE" w:rsidRDefault="000C5219">
      <w:r>
        <w:t>As the innocence movement has developed a global presence in recent years, it has become apparent to legal scholars that an “Innocence Gap” exists in international law.  The WCILTF formed to combat this problem and help fill the Innocence Gap.  The WCILTF is comprised of more than twenty-five law professors and Innocence Project leaders from across Asia, Europe, North America and South America.</w:t>
      </w:r>
    </w:p>
    <w:p w14:paraId="0F18A59F" w14:textId="77777777" w:rsidR="000C5219" w:rsidRDefault="000C5219"/>
    <w:p w14:paraId="0C139C60" w14:textId="3598B614" w:rsidR="000C5219" w:rsidRPr="00800BEC" w:rsidRDefault="000C5219" w:rsidP="00800BEC">
      <w:pPr>
        <w:pStyle w:val="ListParagraph"/>
        <w:numPr>
          <w:ilvl w:val="0"/>
          <w:numId w:val="2"/>
        </w:numPr>
        <w:rPr>
          <w:b/>
          <w:bCs/>
        </w:rPr>
      </w:pPr>
      <w:r w:rsidRPr="00800BEC">
        <w:rPr>
          <w:b/>
          <w:bCs/>
        </w:rPr>
        <w:t>Filling the Innocence Gap</w:t>
      </w:r>
    </w:p>
    <w:p w14:paraId="2D4EF24B" w14:textId="21BA08E9" w:rsidR="000C5219" w:rsidRDefault="000C5219">
      <w:pPr>
        <w:rPr>
          <w:lang w:val="en-GB"/>
        </w:rPr>
      </w:pPr>
      <w:r>
        <w:tab/>
        <w:t xml:space="preserve">Due to the relatively recent discovery of wrongful convictions, international law covenants and </w:t>
      </w:r>
      <w:r w:rsidR="00800BEC">
        <w:t xml:space="preserve">treaties </w:t>
      </w:r>
      <w:r>
        <w:t xml:space="preserve">predate awareness of this problem and thus do not speak directly to issue.  In recent years, however, the United Nations Human Rights Committee (HRC) has </w:t>
      </w:r>
      <w:r w:rsidR="00800BEC">
        <w:t>identified</w:t>
      </w:r>
      <w:r>
        <w:t xml:space="preserve"> key rights </w:t>
      </w:r>
      <w:r w:rsidR="00800BEC">
        <w:t xml:space="preserve">to the benefit of </w:t>
      </w:r>
      <w:r>
        <w:t xml:space="preserve">incarcerated person claiming innocence to be derived from the right to a fair trial and other existing rights.  For example, in </w:t>
      </w:r>
      <w:proofErr w:type="spellStart"/>
      <w:r w:rsidRPr="000C5219">
        <w:rPr>
          <w:i/>
          <w:iCs/>
        </w:rPr>
        <w:t>Abdiev</w:t>
      </w:r>
      <w:proofErr w:type="spellEnd"/>
      <w:r w:rsidRPr="000C5219">
        <w:rPr>
          <w:i/>
          <w:iCs/>
        </w:rPr>
        <w:t xml:space="preserve"> v. Kazakhstan</w:t>
      </w:r>
      <w:r w:rsidRPr="000C5219">
        <w:t>,</w:t>
      </w:r>
      <w:r>
        <w:t xml:space="preserve"> </w:t>
      </w:r>
      <w:r w:rsidR="00800BEC">
        <w:t>2023</w:t>
      </w:r>
      <w:r>
        <w:t xml:space="preserve">, the HRC stated that </w:t>
      </w:r>
      <w:r w:rsidRPr="000C5219">
        <w:rPr>
          <w:b/>
          <w:bCs/>
          <w:i/>
          <w:iCs/>
        </w:rPr>
        <w:t xml:space="preserve">the right of incarcerated persons to re-open a criminal case </w:t>
      </w:r>
      <w:proofErr w:type="gramStart"/>
      <w:r w:rsidRPr="000C5219">
        <w:rPr>
          <w:b/>
          <w:bCs/>
          <w:i/>
          <w:iCs/>
        </w:rPr>
        <w:t>in order to</w:t>
      </w:r>
      <w:proofErr w:type="gramEnd"/>
      <w:r w:rsidRPr="000C5219">
        <w:rPr>
          <w:b/>
          <w:bCs/>
          <w:i/>
          <w:iCs/>
        </w:rPr>
        <w:t xml:space="preserve"> present new evidence of innocence after conviction and appeal have concluded, </w:t>
      </w:r>
      <w:proofErr w:type="gramStart"/>
      <w:r w:rsidRPr="000C5219">
        <w:rPr>
          <w:b/>
          <w:bCs/>
          <w:i/>
          <w:iCs/>
        </w:rPr>
        <w:t>in order to</w:t>
      </w:r>
      <w:proofErr w:type="gramEnd"/>
      <w:r w:rsidRPr="000C5219">
        <w:rPr>
          <w:b/>
          <w:bCs/>
          <w:i/>
          <w:iCs/>
        </w:rPr>
        <w:t xml:space="preserve"> achieve exoneration and freedom, is essential to the right to a fair trial under Article 14(1) of the ICCPR</w:t>
      </w:r>
      <w:r>
        <w:t xml:space="preserve">.  Similarly, on October 3, 2023, in Concluding Observations on the Fifth Periodic Report of the Republic of Korea, the HRC observed that South Korea </w:t>
      </w:r>
      <w:r w:rsidRPr="000C5219">
        <w:t xml:space="preserve">should “provide adequate legal and financial assistance to enable individuals sentenced to death to </w:t>
      </w:r>
      <w:r w:rsidRPr="000C5219">
        <w:rPr>
          <w:b/>
          <w:bCs/>
          <w:i/>
          <w:iCs/>
        </w:rPr>
        <w:t>re-examine convictions on the basis of newly discovered evidence, including new DNA evidence</w:t>
      </w:r>
      <w:r w:rsidRPr="000C5219">
        <w:t>.”</w:t>
      </w:r>
      <w:r>
        <w:t xml:space="preserve">  </w:t>
      </w:r>
      <w:r>
        <w:rPr>
          <w:lang w:val="en-GB"/>
        </w:rPr>
        <w:t>Likewise, on July 25, 2024, in Concluding Observations on the Second Periodic Report of Maldives, the HRC</w:t>
      </w:r>
      <w:r w:rsidRPr="000C5219">
        <w:rPr>
          <w:lang w:val="en-GB"/>
        </w:rPr>
        <w:t xml:space="preserve"> expressed concern “about the lack of information on the existence of a procedure enabling individuals sentenced to death to seek a review of their convictions and sentences based on newly discovered evidence of their innocence, including new DNA evidence, and, if wrongfully convicted, to provide them with compensation</w:t>
      </w:r>
      <w:r>
        <w:rPr>
          <w:lang w:val="en-GB"/>
        </w:rPr>
        <w:t xml:space="preserve">.”  </w:t>
      </w:r>
      <w:r w:rsidRPr="000C5219">
        <w:rPr>
          <w:lang w:val="en-GB"/>
        </w:rPr>
        <w:t xml:space="preserve">The </w:t>
      </w:r>
      <w:r>
        <w:rPr>
          <w:lang w:val="en-GB"/>
        </w:rPr>
        <w:t>HRC</w:t>
      </w:r>
      <w:r w:rsidRPr="000C5219">
        <w:rPr>
          <w:lang w:val="en-GB"/>
        </w:rPr>
        <w:t xml:space="preserve"> recommended that </w:t>
      </w:r>
      <w:r>
        <w:rPr>
          <w:lang w:val="en-GB"/>
        </w:rPr>
        <w:t>Maldives</w:t>
      </w:r>
      <w:r w:rsidRPr="000C5219">
        <w:rPr>
          <w:lang w:val="en-GB"/>
        </w:rPr>
        <w:t xml:space="preserve"> take all necessary measures to ensure that “death sentence can be reviewed based on </w:t>
      </w:r>
      <w:r w:rsidRPr="000C5219">
        <w:rPr>
          <w:b/>
          <w:bCs/>
          <w:i/>
          <w:iCs/>
          <w:lang w:val="en-GB"/>
        </w:rPr>
        <w:t>newly discovered evidence of their innocence,</w:t>
      </w:r>
      <w:r w:rsidRPr="000C5219">
        <w:rPr>
          <w:lang w:val="en-GB"/>
        </w:rPr>
        <w:t xml:space="preserve"> including new DNA evidence, adequate legal and financial assistance is provided to enable this review and,</w:t>
      </w:r>
      <w:r w:rsidRPr="000C5219">
        <w:rPr>
          <w:b/>
          <w:bCs/>
          <w:i/>
          <w:iCs/>
          <w:lang w:val="en-GB"/>
        </w:rPr>
        <w:t xml:space="preserve"> if wrongfully convicted, individuals have access to effective remedies</w:t>
      </w:r>
      <w:r w:rsidRPr="000C5219">
        <w:rPr>
          <w:lang w:val="en-GB"/>
        </w:rPr>
        <w:t>, including compensation” para. 28(e).</w:t>
      </w:r>
      <w:r w:rsidR="00800BEC">
        <w:rPr>
          <w:lang w:val="en-GB"/>
        </w:rPr>
        <w:t xml:space="preserve">  </w:t>
      </w:r>
      <w:r w:rsidR="00800BEC" w:rsidRPr="00800BEC">
        <w:rPr>
          <w:i/>
          <w:iCs/>
          <w:lang w:val="en-GB"/>
        </w:rPr>
        <w:t>See</w:t>
      </w:r>
      <w:r w:rsidR="00800BEC">
        <w:rPr>
          <w:lang w:val="en-GB"/>
        </w:rPr>
        <w:t xml:space="preserve"> Brandon Garrett, Laurence Helfer and Jayne Huckerby, </w:t>
      </w:r>
      <w:r w:rsidR="00800BEC" w:rsidRPr="00800BEC">
        <w:rPr>
          <w:i/>
          <w:iCs/>
          <w:lang w:val="en-GB"/>
        </w:rPr>
        <w:t xml:space="preserve">Closing </w:t>
      </w:r>
      <w:r w:rsidR="00800BEC" w:rsidRPr="00800BEC">
        <w:rPr>
          <w:i/>
          <w:iCs/>
          <w:lang w:val="en-GB"/>
        </w:rPr>
        <w:lastRenderedPageBreak/>
        <w:t>International Law’s Innocence Gap</w:t>
      </w:r>
      <w:r w:rsidR="00800BEC">
        <w:rPr>
          <w:lang w:val="en-GB"/>
        </w:rPr>
        <w:t xml:space="preserve">, S. Cal. L. Rev. 95 (2021), available at: </w:t>
      </w:r>
      <w:r w:rsidR="00800BEC" w:rsidRPr="00800BEC">
        <w:rPr>
          <w:lang w:val="en-GB"/>
        </w:rPr>
        <w:t>https://papers.ssrn.com/sol3/papers.cfm?abstract_id=3803518</w:t>
      </w:r>
      <w:r w:rsidR="00D65855">
        <w:rPr>
          <w:lang w:val="en-GB"/>
        </w:rPr>
        <w:t>#</w:t>
      </w:r>
    </w:p>
    <w:p w14:paraId="239C4113" w14:textId="77777777" w:rsidR="00800BEC" w:rsidRDefault="00800BEC">
      <w:pPr>
        <w:rPr>
          <w:lang w:val="en-GB"/>
        </w:rPr>
      </w:pPr>
    </w:p>
    <w:p w14:paraId="2B477C0F" w14:textId="1E5A97E7" w:rsidR="000C5219" w:rsidRPr="00800BEC" w:rsidRDefault="000C5219" w:rsidP="00800BEC">
      <w:pPr>
        <w:pStyle w:val="ListParagraph"/>
        <w:numPr>
          <w:ilvl w:val="0"/>
          <w:numId w:val="2"/>
        </w:numPr>
        <w:rPr>
          <w:b/>
          <w:bCs/>
          <w:lang w:val="en-GB"/>
        </w:rPr>
      </w:pPr>
      <w:r w:rsidRPr="00800BEC">
        <w:rPr>
          <w:b/>
          <w:bCs/>
          <w:lang w:val="en-GB"/>
        </w:rPr>
        <w:t xml:space="preserve">Rights of Innocent Incarcerated Persons in </w:t>
      </w:r>
      <w:r w:rsidR="00D65855">
        <w:rPr>
          <w:b/>
          <w:bCs/>
          <w:lang w:val="en-GB"/>
        </w:rPr>
        <w:t>Kazakhstan</w:t>
      </w:r>
    </w:p>
    <w:p w14:paraId="6A4CA179" w14:textId="71F1CFFF" w:rsidR="00295F6E" w:rsidRDefault="00545E75">
      <w:pPr>
        <w:rPr>
          <w:lang w:val="en-GB"/>
        </w:rPr>
      </w:pPr>
      <w:r>
        <w:rPr>
          <w:lang w:val="en-GB"/>
        </w:rPr>
        <w:tab/>
        <w:t>Based on the research of the WCILTF, it is ou</w:t>
      </w:r>
      <w:r w:rsidR="006D1383">
        <w:rPr>
          <w:lang w:val="en-GB"/>
        </w:rPr>
        <w:t>r</w:t>
      </w:r>
      <w:r>
        <w:rPr>
          <w:lang w:val="en-GB"/>
        </w:rPr>
        <w:t xml:space="preserve"> belief that</w:t>
      </w:r>
      <w:r w:rsidR="00295F6E">
        <w:rPr>
          <w:lang w:val="en-GB"/>
        </w:rPr>
        <w:t xml:space="preserve"> while the</w:t>
      </w:r>
      <w:r>
        <w:rPr>
          <w:lang w:val="en-GB"/>
        </w:rPr>
        <w:t xml:space="preserve"> Kazakhstan Criminal Procedure Code </w:t>
      </w:r>
      <w:r w:rsidR="00417D48">
        <w:rPr>
          <w:lang w:val="en-GB"/>
        </w:rPr>
        <w:t xml:space="preserve">(CPC) </w:t>
      </w:r>
      <w:r>
        <w:rPr>
          <w:lang w:val="en-GB"/>
        </w:rPr>
        <w:t xml:space="preserve">provides for many of the </w:t>
      </w:r>
      <w:r w:rsidR="00F6305B">
        <w:rPr>
          <w:lang w:val="en-GB"/>
        </w:rPr>
        <w:t xml:space="preserve">critical rights to </w:t>
      </w:r>
      <w:r w:rsidR="00C91068">
        <w:rPr>
          <w:lang w:val="en-GB"/>
        </w:rPr>
        <w:t>rectify wrongful convictions</w:t>
      </w:r>
      <w:r w:rsidR="00295F6E">
        <w:rPr>
          <w:lang w:val="en-GB"/>
        </w:rPr>
        <w:t xml:space="preserve">, </w:t>
      </w:r>
      <w:r w:rsidR="004B2D83">
        <w:rPr>
          <w:lang w:val="en-GB"/>
        </w:rPr>
        <w:t xml:space="preserve">those rights are not available </w:t>
      </w:r>
      <w:r w:rsidR="000D6E36">
        <w:rPr>
          <w:lang w:val="en-GB"/>
        </w:rPr>
        <w:t>in practice</w:t>
      </w:r>
      <w:r w:rsidR="00C91068">
        <w:rPr>
          <w:lang w:val="en-GB"/>
        </w:rPr>
        <w:t xml:space="preserve">. </w:t>
      </w:r>
    </w:p>
    <w:p w14:paraId="34E2E128" w14:textId="00058D48" w:rsidR="001D4869" w:rsidRDefault="00C91068" w:rsidP="00295F6E">
      <w:pPr>
        <w:ind w:firstLine="720"/>
        <w:rPr>
          <w:lang w:val="en-GB"/>
        </w:rPr>
      </w:pPr>
      <w:r>
        <w:rPr>
          <w:lang w:val="en-GB"/>
        </w:rPr>
        <w:t>Under the</w:t>
      </w:r>
      <w:r w:rsidR="000D6E36">
        <w:rPr>
          <w:lang w:val="en-GB"/>
        </w:rPr>
        <w:t xml:space="preserve"> CPC</w:t>
      </w:r>
      <w:r>
        <w:rPr>
          <w:lang w:val="en-GB"/>
        </w:rPr>
        <w:t xml:space="preserve">, Kazakhstan law </w:t>
      </w:r>
      <w:r w:rsidR="00440888">
        <w:rPr>
          <w:lang w:val="en-GB"/>
        </w:rPr>
        <w:t xml:space="preserve">recognizes the possibility of wrongful convictions and allows for re-opening a criminal case based on new evidence. </w:t>
      </w:r>
      <w:r w:rsidR="00625EA7">
        <w:rPr>
          <w:lang w:val="en-GB"/>
        </w:rPr>
        <w:t xml:space="preserve">Additionally, </w:t>
      </w:r>
      <w:r w:rsidR="00440888">
        <w:rPr>
          <w:lang w:val="en-GB"/>
        </w:rPr>
        <w:t xml:space="preserve">Kazakhstan </w:t>
      </w:r>
      <w:r w:rsidR="00D076C1">
        <w:rPr>
          <w:lang w:val="en-GB"/>
        </w:rPr>
        <w:t xml:space="preserve">has </w:t>
      </w:r>
      <w:r w:rsidR="00625EA7">
        <w:rPr>
          <w:lang w:val="en-GB"/>
        </w:rPr>
        <w:t xml:space="preserve">defined </w:t>
      </w:r>
      <w:r w:rsidR="00D076C1">
        <w:rPr>
          <w:lang w:val="en-GB"/>
        </w:rPr>
        <w:t>procedures in place</w:t>
      </w:r>
      <w:r w:rsidR="004247A7">
        <w:rPr>
          <w:lang w:val="en-GB"/>
        </w:rPr>
        <w:t>—</w:t>
      </w:r>
      <w:r w:rsidR="00D076C1">
        <w:rPr>
          <w:lang w:val="en-GB"/>
        </w:rPr>
        <w:t xml:space="preserve">such as </w:t>
      </w:r>
      <w:r w:rsidR="00C47B35">
        <w:rPr>
          <w:lang w:val="en-GB"/>
        </w:rPr>
        <w:t xml:space="preserve">interrogation </w:t>
      </w:r>
      <w:r w:rsidR="004247A7">
        <w:rPr>
          <w:lang w:val="en-GB"/>
        </w:rPr>
        <w:t xml:space="preserve">procedures, eyewitness </w:t>
      </w:r>
      <w:r w:rsidR="00C47B35">
        <w:rPr>
          <w:lang w:val="en-GB"/>
        </w:rPr>
        <w:t>identification procedures</w:t>
      </w:r>
      <w:r w:rsidR="004247A7">
        <w:rPr>
          <w:lang w:val="en-GB"/>
        </w:rPr>
        <w:t>,</w:t>
      </w:r>
      <w:r w:rsidR="00C47B35">
        <w:rPr>
          <w:lang w:val="en-GB"/>
        </w:rPr>
        <w:t xml:space="preserve"> and pretrial disclosure of evidence</w:t>
      </w:r>
      <w:r w:rsidR="004247A7">
        <w:rPr>
          <w:lang w:val="en-GB"/>
        </w:rPr>
        <w:t>—</w:t>
      </w:r>
      <w:r w:rsidR="00C47B35">
        <w:rPr>
          <w:lang w:val="en-GB"/>
        </w:rPr>
        <w:t xml:space="preserve">that </w:t>
      </w:r>
      <w:r w:rsidR="00625EA7">
        <w:rPr>
          <w:lang w:val="en-GB"/>
        </w:rPr>
        <w:t>attempt to prevent</w:t>
      </w:r>
      <w:r w:rsidR="00C47B35">
        <w:rPr>
          <w:lang w:val="en-GB"/>
        </w:rPr>
        <w:t xml:space="preserve"> wrongful convictions to begin with. However, </w:t>
      </w:r>
      <w:r w:rsidR="00097385">
        <w:rPr>
          <w:lang w:val="en-GB"/>
        </w:rPr>
        <w:t xml:space="preserve">the WCILTF’s research did not identify any laws related to preservation of evidence or post-conviction DNA testing that would help a wrongfully convicted person access new evidence. </w:t>
      </w:r>
      <w:r w:rsidR="003055A6">
        <w:rPr>
          <w:lang w:val="en-GB"/>
        </w:rPr>
        <w:t xml:space="preserve">Nor </w:t>
      </w:r>
      <w:r w:rsidR="00397B71">
        <w:rPr>
          <w:lang w:val="en-GB"/>
        </w:rPr>
        <w:t>can an individual use</w:t>
      </w:r>
      <w:r w:rsidR="003055A6">
        <w:rPr>
          <w:lang w:val="en-GB"/>
        </w:rPr>
        <w:t xml:space="preserve"> the Access to Information Law </w:t>
      </w:r>
      <w:r w:rsidR="00397B71">
        <w:rPr>
          <w:lang w:val="en-GB"/>
        </w:rPr>
        <w:t>to get information related to their criminal case.</w:t>
      </w:r>
      <w:r w:rsidR="003055A6">
        <w:rPr>
          <w:lang w:val="en-GB"/>
        </w:rPr>
        <w:t xml:space="preserve"> </w:t>
      </w:r>
      <w:r w:rsidR="00097385">
        <w:rPr>
          <w:lang w:val="en-GB"/>
        </w:rPr>
        <w:t xml:space="preserve">Moreover, our research </w:t>
      </w:r>
      <w:r w:rsidR="00B12ECB">
        <w:rPr>
          <w:lang w:val="en-GB"/>
        </w:rPr>
        <w:t>did not reveal</w:t>
      </w:r>
      <w:r w:rsidR="00971973">
        <w:rPr>
          <w:lang w:val="en-GB"/>
        </w:rPr>
        <w:t xml:space="preserve"> whether the mechanisms and rights afforded to the wrongfully convicted </w:t>
      </w:r>
      <w:r w:rsidR="002C7F27">
        <w:rPr>
          <w:lang w:val="en-GB"/>
        </w:rPr>
        <w:t>can be used effectively nor whether these laws have resulted in successful exonerations.</w:t>
      </w:r>
    </w:p>
    <w:p w14:paraId="40806571" w14:textId="77777777" w:rsidR="007F7474" w:rsidRDefault="007F7474">
      <w:pPr>
        <w:rPr>
          <w:b/>
          <w:bCs/>
          <w:lang w:val="en-GB"/>
        </w:rPr>
      </w:pPr>
    </w:p>
    <w:p w14:paraId="15D872B8" w14:textId="29586DFE" w:rsidR="001D4869" w:rsidRPr="002C7F27" w:rsidRDefault="002C7F27">
      <w:pPr>
        <w:rPr>
          <w:b/>
          <w:bCs/>
          <w:lang w:val="en-GB"/>
        </w:rPr>
      </w:pPr>
      <w:r>
        <w:rPr>
          <w:b/>
          <w:bCs/>
          <w:lang w:val="en-GB"/>
        </w:rPr>
        <w:t>General Rights Afforded to Criminal Defendants</w:t>
      </w:r>
    </w:p>
    <w:p w14:paraId="770DFCCC" w14:textId="1540BE4B" w:rsidR="008A165F" w:rsidRPr="003A1D92" w:rsidRDefault="008C1A64" w:rsidP="00AA068F">
      <w:pPr>
        <w:ind w:firstLine="720"/>
        <w:rPr>
          <w:lang w:val="en-GB"/>
        </w:rPr>
      </w:pPr>
      <w:r>
        <w:rPr>
          <w:lang w:val="en-GB"/>
        </w:rPr>
        <w:t xml:space="preserve">Kazakhstan law is clear that the </w:t>
      </w:r>
      <w:r w:rsidR="00575495">
        <w:rPr>
          <w:lang w:val="en-GB"/>
        </w:rPr>
        <w:t>objectives of criminal procedure include ensuring a fait trial, protecting against unjustified accusation and conviction, and</w:t>
      </w:r>
      <w:r w:rsidR="003A1D92">
        <w:rPr>
          <w:lang w:val="en-GB"/>
        </w:rPr>
        <w:t>,</w:t>
      </w:r>
      <w:r w:rsidR="00575495">
        <w:rPr>
          <w:lang w:val="en-GB"/>
        </w:rPr>
        <w:t xml:space="preserve"> </w:t>
      </w:r>
      <w:r w:rsidR="003A1D92" w:rsidRPr="00CD3B2C">
        <w:t>in the case of illegal accusation or conviction of an innocent person</w:t>
      </w:r>
      <w:r w:rsidR="003A1D92">
        <w:t xml:space="preserve">, </w:t>
      </w:r>
      <w:r w:rsidR="003A1D92" w:rsidRPr="00CD3B2C">
        <w:t>immediate and complete rehabilitation</w:t>
      </w:r>
      <w:r w:rsidR="003A1D92">
        <w:t xml:space="preserve">. </w:t>
      </w:r>
      <w:r w:rsidR="003A1D92">
        <w:rPr>
          <w:i/>
          <w:iCs/>
        </w:rPr>
        <w:t xml:space="preserve">See </w:t>
      </w:r>
      <w:r w:rsidR="00AE55AC">
        <w:t>CPC §</w:t>
      </w:r>
      <w:r w:rsidR="0011459E">
        <w:t xml:space="preserve"> </w:t>
      </w:r>
      <w:r w:rsidR="00AE55AC">
        <w:t xml:space="preserve">1, Ch. 2, Art. 8. </w:t>
      </w:r>
      <w:r w:rsidR="0070398D">
        <w:t xml:space="preserve">Both the CPC and the Constitution </w:t>
      </w:r>
      <w:r w:rsidR="00B97555">
        <w:t>state that every person has the right to an attorney</w:t>
      </w:r>
      <w:r w:rsidR="00AA068F">
        <w:t xml:space="preserve">. </w:t>
      </w:r>
      <w:r w:rsidR="00E35ABA">
        <w:rPr>
          <w:i/>
          <w:iCs/>
        </w:rPr>
        <w:t xml:space="preserve">See </w:t>
      </w:r>
      <w:r w:rsidR="00E35ABA">
        <w:t>CPC § 1, Ch. 2, Art. 27</w:t>
      </w:r>
      <w:r w:rsidR="007D202F">
        <w:t>; Const. Art. 13 § 3, Art. 16 § 3</w:t>
      </w:r>
      <w:r w:rsidR="00E35ABA">
        <w:t xml:space="preserve">. </w:t>
      </w:r>
      <w:r w:rsidR="00AA068F">
        <w:t>Additionally,</w:t>
      </w:r>
      <w:r w:rsidR="00352B94">
        <w:t xml:space="preserve"> </w:t>
      </w:r>
      <w:r w:rsidR="00A911AE">
        <w:t xml:space="preserve">the defendant has the presumption of innocence, and the State has the burden to prove guilt. </w:t>
      </w:r>
      <w:r w:rsidR="00A911AE">
        <w:rPr>
          <w:i/>
          <w:iCs/>
        </w:rPr>
        <w:t xml:space="preserve">See </w:t>
      </w:r>
      <w:r w:rsidR="00A911AE">
        <w:t xml:space="preserve">CPC § 1, Ch. 2, Art. </w:t>
      </w:r>
      <w:r w:rsidR="0070122F">
        <w:t>19</w:t>
      </w:r>
      <w:r w:rsidR="00A911AE">
        <w:t>; Const. Art.</w:t>
      </w:r>
      <w:r w:rsidR="0070122F">
        <w:t xml:space="preserve"> 77, § 3. </w:t>
      </w:r>
      <w:r w:rsidR="00AB3504">
        <w:t>Moreover, any doubts about the guilt of the defendant are to be interpreted in favor of the accused. Const. Art. 77, § 3.</w:t>
      </w:r>
      <w:r w:rsidR="00FB0128">
        <w:t xml:space="preserve"> Finally, the CPC provides that while a defendant has a right to present a defense, </w:t>
      </w:r>
      <w:r w:rsidR="007F7474">
        <w:t xml:space="preserve">they cannot be forced to provide evidence or testify against themselves. </w:t>
      </w:r>
      <w:r w:rsidR="007F7474">
        <w:rPr>
          <w:i/>
          <w:iCs/>
        </w:rPr>
        <w:t xml:space="preserve">See </w:t>
      </w:r>
      <w:r w:rsidR="007F7474">
        <w:t>CPC § 1, Ch. 2, Art. 26, 28.</w:t>
      </w:r>
    </w:p>
    <w:p w14:paraId="151CB579" w14:textId="77777777" w:rsidR="00600D35" w:rsidRDefault="00600D35">
      <w:pPr>
        <w:rPr>
          <w:lang w:val="en-GB"/>
        </w:rPr>
      </w:pPr>
    </w:p>
    <w:p w14:paraId="12A646BD" w14:textId="77777777" w:rsidR="00337EB7" w:rsidRDefault="00337EB7">
      <w:pPr>
        <w:rPr>
          <w:lang w:val="en-GB"/>
        </w:rPr>
      </w:pPr>
    </w:p>
    <w:p w14:paraId="33934C4C" w14:textId="77777777" w:rsidR="00337EB7" w:rsidRDefault="00337EB7">
      <w:pPr>
        <w:rPr>
          <w:lang w:val="en-GB"/>
        </w:rPr>
      </w:pPr>
    </w:p>
    <w:p w14:paraId="4F0A54A1" w14:textId="3B51A209" w:rsidR="00600D35" w:rsidRPr="00600D35" w:rsidRDefault="00600D35">
      <w:pPr>
        <w:rPr>
          <w:lang w:val="en-GB"/>
        </w:rPr>
      </w:pPr>
      <w:r>
        <w:rPr>
          <w:b/>
          <w:bCs/>
          <w:lang w:val="en-GB"/>
        </w:rPr>
        <w:lastRenderedPageBreak/>
        <w:t>Pre-Trial Disclosure of Exculpatory Evidence</w:t>
      </w:r>
    </w:p>
    <w:p w14:paraId="25208D82" w14:textId="0946D1FD" w:rsidR="00AD4C67" w:rsidRDefault="009C4033">
      <w:r>
        <w:rPr>
          <w:lang w:val="en-GB"/>
        </w:rPr>
        <w:tab/>
        <w:t xml:space="preserve">The CPC </w:t>
      </w:r>
      <w:r w:rsidR="00975103">
        <w:rPr>
          <w:lang w:val="en-GB"/>
        </w:rPr>
        <w:t xml:space="preserve">repeatedly states that the criminal </w:t>
      </w:r>
      <w:proofErr w:type="spellStart"/>
      <w:r w:rsidR="00975103">
        <w:rPr>
          <w:lang w:val="en-GB"/>
        </w:rPr>
        <w:t>defense</w:t>
      </w:r>
      <w:proofErr w:type="spellEnd"/>
      <w:r w:rsidR="00975103">
        <w:rPr>
          <w:lang w:val="en-GB"/>
        </w:rPr>
        <w:t xml:space="preserve"> attorney </w:t>
      </w:r>
      <w:r w:rsidR="00AD4C67">
        <w:rPr>
          <w:lang w:val="en-GB"/>
        </w:rPr>
        <w:t xml:space="preserve">shall have the right to examine the materials of the case. </w:t>
      </w:r>
      <w:r w:rsidR="00421ABE">
        <w:t xml:space="preserve">CPC § 2, Ch. 9, Art. 70 </w:t>
      </w:r>
      <w:r w:rsidR="0018718A">
        <w:t xml:space="preserve">requires that the criminal defense attorney have the right </w:t>
      </w:r>
      <w:r w:rsidR="00332676">
        <w:t>“</w:t>
      </w:r>
      <w:r w:rsidR="0018718A">
        <w:t xml:space="preserve">to </w:t>
      </w:r>
      <w:r w:rsidR="00FB44BC">
        <w:t>get acquainted with all the materials of the criminal case</w:t>
      </w:r>
      <w:r w:rsidR="004F3322">
        <w:t xml:space="preserve">, </w:t>
      </w:r>
      <w:r w:rsidR="004F3322" w:rsidRPr="00D43E1B">
        <w:t xml:space="preserve">write out any information from it in any volume, </w:t>
      </w:r>
      <w:r w:rsidR="004F3322">
        <w:t xml:space="preserve">[and] </w:t>
      </w:r>
      <w:r w:rsidR="004F3322" w:rsidRPr="00D43E1B">
        <w:t>make copies using scientific and technical means</w:t>
      </w:r>
      <w:r w:rsidR="004F3322">
        <w:t xml:space="preserve">.” This Section of the CPC also </w:t>
      </w:r>
      <w:r w:rsidR="003A0E92">
        <w:t>states that a criminal defense attorney may “</w:t>
      </w:r>
      <w:r w:rsidR="00CE580C" w:rsidRPr="00490539">
        <w:t xml:space="preserve">apply to the investigating judge for the discovery of any information, documents, items necessary for the provision of qualified legal assistance and protection of the interests of the </w:t>
      </w:r>
      <w:proofErr w:type="gramStart"/>
      <w:r w:rsidR="00CE580C" w:rsidRPr="00490539">
        <w:t>suspect</w:t>
      </w:r>
      <w:r w:rsidR="00CE580C">
        <w:t>[</w:t>
      </w:r>
      <w:proofErr w:type="gramEnd"/>
      <w:r w:rsidR="00CE580C">
        <w:t xml:space="preserve">].” </w:t>
      </w:r>
      <w:r w:rsidR="004A2F26">
        <w:t xml:space="preserve">The CPC requires that “material evidence shall also be presented for </w:t>
      </w:r>
      <w:r w:rsidR="00445AAD" w:rsidRPr="00056A87">
        <w:t>familiarization</w:t>
      </w:r>
      <w:r w:rsidR="00445AAD">
        <w:t>,” that the defendant and the attorney shall have the ability to review the material together</w:t>
      </w:r>
      <w:r w:rsidR="00BA631C">
        <w:t>, and that their time to review the material cannot be limited</w:t>
      </w:r>
      <w:r w:rsidR="00445AAD">
        <w:t xml:space="preserve">. CPC § 6, Ch. 37, Art. 296. </w:t>
      </w:r>
      <w:r w:rsidR="009B0A91">
        <w:t xml:space="preserve">Further, the CPC </w:t>
      </w:r>
      <w:r w:rsidR="00E05B32">
        <w:t xml:space="preserve">requires that any expert provide the defendant with any conclusions made. </w:t>
      </w:r>
      <w:r w:rsidR="00E05B32">
        <w:rPr>
          <w:i/>
          <w:iCs/>
        </w:rPr>
        <w:t xml:space="preserve">See </w:t>
      </w:r>
      <w:r w:rsidR="00E05B32">
        <w:t xml:space="preserve">CPC § 6, Ch. 35, Art. 286. </w:t>
      </w:r>
      <w:r w:rsidR="002C396D">
        <w:t xml:space="preserve">Finally, CPC </w:t>
      </w:r>
      <w:r w:rsidR="00AD4C67">
        <w:t xml:space="preserve">§ </w:t>
      </w:r>
      <w:r w:rsidR="002C396D">
        <w:t>7</w:t>
      </w:r>
      <w:r w:rsidR="00AD4C67">
        <w:t xml:space="preserve">, Ch. </w:t>
      </w:r>
      <w:r w:rsidR="002C396D">
        <w:t>41</w:t>
      </w:r>
      <w:r w:rsidR="00AD4C67">
        <w:t xml:space="preserve">, Art. </w:t>
      </w:r>
      <w:r w:rsidR="002C396D">
        <w:t>328 requires that the trial judge “</w:t>
      </w:r>
      <w:r w:rsidR="00C54105" w:rsidRPr="0056677B">
        <w:t>provide the parties an opportunity to get acquainted with all materials of the case</w:t>
      </w:r>
      <w:r w:rsidR="00C54105">
        <w:t>.”</w:t>
      </w:r>
    </w:p>
    <w:p w14:paraId="653F8727" w14:textId="58CD059A" w:rsidR="00E76AA4" w:rsidRPr="00337EB7" w:rsidRDefault="00BB5651">
      <w:pPr>
        <w:rPr>
          <w:lang w:val="en-GB"/>
        </w:rPr>
      </w:pPr>
      <w:r>
        <w:tab/>
        <w:t xml:space="preserve">Although </w:t>
      </w:r>
      <w:r w:rsidR="00614557">
        <w:t xml:space="preserve">the CPC dictates that the defendant and their attorney shall have the right to examine materials to the case, WCILTF’s research </w:t>
      </w:r>
      <w:r w:rsidR="007248E9">
        <w:t xml:space="preserve">suggests that, in practice, this does not happen. </w:t>
      </w:r>
      <w:r w:rsidR="00337EB7">
        <w:rPr>
          <w:lang w:val="en-GB"/>
        </w:rPr>
        <w:t xml:space="preserve">  Also lacking is any remedy if the police fail to disclose </w:t>
      </w:r>
      <w:proofErr w:type="spellStart"/>
      <w:r w:rsidR="00337EB7">
        <w:rPr>
          <w:lang w:val="en-GB"/>
        </w:rPr>
        <w:t>exclulpatory</w:t>
      </w:r>
      <w:proofErr w:type="spellEnd"/>
      <w:r w:rsidR="00337EB7">
        <w:rPr>
          <w:lang w:val="en-GB"/>
        </w:rPr>
        <w:t xml:space="preserve"> information to the </w:t>
      </w:r>
      <w:proofErr w:type="spellStart"/>
      <w:r w:rsidR="00337EB7">
        <w:rPr>
          <w:lang w:val="en-GB"/>
        </w:rPr>
        <w:t>defense</w:t>
      </w:r>
      <w:proofErr w:type="spellEnd"/>
      <w:r w:rsidR="00337EB7">
        <w:rPr>
          <w:lang w:val="en-GB"/>
        </w:rPr>
        <w:t>.</w:t>
      </w:r>
    </w:p>
    <w:p w14:paraId="0B61D62B" w14:textId="1D43A867" w:rsidR="00E76AA4" w:rsidRPr="00FD1688" w:rsidRDefault="00E76AA4" w:rsidP="00E76AA4">
      <w:pPr>
        <w:rPr>
          <w:lang w:val="en-GB"/>
        </w:rPr>
      </w:pPr>
      <w:r>
        <w:rPr>
          <w:b/>
          <w:bCs/>
          <w:lang w:val="en-GB"/>
        </w:rPr>
        <w:t>Laws Regarding Eyewitness Identification</w:t>
      </w:r>
    </w:p>
    <w:p w14:paraId="56260385" w14:textId="26372570" w:rsidR="00E76AA4" w:rsidRDefault="00DC7A37">
      <w:r>
        <w:rPr>
          <w:lang w:val="en-GB"/>
        </w:rPr>
        <w:tab/>
        <w:t xml:space="preserve">The CPC outlines the requirements for eyewitness identification procedures in </w:t>
      </w:r>
      <w:r>
        <w:t xml:space="preserve">§ 6, Ch. 29, Art. </w:t>
      </w:r>
      <w:r w:rsidR="00A57EBA">
        <w:t xml:space="preserve">230. </w:t>
      </w:r>
      <w:r w:rsidR="00157064">
        <w:t xml:space="preserve">A witness </w:t>
      </w:r>
      <w:r w:rsidR="00ED5B88">
        <w:t xml:space="preserve">should be shown the suspect, along with at least two other individuals </w:t>
      </w:r>
      <w:r w:rsidR="00111F8B">
        <w:t xml:space="preserve">of the same sex who have similar </w:t>
      </w:r>
      <w:r w:rsidR="00DF22F9">
        <w:t xml:space="preserve">characteristics. If the suspect cannot be presented to the eyewitness in person, then a photo lineup will suffice. </w:t>
      </w:r>
      <w:r w:rsidR="007A6086">
        <w:t xml:space="preserve">The eyewitness is asked to indicate which person they believe to be the suspect </w:t>
      </w:r>
      <w:r w:rsidR="008718D2">
        <w:t xml:space="preserve">and to explain what characteristics led them to identify that person. </w:t>
      </w:r>
    </w:p>
    <w:p w14:paraId="2399E144" w14:textId="14A37172" w:rsidR="008718D2" w:rsidRDefault="008718D2">
      <w:r>
        <w:tab/>
        <w:t xml:space="preserve">The CPC notes that, during an eyewitness identification, leading questions are not allowed. However, </w:t>
      </w:r>
      <w:r w:rsidR="009750B3">
        <w:t xml:space="preserve">outside of </w:t>
      </w:r>
      <w:r w:rsidR="009F3701">
        <w:t>this</w:t>
      </w:r>
      <w:r w:rsidR="009750B3">
        <w:t xml:space="preserve"> requirement, WCILTF’s research did not reveal any additional </w:t>
      </w:r>
      <w:r w:rsidR="0046697B">
        <w:t xml:space="preserve">procedures such as blind or double-blind requirements that would help </w:t>
      </w:r>
      <w:r w:rsidR="006A6795">
        <w:t>prevent</w:t>
      </w:r>
      <w:r w:rsidR="0046697B">
        <w:t xml:space="preserve"> wrongful convictions.</w:t>
      </w:r>
    </w:p>
    <w:p w14:paraId="1C5DBEB6" w14:textId="008813B1" w:rsidR="00337EB7" w:rsidRDefault="00337EB7">
      <w:pPr>
        <w:rPr>
          <w:lang w:val="en-GB"/>
        </w:rPr>
      </w:pPr>
      <w:r>
        <w:tab/>
        <w:t xml:space="preserve">In all, the stated eyewitness identification procedures are contrary to internationally recognized best practices.  </w:t>
      </w:r>
      <w:r>
        <w:t>Kazakhstan</w:t>
      </w:r>
      <w:r>
        <w:t xml:space="preserve"> should be required to bring such procedures into compliance with international norms.  </w:t>
      </w:r>
      <w:r w:rsidRPr="00800BEC">
        <w:rPr>
          <w:i/>
          <w:iCs/>
        </w:rPr>
        <w:t xml:space="preserve">See </w:t>
      </w:r>
      <w:hyperlink r:id="rId8" w:history="1">
        <w:r w:rsidRPr="005D1707">
          <w:rPr>
            <w:rStyle w:val="Hyperlink"/>
          </w:rPr>
          <w:t>https://www.ojp.gov/ncjrs/virtual-library/abstracts/double-blind-sequential-police-lineup-procedures-toward-integrated</w:t>
        </w:r>
      </w:hyperlink>
    </w:p>
    <w:p w14:paraId="30FD0946" w14:textId="77777777" w:rsidR="00E76AA4" w:rsidRPr="003B532E" w:rsidRDefault="00E76AA4">
      <w:pPr>
        <w:rPr>
          <w:lang w:val="en-GB"/>
        </w:rPr>
      </w:pPr>
    </w:p>
    <w:p w14:paraId="4D727B07" w14:textId="77777777" w:rsidR="00E76AA4" w:rsidRPr="00FD1688" w:rsidRDefault="00E76AA4" w:rsidP="00E76AA4">
      <w:pPr>
        <w:rPr>
          <w:lang w:val="en-GB"/>
        </w:rPr>
      </w:pPr>
      <w:r>
        <w:rPr>
          <w:b/>
          <w:bCs/>
          <w:lang w:val="en-GB"/>
        </w:rPr>
        <w:lastRenderedPageBreak/>
        <w:t xml:space="preserve">Laws Regarding Interrogations </w:t>
      </w:r>
    </w:p>
    <w:p w14:paraId="3BE69C0D" w14:textId="165E4031" w:rsidR="00E76AA4" w:rsidRDefault="00E76AA4" w:rsidP="00E76AA4">
      <w:pPr>
        <w:ind w:firstLine="720"/>
        <w:rPr>
          <w:lang w:val="en-GB"/>
        </w:rPr>
      </w:pPr>
      <w:r>
        <w:rPr>
          <w:lang w:val="en-GB"/>
        </w:rPr>
        <w:t xml:space="preserve">The CPC outlines the requirements for the interrogation of a criminal suspect. </w:t>
      </w:r>
      <w:r w:rsidR="001D796C">
        <w:rPr>
          <w:lang w:val="en-GB"/>
        </w:rPr>
        <w:t xml:space="preserve">Both the CPC and the Constitution state that no one can be convicted based solely on their own confession. </w:t>
      </w:r>
      <w:r w:rsidR="001D796C">
        <w:rPr>
          <w:i/>
          <w:iCs/>
          <w:lang w:val="en-GB"/>
        </w:rPr>
        <w:t xml:space="preserve">See </w:t>
      </w:r>
      <w:r w:rsidR="001D796C">
        <w:rPr>
          <w:lang w:val="en-GB"/>
        </w:rPr>
        <w:t xml:space="preserve">CPC </w:t>
      </w:r>
      <w:r w:rsidR="001D796C">
        <w:t xml:space="preserve">§ 3, Ch. 12, Art. 115; </w:t>
      </w:r>
      <w:r w:rsidR="001D796C">
        <w:rPr>
          <w:lang w:val="en-GB"/>
        </w:rPr>
        <w:t xml:space="preserve">Const. Art. 77, </w:t>
      </w:r>
      <w:r w:rsidR="001D796C">
        <w:t xml:space="preserve">§ 3. </w:t>
      </w:r>
      <w:r>
        <w:rPr>
          <w:lang w:val="en-GB"/>
        </w:rPr>
        <w:t xml:space="preserve">A person may be detained and questioned if an eyewitness directly points out </w:t>
      </w:r>
      <w:r w:rsidR="00BC08A6">
        <w:rPr>
          <w:lang w:val="en-GB"/>
        </w:rPr>
        <w:t>an individual</w:t>
      </w:r>
      <w:r>
        <w:rPr>
          <w:lang w:val="en-GB"/>
        </w:rPr>
        <w:t xml:space="preserve"> as having committed the crime. CPC </w:t>
      </w:r>
      <w:r>
        <w:t xml:space="preserve">§ 4, Ch. 17, Art. 128. </w:t>
      </w:r>
    </w:p>
    <w:p w14:paraId="40A77717" w14:textId="473CF0C5" w:rsidR="00075F5B" w:rsidRPr="00881E6C" w:rsidRDefault="00E76AA4" w:rsidP="00075F5B">
      <w:pPr>
        <w:ind w:firstLine="720"/>
        <w:rPr>
          <w:i/>
          <w:iCs/>
          <w:lang w:val="en-GB"/>
        </w:rPr>
      </w:pPr>
      <w:r>
        <w:rPr>
          <w:lang w:val="en-GB"/>
        </w:rPr>
        <w:t xml:space="preserve">According to CPC </w:t>
      </w:r>
      <w:r>
        <w:t xml:space="preserve">§ 2, Ch. 9, Art. 64, a suspect must be questioned within twenty-four hours of arrest. Prior to questioning, the suspect must be provided an opportunity to meet confidentially with their attorney. </w:t>
      </w:r>
      <w:r w:rsidR="00075F5B">
        <w:t xml:space="preserve">The attorney must be present during the interrogation, as well. </w:t>
      </w:r>
      <w:r w:rsidR="00075F5B">
        <w:rPr>
          <w:lang w:val="en-GB"/>
        </w:rPr>
        <w:t xml:space="preserve">CPC </w:t>
      </w:r>
      <w:r w:rsidR="00075F5B">
        <w:t>§ 6, Ch. 26, Art. 214. Suspects must also be informed of their right to refuse questioning and that failure to refuse could mean that the</w:t>
      </w:r>
      <w:r w:rsidR="00E448DA">
        <w:t>ir</w:t>
      </w:r>
      <w:r w:rsidR="00075F5B">
        <w:t xml:space="preserve"> answers are used against them as evidence in criminal proceedings. </w:t>
      </w:r>
      <w:r w:rsidR="00075F5B">
        <w:rPr>
          <w:i/>
          <w:iCs/>
        </w:rPr>
        <w:t xml:space="preserve">See </w:t>
      </w:r>
      <w:r w:rsidR="00075F5B">
        <w:rPr>
          <w:lang w:val="en-GB"/>
        </w:rPr>
        <w:t xml:space="preserve">CPC </w:t>
      </w:r>
      <w:r w:rsidR="00075F5B">
        <w:t>§ 2, Ch. 9, Art. 64</w:t>
      </w:r>
      <w:r w:rsidR="00AE1E43">
        <w:t xml:space="preserve">; </w:t>
      </w:r>
      <w:r w:rsidR="00AE1E43">
        <w:rPr>
          <w:lang w:val="en-GB"/>
        </w:rPr>
        <w:t xml:space="preserve">CPC </w:t>
      </w:r>
      <w:r w:rsidR="00AE1E43">
        <w:t xml:space="preserve">§ 6, Ch. 26, Art. 214. </w:t>
      </w:r>
    </w:p>
    <w:p w14:paraId="4EC20116" w14:textId="632A45B0" w:rsidR="00E76AA4" w:rsidRDefault="00E76AA4" w:rsidP="00051ED7">
      <w:pPr>
        <w:ind w:firstLine="720"/>
      </w:pPr>
      <w:r>
        <w:t xml:space="preserve">CPC § 6, Ch. 26, Art. 209 requires that interrogations take place during the day and that they cannot go on continuously for more than four hours. If more than four hours </w:t>
      </w:r>
      <w:r w:rsidR="000A2959">
        <w:t>are</w:t>
      </w:r>
      <w:r>
        <w:t xml:space="preserve"> needed for an interrogation, there must be a break of at least one hour with rest and meals. The total length of the interrogation cannot exceed eight hours </w:t>
      </w:r>
      <w:proofErr w:type="gramStart"/>
      <w:r>
        <w:t>during</w:t>
      </w:r>
      <w:proofErr w:type="gramEnd"/>
      <w:r>
        <w:t xml:space="preserve"> one day. </w:t>
      </w:r>
      <w:r w:rsidR="00B13E33">
        <w:t xml:space="preserve">The format of the interrogation requires that the suspect is asked to talk about the circumstances of the case and given an opportunity to provide a “free story.” </w:t>
      </w:r>
      <w:r w:rsidR="00B13E33">
        <w:rPr>
          <w:i/>
          <w:iCs/>
          <w:lang w:val="en-GB"/>
        </w:rPr>
        <w:t xml:space="preserve">See </w:t>
      </w:r>
      <w:r w:rsidR="00B13E33">
        <w:rPr>
          <w:lang w:val="en-GB"/>
        </w:rPr>
        <w:t xml:space="preserve">CPC </w:t>
      </w:r>
      <w:r w:rsidR="00B13E33">
        <w:t>§ 6, Ch. 26, Art. 210. After the suspect provides their story, they may be asked clarify</w:t>
      </w:r>
      <w:r w:rsidR="001A4EC5">
        <w:t>ing</w:t>
      </w:r>
      <w:r w:rsidR="00B13E33">
        <w:t xml:space="preserve"> questions. </w:t>
      </w:r>
      <w:r w:rsidR="001A4EC5">
        <w:rPr>
          <w:i/>
          <w:iCs/>
          <w:lang w:val="en-GB"/>
        </w:rPr>
        <w:t xml:space="preserve">See </w:t>
      </w:r>
      <w:r w:rsidR="001A4EC5">
        <w:rPr>
          <w:lang w:val="en-GB"/>
        </w:rPr>
        <w:t xml:space="preserve">CPC </w:t>
      </w:r>
      <w:r w:rsidR="001A4EC5">
        <w:t xml:space="preserve">§ 6, Ch. 26, Art. 210. </w:t>
      </w:r>
      <w:r w:rsidR="00B13E33">
        <w:t xml:space="preserve">However, </w:t>
      </w:r>
      <w:r w:rsidR="001A4EC5">
        <w:t xml:space="preserve">leading questions </w:t>
      </w:r>
      <w:r w:rsidR="00992857">
        <w:t>are</w:t>
      </w:r>
      <w:r w:rsidR="001A4EC5">
        <w:t xml:space="preserve"> prohibited. </w:t>
      </w:r>
      <w:r w:rsidR="001A4EC5">
        <w:rPr>
          <w:i/>
          <w:iCs/>
          <w:lang w:val="en-GB"/>
        </w:rPr>
        <w:t xml:space="preserve">See </w:t>
      </w:r>
      <w:r w:rsidR="001A4EC5">
        <w:rPr>
          <w:lang w:val="en-GB"/>
        </w:rPr>
        <w:t xml:space="preserve">CPC </w:t>
      </w:r>
      <w:r w:rsidR="001A4EC5">
        <w:t xml:space="preserve">§ 6, Ch. 26, Art. 210. </w:t>
      </w:r>
    </w:p>
    <w:p w14:paraId="273D2CF4" w14:textId="192F61C1" w:rsidR="00523D27" w:rsidRDefault="00523D27" w:rsidP="00523D27">
      <w:pPr>
        <w:ind w:firstLine="720"/>
      </w:pPr>
      <w:r>
        <w:t xml:space="preserve">The CPC does provide for recording the interrogation either in writing or on audio or video recording. </w:t>
      </w:r>
      <w:r>
        <w:rPr>
          <w:i/>
          <w:iCs/>
        </w:rPr>
        <w:t xml:space="preserve">See </w:t>
      </w:r>
      <w:r>
        <w:t xml:space="preserve">CPC § 6, Ch. 26, Art. 210. It is unclear whether video recording is required, or if it is merely permitted if requested by the defendant. If, however, the interrogation is recorded, the CPC requires that the video </w:t>
      </w:r>
      <w:r w:rsidRPr="00DC53A6">
        <w:t>reflect</w:t>
      </w:r>
      <w:r w:rsidR="009A3579">
        <w:t>s</w:t>
      </w:r>
      <w:r w:rsidRPr="00DC53A6">
        <w:t xml:space="preserve"> the entire course of the interrogation and contain</w:t>
      </w:r>
      <w:r w:rsidR="009A3579">
        <w:t>s</w:t>
      </w:r>
      <w:r w:rsidRPr="00DC53A6">
        <w:t xml:space="preserve"> all testimony of the</w:t>
      </w:r>
      <w:r>
        <w:t xml:space="preserve"> suspect. Additionally, the suspect has the right to watch the video at the end of the interrogation to certify correctness. </w:t>
      </w:r>
    </w:p>
    <w:p w14:paraId="6D774B10" w14:textId="6FC2599C" w:rsidR="00E76AA4" w:rsidRDefault="00E76AA4" w:rsidP="001D796C">
      <w:pPr>
        <w:ind w:firstLine="720"/>
      </w:pPr>
      <w:r>
        <w:t xml:space="preserve">The CPC does not necessarily forbid the use of </w:t>
      </w:r>
      <w:r w:rsidRPr="00957F93">
        <w:t xml:space="preserve">torture, violence, threats, deception, or other illegal acts </w:t>
      </w:r>
      <w:r>
        <w:t xml:space="preserve">during interrogation; however, it does state that evidence obtained through these methods is not admissible. </w:t>
      </w:r>
      <w:r>
        <w:rPr>
          <w:i/>
          <w:iCs/>
        </w:rPr>
        <w:t xml:space="preserve">See </w:t>
      </w:r>
      <w:r>
        <w:rPr>
          <w:lang w:val="en-GB"/>
        </w:rPr>
        <w:t xml:space="preserve">CPC </w:t>
      </w:r>
      <w:r>
        <w:t>§ 3, Ch. 15, Art. 112.</w:t>
      </w:r>
    </w:p>
    <w:p w14:paraId="47F623C7" w14:textId="66B9316C" w:rsidR="007148D1" w:rsidRDefault="007148D1" w:rsidP="001D796C">
      <w:pPr>
        <w:ind w:firstLine="720"/>
      </w:pPr>
      <w:r>
        <w:t xml:space="preserve">Finally, the CPC provides for special interrogation rules regarding minors. </w:t>
      </w:r>
      <w:r>
        <w:rPr>
          <w:i/>
          <w:iCs/>
          <w:lang w:val="en-GB"/>
        </w:rPr>
        <w:t xml:space="preserve">See </w:t>
      </w:r>
      <w:r>
        <w:rPr>
          <w:lang w:val="en-GB"/>
        </w:rPr>
        <w:t xml:space="preserve">CPC </w:t>
      </w:r>
      <w:r>
        <w:t xml:space="preserve">§ 6, Ch. 26, Art. 215; </w:t>
      </w:r>
      <w:r>
        <w:rPr>
          <w:lang w:val="en-GB"/>
        </w:rPr>
        <w:t xml:space="preserve">CPC </w:t>
      </w:r>
      <w:r>
        <w:t>§ 11, Ch. 56, Art. 535.</w:t>
      </w:r>
    </w:p>
    <w:p w14:paraId="0D62B685" w14:textId="271A7CB5" w:rsidR="004F1483" w:rsidRPr="008135A1" w:rsidRDefault="006728D7" w:rsidP="008135A1">
      <w:pPr>
        <w:ind w:firstLine="720"/>
      </w:pPr>
      <w:r>
        <w:t>These interrogation rules are progressive and more robust than what exists in most other countries.</w:t>
      </w:r>
      <w:r w:rsidRPr="007148D1">
        <w:rPr>
          <w:i/>
          <w:iCs/>
        </w:rPr>
        <w:t xml:space="preserve"> </w:t>
      </w:r>
      <w:r>
        <w:t xml:space="preserve"> </w:t>
      </w:r>
      <w:r>
        <w:rPr>
          <w:lang w:val="en-GB"/>
        </w:rPr>
        <w:t>However, d</w:t>
      </w:r>
      <w:r>
        <w:rPr>
          <w:lang w:val="en-GB"/>
        </w:rPr>
        <w:t xml:space="preserve">espite seemingly strong laws regarding the interrogation of a suspect, research suggests that Kazakhstan citizens face </w:t>
      </w:r>
      <w:r w:rsidRPr="00CB4F3E">
        <w:t>arbitrary arrest and detention</w:t>
      </w:r>
      <w:r>
        <w:t xml:space="preserve">. </w:t>
      </w:r>
      <w:r>
        <w:lastRenderedPageBreak/>
        <w:t xml:space="preserve">Moreover, </w:t>
      </w:r>
      <w:r w:rsidRPr="002F3649">
        <w:t xml:space="preserve">torture </w:t>
      </w:r>
      <w:r>
        <w:t>i</w:t>
      </w:r>
      <w:r w:rsidRPr="002F3649">
        <w:t>s prominent in pretrial facilities, including</w:t>
      </w:r>
      <w:r>
        <w:t xml:space="preserve"> during</w:t>
      </w:r>
      <w:r w:rsidRPr="002F3649">
        <w:t xml:space="preserve"> interrogatio</w:t>
      </w:r>
      <w:r>
        <w:t>ns</w:t>
      </w:r>
      <w:r w:rsidRPr="002F3649">
        <w:t xml:space="preserve">, where </w:t>
      </w:r>
      <w:r>
        <w:t xml:space="preserve">suspects are </w:t>
      </w:r>
      <w:r w:rsidRPr="002F3649">
        <w:t xml:space="preserve">sometimes beat </w:t>
      </w:r>
      <w:r>
        <w:t>or</w:t>
      </w:r>
      <w:r w:rsidRPr="002F3649">
        <w:t xml:space="preserve"> otherwise abused to extract confessions</w:t>
      </w:r>
      <w:r>
        <w:rPr>
          <w:lang w:val="en-GB"/>
        </w:rPr>
        <w:t xml:space="preserve">. Even though suspects have a right to an attorney during interrogations, authorities attempt to dissuade suspects from exercising this right and will gather evidence through preliminary questioning before an attorney arrives. If a suspect does have an attorney present, suspects often cannot communicate with their </w:t>
      </w:r>
      <w:proofErr w:type="gramStart"/>
      <w:r>
        <w:rPr>
          <w:lang w:val="en-GB"/>
        </w:rPr>
        <w:t>attorney</w:t>
      </w:r>
      <w:proofErr w:type="gramEnd"/>
      <w:r>
        <w:rPr>
          <w:lang w:val="en-GB"/>
        </w:rPr>
        <w:t xml:space="preserve"> or their conversations are recorded.</w:t>
      </w:r>
    </w:p>
    <w:p w14:paraId="7A96E2BE" w14:textId="44452C11" w:rsidR="004F1483" w:rsidRPr="004F1483" w:rsidRDefault="004F1483">
      <w:pPr>
        <w:rPr>
          <w:b/>
          <w:bCs/>
          <w:lang w:val="en-GB"/>
        </w:rPr>
      </w:pPr>
      <w:r>
        <w:rPr>
          <w:b/>
          <w:bCs/>
          <w:lang w:val="en-GB"/>
        </w:rPr>
        <w:t>The Right to Re-Open a Criminal Case to Present New Evidence</w:t>
      </w:r>
    </w:p>
    <w:p w14:paraId="15C4177F" w14:textId="5C94CF18" w:rsidR="00BB4AFC" w:rsidRPr="00B25B0C" w:rsidRDefault="00021D64">
      <w:r>
        <w:rPr>
          <w:lang w:val="en-GB"/>
        </w:rPr>
        <w:tab/>
      </w:r>
      <w:r w:rsidR="00E24FE6">
        <w:rPr>
          <w:lang w:val="en-GB"/>
        </w:rPr>
        <w:t>B</w:t>
      </w:r>
      <w:r w:rsidR="006A31ED">
        <w:rPr>
          <w:lang w:val="en-GB"/>
        </w:rPr>
        <w:t xml:space="preserve">ased on our research, </w:t>
      </w:r>
      <w:r w:rsidR="00C71502">
        <w:rPr>
          <w:lang w:val="en-GB"/>
        </w:rPr>
        <w:t xml:space="preserve">Kazakhstan </w:t>
      </w:r>
      <w:r w:rsidR="006728D7">
        <w:rPr>
          <w:lang w:val="en-GB"/>
        </w:rPr>
        <w:t>has</w:t>
      </w:r>
      <w:r w:rsidR="00C71502">
        <w:rPr>
          <w:lang w:val="en-GB"/>
        </w:rPr>
        <w:t xml:space="preserve"> a legal procedure that allows for reopening a </w:t>
      </w:r>
      <w:r w:rsidR="006B6BA1">
        <w:rPr>
          <w:lang w:val="en-GB"/>
        </w:rPr>
        <w:t xml:space="preserve">prior conviction based on newly discovered circumstances. </w:t>
      </w:r>
      <w:r w:rsidR="006728D7">
        <w:rPr>
          <w:lang w:val="en-GB"/>
        </w:rPr>
        <w:t>B</w:t>
      </w:r>
      <w:r w:rsidR="006A31ED">
        <w:rPr>
          <w:lang w:val="en-GB"/>
        </w:rPr>
        <w:t xml:space="preserve">oth the appellate courts and the Supreme Court of Kazakhstan </w:t>
      </w:r>
      <w:proofErr w:type="gramStart"/>
      <w:r w:rsidR="006A31ED">
        <w:rPr>
          <w:lang w:val="en-GB"/>
        </w:rPr>
        <w:t>have the ability to</w:t>
      </w:r>
      <w:proofErr w:type="gramEnd"/>
      <w:r w:rsidR="006A31ED">
        <w:rPr>
          <w:lang w:val="en-GB"/>
        </w:rPr>
        <w:t xml:space="preserve"> consider</w:t>
      </w:r>
      <w:r w:rsidR="00F1329C">
        <w:rPr>
          <w:lang w:val="en-GB"/>
        </w:rPr>
        <w:t xml:space="preserve"> cases based on newly discovered circumstances. </w:t>
      </w:r>
      <w:r w:rsidR="00BB4AFC">
        <w:t xml:space="preserve">CPC § 10, Ch. 53 allows for the </w:t>
      </w:r>
      <w:r w:rsidR="00FD774D">
        <w:t xml:space="preserve">resumption of criminal proceedings based on newly discovered circumstances. This is a stage of the criminal process in which the courts consider </w:t>
      </w:r>
      <w:r w:rsidR="00884781">
        <w:t xml:space="preserve">circumstances that refute the court’s conclusions during the original verdict. </w:t>
      </w:r>
      <w:r w:rsidR="00877E75">
        <w:t>WCILTF’s research suggests that there is no time limit for review of a guilty verdict</w:t>
      </w:r>
      <w:r w:rsidR="00877929">
        <w:t xml:space="preserve"> based on newly discovered circumstances. </w:t>
      </w:r>
    </w:p>
    <w:p w14:paraId="5A44546D" w14:textId="63B2F576" w:rsidR="00C735B1" w:rsidRDefault="00B25B0C" w:rsidP="00B25B0C">
      <w:pPr>
        <w:rPr>
          <w:lang w:val="en-GB"/>
        </w:rPr>
      </w:pPr>
      <w:r>
        <w:t>G</w:t>
      </w:r>
      <w:r w:rsidR="00DA2B3B">
        <w:t xml:space="preserve">rounds for renewing a proceeding </w:t>
      </w:r>
      <w:r w:rsidR="00323E60">
        <w:t xml:space="preserve">based on newly discovered circumstances include: </w:t>
      </w:r>
      <w:r w:rsidR="00FA697F" w:rsidRPr="0078005B">
        <w:t>1) deliberate fals</w:t>
      </w:r>
      <w:r w:rsidR="0060424F">
        <w:t xml:space="preserve">e </w:t>
      </w:r>
      <w:r w:rsidR="00FA697F" w:rsidRPr="0078005B">
        <w:t xml:space="preserve">testimony of the </w:t>
      </w:r>
      <w:r w:rsidR="0060424F">
        <w:t>victim</w:t>
      </w:r>
      <w:r w:rsidR="00FA697F" w:rsidRPr="0078005B">
        <w:t xml:space="preserve"> or witness, expert, as well as forgery of material evidence, which led to the </w:t>
      </w:r>
      <w:r w:rsidR="000F7A42">
        <w:t>wrongful conviction</w:t>
      </w:r>
      <w:r w:rsidR="00FA697F" w:rsidRPr="0078005B">
        <w:t>; 2) criminal actions of an interrogating officer, investigator</w:t>
      </w:r>
      <w:r w:rsidR="000F7A42">
        <w:t>,</w:t>
      </w:r>
      <w:r w:rsidR="00FA697F" w:rsidRPr="0078005B">
        <w:t xml:space="preserve"> or procurator, which led to the </w:t>
      </w:r>
      <w:r w:rsidR="000F7A42">
        <w:t>wrongful conviction</w:t>
      </w:r>
      <w:r w:rsidR="00FA697F" w:rsidRPr="0078005B">
        <w:t xml:space="preserve">; 3) the criminal actions of the judges, committed by them in the consideration of the case; </w:t>
      </w:r>
      <w:r w:rsidR="00927A46">
        <w:t xml:space="preserve">or </w:t>
      </w:r>
      <w:r w:rsidR="00FA697F" w:rsidRPr="0078005B">
        <w:t>4) other circumstances established by an audit or an investigatio</w:t>
      </w:r>
      <w:r w:rsidR="00927A46">
        <w:t>n</w:t>
      </w:r>
      <w:r w:rsidR="00FA697F" w:rsidRPr="0078005B">
        <w:t xml:space="preserve">, unknown to the court at the time of </w:t>
      </w:r>
      <w:r w:rsidR="00927A46">
        <w:t>conviction</w:t>
      </w:r>
      <w:r w:rsidR="00FA697F" w:rsidRPr="0078005B">
        <w:t xml:space="preserve">, which by themselves or together with previously established circumstances </w:t>
      </w:r>
      <w:r w:rsidR="00927A46">
        <w:t xml:space="preserve">demonstrate </w:t>
      </w:r>
      <w:r w:rsidR="00FA697F" w:rsidRPr="0078005B">
        <w:t>the innocence of the convicted person</w:t>
      </w:r>
      <w:r w:rsidR="00C735B1">
        <w:t xml:space="preserve">. </w:t>
      </w:r>
      <w:r w:rsidR="00C735B1">
        <w:rPr>
          <w:i/>
          <w:iCs/>
          <w:lang w:val="en-GB"/>
        </w:rPr>
        <w:t xml:space="preserve">See </w:t>
      </w:r>
      <w:r w:rsidR="00C735B1">
        <w:rPr>
          <w:lang w:val="en-GB"/>
        </w:rPr>
        <w:t xml:space="preserve">CPC </w:t>
      </w:r>
      <w:r w:rsidR="00C735B1">
        <w:t xml:space="preserve">§ 10, Ch. 53, Art. 499. </w:t>
      </w:r>
      <w:r>
        <w:t xml:space="preserve">According to WCILTF’s research, </w:t>
      </w:r>
      <w:r w:rsidR="00DD586C">
        <w:rPr>
          <w:lang w:val="en-GB"/>
        </w:rPr>
        <w:t xml:space="preserve">these grounds are exhaustive and cannot be interpreted broadly. </w:t>
      </w:r>
    </w:p>
    <w:p w14:paraId="2E1EB43B" w14:textId="7C22B4B5" w:rsidR="00021D64" w:rsidRDefault="00C96AFF">
      <w:pPr>
        <w:rPr>
          <w:lang w:val="en-GB"/>
        </w:rPr>
      </w:pPr>
      <w:r>
        <w:rPr>
          <w:lang w:val="en-GB"/>
        </w:rPr>
        <w:tab/>
        <w:t xml:space="preserve">Based on WCILTF’s research, it is unclear exactly how a wrongfully convicted person would initiate the re-opening of their case. </w:t>
      </w:r>
      <w:r w:rsidR="00243623">
        <w:rPr>
          <w:lang w:val="en-GB"/>
        </w:rPr>
        <w:t>In some circumstances, the</w:t>
      </w:r>
      <w:r>
        <w:rPr>
          <w:lang w:val="en-GB"/>
        </w:rPr>
        <w:t xml:space="preserve"> CPC seems to put the prosecution in charge of determining whether a petition to re-open a case can proceed. </w:t>
      </w:r>
      <w:r>
        <w:rPr>
          <w:i/>
          <w:iCs/>
          <w:lang w:val="en-GB"/>
        </w:rPr>
        <w:t>S</w:t>
      </w:r>
      <w:r w:rsidR="00021D64">
        <w:rPr>
          <w:i/>
          <w:iCs/>
          <w:lang w:val="en-GB"/>
        </w:rPr>
        <w:t xml:space="preserve">ee </w:t>
      </w:r>
      <w:r w:rsidR="00021D64">
        <w:rPr>
          <w:lang w:val="en-GB"/>
        </w:rPr>
        <w:t xml:space="preserve">CPC </w:t>
      </w:r>
      <w:r w:rsidR="00021D64">
        <w:t xml:space="preserve">§ </w:t>
      </w:r>
      <w:r>
        <w:t>10</w:t>
      </w:r>
      <w:r w:rsidR="00021D64">
        <w:t xml:space="preserve">, Ch. </w:t>
      </w:r>
      <w:r>
        <w:t>53</w:t>
      </w:r>
      <w:r w:rsidR="00021D64">
        <w:t xml:space="preserve">, Art. </w:t>
      </w:r>
      <w:r>
        <w:t xml:space="preserve">502. </w:t>
      </w:r>
      <w:r w:rsidR="00B624EA">
        <w:t xml:space="preserve">This is problematic, as the prosecution may be disinclined to re-open a conviction, especially if the same prosecutor is now involved in </w:t>
      </w:r>
      <w:r w:rsidR="00D72584">
        <w:t>deciding whether to</w:t>
      </w:r>
      <w:r w:rsidR="00B624EA">
        <w:t xml:space="preserve"> re-open a prior case.</w:t>
      </w:r>
      <w:r w:rsidR="00BA6E3F">
        <w:t xml:space="preserve"> However, our research also suggests that a convicted person or their attorney may also file a petition to initiate proceedings based on newly discovered circumstances. They can do so based on </w:t>
      </w:r>
      <w:r w:rsidR="00CA76CB" w:rsidRPr="00CA76CB">
        <w:t xml:space="preserve">statements of citizens, including participants in the case, reports from officials of organizations, </w:t>
      </w:r>
      <w:r w:rsidR="00CA76CB">
        <w:t xml:space="preserve">or </w:t>
      </w:r>
      <w:r w:rsidR="00CA76CB" w:rsidRPr="00CA76CB">
        <w:t>data obtained during the investigation and consideration of other criminal cases.</w:t>
      </w:r>
    </w:p>
    <w:p w14:paraId="53C897EF" w14:textId="77777777" w:rsidR="00021D64" w:rsidRDefault="00021D64">
      <w:pPr>
        <w:rPr>
          <w:lang w:val="en-GB"/>
        </w:rPr>
      </w:pPr>
    </w:p>
    <w:p w14:paraId="636540C6" w14:textId="69B027AE" w:rsidR="004F1483" w:rsidRPr="004F1483" w:rsidRDefault="004F1483">
      <w:pPr>
        <w:rPr>
          <w:b/>
          <w:bCs/>
          <w:lang w:val="en-GB"/>
        </w:rPr>
      </w:pPr>
      <w:r>
        <w:rPr>
          <w:b/>
          <w:bCs/>
          <w:lang w:val="en-GB"/>
        </w:rPr>
        <w:t xml:space="preserve">The Right to Compensation after Wrongful Conviction </w:t>
      </w:r>
    </w:p>
    <w:p w14:paraId="560E11BC" w14:textId="3F67DFCA" w:rsidR="004F1483" w:rsidRDefault="00DE5612">
      <w:r>
        <w:rPr>
          <w:lang w:val="en-GB"/>
        </w:rPr>
        <w:tab/>
      </w:r>
      <w:r w:rsidR="00B034DA">
        <w:rPr>
          <w:lang w:val="en-GB"/>
        </w:rPr>
        <w:t>The CPC provides for compensation for moral damage caused by unlawful actions of the State</w:t>
      </w:r>
      <w:r w:rsidR="00A943AD">
        <w:rPr>
          <w:lang w:val="en-GB"/>
        </w:rPr>
        <w:t xml:space="preserve">, for damage caused to a citizen </w:t>
      </w:r>
      <w:proofErr w:type="gramStart"/>
      <w:r w:rsidR="000C2EBE" w:rsidRPr="00A1604A">
        <w:t>as a result of</w:t>
      </w:r>
      <w:proofErr w:type="gramEnd"/>
      <w:r w:rsidR="000C2EBE" w:rsidRPr="00A1604A">
        <w:t xml:space="preserve"> illegal deprivation of freedom</w:t>
      </w:r>
      <w:r w:rsidR="000C2EBE">
        <w:t xml:space="preserve">, and for damage caused to a citizen </w:t>
      </w:r>
      <w:proofErr w:type="gramStart"/>
      <w:r w:rsidR="00152752" w:rsidRPr="00FE303B">
        <w:t>as a result of</w:t>
      </w:r>
      <w:proofErr w:type="gramEnd"/>
      <w:r w:rsidR="00152752" w:rsidRPr="00FE303B">
        <w:t xml:space="preserve"> illegal arrest, detention, </w:t>
      </w:r>
      <w:r w:rsidR="00152752">
        <w:t>[or]</w:t>
      </w:r>
      <w:r w:rsidR="00152752" w:rsidRPr="00FE303B">
        <w:t xml:space="preserve"> conviction</w:t>
      </w:r>
      <w:r w:rsidR="00152752">
        <w:t xml:space="preserve">. </w:t>
      </w:r>
      <w:r w:rsidR="00152752">
        <w:rPr>
          <w:i/>
          <w:iCs/>
        </w:rPr>
        <w:t xml:space="preserve">See </w:t>
      </w:r>
      <w:r w:rsidR="00152752">
        <w:t>CPC § 1, Ch. 2, Art. 13-1</w:t>
      </w:r>
      <w:r w:rsidR="00893AED">
        <w:t>5</w:t>
      </w:r>
      <w:r w:rsidR="001E4078">
        <w:t xml:space="preserve">, 38. </w:t>
      </w:r>
      <w:r w:rsidR="00351FAE">
        <w:t xml:space="preserve">Additionally, at the request of the person seeking compensation, the body that conducted the criminal proceeding </w:t>
      </w:r>
      <w:r w:rsidR="00F133E1">
        <w:t xml:space="preserve">shall, within fourteen days, send </w:t>
      </w:r>
      <w:r w:rsidR="003912FA" w:rsidRPr="003231B3">
        <w:t xml:space="preserve">a written message </w:t>
      </w:r>
      <w:r w:rsidR="003912FA">
        <w:t>regarding</w:t>
      </w:r>
      <w:r w:rsidR="003912FA" w:rsidRPr="003231B3">
        <w:t xml:space="preserve"> the cancellation of </w:t>
      </w:r>
      <w:r w:rsidR="003912FA">
        <w:t xml:space="preserve">the conviction to </w:t>
      </w:r>
      <w:r w:rsidR="003912FA" w:rsidRPr="003231B3">
        <w:t>their place of work, study,</w:t>
      </w:r>
      <w:r w:rsidR="003912FA">
        <w:t xml:space="preserve"> or</w:t>
      </w:r>
      <w:r w:rsidR="003912FA" w:rsidRPr="003231B3">
        <w:t xml:space="preserve"> residence</w:t>
      </w:r>
      <w:r w:rsidR="003912FA">
        <w:t xml:space="preserve">. </w:t>
      </w:r>
      <w:r w:rsidR="003912FA">
        <w:rPr>
          <w:i/>
          <w:iCs/>
        </w:rPr>
        <w:t xml:space="preserve">See </w:t>
      </w:r>
      <w:r w:rsidR="003912FA">
        <w:t xml:space="preserve">CPC § </w:t>
      </w:r>
      <w:r w:rsidR="00C4428E">
        <w:t>2</w:t>
      </w:r>
      <w:r w:rsidR="003912FA">
        <w:t xml:space="preserve">, Ch. </w:t>
      </w:r>
      <w:r w:rsidR="00C4428E">
        <w:t>13</w:t>
      </w:r>
      <w:r w:rsidR="003912FA">
        <w:t xml:space="preserve">, Art. </w:t>
      </w:r>
      <w:r w:rsidR="00C4428E">
        <w:t xml:space="preserve">104. </w:t>
      </w:r>
    </w:p>
    <w:p w14:paraId="39319A64" w14:textId="201EB6CB" w:rsidR="00C4428E" w:rsidRDefault="00C4428E">
      <w:r>
        <w:tab/>
      </w:r>
      <w:r w:rsidR="00801862">
        <w:t xml:space="preserve">Although Kazakhstan law provides for compensation </w:t>
      </w:r>
      <w:proofErr w:type="gramStart"/>
      <w:r w:rsidR="00801862">
        <w:t>as a result of</w:t>
      </w:r>
      <w:proofErr w:type="gramEnd"/>
      <w:r w:rsidR="00801862">
        <w:t xml:space="preserve"> wrongful conviction, it is unclear how an innocent person se</w:t>
      </w:r>
      <w:r w:rsidR="00CD4948">
        <w:t xml:space="preserve">eks compensation. CPC § 1, Ch. 4, Art. 39 </w:t>
      </w:r>
      <w:r w:rsidR="00612210">
        <w:t xml:space="preserve">seems to suggest that claims for compensation may be filed within six months from the date they are notified of their right to restore their rights. However, it is unclear </w:t>
      </w:r>
      <w:r w:rsidR="008B6AAD">
        <w:t xml:space="preserve">how a person is notified and what information they are provided regarding </w:t>
      </w:r>
      <w:r w:rsidR="005525EB">
        <w:t>how to seek</w:t>
      </w:r>
      <w:r w:rsidR="008B6AAD">
        <w:t xml:space="preserve"> compensation. Finally, the CPC does not outline any specifics regarding the amount of compensation that an innocent person </w:t>
      </w:r>
      <w:r w:rsidR="001A313F">
        <w:t xml:space="preserve">shall receive </w:t>
      </w:r>
      <w:proofErr w:type="gramStart"/>
      <w:r w:rsidR="001A313F">
        <w:t>as a result of</w:t>
      </w:r>
      <w:proofErr w:type="gramEnd"/>
      <w:r w:rsidR="001A313F">
        <w:t xml:space="preserve"> their wrongful conviction.</w:t>
      </w:r>
    </w:p>
    <w:p w14:paraId="5D299130" w14:textId="2C3B5E29" w:rsidR="007248E9" w:rsidRDefault="007248E9">
      <w:r>
        <w:tab/>
      </w:r>
      <w:r w:rsidR="007E5563" w:rsidRPr="007E5563">
        <w:t>According to current practice, compensation for an unjustly convicted person is paid by the Treasury of the Ministry of Finance. This is regulated by civil law</w:t>
      </w:r>
      <w:r w:rsidR="007E5563">
        <w:t xml:space="preserve">, in </w:t>
      </w:r>
      <w:r w:rsidR="007E5563" w:rsidRPr="007E5563">
        <w:t>Articles 922-923 of the Code of Civil Procedure</w:t>
      </w:r>
      <w:r w:rsidR="007E5563">
        <w:t>.</w:t>
      </w:r>
      <w:r w:rsidR="007E5563" w:rsidRPr="007E5563">
        <w:t xml:space="preserve"> There is also a Resolution of the Government of the Republic of Kazakhstan</w:t>
      </w:r>
      <w:r w:rsidR="007E5563">
        <w:t xml:space="preserve">, </w:t>
      </w:r>
      <w:r w:rsidR="007E5563" w:rsidRPr="007E5563">
        <w:t>No. 1218</w:t>
      </w:r>
      <w:r w:rsidR="007E5563">
        <w:t>, stating that</w:t>
      </w:r>
      <w:r w:rsidR="007E5563" w:rsidRPr="007E5563">
        <w:t xml:space="preserve"> "</w:t>
      </w:r>
      <w:r w:rsidR="007E5563">
        <w:t>o</w:t>
      </w:r>
      <w:r w:rsidR="007E5563" w:rsidRPr="007E5563">
        <w:t>n approval of the Rules for Payment of Property Damage Caused to a Person Acquitted in Court, a suspect, an accused, or a defendant, in respect of whom a court or a criminal prosecution authority has issued a decision to terminate a criminal case as a result of illegal actions of the body conducting the criminal process</w:t>
      </w:r>
      <w:r w:rsidR="00D86019">
        <w:t>.”</w:t>
      </w:r>
    </w:p>
    <w:p w14:paraId="3E069818" w14:textId="66F589A9" w:rsidR="004C2791" w:rsidRPr="00152752" w:rsidRDefault="004C2791" w:rsidP="00594FC1">
      <w:pPr>
        <w:rPr>
          <w:lang w:val="en-GB"/>
        </w:rPr>
      </w:pPr>
      <w:r>
        <w:tab/>
      </w:r>
      <w:r w:rsidR="001E4393">
        <w:t xml:space="preserve">It does appear that Kazakhstan has compensated some individuals in recent years. </w:t>
      </w:r>
      <w:r w:rsidR="00594FC1">
        <w:t>In</w:t>
      </w:r>
      <w:r w:rsidRPr="004C2791">
        <w:t xml:space="preserve"> 2018, 133,199,023.21 tenge</w:t>
      </w:r>
      <w:r w:rsidR="00594FC1">
        <w:t xml:space="preserve"> ($</w:t>
      </w:r>
      <w:r w:rsidR="00CD0CA1">
        <w:t>260,649.44 USD)</w:t>
      </w:r>
      <w:r w:rsidRPr="004C2791">
        <w:t xml:space="preserve"> was allocated </w:t>
      </w:r>
      <w:r w:rsidR="00CD0CA1">
        <w:t>for</w:t>
      </w:r>
      <w:r w:rsidRPr="004C2791">
        <w:t xml:space="preserve"> 114 individuals</w:t>
      </w:r>
      <w:r w:rsidR="00CD0CA1">
        <w:t xml:space="preserve">. In </w:t>
      </w:r>
      <w:r w:rsidRPr="004C2791">
        <w:t>2019</w:t>
      </w:r>
      <w:r w:rsidR="00CD0CA1">
        <w:t xml:space="preserve">, </w:t>
      </w:r>
      <w:r w:rsidRPr="004C2791">
        <w:t>275,589,636.18 tenge</w:t>
      </w:r>
      <w:r w:rsidR="00CD0CA1">
        <w:t xml:space="preserve"> (</w:t>
      </w:r>
      <w:r w:rsidR="00F96C78">
        <w:t>$539,285.37 USD) was allocated</w:t>
      </w:r>
      <w:r w:rsidRPr="004C2791">
        <w:t xml:space="preserve"> in favor of 195 individuals</w:t>
      </w:r>
      <w:r w:rsidR="00F96C78">
        <w:t xml:space="preserve">. </w:t>
      </w:r>
      <w:r w:rsidR="00BA16EE">
        <w:t>I</w:t>
      </w:r>
      <w:r w:rsidR="00F96C78">
        <w:t xml:space="preserve">n </w:t>
      </w:r>
      <w:r w:rsidRPr="004C2791">
        <w:t>2020</w:t>
      </w:r>
      <w:r w:rsidR="00BA16EE">
        <w:t xml:space="preserve">, </w:t>
      </w:r>
      <w:r w:rsidRPr="004C2791">
        <w:t xml:space="preserve">423,268,732.85 tenge </w:t>
      </w:r>
      <w:r w:rsidR="00BA16EE">
        <w:t xml:space="preserve">($828,270.03 USD) was allocated </w:t>
      </w:r>
      <w:r w:rsidRPr="004C2791">
        <w:t>in favor of 247 individuals</w:t>
      </w:r>
      <w:r w:rsidR="00BA16EE">
        <w:t xml:space="preserve">, and, finally, </w:t>
      </w:r>
      <w:r w:rsidRPr="004C2791">
        <w:t>in 2021</w:t>
      </w:r>
      <w:r w:rsidR="001E4393">
        <w:t>,</w:t>
      </w:r>
      <w:r w:rsidRPr="004C2791">
        <w:t xml:space="preserve"> 548,861</w:t>
      </w:r>
      <w:r w:rsidR="00BA16EE">
        <w:t>,</w:t>
      </w:r>
      <w:r w:rsidRPr="004C2791">
        <w:t xml:space="preserve"> 451.15 tenge</w:t>
      </w:r>
      <w:r w:rsidR="001E4393">
        <w:t xml:space="preserve"> ($</w:t>
      </w:r>
      <w:r w:rsidR="00C37CFB">
        <w:t>1,074,035.14 USD)</w:t>
      </w:r>
      <w:r w:rsidRPr="004C2791">
        <w:t xml:space="preserve"> in favor of 199 individuals.</w:t>
      </w:r>
      <w:r w:rsidR="00C37CFB">
        <w:t xml:space="preserve"> However, it is unclear exactly what this compensation was for and the breakdown for </w:t>
      </w:r>
      <w:proofErr w:type="gramStart"/>
      <w:r w:rsidR="00C37CFB">
        <w:t>each individual</w:t>
      </w:r>
      <w:proofErr w:type="gramEnd"/>
      <w:r w:rsidR="00C37CFB">
        <w:t>.</w:t>
      </w:r>
    </w:p>
    <w:p w14:paraId="041EF3FE" w14:textId="77777777" w:rsidR="00600D35" w:rsidRDefault="00600D35">
      <w:pPr>
        <w:rPr>
          <w:lang w:val="en-GB"/>
        </w:rPr>
      </w:pPr>
    </w:p>
    <w:p w14:paraId="2A4A48AC" w14:textId="77777777" w:rsidR="008135A1" w:rsidRDefault="008135A1">
      <w:pPr>
        <w:rPr>
          <w:lang w:val="en-GB"/>
        </w:rPr>
      </w:pPr>
    </w:p>
    <w:p w14:paraId="7780CF5B" w14:textId="5E6E4B5E" w:rsidR="00600D35" w:rsidRPr="00600D35" w:rsidRDefault="00600D35">
      <w:pPr>
        <w:rPr>
          <w:lang w:val="en-GB"/>
        </w:rPr>
      </w:pPr>
      <w:r>
        <w:rPr>
          <w:b/>
          <w:bCs/>
          <w:lang w:val="en-GB"/>
        </w:rPr>
        <w:lastRenderedPageBreak/>
        <w:t>Preservation of the Crime Scene and Evidence and the Right to Post-Conviction DNA Testing</w:t>
      </w:r>
    </w:p>
    <w:p w14:paraId="69E9A648" w14:textId="3725DDF7" w:rsidR="00600D35" w:rsidRDefault="00DA3383">
      <w:r>
        <w:rPr>
          <w:lang w:val="en-GB"/>
        </w:rPr>
        <w:tab/>
      </w:r>
      <w:r w:rsidR="00133748">
        <w:rPr>
          <w:lang w:val="en-GB"/>
        </w:rPr>
        <w:t xml:space="preserve">The CPC states that samples, including </w:t>
      </w:r>
      <w:r w:rsidR="002D3DB6">
        <w:t xml:space="preserve">blood, semen, saliva, prints, dental records, handwriting, voice samples, and bullet cartridges, may be collected from a suspect and tested. </w:t>
      </w:r>
      <w:r w:rsidR="002D3DB6">
        <w:rPr>
          <w:i/>
          <w:iCs/>
        </w:rPr>
        <w:t xml:space="preserve">See </w:t>
      </w:r>
      <w:r w:rsidR="002D3DB6">
        <w:t xml:space="preserve">CPC § 6, Ch. 34, Art. 262, 264. </w:t>
      </w:r>
      <w:r w:rsidR="004D73A7">
        <w:t xml:space="preserve">The CPC also outlines </w:t>
      </w:r>
      <w:r w:rsidR="00A37C1F">
        <w:t>the collection and testing</w:t>
      </w:r>
      <w:r w:rsidR="004D73A7">
        <w:t xml:space="preserve"> process and</w:t>
      </w:r>
      <w:r w:rsidR="00E10123">
        <w:t xml:space="preserve"> the</w:t>
      </w:r>
      <w:r w:rsidR="004D73A7">
        <w:t xml:space="preserve"> protocol for examining the crime scene</w:t>
      </w:r>
      <w:r w:rsidR="005765B7">
        <w:t xml:space="preserve">. </w:t>
      </w:r>
      <w:r w:rsidR="005765B7">
        <w:rPr>
          <w:i/>
          <w:iCs/>
        </w:rPr>
        <w:t xml:space="preserve">See </w:t>
      </w:r>
      <w:r w:rsidR="005765B7">
        <w:t>CPC § 6, Ch. 27, Art. 220-24; § 6, Ch. 34, Art. 265</w:t>
      </w:r>
      <w:r w:rsidR="00CF155A">
        <w:t>; § 6, Ch. 35, Art. 280</w:t>
      </w:r>
      <w:r w:rsidR="005765B7">
        <w:t xml:space="preserve">. </w:t>
      </w:r>
      <w:r w:rsidR="00CF155A">
        <w:t>However, the CPC</w:t>
      </w:r>
      <w:r w:rsidR="00E10123">
        <w:t xml:space="preserve"> does not </w:t>
      </w:r>
      <w:r w:rsidR="00CF155A">
        <w:t>appear to outline any requirements for preservation of evidence</w:t>
      </w:r>
      <w:r w:rsidR="005A66AC">
        <w:t xml:space="preserve"> beyond what is needed for the initial testing</w:t>
      </w:r>
      <w:r w:rsidR="00CF155A">
        <w:t xml:space="preserve">. </w:t>
      </w:r>
    </w:p>
    <w:p w14:paraId="3A0099F0" w14:textId="021B44A1" w:rsidR="002475E0" w:rsidRDefault="002475E0">
      <w:r>
        <w:tab/>
        <w:t>Kazakhstan does have a law</w:t>
      </w:r>
      <w:r w:rsidRPr="002475E0">
        <w:t>, No. 40-VI</w:t>
      </w:r>
      <w:r>
        <w:t>, titled</w:t>
      </w:r>
      <w:r w:rsidRPr="002475E0">
        <w:t xml:space="preserve"> </w:t>
      </w:r>
      <w:r>
        <w:t>“</w:t>
      </w:r>
      <w:r w:rsidRPr="002475E0">
        <w:t>On fingerprint and genomic registration</w:t>
      </w:r>
      <w:r>
        <w:t xml:space="preserve">,” that </w:t>
      </w:r>
      <w:r w:rsidR="003B7A09">
        <w:t xml:space="preserve">requires biological evidence collected from the crime scene to be properly stored and preserved for future DNA testing. </w:t>
      </w:r>
      <w:r w:rsidR="00714352">
        <w:t xml:space="preserve">However, this </w:t>
      </w:r>
      <w:r w:rsidR="001E133F">
        <w:t xml:space="preserve">may have a limited application, as it discusses the </w:t>
      </w:r>
      <w:r w:rsidR="00FD6384">
        <w:t xml:space="preserve">storing fingerprint data for individuals who have died or storing genomic information for convicted individuals. </w:t>
      </w:r>
    </w:p>
    <w:p w14:paraId="3A590CBB" w14:textId="3876DBE0" w:rsidR="00CF155A" w:rsidRDefault="00CF155A">
      <w:r>
        <w:tab/>
      </w:r>
      <w:r w:rsidR="00A22E49">
        <w:t xml:space="preserve">WCILTF’s research did not reveal </w:t>
      </w:r>
      <w:r w:rsidR="00AE32A6">
        <w:t xml:space="preserve">any law codifying a wrongfully convicted person’s right to </w:t>
      </w:r>
      <w:r w:rsidR="002011F0">
        <w:t>post-conviction DNA testing or testing of any evidence post-conviction.</w:t>
      </w:r>
      <w:r w:rsidR="00E90D0B">
        <w:t xml:space="preserve"> So, even if there is a law that requires preservation of biological or DNA evidence, there does not appear to be a way for a wrongfully convicted person to access that evidence for post-conviction testing.</w:t>
      </w:r>
    </w:p>
    <w:p w14:paraId="79DAD82D" w14:textId="184BF6AE" w:rsidR="00600D35" w:rsidRPr="006728D7" w:rsidRDefault="006728D7">
      <w:pPr>
        <w:rPr>
          <w:b/>
          <w:bCs/>
          <w:i/>
          <w:iCs/>
          <w:lang w:val="en-GB"/>
        </w:rPr>
      </w:pPr>
      <w:r>
        <w:tab/>
      </w:r>
      <w:r w:rsidRPr="006728D7">
        <w:rPr>
          <w:b/>
          <w:bCs/>
        </w:rPr>
        <w:t>Kazakhstan</w:t>
      </w:r>
      <w:r w:rsidRPr="006728D7">
        <w:rPr>
          <w:b/>
          <w:bCs/>
        </w:rPr>
        <w:t xml:space="preserve"> should pass laws expressly allowing post-conviction DNA testing of biological materials to prove innocence and achieve exoneration.</w:t>
      </w:r>
    </w:p>
    <w:p w14:paraId="42BCD45A" w14:textId="5A64048D" w:rsidR="00600D35" w:rsidRPr="00600D35" w:rsidRDefault="00600D35">
      <w:pPr>
        <w:rPr>
          <w:lang w:val="en-GB"/>
        </w:rPr>
      </w:pPr>
      <w:r>
        <w:rPr>
          <w:b/>
          <w:bCs/>
          <w:lang w:val="en-GB"/>
        </w:rPr>
        <w:t>The Right to Public Records</w:t>
      </w:r>
    </w:p>
    <w:p w14:paraId="55232C33" w14:textId="77777777" w:rsidR="00E90D0B" w:rsidRDefault="002A53C1">
      <w:r>
        <w:rPr>
          <w:lang w:val="en-GB"/>
        </w:rPr>
        <w:tab/>
      </w:r>
      <w:r w:rsidR="005659AA">
        <w:rPr>
          <w:lang w:val="en-GB"/>
        </w:rPr>
        <w:t xml:space="preserve">The Kazakhstan Constitution </w:t>
      </w:r>
      <w:r w:rsidR="003960ED">
        <w:rPr>
          <w:lang w:val="en-GB"/>
        </w:rPr>
        <w:t>requires</w:t>
      </w:r>
      <w:r w:rsidR="00FD6876">
        <w:rPr>
          <w:lang w:val="en-GB"/>
        </w:rPr>
        <w:t xml:space="preserve"> that </w:t>
      </w:r>
      <w:r w:rsidR="003960ED">
        <w:rPr>
          <w:lang w:val="en-GB"/>
        </w:rPr>
        <w:t>s</w:t>
      </w:r>
      <w:proofErr w:type="spellStart"/>
      <w:r w:rsidR="00F0516B" w:rsidRPr="00F0516B">
        <w:t>tate</w:t>
      </w:r>
      <w:proofErr w:type="spellEnd"/>
      <w:r w:rsidR="00F0516B" w:rsidRPr="00F0516B">
        <w:t xml:space="preserve"> bodies, public associations, officials</w:t>
      </w:r>
      <w:r w:rsidR="0049365E">
        <w:t>,</w:t>
      </w:r>
      <w:r w:rsidR="00F0516B" w:rsidRPr="00F0516B">
        <w:t xml:space="preserve"> and the media provide every citizen with the opportunity to become familiar with information that affect his rights and interests</w:t>
      </w:r>
      <w:r w:rsidR="003960ED">
        <w:t xml:space="preserve">. </w:t>
      </w:r>
      <w:r w:rsidR="003960ED">
        <w:rPr>
          <w:i/>
          <w:iCs/>
        </w:rPr>
        <w:t xml:space="preserve">See </w:t>
      </w:r>
      <w:r w:rsidR="003960ED">
        <w:rPr>
          <w:lang w:val="en-GB"/>
        </w:rPr>
        <w:t xml:space="preserve">Const. Art. 18, </w:t>
      </w:r>
      <w:r w:rsidR="003960ED">
        <w:t xml:space="preserve">§ 3. </w:t>
      </w:r>
      <w:r w:rsidR="0087341E">
        <w:t xml:space="preserve">In 2015, Kazakhstan passed the Access to Information Law. This law allows for citizens to request </w:t>
      </w:r>
      <w:r w:rsidR="00DD3A03">
        <w:t xml:space="preserve">information from the government. </w:t>
      </w:r>
    </w:p>
    <w:p w14:paraId="05BB0E21" w14:textId="7532BDE0" w:rsidR="00F0516B" w:rsidRDefault="00DD3A03" w:rsidP="00E90D0B">
      <w:pPr>
        <w:ind w:firstLine="720"/>
      </w:pPr>
      <w:r>
        <w:t xml:space="preserve">However, </w:t>
      </w:r>
      <w:r w:rsidR="00E90D0B">
        <w:t xml:space="preserve">the WCILTF’s research </w:t>
      </w:r>
      <w:r w:rsidR="009D0FBC">
        <w:t xml:space="preserve">revealed that defense attorneys, journalists, or incarcerated persons may not be able to access this information. </w:t>
      </w:r>
      <w:r>
        <w:t xml:space="preserve">Article 3 of the Access to Information Law </w:t>
      </w:r>
      <w:r w:rsidR="00463CA4">
        <w:t>suggests that the law does not apply to individual</w:t>
      </w:r>
      <w:r w:rsidR="004B1945">
        <w:t>s</w:t>
      </w:r>
      <w:r w:rsidR="00463CA4">
        <w:t xml:space="preserve"> or legal entit</w:t>
      </w:r>
      <w:r w:rsidR="004B1945">
        <w:t>ies seeking information for a criminal appeal. Thus, Kazakhstan’s Access to Information Law</w:t>
      </w:r>
      <w:r w:rsidR="006728D7">
        <w:t xml:space="preserve"> does</w:t>
      </w:r>
      <w:r w:rsidR="004B1945">
        <w:t xml:space="preserve"> not operate to help innocent persons in prison </w:t>
      </w:r>
      <w:r w:rsidR="00CA376C">
        <w:t>find records that may exonerate them.</w:t>
      </w:r>
    </w:p>
    <w:p w14:paraId="6BBEECA5" w14:textId="4AE23D00" w:rsidR="00DA3383" w:rsidRDefault="006728D7" w:rsidP="006728D7">
      <w:pPr>
        <w:ind w:firstLine="720"/>
        <w:rPr>
          <w:lang w:val="en-GB"/>
        </w:rPr>
      </w:pPr>
      <w:r w:rsidRPr="006728D7">
        <w:rPr>
          <w:b/>
          <w:bCs/>
        </w:rPr>
        <w:t xml:space="preserve">Kazakhstan should pass laws expressly </w:t>
      </w:r>
      <w:r>
        <w:rPr>
          <w:b/>
          <w:bCs/>
        </w:rPr>
        <w:t>granting post-conviction access to police files so that that innocent prisoners may re-investigate their cases and achieve exoneration.</w:t>
      </w:r>
    </w:p>
    <w:p w14:paraId="5F30C2EA" w14:textId="77777777" w:rsidR="00800BEC" w:rsidRDefault="00800BEC" w:rsidP="00800BEC"/>
    <w:p w14:paraId="493DF735" w14:textId="4A88B86E" w:rsidR="00800BEC" w:rsidRDefault="00800BEC" w:rsidP="00800BEC">
      <w:r>
        <w:t>This document created by the following members of the WCILTF:</w:t>
      </w:r>
    </w:p>
    <w:p w14:paraId="5420221E" w14:textId="16D8AD4E" w:rsidR="002313BE" w:rsidRDefault="000C5219">
      <w:r>
        <w:t xml:space="preserve">To </w:t>
      </w:r>
      <w:r w:rsidR="00800BEC">
        <w:t>contact</w:t>
      </w:r>
      <w:r>
        <w:t xml:space="preserve"> the WCILTF</w:t>
      </w:r>
      <w:r w:rsidR="00800BEC">
        <w:t xml:space="preserve"> generally</w:t>
      </w:r>
      <w:r>
        <w:t>, please email:</w:t>
      </w:r>
    </w:p>
    <w:p w14:paraId="401A6ECC" w14:textId="372AB313" w:rsidR="000C5219" w:rsidRDefault="000C5219">
      <w:r w:rsidRPr="000C5219">
        <w:t>Prof. dr. </w:t>
      </w:r>
      <w:proofErr w:type="spellStart"/>
      <w:r w:rsidRPr="000C5219">
        <w:t>mr.</w:t>
      </w:r>
      <w:proofErr w:type="spellEnd"/>
      <w:r w:rsidRPr="000C5219">
        <w:t> G.J. Alexander </w:t>
      </w:r>
      <w:proofErr w:type="spellStart"/>
      <w:r w:rsidRPr="000C5219">
        <w:t>Knoops</w:t>
      </w:r>
      <w:proofErr w:type="spellEnd"/>
      <w:r>
        <w:t xml:space="preserve">.                           </w:t>
      </w:r>
      <w:r>
        <w:tab/>
        <w:t>Professor Mark Godsey</w:t>
      </w:r>
      <w:r w:rsidRPr="000C5219">
        <w:br/>
        <w:t>Advocaat/Attorney at law</w:t>
      </w:r>
      <w:r>
        <w:tab/>
      </w:r>
      <w:r>
        <w:tab/>
      </w:r>
      <w:r>
        <w:tab/>
        <w:t xml:space="preserve">           </w:t>
      </w:r>
      <w:r>
        <w:tab/>
        <w:t>University of Cincinnati College of Law</w:t>
      </w:r>
      <w:r w:rsidRPr="000C5219">
        <w:br/>
        <w:t>Professor Politics of International Law</w:t>
      </w:r>
      <w:r>
        <w:tab/>
        <w:t xml:space="preserve">           </w:t>
      </w:r>
      <w:r>
        <w:tab/>
        <w:t>Director, Ohio Innocence Project</w:t>
      </w:r>
    </w:p>
    <w:p w14:paraId="571A5F41" w14:textId="2ACEE78B" w:rsidR="000C5219" w:rsidRDefault="000C5219">
      <w:hyperlink r:id="rId9" w:history="1">
        <w:r w:rsidRPr="005D1707">
          <w:rPr>
            <w:rStyle w:val="Hyperlink"/>
          </w:rPr>
          <w:t>alex@knoopsadvocaten.nl</w:t>
        </w:r>
      </w:hyperlink>
      <w:r>
        <w:tab/>
      </w:r>
      <w:r>
        <w:tab/>
      </w:r>
      <w:r>
        <w:tab/>
      </w:r>
      <w:r>
        <w:tab/>
        <w:t>markgodsey@gmail.com</w:t>
      </w:r>
    </w:p>
    <w:p w14:paraId="62B19390" w14:textId="77777777" w:rsidR="000C5219" w:rsidRDefault="000C5219"/>
    <w:sectPr w:rsidR="000C5219" w:rsidSect="000C5219">
      <w:footerReference w:type="even"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110BC" w14:textId="77777777" w:rsidR="00242221" w:rsidRDefault="00242221" w:rsidP="000C5219">
      <w:pPr>
        <w:spacing w:after="0" w:line="240" w:lineRule="auto"/>
      </w:pPr>
      <w:r>
        <w:separator/>
      </w:r>
    </w:p>
  </w:endnote>
  <w:endnote w:type="continuationSeparator" w:id="0">
    <w:p w14:paraId="2AA55D64" w14:textId="77777777" w:rsidR="00242221" w:rsidRDefault="00242221" w:rsidP="000C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619746"/>
      <w:docPartObj>
        <w:docPartGallery w:val="Page Numbers (Bottom of Page)"/>
        <w:docPartUnique/>
      </w:docPartObj>
    </w:sdtPr>
    <w:sdtContent>
      <w:p w14:paraId="36CF4B3F" w14:textId="47BAC920"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57DFE"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8667112"/>
      <w:docPartObj>
        <w:docPartGallery w:val="Page Numbers (Bottom of Page)"/>
        <w:docPartUnique/>
      </w:docPartObj>
    </w:sdtPr>
    <w:sdtContent>
      <w:p w14:paraId="3DAA04DC" w14:textId="1D3FC19E"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27E5DC" w14:textId="77777777" w:rsidR="000C5219" w:rsidRDefault="000C5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3EF2B" w14:textId="77777777" w:rsidR="00242221" w:rsidRDefault="00242221" w:rsidP="000C5219">
      <w:pPr>
        <w:spacing w:after="0" w:line="240" w:lineRule="auto"/>
      </w:pPr>
      <w:r>
        <w:separator/>
      </w:r>
    </w:p>
  </w:footnote>
  <w:footnote w:type="continuationSeparator" w:id="0">
    <w:p w14:paraId="5F8BAFFF" w14:textId="77777777" w:rsidR="00242221" w:rsidRDefault="00242221" w:rsidP="000C5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B1C72"/>
    <w:multiLevelType w:val="hybridMultilevel"/>
    <w:tmpl w:val="DE26E83A"/>
    <w:lvl w:ilvl="0" w:tplc="DAFCAF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A741D6"/>
    <w:multiLevelType w:val="hybridMultilevel"/>
    <w:tmpl w:val="10E43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5841250">
    <w:abstractNumId w:val="1"/>
  </w:num>
  <w:num w:numId="2" w16cid:durableId="592861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BE"/>
    <w:rsid w:val="00014022"/>
    <w:rsid w:val="00021D64"/>
    <w:rsid w:val="00030E6C"/>
    <w:rsid w:val="00051ED7"/>
    <w:rsid w:val="000525F3"/>
    <w:rsid w:val="00075F5B"/>
    <w:rsid w:val="00097385"/>
    <w:rsid w:val="000A2959"/>
    <w:rsid w:val="000C2EBE"/>
    <w:rsid w:val="000C5219"/>
    <w:rsid w:val="000D6E36"/>
    <w:rsid w:val="000F1925"/>
    <w:rsid w:val="000F7A42"/>
    <w:rsid w:val="00111F8B"/>
    <w:rsid w:val="0011459E"/>
    <w:rsid w:val="001160C2"/>
    <w:rsid w:val="00133748"/>
    <w:rsid w:val="00152752"/>
    <w:rsid w:val="00157064"/>
    <w:rsid w:val="0018718A"/>
    <w:rsid w:val="001A313F"/>
    <w:rsid w:val="001A4EC5"/>
    <w:rsid w:val="001D4869"/>
    <w:rsid w:val="001D796C"/>
    <w:rsid w:val="001E133F"/>
    <w:rsid w:val="001E2C16"/>
    <w:rsid w:val="001E4078"/>
    <w:rsid w:val="001E4393"/>
    <w:rsid w:val="001E4889"/>
    <w:rsid w:val="001F43D8"/>
    <w:rsid w:val="002002E2"/>
    <w:rsid w:val="002011F0"/>
    <w:rsid w:val="002301C1"/>
    <w:rsid w:val="002313BE"/>
    <w:rsid w:val="00242221"/>
    <w:rsid w:val="00243623"/>
    <w:rsid w:val="002475E0"/>
    <w:rsid w:val="00295F6E"/>
    <w:rsid w:val="002A53C1"/>
    <w:rsid w:val="002C396D"/>
    <w:rsid w:val="002C7F27"/>
    <w:rsid w:val="002D3DB6"/>
    <w:rsid w:val="002E543C"/>
    <w:rsid w:val="003055A6"/>
    <w:rsid w:val="00313EBB"/>
    <w:rsid w:val="00323E60"/>
    <w:rsid w:val="00332676"/>
    <w:rsid w:val="00337EB7"/>
    <w:rsid w:val="00351FAE"/>
    <w:rsid w:val="00352B94"/>
    <w:rsid w:val="00354738"/>
    <w:rsid w:val="0036260C"/>
    <w:rsid w:val="003648A8"/>
    <w:rsid w:val="003912FA"/>
    <w:rsid w:val="003960ED"/>
    <w:rsid w:val="00396B31"/>
    <w:rsid w:val="00397B71"/>
    <w:rsid w:val="003A0E92"/>
    <w:rsid w:val="003A1422"/>
    <w:rsid w:val="003A1D92"/>
    <w:rsid w:val="003A577C"/>
    <w:rsid w:val="003B532E"/>
    <w:rsid w:val="003B7A09"/>
    <w:rsid w:val="003D54E7"/>
    <w:rsid w:val="00406DBE"/>
    <w:rsid w:val="00417D48"/>
    <w:rsid w:val="00421ABE"/>
    <w:rsid w:val="004247A7"/>
    <w:rsid w:val="00440888"/>
    <w:rsid w:val="00445AAD"/>
    <w:rsid w:val="00463CA4"/>
    <w:rsid w:val="0046697B"/>
    <w:rsid w:val="00492109"/>
    <w:rsid w:val="0049365E"/>
    <w:rsid w:val="00495E92"/>
    <w:rsid w:val="004A2F26"/>
    <w:rsid w:val="004B1945"/>
    <w:rsid w:val="004B2D83"/>
    <w:rsid w:val="004C2791"/>
    <w:rsid w:val="004D21C7"/>
    <w:rsid w:val="004D73A7"/>
    <w:rsid w:val="004F0BEA"/>
    <w:rsid w:val="004F1483"/>
    <w:rsid w:val="004F3322"/>
    <w:rsid w:val="00503DD5"/>
    <w:rsid w:val="00523D27"/>
    <w:rsid w:val="00545E75"/>
    <w:rsid w:val="005525EB"/>
    <w:rsid w:val="00555091"/>
    <w:rsid w:val="005659AA"/>
    <w:rsid w:val="00566531"/>
    <w:rsid w:val="0057123F"/>
    <w:rsid w:val="00575495"/>
    <w:rsid w:val="005765B7"/>
    <w:rsid w:val="00594FC1"/>
    <w:rsid w:val="005A559E"/>
    <w:rsid w:val="005A66AC"/>
    <w:rsid w:val="00600D35"/>
    <w:rsid w:val="0060424F"/>
    <w:rsid w:val="00612210"/>
    <w:rsid w:val="00614557"/>
    <w:rsid w:val="00617953"/>
    <w:rsid w:val="00625EA7"/>
    <w:rsid w:val="0063195F"/>
    <w:rsid w:val="00664255"/>
    <w:rsid w:val="006728D7"/>
    <w:rsid w:val="006A31ED"/>
    <w:rsid w:val="006A65D7"/>
    <w:rsid w:val="006A6795"/>
    <w:rsid w:val="006B6BA1"/>
    <w:rsid w:val="006D1383"/>
    <w:rsid w:val="0070122F"/>
    <w:rsid w:val="0070398D"/>
    <w:rsid w:val="00707D12"/>
    <w:rsid w:val="00714352"/>
    <w:rsid w:val="007148D1"/>
    <w:rsid w:val="007248E9"/>
    <w:rsid w:val="00744661"/>
    <w:rsid w:val="007629AF"/>
    <w:rsid w:val="007650E1"/>
    <w:rsid w:val="00781731"/>
    <w:rsid w:val="007919DC"/>
    <w:rsid w:val="00797147"/>
    <w:rsid w:val="007A6086"/>
    <w:rsid w:val="007C68B3"/>
    <w:rsid w:val="007D202F"/>
    <w:rsid w:val="007D3675"/>
    <w:rsid w:val="007E5563"/>
    <w:rsid w:val="007F7474"/>
    <w:rsid w:val="00800BEC"/>
    <w:rsid w:val="00801862"/>
    <w:rsid w:val="008135A1"/>
    <w:rsid w:val="00860392"/>
    <w:rsid w:val="008718D2"/>
    <w:rsid w:val="0087341E"/>
    <w:rsid w:val="00877929"/>
    <w:rsid w:val="00877E75"/>
    <w:rsid w:val="00881E6C"/>
    <w:rsid w:val="00884781"/>
    <w:rsid w:val="00893AED"/>
    <w:rsid w:val="008A165F"/>
    <w:rsid w:val="008B6AAD"/>
    <w:rsid w:val="008C1A64"/>
    <w:rsid w:val="0090355A"/>
    <w:rsid w:val="00927A46"/>
    <w:rsid w:val="00937CFE"/>
    <w:rsid w:val="0096252F"/>
    <w:rsid w:val="00971973"/>
    <w:rsid w:val="009750B3"/>
    <w:rsid w:val="00975103"/>
    <w:rsid w:val="00992857"/>
    <w:rsid w:val="00993639"/>
    <w:rsid w:val="009A3579"/>
    <w:rsid w:val="009B0A91"/>
    <w:rsid w:val="009C1D3D"/>
    <w:rsid w:val="009C4033"/>
    <w:rsid w:val="009D0FBC"/>
    <w:rsid w:val="009D538B"/>
    <w:rsid w:val="009F06D8"/>
    <w:rsid w:val="009F3701"/>
    <w:rsid w:val="00A04B77"/>
    <w:rsid w:val="00A1739F"/>
    <w:rsid w:val="00A22E49"/>
    <w:rsid w:val="00A34279"/>
    <w:rsid w:val="00A37C1F"/>
    <w:rsid w:val="00A57EBA"/>
    <w:rsid w:val="00A911AE"/>
    <w:rsid w:val="00A943AD"/>
    <w:rsid w:val="00A94C39"/>
    <w:rsid w:val="00AA068F"/>
    <w:rsid w:val="00AA0B61"/>
    <w:rsid w:val="00AB3504"/>
    <w:rsid w:val="00AD4C67"/>
    <w:rsid w:val="00AE1E43"/>
    <w:rsid w:val="00AE32A6"/>
    <w:rsid w:val="00AE55AC"/>
    <w:rsid w:val="00AE7DC2"/>
    <w:rsid w:val="00AF41B0"/>
    <w:rsid w:val="00B034DA"/>
    <w:rsid w:val="00B12ECB"/>
    <w:rsid w:val="00B13E33"/>
    <w:rsid w:val="00B25B0C"/>
    <w:rsid w:val="00B45D59"/>
    <w:rsid w:val="00B624EA"/>
    <w:rsid w:val="00B97555"/>
    <w:rsid w:val="00BA16EE"/>
    <w:rsid w:val="00BA631C"/>
    <w:rsid w:val="00BA6E3F"/>
    <w:rsid w:val="00BB064D"/>
    <w:rsid w:val="00BB4AFC"/>
    <w:rsid w:val="00BB553E"/>
    <w:rsid w:val="00BB5651"/>
    <w:rsid w:val="00BC08A6"/>
    <w:rsid w:val="00BE71BC"/>
    <w:rsid w:val="00BE7311"/>
    <w:rsid w:val="00C205B8"/>
    <w:rsid w:val="00C36ADA"/>
    <w:rsid w:val="00C37CFB"/>
    <w:rsid w:val="00C4428E"/>
    <w:rsid w:val="00C47B35"/>
    <w:rsid w:val="00C54105"/>
    <w:rsid w:val="00C71502"/>
    <w:rsid w:val="00C735B1"/>
    <w:rsid w:val="00C758FB"/>
    <w:rsid w:val="00C91068"/>
    <w:rsid w:val="00C96AFF"/>
    <w:rsid w:val="00CA3594"/>
    <w:rsid w:val="00CA376C"/>
    <w:rsid w:val="00CA76CB"/>
    <w:rsid w:val="00CD0CA1"/>
    <w:rsid w:val="00CD4948"/>
    <w:rsid w:val="00CE580C"/>
    <w:rsid w:val="00CF155A"/>
    <w:rsid w:val="00D04B23"/>
    <w:rsid w:val="00D076C1"/>
    <w:rsid w:val="00D13EFE"/>
    <w:rsid w:val="00D2013A"/>
    <w:rsid w:val="00D20BCC"/>
    <w:rsid w:val="00D2471D"/>
    <w:rsid w:val="00D65855"/>
    <w:rsid w:val="00D72584"/>
    <w:rsid w:val="00D86019"/>
    <w:rsid w:val="00DA2B3B"/>
    <w:rsid w:val="00DA3383"/>
    <w:rsid w:val="00DC685E"/>
    <w:rsid w:val="00DC7A37"/>
    <w:rsid w:val="00DD3A03"/>
    <w:rsid w:val="00DD586C"/>
    <w:rsid w:val="00DE5612"/>
    <w:rsid w:val="00DF22F9"/>
    <w:rsid w:val="00DF464B"/>
    <w:rsid w:val="00E05B32"/>
    <w:rsid w:val="00E10123"/>
    <w:rsid w:val="00E24FE6"/>
    <w:rsid w:val="00E35ABA"/>
    <w:rsid w:val="00E448DA"/>
    <w:rsid w:val="00E51E16"/>
    <w:rsid w:val="00E527D4"/>
    <w:rsid w:val="00E57C38"/>
    <w:rsid w:val="00E73506"/>
    <w:rsid w:val="00E76A92"/>
    <w:rsid w:val="00E76AA4"/>
    <w:rsid w:val="00E82EC0"/>
    <w:rsid w:val="00E90D0B"/>
    <w:rsid w:val="00EA0A55"/>
    <w:rsid w:val="00EB3D4D"/>
    <w:rsid w:val="00EC63EA"/>
    <w:rsid w:val="00ED5B88"/>
    <w:rsid w:val="00EF1FA2"/>
    <w:rsid w:val="00F0516B"/>
    <w:rsid w:val="00F1329C"/>
    <w:rsid w:val="00F133E1"/>
    <w:rsid w:val="00F23A73"/>
    <w:rsid w:val="00F6305B"/>
    <w:rsid w:val="00F77B96"/>
    <w:rsid w:val="00F949D9"/>
    <w:rsid w:val="00F96C78"/>
    <w:rsid w:val="00FA222F"/>
    <w:rsid w:val="00FA697F"/>
    <w:rsid w:val="00FB0128"/>
    <w:rsid w:val="00FB44BC"/>
    <w:rsid w:val="00FC3166"/>
    <w:rsid w:val="00FC493D"/>
    <w:rsid w:val="00FD1688"/>
    <w:rsid w:val="00FD6384"/>
    <w:rsid w:val="00FD6876"/>
    <w:rsid w:val="00FD7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D4487"/>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iPriority w:val="99"/>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jp.gov/ncjrs/virtual-library/abstracts/double-blind-sequential-police-lineup-procedures-toward-integrate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lex@knoopsadvocaten.nl"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2025-05-29T14:51:19+00:00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C4858DA-29B6-48CF-89CB-99B5E138225E}"/>
</file>

<file path=customXml/itemProps2.xml><?xml version="1.0" encoding="utf-8"?>
<ds:datastoreItem xmlns:ds="http://schemas.openxmlformats.org/officeDocument/2006/customXml" ds:itemID="{05DCED41-1B76-4B1A-B9F1-F778E377FAB7}"/>
</file>

<file path=customXml/itemProps3.xml><?xml version="1.0" encoding="utf-8"?>
<ds:datastoreItem xmlns:ds="http://schemas.openxmlformats.org/officeDocument/2006/customXml" ds:itemID="{E0B0BE42-E66D-4757-91A6-D8BFBCDC7BDA}"/>
</file>

<file path=docProps/app.xml><?xml version="1.0" encoding="utf-8"?>
<Properties xmlns="http://schemas.openxmlformats.org/officeDocument/2006/extended-properties" xmlns:vt="http://schemas.openxmlformats.org/officeDocument/2006/docPropsVTypes">
  <Template>Normal.dotm</Template>
  <TotalTime>1</TotalTime>
  <Pages>9</Pages>
  <Words>3104</Words>
  <Characters>17693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Godsey, Mark (godseyma)</dc:creator>
  <cp:keywords/>
  <dc:description/>
  <cp:lastModifiedBy>Godsey, Mark (godseyma)</cp:lastModifiedBy>
  <cp:revision>2</cp:revision>
  <dcterms:created xsi:type="dcterms:W3CDTF">2025-05-28T20:58:00Z</dcterms:created>
  <dcterms:modified xsi:type="dcterms:W3CDTF">2025-05-28T20:58:00Z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