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D99E6" w14:textId="65A830ED" w:rsidR="006E5E26" w:rsidRDefault="008C5366">
      <w:pPr>
        <w:spacing w:line="360" w:lineRule="auto"/>
        <w:jc w:val="both"/>
      </w:pPr>
      <w:r w:rsidRPr="009A7553">
        <w:rPr>
          <w:noProof/>
          <w:lang w:val="en-US"/>
        </w:rPr>
        <w:drawing>
          <wp:anchor distT="0" distB="0" distL="114300" distR="114300" simplePos="0" relativeHeight="251659264" behindDoc="1" locked="0" layoutInCell="1" allowOverlap="1" wp14:anchorId="1867CC57" wp14:editId="300467BF">
            <wp:simplePos x="0" y="0"/>
            <wp:positionH relativeFrom="column">
              <wp:posOffset>3755571</wp:posOffset>
            </wp:positionH>
            <wp:positionV relativeFrom="paragraph">
              <wp:posOffset>-184059</wp:posOffset>
            </wp:positionV>
            <wp:extent cx="3068320" cy="10485120"/>
            <wp:effectExtent l="0" t="0" r="508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p>
    <w:p w14:paraId="17F5DDDB" w14:textId="0F12F75C" w:rsidR="006E5E26" w:rsidRDefault="006E5E26">
      <w:pPr>
        <w:spacing w:line="360" w:lineRule="auto"/>
        <w:jc w:val="center"/>
        <w:rPr>
          <w:b/>
        </w:rPr>
      </w:pPr>
    </w:p>
    <w:p w14:paraId="4E4CD11B" w14:textId="77777777" w:rsidR="006E5E26" w:rsidRDefault="006E5E26">
      <w:pPr>
        <w:spacing w:line="360" w:lineRule="auto"/>
        <w:jc w:val="center"/>
        <w:rPr>
          <w:b/>
        </w:rPr>
      </w:pPr>
    </w:p>
    <w:p w14:paraId="73FEDBA3" w14:textId="77777777" w:rsidR="006E5E26" w:rsidRDefault="006E5E26">
      <w:pPr>
        <w:spacing w:line="360" w:lineRule="auto"/>
        <w:jc w:val="center"/>
        <w:rPr>
          <w:b/>
        </w:rPr>
      </w:pPr>
    </w:p>
    <w:p w14:paraId="133CEC76" w14:textId="77777777" w:rsidR="006E5E26" w:rsidRDefault="006E5E26">
      <w:pPr>
        <w:spacing w:line="360" w:lineRule="auto"/>
        <w:jc w:val="center"/>
        <w:rPr>
          <w:b/>
        </w:rPr>
      </w:pPr>
    </w:p>
    <w:p w14:paraId="2348223E" w14:textId="77777777" w:rsidR="006E5E26" w:rsidRDefault="006E5E26">
      <w:pPr>
        <w:spacing w:line="360" w:lineRule="auto"/>
        <w:jc w:val="center"/>
        <w:rPr>
          <w:b/>
        </w:rPr>
      </w:pPr>
    </w:p>
    <w:p w14:paraId="215660EB" w14:textId="77777777" w:rsidR="006E5E26" w:rsidRDefault="006E5E26">
      <w:pPr>
        <w:spacing w:line="360" w:lineRule="auto"/>
        <w:jc w:val="center"/>
        <w:rPr>
          <w:b/>
        </w:rPr>
      </w:pPr>
    </w:p>
    <w:p w14:paraId="09D0DA49" w14:textId="77777777" w:rsidR="006E5E26" w:rsidRDefault="00000000">
      <w:pPr>
        <w:spacing w:line="360" w:lineRule="auto"/>
        <w:jc w:val="center"/>
        <w:rPr>
          <w:b/>
        </w:rPr>
      </w:pPr>
      <w:r>
        <w:rPr>
          <w:b/>
        </w:rPr>
        <w:t>WOMEN’S RIGHTS VIOLATIONS BASED ON SEXUAL ORIENTATION AND</w:t>
      </w:r>
    </w:p>
    <w:p w14:paraId="2C52DDDD" w14:textId="77777777" w:rsidR="006E5E26" w:rsidRDefault="00000000">
      <w:pPr>
        <w:spacing w:line="360" w:lineRule="auto"/>
        <w:jc w:val="center"/>
        <w:rPr>
          <w:b/>
        </w:rPr>
      </w:pPr>
      <w:r>
        <w:rPr>
          <w:b/>
        </w:rPr>
        <w:t>GENDER IDENTITY IN TURKMENISTAN</w:t>
      </w:r>
    </w:p>
    <w:p w14:paraId="02163BBC" w14:textId="77777777" w:rsidR="006E5E26" w:rsidRDefault="00000000">
      <w:pPr>
        <w:spacing w:line="360" w:lineRule="auto"/>
        <w:jc w:val="center"/>
        <w:rPr>
          <w:b/>
          <w:vertAlign w:val="superscript"/>
        </w:rPr>
      </w:pPr>
      <w:r>
        <w:rPr>
          <w:b/>
        </w:rPr>
        <w:t>SUBMISSION by ECOM</w:t>
      </w:r>
    </w:p>
    <w:p w14:paraId="29FE439C" w14:textId="77777777" w:rsidR="006E5E26" w:rsidRDefault="00000000">
      <w:pPr>
        <w:spacing w:line="360" w:lineRule="auto"/>
        <w:jc w:val="center"/>
        <w:rPr>
          <w:b/>
        </w:rPr>
      </w:pPr>
      <w:r>
        <w:rPr>
          <w:b/>
        </w:rPr>
        <w:t>TO THE 87TH SESSION OF THE TO THE UNITED NATIONS COMMITTEE ON THE ELIMINATION OF DISCRIMINATION AGAINST WOMEN</w:t>
      </w:r>
    </w:p>
    <w:p w14:paraId="1A7486E0" w14:textId="77777777" w:rsidR="006E5E26" w:rsidRDefault="006E5E26">
      <w:pPr>
        <w:spacing w:line="360" w:lineRule="auto"/>
        <w:jc w:val="both"/>
        <w:rPr>
          <w:b/>
        </w:rPr>
      </w:pPr>
    </w:p>
    <w:p w14:paraId="036709A2" w14:textId="77777777" w:rsidR="006E5E26" w:rsidRDefault="006E5E26">
      <w:pPr>
        <w:spacing w:line="360" w:lineRule="auto"/>
        <w:jc w:val="both"/>
        <w:rPr>
          <w:b/>
        </w:rPr>
      </w:pPr>
    </w:p>
    <w:p w14:paraId="22E93F8E" w14:textId="77777777" w:rsidR="006E5E26" w:rsidRDefault="006E5E26">
      <w:pPr>
        <w:spacing w:line="360" w:lineRule="auto"/>
        <w:jc w:val="both"/>
        <w:rPr>
          <w:b/>
        </w:rPr>
      </w:pPr>
    </w:p>
    <w:p w14:paraId="6937EACC" w14:textId="77777777" w:rsidR="006E5E26" w:rsidRDefault="006E5E26">
      <w:pPr>
        <w:spacing w:line="360" w:lineRule="auto"/>
        <w:jc w:val="both"/>
        <w:rPr>
          <w:b/>
        </w:rPr>
      </w:pPr>
    </w:p>
    <w:p w14:paraId="21378780" w14:textId="77777777" w:rsidR="006E5E26" w:rsidRDefault="006E5E26">
      <w:pPr>
        <w:spacing w:line="360" w:lineRule="auto"/>
        <w:jc w:val="both"/>
        <w:rPr>
          <w:b/>
        </w:rPr>
      </w:pPr>
    </w:p>
    <w:p w14:paraId="6A5608D9" w14:textId="77777777" w:rsidR="006E5E26" w:rsidRDefault="006E5E26">
      <w:pPr>
        <w:spacing w:line="360" w:lineRule="auto"/>
        <w:jc w:val="both"/>
        <w:rPr>
          <w:b/>
        </w:rPr>
      </w:pPr>
    </w:p>
    <w:p w14:paraId="019E5463" w14:textId="77777777" w:rsidR="006E5E26" w:rsidRDefault="006E5E26">
      <w:pPr>
        <w:spacing w:line="360" w:lineRule="auto"/>
        <w:jc w:val="both"/>
        <w:rPr>
          <w:b/>
        </w:rPr>
      </w:pPr>
    </w:p>
    <w:p w14:paraId="32180E7E" w14:textId="77777777" w:rsidR="006E5E26" w:rsidRDefault="006E5E26">
      <w:pPr>
        <w:spacing w:line="360" w:lineRule="auto"/>
        <w:jc w:val="both"/>
        <w:rPr>
          <w:b/>
        </w:rPr>
      </w:pPr>
    </w:p>
    <w:p w14:paraId="5FF0B7E9" w14:textId="77777777" w:rsidR="006E5E26" w:rsidRDefault="006E5E26">
      <w:pPr>
        <w:spacing w:line="360" w:lineRule="auto"/>
        <w:jc w:val="both"/>
        <w:rPr>
          <w:b/>
        </w:rPr>
      </w:pPr>
    </w:p>
    <w:p w14:paraId="30CC5D92" w14:textId="77777777" w:rsidR="006E5E26" w:rsidRDefault="006E5E26">
      <w:pPr>
        <w:spacing w:line="360" w:lineRule="auto"/>
        <w:jc w:val="both"/>
        <w:rPr>
          <w:b/>
        </w:rPr>
      </w:pPr>
    </w:p>
    <w:p w14:paraId="2B2E65D5" w14:textId="77777777" w:rsidR="006E5E26" w:rsidRDefault="006E5E26">
      <w:pPr>
        <w:spacing w:line="360" w:lineRule="auto"/>
        <w:jc w:val="both"/>
        <w:rPr>
          <w:b/>
        </w:rPr>
      </w:pPr>
    </w:p>
    <w:p w14:paraId="2E057445" w14:textId="77777777" w:rsidR="006E5E26" w:rsidRDefault="006E5E26">
      <w:pPr>
        <w:spacing w:line="360" w:lineRule="auto"/>
        <w:jc w:val="both"/>
        <w:rPr>
          <w:b/>
        </w:rPr>
      </w:pPr>
    </w:p>
    <w:p w14:paraId="224A5761" w14:textId="77777777" w:rsidR="006E5E26" w:rsidRDefault="006E5E26">
      <w:pPr>
        <w:spacing w:line="360" w:lineRule="auto"/>
        <w:jc w:val="both"/>
        <w:rPr>
          <w:b/>
        </w:rPr>
      </w:pPr>
    </w:p>
    <w:p w14:paraId="1906F5B0" w14:textId="77777777" w:rsidR="006E5E26" w:rsidRDefault="006E5E26">
      <w:pPr>
        <w:spacing w:line="360" w:lineRule="auto"/>
        <w:jc w:val="both"/>
        <w:rPr>
          <w:b/>
        </w:rPr>
      </w:pPr>
    </w:p>
    <w:p w14:paraId="3B0C256C" w14:textId="77777777" w:rsidR="006E5E26" w:rsidRDefault="006E5E26">
      <w:pPr>
        <w:spacing w:line="360" w:lineRule="auto"/>
        <w:jc w:val="both"/>
        <w:rPr>
          <w:b/>
        </w:rPr>
      </w:pPr>
    </w:p>
    <w:p w14:paraId="5C047AD2" w14:textId="77777777" w:rsidR="006E5E26" w:rsidRDefault="006E5E26">
      <w:pPr>
        <w:spacing w:line="360" w:lineRule="auto"/>
        <w:jc w:val="both"/>
        <w:rPr>
          <w:b/>
        </w:rPr>
      </w:pPr>
    </w:p>
    <w:p w14:paraId="32E8BB48" w14:textId="77777777" w:rsidR="006E5E26" w:rsidRDefault="006E5E26">
      <w:pPr>
        <w:spacing w:line="360" w:lineRule="auto"/>
        <w:jc w:val="both"/>
        <w:rPr>
          <w:b/>
        </w:rPr>
      </w:pPr>
    </w:p>
    <w:p w14:paraId="25658FB3" w14:textId="77777777" w:rsidR="006E5E26" w:rsidRDefault="006E5E26">
      <w:pPr>
        <w:spacing w:line="360" w:lineRule="auto"/>
        <w:jc w:val="both"/>
        <w:rPr>
          <w:b/>
        </w:rPr>
      </w:pPr>
    </w:p>
    <w:p w14:paraId="44469800" w14:textId="77777777" w:rsidR="006E5E26" w:rsidRDefault="006E5E26">
      <w:pPr>
        <w:spacing w:line="360" w:lineRule="auto"/>
        <w:jc w:val="both"/>
        <w:rPr>
          <w:b/>
        </w:rPr>
      </w:pPr>
    </w:p>
    <w:p w14:paraId="634206E6" w14:textId="5F8A5B60" w:rsidR="006E5E26" w:rsidRDefault="008C5366">
      <w:pPr>
        <w:spacing w:line="360" w:lineRule="auto"/>
        <w:jc w:val="both"/>
        <w:rPr>
          <w:b/>
        </w:rPr>
      </w:pPr>
      <w:r w:rsidRPr="009A7553">
        <w:rPr>
          <w:noProof/>
          <w:lang w:val="en-US"/>
        </w:rPr>
        <w:lastRenderedPageBreak/>
        <w:drawing>
          <wp:anchor distT="0" distB="0" distL="114300" distR="114300" simplePos="0" relativeHeight="251661312" behindDoc="1" locked="0" layoutInCell="1" allowOverlap="1" wp14:anchorId="7B32C6A0" wp14:editId="09C406D0">
            <wp:simplePos x="0" y="0"/>
            <wp:positionH relativeFrom="column">
              <wp:posOffset>3777343</wp:posOffset>
            </wp:positionH>
            <wp:positionV relativeFrom="paragraph">
              <wp:posOffset>-991235</wp:posOffset>
            </wp:positionV>
            <wp:extent cx="3068320" cy="10485120"/>
            <wp:effectExtent l="0" t="0" r="5080"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b/>
        </w:rPr>
        <w:t>The following organization provides information in this report:</w:t>
      </w:r>
      <w:r w:rsidRPr="008C5366">
        <w:rPr>
          <w:noProof/>
          <w:lang w:val="en-US"/>
        </w:rPr>
        <w:t xml:space="preserve"> </w:t>
      </w:r>
    </w:p>
    <w:p w14:paraId="770F89A8" w14:textId="77777777" w:rsidR="006E5E26" w:rsidRDefault="00000000">
      <w:pPr>
        <w:spacing w:line="360" w:lineRule="auto"/>
        <w:jc w:val="both"/>
      </w:pPr>
      <w:r>
        <w:t>Eurasian Coalition on Health, Rights, Gender and Sexual Diversity (ECOM), an international non-governmental organization based in Tallinn, Estonia. We are a membership organization open to non-profit organizations and activists working in the areas of HIV prevention, treatment, care, and support for men who have sex with men and transgender people in Eastern Europe and Central Asia (EECA) region. The network currently has 76 members from 19 countries, stretching from Estonia to Tajikistan.</w:t>
      </w:r>
    </w:p>
    <w:p w14:paraId="2A20E5A6" w14:textId="77777777" w:rsidR="006E5E26" w:rsidRDefault="006E5E26">
      <w:pPr>
        <w:spacing w:line="360" w:lineRule="auto"/>
        <w:jc w:val="both"/>
      </w:pPr>
    </w:p>
    <w:p w14:paraId="4B16CF45" w14:textId="77777777" w:rsidR="006E5E26" w:rsidRDefault="00000000">
      <w:pPr>
        <w:keepNext/>
        <w:keepLines/>
        <w:pBdr>
          <w:top w:val="nil"/>
          <w:left w:val="nil"/>
          <w:bottom w:val="nil"/>
          <w:right w:val="nil"/>
          <w:between w:val="nil"/>
        </w:pBdr>
        <w:spacing w:before="480" w:line="360" w:lineRule="auto"/>
        <w:rPr>
          <w:color w:val="2F5496"/>
        </w:rPr>
      </w:pPr>
      <w:r>
        <w:rPr>
          <w:color w:val="2F5496"/>
        </w:rPr>
        <w:t>Table of Contents</w:t>
      </w:r>
    </w:p>
    <w:sdt>
      <w:sdtPr>
        <w:id w:val="933173113"/>
        <w:docPartObj>
          <w:docPartGallery w:val="Table of Contents"/>
          <w:docPartUnique/>
        </w:docPartObj>
      </w:sdtPr>
      <w:sdtContent>
        <w:p w14:paraId="451A6C39" w14:textId="77777777" w:rsidR="006E5E26" w:rsidRDefault="00000000">
          <w:pPr>
            <w:pBdr>
              <w:top w:val="nil"/>
              <w:left w:val="nil"/>
              <w:bottom w:val="nil"/>
              <w:right w:val="nil"/>
              <w:between w:val="nil"/>
            </w:pBdr>
            <w:tabs>
              <w:tab w:val="right" w:leader="dot" w:pos="9350"/>
            </w:tabs>
            <w:spacing w:before="120" w:line="360" w:lineRule="auto"/>
            <w:rPr>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21B69E9A"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30j0zll">
            <w:r>
              <w:rPr>
                <w:color w:val="000000"/>
              </w:rPr>
              <w:t>Summary</w:t>
            </w:r>
            <w:r>
              <w:rPr>
                <w:color w:val="000000"/>
              </w:rPr>
              <w:tab/>
              <w:t>3</w:t>
            </w:r>
          </w:hyperlink>
        </w:p>
        <w:p w14:paraId="75EF2FE4"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1fob9te">
            <w:r>
              <w:rPr>
                <w:color w:val="000000"/>
              </w:rPr>
              <w:t>Harmful stereotyping (under articles 3 and 5)</w:t>
            </w:r>
            <w:r>
              <w:rPr>
                <w:color w:val="000000"/>
              </w:rPr>
              <w:tab/>
              <w:t>4</w:t>
            </w:r>
          </w:hyperlink>
        </w:p>
        <w:p w14:paraId="740D35A3"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3znysh7">
            <w:r>
              <w:rPr>
                <w:color w:val="000000"/>
              </w:rPr>
              <w:t>Gender-based violence against women</w:t>
            </w:r>
            <w:r>
              <w:rPr>
                <w:color w:val="000000"/>
              </w:rPr>
              <w:tab/>
              <w:t>5</w:t>
            </w:r>
          </w:hyperlink>
        </w:p>
        <w:p w14:paraId="39CF9923"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2et92p0">
            <w:r>
              <w:rPr>
                <w:color w:val="000000"/>
              </w:rPr>
              <w:t>Health (under article 12)</w:t>
            </w:r>
            <w:r>
              <w:rPr>
                <w:color w:val="000000"/>
              </w:rPr>
              <w:tab/>
              <w:t>6</w:t>
            </w:r>
          </w:hyperlink>
        </w:p>
        <w:p w14:paraId="6C32B558"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tyjcwt">
            <w:r>
              <w:rPr>
                <w:color w:val="000000"/>
              </w:rPr>
              <w:t>Social protection (under article 13)</w:t>
            </w:r>
            <w:r>
              <w:rPr>
                <w:color w:val="000000"/>
              </w:rPr>
              <w:tab/>
              <w:t>8</w:t>
            </w:r>
          </w:hyperlink>
        </w:p>
        <w:p w14:paraId="7063E4CE"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3dy6vkm">
            <w:r>
              <w:rPr>
                <w:color w:val="000000"/>
              </w:rPr>
              <w:t>Education (under article 11)</w:t>
            </w:r>
            <w:r>
              <w:rPr>
                <w:color w:val="000000"/>
              </w:rPr>
              <w:tab/>
              <w:t>8</w:t>
            </w:r>
          </w:hyperlink>
        </w:p>
        <w:p w14:paraId="434DAC25"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1t3h5sf">
            <w:r>
              <w:rPr>
                <w:color w:val="000000"/>
              </w:rPr>
              <w:t>Participation in political and public life (under Article 7)</w:t>
            </w:r>
            <w:r>
              <w:rPr>
                <w:color w:val="000000"/>
              </w:rPr>
              <w:tab/>
              <w:t>9</w:t>
            </w:r>
          </w:hyperlink>
        </w:p>
        <w:p w14:paraId="15D1E448"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4d34og8">
            <w:r>
              <w:rPr>
                <w:color w:val="000000"/>
              </w:rPr>
              <w:t>Gender recognition</w:t>
            </w:r>
            <w:r>
              <w:rPr>
                <w:color w:val="000000"/>
              </w:rPr>
              <w:tab/>
              <w:t>10</w:t>
            </w:r>
          </w:hyperlink>
        </w:p>
        <w:p w14:paraId="302F53A8"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2s8eyo1">
            <w:r>
              <w:rPr>
                <w:color w:val="000000"/>
              </w:rPr>
              <w:t>Equality before the law (under article 15)</w:t>
            </w:r>
            <w:r>
              <w:rPr>
                <w:color w:val="000000"/>
              </w:rPr>
              <w:tab/>
              <w:t>10</w:t>
            </w:r>
          </w:hyperlink>
        </w:p>
        <w:p w14:paraId="22A92209" w14:textId="77777777" w:rsidR="006E5E26" w:rsidRDefault="00000000">
          <w:pPr>
            <w:pBdr>
              <w:top w:val="nil"/>
              <w:left w:val="nil"/>
              <w:bottom w:val="nil"/>
              <w:right w:val="nil"/>
              <w:between w:val="nil"/>
            </w:pBdr>
            <w:tabs>
              <w:tab w:val="right" w:leader="dot" w:pos="9350"/>
            </w:tabs>
            <w:spacing w:before="120" w:line="360" w:lineRule="auto"/>
            <w:rPr>
              <w:color w:val="000000"/>
            </w:rPr>
          </w:pPr>
          <w:hyperlink w:anchor="_17dp8vu">
            <w:r>
              <w:rPr>
                <w:color w:val="000000"/>
              </w:rPr>
              <w:t>Proposed recommendations for the consideration of Committee:</w:t>
            </w:r>
            <w:r>
              <w:rPr>
                <w:color w:val="000000"/>
              </w:rPr>
              <w:tab/>
              <w:t>11</w:t>
            </w:r>
          </w:hyperlink>
        </w:p>
        <w:p w14:paraId="4D8B6A1E" w14:textId="77777777" w:rsidR="006E5E26" w:rsidRDefault="00000000">
          <w:pPr>
            <w:spacing w:line="360" w:lineRule="auto"/>
          </w:pPr>
          <w:r>
            <w:fldChar w:fldCharType="end"/>
          </w:r>
        </w:p>
      </w:sdtContent>
    </w:sdt>
    <w:p w14:paraId="7872D93C" w14:textId="77777777" w:rsidR="006E5E26" w:rsidRDefault="00000000">
      <w:r>
        <w:br w:type="page"/>
      </w:r>
    </w:p>
    <w:p w14:paraId="6904D8EB" w14:textId="555C4F73" w:rsidR="006E5E26" w:rsidRDefault="008C5366">
      <w:pPr>
        <w:pStyle w:val="1"/>
        <w:rPr>
          <w:rFonts w:ascii="Times New Roman" w:eastAsia="Times New Roman" w:hAnsi="Times New Roman" w:cs="Times New Roman"/>
          <w:b/>
          <w:color w:val="000000"/>
          <w:sz w:val="28"/>
          <w:szCs w:val="28"/>
        </w:rPr>
      </w:pPr>
      <w:bookmarkStart w:id="0" w:name="_gjdgxs" w:colFirst="0" w:colLast="0"/>
      <w:bookmarkEnd w:id="0"/>
      <w:r w:rsidRPr="009A7553">
        <w:rPr>
          <w:rFonts w:ascii="Times New Roman" w:hAnsi="Times New Roman" w:cs="Times New Roman"/>
          <w:noProof/>
          <w:lang w:val="en-US"/>
        </w:rPr>
        <w:lastRenderedPageBreak/>
        <w:drawing>
          <wp:anchor distT="0" distB="0" distL="114300" distR="114300" simplePos="0" relativeHeight="251663360" behindDoc="1" locked="0" layoutInCell="1" allowOverlap="1" wp14:anchorId="11CD4338" wp14:editId="1CA81E30">
            <wp:simplePos x="0" y="0"/>
            <wp:positionH relativeFrom="column">
              <wp:posOffset>3744686</wp:posOffset>
            </wp:positionH>
            <wp:positionV relativeFrom="paragraph">
              <wp:posOffset>-991235</wp:posOffset>
            </wp:positionV>
            <wp:extent cx="3068320" cy="10485120"/>
            <wp:effectExtent l="0" t="0" r="5080" b="508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b/>
          <w:color w:val="000000"/>
          <w:sz w:val="28"/>
          <w:szCs w:val="28"/>
        </w:rPr>
        <w:t>Introduction</w:t>
      </w:r>
    </w:p>
    <w:p w14:paraId="7A028E9A" w14:textId="77777777" w:rsidR="006E5E26" w:rsidRDefault="006E5E26"/>
    <w:p w14:paraId="4F25A4FA" w14:textId="5133803E" w:rsidR="006E5E26" w:rsidRDefault="00000000">
      <w:pPr>
        <w:spacing w:line="392" w:lineRule="auto"/>
        <w:jc w:val="both"/>
      </w:pPr>
      <w:r>
        <w:t xml:space="preserve">Lesbian, bisexual, and transgender (LBT) women’ rights are an extremely delicate and controversial topic in Turkmenistan. </w:t>
      </w:r>
      <w:r w:rsidR="000C5715">
        <w:rPr>
          <w:lang w:val="en-US"/>
        </w:rPr>
        <w:t>H</w:t>
      </w:r>
      <w:r>
        <w:t xml:space="preserve">omosexuality is deemed illegal and stigmatized. LBT women are often the targets of harassment, violence, and discrimination from both state and non-state actors. Furthermore, they do not benefit from any legal protections against discrimination based on their sexual orientation or gender identity, forcing </w:t>
      </w:r>
      <w:r w:rsidR="000C5715">
        <w:rPr>
          <w:lang w:val="en-US"/>
        </w:rPr>
        <w:t>LBT women</w:t>
      </w:r>
      <w:r>
        <w:t xml:space="preserve"> to live in secrecy and isolation frequently. The absence of legal recognition and social acceptance means that LBT women encounter limited opportunities to obtain assistance and resources to cope with issues such as violence, discrimination, and health care. Consequently, LBT women in Turkmenistan are at risk of being marginalized and exposed, with very few paths for relief or safeguarding. </w:t>
      </w:r>
    </w:p>
    <w:p w14:paraId="7236EE8C" w14:textId="77777777" w:rsidR="006E5E26" w:rsidRDefault="00000000">
      <w:pPr>
        <w:pStyle w:val="1"/>
        <w:rPr>
          <w:rFonts w:ascii="Times New Roman" w:eastAsia="Times New Roman" w:hAnsi="Times New Roman" w:cs="Times New Roman"/>
          <w:b/>
          <w:color w:val="000000"/>
          <w:sz w:val="28"/>
          <w:szCs w:val="28"/>
        </w:rPr>
      </w:pPr>
      <w:bookmarkStart w:id="1" w:name="_30j0zll" w:colFirst="0" w:colLast="0"/>
      <w:bookmarkEnd w:id="1"/>
      <w:r>
        <w:rPr>
          <w:rFonts w:ascii="Times New Roman" w:eastAsia="Times New Roman" w:hAnsi="Times New Roman" w:cs="Times New Roman"/>
          <w:b/>
          <w:color w:val="000000"/>
          <w:sz w:val="28"/>
          <w:szCs w:val="28"/>
        </w:rPr>
        <w:t>Summary</w:t>
      </w:r>
    </w:p>
    <w:p w14:paraId="406A67FF" w14:textId="77777777" w:rsidR="006E5E26" w:rsidRDefault="006E5E26"/>
    <w:p w14:paraId="4D247448" w14:textId="77777777" w:rsidR="006E5E26" w:rsidRDefault="00000000">
      <w:pPr>
        <w:spacing w:line="360" w:lineRule="auto"/>
        <w:jc w:val="both"/>
      </w:pPr>
      <w:bookmarkStart w:id="2" w:name="_1fob9te" w:colFirst="0" w:colLast="0"/>
      <w:bookmarkEnd w:id="2"/>
      <w:r>
        <w:t>In preparation for the review of Turkmenistan's sixth periodic report under Article 18 of the Convention on the Elimination of All Forms of Discrimination against Women, ECOM has drafted this briefing for the United Nations Committee on the Elimination of Discrimination against Women. While this document does not aim to cover all areas of concern, it highlights the challenges faced by LBT women in accessing their basic human rights. These challenges include discrimination, hate crimes, gender-based violence, restricted healthcare and education access, and insufficient social protection and housing. The exclusion of LBT women from the political process and the lack of gender recognition further exacerbate their difficulties, leaving them with limited resources and a sense of hopelessness. These issues demonstrate the urgent need for the Turkmenistan government to take concrete steps to address discrimination against LBT women and ensure their equal treatment and protection under the law.</w:t>
      </w:r>
    </w:p>
    <w:p w14:paraId="0A8DD569" w14:textId="77777777" w:rsidR="006E5E26" w:rsidRDefault="006E5E26">
      <w:pPr>
        <w:jc w:val="both"/>
      </w:pPr>
    </w:p>
    <w:p w14:paraId="7E40DC28" w14:textId="77777777" w:rsidR="006E5E26" w:rsidRDefault="006E5E26">
      <w:pPr>
        <w:jc w:val="both"/>
      </w:pPr>
    </w:p>
    <w:p w14:paraId="194AE185" w14:textId="77777777" w:rsidR="006E5E26" w:rsidRDefault="006E5E26">
      <w:pPr>
        <w:jc w:val="both"/>
      </w:pPr>
    </w:p>
    <w:p w14:paraId="68BA6FE0" w14:textId="77777777" w:rsidR="006E5E26" w:rsidRDefault="006E5E26">
      <w:pPr>
        <w:jc w:val="both"/>
      </w:pPr>
    </w:p>
    <w:p w14:paraId="051F366C" w14:textId="77777777" w:rsidR="000C5715" w:rsidRDefault="000C5715">
      <w:pPr>
        <w:jc w:val="both"/>
      </w:pPr>
    </w:p>
    <w:p w14:paraId="5362C5EE" w14:textId="77777777" w:rsidR="006E5E26" w:rsidRDefault="006E5E26">
      <w:pPr>
        <w:jc w:val="both"/>
      </w:pPr>
    </w:p>
    <w:p w14:paraId="0F502856" w14:textId="77777777" w:rsidR="006E5E26" w:rsidRDefault="006E5E26">
      <w:pPr>
        <w:jc w:val="both"/>
      </w:pPr>
    </w:p>
    <w:p w14:paraId="11281BCD" w14:textId="16C79042" w:rsidR="006E5E26" w:rsidRDefault="008C5366">
      <w:pPr>
        <w:pStyle w:val="1"/>
        <w:rPr>
          <w:rFonts w:ascii="Times New Roman" w:eastAsia="Times New Roman" w:hAnsi="Times New Roman" w:cs="Times New Roman"/>
          <w:b/>
          <w:color w:val="000000"/>
          <w:sz w:val="28"/>
          <w:szCs w:val="28"/>
        </w:rPr>
      </w:pPr>
      <w:r w:rsidRPr="009A7553">
        <w:rPr>
          <w:rFonts w:ascii="Times New Roman" w:hAnsi="Times New Roman" w:cs="Times New Roman"/>
          <w:noProof/>
          <w:lang w:val="en-US"/>
        </w:rPr>
        <w:lastRenderedPageBreak/>
        <w:drawing>
          <wp:anchor distT="0" distB="0" distL="114300" distR="114300" simplePos="0" relativeHeight="251665408" behindDoc="1" locked="0" layoutInCell="1" allowOverlap="1" wp14:anchorId="5A471C3E" wp14:editId="6E4D9701">
            <wp:simplePos x="0" y="0"/>
            <wp:positionH relativeFrom="column">
              <wp:posOffset>3766457</wp:posOffset>
            </wp:positionH>
            <wp:positionV relativeFrom="paragraph">
              <wp:posOffset>-991235</wp:posOffset>
            </wp:positionV>
            <wp:extent cx="3068320" cy="10485120"/>
            <wp:effectExtent l="0" t="0" r="5080" b="508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b/>
          <w:color w:val="000000"/>
          <w:sz w:val="28"/>
          <w:szCs w:val="28"/>
        </w:rPr>
        <w:t>Harmful stereotyping (under articles 3 and 5)</w:t>
      </w:r>
      <w:r w:rsidRPr="008C5366">
        <w:rPr>
          <w:rFonts w:ascii="Times New Roman" w:hAnsi="Times New Roman" w:cs="Times New Roman"/>
          <w:noProof/>
          <w:lang w:val="en-US"/>
        </w:rPr>
        <w:t xml:space="preserve"> </w:t>
      </w:r>
    </w:p>
    <w:p w14:paraId="4ABF2F8F" w14:textId="77777777" w:rsidR="006E5E26" w:rsidRDefault="006E5E26"/>
    <w:p w14:paraId="2390619C" w14:textId="77777777" w:rsidR="006E5E26" w:rsidRDefault="00000000">
      <w:pPr>
        <w:numPr>
          <w:ilvl w:val="0"/>
          <w:numId w:val="1"/>
        </w:numPr>
        <w:pBdr>
          <w:top w:val="nil"/>
          <w:left w:val="nil"/>
          <w:bottom w:val="nil"/>
          <w:right w:val="nil"/>
          <w:between w:val="nil"/>
        </w:pBdr>
        <w:spacing w:line="360" w:lineRule="auto"/>
        <w:jc w:val="both"/>
      </w:pPr>
      <w:r>
        <w:rPr>
          <w:color w:val="000000"/>
        </w:rPr>
        <w:t>The advancement of women’s rights in Turkmenistan is commonly seen as the fulfillment of the government’s duty to provide social support to women in their roles as mothers and caretakers. However, there has been insufficient effort to challenge existing harmful stereotypes and discriminatory practices, and to ensure equal opportunities for all genders. The safeguarding of human rights is a fundamental obligation of the state, yet the Turkmenistan government has failed to address the human rights violations experienced by LBT women. Not only has the government remained silent, but high-ranking officials have also utilized traditional and moral values to justify discrimination against individuals based on their sexual orientation or gender identity. This denial of the existence of LBT women in Turkmenistan has perpetuated stigmatization and exclusion.</w:t>
      </w:r>
    </w:p>
    <w:p w14:paraId="74FD5D48" w14:textId="77777777" w:rsidR="006E5E26" w:rsidRDefault="00000000">
      <w:pPr>
        <w:numPr>
          <w:ilvl w:val="0"/>
          <w:numId w:val="1"/>
        </w:numPr>
        <w:pBdr>
          <w:top w:val="nil"/>
          <w:left w:val="nil"/>
          <w:bottom w:val="nil"/>
          <w:right w:val="nil"/>
          <w:between w:val="nil"/>
        </w:pBdr>
        <w:spacing w:line="360" w:lineRule="auto"/>
        <w:jc w:val="both"/>
      </w:pPr>
      <w:r>
        <w:rPr>
          <w:color w:val="000000"/>
        </w:rPr>
        <w:t>In May 2022, President of Turkmenistan Serdar Berdymukhamedov introduced new rules for women. Nowadays, Turkmen women are facing increasing restrictions in various aspects of their daily lives. These restrictions include prohibitions on the use of cosmetics, riding alone in cars with non-relative males (with the requirement to sit in the back seat), and undergoing plastic surgery</w:t>
      </w:r>
      <w:r>
        <w:rPr>
          <w:color w:val="000000"/>
          <w:vertAlign w:val="superscript"/>
        </w:rPr>
        <w:footnoteReference w:id="1"/>
      </w:r>
      <w:r>
        <w:rPr>
          <w:color w:val="000000"/>
        </w:rPr>
        <w:t xml:space="preserve">. Additional restrictions are being introduced frequently, with concerns that they are becoming increasingly oppressive. The enforcement of these rules has resulted in many women losing their jobs or being subjected to hefty fines, leading to fears of protests and unrest. The ban on “tight-fitting” clothing, dyed hair, long nails or eyelashes, and tattoos has also been implemented, with police patrolling public places and shopping malls to enforce the regulations. </w:t>
      </w:r>
    </w:p>
    <w:p w14:paraId="36F09B87" w14:textId="77777777" w:rsidR="006E5E26" w:rsidRDefault="00000000">
      <w:pPr>
        <w:numPr>
          <w:ilvl w:val="0"/>
          <w:numId w:val="1"/>
        </w:numPr>
        <w:pBdr>
          <w:top w:val="nil"/>
          <w:left w:val="nil"/>
          <w:bottom w:val="nil"/>
          <w:right w:val="nil"/>
          <w:between w:val="nil"/>
        </w:pBdr>
        <w:spacing w:line="360" w:lineRule="auto"/>
        <w:jc w:val="both"/>
      </w:pPr>
      <w:r>
        <w:rPr>
          <w:color w:val="000000"/>
        </w:rPr>
        <w:t xml:space="preserve">Without above restrictions women in Turkmenistan face discrimination in various aspects of life, including education, employment, and political participation. Although women have the legal right to work, they are often confined to low-paying, traditionally female occupations and face significant wage disparities compared to men. Women are also underrepresented in political leadership positions and decision-making roles, with only a few women holding high-ranking government positions. </w:t>
      </w:r>
    </w:p>
    <w:p w14:paraId="478B53FF" w14:textId="2FA32A3B" w:rsidR="006E5E26" w:rsidRDefault="008C5366">
      <w:pPr>
        <w:pStyle w:val="1"/>
        <w:rPr>
          <w:rFonts w:ascii="Times New Roman" w:eastAsia="Times New Roman" w:hAnsi="Times New Roman" w:cs="Times New Roman"/>
          <w:b/>
          <w:color w:val="000000"/>
          <w:sz w:val="28"/>
          <w:szCs w:val="28"/>
        </w:rPr>
      </w:pPr>
      <w:bookmarkStart w:id="3" w:name="_3znysh7" w:colFirst="0" w:colLast="0"/>
      <w:bookmarkEnd w:id="3"/>
      <w:r w:rsidRPr="009A7553">
        <w:rPr>
          <w:rFonts w:ascii="Times New Roman" w:hAnsi="Times New Roman" w:cs="Times New Roman"/>
          <w:noProof/>
          <w:lang w:val="en-US"/>
        </w:rPr>
        <w:lastRenderedPageBreak/>
        <w:drawing>
          <wp:anchor distT="0" distB="0" distL="114300" distR="114300" simplePos="0" relativeHeight="251667456" behindDoc="1" locked="0" layoutInCell="1" allowOverlap="1" wp14:anchorId="743BC4A1" wp14:editId="186438D6">
            <wp:simplePos x="0" y="0"/>
            <wp:positionH relativeFrom="column">
              <wp:posOffset>3744686</wp:posOffset>
            </wp:positionH>
            <wp:positionV relativeFrom="paragraph">
              <wp:posOffset>-980349</wp:posOffset>
            </wp:positionV>
            <wp:extent cx="3068320" cy="10485120"/>
            <wp:effectExtent l="0" t="0" r="5080" b="508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b/>
          <w:color w:val="000000"/>
          <w:sz w:val="28"/>
          <w:szCs w:val="28"/>
        </w:rPr>
        <w:t xml:space="preserve">Gender-based violence against women </w:t>
      </w:r>
    </w:p>
    <w:p w14:paraId="47224231" w14:textId="77777777" w:rsidR="006E5E26" w:rsidRDefault="006E5E26"/>
    <w:p w14:paraId="08522281" w14:textId="77777777" w:rsidR="006E5E26" w:rsidRDefault="00000000">
      <w:pPr>
        <w:numPr>
          <w:ilvl w:val="0"/>
          <w:numId w:val="1"/>
        </w:numPr>
        <w:pBdr>
          <w:top w:val="nil"/>
          <w:left w:val="nil"/>
          <w:bottom w:val="nil"/>
          <w:right w:val="nil"/>
          <w:between w:val="nil"/>
        </w:pBdr>
        <w:spacing w:line="360" w:lineRule="auto"/>
        <w:jc w:val="both"/>
      </w:pPr>
      <w:r>
        <w:rPr>
          <w:color w:val="000000"/>
        </w:rPr>
        <w:t>Gender-based violence against women is a significant problem in Turkmenistan, with inadequate government protection and support for survivors</w:t>
      </w:r>
      <w:r>
        <w:rPr>
          <w:color w:val="000000"/>
          <w:vertAlign w:val="superscript"/>
        </w:rPr>
        <w:footnoteReference w:id="2"/>
      </w:r>
      <w:r>
        <w:rPr>
          <w:color w:val="000000"/>
        </w:rPr>
        <w:t>. A National Action Plan on Gender Equality for 2021-2025 has been adopted, but its impact is unclear. A 2022 UNFPA report revealed that 58% of women between 15 and 49 believe that breaching their spouse’s limitations justifies physical abuse</w:t>
      </w:r>
      <w:r>
        <w:rPr>
          <w:color w:val="000000"/>
          <w:vertAlign w:val="superscript"/>
        </w:rPr>
        <w:footnoteReference w:id="3"/>
      </w:r>
      <w:r>
        <w:rPr>
          <w:color w:val="000000"/>
        </w:rPr>
        <w:t>, with the most prevalent form of control being forbidding women from leaving their homes without permission, followed by prohibiting employment or education. 41% of women reported experiencing controlling behavior from their spouse or partner. This report lacks any information regarding violence experienced by women who identify as LBT, who may face unique forms of violence due to their sexual orientation and gender identity.</w:t>
      </w:r>
    </w:p>
    <w:p w14:paraId="52025407" w14:textId="77777777" w:rsidR="006E5E26" w:rsidRDefault="00000000">
      <w:pPr>
        <w:numPr>
          <w:ilvl w:val="0"/>
          <w:numId w:val="1"/>
        </w:numPr>
        <w:pBdr>
          <w:top w:val="nil"/>
          <w:left w:val="nil"/>
          <w:bottom w:val="nil"/>
          <w:right w:val="nil"/>
          <w:between w:val="nil"/>
        </w:pBdr>
        <w:spacing w:line="360" w:lineRule="auto"/>
        <w:jc w:val="both"/>
      </w:pPr>
      <w:r>
        <w:rPr>
          <w:color w:val="000000"/>
        </w:rPr>
        <w:t>In follow-up letter on concluding observations of the CEDAW in 2021 it was suggested to Turkmenistan strengthen it laws regarding gender-based violence and introduce punishment for this crime. Nevertheless, Turkmenistan did not make any amendments in this field.</w:t>
      </w:r>
    </w:p>
    <w:p w14:paraId="3E5E6DFB" w14:textId="77777777" w:rsidR="006E5E26" w:rsidRDefault="00000000">
      <w:pPr>
        <w:numPr>
          <w:ilvl w:val="0"/>
          <w:numId w:val="1"/>
        </w:numPr>
        <w:pBdr>
          <w:top w:val="nil"/>
          <w:left w:val="nil"/>
          <w:bottom w:val="nil"/>
          <w:right w:val="nil"/>
          <w:between w:val="nil"/>
        </w:pBdr>
        <w:spacing w:line="360" w:lineRule="auto"/>
        <w:jc w:val="both"/>
      </w:pPr>
      <w:r>
        <w:rPr>
          <w:color w:val="000000"/>
        </w:rPr>
        <w:t>Obtaining accurate figures on gender-based violence cases reported to law enforcement agencies in Turkmenistan is a challenging task. This lack of data suggests that a significant number of cases may not have been brought to the attention of the authorities, leaving women without access to justice and potentially viewing such violence as a regular occurrence within the family setting. Particularly in the context of gender-based violence towards LBT women, it is essential to acknowledge the potential barriers to reporting such violence due to fear of persecution based on their sexual orientation and gender identity. These factors may contribute to underreporting of violence and may hinder efforts to accurately assess the scope of the issue.</w:t>
      </w:r>
    </w:p>
    <w:p w14:paraId="47ADFD11" w14:textId="0FA23D36" w:rsidR="006E5E26" w:rsidRDefault="008C5366">
      <w:pPr>
        <w:numPr>
          <w:ilvl w:val="0"/>
          <w:numId w:val="1"/>
        </w:numPr>
        <w:pBdr>
          <w:top w:val="nil"/>
          <w:left w:val="nil"/>
          <w:bottom w:val="nil"/>
          <w:right w:val="nil"/>
          <w:between w:val="nil"/>
        </w:pBdr>
        <w:spacing w:line="360" w:lineRule="auto"/>
        <w:jc w:val="both"/>
      </w:pPr>
      <w:r w:rsidRPr="009A7553">
        <w:rPr>
          <w:noProof/>
          <w:lang w:val="en-US"/>
        </w:rPr>
        <w:lastRenderedPageBreak/>
        <w:drawing>
          <wp:anchor distT="0" distB="0" distL="114300" distR="114300" simplePos="0" relativeHeight="251669504" behindDoc="1" locked="0" layoutInCell="1" allowOverlap="1" wp14:anchorId="5AF851A6" wp14:editId="4C73EFEE">
            <wp:simplePos x="0" y="0"/>
            <wp:positionH relativeFrom="column">
              <wp:posOffset>3766457</wp:posOffset>
            </wp:positionH>
            <wp:positionV relativeFrom="paragraph">
              <wp:posOffset>-1013007</wp:posOffset>
            </wp:positionV>
            <wp:extent cx="3068320" cy="10485120"/>
            <wp:effectExtent l="0" t="0" r="5080" b="508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color w:val="000000"/>
        </w:rPr>
        <w:t>Ombudsperson of Turkmenistan did not address gender-based violence in their annual report</w:t>
      </w:r>
      <w:r w:rsidR="00000000">
        <w:rPr>
          <w:color w:val="000000"/>
          <w:vertAlign w:val="superscript"/>
        </w:rPr>
        <w:footnoteReference w:id="4"/>
      </w:r>
      <w:r w:rsidR="00000000">
        <w:rPr>
          <w:color w:val="000000"/>
        </w:rPr>
        <w:t>, indicating a gap in the country’s human rights monitoring framework. Furthermore, there is a dearth of information available on complaints related to this issue, adding to the challenge of assessing the scale and scope of gender-based violence in Turkmenistan.</w:t>
      </w:r>
    </w:p>
    <w:p w14:paraId="78D24891" w14:textId="77777777" w:rsidR="006E5E26" w:rsidRDefault="00000000">
      <w:pPr>
        <w:numPr>
          <w:ilvl w:val="0"/>
          <w:numId w:val="1"/>
        </w:numPr>
        <w:pBdr>
          <w:top w:val="nil"/>
          <w:left w:val="nil"/>
          <w:bottom w:val="nil"/>
          <w:right w:val="nil"/>
          <w:between w:val="nil"/>
        </w:pBdr>
        <w:spacing w:after="100" w:line="360" w:lineRule="auto"/>
        <w:jc w:val="both"/>
      </w:pPr>
      <w:r>
        <w:rPr>
          <w:color w:val="000000"/>
        </w:rPr>
        <w:t>LBT women have been subjecting to both physical and moral violence on the basis of their gender or sexual orientation, serves as a powerful illustration of the intersectional nature of gender-based violence in the country. It is crucial to recognize that these women may face significant challenges in obtaining justice and protection from their perpetrators, given the potential for persecution based on their sexual orientation. This underscores the critical need for a comprehensive and inclusive approach to addressing gender-based violence, which accounts for the diverse experiences and needs of all individuals, including those who may face additional obstacles due to their sexual orientation or gender identity.</w:t>
      </w:r>
    </w:p>
    <w:p w14:paraId="3636E93F" w14:textId="77777777" w:rsidR="006E5E26" w:rsidRDefault="00000000">
      <w:pPr>
        <w:pStyle w:val="1"/>
        <w:rPr>
          <w:rFonts w:ascii="Times New Roman" w:eastAsia="Times New Roman" w:hAnsi="Times New Roman" w:cs="Times New Roman"/>
          <w:b/>
          <w:color w:val="000000"/>
          <w:sz w:val="28"/>
          <w:szCs w:val="28"/>
        </w:rPr>
      </w:pPr>
      <w:bookmarkStart w:id="4" w:name="_2et92p0" w:colFirst="0" w:colLast="0"/>
      <w:bookmarkEnd w:id="4"/>
      <w:r>
        <w:rPr>
          <w:rFonts w:ascii="Times New Roman" w:eastAsia="Times New Roman" w:hAnsi="Times New Roman" w:cs="Times New Roman"/>
          <w:b/>
          <w:color w:val="000000"/>
          <w:sz w:val="28"/>
          <w:szCs w:val="28"/>
        </w:rPr>
        <w:t>Health (under article 12)</w:t>
      </w:r>
    </w:p>
    <w:p w14:paraId="739EF86A" w14:textId="77777777" w:rsidR="006E5E26" w:rsidRDefault="006E5E26"/>
    <w:p w14:paraId="34ACF53E" w14:textId="77777777" w:rsidR="006E5E26" w:rsidRDefault="00000000">
      <w:pPr>
        <w:numPr>
          <w:ilvl w:val="0"/>
          <w:numId w:val="1"/>
        </w:numPr>
        <w:pBdr>
          <w:top w:val="nil"/>
          <w:left w:val="nil"/>
          <w:bottom w:val="nil"/>
          <w:right w:val="nil"/>
          <w:between w:val="nil"/>
        </w:pBdr>
        <w:spacing w:line="360" w:lineRule="auto"/>
        <w:jc w:val="both"/>
      </w:pPr>
      <w:r>
        <w:rPr>
          <w:color w:val="000000"/>
        </w:rPr>
        <w:t>Turkmenistan started implementing regulations on abortion, which allow women to terminate their pregnancy within the first five weeks</w:t>
      </w:r>
      <w:r>
        <w:rPr>
          <w:color w:val="000000"/>
          <w:vertAlign w:val="superscript"/>
        </w:rPr>
        <w:footnoteReference w:id="5"/>
      </w:r>
      <w:r>
        <w:rPr>
          <w:color w:val="000000"/>
        </w:rPr>
        <w:t>. It is worth noting that many women are not aware of their pregnancy during this period. Later abortion allowed in limited circumstances, such as in cases of rape or incest, fetal abnormalities, or when the woman’s life is in danger. The government’s policies to encourage women to carry pregnancies to term have led to a high maternal mortality rate, as women are often forced to give birth at home without medical assistance</w:t>
      </w:r>
      <w:r>
        <w:rPr>
          <w:color w:val="000000"/>
          <w:vertAlign w:val="superscript"/>
        </w:rPr>
        <w:footnoteReference w:id="6"/>
      </w:r>
      <w:r>
        <w:rPr>
          <w:color w:val="000000"/>
        </w:rPr>
        <w:t>. It is important to recognize that addressing the lack of SRHR in Turkmenistan is critical to promoting the well-being and rights of all individuals, regardless of gender, and to building a more equitable society.</w:t>
      </w:r>
    </w:p>
    <w:p w14:paraId="6A491361" w14:textId="16B985F2" w:rsidR="006E5E26" w:rsidRDefault="008C5366">
      <w:pPr>
        <w:numPr>
          <w:ilvl w:val="0"/>
          <w:numId w:val="1"/>
        </w:numPr>
        <w:pBdr>
          <w:top w:val="nil"/>
          <w:left w:val="nil"/>
          <w:bottom w:val="nil"/>
          <w:right w:val="nil"/>
          <w:between w:val="nil"/>
        </w:pBdr>
        <w:spacing w:line="360" w:lineRule="auto"/>
        <w:jc w:val="both"/>
      </w:pPr>
      <w:r w:rsidRPr="009A7553">
        <w:rPr>
          <w:noProof/>
          <w:lang w:val="en-US"/>
        </w:rPr>
        <w:lastRenderedPageBreak/>
        <w:drawing>
          <wp:anchor distT="0" distB="0" distL="114300" distR="114300" simplePos="0" relativeHeight="251671552" behindDoc="1" locked="0" layoutInCell="1" allowOverlap="1" wp14:anchorId="172E19C6" wp14:editId="4D0D8A04">
            <wp:simplePos x="0" y="0"/>
            <wp:positionH relativeFrom="column">
              <wp:posOffset>3766457</wp:posOffset>
            </wp:positionH>
            <wp:positionV relativeFrom="paragraph">
              <wp:posOffset>-991235</wp:posOffset>
            </wp:positionV>
            <wp:extent cx="3068320" cy="10485120"/>
            <wp:effectExtent l="0" t="0" r="5080" b="508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000000">
        <w:rPr>
          <w:color w:val="000000"/>
        </w:rPr>
        <w:t>It is a matter of concern that the accurate number of HIV cases in Turkmenistan is unknown due to the lack of transparency in the country. The government has reported only two HIV cases since 1989, which is not reflective of the actual situation</w:t>
      </w:r>
      <w:r w:rsidR="00000000">
        <w:rPr>
          <w:color w:val="000000"/>
          <w:vertAlign w:val="superscript"/>
        </w:rPr>
        <w:footnoteReference w:id="7"/>
      </w:r>
      <w:r w:rsidR="00000000">
        <w:rPr>
          <w:color w:val="000000"/>
        </w:rPr>
        <w:t>. Many cases remain unregistered, which causes significant difficulties for PLHIV, who cannot access appropriate medical treatment and are frequently stigmatized.</w:t>
      </w:r>
      <w:r w:rsidR="00000000">
        <w:rPr>
          <w:color w:val="374151"/>
          <w:shd w:val="clear" w:color="auto" w:fill="F7F7F8"/>
        </w:rPr>
        <w:t xml:space="preserve"> </w:t>
      </w:r>
    </w:p>
    <w:p w14:paraId="10795180"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ECOM reported inadequate knowledge, medical care, and awareness about HIV in Turkmenistan among healthcare workers and the public. The government’s insufficient support for prevention efforts and limited access to antiretroviral therapy are contributing factors. Turkmenistan's failure to implement recognized HIV prevention and treatment measures raises concerns and warrants investigation for potential ill-treatment</w:t>
      </w:r>
      <w:r>
        <w:rPr>
          <w:color w:val="000000"/>
          <w:vertAlign w:val="superscript"/>
        </w:rPr>
        <w:footnoteReference w:id="8"/>
      </w:r>
      <w:r>
        <w:rPr>
          <w:color w:val="000000"/>
        </w:rPr>
        <w:t>.</w:t>
      </w:r>
    </w:p>
    <w:p w14:paraId="19384623"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Turkmenistan’s government is not recognizing men who have sex with men, trans individuals, and non-heterosexual women as key populations for HIV prevention and monitoring</w:t>
      </w:r>
      <w:r>
        <w:rPr>
          <w:color w:val="000000"/>
          <w:vertAlign w:val="superscript"/>
        </w:rPr>
        <w:footnoteReference w:id="9"/>
      </w:r>
      <w:r>
        <w:rPr>
          <w:color w:val="000000"/>
        </w:rPr>
        <w:t>. This lack of action disregards the health rights of LGBT individuals and violates fundamental human rights agreements. It also puts the entire population at risk, which is a violation of the government's constitutional and national HIV legislation obligations.</w:t>
      </w:r>
    </w:p>
    <w:p w14:paraId="1EE76DC1" w14:textId="0535026F" w:rsidR="006E5E26" w:rsidRDefault="00000000">
      <w:pPr>
        <w:numPr>
          <w:ilvl w:val="0"/>
          <w:numId w:val="1"/>
        </w:numPr>
        <w:pBdr>
          <w:top w:val="nil"/>
          <w:left w:val="nil"/>
          <w:bottom w:val="nil"/>
          <w:right w:val="nil"/>
          <w:between w:val="nil"/>
        </w:pBdr>
        <w:spacing w:line="360" w:lineRule="auto"/>
        <w:jc w:val="both"/>
      </w:pPr>
      <w:r>
        <w:rPr>
          <w:color w:val="000000"/>
        </w:rPr>
        <w:t>In its report “Analysis of national legislation of Turkmenistan related to the rights of LGBT and HIV”, ECOM presented a general overview of legislation concerning the rights of LGBT communities and HIV infection, as well as the situation in the country as a whole. According to this document, medical workers in Turkmenistan are required to use the term “Form 50” instead of “HIV”. People living with HIV are kept in separate wings of infectious disease hospitals, and doctors have very little knowledge about this infection. The Red Crescent organization conducted activities to distribute condoms and educational seminars, which reached over 20,000 people,</w:t>
      </w:r>
      <w:r>
        <w:rPr>
          <w:b/>
          <w:color w:val="000000"/>
        </w:rPr>
        <w:t xml:space="preserve"> </w:t>
      </w:r>
      <w:r>
        <w:rPr>
          <w:color w:val="000000"/>
        </w:rPr>
        <w:t>including sex workers and men who have sex with men</w:t>
      </w:r>
      <w:r w:rsidR="000C5715">
        <w:rPr>
          <w:color w:val="000000"/>
          <w:lang w:val="en-US"/>
        </w:rPr>
        <w:t xml:space="preserve"> (MSM)</w:t>
      </w:r>
      <w:r>
        <w:rPr>
          <w:color w:val="000000"/>
        </w:rPr>
        <w:t xml:space="preserve">. However, caution should be exercised in interpreting these results, as the state program does not provide for activities among people who are “outside the law”, </w:t>
      </w:r>
      <w:r w:rsidR="008C5366" w:rsidRPr="009A7553">
        <w:rPr>
          <w:noProof/>
          <w:lang w:val="en-US"/>
        </w:rPr>
        <w:lastRenderedPageBreak/>
        <w:drawing>
          <wp:anchor distT="0" distB="0" distL="114300" distR="114300" simplePos="0" relativeHeight="251673600" behindDoc="1" locked="0" layoutInCell="1" allowOverlap="1" wp14:anchorId="4A9DB3AC" wp14:editId="71A8723E">
            <wp:simplePos x="0" y="0"/>
            <wp:positionH relativeFrom="column">
              <wp:posOffset>3810000</wp:posOffset>
            </wp:positionH>
            <wp:positionV relativeFrom="paragraph">
              <wp:posOffset>-1000488</wp:posOffset>
            </wp:positionV>
            <wp:extent cx="3068320" cy="10485120"/>
            <wp:effectExtent l="0" t="0" r="5080" b="508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Pr>
          <w:color w:val="000000"/>
        </w:rPr>
        <w:t xml:space="preserve">including MSM and </w:t>
      </w:r>
      <w:r w:rsidR="000C5715">
        <w:rPr>
          <w:color w:val="000000"/>
          <w:lang w:val="en-US"/>
        </w:rPr>
        <w:t>sex workers</w:t>
      </w:r>
      <w:r>
        <w:rPr>
          <w:color w:val="000000"/>
        </w:rPr>
        <w:t xml:space="preserve"> and auditing the activities of the National Society of the Red Crescent of Turkmenistan is also impossible.</w:t>
      </w:r>
      <w:r w:rsidR="008C5366" w:rsidRPr="008C5366">
        <w:rPr>
          <w:noProof/>
          <w:lang w:val="en-US"/>
        </w:rPr>
        <w:t xml:space="preserve"> </w:t>
      </w:r>
    </w:p>
    <w:p w14:paraId="2F6A5211" w14:textId="77777777" w:rsidR="006E5E26" w:rsidRDefault="00000000">
      <w:pPr>
        <w:pStyle w:val="1"/>
        <w:rPr>
          <w:rFonts w:ascii="Times New Roman" w:eastAsia="Times New Roman" w:hAnsi="Times New Roman" w:cs="Times New Roman"/>
          <w:b/>
          <w:color w:val="000000"/>
          <w:sz w:val="28"/>
          <w:szCs w:val="28"/>
        </w:rPr>
      </w:pPr>
      <w:bookmarkStart w:id="5" w:name="_tyjcwt" w:colFirst="0" w:colLast="0"/>
      <w:bookmarkEnd w:id="5"/>
      <w:r>
        <w:rPr>
          <w:rFonts w:ascii="Times New Roman" w:eastAsia="Times New Roman" w:hAnsi="Times New Roman" w:cs="Times New Roman"/>
          <w:b/>
          <w:color w:val="000000"/>
          <w:sz w:val="28"/>
          <w:szCs w:val="28"/>
        </w:rPr>
        <w:t>Social protection (under article 13)</w:t>
      </w:r>
    </w:p>
    <w:p w14:paraId="1CDB1E8F" w14:textId="77777777" w:rsidR="006E5E26" w:rsidRDefault="006E5E26"/>
    <w:p w14:paraId="1D301943"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Access to basic social services such as healthcare, education, housing, and social welfare programs is a fundamental human right that ensures the right to social protection for individuals. In Turkmenistan, the government has a responsibility to protect and fulfill this right for all citizens, including those who are marginalized, such as PLHIV, LGBT individuals, and women.</w:t>
      </w:r>
    </w:p>
    <w:p w14:paraId="5945D37D"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Nevertheless, providing adequate social protection to all citizens in Turkmenistan is a significant challenge. The government is restricting access to information and suppressing civil society, making it difficult for independent media and NGOs to evaluate the effectiveness of social welfare programs. Moreover, marginalized groups, including PLHIV, LGBT individuals, and women, face discrimination and stigma that hinder their access to social services and support.</w:t>
      </w:r>
    </w:p>
    <w:p w14:paraId="66CF4C6F"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 xml:space="preserve">To ensure that all citizens have access to the right to social protection, Turkmenistan should take steps to increase transparency and accountability in social welfare programs. This may involve implementing an inclusive and transparent social protection system that provides assistance to those in need without any discrimination or favoritism. </w:t>
      </w:r>
    </w:p>
    <w:p w14:paraId="39B418FD" w14:textId="77777777" w:rsidR="006E5E26" w:rsidRDefault="00000000">
      <w:pPr>
        <w:pStyle w:val="1"/>
        <w:rPr>
          <w:rFonts w:ascii="Times New Roman" w:eastAsia="Times New Roman" w:hAnsi="Times New Roman" w:cs="Times New Roman"/>
          <w:b/>
          <w:color w:val="000000"/>
          <w:sz w:val="28"/>
          <w:szCs w:val="28"/>
        </w:rPr>
      </w:pPr>
      <w:bookmarkStart w:id="6" w:name="_3dy6vkm" w:colFirst="0" w:colLast="0"/>
      <w:bookmarkEnd w:id="6"/>
      <w:r>
        <w:rPr>
          <w:rFonts w:ascii="Times New Roman" w:eastAsia="Times New Roman" w:hAnsi="Times New Roman" w:cs="Times New Roman"/>
          <w:b/>
          <w:color w:val="000000"/>
          <w:sz w:val="28"/>
          <w:szCs w:val="28"/>
        </w:rPr>
        <w:t>Education (under article 11)</w:t>
      </w:r>
    </w:p>
    <w:p w14:paraId="4D2F7382" w14:textId="77777777" w:rsidR="006E5E26" w:rsidRDefault="006E5E26"/>
    <w:p w14:paraId="306F14A6" w14:textId="0D164FB2"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The limited availability of Sexual and Reproductive Health and Rights (SRHR) services has a significant impact on the lives of LB</w:t>
      </w:r>
      <w:r w:rsidR="000C5715">
        <w:rPr>
          <w:color w:val="000000"/>
          <w:lang w:val="en-US"/>
        </w:rPr>
        <w:t>T</w:t>
      </w:r>
      <w:r>
        <w:rPr>
          <w:color w:val="000000"/>
        </w:rPr>
        <w:t xml:space="preserve"> women and children. Inadequate information and resources on SRHR can make it challenging for LB</w:t>
      </w:r>
      <w:r w:rsidR="000C5715">
        <w:rPr>
          <w:color w:val="000000"/>
          <w:lang w:val="en-US"/>
        </w:rPr>
        <w:t>T</w:t>
      </w:r>
      <w:r>
        <w:rPr>
          <w:color w:val="000000"/>
        </w:rPr>
        <w:t xml:space="preserve"> women to access vital healthcare services, including HIV prevention and treatment. The discrimination and stigma that they face often exacerbates these difficulties in accessing SRHR services. Children have the right to access accurate and age-appropriate information about their reproductive health as a fundamental human right. However, the absence of these resources and services can put them at risk of unintended pregnancies, sexually transmitted infections, and other health issues. Denying individuals access to SRHR services and education is a violation of basic human rights, including the right to health, life, and education. Therefore, it is crucial to </w:t>
      </w:r>
      <w:r w:rsidR="008C5366" w:rsidRPr="009A7553">
        <w:rPr>
          <w:noProof/>
          <w:lang w:val="en-US"/>
        </w:rPr>
        <w:lastRenderedPageBreak/>
        <w:drawing>
          <wp:anchor distT="0" distB="0" distL="114300" distR="114300" simplePos="0" relativeHeight="251675648" behindDoc="1" locked="0" layoutInCell="1" allowOverlap="1" wp14:anchorId="050BAE59" wp14:editId="2B6AD6DF">
            <wp:simplePos x="0" y="0"/>
            <wp:positionH relativeFrom="column">
              <wp:posOffset>3733800</wp:posOffset>
            </wp:positionH>
            <wp:positionV relativeFrom="paragraph">
              <wp:posOffset>-1000487</wp:posOffset>
            </wp:positionV>
            <wp:extent cx="3068320" cy="10485120"/>
            <wp:effectExtent l="0" t="0" r="5080" b="508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Pr>
          <w:color w:val="000000"/>
        </w:rPr>
        <w:t>promote comprehensive SRHR education and ensure access to essential healthcare services for all individuals, irrespective of their sexual orientation, gender identity, or age.</w:t>
      </w:r>
      <w:r w:rsidR="008C5366" w:rsidRPr="008C5366">
        <w:rPr>
          <w:noProof/>
          <w:lang w:val="en-US"/>
        </w:rPr>
        <w:t xml:space="preserve"> </w:t>
      </w:r>
    </w:p>
    <w:p w14:paraId="3077F6A7" w14:textId="30EEBC56"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Lack of information and education on sexual orientation and sexual identity can have adverse consequences for the SRHR of LB</w:t>
      </w:r>
      <w:r w:rsidR="000C5715">
        <w:rPr>
          <w:color w:val="000000"/>
          <w:lang w:val="en-US"/>
        </w:rPr>
        <w:t>T</w:t>
      </w:r>
      <w:r>
        <w:rPr>
          <w:color w:val="000000"/>
        </w:rPr>
        <w:t xml:space="preserve"> women and children. The limited availability of SRHR services and the absence of comprehensive education on these topics further exacerbate the discrimination and stigma that LB</w:t>
      </w:r>
      <w:r w:rsidR="000C5715">
        <w:rPr>
          <w:color w:val="000000"/>
          <w:lang w:val="en-US"/>
        </w:rPr>
        <w:t>T</w:t>
      </w:r>
      <w:r>
        <w:rPr>
          <w:color w:val="000000"/>
        </w:rPr>
        <w:t xml:space="preserve"> individuals face. It is essential to create an enabling environment for individuals to access SRHR services and education without discrimination and stigma. This can only be achieved by adopting comprehensive anti-discrimination legislation that includes sexual orientation and gender identity as protected grounds, reviewing and repealing all discriminatory provisions on the grounds of sexual orientation and gender identity from national legislation, and ensuring that NGOs can work to protect the rights of LB</w:t>
      </w:r>
      <w:r w:rsidR="000C5715">
        <w:rPr>
          <w:color w:val="000000"/>
          <w:lang w:val="en-US"/>
        </w:rPr>
        <w:t>T</w:t>
      </w:r>
      <w:r>
        <w:rPr>
          <w:color w:val="000000"/>
        </w:rPr>
        <w:t xml:space="preserve"> women.</w:t>
      </w:r>
    </w:p>
    <w:p w14:paraId="053E300D" w14:textId="77777777" w:rsidR="006E5E26" w:rsidRDefault="00000000">
      <w:pPr>
        <w:numPr>
          <w:ilvl w:val="0"/>
          <w:numId w:val="1"/>
        </w:numPr>
        <w:pBdr>
          <w:top w:val="nil"/>
          <w:left w:val="nil"/>
          <w:bottom w:val="nil"/>
          <w:right w:val="nil"/>
          <w:between w:val="nil"/>
        </w:pBdr>
        <w:spacing w:line="360" w:lineRule="auto"/>
        <w:jc w:val="both"/>
      </w:pPr>
      <w:r>
        <w:rPr>
          <w:color w:val="000000"/>
        </w:rPr>
        <w:t>The sixth periodic report submitted by the Turkmenistan does not provide any information regarding the provision of SRHR services, as well as education on sexual orientation and gender identity. The absence of SRHR services and education is a violation of fundamental human rights, including the right to health, life, and education.</w:t>
      </w:r>
    </w:p>
    <w:p w14:paraId="3DC60BDC" w14:textId="77777777" w:rsidR="006E5E26" w:rsidRDefault="00000000">
      <w:pPr>
        <w:pStyle w:val="1"/>
        <w:rPr>
          <w:rFonts w:ascii="Times New Roman" w:eastAsia="Times New Roman" w:hAnsi="Times New Roman" w:cs="Times New Roman"/>
          <w:b/>
          <w:color w:val="000000"/>
          <w:sz w:val="28"/>
          <w:szCs w:val="28"/>
        </w:rPr>
      </w:pPr>
      <w:bookmarkStart w:id="7" w:name="_1t3h5sf" w:colFirst="0" w:colLast="0"/>
      <w:bookmarkEnd w:id="7"/>
      <w:r>
        <w:rPr>
          <w:rFonts w:ascii="Times New Roman" w:eastAsia="Times New Roman" w:hAnsi="Times New Roman" w:cs="Times New Roman"/>
          <w:b/>
          <w:color w:val="000000"/>
          <w:sz w:val="28"/>
          <w:szCs w:val="28"/>
        </w:rPr>
        <w:t>Participation in political and public life (under Article 7)</w:t>
      </w:r>
    </w:p>
    <w:p w14:paraId="71C1C60B" w14:textId="77777777" w:rsidR="006E5E26" w:rsidRDefault="006E5E26"/>
    <w:p w14:paraId="31D78D02" w14:textId="364215F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The activities of human rights defenders in Turkmenistan are restricted and monitored, leading to a lack of information about LBT women and a lack of ability to protect and draw the attention of international organizations to LB</w:t>
      </w:r>
      <w:r w:rsidR="000C5715">
        <w:rPr>
          <w:color w:val="000000"/>
          <w:lang w:val="en-US"/>
        </w:rPr>
        <w:t>T</w:t>
      </w:r>
      <w:r>
        <w:rPr>
          <w:color w:val="000000"/>
        </w:rPr>
        <w:t xml:space="preserve"> women’s rights violations. This hinders the development and visibility of LGBT communities in society. Given the existing legislation and the realities faced by human rights defenders and gay people, the possibility of LGBT communities lodging complaints with the Ombudsman is extremely small. Moreover, lodging a complaint requires the disclosure of one’s surname, place of residence, and signature, which creates insurmountable barriers for communities afraid of their SOGI confidentiality being violated and facing persecution from the state, depriving them of the ability to obtain justice within Ombudsmen office taken into account that this institute is not independent from the state.</w:t>
      </w:r>
    </w:p>
    <w:p w14:paraId="354946B1" w14:textId="10DD5BF1"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 xml:space="preserve">According to the Constitution of Turkmenistan, men and women are guaranteed equal rights and opportunities. The representation of women in parliament in the country is not </w:t>
      </w:r>
      <w:r w:rsidR="008C5366" w:rsidRPr="009A7553">
        <w:rPr>
          <w:noProof/>
          <w:lang w:val="en-US"/>
        </w:rPr>
        <w:lastRenderedPageBreak/>
        <w:drawing>
          <wp:anchor distT="0" distB="0" distL="114300" distR="114300" simplePos="0" relativeHeight="251677696" behindDoc="1" locked="0" layoutInCell="1" allowOverlap="1" wp14:anchorId="7E943379" wp14:editId="0CBD5975">
            <wp:simplePos x="0" y="0"/>
            <wp:positionH relativeFrom="column">
              <wp:posOffset>3744685</wp:posOffset>
            </wp:positionH>
            <wp:positionV relativeFrom="paragraph">
              <wp:posOffset>-969464</wp:posOffset>
            </wp:positionV>
            <wp:extent cx="3068320" cy="10485120"/>
            <wp:effectExtent l="0" t="0" r="5080" b="508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Pr>
          <w:color w:val="000000"/>
        </w:rPr>
        <w:t>necessarily indicative of gender equality, especially concerning the protection of women from LGBT and other communities. While 25% of parliamentary representatives are women</w:t>
      </w:r>
      <w:r>
        <w:rPr>
          <w:color w:val="000000"/>
          <w:vertAlign w:val="superscript"/>
        </w:rPr>
        <w:footnoteReference w:id="10"/>
      </w:r>
      <w:r>
        <w:rPr>
          <w:color w:val="000000"/>
        </w:rPr>
        <w:t>, the lack of comprehensive data on women in managerial positions and their overall influence raises concerns. Recent restrictions on women highlight the low levels of political participation and representation in the country, indicating that women’s full participation in the decision-making process is yet to be achieved. Therefore, the situation cannot be considered as gender equality in its true sense.</w:t>
      </w:r>
    </w:p>
    <w:p w14:paraId="5729BA48" w14:textId="77777777" w:rsidR="006E5E26" w:rsidRDefault="00000000">
      <w:pPr>
        <w:pStyle w:val="1"/>
        <w:rPr>
          <w:rFonts w:ascii="Times New Roman" w:eastAsia="Times New Roman" w:hAnsi="Times New Roman" w:cs="Times New Roman"/>
          <w:b/>
          <w:color w:val="000000"/>
          <w:sz w:val="28"/>
          <w:szCs w:val="28"/>
        </w:rPr>
      </w:pPr>
      <w:bookmarkStart w:id="8" w:name="_4d34og8" w:colFirst="0" w:colLast="0"/>
      <w:bookmarkEnd w:id="8"/>
      <w:r>
        <w:rPr>
          <w:rFonts w:ascii="Times New Roman" w:eastAsia="Times New Roman" w:hAnsi="Times New Roman" w:cs="Times New Roman"/>
          <w:b/>
          <w:color w:val="000000"/>
          <w:sz w:val="28"/>
          <w:szCs w:val="28"/>
        </w:rPr>
        <w:t>Gender recognition</w:t>
      </w:r>
    </w:p>
    <w:p w14:paraId="76DC4F05" w14:textId="77777777" w:rsidR="006E5E26" w:rsidRDefault="006E5E26"/>
    <w:p w14:paraId="7CD05E1C"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In terms of gender recognition, country does not have a legal recognition process for transgender or non-binary individuals, and discrimination against LGBT people is common. The country’s laws criminalize same-sex sexual activity, and there is limited legal protection for LGBT individuals. There is no legally established procedure in Turkmenistan regulating the possibility of medical and/or legal transition for transgender people. In addition, the terms "gender identity" and "gender reassignment" are not used in either legislation or the practice of medical institutions. There is also no regulation regarding the procedure for changing gender markers in official documents. However, people wishing to undergo transition are forced to seek such opportunities abroad. Upon returning to the country, these individuals may encounter serious problems with document re-registration, as the transition procedure is not legalized or recognized in Turkmenistan.</w:t>
      </w:r>
    </w:p>
    <w:p w14:paraId="60B75C92" w14:textId="77777777" w:rsidR="006E5E26" w:rsidRDefault="00000000">
      <w:pPr>
        <w:pStyle w:val="1"/>
        <w:rPr>
          <w:rFonts w:ascii="Times New Roman" w:eastAsia="Times New Roman" w:hAnsi="Times New Roman" w:cs="Times New Roman"/>
          <w:b/>
          <w:color w:val="000000"/>
          <w:sz w:val="28"/>
          <w:szCs w:val="28"/>
        </w:rPr>
      </w:pPr>
      <w:bookmarkStart w:id="9" w:name="_2s8eyo1" w:colFirst="0" w:colLast="0"/>
      <w:bookmarkEnd w:id="9"/>
      <w:r>
        <w:rPr>
          <w:rFonts w:ascii="Times New Roman" w:eastAsia="Times New Roman" w:hAnsi="Times New Roman" w:cs="Times New Roman"/>
          <w:b/>
          <w:color w:val="000000"/>
          <w:sz w:val="28"/>
          <w:szCs w:val="28"/>
        </w:rPr>
        <w:t>Equality before the law (under article 15)</w:t>
      </w:r>
    </w:p>
    <w:p w14:paraId="75672560" w14:textId="77777777" w:rsidR="006E5E26" w:rsidRDefault="006E5E26"/>
    <w:p w14:paraId="1111DA00" w14:textId="0240A3F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 xml:space="preserve">In spite, of Turkmenistan’s constitutional guarantee of equal rights for men and women and its adoption of the Act on State guarantees of equal rights and equal opportunities for women and men and the National Plan of Action for Gender Equality for the period 2021-2025, the country has not fully implemented national and international regulations designed to safeguard women's rights and achieve genuine gender equality. This failure is evident in the persistence of harmful traditional practices that impede women's </w:t>
      </w:r>
      <w:r w:rsidR="008C5366" w:rsidRPr="009A7553">
        <w:rPr>
          <w:noProof/>
          <w:lang w:val="en-US"/>
        </w:rPr>
        <w:lastRenderedPageBreak/>
        <w:drawing>
          <wp:anchor distT="0" distB="0" distL="114300" distR="114300" simplePos="0" relativeHeight="251679744" behindDoc="1" locked="0" layoutInCell="1" allowOverlap="1" wp14:anchorId="4938A4CF" wp14:editId="4846C22A">
            <wp:simplePos x="0" y="0"/>
            <wp:positionH relativeFrom="column">
              <wp:posOffset>3766457</wp:posOffset>
            </wp:positionH>
            <wp:positionV relativeFrom="paragraph">
              <wp:posOffset>-969464</wp:posOffset>
            </wp:positionV>
            <wp:extent cx="3068320" cy="10485120"/>
            <wp:effectExtent l="0" t="0" r="5080" b="508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Pr>
          <w:color w:val="000000"/>
        </w:rPr>
        <w:t>independence and in the enactment of new regulations that indicate a significant backsliding in the protection of women's rights since Serdar Berdymukhamedov assumed power</w:t>
      </w:r>
      <w:r>
        <w:rPr>
          <w:color w:val="000000"/>
          <w:vertAlign w:val="superscript"/>
        </w:rPr>
        <w:footnoteReference w:id="11"/>
      </w:r>
      <w:r>
        <w:rPr>
          <w:color w:val="000000"/>
        </w:rPr>
        <w:t>.</w:t>
      </w:r>
    </w:p>
    <w:p w14:paraId="74E4EADE"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Of particular concern is the absence of any mention of sexual orientation and gender identity in the country's sixth periodic report on non-discrimination and equality, which leaves LBT women vulnerable and marginalized. As a result, LBT women are unable to enjoy the same legal protections as other women and are subject to discrimination, harassment, and violence, without recourse to justice. Furthermore, the restrictions on women's ability to leave the country exacerbate the problem</w:t>
      </w:r>
      <w:r>
        <w:rPr>
          <w:color w:val="000000"/>
          <w:vertAlign w:val="superscript"/>
        </w:rPr>
        <w:footnoteReference w:id="12"/>
      </w:r>
      <w:r>
        <w:rPr>
          <w:color w:val="000000"/>
        </w:rPr>
        <w:t xml:space="preserve">, as LBT women are unable to seek safety from harm outside the country. </w:t>
      </w:r>
    </w:p>
    <w:p w14:paraId="0D1341AF" w14:textId="77777777" w:rsidR="006E5E26" w:rsidRDefault="00000000">
      <w:pPr>
        <w:numPr>
          <w:ilvl w:val="0"/>
          <w:numId w:val="1"/>
        </w:numPr>
        <w:pBdr>
          <w:top w:val="nil"/>
          <w:left w:val="nil"/>
          <w:bottom w:val="nil"/>
          <w:right w:val="nil"/>
          <w:between w:val="nil"/>
        </w:pBdr>
        <w:spacing w:line="360" w:lineRule="auto"/>
        <w:jc w:val="both"/>
        <w:rPr>
          <w:color w:val="000000"/>
        </w:rPr>
      </w:pPr>
      <w:r>
        <w:rPr>
          <w:color w:val="000000"/>
        </w:rPr>
        <w:t>Considering these challenges, Turkmenistan must take urgent action to implement the full range of international and national regulations aimed at protecting women's rights and achieving gender equality. Specifically, the country should work to eliminate harmful traditional practices that undermine women’s autonomy, ensure that its laws and policies fully protect the rights of LBT women, and allow women, including LBT women, the freedom to leave the country when necessary to seek safety and protection. Without such measures, women's rights and equality will remain unrealized in Turkmenistan, and LBT women will continue to face discrimination and violence with no hope of recourse.</w:t>
      </w:r>
    </w:p>
    <w:p w14:paraId="36CB93F1" w14:textId="2ED969DF" w:rsidR="006E5E26" w:rsidRDefault="00000000">
      <w:pPr>
        <w:pStyle w:val="1"/>
        <w:rPr>
          <w:rFonts w:ascii="Times New Roman" w:eastAsia="Times New Roman" w:hAnsi="Times New Roman" w:cs="Times New Roman"/>
          <w:b/>
          <w:color w:val="000000"/>
          <w:sz w:val="28"/>
          <w:szCs w:val="28"/>
        </w:rPr>
      </w:pPr>
      <w:bookmarkStart w:id="10" w:name="_17dp8vu" w:colFirst="0" w:colLast="0"/>
      <w:bookmarkEnd w:id="10"/>
      <w:r>
        <w:rPr>
          <w:rFonts w:ascii="Times New Roman" w:eastAsia="Times New Roman" w:hAnsi="Times New Roman" w:cs="Times New Roman"/>
          <w:b/>
          <w:color w:val="000000"/>
          <w:sz w:val="28"/>
          <w:szCs w:val="28"/>
        </w:rPr>
        <w:t xml:space="preserve">Proposed </w:t>
      </w:r>
      <w:r w:rsidR="00BF2736">
        <w:rPr>
          <w:rFonts w:ascii="Times New Roman" w:eastAsia="Times New Roman" w:hAnsi="Times New Roman" w:cs="Times New Roman"/>
          <w:b/>
          <w:color w:val="000000"/>
          <w:sz w:val="28"/>
          <w:szCs w:val="28"/>
          <w:lang w:val="en-US"/>
        </w:rPr>
        <w:t>list of issues</w:t>
      </w:r>
      <w:r>
        <w:rPr>
          <w:rFonts w:ascii="Times New Roman" w:eastAsia="Times New Roman" w:hAnsi="Times New Roman" w:cs="Times New Roman"/>
          <w:b/>
          <w:color w:val="000000"/>
          <w:sz w:val="28"/>
          <w:szCs w:val="28"/>
        </w:rPr>
        <w:t xml:space="preserve"> for the consideration of Committee:</w:t>
      </w:r>
    </w:p>
    <w:p w14:paraId="3AF75553" w14:textId="77777777" w:rsidR="006E5E26" w:rsidRDefault="006E5E26"/>
    <w:p w14:paraId="160BF6D5" w14:textId="77777777" w:rsidR="00BF2736" w:rsidRPr="00BF2736" w:rsidRDefault="00BF2736">
      <w:pPr>
        <w:numPr>
          <w:ilvl w:val="0"/>
          <w:numId w:val="1"/>
        </w:numPr>
        <w:pBdr>
          <w:top w:val="nil"/>
          <w:left w:val="nil"/>
          <w:bottom w:val="nil"/>
          <w:right w:val="nil"/>
          <w:between w:val="nil"/>
        </w:pBdr>
        <w:spacing w:line="360" w:lineRule="auto"/>
        <w:jc w:val="both"/>
        <w:rPr>
          <w:color w:val="000000"/>
        </w:rPr>
      </w:pPr>
      <w:r w:rsidRPr="00BF2736">
        <w:rPr>
          <w:color w:val="000000"/>
          <w:lang w:val="en-US"/>
        </w:rPr>
        <w:t>How many trans women have been arrested for same sex relationship in Turkmenistan, because they could not change gender marker?</w:t>
      </w:r>
      <w:r w:rsidRPr="00BF2736">
        <w:rPr>
          <w:color w:val="000000"/>
          <w:lang w:val="en-US"/>
        </w:rPr>
        <w:t xml:space="preserve"> </w:t>
      </w:r>
    </w:p>
    <w:p w14:paraId="492F3FD7" w14:textId="404656F5" w:rsidR="00BF2736" w:rsidRPr="00BF2736" w:rsidRDefault="00BF2736">
      <w:pPr>
        <w:numPr>
          <w:ilvl w:val="0"/>
          <w:numId w:val="1"/>
        </w:numPr>
        <w:pBdr>
          <w:top w:val="nil"/>
          <w:left w:val="nil"/>
          <w:bottom w:val="nil"/>
          <w:right w:val="nil"/>
          <w:between w:val="nil"/>
        </w:pBdr>
        <w:spacing w:line="360" w:lineRule="auto"/>
        <w:jc w:val="both"/>
        <w:rPr>
          <w:color w:val="000000"/>
        </w:rPr>
      </w:pPr>
      <w:r>
        <w:rPr>
          <w:color w:val="000000"/>
          <w:lang w:val="en-US"/>
        </w:rPr>
        <w:t xml:space="preserve">Is Turkmenistan going to provide legal gender recognition procedure? </w:t>
      </w:r>
    </w:p>
    <w:p w14:paraId="663D7D88" w14:textId="123F92D0" w:rsidR="00BF2736" w:rsidRPr="00BF2736" w:rsidRDefault="00BF2736">
      <w:pPr>
        <w:numPr>
          <w:ilvl w:val="0"/>
          <w:numId w:val="1"/>
        </w:numPr>
        <w:pBdr>
          <w:top w:val="nil"/>
          <w:left w:val="nil"/>
          <w:bottom w:val="nil"/>
          <w:right w:val="nil"/>
          <w:between w:val="nil"/>
        </w:pBdr>
        <w:spacing w:line="360" w:lineRule="auto"/>
        <w:jc w:val="both"/>
        <w:rPr>
          <w:color w:val="000000"/>
        </w:rPr>
      </w:pPr>
      <w:r>
        <w:rPr>
          <w:color w:val="000000"/>
          <w:lang w:val="en-US"/>
        </w:rPr>
        <w:t>Is Turkmenistan going to decriminalize same sex relationships?</w:t>
      </w:r>
    </w:p>
    <w:p w14:paraId="3D9123A6" w14:textId="5E7851DA" w:rsidR="006E5E26" w:rsidRDefault="00BF2736">
      <w:pPr>
        <w:numPr>
          <w:ilvl w:val="0"/>
          <w:numId w:val="1"/>
        </w:numPr>
        <w:pBdr>
          <w:top w:val="nil"/>
          <w:left w:val="nil"/>
          <w:bottom w:val="nil"/>
          <w:right w:val="nil"/>
          <w:between w:val="nil"/>
        </w:pBdr>
        <w:spacing w:line="360" w:lineRule="auto"/>
        <w:jc w:val="both"/>
        <w:rPr>
          <w:color w:val="000000"/>
        </w:rPr>
      </w:pPr>
      <w:r>
        <w:rPr>
          <w:color w:val="000000"/>
          <w:lang w:val="en-US"/>
        </w:rPr>
        <w:t>What steps are taken to adopt</w:t>
      </w:r>
      <w:r w:rsidR="00000000">
        <w:rPr>
          <w:color w:val="000000"/>
        </w:rPr>
        <w:t xml:space="preserve"> comprehensive anti-discrimination legislation that includes sexual orientation and gender identity as protected grounds</w:t>
      </w:r>
      <w:r>
        <w:rPr>
          <w:color w:val="000000"/>
          <w:lang w:val="en-US"/>
        </w:rPr>
        <w:t>?</w:t>
      </w:r>
      <w:r w:rsidR="00000000">
        <w:rPr>
          <w:color w:val="000000"/>
        </w:rPr>
        <w:t xml:space="preserve"> </w:t>
      </w:r>
    </w:p>
    <w:p w14:paraId="041170A0" w14:textId="3C146F38" w:rsidR="006E5E26" w:rsidRDefault="008C5366">
      <w:pPr>
        <w:numPr>
          <w:ilvl w:val="0"/>
          <w:numId w:val="1"/>
        </w:numPr>
        <w:pBdr>
          <w:top w:val="nil"/>
          <w:left w:val="nil"/>
          <w:bottom w:val="nil"/>
          <w:right w:val="nil"/>
          <w:between w:val="nil"/>
        </w:pBdr>
        <w:spacing w:line="360" w:lineRule="auto"/>
        <w:jc w:val="both"/>
        <w:rPr>
          <w:color w:val="000000"/>
        </w:rPr>
      </w:pPr>
      <w:r w:rsidRPr="009A7553">
        <w:rPr>
          <w:noProof/>
          <w:lang w:val="en-US"/>
        </w:rPr>
        <w:lastRenderedPageBreak/>
        <w:drawing>
          <wp:anchor distT="0" distB="0" distL="114300" distR="114300" simplePos="0" relativeHeight="251681792" behindDoc="1" locked="0" layoutInCell="1" allowOverlap="1" wp14:anchorId="793F8396" wp14:editId="5FE379A2">
            <wp:simplePos x="0" y="0"/>
            <wp:positionH relativeFrom="column">
              <wp:posOffset>3679371</wp:posOffset>
            </wp:positionH>
            <wp:positionV relativeFrom="paragraph">
              <wp:posOffset>-958578</wp:posOffset>
            </wp:positionV>
            <wp:extent cx="3068320" cy="10485120"/>
            <wp:effectExtent l="0" t="0" r="5080" b="508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8320" cy="10485120"/>
                    </a:xfrm>
                    <a:prstGeom prst="rect">
                      <a:avLst/>
                    </a:prstGeom>
                  </pic:spPr>
                </pic:pic>
              </a:graphicData>
            </a:graphic>
            <wp14:sizeRelH relativeFrom="page">
              <wp14:pctWidth>0</wp14:pctWidth>
            </wp14:sizeRelH>
            <wp14:sizeRelV relativeFrom="page">
              <wp14:pctHeight>0</wp14:pctHeight>
            </wp14:sizeRelV>
          </wp:anchor>
        </w:drawing>
      </w:r>
      <w:r w:rsidR="00BF2736">
        <w:rPr>
          <w:color w:val="000000"/>
          <w:lang w:val="en-US"/>
        </w:rPr>
        <w:t>What steps are taken to</w:t>
      </w:r>
      <w:r w:rsidR="00000000">
        <w:rPr>
          <w:color w:val="000000"/>
        </w:rPr>
        <w:t xml:space="preserve"> create an enabling environment for non-governmental organizations to work and protect the rights of LBT women</w:t>
      </w:r>
      <w:r w:rsidR="00BF2736">
        <w:rPr>
          <w:color w:val="000000"/>
          <w:lang w:val="en-US"/>
        </w:rPr>
        <w:t>?</w:t>
      </w:r>
    </w:p>
    <w:p w14:paraId="682253B8" w14:textId="77777777" w:rsidR="00BF2736" w:rsidRPr="00BF2736" w:rsidRDefault="00BF2736">
      <w:pPr>
        <w:numPr>
          <w:ilvl w:val="0"/>
          <w:numId w:val="1"/>
        </w:numPr>
        <w:pBdr>
          <w:top w:val="nil"/>
          <w:left w:val="nil"/>
          <w:bottom w:val="nil"/>
          <w:right w:val="nil"/>
          <w:between w:val="nil"/>
        </w:pBdr>
        <w:spacing w:line="360" w:lineRule="auto"/>
        <w:jc w:val="both"/>
        <w:rPr>
          <w:color w:val="000000"/>
        </w:rPr>
      </w:pPr>
      <w:r w:rsidRPr="00BF2736">
        <w:rPr>
          <w:color w:val="000000"/>
          <w:lang w:val="en-US"/>
        </w:rPr>
        <w:t>What steps are taken to investigate misconducti</w:t>
      </w:r>
      <w:r>
        <w:rPr>
          <w:color w:val="000000"/>
          <w:lang w:val="en-US"/>
        </w:rPr>
        <w:t>ng</w:t>
      </w:r>
      <w:r w:rsidRPr="00BF2736">
        <w:rPr>
          <w:color w:val="000000"/>
          <w:lang w:val="en-US"/>
        </w:rPr>
        <w:t xml:space="preserve"> of police, law enforcement, prison, and judicial authorities towards LBT women and to prevent and combat hate crimes based on SOGI, enact tailored legal protections for LBT women against attacks and harassment, and ensure their equal access to justice and effective remedy? Moreover, is the State party going to criminalize all forms of domestic violence?</w:t>
      </w:r>
    </w:p>
    <w:p w14:paraId="715227E7" w14:textId="5CD533C6" w:rsidR="006E5E26" w:rsidRPr="00BF2736" w:rsidRDefault="00BF2736" w:rsidP="00BF2736">
      <w:pPr>
        <w:numPr>
          <w:ilvl w:val="0"/>
          <w:numId w:val="1"/>
        </w:numPr>
        <w:pBdr>
          <w:top w:val="nil"/>
          <w:left w:val="nil"/>
          <w:bottom w:val="nil"/>
          <w:right w:val="nil"/>
          <w:between w:val="nil"/>
        </w:pBdr>
        <w:spacing w:line="360" w:lineRule="auto"/>
        <w:jc w:val="both"/>
        <w:rPr>
          <w:color w:val="000000"/>
        </w:rPr>
      </w:pPr>
      <w:r w:rsidRPr="00BF2736">
        <w:rPr>
          <w:color w:val="000000"/>
          <w:lang w:val="en-US"/>
        </w:rPr>
        <w:t xml:space="preserve">What steps are taken </w:t>
      </w:r>
      <w:r w:rsidRPr="00BF2736">
        <w:rPr>
          <w:color w:val="000000"/>
          <w:lang w:val="en-US"/>
        </w:rPr>
        <w:t xml:space="preserve">to </w:t>
      </w:r>
      <w:r w:rsidR="00000000" w:rsidRPr="00BF2736">
        <w:rPr>
          <w:color w:val="000000"/>
        </w:rPr>
        <w:t>ensure that LBT women have effective access to all available medical services without discrimination or humiliation, particularly in relation to HIV services</w:t>
      </w:r>
      <w:r w:rsidRPr="00BF2736">
        <w:rPr>
          <w:color w:val="000000"/>
          <w:lang w:val="en-US"/>
        </w:rPr>
        <w:t>?</w:t>
      </w:r>
      <w:r w:rsidR="00000000" w:rsidRPr="00BF2736">
        <w:rPr>
          <w:color w:val="000000"/>
        </w:rPr>
        <w:t xml:space="preserve"> </w:t>
      </w:r>
    </w:p>
    <w:p w14:paraId="77D1AD52" w14:textId="77777777" w:rsidR="006E5E26" w:rsidRDefault="006E5E26">
      <w:pPr>
        <w:pBdr>
          <w:top w:val="nil"/>
          <w:left w:val="nil"/>
          <w:bottom w:val="nil"/>
          <w:right w:val="nil"/>
          <w:between w:val="nil"/>
        </w:pBdr>
        <w:spacing w:line="360" w:lineRule="auto"/>
        <w:jc w:val="both"/>
        <w:rPr>
          <w:color w:val="000000"/>
        </w:rPr>
      </w:pPr>
    </w:p>
    <w:p w14:paraId="41F30BEA" w14:textId="77777777" w:rsidR="006E5E26" w:rsidRDefault="006E5E26">
      <w:pPr>
        <w:pBdr>
          <w:top w:val="nil"/>
          <w:left w:val="nil"/>
          <w:bottom w:val="nil"/>
          <w:right w:val="nil"/>
          <w:between w:val="nil"/>
        </w:pBdr>
        <w:spacing w:line="360" w:lineRule="auto"/>
        <w:jc w:val="both"/>
        <w:rPr>
          <w:b/>
          <w:color w:val="000000"/>
        </w:rPr>
      </w:pPr>
    </w:p>
    <w:p w14:paraId="241CE3DB" w14:textId="77777777" w:rsidR="006E5E26" w:rsidRDefault="006E5E26">
      <w:pPr>
        <w:pBdr>
          <w:top w:val="nil"/>
          <w:left w:val="nil"/>
          <w:bottom w:val="nil"/>
          <w:right w:val="nil"/>
          <w:between w:val="nil"/>
        </w:pBdr>
        <w:spacing w:line="360" w:lineRule="auto"/>
        <w:ind w:left="720"/>
        <w:jc w:val="both"/>
        <w:rPr>
          <w:color w:val="000000"/>
        </w:rPr>
      </w:pPr>
    </w:p>
    <w:p w14:paraId="035E05DB" w14:textId="77777777" w:rsidR="006E5E26" w:rsidRDefault="006E5E26"/>
    <w:sectPr w:rsidR="006E5E26">
      <w:headerReference w:type="default" r:id="rId8"/>
      <w:footerReference w:type="even" r:id="rId9"/>
      <w:footerReference w:type="default" r:id="rId10"/>
      <w:pgSz w:w="12240" w:h="15840"/>
      <w:pgMar w:top="1440" w:right="1440" w:bottom="1440" w:left="1440"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AE86A" w14:textId="77777777" w:rsidR="00EA3708" w:rsidRDefault="00EA3708">
      <w:r>
        <w:separator/>
      </w:r>
    </w:p>
  </w:endnote>
  <w:endnote w:type="continuationSeparator" w:id="0">
    <w:p w14:paraId="73A7651C" w14:textId="77777777" w:rsidR="00EA3708" w:rsidRDefault="00EA3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EAF8" w14:textId="77777777" w:rsidR="006E5E26" w:rsidRDefault="006E5E26">
    <w:pPr>
      <w:pBdr>
        <w:top w:val="nil"/>
        <w:left w:val="nil"/>
        <w:bottom w:val="nil"/>
        <w:right w:val="nil"/>
        <w:between w:val="nil"/>
      </w:pBdr>
      <w:tabs>
        <w:tab w:val="center" w:pos="4680"/>
        <w:tab w:val="right" w:pos="9360"/>
      </w:tabs>
      <w:jc w:val="right"/>
      <w:rPr>
        <w:color w:val="000000"/>
      </w:rPr>
    </w:pPr>
  </w:p>
  <w:p w14:paraId="6CFE0242" w14:textId="77777777" w:rsidR="006E5E26" w:rsidRDefault="00000000">
    <w:pPr>
      <w:pBdr>
        <w:top w:val="nil"/>
        <w:left w:val="nil"/>
        <w:bottom w:val="nil"/>
        <w:right w:val="nil"/>
        <w:between w:val="nil"/>
      </w:pBdr>
      <w:tabs>
        <w:tab w:val="center" w:pos="4680"/>
        <w:tab w:val="right" w:pos="9360"/>
      </w:tabs>
      <w:ind w:right="360"/>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63F5" w14:textId="77777777" w:rsidR="006E5E26"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A12CCE">
      <w:rPr>
        <w:noProof/>
        <w:color w:val="000000"/>
      </w:rPr>
      <w:t>1</w:t>
    </w:r>
    <w:r>
      <w:rPr>
        <w:color w:val="000000"/>
      </w:rPr>
      <w:fldChar w:fldCharType="end"/>
    </w:r>
  </w:p>
  <w:p w14:paraId="622A9734" w14:textId="77777777" w:rsidR="006E5E26" w:rsidRDefault="006E5E26">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2AB6E" w14:textId="77777777" w:rsidR="00EA3708" w:rsidRDefault="00EA3708">
      <w:r>
        <w:separator/>
      </w:r>
    </w:p>
  </w:footnote>
  <w:footnote w:type="continuationSeparator" w:id="0">
    <w:p w14:paraId="5093F190" w14:textId="77777777" w:rsidR="00EA3708" w:rsidRDefault="00EA3708">
      <w:r>
        <w:continuationSeparator/>
      </w:r>
    </w:p>
  </w:footnote>
  <w:footnote w:id="1">
    <w:p w14:paraId="2131EBCC"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The New Turkmen President, available at: </w:t>
      </w:r>
      <w:hyperlink r:id="rId1">
        <w:r>
          <w:rPr>
            <w:color w:val="0563C1"/>
            <w:sz w:val="20"/>
            <w:szCs w:val="20"/>
            <w:u w:val="single"/>
          </w:rPr>
          <w:t>https://www.asianews.it/news-en/The-misogyny-of-the-new-Turkmen-president-55786.html</w:t>
        </w:r>
      </w:hyperlink>
    </w:p>
  </w:footnote>
  <w:footnote w:id="2">
    <w:p w14:paraId="132FAC02" w14:textId="77777777" w:rsidR="006E5E26" w:rsidRDefault="00000000">
      <w:pPr>
        <w:jc w:val="both"/>
        <w:rPr>
          <w:sz w:val="20"/>
          <w:szCs w:val="20"/>
        </w:rPr>
      </w:pPr>
      <w:r>
        <w:rPr>
          <w:vertAlign w:val="superscript"/>
        </w:rPr>
        <w:footnoteRef/>
      </w:r>
      <w:r>
        <w:t xml:space="preserve"> </w:t>
      </w:r>
      <w:r>
        <w:rPr>
          <w:sz w:val="20"/>
          <w:szCs w:val="20"/>
        </w:rPr>
        <w:t xml:space="preserve">Multiple Indicator Cluster Survey 2019. Survey Findings Report. June 2020 available at: </w:t>
      </w:r>
      <w:hyperlink r:id="rId2">
        <w:r>
          <w:rPr>
            <w:color w:val="0563C1"/>
            <w:sz w:val="20"/>
            <w:szCs w:val="20"/>
            <w:u w:val="single"/>
          </w:rPr>
          <w:t>https://mics-surveys-prod.s3.amazonaws.com/MICS6/Europe%20and%20Central%20Asia/Turkmenistan/2019/Survey%20findings/Turkmenistan%202019%20MICS%20SFR_English.pdf</w:t>
        </w:r>
      </w:hyperlink>
      <w:r>
        <w:rPr>
          <w:sz w:val="20"/>
          <w:szCs w:val="20"/>
        </w:rPr>
        <w:t xml:space="preserve"> </w:t>
      </w:r>
    </w:p>
  </w:footnote>
  <w:footnote w:id="3">
    <w:p w14:paraId="26E6735D"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 xml:space="preserve">“Health and Status of a Woman in the Family in Turkmenistan”. August 2022 available at: </w:t>
      </w:r>
      <w:hyperlink r:id="rId3">
        <w:r>
          <w:rPr>
            <w:color w:val="0563C1"/>
            <w:sz w:val="20"/>
            <w:szCs w:val="20"/>
            <w:u w:val="single"/>
          </w:rPr>
          <w:t>https://turkmenistan.unfpa.org/sites/default/files/pub-pdf/report_health_and_status_of_a_woman_in_the_family_in_turkmenistan.pdf</w:t>
        </w:r>
      </w:hyperlink>
    </w:p>
  </w:footnote>
  <w:footnote w:id="4">
    <w:p w14:paraId="71E477D2"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 xml:space="preserve">Уполномоченного представителя по правам человека в Туркменистане – Омбудсмена о его деятельности и о ситуации в области прав человека в стране в 2021 году </w:t>
      </w:r>
      <w:hyperlink r:id="rId4">
        <w:r>
          <w:rPr>
            <w:color w:val="0563C1"/>
            <w:sz w:val="20"/>
            <w:szCs w:val="20"/>
            <w:u w:val="single"/>
          </w:rPr>
          <w:t>https://ombudsman.gov.tm/doc/2021y_Adalatcy_maglumat_ru.pdf</w:t>
        </w:r>
      </w:hyperlink>
      <w:r>
        <w:rPr>
          <w:color w:val="000000"/>
          <w:sz w:val="20"/>
          <w:szCs w:val="20"/>
        </w:rPr>
        <w:t xml:space="preserve"> </w:t>
      </w:r>
    </w:p>
  </w:footnote>
  <w:footnote w:id="5">
    <w:p w14:paraId="64D5A69A"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 xml:space="preserve">“Turkmenistan's Ban on Abortion Paving the Way for Bribery”. September 2022 available at: </w:t>
      </w:r>
      <w:hyperlink r:id="rId5">
        <w:r>
          <w:rPr>
            <w:color w:val="0563C1"/>
            <w:sz w:val="20"/>
            <w:szCs w:val="20"/>
            <w:u w:val="single"/>
          </w:rPr>
          <w:t>https://www.rferl.org/a/turkmenistan-abortion-ban-bribery-restrictions/32039527.html</w:t>
        </w:r>
      </w:hyperlink>
    </w:p>
  </w:footnote>
  <w:footnote w:id="6">
    <w:p w14:paraId="736550C3"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 xml:space="preserve">“Turkmenistan ramps up policing of women’s body”. May 2022 available at: </w:t>
      </w:r>
      <w:hyperlink r:id="rId6">
        <w:r>
          <w:rPr>
            <w:color w:val="0563C1"/>
            <w:sz w:val="20"/>
            <w:szCs w:val="20"/>
            <w:u w:val="single"/>
          </w:rPr>
          <w:t>https://europe.ippf.org/news/turkmenistan-ramps-policing-womens-bodies</w:t>
        </w:r>
      </w:hyperlink>
    </w:p>
  </w:footnote>
  <w:footnote w:id="7">
    <w:p w14:paraId="10D83B7C" w14:textId="77777777" w:rsidR="006E5E26" w:rsidRDefault="00000000">
      <w:pPr>
        <w:rPr>
          <w:sz w:val="20"/>
          <w:szCs w:val="20"/>
        </w:rPr>
      </w:pPr>
      <w:r>
        <w:rPr>
          <w:vertAlign w:val="superscript"/>
        </w:rPr>
        <w:footnoteRef/>
      </w:r>
      <w:r>
        <w:rPr>
          <w:sz w:val="20"/>
          <w:szCs w:val="20"/>
        </w:rPr>
        <w:t xml:space="preserve"> </w:t>
      </w:r>
      <w:r>
        <w:rPr>
          <w:sz w:val="20"/>
          <w:szCs w:val="20"/>
        </w:rPr>
        <w:t xml:space="preserve">Legislative Analysis Related to LGBT Rights and HIV in Turkmenistan, ECOM. December 2019. Available at: </w:t>
      </w:r>
      <w:hyperlink r:id="rId7">
        <w:r>
          <w:rPr>
            <w:color w:val="0563C1"/>
            <w:sz w:val="20"/>
            <w:szCs w:val="20"/>
            <w:u w:val="single"/>
          </w:rPr>
          <w:t>https://ecom.ngo/library/turkmenistan_legislative_analysis_2019_en</w:t>
        </w:r>
      </w:hyperlink>
      <w:r>
        <w:rPr>
          <w:sz w:val="20"/>
          <w:szCs w:val="20"/>
        </w:rPr>
        <w:t xml:space="preserve"> </w:t>
      </w:r>
    </w:p>
  </w:footnote>
  <w:footnote w:id="8">
    <w:p w14:paraId="526EB43A" w14:textId="77777777" w:rsidR="006E5E26" w:rsidRDefault="00000000">
      <w:pPr>
        <w:rPr>
          <w:sz w:val="20"/>
          <w:szCs w:val="20"/>
        </w:rPr>
      </w:pPr>
      <w:r>
        <w:rPr>
          <w:vertAlign w:val="superscript"/>
        </w:rPr>
        <w:footnoteRef/>
      </w:r>
      <w:r>
        <w:rPr>
          <w:sz w:val="20"/>
          <w:szCs w:val="20"/>
        </w:rPr>
        <w:t xml:space="preserve"> </w:t>
      </w:r>
      <w:r>
        <w:rPr>
          <w:sz w:val="20"/>
          <w:szCs w:val="20"/>
        </w:rPr>
        <w:t>ibid.</w:t>
      </w:r>
    </w:p>
  </w:footnote>
  <w:footnote w:id="9">
    <w:p w14:paraId="7C04E70A" w14:textId="77777777" w:rsidR="006E5E26" w:rsidRDefault="00000000">
      <w:pPr>
        <w:rPr>
          <w:sz w:val="20"/>
          <w:szCs w:val="20"/>
        </w:rPr>
      </w:pPr>
      <w:r>
        <w:rPr>
          <w:vertAlign w:val="superscript"/>
        </w:rPr>
        <w:footnoteRef/>
      </w:r>
      <w:r>
        <w:rPr>
          <w:sz w:val="20"/>
          <w:szCs w:val="20"/>
        </w:rPr>
        <w:t xml:space="preserve"> </w:t>
      </w:r>
      <w:r>
        <w:rPr>
          <w:sz w:val="20"/>
          <w:szCs w:val="20"/>
        </w:rPr>
        <w:t>NGO Submission in Connection with Turkmenistan’s Mid-Term Reporting On the Implementation of the 2018 UPR Recommendations, available at:</w:t>
      </w:r>
    </w:p>
    <w:p w14:paraId="63205FE5" w14:textId="77777777" w:rsidR="006E5E26" w:rsidRDefault="00000000">
      <w:pPr>
        <w:pBdr>
          <w:top w:val="nil"/>
          <w:left w:val="nil"/>
          <w:bottom w:val="nil"/>
          <w:right w:val="nil"/>
          <w:between w:val="nil"/>
        </w:pBdr>
        <w:rPr>
          <w:color w:val="000000"/>
          <w:sz w:val="20"/>
          <w:szCs w:val="20"/>
        </w:rPr>
      </w:pPr>
      <w:hyperlink r:id="rId8">
        <w:r>
          <w:rPr>
            <w:color w:val="0563C1"/>
            <w:sz w:val="20"/>
            <w:szCs w:val="20"/>
            <w:u w:val="single"/>
          </w:rPr>
          <w:t>https://www.ohchr.org/sites/default/files/Documents/HRBodies/UPR/NGOsMidTermReports/EHPV_Turkmenistan.pdf</w:t>
        </w:r>
      </w:hyperlink>
    </w:p>
  </w:footnote>
  <w:footnote w:id="10">
    <w:p w14:paraId="6C0BB85E" w14:textId="77777777" w:rsidR="006E5E26" w:rsidRDefault="00000000">
      <w:pPr>
        <w:rPr>
          <w:sz w:val="20"/>
          <w:szCs w:val="20"/>
        </w:rPr>
      </w:pPr>
      <w:r>
        <w:rPr>
          <w:vertAlign w:val="superscript"/>
        </w:rPr>
        <w:footnoteRef/>
      </w:r>
      <w:r>
        <w:rPr>
          <w:sz w:val="20"/>
          <w:szCs w:val="20"/>
        </w:rPr>
        <w:t xml:space="preserve"> </w:t>
      </w:r>
      <w:r>
        <w:rPr>
          <w:sz w:val="20"/>
          <w:szCs w:val="20"/>
        </w:rPr>
        <w:t xml:space="preserve">Turkmenistan. Gender data gaps and country performance. December 2020, available at: </w:t>
      </w:r>
      <w:hyperlink r:id="rId9">
        <w:r>
          <w:rPr>
            <w:sz w:val="20"/>
            <w:szCs w:val="20"/>
          </w:rPr>
          <w:t>https://data.unwomen.org/country/turkmenistan</w:t>
        </w:r>
      </w:hyperlink>
      <w:r>
        <w:rPr>
          <w:sz w:val="20"/>
          <w:szCs w:val="20"/>
        </w:rPr>
        <w:t xml:space="preserve">    </w:t>
      </w:r>
    </w:p>
  </w:footnote>
  <w:footnote w:id="11">
    <w:p w14:paraId="18ACE8BC" w14:textId="77777777" w:rsidR="006E5E26"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20"/>
          <w:szCs w:val="20"/>
        </w:rPr>
        <w:t>Turkmenistan: Car and Beauty Bans Further Erode Women’s Rights</w:t>
      </w:r>
    </w:p>
    <w:p w14:paraId="3C692E11" w14:textId="77777777" w:rsidR="006E5E26" w:rsidRDefault="00000000">
      <w:pPr>
        <w:pBdr>
          <w:top w:val="nil"/>
          <w:left w:val="nil"/>
          <w:bottom w:val="nil"/>
          <w:right w:val="nil"/>
          <w:between w:val="nil"/>
        </w:pBdr>
        <w:rPr>
          <w:color w:val="000000"/>
        </w:rPr>
      </w:pPr>
      <w:hyperlink r:id="rId10">
        <w:r>
          <w:rPr>
            <w:color w:val="0563C1"/>
            <w:sz w:val="20"/>
            <w:szCs w:val="20"/>
            <w:u w:val="single"/>
          </w:rPr>
          <w:t>https://iwpr.net/global-voices/turkmenistan-car-and-beauty-bans-further-erode-womens-rights</w:t>
        </w:r>
      </w:hyperlink>
      <w:r>
        <w:rPr>
          <w:color w:val="000000"/>
          <w:sz w:val="20"/>
          <w:szCs w:val="20"/>
        </w:rPr>
        <w:t xml:space="preserve"> </w:t>
      </w:r>
    </w:p>
  </w:footnote>
  <w:footnote w:id="12">
    <w:p w14:paraId="2A191DBD" w14:textId="77777777" w:rsidR="006E5E26" w:rsidRDefault="00000000">
      <w:pPr>
        <w:pBdr>
          <w:top w:val="nil"/>
          <w:left w:val="nil"/>
          <w:bottom w:val="nil"/>
          <w:right w:val="nil"/>
          <w:between w:val="nil"/>
        </w:pBdr>
        <w:jc w:val="both"/>
        <w:rPr>
          <w:color w:val="000000"/>
          <w:sz w:val="20"/>
          <w:szCs w:val="20"/>
        </w:rPr>
      </w:pPr>
      <w:r>
        <w:rPr>
          <w:vertAlign w:val="superscript"/>
        </w:rPr>
        <w:footnoteRef/>
      </w:r>
      <w:r>
        <w:rPr>
          <w:color w:val="000000"/>
          <w:sz w:val="20"/>
          <w:szCs w:val="20"/>
        </w:rPr>
        <w:t>Turkmen Women Refused Boarding on Dubai Flight Over Cosmetic Changes</w:t>
      </w:r>
      <w:r>
        <w:rPr>
          <w:sz w:val="20"/>
          <w:szCs w:val="20"/>
        </w:rPr>
        <w:t xml:space="preserve"> </w:t>
      </w:r>
      <w:hyperlink r:id="rId11">
        <w:r>
          <w:rPr>
            <w:color w:val="0563C1"/>
            <w:sz w:val="20"/>
            <w:szCs w:val="20"/>
            <w:u w:val="single"/>
          </w:rPr>
          <w:t>https://www.rferl.org/a/turkmenistan-women-stopped-flight/32145453.html</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0AFA0" w14:textId="77777777" w:rsidR="006E5E26" w:rsidRDefault="00000000">
    <w:pPr>
      <w:pBdr>
        <w:top w:val="nil"/>
        <w:left w:val="nil"/>
        <w:bottom w:val="nil"/>
        <w:right w:val="nil"/>
        <w:between w:val="nil"/>
      </w:pBdr>
      <w:tabs>
        <w:tab w:val="center" w:pos="4680"/>
        <w:tab w:val="right" w:pos="9360"/>
      </w:tabs>
      <w:ind w:left="5812"/>
      <w:rPr>
        <w:color w:val="000000"/>
        <w:sz w:val="20"/>
        <w:szCs w:val="20"/>
      </w:rPr>
    </w:pPr>
    <w:r>
      <w:rPr>
        <w:noProof/>
      </w:rPr>
      <w:drawing>
        <wp:anchor distT="0" distB="0" distL="0" distR="0" simplePos="0" relativeHeight="251658240" behindDoc="1" locked="0" layoutInCell="1" hidden="0" allowOverlap="1" wp14:anchorId="3646DC63" wp14:editId="578194AF">
          <wp:simplePos x="0" y="0"/>
          <wp:positionH relativeFrom="column">
            <wp:posOffset>-503553</wp:posOffset>
          </wp:positionH>
          <wp:positionV relativeFrom="paragraph">
            <wp:posOffset>225580</wp:posOffset>
          </wp:positionV>
          <wp:extent cx="1281430" cy="3841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81430" cy="384175"/>
                  </a:xfrm>
                  <a:prstGeom prst="rect">
                    <a:avLst/>
                  </a:prstGeom>
                  <a:ln/>
                </pic:spPr>
              </pic:pic>
            </a:graphicData>
          </a:graphic>
        </wp:anchor>
      </w:drawing>
    </w:r>
  </w:p>
  <w:p w14:paraId="1EAE78A6" w14:textId="77777777" w:rsidR="006E5E26" w:rsidRDefault="006E5E26">
    <w:pPr>
      <w:tabs>
        <w:tab w:val="left" w:pos="6521"/>
      </w:tabs>
      <w:ind w:left="6946"/>
    </w:pPr>
  </w:p>
  <w:p w14:paraId="265744E2" w14:textId="77777777" w:rsidR="006E5E26" w:rsidRDefault="006E5E26">
    <w:pPr>
      <w:tabs>
        <w:tab w:val="left" w:pos="6521"/>
      </w:tabs>
    </w:pPr>
  </w:p>
  <w:p w14:paraId="7CFA5E00" w14:textId="77777777" w:rsidR="006E5E26" w:rsidRDefault="006E5E26">
    <w:pPr>
      <w:tabs>
        <w:tab w:val="left" w:pos="6521"/>
      </w:tabs>
    </w:pPr>
  </w:p>
  <w:p w14:paraId="2BF52647" w14:textId="77777777" w:rsidR="006E5E26" w:rsidRDefault="00000000">
    <w:pPr>
      <w:tabs>
        <w:tab w:val="left" w:pos="6521"/>
      </w:tabs>
      <w:ind w:left="-851"/>
      <w:jc w:val="both"/>
    </w:pPr>
    <w:hyperlink r:id="rId2">
      <w:r>
        <w:rPr>
          <w:color w:val="0563C1"/>
          <w:u w:val="single"/>
        </w:rPr>
        <w:t>www.ecom.ngo</w:t>
      </w:r>
    </w:hyperlink>
    <w:r>
      <w:t xml:space="preserve"> </w:t>
    </w:r>
  </w:p>
  <w:p w14:paraId="76CA4A6E" w14:textId="77777777" w:rsidR="006E5E26" w:rsidRDefault="006E5E26">
    <w:pPr>
      <w:tabs>
        <w:tab w:val="left" w:pos="65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44F5A"/>
    <w:multiLevelType w:val="multilevel"/>
    <w:tmpl w:val="F89291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28677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E26"/>
    <w:rsid w:val="000C5715"/>
    <w:rsid w:val="006E5E26"/>
    <w:rsid w:val="008C5366"/>
    <w:rsid w:val="00A12CCE"/>
    <w:rsid w:val="00BF2736"/>
    <w:rsid w:val="00EA3708"/>
  </w:rsids>
  <m:mathPr>
    <m:mathFont m:val="Cambria Math"/>
    <m:brkBin m:val="before"/>
    <m:brkBinSub m:val="--"/>
    <m:smallFrac m:val="0"/>
    <m:dispDef/>
    <m:lMargin m:val="0"/>
    <m:rMargin m:val="0"/>
    <m:defJc m:val="centerGroup"/>
    <m:wrapIndent m:val="1440"/>
    <m:intLim m:val="subSup"/>
    <m:naryLim m:val="undOvr"/>
  </m:mathPr>
  <w:themeFontLang w:val="ru-TR"/>
  <w:clrSchemeMapping w:bg1="light1" w:t1="dark1" w:bg2="light2" w:t2="dark2" w:accent1="accent1" w:accent2="accent2" w:accent3="accent3" w:accent4="accent4" w:accent5="accent5" w:accent6="accent6" w:hyperlink="hyperlink" w:followedHyperlink="followedHyperlink"/>
  <w:decimalSymbol w:val=","/>
  <w:listSeparator w:val=";"/>
  <w14:docId w14:val="59B51C57"/>
  <w15:docId w15:val="{B0EF8FE8-D2BA-5947-BCFB-2BA07D701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outlineLvl w:val="0"/>
    </w:pPr>
    <w:rPr>
      <w:rFonts w:ascii="Calibri" w:eastAsia="Calibri" w:hAnsi="Calibri" w:cs="Calibri"/>
      <w:color w:val="2F5496"/>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HRBodies/UPR/NGOsMidTermReports/EHPV_Turkmenistan.pdf" TargetMode="External"/><Relationship Id="rId3" Type="http://schemas.openxmlformats.org/officeDocument/2006/relationships/hyperlink" Target="https://turkmenistan.unfpa.org/sites/default/files/pub-pdf/report_health_and_status_of_a_woman_in_the_family_in_turkmenistan.pdf" TargetMode="External"/><Relationship Id="rId7" Type="http://schemas.openxmlformats.org/officeDocument/2006/relationships/hyperlink" Target="https://ecom.ngo/library/turkmenistan_legislative_analysis_2019_en" TargetMode="External"/><Relationship Id="rId2" Type="http://schemas.openxmlformats.org/officeDocument/2006/relationships/hyperlink" Target="https://mics-surveys-prod.s3.amazonaws.com/MICS6/Europe%20and%20Central%20Asia/Turkmenistan/2019/Survey%20findings/Turkmenistan%202019%20MICS%20SFR_English.pdf" TargetMode="External"/><Relationship Id="rId1" Type="http://schemas.openxmlformats.org/officeDocument/2006/relationships/hyperlink" Target="https://www.asianews.it/news-en/The-misogyny-of-the-new-Turkmen-president-55786.html" TargetMode="External"/><Relationship Id="rId6" Type="http://schemas.openxmlformats.org/officeDocument/2006/relationships/hyperlink" Target="https://europe.ippf.org/news/turkmenistan-ramps-policing-womens-bodies" TargetMode="External"/><Relationship Id="rId11" Type="http://schemas.openxmlformats.org/officeDocument/2006/relationships/hyperlink" Target="https://www.rferl.org/a/turkmenistan-women-stopped-flight/32145453.html" TargetMode="External"/><Relationship Id="rId5" Type="http://schemas.openxmlformats.org/officeDocument/2006/relationships/hyperlink" Target="https://www.rferl.org/a/turkmenistan-abortion-ban-bribery-restrictions/32039527.html" TargetMode="External"/><Relationship Id="rId10" Type="http://schemas.openxmlformats.org/officeDocument/2006/relationships/hyperlink" Target="https://iwpr.net/global-voices/turkmenistan-car-and-beauty-bans-further-erode-womens-rights" TargetMode="External"/><Relationship Id="rId4" Type="http://schemas.openxmlformats.org/officeDocument/2006/relationships/hyperlink" Target="https://ombudsman.gov.tm/doc/2021y_Adalatcy_maglumat_ru.pdf" TargetMode="External"/><Relationship Id="rId9" Type="http://schemas.openxmlformats.org/officeDocument/2006/relationships/hyperlink" Target="https://data.unwomen.org/country/turkmenista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ecom.ngo"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3161</Words>
  <Characters>18020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2023-04-10T11:16:00Z</dcterms:created>
  <dcterms:modified xsi:type="dcterms:W3CDTF">2023-04-10T11:57:00Z</dcterms:modified>
</cp:coreProperties>
</file>