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D48AE" w14:textId="3D0807AC" w:rsidR="00705F77" w:rsidRPr="004E5C7C" w:rsidRDefault="00BF2150" w:rsidP="004E5C7C">
      <w:pPr>
        <w:autoSpaceDE w:val="0"/>
        <w:spacing w:before="120" w:after="120" w:line="240" w:lineRule="auto"/>
        <w:jc w:val="center"/>
        <w:rPr>
          <w:b/>
          <w:bCs/>
          <w:sz w:val="22"/>
          <w:szCs w:val="22"/>
          <w:lang w:eastAsia="ar-SA"/>
        </w:rPr>
      </w:pPr>
      <w:bookmarkStart w:id="0" w:name="_GoBack"/>
      <w:bookmarkEnd w:id="0"/>
      <w:r w:rsidRPr="00601728">
        <w:tab/>
      </w:r>
      <w:r w:rsidR="00DC397E" w:rsidRPr="004E5C7C">
        <w:rPr>
          <w:b/>
          <w:bCs/>
          <w:sz w:val="22"/>
          <w:szCs w:val="22"/>
          <w:lang w:eastAsia="ar-SA"/>
        </w:rPr>
        <w:t xml:space="preserve">Ukrainian Parliamentary Commissioner on Human Rights (Ombudsperson) </w:t>
      </w:r>
      <w:r w:rsidR="00705F77" w:rsidRPr="004E5C7C">
        <w:rPr>
          <w:b/>
          <w:bCs/>
          <w:sz w:val="22"/>
          <w:szCs w:val="22"/>
          <w:lang w:eastAsia="ar-SA"/>
        </w:rPr>
        <w:t xml:space="preserve">information for the </w:t>
      </w:r>
      <w:r w:rsidR="006E2652" w:rsidRPr="004E5C7C">
        <w:rPr>
          <w:b/>
          <w:bCs/>
          <w:sz w:val="22"/>
          <w:szCs w:val="22"/>
          <w:lang w:eastAsia="ar-SA"/>
        </w:rPr>
        <w:t>133</w:t>
      </w:r>
      <w:r w:rsidR="006E2652" w:rsidRPr="001D1064">
        <w:rPr>
          <w:b/>
          <w:bCs/>
          <w:sz w:val="22"/>
          <w:szCs w:val="22"/>
          <w:vertAlign w:val="superscript"/>
          <w:lang w:eastAsia="ar-SA"/>
        </w:rPr>
        <w:t>rd</w:t>
      </w:r>
      <w:r w:rsidR="006E2652">
        <w:rPr>
          <w:b/>
          <w:bCs/>
          <w:sz w:val="22"/>
          <w:szCs w:val="22"/>
          <w:lang w:eastAsia="ar-SA"/>
        </w:rPr>
        <w:t xml:space="preserve"> </w:t>
      </w:r>
      <w:r w:rsidR="00705F77" w:rsidRPr="004E5C7C">
        <w:rPr>
          <w:b/>
          <w:bCs/>
          <w:sz w:val="22"/>
          <w:szCs w:val="22"/>
          <w:lang w:eastAsia="ar-SA"/>
        </w:rPr>
        <w:t xml:space="preserve">session of the </w:t>
      </w:r>
      <w:r w:rsidR="00FE1CDC">
        <w:rPr>
          <w:b/>
          <w:bCs/>
          <w:sz w:val="22"/>
          <w:szCs w:val="22"/>
          <w:lang w:eastAsia="ar-SA"/>
        </w:rPr>
        <w:t xml:space="preserve">UN </w:t>
      </w:r>
      <w:r w:rsidR="00705F77" w:rsidRPr="004E5C7C">
        <w:rPr>
          <w:b/>
          <w:bCs/>
          <w:sz w:val="22"/>
          <w:szCs w:val="22"/>
          <w:lang w:eastAsia="ar-SA"/>
        </w:rPr>
        <w:t xml:space="preserve">Human Rights Committee </w:t>
      </w:r>
    </w:p>
    <w:p w14:paraId="6409FC66" w14:textId="77777777" w:rsidR="00705F77" w:rsidRPr="004E5C7C" w:rsidRDefault="00705F77" w:rsidP="004E5C7C">
      <w:pPr>
        <w:autoSpaceDE w:val="0"/>
        <w:spacing w:before="120" w:after="120" w:line="240" w:lineRule="auto"/>
        <w:rPr>
          <w:bCs/>
          <w:sz w:val="22"/>
          <w:szCs w:val="22"/>
          <w:lang w:eastAsia="ar-SA"/>
        </w:rPr>
      </w:pPr>
    </w:p>
    <w:p w14:paraId="6E24AFF1" w14:textId="18CE2727" w:rsidR="00705F77" w:rsidRDefault="006E2652" w:rsidP="001D1064">
      <w:pPr>
        <w:autoSpaceDE w:val="0"/>
        <w:spacing w:before="120" w:after="120" w:line="240" w:lineRule="auto"/>
        <w:ind w:left="567"/>
        <w:jc w:val="center"/>
        <w:rPr>
          <w:b/>
          <w:sz w:val="22"/>
          <w:szCs w:val="22"/>
        </w:rPr>
      </w:pPr>
      <w:r>
        <w:rPr>
          <w:b/>
          <w:bCs/>
          <w:sz w:val="22"/>
          <w:szCs w:val="22"/>
          <w:lang w:eastAsia="ar-SA"/>
        </w:rPr>
        <w:t>f</w:t>
      </w:r>
      <w:r w:rsidRPr="004E5C7C">
        <w:rPr>
          <w:b/>
          <w:bCs/>
          <w:sz w:val="22"/>
          <w:szCs w:val="22"/>
          <w:lang w:eastAsia="ar-SA"/>
        </w:rPr>
        <w:t xml:space="preserve">or </w:t>
      </w:r>
      <w:r w:rsidR="00705F77" w:rsidRPr="004E5C7C">
        <w:rPr>
          <w:b/>
          <w:bCs/>
          <w:sz w:val="22"/>
          <w:szCs w:val="22"/>
          <w:lang w:eastAsia="ar-SA"/>
        </w:rPr>
        <w:t>consideration when reviewing the eigh</w:t>
      </w:r>
      <w:r w:rsidR="00836D52" w:rsidRPr="004E5C7C">
        <w:rPr>
          <w:b/>
          <w:bCs/>
          <w:sz w:val="22"/>
          <w:szCs w:val="22"/>
          <w:lang w:eastAsia="ar-SA"/>
        </w:rPr>
        <w:t>th</w:t>
      </w:r>
      <w:r w:rsidR="00705F77" w:rsidRPr="004E5C7C">
        <w:rPr>
          <w:b/>
          <w:bCs/>
          <w:sz w:val="22"/>
          <w:szCs w:val="22"/>
          <w:lang w:eastAsia="ar-SA"/>
        </w:rPr>
        <w:t xml:space="preserve"> periodic report </w:t>
      </w:r>
      <w:r w:rsidR="00FE1CDC">
        <w:rPr>
          <w:b/>
          <w:bCs/>
          <w:sz w:val="22"/>
          <w:szCs w:val="22"/>
          <w:lang w:eastAsia="ar-SA"/>
        </w:rPr>
        <w:t xml:space="preserve">under the International Covenant </w:t>
      </w:r>
      <w:r w:rsidR="00FE1CDC" w:rsidRPr="00FE1CDC">
        <w:rPr>
          <w:b/>
          <w:bCs/>
          <w:sz w:val="22"/>
          <w:szCs w:val="22"/>
          <w:lang w:eastAsia="ar-SA"/>
        </w:rPr>
        <w:t>on</w:t>
      </w:r>
      <w:r w:rsidR="00FE1CDC">
        <w:rPr>
          <w:b/>
          <w:bCs/>
          <w:sz w:val="22"/>
          <w:szCs w:val="22"/>
          <w:lang w:eastAsia="ar-SA"/>
        </w:rPr>
        <w:t xml:space="preserve"> </w:t>
      </w:r>
      <w:r w:rsidR="00FE1CDC" w:rsidRPr="00FE1CDC">
        <w:rPr>
          <w:b/>
          <w:bCs/>
          <w:sz w:val="22"/>
          <w:szCs w:val="22"/>
          <w:lang w:eastAsia="ar-SA"/>
        </w:rPr>
        <w:t>Civil and Political Rights</w:t>
      </w:r>
      <w:r w:rsidR="00FE1CDC">
        <w:rPr>
          <w:b/>
          <w:bCs/>
          <w:sz w:val="22"/>
          <w:szCs w:val="22"/>
          <w:lang w:eastAsia="ar-SA"/>
        </w:rPr>
        <w:t xml:space="preserve"> </w:t>
      </w:r>
      <w:r w:rsidR="00705F77" w:rsidRPr="004E5C7C">
        <w:rPr>
          <w:b/>
          <w:sz w:val="22"/>
          <w:szCs w:val="22"/>
        </w:rPr>
        <w:t>submitted by Ukraine on 25 July 2018 and replies to the list of issues submitted by Ukraine on 13 April 2020</w:t>
      </w:r>
    </w:p>
    <w:p w14:paraId="63BDE865" w14:textId="77777777" w:rsidR="004E5C7C" w:rsidRPr="004E5C7C" w:rsidRDefault="004E5C7C" w:rsidP="004E5C7C">
      <w:pPr>
        <w:autoSpaceDE w:val="0"/>
        <w:spacing w:before="120" w:after="120" w:line="240" w:lineRule="auto"/>
        <w:ind w:left="284" w:firstLine="283"/>
        <w:jc w:val="center"/>
        <w:rPr>
          <w:b/>
          <w:sz w:val="22"/>
          <w:szCs w:val="22"/>
        </w:rPr>
      </w:pPr>
    </w:p>
    <w:p w14:paraId="3FD5C255" w14:textId="24FEEE79" w:rsidR="00B22F73" w:rsidRPr="004E5C7C" w:rsidRDefault="00BF2150" w:rsidP="004E5C7C">
      <w:pPr>
        <w:pStyle w:val="H23G"/>
        <w:ind w:right="0"/>
        <w:jc w:val="both"/>
        <w:rPr>
          <w:sz w:val="22"/>
          <w:szCs w:val="22"/>
        </w:rPr>
      </w:pPr>
      <w:r w:rsidRPr="004E5C7C">
        <w:rPr>
          <w:sz w:val="22"/>
          <w:szCs w:val="22"/>
        </w:rPr>
        <w:tab/>
      </w:r>
      <w:r w:rsidR="00B22F73" w:rsidRPr="004E5C7C">
        <w:rPr>
          <w:sz w:val="22"/>
          <w:szCs w:val="22"/>
        </w:rPr>
        <w:tab/>
      </w:r>
      <w:r w:rsidR="00B22F73" w:rsidRPr="004E5C7C">
        <w:rPr>
          <w:sz w:val="22"/>
          <w:szCs w:val="22"/>
        </w:rPr>
        <w:tab/>
      </w:r>
      <w:r w:rsidR="00B22F73" w:rsidRPr="004E5C7C">
        <w:rPr>
          <w:sz w:val="22"/>
          <w:szCs w:val="22"/>
          <w:highlight w:val="lightGray"/>
        </w:rPr>
        <w:t xml:space="preserve">States of </w:t>
      </w:r>
      <w:bookmarkStart w:id="1" w:name="_Hlk81575969"/>
      <w:r w:rsidR="00B22F73" w:rsidRPr="004E5C7C">
        <w:rPr>
          <w:sz w:val="22"/>
          <w:szCs w:val="22"/>
          <w:highlight w:val="lightGray"/>
        </w:rPr>
        <w:t xml:space="preserve">emergency and security measures </w:t>
      </w:r>
      <w:bookmarkEnd w:id="1"/>
      <w:r w:rsidR="00B22F73" w:rsidRPr="004E5C7C">
        <w:rPr>
          <w:sz w:val="22"/>
          <w:szCs w:val="22"/>
          <w:highlight w:val="lightGray"/>
        </w:rPr>
        <w:t>(</w:t>
      </w:r>
      <w:r w:rsidR="007321EA">
        <w:rPr>
          <w:sz w:val="22"/>
          <w:szCs w:val="22"/>
          <w:highlight w:val="lightGray"/>
        </w:rPr>
        <w:t>A</w:t>
      </w:r>
      <w:r w:rsidR="007321EA" w:rsidRPr="004E5C7C">
        <w:rPr>
          <w:sz w:val="22"/>
          <w:szCs w:val="22"/>
          <w:highlight w:val="lightGray"/>
        </w:rPr>
        <w:t>rts</w:t>
      </w:r>
      <w:r w:rsidR="00B22F73" w:rsidRPr="004E5C7C">
        <w:rPr>
          <w:sz w:val="22"/>
          <w:szCs w:val="22"/>
          <w:highlight w:val="lightGray"/>
        </w:rPr>
        <w:t>.2, 4, 9, 12, 14 and 17)</w:t>
      </w:r>
    </w:p>
    <w:p w14:paraId="5686B247" w14:textId="78B5B052" w:rsidR="00707D12" w:rsidRPr="00F67C81" w:rsidRDefault="0085603C" w:rsidP="004E5C7C">
      <w:pPr>
        <w:spacing w:before="120" w:after="120"/>
        <w:ind w:left="1080"/>
        <w:jc w:val="both"/>
        <w:rPr>
          <w:sz w:val="22"/>
          <w:szCs w:val="22"/>
        </w:rPr>
      </w:pPr>
      <w:r w:rsidRPr="004E5C7C">
        <w:rPr>
          <w:sz w:val="22"/>
          <w:szCs w:val="22"/>
        </w:rPr>
        <w:t>The armed conflict in eastern Ukraine, which led to continued Russian military aggression and the occupation of the large territory of Donbas, the Autonomous Republic of Crimea</w:t>
      </w:r>
      <w:r w:rsidR="006C4F50">
        <w:rPr>
          <w:sz w:val="22"/>
          <w:szCs w:val="22"/>
        </w:rPr>
        <w:t xml:space="preserve"> (ARC)</w:t>
      </w:r>
      <w:r w:rsidRPr="004E5C7C">
        <w:rPr>
          <w:sz w:val="22"/>
          <w:szCs w:val="22"/>
        </w:rPr>
        <w:t xml:space="preserve"> and the city of Sevastopol </w:t>
      </w:r>
      <w:r w:rsidR="00C300CF" w:rsidRPr="004E5C7C">
        <w:rPr>
          <w:sz w:val="22"/>
          <w:szCs w:val="22"/>
        </w:rPr>
        <w:t>continues to cause</w:t>
      </w:r>
      <w:r w:rsidRPr="004E5C7C">
        <w:rPr>
          <w:sz w:val="22"/>
          <w:szCs w:val="22"/>
        </w:rPr>
        <w:t xml:space="preserve"> massive violations of the rights of Ukrainian citizens. Illegal detentions, deportations, illegal and forced passportization, restrictions of linguistic rights, the right to education, and the unilateral closure of checkpoints continue. The lives and well-being of </w:t>
      </w:r>
      <w:r w:rsidRPr="0016796A">
        <w:rPr>
          <w:sz w:val="22"/>
          <w:szCs w:val="22"/>
        </w:rPr>
        <w:t>civilians remain at risk</w:t>
      </w:r>
      <w:r w:rsidRPr="009561EF">
        <w:rPr>
          <w:sz w:val="22"/>
          <w:szCs w:val="22"/>
        </w:rPr>
        <w:t xml:space="preserve">. </w:t>
      </w:r>
    </w:p>
    <w:p w14:paraId="1DA3CC52" w14:textId="1EDAB89D" w:rsidR="00707D12" w:rsidRPr="004E5C7C" w:rsidRDefault="00707D12" w:rsidP="004E5C7C">
      <w:pPr>
        <w:spacing w:before="120" w:after="120"/>
        <w:ind w:left="1080"/>
        <w:jc w:val="both"/>
        <w:rPr>
          <w:sz w:val="22"/>
          <w:szCs w:val="22"/>
          <w:lang w:val="en-US"/>
        </w:rPr>
      </w:pPr>
      <w:r w:rsidRPr="006E2652">
        <w:rPr>
          <w:sz w:val="22"/>
          <w:szCs w:val="22"/>
        </w:rPr>
        <w:t xml:space="preserve">Since the beginning of the ATO/UFO, bodies of the state power and local self-government in Donetsk </w:t>
      </w:r>
      <w:r w:rsidR="003E2063" w:rsidRPr="006E2652">
        <w:rPr>
          <w:sz w:val="22"/>
          <w:szCs w:val="22"/>
        </w:rPr>
        <w:t>and Luhansk oblasts</w:t>
      </w:r>
      <w:r w:rsidRPr="006E2652">
        <w:rPr>
          <w:sz w:val="22"/>
          <w:szCs w:val="22"/>
        </w:rPr>
        <w:t xml:space="preserve"> have registered </w:t>
      </w:r>
      <w:r w:rsidR="00FE1CDC" w:rsidRPr="006E2652">
        <w:rPr>
          <w:sz w:val="22"/>
          <w:szCs w:val="22"/>
        </w:rPr>
        <w:t>1</w:t>
      </w:r>
      <w:r w:rsidR="00F1148A">
        <w:rPr>
          <w:sz w:val="22"/>
          <w:szCs w:val="22"/>
        </w:rPr>
        <w:t>,</w:t>
      </w:r>
      <w:r w:rsidR="00FE1CDC" w:rsidRPr="006E2652">
        <w:rPr>
          <w:sz w:val="22"/>
          <w:szCs w:val="22"/>
        </w:rPr>
        <w:t xml:space="preserve">066 </w:t>
      </w:r>
      <w:r w:rsidRPr="006E2652">
        <w:rPr>
          <w:sz w:val="22"/>
          <w:szCs w:val="22"/>
        </w:rPr>
        <w:t xml:space="preserve">civilians who were killed, and </w:t>
      </w:r>
      <w:r w:rsidR="00FE1CDC" w:rsidRPr="006E2652">
        <w:rPr>
          <w:sz w:val="22"/>
          <w:szCs w:val="22"/>
        </w:rPr>
        <w:t xml:space="preserve">1652 </w:t>
      </w:r>
      <w:r w:rsidRPr="006E2652">
        <w:rPr>
          <w:sz w:val="22"/>
          <w:szCs w:val="22"/>
        </w:rPr>
        <w:t xml:space="preserve">injured persons, including </w:t>
      </w:r>
      <w:r w:rsidR="00FE1CDC" w:rsidRPr="006E2652">
        <w:rPr>
          <w:sz w:val="22"/>
          <w:szCs w:val="22"/>
        </w:rPr>
        <w:t xml:space="preserve">67 </w:t>
      </w:r>
      <w:r w:rsidRPr="006E2652">
        <w:rPr>
          <w:sz w:val="22"/>
          <w:szCs w:val="22"/>
        </w:rPr>
        <w:t xml:space="preserve">children. At the same time, bodies of state power do not keep records of the affected civilian population residing in the temporarily occupied territories. From 14 April 2014 to 31 </w:t>
      </w:r>
      <w:r w:rsidR="003E2063" w:rsidRPr="006E2652">
        <w:rPr>
          <w:sz w:val="22"/>
          <w:szCs w:val="22"/>
        </w:rPr>
        <w:t xml:space="preserve">January </w:t>
      </w:r>
      <w:r w:rsidRPr="006E2652">
        <w:rPr>
          <w:sz w:val="22"/>
          <w:szCs w:val="22"/>
        </w:rPr>
        <w:t xml:space="preserve">2020, the UN Monitoring Mission in Ukraine registered </w:t>
      </w:r>
      <w:r w:rsidR="006E2652">
        <w:rPr>
          <w:sz w:val="22"/>
          <w:szCs w:val="22"/>
        </w:rPr>
        <w:t>a</w:t>
      </w:r>
      <w:r w:rsidR="006E2652" w:rsidRPr="006E2652">
        <w:rPr>
          <w:sz w:val="22"/>
          <w:szCs w:val="22"/>
        </w:rPr>
        <w:t xml:space="preserve"> </w:t>
      </w:r>
      <w:r w:rsidRPr="006E2652">
        <w:rPr>
          <w:sz w:val="22"/>
          <w:szCs w:val="22"/>
        </w:rPr>
        <w:t>total of 3,</w:t>
      </w:r>
      <w:r w:rsidR="003E2063" w:rsidRPr="006E2652">
        <w:rPr>
          <w:sz w:val="22"/>
          <w:szCs w:val="22"/>
        </w:rPr>
        <w:t xml:space="preserve">077 </w:t>
      </w:r>
      <w:r w:rsidRPr="006E2652">
        <w:rPr>
          <w:sz w:val="22"/>
          <w:szCs w:val="22"/>
        </w:rPr>
        <w:t>casualties among the civilian population (1,</w:t>
      </w:r>
      <w:r w:rsidR="003E2063" w:rsidRPr="006E2652">
        <w:rPr>
          <w:sz w:val="22"/>
          <w:szCs w:val="22"/>
        </w:rPr>
        <w:t xml:space="preserve">828 </w:t>
      </w:r>
      <w:r w:rsidRPr="006E2652">
        <w:rPr>
          <w:sz w:val="22"/>
          <w:szCs w:val="22"/>
        </w:rPr>
        <w:t>men</w:t>
      </w:r>
      <w:r w:rsidR="00193E94">
        <w:rPr>
          <w:sz w:val="22"/>
          <w:szCs w:val="22"/>
        </w:rPr>
        <w:t>;</w:t>
      </w:r>
      <w:r w:rsidR="00193E94" w:rsidRPr="00193E94">
        <w:rPr>
          <w:sz w:val="22"/>
          <w:szCs w:val="22"/>
        </w:rPr>
        <w:t xml:space="preserve"> </w:t>
      </w:r>
      <w:r w:rsidRPr="00193E94">
        <w:rPr>
          <w:sz w:val="22"/>
          <w:szCs w:val="22"/>
        </w:rPr>
        <w:t>1,064 women</w:t>
      </w:r>
      <w:r w:rsidR="00193E94">
        <w:rPr>
          <w:sz w:val="22"/>
          <w:szCs w:val="22"/>
        </w:rPr>
        <w:t>;</w:t>
      </w:r>
      <w:r w:rsidR="00193E94" w:rsidRPr="00193E94">
        <w:rPr>
          <w:sz w:val="22"/>
          <w:szCs w:val="22"/>
        </w:rPr>
        <w:t xml:space="preserve"> </w:t>
      </w:r>
      <w:r w:rsidRPr="00193E94">
        <w:rPr>
          <w:sz w:val="22"/>
          <w:szCs w:val="22"/>
        </w:rPr>
        <w:t>99 boys</w:t>
      </w:r>
      <w:r w:rsidR="00193E94">
        <w:rPr>
          <w:sz w:val="22"/>
          <w:szCs w:val="22"/>
        </w:rPr>
        <w:t>;</w:t>
      </w:r>
      <w:r w:rsidR="00193E94" w:rsidRPr="00193E94">
        <w:rPr>
          <w:sz w:val="22"/>
          <w:szCs w:val="22"/>
        </w:rPr>
        <w:t xml:space="preserve"> </w:t>
      </w:r>
      <w:r w:rsidRPr="00193E94">
        <w:rPr>
          <w:sz w:val="22"/>
          <w:szCs w:val="22"/>
        </w:rPr>
        <w:t>49 girls</w:t>
      </w:r>
      <w:r w:rsidR="00193E94">
        <w:rPr>
          <w:sz w:val="22"/>
          <w:szCs w:val="22"/>
        </w:rPr>
        <w:t>;</w:t>
      </w:r>
      <w:r w:rsidRPr="00193E94">
        <w:rPr>
          <w:sz w:val="22"/>
          <w:szCs w:val="22"/>
        </w:rPr>
        <w:t xml:space="preserve"> and 37 adults whose gender is unknown). The number of wounded civilians exceeds 7,000</w:t>
      </w:r>
      <w:r w:rsidR="004E5C7C" w:rsidRPr="0016796A">
        <w:rPr>
          <w:sz w:val="22"/>
          <w:szCs w:val="22"/>
          <w:lang w:val="en-US"/>
        </w:rPr>
        <w:t>.</w:t>
      </w:r>
    </w:p>
    <w:p w14:paraId="5BD2BD4B" w14:textId="074594A4" w:rsidR="0085603C" w:rsidRPr="0039504E" w:rsidRDefault="0085603C" w:rsidP="004E5C7C">
      <w:pPr>
        <w:spacing w:before="120" w:after="120"/>
        <w:ind w:left="1080"/>
        <w:jc w:val="both"/>
        <w:rPr>
          <w:sz w:val="22"/>
          <w:szCs w:val="22"/>
        </w:rPr>
      </w:pPr>
      <w:r w:rsidRPr="004E5C7C">
        <w:rPr>
          <w:sz w:val="22"/>
          <w:szCs w:val="22"/>
        </w:rPr>
        <w:t xml:space="preserve">The armed conflict has exacerbated the humanitarian crisis with devastating consequences for 4.4 million citizens, approximately 1.5 million of whom were forced to leave their places of residence. 49 military </w:t>
      </w:r>
      <w:r w:rsidR="006F5D95">
        <w:rPr>
          <w:sz w:val="22"/>
          <w:szCs w:val="22"/>
        </w:rPr>
        <w:t xml:space="preserve">servicemen </w:t>
      </w:r>
      <w:r w:rsidRPr="004E5C7C">
        <w:rPr>
          <w:sz w:val="22"/>
          <w:szCs w:val="22"/>
        </w:rPr>
        <w:t xml:space="preserve">of the Armed Forces of Ukraine and 18 civilians were killed, 89 were injured in 2020 as a result of the escalation of hostilities in eastern Ukraine. </w:t>
      </w:r>
      <w:r w:rsidR="0016796A">
        <w:rPr>
          <w:sz w:val="22"/>
          <w:szCs w:val="22"/>
        </w:rPr>
        <w:t>As of 27 July 2021, one year since the</w:t>
      </w:r>
      <w:r w:rsidRPr="004E5C7C">
        <w:rPr>
          <w:sz w:val="22"/>
          <w:szCs w:val="22"/>
        </w:rPr>
        <w:t xml:space="preserve"> announcement of the ceasefire (on 27 July 2020), 4</w:t>
      </w:r>
      <w:r w:rsidR="0016796A">
        <w:rPr>
          <w:sz w:val="22"/>
          <w:szCs w:val="22"/>
        </w:rPr>
        <w:t>5</w:t>
      </w:r>
      <w:r w:rsidRPr="004E5C7C">
        <w:rPr>
          <w:sz w:val="22"/>
          <w:szCs w:val="22"/>
        </w:rPr>
        <w:t xml:space="preserve"> military </w:t>
      </w:r>
      <w:r w:rsidR="00043FE5">
        <w:rPr>
          <w:sz w:val="22"/>
          <w:szCs w:val="22"/>
        </w:rPr>
        <w:t>servicemen</w:t>
      </w:r>
      <w:r w:rsidR="00043FE5" w:rsidRPr="004E5C7C">
        <w:rPr>
          <w:sz w:val="22"/>
          <w:szCs w:val="22"/>
        </w:rPr>
        <w:t xml:space="preserve"> </w:t>
      </w:r>
      <w:r w:rsidRPr="004E5C7C">
        <w:rPr>
          <w:sz w:val="22"/>
          <w:szCs w:val="22"/>
        </w:rPr>
        <w:t xml:space="preserve">were </w:t>
      </w:r>
      <w:r w:rsidRPr="0039504E">
        <w:rPr>
          <w:sz w:val="22"/>
          <w:szCs w:val="22"/>
        </w:rPr>
        <w:t>killed</w:t>
      </w:r>
      <w:r w:rsidR="0016796A" w:rsidRPr="0039504E">
        <w:rPr>
          <w:sz w:val="22"/>
          <w:szCs w:val="22"/>
        </w:rPr>
        <w:t xml:space="preserve"> and 163 were injured</w:t>
      </w:r>
      <w:r w:rsidRPr="0039504E">
        <w:rPr>
          <w:sz w:val="22"/>
          <w:szCs w:val="22"/>
        </w:rPr>
        <w:t xml:space="preserve"> in the area of repelling the armed aggression of the Russian Federation. </w:t>
      </w:r>
    </w:p>
    <w:p w14:paraId="774C9B0E" w14:textId="06745864" w:rsidR="009561EF" w:rsidRPr="0039504E" w:rsidRDefault="0085603C" w:rsidP="004E5C7C">
      <w:pPr>
        <w:spacing w:before="120" w:after="120"/>
        <w:ind w:left="1080"/>
        <w:jc w:val="both"/>
        <w:rPr>
          <w:sz w:val="22"/>
          <w:szCs w:val="22"/>
        </w:rPr>
      </w:pPr>
      <w:r w:rsidRPr="0039504E">
        <w:rPr>
          <w:sz w:val="22"/>
          <w:szCs w:val="22"/>
        </w:rPr>
        <w:t xml:space="preserve">Hundreds of Ukrainians remain illegally detained. </w:t>
      </w:r>
      <w:r w:rsidR="0016796A" w:rsidRPr="0039504E">
        <w:rPr>
          <w:sz w:val="22"/>
          <w:szCs w:val="22"/>
        </w:rPr>
        <w:t xml:space="preserve">As of </w:t>
      </w:r>
      <w:r w:rsidR="006E2652" w:rsidRPr="0039504E">
        <w:rPr>
          <w:sz w:val="22"/>
          <w:szCs w:val="22"/>
        </w:rPr>
        <w:t>September 2021,</w:t>
      </w:r>
      <w:r w:rsidRPr="007F4B4D">
        <w:rPr>
          <w:sz w:val="22"/>
          <w:szCs w:val="22"/>
        </w:rPr>
        <w:t xml:space="preserve"> </w:t>
      </w:r>
      <w:r w:rsidR="009561EF" w:rsidRPr="007F4B4D">
        <w:rPr>
          <w:sz w:val="22"/>
          <w:szCs w:val="22"/>
        </w:rPr>
        <w:t xml:space="preserve">296 </w:t>
      </w:r>
      <w:r w:rsidRPr="007F4B4D">
        <w:rPr>
          <w:sz w:val="22"/>
          <w:szCs w:val="22"/>
        </w:rPr>
        <w:t xml:space="preserve">persons are currently illegally imprisoned. </w:t>
      </w:r>
      <w:r w:rsidR="009561EF" w:rsidRPr="0039504E">
        <w:rPr>
          <w:sz w:val="22"/>
          <w:szCs w:val="22"/>
        </w:rPr>
        <w:t>During the year of the ceasefire (since August 2020), in the area of hostilities in Donbas, the number of hostages has increased by 61 pe</w:t>
      </w:r>
      <w:r w:rsidR="009561EF" w:rsidRPr="007F4B4D">
        <w:rPr>
          <w:sz w:val="22"/>
          <w:szCs w:val="22"/>
        </w:rPr>
        <w:t xml:space="preserve">rsons. </w:t>
      </w:r>
    </w:p>
    <w:p w14:paraId="59BC09A3" w14:textId="38186E08" w:rsidR="009561EF" w:rsidRPr="00654DF4" w:rsidRDefault="0085603C" w:rsidP="004E5C7C">
      <w:pPr>
        <w:spacing w:before="120" w:after="120"/>
        <w:ind w:left="1080"/>
        <w:jc w:val="both"/>
        <w:rPr>
          <w:sz w:val="22"/>
          <w:szCs w:val="22"/>
        </w:rPr>
      </w:pPr>
      <w:r w:rsidRPr="0039504E">
        <w:rPr>
          <w:sz w:val="22"/>
          <w:szCs w:val="22"/>
        </w:rPr>
        <w:t xml:space="preserve">The whereabouts of 258 </w:t>
      </w:r>
      <w:r w:rsidR="009561EF" w:rsidRPr="0039504E">
        <w:rPr>
          <w:sz w:val="22"/>
          <w:szCs w:val="22"/>
        </w:rPr>
        <w:t xml:space="preserve">persons </w:t>
      </w:r>
      <w:r w:rsidRPr="0039504E">
        <w:rPr>
          <w:sz w:val="22"/>
          <w:szCs w:val="22"/>
        </w:rPr>
        <w:t xml:space="preserve">are </w:t>
      </w:r>
      <w:r w:rsidR="009561EF" w:rsidRPr="0039504E">
        <w:rPr>
          <w:sz w:val="22"/>
          <w:szCs w:val="22"/>
        </w:rPr>
        <w:t xml:space="preserve">currently </w:t>
      </w:r>
      <w:r w:rsidRPr="0039504E">
        <w:rPr>
          <w:sz w:val="22"/>
          <w:szCs w:val="22"/>
        </w:rPr>
        <w:t xml:space="preserve">unknown. </w:t>
      </w:r>
      <w:r w:rsidR="009561EF" w:rsidRPr="0039504E">
        <w:rPr>
          <w:sz w:val="22"/>
          <w:szCs w:val="22"/>
        </w:rPr>
        <w:t>The Regulation of the Cabinet of Ministers of Ukraine</w:t>
      </w:r>
      <w:r w:rsidR="002B3B88" w:rsidRPr="0039504E">
        <w:rPr>
          <w:sz w:val="22"/>
          <w:szCs w:val="22"/>
        </w:rPr>
        <w:t xml:space="preserve"> (CMU)</w:t>
      </w:r>
      <w:r w:rsidR="009561EF" w:rsidRPr="0039504E">
        <w:rPr>
          <w:sz w:val="22"/>
          <w:szCs w:val="22"/>
        </w:rPr>
        <w:t xml:space="preserve"> of 10 April 2019 No</w:t>
      </w:r>
      <w:r w:rsidR="00193E94" w:rsidRPr="00654DF4">
        <w:rPr>
          <w:sz w:val="22"/>
          <w:szCs w:val="22"/>
        </w:rPr>
        <w:t>.</w:t>
      </w:r>
      <w:r w:rsidR="009561EF" w:rsidRPr="001D1064">
        <w:rPr>
          <w:sz w:val="22"/>
          <w:szCs w:val="22"/>
        </w:rPr>
        <w:t xml:space="preserve">248-r established an interdepartmental Commission on Missing Persons in Special Circumstances and approved a Comprehensive Action Plan to protect the rights and interests of missing persons </w:t>
      </w:r>
      <w:r w:rsidR="009561EF" w:rsidRPr="007F4B4D">
        <w:rPr>
          <w:sz w:val="22"/>
          <w:szCs w:val="22"/>
        </w:rPr>
        <w:t xml:space="preserve">in special circumstances, victims of enforced disappearances, their family members. However, the work of this Commission </w:t>
      </w:r>
      <w:r w:rsidR="009561EF" w:rsidRPr="0039504E">
        <w:rPr>
          <w:sz w:val="22"/>
          <w:szCs w:val="22"/>
        </w:rPr>
        <w:t xml:space="preserve">did not actually </w:t>
      </w:r>
      <w:r w:rsidR="00043FE5" w:rsidRPr="0039504E">
        <w:rPr>
          <w:sz w:val="22"/>
          <w:szCs w:val="22"/>
        </w:rPr>
        <w:t>start</w:t>
      </w:r>
      <w:r w:rsidR="0039504E">
        <w:rPr>
          <w:sz w:val="22"/>
          <w:szCs w:val="22"/>
        </w:rPr>
        <w:t xml:space="preserve"> with </w:t>
      </w:r>
      <w:r w:rsidR="009561EF" w:rsidRPr="0039504E">
        <w:rPr>
          <w:sz w:val="22"/>
          <w:szCs w:val="22"/>
        </w:rPr>
        <w:t xml:space="preserve"> only a few </w:t>
      </w:r>
      <w:r w:rsidR="00043FE5" w:rsidRPr="0039504E">
        <w:rPr>
          <w:sz w:val="22"/>
          <w:szCs w:val="22"/>
        </w:rPr>
        <w:t xml:space="preserve">organizational </w:t>
      </w:r>
      <w:r w:rsidR="009561EF" w:rsidRPr="0039504E">
        <w:rPr>
          <w:sz w:val="22"/>
          <w:szCs w:val="22"/>
        </w:rPr>
        <w:t xml:space="preserve">meetings were held. </w:t>
      </w:r>
      <w:r w:rsidR="00654DF4">
        <w:rPr>
          <w:sz w:val="22"/>
          <w:szCs w:val="22"/>
        </w:rPr>
        <w:t xml:space="preserve">Therefore, </w:t>
      </w:r>
      <w:r w:rsidR="009561EF" w:rsidRPr="0039504E">
        <w:rPr>
          <w:sz w:val="22"/>
          <w:szCs w:val="22"/>
        </w:rPr>
        <w:t>the rights of families of missing persons (primarily servicemen) to social and pension benefits are violated.</w:t>
      </w:r>
    </w:p>
    <w:p w14:paraId="52BE5DF0" w14:textId="2A7EC5C8" w:rsidR="0085603C" w:rsidRPr="004E5C7C" w:rsidRDefault="009561EF" w:rsidP="004E5C7C">
      <w:pPr>
        <w:spacing w:before="120" w:after="120"/>
        <w:ind w:left="1080"/>
        <w:jc w:val="both"/>
        <w:rPr>
          <w:sz w:val="22"/>
          <w:szCs w:val="22"/>
        </w:rPr>
      </w:pPr>
      <w:r w:rsidRPr="00654DF4">
        <w:rPr>
          <w:sz w:val="22"/>
          <w:szCs w:val="22"/>
        </w:rPr>
        <w:t>Moreover, t</w:t>
      </w:r>
      <w:r w:rsidR="0085603C" w:rsidRPr="00654DF4">
        <w:rPr>
          <w:sz w:val="22"/>
          <w:szCs w:val="22"/>
        </w:rPr>
        <w:t xml:space="preserve">he Russian Federation is illegally prosecuting </w:t>
      </w:r>
      <w:r w:rsidRPr="00654DF4">
        <w:rPr>
          <w:sz w:val="22"/>
          <w:szCs w:val="22"/>
        </w:rPr>
        <w:t xml:space="preserve">125 </w:t>
      </w:r>
      <w:r w:rsidR="0085603C" w:rsidRPr="00654DF4">
        <w:rPr>
          <w:sz w:val="22"/>
          <w:szCs w:val="22"/>
        </w:rPr>
        <w:t xml:space="preserve">Ukrainian citizens for political reasons, </w:t>
      </w:r>
      <w:r w:rsidRPr="00654DF4">
        <w:rPr>
          <w:sz w:val="22"/>
          <w:szCs w:val="22"/>
        </w:rPr>
        <w:t xml:space="preserve">101 </w:t>
      </w:r>
      <w:r w:rsidR="0085603C" w:rsidRPr="00654DF4">
        <w:rPr>
          <w:sz w:val="22"/>
          <w:szCs w:val="22"/>
        </w:rPr>
        <w:t xml:space="preserve">of whom are in places of detention on the territory of the Russian Federation and </w:t>
      </w:r>
      <w:r w:rsidRPr="00654DF4">
        <w:rPr>
          <w:sz w:val="22"/>
          <w:szCs w:val="22"/>
        </w:rPr>
        <w:t xml:space="preserve">24 – on </w:t>
      </w:r>
      <w:r w:rsidR="0085603C" w:rsidRPr="00654DF4">
        <w:rPr>
          <w:sz w:val="22"/>
          <w:szCs w:val="22"/>
        </w:rPr>
        <w:t xml:space="preserve">the temporarily occupied </w:t>
      </w:r>
      <w:r w:rsidR="006C4F50" w:rsidRPr="00654DF4">
        <w:rPr>
          <w:sz w:val="22"/>
          <w:szCs w:val="22"/>
        </w:rPr>
        <w:t>ARC</w:t>
      </w:r>
      <w:r w:rsidR="0085603C" w:rsidRPr="00654DF4">
        <w:rPr>
          <w:sz w:val="22"/>
          <w:szCs w:val="22"/>
        </w:rPr>
        <w:t>.</w:t>
      </w:r>
    </w:p>
    <w:p w14:paraId="4E266D65" w14:textId="4280CB94" w:rsidR="00DC10BD" w:rsidRPr="004E5C7C" w:rsidRDefault="00B112BC" w:rsidP="004E5C7C">
      <w:pPr>
        <w:spacing w:before="120" w:after="120"/>
        <w:ind w:left="1080"/>
        <w:jc w:val="both"/>
        <w:rPr>
          <w:sz w:val="22"/>
          <w:szCs w:val="22"/>
          <w:lang w:val="en-US"/>
        </w:rPr>
      </w:pPr>
      <w:r w:rsidRPr="004E5C7C">
        <w:rPr>
          <w:sz w:val="22"/>
          <w:szCs w:val="22"/>
        </w:rPr>
        <w:t>In 2020</w:t>
      </w:r>
      <w:r w:rsidR="0085603C" w:rsidRPr="004E5C7C">
        <w:rPr>
          <w:sz w:val="22"/>
          <w:szCs w:val="22"/>
        </w:rPr>
        <w:t xml:space="preserve"> Ukraine faced a new global challenge, in particular, the pandemic of COVID-19. </w:t>
      </w:r>
      <w:r w:rsidR="00DC10BD" w:rsidRPr="004E5C7C">
        <w:rPr>
          <w:sz w:val="22"/>
          <w:szCs w:val="22"/>
        </w:rPr>
        <w:t xml:space="preserve">The first confirmed case of coronavirus disease in Ukraine was registered on 3 March 2020, and in a week, the government announced a nationwide lockdown and a relevant resolution “On prevention of the spread of COVID-19 acute respiratory disease caused by the SARS-CoV-2 coronavirus in Ukraine” was adopted by the </w:t>
      </w:r>
      <w:r w:rsidR="002B3B88">
        <w:rPr>
          <w:sz w:val="22"/>
          <w:szCs w:val="22"/>
        </w:rPr>
        <w:t>CMU</w:t>
      </w:r>
      <w:r w:rsidR="00DC10BD" w:rsidRPr="004E5C7C">
        <w:rPr>
          <w:sz w:val="22"/>
          <w:szCs w:val="22"/>
        </w:rPr>
        <w:t xml:space="preserve"> followed by other resolutions</w:t>
      </w:r>
      <w:r w:rsidR="0074733C" w:rsidRPr="004E5C7C">
        <w:rPr>
          <w:sz w:val="22"/>
          <w:szCs w:val="22"/>
        </w:rPr>
        <w:t xml:space="preserve"> imposing several quarantine restrictions</w:t>
      </w:r>
      <w:r w:rsidR="00717C4D" w:rsidRPr="004E5C7C">
        <w:rPr>
          <w:sz w:val="22"/>
          <w:szCs w:val="22"/>
          <w:lang w:val="en-US"/>
        </w:rPr>
        <w:t>.</w:t>
      </w:r>
    </w:p>
    <w:p w14:paraId="14444276" w14:textId="394D73F0" w:rsidR="00717C4D" w:rsidRPr="007F4B4D" w:rsidRDefault="00DC10BD" w:rsidP="00193E94">
      <w:pPr>
        <w:spacing w:before="120" w:after="120"/>
        <w:ind w:left="1080"/>
        <w:jc w:val="both"/>
        <w:rPr>
          <w:sz w:val="22"/>
          <w:szCs w:val="22"/>
        </w:rPr>
      </w:pPr>
      <w:r w:rsidRPr="00654DF4">
        <w:rPr>
          <w:sz w:val="22"/>
          <w:szCs w:val="22"/>
        </w:rPr>
        <w:t xml:space="preserve">On 28 August 2020, the Constitutional Court </w:t>
      </w:r>
      <w:r w:rsidR="002B3B88" w:rsidRPr="00654DF4">
        <w:rPr>
          <w:sz w:val="22"/>
          <w:szCs w:val="22"/>
        </w:rPr>
        <w:t xml:space="preserve">of Ukraine (CCU) </w:t>
      </w:r>
      <w:r w:rsidRPr="00654DF4">
        <w:rPr>
          <w:sz w:val="22"/>
          <w:szCs w:val="22"/>
        </w:rPr>
        <w:t xml:space="preserve">declared unconstitutional certain provisions of </w:t>
      </w:r>
      <w:r w:rsidR="00193E94" w:rsidRPr="00654DF4">
        <w:rPr>
          <w:sz w:val="22"/>
          <w:szCs w:val="22"/>
        </w:rPr>
        <w:t xml:space="preserve">the CMU </w:t>
      </w:r>
      <w:r w:rsidRPr="00654DF4">
        <w:rPr>
          <w:sz w:val="22"/>
          <w:szCs w:val="22"/>
        </w:rPr>
        <w:t xml:space="preserve">Resolution </w:t>
      </w:r>
      <w:r w:rsidR="00193E94" w:rsidRPr="00654DF4">
        <w:rPr>
          <w:sz w:val="22"/>
          <w:szCs w:val="22"/>
        </w:rPr>
        <w:t>No.</w:t>
      </w:r>
      <w:r w:rsidRPr="00654DF4">
        <w:rPr>
          <w:sz w:val="22"/>
          <w:szCs w:val="22"/>
        </w:rPr>
        <w:t xml:space="preserve">392 of 20 May 2020 imposing quarantine restrictions </w:t>
      </w:r>
      <w:r w:rsidR="00F67C81" w:rsidRPr="00654DF4">
        <w:rPr>
          <w:sz w:val="22"/>
          <w:szCs w:val="22"/>
        </w:rPr>
        <w:t>and include</w:t>
      </w:r>
      <w:r w:rsidR="00717C4D" w:rsidRPr="00654DF4">
        <w:rPr>
          <w:sz w:val="22"/>
          <w:szCs w:val="22"/>
        </w:rPr>
        <w:t xml:space="preserve"> </w:t>
      </w:r>
      <w:r w:rsidR="00F67C81" w:rsidRPr="00654DF4">
        <w:rPr>
          <w:sz w:val="22"/>
          <w:szCs w:val="22"/>
          <w:lang w:val="en-US"/>
        </w:rPr>
        <w:t>inter alia</w:t>
      </w:r>
      <w:r w:rsidR="00F67C81" w:rsidRPr="00654DF4">
        <w:rPr>
          <w:sz w:val="22"/>
          <w:szCs w:val="22"/>
        </w:rPr>
        <w:t xml:space="preserve"> </w:t>
      </w:r>
      <w:r w:rsidR="00717C4D" w:rsidRPr="00654DF4">
        <w:rPr>
          <w:sz w:val="22"/>
          <w:szCs w:val="22"/>
        </w:rPr>
        <w:t>provisions:</w:t>
      </w:r>
      <w:r w:rsidR="006E2652" w:rsidRPr="00654DF4">
        <w:rPr>
          <w:sz w:val="22"/>
          <w:szCs w:val="22"/>
        </w:rPr>
        <w:t xml:space="preserve"> </w:t>
      </w:r>
      <w:r w:rsidR="00717C4D" w:rsidRPr="00654DF4">
        <w:rPr>
          <w:sz w:val="22"/>
          <w:szCs w:val="22"/>
        </w:rPr>
        <w:t>prohibition of holding mass events with more than 10 participants;</w:t>
      </w:r>
      <w:r w:rsidR="00F67C81" w:rsidRPr="00654DF4">
        <w:rPr>
          <w:sz w:val="22"/>
          <w:szCs w:val="22"/>
        </w:rPr>
        <w:t xml:space="preserve"> </w:t>
      </w:r>
      <w:r w:rsidR="00717C4D" w:rsidRPr="00654DF4">
        <w:rPr>
          <w:sz w:val="22"/>
          <w:szCs w:val="22"/>
        </w:rPr>
        <w:t xml:space="preserve">prohibition of regular and irregular </w:t>
      </w:r>
      <w:r w:rsidR="00CB242D" w:rsidRPr="00654DF4">
        <w:rPr>
          <w:sz w:val="22"/>
          <w:szCs w:val="22"/>
        </w:rPr>
        <w:t>passenger transportation;</w:t>
      </w:r>
      <w:r w:rsidR="00F67C81" w:rsidRPr="00654DF4">
        <w:rPr>
          <w:sz w:val="22"/>
          <w:szCs w:val="22"/>
        </w:rPr>
        <w:t xml:space="preserve"> </w:t>
      </w:r>
      <w:r w:rsidR="00CB242D" w:rsidRPr="00654DF4">
        <w:rPr>
          <w:sz w:val="22"/>
          <w:szCs w:val="22"/>
        </w:rPr>
        <w:t>compulsory self-isolation for</w:t>
      </w:r>
      <w:r w:rsidR="00717C4D" w:rsidRPr="00654DF4">
        <w:rPr>
          <w:sz w:val="22"/>
          <w:szCs w:val="22"/>
        </w:rPr>
        <w:t xml:space="preserve"> persons </w:t>
      </w:r>
      <w:r w:rsidR="00717C4D" w:rsidRPr="00654DF4">
        <w:rPr>
          <w:sz w:val="22"/>
          <w:szCs w:val="22"/>
        </w:rPr>
        <w:lastRenderedPageBreak/>
        <w:t>who had reached the age of 60</w:t>
      </w:r>
      <w:r w:rsidR="00CB242D" w:rsidRPr="00654DF4">
        <w:rPr>
          <w:sz w:val="22"/>
          <w:szCs w:val="22"/>
        </w:rPr>
        <w:t>;</w:t>
      </w:r>
      <w:r w:rsidR="006E2652">
        <w:rPr>
          <w:sz w:val="22"/>
          <w:szCs w:val="22"/>
        </w:rPr>
        <w:t xml:space="preserve"> </w:t>
      </w:r>
      <w:r w:rsidR="00CB242D" w:rsidRPr="007F4B4D">
        <w:rPr>
          <w:sz w:val="22"/>
          <w:szCs w:val="22"/>
        </w:rPr>
        <w:t xml:space="preserve">requirement of permanent residence in a place of self-isolation </w:t>
      </w:r>
      <w:r w:rsidR="00717C4D" w:rsidRPr="007F4B4D">
        <w:rPr>
          <w:sz w:val="22"/>
          <w:szCs w:val="22"/>
        </w:rPr>
        <w:t xml:space="preserve">for </w:t>
      </w:r>
      <w:r w:rsidR="00CB242D" w:rsidRPr="007F4B4D">
        <w:rPr>
          <w:sz w:val="22"/>
          <w:szCs w:val="22"/>
        </w:rPr>
        <w:t>p</w:t>
      </w:r>
      <w:r w:rsidR="00717C4D" w:rsidRPr="007F4B4D">
        <w:rPr>
          <w:sz w:val="22"/>
          <w:szCs w:val="22"/>
        </w:rPr>
        <w:t xml:space="preserve">ersons in </w:t>
      </w:r>
      <w:r w:rsidR="00CB242D" w:rsidRPr="007F4B4D">
        <w:rPr>
          <w:sz w:val="22"/>
          <w:szCs w:val="22"/>
        </w:rPr>
        <w:t>n</w:t>
      </w:r>
      <w:r w:rsidR="00717C4D" w:rsidRPr="007F4B4D">
        <w:rPr>
          <w:sz w:val="22"/>
          <w:szCs w:val="22"/>
        </w:rPr>
        <w:t xml:space="preserve">eed of </w:t>
      </w:r>
      <w:r w:rsidR="00CB242D" w:rsidRPr="007F4B4D">
        <w:rPr>
          <w:sz w:val="22"/>
          <w:szCs w:val="22"/>
        </w:rPr>
        <w:t>s</w:t>
      </w:r>
      <w:r w:rsidR="00717C4D" w:rsidRPr="007F4B4D">
        <w:rPr>
          <w:sz w:val="22"/>
          <w:szCs w:val="22"/>
        </w:rPr>
        <w:t>elf-</w:t>
      </w:r>
      <w:r w:rsidR="00CB242D" w:rsidRPr="007F4B4D">
        <w:rPr>
          <w:sz w:val="22"/>
          <w:szCs w:val="22"/>
        </w:rPr>
        <w:t>i</w:t>
      </w:r>
      <w:r w:rsidR="00717C4D" w:rsidRPr="007F4B4D">
        <w:rPr>
          <w:sz w:val="22"/>
          <w:szCs w:val="22"/>
        </w:rPr>
        <w:t>solation.</w:t>
      </w:r>
    </w:p>
    <w:p w14:paraId="461325F4" w14:textId="0A0545D6" w:rsidR="00F67C81" w:rsidRDefault="00F67C81" w:rsidP="004E5C7C">
      <w:pPr>
        <w:spacing w:before="120" w:after="120"/>
        <w:ind w:left="1080"/>
        <w:jc w:val="both"/>
        <w:rPr>
          <w:sz w:val="22"/>
          <w:szCs w:val="22"/>
        </w:rPr>
      </w:pPr>
      <w:r w:rsidRPr="00F67C81">
        <w:rPr>
          <w:sz w:val="22"/>
          <w:szCs w:val="22"/>
        </w:rPr>
        <w:t xml:space="preserve">The </w:t>
      </w:r>
      <w:r w:rsidR="002B3B88">
        <w:rPr>
          <w:sz w:val="22"/>
          <w:szCs w:val="22"/>
        </w:rPr>
        <w:t>CCU</w:t>
      </w:r>
      <w:r w:rsidRPr="00F67C81">
        <w:rPr>
          <w:sz w:val="22"/>
          <w:szCs w:val="22"/>
        </w:rPr>
        <w:t xml:space="preserve"> </w:t>
      </w:r>
      <w:r>
        <w:rPr>
          <w:sz w:val="22"/>
          <w:szCs w:val="22"/>
        </w:rPr>
        <w:t>underlined</w:t>
      </w:r>
      <w:r w:rsidRPr="00F67C81">
        <w:rPr>
          <w:sz w:val="22"/>
          <w:szCs w:val="22"/>
        </w:rPr>
        <w:t xml:space="preserve"> that the restriction of constitutional</w:t>
      </w:r>
      <w:r>
        <w:rPr>
          <w:sz w:val="22"/>
          <w:szCs w:val="22"/>
        </w:rPr>
        <w:t xml:space="preserve"> human and civil</w:t>
      </w:r>
      <w:r w:rsidRPr="00F67C81">
        <w:rPr>
          <w:sz w:val="22"/>
          <w:szCs w:val="22"/>
        </w:rPr>
        <w:t xml:space="preserve"> rights and freedoms is possible only in cases specified by the Constitution.</w:t>
      </w:r>
    </w:p>
    <w:p w14:paraId="7F1E669B" w14:textId="60619640" w:rsidR="00B112BC" w:rsidRPr="004E5C7C" w:rsidRDefault="0085603C" w:rsidP="004E5C7C">
      <w:pPr>
        <w:spacing w:before="120" w:after="120"/>
        <w:ind w:left="1080"/>
        <w:jc w:val="both"/>
        <w:rPr>
          <w:sz w:val="22"/>
          <w:szCs w:val="22"/>
        </w:rPr>
      </w:pPr>
      <w:r w:rsidRPr="004E5C7C">
        <w:rPr>
          <w:sz w:val="22"/>
          <w:szCs w:val="22"/>
        </w:rPr>
        <w:t xml:space="preserve">The pandemic primarily affected the most vulnerable populations, put pressure on the country’s economy and tested the strength of reforms undertaken, especially those related to the decentralisation of power and health care. The number of reported violations of human and civil rights and freedoms in 2020 increased by 40% compared to the previous year (from 33,800 in 2019 to 48,400 in 2020). </w:t>
      </w:r>
      <w:r w:rsidR="00047108" w:rsidRPr="00047108">
        <w:rPr>
          <w:sz w:val="22"/>
          <w:szCs w:val="22"/>
          <w:lang w:val="en"/>
        </w:rPr>
        <w:t xml:space="preserve">As of </w:t>
      </w:r>
      <w:r w:rsidR="00047108">
        <w:rPr>
          <w:sz w:val="22"/>
          <w:szCs w:val="22"/>
          <w:lang w:val="en"/>
        </w:rPr>
        <w:t xml:space="preserve">1 September </w:t>
      </w:r>
      <w:r w:rsidR="00047108" w:rsidRPr="00047108">
        <w:rPr>
          <w:sz w:val="22"/>
          <w:szCs w:val="22"/>
          <w:lang w:val="en"/>
        </w:rPr>
        <w:t>2021, the Commissioner received 37</w:t>
      </w:r>
      <w:r w:rsidR="004F0513">
        <w:rPr>
          <w:sz w:val="22"/>
          <w:szCs w:val="22"/>
          <w:lang w:val="en"/>
        </w:rPr>
        <w:t>,</w:t>
      </w:r>
      <w:r w:rsidR="00047108" w:rsidRPr="00047108">
        <w:rPr>
          <w:sz w:val="22"/>
          <w:szCs w:val="22"/>
          <w:lang w:val="en"/>
        </w:rPr>
        <w:t>72</w:t>
      </w:r>
      <w:r w:rsidR="004F0513">
        <w:rPr>
          <w:sz w:val="22"/>
          <w:szCs w:val="22"/>
          <w:lang w:val="en"/>
        </w:rPr>
        <w:t>0</w:t>
      </w:r>
      <w:r w:rsidR="00047108" w:rsidRPr="00047108">
        <w:rPr>
          <w:sz w:val="22"/>
          <w:szCs w:val="22"/>
          <w:lang w:val="en"/>
        </w:rPr>
        <w:t xml:space="preserve"> reports of violations, which is 20% more than in the same period of 2020.</w:t>
      </w:r>
    </w:p>
    <w:p w14:paraId="17BDCE65" w14:textId="3CB238E9" w:rsidR="00B112BC" w:rsidRPr="004E5C7C" w:rsidRDefault="0085603C" w:rsidP="004E5C7C">
      <w:pPr>
        <w:spacing w:before="120" w:after="120"/>
        <w:ind w:left="1080"/>
        <w:jc w:val="both"/>
        <w:rPr>
          <w:sz w:val="22"/>
          <w:szCs w:val="22"/>
        </w:rPr>
      </w:pPr>
      <w:r w:rsidRPr="004E5C7C">
        <w:rPr>
          <w:sz w:val="22"/>
          <w:szCs w:val="22"/>
        </w:rPr>
        <w:t xml:space="preserve">Within the implementation of the national preventive mechanism, Ukraine became one of the </w:t>
      </w:r>
      <w:r w:rsidR="00707D12" w:rsidRPr="004E5C7C">
        <w:rPr>
          <w:sz w:val="22"/>
          <w:szCs w:val="22"/>
        </w:rPr>
        <w:t>few</w:t>
      </w:r>
      <w:r w:rsidRPr="004E5C7C">
        <w:rPr>
          <w:sz w:val="22"/>
          <w:szCs w:val="22"/>
        </w:rPr>
        <w:t xml:space="preserve"> European countries that continued to visit places of detention to monitor the observance of human and civil rights and freedoms in the context of the COVID-19 pandemic. The results of these monitoring visits are reflected in a special report </w:t>
      </w:r>
      <w:r w:rsidR="00B112BC" w:rsidRPr="004E5C7C">
        <w:rPr>
          <w:sz w:val="22"/>
          <w:szCs w:val="22"/>
        </w:rPr>
        <w:t>on the status of observance of human rights and freedoms in places of detention in the context of</w:t>
      </w:r>
      <w:r w:rsidRPr="004E5C7C">
        <w:rPr>
          <w:sz w:val="22"/>
          <w:szCs w:val="22"/>
        </w:rPr>
        <w:t xml:space="preserve"> COVID-19.</w:t>
      </w:r>
      <w:r w:rsidR="00B112BC" w:rsidRPr="004E5C7C">
        <w:rPr>
          <w:rStyle w:val="ac"/>
          <w:sz w:val="22"/>
          <w:szCs w:val="22"/>
        </w:rPr>
        <w:footnoteReference w:id="1"/>
      </w:r>
      <w:r w:rsidRPr="004E5C7C">
        <w:rPr>
          <w:sz w:val="22"/>
          <w:szCs w:val="22"/>
        </w:rPr>
        <w:t xml:space="preserve"> </w:t>
      </w:r>
    </w:p>
    <w:p w14:paraId="1F79F585" w14:textId="4DC722EF" w:rsidR="0085603C" w:rsidRPr="004E5C7C" w:rsidRDefault="0085603C" w:rsidP="004E5C7C">
      <w:pPr>
        <w:spacing w:before="120" w:after="120"/>
        <w:ind w:left="1080"/>
        <w:jc w:val="both"/>
        <w:rPr>
          <w:sz w:val="22"/>
          <w:szCs w:val="22"/>
        </w:rPr>
      </w:pPr>
      <w:r w:rsidRPr="004E5C7C">
        <w:rPr>
          <w:sz w:val="22"/>
          <w:szCs w:val="22"/>
        </w:rPr>
        <w:t xml:space="preserve">The COVID-19 pandemic and quarantine restrictions had a significant impact on the equality of rights and freedoms of citizens. A significant increase in domestic violence, violations of the rights of internally displaced persons, representatives of the LGBTI community as well as the rights of national minorities </w:t>
      </w:r>
      <w:r w:rsidR="006E2652" w:rsidRPr="004E5C7C">
        <w:rPr>
          <w:sz w:val="22"/>
          <w:szCs w:val="22"/>
        </w:rPr>
        <w:t>w</w:t>
      </w:r>
      <w:r w:rsidR="006E2652">
        <w:rPr>
          <w:sz w:val="22"/>
          <w:szCs w:val="22"/>
        </w:rPr>
        <w:t>as</w:t>
      </w:r>
      <w:r w:rsidR="006E2652" w:rsidRPr="004E5C7C">
        <w:rPr>
          <w:sz w:val="22"/>
          <w:szCs w:val="22"/>
        </w:rPr>
        <w:t xml:space="preserve"> </w:t>
      </w:r>
      <w:r w:rsidRPr="004E5C7C">
        <w:rPr>
          <w:sz w:val="22"/>
          <w:szCs w:val="22"/>
        </w:rPr>
        <w:t xml:space="preserve">recorded during the monitoring visits conducted in 2020. </w:t>
      </w:r>
    </w:p>
    <w:p w14:paraId="1C52EE80" w14:textId="77777777" w:rsidR="00693C06" w:rsidRPr="004E5C7C" w:rsidRDefault="00693C06" w:rsidP="004E5C7C">
      <w:pPr>
        <w:pStyle w:val="SingleTxtG"/>
        <w:ind w:left="0" w:right="0"/>
        <w:rPr>
          <w:sz w:val="22"/>
          <w:szCs w:val="22"/>
        </w:rPr>
      </w:pPr>
    </w:p>
    <w:p w14:paraId="6CD2A280" w14:textId="3E5FDE97"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Non-discrimination and prohibition of advocacy of national, racial or religious hatred (</w:t>
      </w:r>
      <w:r w:rsidR="007321EA">
        <w:rPr>
          <w:sz w:val="22"/>
          <w:szCs w:val="22"/>
          <w:highlight w:val="lightGray"/>
        </w:rPr>
        <w:t>A</w:t>
      </w:r>
      <w:r w:rsidR="007321EA" w:rsidRPr="004E5C7C">
        <w:rPr>
          <w:sz w:val="22"/>
          <w:szCs w:val="22"/>
          <w:highlight w:val="lightGray"/>
        </w:rPr>
        <w:t>rts</w:t>
      </w:r>
      <w:r w:rsidRPr="004E5C7C">
        <w:rPr>
          <w:sz w:val="22"/>
          <w:szCs w:val="22"/>
          <w:highlight w:val="lightGray"/>
        </w:rPr>
        <w:t>.2, 3, 20 and 26)</w:t>
      </w:r>
    </w:p>
    <w:p w14:paraId="6C17A465" w14:textId="74FD4B4E" w:rsidR="00EC1243" w:rsidRPr="004E5C7C" w:rsidRDefault="0074733C" w:rsidP="004E5C7C">
      <w:pPr>
        <w:spacing w:before="120" w:after="120"/>
        <w:ind w:left="1080"/>
        <w:jc w:val="both"/>
        <w:rPr>
          <w:sz w:val="22"/>
          <w:szCs w:val="22"/>
        </w:rPr>
      </w:pPr>
      <w:r w:rsidRPr="004E5C7C">
        <w:rPr>
          <w:sz w:val="22"/>
          <w:szCs w:val="22"/>
        </w:rPr>
        <w:t>D</w:t>
      </w:r>
      <w:r w:rsidR="000D40D2" w:rsidRPr="004E5C7C">
        <w:rPr>
          <w:sz w:val="22"/>
          <w:szCs w:val="22"/>
        </w:rPr>
        <w:t>iscrimination remains a serious problem in Ukraine</w:t>
      </w:r>
      <w:r w:rsidRPr="004E5C7C">
        <w:rPr>
          <w:sz w:val="22"/>
          <w:szCs w:val="22"/>
        </w:rPr>
        <w:t xml:space="preserve"> taking</w:t>
      </w:r>
      <w:r w:rsidR="000D40D2" w:rsidRPr="004E5C7C">
        <w:rPr>
          <w:sz w:val="22"/>
          <w:szCs w:val="22"/>
        </w:rPr>
        <w:t xml:space="preserve"> various forms</w:t>
      </w:r>
      <w:r w:rsidR="00EC1243" w:rsidRPr="004E5C7C">
        <w:rPr>
          <w:sz w:val="22"/>
          <w:szCs w:val="22"/>
        </w:rPr>
        <w:t>.</w:t>
      </w:r>
    </w:p>
    <w:p w14:paraId="6690FF27" w14:textId="67905C83" w:rsidR="00B16ABC" w:rsidRDefault="009056AE" w:rsidP="004E5C7C">
      <w:pPr>
        <w:pStyle w:val="SingleTxtG"/>
        <w:ind w:left="1080" w:right="0"/>
        <w:rPr>
          <w:sz w:val="22"/>
          <w:szCs w:val="22"/>
        </w:rPr>
      </w:pPr>
      <w:r w:rsidRPr="004E5C7C">
        <w:rPr>
          <w:sz w:val="22"/>
          <w:szCs w:val="22"/>
        </w:rPr>
        <w:t>The courts do not properly use the tools of</w:t>
      </w:r>
      <w:r w:rsidR="009724A8">
        <w:rPr>
          <w:sz w:val="22"/>
          <w:szCs w:val="22"/>
        </w:rPr>
        <w:t xml:space="preserve"> the</w:t>
      </w:r>
      <w:r w:rsidRPr="004E5C7C">
        <w:rPr>
          <w:sz w:val="22"/>
          <w:szCs w:val="22"/>
        </w:rPr>
        <w:t xml:space="preserve"> Commissioner’s expertise as regards discrimination cases. U</w:t>
      </w:r>
      <w:r w:rsidR="00B16ABC" w:rsidRPr="004E5C7C">
        <w:rPr>
          <w:sz w:val="22"/>
          <w:szCs w:val="22"/>
        </w:rPr>
        <w:t xml:space="preserve">nder </w:t>
      </w:r>
      <w:r w:rsidR="007321EA">
        <w:rPr>
          <w:sz w:val="22"/>
          <w:szCs w:val="22"/>
        </w:rPr>
        <w:t>Art.</w:t>
      </w:r>
      <w:r w:rsidR="00B16ABC" w:rsidRPr="004E5C7C">
        <w:rPr>
          <w:sz w:val="22"/>
          <w:szCs w:val="22"/>
        </w:rPr>
        <w:t>10 of</w:t>
      </w:r>
      <w:r w:rsidR="007321EA">
        <w:rPr>
          <w:sz w:val="22"/>
          <w:szCs w:val="22"/>
        </w:rPr>
        <w:t xml:space="preserve"> </w:t>
      </w:r>
      <w:r w:rsidR="00B16ABC" w:rsidRPr="004E5C7C">
        <w:rPr>
          <w:sz w:val="22"/>
          <w:szCs w:val="22"/>
        </w:rPr>
        <w:t>Law No.5207-VI</w:t>
      </w:r>
      <w:r w:rsidR="009724A8" w:rsidRPr="00FF71E1">
        <w:rPr>
          <w:sz w:val="22"/>
          <w:szCs w:val="22"/>
        </w:rPr>
        <w:t>,</w:t>
      </w:r>
      <w:r w:rsidR="00B16ABC" w:rsidRPr="00FF71E1">
        <w:rPr>
          <w:sz w:val="22"/>
          <w:szCs w:val="22"/>
        </w:rPr>
        <w:t xml:space="preserve"> </w:t>
      </w:r>
      <w:r w:rsidRPr="00FF71E1">
        <w:rPr>
          <w:sz w:val="22"/>
          <w:szCs w:val="22"/>
        </w:rPr>
        <w:t>the Commissioner has</w:t>
      </w:r>
      <w:r w:rsidR="00B16ABC" w:rsidRPr="00FF71E1">
        <w:rPr>
          <w:sz w:val="22"/>
          <w:szCs w:val="22"/>
        </w:rPr>
        <w:t xml:space="preserve"> to provide opinions on discrimination when requested by a court. In accordance with the clarification of the High Specialized Court of Ukraine for Civil and Criminal Cases “On the Need for Courts to Receive the Opinions of the Ukrainian Parliament Commissioner for Human Rights in Cases of Discrimination” (No.9-199/0/4-15 of 16</w:t>
      </w:r>
      <w:r w:rsidR="00193E94" w:rsidRPr="00FF71E1">
        <w:rPr>
          <w:sz w:val="22"/>
          <w:szCs w:val="22"/>
        </w:rPr>
        <w:t xml:space="preserve"> February </w:t>
      </w:r>
      <w:r w:rsidR="00B16ABC" w:rsidRPr="00FF71E1">
        <w:rPr>
          <w:sz w:val="22"/>
          <w:szCs w:val="22"/>
        </w:rPr>
        <w:t xml:space="preserve">2015), judges should take into account that the provision of opinions of the Commissioner in discrimination cases at the request of the court is one of the measures to counteract discrimination. However, the courts that deal with cases of discrimination do not rely on the Commissioner’s opinion as an expert institution in preventing and counteracting discrimination. This does not contribute to the proper combating of discrimination and the provision of effective assistance to persons whose rights and freedoms were violated. Given the above, in June 2020, the Commissioner sent a petition to the Chairman of the Supreme Court and noted the need for judges to exercise powers in this area in accordance with the Law. In the 2020, the Commissioner received only </w:t>
      </w:r>
      <w:r w:rsidR="009574E0" w:rsidRPr="00FF71E1">
        <w:rPr>
          <w:sz w:val="22"/>
          <w:szCs w:val="22"/>
        </w:rPr>
        <w:t xml:space="preserve">3 </w:t>
      </w:r>
      <w:r w:rsidR="00B16ABC" w:rsidRPr="00FF71E1">
        <w:rPr>
          <w:sz w:val="22"/>
          <w:szCs w:val="22"/>
        </w:rPr>
        <w:t>request</w:t>
      </w:r>
      <w:r w:rsidR="009574E0" w:rsidRPr="00FF71E1">
        <w:rPr>
          <w:sz w:val="22"/>
          <w:szCs w:val="22"/>
        </w:rPr>
        <w:t>s</w:t>
      </w:r>
      <w:r w:rsidR="00B16ABC" w:rsidRPr="00FF71E1">
        <w:rPr>
          <w:sz w:val="22"/>
          <w:szCs w:val="22"/>
        </w:rPr>
        <w:t xml:space="preserve"> of the court to provide the Commissioner’s opinion in cases of discrimination</w:t>
      </w:r>
      <w:r w:rsidR="009574E0" w:rsidRPr="00FF71E1">
        <w:rPr>
          <w:sz w:val="22"/>
          <w:szCs w:val="22"/>
        </w:rPr>
        <w:t>. No such appeals were received during the eight months of 2021</w:t>
      </w:r>
      <w:r w:rsidR="00B16ABC" w:rsidRPr="00FF71E1">
        <w:rPr>
          <w:sz w:val="22"/>
          <w:szCs w:val="22"/>
        </w:rPr>
        <w:t>. This demonstrates the need to strengthen awareness-raising work among the judiciary on this issue.</w:t>
      </w:r>
    </w:p>
    <w:p w14:paraId="4CCFC3E2" w14:textId="77777777" w:rsidR="00817542" w:rsidRPr="00934EF2" w:rsidRDefault="00817542" w:rsidP="004E5C7C">
      <w:pPr>
        <w:pStyle w:val="SingleTxtG"/>
        <w:ind w:left="1080" w:right="0"/>
        <w:rPr>
          <w:sz w:val="22"/>
          <w:szCs w:val="22"/>
          <w:lang w:val="uk-UA"/>
        </w:rPr>
      </w:pPr>
    </w:p>
    <w:p w14:paraId="65426026" w14:textId="56F67608" w:rsidR="007B5C87" w:rsidRPr="004E5C7C" w:rsidRDefault="00052D19" w:rsidP="004E5C7C">
      <w:pPr>
        <w:pStyle w:val="SingleTxtG"/>
        <w:ind w:left="1080" w:right="0"/>
        <w:rPr>
          <w:b/>
          <w:bCs/>
          <w:i/>
          <w:iCs/>
          <w:sz w:val="22"/>
          <w:szCs w:val="22"/>
        </w:rPr>
      </w:pPr>
      <w:r w:rsidRPr="004E5C7C">
        <w:rPr>
          <w:b/>
          <w:bCs/>
          <w:i/>
          <w:iCs/>
          <w:sz w:val="22"/>
          <w:szCs w:val="22"/>
        </w:rPr>
        <w:t>D</w:t>
      </w:r>
      <w:r w:rsidR="007B5C87" w:rsidRPr="004E5C7C">
        <w:rPr>
          <w:b/>
          <w:bCs/>
          <w:i/>
          <w:iCs/>
          <w:sz w:val="22"/>
          <w:szCs w:val="22"/>
        </w:rPr>
        <w:t xml:space="preserve">iscrimination on the grounds of disability </w:t>
      </w:r>
    </w:p>
    <w:p w14:paraId="330F2763" w14:textId="5F8EA7B2" w:rsidR="00826630" w:rsidRDefault="007B5C87" w:rsidP="004E5C7C">
      <w:pPr>
        <w:pStyle w:val="SingleTxtG"/>
        <w:ind w:left="1080" w:right="0"/>
        <w:rPr>
          <w:sz w:val="22"/>
          <w:szCs w:val="22"/>
        </w:rPr>
      </w:pPr>
      <w:r w:rsidRPr="004E5C7C">
        <w:rPr>
          <w:sz w:val="22"/>
          <w:szCs w:val="22"/>
        </w:rPr>
        <w:t>The implementation of Art</w:t>
      </w:r>
      <w:r w:rsidR="007321EA">
        <w:rPr>
          <w:sz w:val="22"/>
          <w:szCs w:val="22"/>
        </w:rPr>
        <w:t>.</w:t>
      </w:r>
      <w:r w:rsidRPr="004E5C7C">
        <w:rPr>
          <w:sz w:val="22"/>
          <w:szCs w:val="22"/>
        </w:rPr>
        <w:t xml:space="preserve">9 of the </w:t>
      </w:r>
      <w:r w:rsidR="007321EA">
        <w:rPr>
          <w:sz w:val="22"/>
          <w:szCs w:val="22"/>
        </w:rPr>
        <w:t>CRPD</w:t>
      </w:r>
      <w:r w:rsidRPr="004E5C7C">
        <w:rPr>
          <w:sz w:val="22"/>
          <w:szCs w:val="22"/>
        </w:rPr>
        <w:t xml:space="preserve"> is to ensure that persons with disabilities have barrier-free travel and free access, on an equal basis with others, to the physical environment: residential buildings, health care, education, culture, transport facilities, as well as other facilities necessary for the population. However, the issues of accessibility of the physical environment for persons with disabilities remain unresolved, resulting in violations of the rights of this category of citizens </w:t>
      </w:r>
      <w:r w:rsidRPr="004E5C7C">
        <w:rPr>
          <w:sz w:val="22"/>
          <w:szCs w:val="22"/>
        </w:rPr>
        <w:lastRenderedPageBreak/>
        <w:t xml:space="preserve">to access to social, medical, educational services, employment, participation in the political and cultural life of society, etc. </w:t>
      </w:r>
    </w:p>
    <w:p w14:paraId="295DFD8A" w14:textId="652EBF81" w:rsidR="000E1E3A" w:rsidRPr="004E5C7C" w:rsidRDefault="000E1E3A" w:rsidP="004E5C7C">
      <w:pPr>
        <w:pStyle w:val="SingleTxtG"/>
        <w:ind w:left="1080" w:right="0"/>
        <w:rPr>
          <w:sz w:val="22"/>
          <w:szCs w:val="22"/>
        </w:rPr>
      </w:pPr>
      <w:r w:rsidRPr="000E1E3A">
        <w:rPr>
          <w:sz w:val="22"/>
          <w:szCs w:val="22"/>
        </w:rPr>
        <w:t xml:space="preserve">In 2020, the Commissioner received 787 reports of violations of the rights of persons with disabilities, of which 750 related to </w:t>
      </w:r>
      <w:r w:rsidR="009724A8">
        <w:rPr>
          <w:sz w:val="22"/>
          <w:szCs w:val="22"/>
        </w:rPr>
        <w:t xml:space="preserve">the </w:t>
      </w:r>
      <w:r w:rsidRPr="000E1E3A">
        <w:rPr>
          <w:sz w:val="22"/>
          <w:szCs w:val="22"/>
        </w:rPr>
        <w:t>barrier-free environment</w:t>
      </w:r>
      <w:r w:rsidR="00500FA4">
        <w:rPr>
          <w:sz w:val="22"/>
          <w:szCs w:val="22"/>
        </w:rPr>
        <w:t xml:space="preserve">. </w:t>
      </w:r>
      <w:r w:rsidR="0039504E">
        <w:rPr>
          <w:sz w:val="22"/>
          <w:szCs w:val="22"/>
        </w:rPr>
        <w:t>As of 1 September</w:t>
      </w:r>
      <w:r w:rsidRPr="000E1E3A">
        <w:rPr>
          <w:sz w:val="22"/>
          <w:szCs w:val="22"/>
        </w:rPr>
        <w:t xml:space="preserve"> 2021, 357 reports of violations of the rights of persons with disabilities were received.</w:t>
      </w:r>
    </w:p>
    <w:p w14:paraId="2855344E" w14:textId="77777777" w:rsidR="00445285" w:rsidRDefault="00445285" w:rsidP="004E5C7C">
      <w:pPr>
        <w:pStyle w:val="SingleTxtG"/>
        <w:ind w:left="1080" w:right="0"/>
        <w:rPr>
          <w:color w:val="000000" w:themeColor="text1"/>
          <w:sz w:val="22"/>
          <w:szCs w:val="22"/>
          <w:lang w:val="en"/>
        </w:rPr>
      </w:pPr>
      <w:r w:rsidRPr="00445285">
        <w:rPr>
          <w:color w:val="000000" w:themeColor="text1"/>
          <w:sz w:val="22"/>
          <w:szCs w:val="22"/>
          <w:lang w:val="en"/>
        </w:rPr>
        <w:t xml:space="preserve">According to the results of the </w:t>
      </w:r>
      <w:r>
        <w:rPr>
          <w:color w:val="000000" w:themeColor="text1"/>
          <w:sz w:val="22"/>
          <w:szCs w:val="22"/>
          <w:lang w:val="en"/>
        </w:rPr>
        <w:t xml:space="preserve">Commissioner’s </w:t>
      </w:r>
      <w:r w:rsidRPr="00445285">
        <w:rPr>
          <w:color w:val="000000" w:themeColor="text1"/>
          <w:sz w:val="22"/>
          <w:szCs w:val="22"/>
          <w:lang w:val="en"/>
        </w:rPr>
        <w:t xml:space="preserve">monitoring during the first half of 2021, it was established that 90% of public receptions of executive </w:t>
      </w:r>
      <w:r>
        <w:rPr>
          <w:color w:val="000000" w:themeColor="text1"/>
          <w:sz w:val="22"/>
          <w:szCs w:val="22"/>
          <w:lang w:val="en"/>
        </w:rPr>
        <w:t>authorities</w:t>
      </w:r>
      <w:r w:rsidRPr="00445285">
        <w:rPr>
          <w:color w:val="000000" w:themeColor="text1"/>
          <w:sz w:val="22"/>
          <w:szCs w:val="22"/>
          <w:lang w:val="en"/>
        </w:rPr>
        <w:t xml:space="preserve"> in Kyiv are not equipped with elements of accessibility, </w:t>
      </w:r>
      <w:r>
        <w:rPr>
          <w:color w:val="000000" w:themeColor="text1"/>
          <w:sz w:val="22"/>
          <w:szCs w:val="22"/>
          <w:lang w:val="en"/>
        </w:rPr>
        <w:t>resulting in violation of</w:t>
      </w:r>
      <w:r w:rsidRPr="00445285">
        <w:rPr>
          <w:color w:val="000000" w:themeColor="text1"/>
          <w:sz w:val="22"/>
          <w:szCs w:val="22"/>
          <w:lang w:val="en"/>
        </w:rPr>
        <w:t xml:space="preserve"> the rights of citizens to apply to the executive authorities.</w:t>
      </w:r>
    </w:p>
    <w:p w14:paraId="00586EEA" w14:textId="6A142609" w:rsidR="00445285" w:rsidRDefault="00445285" w:rsidP="004E5C7C">
      <w:pPr>
        <w:pStyle w:val="SingleTxtG"/>
        <w:ind w:left="1080" w:right="0"/>
        <w:rPr>
          <w:color w:val="000000" w:themeColor="text1"/>
          <w:sz w:val="22"/>
          <w:szCs w:val="22"/>
        </w:rPr>
      </w:pPr>
      <w:r w:rsidRPr="00445285">
        <w:rPr>
          <w:color w:val="000000" w:themeColor="text1"/>
          <w:sz w:val="22"/>
          <w:szCs w:val="22"/>
          <w:lang w:val="en"/>
        </w:rPr>
        <w:t xml:space="preserve">In April 2021, the Government approved the National Strategy for Creating a Barrier-Free </w:t>
      </w:r>
      <w:r>
        <w:rPr>
          <w:color w:val="000000" w:themeColor="text1"/>
          <w:sz w:val="22"/>
          <w:szCs w:val="22"/>
          <w:lang w:val="en"/>
        </w:rPr>
        <w:t>Environment</w:t>
      </w:r>
      <w:r w:rsidRPr="00445285">
        <w:rPr>
          <w:color w:val="000000" w:themeColor="text1"/>
          <w:sz w:val="22"/>
          <w:szCs w:val="22"/>
          <w:lang w:val="en"/>
        </w:rPr>
        <w:t xml:space="preserve"> until 2030. The national strategy provides for the creation of a barrier-free </w:t>
      </w:r>
      <w:r>
        <w:rPr>
          <w:color w:val="000000" w:themeColor="text1"/>
          <w:sz w:val="22"/>
          <w:szCs w:val="22"/>
          <w:lang w:val="en"/>
        </w:rPr>
        <w:t>environment</w:t>
      </w:r>
      <w:r w:rsidRPr="00445285">
        <w:rPr>
          <w:color w:val="000000" w:themeColor="text1"/>
          <w:sz w:val="22"/>
          <w:szCs w:val="22"/>
          <w:lang w:val="en"/>
        </w:rPr>
        <w:t xml:space="preserve"> in all spheres of life and for all social groups, including </w:t>
      </w:r>
      <w:r>
        <w:rPr>
          <w:color w:val="000000" w:themeColor="text1"/>
          <w:sz w:val="22"/>
          <w:szCs w:val="22"/>
          <w:lang w:val="en"/>
        </w:rPr>
        <w:t>persons</w:t>
      </w:r>
      <w:r w:rsidRPr="00445285">
        <w:rPr>
          <w:color w:val="000000" w:themeColor="text1"/>
          <w:sz w:val="22"/>
          <w:szCs w:val="22"/>
          <w:lang w:val="en"/>
        </w:rPr>
        <w:t xml:space="preserve"> with disabilities, the elderly, young people, women, parents of young children and children with disabilities.</w:t>
      </w:r>
    </w:p>
    <w:p w14:paraId="7E5A9CBA" w14:textId="38900F83" w:rsidR="0067539C" w:rsidRPr="007F4B4D" w:rsidRDefault="00E41C97" w:rsidP="004E5C7C">
      <w:pPr>
        <w:pStyle w:val="SingleTxtG"/>
        <w:ind w:left="1080" w:right="0"/>
        <w:rPr>
          <w:sz w:val="22"/>
          <w:szCs w:val="22"/>
        </w:rPr>
      </w:pPr>
      <w:r w:rsidRPr="000E1E3A">
        <w:rPr>
          <w:color w:val="000000" w:themeColor="text1"/>
          <w:sz w:val="22"/>
          <w:szCs w:val="22"/>
        </w:rPr>
        <w:t>On 7 April 2021 the “National Action Plan on Implementation of the Convention on the Rights of Persons with Disabilities for the period until 2025” was approved by the</w:t>
      </w:r>
      <w:r w:rsidR="00DB3EB2">
        <w:rPr>
          <w:color w:val="000000" w:themeColor="text1"/>
          <w:sz w:val="22"/>
          <w:szCs w:val="22"/>
        </w:rPr>
        <w:t xml:space="preserve"> CMU</w:t>
      </w:r>
      <w:r w:rsidRPr="000E1E3A">
        <w:rPr>
          <w:color w:val="000000" w:themeColor="text1"/>
          <w:sz w:val="22"/>
          <w:szCs w:val="22"/>
        </w:rPr>
        <w:t xml:space="preserve"> Resolution No.285-p. The goal of the </w:t>
      </w:r>
      <w:r w:rsidR="000C73FF" w:rsidRPr="000E1E3A">
        <w:rPr>
          <w:color w:val="000000" w:themeColor="text1"/>
          <w:sz w:val="22"/>
          <w:szCs w:val="22"/>
        </w:rPr>
        <w:t>Plan is</w:t>
      </w:r>
      <w:r w:rsidRPr="000E1E3A">
        <w:rPr>
          <w:color w:val="000000" w:themeColor="text1"/>
          <w:sz w:val="22"/>
          <w:szCs w:val="22"/>
        </w:rPr>
        <w:t xml:space="preserve"> to create conditions for the implementation of the rights and needs of persons with disabilities</w:t>
      </w:r>
      <w:r w:rsidRPr="007F4B4D">
        <w:rPr>
          <w:sz w:val="22"/>
          <w:szCs w:val="22"/>
        </w:rPr>
        <w:t xml:space="preserve">. </w:t>
      </w:r>
    </w:p>
    <w:p w14:paraId="1FC7A909" w14:textId="77777777" w:rsidR="009868FA" w:rsidRPr="007F4B4D" w:rsidRDefault="009868FA" w:rsidP="004E5C7C">
      <w:pPr>
        <w:pStyle w:val="SingleTxtG"/>
        <w:ind w:left="1080" w:right="0"/>
        <w:rPr>
          <w:sz w:val="22"/>
          <w:szCs w:val="22"/>
          <w:lang w:val="uk-UA"/>
        </w:rPr>
      </w:pPr>
    </w:p>
    <w:p w14:paraId="36CCAFD5" w14:textId="5C5CF72F" w:rsidR="0091198B" w:rsidRPr="004E5C7C" w:rsidRDefault="00052D19" w:rsidP="004E5C7C">
      <w:pPr>
        <w:pStyle w:val="SingleTxtG"/>
        <w:ind w:left="1080" w:right="0"/>
        <w:rPr>
          <w:b/>
          <w:bCs/>
          <w:i/>
          <w:iCs/>
          <w:sz w:val="22"/>
          <w:szCs w:val="22"/>
        </w:rPr>
      </w:pPr>
      <w:r w:rsidRPr="004E5C7C">
        <w:rPr>
          <w:b/>
          <w:bCs/>
          <w:i/>
          <w:iCs/>
          <w:sz w:val="22"/>
          <w:szCs w:val="22"/>
        </w:rPr>
        <w:t>D</w:t>
      </w:r>
      <w:r w:rsidR="0091198B" w:rsidRPr="004E5C7C">
        <w:rPr>
          <w:b/>
          <w:bCs/>
          <w:i/>
          <w:iCs/>
          <w:sz w:val="22"/>
          <w:szCs w:val="22"/>
        </w:rPr>
        <w:t xml:space="preserve">iscrimination on the grounds of national and ethnic origin </w:t>
      </w:r>
    </w:p>
    <w:p w14:paraId="7E58A672" w14:textId="3814D67F" w:rsidR="009056AE" w:rsidRPr="004E5C7C" w:rsidRDefault="0091198B" w:rsidP="004E5C7C">
      <w:pPr>
        <w:pStyle w:val="SingleTxtG"/>
        <w:ind w:left="1080" w:right="0"/>
        <w:rPr>
          <w:sz w:val="22"/>
          <w:szCs w:val="22"/>
        </w:rPr>
      </w:pPr>
      <w:r w:rsidRPr="004E5C7C">
        <w:rPr>
          <w:sz w:val="22"/>
          <w:szCs w:val="22"/>
        </w:rPr>
        <w:t>The Commissioner receive</w:t>
      </w:r>
      <w:r w:rsidR="00445285">
        <w:rPr>
          <w:sz w:val="22"/>
          <w:szCs w:val="22"/>
        </w:rPr>
        <w:t>s</w:t>
      </w:r>
      <w:r w:rsidRPr="004E5C7C">
        <w:rPr>
          <w:sz w:val="22"/>
          <w:szCs w:val="22"/>
        </w:rPr>
        <w:t xml:space="preserve"> reports of discrimination and violations of equality of rights and freedoms of persons and citizens on the grounds of race, colour, ethnic (national) origin. Consideration of the reports, as well as monitoring of the media and social networks, </w:t>
      </w:r>
      <w:r w:rsidR="00445285" w:rsidRPr="004E5C7C">
        <w:rPr>
          <w:sz w:val="22"/>
          <w:szCs w:val="22"/>
        </w:rPr>
        <w:t>reveal</w:t>
      </w:r>
      <w:r w:rsidR="00445285">
        <w:rPr>
          <w:sz w:val="22"/>
          <w:szCs w:val="22"/>
        </w:rPr>
        <w:t>s</w:t>
      </w:r>
      <w:r w:rsidR="00445285" w:rsidRPr="004E5C7C">
        <w:rPr>
          <w:sz w:val="22"/>
          <w:szCs w:val="22"/>
        </w:rPr>
        <w:t xml:space="preserve"> </w:t>
      </w:r>
      <w:r w:rsidR="009724A8">
        <w:rPr>
          <w:sz w:val="22"/>
          <w:szCs w:val="22"/>
        </w:rPr>
        <w:t xml:space="preserve">the </w:t>
      </w:r>
      <w:r w:rsidRPr="004E5C7C">
        <w:rPr>
          <w:sz w:val="22"/>
          <w:szCs w:val="22"/>
        </w:rPr>
        <w:t xml:space="preserve">violation of the constitutional human right to equality regardless of race, ethnic and national origin and violation of the principle of non-discrimination in various fields of social relations. </w:t>
      </w:r>
    </w:p>
    <w:p w14:paraId="2867083B" w14:textId="79F8BE62" w:rsidR="0091198B" w:rsidRPr="004E5C7C" w:rsidRDefault="0091198B" w:rsidP="004E5C7C">
      <w:pPr>
        <w:pStyle w:val="SingleTxtG"/>
        <w:ind w:left="1080" w:right="0"/>
        <w:rPr>
          <w:sz w:val="22"/>
          <w:szCs w:val="22"/>
          <w:lang w:val="en-US"/>
        </w:rPr>
      </w:pPr>
      <w:r w:rsidRPr="004E5C7C">
        <w:rPr>
          <w:sz w:val="22"/>
          <w:szCs w:val="22"/>
        </w:rPr>
        <w:t>Cases of racism, xenophobia and ethnic profiling, in particular, by law enforcement agencies, are not uncommon. Ethnic profiling, i.e. the assumption of a link between the propensity for committing offences and ethnicity, is an example of prejudice and negative stereotyping of certain ethnic groups</w:t>
      </w:r>
      <w:r w:rsidR="00BA408C" w:rsidRPr="004E5C7C">
        <w:rPr>
          <w:sz w:val="22"/>
          <w:szCs w:val="22"/>
        </w:rPr>
        <w:t xml:space="preserve"> contradicting General Policy Recommendation No.11 of t</w:t>
      </w:r>
      <w:r w:rsidRPr="004E5C7C">
        <w:rPr>
          <w:sz w:val="22"/>
          <w:szCs w:val="22"/>
        </w:rPr>
        <w:t>he European Commission against Racism and Intolerance.</w:t>
      </w:r>
    </w:p>
    <w:p w14:paraId="4C5B6D08" w14:textId="77777777" w:rsidR="00B16ABC" w:rsidRPr="004E5C7C" w:rsidRDefault="00B16ABC" w:rsidP="004E5C7C">
      <w:pPr>
        <w:pStyle w:val="SingleTxtG"/>
        <w:ind w:left="1080" w:right="0"/>
        <w:rPr>
          <w:sz w:val="22"/>
          <w:szCs w:val="22"/>
        </w:rPr>
      </w:pPr>
      <w:r w:rsidRPr="004E5C7C">
        <w:rPr>
          <w:sz w:val="22"/>
          <w:szCs w:val="22"/>
        </w:rPr>
        <w:t>The Commissioner continues to reveal the cases of violations of equality of representatives of the Roma national minority in exercising the rights to inviolability of housing and free choice of residence.</w:t>
      </w:r>
    </w:p>
    <w:p w14:paraId="6A72A2B5" w14:textId="29F524DD" w:rsidR="00B16ABC" w:rsidRPr="004E5C7C" w:rsidRDefault="00B16ABC" w:rsidP="004E5C7C">
      <w:pPr>
        <w:pStyle w:val="SingleTxtG"/>
        <w:ind w:left="1080" w:right="0"/>
        <w:rPr>
          <w:sz w:val="22"/>
          <w:szCs w:val="22"/>
        </w:rPr>
      </w:pPr>
      <w:r w:rsidRPr="004E5C7C">
        <w:rPr>
          <w:sz w:val="22"/>
          <w:szCs w:val="22"/>
        </w:rPr>
        <w:t xml:space="preserve">Given the vulnerability and social exclusion of the Roma national minority, the Commissioner monitored compliance with the rights and freedoms and the principle of non-discrimination of the Roma population in Ukraine in the context of the quarantine related to the COVID-19 pandemic. Following the monitoring performed </w:t>
      </w:r>
      <w:r w:rsidR="00052D19" w:rsidRPr="004E5C7C">
        <w:rPr>
          <w:sz w:val="22"/>
          <w:szCs w:val="22"/>
          <w:lang w:val="en-US"/>
        </w:rPr>
        <w:t>the</w:t>
      </w:r>
      <w:r w:rsidRPr="004E5C7C">
        <w:rPr>
          <w:sz w:val="22"/>
          <w:szCs w:val="22"/>
        </w:rPr>
        <w:t xml:space="preserve"> special report “The Impact of the COVID-19 Pandemic on the Roma Community in Ukraine” was prepared</w:t>
      </w:r>
      <w:r w:rsidRPr="004E5C7C">
        <w:rPr>
          <w:sz w:val="22"/>
          <w:szCs w:val="22"/>
          <w:vertAlign w:val="superscript"/>
        </w:rPr>
        <w:footnoteReference w:id="2"/>
      </w:r>
      <w:r w:rsidRPr="004E5C7C">
        <w:rPr>
          <w:sz w:val="22"/>
          <w:szCs w:val="22"/>
        </w:rPr>
        <w:t xml:space="preserve">. </w:t>
      </w:r>
    </w:p>
    <w:p w14:paraId="2854C885" w14:textId="77777777" w:rsidR="00052D19" w:rsidRPr="004E5C7C" w:rsidRDefault="00B16ABC" w:rsidP="004E5C7C">
      <w:pPr>
        <w:pStyle w:val="SingleTxtG"/>
        <w:ind w:left="1080" w:right="0"/>
        <w:rPr>
          <w:sz w:val="22"/>
          <w:szCs w:val="22"/>
        </w:rPr>
      </w:pPr>
      <w:r w:rsidRPr="004E5C7C">
        <w:rPr>
          <w:sz w:val="22"/>
          <w:szCs w:val="22"/>
        </w:rPr>
        <w:t xml:space="preserve">The report contains an analysis of problematic issues faced by the Roma in the context of the spread of COVID-19 and conclusions and recommendations for the authorities to take necessary measures to integrate the Roma community into Ukrainian society. </w:t>
      </w:r>
    </w:p>
    <w:p w14:paraId="00956235" w14:textId="12758DC5" w:rsidR="00B16ABC" w:rsidRPr="004E5C7C" w:rsidRDefault="00B16ABC" w:rsidP="004E5C7C">
      <w:pPr>
        <w:pStyle w:val="SingleTxtG"/>
        <w:ind w:left="1080" w:right="0"/>
        <w:rPr>
          <w:sz w:val="22"/>
          <w:szCs w:val="22"/>
        </w:rPr>
      </w:pPr>
      <w:r w:rsidRPr="004E5C7C">
        <w:rPr>
          <w:sz w:val="22"/>
          <w:szCs w:val="22"/>
        </w:rPr>
        <w:t xml:space="preserve">The right of members of the Roma national minority to receive identity documents is violated. Due to the absence of a legislative mechanism for exempting Roma from paying a court fee in case of the need to establish their identity through a court procedure, members of a national minority who are in a difficult material situation are deprived of the right to establish their legal personality. This subsequently leads to the violation of rights to official employment, access to education, health, social services, etc. </w:t>
      </w:r>
    </w:p>
    <w:p w14:paraId="7DE5350F" w14:textId="2CCF046C" w:rsidR="00B16ABC" w:rsidRPr="004E5C7C" w:rsidRDefault="00B16ABC" w:rsidP="004E5C7C">
      <w:pPr>
        <w:pStyle w:val="SingleTxtG"/>
        <w:ind w:left="1080" w:right="0"/>
        <w:rPr>
          <w:sz w:val="22"/>
          <w:szCs w:val="22"/>
        </w:rPr>
      </w:pPr>
      <w:r w:rsidRPr="004E5C7C">
        <w:rPr>
          <w:sz w:val="22"/>
          <w:szCs w:val="22"/>
        </w:rPr>
        <w:t xml:space="preserve">The need to exempt Roma from paying fees for court procedures related to establishing the fact of birth or issuing a birth certificate was noted in the Commissioner’s recommendations. </w:t>
      </w:r>
    </w:p>
    <w:p w14:paraId="5D318E4A" w14:textId="2D422ED5" w:rsidR="00B16ABC" w:rsidRPr="004E5C7C" w:rsidRDefault="00B16ABC" w:rsidP="004E5C7C">
      <w:pPr>
        <w:pStyle w:val="SingleTxtG"/>
        <w:ind w:left="1080" w:right="0"/>
        <w:rPr>
          <w:sz w:val="22"/>
          <w:szCs w:val="22"/>
        </w:rPr>
      </w:pPr>
      <w:r w:rsidRPr="004E5C7C">
        <w:rPr>
          <w:sz w:val="22"/>
          <w:szCs w:val="22"/>
        </w:rPr>
        <w:t xml:space="preserve">The solution to this problem will be facilitated by the adoption by the </w:t>
      </w:r>
      <w:r w:rsidR="002B3B88">
        <w:rPr>
          <w:sz w:val="22"/>
          <w:szCs w:val="22"/>
        </w:rPr>
        <w:t>Parliament</w:t>
      </w:r>
      <w:r w:rsidRPr="004E5C7C">
        <w:rPr>
          <w:sz w:val="22"/>
          <w:szCs w:val="22"/>
        </w:rPr>
        <w:t xml:space="preserve"> of the draft Law “On Court Fees” (on facilitation of application to the court to establish the fact of birth)” (reg.No.3635 of 11</w:t>
      </w:r>
      <w:r w:rsidR="00FA5A48" w:rsidRPr="004E5C7C">
        <w:rPr>
          <w:sz w:val="22"/>
          <w:szCs w:val="22"/>
          <w:lang w:val="uk-UA"/>
        </w:rPr>
        <w:t xml:space="preserve"> </w:t>
      </w:r>
      <w:r w:rsidR="00FA5A48" w:rsidRPr="004E5C7C">
        <w:rPr>
          <w:sz w:val="22"/>
          <w:szCs w:val="22"/>
          <w:lang w:val="en-US"/>
        </w:rPr>
        <w:t xml:space="preserve">June </w:t>
      </w:r>
      <w:r w:rsidRPr="004E5C7C">
        <w:rPr>
          <w:sz w:val="22"/>
          <w:szCs w:val="22"/>
        </w:rPr>
        <w:t xml:space="preserve">2020), which provides for the exemption from paying court fees when applying to the court to establish the fact of birth. </w:t>
      </w:r>
    </w:p>
    <w:p w14:paraId="70B89371" w14:textId="4BF83C84" w:rsidR="00052D19" w:rsidRPr="00874DCA" w:rsidRDefault="0084422D" w:rsidP="004E5C7C">
      <w:pPr>
        <w:pStyle w:val="SingleTxtG"/>
        <w:ind w:left="1080" w:right="0"/>
        <w:rPr>
          <w:color w:val="000000" w:themeColor="text1"/>
          <w:sz w:val="22"/>
          <w:szCs w:val="22"/>
        </w:rPr>
      </w:pPr>
      <w:r w:rsidRPr="00874DCA">
        <w:rPr>
          <w:color w:val="000000" w:themeColor="text1"/>
          <w:sz w:val="22"/>
          <w:szCs w:val="22"/>
        </w:rPr>
        <w:t>On 28 July 2021</w:t>
      </w:r>
      <w:r w:rsidR="009724A8">
        <w:rPr>
          <w:color w:val="000000" w:themeColor="text1"/>
          <w:sz w:val="22"/>
          <w:szCs w:val="22"/>
        </w:rPr>
        <w:t>,</w:t>
      </w:r>
      <w:r w:rsidR="00052D19" w:rsidRPr="00874DCA">
        <w:rPr>
          <w:color w:val="000000" w:themeColor="text1"/>
          <w:sz w:val="22"/>
          <w:szCs w:val="22"/>
        </w:rPr>
        <w:t xml:space="preserve"> the </w:t>
      </w:r>
      <w:r w:rsidR="00DB3EB2">
        <w:rPr>
          <w:color w:val="000000" w:themeColor="text1"/>
          <w:sz w:val="22"/>
          <w:szCs w:val="22"/>
        </w:rPr>
        <w:t>CMU</w:t>
      </w:r>
      <w:r w:rsidR="00052D19" w:rsidRPr="00874DCA">
        <w:rPr>
          <w:color w:val="000000" w:themeColor="text1"/>
          <w:sz w:val="22"/>
          <w:szCs w:val="22"/>
        </w:rPr>
        <w:t xml:space="preserve"> </w:t>
      </w:r>
      <w:r w:rsidR="00874DCA" w:rsidRPr="00874DCA">
        <w:rPr>
          <w:color w:val="000000" w:themeColor="text1"/>
          <w:sz w:val="22"/>
          <w:szCs w:val="22"/>
        </w:rPr>
        <w:t>by its resolution No</w:t>
      </w:r>
      <w:r w:rsidR="00DC11CE">
        <w:rPr>
          <w:color w:val="000000" w:themeColor="text1"/>
          <w:sz w:val="22"/>
          <w:szCs w:val="22"/>
        </w:rPr>
        <w:t>.</w:t>
      </w:r>
      <w:r w:rsidR="00874DCA" w:rsidRPr="00874DCA">
        <w:rPr>
          <w:color w:val="000000" w:themeColor="text1"/>
          <w:sz w:val="22"/>
          <w:szCs w:val="22"/>
        </w:rPr>
        <w:t xml:space="preserve">866-p </w:t>
      </w:r>
      <w:r w:rsidRPr="00874DCA">
        <w:rPr>
          <w:color w:val="000000" w:themeColor="text1"/>
          <w:sz w:val="22"/>
          <w:szCs w:val="22"/>
        </w:rPr>
        <w:t>approved</w:t>
      </w:r>
      <w:r w:rsidR="00052D19" w:rsidRPr="00874DCA">
        <w:rPr>
          <w:color w:val="000000" w:themeColor="text1"/>
          <w:sz w:val="22"/>
          <w:szCs w:val="22"/>
        </w:rPr>
        <w:t xml:space="preserve"> the Strategy </w:t>
      </w:r>
      <w:r w:rsidR="00E83360" w:rsidRPr="00874DCA">
        <w:rPr>
          <w:color w:val="000000" w:themeColor="text1"/>
          <w:sz w:val="22"/>
          <w:szCs w:val="22"/>
        </w:rPr>
        <w:t>to promote the realization of the rights and opportunities of persons belonging to the Roma national minority in Ukrainian society until 2030</w:t>
      </w:r>
      <w:r w:rsidRPr="00874DCA">
        <w:rPr>
          <w:color w:val="000000" w:themeColor="text1"/>
          <w:sz w:val="22"/>
          <w:szCs w:val="22"/>
        </w:rPr>
        <w:t>.</w:t>
      </w:r>
      <w:r w:rsidR="00052D19" w:rsidRPr="00874DCA">
        <w:rPr>
          <w:color w:val="000000" w:themeColor="text1"/>
          <w:sz w:val="22"/>
          <w:szCs w:val="22"/>
        </w:rPr>
        <w:t xml:space="preserve"> </w:t>
      </w:r>
    </w:p>
    <w:p w14:paraId="632DA0EB" w14:textId="67F158CD" w:rsidR="00B16ABC" w:rsidRPr="004E5C7C" w:rsidRDefault="00874DCA" w:rsidP="004E5C7C">
      <w:pPr>
        <w:pStyle w:val="SingleTxtG"/>
        <w:ind w:left="1080" w:right="0"/>
        <w:rPr>
          <w:sz w:val="22"/>
          <w:szCs w:val="22"/>
        </w:rPr>
      </w:pPr>
      <w:r w:rsidRPr="00874DCA">
        <w:rPr>
          <w:sz w:val="22"/>
          <w:szCs w:val="22"/>
        </w:rPr>
        <w:t xml:space="preserve">The strategy includes the following areas of work: legal protection and anti-discrimination; access to quality education; access to health services; improving the quality of living conditions; employment; </w:t>
      </w:r>
      <w:r>
        <w:rPr>
          <w:sz w:val="22"/>
          <w:szCs w:val="22"/>
          <w:lang w:val="en-US"/>
        </w:rPr>
        <w:t>s</w:t>
      </w:r>
      <w:r w:rsidRPr="00874DCA">
        <w:rPr>
          <w:sz w:val="22"/>
          <w:szCs w:val="22"/>
        </w:rPr>
        <w:t xml:space="preserve">ocial </w:t>
      </w:r>
      <w:r>
        <w:rPr>
          <w:sz w:val="22"/>
          <w:szCs w:val="22"/>
        </w:rPr>
        <w:t>p</w:t>
      </w:r>
      <w:r w:rsidRPr="00874DCA">
        <w:rPr>
          <w:sz w:val="22"/>
          <w:szCs w:val="22"/>
        </w:rPr>
        <w:t>rotection; Roma culture, history, art, language.</w:t>
      </w:r>
    </w:p>
    <w:p w14:paraId="21C0B393" w14:textId="77777777" w:rsidR="007F4B4D" w:rsidRDefault="007F4B4D" w:rsidP="004E5C7C">
      <w:pPr>
        <w:pStyle w:val="SingleTxtG"/>
        <w:ind w:left="1080" w:right="0"/>
        <w:rPr>
          <w:b/>
          <w:bCs/>
          <w:i/>
          <w:iCs/>
          <w:sz w:val="22"/>
          <w:szCs w:val="22"/>
        </w:rPr>
      </w:pPr>
    </w:p>
    <w:p w14:paraId="320A3C09" w14:textId="6A2B7F54" w:rsidR="000D773D" w:rsidRPr="004E5C7C" w:rsidRDefault="00052D19" w:rsidP="004E5C7C">
      <w:pPr>
        <w:pStyle w:val="SingleTxtG"/>
        <w:ind w:left="1080" w:right="0"/>
        <w:rPr>
          <w:b/>
          <w:bCs/>
          <w:i/>
          <w:iCs/>
          <w:sz w:val="22"/>
          <w:szCs w:val="22"/>
        </w:rPr>
      </w:pPr>
      <w:r w:rsidRPr="004E5C7C">
        <w:rPr>
          <w:b/>
          <w:bCs/>
          <w:i/>
          <w:iCs/>
          <w:sz w:val="22"/>
          <w:szCs w:val="22"/>
        </w:rPr>
        <w:t>D</w:t>
      </w:r>
      <w:r w:rsidR="000D773D" w:rsidRPr="004E5C7C">
        <w:rPr>
          <w:b/>
          <w:bCs/>
          <w:i/>
          <w:iCs/>
          <w:sz w:val="22"/>
          <w:szCs w:val="22"/>
        </w:rPr>
        <w:t xml:space="preserve">iscrimination on the grounds of sexual orientation and gender identity </w:t>
      </w:r>
    </w:p>
    <w:p w14:paraId="1D9FB0C5" w14:textId="3BFA36BB" w:rsidR="00146F16" w:rsidRPr="004E5C7C" w:rsidRDefault="000D773D" w:rsidP="004E5C7C">
      <w:pPr>
        <w:pStyle w:val="SingleTxtG"/>
        <w:ind w:left="1080" w:right="0"/>
        <w:rPr>
          <w:sz w:val="22"/>
          <w:szCs w:val="22"/>
          <w:lang w:val="en-US"/>
        </w:rPr>
      </w:pPr>
      <w:r w:rsidRPr="004E5C7C">
        <w:rPr>
          <w:sz w:val="22"/>
          <w:szCs w:val="22"/>
        </w:rPr>
        <w:t xml:space="preserve">An analysis of citizens’ reports </w:t>
      </w:r>
      <w:r w:rsidR="00874DCA">
        <w:rPr>
          <w:sz w:val="22"/>
          <w:szCs w:val="22"/>
        </w:rPr>
        <w:t xml:space="preserve">received by the Commissioner </w:t>
      </w:r>
      <w:r w:rsidRPr="004E5C7C">
        <w:rPr>
          <w:sz w:val="22"/>
          <w:szCs w:val="22"/>
        </w:rPr>
        <w:t>and information posted in the media shows that the rights and freedoms of the representatives of the LGBTI community continue to be violated, in particular, the right to protection against discriminatory actions, proper investigation of crimes based on intolerance on grounds of sexual orientation and gender identity, protection of property and non-property rights due to inability to enter into a civil partnership.</w:t>
      </w:r>
    </w:p>
    <w:p w14:paraId="37BBBF2F" w14:textId="5602F0E5" w:rsidR="00146F16" w:rsidRPr="004E5C7C" w:rsidRDefault="00B335F5" w:rsidP="004E5C7C">
      <w:pPr>
        <w:pStyle w:val="SingleTxtG"/>
        <w:ind w:left="1080" w:right="0"/>
        <w:rPr>
          <w:sz w:val="22"/>
          <w:szCs w:val="22"/>
          <w:lang w:val="en-US"/>
        </w:rPr>
      </w:pPr>
      <w:r w:rsidRPr="004E5C7C">
        <w:rPr>
          <w:sz w:val="22"/>
          <w:szCs w:val="22"/>
          <w:lang w:val="en-US"/>
        </w:rPr>
        <w:t>During the media monitoring, the Commissioner recorded cases of hate speech against the LGBTI community by officials and politicians.</w:t>
      </w:r>
    </w:p>
    <w:p w14:paraId="130116A0" w14:textId="52103680" w:rsidR="003C037A" w:rsidRDefault="00B335F5" w:rsidP="004E5C7C">
      <w:pPr>
        <w:pStyle w:val="SingleTxtG"/>
        <w:ind w:left="1080" w:right="0"/>
        <w:rPr>
          <w:sz w:val="22"/>
          <w:szCs w:val="22"/>
          <w:lang w:val="en"/>
        </w:rPr>
      </w:pPr>
      <w:r w:rsidRPr="004E5C7C">
        <w:rPr>
          <w:sz w:val="22"/>
          <w:szCs w:val="22"/>
        </w:rPr>
        <w:t xml:space="preserve">The introduction of liability for such actions, in particular, in the form of administrative penalties, will help reduce the number of cases of hate speech and acts of discrimination against the representatives of the LGBTI community. </w:t>
      </w:r>
      <w:r w:rsidR="003C037A">
        <w:rPr>
          <w:sz w:val="22"/>
          <w:szCs w:val="22"/>
          <w:lang w:val="en"/>
        </w:rPr>
        <w:t>The</w:t>
      </w:r>
      <w:r w:rsidR="003C037A" w:rsidRPr="00874DCA">
        <w:rPr>
          <w:sz w:val="22"/>
          <w:szCs w:val="22"/>
          <w:lang w:val="en"/>
        </w:rPr>
        <w:t xml:space="preserve"> draft </w:t>
      </w:r>
      <w:r w:rsidR="003C037A">
        <w:rPr>
          <w:sz w:val="22"/>
          <w:szCs w:val="22"/>
          <w:lang w:val="en"/>
        </w:rPr>
        <w:t>L</w:t>
      </w:r>
      <w:r w:rsidR="003C037A" w:rsidRPr="00874DCA">
        <w:rPr>
          <w:sz w:val="22"/>
          <w:szCs w:val="22"/>
          <w:lang w:val="en"/>
        </w:rPr>
        <w:t xml:space="preserve">aw “On Amendments to the Code of Ukraine on Administrative Offenses and the Criminal Code of Ukraine on Combating Discrimination” </w:t>
      </w:r>
      <w:r w:rsidR="003C037A">
        <w:rPr>
          <w:sz w:val="22"/>
          <w:szCs w:val="22"/>
          <w:lang w:val="en"/>
        </w:rPr>
        <w:t>w</w:t>
      </w:r>
      <w:r w:rsidR="003C037A" w:rsidRPr="00874DCA">
        <w:rPr>
          <w:sz w:val="22"/>
          <w:szCs w:val="22"/>
          <w:lang w:val="en"/>
        </w:rPr>
        <w:t xml:space="preserve">as registered </w:t>
      </w:r>
      <w:r w:rsidR="003C037A">
        <w:rPr>
          <w:sz w:val="22"/>
          <w:szCs w:val="22"/>
          <w:lang w:val="en"/>
        </w:rPr>
        <w:t>in t</w:t>
      </w:r>
      <w:r w:rsidR="003C037A" w:rsidRPr="00874DCA">
        <w:rPr>
          <w:sz w:val="22"/>
          <w:szCs w:val="22"/>
          <w:lang w:val="en"/>
        </w:rPr>
        <w:t xml:space="preserve">he </w:t>
      </w:r>
      <w:r w:rsidR="003C037A">
        <w:rPr>
          <w:sz w:val="22"/>
          <w:szCs w:val="22"/>
          <w:lang w:val="en"/>
        </w:rPr>
        <w:t>Parliament</w:t>
      </w:r>
      <w:r w:rsidR="003C037A" w:rsidRPr="00874DCA">
        <w:rPr>
          <w:sz w:val="22"/>
          <w:szCs w:val="22"/>
          <w:lang w:val="en"/>
        </w:rPr>
        <w:t xml:space="preserve"> (</w:t>
      </w:r>
      <w:r w:rsidR="003C037A">
        <w:rPr>
          <w:sz w:val="22"/>
          <w:szCs w:val="22"/>
          <w:lang w:val="en"/>
        </w:rPr>
        <w:t>r</w:t>
      </w:r>
      <w:r w:rsidR="003C037A" w:rsidRPr="00874DCA">
        <w:rPr>
          <w:sz w:val="22"/>
          <w:szCs w:val="22"/>
          <w:lang w:val="en"/>
        </w:rPr>
        <w:t>eg.</w:t>
      </w:r>
      <w:r w:rsidR="003C037A">
        <w:rPr>
          <w:sz w:val="22"/>
          <w:szCs w:val="22"/>
          <w:lang w:val="en"/>
        </w:rPr>
        <w:t>No.</w:t>
      </w:r>
      <w:r w:rsidR="003C037A" w:rsidRPr="00874DCA">
        <w:rPr>
          <w:sz w:val="22"/>
          <w:szCs w:val="22"/>
          <w:lang w:val="en"/>
        </w:rPr>
        <w:t>5488 of 13</w:t>
      </w:r>
      <w:r w:rsidR="003C037A">
        <w:rPr>
          <w:sz w:val="22"/>
          <w:szCs w:val="22"/>
          <w:lang w:val="en"/>
        </w:rPr>
        <w:t xml:space="preserve"> May </w:t>
      </w:r>
      <w:r w:rsidR="003C037A" w:rsidRPr="00874DCA">
        <w:rPr>
          <w:sz w:val="22"/>
          <w:szCs w:val="22"/>
          <w:lang w:val="en"/>
        </w:rPr>
        <w:t>2021)</w:t>
      </w:r>
      <w:r w:rsidR="003C037A">
        <w:rPr>
          <w:sz w:val="22"/>
          <w:szCs w:val="22"/>
          <w:lang w:val="en"/>
        </w:rPr>
        <w:t>. The draft Law</w:t>
      </w:r>
      <w:r w:rsidR="003C037A" w:rsidRPr="00874DCA">
        <w:rPr>
          <w:sz w:val="22"/>
          <w:szCs w:val="22"/>
          <w:lang w:val="en"/>
        </w:rPr>
        <w:t xml:space="preserve"> proposes to amend </w:t>
      </w:r>
      <w:r w:rsidR="003C037A">
        <w:rPr>
          <w:sz w:val="22"/>
          <w:szCs w:val="22"/>
          <w:lang w:val="en"/>
        </w:rPr>
        <w:t>respective</w:t>
      </w:r>
      <w:r w:rsidR="003C037A" w:rsidRPr="00874DCA">
        <w:rPr>
          <w:sz w:val="22"/>
          <w:szCs w:val="22"/>
          <w:lang w:val="en"/>
        </w:rPr>
        <w:t xml:space="preserve"> legislative acts in order to combat manifestations </w:t>
      </w:r>
      <w:r w:rsidR="003C037A">
        <w:rPr>
          <w:sz w:val="22"/>
          <w:szCs w:val="22"/>
          <w:lang w:val="en"/>
        </w:rPr>
        <w:t xml:space="preserve">of </w:t>
      </w:r>
      <w:r w:rsidR="003C037A" w:rsidRPr="00874DCA">
        <w:rPr>
          <w:sz w:val="22"/>
          <w:szCs w:val="22"/>
          <w:lang w:val="en"/>
        </w:rPr>
        <w:t xml:space="preserve">discrimination and </w:t>
      </w:r>
      <w:r w:rsidR="003C037A">
        <w:rPr>
          <w:sz w:val="22"/>
          <w:szCs w:val="22"/>
          <w:lang w:val="en"/>
        </w:rPr>
        <w:t xml:space="preserve">to </w:t>
      </w:r>
      <w:r w:rsidR="003C037A" w:rsidRPr="00874DCA">
        <w:rPr>
          <w:sz w:val="22"/>
          <w:szCs w:val="22"/>
          <w:lang w:val="en"/>
        </w:rPr>
        <w:t>settle the issue of prosecution of persons who have committed offen</w:t>
      </w:r>
      <w:r w:rsidR="003C037A">
        <w:rPr>
          <w:sz w:val="22"/>
          <w:szCs w:val="22"/>
          <w:lang w:val="en"/>
        </w:rPr>
        <w:t>c</w:t>
      </w:r>
      <w:r w:rsidR="003C037A" w:rsidRPr="00874DCA">
        <w:rPr>
          <w:sz w:val="22"/>
          <w:szCs w:val="22"/>
          <w:lang w:val="en"/>
        </w:rPr>
        <w:t>es on the grounds of intolerance.</w:t>
      </w:r>
    </w:p>
    <w:p w14:paraId="41BC045B" w14:textId="5EDE58CA" w:rsidR="00FF3998" w:rsidRPr="004E5C7C" w:rsidRDefault="004555A2" w:rsidP="004E5C7C">
      <w:pPr>
        <w:pStyle w:val="SingleTxtG"/>
        <w:ind w:left="1080" w:right="0"/>
        <w:rPr>
          <w:sz w:val="22"/>
          <w:szCs w:val="22"/>
        </w:rPr>
      </w:pPr>
      <w:r w:rsidRPr="003C037A">
        <w:rPr>
          <w:sz w:val="22"/>
          <w:szCs w:val="22"/>
        </w:rPr>
        <w:t>Also i</w:t>
      </w:r>
      <w:r w:rsidR="00B335F5" w:rsidRPr="003C037A">
        <w:rPr>
          <w:sz w:val="22"/>
          <w:szCs w:val="22"/>
        </w:rPr>
        <w:t xml:space="preserve">n 2019, the Commissioner recommended </w:t>
      </w:r>
      <w:r w:rsidR="00DB3EB2" w:rsidRPr="003C037A">
        <w:rPr>
          <w:sz w:val="22"/>
          <w:szCs w:val="22"/>
        </w:rPr>
        <w:t>the CMU</w:t>
      </w:r>
      <w:r w:rsidR="00B335F5" w:rsidRPr="003C037A">
        <w:rPr>
          <w:sz w:val="22"/>
          <w:szCs w:val="22"/>
        </w:rPr>
        <w:t xml:space="preserve"> to develop a draft law on the legalization of registered civil partnership in Ukraine for heterosexual and same-sex couples. This recommendation was not implemented in the context of the COVID-19 pandemic and discrimination against same-sex couples deepened. Such persons were deprived of the right to visit their partner in medical institutions, to access information about his/her health status, etc.</w:t>
      </w:r>
      <w:r w:rsidR="00B335F5" w:rsidRPr="004E5C7C">
        <w:rPr>
          <w:sz w:val="22"/>
          <w:szCs w:val="22"/>
        </w:rPr>
        <w:t xml:space="preserve"> </w:t>
      </w:r>
    </w:p>
    <w:p w14:paraId="6D03C588" w14:textId="77777777" w:rsidR="000B03D4" w:rsidRPr="004E5C7C" w:rsidRDefault="000B03D4" w:rsidP="004E5C7C">
      <w:pPr>
        <w:pStyle w:val="SingleTxtG"/>
        <w:ind w:left="1080" w:right="0"/>
        <w:rPr>
          <w:sz w:val="22"/>
          <w:szCs w:val="22"/>
          <w:lang w:val="en-US"/>
        </w:rPr>
      </w:pPr>
    </w:p>
    <w:p w14:paraId="3284219F" w14:textId="441A0324"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Equality between men and women (</w:t>
      </w:r>
      <w:r w:rsidR="007321EA">
        <w:rPr>
          <w:sz w:val="22"/>
          <w:szCs w:val="22"/>
          <w:highlight w:val="lightGray"/>
        </w:rPr>
        <w:t>A</w:t>
      </w:r>
      <w:r w:rsidR="007321EA" w:rsidRPr="004E5C7C">
        <w:rPr>
          <w:sz w:val="22"/>
          <w:szCs w:val="22"/>
          <w:highlight w:val="lightGray"/>
        </w:rPr>
        <w:t>rts</w:t>
      </w:r>
      <w:r w:rsidRPr="004E5C7C">
        <w:rPr>
          <w:sz w:val="22"/>
          <w:szCs w:val="22"/>
          <w:highlight w:val="lightGray"/>
        </w:rPr>
        <w:t>.2, 3 and 25)</w:t>
      </w:r>
    </w:p>
    <w:p w14:paraId="1EC05CA3" w14:textId="54AE8A84" w:rsidR="00E80C06" w:rsidRPr="004E5C7C" w:rsidRDefault="00E80C06" w:rsidP="004E5C7C">
      <w:pPr>
        <w:pStyle w:val="SingleTxtG"/>
        <w:ind w:right="0"/>
        <w:rPr>
          <w:sz w:val="22"/>
          <w:szCs w:val="22"/>
        </w:rPr>
      </w:pPr>
      <w:r w:rsidRPr="004E5C7C">
        <w:rPr>
          <w:sz w:val="22"/>
          <w:szCs w:val="22"/>
        </w:rPr>
        <w:t xml:space="preserve">Analysis of monitoring of the observance of equal rights and opportunities for women and men makes it clear that stereotypes about the roles of women and men in the family and society are still very strong in Ukraine. </w:t>
      </w:r>
    </w:p>
    <w:p w14:paraId="3A827BEA" w14:textId="65188870" w:rsidR="00E80C06" w:rsidRPr="004E5C7C" w:rsidRDefault="00E80C06" w:rsidP="004E5C7C">
      <w:pPr>
        <w:pStyle w:val="SingleTxtG"/>
        <w:ind w:right="0"/>
        <w:rPr>
          <w:sz w:val="22"/>
          <w:szCs w:val="22"/>
        </w:rPr>
      </w:pPr>
      <w:r w:rsidRPr="004E5C7C">
        <w:rPr>
          <w:sz w:val="22"/>
          <w:szCs w:val="22"/>
        </w:rPr>
        <w:t xml:space="preserve">It should be noted that there is no effective national system in Ukraine for monitoring and evaluating </w:t>
      </w:r>
      <w:r w:rsidR="009724A8">
        <w:rPr>
          <w:sz w:val="22"/>
          <w:szCs w:val="22"/>
        </w:rPr>
        <w:t xml:space="preserve">the </w:t>
      </w:r>
      <w:r w:rsidRPr="004E5C7C">
        <w:rPr>
          <w:sz w:val="22"/>
          <w:szCs w:val="22"/>
        </w:rPr>
        <w:t>implementation of international and national commitments on gender equality, in particular, those under the CEDAW, the ILO Convention concerning the Rights of Women Workers and Working Mothers, and other international agreements in the area of equal rights and opportunities for women and men.</w:t>
      </w:r>
    </w:p>
    <w:p w14:paraId="285835E1" w14:textId="3CDDF063" w:rsidR="00E80C06" w:rsidRPr="004E5C7C" w:rsidRDefault="00E80C06" w:rsidP="004E5C7C">
      <w:pPr>
        <w:pStyle w:val="SingleTxtG"/>
        <w:ind w:right="0"/>
        <w:rPr>
          <w:sz w:val="22"/>
          <w:szCs w:val="22"/>
        </w:rPr>
      </w:pPr>
      <w:r w:rsidRPr="004E5C7C">
        <w:rPr>
          <w:sz w:val="22"/>
          <w:szCs w:val="22"/>
        </w:rPr>
        <w:t>Also, Art</w:t>
      </w:r>
      <w:r w:rsidR="007321EA">
        <w:rPr>
          <w:sz w:val="22"/>
          <w:szCs w:val="22"/>
        </w:rPr>
        <w:t>.</w:t>
      </w:r>
      <w:r w:rsidRPr="004E5C7C">
        <w:rPr>
          <w:sz w:val="22"/>
          <w:szCs w:val="22"/>
        </w:rPr>
        <w:t xml:space="preserve">4 of Law “On Ensuring Equal Rights and Opportunities for Women and Men” </w:t>
      </w:r>
      <w:r w:rsidR="00DC11CE" w:rsidRPr="004E5C7C">
        <w:rPr>
          <w:sz w:val="22"/>
          <w:szCs w:val="22"/>
        </w:rPr>
        <w:t>No</w:t>
      </w:r>
      <w:r w:rsidR="00DC11CE">
        <w:rPr>
          <w:sz w:val="22"/>
          <w:szCs w:val="22"/>
        </w:rPr>
        <w:t>.</w:t>
      </w:r>
      <w:r w:rsidRPr="004E5C7C">
        <w:rPr>
          <w:sz w:val="22"/>
          <w:szCs w:val="22"/>
        </w:rPr>
        <w:t xml:space="preserve">2866-IV of 8 September 2005 which requires all current legislation to go through legal review by gender experts is not fully being implemented. In particular, there is no procedure for conducting gender expertise of the draft laws submitted by the President of Ukraine and by the </w:t>
      </w:r>
      <w:r w:rsidR="00DC11CE">
        <w:rPr>
          <w:sz w:val="22"/>
          <w:szCs w:val="22"/>
        </w:rPr>
        <w:t>MPs</w:t>
      </w:r>
      <w:r w:rsidRPr="004E5C7C">
        <w:rPr>
          <w:sz w:val="22"/>
          <w:szCs w:val="22"/>
        </w:rPr>
        <w:t xml:space="preserve"> to the </w:t>
      </w:r>
      <w:r w:rsidR="00DC11CE">
        <w:rPr>
          <w:sz w:val="22"/>
          <w:szCs w:val="22"/>
        </w:rPr>
        <w:t>Parliament</w:t>
      </w:r>
      <w:r w:rsidRPr="004E5C7C">
        <w:rPr>
          <w:sz w:val="22"/>
          <w:szCs w:val="22"/>
        </w:rPr>
        <w:t>.</w:t>
      </w:r>
    </w:p>
    <w:p w14:paraId="4184ABD6" w14:textId="6732CE29" w:rsidR="00E80C06" w:rsidRDefault="00C77A7B" w:rsidP="004E5C7C">
      <w:pPr>
        <w:pStyle w:val="SingleTxtG"/>
        <w:ind w:right="0"/>
        <w:rPr>
          <w:sz w:val="22"/>
          <w:szCs w:val="22"/>
        </w:rPr>
      </w:pPr>
      <w:r>
        <w:rPr>
          <w:sz w:val="22"/>
          <w:szCs w:val="22"/>
        </w:rPr>
        <w:t>T</w:t>
      </w:r>
      <w:r w:rsidR="00CD7A69" w:rsidRPr="00CD7A69">
        <w:rPr>
          <w:sz w:val="22"/>
          <w:szCs w:val="22"/>
        </w:rPr>
        <w:t xml:space="preserve">he approval of the National Action Plan for the implementation of UN Security Council Resolution 1325 "Women, Peace, Security" </w:t>
      </w:r>
      <w:r w:rsidR="00CD7A69">
        <w:rPr>
          <w:sz w:val="22"/>
          <w:szCs w:val="22"/>
          <w:lang w:val="en-US"/>
        </w:rPr>
        <w:t xml:space="preserve">until </w:t>
      </w:r>
      <w:r w:rsidR="00CD7A69" w:rsidRPr="00CD7A69">
        <w:rPr>
          <w:sz w:val="22"/>
          <w:szCs w:val="22"/>
        </w:rPr>
        <w:t>2025</w:t>
      </w:r>
      <w:r>
        <w:rPr>
          <w:sz w:val="22"/>
          <w:szCs w:val="22"/>
        </w:rPr>
        <w:t xml:space="preserve"> </w:t>
      </w:r>
      <w:r w:rsidRPr="00CD7A69">
        <w:rPr>
          <w:sz w:val="22"/>
          <w:szCs w:val="22"/>
        </w:rPr>
        <w:t xml:space="preserve">by the </w:t>
      </w:r>
      <w:r w:rsidR="00DB3EB2">
        <w:rPr>
          <w:sz w:val="22"/>
          <w:szCs w:val="22"/>
        </w:rPr>
        <w:t>CMU R</w:t>
      </w:r>
      <w:r>
        <w:rPr>
          <w:sz w:val="22"/>
          <w:szCs w:val="22"/>
        </w:rPr>
        <w:t>esolution</w:t>
      </w:r>
      <w:r w:rsidRPr="00CD7A69">
        <w:rPr>
          <w:sz w:val="22"/>
          <w:szCs w:val="22"/>
        </w:rPr>
        <w:t xml:space="preserve"> </w:t>
      </w:r>
      <w:r>
        <w:rPr>
          <w:sz w:val="22"/>
          <w:szCs w:val="22"/>
        </w:rPr>
        <w:t xml:space="preserve">of 28 October </w:t>
      </w:r>
      <w:r w:rsidRPr="00CD7A69">
        <w:rPr>
          <w:sz w:val="22"/>
          <w:szCs w:val="22"/>
        </w:rPr>
        <w:t xml:space="preserve">2020 </w:t>
      </w:r>
      <w:r>
        <w:rPr>
          <w:sz w:val="22"/>
          <w:szCs w:val="22"/>
        </w:rPr>
        <w:t>No</w:t>
      </w:r>
      <w:r w:rsidR="00105B95">
        <w:rPr>
          <w:sz w:val="22"/>
          <w:szCs w:val="22"/>
        </w:rPr>
        <w:t>.</w:t>
      </w:r>
      <w:r w:rsidRPr="00CD7A69">
        <w:rPr>
          <w:sz w:val="22"/>
          <w:szCs w:val="22"/>
        </w:rPr>
        <w:t>1544</w:t>
      </w:r>
      <w:r>
        <w:rPr>
          <w:sz w:val="22"/>
          <w:szCs w:val="22"/>
        </w:rPr>
        <w:t xml:space="preserve"> could be considered as a p</w:t>
      </w:r>
      <w:r w:rsidRPr="00CD7A69">
        <w:rPr>
          <w:sz w:val="22"/>
          <w:szCs w:val="22"/>
        </w:rPr>
        <w:t xml:space="preserve">ositive development in gender </w:t>
      </w:r>
      <w:r>
        <w:rPr>
          <w:sz w:val="22"/>
          <w:szCs w:val="22"/>
        </w:rPr>
        <w:t>mainstreaming.</w:t>
      </w:r>
    </w:p>
    <w:p w14:paraId="5AC51903" w14:textId="438697B7" w:rsidR="006E21F5" w:rsidRDefault="006E21F5" w:rsidP="004E5C7C">
      <w:pPr>
        <w:pStyle w:val="SingleTxtG"/>
        <w:ind w:right="0"/>
        <w:rPr>
          <w:sz w:val="22"/>
          <w:szCs w:val="22"/>
        </w:rPr>
      </w:pPr>
      <w:r w:rsidRPr="006E21F5">
        <w:rPr>
          <w:sz w:val="22"/>
          <w:szCs w:val="22"/>
          <w:lang w:val="en"/>
        </w:rPr>
        <w:t>On</w:t>
      </w:r>
      <w:r>
        <w:rPr>
          <w:sz w:val="22"/>
          <w:szCs w:val="22"/>
          <w:lang w:val="en"/>
        </w:rPr>
        <w:t xml:space="preserve"> 10</w:t>
      </w:r>
      <w:r w:rsidRPr="006E21F5">
        <w:rPr>
          <w:sz w:val="22"/>
          <w:szCs w:val="22"/>
          <w:lang w:val="en"/>
        </w:rPr>
        <w:t xml:space="preserve"> September 2021, the </w:t>
      </w:r>
      <w:r w:rsidR="002B3B88">
        <w:rPr>
          <w:sz w:val="22"/>
          <w:szCs w:val="22"/>
          <w:lang w:val="en"/>
        </w:rPr>
        <w:t>Parliament</w:t>
      </w:r>
      <w:r w:rsidRPr="006E21F5">
        <w:rPr>
          <w:sz w:val="22"/>
          <w:szCs w:val="22"/>
          <w:lang w:val="en"/>
        </w:rPr>
        <w:t xml:space="preserve"> adopted the Law “On Amendments to the Law of Ukraine</w:t>
      </w:r>
      <w:r>
        <w:rPr>
          <w:sz w:val="22"/>
          <w:szCs w:val="22"/>
          <w:lang w:val="en"/>
        </w:rPr>
        <w:t xml:space="preserve"> “</w:t>
      </w:r>
      <w:r w:rsidRPr="006E21F5">
        <w:rPr>
          <w:sz w:val="22"/>
          <w:szCs w:val="22"/>
          <w:lang w:val="en"/>
        </w:rPr>
        <w:t>On Advertising”</w:t>
      </w:r>
      <w:r>
        <w:rPr>
          <w:sz w:val="22"/>
          <w:szCs w:val="22"/>
          <w:lang w:val="en"/>
        </w:rPr>
        <w:t xml:space="preserve"> regarding</w:t>
      </w:r>
      <w:r w:rsidRPr="006E21F5">
        <w:rPr>
          <w:sz w:val="22"/>
          <w:szCs w:val="22"/>
          <w:lang w:val="en"/>
        </w:rPr>
        <w:t xml:space="preserve"> Combating Discrimination on the Grounds of Sex” (</w:t>
      </w:r>
      <w:r w:rsidR="00DC11CE">
        <w:rPr>
          <w:sz w:val="22"/>
          <w:szCs w:val="22"/>
          <w:lang w:val="en"/>
        </w:rPr>
        <w:t>r</w:t>
      </w:r>
      <w:r w:rsidRPr="006E21F5">
        <w:rPr>
          <w:sz w:val="22"/>
          <w:szCs w:val="22"/>
          <w:lang w:val="en"/>
        </w:rPr>
        <w:t>eg</w:t>
      </w:r>
      <w:r w:rsidR="00DC11CE">
        <w:rPr>
          <w:sz w:val="22"/>
          <w:szCs w:val="22"/>
          <w:lang w:val="en"/>
        </w:rPr>
        <w:t>.No.</w:t>
      </w:r>
      <w:r w:rsidRPr="006E21F5">
        <w:rPr>
          <w:sz w:val="22"/>
          <w:szCs w:val="22"/>
          <w:lang w:val="en"/>
        </w:rPr>
        <w:t xml:space="preserve">3427 of </w:t>
      </w:r>
      <w:r w:rsidR="00105B95">
        <w:rPr>
          <w:sz w:val="22"/>
          <w:szCs w:val="22"/>
          <w:lang w:val="en"/>
        </w:rPr>
        <w:t xml:space="preserve">4 May </w:t>
      </w:r>
      <w:r w:rsidRPr="006E21F5">
        <w:rPr>
          <w:sz w:val="22"/>
          <w:szCs w:val="22"/>
          <w:lang w:val="en"/>
        </w:rPr>
        <w:t>2020), which introduces a legislative definition of “discriminatory advertising”, “</w:t>
      </w:r>
      <w:r w:rsidR="00B46A8B" w:rsidRPr="006E21F5">
        <w:rPr>
          <w:sz w:val="22"/>
          <w:szCs w:val="22"/>
          <w:lang w:val="en"/>
        </w:rPr>
        <w:t xml:space="preserve">gender-based </w:t>
      </w:r>
      <w:r w:rsidRPr="006E21F5">
        <w:rPr>
          <w:sz w:val="22"/>
          <w:szCs w:val="22"/>
          <w:lang w:val="en"/>
        </w:rPr>
        <w:t>discriminatory advertising”</w:t>
      </w:r>
      <w:r w:rsidR="00B46A8B">
        <w:rPr>
          <w:sz w:val="22"/>
          <w:szCs w:val="22"/>
          <w:lang w:val="en"/>
        </w:rPr>
        <w:t xml:space="preserve"> as well as liability</w:t>
      </w:r>
      <w:r w:rsidRPr="006E21F5">
        <w:rPr>
          <w:sz w:val="22"/>
          <w:szCs w:val="22"/>
          <w:lang w:val="en"/>
        </w:rPr>
        <w:t xml:space="preserve"> for placing such advertising.</w:t>
      </w:r>
    </w:p>
    <w:p w14:paraId="2524911A" w14:textId="77777777" w:rsidR="00CD7A69" w:rsidRPr="004E5C7C" w:rsidRDefault="00CD7A69" w:rsidP="004E5C7C">
      <w:pPr>
        <w:pStyle w:val="SingleTxtG"/>
        <w:ind w:right="0"/>
        <w:rPr>
          <w:sz w:val="22"/>
          <w:szCs w:val="22"/>
        </w:rPr>
      </w:pPr>
    </w:p>
    <w:p w14:paraId="5EC0F5ED" w14:textId="6C5A841E"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Violence against women (</w:t>
      </w:r>
      <w:r w:rsidR="00796692">
        <w:rPr>
          <w:sz w:val="22"/>
          <w:szCs w:val="22"/>
          <w:highlight w:val="lightGray"/>
        </w:rPr>
        <w:t>A</w:t>
      </w:r>
      <w:r w:rsidRPr="004E5C7C">
        <w:rPr>
          <w:sz w:val="22"/>
          <w:szCs w:val="22"/>
          <w:highlight w:val="lightGray"/>
        </w:rPr>
        <w:t>rts.2, 3, 7 and 26)</w:t>
      </w:r>
    </w:p>
    <w:p w14:paraId="07E3ED40" w14:textId="121261B9" w:rsidR="00BF62A7" w:rsidRPr="004E5C7C" w:rsidRDefault="00BF62A7" w:rsidP="004E5C7C">
      <w:pPr>
        <w:pStyle w:val="SingleTxtG"/>
        <w:ind w:right="0"/>
        <w:rPr>
          <w:sz w:val="22"/>
          <w:szCs w:val="22"/>
        </w:rPr>
      </w:pPr>
      <w:r w:rsidRPr="004E5C7C">
        <w:rPr>
          <w:sz w:val="22"/>
          <w:szCs w:val="22"/>
        </w:rPr>
        <w:t xml:space="preserve">An increase in domestic violence is observed in the context of the COVID-19 respiratory disease pandemic in Ukraine, as elsewhere in the world. According to the National Social Service, the number of complaints of the citizens about domestic violence to the police and social protection authorities rose to 211,362 in 2020, which is 62% more than in 2019 (130,514). The Commissioner received 126 reports of violations of rights to protection against domestic and gender-based violence during 2020. The same number of reports was recorded in 2019 (127). </w:t>
      </w:r>
      <w:r w:rsidR="00884708" w:rsidRPr="00884708">
        <w:rPr>
          <w:sz w:val="22"/>
          <w:szCs w:val="22"/>
          <w:lang w:val="en"/>
        </w:rPr>
        <w:t xml:space="preserve">The trend of increasing the number of human rights violations </w:t>
      </w:r>
      <w:r w:rsidR="00884708">
        <w:rPr>
          <w:sz w:val="22"/>
          <w:szCs w:val="22"/>
          <w:lang w:val="en"/>
        </w:rPr>
        <w:t>as regards</w:t>
      </w:r>
      <w:r w:rsidR="00884708" w:rsidRPr="00884708">
        <w:rPr>
          <w:sz w:val="22"/>
          <w:szCs w:val="22"/>
          <w:lang w:val="en"/>
        </w:rPr>
        <w:t xml:space="preserve"> domestic violence continues in 2021.</w:t>
      </w:r>
      <w:r w:rsidR="00884708" w:rsidRPr="00884708">
        <w:rPr>
          <w:rFonts w:eastAsia="Times New Roman"/>
          <w:lang w:val="en" w:eastAsia="en-US"/>
        </w:rPr>
        <w:t xml:space="preserve"> </w:t>
      </w:r>
      <w:r w:rsidR="00884708" w:rsidRPr="00884708">
        <w:rPr>
          <w:sz w:val="22"/>
          <w:szCs w:val="22"/>
          <w:lang w:val="en"/>
        </w:rPr>
        <w:t xml:space="preserve">As of </w:t>
      </w:r>
      <w:r w:rsidR="00884708">
        <w:rPr>
          <w:sz w:val="22"/>
          <w:szCs w:val="22"/>
          <w:lang w:val="en"/>
        </w:rPr>
        <w:t xml:space="preserve">10 </w:t>
      </w:r>
      <w:r w:rsidR="00884708" w:rsidRPr="00884708">
        <w:rPr>
          <w:sz w:val="22"/>
          <w:szCs w:val="22"/>
          <w:lang w:val="en"/>
        </w:rPr>
        <w:t>September 2021, the Commissioner received 135 reports of such violations.</w:t>
      </w:r>
      <w:r w:rsidR="00FE46D8" w:rsidRPr="00FE46D8">
        <w:rPr>
          <w:rFonts w:eastAsia="Times New Roman"/>
          <w:lang w:val="en" w:eastAsia="en-US"/>
        </w:rPr>
        <w:t xml:space="preserve"> </w:t>
      </w:r>
      <w:r w:rsidR="00FE46D8" w:rsidRPr="00FE46D8">
        <w:rPr>
          <w:sz w:val="22"/>
          <w:szCs w:val="22"/>
          <w:lang w:val="en"/>
        </w:rPr>
        <w:t>The most common are reports o</w:t>
      </w:r>
      <w:r w:rsidR="00FE46D8">
        <w:rPr>
          <w:sz w:val="22"/>
          <w:szCs w:val="22"/>
          <w:lang w:val="en"/>
        </w:rPr>
        <w:t xml:space="preserve">n </w:t>
      </w:r>
      <w:r w:rsidR="00FE46D8" w:rsidRPr="00FE46D8">
        <w:rPr>
          <w:sz w:val="22"/>
          <w:szCs w:val="22"/>
          <w:lang w:val="en"/>
        </w:rPr>
        <w:t>violations of the right to safety and protection of victims by the police and social protection</w:t>
      </w:r>
      <w:r w:rsidR="00FE46D8">
        <w:rPr>
          <w:sz w:val="22"/>
          <w:szCs w:val="22"/>
          <w:lang w:val="en"/>
        </w:rPr>
        <w:t xml:space="preserve"> services</w:t>
      </w:r>
      <w:r w:rsidR="00FE46D8" w:rsidRPr="00FE46D8">
        <w:rPr>
          <w:sz w:val="22"/>
          <w:szCs w:val="22"/>
          <w:lang w:val="en"/>
        </w:rPr>
        <w:t xml:space="preserve">, </w:t>
      </w:r>
      <w:r w:rsidR="00FE46D8">
        <w:rPr>
          <w:sz w:val="22"/>
          <w:szCs w:val="22"/>
          <w:lang w:val="en"/>
        </w:rPr>
        <w:t xml:space="preserve">and </w:t>
      </w:r>
      <w:r w:rsidR="00FE46D8" w:rsidRPr="00FE46D8">
        <w:rPr>
          <w:sz w:val="22"/>
          <w:szCs w:val="22"/>
          <w:lang w:val="en"/>
        </w:rPr>
        <w:t>the right to receive social services and legal aid.</w:t>
      </w:r>
    </w:p>
    <w:p w14:paraId="0BBB8D4A" w14:textId="620E8459" w:rsidR="00BF62A7" w:rsidRPr="004E5C7C" w:rsidRDefault="00BF62A7" w:rsidP="004E5C7C">
      <w:pPr>
        <w:pStyle w:val="SingleTxtG"/>
        <w:ind w:right="0"/>
        <w:rPr>
          <w:sz w:val="22"/>
          <w:szCs w:val="22"/>
        </w:rPr>
      </w:pPr>
      <w:r w:rsidRPr="004E5C7C">
        <w:rPr>
          <w:sz w:val="22"/>
          <w:szCs w:val="22"/>
        </w:rPr>
        <w:t>The analysis of the reports received by the Commissioner shows that the most common violations are violations of the right to safety and protection of victims by the police and social protection bodies, the right to social services and legal aid. These violations are also confirmed by the results of monitoring visits</w:t>
      </w:r>
      <w:r w:rsidR="00022B24" w:rsidRPr="004E5C7C">
        <w:rPr>
          <w:sz w:val="22"/>
          <w:szCs w:val="22"/>
        </w:rPr>
        <w:t>.</w:t>
      </w:r>
    </w:p>
    <w:p w14:paraId="1D65C029" w14:textId="59D3E436" w:rsidR="00BF62A7" w:rsidRPr="004E5C7C" w:rsidRDefault="00BF62A7" w:rsidP="004E5C7C">
      <w:pPr>
        <w:pStyle w:val="SingleTxtG"/>
        <w:ind w:right="0"/>
        <w:rPr>
          <w:sz w:val="22"/>
          <w:szCs w:val="22"/>
        </w:rPr>
      </w:pPr>
      <w:r w:rsidRPr="004E5C7C">
        <w:rPr>
          <w:sz w:val="22"/>
          <w:szCs w:val="22"/>
        </w:rPr>
        <w:t xml:space="preserve">The launch in February 2020 of the Government Hotline 1547 on combating human trafficking, prevention and response to domestic violence, gender-based violence and violence against children is a marked improvement in this area. </w:t>
      </w:r>
    </w:p>
    <w:p w14:paraId="251FA1CF" w14:textId="678B68FC" w:rsidR="00022B24" w:rsidRPr="004E5C7C" w:rsidRDefault="00022B24" w:rsidP="004E5C7C">
      <w:pPr>
        <w:pStyle w:val="SingleTxtG"/>
        <w:ind w:right="0"/>
        <w:rPr>
          <w:sz w:val="22"/>
          <w:szCs w:val="22"/>
        </w:rPr>
      </w:pPr>
      <w:r w:rsidRPr="004E5C7C">
        <w:rPr>
          <w:sz w:val="22"/>
          <w:szCs w:val="22"/>
        </w:rPr>
        <w:t xml:space="preserve">The ECtHR in its judgment in the “Levchuk v.Ukraine” case (Application No.17496/19) in September 2020 (the first judgment against Ukraine on domestic violence) noted that inadequate responses to cases of domestic violence do not comply with Ukraine’s positive obligation to ensure effective protection of the victims of domestic violence. The ECtHR also pointed out that the Council of Europe Convention on Preventing and Combating Violence against Women and Domestic Violence (Istanbul Convention) had not yet been ratified by Ukraine, which affects the level of protection of victims. </w:t>
      </w:r>
    </w:p>
    <w:p w14:paraId="560548E3" w14:textId="3AFE3026" w:rsidR="00495AC4" w:rsidRPr="004E5C7C" w:rsidRDefault="00022B24" w:rsidP="004E5C7C">
      <w:pPr>
        <w:pStyle w:val="SingleTxtG"/>
        <w:ind w:right="0"/>
        <w:rPr>
          <w:sz w:val="22"/>
          <w:szCs w:val="22"/>
        </w:rPr>
      </w:pPr>
      <w:r w:rsidRPr="004E5C7C">
        <w:rPr>
          <w:sz w:val="22"/>
          <w:szCs w:val="22"/>
        </w:rPr>
        <w:t xml:space="preserve">Pursuant to the Commissioner’s recommendation, the Ministry of Social Policy developed a draft </w:t>
      </w:r>
      <w:r w:rsidR="00DC11CE">
        <w:rPr>
          <w:sz w:val="22"/>
          <w:szCs w:val="22"/>
        </w:rPr>
        <w:t>L</w:t>
      </w:r>
      <w:r w:rsidR="00DC11CE" w:rsidRPr="004E5C7C">
        <w:rPr>
          <w:sz w:val="22"/>
          <w:szCs w:val="22"/>
        </w:rPr>
        <w:t xml:space="preserve">aw </w:t>
      </w:r>
      <w:r w:rsidRPr="004E5C7C">
        <w:rPr>
          <w:sz w:val="22"/>
          <w:szCs w:val="22"/>
        </w:rPr>
        <w:t xml:space="preserve">“On the Ratification of the Council of Europe Convention on Preventing and Combating Violence against Women and Domestic Violence,” but it was not duly submitted to the </w:t>
      </w:r>
      <w:r w:rsidR="002B3B88">
        <w:rPr>
          <w:sz w:val="22"/>
          <w:szCs w:val="22"/>
        </w:rPr>
        <w:t>Parliament</w:t>
      </w:r>
      <w:r w:rsidRPr="004E5C7C">
        <w:rPr>
          <w:sz w:val="22"/>
          <w:szCs w:val="22"/>
        </w:rPr>
        <w:t xml:space="preserve"> for consideration.</w:t>
      </w:r>
    </w:p>
    <w:p w14:paraId="6024DF4D" w14:textId="40D49421" w:rsidR="00D77375" w:rsidRPr="004E5C7C" w:rsidRDefault="00022B24" w:rsidP="004E5C7C">
      <w:pPr>
        <w:pStyle w:val="SingleTxtG"/>
        <w:ind w:right="0"/>
        <w:rPr>
          <w:sz w:val="22"/>
          <w:szCs w:val="22"/>
        </w:rPr>
      </w:pPr>
      <w:r w:rsidRPr="004E5C7C">
        <w:rPr>
          <w:sz w:val="22"/>
          <w:szCs w:val="22"/>
        </w:rPr>
        <w:t xml:space="preserve">The Commissioner found a lack of legislative regulation for prosecuting military </w:t>
      </w:r>
      <w:r w:rsidR="006B658C" w:rsidRPr="004E5C7C">
        <w:rPr>
          <w:sz w:val="22"/>
          <w:szCs w:val="22"/>
        </w:rPr>
        <w:t>serv</w:t>
      </w:r>
      <w:r w:rsidR="006B658C">
        <w:rPr>
          <w:sz w:val="22"/>
          <w:szCs w:val="22"/>
        </w:rPr>
        <w:t>ic</w:t>
      </w:r>
      <w:r w:rsidR="006F5D95">
        <w:rPr>
          <w:sz w:val="22"/>
          <w:szCs w:val="22"/>
        </w:rPr>
        <w:t>emen</w:t>
      </w:r>
      <w:r w:rsidRPr="004E5C7C">
        <w:rPr>
          <w:sz w:val="22"/>
          <w:szCs w:val="22"/>
        </w:rPr>
        <w:t>, police officers and persons of equivalent status for committing domestic violence. Such persons are prosecuted only under disciplinary regulations, which do not provide for punishment for domestic violence.</w:t>
      </w:r>
      <w:r w:rsidR="00495AC4" w:rsidRPr="004E5C7C">
        <w:rPr>
          <w:sz w:val="22"/>
          <w:szCs w:val="22"/>
        </w:rPr>
        <w:t xml:space="preserve"> </w:t>
      </w:r>
      <w:r w:rsidR="00D77375" w:rsidRPr="004E5C7C">
        <w:rPr>
          <w:sz w:val="22"/>
          <w:szCs w:val="22"/>
        </w:rPr>
        <w:t>The draft Law “On Amendments to the Code of Ukraine on Administrative offences to Strengthen Liability for Committing Domestic Violence and Gender-Related Violence” (reg.No.3908-1 of 03</w:t>
      </w:r>
      <w:r w:rsidR="00495AC4" w:rsidRPr="004E5C7C">
        <w:rPr>
          <w:sz w:val="22"/>
          <w:szCs w:val="22"/>
        </w:rPr>
        <w:t xml:space="preserve"> August </w:t>
      </w:r>
      <w:r w:rsidR="00D77375" w:rsidRPr="004E5C7C">
        <w:rPr>
          <w:sz w:val="22"/>
          <w:szCs w:val="22"/>
        </w:rPr>
        <w:t xml:space="preserve">2020) was developed to address gaps in legislation to prosecute military </w:t>
      </w:r>
      <w:r w:rsidR="006B658C" w:rsidRPr="004E5C7C">
        <w:rPr>
          <w:sz w:val="22"/>
          <w:szCs w:val="22"/>
        </w:rPr>
        <w:t>serv</w:t>
      </w:r>
      <w:r w:rsidR="006B658C">
        <w:rPr>
          <w:sz w:val="22"/>
          <w:szCs w:val="22"/>
        </w:rPr>
        <w:t>icemen</w:t>
      </w:r>
      <w:r w:rsidR="00D77375" w:rsidRPr="004E5C7C">
        <w:rPr>
          <w:sz w:val="22"/>
          <w:szCs w:val="22"/>
        </w:rPr>
        <w:t xml:space="preserve">, police officers and other abusers. The draft law was adopted by the </w:t>
      </w:r>
      <w:r w:rsidR="002B3B88">
        <w:rPr>
          <w:sz w:val="22"/>
          <w:szCs w:val="22"/>
        </w:rPr>
        <w:t>Parliament</w:t>
      </w:r>
      <w:r w:rsidR="00D77375" w:rsidRPr="004E5C7C">
        <w:rPr>
          <w:sz w:val="22"/>
          <w:szCs w:val="22"/>
        </w:rPr>
        <w:t xml:space="preserve"> in the first reading on 3</w:t>
      </w:r>
      <w:r w:rsidR="007A6EE1" w:rsidRPr="004E5C7C">
        <w:rPr>
          <w:sz w:val="22"/>
          <w:szCs w:val="22"/>
        </w:rPr>
        <w:t xml:space="preserve"> February </w:t>
      </w:r>
      <w:r w:rsidR="00D77375" w:rsidRPr="004E5C7C">
        <w:rPr>
          <w:sz w:val="22"/>
          <w:szCs w:val="22"/>
        </w:rPr>
        <w:t xml:space="preserve">2021. </w:t>
      </w:r>
    </w:p>
    <w:p w14:paraId="22870425" w14:textId="3ECFFD7F" w:rsidR="00A85042" w:rsidRPr="004E5C7C" w:rsidRDefault="00A85042" w:rsidP="004E5C7C">
      <w:pPr>
        <w:pStyle w:val="SingleTxtG"/>
        <w:ind w:right="0"/>
        <w:rPr>
          <w:sz w:val="22"/>
          <w:szCs w:val="22"/>
        </w:rPr>
      </w:pPr>
      <w:r w:rsidRPr="004E5C7C">
        <w:rPr>
          <w:sz w:val="22"/>
          <w:szCs w:val="22"/>
        </w:rPr>
        <w:t>To ensure comprehensive and timely assistance to victims by entities implementing measures to prevent and combat domestic violence and to coordinate the activities of such entities, Art</w:t>
      </w:r>
      <w:r w:rsidR="007321EA">
        <w:rPr>
          <w:sz w:val="22"/>
          <w:szCs w:val="22"/>
        </w:rPr>
        <w:t>.</w:t>
      </w:r>
      <w:r w:rsidRPr="004E5C7C">
        <w:rPr>
          <w:sz w:val="22"/>
          <w:szCs w:val="22"/>
        </w:rPr>
        <w:t xml:space="preserve">16 of </w:t>
      </w:r>
      <w:r w:rsidR="007321EA">
        <w:rPr>
          <w:sz w:val="22"/>
          <w:szCs w:val="22"/>
        </w:rPr>
        <w:t xml:space="preserve">the </w:t>
      </w:r>
      <w:r w:rsidRPr="004E5C7C">
        <w:rPr>
          <w:sz w:val="22"/>
          <w:szCs w:val="22"/>
        </w:rPr>
        <w:t>Law No.2229-VIII provides for the creation of a Unified State Register of Domestic and Gender-Based Violence as an automated information and telecommunications system, which should ensure automatic reporting of cases of violence to all interested entities. However, the Ministry of Social Policy did not implement this provision of the law and the register was not created.</w:t>
      </w:r>
    </w:p>
    <w:p w14:paraId="305C90CB" w14:textId="77777777" w:rsidR="007F4B4D" w:rsidRDefault="007F4B4D" w:rsidP="004E5C7C">
      <w:pPr>
        <w:pStyle w:val="SingleTxtG"/>
        <w:ind w:right="0"/>
        <w:rPr>
          <w:b/>
          <w:bCs/>
          <w:i/>
          <w:iCs/>
          <w:sz w:val="22"/>
          <w:szCs w:val="22"/>
        </w:rPr>
      </w:pPr>
    </w:p>
    <w:p w14:paraId="34059F63" w14:textId="4BE1CC04" w:rsidR="00BF62A7" w:rsidRPr="004E5C7C" w:rsidRDefault="00BF62A7" w:rsidP="004E5C7C">
      <w:pPr>
        <w:pStyle w:val="SingleTxtG"/>
        <w:ind w:right="0"/>
        <w:rPr>
          <w:i/>
          <w:iCs/>
          <w:sz w:val="22"/>
          <w:szCs w:val="22"/>
        </w:rPr>
      </w:pPr>
      <w:r w:rsidRPr="004E5C7C">
        <w:rPr>
          <w:b/>
          <w:bCs/>
          <w:i/>
          <w:iCs/>
          <w:sz w:val="22"/>
          <w:szCs w:val="22"/>
        </w:rPr>
        <w:t>Right to protection of victims of domestic and gender-based violence</w:t>
      </w:r>
      <w:r w:rsidRPr="004E5C7C">
        <w:rPr>
          <w:i/>
          <w:iCs/>
          <w:sz w:val="22"/>
          <w:szCs w:val="22"/>
        </w:rPr>
        <w:t xml:space="preserve"> </w:t>
      </w:r>
    </w:p>
    <w:p w14:paraId="538EC678" w14:textId="44CA009E" w:rsidR="00BF62A7" w:rsidRPr="004E5C7C" w:rsidRDefault="00BF62A7" w:rsidP="004E5C7C">
      <w:pPr>
        <w:pStyle w:val="SingleTxtG"/>
        <w:ind w:right="0"/>
        <w:rPr>
          <w:sz w:val="22"/>
          <w:szCs w:val="22"/>
          <w:lang w:val="en-US"/>
        </w:rPr>
      </w:pPr>
      <w:r w:rsidRPr="004E5C7C">
        <w:rPr>
          <w:sz w:val="22"/>
          <w:szCs w:val="22"/>
        </w:rPr>
        <w:t xml:space="preserve">In accordance with </w:t>
      </w:r>
      <w:r w:rsidR="00550974" w:rsidRPr="004E5C7C">
        <w:rPr>
          <w:sz w:val="22"/>
          <w:szCs w:val="22"/>
        </w:rPr>
        <w:t>Art</w:t>
      </w:r>
      <w:r w:rsidR="00550974">
        <w:rPr>
          <w:sz w:val="22"/>
          <w:szCs w:val="22"/>
        </w:rPr>
        <w:t>.</w:t>
      </w:r>
      <w:r w:rsidRPr="004E5C7C">
        <w:rPr>
          <w:sz w:val="22"/>
          <w:szCs w:val="22"/>
        </w:rPr>
        <w:t>10 of the Law “On Preventing and Combating Domestic Violence” No.2229-VIII of 7 December 2017</w:t>
      </w:r>
      <w:r w:rsidR="007A6EE1" w:rsidRPr="004E5C7C">
        <w:rPr>
          <w:sz w:val="22"/>
          <w:szCs w:val="22"/>
        </w:rPr>
        <w:t xml:space="preserve">, </w:t>
      </w:r>
      <w:r w:rsidRPr="004E5C7C">
        <w:rPr>
          <w:sz w:val="22"/>
          <w:szCs w:val="22"/>
        </w:rPr>
        <w:t>identification of and timely response to domestic violence, receipt and consideration of petitions and reports of domestic violence, as well as assisting to victims are assigned to the National Police. Out of 126 reports of violations of the rights of victims of domestic violence and gender-based violence, 90 reports concerned non-execution or improper execution of the above-mentioned powers by the police</w:t>
      </w:r>
      <w:r w:rsidRPr="004E5C7C">
        <w:rPr>
          <w:sz w:val="22"/>
          <w:szCs w:val="22"/>
          <w:lang w:val="uk-UA"/>
        </w:rPr>
        <w:t>.</w:t>
      </w:r>
    </w:p>
    <w:p w14:paraId="6D0D8ED0" w14:textId="3C8AAC58" w:rsidR="00BF62A7" w:rsidRPr="004E5C7C" w:rsidRDefault="00BF62A7" w:rsidP="004E5C7C">
      <w:pPr>
        <w:pStyle w:val="SingleTxtG"/>
        <w:ind w:right="0"/>
        <w:rPr>
          <w:sz w:val="22"/>
          <w:szCs w:val="22"/>
        </w:rPr>
      </w:pPr>
      <w:r w:rsidRPr="004E5C7C">
        <w:rPr>
          <w:sz w:val="22"/>
          <w:szCs w:val="22"/>
        </w:rPr>
        <w:t xml:space="preserve">Lack of response to cases of domestic violence by Police is also caused by the improper qualification of criminal offences, i.e. not under </w:t>
      </w:r>
      <w:r w:rsidR="00550974" w:rsidRPr="004E5C7C">
        <w:rPr>
          <w:sz w:val="22"/>
          <w:szCs w:val="22"/>
        </w:rPr>
        <w:t>Art</w:t>
      </w:r>
      <w:r w:rsidR="00550974">
        <w:rPr>
          <w:sz w:val="22"/>
          <w:szCs w:val="22"/>
        </w:rPr>
        <w:t>.</w:t>
      </w:r>
      <w:r w:rsidRPr="004E5C7C">
        <w:rPr>
          <w:sz w:val="22"/>
          <w:szCs w:val="22"/>
        </w:rPr>
        <w:t>126-1 (Domestic violence) of the Criminal Code, but as the infliction of bodily injures of different severity or as a result of property disputes. As a result, the pre-trial investigations that were initiated upon the victims’ applications ended with the closure of criminal proceedings because of the trifling nature of the offence.</w:t>
      </w:r>
    </w:p>
    <w:p w14:paraId="4E0BFC24" w14:textId="066F72D0" w:rsidR="00BF62A7" w:rsidRPr="004E5C7C" w:rsidRDefault="007A6EE1" w:rsidP="004E5C7C">
      <w:pPr>
        <w:pStyle w:val="SingleTxtG"/>
        <w:ind w:right="0"/>
        <w:rPr>
          <w:sz w:val="22"/>
          <w:szCs w:val="22"/>
        </w:rPr>
      </w:pPr>
      <w:r w:rsidRPr="004E5C7C">
        <w:rPr>
          <w:sz w:val="22"/>
          <w:szCs w:val="22"/>
        </w:rPr>
        <w:t>Also, the Commissioner revealed facts of n</w:t>
      </w:r>
      <w:r w:rsidR="00BF62A7" w:rsidRPr="004E5C7C">
        <w:rPr>
          <w:sz w:val="22"/>
          <w:szCs w:val="22"/>
        </w:rPr>
        <w:t xml:space="preserve">on-application </w:t>
      </w:r>
      <w:r w:rsidR="00A85042" w:rsidRPr="004E5C7C">
        <w:rPr>
          <w:sz w:val="22"/>
          <w:szCs w:val="22"/>
        </w:rPr>
        <w:t xml:space="preserve">by police officers </w:t>
      </w:r>
      <w:r w:rsidR="00BF62A7" w:rsidRPr="004E5C7C">
        <w:rPr>
          <w:sz w:val="22"/>
          <w:szCs w:val="22"/>
        </w:rPr>
        <w:t>of an urgent banning order against the abuser</w:t>
      </w:r>
      <w:r w:rsidRPr="004E5C7C">
        <w:rPr>
          <w:sz w:val="22"/>
          <w:szCs w:val="22"/>
        </w:rPr>
        <w:t xml:space="preserve"> as a special measure under </w:t>
      </w:r>
      <w:r w:rsidR="00550974" w:rsidRPr="004E5C7C">
        <w:rPr>
          <w:sz w:val="22"/>
          <w:szCs w:val="22"/>
        </w:rPr>
        <w:t>Art</w:t>
      </w:r>
      <w:r w:rsidR="00550974">
        <w:rPr>
          <w:sz w:val="22"/>
          <w:szCs w:val="22"/>
        </w:rPr>
        <w:t>.</w:t>
      </w:r>
      <w:r w:rsidRPr="004E5C7C">
        <w:rPr>
          <w:sz w:val="22"/>
          <w:szCs w:val="22"/>
        </w:rPr>
        <w:t>1 of Law No.2229-VIII t</w:t>
      </w:r>
      <w:r w:rsidR="00BF62A7" w:rsidRPr="004E5C7C">
        <w:rPr>
          <w:sz w:val="22"/>
          <w:szCs w:val="22"/>
        </w:rPr>
        <w:t xml:space="preserve">o immediately end the domestic violence, eliminate the risk to the life and health of the victims and prevent the continuation or reoccurrence of such violence. </w:t>
      </w:r>
    </w:p>
    <w:p w14:paraId="398C067D" w14:textId="77777777" w:rsidR="007F4B4D" w:rsidRDefault="007F4B4D" w:rsidP="004E5C7C">
      <w:pPr>
        <w:pStyle w:val="SingleTxtG"/>
        <w:ind w:right="0"/>
        <w:rPr>
          <w:b/>
          <w:bCs/>
          <w:i/>
          <w:iCs/>
          <w:sz w:val="22"/>
          <w:szCs w:val="22"/>
        </w:rPr>
      </w:pPr>
    </w:p>
    <w:p w14:paraId="3FC27F8C" w14:textId="142DBBD8" w:rsidR="00D77375" w:rsidRPr="004E5C7C" w:rsidRDefault="00D77375" w:rsidP="004E5C7C">
      <w:pPr>
        <w:pStyle w:val="SingleTxtG"/>
        <w:ind w:right="0"/>
        <w:rPr>
          <w:b/>
          <w:bCs/>
          <w:i/>
          <w:iCs/>
          <w:sz w:val="22"/>
          <w:szCs w:val="22"/>
        </w:rPr>
      </w:pPr>
      <w:r w:rsidRPr="004E5C7C">
        <w:rPr>
          <w:b/>
          <w:bCs/>
          <w:i/>
          <w:iCs/>
          <w:sz w:val="22"/>
          <w:szCs w:val="22"/>
        </w:rPr>
        <w:t xml:space="preserve">Right to legal aid for victims of domestic and gender-based violence </w:t>
      </w:r>
    </w:p>
    <w:p w14:paraId="70CB8438" w14:textId="622AC3FF" w:rsidR="00D77375" w:rsidRPr="004E5C7C" w:rsidRDefault="00D77375" w:rsidP="004E5C7C">
      <w:pPr>
        <w:pStyle w:val="SingleTxtG"/>
        <w:ind w:right="0"/>
        <w:rPr>
          <w:sz w:val="22"/>
          <w:szCs w:val="22"/>
        </w:rPr>
      </w:pPr>
      <w:r w:rsidRPr="004E5C7C">
        <w:rPr>
          <w:sz w:val="22"/>
          <w:szCs w:val="22"/>
        </w:rPr>
        <w:t xml:space="preserve">In accordance with </w:t>
      </w:r>
      <w:r w:rsidR="00550974" w:rsidRPr="004E5C7C">
        <w:rPr>
          <w:sz w:val="22"/>
          <w:szCs w:val="22"/>
        </w:rPr>
        <w:t>Art</w:t>
      </w:r>
      <w:r w:rsidR="00550974">
        <w:rPr>
          <w:sz w:val="22"/>
          <w:szCs w:val="22"/>
        </w:rPr>
        <w:t>.</w:t>
      </w:r>
      <w:r w:rsidRPr="004E5C7C">
        <w:rPr>
          <w:sz w:val="22"/>
          <w:szCs w:val="22"/>
        </w:rPr>
        <w:t xml:space="preserve">13 of Law No.2229-VIII, victims of domestic violence have the right to receive free legal aid for the victims in the manner prescribed by the Law “On Free Legal Aid” No.3460-VI of 2 June 2011. The police, social protection bodies and special support services for victims are obliged to inform the victims of the possibility to exercise the right to such legal aid. The analysis of the reports received by the Commissioner revealed an inadequate provision of the population by the police and social protection bodies with the information about the possibility to obtain legal aid for the victims of domestic violence. Such inadequate provision of information leads to the violation of their rights to legal protection, guaranteed by </w:t>
      </w:r>
      <w:r w:rsidR="00550974" w:rsidRPr="004E5C7C">
        <w:rPr>
          <w:sz w:val="22"/>
          <w:szCs w:val="22"/>
        </w:rPr>
        <w:t>Art</w:t>
      </w:r>
      <w:r w:rsidR="00550974">
        <w:rPr>
          <w:sz w:val="22"/>
          <w:szCs w:val="22"/>
        </w:rPr>
        <w:t>.</w:t>
      </w:r>
      <w:r w:rsidRPr="004E5C7C">
        <w:rPr>
          <w:sz w:val="22"/>
          <w:szCs w:val="22"/>
        </w:rPr>
        <w:t>59 of the Constitution.</w:t>
      </w:r>
    </w:p>
    <w:p w14:paraId="148D84D6" w14:textId="77777777" w:rsidR="007F4B4D" w:rsidRDefault="007F4B4D" w:rsidP="004E5C7C">
      <w:pPr>
        <w:pStyle w:val="SingleTxtG"/>
        <w:ind w:right="0"/>
        <w:rPr>
          <w:b/>
          <w:bCs/>
          <w:i/>
          <w:iCs/>
          <w:sz w:val="22"/>
          <w:szCs w:val="22"/>
        </w:rPr>
      </w:pPr>
    </w:p>
    <w:p w14:paraId="7D01924C" w14:textId="46967183" w:rsidR="00167DF1" w:rsidRPr="004E5C7C" w:rsidRDefault="003A5FF8" w:rsidP="004E5C7C">
      <w:pPr>
        <w:pStyle w:val="SingleTxtG"/>
        <w:ind w:right="0"/>
        <w:rPr>
          <w:b/>
          <w:bCs/>
          <w:i/>
          <w:iCs/>
          <w:sz w:val="22"/>
          <w:szCs w:val="22"/>
        </w:rPr>
      </w:pPr>
      <w:r w:rsidRPr="004E5C7C">
        <w:rPr>
          <w:b/>
          <w:bCs/>
          <w:i/>
          <w:iCs/>
          <w:sz w:val="22"/>
          <w:szCs w:val="22"/>
        </w:rPr>
        <w:t xml:space="preserve">Right to social protection of victims of domestic and gender-based violence </w:t>
      </w:r>
    </w:p>
    <w:p w14:paraId="7BA11666" w14:textId="771EAC0B" w:rsidR="0073464F" w:rsidRPr="0073464F" w:rsidRDefault="0073464F" w:rsidP="00DB3EB2">
      <w:pPr>
        <w:pStyle w:val="SingleTxtG"/>
        <w:ind w:right="0"/>
        <w:rPr>
          <w:sz w:val="22"/>
          <w:szCs w:val="22"/>
        </w:rPr>
      </w:pPr>
      <w:r w:rsidRPr="0073464F">
        <w:rPr>
          <w:sz w:val="22"/>
          <w:szCs w:val="22"/>
        </w:rPr>
        <w:t>According to the results of the Commissioner's monitoring in 2020-2021, the following issues were identified:</w:t>
      </w:r>
    </w:p>
    <w:p w14:paraId="6DE53A71" w14:textId="30F5B72B" w:rsidR="0073464F" w:rsidRPr="0073464F" w:rsidRDefault="00DB3EB2" w:rsidP="00DB3EB2">
      <w:pPr>
        <w:pStyle w:val="SingleTxtG"/>
        <w:numPr>
          <w:ilvl w:val="0"/>
          <w:numId w:val="14"/>
        </w:numPr>
        <w:ind w:right="0"/>
        <w:rPr>
          <w:sz w:val="22"/>
          <w:szCs w:val="22"/>
        </w:rPr>
      </w:pPr>
      <w:r>
        <w:rPr>
          <w:sz w:val="22"/>
          <w:szCs w:val="22"/>
        </w:rPr>
        <w:t>l</w:t>
      </w:r>
      <w:r w:rsidR="0073464F" w:rsidRPr="0073464F">
        <w:rPr>
          <w:sz w:val="22"/>
          <w:szCs w:val="22"/>
        </w:rPr>
        <w:t>ack</w:t>
      </w:r>
      <w:r w:rsidR="0073464F">
        <w:rPr>
          <w:sz w:val="22"/>
          <w:szCs w:val="22"/>
        </w:rPr>
        <w:t xml:space="preserve"> of</w:t>
      </w:r>
      <w:r w:rsidR="0073464F" w:rsidRPr="0073464F">
        <w:rPr>
          <w:sz w:val="22"/>
          <w:szCs w:val="22"/>
        </w:rPr>
        <w:t xml:space="preserve"> specialized support services for victims, in particular, shelters and mobile teams in some administrative units;</w:t>
      </w:r>
    </w:p>
    <w:p w14:paraId="0DFFF6C4" w14:textId="0D06CDC2" w:rsidR="0073464F" w:rsidRPr="0073464F" w:rsidRDefault="00985185" w:rsidP="00DB3EB2">
      <w:pPr>
        <w:pStyle w:val="SingleTxtG"/>
        <w:numPr>
          <w:ilvl w:val="0"/>
          <w:numId w:val="14"/>
        </w:numPr>
        <w:ind w:right="0"/>
        <w:rPr>
          <w:sz w:val="22"/>
          <w:szCs w:val="22"/>
        </w:rPr>
      </w:pPr>
      <w:r>
        <w:rPr>
          <w:sz w:val="22"/>
          <w:szCs w:val="22"/>
        </w:rPr>
        <w:t>i</w:t>
      </w:r>
      <w:r w:rsidR="0073464F" w:rsidRPr="0073464F">
        <w:rPr>
          <w:sz w:val="22"/>
          <w:szCs w:val="22"/>
        </w:rPr>
        <w:t>nsufficient number of places in regional cent</w:t>
      </w:r>
      <w:r w:rsidR="0073464F">
        <w:rPr>
          <w:sz w:val="22"/>
          <w:szCs w:val="22"/>
        </w:rPr>
        <w:t>re</w:t>
      </w:r>
      <w:r w:rsidR="0073464F" w:rsidRPr="0073464F">
        <w:rPr>
          <w:sz w:val="22"/>
          <w:szCs w:val="22"/>
        </w:rPr>
        <w:t xml:space="preserve">s of social and psychological assistance, which are designed only for </w:t>
      </w:r>
      <w:r w:rsidR="0073464F">
        <w:rPr>
          <w:sz w:val="22"/>
          <w:szCs w:val="22"/>
        </w:rPr>
        <w:t>accommodation</w:t>
      </w:r>
      <w:r w:rsidR="0073464F" w:rsidRPr="0073464F">
        <w:rPr>
          <w:sz w:val="22"/>
          <w:szCs w:val="22"/>
        </w:rPr>
        <w:t xml:space="preserve"> of 15-30 </w:t>
      </w:r>
      <w:r w:rsidR="0073464F">
        <w:rPr>
          <w:sz w:val="22"/>
          <w:szCs w:val="22"/>
        </w:rPr>
        <w:t>persons at a time</w:t>
      </w:r>
      <w:r w:rsidR="0073464F" w:rsidRPr="0073464F">
        <w:rPr>
          <w:sz w:val="22"/>
          <w:szCs w:val="22"/>
        </w:rPr>
        <w:t>.</w:t>
      </w:r>
    </w:p>
    <w:p w14:paraId="2FAA7E78" w14:textId="365EE4EC" w:rsidR="0073464F" w:rsidRPr="0073464F" w:rsidRDefault="0073464F" w:rsidP="00DB3EB2">
      <w:pPr>
        <w:pStyle w:val="SingleTxtG"/>
        <w:numPr>
          <w:ilvl w:val="0"/>
          <w:numId w:val="14"/>
        </w:numPr>
        <w:ind w:right="0"/>
        <w:rPr>
          <w:sz w:val="22"/>
          <w:szCs w:val="22"/>
        </w:rPr>
      </w:pPr>
      <w:r w:rsidRPr="0073464F">
        <w:rPr>
          <w:sz w:val="22"/>
          <w:szCs w:val="22"/>
        </w:rPr>
        <w:t>improper qualification in criminal proceedings on domestic violence (consideration not under Art</w:t>
      </w:r>
      <w:r w:rsidR="00550974">
        <w:rPr>
          <w:sz w:val="22"/>
          <w:szCs w:val="22"/>
        </w:rPr>
        <w:t>.</w:t>
      </w:r>
      <w:r w:rsidRPr="0073464F">
        <w:rPr>
          <w:sz w:val="22"/>
          <w:szCs w:val="22"/>
        </w:rPr>
        <w:t>1261 of the Criminal Code (Domestic violence),</w:t>
      </w:r>
    </w:p>
    <w:p w14:paraId="3AC27D16" w14:textId="77777777" w:rsidR="0073464F" w:rsidRPr="0073464F" w:rsidRDefault="0073464F" w:rsidP="00DB3EB2">
      <w:pPr>
        <w:pStyle w:val="SingleTxtG"/>
        <w:numPr>
          <w:ilvl w:val="0"/>
          <w:numId w:val="14"/>
        </w:numPr>
        <w:ind w:right="0"/>
        <w:rPr>
          <w:sz w:val="22"/>
          <w:szCs w:val="22"/>
        </w:rPr>
      </w:pPr>
      <w:r w:rsidRPr="0073464F">
        <w:rPr>
          <w:sz w:val="22"/>
          <w:szCs w:val="22"/>
        </w:rPr>
        <w:t>low level of awareness of citizens about the possibilities of protection from domestic violence;</w:t>
      </w:r>
    </w:p>
    <w:p w14:paraId="5245975F" w14:textId="337A6BA2" w:rsidR="0073464F" w:rsidRPr="0073464F" w:rsidRDefault="0073464F" w:rsidP="00DB3EB2">
      <w:pPr>
        <w:pStyle w:val="SingleTxtG"/>
        <w:numPr>
          <w:ilvl w:val="0"/>
          <w:numId w:val="14"/>
        </w:numPr>
        <w:ind w:right="0"/>
        <w:rPr>
          <w:sz w:val="22"/>
          <w:szCs w:val="22"/>
        </w:rPr>
      </w:pPr>
      <w:r>
        <w:rPr>
          <w:sz w:val="22"/>
          <w:szCs w:val="22"/>
        </w:rPr>
        <w:t>i</w:t>
      </w:r>
      <w:r w:rsidRPr="0073464F">
        <w:rPr>
          <w:sz w:val="22"/>
          <w:szCs w:val="22"/>
        </w:rPr>
        <w:t xml:space="preserve">nsufficient awareness of the </w:t>
      </w:r>
      <w:r>
        <w:rPr>
          <w:sz w:val="22"/>
          <w:szCs w:val="22"/>
        </w:rPr>
        <w:t>implementing stakeholders</w:t>
      </w:r>
      <w:r w:rsidRPr="0073464F">
        <w:rPr>
          <w:sz w:val="22"/>
          <w:szCs w:val="22"/>
        </w:rPr>
        <w:t xml:space="preserve"> in the field of prevention and counteraction to domestic violence </w:t>
      </w:r>
      <w:r>
        <w:rPr>
          <w:sz w:val="22"/>
          <w:szCs w:val="22"/>
        </w:rPr>
        <w:t>on</w:t>
      </w:r>
      <w:r w:rsidRPr="0073464F">
        <w:rPr>
          <w:sz w:val="22"/>
          <w:szCs w:val="22"/>
        </w:rPr>
        <w:t xml:space="preserve"> the rights of victims, in particular</w:t>
      </w:r>
      <w:r w:rsidR="009724A8">
        <w:rPr>
          <w:sz w:val="22"/>
          <w:szCs w:val="22"/>
        </w:rPr>
        <w:t>,</w:t>
      </w:r>
      <w:r w:rsidRPr="0073464F">
        <w:rPr>
          <w:sz w:val="22"/>
          <w:szCs w:val="22"/>
        </w:rPr>
        <w:t xml:space="preserve"> the right to free legal aid;</w:t>
      </w:r>
    </w:p>
    <w:p w14:paraId="1E2B1AA6" w14:textId="77777777" w:rsidR="0073464F" w:rsidRPr="0073464F" w:rsidRDefault="0073464F" w:rsidP="00DB3EB2">
      <w:pPr>
        <w:pStyle w:val="SingleTxtG"/>
        <w:numPr>
          <w:ilvl w:val="0"/>
          <w:numId w:val="13"/>
        </w:numPr>
        <w:ind w:right="0"/>
        <w:rPr>
          <w:sz w:val="22"/>
          <w:szCs w:val="22"/>
        </w:rPr>
      </w:pPr>
      <w:r w:rsidRPr="0073464F">
        <w:rPr>
          <w:sz w:val="22"/>
          <w:szCs w:val="22"/>
        </w:rPr>
        <w:t>improper detection of cases of domestic violence and provision of assistance to victims of such violence;</w:t>
      </w:r>
    </w:p>
    <w:p w14:paraId="76AA24DF" w14:textId="28FEAAC5" w:rsidR="0073464F" w:rsidRPr="0073464F" w:rsidRDefault="0073464F" w:rsidP="00DB3EB2">
      <w:pPr>
        <w:pStyle w:val="SingleTxtG"/>
        <w:numPr>
          <w:ilvl w:val="0"/>
          <w:numId w:val="13"/>
        </w:numPr>
        <w:ind w:right="0"/>
        <w:rPr>
          <w:sz w:val="22"/>
          <w:szCs w:val="22"/>
        </w:rPr>
      </w:pPr>
      <w:r w:rsidRPr="0073464F">
        <w:rPr>
          <w:sz w:val="22"/>
          <w:szCs w:val="22"/>
        </w:rPr>
        <w:t>low level of work to prevent and combat domestic violence.</w:t>
      </w:r>
    </w:p>
    <w:p w14:paraId="1A4B5F6E" w14:textId="561E0726" w:rsidR="0073464F" w:rsidRPr="00311EAA" w:rsidRDefault="0073464F" w:rsidP="002F2388">
      <w:pPr>
        <w:pStyle w:val="SingleTxtG"/>
        <w:ind w:right="0"/>
        <w:rPr>
          <w:sz w:val="22"/>
          <w:szCs w:val="22"/>
          <w:lang w:val="uk-UA"/>
        </w:rPr>
      </w:pPr>
      <w:r w:rsidRPr="0073464F">
        <w:rPr>
          <w:sz w:val="22"/>
          <w:szCs w:val="22"/>
        </w:rPr>
        <w:t xml:space="preserve">To implement the recommendations of the Commissioner, </w:t>
      </w:r>
      <w:r w:rsidR="00FF6BED">
        <w:rPr>
          <w:sz w:val="22"/>
          <w:szCs w:val="22"/>
        </w:rPr>
        <w:t>t</w:t>
      </w:r>
      <w:r w:rsidRPr="0073464F">
        <w:rPr>
          <w:sz w:val="22"/>
          <w:szCs w:val="22"/>
        </w:rPr>
        <w:t xml:space="preserve">he </w:t>
      </w:r>
      <w:r w:rsidR="002B3B88">
        <w:rPr>
          <w:sz w:val="22"/>
          <w:szCs w:val="22"/>
        </w:rPr>
        <w:t>Parliament</w:t>
      </w:r>
      <w:r w:rsidRPr="0073464F">
        <w:rPr>
          <w:sz w:val="22"/>
          <w:szCs w:val="22"/>
        </w:rPr>
        <w:t xml:space="preserve"> adopted the Law “On Amendments to the Code of Ukraine on Administrative Offenses to Strengthen Responsibility for Domestic Violence and Gender-Based Violence”, which strengthens the responsibility for committing domestic </w:t>
      </w:r>
      <w:r w:rsidR="00DB3EB2" w:rsidRPr="000242BA">
        <w:rPr>
          <w:sz w:val="22"/>
          <w:szCs w:val="22"/>
        </w:rPr>
        <w:t>violence.</w:t>
      </w:r>
      <w:r w:rsidR="00311EAA" w:rsidRPr="000242BA">
        <w:t xml:space="preserve"> </w:t>
      </w:r>
      <w:r w:rsidR="00311EAA" w:rsidRPr="000242BA">
        <w:rPr>
          <w:sz w:val="22"/>
          <w:szCs w:val="22"/>
        </w:rPr>
        <w:t>In particular, domestic violence is punishable by a fine, public works or administrative arrest. In addition, the Law stipulates that servicemen and law enforcement officers are responsible for committing domestic violence on general grounds. The law ensures the observance and protection of the rights and freedoms of victims of domestic violence and the prosecution of perpetrators.</w:t>
      </w:r>
    </w:p>
    <w:p w14:paraId="6E8800F8" w14:textId="77777777" w:rsidR="00311EAA" w:rsidRPr="0073464F" w:rsidRDefault="00311EAA" w:rsidP="002F2388">
      <w:pPr>
        <w:pStyle w:val="SingleTxtG"/>
        <w:ind w:right="0"/>
        <w:rPr>
          <w:sz w:val="22"/>
          <w:szCs w:val="22"/>
        </w:rPr>
      </w:pPr>
    </w:p>
    <w:p w14:paraId="4B8083F3" w14:textId="29957577" w:rsidR="00BF62A7" w:rsidRDefault="007F4B4D" w:rsidP="007F4B4D">
      <w:pPr>
        <w:pStyle w:val="SingleTxtG"/>
        <w:ind w:right="0"/>
        <w:rPr>
          <w:sz w:val="22"/>
          <w:szCs w:val="22"/>
        </w:rPr>
      </w:pPr>
      <w:r>
        <w:rPr>
          <w:sz w:val="22"/>
          <w:szCs w:val="22"/>
        </w:rPr>
        <w:t xml:space="preserve">On </w:t>
      </w:r>
      <w:r w:rsidRPr="0073464F">
        <w:rPr>
          <w:sz w:val="22"/>
          <w:szCs w:val="22"/>
        </w:rPr>
        <w:t>24</w:t>
      </w:r>
      <w:r>
        <w:rPr>
          <w:sz w:val="22"/>
          <w:szCs w:val="22"/>
        </w:rPr>
        <w:t xml:space="preserve"> February </w:t>
      </w:r>
      <w:r w:rsidRPr="0073464F">
        <w:rPr>
          <w:sz w:val="22"/>
          <w:szCs w:val="22"/>
        </w:rPr>
        <w:t xml:space="preserve">2021 </w:t>
      </w:r>
      <w:r>
        <w:rPr>
          <w:sz w:val="22"/>
          <w:szCs w:val="22"/>
        </w:rPr>
        <w:t xml:space="preserve">the </w:t>
      </w:r>
      <w:r w:rsidR="00DB3EB2">
        <w:rPr>
          <w:sz w:val="22"/>
          <w:szCs w:val="22"/>
        </w:rPr>
        <w:t xml:space="preserve">CMU </w:t>
      </w:r>
      <w:r>
        <w:rPr>
          <w:sz w:val="22"/>
          <w:szCs w:val="22"/>
        </w:rPr>
        <w:t xml:space="preserve">by its </w:t>
      </w:r>
      <w:r w:rsidR="0073464F" w:rsidRPr="0073464F">
        <w:rPr>
          <w:sz w:val="22"/>
          <w:szCs w:val="22"/>
        </w:rPr>
        <w:t xml:space="preserve">Resolution </w:t>
      </w:r>
      <w:r w:rsidR="00DB3EB2">
        <w:rPr>
          <w:sz w:val="22"/>
          <w:szCs w:val="22"/>
        </w:rPr>
        <w:t>No</w:t>
      </w:r>
      <w:r w:rsidR="00DC11CE">
        <w:rPr>
          <w:sz w:val="22"/>
          <w:szCs w:val="22"/>
        </w:rPr>
        <w:t>.</w:t>
      </w:r>
      <w:r w:rsidR="0073464F" w:rsidRPr="0073464F">
        <w:rPr>
          <w:sz w:val="22"/>
          <w:szCs w:val="22"/>
        </w:rPr>
        <w:t>145 approved the "State social program</w:t>
      </w:r>
      <w:r w:rsidR="00FF6BED">
        <w:rPr>
          <w:sz w:val="22"/>
          <w:szCs w:val="22"/>
        </w:rPr>
        <w:t>me</w:t>
      </w:r>
      <w:r w:rsidR="0073464F" w:rsidRPr="0073464F">
        <w:rPr>
          <w:sz w:val="22"/>
          <w:szCs w:val="22"/>
        </w:rPr>
        <w:t xml:space="preserve"> to prevent and combat domestic and gender-based violence </w:t>
      </w:r>
      <w:r w:rsidR="00FF6BED">
        <w:rPr>
          <w:sz w:val="22"/>
          <w:szCs w:val="22"/>
        </w:rPr>
        <w:t>until</w:t>
      </w:r>
      <w:r w:rsidR="0073464F" w:rsidRPr="0073464F">
        <w:rPr>
          <w:sz w:val="22"/>
          <w:szCs w:val="22"/>
        </w:rPr>
        <w:t xml:space="preserve"> 2025"</w:t>
      </w:r>
      <w:r w:rsidR="00DB3EB2">
        <w:rPr>
          <w:sz w:val="22"/>
          <w:szCs w:val="22"/>
        </w:rPr>
        <w:t>.</w:t>
      </w:r>
      <w:r w:rsidR="0073464F" w:rsidRPr="0073464F">
        <w:rPr>
          <w:sz w:val="22"/>
          <w:szCs w:val="22"/>
        </w:rPr>
        <w:t xml:space="preserve"> </w:t>
      </w:r>
    </w:p>
    <w:p w14:paraId="65C80C8D" w14:textId="77777777" w:rsidR="007F4B4D" w:rsidRPr="004E5C7C" w:rsidRDefault="007F4B4D" w:rsidP="007F4B4D">
      <w:pPr>
        <w:pStyle w:val="SingleTxtG"/>
        <w:ind w:right="0"/>
        <w:rPr>
          <w:sz w:val="22"/>
          <w:szCs w:val="22"/>
        </w:rPr>
      </w:pPr>
    </w:p>
    <w:p w14:paraId="4DDF8BF4" w14:textId="4C3BC28D"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Right to life, prohibition of torture and other cruel, inhuman or degrading treatment or punishment, and liberty and security of person (</w:t>
      </w:r>
      <w:r w:rsidR="00796692">
        <w:rPr>
          <w:sz w:val="22"/>
          <w:szCs w:val="22"/>
          <w:highlight w:val="lightGray"/>
        </w:rPr>
        <w:t>A</w:t>
      </w:r>
      <w:r w:rsidR="00796692" w:rsidRPr="004E5C7C">
        <w:rPr>
          <w:sz w:val="22"/>
          <w:szCs w:val="22"/>
          <w:highlight w:val="lightGray"/>
        </w:rPr>
        <w:t>rts</w:t>
      </w:r>
      <w:r w:rsidRPr="004E5C7C">
        <w:rPr>
          <w:sz w:val="22"/>
          <w:szCs w:val="22"/>
          <w:highlight w:val="lightGray"/>
        </w:rPr>
        <w:t>.2, 6, 7</w:t>
      </w:r>
      <w:r w:rsidR="00EA2236" w:rsidRPr="004E5C7C">
        <w:rPr>
          <w:sz w:val="22"/>
          <w:szCs w:val="22"/>
          <w:highlight w:val="lightGray"/>
        </w:rPr>
        <w:t xml:space="preserve"> and </w:t>
      </w:r>
      <w:r w:rsidRPr="004E5C7C">
        <w:rPr>
          <w:sz w:val="22"/>
          <w:szCs w:val="22"/>
          <w:highlight w:val="lightGray"/>
        </w:rPr>
        <w:t>9)</w:t>
      </w:r>
    </w:p>
    <w:p w14:paraId="4F08CFCF" w14:textId="717EE522" w:rsidR="003455FD" w:rsidRPr="004E5C7C" w:rsidRDefault="003455FD" w:rsidP="004E5C7C">
      <w:pPr>
        <w:pStyle w:val="SingleTxtG"/>
        <w:ind w:right="0"/>
        <w:rPr>
          <w:sz w:val="22"/>
          <w:szCs w:val="22"/>
        </w:rPr>
      </w:pPr>
      <w:r w:rsidRPr="004E5C7C">
        <w:rPr>
          <w:sz w:val="22"/>
          <w:szCs w:val="22"/>
        </w:rPr>
        <w:t>During 2020, despite the challenges facing NPM representatives of all countries regarding visits to places of detention in the context of the COVID-19 pandemic, the activities of the Commissioner for the implementation of the NPM in Ukraine not only did not stop</w:t>
      </w:r>
      <w:r w:rsidR="00513887">
        <w:rPr>
          <w:sz w:val="22"/>
          <w:szCs w:val="22"/>
        </w:rPr>
        <w:t xml:space="preserve"> </w:t>
      </w:r>
      <w:r w:rsidRPr="004E5C7C">
        <w:rPr>
          <w:sz w:val="22"/>
          <w:szCs w:val="22"/>
        </w:rPr>
        <w:t xml:space="preserve">but intensified. Ukraine is one of the few European countries that have continued regular visits to places of detention to monitor the observance of human and civil rights and freedoms during the pandemic. </w:t>
      </w:r>
    </w:p>
    <w:p w14:paraId="4803499E" w14:textId="7528C3EC" w:rsidR="003455FD" w:rsidRPr="004E5C7C" w:rsidRDefault="003455FD" w:rsidP="004E5C7C">
      <w:pPr>
        <w:pStyle w:val="SingleTxtG"/>
        <w:ind w:right="0"/>
        <w:rPr>
          <w:sz w:val="22"/>
          <w:szCs w:val="22"/>
        </w:rPr>
      </w:pPr>
      <w:r w:rsidRPr="004E5C7C">
        <w:rPr>
          <w:sz w:val="22"/>
          <w:szCs w:val="22"/>
        </w:rPr>
        <w:t>In 2020 the number of reports received by the Commissioner on violations of the rights of persons in places of detention has almost doubled – 3154 reports against 1775 in 2019, of which 2388 (75%) on human rights in the institutions of the State Penitentiary Service. The number of reports of torture from citizens or their relatives in places of detention has increased from 43 in 2019 to 165 in 2020.</w:t>
      </w:r>
    </w:p>
    <w:p w14:paraId="69A20CAF" w14:textId="2C294F53" w:rsidR="00C1175E" w:rsidRPr="004E5C7C" w:rsidRDefault="00C1175E" w:rsidP="004E5C7C">
      <w:pPr>
        <w:pStyle w:val="SingleTxtG"/>
        <w:ind w:right="0"/>
        <w:rPr>
          <w:sz w:val="22"/>
          <w:szCs w:val="22"/>
        </w:rPr>
      </w:pPr>
      <w:r w:rsidRPr="004E5C7C">
        <w:rPr>
          <w:sz w:val="22"/>
          <w:szCs w:val="22"/>
        </w:rPr>
        <w:t xml:space="preserve">The inconsistency of the definition of the term «torture» in </w:t>
      </w:r>
      <w:r w:rsidR="00550974" w:rsidRPr="004E5C7C">
        <w:rPr>
          <w:sz w:val="22"/>
          <w:szCs w:val="22"/>
        </w:rPr>
        <w:t>Art</w:t>
      </w:r>
      <w:r w:rsidR="00550974">
        <w:rPr>
          <w:sz w:val="22"/>
          <w:szCs w:val="22"/>
        </w:rPr>
        <w:t>.</w:t>
      </w:r>
      <w:r w:rsidRPr="004E5C7C">
        <w:rPr>
          <w:sz w:val="22"/>
          <w:szCs w:val="22"/>
        </w:rPr>
        <w:t xml:space="preserve">127 of the Criminal Code with the requirements of </w:t>
      </w:r>
      <w:r w:rsidR="00550974" w:rsidRPr="004E5C7C">
        <w:rPr>
          <w:sz w:val="22"/>
          <w:szCs w:val="22"/>
        </w:rPr>
        <w:t>Art</w:t>
      </w:r>
      <w:r w:rsidR="00550974">
        <w:rPr>
          <w:sz w:val="22"/>
          <w:szCs w:val="22"/>
        </w:rPr>
        <w:t>.</w:t>
      </w:r>
      <w:r w:rsidRPr="004E5C7C">
        <w:rPr>
          <w:sz w:val="22"/>
          <w:szCs w:val="22"/>
        </w:rPr>
        <w:t xml:space="preserve">1 of the </w:t>
      </w:r>
      <w:r w:rsidR="00985185">
        <w:rPr>
          <w:sz w:val="22"/>
          <w:szCs w:val="22"/>
        </w:rPr>
        <w:t>UNCAT</w:t>
      </w:r>
      <w:r w:rsidRPr="004E5C7C">
        <w:rPr>
          <w:sz w:val="22"/>
          <w:szCs w:val="22"/>
        </w:rPr>
        <w:t xml:space="preserve"> leads to impunity for officials, as repeatedly emphasized by the Commissioner. Lack of internal control over the activities of places of detention by central executive authorities and improper implementation by regional state administrations and regional councils leads to neglect by </w:t>
      </w:r>
      <w:r w:rsidR="00513887">
        <w:rPr>
          <w:sz w:val="22"/>
          <w:szCs w:val="22"/>
        </w:rPr>
        <w:t xml:space="preserve">a </w:t>
      </w:r>
      <w:r w:rsidRPr="004E5C7C">
        <w:rPr>
          <w:sz w:val="22"/>
          <w:szCs w:val="22"/>
        </w:rPr>
        <w:t xml:space="preserve">staff of places of detention of international and domestic standards of proper treatment of detainees. </w:t>
      </w:r>
    </w:p>
    <w:p w14:paraId="545C8096" w14:textId="08CD7B55" w:rsidR="003455FD" w:rsidRPr="004E5C7C" w:rsidRDefault="00C1175E" w:rsidP="004E5C7C">
      <w:pPr>
        <w:pStyle w:val="SingleTxtG"/>
        <w:ind w:right="0"/>
        <w:rPr>
          <w:sz w:val="22"/>
          <w:szCs w:val="22"/>
        </w:rPr>
      </w:pPr>
      <w:r w:rsidRPr="004E5C7C">
        <w:rPr>
          <w:sz w:val="22"/>
          <w:szCs w:val="22"/>
        </w:rPr>
        <w:t>During the monitoring visits the NPM revealed facts of bodily injuries of all kinds, excessive use of restraints and special means to restrain persons in places of detention, prolonged isolation in unsuitable premises, failure to provide painkillers to patients with severe diseases, including cancer. However, in many cases, injuries are not recorded and victims are not provided with medical care, as required by the UN Principles on the Effective Investigation and Documentation of Torture and Other Cruel, Inhuman or Degrading Treatment or Punishment and current regulations.</w:t>
      </w:r>
    </w:p>
    <w:p w14:paraId="2D8617BA" w14:textId="397B1731" w:rsidR="00732063" w:rsidRPr="004E5C7C" w:rsidRDefault="00732063" w:rsidP="004E5C7C">
      <w:pPr>
        <w:pStyle w:val="SingleTxtG"/>
        <w:ind w:right="0"/>
        <w:rPr>
          <w:sz w:val="22"/>
          <w:szCs w:val="22"/>
        </w:rPr>
      </w:pPr>
    </w:p>
    <w:p w14:paraId="12BB1494" w14:textId="22C94FE5" w:rsidR="00B22F73" w:rsidRPr="004E5C7C" w:rsidRDefault="00B22F73" w:rsidP="004E5C7C">
      <w:pPr>
        <w:pStyle w:val="H23G"/>
        <w:ind w:left="0" w:right="0" w:firstLine="0"/>
        <w:rPr>
          <w:sz w:val="22"/>
          <w:szCs w:val="22"/>
        </w:rPr>
      </w:pPr>
      <w:r w:rsidRPr="004E5C7C">
        <w:rPr>
          <w:sz w:val="22"/>
          <w:szCs w:val="22"/>
        </w:rPr>
        <w:tab/>
      </w:r>
      <w:r w:rsidRPr="004E5C7C">
        <w:rPr>
          <w:sz w:val="22"/>
          <w:szCs w:val="22"/>
        </w:rPr>
        <w:tab/>
      </w:r>
      <w:r w:rsidRPr="004E5C7C">
        <w:rPr>
          <w:sz w:val="22"/>
          <w:szCs w:val="22"/>
          <w:highlight w:val="lightGray"/>
        </w:rPr>
        <w:t>Freedom of movement (</w:t>
      </w:r>
      <w:r w:rsidR="00796692">
        <w:rPr>
          <w:sz w:val="22"/>
          <w:szCs w:val="22"/>
          <w:highlight w:val="lightGray"/>
        </w:rPr>
        <w:t>A</w:t>
      </w:r>
      <w:r w:rsidR="00796692" w:rsidRPr="004E5C7C">
        <w:rPr>
          <w:sz w:val="22"/>
          <w:szCs w:val="22"/>
          <w:highlight w:val="lightGray"/>
        </w:rPr>
        <w:t>rt</w:t>
      </w:r>
      <w:r w:rsidRPr="004E5C7C">
        <w:rPr>
          <w:sz w:val="22"/>
          <w:szCs w:val="22"/>
          <w:highlight w:val="lightGray"/>
        </w:rPr>
        <w:t>.12)</w:t>
      </w:r>
    </w:p>
    <w:p w14:paraId="3649F5E6" w14:textId="5476ECDE" w:rsidR="006E5617" w:rsidRPr="004E5C7C" w:rsidRDefault="006E5617" w:rsidP="004E5C7C">
      <w:pPr>
        <w:pStyle w:val="SingleTxtG"/>
        <w:ind w:right="0"/>
        <w:rPr>
          <w:sz w:val="22"/>
          <w:szCs w:val="22"/>
        </w:rPr>
      </w:pPr>
      <w:r w:rsidRPr="004E5C7C">
        <w:rPr>
          <w:sz w:val="22"/>
          <w:szCs w:val="22"/>
        </w:rPr>
        <w:t xml:space="preserve">In 2020, 3,518,000 people crossed 8 </w:t>
      </w:r>
      <w:r w:rsidR="005060B4" w:rsidRPr="004E5C7C">
        <w:rPr>
          <w:sz w:val="22"/>
          <w:szCs w:val="22"/>
        </w:rPr>
        <w:t>entry-exit checkpoints (EECP)</w:t>
      </w:r>
      <w:r w:rsidRPr="004E5C7C">
        <w:rPr>
          <w:sz w:val="22"/>
          <w:szCs w:val="22"/>
        </w:rPr>
        <w:t>, of which 2,952,000 crossed the contact line, and 566,000 – travel</w:t>
      </w:r>
      <w:r w:rsidR="00513887">
        <w:rPr>
          <w:sz w:val="22"/>
          <w:szCs w:val="22"/>
        </w:rPr>
        <w:t>l</w:t>
      </w:r>
      <w:r w:rsidRPr="004E5C7C">
        <w:rPr>
          <w:sz w:val="22"/>
          <w:szCs w:val="22"/>
        </w:rPr>
        <w:t xml:space="preserve">ing to/from the temporarily occupied territory of the </w:t>
      </w:r>
      <w:r w:rsidR="006C4F50">
        <w:rPr>
          <w:sz w:val="22"/>
          <w:szCs w:val="22"/>
        </w:rPr>
        <w:t>ARC</w:t>
      </w:r>
      <w:r w:rsidRPr="004E5C7C">
        <w:rPr>
          <w:sz w:val="22"/>
          <w:szCs w:val="22"/>
        </w:rPr>
        <w:t xml:space="preserve"> and the city of Sevastopol. </w:t>
      </w:r>
    </w:p>
    <w:p w14:paraId="21E18C0B" w14:textId="2260F53D" w:rsidR="005060B4" w:rsidRPr="004E5C7C" w:rsidRDefault="006E5617" w:rsidP="004E5C7C">
      <w:pPr>
        <w:pStyle w:val="SingleTxtG"/>
        <w:ind w:right="0"/>
        <w:rPr>
          <w:sz w:val="22"/>
          <w:szCs w:val="22"/>
        </w:rPr>
      </w:pPr>
      <w:r w:rsidRPr="004E5C7C">
        <w:rPr>
          <w:sz w:val="22"/>
          <w:szCs w:val="22"/>
        </w:rPr>
        <w:t xml:space="preserve">The almost five-fold decrease in the number of times when the EECP were crossed, compared to </w:t>
      </w:r>
      <w:r w:rsidR="00FF6BED">
        <w:rPr>
          <w:sz w:val="22"/>
          <w:szCs w:val="22"/>
        </w:rPr>
        <w:t>2019</w:t>
      </w:r>
      <w:r w:rsidRPr="004E5C7C">
        <w:rPr>
          <w:sz w:val="22"/>
          <w:szCs w:val="22"/>
        </w:rPr>
        <w:t>, was caused by the COVID-19 pandemic</w:t>
      </w:r>
      <w:r w:rsidR="005060B4" w:rsidRPr="004E5C7C">
        <w:rPr>
          <w:sz w:val="22"/>
          <w:szCs w:val="22"/>
        </w:rPr>
        <w:t>.</w:t>
      </w:r>
      <w:r w:rsidRPr="004E5C7C">
        <w:rPr>
          <w:sz w:val="22"/>
          <w:szCs w:val="22"/>
        </w:rPr>
        <w:t xml:space="preserve"> According to the decision of the UFO Commander, on </w:t>
      </w:r>
      <w:r w:rsidR="004E5C7C">
        <w:rPr>
          <w:sz w:val="22"/>
          <w:szCs w:val="22"/>
        </w:rPr>
        <w:t xml:space="preserve">22 </w:t>
      </w:r>
      <w:r w:rsidRPr="004E5C7C">
        <w:rPr>
          <w:sz w:val="22"/>
          <w:szCs w:val="22"/>
        </w:rPr>
        <w:t>Marc</w:t>
      </w:r>
      <w:r w:rsidR="004E5C7C">
        <w:rPr>
          <w:sz w:val="22"/>
          <w:szCs w:val="22"/>
        </w:rPr>
        <w:t>h</w:t>
      </w:r>
      <w:r w:rsidR="00FF6BED">
        <w:rPr>
          <w:sz w:val="22"/>
          <w:szCs w:val="22"/>
        </w:rPr>
        <w:t xml:space="preserve"> 2020</w:t>
      </w:r>
      <w:r w:rsidRPr="004E5C7C">
        <w:rPr>
          <w:sz w:val="22"/>
          <w:szCs w:val="22"/>
        </w:rPr>
        <w:t xml:space="preserve">, all checkpoints at the contact line were closed. Representatives of the occupation administration of the Russian Federation on the side of the temporarily occupied territories in the Donetsk Oblast decided to close the EECP on </w:t>
      </w:r>
      <w:r w:rsidR="004E5C7C">
        <w:rPr>
          <w:sz w:val="22"/>
          <w:szCs w:val="22"/>
        </w:rPr>
        <w:t xml:space="preserve">21 </w:t>
      </w:r>
      <w:r w:rsidRPr="004E5C7C">
        <w:rPr>
          <w:sz w:val="22"/>
          <w:szCs w:val="22"/>
        </w:rPr>
        <w:t>March</w:t>
      </w:r>
      <w:r w:rsidR="00FF6BED">
        <w:rPr>
          <w:sz w:val="22"/>
          <w:szCs w:val="22"/>
        </w:rPr>
        <w:t xml:space="preserve"> 2020</w:t>
      </w:r>
      <w:r w:rsidRPr="004E5C7C">
        <w:rPr>
          <w:sz w:val="22"/>
          <w:szCs w:val="22"/>
        </w:rPr>
        <w:t xml:space="preserve">, and in Luhansk </w:t>
      </w:r>
      <w:r w:rsidR="00985185">
        <w:rPr>
          <w:sz w:val="22"/>
          <w:szCs w:val="22"/>
        </w:rPr>
        <w:t>o</w:t>
      </w:r>
      <w:r w:rsidR="00985185" w:rsidRPr="004E5C7C">
        <w:rPr>
          <w:sz w:val="22"/>
          <w:szCs w:val="22"/>
        </w:rPr>
        <w:t>blast</w:t>
      </w:r>
      <w:r w:rsidRPr="004E5C7C">
        <w:rPr>
          <w:sz w:val="22"/>
          <w:szCs w:val="22"/>
        </w:rPr>
        <w:t xml:space="preserve">, on </w:t>
      </w:r>
      <w:r w:rsidR="004E5C7C">
        <w:rPr>
          <w:sz w:val="22"/>
          <w:szCs w:val="22"/>
        </w:rPr>
        <w:t xml:space="preserve">23 </w:t>
      </w:r>
      <w:r w:rsidRPr="004E5C7C">
        <w:rPr>
          <w:sz w:val="22"/>
          <w:szCs w:val="22"/>
        </w:rPr>
        <w:t>March</w:t>
      </w:r>
      <w:r w:rsidR="00FF6BED">
        <w:rPr>
          <w:sz w:val="22"/>
          <w:szCs w:val="22"/>
        </w:rPr>
        <w:t xml:space="preserve"> 2020</w:t>
      </w:r>
      <w:r w:rsidRPr="004E5C7C">
        <w:rPr>
          <w:sz w:val="22"/>
          <w:szCs w:val="22"/>
        </w:rPr>
        <w:t xml:space="preserve">. Information about the closure of the EECP was announced just several hours before the closure. For that reason, many people were unable to cross the contact line in time. </w:t>
      </w:r>
    </w:p>
    <w:p w14:paraId="302B9C1B" w14:textId="64C6352C" w:rsidR="006E5617" w:rsidRPr="004E5C7C" w:rsidRDefault="006E5617" w:rsidP="004E5C7C">
      <w:pPr>
        <w:pStyle w:val="SingleTxtG"/>
        <w:ind w:right="0"/>
        <w:rPr>
          <w:sz w:val="22"/>
          <w:szCs w:val="22"/>
        </w:rPr>
      </w:pPr>
      <w:r w:rsidRPr="004E5C7C">
        <w:rPr>
          <w:sz w:val="22"/>
          <w:szCs w:val="22"/>
        </w:rPr>
        <w:t>For those reasons, the Commissioner received about 1,700 reports from citizens who were separated from their families or could not go for treatment in the territory controlled by Ukraine.</w:t>
      </w:r>
    </w:p>
    <w:p w14:paraId="22F2B526" w14:textId="4D0A4BF5" w:rsidR="005060B4" w:rsidRPr="004E5C7C" w:rsidRDefault="005060B4" w:rsidP="004E5C7C">
      <w:pPr>
        <w:pStyle w:val="SingleTxtG"/>
        <w:ind w:right="0"/>
        <w:rPr>
          <w:sz w:val="22"/>
          <w:szCs w:val="22"/>
        </w:rPr>
      </w:pPr>
      <w:r w:rsidRPr="004E5C7C">
        <w:rPr>
          <w:sz w:val="22"/>
          <w:szCs w:val="22"/>
        </w:rPr>
        <w:t>On 28 December 2020</w:t>
      </w:r>
      <w:r w:rsidR="00513887">
        <w:rPr>
          <w:sz w:val="22"/>
          <w:szCs w:val="22"/>
        </w:rPr>
        <w:t>,</w:t>
      </w:r>
      <w:r w:rsidRPr="004E5C7C">
        <w:rPr>
          <w:sz w:val="22"/>
          <w:szCs w:val="22"/>
        </w:rPr>
        <w:t xml:space="preserve"> the </w:t>
      </w:r>
      <w:r w:rsidR="00DB3EB2">
        <w:rPr>
          <w:sz w:val="22"/>
          <w:szCs w:val="22"/>
        </w:rPr>
        <w:t>CMU</w:t>
      </w:r>
      <w:r w:rsidRPr="004E5C7C">
        <w:rPr>
          <w:sz w:val="22"/>
          <w:szCs w:val="22"/>
        </w:rPr>
        <w:t xml:space="preserve"> adopted </w:t>
      </w:r>
      <w:r w:rsidR="00DB3EB2">
        <w:rPr>
          <w:sz w:val="22"/>
          <w:szCs w:val="22"/>
        </w:rPr>
        <w:t>the</w:t>
      </w:r>
      <w:r w:rsidR="00DB3EB2" w:rsidRPr="004E5C7C">
        <w:rPr>
          <w:sz w:val="22"/>
          <w:szCs w:val="22"/>
        </w:rPr>
        <w:t xml:space="preserve"> </w:t>
      </w:r>
      <w:r w:rsidRPr="004E5C7C">
        <w:rPr>
          <w:sz w:val="22"/>
          <w:szCs w:val="22"/>
        </w:rPr>
        <w:t xml:space="preserve">Resolution “On approval of the Provisions for the arrangement of checkpoints of entry to the temporarily occupied territories in Donetsk and Luhansk Oblasts, the temporarily occupied territory of the </w:t>
      </w:r>
      <w:r w:rsidR="006C4F50">
        <w:rPr>
          <w:sz w:val="22"/>
          <w:szCs w:val="22"/>
        </w:rPr>
        <w:t xml:space="preserve">ARC </w:t>
      </w:r>
      <w:r w:rsidRPr="004E5C7C">
        <w:rPr>
          <w:sz w:val="22"/>
          <w:szCs w:val="22"/>
        </w:rPr>
        <w:t xml:space="preserve">and the city of Sevastopol, and departure from those” </w:t>
      </w:r>
      <w:r w:rsidR="004E5C7C">
        <w:rPr>
          <w:sz w:val="22"/>
          <w:szCs w:val="22"/>
        </w:rPr>
        <w:t>No</w:t>
      </w:r>
      <w:r w:rsidR="00DC11CE">
        <w:rPr>
          <w:sz w:val="22"/>
          <w:szCs w:val="22"/>
        </w:rPr>
        <w:t>.</w:t>
      </w:r>
      <w:r w:rsidRPr="004E5C7C">
        <w:rPr>
          <w:sz w:val="22"/>
          <w:szCs w:val="22"/>
        </w:rPr>
        <w:t xml:space="preserve">1368, aimed at improving the conditions of stay at the EECP and their crossing, which, in turn, ensures observance of the right to </w:t>
      </w:r>
      <w:r w:rsidR="00513887">
        <w:rPr>
          <w:sz w:val="22"/>
          <w:szCs w:val="22"/>
        </w:rPr>
        <w:t xml:space="preserve">a </w:t>
      </w:r>
      <w:r w:rsidRPr="004E5C7C">
        <w:rPr>
          <w:sz w:val="22"/>
          <w:szCs w:val="22"/>
        </w:rPr>
        <w:t>movement for citizens, residing in the temporarily occupied territories.</w:t>
      </w:r>
    </w:p>
    <w:p w14:paraId="27FFC334" w14:textId="4C3E2DBC" w:rsidR="003D550E" w:rsidRDefault="00FF6BED" w:rsidP="004E5C7C">
      <w:pPr>
        <w:pStyle w:val="SingleTxtG"/>
        <w:ind w:right="0"/>
        <w:rPr>
          <w:iCs/>
          <w:sz w:val="22"/>
          <w:szCs w:val="22"/>
        </w:rPr>
      </w:pPr>
      <w:r w:rsidRPr="00FF6BED">
        <w:rPr>
          <w:iCs/>
          <w:sz w:val="22"/>
          <w:szCs w:val="22"/>
        </w:rPr>
        <w:t xml:space="preserve">In 2021, out of 7 </w:t>
      </w:r>
      <w:r>
        <w:rPr>
          <w:iCs/>
          <w:sz w:val="22"/>
          <w:szCs w:val="22"/>
        </w:rPr>
        <w:t>EECP</w:t>
      </w:r>
      <w:r w:rsidRPr="00FF6BED">
        <w:rPr>
          <w:iCs/>
          <w:sz w:val="22"/>
          <w:szCs w:val="22"/>
        </w:rPr>
        <w:t xml:space="preserve">, daily admission is carried out only in Stanytsia Luhanska. Traffic through the Novotroitskoye checkpoint in Donetsk </w:t>
      </w:r>
      <w:r>
        <w:rPr>
          <w:iCs/>
          <w:sz w:val="22"/>
          <w:szCs w:val="22"/>
        </w:rPr>
        <w:t>oblast</w:t>
      </w:r>
      <w:r w:rsidRPr="00FF6BED">
        <w:rPr>
          <w:iCs/>
          <w:sz w:val="22"/>
          <w:szCs w:val="22"/>
        </w:rPr>
        <w:t xml:space="preserve"> </w:t>
      </w:r>
      <w:r>
        <w:rPr>
          <w:iCs/>
          <w:sz w:val="22"/>
          <w:szCs w:val="22"/>
        </w:rPr>
        <w:t xml:space="preserve">is carried out </w:t>
      </w:r>
      <w:r w:rsidRPr="00FF6BED">
        <w:rPr>
          <w:iCs/>
          <w:sz w:val="22"/>
          <w:szCs w:val="22"/>
        </w:rPr>
        <w:t xml:space="preserve">twice a week, the rest of the humanitarian road corridors in Luhansk and Donetsk oblasts are blocked </w:t>
      </w:r>
      <w:r>
        <w:rPr>
          <w:iCs/>
          <w:sz w:val="22"/>
          <w:szCs w:val="22"/>
        </w:rPr>
        <w:t>on the side of</w:t>
      </w:r>
      <w:r w:rsidRPr="00FF6BED">
        <w:rPr>
          <w:iCs/>
          <w:sz w:val="22"/>
          <w:szCs w:val="22"/>
        </w:rPr>
        <w:t xml:space="preserve"> the temporarily occupied territory of Ukraine. The blocking of the </w:t>
      </w:r>
      <w:r w:rsidR="00720942">
        <w:rPr>
          <w:iCs/>
          <w:sz w:val="22"/>
          <w:szCs w:val="22"/>
        </w:rPr>
        <w:t>EECP</w:t>
      </w:r>
      <w:r w:rsidRPr="00FF6BED">
        <w:rPr>
          <w:iCs/>
          <w:sz w:val="22"/>
          <w:szCs w:val="22"/>
        </w:rPr>
        <w:t xml:space="preserve"> by the occupation administrations </w:t>
      </w:r>
      <w:r w:rsidR="00720942">
        <w:rPr>
          <w:iCs/>
          <w:sz w:val="22"/>
          <w:szCs w:val="22"/>
        </w:rPr>
        <w:t>since</w:t>
      </w:r>
      <w:r w:rsidRPr="00FF6BED">
        <w:rPr>
          <w:iCs/>
          <w:sz w:val="22"/>
          <w:szCs w:val="22"/>
        </w:rPr>
        <w:t xml:space="preserve"> March 2020 under the pretext of combating the COVID-19 pandemic violate</w:t>
      </w:r>
      <w:r w:rsidR="00720942">
        <w:rPr>
          <w:iCs/>
          <w:sz w:val="22"/>
          <w:szCs w:val="22"/>
        </w:rPr>
        <w:t>s</w:t>
      </w:r>
      <w:r w:rsidRPr="00FF6BED">
        <w:rPr>
          <w:iCs/>
          <w:sz w:val="22"/>
          <w:szCs w:val="22"/>
        </w:rPr>
        <w:t xml:space="preserve"> not only the rights of citizens to freedom of movement, but also the right to access basic services. Prior to the blockade of the </w:t>
      </w:r>
      <w:r w:rsidR="00720942">
        <w:rPr>
          <w:iCs/>
          <w:sz w:val="22"/>
          <w:szCs w:val="22"/>
        </w:rPr>
        <w:t>EECP</w:t>
      </w:r>
      <w:r w:rsidRPr="00FF6BED">
        <w:rPr>
          <w:iCs/>
          <w:sz w:val="22"/>
          <w:szCs w:val="22"/>
        </w:rPr>
        <w:t>, almost 90% of people crossed the</w:t>
      </w:r>
      <w:r w:rsidR="00720942">
        <w:rPr>
          <w:iCs/>
          <w:sz w:val="22"/>
          <w:szCs w:val="22"/>
        </w:rPr>
        <w:t xml:space="preserve"> demarcation</w:t>
      </w:r>
      <w:r w:rsidRPr="00FF6BED">
        <w:rPr>
          <w:iCs/>
          <w:sz w:val="22"/>
          <w:szCs w:val="22"/>
        </w:rPr>
        <w:t xml:space="preserve"> line in eastern Ukraine to receive medical, social, educational or administrative services.</w:t>
      </w:r>
    </w:p>
    <w:p w14:paraId="2BF69CA4" w14:textId="706A22EC" w:rsidR="00FF6BED" w:rsidRDefault="00FF6BED" w:rsidP="004E5C7C">
      <w:pPr>
        <w:pStyle w:val="SingleTxtG"/>
        <w:ind w:right="0"/>
        <w:rPr>
          <w:iCs/>
          <w:sz w:val="22"/>
          <w:szCs w:val="22"/>
        </w:rPr>
      </w:pPr>
    </w:p>
    <w:p w14:paraId="2B7AD208" w14:textId="2983A980" w:rsidR="002F2388" w:rsidRPr="002F2388" w:rsidRDefault="002F2388" w:rsidP="002F2388">
      <w:pPr>
        <w:pStyle w:val="H23G"/>
        <w:ind w:right="0"/>
        <w:rPr>
          <w:sz w:val="22"/>
          <w:szCs w:val="22"/>
          <w:highlight w:val="lightGray"/>
        </w:rPr>
      </w:pPr>
      <w:r w:rsidRPr="009318E1">
        <w:rPr>
          <w:sz w:val="22"/>
          <w:szCs w:val="22"/>
        </w:rPr>
        <w:tab/>
      </w:r>
      <w:r w:rsidRPr="009318E1">
        <w:rPr>
          <w:sz w:val="22"/>
          <w:szCs w:val="22"/>
        </w:rPr>
        <w:tab/>
      </w:r>
      <w:r w:rsidRPr="002F2388">
        <w:rPr>
          <w:sz w:val="22"/>
          <w:szCs w:val="22"/>
          <w:highlight w:val="lightGray"/>
        </w:rPr>
        <w:t xml:space="preserve">The right of </w:t>
      </w:r>
      <w:r w:rsidR="00692C99">
        <w:rPr>
          <w:sz w:val="22"/>
          <w:szCs w:val="22"/>
          <w:highlight w:val="lightGray"/>
        </w:rPr>
        <w:t>aliens</w:t>
      </w:r>
      <w:r w:rsidRPr="002F2388">
        <w:rPr>
          <w:sz w:val="22"/>
          <w:szCs w:val="22"/>
          <w:highlight w:val="lightGray"/>
        </w:rPr>
        <w:t xml:space="preserve"> to protection against </w:t>
      </w:r>
      <w:r w:rsidR="00692C99">
        <w:rPr>
          <w:sz w:val="22"/>
          <w:szCs w:val="22"/>
          <w:highlight w:val="lightGray"/>
        </w:rPr>
        <w:t>expulsion</w:t>
      </w:r>
      <w:r w:rsidRPr="002F2388">
        <w:rPr>
          <w:sz w:val="22"/>
          <w:szCs w:val="22"/>
          <w:highlight w:val="lightGray"/>
        </w:rPr>
        <w:t xml:space="preserve"> (</w:t>
      </w:r>
      <w:r w:rsidR="00D55D8B">
        <w:rPr>
          <w:sz w:val="22"/>
          <w:szCs w:val="22"/>
          <w:highlight w:val="lightGray"/>
        </w:rPr>
        <w:t>A</w:t>
      </w:r>
      <w:r w:rsidR="00550974">
        <w:rPr>
          <w:sz w:val="22"/>
          <w:szCs w:val="22"/>
          <w:highlight w:val="lightGray"/>
        </w:rPr>
        <w:t>rt.</w:t>
      </w:r>
      <w:r w:rsidRPr="002F2388">
        <w:rPr>
          <w:sz w:val="22"/>
          <w:szCs w:val="22"/>
          <w:highlight w:val="lightGray"/>
        </w:rPr>
        <w:t xml:space="preserve">13) </w:t>
      </w:r>
    </w:p>
    <w:p w14:paraId="153169AC" w14:textId="572F201D" w:rsidR="002F2388" w:rsidRDefault="002F2388" w:rsidP="004E5C7C">
      <w:pPr>
        <w:pStyle w:val="SingleTxtG"/>
        <w:ind w:right="0"/>
        <w:rPr>
          <w:iCs/>
          <w:sz w:val="22"/>
          <w:szCs w:val="22"/>
          <w:lang w:val="en"/>
        </w:rPr>
      </w:pPr>
      <w:r w:rsidRPr="002F2388">
        <w:rPr>
          <w:iCs/>
          <w:sz w:val="22"/>
          <w:szCs w:val="22"/>
          <w:lang w:val="en"/>
        </w:rPr>
        <w:t xml:space="preserve">In Ukraine, there is a rather low percentage of granting </w:t>
      </w:r>
      <w:r w:rsidR="00D55D8B">
        <w:rPr>
          <w:iCs/>
          <w:sz w:val="22"/>
          <w:szCs w:val="22"/>
          <w:lang w:val="en"/>
        </w:rPr>
        <w:t xml:space="preserve">a </w:t>
      </w:r>
      <w:r w:rsidRPr="002F2388">
        <w:rPr>
          <w:iCs/>
          <w:sz w:val="22"/>
          <w:szCs w:val="22"/>
          <w:lang w:val="en"/>
        </w:rPr>
        <w:t xml:space="preserve">status </w:t>
      </w:r>
      <w:r>
        <w:rPr>
          <w:iCs/>
          <w:sz w:val="22"/>
          <w:szCs w:val="22"/>
          <w:lang w:val="en"/>
        </w:rPr>
        <w:t xml:space="preserve">of </w:t>
      </w:r>
      <w:r w:rsidRPr="002F2388">
        <w:rPr>
          <w:iCs/>
          <w:sz w:val="22"/>
          <w:szCs w:val="22"/>
          <w:lang w:val="en"/>
        </w:rPr>
        <w:t xml:space="preserve">refugee and person in need of additional protection. </w:t>
      </w:r>
    </w:p>
    <w:p w14:paraId="227A197A" w14:textId="5D75392B" w:rsidR="004F044F" w:rsidRDefault="002F2388" w:rsidP="004E5C7C">
      <w:pPr>
        <w:pStyle w:val="SingleTxtG"/>
        <w:ind w:right="0"/>
        <w:rPr>
          <w:iCs/>
          <w:sz w:val="22"/>
          <w:szCs w:val="22"/>
          <w:lang w:val="en"/>
        </w:rPr>
      </w:pPr>
      <w:r w:rsidRPr="002F2388">
        <w:rPr>
          <w:iCs/>
          <w:sz w:val="22"/>
          <w:szCs w:val="22"/>
          <w:lang w:val="en"/>
        </w:rPr>
        <w:t xml:space="preserve">Since the vast majority of foreigners and stateless persons detained in the temporary residence of the State Migration Service do not have </w:t>
      </w:r>
      <w:r w:rsidR="00692C99">
        <w:rPr>
          <w:iCs/>
          <w:sz w:val="22"/>
          <w:szCs w:val="22"/>
          <w:lang w:val="en"/>
        </w:rPr>
        <w:t>identification</w:t>
      </w:r>
      <w:r w:rsidRPr="002F2388">
        <w:rPr>
          <w:iCs/>
          <w:sz w:val="22"/>
          <w:szCs w:val="22"/>
          <w:lang w:val="en"/>
        </w:rPr>
        <w:t xml:space="preserve"> documents, and the migration service authorities do not document them with temporary certificates after their release from the institution, such persons </w:t>
      </w:r>
      <w:r w:rsidR="004F044F">
        <w:rPr>
          <w:iCs/>
          <w:sz w:val="22"/>
          <w:szCs w:val="22"/>
          <w:lang w:val="en"/>
        </w:rPr>
        <w:t>find themselves</w:t>
      </w:r>
      <w:r w:rsidRPr="002F2388">
        <w:rPr>
          <w:iCs/>
          <w:sz w:val="22"/>
          <w:szCs w:val="22"/>
          <w:lang w:val="en"/>
        </w:rPr>
        <w:t xml:space="preserve"> </w:t>
      </w:r>
      <w:r w:rsidR="004F044F">
        <w:rPr>
          <w:iCs/>
          <w:sz w:val="22"/>
          <w:szCs w:val="22"/>
          <w:lang w:val="en"/>
        </w:rPr>
        <w:t>beyond</w:t>
      </w:r>
      <w:r w:rsidRPr="002F2388">
        <w:rPr>
          <w:iCs/>
          <w:sz w:val="22"/>
          <w:szCs w:val="22"/>
          <w:lang w:val="en"/>
        </w:rPr>
        <w:t xml:space="preserve"> the legal field of Ukraine. Therefore, foreigners and stateless persons who have already served their sentences for violating migration laws and were released from temporary detention facilities after 18 months, are </w:t>
      </w:r>
      <w:r w:rsidR="004F044F">
        <w:rPr>
          <w:iCs/>
          <w:sz w:val="22"/>
          <w:szCs w:val="22"/>
          <w:lang w:val="en"/>
        </w:rPr>
        <w:t xml:space="preserve">still </w:t>
      </w:r>
      <w:r w:rsidRPr="002F2388">
        <w:rPr>
          <w:iCs/>
          <w:sz w:val="22"/>
          <w:szCs w:val="22"/>
          <w:lang w:val="en"/>
        </w:rPr>
        <w:t xml:space="preserve">at risk of replacement in the institution. </w:t>
      </w:r>
    </w:p>
    <w:p w14:paraId="32CAB29E" w14:textId="3E27A292" w:rsidR="002F2388" w:rsidRDefault="002F2388" w:rsidP="004E5C7C">
      <w:pPr>
        <w:pStyle w:val="SingleTxtG"/>
        <w:ind w:right="0"/>
        <w:rPr>
          <w:iCs/>
          <w:sz w:val="22"/>
          <w:szCs w:val="22"/>
        </w:rPr>
      </w:pPr>
      <w:r w:rsidRPr="002F2388">
        <w:rPr>
          <w:iCs/>
          <w:sz w:val="22"/>
          <w:szCs w:val="22"/>
          <w:lang w:val="en"/>
        </w:rPr>
        <w:t xml:space="preserve">Although a significant number of detainees are from countries in conflict (Syria, Iraq, Afghanistan, Somalia and others), no foreigners or stateless persons </w:t>
      </w:r>
      <w:r w:rsidR="004F044F">
        <w:rPr>
          <w:iCs/>
          <w:sz w:val="22"/>
          <w:szCs w:val="22"/>
          <w:lang w:val="en"/>
        </w:rPr>
        <w:t>released from detention centres</w:t>
      </w:r>
      <w:r w:rsidRPr="002F2388">
        <w:rPr>
          <w:iCs/>
          <w:sz w:val="22"/>
          <w:szCs w:val="22"/>
          <w:lang w:val="en"/>
        </w:rPr>
        <w:t xml:space="preserve"> </w:t>
      </w:r>
      <w:r w:rsidR="00777AFF">
        <w:rPr>
          <w:iCs/>
          <w:sz w:val="22"/>
          <w:szCs w:val="22"/>
          <w:lang w:val="en"/>
        </w:rPr>
        <w:t>have</w:t>
      </w:r>
      <w:r w:rsidRPr="002F2388">
        <w:rPr>
          <w:iCs/>
          <w:sz w:val="22"/>
          <w:szCs w:val="22"/>
          <w:lang w:val="en"/>
        </w:rPr>
        <w:t xml:space="preserve"> been granted </w:t>
      </w:r>
      <w:r w:rsidR="00D55D8B">
        <w:rPr>
          <w:iCs/>
          <w:sz w:val="22"/>
          <w:szCs w:val="22"/>
          <w:lang w:val="en"/>
        </w:rPr>
        <w:t xml:space="preserve">a </w:t>
      </w:r>
      <w:r w:rsidR="004F044F" w:rsidRPr="002F2388">
        <w:rPr>
          <w:iCs/>
          <w:sz w:val="22"/>
          <w:szCs w:val="22"/>
          <w:lang w:val="en"/>
        </w:rPr>
        <w:t>status</w:t>
      </w:r>
      <w:r w:rsidR="004F044F">
        <w:rPr>
          <w:iCs/>
          <w:sz w:val="22"/>
          <w:szCs w:val="22"/>
          <w:lang w:val="en"/>
        </w:rPr>
        <w:t xml:space="preserve"> of a</w:t>
      </w:r>
      <w:r w:rsidR="004F044F" w:rsidRPr="002F2388">
        <w:rPr>
          <w:iCs/>
          <w:sz w:val="22"/>
          <w:szCs w:val="22"/>
          <w:lang w:val="en"/>
        </w:rPr>
        <w:t xml:space="preserve"> </w:t>
      </w:r>
      <w:r w:rsidRPr="002F2388">
        <w:rPr>
          <w:iCs/>
          <w:sz w:val="22"/>
          <w:szCs w:val="22"/>
          <w:lang w:val="en"/>
        </w:rPr>
        <w:t xml:space="preserve">refugee or a person in need of protection </w:t>
      </w:r>
      <w:r w:rsidR="00777AFF" w:rsidRPr="002F2388">
        <w:rPr>
          <w:iCs/>
          <w:sz w:val="22"/>
          <w:szCs w:val="22"/>
          <w:lang w:val="en"/>
        </w:rPr>
        <w:t xml:space="preserve">for the past 6 years </w:t>
      </w:r>
      <w:r w:rsidRPr="002F2388">
        <w:rPr>
          <w:iCs/>
          <w:sz w:val="22"/>
          <w:szCs w:val="22"/>
          <w:lang w:val="en"/>
        </w:rPr>
        <w:t xml:space="preserve">in Ukraine. This indicates that the </w:t>
      </w:r>
      <w:r w:rsidR="004F044F">
        <w:rPr>
          <w:iCs/>
          <w:sz w:val="22"/>
          <w:szCs w:val="22"/>
          <w:lang w:val="en"/>
        </w:rPr>
        <w:t xml:space="preserve">foreigners </w:t>
      </w:r>
      <w:r w:rsidRPr="002F2388">
        <w:rPr>
          <w:iCs/>
          <w:sz w:val="22"/>
          <w:szCs w:val="22"/>
          <w:lang w:val="en"/>
        </w:rPr>
        <w:t>who are subject to the ban on return provided for in Art</w:t>
      </w:r>
      <w:r w:rsidR="00550974">
        <w:rPr>
          <w:iCs/>
          <w:sz w:val="22"/>
          <w:szCs w:val="22"/>
          <w:lang w:val="en"/>
        </w:rPr>
        <w:t>.</w:t>
      </w:r>
      <w:r w:rsidRPr="002F2388">
        <w:rPr>
          <w:iCs/>
          <w:sz w:val="22"/>
          <w:szCs w:val="22"/>
          <w:lang w:val="en"/>
        </w:rPr>
        <w:t xml:space="preserve">33 </w:t>
      </w:r>
      <w:r w:rsidRPr="0039504E">
        <w:rPr>
          <w:iCs/>
          <w:sz w:val="22"/>
          <w:szCs w:val="22"/>
          <w:lang w:val="en"/>
        </w:rPr>
        <w:t xml:space="preserve">of </w:t>
      </w:r>
      <w:r w:rsidRPr="009318E1">
        <w:rPr>
          <w:iCs/>
          <w:sz w:val="22"/>
          <w:szCs w:val="22"/>
          <w:lang w:val="en"/>
        </w:rPr>
        <w:t xml:space="preserve">the UN Convention </w:t>
      </w:r>
      <w:r w:rsidR="00777AFF" w:rsidRPr="009318E1">
        <w:rPr>
          <w:iCs/>
          <w:sz w:val="22"/>
          <w:szCs w:val="22"/>
          <w:lang w:val="en"/>
        </w:rPr>
        <w:t>R</w:t>
      </w:r>
      <w:r w:rsidRPr="009318E1">
        <w:rPr>
          <w:iCs/>
          <w:sz w:val="22"/>
          <w:szCs w:val="22"/>
          <w:lang w:val="en"/>
        </w:rPr>
        <w:t>elating to the Status of Refugees</w:t>
      </w:r>
      <w:r w:rsidRPr="0039504E">
        <w:rPr>
          <w:iCs/>
          <w:sz w:val="22"/>
          <w:szCs w:val="22"/>
          <w:lang w:val="en"/>
        </w:rPr>
        <w:t>,</w:t>
      </w:r>
      <w:r w:rsidRPr="002F2388">
        <w:rPr>
          <w:iCs/>
          <w:sz w:val="22"/>
          <w:szCs w:val="22"/>
          <w:lang w:val="en"/>
        </w:rPr>
        <w:t xml:space="preserve"> </w:t>
      </w:r>
      <w:r w:rsidR="00C86C1B">
        <w:rPr>
          <w:iCs/>
          <w:sz w:val="22"/>
          <w:szCs w:val="22"/>
          <w:lang w:val="en"/>
        </w:rPr>
        <w:t>are</w:t>
      </w:r>
      <w:r w:rsidR="004F044F">
        <w:rPr>
          <w:iCs/>
          <w:sz w:val="22"/>
          <w:szCs w:val="22"/>
          <w:lang w:val="en"/>
        </w:rPr>
        <w:t xml:space="preserve"> identified </w:t>
      </w:r>
      <w:r w:rsidRPr="002F2388">
        <w:rPr>
          <w:iCs/>
          <w:sz w:val="22"/>
          <w:szCs w:val="22"/>
          <w:lang w:val="en"/>
        </w:rPr>
        <w:t>solely for further expulsion.</w:t>
      </w:r>
    </w:p>
    <w:p w14:paraId="3753CA13" w14:textId="77777777" w:rsidR="002F2388" w:rsidRPr="004E5C7C" w:rsidRDefault="002F2388" w:rsidP="004E5C7C">
      <w:pPr>
        <w:pStyle w:val="SingleTxtG"/>
        <w:ind w:right="0"/>
        <w:rPr>
          <w:iCs/>
          <w:sz w:val="22"/>
          <w:szCs w:val="22"/>
        </w:rPr>
      </w:pPr>
    </w:p>
    <w:p w14:paraId="44FADA9C" w14:textId="3A4187CD" w:rsidR="00B22F73" w:rsidRPr="004E5C7C" w:rsidRDefault="00B22F73" w:rsidP="004E5C7C">
      <w:pPr>
        <w:pStyle w:val="H23G"/>
        <w:ind w:right="0"/>
        <w:rPr>
          <w:sz w:val="22"/>
          <w:szCs w:val="22"/>
        </w:rPr>
      </w:pPr>
      <w:r w:rsidRPr="004E5C7C">
        <w:rPr>
          <w:sz w:val="22"/>
          <w:szCs w:val="22"/>
          <w:lang w:val="en-US"/>
        </w:rPr>
        <w:tab/>
      </w:r>
      <w:r w:rsidRPr="004E5C7C">
        <w:rPr>
          <w:sz w:val="22"/>
          <w:szCs w:val="22"/>
          <w:lang w:val="en-US"/>
        </w:rPr>
        <w:tab/>
      </w:r>
      <w:r w:rsidRPr="004E5C7C">
        <w:rPr>
          <w:sz w:val="22"/>
          <w:szCs w:val="22"/>
          <w:highlight w:val="lightGray"/>
        </w:rPr>
        <w:t>Right to a fair trial and independence of the judiciary (</w:t>
      </w:r>
      <w:r w:rsidR="00796692">
        <w:rPr>
          <w:sz w:val="22"/>
          <w:szCs w:val="22"/>
          <w:highlight w:val="lightGray"/>
        </w:rPr>
        <w:t>A</w:t>
      </w:r>
      <w:r w:rsidR="00DB1DC8" w:rsidRPr="004E5C7C">
        <w:rPr>
          <w:sz w:val="22"/>
          <w:szCs w:val="22"/>
          <w:highlight w:val="lightGray"/>
        </w:rPr>
        <w:t>rt.</w:t>
      </w:r>
      <w:r w:rsidR="00306AFB" w:rsidRPr="004E5C7C">
        <w:rPr>
          <w:sz w:val="22"/>
          <w:szCs w:val="22"/>
          <w:highlight w:val="lightGray"/>
        </w:rPr>
        <w:t>14</w:t>
      </w:r>
      <w:r w:rsidRPr="004E5C7C">
        <w:rPr>
          <w:sz w:val="22"/>
          <w:szCs w:val="22"/>
          <w:highlight w:val="lightGray"/>
        </w:rPr>
        <w:t>)</w:t>
      </w:r>
    </w:p>
    <w:p w14:paraId="06D9AADF" w14:textId="733CBCDF" w:rsidR="000D5351" w:rsidRPr="004E5C7C" w:rsidRDefault="000D5351" w:rsidP="004E5C7C">
      <w:pPr>
        <w:pStyle w:val="SingleTxtG"/>
        <w:ind w:right="0"/>
        <w:rPr>
          <w:sz w:val="22"/>
          <w:szCs w:val="22"/>
        </w:rPr>
      </w:pPr>
      <w:r w:rsidRPr="004E5C7C">
        <w:rPr>
          <w:sz w:val="22"/>
          <w:szCs w:val="22"/>
        </w:rPr>
        <w:t>The COVID-19 global pandemic proved to be a true challenge for the judicial system as Art</w:t>
      </w:r>
      <w:r w:rsidR="00550974">
        <w:rPr>
          <w:sz w:val="22"/>
          <w:szCs w:val="22"/>
        </w:rPr>
        <w:t>.</w:t>
      </w:r>
      <w:r w:rsidRPr="004E5C7C">
        <w:rPr>
          <w:sz w:val="22"/>
          <w:szCs w:val="22"/>
        </w:rPr>
        <w:t xml:space="preserve">64 of the Constitution does not allow restrictions to the right to apply to a court for the protection of </w:t>
      </w:r>
      <w:r w:rsidR="00F1567A" w:rsidRPr="004E5C7C">
        <w:rPr>
          <w:sz w:val="22"/>
          <w:szCs w:val="22"/>
        </w:rPr>
        <w:t>human</w:t>
      </w:r>
      <w:r w:rsidRPr="004E5C7C">
        <w:rPr>
          <w:sz w:val="22"/>
          <w:szCs w:val="22"/>
        </w:rPr>
        <w:t xml:space="preserve"> rights. The courts continued to administer justice during the period of government-imposed restrictive anti-epidemic measures and even when COVID-19 was detected among judges and court staff. </w:t>
      </w:r>
    </w:p>
    <w:p w14:paraId="1FDF585C" w14:textId="1A13DD37" w:rsidR="00AF35F8" w:rsidRPr="004E5C7C" w:rsidRDefault="000D5351" w:rsidP="004E5C7C">
      <w:pPr>
        <w:pStyle w:val="SingleTxtG"/>
        <w:ind w:right="0"/>
        <w:rPr>
          <w:b/>
          <w:bCs/>
          <w:i/>
          <w:iCs/>
          <w:sz w:val="22"/>
          <w:szCs w:val="22"/>
        </w:rPr>
      </w:pPr>
      <w:r w:rsidRPr="004E5C7C">
        <w:rPr>
          <w:sz w:val="22"/>
          <w:szCs w:val="22"/>
        </w:rPr>
        <w:t xml:space="preserve">The judicial system is currently unstable, which is caused, in particular, by the high number of vacant judicial posts, inadequate funding of the judiciary system, lack of appropriate technical equipment and high information technology costs. </w:t>
      </w:r>
    </w:p>
    <w:p w14:paraId="75720239" w14:textId="6F9D09D7" w:rsidR="00AF35F8" w:rsidRPr="004E5C7C" w:rsidRDefault="00A9157A" w:rsidP="004E5C7C">
      <w:pPr>
        <w:pStyle w:val="SingleTxtG"/>
        <w:ind w:right="0"/>
        <w:rPr>
          <w:sz w:val="22"/>
          <w:szCs w:val="22"/>
        </w:rPr>
      </w:pPr>
      <w:r>
        <w:rPr>
          <w:sz w:val="22"/>
          <w:szCs w:val="22"/>
        </w:rPr>
        <w:t>As of 10 September 2021</w:t>
      </w:r>
      <w:r w:rsidR="00AF35F8" w:rsidRPr="004E5C7C">
        <w:rPr>
          <w:sz w:val="22"/>
          <w:szCs w:val="22"/>
        </w:rPr>
        <w:t xml:space="preserve">, the Commissioner received </w:t>
      </w:r>
      <w:r>
        <w:rPr>
          <w:sz w:val="22"/>
          <w:szCs w:val="22"/>
        </w:rPr>
        <w:t xml:space="preserve">2,367 </w:t>
      </w:r>
      <w:r w:rsidR="00AF35F8" w:rsidRPr="004E5C7C">
        <w:rPr>
          <w:sz w:val="22"/>
          <w:szCs w:val="22"/>
        </w:rPr>
        <w:t xml:space="preserve">reports of violations of procedural rights in criminal proceedings, in particular, violation of rights to access to justice, fair trial within a reasonable time – </w:t>
      </w:r>
      <w:r w:rsidR="001C3433">
        <w:rPr>
          <w:sz w:val="22"/>
          <w:szCs w:val="22"/>
        </w:rPr>
        <w:t>250</w:t>
      </w:r>
      <w:r w:rsidR="00AF35F8" w:rsidRPr="004E5C7C">
        <w:rPr>
          <w:sz w:val="22"/>
          <w:szCs w:val="22"/>
        </w:rPr>
        <w:t xml:space="preserve">; violation of rights by law enforcement officials – </w:t>
      </w:r>
      <w:r w:rsidR="001C3433">
        <w:rPr>
          <w:sz w:val="22"/>
          <w:szCs w:val="22"/>
        </w:rPr>
        <w:t>1,298</w:t>
      </w:r>
      <w:r w:rsidR="00AF35F8" w:rsidRPr="004E5C7C">
        <w:rPr>
          <w:sz w:val="22"/>
          <w:szCs w:val="22"/>
        </w:rPr>
        <w:t>; effective pre-trial investigation, compliance with reasonable time limits for procedural actions and adoption of procedural decisions –</w:t>
      </w:r>
      <w:r w:rsidR="001C3433">
        <w:rPr>
          <w:sz w:val="22"/>
          <w:szCs w:val="22"/>
        </w:rPr>
        <w:t xml:space="preserve"> 586</w:t>
      </w:r>
      <w:r w:rsidR="00306AFB" w:rsidRPr="004E5C7C">
        <w:rPr>
          <w:sz w:val="22"/>
          <w:szCs w:val="22"/>
          <w:lang w:val="en-US"/>
        </w:rPr>
        <w:t>.</w:t>
      </w:r>
    </w:p>
    <w:p w14:paraId="2B501E80" w14:textId="5BFB0BFC" w:rsidR="00AE0547" w:rsidRPr="004E5C7C" w:rsidRDefault="00AE0547" w:rsidP="004E5C7C">
      <w:pPr>
        <w:pStyle w:val="SingleTxtG"/>
        <w:ind w:right="0"/>
        <w:rPr>
          <w:b/>
          <w:bCs/>
          <w:i/>
          <w:iCs/>
          <w:sz w:val="22"/>
          <w:szCs w:val="22"/>
        </w:rPr>
      </w:pPr>
      <w:r w:rsidRPr="004E5C7C">
        <w:rPr>
          <w:b/>
          <w:bCs/>
          <w:i/>
          <w:iCs/>
          <w:sz w:val="22"/>
          <w:szCs w:val="22"/>
        </w:rPr>
        <w:t>Violations of the right to launch a pre-trial investigation.</w:t>
      </w:r>
    </w:p>
    <w:p w14:paraId="093F5A66" w14:textId="6671D161" w:rsidR="006941FB" w:rsidRPr="004E5C7C" w:rsidRDefault="006941FB" w:rsidP="004E5C7C">
      <w:pPr>
        <w:pStyle w:val="SingleTxtG"/>
        <w:ind w:right="0"/>
        <w:rPr>
          <w:sz w:val="22"/>
          <w:szCs w:val="22"/>
        </w:rPr>
      </w:pPr>
      <w:r w:rsidRPr="004E5C7C">
        <w:rPr>
          <w:sz w:val="22"/>
          <w:szCs w:val="22"/>
        </w:rPr>
        <w:t xml:space="preserve">The authorized persons (persons conducting an initial inquiry, investigators and prosecutors) continue to ignore the requirements of Ukrainian legislation and selectively enter information into the Unified Register of Pre-Trial Investigations on applications and reports of criminal offences. But the refusal to accept and register an application or report of a criminal offence, for whatever reason, is not allowed under Part four of </w:t>
      </w:r>
      <w:r w:rsidR="00550974" w:rsidRPr="004E5C7C">
        <w:rPr>
          <w:sz w:val="22"/>
          <w:szCs w:val="22"/>
        </w:rPr>
        <w:t>Art</w:t>
      </w:r>
      <w:r w:rsidR="00550974">
        <w:rPr>
          <w:sz w:val="22"/>
          <w:szCs w:val="22"/>
        </w:rPr>
        <w:t>.</w:t>
      </w:r>
      <w:r w:rsidRPr="004E5C7C">
        <w:rPr>
          <w:sz w:val="22"/>
          <w:szCs w:val="22"/>
        </w:rPr>
        <w:t>214 of the Criminal Procedure Code. As a result, citizens are forced to apply to the Commissioner for protection of their rights.</w:t>
      </w:r>
    </w:p>
    <w:p w14:paraId="004C40B6" w14:textId="16953722" w:rsidR="00AF35F8" w:rsidRPr="004E5C7C" w:rsidRDefault="001C3433" w:rsidP="004E5C7C">
      <w:pPr>
        <w:pStyle w:val="SingleTxtG"/>
        <w:ind w:right="0"/>
        <w:rPr>
          <w:sz w:val="22"/>
          <w:szCs w:val="22"/>
        </w:rPr>
      </w:pPr>
      <w:r>
        <w:rPr>
          <w:sz w:val="22"/>
          <w:szCs w:val="22"/>
        </w:rPr>
        <w:t>As of 1 September 2021</w:t>
      </w:r>
      <w:r w:rsidR="00AF35F8" w:rsidRPr="004E5C7C">
        <w:rPr>
          <w:sz w:val="22"/>
          <w:szCs w:val="22"/>
        </w:rPr>
        <w:t xml:space="preserve">, the Commissioner received </w:t>
      </w:r>
      <w:r>
        <w:rPr>
          <w:sz w:val="22"/>
          <w:szCs w:val="22"/>
        </w:rPr>
        <w:t>more than 100</w:t>
      </w:r>
      <w:r w:rsidR="00AF35F8" w:rsidRPr="004E5C7C">
        <w:rPr>
          <w:sz w:val="22"/>
          <w:szCs w:val="22"/>
        </w:rPr>
        <w:t xml:space="preserve"> reports of violations of the right to launch a pre-trial investigation. Following the response measures, the pre-trial investigation bodies of the State Bureau of Investigations and the Prosecutor’s Office entered information on </w:t>
      </w:r>
      <w:r>
        <w:rPr>
          <w:sz w:val="22"/>
          <w:szCs w:val="22"/>
        </w:rPr>
        <w:t>29</w:t>
      </w:r>
      <w:r w:rsidRPr="004E5C7C">
        <w:rPr>
          <w:sz w:val="22"/>
          <w:szCs w:val="22"/>
        </w:rPr>
        <w:t xml:space="preserve"> </w:t>
      </w:r>
      <w:r w:rsidR="00AF35F8" w:rsidRPr="004E5C7C">
        <w:rPr>
          <w:sz w:val="22"/>
          <w:szCs w:val="22"/>
        </w:rPr>
        <w:t>applications and reports of criminal offences into the Unified Register of Pre-Trial Investigations.</w:t>
      </w:r>
    </w:p>
    <w:p w14:paraId="00B49469" w14:textId="77777777" w:rsidR="00AF35F8" w:rsidRPr="004E5C7C" w:rsidRDefault="00AF35F8" w:rsidP="004E5C7C">
      <w:pPr>
        <w:pStyle w:val="SingleTxtG"/>
        <w:ind w:right="0"/>
        <w:rPr>
          <w:sz w:val="22"/>
          <w:szCs w:val="22"/>
        </w:rPr>
      </w:pPr>
      <w:r w:rsidRPr="004E5C7C">
        <w:rPr>
          <w:sz w:val="22"/>
          <w:szCs w:val="22"/>
        </w:rPr>
        <w:t xml:space="preserve">This practice primarily demonstrates a lack of departmental control and systemic prosecutorial oversight over the enforcement of the laws when considering applications and reports of criminal offences. </w:t>
      </w:r>
    </w:p>
    <w:p w14:paraId="762201E6" w14:textId="1E840AEF" w:rsidR="00AF35F8" w:rsidRPr="004E5C7C" w:rsidRDefault="00AF35F8" w:rsidP="004E5C7C">
      <w:pPr>
        <w:pStyle w:val="SingleTxtG"/>
        <w:ind w:right="0"/>
        <w:rPr>
          <w:sz w:val="22"/>
          <w:szCs w:val="22"/>
        </w:rPr>
      </w:pPr>
      <w:r w:rsidRPr="004E5C7C">
        <w:rPr>
          <w:sz w:val="22"/>
          <w:szCs w:val="22"/>
        </w:rPr>
        <w:t>Art</w:t>
      </w:r>
      <w:r w:rsidR="007321EA">
        <w:rPr>
          <w:sz w:val="22"/>
          <w:szCs w:val="22"/>
        </w:rPr>
        <w:t>.</w:t>
      </w:r>
      <w:r w:rsidRPr="004E5C7C">
        <w:rPr>
          <w:sz w:val="22"/>
          <w:szCs w:val="22"/>
        </w:rPr>
        <w:t xml:space="preserve">131-1 of the Constitution defined the constitutional duty of the Prosecutor’s Office as the organization and procedural guidance of pre-trial investigation and dealing with other issues during criminal proceedings in accordance with the law, supervision of covert and other investigative and search activities of law enforcement bodies. The Prosecutor’s Office performs these functions intending to protect human rights and freedoms and the interests of society and the State. </w:t>
      </w:r>
    </w:p>
    <w:p w14:paraId="2232B04F" w14:textId="62C2ECB1" w:rsidR="00AF35F8" w:rsidRPr="004E5C7C" w:rsidRDefault="00AF35F8" w:rsidP="004E5C7C">
      <w:pPr>
        <w:pStyle w:val="SingleTxtG"/>
        <w:ind w:right="0"/>
        <w:rPr>
          <w:sz w:val="22"/>
          <w:szCs w:val="22"/>
        </w:rPr>
      </w:pPr>
      <w:r w:rsidRPr="004E5C7C">
        <w:rPr>
          <w:sz w:val="22"/>
          <w:szCs w:val="22"/>
        </w:rPr>
        <w:t>The Law “On the Prosecutor’s Office” No.1697-VII of 4 October 2014 (as amended) entrusts the Prosecutor’s Office with the function of supervision of compliance with laws by the bodies which are carrying out operational search activities, inquiry, pre-trial investigation (Art</w:t>
      </w:r>
      <w:r w:rsidR="00550974">
        <w:rPr>
          <w:sz w:val="22"/>
          <w:szCs w:val="22"/>
        </w:rPr>
        <w:t>.</w:t>
      </w:r>
      <w:r w:rsidRPr="004E5C7C">
        <w:rPr>
          <w:sz w:val="22"/>
          <w:szCs w:val="22"/>
        </w:rPr>
        <w:t>2). However, in accordance with the Criminal Procedure Code, the prosecutors supervise compliance with the law in the form of providing procedural guidance in a pre-trial investigation (Art</w:t>
      </w:r>
      <w:r w:rsidR="00550974">
        <w:rPr>
          <w:sz w:val="22"/>
          <w:szCs w:val="22"/>
        </w:rPr>
        <w:t>.</w:t>
      </w:r>
      <w:r w:rsidRPr="004E5C7C">
        <w:rPr>
          <w:sz w:val="22"/>
          <w:szCs w:val="22"/>
        </w:rPr>
        <w:t>36). Since, in accordance with Parts two and three of Art</w:t>
      </w:r>
      <w:r w:rsidR="00550974">
        <w:rPr>
          <w:sz w:val="22"/>
          <w:szCs w:val="22"/>
        </w:rPr>
        <w:t>.</w:t>
      </w:r>
      <w:r w:rsidRPr="004E5C7C">
        <w:rPr>
          <w:sz w:val="22"/>
          <w:szCs w:val="22"/>
        </w:rPr>
        <w:t xml:space="preserve">214 of the Criminal Procedure Code, the pre-trial investigation starts from the entering information into the Unified Register of Pre-Trial Investigations (except when the criminal offence was committed on a sea or river vessel located outside Ukraine), this means that the Criminal Procedure Code does not provide for prosecutorial supervision over the investigator or person conducting an initial inquiry during the examination of the applications and reports of criminal offences and the provision by such officials of an assessment of the information contained in such applications and reports on the existence of circumstances of a criminal offence. </w:t>
      </w:r>
    </w:p>
    <w:p w14:paraId="30F8D6B2" w14:textId="514155D6" w:rsidR="00AF35F8" w:rsidRPr="004E5C7C" w:rsidRDefault="00AF35F8" w:rsidP="004E5C7C">
      <w:pPr>
        <w:pStyle w:val="SingleTxtG"/>
        <w:ind w:right="0"/>
        <w:rPr>
          <w:sz w:val="22"/>
          <w:szCs w:val="22"/>
        </w:rPr>
      </w:pPr>
      <w:r w:rsidRPr="004E5C7C">
        <w:rPr>
          <w:sz w:val="22"/>
          <w:szCs w:val="22"/>
        </w:rPr>
        <w:t xml:space="preserve">Thus, the violation of the right to launch a pre-trial investigation is to some extent facilitated by the imperfection of the current Criminal Procedure Code, and the untimely start of a pre-trial investigation subsequently hinders the achievement of the objectives of the criminal proceedings. </w:t>
      </w:r>
    </w:p>
    <w:p w14:paraId="18BEF345" w14:textId="05F14755" w:rsidR="00AF35F8" w:rsidRPr="004E5C7C" w:rsidRDefault="00AF35F8" w:rsidP="004E5C7C">
      <w:pPr>
        <w:pStyle w:val="SingleTxtG"/>
        <w:ind w:right="0"/>
        <w:rPr>
          <w:sz w:val="22"/>
          <w:szCs w:val="22"/>
        </w:rPr>
      </w:pPr>
      <w:r w:rsidRPr="004E5C7C">
        <w:rPr>
          <w:sz w:val="22"/>
          <w:szCs w:val="22"/>
        </w:rPr>
        <w:t>Moreover, the Criminal Procedure Code does not contain a definition of “motives and grounds” before the commencement of criminal proceedings, does not provide for the form, content or other requirements for an application, report of a criminal offence or other conditions for the entering information into the Unified Register of Pre-Trial Investigations. As a result, different criteria are applied in assessing whether there are grounds to enter information into the Unified Register of Pre-Trial Investigations and there are cases of apparent inconsistency in the position of the authorised persons when dealing with criminal offence complaints. A good example of this is the different treatment of the same criminal offence complaints by different authorities.</w:t>
      </w:r>
    </w:p>
    <w:p w14:paraId="68D7C43B" w14:textId="388FEEDD" w:rsidR="000E2D74" w:rsidRPr="004E5C7C" w:rsidRDefault="000E2D74" w:rsidP="004E5C7C">
      <w:pPr>
        <w:pStyle w:val="SingleTxtG"/>
        <w:ind w:right="0"/>
        <w:rPr>
          <w:sz w:val="22"/>
          <w:szCs w:val="22"/>
        </w:rPr>
      </w:pPr>
    </w:p>
    <w:p w14:paraId="512D3793" w14:textId="6383C729" w:rsidR="000E2D74" w:rsidRPr="004E5C7C" w:rsidRDefault="00AE0547" w:rsidP="004E5C7C">
      <w:pPr>
        <w:pStyle w:val="SingleTxtG"/>
        <w:ind w:right="0"/>
        <w:rPr>
          <w:b/>
          <w:bCs/>
          <w:i/>
          <w:iCs/>
          <w:sz w:val="22"/>
          <w:szCs w:val="22"/>
        </w:rPr>
      </w:pPr>
      <w:r w:rsidRPr="004E5C7C">
        <w:rPr>
          <w:b/>
          <w:bCs/>
          <w:i/>
          <w:iCs/>
          <w:sz w:val="22"/>
          <w:szCs w:val="22"/>
        </w:rPr>
        <w:t>Investigators allow for non-compliance with written instructions of the procedural supervisors</w:t>
      </w:r>
    </w:p>
    <w:p w14:paraId="75005E73" w14:textId="2708DCE1" w:rsidR="00CA0FE0" w:rsidRPr="004E5C7C" w:rsidRDefault="00CA0FE0" w:rsidP="004E5C7C">
      <w:pPr>
        <w:pStyle w:val="SingleTxtG"/>
        <w:ind w:right="0"/>
        <w:rPr>
          <w:sz w:val="22"/>
          <w:szCs w:val="22"/>
        </w:rPr>
      </w:pPr>
      <w:r w:rsidRPr="004E5C7C">
        <w:rPr>
          <w:sz w:val="22"/>
          <w:szCs w:val="22"/>
        </w:rPr>
        <w:t xml:space="preserve">The information received from the prosecutors’ offices and from the petitions of the participants of criminal proceedings gives grounds to assert that on numerous occasions investigators allow non-compliance with the written instructions of the procedural supervisors. Given the exemption under Law No.1697-VII of 14 October 2014 from the Criminal Code of </w:t>
      </w:r>
      <w:r w:rsidR="00550974" w:rsidRPr="004E5C7C">
        <w:rPr>
          <w:sz w:val="22"/>
          <w:szCs w:val="22"/>
        </w:rPr>
        <w:t>Art</w:t>
      </w:r>
      <w:r w:rsidR="00550974">
        <w:rPr>
          <w:sz w:val="22"/>
          <w:szCs w:val="22"/>
        </w:rPr>
        <w:t>.</w:t>
      </w:r>
      <w:r w:rsidRPr="004E5C7C">
        <w:rPr>
          <w:sz w:val="22"/>
          <w:szCs w:val="22"/>
        </w:rPr>
        <w:t xml:space="preserve">381-1, the provision of which provided for liability for non-compliance by an investigator with the prosecutor’s instructions, the prosecutors have no leverage over investigators for non-compliance with their instructions, and the heads of departments do not take appropriate actions required in the prosecutors’ letters, as such letters are not documents of prosecutorial response. As a result, investigators avoid any personal responsibility for blatant violations of human rights and freedoms. </w:t>
      </w:r>
    </w:p>
    <w:p w14:paraId="0DBBB2CF" w14:textId="0AD8EB2F" w:rsidR="00CA0FE0" w:rsidRPr="004E5C7C" w:rsidRDefault="00CA0FE0" w:rsidP="004E5C7C">
      <w:pPr>
        <w:pStyle w:val="SingleTxtG"/>
        <w:ind w:right="0"/>
        <w:rPr>
          <w:sz w:val="22"/>
          <w:szCs w:val="22"/>
        </w:rPr>
      </w:pPr>
      <w:r w:rsidRPr="004E5C7C">
        <w:rPr>
          <w:sz w:val="22"/>
          <w:szCs w:val="22"/>
        </w:rPr>
        <w:t>Thus, it is necessary to make appropriate amendments to the current legislation to establish the liability of a person conducting an initial inquiry and investigator for non-compliance with the written instructions of the procedural supervisor in criminal proceedings. Violation of procedural deadlines reduces the effectiveness of pre-trial investigation bodies, since the perpetrators of criminal offences are not identified, and the investigation of criminal proceedings in which persons are notified of suspicion is unreasonably delayed, suspects are held in pre-trial detention centres for a long time, which in turn leads to systemic violations of the rights and freedoms of citizens.</w:t>
      </w:r>
    </w:p>
    <w:p w14:paraId="3EC33035" w14:textId="77777777" w:rsidR="00AE0547" w:rsidRPr="004E5C7C" w:rsidRDefault="00AE0547" w:rsidP="004E5C7C">
      <w:pPr>
        <w:pStyle w:val="SingleTxtG"/>
        <w:ind w:right="0"/>
        <w:rPr>
          <w:sz w:val="22"/>
          <w:szCs w:val="22"/>
        </w:rPr>
      </w:pPr>
    </w:p>
    <w:p w14:paraId="237FB1B9" w14:textId="59A0653A" w:rsidR="00CA0FE0" w:rsidRPr="004E5C7C" w:rsidRDefault="003739B0" w:rsidP="004E5C7C">
      <w:pPr>
        <w:pStyle w:val="SingleTxtG"/>
        <w:ind w:right="0"/>
        <w:rPr>
          <w:b/>
          <w:bCs/>
          <w:i/>
          <w:iCs/>
          <w:sz w:val="22"/>
          <w:szCs w:val="22"/>
        </w:rPr>
      </w:pPr>
      <w:r w:rsidRPr="004E5C7C">
        <w:rPr>
          <w:b/>
          <w:bCs/>
          <w:i/>
          <w:iCs/>
          <w:sz w:val="22"/>
          <w:szCs w:val="22"/>
        </w:rPr>
        <w:t>Impunity for intentional non-compliance with rulings of an investigating judge</w:t>
      </w:r>
    </w:p>
    <w:p w14:paraId="38D8F1EF" w14:textId="757362E9" w:rsidR="00C65EFB" w:rsidRPr="004E5C7C" w:rsidRDefault="00C65EFB" w:rsidP="004E5C7C">
      <w:pPr>
        <w:pStyle w:val="SingleTxtG"/>
        <w:ind w:right="0"/>
        <w:rPr>
          <w:sz w:val="22"/>
          <w:szCs w:val="22"/>
        </w:rPr>
      </w:pPr>
      <w:r w:rsidRPr="004E5C7C">
        <w:rPr>
          <w:sz w:val="22"/>
          <w:szCs w:val="22"/>
        </w:rPr>
        <w:t>In 2020</w:t>
      </w:r>
      <w:r w:rsidR="001C3433">
        <w:rPr>
          <w:sz w:val="22"/>
          <w:szCs w:val="22"/>
        </w:rPr>
        <w:t xml:space="preserve"> and 2021</w:t>
      </w:r>
      <w:r w:rsidRPr="004E5C7C">
        <w:rPr>
          <w:sz w:val="22"/>
          <w:szCs w:val="22"/>
        </w:rPr>
        <w:t>, the Commissioner also received complaints of violation of rights to timely execution of the rulings of the investigating judges by pre-trial investigators and prosecutors. In particular, prosecutors and investigators quite often resort to various actions aimed at delaying the execution of the rulings of the investigating judges.</w:t>
      </w:r>
    </w:p>
    <w:p w14:paraId="232B4528" w14:textId="17ED671B" w:rsidR="00AE0547" w:rsidRPr="004E5C7C" w:rsidRDefault="001C3433" w:rsidP="004E5C7C">
      <w:pPr>
        <w:pStyle w:val="SingleTxtG"/>
        <w:ind w:right="0"/>
        <w:rPr>
          <w:sz w:val="22"/>
          <w:szCs w:val="22"/>
        </w:rPr>
      </w:pPr>
      <w:r>
        <w:rPr>
          <w:sz w:val="22"/>
          <w:szCs w:val="22"/>
        </w:rPr>
        <w:t>T</w:t>
      </w:r>
      <w:r w:rsidR="00AE0547" w:rsidRPr="004E5C7C">
        <w:rPr>
          <w:sz w:val="22"/>
          <w:szCs w:val="22"/>
        </w:rPr>
        <w:t>he wording of the disposition of Art</w:t>
      </w:r>
      <w:r w:rsidR="00550974">
        <w:rPr>
          <w:sz w:val="22"/>
          <w:szCs w:val="22"/>
        </w:rPr>
        <w:t>.</w:t>
      </w:r>
      <w:r w:rsidR="00AE0547" w:rsidRPr="004E5C7C">
        <w:rPr>
          <w:sz w:val="22"/>
          <w:szCs w:val="22"/>
        </w:rPr>
        <w:t xml:space="preserve">382 of the Criminal Code, according to which only intentional failure to execute a judgment, decision, ruling or court resolution which have entered into legal force or obstruction of their execution is a criminal offence, partly contributes to the negligent attitude of pre-trial investigation bodies towards execution of the rulings of the investigating judges. The rulings of the investigating judges are not included in this list. Thus, a ruling of an investigating judge is a separate procedural document, which is not covered by the notion of a “court ruling” and in accordance with the literal meaning of the provisions of the Criminal Procedure Code does not refer to judicial decisions. </w:t>
      </w:r>
    </w:p>
    <w:p w14:paraId="2CCEACC1" w14:textId="061C2F23" w:rsidR="00AE0547" w:rsidRPr="004E5C7C" w:rsidRDefault="00AE0547" w:rsidP="004E5C7C">
      <w:pPr>
        <w:pStyle w:val="SingleTxtG"/>
        <w:ind w:right="0"/>
        <w:rPr>
          <w:sz w:val="22"/>
          <w:szCs w:val="22"/>
        </w:rPr>
      </w:pPr>
      <w:r w:rsidRPr="004E5C7C">
        <w:rPr>
          <w:sz w:val="22"/>
          <w:szCs w:val="22"/>
        </w:rPr>
        <w:t xml:space="preserve">Therefore, rulings made by an investigating judge and those that relate to restrictions of constitutional rights and freedoms of citizens are, in fact, not subject to the principle of binding court decisions provided for by </w:t>
      </w:r>
      <w:r w:rsidR="00550974" w:rsidRPr="004E5C7C">
        <w:rPr>
          <w:sz w:val="22"/>
          <w:szCs w:val="22"/>
        </w:rPr>
        <w:t>Art</w:t>
      </w:r>
      <w:r w:rsidR="00550974">
        <w:rPr>
          <w:sz w:val="22"/>
          <w:szCs w:val="22"/>
        </w:rPr>
        <w:t>.</w:t>
      </w:r>
      <w:r w:rsidRPr="004E5C7C">
        <w:rPr>
          <w:sz w:val="22"/>
          <w:szCs w:val="22"/>
        </w:rPr>
        <w:t xml:space="preserve">21 of the Criminal Procedure Code, and, as a consequence, an intentional failure to comply with the rulings of an investigating judge does not entail criminal liability under </w:t>
      </w:r>
      <w:r w:rsidR="00550974" w:rsidRPr="004E5C7C">
        <w:rPr>
          <w:sz w:val="22"/>
          <w:szCs w:val="22"/>
        </w:rPr>
        <w:t>Art</w:t>
      </w:r>
      <w:r w:rsidR="00550974">
        <w:rPr>
          <w:sz w:val="22"/>
          <w:szCs w:val="22"/>
        </w:rPr>
        <w:t>.</w:t>
      </w:r>
      <w:r w:rsidRPr="004E5C7C">
        <w:rPr>
          <w:sz w:val="22"/>
          <w:szCs w:val="22"/>
        </w:rPr>
        <w:t>382 of the Criminal Code. Amendments to the current Ukrainian legislation are obviously needed to remedy this situation.</w:t>
      </w:r>
    </w:p>
    <w:p w14:paraId="4E5B3D10" w14:textId="735C2D4C" w:rsidR="00C65EFB" w:rsidRPr="004E5C7C" w:rsidRDefault="00C65EFB" w:rsidP="004E5C7C">
      <w:pPr>
        <w:pStyle w:val="SingleTxtG"/>
        <w:ind w:right="0"/>
        <w:rPr>
          <w:sz w:val="22"/>
          <w:szCs w:val="22"/>
        </w:rPr>
      </w:pPr>
    </w:p>
    <w:p w14:paraId="3242B2EC" w14:textId="4CC4B99B" w:rsidR="006941FB" w:rsidRPr="004E5C7C" w:rsidRDefault="006941FB" w:rsidP="004E5C7C">
      <w:pPr>
        <w:pStyle w:val="SingleTxtG"/>
        <w:ind w:right="0"/>
        <w:rPr>
          <w:b/>
          <w:bCs/>
          <w:i/>
          <w:iCs/>
          <w:sz w:val="22"/>
          <w:szCs w:val="22"/>
        </w:rPr>
      </w:pPr>
      <w:r w:rsidRPr="004E5C7C">
        <w:rPr>
          <w:b/>
          <w:bCs/>
          <w:i/>
          <w:iCs/>
          <w:sz w:val="22"/>
          <w:szCs w:val="22"/>
        </w:rPr>
        <w:t>Lack of the procedure for considering applications for visits for detainees</w:t>
      </w:r>
    </w:p>
    <w:p w14:paraId="013B599C" w14:textId="016DA0E0" w:rsidR="006941FB" w:rsidRPr="004E5C7C" w:rsidRDefault="006941FB" w:rsidP="004E5C7C">
      <w:pPr>
        <w:pStyle w:val="SingleTxtG"/>
        <w:ind w:right="0"/>
        <w:rPr>
          <w:sz w:val="22"/>
          <w:szCs w:val="22"/>
        </w:rPr>
      </w:pPr>
      <w:r w:rsidRPr="004E5C7C">
        <w:rPr>
          <w:sz w:val="22"/>
          <w:szCs w:val="22"/>
        </w:rPr>
        <w:t>The procedure for considering applications for visits with relatives for detainees during pre-trial investigation and court proceedings is not regulated by the Criminal Procedure Code, and therefore there is no mechanism of appealing against decisions on such applications.</w:t>
      </w:r>
    </w:p>
    <w:p w14:paraId="631403E1" w14:textId="09993959" w:rsidR="0073415E" w:rsidRPr="004E5C7C" w:rsidRDefault="0073415E" w:rsidP="004E5C7C">
      <w:pPr>
        <w:pStyle w:val="SingleTxtG"/>
        <w:ind w:right="0"/>
        <w:rPr>
          <w:sz w:val="22"/>
          <w:szCs w:val="22"/>
        </w:rPr>
      </w:pPr>
      <w:r w:rsidRPr="004E5C7C">
        <w:rPr>
          <w:sz w:val="22"/>
          <w:szCs w:val="22"/>
        </w:rPr>
        <w:t xml:space="preserve">The issue of the provision of visits to detainees was repeatedly studied by the </w:t>
      </w:r>
      <w:r w:rsidR="00BE1F93">
        <w:rPr>
          <w:sz w:val="22"/>
          <w:szCs w:val="22"/>
        </w:rPr>
        <w:t>European Court of Human Rights (</w:t>
      </w:r>
      <w:r w:rsidR="00BE1F93" w:rsidRPr="004E5C7C">
        <w:rPr>
          <w:sz w:val="22"/>
          <w:szCs w:val="22"/>
        </w:rPr>
        <w:t>ECtHR</w:t>
      </w:r>
      <w:r w:rsidR="00BE1F93">
        <w:rPr>
          <w:sz w:val="22"/>
          <w:szCs w:val="22"/>
        </w:rPr>
        <w:t>)</w:t>
      </w:r>
      <w:r w:rsidRPr="004E5C7C">
        <w:rPr>
          <w:sz w:val="22"/>
          <w:szCs w:val="22"/>
        </w:rPr>
        <w:t>. The ECtHR in its numerous judgments against Ukraine pointed out that the provisions of the national law did not define with sufficient clarity the boundaries and ways of exercising the discretionary powers of the investigation bodies to grant permission for a detainee to meet with his/ her relatives. The ECtHR found a violation of Art</w:t>
      </w:r>
      <w:r w:rsidR="007321EA">
        <w:rPr>
          <w:sz w:val="22"/>
          <w:szCs w:val="22"/>
        </w:rPr>
        <w:t>.</w:t>
      </w:r>
      <w:r w:rsidRPr="004E5C7C">
        <w:rPr>
          <w:sz w:val="22"/>
          <w:szCs w:val="22"/>
        </w:rPr>
        <w:t>8 of the Convention for the Protection of Human Rights and Fundamental Freedoms because, in the applicant’s case, the investigator had simply stated that the meetings requested could interfere with the establishment of the truth in the case. In these circumstances, according to the ECtHR, it cannot be said that the interference with the applicant’s right to respect for his family life was “in accordance with the law”, as required by paragraph 2 of Art</w:t>
      </w:r>
      <w:r w:rsidR="007321EA">
        <w:rPr>
          <w:sz w:val="22"/>
          <w:szCs w:val="22"/>
        </w:rPr>
        <w:t>.</w:t>
      </w:r>
      <w:r w:rsidRPr="004E5C7C">
        <w:rPr>
          <w:sz w:val="22"/>
          <w:szCs w:val="22"/>
        </w:rPr>
        <w:t xml:space="preserve">8 of the Convention for the Protection of Human Rights and Fundamental Freedoms. </w:t>
      </w:r>
    </w:p>
    <w:p w14:paraId="356985F1" w14:textId="77777777" w:rsidR="0073415E" w:rsidRPr="004E5C7C" w:rsidRDefault="0073415E" w:rsidP="004E5C7C">
      <w:pPr>
        <w:pStyle w:val="SingleTxtG"/>
        <w:ind w:right="0"/>
        <w:rPr>
          <w:sz w:val="22"/>
          <w:szCs w:val="22"/>
        </w:rPr>
      </w:pPr>
      <w:r w:rsidRPr="004E5C7C">
        <w:rPr>
          <w:sz w:val="22"/>
          <w:szCs w:val="22"/>
        </w:rPr>
        <w:t xml:space="preserve">On the other hand, the Ukrainian legislation only states that permission to visit is granted by an investigator or a court, without specifying any grounds for refusing to grant such a visit. Moreover, there is no possibility of verifying the validity of the investigator’s or court’s decision to refuse a family visit to a suspect or an accused person who is being held in custody. Therefore, the issue of refusal of a family visit to a detainee, as well as appealing against such a refusal in court, needs to be regulated at the legislative level. </w:t>
      </w:r>
    </w:p>
    <w:p w14:paraId="72E91875" w14:textId="7AED6ADC" w:rsidR="006941FB" w:rsidRPr="004E5C7C" w:rsidRDefault="0073415E" w:rsidP="004E5C7C">
      <w:pPr>
        <w:pStyle w:val="SingleTxtG"/>
        <w:ind w:right="0"/>
        <w:rPr>
          <w:sz w:val="22"/>
          <w:szCs w:val="22"/>
        </w:rPr>
      </w:pPr>
      <w:r w:rsidRPr="004E5C7C">
        <w:rPr>
          <w:sz w:val="22"/>
          <w:szCs w:val="22"/>
        </w:rPr>
        <w:t xml:space="preserve">The requirement regarding the determination of criminal charges within a reasonable time is a key element of the right to a fair trial as guaranteed by </w:t>
      </w:r>
      <w:r w:rsidR="007321EA" w:rsidRPr="004E5C7C">
        <w:rPr>
          <w:sz w:val="22"/>
          <w:szCs w:val="22"/>
        </w:rPr>
        <w:t>Art</w:t>
      </w:r>
      <w:r w:rsidR="007321EA">
        <w:rPr>
          <w:sz w:val="22"/>
          <w:szCs w:val="22"/>
        </w:rPr>
        <w:t>.</w:t>
      </w:r>
      <w:r w:rsidRPr="004E5C7C">
        <w:rPr>
          <w:sz w:val="22"/>
          <w:szCs w:val="22"/>
        </w:rPr>
        <w:t>6 of the Convention for the Protection of Human Rights and Fundamental Freedoms. Ensuring this right, which includes avoiding unreasonable delay, is relevant to many aspects of the organisation of the criminal justice system, in particular, the procedures to be followed, the powers available, the institutional arrangements in place, the technology used, and the resources made available.</w:t>
      </w:r>
    </w:p>
    <w:p w14:paraId="42F57FEC" w14:textId="0D3C5558" w:rsidR="000E2D74" w:rsidRPr="004E5C7C" w:rsidRDefault="000E2D74" w:rsidP="004E5C7C">
      <w:pPr>
        <w:pStyle w:val="SingleTxtG"/>
        <w:ind w:right="0"/>
        <w:rPr>
          <w:sz w:val="22"/>
          <w:szCs w:val="22"/>
        </w:rPr>
      </w:pPr>
    </w:p>
    <w:p w14:paraId="5EA2C6EA" w14:textId="36EC0453" w:rsidR="00306AFB" w:rsidRPr="004E5C7C" w:rsidRDefault="00306AFB" w:rsidP="00924DD2">
      <w:pPr>
        <w:pStyle w:val="SingleTxtG"/>
        <w:keepNext/>
        <w:ind w:right="0"/>
        <w:rPr>
          <w:b/>
          <w:bCs/>
          <w:i/>
          <w:iCs/>
          <w:sz w:val="22"/>
          <w:szCs w:val="22"/>
        </w:rPr>
      </w:pPr>
      <w:r w:rsidRPr="004E5C7C">
        <w:rPr>
          <w:b/>
          <w:bCs/>
          <w:i/>
          <w:iCs/>
          <w:sz w:val="22"/>
          <w:szCs w:val="22"/>
        </w:rPr>
        <w:t xml:space="preserve">Delays in </w:t>
      </w:r>
      <w:r w:rsidR="00777AFF">
        <w:rPr>
          <w:b/>
          <w:bCs/>
          <w:i/>
          <w:iCs/>
          <w:sz w:val="22"/>
          <w:szCs w:val="22"/>
        </w:rPr>
        <w:t xml:space="preserve">the </w:t>
      </w:r>
      <w:r w:rsidRPr="004E5C7C">
        <w:rPr>
          <w:b/>
          <w:bCs/>
          <w:i/>
          <w:iCs/>
          <w:sz w:val="22"/>
          <w:szCs w:val="22"/>
        </w:rPr>
        <w:t>administration of justice</w:t>
      </w:r>
    </w:p>
    <w:p w14:paraId="51D2560F" w14:textId="0C4A0FC9" w:rsidR="00306AFB" w:rsidRPr="004E5C7C" w:rsidRDefault="00306AFB" w:rsidP="004E5C7C">
      <w:pPr>
        <w:pStyle w:val="SingleTxtG"/>
        <w:ind w:right="0"/>
        <w:rPr>
          <w:sz w:val="22"/>
          <w:szCs w:val="22"/>
        </w:rPr>
      </w:pPr>
      <w:r w:rsidRPr="004E5C7C">
        <w:rPr>
          <w:sz w:val="22"/>
          <w:szCs w:val="22"/>
        </w:rPr>
        <w:t xml:space="preserve">Monitoring of the observance of procedural rights during court proceedings gives grounds to assert that problems of past years that are related to delays in the administration of justice remain unresolved. </w:t>
      </w:r>
      <w:r w:rsidR="00873299">
        <w:rPr>
          <w:sz w:val="22"/>
          <w:szCs w:val="22"/>
        </w:rPr>
        <w:t xml:space="preserve">As of </w:t>
      </w:r>
      <w:r w:rsidR="00777AFF">
        <w:rPr>
          <w:sz w:val="22"/>
          <w:szCs w:val="22"/>
        </w:rPr>
        <w:t>10 September 2021,</w:t>
      </w:r>
      <w:r w:rsidRPr="004E5C7C">
        <w:rPr>
          <w:sz w:val="22"/>
          <w:szCs w:val="22"/>
        </w:rPr>
        <w:t xml:space="preserve"> the Commissioner received </w:t>
      </w:r>
      <w:r w:rsidR="00873299">
        <w:rPr>
          <w:sz w:val="22"/>
          <w:szCs w:val="22"/>
        </w:rPr>
        <w:t xml:space="preserve">114 </w:t>
      </w:r>
      <w:r w:rsidRPr="004E5C7C">
        <w:rPr>
          <w:sz w:val="22"/>
          <w:szCs w:val="22"/>
        </w:rPr>
        <w:t>reports of delays in the trial of criminal proceedings</w:t>
      </w:r>
      <w:r w:rsidR="00873299">
        <w:rPr>
          <w:sz w:val="22"/>
          <w:szCs w:val="22"/>
        </w:rPr>
        <w:t xml:space="preserve"> (188 reports in 2020)</w:t>
      </w:r>
      <w:r w:rsidRPr="004E5C7C">
        <w:rPr>
          <w:sz w:val="22"/>
          <w:szCs w:val="22"/>
        </w:rPr>
        <w:t xml:space="preserve">. Due to the incomplete reform of the legislation in the field of judicial organization, </w:t>
      </w:r>
      <w:r w:rsidR="00777AFF">
        <w:rPr>
          <w:sz w:val="22"/>
          <w:szCs w:val="22"/>
        </w:rPr>
        <w:t xml:space="preserve">the </w:t>
      </w:r>
      <w:r w:rsidRPr="004E5C7C">
        <w:rPr>
          <w:sz w:val="22"/>
          <w:szCs w:val="22"/>
        </w:rPr>
        <w:t xml:space="preserve">performance of the qualification assessment of judges and competitions to fill judicial vacancies, entrusted to the High Qualification Commission of Judges, was, in fact, ceased. </w:t>
      </w:r>
    </w:p>
    <w:p w14:paraId="1C8A631C" w14:textId="5D047D14" w:rsidR="00306AFB" w:rsidRDefault="00306AFB" w:rsidP="004E5C7C">
      <w:pPr>
        <w:pStyle w:val="SingleTxtG"/>
        <w:ind w:right="0"/>
        <w:rPr>
          <w:sz w:val="22"/>
          <w:szCs w:val="22"/>
        </w:rPr>
      </w:pPr>
      <w:r w:rsidRPr="004E5C7C">
        <w:rPr>
          <w:sz w:val="22"/>
          <w:szCs w:val="22"/>
        </w:rPr>
        <w:t>The high number of judicial vacancies (1,387 as of</w:t>
      </w:r>
      <w:r w:rsidR="00777AFF">
        <w:rPr>
          <w:sz w:val="22"/>
          <w:szCs w:val="22"/>
        </w:rPr>
        <w:t xml:space="preserve"> the</w:t>
      </w:r>
      <w:r w:rsidRPr="004E5C7C">
        <w:rPr>
          <w:sz w:val="22"/>
          <w:szCs w:val="22"/>
        </w:rPr>
        <w:t xml:space="preserve"> </w:t>
      </w:r>
      <w:r w:rsidR="00873299">
        <w:rPr>
          <w:sz w:val="22"/>
          <w:szCs w:val="22"/>
        </w:rPr>
        <w:t>beginning of</w:t>
      </w:r>
      <w:r w:rsidR="00777AFF">
        <w:rPr>
          <w:sz w:val="22"/>
          <w:szCs w:val="22"/>
        </w:rPr>
        <w:t xml:space="preserve"> </w:t>
      </w:r>
      <w:r w:rsidRPr="004E5C7C">
        <w:rPr>
          <w:sz w:val="22"/>
          <w:szCs w:val="22"/>
        </w:rPr>
        <w:t xml:space="preserve">2021) leads to the fact that cases in courts are appointed at long intervals, and due to the excessive workload of judges, cases are considered for a very long time. </w:t>
      </w:r>
    </w:p>
    <w:p w14:paraId="68B8D2B0" w14:textId="02B89079" w:rsidR="00873299" w:rsidRPr="00873299" w:rsidRDefault="00873299" w:rsidP="004E5C7C">
      <w:pPr>
        <w:pStyle w:val="SingleTxtG"/>
        <w:ind w:right="0"/>
        <w:rPr>
          <w:sz w:val="22"/>
          <w:szCs w:val="22"/>
        </w:rPr>
      </w:pPr>
      <w:r w:rsidRPr="00873299">
        <w:rPr>
          <w:sz w:val="22"/>
          <w:szCs w:val="22"/>
        </w:rPr>
        <w:t xml:space="preserve">On 13 July 2021, the Law “On Amendments to the Law of Ukraine“ On the Judiciary and the Status of Judges ”and some laws of Ukraine on resumption of the High Qualifications Commission of Judges of Ukraine” </w:t>
      </w:r>
      <w:r w:rsidR="00DB3EB2">
        <w:rPr>
          <w:sz w:val="22"/>
          <w:szCs w:val="22"/>
        </w:rPr>
        <w:t>No.</w:t>
      </w:r>
      <w:r w:rsidRPr="00873299">
        <w:rPr>
          <w:sz w:val="22"/>
          <w:szCs w:val="22"/>
        </w:rPr>
        <w:t xml:space="preserve">1629-IX was adopted. </w:t>
      </w:r>
    </w:p>
    <w:p w14:paraId="1DD970EC" w14:textId="38EF5D0B" w:rsidR="00873299" w:rsidRPr="004E5C7C" w:rsidRDefault="00873299" w:rsidP="004E5C7C">
      <w:pPr>
        <w:pStyle w:val="SingleTxtG"/>
        <w:ind w:right="0"/>
        <w:rPr>
          <w:sz w:val="22"/>
          <w:szCs w:val="22"/>
        </w:rPr>
      </w:pPr>
      <w:r w:rsidRPr="00873299">
        <w:rPr>
          <w:sz w:val="22"/>
          <w:szCs w:val="22"/>
        </w:rPr>
        <w:t xml:space="preserve">However, as of September 2021, the work of the </w:t>
      </w:r>
      <w:r w:rsidR="005B30E1">
        <w:rPr>
          <w:sz w:val="22"/>
          <w:szCs w:val="22"/>
        </w:rPr>
        <w:t>HQCJU</w:t>
      </w:r>
      <w:r w:rsidRPr="00873299">
        <w:rPr>
          <w:sz w:val="22"/>
          <w:szCs w:val="22"/>
        </w:rPr>
        <w:t xml:space="preserve"> has not been resumed, which in particular led to the suspension of the completion of qualification assessment and made it impossible to make recommendations on the appointment of judges to the High Council of Justice.</w:t>
      </w:r>
    </w:p>
    <w:p w14:paraId="77FD2B7E" w14:textId="6C6FB640" w:rsidR="00306AFB" w:rsidRDefault="00306AFB" w:rsidP="004E5C7C">
      <w:pPr>
        <w:pStyle w:val="SingleTxtG"/>
        <w:ind w:right="0"/>
        <w:rPr>
          <w:sz w:val="22"/>
          <w:szCs w:val="22"/>
        </w:rPr>
      </w:pPr>
    </w:p>
    <w:p w14:paraId="3FB1ACEB" w14:textId="38ABE69F" w:rsidR="00935E35" w:rsidRPr="00935E35" w:rsidRDefault="00935E35" w:rsidP="00935E35">
      <w:pPr>
        <w:pStyle w:val="SingleTxtG"/>
        <w:ind w:right="0"/>
        <w:rPr>
          <w:b/>
          <w:sz w:val="22"/>
          <w:szCs w:val="22"/>
          <w:highlight w:val="lightGray"/>
        </w:rPr>
      </w:pPr>
      <w:r w:rsidRPr="00935E35">
        <w:rPr>
          <w:b/>
          <w:sz w:val="22"/>
          <w:szCs w:val="22"/>
          <w:highlight w:val="lightGray"/>
        </w:rPr>
        <w:t xml:space="preserve">The right </w:t>
      </w:r>
      <w:r w:rsidRPr="00A02CB9">
        <w:rPr>
          <w:b/>
          <w:sz w:val="22"/>
          <w:szCs w:val="22"/>
          <w:highlight w:val="lightGray"/>
        </w:rPr>
        <w:t xml:space="preserve">to </w:t>
      </w:r>
      <w:r w:rsidR="00A02CB9" w:rsidRPr="00A02CB9">
        <w:rPr>
          <w:b/>
          <w:sz w:val="22"/>
          <w:szCs w:val="22"/>
          <w:highlight w:val="lightGray"/>
        </w:rPr>
        <w:t xml:space="preserve">recognition everywhere as a person before the law </w:t>
      </w:r>
      <w:r w:rsidRPr="00A02CB9">
        <w:rPr>
          <w:b/>
          <w:sz w:val="22"/>
          <w:szCs w:val="22"/>
          <w:highlight w:val="lightGray"/>
        </w:rPr>
        <w:t>(</w:t>
      </w:r>
      <w:r w:rsidR="007321EA">
        <w:rPr>
          <w:b/>
          <w:sz w:val="22"/>
          <w:szCs w:val="22"/>
          <w:highlight w:val="lightGray"/>
        </w:rPr>
        <w:t>A</w:t>
      </w:r>
      <w:r w:rsidR="00550974">
        <w:rPr>
          <w:b/>
          <w:sz w:val="22"/>
          <w:szCs w:val="22"/>
          <w:highlight w:val="lightGray"/>
        </w:rPr>
        <w:t>rt.</w:t>
      </w:r>
      <w:r w:rsidRPr="00935E35">
        <w:rPr>
          <w:b/>
          <w:sz w:val="22"/>
          <w:szCs w:val="22"/>
          <w:highlight w:val="lightGray"/>
        </w:rPr>
        <w:t>16)</w:t>
      </w:r>
    </w:p>
    <w:p w14:paraId="1F2E7212" w14:textId="6F9D3B08" w:rsidR="00935E35" w:rsidRPr="00935E35" w:rsidRDefault="00935E35" w:rsidP="00935E35">
      <w:pPr>
        <w:pStyle w:val="SingleTxtG"/>
        <w:ind w:right="0"/>
        <w:rPr>
          <w:sz w:val="22"/>
          <w:szCs w:val="22"/>
        </w:rPr>
      </w:pPr>
      <w:r w:rsidRPr="00935E35">
        <w:rPr>
          <w:sz w:val="22"/>
          <w:szCs w:val="22"/>
        </w:rPr>
        <w:t xml:space="preserve">The temporary occupation of the </w:t>
      </w:r>
      <w:r w:rsidR="006C4F50">
        <w:rPr>
          <w:sz w:val="22"/>
          <w:szCs w:val="22"/>
        </w:rPr>
        <w:t>ARC</w:t>
      </w:r>
      <w:r w:rsidRPr="00935E35">
        <w:rPr>
          <w:sz w:val="22"/>
          <w:szCs w:val="22"/>
        </w:rPr>
        <w:t xml:space="preserve"> and certain </w:t>
      </w:r>
      <w:r w:rsidR="003024DB">
        <w:rPr>
          <w:sz w:val="22"/>
          <w:szCs w:val="22"/>
        </w:rPr>
        <w:t>areas</w:t>
      </w:r>
      <w:r w:rsidRPr="00935E35">
        <w:rPr>
          <w:sz w:val="22"/>
          <w:szCs w:val="22"/>
        </w:rPr>
        <w:t xml:space="preserve"> of Donetsk and Luhansk oblasts by the Russian Federation has led to the loss or damage of a significant number of citizens' passports.</w:t>
      </w:r>
    </w:p>
    <w:p w14:paraId="53DAD39C" w14:textId="77777777" w:rsidR="00935E35" w:rsidRPr="00935E35" w:rsidRDefault="00935E35" w:rsidP="00935E35">
      <w:pPr>
        <w:pStyle w:val="SingleTxtG"/>
        <w:ind w:right="0"/>
        <w:rPr>
          <w:sz w:val="22"/>
          <w:szCs w:val="22"/>
        </w:rPr>
      </w:pPr>
      <w:r w:rsidRPr="00935E35">
        <w:rPr>
          <w:sz w:val="22"/>
          <w:szCs w:val="22"/>
        </w:rPr>
        <w:t>In addition, a significant number of undocumented persons at risk of statelessness in Ukraine are those who could not exchange the passport of the former USSR for a passport of a citizen of Ukraine, convicts who lost or did not receive a passport of a citizen of Ukraine, members of the Roma minority.</w:t>
      </w:r>
    </w:p>
    <w:p w14:paraId="14AF94A3" w14:textId="0CF4F4EC" w:rsidR="00935E35" w:rsidRDefault="00935E35" w:rsidP="00935E35">
      <w:pPr>
        <w:pStyle w:val="SingleTxtG"/>
        <w:ind w:right="0"/>
        <w:rPr>
          <w:sz w:val="22"/>
          <w:szCs w:val="22"/>
        </w:rPr>
      </w:pPr>
      <w:r w:rsidRPr="00935E35">
        <w:rPr>
          <w:sz w:val="22"/>
          <w:szCs w:val="22"/>
        </w:rPr>
        <w:t>The lack of personal documents significantly limits the access of Ukrainian citizens to the exercise of their basic rights and freedoms.</w:t>
      </w:r>
    </w:p>
    <w:p w14:paraId="45D65CB6" w14:textId="0EB2779A" w:rsidR="00935E35" w:rsidRDefault="00E66FC0" w:rsidP="004E5C7C">
      <w:pPr>
        <w:pStyle w:val="SingleTxtG"/>
        <w:ind w:right="0"/>
        <w:rPr>
          <w:sz w:val="22"/>
          <w:szCs w:val="22"/>
        </w:rPr>
      </w:pPr>
      <w:r>
        <w:rPr>
          <w:sz w:val="22"/>
          <w:szCs w:val="22"/>
          <w:lang w:val="en"/>
        </w:rPr>
        <w:t>Adoption o</w:t>
      </w:r>
      <w:r w:rsidRPr="00E66FC0">
        <w:rPr>
          <w:sz w:val="22"/>
          <w:szCs w:val="22"/>
          <w:lang w:val="en"/>
        </w:rPr>
        <w:t xml:space="preserve">n </w:t>
      </w:r>
      <w:r>
        <w:rPr>
          <w:sz w:val="22"/>
          <w:szCs w:val="22"/>
          <w:lang w:val="en"/>
        </w:rPr>
        <w:t xml:space="preserve">16 </w:t>
      </w:r>
      <w:r w:rsidRPr="00E66FC0">
        <w:rPr>
          <w:sz w:val="22"/>
          <w:szCs w:val="22"/>
          <w:lang w:val="en"/>
        </w:rPr>
        <w:t>June 2020</w:t>
      </w:r>
      <w:r>
        <w:rPr>
          <w:sz w:val="22"/>
          <w:szCs w:val="22"/>
          <w:lang w:val="en"/>
        </w:rPr>
        <w:t xml:space="preserve"> of </w:t>
      </w:r>
      <w:r w:rsidRPr="00E66FC0">
        <w:rPr>
          <w:sz w:val="22"/>
          <w:szCs w:val="22"/>
          <w:lang w:val="en"/>
        </w:rPr>
        <w:t xml:space="preserve">the Law “On Amendments to Certain Legislative Acts of Ukraine Concerning Recognition </w:t>
      </w:r>
      <w:r>
        <w:rPr>
          <w:sz w:val="22"/>
          <w:szCs w:val="22"/>
          <w:lang w:val="en"/>
        </w:rPr>
        <w:t>of</w:t>
      </w:r>
      <w:r w:rsidRPr="00E66FC0">
        <w:rPr>
          <w:sz w:val="22"/>
          <w:szCs w:val="22"/>
          <w:lang w:val="en"/>
        </w:rPr>
        <w:t xml:space="preserve"> a Stateless Person” </w:t>
      </w:r>
      <w:r>
        <w:rPr>
          <w:sz w:val="22"/>
          <w:szCs w:val="22"/>
          <w:lang w:val="en"/>
        </w:rPr>
        <w:t>and approval on 24</w:t>
      </w:r>
      <w:r w:rsidRPr="00E66FC0">
        <w:rPr>
          <w:sz w:val="22"/>
          <w:szCs w:val="22"/>
          <w:lang w:val="en"/>
        </w:rPr>
        <w:t xml:space="preserve"> March 2021</w:t>
      </w:r>
      <w:r>
        <w:rPr>
          <w:sz w:val="22"/>
          <w:szCs w:val="22"/>
          <w:lang w:val="en"/>
        </w:rPr>
        <w:t xml:space="preserve"> of</w:t>
      </w:r>
      <w:r w:rsidRPr="00E66FC0">
        <w:rPr>
          <w:sz w:val="22"/>
          <w:szCs w:val="22"/>
          <w:lang w:val="en"/>
        </w:rPr>
        <w:t xml:space="preserve"> the </w:t>
      </w:r>
      <w:r>
        <w:rPr>
          <w:sz w:val="22"/>
          <w:szCs w:val="22"/>
          <w:lang w:val="en"/>
        </w:rPr>
        <w:t>CMU Regulation No</w:t>
      </w:r>
      <w:r w:rsidR="00DB3EB2">
        <w:rPr>
          <w:sz w:val="22"/>
          <w:szCs w:val="22"/>
          <w:lang w:val="en"/>
        </w:rPr>
        <w:t>.</w:t>
      </w:r>
      <w:r w:rsidRPr="00E66FC0">
        <w:rPr>
          <w:sz w:val="22"/>
          <w:szCs w:val="22"/>
          <w:lang w:val="en"/>
        </w:rPr>
        <w:t>317 “Some Issues of Recognition as a Stateless Person”.</w:t>
      </w:r>
      <w:r>
        <w:rPr>
          <w:sz w:val="22"/>
          <w:szCs w:val="22"/>
          <w:lang w:val="en"/>
        </w:rPr>
        <w:t xml:space="preserve"> </w:t>
      </w:r>
      <w:r w:rsidR="00C910AB" w:rsidRPr="00C910AB">
        <w:rPr>
          <w:sz w:val="22"/>
          <w:szCs w:val="22"/>
          <w:lang w:val="en"/>
        </w:rPr>
        <w:t xml:space="preserve">entitle persons to apply to the </w:t>
      </w:r>
      <w:r w:rsidR="00C910AB">
        <w:rPr>
          <w:sz w:val="22"/>
          <w:szCs w:val="22"/>
          <w:lang w:val="en"/>
        </w:rPr>
        <w:t xml:space="preserve">State Migration Service </w:t>
      </w:r>
      <w:r w:rsidR="00C910AB" w:rsidRPr="00C910AB">
        <w:rPr>
          <w:sz w:val="22"/>
          <w:szCs w:val="22"/>
          <w:lang w:val="en"/>
        </w:rPr>
        <w:t>to determine their status and obtain a residence permit for stateless persons, regardless of the legality of their stay in Ukraine.</w:t>
      </w:r>
    </w:p>
    <w:p w14:paraId="2A64F2FC" w14:textId="77777777" w:rsidR="00935E35" w:rsidRPr="004E5C7C" w:rsidRDefault="00935E35" w:rsidP="004E5C7C">
      <w:pPr>
        <w:pStyle w:val="SingleTxtG"/>
        <w:ind w:right="0"/>
        <w:rPr>
          <w:sz w:val="22"/>
          <w:szCs w:val="22"/>
        </w:rPr>
      </w:pPr>
    </w:p>
    <w:p w14:paraId="20D60983" w14:textId="01B4196D" w:rsidR="00DB1DC8" w:rsidRPr="004E5C7C" w:rsidRDefault="00DB1DC8" w:rsidP="004E5C7C">
      <w:pPr>
        <w:pStyle w:val="SingleTxtG"/>
        <w:ind w:right="0"/>
        <w:rPr>
          <w:b/>
          <w:sz w:val="22"/>
          <w:szCs w:val="22"/>
        </w:rPr>
      </w:pPr>
      <w:r w:rsidRPr="004E5C7C">
        <w:rPr>
          <w:b/>
          <w:sz w:val="22"/>
          <w:szCs w:val="22"/>
          <w:highlight w:val="lightGray"/>
        </w:rPr>
        <w:t>Right to privacy (</w:t>
      </w:r>
      <w:r w:rsidR="007321EA">
        <w:rPr>
          <w:b/>
          <w:sz w:val="22"/>
          <w:szCs w:val="22"/>
          <w:highlight w:val="lightGray"/>
        </w:rPr>
        <w:t>A</w:t>
      </w:r>
      <w:r w:rsidR="007321EA" w:rsidRPr="004E5C7C">
        <w:rPr>
          <w:b/>
          <w:sz w:val="22"/>
          <w:szCs w:val="22"/>
          <w:highlight w:val="lightGray"/>
        </w:rPr>
        <w:t>rt</w:t>
      </w:r>
      <w:r w:rsidRPr="004E5C7C">
        <w:rPr>
          <w:b/>
          <w:sz w:val="22"/>
          <w:szCs w:val="22"/>
          <w:highlight w:val="lightGray"/>
        </w:rPr>
        <w:t>.17)</w:t>
      </w:r>
    </w:p>
    <w:p w14:paraId="6E75ADB4" w14:textId="7F703EDE" w:rsidR="00CD020F" w:rsidRDefault="0060647B" w:rsidP="004E5C7C">
      <w:pPr>
        <w:pStyle w:val="SingleTxtG"/>
        <w:ind w:right="0"/>
        <w:rPr>
          <w:sz w:val="22"/>
          <w:szCs w:val="22"/>
        </w:rPr>
      </w:pPr>
      <w:r w:rsidRPr="004E5C7C">
        <w:rPr>
          <w:sz w:val="22"/>
          <w:szCs w:val="22"/>
        </w:rPr>
        <w:t>In 2020, the Ministry of Digital Transformation</w:t>
      </w:r>
      <w:r w:rsidR="004E30A1">
        <w:rPr>
          <w:sz w:val="22"/>
          <w:szCs w:val="22"/>
          <w:lang w:val="uk-UA"/>
        </w:rPr>
        <w:t xml:space="preserve"> </w:t>
      </w:r>
      <w:r w:rsidR="004E30A1" w:rsidRPr="007F4B4D">
        <w:rPr>
          <w:sz w:val="22"/>
          <w:szCs w:val="22"/>
          <w:lang w:val="en-US"/>
        </w:rPr>
        <w:t>(</w:t>
      </w:r>
      <w:r w:rsidR="004E30A1">
        <w:rPr>
          <w:sz w:val="22"/>
          <w:szCs w:val="22"/>
          <w:lang w:val="en-US"/>
        </w:rPr>
        <w:t>MDT)</w:t>
      </w:r>
      <w:r w:rsidRPr="004E5C7C">
        <w:rPr>
          <w:sz w:val="22"/>
          <w:szCs w:val="22"/>
        </w:rPr>
        <w:t xml:space="preserve"> and other public authorities have actively implemented e-services, the operation of which is based on the automation of processing of large amounts of personal data, in particular, in the provision of administrative services in other areas, involving the electronic interaction between a person and state institutions. </w:t>
      </w:r>
    </w:p>
    <w:p w14:paraId="5B1A1CDB" w14:textId="23DA0699" w:rsidR="0060647B" w:rsidRPr="004E5C7C" w:rsidRDefault="0060647B" w:rsidP="004E5C7C">
      <w:pPr>
        <w:pStyle w:val="SingleTxtG"/>
        <w:ind w:right="0"/>
        <w:rPr>
          <w:sz w:val="22"/>
          <w:szCs w:val="22"/>
          <w:lang w:val="en-US"/>
        </w:rPr>
      </w:pPr>
      <w:r w:rsidRPr="004E5C7C">
        <w:rPr>
          <w:sz w:val="22"/>
          <w:szCs w:val="22"/>
        </w:rPr>
        <w:t xml:space="preserve">According to the </w:t>
      </w:r>
      <w:r w:rsidR="005B30E1">
        <w:rPr>
          <w:sz w:val="22"/>
          <w:szCs w:val="22"/>
        </w:rPr>
        <w:t>MDT</w:t>
      </w:r>
      <w:r w:rsidRPr="004E5C7C">
        <w:rPr>
          <w:sz w:val="22"/>
          <w:szCs w:val="22"/>
        </w:rPr>
        <w:t>, Ukrainians began to use online services five times more. The large-scale digitalization of administrative and management processes predictably increases the risks associated with leakage or unauthorised access to personal data processed through state information resources</w:t>
      </w:r>
    </w:p>
    <w:p w14:paraId="6FD39CDC" w14:textId="5AE42A55" w:rsidR="00777AFF" w:rsidRDefault="00CD020F" w:rsidP="004E5C7C">
      <w:pPr>
        <w:pStyle w:val="SingleTxtG"/>
        <w:ind w:right="0"/>
        <w:rPr>
          <w:sz w:val="22"/>
          <w:szCs w:val="22"/>
          <w:lang w:val="en-US"/>
        </w:rPr>
      </w:pPr>
      <w:r w:rsidRPr="00CD020F">
        <w:rPr>
          <w:sz w:val="22"/>
          <w:szCs w:val="22"/>
          <w:lang w:val="en-US"/>
        </w:rPr>
        <w:t xml:space="preserve">In the first 8 months of 2021 alone, the Commissioner has already received about 2,000 notifications on personal data protection. This is almost the same number of reports received in 2020 and twice as many as in 2019. </w:t>
      </w:r>
    </w:p>
    <w:p w14:paraId="0C9DC8A6" w14:textId="77777777" w:rsidR="007F4B4D" w:rsidRDefault="007F4B4D" w:rsidP="004E5C7C">
      <w:pPr>
        <w:pStyle w:val="SingleTxtG"/>
        <w:ind w:right="0"/>
        <w:rPr>
          <w:b/>
          <w:bCs/>
          <w:i/>
          <w:iCs/>
          <w:sz w:val="22"/>
          <w:szCs w:val="22"/>
          <w:lang w:val="en-US"/>
        </w:rPr>
      </w:pPr>
    </w:p>
    <w:p w14:paraId="23404ED7" w14:textId="34967F48" w:rsidR="00DB1DC8" w:rsidRPr="004E5C7C" w:rsidRDefault="00DB1DC8" w:rsidP="004E5C7C">
      <w:pPr>
        <w:pStyle w:val="SingleTxtG"/>
        <w:ind w:right="0"/>
        <w:rPr>
          <w:b/>
          <w:bCs/>
          <w:i/>
          <w:iCs/>
          <w:sz w:val="22"/>
          <w:szCs w:val="22"/>
          <w:lang w:val="en-US"/>
        </w:rPr>
      </w:pPr>
      <w:r w:rsidRPr="004E5C7C">
        <w:rPr>
          <w:b/>
          <w:bCs/>
          <w:i/>
          <w:iCs/>
          <w:sz w:val="22"/>
          <w:szCs w:val="22"/>
          <w:lang w:val="en-US"/>
        </w:rPr>
        <w:t xml:space="preserve">Right to protection against unlawful processing of personal data </w:t>
      </w:r>
    </w:p>
    <w:p w14:paraId="037188DE" w14:textId="77777777" w:rsidR="00DB1DC8" w:rsidRPr="00FF3D1A" w:rsidRDefault="00DB1DC8" w:rsidP="004E5C7C">
      <w:pPr>
        <w:pStyle w:val="SingleTxtG"/>
        <w:ind w:right="0"/>
        <w:rPr>
          <w:sz w:val="22"/>
          <w:szCs w:val="22"/>
        </w:rPr>
      </w:pPr>
      <w:r w:rsidRPr="004E5C7C">
        <w:rPr>
          <w:sz w:val="22"/>
          <w:szCs w:val="22"/>
          <w:lang w:val="en-US"/>
        </w:rPr>
        <w:t xml:space="preserve">Unlawful processing of personal data is a common phenomenon during debt collection activities, i.e. mobile phone </w:t>
      </w:r>
      <w:r w:rsidRPr="00FF3D1A">
        <w:rPr>
          <w:sz w:val="22"/>
          <w:szCs w:val="22"/>
        </w:rPr>
        <w:t xml:space="preserve">numbers of individuals having nothing to do with money liabilities (family members, neighbours, friends and employees). The consequence of such processing is the violation of the person’s right to protection of personal data. </w:t>
      </w:r>
    </w:p>
    <w:p w14:paraId="359C5B08" w14:textId="5975A5EF" w:rsidR="00DB1DC8" w:rsidRPr="007F4B4D" w:rsidRDefault="00D35D00" w:rsidP="004E5C7C">
      <w:pPr>
        <w:pStyle w:val="SingleTxtG"/>
        <w:ind w:right="0"/>
        <w:rPr>
          <w:sz w:val="22"/>
          <w:szCs w:val="22"/>
          <w:lang w:val="en-US"/>
        </w:rPr>
      </w:pPr>
      <w:r w:rsidRPr="00FF3D1A">
        <w:rPr>
          <w:sz w:val="22"/>
          <w:szCs w:val="22"/>
        </w:rPr>
        <w:t xml:space="preserve">For a long </w:t>
      </w:r>
      <w:r w:rsidR="00777AFF" w:rsidRPr="00FF3D1A">
        <w:rPr>
          <w:sz w:val="22"/>
          <w:szCs w:val="22"/>
        </w:rPr>
        <w:t>time,</w:t>
      </w:r>
      <w:r w:rsidRPr="00FF3D1A">
        <w:rPr>
          <w:sz w:val="22"/>
          <w:szCs w:val="22"/>
        </w:rPr>
        <w:t xml:space="preserve"> the</w:t>
      </w:r>
      <w:r w:rsidR="00777AFF" w:rsidRPr="00FF3D1A">
        <w:rPr>
          <w:sz w:val="22"/>
          <w:szCs w:val="22"/>
        </w:rPr>
        <w:t xml:space="preserve"> </w:t>
      </w:r>
      <w:r w:rsidR="00DB1DC8" w:rsidRPr="00FF3D1A">
        <w:rPr>
          <w:sz w:val="22"/>
          <w:szCs w:val="22"/>
        </w:rPr>
        <w:t xml:space="preserve">legislation </w:t>
      </w:r>
      <w:r w:rsidRPr="00FF3D1A">
        <w:rPr>
          <w:sz w:val="22"/>
          <w:szCs w:val="22"/>
        </w:rPr>
        <w:t xml:space="preserve">did </w:t>
      </w:r>
      <w:r w:rsidR="00DB1DC8" w:rsidRPr="00FF3D1A">
        <w:rPr>
          <w:sz w:val="22"/>
          <w:szCs w:val="22"/>
        </w:rPr>
        <w:t xml:space="preserve">not define the concept of “debt collection activities” and </w:t>
      </w:r>
      <w:r w:rsidRPr="00FF3D1A">
        <w:rPr>
          <w:sz w:val="22"/>
          <w:szCs w:val="22"/>
        </w:rPr>
        <w:t xml:space="preserve">did </w:t>
      </w:r>
      <w:r w:rsidR="00DB1DC8" w:rsidRPr="00FF3D1A">
        <w:rPr>
          <w:sz w:val="22"/>
          <w:szCs w:val="22"/>
        </w:rPr>
        <w:t xml:space="preserve">not establish clear rules of conduct for entities engaged in the relevant activities, mandatory unified requirements for ethical conduct and rules of interaction of such entities with the debtor in settling overdue debts. Failure to regulate this issue and the lack of legal liability of such companies </w:t>
      </w:r>
      <w:r w:rsidRPr="00FF3D1A">
        <w:rPr>
          <w:sz w:val="22"/>
          <w:szCs w:val="22"/>
        </w:rPr>
        <w:t xml:space="preserve">has </w:t>
      </w:r>
      <w:r w:rsidR="00DB1DC8" w:rsidRPr="00FF3D1A">
        <w:rPr>
          <w:sz w:val="22"/>
          <w:szCs w:val="22"/>
        </w:rPr>
        <w:t>led to numerous violations</w:t>
      </w:r>
      <w:r w:rsidR="00DB1DC8" w:rsidRPr="007F4B4D">
        <w:rPr>
          <w:sz w:val="22"/>
          <w:szCs w:val="22"/>
          <w:lang w:val="en-US"/>
        </w:rPr>
        <w:t xml:space="preserve"> of citizens’ rights.</w:t>
      </w:r>
    </w:p>
    <w:p w14:paraId="4A5D0617" w14:textId="116B960C" w:rsidR="00DB1DC8" w:rsidRPr="007F4B4D" w:rsidRDefault="00DB1DC8" w:rsidP="004E5C7C">
      <w:pPr>
        <w:pStyle w:val="SingleTxtG"/>
        <w:ind w:right="0"/>
        <w:rPr>
          <w:sz w:val="22"/>
          <w:szCs w:val="22"/>
          <w:lang w:val="en-US"/>
        </w:rPr>
      </w:pPr>
      <w:r w:rsidRPr="007F4B4D">
        <w:rPr>
          <w:sz w:val="22"/>
          <w:szCs w:val="22"/>
          <w:lang w:val="en-US"/>
        </w:rPr>
        <w:t>With the view to respond to this challenge since July 2020, the National Bank has been regulating and supervising the activities of non-banking financial institutions in accordance with the Law “On the National Bank of Ukraine”.</w:t>
      </w:r>
    </w:p>
    <w:p w14:paraId="6DBF856E" w14:textId="5FCBAF3B" w:rsidR="00DB1DC8" w:rsidRPr="0039504E" w:rsidRDefault="00DB1DC8" w:rsidP="004E5C7C">
      <w:pPr>
        <w:pStyle w:val="SingleTxtG"/>
        <w:ind w:right="0"/>
        <w:rPr>
          <w:sz w:val="22"/>
          <w:szCs w:val="22"/>
          <w:lang w:val="en-US"/>
        </w:rPr>
      </w:pPr>
      <w:r w:rsidRPr="007F4B4D">
        <w:rPr>
          <w:sz w:val="22"/>
          <w:szCs w:val="22"/>
          <w:lang w:val="en-US"/>
        </w:rPr>
        <w:t xml:space="preserve">Also, on </w:t>
      </w:r>
      <w:r w:rsidR="00D35D00" w:rsidRPr="007F4B4D">
        <w:rPr>
          <w:sz w:val="22"/>
          <w:szCs w:val="22"/>
          <w:lang w:val="en-US"/>
        </w:rPr>
        <w:t>19 March</w:t>
      </w:r>
      <w:r w:rsidRPr="007F4B4D">
        <w:rPr>
          <w:sz w:val="22"/>
          <w:szCs w:val="22"/>
          <w:lang w:val="en-US"/>
        </w:rPr>
        <w:t xml:space="preserve"> 2021, the Law “On Amending Certain Legal Acts of Ukraine on the Protection of Debtors in the Settlement of Overdue Debts” (reg.No.4241 of 21 October 2020) was adopted. The </w:t>
      </w:r>
      <w:r w:rsidR="00D35D00" w:rsidRPr="007F4B4D">
        <w:rPr>
          <w:sz w:val="22"/>
          <w:szCs w:val="22"/>
          <w:lang w:val="en-US"/>
        </w:rPr>
        <w:t xml:space="preserve">Law has entered into force </w:t>
      </w:r>
      <w:r w:rsidR="00953DAB">
        <w:rPr>
          <w:sz w:val="22"/>
          <w:szCs w:val="22"/>
          <w:lang w:val="en-US"/>
        </w:rPr>
        <w:t xml:space="preserve">on 14 July 2021 </w:t>
      </w:r>
      <w:r w:rsidR="00D35D00" w:rsidRPr="001D1064">
        <w:rPr>
          <w:sz w:val="22"/>
          <w:szCs w:val="22"/>
          <w:lang w:val="en-US"/>
        </w:rPr>
        <w:t xml:space="preserve">and </w:t>
      </w:r>
      <w:r w:rsidRPr="001D1064">
        <w:rPr>
          <w:sz w:val="22"/>
          <w:szCs w:val="22"/>
          <w:lang w:val="en-US"/>
        </w:rPr>
        <w:t>establish</w:t>
      </w:r>
      <w:r w:rsidR="00D35D00" w:rsidRPr="001D1064">
        <w:rPr>
          <w:sz w:val="22"/>
          <w:szCs w:val="22"/>
          <w:lang w:val="en-US"/>
        </w:rPr>
        <w:t>ed</w:t>
      </w:r>
      <w:r w:rsidRPr="001D1064">
        <w:rPr>
          <w:sz w:val="22"/>
          <w:szCs w:val="22"/>
          <w:lang w:val="en-US"/>
        </w:rPr>
        <w:t xml:space="preserve"> the rules of collectors’ work, in particular, the registration procedure for debt collection </w:t>
      </w:r>
      <w:r w:rsidR="00953DAB" w:rsidRPr="001D1064">
        <w:rPr>
          <w:sz w:val="22"/>
          <w:szCs w:val="22"/>
          <w:lang w:val="en-US"/>
        </w:rPr>
        <w:t>compan</w:t>
      </w:r>
      <w:r w:rsidR="00953DAB">
        <w:rPr>
          <w:sz w:val="22"/>
          <w:szCs w:val="22"/>
          <w:lang w:val="en-US"/>
        </w:rPr>
        <w:t>ies</w:t>
      </w:r>
      <w:r w:rsidRPr="001D1064">
        <w:rPr>
          <w:sz w:val="22"/>
          <w:szCs w:val="22"/>
          <w:lang w:val="en-US"/>
        </w:rPr>
        <w:t>, requirements for ethical conduct with debtors, forms and procedure for communication, an exhaustive list of personal data to be processed, supervision over debt collection activities, and sanctions for violations.</w:t>
      </w:r>
    </w:p>
    <w:p w14:paraId="26EE27AF" w14:textId="77777777" w:rsidR="007F4B4D" w:rsidRDefault="007F4B4D" w:rsidP="004E5C7C">
      <w:pPr>
        <w:pStyle w:val="SingleTxtG"/>
        <w:ind w:right="0"/>
        <w:rPr>
          <w:b/>
          <w:bCs/>
          <w:i/>
          <w:iCs/>
          <w:sz w:val="22"/>
          <w:szCs w:val="22"/>
          <w:lang w:val="en-US"/>
        </w:rPr>
      </w:pPr>
    </w:p>
    <w:p w14:paraId="20F273BC" w14:textId="1C273377" w:rsidR="00DB1DC8" w:rsidRPr="004E5C7C" w:rsidRDefault="00DB1DC8" w:rsidP="004E5C7C">
      <w:pPr>
        <w:pStyle w:val="SingleTxtG"/>
        <w:ind w:right="0"/>
        <w:rPr>
          <w:b/>
          <w:bCs/>
          <w:i/>
          <w:iCs/>
          <w:sz w:val="22"/>
          <w:szCs w:val="22"/>
          <w:lang w:val="en-US"/>
        </w:rPr>
      </w:pPr>
      <w:r w:rsidRPr="0039504E">
        <w:rPr>
          <w:b/>
          <w:bCs/>
          <w:i/>
          <w:iCs/>
          <w:sz w:val="22"/>
          <w:szCs w:val="22"/>
          <w:lang w:val="en-US"/>
        </w:rPr>
        <w:t>Right to protection of personal data against unlawful dissemination</w:t>
      </w:r>
    </w:p>
    <w:p w14:paraId="104EACFF" w14:textId="56387003" w:rsidR="00DB1DC8" w:rsidRPr="004E5C7C" w:rsidRDefault="00DB1DC8" w:rsidP="004E5C7C">
      <w:pPr>
        <w:pStyle w:val="SingleTxtG"/>
        <w:ind w:right="0"/>
        <w:rPr>
          <w:sz w:val="22"/>
          <w:szCs w:val="22"/>
          <w:lang w:val="en-US"/>
        </w:rPr>
      </w:pPr>
      <w:r w:rsidRPr="004E5C7C">
        <w:rPr>
          <w:sz w:val="22"/>
          <w:szCs w:val="22"/>
          <w:lang w:val="en-US"/>
        </w:rPr>
        <w:t>In accordance with Art</w:t>
      </w:r>
      <w:r w:rsidR="00414762">
        <w:rPr>
          <w:sz w:val="22"/>
          <w:szCs w:val="22"/>
          <w:lang w:val="en-US"/>
        </w:rPr>
        <w:t>.</w:t>
      </w:r>
      <w:r w:rsidRPr="004E5C7C">
        <w:rPr>
          <w:sz w:val="22"/>
          <w:szCs w:val="22"/>
          <w:lang w:val="en-US"/>
        </w:rPr>
        <w:t xml:space="preserve">14 of Law No.2297-VI, personal data dissemination requires the consent of the subject of personal data. Performance of such activities without the consent of a subject of personal data or a person authorized by him/her is to be permitted in cases determined by the law and only (where necessary) in the interests of national security, economic welfare, and human rights. </w:t>
      </w:r>
    </w:p>
    <w:p w14:paraId="354F60DE" w14:textId="240E4579" w:rsidR="00DB1DC8" w:rsidRPr="004E5C7C" w:rsidRDefault="00DB1DC8" w:rsidP="004E5C7C">
      <w:pPr>
        <w:pStyle w:val="SingleTxtG"/>
        <w:ind w:right="0"/>
        <w:rPr>
          <w:sz w:val="22"/>
          <w:szCs w:val="22"/>
          <w:lang w:val="en-US"/>
        </w:rPr>
      </w:pPr>
      <w:r w:rsidRPr="004E5C7C">
        <w:rPr>
          <w:sz w:val="22"/>
          <w:szCs w:val="22"/>
          <w:lang w:val="en-US"/>
        </w:rPr>
        <w:t xml:space="preserve">In </w:t>
      </w:r>
      <w:r w:rsidR="00D35D00" w:rsidRPr="004E5C7C">
        <w:rPr>
          <w:sz w:val="22"/>
          <w:szCs w:val="22"/>
          <w:lang w:val="en-US"/>
        </w:rPr>
        <w:t>202</w:t>
      </w:r>
      <w:r w:rsidR="00D35D00">
        <w:rPr>
          <w:sz w:val="22"/>
          <w:szCs w:val="22"/>
          <w:lang w:val="en-US"/>
        </w:rPr>
        <w:t>1</w:t>
      </w:r>
      <w:r w:rsidRPr="004E5C7C">
        <w:rPr>
          <w:sz w:val="22"/>
          <w:szCs w:val="22"/>
          <w:lang w:val="en-US"/>
        </w:rPr>
        <w:t xml:space="preserve">, the Commissioner continued to receive reports of unlawful dissemination of personal data via the Internet. The Commissioner revealed cases of unlawful processing of personal data related to misuse, excessive dissemination of personal data on the Internet and improperly defined grounds for personal data processing. </w:t>
      </w:r>
    </w:p>
    <w:p w14:paraId="41440143" w14:textId="528C0108" w:rsidR="00DB1DC8" w:rsidRPr="004E5C7C" w:rsidRDefault="00DB1DC8" w:rsidP="004E5C7C">
      <w:pPr>
        <w:pStyle w:val="SingleTxtG"/>
        <w:ind w:right="0"/>
        <w:rPr>
          <w:sz w:val="22"/>
          <w:szCs w:val="22"/>
          <w:lang w:val="en-US"/>
        </w:rPr>
      </w:pPr>
      <w:r w:rsidRPr="004E5C7C">
        <w:rPr>
          <w:sz w:val="22"/>
          <w:szCs w:val="22"/>
          <w:lang w:val="en-US"/>
        </w:rPr>
        <w:t xml:space="preserve">Namely, in 2019, the Commissioner stressed the need for an adequate regulatory framework to reduce the uncontrolled circulation of scanned copies of documents containing personal data in the ProZorro electronic procurement system. However, this issue was not legally regulated. </w:t>
      </w:r>
    </w:p>
    <w:p w14:paraId="68F12E4B" w14:textId="77777777" w:rsidR="00DB1DC8" w:rsidRPr="004E5C7C" w:rsidRDefault="00DB1DC8" w:rsidP="004E5C7C">
      <w:pPr>
        <w:pStyle w:val="SingleTxtG"/>
        <w:ind w:right="0"/>
        <w:rPr>
          <w:b/>
          <w:bCs/>
          <w:i/>
          <w:iCs/>
          <w:sz w:val="22"/>
          <w:szCs w:val="22"/>
          <w:lang w:val="en-US"/>
        </w:rPr>
      </w:pPr>
    </w:p>
    <w:p w14:paraId="46FEF016" w14:textId="77777777" w:rsidR="006F4F50" w:rsidRPr="006F4F50" w:rsidRDefault="006F4F50" w:rsidP="006F4F50">
      <w:pPr>
        <w:pStyle w:val="SingleTxtG"/>
        <w:ind w:right="0"/>
        <w:rPr>
          <w:b/>
          <w:bCs/>
          <w:i/>
          <w:iCs/>
          <w:sz w:val="22"/>
          <w:szCs w:val="22"/>
          <w:lang w:val="en-US"/>
        </w:rPr>
      </w:pPr>
      <w:r w:rsidRPr="006F4F50">
        <w:rPr>
          <w:b/>
          <w:bCs/>
          <w:i/>
          <w:iCs/>
          <w:sz w:val="22"/>
          <w:szCs w:val="22"/>
          <w:lang w:val="en-US"/>
        </w:rPr>
        <w:t>Prospects for personal data protection</w:t>
      </w:r>
    </w:p>
    <w:p w14:paraId="64F00644" w14:textId="0D1760D4" w:rsidR="00DB1DC8" w:rsidRPr="004E5C7C" w:rsidRDefault="006F4F50" w:rsidP="006F4F50">
      <w:pPr>
        <w:pStyle w:val="SingleTxtG"/>
        <w:ind w:right="0"/>
        <w:rPr>
          <w:sz w:val="22"/>
          <w:szCs w:val="22"/>
          <w:lang w:val="en-US"/>
        </w:rPr>
      </w:pPr>
      <w:r w:rsidRPr="006F4F50">
        <w:rPr>
          <w:sz w:val="22"/>
          <w:szCs w:val="22"/>
          <w:lang w:val="en-US"/>
        </w:rPr>
        <w:t xml:space="preserve">On </w:t>
      </w:r>
      <w:r>
        <w:rPr>
          <w:sz w:val="22"/>
          <w:szCs w:val="22"/>
          <w:lang w:val="en-US"/>
        </w:rPr>
        <w:t xml:space="preserve">6 </w:t>
      </w:r>
      <w:r w:rsidRPr="006F4F50">
        <w:rPr>
          <w:sz w:val="22"/>
          <w:szCs w:val="22"/>
          <w:lang w:val="en-US"/>
        </w:rPr>
        <w:t xml:space="preserve">July 2021, the </w:t>
      </w:r>
      <w:r w:rsidR="002B3B88">
        <w:rPr>
          <w:sz w:val="22"/>
          <w:szCs w:val="22"/>
          <w:lang w:val="en-US"/>
        </w:rPr>
        <w:t>Parliament</w:t>
      </w:r>
      <w:r w:rsidRPr="006F4F50">
        <w:rPr>
          <w:sz w:val="22"/>
          <w:szCs w:val="22"/>
          <w:lang w:val="en-US"/>
        </w:rPr>
        <w:t xml:space="preserve"> registered a draft of a new version of the Law “On Personal Data Protection” (</w:t>
      </w:r>
      <w:r w:rsidR="00EF174E">
        <w:rPr>
          <w:sz w:val="22"/>
          <w:szCs w:val="22"/>
          <w:lang w:val="en-US"/>
        </w:rPr>
        <w:t>r</w:t>
      </w:r>
      <w:r w:rsidRPr="006F4F50">
        <w:rPr>
          <w:sz w:val="22"/>
          <w:szCs w:val="22"/>
          <w:lang w:val="en-US"/>
        </w:rPr>
        <w:t>eg.</w:t>
      </w:r>
      <w:r w:rsidR="00DB3EB2">
        <w:rPr>
          <w:sz w:val="22"/>
          <w:szCs w:val="22"/>
          <w:lang w:val="en-US"/>
        </w:rPr>
        <w:t>No.</w:t>
      </w:r>
      <w:r w:rsidRPr="006F4F50">
        <w:rPr>
          <w:sz w:val="22"/>
          <w:szCs w:val="22"/>
          <w:lang w:val="en-US"/>
        </w:rPr>
        <w:t>5628), developed to implement the Action Plan for Implementation of the EU-Ukraine Association Agreement. The bill is designed taking into account the basic requirements of the EU General Data Protection Regulation (GDPR)</w:t>
      </w:r>
      <w:r w:rsidR="009677DE" w:rsidRPr="009677DE">
        <w:t xml:space="preserve"> </w:t>
      </w:r>
      <w:r w:rsidR="009677DE" w:rsidRPr="009677DE">
        <w:rPr>
          <w:sz w:val="22"/>
          <w:szCs w:val="22"/>
          <w:lang w:val="en-US"/>
        </w:rPr>
        <w:t>2016/679</w:t>
      </w:r>
      <w:r w:rsidRPr="006F4F50">
        <w:rPr>
          <w:sz w:val="22"/>
          <w:szCs w:val="22"/>
          <w:lang w:val="en-US"/>
        </w:rPr>
        <w:t>.</w:t>
      </w:r>
    </w:p>
    <w:p w14:paraId="2C7F6508" w14:textId="336B5ED6" w:rsidR="00B62868" w:rsidRDefault="00B62868" w:rsidP="004E5C7C">
      <w:pPr>
        <w:pStyle w:val="SingleTxtG"/>
        <w:ind w:right="0"/>
        <w:rPr>
          <w:sz w:val="22"/>
          <w:szCs w:val="22"/>
          <w:lang w:val="en"/>
        </w:rPr>
      </w:pPr>
      <w:r w:rsidRPr="00B62868">
        <w:rPr>
          <w:sz w:val="22"/>
          <w:szCs w:val="22"/>
          <w:lang w:val="en"/>
        </w:rPr>
        <w:t xml:space="preserve">It is expected that after the adoption of this </w:t>
      </w:r>
      <w:r>
        <w:rPr>
          <w:sz w:val="22"/>
          <w:szCs w:val="22"/>
          <w:lang w:val="en"/>
        </w:rPr>
        <w:t>draft law</w:t>
      </w:r>
      <w:r w:rsidRPr="00B62868">
        <w:rPr>
          <w:sz w:val="22"/>
          <w:szCs w:val="22"/>
          <w:lang w:val="en"/>
        </w:rPr>
        <w:t xml:space="preserve">, the rights of personal data </w:t>
      </w:r>
      <w:r>
        <w:rPr>
          <w:sz w:val="22"/>
          <w:szCs w:val="22"/>
          <w:lang w:val="en"/>
        </w:rPr>
        <w:t>actors</w:t>
      </w:r>
      <w:r w:rsidRPr="00B62868">
        <w:rPr>
          <w:sz w:val="22"/>
          <w:szCs w:val="22"/>
          <w:lang w:val="en"/>
        </w:rPr>
        <w:t xml:space="preserve"> will be significantly expanded and the requirements for the processing of personal data by owners and controllers of personal data will be strengthened. The </w:t>
      </w:r>
      <w:r>
        <w:rPr>
          <w:sz w:val="22"/>
          <w:szCs w:val="22"/>
          <w:lang w:val="en"/>
        </w:rPr>
        <w:t>draft law</w:t>
      </w:r>
      <w:r w:rsidRPr="00B62868">
        <w:rPr>
          <w:sz w:val="22"/>
          <w:szCs w:val="22"/>
          <w:lang w:val="en"/>
        </w:rPr>
        <w:t xml:space="preserve"> also significantly increases the responsibility for violating the requirements of legislation in the field of personal data protection. </w:t>
      </w:r>
    </w:p>
    <w:p w14:paraId="205C3A5C" w14:textId="40C8F9D0" w:rsidR="00B62868" w:rsidRDefault="00B62868" w:rsidP="004E5C7C">
      <w:pPr>
        <w:pStyle w:val="SingleTxtG"/>
        <w:ind w:right="0"/>
        <w:rPr>
          <w:sz w:val="22"/>
          <w:szCs w:val="22"/>
        </w:rPr>
      </w:pPr>
      <w:r w:rsidRPr="00B62868">
        <w:rPr>
          <w:sz w:val="22"/>
          <w:szCs w:val="22"/>
          <w:lang w:val="en"/>
        </w:rPr>
        <w:t>An important step for Ukraine is to accede to the Modernized Convention for the Protection of Individuals with regard to Automatic Processing of Personal Data 108+ (hereinafter - the Modernized Convention 108+).</w:t>
      </w:r>
      <w:r w:rsidRPr="00B62868">
        <w:rPr>
          <w:sz w:val="22"/>
          <w:szCs w:val="22"/>
        </w:rPr>
        <w:t xml:space="preserve"> </w:t>
      </w:r>
      <w:r w:rsidR="009677DE" w:rsidRPr="009677DE">
        <w:rPr>
          <w:sz w:val="22"/>
          <w:szCs w:val="22"/>
          <w:lang w:val="en"/>
        </w:rPr>
        <w:t>This will allow the state to effectively comply with international obligations in the field of personal data protection. At the same time, the main requirement for accession to the Modernized Convention 108+ is the reform of legislation in the field of personal data protection and, in particular, the establishment of a separate supervisory body in the field of personal data protection in Ukraine.</w:t>
      </w:r>
    </w:p>
    <w:p w14:paraId="2A3E9442" w14:textId="77777777" w:rsidR="00DB1DC8" w:rsidRPr="004E5C7C" w:rsidRDefault="00DB1DC8" w:rsidP="004E5C7C">
      <w:pPr>
        <w:pStyle w:val="SingleTxtG"/>
        <w:ind w:right="0"/>
        <w:rPr>
          <w:sz w:val="22"/>
          <w:szCs w:val="22"/>
        </w:rPr>
      </w:pPr>
    </w:p>
    <w:p w14:paraId="5D4A55AE" w14:textId="6F962301"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Freedom of conscience and religious belief (</w:t>
      </w:r>
      <w:r w:rsidR="007F4B4D">
        <w:rPr>
          <w:sz w:val="22"/>
          <w:szCs w:val="22"/>
          <w:highlight w:val="lightGray"/>
        </w:rPr>
        <w:t>A</w:t>
      </w:r>
      <w:r w:rsidR="007F4B4D" w:rsidRPr="004E5C7C">
        <w:rPr>
          <w:sz w:val="22"/>
          <w:szCs w:val="22"/>
          <w:highlight w:val="lightGray"/>
        </w:rPr>
        <w:t>rt</w:t>
      </w:r>
      <w:r w:rsidRPr="004E5C7C">
        <w:rPr>
          <w:sz w:val="22"/>
          <w:szCs w:val="22"/>
          <w:highlight w:val="lightGray"/>
        </w:rPr>
        <w:t>. 18)</w:t>
      </w:r>
    </w:p>
    <w:p w14:paraId="7A85865A" w14:textId="7E6F0059" w:rsidR="0039201F" w:rsidRPr="004E5C7C" w:rsidRDefault="0039201F" w:rsidP="004E5C7C">
      <w:pPr>
        <w:pStyle w:val="SingleTxtG"/>
        <w:ind w:right="0"/>
        <w:rPr>
          <w:sz w:val="22"/>
          <w:szCs w:val="22"/>
          <w:lang w:val="en-US"/>
        </w:rPr>
      </w:pPr>
      <w:r w:rsidRPr="004E5C7C">
        <w:rPr>
          <w:sz w:val="22"/>
          <w:szCs w:val="22"/>
          <w:lang w:val="en-US"/>
        </w:rPr>
        <w:t>The Commissioner receive</w:t>
      </w:r>
      <w:r w:rsidR="00BB6D76">
        <w:rPr>
          <w:sz w:val="22"/>
          <w:szCs w:val="22"/>
          <w:lang w:val="en-US"/>
        </w:rPr>
        <w:t>s</w:t>
      </w:r>
      <w:r w:rsidRPr="004E5C7C">
        <w:rPr>
          <w:sz w:val="22"/>
          <w:szCs w:val="22"/>
          <w:lang w:val="en-US"/>
        </w:rPr>
        <w:t xml:space="preserve"> reports,</w:t>
      </w:r>
      <w:r w:rsidR="00953DAB">
        <w:rPr>
          <w:sz w:val="22"/>
          <w:szCs w:val="22"/>
          <w:lang w:val="en-US"/>
        </w:rPr>
        <w:t xml:space="preserve"> </w:t>
      </w:r>
      <w:r w:rsidRPr="004E5C7C">
        <w:rPr>
          <w:sz w:val="22"/>
          <w:szCs w:val="22"/>
          <w:lang w:val="en-US"/>
        </w:rPr>
        <w:t xml:space="preserve">of discrimination on the grounds of religious beliefs and reports of violations of the right to freedom of worldview and religion. In particular, reports concerned the right to renew the registration of the religious organization of the Ukrainian Orthodox Church (Kyiv Patriarchate), the right to change the canonical subordination with the transfer of religious communities of the Ukrainian Orthodox Church (Moscow Patriarchate) to </w:t>
      </w:r>
      <w:r w:rsidR="00953DAB">
        <w:rPr>
          <w:sz w:val="22"/>
          <w:szCs w:val="22"/>
          <w:lang w:val="en-US"/>
        </w:rPr>
        <w:t xml:space="preserve">the </w:t>
      </w:r>
      <w:r w:rsidRPr="004E5C7C">
        <w:rPr>
          <w:sz w:val="22"/>
          <w:szCs w:val="22"/>
          <w:lang w:val="en-US"/>
        </w:rPr>
        <w:t xml:space="preserve">Orthodox Church of Ukraine, the rights of Muslim communities in the temporarily occupied territories of the </w:t>
      </w:r>
      <w:r w:rsidR="006C4F50">
        <w:rPr>
          <w:sz w:val="22"/>
          <w:szCs w:val="22"/>
          <w:lang w:val="en-US"/>
        </w:rPr>
        <w:t>ARC</w:t>
      </w:r>
      <w:r w:rsidRPr="004E5C7C">
        <w:rPr>
          <w:sz w:val="22"/>
          <w:szCs w:val="22"/>
          <w:lang w:val="en-US"/>
        </w:rPr>
        <w:t xml:space="preserve"> and the city of Sevastopol, religious intolerance and vandalism. </w:t>
      </w:r>
    </w:p>
    <w:p w14:paraId="60B39B6D" w14:textId="77777777" w:rsidR="004E3FE0" w:rsidRPr="004E5C7C" w:rsidRDefault="004E3FE0" w:rsidP="004E5C7C">
      <w:pPr>
        <w:pStyle w:val="SingleTxtG"/>
        <w:ind w:right="0"/>
        <w:rPr>
          <w:b/>
          <w:bCs/>
          <w:i/>
          <w:iCs/>
          <w:sz w:val="22"/>
          <w:szCs w:val="22"/>
        </w:rPr>
      </w:pPr>
    </w:p>
    <w:p w14:paraId="52D7E7AF" w14:textId="3CAD5571" w:rsidR="002E2739" w:rsidRPr="004E5C7C" w:rsidRDefault="002E2739" w:rsidP="004E5C7C">
      <w:pPr>
        <w:pStyle w:val="SingleTxtG"/>
        <w:ind w:right="0"/>
        <w:rPr>
          <w:b/>
          <w:bCs/>
          <w:i/>
          <w:iCs/>
          <w:sz w:val="22"/>
          <w:szCs w:val="22"/>
          <w:lang w:val="en-US"/>
        </w:rPr>
      </w:pPr>
      <w:r w:rsidRPr="004E5C7C">
        <w:rPr>
          <w:b/>
          <w:bCs/>
          <w:i/>
          <w:iCs/>
          <w:sz w:val="22"/>
          <w:szCs w:val="22"/>
        </w:rPr>
        <w:t>R</w:t>
      </w:r>
      <w:r w:rsidRPr="004E5C7C">
        <w:rPr>
          <w:b/>
          <w:bCs/>
          <w:i/>
          <w:iCs/>
          <w:sz w:val="22"/>
          <w:szCs w:val="22"/>
          <w:lang w:val="en-US"/>
        </w:rPr>
        <w:t>esolving disputes between religious organizations</w:t>
      </w:r>
    </w:p>
    <w:p w14:paraId="519D511F" w14:textId="0990FE84" w:rsidR="0039201F" w:rsidRPr="004E5C7C" w:rsidRDefault="0039201F" w:rsidP="004E5C7C">
      <w:pPr>
        <w:pStyle w:val="SingleTxtG"/>
        <w:ind w:right="0"/>
        <w:rPr>
          <w:sz w:val="22"/>
          <w:szCs w:val="22"/>
          <w:lang w:val="en-US"/>
        </w:rPr>
      </w:pPr>
      <w:r w:rsidRPr="004E5C7C">
        <w:rPr>
          <w:sz w:val="22"/>
          <w:szCs w:val="22"/>
          <w:lang w:val="en-US"/>
        </w:rPr>
        <w:t>Art</w:t>
      </w:r>
      <w:r w:rsidR="00414762">
        <w:rPr>
          <w:sz w:val="22"/>
          <w:szCs w:val="22"/>
          <w:lang w:val="en-US"/>
        </w:rPr>
        <w:t>.</w:t>
      </w:r>
      <w:r w:rsidRPr="004E5C7C">
        <w:rPr>
          <w:sz w:val="22"/>
          <w:szCs w:val="22"/>
          <w:lang w:val="en-US"/>
        </w:rPr>
        <w:t>17 of the Law “On Freedom of Conscience and Religious Organizations” No.987-XII of 23 April 1991</w:t>
      </w:r>
      <w:r w:rsidR="00E55D7C" w:rsidRPr="004E5C7C">
        <w:rPr>
          <w:sz w:val="22"/>
          <w:szCs w:val="22"/>
          <w:lang w:val="en-US"/>
        </w:rPr>
        <w:t xml:space="preserve"> </w:t>
      </w:r>
      <w:r w:rsidRPr="004E5C7C">
        <w:rPr>
          <w:sz w:val="22"/>
          <w:szCs w:val="22"/>
          <w:lang w:val="en-US"/>
        </w:rPr>
        <w:t>states that religious organizations have the right to use for their needs buildings and property provided to them on a contractual basis by state or public organizations or citizens. Religious buildings and state-owned property may be transferred to two or more religious communities for alternate use by mutual consent. In the absence of such consent, the state body shall determine the procedure for use of the religious building and property by concluding a separate agreement with each community.</w:t>
      </w:r>
    </w:p>
    <w:p w14:paraId="357A065F" w14:textId="1A80CA20" w:rsidR="0039201F" w:rsidRPr="004E5C7C" w:rsidRDefault="0039201F" w:rsidP="004E5C7C">
      <w:pPr>
        <w:pStyle w:val="SingleTxtG"/>
        <w:ind w:right="0"/>
        <w:rPr>
          <w:sz w:val="22"/>
          <w:szCs w:val="22"/>
          <w:lang w:val="en-US"/>
        </w:rPr>
      </w:pPr>
      <w:r w:rsidRPr="004E5C7C">
        <w:rPr>
          <w:sz w:val="22"/>
          <w:szCs w:val="22"/>
          <w:lang w:val="en-US"/>
        </w:rPr>
        <w:t xml:space="preserve">Given that under </w:t>
      </w:r>
      <w:r w:rsidR="00414762" w:rsidRPr="004E5C7C">
        <w:rPr>
          <w:sz w:val="22"/>
          <w:szCs w:val="22"/>
          <w:lang w:val="en-US"/>
        </w:rPr>
        <w:t>Art</w:t>
      </w:r>
      <w:r w:rsidR="00414762">
        <w:rPr>
          <w:sz w:val="22"/>
          <w:szCs w:val="22"/>
          <w:lang w:val="en-US"/>
        </w:rPr>
        <w:t>.</w:t>
      </w:r>
      <w:r w:rsidRPr="004E5C7C">
        <w:rPr>
          <w:sz w:val="22"/>
          <w:szCs w:val="22"/>
          <w:lang w:val="en-US"/>
        </w:rPr>
        <w:t>35 of the Constitution, the church and religious organizations in Ukraine are separated from the state, the judicial procedure for resolving disputes between religious organizations or communities remains the only effective means of settling them.</w:t>
      </w:r>
    </w:p>
    <w:p w14:paraId="0A8F9166" w14:textId="6CF9652A" w:rsidR="00364D8F" w:rsidRDefault="00BB6D76" w:rsidP="004E5C7C">
      <w:pPr>
        <w:pStyle w:val="SingleTxtG"/>
        <w:ind w:right="0"/>
        <w:rPr>
          <w:sz w:val="22"/>
          <w:szCs w:val="22"/>
        </w:rPr>
      </w:pPr>
      <w:r w:rsidRPr="00BB6D76">
        <w:rPr>
          <w:sz w:val="22"/>
          <w:szCs w:val="22"/>
        </w:rPr>
        <w:t>In view of the above</w:t>
      </w:r>
      <w:r>
        <w:rPr>
          <w:sz w:val="22"/>
          <w:szCs w:val="22"/>
        </w:rPr>
        <w:t>mentioned</w:t>
      </w:r>
      <w:r w:rsidRPr="00BB6D76">
        <w:rPr>
          <w:sz w:val="22"/>
          <w:szCs w:val="22"/>
        </w:rPr>
        <w:t xml:space="preserve">, the Commissioner recommended that the Ministry of Culture and Information Policy ensure </w:t>
      </w:r>
      <w:r>
        <w:rPr>
          <w:sz w:val="22"/>
          <w:szCs w:val="22"/>
        </w:rPr>
        <w:t>awareness-raising</w:t>
      </w:r>
      <w:r w:rsidRPr="00BB6D76">
        <w:rPr>
          <w:sz w:val="22"/>
          <w:szCs w:val="22"/>
        </w:rPr>
        <w:t xml:space="preserve"> among representatives of various religious communities on the legal basis for the use of buildings and property, legal remedies for freedoms and interests, as well as the introduction of arbitration representatives of religious communities with the involvement of representatives of the All-Ukrainian Council of Churches and religious organizations.</w:t>
      </w:r>
    </w:p>
    <w:p w14:paraId="491F47C9" w14:textId="77777777" w:rsidR="00BB6D76" w:rsidRPr="00BB6D76" w:rsidRDefault="00BB6D76" w:rsidP="004E5C7C">
      <w:pPr>
        <w:pStyle w:val="SingleTxtG"/>
        <w:ind w:right="0"/>
        <w:rPr>
          <w:sz w:val="22"/>
          <w:szCs w:val="22"/>
        </w:rPr>
      </w:pPr>
    </w:p>
    <w:p w14:paraId="5A1E521E" w14:textId="6DC9C19D"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Freedom of expression (</w:t>
      </w:r>
      <w:r w:rsidR="007F4B4D">
        <w:rPr>
          <w:sz w:val="22"/>
          <w:szCs w:val="22"/>
          <w:highlight w:val="lightGray"/>
        </w:rPr>
        <w:t>A</w:t>
      </w:r>
      <w:r w:rsidR="007F4B4D" w:rsidRPr="004E5C7C">
        <w:rPr>
          <w:sz w:val="22"/>
          <w:szCs w:val="22"/>
          <w:highlight w:val="lightGray"/>
        </w:rPr>
        <w:t>rt</w:t>
      </w:r>
      <w:r w:rsidRPr="004E5C7C">
        <w:rPr>
          <w:sz w:val="22"/>
          <w:szCs w:val="22"/>
          <w:highlight w:val="lightGray"/>
        </w:rPr>
        <w:t>.19)</w:t>
      </w:r>
      <w:r w:rsidRPr="004E5C7C">
        <w:rPr>
          <w:sz w:val="22"/>
          <w:szCs w:val="22"/>
        </w:rPr>
        <w:t xml:space="preserve"> </w:t>
      </w:r>
    </w:p>
    <w:p w14:paraId="64214497" w14:textId="11E5F6D1" w:rsidR="007405D1" w:rsidRPr="004E5C7C" w:rsidRDefault="00582F97" w:rsidP="004E5C7C">
      <w:pPr>
        <w:pStyle w:val="SingleTxtG"/>
        <w:ind w:right="0"/>
        <w:rPr>
          <w:sz w:val="22"/>
          <w:szCs w:val="22"/>
        </w:rPr>
      </w:pPr>
      <w:r>
        <w:rPr>
          <w:sz w:val="22"/>
          <w:szCs w:val="22"/>
        </w:rPr>
        <w:t>T</w:t>
      </w:r>
      <w:r w:rsidR="004E567B" w:rsidRPr="004E5C7C">
        <w:rPr>
          <w:sz w:val="22"/>
          <w:szCs w:val="22"/>
        </w:rPr>
        <w:t>he Commissioner receive</w:t>
      </w:r>
      <w:r>
        <w:rPr>
          <w:sz w:val="22"/>
          <w:szCs w:val="22"/>
        </w:rPr>
        <w:t>s</w:t>
      </w:r>
      <w:r w:rsidR="004E567B" w:rsidRPr="004E5C7C">
        <w:rPr>
          <w:sz w:val="22"/>
          <w:szCs w:val="22"/>
        </w:rPr>
        <w:t xml:space="preserve"> reports of violations of citizens’ rights to freedom of thought and speech. The analysis of the reports received by the Commissioner and monitoring of media showed some human rights violations involving restrictions on freedom of speech, freedom of thought and opinion, persecutions of journalists, obstruction of their activities, physical aggression, threats and pressure.</w:t>
      </w:r>
    </w:p>
    <w:p w14:paraId="4F161246" w14:textId="1B5FD669" w:rsidR="003A3A7F" w:rsidRPr="004E5C7C" w:rsidRDefault="00582F97" w:rsidP="004E5C7C">
      <w:pPr>
        <w:pStyle w:val="SingleTxtG"/>
        <w:ind w:right="0"/>
        <w:rPr>
          <w:sz w:val="22"/>
          <w:szCs w:val="22"/>
        </w:rPr>
      </w:pPr>
      <w:r>
        <w:rPr>
          <w:sz w:val="22"/>
          <w:szCs w:val="22"/>
        </w:rPr>
        <w:t>On 2 February 2021</w:t>
      </w:r>
      <w:r w:rsidR="00953DAB">
        <w:rPr>
          <w:sz w:val="22"/>
          <w:szCs w:val="22"/>
        </w:rPr>
        <w:t>,</w:t>
      </w:r>
      <w:r>
        <w:rPr>
          <w:sz w:val="22"/>
          <w:szCs w:val="22"/>
        </w:rPr>
        <w:t xml:space="preserve"> the Parliament adopted the</w:t>
      </w:r>
      <w:r w:rsidR="007405D1" w:rsidRPr="004E5C7C">
        <w:rPr>
          <w:sz w:val="22"/>
          <w:szCs w:val="22"/>
        </w:rPr>
        <w:t xml:space="preserve"> </w:t>
      </w:r>
      <w:r>
        <w:rPr>
          <w:sz w:val="22"/>
          <w:szCs w:val="22"/>
        </w:rPr>
        <w:t>L</w:t>
      </w:r>
      <w:r w:rsidR="007405D1" w:rsidRPr="004E5C7C">
        <w:rPr>
          <w:sz w:val="22"/>
          <w:szCs w:val="22"/>
        </w:rPr>
        <w:t xml:space="preserve">aw </w:t>
      </w:r>
      <w:r w:rsidR="003A3A7F" w:rsidRPr="004E5C7C">
        <w:rPr>
          <w:sz w:val="22"/>
          <w:szCs w:val="22"/>
        </w:rPr>
        <w:t>“On Amendments to the Criminal Code of Ukraine on Enhancing Liability for Criminal Offences against Journalists” (reg.No.3633 of 11</w:t>
      </w:r>
      <w:r w:rsidR="004E3FE0" w:rsidRPr="004E5C7C">
        <w:rPr>
          <w:sz w:val="22"/>
          <w:szCs w:val="22"/>
        </w:rPr>
        <w:t xml:space="preserve"> June </w:t>
      </w:r>
      <w:r w:rsidR="003A3A7F" w:rsidRPr="004E5C7C">
        <w:rPr>
          <w:sz w:val="22"/>
          <w:szCs w:val="22"/>
        </w:rPr>
        <w:t>2020)</w:t>
      </w:r>
      <w:r w:rsidR="002B3B88">
        <w:rPr>
          <w:sz w:val="22"/>
          <w:szCs w:val="22"/>
        </w:rPr>
        <w:t>.</w:t>
      </w:r>
      <w:r w:rsidR="003A3A7F" w:rsidRPr="004E5C7C">
        <w:rPr>
          <w:sz w:val="22"/>
          <w:szCs w:val="22"/>
        </w:rPr>
        <w:t xml:space="preserve"> </w:t>
      </w:r>
    </w:p>
    <w:p w14:paraId="31AD2C1C" w14:textId="46B13A6F" w:rsidR="003A3A7F" w:rsidRPr="004E5C7C" w:rsidRDefault="007405D1" w:rsidP="004E5C7C">
      <w:pPr>
        <w:pStyle w:val="SingleTxtG"/>
        <w:ind w:right="0"/>
        <w:rPr>
          <w:sz w:val="22"/>
          <w:szCs w:val="22"/>
        </w:rPr>
      </w:pPr>
      <w:r w:rsidRPr="004E5C7C">
        <w:rPr>
          <w:sz w:val="22"/>
          <w:szCs w:val="22"/>
        </w:rPr>
        <w:t>Taking into account the recommendations of the Commissioner</w:t>
      </w:r>
      <w:r w:rsidR="00953DAB">
        <w:rPr>
          <w:sz w:val="22"/>
          <w:szCs w:val="22"/>
        </w:rPr>
        <w:t>, in order</w:t>
      </w:r>
      <w:r w:rsidRPr="004E5C7C">
        <w:rPr>
          <w:sz w:val="22"/>
          <w:szCs w:val="22"/>
        </w:rPr>
        <w:t xml:space="preserve"> to increase the effectiveness of supervision over the observance of the law during the pre-trial investigation, as well as to support public prosecution in criminal proceedings for criminal offences committed against journalists,</w:t>
      </w:r>
      <w:r w:rsidR="00953CBE" w:rsidRPr="004E5C7C">
        <w:rPr>
          <w:sz w:val="22"/>
          <w:szCs w:val="22"/>
        </w:rPr>
        <w:t xml:space="preserve"> </w:t>
      </w:r>
      <w:r w:rsidRPr="004E5C7C">
        <w:rPr>
          <w:sz w:val="22"/>
          <w:szCs w:val="22"/>
        </w:rPr>
        <w:t xml:space="preserve">the Prosecutor General`s Office issued </w:t>
      </w:r>
      <w:r w:rsidR="00DC11CE">
        <w:rPr>
          <w:sz w:val="22"/>
          <w:szCs w:val="22"/>
        </w:rPr>
        <w:t xml:space="preserve">the </w:t>
      </w:r>
      <w:r w:rsidRPr="004E5C7C">
        <w:rPr>
          <w:sz w:val="22"/>
          <w:szCs w:val="22"/>
        </w:rPr>
        <w:t>Order No.467 of 29</w:t>
      </w:r>
      <w:r w:rsidR="004E3FE0" w:rsidRPr="004E5C7C">
        <w:rPr>
          <w:sz w:val="22"/>
          <w:szCs w:val="22"/>
          <w:lang w:val="uk-UA"/>
        </w:rPr>
        <w:t xml:space="preserve"> </w:t>
      </w:r>
      <w:r w:rsidR="004E3FE0" w:rsidRPr="004E5C7C">
        <w:rPr>
          <w:sz w:val="22"/>
          <w:szCs w:val="22"/>
          <w:lang w:val="en-US"/>
        </w:rPr>
        <w:t>September</w:t>
      </w:r>
      <w:r w:rsidR="004E3FE0" w:rsidRPr="004E5C7C">
        <w:rPr>
          <w:sz w:val="22"/>
          <w:szCs w:val="22"/>
          <w:lang w:val="uk-UA"/>
        </w:rPr>
        <w:t xml:space="preserve"> </w:t>
      </w:r>
      <w:r w:rsidRPr="004E5C7C">
        <w:rPr>
          <w:sz w:val="22"/>
          <w:szCs w:val="22"/>
        </w:rPr>
        <w:t xml:space="preserve">2020 on the formation of an inter-agency working group to analyse the state of supervision over law observance in criminal proceedings on criminal offences committed against journalists. </w:t>
      </w:r>
    </w:p>
    <w:p w14:paraId="185C1040" w14:textId="00A7D100" w:rsidR="007405D1" w:rsidRPr="004E5C7C" w:rsidRDefault="007405D1" w:rsidP="004E5C7C">
      <w:pPr>
        <w:pStyle w:val="SingleTxtG"/>
        <w:ind w:right="0"/>
        <w:rPr>
          <w:sz w:val="22"/>
          <w:szCs w:val="22"/>
        </w:rPr>
      </w:pPr>
      <w:r w:rsidRPr="004E5C7C">
        <w:rPr>
          <w:sz w:val="22"/>
          <w:szCs w:val="22"/>
        </w:rPr>
        <w:t xml:space="preserve"> </w:t>
      </w:r>
    </w:p>
    <w:p w14:paraId="1A61F090" w14:textId="7015A5BC" w:rsidR="00366844" w:rsidRPr="00366844" w:rsidRDefault="00366844" w:rsidP="00366844">
      <w:pPr>
        <w:pStyle w:val="SingleTxtG"/>
        <w:ind w:right="0"/>
        <w:rPr>
          <w:b/>
          <w:sz w:val="22"/>
          <w:szCs w:val="22"/>
          <w:highlight w:val="lightGray"/>
        </w:rPr>
      </w:pPr>
      <w:r w:rsidRPr="00366844">
        <w:rPr>
          <w:b/>
          <w:sz w:val="22"/>
          <w:szCs w:val="22"/>
          <w:highlight w:val="lightGray"/>
        </w:rPr>
        <w:t>Right to peaceful assembly (</w:t>
      </w:r>
      <w:r w:rsidR="007F4B4D">
        <w:rPr>
          <w:b/>
          <w:sz w:val="22"/>
          <w:szCs w:val="22"/>
          <w:highlight w:val="lightGray"/>
        </w:rPr>
        <w:t>Art</w:t>
      </w:r>
      <w:r w:rsidR="00C43F27">
        <w:rPr>
          <w:b/>
          <w:sz w:val="22"/>
          <w:szCs w:val="22"/>
          <w:highlight w:val="lightGray"/>
        </w:rPr>
        <w:t>.</w:t>
      </w:r>
      <w:r w:rsidRPr="00366844">
        <w:rPr>
          <w:b/>
          <w:sz w:val="22"/>
          <w:szCs w:val="22"/>
          <w:highlight w:val="lightGray"/>
        </w:rPr>
        <w:t>21)</w:t>
      </w:r>
    </w:p>
    <w:p w14:paraId="3A568AEF" w14:textId="01E5704B" w:rsidR="00366844" w:rsidRPr="00366844" w:rsidRDefault="00366844" w:rsidP="00366844">
      <w:pPr>
        <w:pStyle w:val="SingleTxtG"/>
        <w:ind w:right="0"/>
        <w:rPr>
          <w:sz w:val="22"/>
          <w:szCs w:val="22"/>
        </w:rPr>
      </w:pPr>
      <w:r w:rsidRPr="00366844">
        <w:rPr>
          <w:sz w:val="22"/>
          <w:szCs w:val="22"/>
        </w:rPr>
        <w:t xml:space="preserve">As a result of restrictive anti-epidemic measures imposed by the Government in order to prevent the </w:t>
      </w:r>
      <w:r w:rsidRPr="0039504E">
        <w:rPr>
          <w:sz w:val="22"/>
          <w:szCs w:val="22"/>
        </w:rPr>
        <w:t xml:space="preserve">spread </w:t>
      </w:r>
      <w:r w:rsidRPr="001D1064">
        <w:rPr>
          <w:sz w:val="22"/>
          <w:szCs w:val="22"/>
        </w:rPr>
        <w:t xml:space="preserve">of </w:t>
      </w:r>
      <w:r w:rsidRPr="0039504E">
        <w:rPr>
          <w:sz w:val="22"/>
          <w:szCs w:val="22"/>
        </w:rPr>
        <w:t xml:space="preserve">COVID-19 </w:t>
      </w:r>
      <w:r w:rsidRPr="001D1064">
        <w:rPr>
          <w:sz w:val="22"/>
          <w:szCs w:val="22"/>
        </w:rPr>
        <w:t>in Ukraine</w:t>
      </w:r>
      <w:r w:rsidRPr="0039504E">
        <w:rPr>
          <w:sz w:val="22"/>
          <w:szCs w:val="22"/>
        </w:rPr>
        <w:t>, law</w:t>
      </w:r>
      <w:r w:rsidRPr="00366844">
        <w:rPr>
          <w:sz w:val="22"/>
          <w:szCs w:val="22"/>
        </w:rPr>
        <w:t xml:space="preserve"> enforcement agencies qualified peaceful assemblies during quarantine as administrative offenses</w:t>
      </w:r>
      <w:r w:rsidRPr="00366844">
        <w:t xml:space="preserve"> </w:t>
      </w:r>
      <w:r w:rsidRPr="001D1064">
        <w:rPr>
          <w:sz w:val="22"/>
          <w:szCs w:val="22"/>
        </w:rPr>
        <w:t>under Art</w:t>
      </w:r>
      <w:r w:rsidR="007321EA" w:rsidRPr="001D1064">
        <w:rPr>
          <w:sz w:val="22"/>
          <w:szCs w:val="22"/>
        </w:rPr>
        <w:t>.</w:t>
      </w:r>
      <w:r w:rsidRPr="001D1064">
        <w:rPr>
          <w:sz w:val="22"/>
          <w:szCs w:val="22"/>
        </w:rPr>
        <w:t>44</w:t>
      </w:r>
      <w:r w:rsidRPr="001D1064">
        <w:rPr>
          <w:sz w:val="22"/>
          <w:szCs w:val="22"/>
          <w:vertAlign w:val="superscript"/>
        </w:rPr>
        <w:t>3</w:t>
      </w:r>
      <w:r w:rsidRPr="001D1064">
        <w:rPr>
          <w:sz w:val="22"/>
          <w:szCs w:val="22"/>
        </w:rPr>
        <w:t xml:space="preserve"> of the Code on Administrative Offenses, and drew up administrative protocols, preventing</w:t>
      </w:r>
      <w:r w:rsidRPr="00366844">
        <w:rPr>
          <w:sz w:val="22"/>
          <w:szCs w:val="22"/>
        </w:rPr>
        <w:t xml:space="preserve"> meetings, rallies, and demonstrations.</w:t>
      </w:r>
    </w:p>
    <w:p w14:paraId="251CD804" w14:textId="78D954A6" w:rsidR="00366844" w:rsidRPr="0055781D" w:rsidRDefault="00366844" w:rsidP="00366844">
      <w:pPr>
        <w:pStyle w:val="SingleTxtG"/>
        <w:ind w:right="0"/>
        <w:rPr>
          <w:b/>
          <w:bCs/>
          <w:sz w:val="22"/>
          <w:szCs w:val="22"/>
        </w:rPr>
      </w:pPr>
      <w:r w:rsidRPr="00366844">
        <w:rPr>
          <w:sz w:val="22"/>
          <w:szCs w:val="22"/>
        </w:rPr>
        <w:t>According to Art</w:t>
      </w:r>
      <w:r w:rsidR="007321EA">
        <w:rPr>
          <w:sz w:val="22"/>
          <w:szCs w:val="22"/>
        </w:rPr>
        <w:t>.</w:t>
      </w:r>
      <w:r w:rsidRPr="00366844">
        <w:rPr>
          <w:sz w:val="22"/>
          <w:szCs w:val="22"/>
        </w:rPr>
        <w:t xml:space="preserve">39 of the Constitution, restrictions on the freedom of peaceful assembly in the interests of national security and public order </w:t>
      </w:r>
      <w:r w:rsidR="00AB2B26">
        <w:rPr>
          <w:sz w:val="22"/>
          <w:szCs w:val="22"/>
        </w:rPr>
        <w:t>with the view</w:t>
      </w:r>
      <w:r w:rsidRPr="00366844">
        <w:rPr>
          <w:sz w:val="22"/>
          <w:szCs w:val="22"/>
        </w:rPr>
        <w:t xml:space="preserve"> to prevent riots or crimes, to protect public health or to protect the rights and freedoms of others</w:t>
      </w:r>
      <w:r w:rsidR="00AB2B26">
        <w:rPr>
          <w:sz w:val="22"/>
          <w:szCs w:val="22"/>
        </w:rPr>
        <w:t xml:space="preserve">, </w:t>
      </w:r>
      <w:r w:rsidRPr="00366844">
        <w:rPr>
          <w:sz w:val="22"/>
          <w:szCs w:val="22"/>
        </w:rPr>
        <w:t xml:space="preserve">can be established only by </w:t>
      </w:r>
      <w:r w:rsidR="00AB2B26">
        <w:rPr>
          <w:sz w:val="22"/>
          <w:szCs w:val="22"/>
        </w:rPr>
        <w:t xml:space="preserve">a </w:t>
      </w:r>
      <w:r w:rsidRPr="00366844">
        <w:rPr>
          <w:sz w:val="22"/>
          <w:szCs w:val="22"/>
        </w:rPr>
        <w:t>court.</w:t>
      </w:r>
    </w:p>
    <w:p w14:paraId="0F1AAF48" w14:textId="3759A220" w:rsidR="00366844" w:rsidRPr="00366844" w:rsidRDefault="00366844" w:rsidP="00366844">
      <w:pPr>
        <w:pStyle w:val="SingleTxtG"/>
        <w:ind w:right="0"/>
        <w:rPr>
          <w:sz w:val="22"/>
          <w:szCs w:val="22"/>
        </w:rPr>
      </w:pPr>
      <w:r w:rsidRPr="00366844">
        <w:rPr>
          <w:sz w:val="22"/>
          <w:szCs w:val="22"/>
        </w:rPr>
        <w:t xml:space="preserve">Instead, these issues continue to be regulated by </w:t>
      </w:r>
      <w:r w:rsidR="0055781D">
        <w:rPr>
          <w:sz w:val="22"/>
          <w:szCs w:val="22"/>
        </w:rPr>
        <w:t>the</w:t>
      </w:r>
      <w:r w:rsidRPr="00366844">
        <w:rPr>
          <w:sz w:val="22"/>
          <w:szCs w:val="22"/>
        </w:rPr>
        <w:t xml:space="preserve"> </w:t>
      </w:r>
      <w:r w:rsidR="00B63FBE">
        <w:rPr>
          <w:sz w:val="22"/>
          <w:szCs w:val="22"/>
        </w:rPr>
        <w:t>CMU r</w:t>
      </w:r>
      <w:r w:rsidRPr="00366844">
        <w:rPr>
          <w:sz w:val="22"/>
          <w:szCs w:val="22"/>
        </w:rPr>
        <w:t>e</w:t>
      </w:r>
      <w:r w:rsidR="0055781D">
        <w:rPr>
          <w:sz w:val="22"/>
          <w:szCs w:val="22"/>
        </w:rPr>
        <w:t>gulation</w:t>
      </w:r>
      <w:r w:rsidRPr="00366844">
        <w:rPr>
          <w:sz w:val="22"/>
          <w:szCs w:val="22"/>
        </w:rPr>
        <w:t>.</w:t>
      </w:r>
    </w:p>
    <w:p w14:paraId="4166E000" w14:textId="77777777" w:rsidR="007F4B4D" w:rsidRDefault="007F4B4D" w:rsidP="004E5C7C">
      <w:pPr>
        <w:pStyle w:val="SingleTxtG"/>
        <w:ind w:right="0"/>
        <w:rPr>
          <w:b/>
          <w:sz w:val="22"/>
          <w:szCs w:val="22"/>
          <w:highlight w:val="lightGray"/>
        </w:rPr>
      </w:pPr>
    </w:p>
    <w:p w14:paraId="1D8B52AC" w14:textId="19753B0B" w:rsidR="00255746" w:rsidRPr="004E5C7C" w:rsidRDefault="00255746" w:rsidP="004E5C7C">
      <w:pPr>
        <w:pStyle w:val="SingleTxtG"/>
        <w:ind w:right="0"/>
        <w:rPr>
          <w:b/>
          <w:sz w:val="22"/>
          <w:szCs w:val="22"/>
        </w:rPr>
      </w:pPr>
      <w:r w:rsidRPr="004E5C7C">
        <w:rPr>
          <w:b/>
          <w:sz w:val="22"/>
          <w:szCs w:val="22"/>
          <w:highlight w:val="lightGray"/>
        </w:rPr>
        <w:t>Rights of children (</w:t>
      </w:r>
      <w:r w:rsidR="002E56A7">
        <w:rPr>
          <w:b/>
          <w:sz w:val="22"/>
          <w:szCs w:val="22"/>
          <w:highlight w:val="lightGray"/>
        </w:rPr>
        <w:t>A</w:t>
      </w:r>
      <w:r w:rsidR="002E56A7" w:rsidRPr="004E5C7C">
        <w:rPr>
          <w:b/>
          <w:sz w:val="22"/>
          <w:szCs w:val="22"/>
          <w:highlight w:val="lightGray"/>
        </w:rPr>
        <w:t>rt</w:t>
      </w:r>
      <w:r w:rsidRPr="004E5C7C">
        <w:rPr>
          <w:b/>
          <w:sz w:val="22"/>
          <w:szCs w:val="22"/>
          <w:highlight w:val="lightGray"/>
        </w:rPr>
        <w:t>.24)</w:t>
      </w:r>
    </w:p>
    <w:p w14:paraId="12EE5A91" w14:textId="04AD79A0" w:rsidR="0057724B" w:rsidRPr="00FB4BCE" w:rsidRDefault="0057724B" w:rsidP="005C6589">
      <w:pPr>
        <w:pStyle w:val="SingleTxtG"/>
        <w:ind w:right="0"/>
        <w:rPr>
          <w:sz w:val="22"/>
          <w:szCs w:val="22"/>
        </w:rPr>
      </w:pPr>
      <w:r w:rsidRPr="0039504E">
        <w:rPr>
          <w:sz w:val="22"/>
          <w:szCs w:val="22"/>
        </w:rPr>
        <w:t>The Criminal Procedure Code provides for the mandatory participation of a lawyer in cases involving a child.</w:t>
      </w:r>
      <w:r w:rsidRPr="0039504E">
        <w:rPr>
          <w:sz w:val="22"/>
          <w:szCs w:val="22"/>
          <w:lang w:val="uk-UA"/>
        </w:rPr>
        <w:t xml:space="preserve"> </w:t>
      </w:r>
      <w:r w:rsidRPr="0039504E">
        <w:rPr>
          <w:sz w:val="22"/>
          <w:szCs w:val="22"/>
          <w:lang w:val="en-US"/>
        </w:rPr>
        <w:t>In 2020, d</w:t>
      </w:r>
      <w:r w:rsidRPr="0039504E">
        <w:rPr>
          <w:sz w:val="22"/>
          <w:szCs w:val="22"/>
        </w:rPr>
        <w:t xml:space="preserve">uring the </w:t>
      </w:r>
      <w:r w:rsidRPr="00654DF4">
        <w:rPr>
          <w:sz w:val="22"/>
          <w:szCs w:val="22"/>
        </w:rPr>
        <w:t>monitoring of the state of observance of the rights of children detained in 13 pre-trial detention cent</w:t>
      </w:r>
      <w:r w:rsidRPr="00186C49">
        <w:rPr>
          <w:sz w:val="22"/>
          <w:szCs w:val="22"/>
          <w:lang w:val="en-US"/>
        </w:rPr>
        <w:t>re</w:t>
      </w:r>
      <w:r w:rsidRPr="005C6589">
        <w:rPr>
          <w:sz w:val="22"/>
          <w:szCs w:val="22"/>
        </w:rPr>
        <w:t xml:space="preserve">s, the Commissioner </w:t>
      </w:r>
      <w:r w:rsidRPr="003D3670">
        <w:rPr>
          <w:sz w:val="22"/>
          <w:szCs w:val="22"/>
        </w:rPr>
        <w:t>revealed</w:t>
      </w:r>
      <w:r w:rsidRPr="00FB4BCE">
        <w:rPr>
          <w:sz w:val="22"/>
          <w:szCs w:val="22"/>
        </w:rPr>
        <w:t>:</w:t>
      </w:r>
    </w:p>
    <w:p w14:paraId="5D1525FF" w14:textId="77777777" w:rsidR="0057724B" w:rsidRPr="00047108" w:rsidRDefault="0057724B" w:rsidP="007F4B4D">
      <w:pPr>
        <w:pStyle w:val="SingleTxtG"/>
        <w:numPr>
          <w:ilvl w:val="0"/>
          <w:numId w:val="15"/>
        </w:numPr>
        <w:ind w:right="0"/>
        <w:rPr>
          <w:sz w:val="22"/>
          <w:szCs w:val="22"/>
        </w:rPr>
      </w:pPr>
      <w:r w:rsidRPr="00047108">
        <w:rPr>
          <w:sz w:val="22"/>
          <w:szCs w:val="22"/>
        </w:rPr>
        <w:t>facts of improper visitation or non-visitation of minors by a lawyer;</w:t>
      </w:r>
    </w:p>
    <w:p w14:paraId="1949F9E2" w14:textId="1EF50F28" w:rsidR="0057724B" w:rsidRPr="00186C49" w:rsidRDefault="0057724B" w:rsidP="007F4B4D">
      <w:pPr>
        <w:pStyle w:val="SingleTxtG"/>
        <w:numPr>
          <w:ilvl w:val="0"/>
          <w:numId w:val="15"/>
        </w:numPr>
        <w:ind w:right="0"/>
        <w:rPr>
          <w:sz w:val="22"/>
          <w:szCs w:val="22"/>
        </w:rPr>
      </w:pPr>
      <w:r w:rsidRPr="007F4B4D">
        <w:rPr>
          <w:sz w:val="22"/>
          <w:szCs w:val="22"/>
        </w:rPr>
        <w:t xml:space="preserve">delaying the investigation and trial and resulting in </w:t>
      </w:r>
      <w:r w:rsidR="001C0358" w:rsidRPr="007F4B4D">
        <w:rPr>
          <w:sz w:val="22"/>
          <w:szCs w:val="22"/>
        </w:rPr>
        <w:t>over</w:t>
      </w:r>
      <w:r w:rsidRPr="007F4B4D">
        <w:rPr>
          <w:sz w:val="22"/>
          <w:szCs w:val="22"/>
        </w:rPr>
        <w:t>keeping children in pre-trial detention, which contradicts the principle of the best interests of the child (24% of juveniles are</w:t>
      </w:r>
      <w:r w:rsidRPr="0057724B">
        <w:rPr>
          <w:sz w:val="22"/>
          <w:szCs w:val="22"/>
        </w:rPr>
        <w:t xml:space="preserve"> kept in pre-trial detention for more than 1 year; 29% for more than six months)</w:t>
      </w:r>
      <w:r w:rsidR="00953DAB">
        <w:rPr>
          <w:sz w:val="22"/>
          <w:szCs w:val="22"/>
        </w:rPr>
        <w:t>.</w:t>
      </w:r>
    </w:p>
    <w:p w14:paraId="12CF2042" w14:textId="119FA6A6" w:rsidR="001C0358" w:rsidRDefault="001C0358" w:rsidP="004E5C7C">
      <w:pPr>
        <w:pStyle w:val="SingleTxtG"/>
        <w:ind w:right="0"/>
        <w:rPr>
          <w:sz w:val="22"/>
          <w:szCs w:val="22"/>
          <w:lang w:val="en"/>
        </w:rPr>
      </w:pPr>
      <w:r w:rsidRPr="001C0358">
        <w:rPr>
          <w:sz w:val="22"/>
          <w:szCs w:val="22"/>
        </w:rPr>
        <w:t>In June 2021, the draft Law “On Child-Friendly Justice” was registered in the Parliament (</w:t>
      </w:r>
      <w:r w:rsidR="0049712E">
        <w:rPr>
          <w:sz w:val="22"/>
          <w:szCs w:val="22"/>
        </w:rPr>
        <w:t>r</w:t>
      </w:r>
      <w:r w:rsidRPr="001C0358">
        <w:rPr>
          <w:sz w:val="22"/>
          <w:szCs w:val="22"/>
        </w:rPr>
        <w:t>eg.</w:t>
      </w:r>
      <w:r w:rsidR="0049712E">
        <w:rPr>
          <w:sz w:val="22"/>
          <w:szCs w:val="22"/>
        </w:rPr>
        <w:t>No.</w:t>
      </w:r>
      <w:r w:rsidRPr="001C0358">
        <w:rPr>
          <w:sz w:val="22"/>
          <w:szCs w:val="22"/>
        </w:rPr>
        <w:t>5617)</w:t>
      </w:r>
      <w:r w:rsidRPr="001C0358">
        <w:rPr>
          <w:sz w:val="22"/>
          <w:szCs w:val="22"/>
          <w:lang w:val="en"/>
        </w:rPr>
        <w:t>, which aims to create justice in accordance with the UN Convention on the Rights of the Child</w:t>
      </w:r>
      <w:r>
        <w:rPr>
          <w:sz w:val="22"/>
          <w:szCs w:val="22"/>
          <w:lang w:val="en"/>
        </w:rPr>
        <w:t xml:space="preserve"> and </w:t>
      </w:r>
      <w:r w:rsidRPr="001C0358">
        <w:rPr>
          <w:sz w:val="22"/>
          <w:szCs w:val="22"/>
          <w:lang w:val="en"/>
        </w:rPr>
        <w:t>international standards for the protection of children's rights. However, the content of the bill covers only legal relations in criminal and administrative proceedings. It does not take into account the need to ensure the rights of the child in civil proceedings. In addition, courts have been removed from the list of subjects of justice for children. Meanwhile, it is necessary to ensure the rights of children in civil proceedings, including their procedural guarantees, namely the right of the child to express his</w:t>
      </w:r>
      <w:r>
        <w:rPr>
          <w:sz w:val="22"/>
          <w:szCs w:val="22"/>
          <w:lang w:val="en"/>
        </w:rPr>
        <w:t>/her</w:t>
      </w:r>
      <w:r w:rsidRPr="001C0358">
        <w:rPr>
          <w:sz w:val="22"/>
          <w:szCs w:val="22"/>
          <w:lang w:val="en"/>
        </w:rPr>
        <w:t xml:space="preserve"> own opinion and the need to take it into account, the right to be informed, the need to meet reasonable deadlines </w:t>
      </w:r>
      <w:r>
        <w:rPr>
          <w:sz w:val="22"/>
          <w:szCs w:val="22"/>
          <w:lang w:val="en"/>
        </w:rPr>
        <w:t>etc</w:t>
      </w:r>
      <w:r w:rsidRPr="001C0358">
        <w:rPr>
          <w:sz w:val="22"/>
          <w:szCs w:val="22"/>
          <w:lang w:val="en"/>
        </w:rPr>
        <w:t xml:space="preserve">. </w:t>
      </w:r>
    </w:p>
    <w:p w14:paraId="275CE0D2" w14:textId="3A7AC472" w:rsidR="0057724B" w:rsidRDefault="001C0358" w:rsidP="004E5C7C">
      <w:pPr>
        <w:pStyle w:val="SingleTxtG"/>
        <w:ind w:right="0"/>
        <w:rPr>
          <w:sz w:val="22"/>
          <w:szCs w:val="22"/>
          <w:highlight w:val="magenta"/>
        </w:rPr>
      </w:pPr>
      <w:r w:rsidRPr="001C0358">
        <w:rPr>
          <w:sz w:val="22"/>
          <w:szCs w:val="22"/>
          <w:lang w:val="en"/>
        </w:rPr>
        <w:t>Currently, the law does not provide for the interrogation of child victims and child witnesses in specially equipped so-called "green rooms".</w:t>
      </w:r>
    </w:p>
    <w:p w14:paraId="420B5DFB" w14:textId="29518662" w:rsidR="001C0358" w:rsidRPr="001C0358" w:rsidRDefault="001C0358" w:rsidP="00B66261">
      <w:pPr>
        <w:pStyle w:val="SingleTxtG"/>
        <w:ind w:right="0"/>
        <w:rPr>
          <w:sz w:val="22"/>
          <w:szCs w:val="22"/>
        </w:rPr>
      </w:pPr>
      <w:r w:rsidRPr="001C0358">
        <w:rPr>
          <w:sz w:val="22"/>
          <w:szCs w:val="22"/>
        </w:rPr>
        <w:t xml:space="preserve">Persons living in the uncontrolled territories of Donetsk and Luhansk oblasts, the temporarily occupied territory of the </w:t>
      </w:r>
      <w:r w:rsidR="006C4F50">
        <w:rPr>
          <w:sz w:val="22"/>
          <w:szCs w:val="22"/>
        </w:rPr>
        <w:t>ARC</w:t>
      </w:r>
      <w:r w:rsidRPr="001C0358">
        <w:rPr>
          <w:sz w:val="22"/>
          <w:szCs w:val="22"/>
        </w:rPr>
        <w:t>, continue to face difficulties in registering the facts of a child's birth.</w:t>
      </w:r>
    </w:p>
    <w:p w14:paraId="49213A07" w14:textId="7AC7E6B2" w:rsidR="001C0358" w:rsidRPr="001C0358" w:rsidRDefault="001C0358" w:rsidP="00B66261">
      <w:pPr>
        <w:pStyle w:val="SingleTxtG"/>
        <w:ind w:right="0"/>
        <w:rPr>
          <w:sz w:val="22"/>
          <w:szCs w:val="22"/>
        </w:rPr>
      </w:pPr>
      <w:r w:rsidRPr="001C0358">
        <w:rPr>
          <w:sz w:val="22"/>
          <w:szCs w:val="22"/>
        </w:rPr>
        <w:t>As of September 2021, only the judicial method of registration of a childb</w:t>
      </w:r>
      <w:r w:rsidR="00B66261">
        <w:rPr>
          <w:sz w:val="22"/>
          <w:szCs w:val="22"/>
        </w:rPr>
        <w:t>irth</w:t>
      </w:r>
      <w:r w:rsidRPr="001C0358">
        <w:rPr>
          <w:sz w:val="22"/>
          <w:szCs w:val="22"/>
        </w:rPr>
        <w:t xml:space="preserve"> in the territories not controlled by the Government and the temporarily occupied territories continues </w:t>
      </w:r>
      <w:r w:rsidR="00B66261">
        <w:rPr>
          <w:sz w:val="22"/>
          <w:szCs w:val="22"/>
        </w:rPr>
        <w:t>is</w:t>
      </w:r>
      <w:r w:rsidRPr="001C0358">
        <w:rPr>
          <w:sz w:val="22"/>
          <w:szCs w:val="22"/>
        </w:rPr>
        <w:t xml:space="preserve"> used, </w:t>
      </w:r>
      <w:r w:rsidR="009318E1">
        <w:rPr>
          <w:sz w:val="22"/>
          <w:szCs w:val="22"/>
        </w:rPr>
        <w:t>creating</w:t>
      </w:r>
      <w:r w:rsidR="00B66261" w:rsidRPr="00B66261">
        <w:rPr>
          <w:sz w:val="22"/>
          <w:szCs w:val="22"/>
        </w:rPr>
        <w:t xml:space="preserve"> obstacles </w:t>
      </w:r>
      <w:r w:rsidRPr="001C0358">
        <w:rPr>
          <w:sz w:val="22"/>
          <w:szCs w:val="22"/>
        </w:rPr>
        <w:t>for the implementation of the birth registration procedure.</w:t>
      </w:r>
    </w:p>
    <w:p w14:paraId="27391272" w14:textId="4F7B98E4" w:rsidR="0057724B" w:rsidRDefault="001C0358" w:rsidP="00B66261">
      <w:pPr>
        <w:pStyle w:val="SingleTxtG"/>
        <w:ind w:right="0"/>
        <w:rPr>
          <w:sz w:val="22"/>
          <w:szCs w:val="22"/>
          <w:highlight w:val="magenta"/>
        </w:rPr>
      </w:pPr>
      <w:r w:rsidRPr="001C0358">
        <w:rPr>
          <w:sz w:val="22"/>
          <w:szCs w:val="22"/>
        </w:rPr>
        <w:t>Asylum seekers who have applied for protection in Ukraine also cannot exercise the right to register the birth of a child.</w:t>
      </w:r>
      <w:r w:rsidR="009318E1">
        <w:rPr>
          <w:sz w:val="22"/>
          <w:szCs w:val="22"/>
        </w:rPr>
        <w:t xml:space="preserve"> </w:t>
      </w:r>
      <w:r w:rsidR="005A3469">
        <w:rPr>
          <w:sz w:val="22"/>
          <w:szCs w:val="22"/>
        </w:rPr>
        <w:t>T</w:t>
      </w:r>
      <w:r w:rsidRPr="001C0358">
        <w:rPr>
          <w:sz w:val="22"/>
          <w:szCs w:val="22"/>
        </w:rPr>
        <w:t xml:space="preserve">he Ministry of Justice sent explanations to the territorial authorities on the possibility of registering the birth of a child by asylum seekers on the basis of the relevant certificate of the </w:t>
      </w:r>
      <w:r w:rsidR="00B66261">
        <w:rPr>
          <w:sz w:val="22"/>
          <w:szCs w:val="22"/>
        </w:rPr>
        <w:t>State Migration Service</w:t>
      </w:r>
      <w:r w:rsidRPr="001C0358">
        <w:rPr>
          <w:sz w:val="22"/>
          <w:szCs w:val="22"/>
        </w:rPr>
        <w:t>.</w:t>
      </w:r>
      <w:r w:rsidR="005A3469">
        <w:rPr>
          <w:sz w:val="22"/>
          <w:szCs w:val="22"/>
        </w:rPr>
        <w:t xml:space="preserve"> </w:t>
      </w:r>
      <w:r w:rsidRPr="001C0358">
        <w:rPr>
          <w:sz w:val="22"/>
          <w:szCs w:val="22"/>
        </w:rPr>
        <w:t xml:space="preserve">However, the issue </w:t>
      </w:r>
      <w:r w:rsidR="00B66261">
        <w:rPr>
          <w:sz w:val="22"/>
          <w:szCs w:val="22"/>
        </w:rPr>
        <w:t>remains unsolved</w:t>
      </w:r>
      <w:r w:rsidRPr="001C0358">
        <w:rPr>
          <w:sz w:val="22"/>
          <w:szCs w:val="22"/>
        </w:rPr>
        <w:t xml:space="preserve"> at the legislative level.</w:t>
      </w:r>
    </w:p>
    <w:p w14:paraId="6D2E5DD4" w14:textId="77777777" w:rsidR="00255746" w:rsidRPr="004E5C7C" w:rsidRDefault="00255746" w:rsidP="004E5C7C">
      <w:pPr>
        <w:pStyle w:val="SingleTxtG"/>
        <w:ind w:right="0"/>
        <w:rPr>
          <w:sz w:val="22"/>
          <w:szCs w:val="22"/>
        </w:rPr>
      </w:pPr>
    </w:p>
    <w:p w14:paraId="12EBA0D4" w14:textId="55BEF1DB" w:rsidR="000E15CA" w:rsidRPr="004E5C7C" w:rsidRDefault="000E15CA" w:rsidP="004E5C7C">
      <w:pPr>
        <w:pStyle w:val="SingleTxtG"/>
        <w:ind w:right="0"/>
        <w:rPr>
          <w:rFonts w:eastAsia="Times New Roman"/>
          <w:b/>
          <w:sz w:val="22"/>
          <w:szCs w:val="22"/>
          <w:highlight w:val="lightGray"/>
          <w:lang w:eastAsia="en-US"/>
        </w:rPr>
      </w:pPr>
      <w:r w:rsidRPr="004E5C7C">
        <w:rPr>
          <w:rFonts w:eastAsia="Times New Roman"/>
          <w:b/>
          <w:sz w:val="22"/>
          <w:szCs w:val="22"/>
          <w:highlight w:val="lightGray"/>
          <w:lang w:eastAsia="en-US"/>
        </w:rPr>
        <w:t>Freedom of participation in public affairs (</w:t>
      </w:r>
      <w:r w:rsidR="00796692">
        <w:rPr>
          <w:rFonts w:eastAsia="Times New Roman"/>
          <w:b/>
          <w:sz w:val="22"/>
          <w:szCs w:val="22"/>
          <w:highlight w:val="lightGray"/>
          <w:lang w:eastAsia="en-US"/>
        </w:rPr>
        <w:t>A</w:t>
      </w:r>
      <w:r w:rsidR="00796692" w:rsidRPr="004E5C7C">
        <w:rPr>
          <w:rFonts w:eastAsia="Times New Roman"/>
          <w:b/>
          <w:sz w:val="22"/>
          <w:szCs w:val="22"/>
          <w:highlight w:val="lightGray"/>
          <w:lang w:eastAsia="en-US"/>
        </w:rPr>
        <w:t>rt</w:t>
      </w:r>
      <w:r w:rsidRPr="004E5C7C">
        <w:rPr>
          <w:rFonts w:eastAsia="Times New Roman"/>
          <w:b/>
          <w:sz w:val="22"/>
          <w:szCs w:val="22"/>
          <w:highlight w:val="lightGray"/>
          <w:lang w:eastAsia="en-US"/>
        </w:rPr>
        <w:t>.25)</w:t>
      </w:r>
    </w:p>
    <w:p w14:paraId="44ADC625" w14:textId="56785B8D" w:rsidR="000E15CA" w:rsidRPr="004E5C7C" w:rsidRDefault="00753B9C" w:rsidP="004E5C7C">
      <w:pPr>
        <w:pStyle w:val="SingleTxtG"/>
        <w:ind w:right="0"/>
        <w:rPr>
          <w:sz w:val="22"/>
          <w:szCs w:val="22"/>
        </w:rPr>
      </w:pPr>
      <w:r>
        <w:rPr>
          <w:sz w:val="22"/>
          <w:szCs w:val="22"/>
        </w:rPr>
        <w:t>T</w:t>
      </w:r>
      <w:r w:rsidR="000E15CA" w:rsidRPr="004E5C7C">
        <w:rPr>
          <w:sz w:val="22"/>
          <w:szCs w:val="22"/>
        </w:rPr>
        <w:t xml:space="preserve">o exercise the parliamentary oversight over the observance of electoral rights, during the organization and </w:t>
      </w:r>
      <w:r>
        <w:rPr>
          <w:sz w:val="22"/>
          <w:szCs w:val="22"/>
        </w:rPr>
        <w:t>holding</w:t>
      </w:r>
      <w:r w:rsidR="000E15CA" w:rsidRPr="004E5C7C">
        <w:rPr>
          <w:sz w:val="22"/>
          <w:szCs w:val="22"/>
        </w:rPr>
        <w:t xml:space="preserve"> local elections in autumn 2020, the Commissioner monitored the observance of the right of citizens of Ukraine to elect, anti-epidemic measures,</w:t>
      </w:r>
      <w:r>
        <w:rPr>
          <w:sz w:val="22"/>
          <w:szCs w:val="22"/>
        </w:rPr>
        <w:t xml:space="preserve"> and</w:t>
      </w:r>
      <w:r w:rsidR="000E15CA" w:rsidRPr="004E5C7C">
        <w:rPr>
          <w:sz w:val="22"/>
          <w:szCs w:val="22"/>
        </w:rPr>
        <w:t xml:space="preserve"> accessibility for people with limited mobility.</w:t>
      </w:r>
    </w:p>
    <w:p w14:paraId="432E2A8C" w14:textId="77777777" w:rsidR="007F4B4D" w:rsidRDefault="007F4B4D" w:rsidP="004E5C7C">
      <w:pPr>
        <w:pStyle w:val="SingleTxtG"/>
        <w:ind w:right="0"/>
        <w:rPr>
          <w:b/>
          <w:bCs/>
          <w:i/>
          <w:iCs/>
          <w:sz w:val="22"/>
          <w:szCs w:val="22"/>
        </w:rPr>
      </w:pPr>
    </w:p>
    <w:p w14:paraId="0E63BC3D" w14:textId="22AC3306" w:rsidR="00420291" w:rsidRPr="004E5C7C" w:rsidRDefault="000E15CA" w:rsidP="004E5C7C">
      <w:pPr>
        <w:pStyle w:val="SingleTxtG"/>
        <w:ind w:right="0"/>
        <w:rPr>
          <w:b/>
          <w:bCs/>
          <w:i/>
          <w:iCs/>
          <w:sz w:val="22"/>
          <w:szCs w:val="22"/>
        </w:rPr>
      </w:pPr>
      <w:r w:rsidRPr="004E5C7C">
        <w:rPr>
          <w:b/>
          <w:bCs/>
          <w:i/>
          <w:iCs/>
          <w:sz w:val="22"/>
          <w:szCs w:val="22"/>
        </w:rPr>
        <w:t xml:space="preserve">Right to the accessibility of polling stations </w:t>
      </w:r>
    </w:p>
    <w:p w14:paraId="1B015E3F" w14:textId="10261344" w:rsidR="000E15CA" w:rsidRPr="004E5C7C" w:rsidRDefault="000E15CA" w:rsidP="004E5C7C">
      <w:pPr>
        <w:pStyle w:val="SingleTxtG"/>
        <w:ind w:right="0"/>
        <w:rPr>
          <w:sz w:val="22"/>
          <w:szCs w:val="22"/>
        </w:rPr>
      </w:pPr>
      <w:r w:rsidRPr="004E5C7C">
        <w:rPr>
          <w:sz w:val="22"/>
          <w:szCs w:val="22"/>
        </w:rPr>
        <w:t>Within the parliamentary oversight over the observance of the right to the accessibility of polling stations during local elections in October 2020</w:t>
      </w:r>
      <w:r w:rsidR="00420291" w:rsidRPr="004E5C7C">
        <w:rPr>
          <w:sz w:val="22"/>
          <w:szCs w:val="22"/>
        </w:rPr>
        <w:t xml:space="preserve"> i</w:t>
      </w:r>
      <w:r w:rsidRPr="004E5C7C">
        <w:rPr>
          <w:sz w:val="22"/>
          <w:szCs w:val="22"/>
        </w:rPr>
        <w:t>t was revealed that only 1% of the polling stations inspected met the accessibility criteria, 14% were partially accessible, and 85% of the polling stations remained completely inaccessible.</w:t>
      </w:r>
    </w:p>
    <w:p w14:paraId="06BF784B" w14:textId="625D0B2F" w:rsidR="00420291" w:rsidRPr="004E5C7C" w:rsidRDefault="00420291" w:rsidP="004E5C7C">
      <w:pPr>
        <w:pStyle w:val="SingleTxtG"/>
        <w:ind w:right="0"/>
        <w:rPr>
          <w:sz w:val="22"/>
          <w:szCs w:val="22"/>
        </w:rPr>
      </w:pPr>
      <w:r w:rsidRPr="004E5C7C">
        <w:rPr>
          <w:sz w:val="22"/>
          <w:szCs w:val="22"/>
        </w:rPr>
        <w:t>Following the recommendations of the Commissioner</w:t>
      </w:r>
      <w:bookmarkStart w:id="2" w:name="_Hlk81971388"/>
      <w:r w:rsidR="00F1567A" w:rsidRPr="004E5C7C">
        <w:rPr>
          <w:sz w:val="22"/>
          <w:szCs w:val="22"/>
          <w:lang w:val="en-US"/>
        </w:rPr>
        <w:t>,</w:t>
      </w:r>
      <w:bookmarkEnd w:id="2"/>
      <w:r w:rsidRPr="004E5C7C">
        <w:rPr>
          <w:sz w:val="22"/>
          <w:szCs w:val="22"/>
        </w:rPr>
        <w:t xml:space="preserve"> the Central Election Commission </w:t>
      </w:r>
      <w:r w:rsidR="00EF174E">
        <w:rPr>
          <w:sz w:val="22"/>
          <w:szCs w:val="22"/>
        </w:rPr>
        <w:t xml:space="preserve">(CEC) </w:t>
      </w:r>
      <w:r w:rsidRPr="004E5C7C">
        <w:rPr>
          <w:sz w:val="22"/>
          <w:szCs w:val="22"/>
        </w:rPr>
        <w:t xml:space="preserve">issued Resolution No.164 of 8 August 2020. This Regulation approved the requirements for the premises of precinct election commissions and premises for voting and the norms for their arrangement, taking into account the requirements of the Electoral Code, as well as the state construction norms regarding barrier-free access for persons with disabilities (due to disability, temporary health impairment, age), including people in wheelchairs and other people with limited mobility. </w:t>
      </w:r>
    </w:p>
    <w:p w14:paraId="5960BFDA" w14:textId="56FDF259" w:rsidR="00420291" w:rsidRPr="004E5C7C" w:rsidRDefault="007B4407" w:rsidP="004E5C7C">
      <w:pPr>
        <w:pStyle w:val="SingleTxtG"/>
        <w:ind w:right="0"/>
        <w:rPr>
          <w:sz w:val="22"/>
          <w:szCs w:val="22"/>
        </w:rPr>
      </w:pPr>
      <w:r w:rsidRPr="004E5C7C">
        <w:rPr>
          <w:sz w:val="22"/>
          <w:szCs w:val="22"/>
        </w:rPr>
        <w:t>Also</w:t>
      </w:r>
      <w:r w:rsidR="00420291" w:rsidRPr="004E5C7C">
        <w:rPr>
          <w:sz w:val="22"/>
          <w:szCs w:val="22"/>
        </w:rPr>
        <w:t>, upon the consultations with the Commissioner</w:t>
      </w:r>
      <w:r w:rsidR="00E05DE9">
        <w:rPr>
          <w:sz w:val="22"/>
          <w:szCs w:val="22"/>
        </w:rPr>
        <w:t>,</w:t>
      </w:r>
      <w:r w:rsidR="00420291" w:rsidRPr="004E5C7C">
        <w:rPr>
          <w:sz w:val="22"/>
          <w:szCs w:val="22"/>
        </w:rPr>
        <w:t xml:space="preserve"> the </w:t>
      </w:r>
      <w:r w:rsidR="00DB3EB2">
        <w:rPr>
          <w:sz w:val="22"/>
          <w:szCs w:val="22"/>
        </w:rPr>
        <w:t>CMU</w:t>
      </w:r>
      <w:r w:rsidR="00420291" w:rsidRPr="004E5C7C">
        <w:rPr>
          <w:sz w:val="22"/>
          <w:szCs w:val="22"/>
        </w:rPr>
        <w:t xml:space="preserve"> adopted Resolution No.962 of 9 October 2020 “On Approval of the Accessibility Criteria for of Persons with Disabilities and Other People with Limited Mobility of the Premises Provided to Precinct Election Commissions of Ordinary Polling Stations for Organizing their Work and Voting.” </w:t>
      </w:r>
    </w:p>
    <w:p w14:paraId="24CED259" w14:textId="77777777" w:rsidR="007F4B4D" w:rsidRDefault="007F4B4D" w:rsidP="004E5C7C">
      <w:pPr>
        <w:pStyle w:val="SingleTxtG"/>
        <w:ind w:right="0"/>
        <w:rPr>
          <w:b/>
          <w:bCs/>
          <w:i/>
          <w:iCs/>
          <w:sz w:val="22"/>
          <w:szCs w:val="22"/>
        </w:rPr>
      </w:pPr>
    </w:p>
    <w:p w14:paraId="342825E7" w14:textId="5D230DA1" w:rsidR="00420291" w:rsidRPr="004E5C7C" w:rsidRDefault="00420291" w:rsidP="004E5C7C">
      <w:pPr>
        <w:pStyle w:val="SingleTxtG"/>
        <w:ind w:right="0"/>
        <w:rPr>
          <w:b/>
          <w:bCs/>
          <w:i/>
          <w:iCs/>
          <w:sz w:val="22"/>
          <w:szCs w:val="22"/>
        </w:rPr>
      </w:pPr>
      <w:r w:rsidRPr="004E5C7C">
        <w:rPr>
          <w:b/>
          <w:bCs/>
          <w:i/>
          <w:iCs/>
          <w:sz w:val="22"/>
          <w:szCs w:val="22"/>
        </w:rPr>
        <w:t xml:space="preserve">Right of citizens to protection against infectious diseases during participation in elections in the context of the spread of COVID-19 </w:t>
      </w:r>
    </w:p>
    <w:p w14:paraId="1857B106" w14:textId="343403C8" w:rsidR="000E15CA" w:rsidRPr="004E5C7C" w:rsidRDefault="00420291" w:rsidP="004E5C7C">
      <w:pPr>
        <w:pStyle w:val="SingleTxtG"/>
        <w:ind w:right="0"/>
        <w:rPr>
          <w:sz w:val="22"/>
          <w:szCs w:val="22"/>
        </w:rPr>
      </w:pPr>
      <w:r w:rsidRPr="004E5C7C">
        <w:rPr>
          <w:sz w:val="22"/>
          <w:szCs w:val="22"/>
        </w:rPr>
        <w:t xml:space="preserve">In accordance with the </w:t>
      </w:r>
      <w:r w:rsidR="004267A6">
        <w:rPr>
          <w:sz w:val="22"/>
          <w:szCs w:val="22"/>
        </w:rPr>
        <w:t xml:space="preserve">CMU </w:t>
      </w:r>
      <w:r w:rsidRPr="004E5C7C">
        <w:rPr>
          <w:sz w:val="22"/>
          <w:szCs w:val="22"/>
        </w:rPr>
        <w:t xml:space="preserve">Resolution No.641 of 22 July 2020 </w:t>
      </w:r>
      <w:r w:rsidR="00E05DE9">
        <w:rPr>
          <w:sz w:val="22"/>
          <w:szCs w:val="22"/>
        </w:rPr>
        <w:t>(</w:t>
      </w:r>
      <w:r w:rsidRPr="004E5C7C">
        <w:rPr>
          <w:sz w:val="22"/>
          <w:szCs w:val="22"/>
        </w:rPr>
        <w:t>as amended</w:t>
      </w:r>
      <w:r w:rsidR="00E05DE9">
        <w:rPr>
          <w:sz w:val="22"/>
          <w:szCs w:val="22"/>
        </w:rPr>
        <w:t>)</w:t>
      </w:r>
      <w:r w:rsidRPr="004E5C7C">
        <w:rPr>
          <w:sz w:val="22"/>
          <w:szCs w:val="22"/>
        </w:rPr>
        <w:t xml:space="preserve"> and </w:t>
      </w:r>
      <w:r w:rsidR="00EF174E">
        <w:rPr>
          <w:sz w:val="22"/>
          <w:szCs w:val="22"/>
        </w:rPr>
        <w:t xml:space="preserve">CEC </w:t>
      </w:r>
      <w:r w:rsidRPr="004E5C7C">
        <w:rPr>
          <w:sz w:val="22"/>
          <w:szCs w:val="22"/>
        </w:rPr>
        <w:t xml:space="preserve">Resolutions No.409 of 22 October 2020, the procedure of work of polling stations in the context of quarantine was established. During monitoring visits to polling stations in October 2020 conducted by the Commissioner to inspect the observance of anti-epidemic measures in accordance with the above-mentioned regulations, violations of citizens’ right to protection against infectious diseases during elections were registered. </w:t>
      </w:r>
    </w:p>
    <w:p w14:paraId="359E5736" w14:textId="73D0330C" w:rsidR="007B4407" w:rsidRPr="004E5C7C" w:rsidRDefault="007B4407" w:rsidP="004E5C7C">
      <w:pPr>
        <w:pStyle w:val="SingleTxtG"/>
        <w:ind w:right="0"/>
        <w:rPr>
          <w:sz w:val="22"/>
          <w:szCs w:val="22"/>
        </w:rPr>
      </w:pPr>
      <w:r w:rsidRPr="004E5C7C">
        <w:rPr>
          <w:sz w:val="22"/>
          <w:szCs w:val="22"/>
        </w:rPr>
        <w:t xml:space="preserve">The violation of the right to protection against infectious diseases during the elections was caused by the lack of clear algorithms of actions for the participants of the electoral process, as some provisions of </w:t>
      </w:r>
      <w:r w:rsidR="00EF174E">
        <w:rPr>
          <w:sz w:val="22"/>
          <w:szCs w:val="22"/>
        </w:rPr>
        <w:t xml:space="preserve">the CMU </w:t>
      </w:r>
      <w:r w:rsidRPr="004E5C7C">
        <w:rPr>
          <w:sz w:val="22"/>
          <w:szCs w:val="22"/>
        </w:rPr>
        <w:t xml:space="preserve">Resolution No.641 were of an advisory nature. In particular, voters with symptoms of respiratory diseases were advised to vote at the place where they were staying. As such norms were non-binding, they were not complied with or improperly complied with. </w:t>
      </w:r>
    </w:p>
    <w:p w14:paraId="74B72590" w14:textId="05747006" w:rsidR="007B4407" w:rsidRPr="004E5C7C" w:rsidRDefault="007B4407" w:rsidP="004E5C7C">
      <w:pPr>
        <w:pStyle w:val="SingleTxtG"/>
        <w:ind w:right="0"/>
        <w:rPr>
          <w:sz w:val="22"/>
          <w:szCs w:val="22"/>
        </w:rPr>
      </w:pPr>
      <w:r w:rsidRPr="004E5C7C">
        <w:rPr>
          <w:sz w:val="22"/>
          <w:szCs w:val="22"/>
        </w:rPr>
        <w:t>The draft Law (reg.No.4117 of 18</w:t>
      </w:r>
      <w:r w:rsidR="004267A6">
        <w:rPr>
          <w:sz w:val="22"/>
          <w:szCs w:val="22"/>
        </w:rPr>
        <w:t xml:space="preserve"> September </w:t>
      </w:r>
      <w:r w:rsidRPr="004E5C7C">
        <w:rPr>
          <w:sz w:val="22"/>
          <w:szCs w:val="22"/>
        </w:rPr>
        <w:t xml:space="preserve">2020) was supposed to regulate the introduction of binding rules for Ukrainian citizens for the organisation and conduct of elections in the context of quarantine. However, the draft act was not adopted before the local elections that took place on 25 October 2020. </w:t>
      </w:r>
    </w:p>
    <w:p w14:paraId="1C0F9C90" w14:textId="77777777" w:rsidR="007F4B4D" w:rsidRDefault="007F4B4D" w:rsidP="004E5C7C">
      <w:pPr>
        <w:pStyle w:val="SingleTxtG"/>
        <w:ind w:right="0"/>
        <w:rPr>
          <w:b/>
          <w:bCs/>
          <w:i/>
          <w:iCs/>
          <w:sz w:val="22"/>
          <w:szCs w:val="22"/>
        </w:rPr>
      </w:pPr>
    </w:p>
    <w:p w14:paraId="61851896" w14:textId="2D6879A6" w:rsidR="003024DB" w:rsidRDefault="007B4407" w:rsidP="004E5C7C">
      <w:pPr>
        <w:pStyle w:val="SingleTxtG"/>
        <w:ind w:right="0"/>
        <w:rPr>
          <w:sz w:val="22"/>
          <w:szCs w:val="22"/>
        </w:rPr>
      </w:pPr>
      <w:r w:rsidRPr="004E5C7C">
        <w:rPr>
          <w:b/>
          <w:bCs/>
          <w:i/>
          <w:iCs/>
          <w:sz w:val="22"/>
          <w:szCs w:val="22"/>
        </w:rPr>
        <w:t xml:space="preserve">Electoral rights of citizens living in certain </w:t>
      </w:r>
      <w:r w:rsidR="003024DB">
        <w:rPr>
          <w:b/>
          <w:bCs/>
          <w:i/>
          <w:iCs/>
          <w:sz w:val="22"/>
          <w:szCs w:val="22"/>
        </w:rPr>
        <w:t>areas</w:t>
      </w:r>
      <w:r w:rsidR="003024DB" w:rsidRPr="004E5C7C">
        <w:rPr>
          <w:b/>
          <w:bCs/>
          <w:i/>
          <w:iCs/>
          <w:sz w:val="22"/>
          <w:szCs w:val="22"/>
        </w:rPr>
        <w:t xml:space="preserve"> </w:t>
      </w:r>
      <w:r w:rsidRPr="004E5C7C">
        <w:rPr>
          <w:b/>
          <w:bCs/>
          <w:i/>
          <w:iCs/>
          <w:sz w:val="22"/>
          <w:szCs w:val="22"/>
        </w:rPr>
        <w:t xml:space="preserve">of the Donetsk and Luhansk </w:t>
      </w:r>
      <w:r w:rsidR="003024DB">
        <w:rPr>
          <w:b/>
          <w:bCs/>
          <w:i/>
          <w:iCs/>
          <w:sz w:val="22"/>
          <w:szCs w:val="22"/>
        </w:rPr>
        <w:t>o</w:t>
      </w:r>
      <w:r w:rsidR="003024DB" w:rsidRPr="004E5C7C">
        <w:rPr>
          <w:b/>
          <w:bCs/>
          <w:i/>
          <w:iCs/>
          <w:sz w:val="22"/>
          <w:szCs w:val="22"/>
        </w:rPr>
        <w:t>blasts</w:t>
      </w:r>
      <w:r w:rsidR="003024DB" w:rsidRPr="004E5C7C">
        <w:rPr>
          <w:sz w:val="22"/>
          <w:szCs w:val="22"/>
        </w:rPr>
        <w:t xml:space="preserve"> </w:t>
      </w:r>
    </w:p>
    <w:p w14:paraId="15A01DB3" w14:textId="5EB0D52C" w:rsidR="007B4407" w:rsidRPr="004E5C7C" w:rsidRDefault="007B4407" w:rsidP="004E5C7C">
      <w:pPr>
        <w:pStyle w:val="SingleTxtG"/>
        <w:ind w:right="0"/>
        <w:rPr>
          <w:sz w:val="22"/>
          <w:szCs w:val="22"/>
        </w:rPr>
      </w:pPr>
      <w:r w:rsidRPr="004E5C7C">
        <w:rPr>
          <w:sz w:val="22"/>
          <w:szCs w:val="22"/>
        </w:rPr>
        <w:t xml:space="preserve">The monitoring of media revealed that in accordance with the </w:t>
      </w:r>
      <w:r w:rsidR="00EF174E">
        <w:rPr>
          <w:sz w:val="22"/>
          <w:szCs w:val="22"/>
        </w:rPr>
        <w:t xml:space="preserve">CEC </w:t>
      </w:r>
      <w:r w:rsidRPr="004E5C7C">
        <w:rPr>
          <w:sz w:val="22"/>
          <w:szCs w:val="22"/>
        </w:rPr>
        <w:t xml:space="preserve">Resolution of 8 August 2020 </w:t>
      </w:r>
      <w:r w:rsidR="00EF174E" w:rsidRPr="004E5C7C">
        <w:rPr>
          <w:sz w:val="22"/>
          <w:szCs w:val="22"/>
        </w:rPr>
        <w:t>No.161</w:t>
      </w:r>
      <w:r w:rsidR="00565979">
        <w:rPr>
          <w:sz w:val="22"/>
          <w:szCs w:val="22"/>
        </w:rPr>
        <w:t>,</w:t>
      </w:r>
      <w:r w:rsidR="00EF174E" w:rsidRPr="004E5C7C">
        <w:rPr>
          <w:sz w:val="22"/>
          <w:szCs w:val="22"/>
        </w:rPr>
        <w:t xml:space="preserve"> </w:t>
      </w:r>
      <w:r w:rsidRPr="004E5C7C">
        <w:rPr>
          <w:sz w:val="22"/>
          <w:szCs w:val="22"/>
        </w:rPr>
        <w:t xml:space="preserve">in 18 territorial communities on the territory of the Donetsk and Luhansk </w:t>
      </w:r>
      <w:r w:rsidR="00565979">
        <w:rPr>
          <w:sz w:val="22"/>
          <w:szCs w:val="22"/>
        </w:rPr>
        <w:t>o</w:t>
      </w:r>
      <w:r w:rsidR="00565979" w:rsidRPr="004E5C7C">
        <w:rPr>
          <w:sz w:val="22"/>
          <w:szCs w:val="22"/>
        </w:rPr>
        <w:t>blasts</w:t>
      </w:r>
      <w:r w:rsidRPr="004E5C7C">
        <w:rPr>
          <w:sz w:val="22"/>
          <w:szCs w:val="22"/>
        </w:rPr>
        <w:t xml:space="preserve">, located at the contact line, the local elections would not be held. The decision on the impossibility to hold local elections concerned 475,855 voters. </w:t>
      </w:r>
    </w:p>
    <w:p w14:paraId="06B3F266" w14:textId="40EECF87" w:rsidR="007B4407" w:rsidRPr="004E5C7C" w:rsidRDefault="007B4407" w:rsidP="004E5C7C">
      <w:pPr>
        <w:pStyle w:val="SingleTxtG"/>
        <w:ind w:right="0"/>
        <w:rPr>
          <w:sz w:val="22"/>
          <w:szCs w:val="22"/>
        </w:rPr>
      </w:pPr>
      <w:r w:rsidRPr="004E5C7C">
        <w:rPr>
          <w:sz w:val="22"/>
          <w:szCs w:val="22"/>
        </w:rPr>
        <w:t xml:space="preserve">Therefore, the Commissioner contacted the </w:t>
      </w:r>
      <w:r w:rsidR="00EF174E">
        <w:rPr>
          <w:sz w:val="22"/>
          <w:szCs w:val="22"/>
        </w:rPr>
        <w:t>CEC</w:t>
      </w:r>
      <w:r w:rsidRPr="004E5C7C">
        <w:rPr>
          <w:sz w:val="22"/>
          <w:szCs w:val="22"/>
        </w:rPr>
        <w:t xml:space="preserve"> requesting the opinions of the Donetsk and Luhansk Oblast Military-Civil Administrations, which were the basis for approval of </w:t>
      </w:r>
      <w:r w:rsidR="00EF174E">
        <w:rPr>
          <w:sz w:val="22"/>
          <w:szCs w:val="22"/>
        </w:rPr>
        <w:t xml:space="preserve">CEC </w:t>
      </w:r>
      <w:r w:rsidRPr="004E5C7C">
        <w:rPr>
          <w:sz w:val="22"/>
          <w:szCs w:val="22"/>
        </w:rPr>
        <w:t xml:space="preserve">Resolution No.161. The opinions of the Donetsk and Luhansk Oblast Military-Civil Administrations provided to the Commissioner state that due to the armed aggression of the Russian Federation against Ukraine and due to the highly charged socio-political situation in certain </w:t>
      </w:r>
      <w:r w:rsidR="003024DB">
        <w:rPr>
          <w:sz w:val="22"/>
          <w:szCs w:val="22"/>
        </w:rPr>
        <w:t>areas</w:t>
      </w:r>
      <w:r w:rsidR="003024DB" w:rsidRPr="004E5C7C">
        <w:rPr>
          <w:sz w:val="22"/>
          <w:szCs w:val="22"/>
        </w:rPr>
        <w:t xml:space="preserve"> </w:t>
      </w:r>
      <w:r w:rsidRPr="004E5C7C">
        <w:rPr>
          <w:sz w:val="22"/>
          <w:szCs w:val="22"/>
        </w:rPr>
        <w:t xml:space="preserve">of the Donetsk and Luhansk </w:t>
      </w:r>
      <w:r w:rsidR="00EF174E">
        <w:rPr>
          <w:sz w:val="22"/>
          <w:szCs w:val="22"/>
        </w:rPr>
        <w:t>o</w:t>
      </w:r>
      <w:r w:rsidR="00EF174E" w:rsidRPr="004E5C7C">
        <w:rPr>
          <w:sz w:val="22"/>
          <w:szCs w:val="22"/>
        </w:rPr>
        <w:t>blasts</w:t>
      </w:r>
      <w:r w:rsidRPr="004E5C7C">
        <w:rPr>
          <w:sz w:val="22"/>
          <w:szCs w:val="22"/>
        </w:rPr>
        <w:t>, it is impossible to ensure proper security for the citizens during the organisation and conduct of local elections. The provisions of the Electoral Code do not contain clear legal certainty and criteria for making decisions on the impossibility to hold local elections in certain territories, that is why it is</w:t>
      </w:r>
      <w:r w:rsidRPr="004E5C7C">
        <w:rPr>
          <w:rFonts w:eastAsia="Times New Roman"/>
          <w:sz w:val="22"/>
          <w:szCs w:val="22"/>
          <w:lang w:eastAsia="en-US"/>
        </w:rPr>
        <w:t xml:space="preserve"> </w:t>
      </w:r>
      <w:r w:rsidRPr="004E5C7C">
        <w:rPr>
          <w:sz w:val="22"/>
          <w:szCs w:val="22"/>
        </w:rPr>
        <w:t xml:space="preserve">impossible to assess the legitimacy of restricting the electoral rights of the territorial communities on the territory of the Donetsk and Luhansk </w:t>
      </w:r>
      <w:r w:rsidR="00565979">
        <w:rPr>
          <w:sz w:val="22"/>
          <w:szCs w:val="22"/>
        </w:rPr>
        <w:t>o</w:t>
      </w:r>
      <w:r w:rsidR="00565979" w:rsidRPr="004E5C7C">
        <w:rPr>
          <w:sz w:val="22"/>
          <w:szCs w:val="22"/>
        </w:rPr>
        <w:t xml:space="preserve">blasts </w:t>
      </w:r>
      <w:r w:rsidRPr="004E5C7C">
        <w:rPr>
          <w:sz w:val="22"/>
          <w:szCs w:val="22"/>
        </w:rPr>
        <w:t xml:space="preserve">located on the contact line. </w:t>
      </w:r>
    </w:p>
    <w:p w14:paraId="03D7CD0B" w14:textId="77777777" w:rsidR="007F4B4D" w:rsidRDefault="007F4B4D" w:rsidP="004E5C7C">
      <w:pPr>
        <w:pStyle w:val="SingleTxtG"/>
        <w:ind w:right="0"/>
        <w:rPr>
          <w:b/>
          <w:bCs/>
          <w:i/>
          <w:iCs/>
          <w:sz w:val="22"/>
          <w:szCs w:val="22"/>
        </w:rPr>
      </w:pPr>
    </w:p>
    <w:p w14:paraId="47F43213" w14:textId="1DF61030" w:rsidR="007B4407" w:rsidRPr="004E5C7C" w:rsidRDefault="007B4407" w:rsidP="004E5C7C">
      <w:pPr>
        <w:pStyle w:val="SingleTxtG"/>
        <w:ind w:right="0"/>
        <w:rPr>
          <w:b/>
          <w:bCs/>
          <w:i/>
          <w:iCs/>
          <w:sz w:val="22"/>
          <w:szCs w:val="22"/>
        </w:rPr>
      </w:pPr>
      <w:r w:rsidRPr="004E5C7C">
        <w:rPr>
          <w:b/>
          <w:bCs/>
          <w:i/>
          <w:iCs/>
          <w:sz w:val="22"/>
          <w:szCs w:val="22"/>
        </w:rPr>
        <w:t xml:space="preserve">Electoral rights of IDPs, citizens with no registered place of residence, and internal labour migrants </w:t>
      </w:r>
    </w:p>
    <w:p w14:paraId="3980A7B9" w14:textId="2A607663" w:rsidR="007B4407" w:rsidRPr="004E5C7C" w:rsidRDefault="007B4407" w:rsidP="004E5C7C">
      <w:pPr>
        <w:pStyle w:val="SingleTxtG"/>
        <w:ind w:right="0"/>
        <w:rPr>
          <w:sz w:val="22"/>
          <w:szCs w:val="22"/>
        </w:rPr>
      </w:pPr>
      <w:r w:rsidRPr="004E5C7C">
        <w:rPr>
          <w:sz w:val="22"/>
          <w:szCs w:val="22"/>
        </w:rPr>
        <w:t xml:space="preserve">In accordance with the proposals of the Commissioner provided during the drafting of the Electoral Code on the need to define the grounds and procedure for voters to change their voting address to exercise their electoral right during national and local elections, the Electoral Code that was adopted by the </w:t>
      </w:r>
      <w:r w:rsidR="002B3B88">
        <w:rPr>
          <w:sz w:val="22"/>
          <w:szCs w:val="22"/>
        </w:rPr>
        <w:t>Parliament</w:t>
      </w:r>
      <w:r w:rsidRPr="004E5C7C">
        <w:rPr>
          <w:sz w:val="22"/>
          <w:szCs w:val="22"/>
        </w:rPr>
        <w:t xml:space="preserve"> provided for a relevant provision. In this regard, for the first time during the years of temporary occupation of the </w:t>
      </w:r>
      <w:r w:rsidR="006C4F50">
        <w:rPr>
          <w:sz w:val="22"/>
          <w:szCs w:val="22"/>
        </w:rPr>
        <w:t>ARC</w:t>
      </w:r>
      <w:r w:rsidRPr="004E5C7C">
        <w:rPr>
          <w:sz w:val="22"/>
          <w:szCs w:val="22"/>
        </w:rPr>
        <w:t xml:space="preserve">, the city of Sevastopol and certain areas of the Donetsk and Luhansk Oblasts, 1.5 mln. IDPs were granted the right to vote in local elections. Other categories of citizens were also able to exercise the right to vote at their place of residence, including app. 3.3 mln. internal labour migrants and over 1 mln. people with no registered place of residence. </w:t>
      </w:r>
    </w:p>
    <w:p w14:paraId="73CFC472" w14:textId="1B802C86" w:rsidR="007B4407" w:rsidRPr="004E5C7C" w:rsidRDefault="007B4407" w:rsidP="004E5C7C">
      <w:pPr>
        <w:pStyle w:val="SingleTxtG"/>
        <w:ind w:right="0"/>
        <w:rPr>
          <w:sz w:val="22"/>
          <w:szCs w:val="22"/>
        </w:rPr>
      </w:pPr>
      <w:r w:rsidRPr="004E5C7C">
        <w:rPr>
          <w:sz w:val="22"/>
          <w:szCs w:val="22"/>
        </w:rPr>
        <w:t xml:space="preserve">To determine the procedure for exercising this right, the </w:t>
      </w:r>
      <w:r w:rsidR="004267A6">
        <w:rPr>
          <w:sz w:val="22"/>
          <w:szCs w:val="22"/>
        </w:rPr>
        <w:t>CEC</w:t>
      </w:r>
      <w:r w:rsidRPr="004E5C7C">
        <w:rPr>
          <w:sz w:val="22"/>
          <w:szCs w:val="22"/>
        </w:rPr>
        <w:t xml:space="preserve"> adopted Resolutions No.88 of 18 May 2020 “On the Procedure for Considering a Voter’s Application to Change an Electoral Address in Accordance with Part Three of Article </w:t>
      </w:r>
      <w:r w:rsidR="007321EA">
        <w:rPr>
          <w:sz w:val="22"/>
          <w:szCs w:val="22"/>
        </w:rPr>
        <w:t>.</w:t>
      </w:r>
      <w:r w:rsidRPr="004E5C7C">
        <w:rPr>
          <w:sz w:val="22"/>
          <w:szCs w:val="22"/>
        </w:rPr>
        <w:t>8 of the Law “On the State Register of Voters” and No.103 of 11 June 2020 “On the Procedure for Determining the Electoral Address of a Voter Who Does Not Have a Registered Place of Residence.” These changes became an important step in further integration of these categories of voters into the communities where they actually reside and ensuring their right to participate in community life. However, only 101,687 voters exercised the right to change their voting address during the elections.</w:t>
      </w:r>
    </w:p>
    <w:p w14:paraId="774D95AE" w14:textId="767421C1" w:rsidR="007B4407" w:rsidRPr="004E5C7C" w:rsidRDefault="007B4407" w:rsidP="004E5C7C">
      <w:pPr>
        <w:pStyle w:val="SingleTxtG"/>
        <w:ind w:right="0"/>
        <w:rPr>
          <w:sz w:val="22"/>
          <w:szCs w:val="22"/>
        </w:rPr>
      </w:pPr>
    </w:p>
    <w:p w14:paraId="301A0564" w14:textId="2919AF87" w:rsidR="00B22F73" w:rsidRPr="004E5C7C" w:rsidRDefault="00B22F73" w:rsidP="004E5C7C">
      <w:pPr>
        <w:pStyle w:val="H23G"/>
        <w:ind w:right="0"/>
        <w:rPr>
          <w:sz w:val="22"/>
          <w:szCs w:val="22"/>
        </w:rPr>
      </w:pPr>
      <w:r w:rsidRPr="004E5C7C">
        <w:rPr>
          <w:sz w:val="22"/>
          <w:szCs w:val="22"/>
        </w:rPr>
        <w:tab/>
      </w:r>
      <w:r w:rsidRPr="004E5C7C">
        <w:rPr>
          <w:sz w:val="22"/>
          <w:szCs w:val="22"/>
        </w:rPr>
        <w:tab/>
      </w:r>
      <w:r w:rsidRPr="004E5C7C">
        <w:rPr>
          <w:sz w:val="22"/>
          <w:szCs w:val="22"/>
          <w:highlight w:val="lightGray"/>
        </w:rPr>
        <w:t>Rights of minorities (</w:t>
      </w:r>
      <w:r w:rsidR="007F4B4D">
        <w:rPr>
          <w:sz w:val="22"/>
          <w:szCs w:val="22"/>
          <w:highlight w:val="lightGray"/>
        </w:rPr>
        <w:t>A</w:t>
      </w:r>
      <w:r w:rsidR="007F4B4D" w:rsidRPr="004E5C7C">
        <w:rPr>
          <w:sz w:val="22"/>
          <w:szCs w:val="22"/>
          <w:highlight w:val="lightGray"/>
        </w:rPr>
        <w:t>rts</w:t>
      </w:r>
      <w:r w:rsidRPr="004E5C7C">
        <w:rPr>
          <w:sz w:val="22"/>
          <w:szCs w:val="22"/>
          <w:highlight w:val="lightGray"/>
        </w:rPr>
        <w:t>.</w:t>
      </w:r>
      <w:r w:rsidR="00EE4732" w:rsidRPr="004E5C7C">
        <w:rPr>
          <w:sz w:val="22"/>
          <w:szCs w:val="22"/>
          <w:highlight w:val="lightGray"/>
        </w:rPr>
        <w:t xml:space="preserve">2, </w:t>
      </w:r>
      <w:r w:rsidRPr="004E5C7C">
        <w:rPr>
          <w:sz w:val="22"/>
          <w:szCs w:val="22"/>
          <w:highlight w:val="lightGray"/>
        </w:rPr>
        <w:t>26–27)</w:t>
      </w:r>
    </w:p>
    <w:p w14:paraId="649C5719" w14:textId="1EC3DFDB" w:rsidR="00EE4732" w:rsidRPr="004E5C7C" w:rsidRDefault="00FF3998" w:rsidP="004E5C7C">
      <w:pPr>
        <w:pStyle w:val="SingleTxtG"/>
        <w:ind w:right="0"/>
        <w:rPr>
          <w:sz w:val="22"/>
          <w:szCs w:val="22"/>
        </w:rPr>
      </w:pPr>
      <w:r w:rsidRPr="004E5C7C">
        <w:rPr>
          <w:b/>
          <w:bCs/>
          <w:i/>
          <w:iCs/>
          <w:sz w:val="22"/>
          <w:szCs w:val="22"/>
        </w:rPr>
        <w:t>Observance of the rights of citizens to non-discrimination on the grounds of language.</w:t>
      </w:r>
      <w:r w:rsidRPr="004E5C7C">
        <w:rPr>
          <w:sz w:val="22"/>
          <w:szCs w:val="22"/>
        </w:rPr>
        <w:t xml:space="preserve"> </w:t>
      </w:r>
    </w:p>
    <w:p w14:paraId="1C26F175" w14:textId="127F080F" w:rsidR="00F71A71" w:rsidRPr="004E5C7C" w:rsidRDefault="00753B9C" w:rsidP="004E5C7C">
      <w:pPr>
        <w:pStyle w:val="SingleTxtG"/>
        <w:ind w:right="0"/>
        <w:rPr>
          <w:sz w:val="22"/>
          <w:szCs w:val="22"/>
        </w:rPr>
      </w:pPr>
      <w:r>
        <w:rPr>
          <w:sz w:val="22"/>
          <w:szCs w:val="22"/>
          <w:lang w:val="en-US"/>
        </w:rPr>
        <w:t>T</w:t>
      </w:r>
      <w:r w:rsidR="00FF3998" w:rsidRPr="004E5C7C">
        <w:rPr>
          <w:sz w:val="22"/>
          <w:szCs w:val="22"/>
        </w:rPr>
        <w:t>he Commissioner receive</w:t>
      </w:r>
      <w:r>
        <w:rPr>
          <w:sz w:val="22"/>
          <w:szCs w:val="22"/>
        </w:rPr>
        <w:t>s</w:t>
      </w:r>
      <w:r w:rsidR="00FF3998" w:rsidRPr="004E5C7C">
        <w:rPr>
          <w:sz w:val="22"/>
          <w:szCs w:val="22"/>
        </w:rPr>
        <w:t xml:space="preserve"> reports on the protection of citizens’ right to the free use of their native language in all spheres of life. The reports concern violations of the right of citizens to access information and educational services in the state language and languages of national minorities and to use such languages in the temporarily occupied territory of Ukraine. Some reports concern violations of the right to receive information or services in the Ukrainian language.</w:t>
      </w:r>
    </w:p>
    <w:p w14:paraId="4CBE9FEC" w14:textId="44E8EE53" w:rsidR="00E24365" w:rsidRPr="004E5C7C" w:rsidRDefault="00E24365" w:rsidP="004E5C7C">
      <w:pPr>
        <w:pStyle w:val="SingleTxtG"/>
        <w:ind w:right="0"/>
        <w:rPr>
          <w:sz w:val="22"/>
          <w:szCs w:val="22"/>
        </w:rPr>
      </w:pPr>
      <w:r w:rsidRPr="004E5C7C">
        <w:rPr>
          <w:sz w:val="22"/>
          <w:szCs w:val="22"/>
        </w:rPr>
        <w:t>The Constitution guarantees the linguistic rights of national minorities, in particular, use, development, non-discrimination and education in the native language or the study of the native language (Arts</w:t>
      </w:r>
      <w:r w:rsidR="007321EA">
        <w:rPr>
          <w:sz w:val="22"/>
          <w:szCs w:val="22"/>
        </w:rPr>
        <w:t>.</w:t>
      </w:r>
      <w:r w:rsidRPr="004E5C7C">
        <w:rPr>
          <w:sz w:val="22"/>
          <w:szCs w:val="22"/>
        </w:rPr>
        <w:t xml:space="preserve">9, 10 and 53 of the Constitution). However, this right is not detailed at the level of the laws of Ukraine. </w:t>
      </w:r>
    </w:p>
    <w:p w14:paraId="415A7106" w14:textId="552CC952" w:rsidR="00E24365" w:rsidRPr="004E5C7C" w:rsidRDefault="00E24365" w:rsidP="004E5C7C">
      <w:pPr>
        <w:pStyle w:val="SingleTxtG"/>
        <w:ind w:right="0"/>
        <w:rPr>
          <w:sz w:val="22"/>
          <w:szCs w:val="22"/>
        </w:rPr>
      </w:pPr>
      <w:r w:rsidRPr="004E5C7C">
        <w:rPr>
          <w:sz w:val="22"/>
          <w:szCs w:val="22"/>
        </w:rPr>
        <w:t xml:space="preserve">A significant gap in the Ukrainian legislation in the issue of ensuring the rights of national minorities is the absence of a special law to regulate the use of national minority languages in various spheres, including education. In accordance with Law No.2704-VIII, the </w:t>
      </w:r>
      <w:r w:rsidR="00193E94">
        <w:rPr>
          <w:sz w:val="22"/>
          <w:szCs w:val="22"/>
        </w:rPr>
        <w:t>CMU</w:t>
      </w:r>
      <w:r w:rsidRPr="004E5C7C">
        <w:rPr>
          <w:sz w:val="22"/>
          <w:szCs w:val="22"/>
        </w:rPr>
        <w:t xml:space="preserve"> is required to draft, within six months, and submit for consideration to the </w:t>
      </w:r>
      <w:r w:rsidR="002B3B88">
        <w:rPr>
          <w:sz w:val="22"/>
          <w:szCs w:val="22"/>
        </w:rPr>
        <w:t>Parliament</w:t>
      </w:r>
      <w:r w:rsidRPr="004E5C7C">
        <w:rPr>
          <w:sz w:val="22"/>
          <w:szCs w:val="22"/>
        </w:rPr>
        <w:t xml:space="preserve"> the draft law on national minorities of Ukraine, which would create adequate conditions to ensure and protect the rights of all persons belonging to national minorities, to preserve and develop their linguistic, cultural and ethnic-religious identity. </w:t>
      </w:r>
    </w:p>
    <w:p w14:paraId="5322206D" w14:textId="4DB8DF3B" w:rsidR="0084148B" w:rsidRPr="004E5C7C" w:rsidRDefault="00E24365" w:rsidP="004E5C7C">
      <w:pPr>
        <w:pStyle w:val="SingleTxtG"/>
        <w:ind w:right="0"/>
        <w:rPr>
          <w:sz w:val="22"/>
          <w:szCs w:val="22"/>
        </w:rPr>
      </w:pPr>
      <w:r w:rsidRPr="004E5C7C">
        <w:rPr>
          <w:sz w:val="22"/>
          <w:szCs w:val="22"/>
        </w:rPr>
        <w:t xml:space="preserve">In 2019, the Commissioner recommended the </w:t>
      </w:r>
      <w:r w:rsidR="00DB3EB2">
        <w:rPr>
          <w:sz w:val="22"/>
          <w:szCs w:val="22"/>
        </w:rPr>
        <w:t>CMU</w:t>
      </w:r>
      <w:r w:rsidRPr="004E5C7C">
        <w:rPr>
          <w:sz w:val="22"/>
          <w:szCs w:val="22"/>
        </w:rPr>
        <w:t xml:space="preserve"> to develop this draft law</w:t>
      </w:r>
      <w:r w:rsidR="00523A4B" w:rsidRPr="004E5C7C">
        <w:rPr>
          <w:sz w:val="22"/>
          <w:szCs w:val="22"/>
          <w:lang w:val="en-US"/>
        </w:rPr>
        <w:t>,</w:t>
      </w:r>
      <w:r w:rsidRPr="004E5C7C">
        <w:rPr>
          <w:sz w:val="22"/>
          <w:szCs w:val="22"/>
        </w:rPr>
        <w:t xml:space="preserve">. However, this recommendation remained unimplemented. Legislative regulation of the status of national minorities, in particular, the protection and dissemination of their language, will contribute to the sustainable development of such languages, without hindering the development of the Ukrainian language. This was also noted in the opinion of the European Commission for Democracy through Law (Venice Commission) No.960/2019 of 9 December 2019, which states that Ukraine, in accordance with the international obligations it has undertaken, must, without discrimination, provide guarantees for the protection and development of languages of national minorities and indigenous peoples. </w:t>
      </w:r>
    </w:p>
    <w:p w14:paraId="424CBBAB" w14:textId="38D34B92" w:rsidR="00334BA6" w:rsidRPr="00753B9C" w:rsidRDefault="00E24365" w:rsidP="004E5C7C">
      <w:pPr>
        <w:pStyle w:val="SingleTxtG"/>
        <w:ind w:right="0"/>
        <w:rPr>
          <w:color w:val="000000" w:themeColor="text1"/>
          <w:sz w:val="22"/>
          <w:szCs w:val="22"/>
        </w:rPr>
      </w:pPr>
      <w:r w:rsidRPr="00753B9C">
        <w:rPr>
          <w:color w:val="000000" w:themeColor="text1"/>
          <w:sz w:val="22"/>
          <w:szCs w:val="22"/>
        </w:rPr>
        <w:t xml:space="preserve">The issue of discrimination against languages of national minorities and indigenous peoples, in particular, the Russian language, </w:t>
      </w:r>
      <w:r w:rsidR="00334BA6" w:rsidRPr="00753B9C">
        <w:rPr>
          <w:color w:val="000000" w:themeColor="text1"/>
          <w:sz w:val="22"/>
          <w:szCs w:val="22"/>
          <w:lang w:val="en-US"/>
        </w:rPr>
        <w:t>was</w:t>
      </w:r>
      <w:r w:rsidRPr="00753B9C">
        <w:rPr>
          <w:color w:val="000000" w:themeColor="text1"/>
          <w:sz w:val="22"/>
          <w:szCs w:val="22"/>
        </w:rPr>
        <w:t xml:space="preserve"> being considered by the </w:t>
      </w:r>
      <w:r w:rsidR="00193E94">
        <w:rPr>
          <w:color w:val="000000" w:themeColor="text1"/>
          <w:sz w:val="22"/>
          <w:szCs w:val="22"/>
        </w:rPr>
        <w:t>CCU</w:t>
      </w:r>
      <w:r w:rsidRPr="00753B9C">
        <w:rPr>
          <w:color w:val="000000" w:themeColor="text1"/>
          <w:sz w:val="22"/>
          <w:szCs w:val="22"/>
        </w:rPr>
        <w:t xml:space="preserve"> upon the submission of 51 </w:t>
      </w:r>
      <w:r w:rsidR="00B63FBE">
        <w:rPr>
          <w:color w:val="000000" w:themeColor="text1"/>
          <w:sz w:val="22"/>
          <w:szCs w:val="22"/>
        </w:rPr>
        <w:t>MPs</w:t>
      </w:r>
      <w:r w:rsidRPr="00753B9C">
        <w:rPr>
          <w:color w:val="000000" w:themeColor="text1"/>
          <w:sz w:val="22"/>
          <w:szCs w:val="22"/>
        </w:rPr>
        <w:t xml:space="preserve"> regarding the compliance of </w:t>
      </w:r>
      <w:r w:rsidR="00193E94">
        <w:rPr>
          <w:color w:val="000000" w:themeColor="text1"/>
          <w:sz w:val="22"/>
          <w:szCs w:val="22"/>
        </w:rPr>
        <w:t xml:space="preserve">the </w:t>
      </w:r>
      <w:r w:rsidRPr="00753B9C">
        <w:rPr>
          <w:color w:val="000000" w:themeColor="text1"/>
          <w:sz w:val="22"/>
          <w:szCs w:val="22"/>
        </w:rPr>
        <w:t xml:space="preserve">Law </w:t>
      </w:r>
      <w:r w:rsidR="00193E94" w:rsidRPr="00753B9C">
        <w:rPr>
          <w:color w:val="000000" w:themeColor="text1"/>
          <w:sz w:val="22"/>
          <w:szCs w:val="22"/>
        </w:rPr>
        <w:t>No</w:t>
      </w:r>
      <w:r w:rsidR="00193E94">
        <w:rPr>
          <w:color w:val="000000" w:themeColor="text1"/>
          <w:sz w:val="22"/>
          <w:szCs w:val="22"/>
        </w:rPr>
        <w:t>.</w:t>
      </w:r>
      <w:r w:rsidRPr="00753B9C">
        <w:rPr>
          <w:color w:val="000000" w:themeColor="text1"/>
          <w:sz w:val="22"/>
          <w:szCs w:val="22"/>
        </w:rPr>
        <w:t>2704-VIII with the provisions of the Constitution</w:t>
      </w:r>
      <w:r w:rsidR="00334BA6" w:rsidRPr="00753B9C">
        <w:rPr>
          <w:color w:val="000000" w:themeColor="text1"/>
          <w:sz w:val="22"/>
          <w:szCs w:val="22"/>
        </w:rPr>
        <w:t>. The CCU found that the "language law" did not contain provisions "that may restrict the free development, use and protection of languages that have the legal status of national minority languages (including Russian)", as well as those provisions that would prevent the state from promoting identity, in particular the language, indigenous peoples and national minorities of Ukraine.</w:t>
      </w:r>
    </w:p>
    <w:p w14:paraId="1F26C20E" w14:textId="4E871BA6" w:rsidR="00334BA6" w:rsidRPr="00753B9C" w:rsidRDefault="00334BA6" w:rsidP="004E5C7C">
      <w:pPr>
        <w:pStyle w:val="SingleTxtG"/>
        <w:ind w:right="0"/>
        <w:rPr>
          <w:color w:val="000000" w:themeColor="text1"/>
          <w:sz w:val="22"/>
          <w:szCs w:val="22"/>
        </w:rPr>
      </w:pPr>
      <w:r w:rsidRPr="00753B9C">
        <w:rPr>
          <w:color w:val="000000" w:themeColor="text1"/>
          <w:sz w:val="22"/>
          <w:szCs w:val="22"/>
        </w:rPr>
        <w:t xml:space="preserve">At the same time, the </w:t>
      </w:r>
      <w:r w:rsidR="00753B9C">
        <w:rPr>
          <w:color w:val="000000" w:themeColor="text1"/>
          <w:sz w:val="22"/>
          <w:szCs w:val="22"/>
        </w:rPr>
        <w:t>CCU</w:t>
      </w:r>
      <w:r w:rsidR="00753B9C" w:rsidRPr="00753B9C">
        <w:rPr>
          <w:color w:val="000000" w:themeColor="text1"/>
          <w:sz w:val="22"/>
          <w:szCs w:val="22"/>
        </w:rPr>
        <w:t xml:space="preserve"> </w:t>
      </w:r>
      <w:r w:rsidRPr="00753B9C">
        <w:rPr>
          <w:color w:val="000000" w:themeColor="text1"/>
          <w:sz w:val="22"/>
          <w:szCs w:val="22"/>
        </w:rPr>
        <w:t>points out that the functioning of the Ukrainian language as the state language and its support by the state "must be combined with respect for the languages of national minorities historically living within Ukraine" and ensuring the protection of language rights of persons belonging to such minorities.</w:t>
      </w:r>
    </w:p>
    <w:p w14:paraId="00F3939C" w14:textId="1D25BCEE" w:rsidR="00B22F73" w:rsidRDefault="00D2157B" w:rsidP="00753B9C">
      <w:pPr>
        <w:pStyle w:val="SingleTxtG"/>
        <w:ind w:right="0"/>
        <w:rPr>
          <w:color w:val="000000" w:themeColor="text1"/>
          <w:sz w:val="22"/>
          <w:szCs w:val="22"/>
          <w:lang w:val="en"/>
        </w:rPr>
      </w:pPr>
      <w:r w:rsidRPr="00753B9C">
        <w:rPr>
          <w:color w:val="000000" w:themeColor="text1"/>
          <w:sz w:val="22"/>
          <w:szCs w:val="22"/>
          <w:lang w:val="en-US"/>
        </w:rPr>
        <w:t xml:space="preserve">On 1 July </w:t>
      </w:r>
      <w:r w:rsidRPr="00753B9C">
        <w:rPr>
          <w:color w:val="000000" w:themeColor="text1"/>
          <w:sz w:val="22"/>
          <w:szCs w:val="22"/>
          <w:lang w:val="en"/>
        </w:rPr>
        <w:t>2021</w:t>
      </w:r>
      <w:r w:rsidR="00F1148A">
        <w:rPr>
          <w:color w:val="000000" w:themeColor="text1"/>
          <w:sz w:val="22"/>
          <w:szCs w:val="22"/>
          <w:lang w:val="en"/>
        </w:rPr>
        <w:t>,</w:t>
      </w:r>
      <w:r w:rsidRPr="00753B9C">
        <w:rPr>
          <w:color w:val="000000" w:themeColor="text1"/>
          <w:sz w:val="22"/>
          <w:szCs w:val="22"/>
          <w:lang w:val="en"/>
        </w:rPr>
        <w:t xml:space="preserve"> the </w:t>
      </w:r>
      <w:r w:rsidR="002B3B88">
        <w:rPr>
          <w:color w:val="000000" w:themeColor="text1"/>
          <w:sz w:val="22"/>
          <w:szCs w:val="22"/>
          <w:lang w:val="en"/>
        </w:rPr>
        <w:t>Parliament</w:t>
      </w:r>
      <w:r w:rsidRPr="00753B9C">
        <w:rPr>
          <w:color w:val="000000" w:themeColor="text1"/>
          <w:sz w:val="22"/>
          <w:szCs w:val="22"/>
          <w:lang w:val="en"/>
        </w:rPr>
        <w:t xml:space="preserve"> had adopted the Law “On Indigenous Peoples of Ukraine” </w:t>
      </w:r>
      <w:r w:rsidR="004267A6">
        <w:rPr>
          <w:color w:val="000000" w:themeColor="text1"/>
          <w:sz w:val="22"/>
          <w:szCs w:val="22"/>
          <w:lang w:val="en"/>
        </w:rPr>
        <w:t>No.</w:t>
      </w:r>
      <w:r w:rsidRPr="00753B9C">
        <w:rPr>
          <w:color w:val="000000" w:themeColor="text1"/>
          <w:sz w:val="22"/>
          <w:szCs w:val="22"/>
          <w:lang w:val="en"/>
        </w:rPr>
        <w:t xml:space="preserve">1616-IX. The document is aimed at </w:t>
      </w:r>
      <w:r w:rsidR="00F1148A">
        <w:rPr>
          <w:color w:val="000000" w:themeColor="text1"/>
          <w:sz w:val="22"/>
          <w:szCs w:val="22"/>
          <w:lang w:val="en"/>
        </w:rPr>
        <w:t xml:space="preserve">the </w:t>
      </w:r>
      <w:r w:rsidRPr="00753B9C">
        <w:rPr>
          <w:color w:val="000000" w:themeColor="text1"/>
          <w:sz w:val="22"/>
          <w:szCs w:val="22"/>
          <w:lang w:val="en"/>
        </w:rPr>
        <w:t xml:space="preserve">protection of cultural, informational and other rights of indigenous peoples, providing them with mechanisms and tools to work with the Ukrainian state. </w:t>
      </w:r>
    </w:p>
    <w:p w14:paraId="575E2A12" w14:textId="08E1DD0A" w:rsidR="001D1064" w:rsidRPr="007F4B4D" w:rsidRDefault="001D1064" w:rsidP="00753B9C">
      <w:pPr>
        <w:pStyle w:val="SingleTxtG"/>
        <w:ind w:right="0"/>
        <w:rPr>
          <w:sz w:val="22"/>
          <w:szCs w:val="22"/>
          <w:lang w:val="en"/>
        </w:rPr>
      </w:pPr>
    </w:p>
    <w:p w14:paraId="5BE98B64" w14:textId="77777777" w:rsidR="007F4B4D" w:rsidRPr="007F4B4D" w:rsidRDefault="007F4B4D" w:rsidP="00753B9C">
      <w:pPr>
        <w:pStyle w:val="SingleTxtG"/>
        <w:ind w:right="0"/>
        <w:rPr>
          <w:sz w:val="22"/>
          <w:szCs w:val="22"/>
          <w:lang w:val="en"/>
        </w:rPr>
      </w:pPr>
    </w:p>
    <w:p w14:paraId="6EFBCC6E" w14:textId="45195FC0" w:rsidR="001D1064" w:rsidRPr="007F4B4D" w:rsidRDefault="00FB4BCE" w:rsidP="001D1064">
      <w:pPr>
        <w:pStyle w:val="SingleTxtG"/>
        <w:ind w:right="0"/>
        <w:rPr>
          <w:sz w:val="22"/>
          <w:szCs w:val="22"/>
        </w:rPr>
      </w:pPr>
      <w:r w:rsidRPr="007F4B4D">
        <w:rPr>
          <w:sz w:val="22"/>
          <w:szCs w:val="22"/>
        </w:rPr>
        <w:t>In addition to the above</w:t>
      </w:r>
      <w:r w:rsidRPr="007F4B4D">
        <w:rPr>
          <w:sz w:val="22"/>
          <w:szCs w:val="22"/>
          <w:lang w:val="en-US"/>
        </w:rPr>
        <w:t>mentioned</w:t>
      </w:r>
      <w:r w:rsidRPr="007F4B4D">
        <w:rPr>
          <w:sz w:val="22"/>
          <w:szCs w:val="22"/>
        </w:rPr>
        <w:t xml:space="preserve"> </w:t>
      </w:r>
      <w:r w:rsidRPr="007F4B4D">
        <w:rPr>
          <w:sz w:val="22"/>
          <w:szCs w:val="22"/>
          <w:lang w:val="en-US"/>
        </w:rPr>
        <w:t>a</w:t>
      </w:r>
      <w:r w:rsidR="001D1064" w:rsidRPr="007F4B4D">
        <w:rPr>
          <w:sz w:val="22"/>
          <w:szCs w:val="22"/>
        </w:rPr>
        <w:t xml:space="preserve"> detailed description of monitoring results and respective recommendations were also provided by the Commissioner in its annual reports for 2019</w:t>
      </w:r>
      <w:r w:rsidR="001D1064" w:rsidRPr="007F4B4D">
        <w:rPr>
          <w:sz w:val="22"/>
          <w:szCs w:val="22"/>
          <w:vertAlign w:val="superscript"/>
          <w:lang w:val="en-US"/>
        </w:rPr>
        <w:footnoteReference w:id="3"/>
      </w:r>
      <w:r w:rsidR="001D1064" w:rsidRPr="007F4B4D">
        <w:rPr>
          <w:sz w:val="22"/>
          <w:szCs w:val="22"/>
        </w:rPr>
        <w:t xml:space="preserve"> and 2020.</w:t>
      </w:r>
      <w:r w:rsidR="001D1064" w:rsidRPr="007F4B4D">
        <w:rPr>
          <w:sz w:val="22"/>
          <w:szCs w:val="22"/>
          <w:vertAlign w:val="superscript"/>
          <w:lang w:val="en-US"/>
        </w:rPr>
        <w:footnoteReference w:id="4"/>
      </w:r>
      <w:r w:rsidR="001D1064" w:rsidRPr="007F4B4D">
        <w:rPr>
          <w:sz w:val="22"/>
          <w:szCs w:val="22"/>
          <w:lang w:val="en-US"/>
        </w:rPr>
        <w:t>.</w:t>
      </w:r>
    </w:p>
    <w:p w14:paraId="3448FC17" w14:textId="77777777" w:rsidR="001D1064" w:rsidRPr="007F4B4D" w:rsidRDefault="001D1064" w:rsidP="00753B9C">
      <w:pPr>
        <w:pStyle w:val="SingleTxtG"/>
        <w:ind w:right="0"/>
        <w:rPr>
          <w:rFonts w:eastAsiaTheme="minorEastAsia"/>
          <w:sz w:val="22"/>
          <w:szCs w:val="22"/>
        </w:rPr>
      </w:pPr>
    </w:p>
    <w:sectPr w:rsidR="001D1064" w:rsidRPr="007F4B4D" w:rsidSect="00DC397E">
      <w:footerReference w:type="even" r:id="rId8"/>
      <w:footerReference w:type="default" r:id="rId9"/>
      <w:endnotePr>
        <w:numFmt w:val="decimal"/>
      </w:endnotePr>
      <w:pgSz w:w="11907" w:h="16840" w:code="9"/>
      <w:pgMar w:top="993"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BD751" w14:textId="77777777" w:rsidR="004C17AF" w:rsidRPr="00B903E5" w:rsidRDefault="004C17AF" w:rsidP="00B903E5">
      <w:pPr>
        <w:pStyle w:val="a5"/>
      </w:pPr>
    </w:p>
  </w:endnote>
  <w:endnote w:type="continuationSeparator" w:id="0">
    <w:p w14:paraId="35709E54" w14:textId="77777777" w:rsidR="004C17AF" w:rsidRPr="00B903E5" w:rsidRDefault="004C17AF" w:rsidP="00B903E5">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A38E9" w14:textId="77777777" w:rsidR="00C12F0D" w:rsidRDefault="00C12F0D" w:rsidP="0079423B">
    <w:pPr>
      <w:pStyle w:val="a5"/>
      <w:tabs>
        <w:tab w:val="right" w:pos="9638"/>
      </w:tabs>
    </w:pPr>
    <w:r w:rsidRPr="00C12F0D">
      <w:rPr>
        <w:b/>
        <w:bCs/>
        <w:sz w:val="18"/>
      </w:rPr>
      <w:fldChar w:fldCharType="begin"/>
    </w:r>
    <w:r w:rsidRPr="00C12F0D">
      <w:rPr>
        <w:b/>
        <w:bCs/>
        <w:sz w:val="18"/>
      </w:rPr>
      <w:instrText xml:space="preserve"> PAGE  \* MERGEFORMAT </w:instrText>
    </w:r>
    <w:r w:rsidRPr="00C12F0D">
      <w:rPr>
        <w:b/>
        <w:bCs/>
        <w:sz w:val="18"/>
      </w:rPr>
      <w:fldChar w:fldCharType="separate"/>
    </w:r>
    <w:r w:rsidR="00EA5904">
      <w:rPr>
        <w:b/>
        <w:bCs/>
        <w:noProof/>
        <w:sz w:val="18"/>
      </w:rPr>
      <w:t>2</w:t>
    </w:r>
    <w:r w:rsidRPr="00C12F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E2E22" w14:textId="77777777" w:rsidR="00C12F0D" w:rsidRDefault="00C12F0D" w:rsidP="00C12F0D">
    <w:pPr>
      <w:pStyle w:val="a5"/>
      <w:tabs>
        <w:tab w:val="right" w:pos="9638"/>
      </w:tabs>
    </w:pPr>
    <w:r>
      <w:tab/>
    </w:r>
    <w:r w:rsidRPr="00C12F0D">
      <w:rPr>
        <w:b/>
        <w:bCs/>
        <w:sz w:val="18"/>
      </w:rPr>
      <w:fldChar w:fldCharType="begin"/>
    </w:r>
    <w:r w:rsidRPr="00C12F0D">
      <w:rPr>
        <w:b/>
        <w:bCs/>
        <w:sz w:val="18"/>
      </w:rPr>
      <w:instrText xml:space="preserve"> PAGE  \* MERGEFORMAT </w:instrText>
    </w:r>
    <w:r w:rsidRPr="00C12F0D">
      <w:rPr>
        <w:b/>
        <w:bCs/>
        <w:sz w:val="18"/>
      </w:rPr>
      <w:fldChar w:fldCharType="separate"/>
    </w:r>
    <w:r w:rsidR="00EA5904">
      <w:rPr>
        <w:b/>
        <w:bCs/>
        <w:noProof/>
        <w:sz w:val="18"/>
      </w:rPr>
      <w:t>7</w:t>
    </w:r>
    <w:r w:rsidRPr="00C12F0D">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609FE" w14:textId="77777777" w:rsidR="004C17AF" w:rsidRPr="00B903E5" w:rsidRDefault="004C17AF" w:rsidP="00B903E5">
      <w:pPr>
        <w:tabs>
          <w:tab w:val="right" w:pos="2155"/>
        </w:tabs>
        <w:spacing w:after="80" w:line="240" w:lineRule="auto"/>
        <w:ind w:left="680"/>
      </w:pPr>
      <w:r>
        <w:rPr>
          <w:u w:val="single"/>
        </w:rPr>
        <w:tab/>
      </w:r>
    </w:p>
  </w:footnote>
  <w:footnote w:type="continuationSeparator" w:id="0">
    <w:p w14:paraId="4237639A" w14:textId="77777777" w:rsidR="004C17AF" w:rsidRPr="00B903E5" w:rsidRDefault="004C17AF" w:rsidP="00B903E5">
      <w:pPr>
        <w:tabs>
          <w:tab w:val="right" w:pos="2155"/>
        </w:tabs>
        <w:spacing w:after="80" w:line="240" w:lineRule="auto"/>
        <w:ind w:left="680"/>
      </w:pPr>
      <w:r>
        <w:rPr>
          <w:u w:val="single"/>
        </w:rPr>
        <w:tab/>
      </w:r>
    </w:p>
  </w:footnote>
  <w:footnote w:id="1">
    <w:p w14:paraId="14F8E301" w14:textId="030494C2" w:rsidR="00B112BC" w:rsidRPr="00B112BC" w:rsidRDefault="00B112BC" w:rsidP="00B112BC">
      <w:pPr>
        <w:pStyle w:val="a8"/>
        <w:tabs>
          <w:tab w:val="clear" w:pos="1021"/>
          <w:tab w:val="right" w:pos="426"/>
        </w:tabs>
        <w:ind w:left="142" w:hanging="142"/>
        <w:rPr>
          <w:lang w:val="en-US"/>
        </w:rPr>
      </w:pPr>
      <w:r>
        <w:rPr>
          <w:rStyle w:val="ac"/>
        </w:rPr>
        <w:footnoteRef/>
      </w:r>
      <w:hyperlink r:id="rId1" w:history="1">
        <w:r w:rsidRPr="00B07ADB">
          <w:rPr>
            <w:rStyle w:val="af2"/>
          </w:rPr>
          <w:t>https://ombudsman.gov.ua/files/2021/may/%D1%81%D0%BF%D0%B5%D1%86%D0%B4%D0%BE%D0%BF%D0%BE%D0%B2%D1%96%D0%B4%D1%8C%20%D0%BA%D0%BE%D0%B2%D1%96%D0%B4%20%D0%B0%D0%BD%D0%B3%D0%BB%D1%96%D0%B9%D1%81%D1%8C%D0%BA%D0%B0%20%D0%B2%D0%B5%D1%80%D1%81%D1%96%D1%8F.pdf</w:t>
        </w:r>
      </w:hyperlink>
      <w:r>
        <w:t xml:space="preserve"> </w:t>
      </w:r>
    </w:p>
  </w:footnote>
  <w:footnote w:id="2">
    <w:p w14:paraId="512C8C6A" w14:textId="77777777" w:rsidR="00B16ABC" w:rsidRPr="00B75564" w:rsidRDefault="00B16ABC" w:rsidP="00B16ABC">
      <w:pPr>
        <w:pStyle w:val="a8"/>
        <w:tabs>
          <w:tab w:val="clear" w:pos="1021"/>
        </w:tabs>
        <w:ind w:left="142" w:hanging="142"/>
        <w:rPr>
          <w:lang w:val="uk-UA"/>
        </w:rPr>
      </w:pPr>
      <w:r>
        <w:rPr>
          <w:rStyle w:val="ac"/>
        </w:rPr>
        <w:footnoteRef/>
      </w:r>
      <w:r>
        <w:t xml:space="preserve"> </w:t>
      </w:r>
      <w:hyperlink r:id="rId2" w:history="1">
        <w:r w:rsidRPr="00B07ADB">
          <w:rPr>
            <w:rStyle w:val="af2"/>
            <w:lang w:val="en-US"/>
          </w:rPr>
          <w:t>h</w:t>
        </w:r>
        <w:r w:rsidRPr="00B07ADB">
          <w:rPr>
            <w:rStyle w:val="af2"/>
          </w:rPr>
          <w:t>ttps://ombudsman.gov.ua/files/2021/SPECIAL_REPORT_11.01.2021.pdf</w:t>
        </w:r>
      </w:hyperlink>
      <w:r>
        <w:t xml:space="preserve"> </w:t>
      </w:r>
    </w:p>
  </w:footnote>
  <w:footnote w:id="3">
    <w:p w14:paraId="4DA2EC0B" w14:textId="4E343831" w:rsidR="001D1064" w:rsidRPr="00334BA6" w:rsidRDefault="001D1064" w:rsidP="001D1064">
      <w:pPr>
        <w:pStyle w:val="a8"/>
        <w:tabs>
          <w:tab w:val="clear" w:pos="1021"/>
          <w:tab w:val="right" w:pos="851"/>
        </w:tabs>
        <w:ind w:left="284" w:hanging="284"/>
        <w:rPr>
          <w:lang w:val="uk-UA"/>
        </w:rPr>
      </w:pPr>
      <w:r>
        <w:rPr>
          <w:rStyle w:val="ac"/>
        </w:rPr>
        <w:footnoteRef/>
      </w:r>
      <w:r w:rsidR="007F4B4D" w:rsidRPr="007F4B4D">
        <w:rPr>
          <w:lang w:val="uk-UA"/>
        </w:rPr>
        <w:t xml:space="preserve"> </w:t>
      </w:r>
      <w:hyperlink r:id="rId3" w:history="1">
        <w:r w:rsidR="007F4B4D" w:rsidRPr="007F4B4D">
          <w:rPr>
            <w:rStyle w:val="af2"/>
          </w:rPr>
          <w:t>https</w:t>
        </w:r>
        <w:r w:rsidR="007F4B4D" w:rsidRPr="007F4B4D">
          <w:rPr>
            <w:rStyle w:val="af2"/>
            <w:lang w:val="uk-UA"/>
          </w:rPr>
          <w:t>://</w:t>
        </w:r>
        <w:r w:rsidR="007F4B4D" w:rsidRPr="007F4B4D">
          <w:rPr>
            <w:rStyle w:val="af2"/>
          </w:rPr>
          <w:t>ombudsman</w:t>
        </w:r>
        <w:r w:rsidR="007F4B4D" w:rsidRPr="007F4B4D">
          <w:rPr>
            <w:rStyle w:val="af2"/>
            <w:lang w:val="uk-UA"/>
          </w:rPr>
          <w:t>.</w:t>
        </w:r>
        <w:r w:rsidR="007F4B4D" w:rsidRPr="007F4B4D">
          <w:rPr>
            <w:rStyle w:val="af2"/>
          </w:rPr>
          <w:t>gov</w:t>
        </w:r>
        <w:r w:rsidR="007F4B4D" w:rsidRPr="007F4B4D">
          <w:rPr>
            <w:rStyle w:val="af2"/>
            <w:lang w:val="uk-UA"/>
          </w:rPr>
          <w:t>.</w:t>
        </w:r>
        <w:r w:rsidR="007F4B4D" w:rsidRPr="007F4B4D">
          <w:rPr>
            <w:rStyle w:val="af2"/>
          </w:rPr>
          <w:t>ua</w:t>
        </w:r>
        <w:r w:rsidR="007F4B4D" w:rsidRPr="007F4B4D">
          <w:rPr>
            <w:rStyle w:val="af2"/>
            <w:lang w:val="uk-UA"/>
          </w:rPr>
          <w:t>/</w:t>
        </w:r>
        <w:r w:rsidR="007F4B4D" w:rsidRPr="007F4B4D">
          <w:rPr>
            <w:rStyle w:val="af2"/>
          </w:rPr>
          <w:t>files</w:t>
        </w:r>
        <w:r w:rsidR="007F4B4D" w:rsidRPr="007F4B4D">
          <w:rPr>
            <w:rStyle w:val="af2"/>
            <w:lang w:val="uk-UA"/>
          </w:rPr>
          <w:t>/2020/</w:t>
        </w:r>
        <w:r w:rsidR="007F4B4D" w:rsidRPr="007F4B4D">
          <w:rPr>
            <w:rStyle w:val="af2"/>
          </w:rPr>
          <w:t>opendata</w:t>
        </w:r>
        <w:r w:rsidR="007F4B4D" w:rsidRPr="007F4B4D">
          <w:rPr>
            <w:rStyle w:val="af2"/>
            <w:lang w:val="uk-UA"/>
          </w:rPr>
          <w:t>/</w:t>
        </w:r>
        <w:r w:rsidR="007F4B4D" w:rsidRPr="007F4B4D">
          <w:rPr>
            <w:rStyle w:val="af2"/>
          </w:rPr>
          <w:t>Zvit</w:t>
        </w:r>
        <w:r w:rsidR="007F4B4D" w:rsidRPr="007F4B4D">
          <w:rPr>
            <w:rStyle w:val="af2"/>
            <w:lang w:val="uk-UA"/>
          </w:rPr>
          <w:t>%202019%20</w:t>
        </w:r>
        <w:r w:rsidR="007F4B4D" w:rsidRPr="007F4B4D">
          <w:rPr>
            <w:rStyle w:val="af2"/>
          </w:rPr>
          <w:t>English</w:t>
        </w:r>
        <w:r w:rsidR="007F4B4D" w:rsidRPr="007F4B4D">
          <w:rPr>
            <w:rStyle w:val="af2"/>
            <w:lang w:val="uk-UA"/>
          </w:rPr>
          <w:t>_22.06.20.</w:t>
        </w:r>
        <w:r w:rsidR="007F4B4D" w:rsidRPr="007F4B4D">
          <w:rPr>
            <w:rStyle w:val="af2"/>
          </w:rPr>
          <w:t>pdf</w:t>
        </w:r>
      </w:hyperlink>
      <w:r w:rsidRPr="00334BA6">
        <w:rPr>
          <w:lang w:val="uk-UA"/>
        </w:rPr>
        <w:t xml:space="preserve"> </w:t>
      </w:r>
    </w:p>
  </w:footnote>
  <w:footnote w:id="4">
    <w:p w14:paraId="4CDE7C24" w14:textId="77777777" w:rsidR="001D1064" w:rsidRPr="00B16ABC" w:rsidRDefault="001D1064" w:rsidP="001D1064">
      <w:pPr>
        <w:pStyle w:val="a8"/>
        <w:rPr>
          <w:lang w:val="uk-UA"/>
        </w:rPr>
      </w:pPr>
      <w:r>
        <w:rPr>
          <w:rStyle w:val="ac"/>
        </w:rPr>
        <w:footnoteRef/>
      </w:r>
      <w:r w:rsidRPr="00B16ABC">
        <w:rPr>
          <w:lang w:val="uk-UA"/>
        </w:rPr>
        <w:t xml:space="preserve"> </w:t>
      </w:r>
      <w:r w:rsidRPr="00B16ABC">
        <w:rPr>
          <w:lang w:val="uk-UA"/>
        </w:rPr>
        <w:tab/>
      </w:r>
      <w:hyperlink r:id="rId4" w:history="1">
        <w:r w:rsidRPr="003217B5">
          <w:rPr>
            <w:rStyle w:val="af2"/>
          </w:rPr>
          <w:t>https</w:t>
        </w:r>
        <w:r w:rsidRPr="00B16ABC">
          <w:rPr>
            <w:rStyle w:val="af2"/>
            <w:lang w:val="uk-UA"/>
          </w:rPr>
          <w:t>://</w:t>
        </w:r>
        <w:r w:rsidRPr="003217B5">
          <w:rPr>
            <w:rStyle w:val="af2"/>
          </w:rPr>
          <w:t>ombudsman</w:t>
        </w:r>
        <w:r w:rsidRPr="00B16ABC">
          <w:rPr>
            <w:rStyle w:val="af2"/>
            <w:lang w:val="uk-UA"/>
          </w:rPr>
          <w:t>.</w:t>
        </w:r>
        <w:r w:rsidRPr="003217B5">
          <w:rPr>
            <w:rStyle w:val="af2"/>
          </w:rPr>
          <w:t>gov</w:t>
        </w:r>
        <w:r w:rsidRPr="00B16ABC">
          <w:rPr>
            <w:rStyle w:val="af2"/>
            <w:lang w:val="uk-UA"/>
          </w:rPr>
          <w:t>.</w:t>
        </w:r>
        <w:r w:rsidRPr="003217B5">
          <w:rPr>
            <w:rStyle w:val="af2"/>
          </w:rPr>
          <w:t>ua</w:t>
        </w:r>
        <w:r w:rsidRPr="00B16ABC">
          <w:rPr>
            <w:rStyle w:val="af2"/>
            <w:lang w:val="uk-UA"/>
          </w:rPr>
          <w:t>/</w:t>
        </w:r>
        <w:r w:rsidRPr="003217B5">
          <w:rPr>
            <w:rStyle w:val="af2"/>
          </w:rPr>
          <w:t>files</w:t>
        </w:r>
        <w:r w:rsidRPr="00B16ABC">
          <w:rPr>
            <w:rStyle w:val="af2"/>
            <w:lang w:val="uk-UA"/>
          </w:rPr>
          <w:t>/</w:t>
        </w:r>
        <w:r w:rsidRPr="003217B5">
          <w:rPr>
            <w:rStyle w:val="af2"/>
          </w:rPr>
          <w:t>dopovid</w:t>
        </w:r>
        <w:r w:rsidRPr="00B16ABC">
          <w:rPr>
            <w:rStyle w:val="af2"/>
            <w:lang w:val="uk-UA"/>
          </w:rPr>
          <w:t>_</w:t>
        </w:r>
        <w:r w:rsidRPr="003217B5">
          <w:rPr>
            <w:rStyle w:val="af2"/>
          </w:rPr>
          <w:t>ombudsman</w:t>
        </w:r>
        <w:r w:rsidRPr="00B16ABC">
          <w:rPr>
            <w:rStyle w:val="af2"/>
            <w:lang w:val="uk-UA"/>
          </w:rPr>
          <w:t>%20</w:t>
        </w:r>
        <w:r w:rsidRPr="003217B5">
          <w:rPr>
            <w:rStyle w:val="af2"/>
          </w:rPr>
          <w:t>eng</w:t>
        </w:r>
        <w:r w:rsidRPr="00B16ABC">
          <w:rPr>
            <w:rStyle w:val="af2"/>
            <w:lang w:val="uk-UA"/>
          </w:rPr>
          <w:t>.</w:t>
        </w:r>
        <w:r w:rsidRPr="003217B5">
          <w:rPr>
            <w:rStyle w:val="af2"/>
          </w:rPr>
          <w:t>pdf</w:t>
        </w:r>
      </w:hyperlink>
      <w:r w:rsidRPr="00B16ABC">
        <w:rPr>
          <w:lang w:val="uk-U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204736"/>
    <w:multiLevelType w:val="hybridMultilevel"/>
    <w:tmpl w:val="6F466EC8"/>
    <w:lvl w:ilvl="0" w:tplc="04220001">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B70460A"/>
    <w:multiLevelType w:val="hybridMultilevel"/>
    <w:tmpl w:val="FB6AD2AE"/>
    <w:lvl w:ilvl="0" w:tplc="1024B6F2">
      <w:start w:val="1"/>
      <w:numFmt w:val="decimal"/>
      <w:lvlText w:val="%1."/>
      <w:lvlJc w:val="left"/>
      <w:pPr>
        <w:ind w:left="1353" w:hanging="360"/>
      </w:pPr>
      <w:rPr>
        <w:b w:val="0"/>
        <w:i w:val="0"/>
        <w:color w:val="auto"/>
        <w:sz w:val="20"/>
        <w:szCs w:val="20"/>
        <w:vertAlign w:val="baseline"/>
      </w:rPr>
    </w:lvl>
    <w:lvl w:ilvl="1" w:tplc="08090019" w:tentative="1">
      <w:start w:val="1"/>
      <w:numFmt w:val="lowerLetter"/>
      <w:lvlText w:val="%2."/>
      <w:lvlJc w:val="left"/>
      <w:pPr>
        <w:ind w:left="3000" w:hanging="360"/>
      </w:pPr>
    </w:lvl>
    <w:lvl w:ilvl="2" w:tplc="0809001B">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6F3703"/>
    <w:multiLevelType w:val="hybridMultilevel"/>
    <w:tmpl w:val="73E8F70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434DBF"/>
    <w:multiLevelType w:val="hybridMultilevel"/>
    <w:tmpl w:val="AF1684D8"/>
    <w:lvl w:ilvl="0" w:tplc="04220001">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8" w15:restartNumberingAfterBreak="0">
    <w:nsid w:val="3FA14F45"/>
    <w:multiLevelType w:val="hybridMultilevel"/>
    <w:tmpl w:val="98E64982"/>
    <w:lvl w:ilvl="0" w:tplc="04220001">
      <w:start w:val="1"/>
      <w:numFmt w:val="bullet"/>
      <w:lvlText w:val=""/>
      <w:lvlJc w:val="left"/>
      <w:pPr>
        <w:ind w:left="1800" w:hanging="360"/>
      </w:pPr>
      <w:rPr>
        <w:rFonts w:ascii="Symbol" w:hAnsi="Symbol"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9" w15:restartNumberingAfterBreak="0">
    <w:nsid w:val="52C926C9"/>
    <w:multiLevelType w:val="hybridMultilevel"/>
    <w:tmpl w:val="46CEB006"/>
    <w:lvl w:ilvl="0" w:tplc="04220001">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A855111"/>
    <w:multiLevelType w:val="hybridMultilevel"/>
    <w:tmpl w:val="63F6616C"/>
    <w:lvl w:ilvl="0" w:tplc="08D409CE">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84333F"/>
    <w:multiLevelType w:val="hybridMultilevel"/>
    <w:tmpl w:val="9698AC1C"/>
    <w:lvl w:ilvl="0" w:tplc="0422000D">
      <w:start w:val="1"/>
      <w:numFmt w:val="bullet"/>
      <w:lvlText w:val=""/>
      <w:lvlJc w:val="left"/>
      <w:pPr>
        <w:ind w:left="1290" w:hanging="360"/>
      </w:pPr>
      <w:rPr>
        <w:rFonts w:ascii="Wingdings" w:hAnsi="Wingdings" w:hint="default"/>
      </w:rPr>
    </w:lvl>
    <w:lvl w:ilvl="1" w:tplc="04220003" w:tentative="1">
      <w:start w:val="1"/>
      <w:numFmt w:val="bullet"/>
      <w:lvlText w:val="o"/>
      <w:lvlJc w:val="left"/>
      <w:pPr>
        <w:ind w:left="2010" w:hanging="360"/>
      </w:pPr>
      <w:rPr>
        <w:rFonts w:ascii="Courier New" w:hAnsi="Courier New" w:cs="Courier New" w:hint="default"/>
      </w:rPr>
    </w:lvl>
    <w:lvl w:ilvl="2" w:tplc="04220005" w:tentative="1">
      <w:start w:val="1"/>
      <w:numFmt w:val="bullet"/>
      <w:lvlText w:val=""/>
      <w:lvlJc w:val="left"/>
      <w:pPr>
        <w:ind w:left="2730" w:hanging="360"/>
      </w:pPr>
      <w:rPr>
        <w:rFonts w:ascii="Wingdings" w:hAnsi="Wingdings" w:hint="default"/>
      </w:rPr>
    </w:lvl>
    <w:lvl w:ilvl="3" w:tplc="04220001" w:tentative="1">
      <w:start w:val="1"/>
      <w:numFmt w:val="bullet"/>
      <w:lvlText w:val=""/>
      <w:lvlJc w:val="left"/>
      <w:pPr>
        <w:ind w:left="3450" w:hanging="360"/>
      </w:pPr>
      <w:rPr>
        <w:rFonts w:ascii="Symbol" w:hAnsi="Symbol" w:hint="default"/>
      </w:rPr>
    </w:lvl>
    <w:lvl w:ilvl="4" w:tplc="04220003" w:tentative="1">
      <w:start w:val="1"/>
      <w:numFmt w:val="bullet"/>
      <w:lvlText w:val="o"/>
      <w:lvlJc w:val="left"/>
      <w:pPr>
        <w:ind w:left="4170" w:hanging="360"/>
      </w:pPr>
      <w:rPr>
        <w:rFonts w:ascii="Courier New" w:hAnsi="Courier New" w:cs="Courier New" w:hint="default"/>
      </w:rPr>
    </w:lvl>
    <w:lvl w:ilvl="5" w:tplc="04220005" w:tentative="1">
      <w:start w:val="1"/>
      <w:numFmt w:val="bullet"/>
      <w:lvlText w:val=""/>
      <w:lvlJc w:val="left"/>
      <w:pPr>
        <w:ind w:left="4890" w:hanging="360"/>
      </w:pPr>
      <w:rPr>
        <w:rFonts w:ascii="Wingdings" w:hAnsi="Wingdings" w:hint="default"/>
      </w:rPr>
    </w:lvl>
    <w:lvl w:ilvl="6" w:tplc="04220001" w:tentative="1">
      <w:start w:val="1"/>
      <w:numFmt w:val="bullet"/>
      <w:lvlText w:val=""/>
      <w:lvlJc w:val="left"/>
      <w:pPr>
        <w:ind w:left="5610" w:hanging="360"/>
      </w:pPr>
      <w:rPr>
        <w:rFonts w:ascii="Symbol" w:hAnsi="Symbol" w:hint="default"/>
      </w:rPr>
    </w:lvl>
    <w:lvl w:ilvl="7" w:tplc="04220003" w:tentative="1">
      <w:start w:val="1"/>
      <w:numFmt w:val="bullet"/>
      <w:lvlText w:val="o"/>
      <w:lvlJc w:val="left"/>
      <w:pPr>
        <w:ind w:left="6330" w:hanging="360"/>
      </w:pPr>
      <w:rPr>
        <w:rFonts w:ascii="Courier New" w:hAnsi="Courier New" w:cs="Courier New" w:hint="default"/>
      </w:rPr>
    </w:lvl>
    <w:lvl w:ilvl="8" w:tplc="04220005" w:tentative="1">
      <w:start w:val="1"/>
      <w:numFmt w:val="bullet"/>
      <w:lvlText w:val=""/>
      <w:lvlJc w:val="left"/>
      <w:pPr>
        <w:ind w:left="7050" w:hanging="360"/>
      </w:pPr>
      <w:rPr>
        <w:rFonts w:ascii="Wingdings" w:hAnsi="Wingdings" w:hint="default"/>
      </w:rPr>
    </w:lvl>
  </w:abstractNum>
  <w:num w:numId="1">
    <w:abstractNumId w:val="6"/>
  </w:num>
  <w:num w:numId="2">
    <w:abstractNumId w:val="4"/>
  </w:num>
  <w:num w:numId="3">
    <w:abstractNumId w:val="0"/>
  </w:num>
  <w:num w:numId="4">
    <w:abstractNumId w:val="10"/>
  </w:num>
  <w:num w:numId="5">
    <w:abstractNumId w:val="11"/>
  </w:num>
  <w:num w:numId="6">
    <w:abstractNumId w:val="13"/>
  </w:num>
  <w:num w:numId="7">
    <w:abstractNumId w:val="2"/>
  </w:num>
  <w:num w:numId="8">
    <w:abstractNumId w:val="5"/>
  </w:num>
  <w:num w:numId="9">
    <w:abstractNumId w:val="14"/>
  </w:num>
  <w:num w:numId="10">
    <w:abstractNumId w:val="3"/>
  </w:num>
  <w:num w:numId="11">
    <w:abstractNumId w:val="8"/>
  </w:num>
  <w:num w:numId="12">
    <w:abstractNumId w:val="12"/>
  </w:num>
  <w:num w:numId="13">
    <w:abstractNumId w:val="9"/>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375"/>
    <w:rsid w:val="000170E6"/>
    <w:rsid w:val="00022B24"/>
    <w:rsid w:val="000242BA"/>
    <w:rsid w:val="00043FE5"/>
    <w:rsid w:val="00046E92"/>
    <w:rsid w:val="00047108"/>
    <w:rsid w:val="00052D19"/>
    <w:rsid w:val="0006523D"/>
    <w:rsid w:val="000942A9"/>
    <w:rsid w:val="000B03D4"/>
    <w:rsid w:val="000C73FF"/>
    <w:rsid w:val="000C7776"/>
    <w:rsid w:val="000D40D2"/>
    <w:rsid w:val="000D5351"/>
    <w:rsid w:val="000D773D"/>
    <w:rsid w:val="000E15CA"/>
    <w:rsid w:val="000E1E3A"/>
    <w:rsid w:val="000E2D74"/>
    <w:rsid w:val="000F1375"/>
    <w:rsid w:val="000F7727"/>
    <w:rsid w:val="0010246D"/>
    <w:rsid w:val="00105B95"/>
    <w:rsid w:val="001141F8"/>
    <w:rsid w:val="00122BC0"/>
    <w:rsid w:val="00131D7A"/>
    <w:rsid w:val="00144A3C"/>
    <w:rsid w:val="00146F16"/>
    <w:rsid w:val="00150E27"/>
    <w:rsid w:val="00153799"/>
    <w:rsid w:val="00165C15"/>
    <w:rsid w:val="0016796A"/>
    <w:rsid w:val="00167DF1"/>
    <w:rsid w:val="00186C49"/>
    <w:rsid w:val="00193E94"/>
    <w:rsid w:val="001B54C7"/>
    <w:rsid w:val="001C0358"/>
    <w:rsid w:val="001C3433"/>
    <w:rsid w:val="001D1064"/>
    <w:rsid w:val="001D6FF2"/>
    <w:rsid w:val="001E672B"/>
    <w:rsid w:val="002041AE"/>
    <w:rsid w:val="00205B1F"/>
    <w:rsid w:val="002150B0"/>
    <w:rsid w:val="00234819"/>
    <w:rsid w:val="002471C5"/>
    <w:rsid w:val="00247E2C"/>
    <w:rsid w:val="00255746"/>
    <w:rsid w:val="0026441E"/>
    <w:rsid w:val="00270C8B"/>
    <w:rsid w:val="002A22E1"/>
    <w:rsid w:val="002B3B88"/>
    <w:rsid w:val="002D6C53"/>
    <w:rsid w:val="002E2739"/>
    <w:rsid w:val="002E56A7"/>
    <w:rsid w:val="002F2388"/>
    <w:rsid w:val="002F5595"/>
    <w:rsid w:val="002F7201"/>
    <w:rsid w:val="003024DB"/>
    <w:rsid w:val="00306AFB"/>
    <w:rsid w:val="00311EAA"/>
    <w:rsid w:val="00334BA6"/>
    <w:rsid w:val="00334F6A"/>
    <w:rsid w:val="003359EB"/>
    <w:rsid w:val="00342AC8"/>
    <w:rsid w:val="003455FD"/>
    <w:rsid w:val="003608D4"/>
    <w:rsid w:val="00364D8F"/>
    <w:rsid w:val="00366844"/>
    <w:rsid w:val="003739B0"/>
    <w:rsid w:val="0039201F"/>
    <w:rsid w:val="0039504E"/>
    <w:rsid w:val="003A3A7F"/>
    <w:rsid w:val="003A3FBD"/>
    <w:rsid w:val="003A5FF8"/>
    <w:rsid w:val="003A749B"/>
    <w:rsid w:val="003B1F4A"/>
    <w:rsid w:val="003B4550"/>
    <w:rsid w:val="003C037A"/>
    <w:rsid w:val="003C236B"/>
    <w:rsid w:val="003D3670"/>
    <w:rsid w:val="003D550E"/>
    <w:rsid w:val="003E1BDD"/>
    <w:rsid w:val="003E2063"/>
    <w:rsid w:val="00414762"/>
    <w:rsid w:val="004165AB"/>
    <w:rsid w:val="00420291"/>
    <w:rsid w:val="00421751"/>
    <w:rsid w:val="004267A6"/>
    <w:rsid w:val="00445285"/>
    <w:rsid w:val="00447299"/>
    <w:rsid w:val="004555A2"/>
    <w:rsid w:val="00455D41"/>
    <w:rsid w:val="00461253"/>
    <w:rsid w:val="00466004"/>
    <w:rsid w:val="00472FED"/>
    <w:rsid w:val="00495AC4"/>
    <w:rsid w:val="0049712E"/>
    <w:rsid w:val="004B73FC"/>
    <w:rsid w:val="004C17AF"/>
    <w:rsid w:val="004D37D8"/>
    <w:rsid w:val="004E0A1D"/>
    <w:rsid w:val="004E30A1"/>
    <w:rsid w:val="004E3FE0"/>
    <w:rsid w:val="004E567B"/>
    <w:rsid w:val="004E5C7C"/>
    <w:rsid w:val="004F044F"/>
    <w:rsid w:val="004F0513"/>
    <w:rsid w:val="00500FA4"/>
    <w:rsid w:val="00501073"/>
    <w:rsid w:val="005042C2"/>
    <w:rsid w:val="005060B4"/>
    <w:rsid w:val="00513887"/>
    <w:rsid w:val="00515899"/>
    <w:rsid w:val="00523A4B"/>
    <w:rsid w:val="00550974"/>
    <w:rsid w:val="0055781D"/>
    <w:rsid w:val="00565979"/>
    <w:rsid w:val="0057724B"/>
    <w:rsid w:val="00582F97"/>
    <w:rsid w:val="005A3469"/>
    <w:rsid w:val="005B30E1"/>
    <w:rsid w:val="005C6589"/>
    <w:rsid w:val="005D0C64"/>
    <w:rsid w:val="005D65FD"/>
    <w:rsid w:val="0060605D"/>
    <w:rsid w:val="0060647B"/>
    <w:rsid w:val="00607178"/>
    <w:rsid w:val="0061037F"/>
    <w:rsid w:val="006154B0"/>
    <w:rsid w:val="00620FC3"/>
    <w:rsid w:val="00650E7A"/>
    <w:rsid w:val="00654DF4"/>
    <w:rsid w:val="006553F3"/>
    <w:rsid w:val="00671529"/>
    <w:rsid w:val="0067539C"/>
    <w:rsid w:val="0067578A"/>
    <w:rsid w:val="00683ECE"/>
    <w:rsid w:val="00692C99"/>
    <w:rsid w:val="00693C06"/>
    <w:rsid w:val="006941FB"/>
    <w:rsid w:val="006A3149"/>
    <w:rsid w:val="006B658C"/>
    <w:rsid w:val="006B690C"/>
    <w:rsid w:val="006C4E2D"/>
    <w:rsid w:val="006C4F50"/>
    <w:rsid w:val="006D33D2"/>
    <w:rsid w:val="006E21F5"/>
    <w:rsid w:val="006E2652"/>
    <w:rsid w:val="006E5617"/>
    <w:rsid w:val="006F4F50"/>
    <w:rsid w:val="006F5D95"/>
    <w:rsid w:val="00700012"/>
    <w:rsid w:val="007050A5"/>
    <w:rsid w:val="00705F77"/>
    <w:rsid w:val="00707D12"/>
    <w:rsid w:val="00717C4D"/>
    <w:rsid w:val="00720942"/>
    <w:rsid w:val="007268F9"/>
    <w:rsid w:val="00732063"/>
    <w:rsid w:val="007321EA"/>
    <w:rsid w:val="007327A0"/>
    <w:rsid w:val="0073415E"/>
    <w:rsid w:val="0073464F"/>
    <w:rsid w:val="007405D1"/>
    <w:rsid w:val="0074733C"/>
    <w:rsid w:val="00753B9C"/>
    <w:rsid w:val="007557D5"/>
    <w:rsid w:val="00756247"/>
    <w:rsid w:val="00760038"/>
    <w:rsid w:val="007642D7"/>
    <w:rsid w:val="00777AFF"/>
    <w:rsid w:val="0078112B"/>
    <w:rsid w:val="00785799"/>
    <w:rsid w:val="00787D43"/>
    <w:rsid w:val="0079423B"/>
    <w:rsid w:val="00796692"/>
    <w:rsid w:val="007A026A"/>
    <w:rsid w:val="007A6EE1"/>
    <w:rsid w:val="007B4407"/>
    <w:rsid w:val="007B5C87"/>
    <w:rsid w:val="007C52B0"/>
    <w:rsid w:val="007C70E5"/>
    <w:rsid w:val="007D24C8"/>
    <w:rsid w:val="007F4B4D"/>
    <w:rsid w:val="00817542"/>
    <w:rsid w:val="00817E57"/>
    <w:rsid w:val="00826630"/>
    <w:rsid w:val="00832AD2"/>
    <w:rsid w:val="00836D52"/>
    <w:rsid w:val="0084148B"/>
    <w:rsid w:val="0084422D"/>
    <w:rsid w:val="00847BF4"/>
    <w:rsid w:val="00853E19"/>
    <w:rsid w:val="0085603C"/>
    <w:rsid w:val="00873299"/>
    <w:rsid w:val="00874DCA"/>
    <w:rsid w:val="00884708"/>
    <w:rsid w:val="00887916"/>
    <w:rsid w:val="008910D8"/>
    <w:rsid w:val="00895709"/>
    <w:rsid w:val="008973F6"/>
    <w:rsid w:val="008B66AC"/>
    <w:rsid w:val="008D3450"/>
    <w:rsid w:val="009056AE"/>
    <w:rsid w:val="00906787"/>
    <w:rsid w:val="0091198B"/>
    <w:rsid w:val="009238FE"/>
    <w:rsid w:val="00924DD2"/>
    <w:rsid w:val="009318E1"/>
    <w:rsid w:val="00934EF2"/>
    <w:rsid w:val="00935E35"/>
    <w:rsid w:val="009411B4"/>
    <w:rsid w:val="00953CBE"/>
    <w:rsid w:val="00953DAB"/>
    <w:rsid w:val="009561EF"/>
    <w:rsid w:val="009574E0"/>
    <w:rsid w:val="00961CD0"/>
    <w:rsid w:val="009677DE"/>
    <w:rsid w:val="009724A8"/>
    <w:rsid w:val="0097408D"/>
    <w:rsid w:val="009845AA"/>
    <w:rsid w:val="00985185"/>
    <w:rsid w:val="009868FA"/>
    <w:rsid w:val="00987382"/>
    <w:rsid w:val="009D0139"/>
    <w:rsid w:val="009F0E4F"/>
    <w:rsid w:val="009F5CDC"/>
    <w:rsid w:val="00A02CB9"/>
    <w:rsid w:val="00A23459"/>
    <w:rsid w:val="00A3526D"/>
    <w:rsid w:val="00A71EAA"/>
    <w:rsid w:val="00A7464E"/>
    <w:rsid w:val="00A775CF"/>
    <w:rsid w:val="00A80A13"/>
    <w:rsid w:val="00A85042"/>
    <w:rsid w:val="00A9157A"/>
    <w:rsid w:val="00A92B68"/>
    <w:rsid w:val="00A93EE7"/>
    <w:rsid w:val="00AB2B26"/>
    <w:rsid w:val="00AD2382"/>
    <w:rsid w:val="00AE0547"/>
    <w:rsid w:val="00AE15EF"/>
    <w:rsid w:val="00AF0DB3"/>
    <w:rsid w:val="00AF35F8"/>
    <w:rsid w:val="00AF68C1"/>
    <w:rsid w:val="00B03769"/>
    <w:rsid w:val="00B06045"/>
    <w:rsid w:val="00B07B76"/>
    <w:rsid w:val="00B112BC"/>
    <w:rsid w:val="00B16ABC"/>
    <w:rsid w:val="00B22F73"/>
    <w:rsid w:val="00B335F5"/>
    <w:rsid w:val="00B41670"/>
    <w:rsid w:val="00B46A8B"/>
    <w:rsid w:val="00B53AA5"/>
    <w:rsid w:val="00B62868"/>
    <w:rsid w:val="00B63FBE"/>
    <w:rsid w:val="00B66261"/>
    <w:rsid w:val="00B75564"/>
    <w:rsid w:val="00B81142"/>
    <w:rsid w:val="00B903E5"/>
    <w:rsid w:val="00BA408C"/>
    <w:rsid w:val="00BB215F"/>
    <w:rsid w:val="00BB6D76"/>
    <w:rsid w:val="00BD0D1D"/>
    <w:rsid w:val="00BE15C8"/>
    <w:rsid w:val="00BE1F93"/>
    <w:rsid w:val="00BF2150"/>
    <w:rsid w:val="00BF4C33"/>
    <w:rsid w:val="00BF62A7"/>
    <w:rsid w:val="00C1175E"/>
    <w:rsid w:val="00C12F0D"/>
    <w:rsid w:val="00C1400B"/>
    <w:rsid w:val="00C20D61"/>
    <w:rsid w:val="00C23198"/>
    <w:rsid w:val="00C300CF"/>
    <w:rsid w:val="00C35A27"/>
    <w:rsid w:val="00C43F27"/>
    <w:rsid w:val="00C61EE5"/>
    <w:rsid w:val="00C65EFB"/>
    <w:rsid w:val="00C77A7B"/>
    <w:rsid w:val="00C86C1B"/>
    <w:rsid w:val="00C910AB"/>
    <w:rsid w:val="00CA0FE0"/>
    <w:rsid w:val="00CA1AEA"/>
    <w:rsid w:val="00CB242D"/>
    <w:rsid w:val="00CC31FE"/>
    <w:rsid w:val="00CD020F"/>
    <w:rsid w:val="00CD54D9"/>
    <w:rsid w:val="00CD7A69"/>
    <w:rsid w:val="00D014A3"/>
    <w:rsid w:val="00D059F8"/>
    <w:rsid w:val="00D2157B"/>
    <w:rsid w:val="00D27950"/>
    <w:rsid w:val="00D35C09"/>
    <w:rsid w:val="00D35D00"/>
    <w:rsid w:val="00D55D8B"/>
    <w:rsid w:val="00D61D2A"/>
    <w:rsid w:val="00D77375"/>
    <w:rsid w:val="00D8441C"/>
    <w:rsid w:val="00DB1DC8"/>
    <w:rsid w:val="00DB3EB2"/>
    <w:rsid w:val="00DB60D1"/>
    <w:rsid w:val="00DC10BD"/>
    <w:rsid w:val="00DC114B"/>
    <w:rsid w:val="00DC11CE"/>
    <w:rsid w:val="00DC397E"/>
    <w:rsid w:val="00E02C2B"/>
    <w:rsid w:val="00E05DE9"/>
    <w:rsid w:val="00E24365"/>
    <w:rsid w:val="00E35D9A"/>
    <w:rsid w:val="00E37704"/>
    <w:rsid w:val="00E41C97"/>
    <w:rsid w:val="00E55D7C"/>
    <w:rsid w:val="00E66FC0"/>
    <w:rsid w:val="00E80C06"/>
    <w:rsid w:val="00E83360"/>
    <w:rsid w:val="00E9390F"/>
    <w:rsid w:val="00E966C9"/>
    <w:rsid w:val="00EA2236"/>
    <w:rsid w:val="00EA546A"/>
    <w:rsid w:val="00EA5904"/>
    <w:rsid w:val="00EC1243"/>
    <w:rsid w:val="00EC39FE"/>
    <w:rsid w:val="00ED16B7"/>
    <w:rsid w:val="00ED6C48"/>
    <w:rsid w:val="00EE4732"/>
    <w:rsid w:val="00EF174E"/>
    <w:rsid w:val="00EF3FB9"/>
    <w:rsid w:val="00F1148A"/>
    <w:rsid w:val="00F14CE4"/>
    <w:rsid w:val="00F1567A"/>
    <w:rsid w:val="00F32A42"/>
    <w:rsid w:val="00F332B6"/>
    <w:rsid w:val="00F37896"/>
    <w:rsid w:val="00F41F0F"/>
    <w:rsid w:val="00F65F5D"/>
    <w:rsid w:val="00F67C81"/>
    <w:rsid w:val="00F71A71"/>
    <w:rsid w:val="00F8459F"/>
    <w:rsid w:val="00F86A3A"/>
    <w:rsid w:val="00FA5A48"/>
    <w:rsid w:val="00FB4BCE"/>
    <w:rsid w:val="00FE1CDC"/>
    <w:rsid w:val="00FE46D8"/>
    <w:rsid w:val="00FE610D"/>
    <w:rsid w:val="00FF0233"/>
    <w:rsid w:val="00FF3998"/>
    <w:rsid w:val="00FF3D1A"/>
    <w:rsid w:val="00FF6BED"/>
    <w:rsid w:val="00FF71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E1FC9"/>
  <w15:docId w15:val="{953F62DE-DDA9-43D7-A6E6-8711EC80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55746"/>
    <w:pPr>
      <w:suppressAutoHyphens/>
      <w:spacing w:after="0" w:line="240" w:lineRule="atLeast"/>
    </w:pPr>
    <w:rPr>
      <w:rFonts w:ascii="Times New Roman" w:eastAsia="Times New Roman" w:hAnsi="Times New Roman" w:cs="Times New Roman"/>
      <w:sz w:val="20"/>
      <w:szCs w:val="20"/>
      <w:lang w:eastAsia="en-US"/>
    </w:rPr>
  </w:style>
  <w:style w:type="paragraph" w:styleId="1">
    <w:name w:val="heading 1"/>
    <w:aliases w:val="Table_G"/>
    <w:basedOn w:val="SingleTxtG"/>
    <w:next w:val="SingleTxtG"/>
    <w:link w:val="10"/>
    <w:semiHidden/>
    <w:rsid w:val="007268F9"/>
    <w:pPr>
      <w:spacing w:after="0" w:line="240" w:lineRule="auto"/>
      <w:ind w:right="0"/>
      <w:jc w:val="left"/>
      <w:outlineLvl w:val="0"/>
    </w:pPr>
  </w:style>
  <w:style w:type="paragraph" w:styleId="2">
    <w:name w:val="heading 2"/>
    <w:basedOn w:val="a"/>
    <w:next w:val="a"/>
    <w:link w:val="20"/>
    <w:semiHidden/>
    <w:rsid w:val="007268F9"/>
    <w:pPr>
      <w:spacing w:line="240" w:lineRule="auto"/>
      <w:outlineLvl w:val="1"/>
    </w:pPr>
    <w:rPr>
      <w:rFonts w:eastAsia="SimSun"/>
      <w:lang w:eastAsia="zh-CN"/>
    </w:rPr>
  </w:style>
  <w:style w:type="paragraph" w:styleId="3">
    <w:name w:val="heading 3"/>
    <w:basedOn w:val="a"/>
    <w:next w:val="a"/>
    <w:link w:val="30"/>
    <w:semiHidden/>
    <w:rsid w:val="007268F9"/>
    <w:pPr>
      <w:spacing w:line="240" w:lineRule="auto"/>
      <w:outlineLvl w:val="2"/>
    </w:pPr>
    <w:rPr>
      <w:rFonts w:eastAsia="SimSun"/>
      <w:lang w:eastAsia="zh-CN"/>
    </w:rPr>
  </w:style>
  <w:style w:type="paragraph" w:styleId="4">
    <w:name w:val="heading 4"/>
    <w:basedOn w:val="a"/>
    <w:next w:val="a"/>
    <w:link w:val="40"/>
    <w:semiHidden/>
    <w:rsid w:val="007268F9"/>
    <w:pPr>
      <w:spacing w:line="240" w:lineRule="auto"/>
      <w:outlineLvl w:val="3"/>
    </w:pPr>
    <w:rPr>
      <w:rFonts w:eastAsia="SimSun"/>
      <w:lang w:eastAsia="zh-CN"/>
    </w:rPr>
  </w:style>
  <w:style w:type="paragraph" w:styleId="5">
    <w:name w:val="heading 5"/>
    <w:basedOn w:val="a"/>
    <w:next w:val="a"/>
    <w:link w:val="50"/>
    <w:semiHidden/>
    <w:rsid w:val="007268F9"/>
    <w:pPr>
      <w:spacing w:line="240" w:lineRule="auto"/>
      <w:outlineLvl w:val="4"/>
    </w:pPr>
    <w:rPr>
      <w:rFonts w:eastAsia="SimSun"/>
      <w:lang w:eastAsia="zh-CN"/>
    </w:rPr>
  </w:style>
  <w:style w:type="paragraph" w:styleId="6">
    <w:name w:val="heading 6"/>
    <w:basedOn w:val="a"/>
    <w:next w:val="a"/>
    <w:link w:val="60"/>
    <w:semiHidden/>
    <w:rsid w:val="007268F9"/>
    <w:pPr>
      <w:spacing w:line="240" w:lineRule="auto"/>
      <w:outlineLvl w:val="5"/>
    </w:pPr>
    <w:rPr>
      <w:rFonts w:eastAsia="SimSun"/>
      <w:lang w:eastAsia="zh-CN"/>
    </w:rPr>
  </w:style>
  <w:style w:type="paragraph" w:styleId="7">
    <w:name w:val="heading 7"/>
    <w:basedOn w:val="a"/>
    <w:next w:val="a"/>
    <w:link w:val="70"/>
    <w:semiHidden/>
    <w:rsid w:val="007268F9"/>
    <w:pPr>
      <w:spacing w:line="240" w:lineRule="auto"/>
      <w:outlineLvl w:val="6"/>
    </w:pPr>
    <w:rPr>
      <w:rFonts w:eastAsia="SimSun"/>
      <w:lang w:eastAsia="zh-CN"/>
    </w:rPr>
  </w:style>
  <w:style w:type="paragraph" w:styleId="8">
    <w:name w:val="heading 8"/>
    <w:basedOn w:val="a"/>
    <w:next w:val="a"/>
    <w:link w:val="80"/>
    <w:semiHidden/>
    <w:rsid w:val="007268F9"/>
    <w:pPr>
      <w:spacing w:line="240" w:lineRule="auto"/>
      <w:outlineLvl w:val="7"/>
    </w:pPr>
    <w:rPr>
      <w:rFonts w:eastAsia="SimSun"/>
      <w:lang w:eastAsia="zh-CN"/>
    </w:rPr>
  </w:style>
  <w:style w:type="paragraph" w:styleId="9">
    <w:name w:val="heading 9"/>
    <w:basedOn w:val="a"/>
    <w:next w:val="a"/>
    <w:link w:val="90"/>
    <w:semiHidden/>
    <w:rsid w:val="007268F9"/>
    <w:pPr>
      <w:spacing w:line="240" w:lineRule="auto"/>
      <w:outlineLvl w:val="8"/>
    </w:pPr>
    <w:rPr>
      <w:rFonts w:eastAsia="SimSu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7268F9"/>
    <w:pPr>
      <w:pBdr>
        <w:bottom w:val="single" w:sz="4" w:space="4" w:color="auto"/>
      </w:pBdr>
      <w:spacing w:line="240" w:lineRule="auto"/>
    </w:pPr>
    <w:rPr>
      <w:rFonts w:eastAsia="SimSun"/>
      <w:b/>
      <w:sz w:val="18"/>
      <w:lang w:eastAsia="zh-CN"/>
    </w:rPr>
  </w:style>
  <w:style w:type="character" w:customStyle="1" w:styleId="a4">
    <w:name w:val="Верхній колонтитул Знак"/>
    <w:aliases w:val="6_G Знак"/>
    <w:basedOn w:val="a0"/>
    <w:link w:val="a3"/>
    <w:semiHidden/>
    <w:rsid w:val="003B4550"/>
    <w:rPr>
      <w:rFonts w:ascii="Times New Roman" w:hAnsi="Times New Roman" w:cs="Times New Roman"/>
      <w:b/>
      <w:sz w:val="18"/>
      <w:szCs w:val="20"/>
    </w:rPr>
  </w:style>
  <w:style w:type="paragraph" w:styleId="a5">
    <w:name w:val="footer"/>
    <w:aliases w:val="3_G"/>
    <w:basedOn w:val="a"/>
    <w:link w:val="a6"/>
    <w:rsid w:val="007268F9"/>
    <w:pPr>
      <w:spacing w:line="240" w:lineRule="auto"/>
    </w:pPr>
    <w:rPr>
      <w:rFonts w:eastAsia="SimSun"/>
      <w:sz w:val="16"/>
      <w:lang w:eastAsia="zh-CN"/>
    </w:rPr>
  </w:style>
  <w:style w:type="character" w:customStyle="1" w:styleId="a6">
    <w:name w:val="Нижній колонтитул Знак"/>
    <w:aliases w:val="3_G Знак"/>
    <w:basedOn w:val="a0"/>
    <w:link w:val="a5"/>
    <w:rsid w:val="00247E2C"/>
    <w:rPr>
      <w:rFonts w:ascii="Times New Roman" w:eastAsia="SimSun" w:hAnsi="Times New Roman" w:cs="Times New Roman"/>
      <w:sz w:val="16"/>
      <w:szCs w:val="20"/>
    </w:rPr>
  </w:style>
  <w:style w:type="paragraph" w:customStyle="1" w:styleId="HMG">
    <w:name w:val="_ H __M_G"/>
    <w:basedOn w:val="a"/>
    <w:next w:val="a"/>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7268F9"/>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7268F9"/>
    <w:pPr>
      <w:keepNext/>
      <w:keepLines/>
      <w:tabs>
        <w:tab w:val="right" w:pos="851"/>
      </w:tabs>
      <w:spacing w:before="240" w:after="120" w:line="240" w:lineRule="exact"/>
      <w:ind w:left="1134" w:right="1134" w:hanging="1134"/>
    </w:pPr>
  </w:style>
  <w:style w:type="paragraph" w:customStyle="1" w:styleId="SingleTxtG">
    <w:name w:val="_ Single Txt_G"/>
    <w:basedOn w:val="a"/>
    <w:qFormat/>
    <w:rsid w:val="007268F9"/>
    <w:pPr>
      <w:spacing w:after="120"/>
      <w:ind w:left="1134" w:right="1134"/>
      <w:jc w:val="both"/>
    </w:pPr>
    <w:rPr>
      <w:rFonts w:eastAsia="SimSun"/>
      <w:lang w:eastAsia="zh-CN"/>
    </w:rPr>
  </w:style>
  <w:style w:type="paragraph" w:customStyle="1" w:styleId="SLG">
    <w:name w:val="__S_L_G"/>
    <w:basedOn w:val="a"/>
    <w:next w:val="a"/>
    <w:rsid w:val="007268F9"/>
    <w:pPr>
      <w:keepNext/>
      <w:keepLines/>
      <w:spacing w:before="240" w:after="240" w:line="580" w:lineRule="exact"/>
      <w:ind w:left="1134" w:right="1134"/>
    </w:pPr>
    <w:rPr>
      <w:b/>
      <w:sz w:val="56"/>
    </w:rPr>
  </w:style>
  <w:style w:type="paragraph" w:customStyle="1" w:styleId="SMG">
    <w:name w:val="__S_M_G"/>
    <w:basedOn w:val="a"/>
    <w:next w:val="a"/>
    <w:rsid w:val="007268F9"/>
    <w:pPr>
      <w:keepNext/>
      <w:keepLines/>
      <w:spacing w:before="240" w:after="240" w:line="420" w:lineRule="exact"/>
      <w:ind w:left="1134" w:right="1134"/>
    </w:pPr>
    <w:rPr>
      <w:b/>
      <w:sz w:val="40"/>
    </w:rPr>
  </w:style>
  <w:style w:type="paragraph" w:customStyle="1" w:styleId="SSG">
    <w:name w:val="__S_S_G"/>
    <w:basedOn w:val="a"/>
    <w:next w:val="a"/>
    <w:rsid w:val="007268F9"/>
    <w:pPr>
      <w:keepNext/>
      <w:keepLines/>
      <w:spacing w:before="240" w:after="240" w:line="300" w:lineRule="exact"/>
      <w:ind w:left="1134" w:right="1134"/>
    </w:pPr>
    <w:rPr>
      <w:b/>
      <w:sz w:val="28"/>
    </w:rPr>
  </w:style>
  <w:style w:type="paragraph" w:customStyle="1" w:styleId="XLargeG">
    <w:name w:val="__XLarge_G"/>
    <w:basedOn w:val="a"/>
    <w:next w:val="a"/>
    <w:rsid w:val="007268F9"/>
    <w:pPr>
      <w:keepNext/>
      <w:keepLines/>
      <w:spacing w:before="240" w:after="240" w:line="420" w:lineRule="exact"/>
      <w:ind w:left="1134" w:right="1134"/>
    </w:pPr>
    <w:rPr>
      <w:b/>
      <w:sz w:val="40"/>
    </w:rPr>
  </w:style>
  <w:style w:type="paragraph" w:customStyle="1" w:styleId="Bullet1G">
    <w:name w:val="_Bullet 1_G"/>
    <w:basedOn w:val="a"/>
    <w:rsid w:val="007268F9"/>
    <w:pPr>
      <w:numPr>
        <w:numId w:val="1"/>
      </w:numPr>
      <w:spacing w:after="120"/>
      <w:ind w:right="1134"/>
      <w:jc w:val="both"/>
    </w:pPr>
  </w:style>
  <w:style w:type="paragraph" w:customStyle="1" w:styleId="Bullet2G">
    <w:name w:val="_Bullet 2_G"/>
    <w:basedOn w:val="a"/>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2"/>
    <w:semiHidden/>
    <w:rsid w:val="007268F9"/>
    <w:pPr>
      <w:numPr>
        <w:numId w:val="5"/>
      </w:numPr>
    </w:pPr>
  </w:style>
  <w:style w:type="numbering" w:styleId="1ai">
    <w:name w:val="Outline List 1"/>
    <w:basedOn w:val="a2"/>
    <w:semiHidden/>
    <w:rsid w:val="007268F9"/>
    <w:pPr>
      <w:numPr>
        <w:numId w:val="6"/>
      </w:numPr>
    </w:pPr>
  </w:style>
  <w:style w:type="character" w:styleId="a7">
    <w:name w:val="endnote reference"/>
    <w:aliases w:val="1_G"/>
    <w:rsid w:val="007268F9"/>
    <w:rPr>
      <w:rFonts w:ascii="Times New Roman" w:hAnsi="Times New Roman"/>
      <w:sz w:val="18"/>
      <w:vertAlign w:val="superscript"/>
    </w:rPr>
  </w:style>
  <w:style w:type="paragraph" w:styleId="a8">
    <w:name w:val="footnote text"/>
    <w:aliases w:val="5_G,Footnote Text Char Char1,Footnote Text Char1 Char Char1,Footnote Text Char Char1 Char Char,Footnote Text Char1 Char Char1 Char Char,ft Char Char Char Char Char,Geneva 9 Char Char Char Char Char,fn,RSC_WP (footnotes),single space,ft,f"/>
    <w:basedOn w:val="a"/>
    <w:link w:val="a9"/>
    <w:qFormat/>
    <w:rsid w:val="007268F9"/>
    <w:pPr>
      <w:tabs>
        <w:tab w:val="right" w:pos="1021"/>
      </w:tabs>
      <w:spacing w:line="220" w:lineRule="exact"/>
      <w:ind w:left="1134" w:right="1134" w:hanging="1134"/>
    </w:pPr>
    <w:rPr>
      <w:rFonts w:eastAsia="SimSun"/>
      <w:sz w:val="18"/>
      <w:lang w:eastAsia="zh-CN"/>
    </w:rPr>
  </w:style>
  <w:style w:type="character" w:customStyle="1" w:styleId="a9">
    <w:name w:val="Текст ви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8"/>
    <w:qFormat/>
    <w:rsid w:val="007268F9"/>
    <w:rPr>
      <w:rFonts w:ascii="Times New Roman" w:eastAsia="SimSun" w:hAnsi="Times New Roman" w:cs="Times New Roman"/>
      <w:sz w:val="18"/>
      <w:szCs w:val="20"/>
    </w:rPr>
  </w:style>
  <w:style w:type="paragraph" w:styleId="aa">
    <w:name w:val="endnote text"/>
    <w:aliases w:val="2_G"/>
    <w:basedOn w:val="a8"/>
    <w:link w:val="ab"/>
    <w:rsid w:val="007268F9"/>
  </w:style>
  <w:style w:type="character" w:customStyle="1" w:styleId="ab">
    <w:name w:val="Текст кінцевої виноски Знак"/>
    <w:aliases w:val="2_G Знак"/>
    <w:basedOn w:val="a0"/>
    <w:link w:val="aa"/>
    <w:rsid w:val="007268F9"/>
    <w:rPr>
      <w:rFonts w:ascii="Times New Roman" w:eastAsia="SimSun" w:hAnsi="Times New Roman" w:cs="Times New Roman"/>
      <w:sz w:val="18"/>
      <w:szCs w:val="20"/>
    </w:rPr>
  </w:style>
  <w:style w:type="character" w:styleId="ac">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10">
    <w:name w:val="Заголовок 1 Знак"/>
    <w:aliases w:val="Table_G Знак"/>
    <w:basedOn w:val="a0"/>
    <w:link w:val="1"/>
    <w:semiHidden/>
    <w:rsid w:val="003B4550"/>
    <w:rPr>
      <w:rFonts w:ascii="Times New Roman" w:hAnsi="Times New Roman" w:cs="Times New Roman"/>
      <w:sz w:val="20"/>
      <w:szCs w:val="20"/>
    </w:rPr>
  </w:style>
  <w:style w:type="character" w:customStyle="1" w:styleId="20">
    <w:name w:val="Заголовок 2 Знак"/>
    <w:basedOn w:val="a0"/>
    <w:link w:val="2"/>
    <w:semiHidden/>
    <w:rsid w:val="003B4550"/>
    <w:rPr>
      <w:rFonts w:ascii="Times New Roman" w:hAnsi="Times New Roman" w:cs="Times New Roman"/>
      <w:sz w:val="20"/>
      <w:szCs w:val="20"/>
    </w:rPr>
  </w:style>
  <w:style w:type="character" w:customStyle="1" w:styleId="30">
    <w:name w:val="Заголовок 3 Знак"/>
    <w:basedOn w:val="a0"/>
    <w:link w:val="3"/>
    <w:semiHidden/>
    <w:rsid w:val="003B4550"/>
    <w:rPr>
      <w:rFonts w:ascii="Times New Roman" w:hAnsi="Times New Roman" w:cs="Times New Roman"/>
      <w:sz w:val="20"/>
      <w:szCs w:val="20"/>
    </w:rPr>
  </w:style>
  <w:style w:type="character" w:customStyle="1" w:styleId="40">
    <w:name w:val="Заголовок 4 Знак"/>
    <w:basedOn w:val="a0"/>
    <w:link w:val="4"/>
    <w:semiHidden/>
    <w:rsid w:val="003B4550"/>
    <w:rPr>
      <w:rFonts w:ascii="Times New Roman" w:hAnsi="Times New Roman" w:cs="Times New Roman"/>
      <w:sz w:val="20"/>
      <w:szCs w:val="20"/>
    </w:rPr>
  </w:style>
  <w:style w:type="character" w:customStyle="1" w:styleId="50">
    <w:name w:val="Заголовок 5 Знак"/>
    <w:basedOn w:val="a0"/>
    <w:link w:val="5"/>
    <w:semiHidden/>
    <w:rsid w:val="003B4550"/>
    <w:rPr>
      <w:rFonts w:ascii="Times New Roman" w:hAnsi="Times New Roman" w:cs="Times New Roman"/>
      <w:sz w:val="20"/>
      <w:szCs w:val="20"/>
    </w:rPr>
  </w:style>
  <w:style w:type="character" w:customStyle="1" w:styleId="60">
    <w:name w:val="Заголовок 6 Знак"/>
    <w:basedOn w:val="a0"/>
    <w:link w:val="6"/>
    <w:semiHidden/>
    <w:rsid w:val="003B4550"/>
    <w:rPr>
      <w:rFonts w:ascii="Times New Roman" w:hAnsi="Times New Roman" w:cs="Times New Roman"/>
      <w:sz w:val="20"/>
      <w:szCs w:val="20"/>
    </w:rPr>
  </w:style>
  <w:style w:type="character" w:customStyle="1" w:styleId="70">
    <w:name w:val="Заголовок 7 Знак"/>
    <w:basedOn w:val="a0"/>
    <w:link w:val="7"/>
    <w:semiHidden/>
    <w:rsid w:val="003B4550"/>
    <w:rPr>
      <w:rFonts w:ascii="Times New Roman" w:hAnsi="Times New Roman" w:cs="Times New Roman"/>
      <w:sz w:val="20"/>
      <w:szCs w:val="20"/>
    </w:rPr>
  </w:style>
  <w:style w:type="character" w:customStyle="1" w:styleId="80">
    <w:name w:val="Заголовок 8 Знак"/>
    <w:basedOn w:val="a0"/>
    <w:link w:val="8"/>
    <w:semiHidden/>
    <w:rsid w:val="003B4550"/>
    <w:rPr>
      <w:rFonts w:ascii="Times New Roman" w:hAnsi="Times New Roman" w:cs="Times New Roman"/>
      <w:sz w:val="20"/>
      <w:szCs w:val="20"/>
    </w:rPr>
  </w:style>
  <w:style w:type="character" w:customStyle="1" w:styleId="90">
    <w:name w:val="Заголовок 9 Знак"/>
    <w:basedOn w:val="a0"/>
    <w:link w:val="9"/>
    <w:semiHidden/>
    <w:rsid w:val="003B4550"/>
    <w:rPr>
      <w:rFonts w:ascii="Times New Roman" w:hAnsi="Times New Roman" w:cs="Times New Roman"/>
      <w:sz w:val="20"/>
      <w:szCs w:val="20"/>
    </w:rPr>
  </w:style>
  <w:style w:type="character" w:styleId="ad">
    <w:name w:val="page number"/>
    <w:aliases w:val="7_G"/>
    <w:semiHidden/>
    <w:rsid w:val="007268F9"/>
    <w:rPr>
      <w:rFonts w:ascii="Times New Roman" w:hAnsi="Times New Roman"/>
      <w:b/>
      <w:sz w:val="18"/>
    </w:rPr>
  </w:style>
  <w:style w:type="character" w:styleId="ae">
    <w:name w:val="Book Title"/>
    <w:basedOn w:val="a0"/>
    <w:uiPriority w:val="33"/>
    <w:semiHidden/>
    <w:rsid w:val="007268F9"/>
    <w:rPr>
      <w:b/>
      <w:bCs/>
      <w:smallCaps/>
      <w:spacing w:val="5"/>
    </w:rPr>
  </w:style>
  <w:style w:type="table" w:styleId="af">
    <w:name w:val="Table Grid"/>
    <w:basedOn w:val="a1"/>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165C15"/>
    <w:pPr>
      <w:spacing w:line="240" w:lineRule="auto"/>
    </w:pPr>
    <w:rPr>
      <w:rFonts w:ascii="Tahoma" w:hAnsi="Tahoma" w:cs="Tahoma"/>
      <w:sz w:val="16"/>
      <w:szCs w:val="16"/>
    </w:rPr>
  </w:style>
  <w:style w:type="character" w:customStyle="1" w:styleId="af1">
    <w:name w:val="Текст у виносці Знак"/>
    <w:basedOn w:val="a0"/>
    <w:link w:val="af0"/>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c"/>
    <w:uiPriority w:val="99"/>
    <w:rsid w:val="00B22F73"/>
    <w:pPr>
      <w:suppressAutoHyphens w:val="0"/>
      <w:spacing w:after="160" w:line="240" w:lineRule="exact"/>
    </w:pPr>
    <w:rPr>
      <w:rFonts w:eastAsia="SimSun" w:cstheme="minorBidi"/>
      <w:sz w:val="18"/>
      <w:szCs w:val="22"/>
      <w:vertAlign w:val="superscript"/>
      <w:lang w:eastAsia="zh-CN"/>
    </w:rPr>
  </w:style>
  <w:style w:type="paragraph" w:customStyle="1" w:styleId="AppelnotedebasdepageCharCharCharCharCharCharChar">
    <w:name w:val="Appel note de bas de page Char Char Char Char Char Char Char"/>
    <w:basedOn w:val="a"/>
    <w:uiPriority w:val="99"/>
    <w:rsid w:val="00705F77"/>
    <w:pPr>
      <w:suppressAutoHyphens w:val="0"/>
      <w:spacing w:line="240" w:lineRule="auto"/>
      <w:jc w:val="both"/>
    </w:pPr>
    <w:rPr>
      <w:rFonts w:asciiTheme="minorHAnsi" w:eastAsiaTheme="minorHAnsi" w:hAnsiTheme="minorHAnsi" w:cstheme="minorBidi"/>
      <w:sz w:val="18"/>
      <w:szCs w:val="22"/>
      <w:vertAlign w:val="superscript"/>
      <w:lang w:val="en-US"/>
    </w:rPr>
  </w:style>
  <w:style w:type="paragraph" w:customStyle="1" w:styleId="Default">
    <w:name w:val="Default"/>
    <w:rsid w:val="00693C06"/>
    <w:pPr>
      <w:widowControl w:val="0"/>
      <w:autoSpaceDE w:val="0"/>
      <w:autoSpaceDN w:val="0"/>
      <w:adjustRightInd w:val="0"/>
      <w:spacing w:after="0" w:line="240" w:lineRule="auto"/>
    </w:pPr>
    <w:rPr>
      <w:rFonts w:ascii="Arial" w:eastAsia="Times New Roman" w:hAnsi="Arial" w:cs="Arial"/>
      <w:color w:val="000000"/>
      <w:sz w:val="24"/>
      <w:szCs w:val="24"/>
      <w:lang w:val="en-US" w:eastAsia="en-US"/>
    </w:rPr>
  </w:style>
  <w:style w:type="character" w:styleId="af2">
    <w:name w:val="Hyperlink"/>
    <w:rsid w:val="00693C06"/>
    <w:rPr>
      <w:color w:val="0000FF"/>
      <w:u w:val="single"/>
    </w:rPr>
  </w:style>
  <w:style w:type="character" w:customStyle="1" w:styleId="FootnoteTextChar1">
    <w:name w:val="Footnote Text Char1"/>
    <w:aliases w:val="fodnotetekst Char1,Fußnotentextf Char1,Footnote Text Char Char Char2,Geneva 9 Char1,Font: Geneva 9 Char1,Boston 10 Char1,f Char1,ft Char1,ADB Char1,single space Char1,FOOTNOTES Char1,fn Char1,Footnote Text1 Char Char1,5_G Char1"/>
    <w:rsid w:val="00693C06"/>
    <w:rPr>
      <w:lang w:val="da-DK" w:eastAsia="da-DK"/>
    </w:rPr>
  </w:style>
  <w:style w:type="paragraph" w:styleId="af3">
    <w:name w:val="annotation text"/>
    <w:basedOn w:val="a"/>
    <w:link w:val="af4"/>
    <w:uiPriority w:val="99"/>
    <w:unhideWhenUsed/>
    <w:rsid w:val="00693C06"/>
    <w:pPr>
      <w:suppressAutoHyphens w:val="0"/>
      <w:spacing w:line="240" w:lineRule="auto"/>
    </w:pPr>
    <w:rPr>
      <w:rFonts w:ascii="Garamond" w:hAnsi="Garamond" w:cs="Calibri"/>
      <w:lang w:eastAsia="da-DK"/>
    </w:rPr>
  </w:style>
  <w:style w:type="character" w:customStyle="1" w:styleId="af4">
    <w:name w:val="Текст примітки Знак"/>
    <w:basedOn w:val="a0"/>
    <w:link w:val="af3"/>
    <w:uiPriority w:val="99"/>
    <w:rsid w:val="00693C06"/>
    <w:rPr>
      <w:rFonts w:ascii="Garamond" w:eastAsia="Times New Roman" w:hAnsi="Garamond" w:cs="Calibri"/>
      <w:sz w:val="20"/>
      <w:szCs w:val="20"/>
      <w:lang w:eastAsia="da-DK"/>
    </w:rPr>
  </w:style>
  <w:style w:type="paragraph" w:styleId="af5">
    <w:name w:val="List Paragraph"/>
    <w:basedOn w:val="a"/>
    <w:uiPriority w:val="34"/>
    <w:qFormat/>
    <w:rsid w:val="00693C06"/>
    <w:pPr>
      <w:suppressAutoHyphens w:val="0"/>
      <w:spacing w:line="240" w:lineRule="auto"/>
      <w:ind w:left="708"/>
    </w:pPr>
    <w:rPr>
      <w:rFonts w:ascii="Garamond" w:hAnsi="Garamond" w:cs="Calibri"/>
      <w:sz w:val="24"/>
      <w:szCs w:val="26"/>
      <w:lang w:eastAsia="da-DK"/>
    </w:rPr>
  </w:style>
  <w:style w:type="character" w:styleId="af6">
    <w:name w:val="annotation reference"/>
    <w:basedOn w:val="a0"/>
    <w:uiPriority w:val="99"/>
    <w:semiHidden/>
    <w:unhideWhenUsed/>
    <w:rsid w:val="00693C06"/>
    <w:rPr>
      <w:sz w:val="16"/>
      <w:szCs w:val="16"/>
    </w:rPr>
  </w:style>
  <w:style w:type="paragraph" w:styleId="af7">
    <w:name w:val="annotation subject"/>
    <w:basedOn w:val="af3"/>
    <w:next w:val="af3"/>
    <w:link w:val="af8"/>
    <w:uiPriority w:val="99"/>
    <w:semiHidden/>
    <w:unhideWhenUsed/>
    <w:rsid w:val="00693C06"/>
    <w:pPr>
      <w:suppressAutoHyphens/>
    </w:pPr>
    <w:rPr>
      <w:rFonts w:ascii="Times New Roman" w:hAnsi="Times New Roman" w:cs="Times New Roman"/>
      <w:b/>
      <w:bCs/>
      <w:lang w:eastAsia="en-US"/>
    </w:rPr>
  </w:style>
  <w:style w:type="character" w:customStyle="1" w:styleId="af8">
    <w:name w:val="Тема примітки Знак"/>
    <w:basedOn w:val="af4"/>
    <w:link w:val="af7"/>
    <w:uiPriority w:val="99"/>
    <w:semiHidden/>
    <w:rsid w:val="00693C06"/>
    <w:rPr>
      <w:rFonts w:ascii="Times New Roman" w:eastAsia="Times New Roman" w:hAnsi="Times New Roman" w:cs="Times New Roman"/>
      <w:b/>
      <w:bCs/>
      <w:sz w:val="20"/>
      <w:szCs w:val="20"/>
      <w:lang w:eastAsia="en-US"/>
    </w:rPr>
  </w:style>
  <w:style w:type="character" w:styleId="af9">
    <w:name w:val="Unresolved Mention"/>
    <w:basedOn w:val="a0"/>
    <w:uiPriority w:val="99"/>
    <w:semiHidden/>
    <w:unhideWhenUsed/>
    <w:rsid w:val="00D27950"/>
    <w:rPr>
      <w:color w:val="605E5C"/>
      <w:shd w:val="clear" w:color="auto" w:fill="E1DFDD"/>
    </w:rPr>
  </w:style>
  <w:style w:type="character" w:customStyle="1" w:styleId="jlqj4b">
    <w:name w:val="jlqj4b"/>
    <w:basedOn w:val="a0"/>
    <w:rsid w:val="00873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5464220">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94484160">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974017213">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24478766">
      <w:bodyDiv w:val="1"/>
      <w:marLeft w:val="0"/>
      <w:marRight w:val="0"/>
      <w:marTop w:val="0"/>
      <w:marBottom w:val="0"/>
      <w:divBdr>
        <w:top w:val="none" w:sz="0" w:space="0" w:color="auto"/>
        <w:left w:val="none" w:sz="0" w:space="0" w:color="auto"/>
        <w:bottom w:val="none" w:sz="0" w:space="0" w:color="auto"/>
        <w:right w:val="none" w:sz="0" w:space="0" w:color="auto"/>
      </w:divBdr>
      <w:divsChild>
        <w:div w:id="1452701479">
          <w:marLeft w:val="0"/>
          <w:marRight w:val="0"/>
          <w:marTop w:val="0"/>
          <w:marBottom w:val="0"/>
          <w:divBdr>
            <w:top w:val="none" w:sz="0" w:space="0" w:color="auto"/>
            <w:left w:val="none" w:sz="0" w:space="0" w:color="auto"/>
            <w:bottom w:val="none" w:sz="0" w:space="0" w:color="auto"/>
            <w:right w:val="none" w:sz="0" w:space="0" w:color="auto"/>
          </w:divBdr>
          <w:divsChild>
            <w:div w:id="336229914">
              <w:marLeft w:val="0"/>
              <w:marRight w:val="0"/>
              <w:marTop w:val="0"/>
              <w:marBottom w:val="0"/>
              <w:divBdr>
                <w:top w:val="none" w:sz="0" w:space="0" w:color="auto"/>
                <w:left w:val="none" w:sz="0" w:space="0" w:color="auto"/>
                <w:bottom w:val="none" w:sz="0" w:space="0" w:color="auto"/>
                <w:right w:val="none" w:sz="0" w:space="0" w:color="auto"/>
              </w:divBdr>
            </w:div>
            <w:div w:id="1885167598">
              <w:marLeft w:val="0"/>
              <w:marRight w:val="0"/>
              <w:marTop w:val="0"/>
              <w:marBottom w:val="0"/>
              <w:divBdr>
                <w:top w:val="none" w:sz="0" w:space="0" w:color="auto"/>
                <w:left w:val="none" w:sz="0" w:space="0" w:color="auto"/>
                <w:bottom w:val="none" w:sz="0" w:space="0" w:color="auto"/>
                <w:right w:val="none" w:sz="0" w:space="0" w:color="auto"/>
              </w:divBdr>
            </w:div>
          </w:divsChild>
        </w:div>
        <w:div w:id="1257789414">
          <w:marLeft w:val="0"/>
          <w:marRight w:val="0"/>
          <w:marTop w:val="0"/>
          <w:marBottom w:val="0"/>
          <w:divBdr>
            <w:top w:val="none" w:sz="0" w:space="0" w:color="auto"/>
            <w:left w:val="none" w:sz="0" w:space="0" w:color="auto"/>
            <w:bottom w:val="none" w:sz="0" w:space="0" w:color="auto"/>
            <w:right w:val="none" w:sz="0" w:space="0" w:color="auto"/>
          </w:divBdr>
        </w:div>
        <w:div w:id="1468358893">
          <w:marLeft w:val="0"/>
          <w:marRight w:val="0"/>
          <w:marTop w:val="0"/>
          <w:marBottom w:val="0"/>
          <w:divBdr>
            <w:top w:val="none" w:sz="0" w:space="0" w:color="auto"/>
            <w:left w:val="none" w:sz="0" w:space="0" w:color="auto"/>
            <w:bottom w:val="none" w:sz="0" w:space="0" w:color="auto"/>
            <w:right w:val="none" w:sz="0" w:space="0" w:color="auto"/>
          </w:divBdr>
          <w:divsChild>
            <w:div w:id="689065802">
              <w:marLeft w:val="0"/>
              <w:marRight w:val="0"/>
              <w:marTop w:val="0"/>
              <w:marBottom w:val="0"/>
              <w:divBdr>
                <w:top w:val="none" w:sz="0" w:space="0" w:color="auto"/>
                <w:left w:val="none" w:sz="0" w:space="0" w:color="auto"/>
                <w:bottom w:val="none" w:sz="0" w:space="0" w:color="auto"/>
                <w:right w:val="none" w:sz="0" w:space="0" w:color="auto"/>
              </w:divBdr>
              <w:divsChild>
                <w:div w:id="98658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6326">
      <w:bodyDiv w:val="1"/>
      <w:marLeft w:val="0"/>
      <w:marRight w:val="0"/>
      <w:marTop w:val="0"/>
      <w:marBottom w:val="0"/>
      <w:divBdr>
        <w:top w:val="none" w:sz="0" w:space="0" w:color="auto"/>
        <w:left w:val="none" w:sz="0" w:space="0" w:color="auto"/>
        <w:bottom w:val="none" w:sz="0" w:space="0" w:color="auto"/>
        <w:right w:val="none" w:sz="0" w:space="0" w:color="auto"/>
      </w:divBdr>
      <w:divsChild>
        <w:div w:id="1978680478">
          <w:marLeft w:val="0"/>
          <w:marRight w:val="0"/>
          <w:marTop w:val="0"/>
          <w:marBottom w:val="0"/>
          <w:divBdr>
            <w:top w:val="none" w:sz="0" w:space="0" w:color="auto"/>
            <w:left w:val="none" w:sz="0" w:space="0" w:color="auto"/>
            <w:bottom w:val="none" w:sz="0" w:space="0" w:color="auto"/>
            <w:right w:val="none" w:sz="0" w:space="0" w:color="auto"/>
          </w:divBdr>
          <w:divsChild>
            <w:div w:id="559830697">
              <w:marLeft w:val="0"/>
              <w:marRight w:val="0"/>
              <w:marTop w:val="0"/>
              <w:marBottom w:val="0"/>
              <w:divBdr>
                <w:top w:val="none" w:sz="0" w:space="0" w:color="auto"/>
                <w:left w:val="none" w:sz="0" w:space="0" w:color="auto"/>
                <w:bottom w:val="none" w:sz="0" w:space="0" w:color="auto"/>
                <w:right w:val="none" w:sz="0" w:space="0" w:color="auto"/>
              </w:divBdr>
            </w:div>
            <w:div w:id="557863202">
              <w:marLeft w:val="0"/>
              <w:marRight w:val="0"/>
              <w:marTop w:val="0"/>
              <w:marBottom w:val="0"/>
              <w:divBdr>
                <w:top w:val="none" w:sz="0" w:space="0" w:color="auto"/>
                <w:left w:val="none" w:sz="0" w:space="0" w:color="auto"/>
                <w:bottom w:val="none" w:sz="0" w:space="0" w:color="auto"/>
                <w:right w:val="none" w:sz="0" w:space="0" w:color="auto"/>
              </w:divBdr>
            </w:div>
            <w:div w:id="893202031">
              <w:marLeft w:val="0"/>
              <w:marRight w:val="0"/>
              <w:marTop w:val="0"/>
              <w:marBottom w:val="0"/>
              <w:divBdr>
                <w:top w:val="none" w:sz="0" w:space="0" w:color="auto"/>
                <w:left w:val="none" w:sz="0" w:space="0" w:color="auto"/>
                <w:bottom w:val="none" w:sz="0" w:space="0" w:color="auto"/>
                <w:right w:val="none" w:sz="0" w:space="0" w:color="auto"/>
              </w:divBdr>
            </w:div>
            <w:div w:id="1661621654">
              <w:marLeft w:val="0"/>
              <w:marRight w:val="0"/>
              <w:marTop w:val="0"/>
              <w:marBottom w:val="0"/>
              <w:divBdr>
                <w:top w:val="none" w:sz="0" w:space="0" w:color="auto"/>
                <w:left w:val="none" w:sz="0" w:space="0" w:color="auto"/>
                <w:bottom w:val="none" w:sz="0" w:space="0" w:color="auto"/>
                <w:right w:val="none" w:sz="0" w:space="0" w:color="auto"/>
              </w:divBdr>
            </w:div>
            <w:div w:id="1937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ombudsman.gov.ua/files/2020/opendata/Zvit%202019%20English_22.06.20.pdf"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1548E2-4022-4FE2-AECE-94F4E86B739E}">
  <ds:schemaRefs>
    <ds:schemaRef ds:uri="http://schemas.openxmlformats.org/officeDocument/2006/bibliography"/>
  </ds:schemaRefs>
</ds:datastoreItem>
</file>

<file path=customXml/itemProps2.xml><?xml version="1.0" encoding="utf-8"?>
<ds:datastoreItem xmlns:ds="http://schemas.openxmlformats.org/officeDocument/2006/customXml" ds:itemID="{D379F1B5-C46F-4A1D-8D70-E069978C56B7}"/>
</file>

<file path=customXml/itemProps3.xml><?xml version="1.0" encoding="utf-8"?>
<ds:datastoreItem xmlns:ds="http://schemas.openxmlformats.org/officeDocument/2006/customXml" ds:itemID="{1EAD211C-1CDE-4FC2-A72E-FD2088FFE62D}"/>
</file>

<file path=customXml/itemProps4.xml><?xml version="1.0" encoding="utf-8"?>
<ds:datastoreItem xmlns:ds="http://schemas.openxmlformats.org/officeDocument/2006/customXml" ds:itemID="{8DA84770-0373-491F-8443-49C6A8D3651F}"/>
</file>

<file path=docProps/app.xml><?xml version="1.0" encoding="utf-8"?>
<Properties xmlns="http://schemas.openxmlformats.org/officeDocument/2006/extended-properties" xmlns:vt="http://schemas.openxmlformats.org/officeDocument/2006/docPropsVTypes">
  <Template>Normal.dotm</Template>
  <TotalTime>1</TotalTime>
  <Pages>3</Pages>
  <Words>41319</Words>
  <Characters>23552</Characters>
  <Application>Microsoft Office Word</Application>
  <DocSecurity>0</DocSecurity>
  <Lines>196</Lines>
  <Paragraphs>129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CCPR_NHRI</vt:lpstr>
      <vt:lpstr>CCPR/C/UKR/Q/8</vt:lpstr>
    </vt:vector>
  </TitlesOfParts>
  <Company>DCM</Company>
  <LinksUpToDate>false</LinksUpToDate>
  <CharactersWithSpaces>64742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CCPR_NHRI</dc:title>
  <dc:subject>1920778</dc:subject>
  <dc:creator>Igor Gutsulyak</dc:creator>
  <cp:keywords/>
  <dc:description/>
  <cp:lastModifiedBy>Осадча Валентина Вікторівна</cp:lastModifiedBy>
  <cp:revision>2</cp:revision>
  <dcterms:created xsi:type="dcterms:W3CDTF">2021-09-13T14:24:00Z</dcterms:created>
  <dcterms:modified xsi:type="dcterms:W3CDTF">2021-09-13T14:24:00Z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