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E7E" w:rsidRPr="009747D4" w:rsidRDefault="004B4E7E" w:rsidP="004B4E7E">
      <w:pPr>
        <w:spacing w:line="276" w:lineRule="auto"/>
        <w:jc w:val="center"/>
        <w:rPr>
          <w:rFonts w:ascii="Arial" w:hAnsi="Arial" w:cs="Arial"/>
          <w:b/>
          <w:lang w:val="en-US"/>
        </w:rPr>
      </w:pPr>
      <w:bookmarkStart w:id="0" w:name="_GoBack"/>
      <w:bookmarkEnd w:id="0"/>
      <w:proofErr w:type="spellStart"/>
      <w:r w:rsidRPr="009747D4">
        <w:rPr>
          <w:rFonts w:ascii="Arial" w:hAnsi="Arial" w:cs="Arial"/>
          <w:b/>
          <w:lang w:val="en-US"/>
        </w:rPr>
        <w:t>MOI</w:t>
      </w:r>
      <w:proofErr w:type="spellEnd"/>
      <w:r w:rsidRPr="009747D4">
        <w:rPr>
          <w:rFonts w:ascii="Arial" w:hAnsi="Arial" w:cs="Arial"/>
          <w:b/>
          <w:lang w:val="en-US"/>
        </w:rPr>
        <w:t xml:space="preserve"> RELATED REPLIES TO HUMAN RIGHTS COMMITTEE QUESTIONS (Translation from Croatian)</w:t>
      </w:r>
    </w:p>
    <w:p w:rsidR="004B4E7E" w:rsidRPr="009747D4" w:rsidRDefault="004B4E7E" w:rsidP="004B4E7E">
      <w:pPr>
        <w:spacing w:line="276" w:lineRule="auto"/>
        <w:jc w:val="center"/>
        <w:rPr>
          <w:rFonts w:ascii="Arial" w:hAnsi="Arial" w:cs="Arial"/>
          <w:b/>
          <w:u w:val="single"/>
          <w:lang w:val="en-US"/>
        </w:rPr>
      </w:pPr>
    </w:p>
    <w:p w:rsidR="004B4E7E" w:rsidRPr="009747D4" w:rsidRDefault="004B4E7E" w:rsidP="004B4E7E">
      <w:pPr>
        <w:spacing w:line="276" w:lineRule="auto"/>
        <w:jc w:val="both"/>
        <w:rPr>
          <w:rFonts w:ascii="Arial" w:hAnsi="Arial" w:cs="Arial"/>
          <w:b/>
          <w:u w:val="single"/>
          <w:lang w:val="en-US"/>
        </w:rPr>
      </w:pPr>
    </w:p>
    <w:p w:rsidR="004B4E7E" w:rsidRPr="009747D4" w:rsidRDefault="004B4E7E" w:rsidP="004B4E7E">
      <w:pPr>
        <w:spacing w:line="276" w:lineRule="auto"/>
        <w:jc w:val="both"/>
        <w:rPr>
          <w:rFonts w:ascii="Arial" w:hAnsi="Arial" w:cs="Arial"/>
          <w:lang w:val="en-US"/>
        </w:rPr>
      </w:pPr>
      <w:r w:rsidRPr="009747D4">
        <w:rPr>
          <w:rFonts w:ascii="Arial" w:hAnsi="Arial" w:cs="Arial"/>
          <w:b/>
          <w:u w:val="single"/>
          <w:lang w:val="en-US"/>
        </w:rPr>
        <w:t xml:space="preserve">HATE CRIME </w:t>
      </w:r>
      <w:r w:rsidRPr="009747D4">
        <w:rPr>
          <w:rFonts w:ascii="Arial" w:hAnsi="Arial" w:cs="Arial"/>
          <w:lang w:val="en-US"/>
        </w:rPr>
        <w:t xml:space="preserve">– </w:t>
      </w:r>
      <w:r w:rsidRPr="009747D4">
        <w:rPr>
          <w:rFonts w:ascii="Arial" w:hAnsi="Arial" w:cs="Arial"/>
          <w:b/>
          <w:lang w:val="en-US"/>
        </w:rPr>
        <w:t xml:space="preserve">with </w:t>
      </w:r>
      <w:proofErr w:type="spellStart"/>
      <w:r w:rsidRPr="009747D4">
        <w:rPr>
          <w:rFonts w:ascii="Arial" w:hAnsi="Arial" w:cs="Arial"/>
          <w:b/>
          <w:lang w:val="en-US"/>
        </w:rPr>
        <w:t>MoI</w:t>
      </w:r>
      <w:proofErr w:type="spellEnd"/>
      <w:r w:rsidRPr="009747D4">
        <w:rPr>
          <w:rFonts w:ascii="Arial" w:hAnsi="Arial" w:cs="Arial"/>
          <w:b/>
          <w:lang w:val="en-US"/>
        </w:rPr>
        <w:t xml:space="preserve"> statistical overview</w:t>
      </w:r>
    </w:p>
    <w:p w:rsidR="004B4E7E" w:rsidRPr="009747D4" w:rsidRDefault="004B4E7E" w:rsidP="004B4E7E">
      <w:pPr>
        <w:spacing w:line="276" w:lineRule="auto"/>
        <w:jc w:val="both"/>
        <w:rPr>
          <w:rFonts w:ascii="Arial" w:hAnsi="Arial" w:cs="Arial"/>
          <w:lang w:val="en-US"/>
        </w:rPr>
      </w:pPr>
    </w:p>
    <w:p w:rsidR="004B4E7E" w:rsidRPr="009747D4" w:rsidRDefault="004B4E7E" w:rsidP="004B4E7E">
      <w:pPr>
        <w:spacing w:line="276" w:lineRule="auto"/>
        <w:jc w:val="both"/>
        <w:rPr>
          <w:rFonts w:ascii="Arial" w:hAnsi="Arial" w:cs="Arial"/>
          <w:lang w:val="en-US"/>
        </w:rPr>
      </w:pPr>
    </w:p>
    <w:p w:rsidR="00A232F0" w:rsidRDefault="004B4E7E" w:rsidP="004B4E7E">
      <w:pPr>
        <w:spacing w:line="276" w:lineRule="auto"/>
        <w:jc w:val="both"/>
        <w:rPr>
          <w:rFonts w:ascii="Arial" w:hAnsi="Arial" w:cs="Arial"/>
        </w:rPr>
      </w:pPr>
      <w:r w:rsidRPr="009747D4">
        <w:rPr>
          <w:rFonts w:ascii="Arial" w:hAnsi="Arial" w:cs="Arial"/>
          <w:lang w:val="en-US"/>
        </w:rPr>
        <w:t xml:space="preserve">The term </w:t>
      </w:r>
      <w:r>
        <w:rPr>
          <w:rFonts w:ascii="Arial" w:hAnsi="Arial" w:cs="Arial"/>
          <w:lang w:val="en-US"/>
        </w:rPr>
        <w:t>“</w:t>
      </w:r>
      <w:r w:rsidRPr="009747D4">
        <w:rPr>
          <w:rFonts w:ascii="Arial" w:hAnsi="Arial" w:cs="Arial"/>
          <w:lang w:val="en-US"/>
        </w:rPr>
        <w:t>hate crime</w:t>
      </w:r>
      <w:proofErr w:type="gramStart"/>
      <w:r w:rsidRPr="009747D4">
        <w:rPr>
          <w:rFonts w:ascii="Arial" w:hAnsi="Arial" w:cs="Arial"/>
          <w:lang w:val="en-US"/>
        </w:rPr>
        <w:t>“ has</w:t>
      </w:r>
      <w:proofErr w:type="gramEnd"/>
      <w:r w:rsidRPr="009747D4">
        <w:rPr>
          <w:rFonts w:ascii="Arial" w:hAnsi="Arial" w:cs="Arial"/>
          <w:lang w:val="en-US"/>
        </w:rPr>
        <w:t xml:space="preserve"> been </w:t>
      </w:r>
      <w:r>
        <w:rPr>
          <w:rFonts w:ascii="Arial" w:hAnsi="Arial" w:cs="Arial"/>
          <w:lang w:val="en-US"/>
        </w:rPr>
        <w:t>first introduced into the national legislation through the 2006 Act Amending the Criminal Code. The introduction of the term marked the building of a system for prevention and combating hate crime in the Republic of Croatia.</w:t>
      </w:r>
    </w:p>
    <w:p w:rsidR="00A232F0" w:rsidRDefault="00A232F0" w:rsidP="00A232F0">
      <w:pPr>
        <w:spacing w:line="276" w:lineRule="auto"/>
        <w:jc w:val="both"/>
        <w:rPr>
          <w:rFonts w:ascii="Arial" w:hAnsi="Arial" w:cs="Arial"/>
        </w:rPr>
      </w:pPr>
    </w:p>
    <w:p w:rsidR="00A232F0" w:rsidRPr="004B4E7E" w:rsidRDefault="004B4E7E" w:rsidP="00A232F0">
      <w:pPr>
        <w:spacing w:line="276" w:lineRule="auto"/>
        <w:jc w:val="both"/>
        <w:rPr>
          <w:rFonts w:ascii="Arial" w:hAnsi="Arial" w:cs="Arial"/>
          <w:lang w:val="en-US"/>
        </w:rPr>
      </w:pPr>
      <w:r w:rsidRPr="004B4E7E">
        <w:rPr>
          <w:rFonts w:ascii="Arial" w:hAnsi="Arial" w:cs="Arial"/>
          <w:lang w:val="en-US"/>
        </w:rPr>
        <w:t xml:space="preserve">One of important factors of the </w:t>
      </w:r>
      <w:r w:rsidR="00A5523B">
        <w:rPr>
          <w:rFonts w:ascii="Arial" w:hAnsi="Arial" w:cs="Arial"/>
          <w:lang w:val="en-US"/>
        </w:rPr>
        <w:t>system for prevention of and the fight against hate crime</w:t>
      </w:r>
      <w:r w:rsidRPr="004B4E7E">
        <w:rPr>
          <w:rFonts w:ascii="Arial" w:hAnsi="Arial" w:cs="Arial"/>
          <w:lang w:val="en-US"/>
        </w:rPr>
        <w:t xml:space="preserve"> </w:t>
      </w:r>
      <w:r w:rsidR="00A5523B">
        <w:rPr>
          <w:rFonts w:ascii="Arial" w:hAnsi="Arial" w:cs="Arial"/>
          <w:lang w:val="en-US"/>
        </w:rPr>
        <w:t>is</w:t>
      </w:r>
      <w:r w:rsidRPr="004B4E7E">
        <w:rPr>
          <w:rFonts w:ascii="Arial" w:hAnsi="Arial" w:cs="Arial"/>
          <w:lang w:val="en-US"/>
        </w:rPr>
        <w:t xml:space="preserve"> the Working Group for Hate Crime Monitoring which </w:t>
      </w:r>
      <w:r w:rsidR="00A5523B">
        <w:rPr>
          <w:rFonts w:ascii="Arial" w:hAnsi="Arial" w:cs="Arial"/>
          <w:lang w:val="en-US"/>
        </w:rPr>
        <w:t>joins</w:t>
      </w:r>
      <w:r w:rsidRPr="004B4E7E">
        <w:rPr>
          <w:rFonts w:ascii="Arial" w:hAnsi="Arial" w:cs="Arial"/>
          <w:lang w:val="en-US"/>
        </w:rPr>
        <w:t xml:space="preserve"> all bodies involved in </w:t>
      </w:r>
      <w:r w:rsidR="00C31BF6">
        <w:rPr>
          <w:rFonts w:ascii="Arial" w:hAnsi="Arial" w:cs="Arial"/>
          <w:lang w:val="en-US"/>
        </w:rPr>
        <w:t xml:space="preserve">the system for </w:t>
      </w:r>
      <w:r w:rsidRPr="004B4E7E">
        <w:rPr>
          <w:rFonts w:ascii="Arial" w:hAnsi="Arial" w:cs="Arial"/>
          <w:lang w:val="en-US"/>
        </w:rPr>
        <w:t>preventing, combating and processing of hate crimes</w:t>
      </w:r>
      <w:r w:rsidR="00A232F0" w:rsidRPr="004B4E7E">
        <w:rPr>
          <w:rFonts w:ascii="Arial" w:hAnsi="Arial" w:cs="Arial"/>
          <w:lang w:val="en-US"/>
        </w:rPr>
        <w:t>.</w:t>
      </w:r>
    </w:p>
    <w:p w:rsidR="00A232F0" w:rsidRPr="004B4E7E" w:rsidRDefault="00A232F0" w:rsidP="00A232F0">
      <w:pPr>
        <w:spacing w:line="276" w:lineRule="auto"/>
        <w:jc w:val="both"/>
        <w:rPr>
          <w:rFonts w:ascii="Arial" w:hAnsi="Arial" w:cs="Arial"/>
          <w:lang w:val="en-US"/>
        </w:rPr>
      </w:pPr>
    </w:p>
    <w:p w:rsidR="00B744FB" w:rsidRPr="00AA3F33" w:rsidRDefault="004B4E7E" w:rsidP="004B4E7E">
      <w:pPr>
        <w:spacing w:line="276" w:lineRule="auto"/>
        <w:jc w:val="both"/>
        <w:rPr>
          <w:rFonts w:ascii="Arial" w:hAnsi="Arial" w:cs="Arial"/>
          <w:lang w:val="en-US"/>
        </w:rPr>
      </w:pPr>
      <w:r w:rsidRPr="00AA3F33">
        <w:rPr>
          <w:rFonts w:ascii="Arial" w:hAnsi="Arial" w:cs="Arial"/>
          <w:lang w:val="en-US"/>
        </w:rPr>
        <w:t xml:space="preserve">In the area of combating discrimination </w:t>
      </w:r>
      <w:r w:rsidR="009B1E2B" w:rsidRPr="00AA3F33">
        <w:rPr>
          <w:rFonts w:ascii="Arial" w:hAnsi="Arial" w:cs="Arial"/>
          <w:lang w:val="en-US"/>
        </w:rPr>
        <w:t>it is important to stress that the new Criminal Code, which entered into force on 1 January 2013</w:t>
      </w:r>
      <w:r w:rsidR="00B744FB" w:rsidRPr="00AA3F33">
        <w:rPr>
          <w:rFonts w:ascii="Arial" w:hAnsi="Arial" w:cs="Arial"/>
          <w:lang w:val="en-US"/>
        </w:rPr>
        <w:t xml:space="preserve">, </w:t>
      </w:r>
      <w:r w:rsidR="009B1E2B" w:rsidRPr="00AA3F33">
        <w:rPr>
          <w:rFonts w:ascii="Arial" w:hAnsi="Arial" w:cs="Arial"/>
          <w:lang w:val="en-US"/>
        </w:rPr>
        <w:t xml:space="preserve">introduces new </w:t>
      </w:r>
      <w:r w:rsidR="00C31BF6">
        <w:rPr>
          <w:rFonts w:ascii="Arial" w:hAnsi="Arial" w:cs="Arial"/>
          <w:lang w:val="en-US"/>
        </w:rPr>
        <w:t>grounds</w:t>
      </w:r>
      <w:r w:rsidR="009B1E2B" w:rsidRPr="00AA3F33">
        <w:rPr>
          <w:rFonts w:ascii="Arial" w:hAnsi="Arial" w:cs="Arial"/>
          <w:lang w:val="en-US"/>
        </w:rPr>
        <w:t xml:space="preserve"> for discrimination related to criminal offense of equality violation, harmonizing them with the </w:t>
      </w:r>
      <w:r w:rsidR="00C31BF6">
        <w:rPr>
          <w:rFonts w:ascii="Arial" w:hAnsi="Arial" w:cs="Arial"/>
          <w:lang w:val="en-US"/>
        </w:rPr>
        <w:t>C</w:t>
      </w:r>
      <w:r w:rsidR="009B1E2B" w:rsidRPr="00AA3F33">
        <w:rPr>
          <w:rFonts w:ascii="Arial" w:hAnsi="Arial" w:cs="Arial"/>
          <w:lang w:val="en-US"/>
        </w:rPr>
        <w:t xml:space="preserve">onstitutional bases and </w:t>
      </w:r>
      <w:r w:rsidR="00C31BF6">
        <w:rPr>
          <w:rFonts w:ascii="Arial" w:hAnsi="Arial" w:cs="Arial"/>
          <w:lang w:val="en-US"/>
        </w:rPr>
        <w:t>the grounds</w:t>
      </w:r>
      <w:r w:rsidR="009B1E2B" w:rsidRPr="00AA3F33">
        <w:rPr>
          <w:rFonts w:ascii="Arial" w:hAnsi="Arial" w:cs="Arial"/>
          <w:lang w:val="en-US"/>
        </w:rPr>
        <w:t xml:space="preserve"> defined in the Anti-Discrimination Act</w:t>
      </w:r>
      <w:r w:rsidR="002E0DAD" w:rsidRPr="00AA3F33">
        <w:rPr>
          <w:rFonts w:ascii="Arial" w:hAnsi="Arial" w:cs="Arial"/>
          <w:lang w:val="en-US"/>
        </w:rPr>
        <w:t xml:space="preserve">. </w:t>
      </w:r>
      <w:r w:rsidR="00AA3F33" w:rsidRPr="00AA3F33">
        <w:rPr>
          <w:rFonts w:ascii="Arial" w:hAnsi="Arial" w:cs="Arial"/>
          <w:lang w:val="en-US"/>
        </w:rPr>
        <w:t xml:space="preserve">Thus the hate crime definition has been aligned with the </w:t>
      </w:r>
      <w:r w:rsidR="00AA3F33" w:rsidRPr="00AA3F33">
        <w:rPr>
          <w:rFonts w:ascii="Arial" w:hAnsi="Arial" w:cs="Arial"/>
          <w:i/>
          <w:lang w:val="en-US"/>
        </w:rPr>
        <w:t xml:space="preserve">Council Framework Decision </w:t>
      </w:r>
      <w:r w:rsidR="00B744FB" w:rsidRPr="00AA3F33">
        <w:rPr>
          <w:rFonts w:ascii="Arial" w:hAnsi="Arial" w:cs="Arial"/>
          <w:i/>
          <w:iCs/>
          <w:lang w:val="en-US"/>
        </w:rPr>
        <w:t>2008/913/</w:t>
      </w:r>
      <w:proofErr w:type="spellStart"/>
      <w:r w:rsidR="00B744FB" w:rsidRPr="00AA3F33">
        <w:rPr>
          <w:rFonts w:ascii="Arial" w:hAnsi="Arial" w:cs="Arial"/>
          <w:i/>
          <w:iCs/>
          <w:lang w:val="en-US"/>
        </w:rPr>
        <w:t>JHA</w:t>
      </w:r>
      <w:proofErr w:type="spellEnd"/>
      <w:r w:rsidR="00B744FB" w:rsidRPr="00AA3F33">
        <w:rPr>
          <w:rFonts w:ascii="Arial" w:hAnsi="Arial" w:cs="Arial"/>
          <w:i/>
          <w:iCs/>
          <w:lang w:val="en-US"/>
        </w:rPr>
        <w:t xml:space="preserve"> o</w:t>
      </w:r>
      <w:r w:rsidR="00AA3F33" w:rsidRPr="00AA3F33">
        <w:rPr>
          <w:rFonts w:ascii="Arial" w:hAnsi="Arial" w:cs="Arial"/>
          <w:i/>
          <w:iCs/>
          <w:lang w:val="en-US"/>
        </w:rPr>
        <w:t>f</w:t>
      </w:r>
      <w:r w:rsidR="00B744FB" w:rsidRPr="00AA3F33">
        <w:rPr>
          <w:rFonts w:ascii="Arial" w:hAnsi="Arial" w:cs="Arial"/>
          <w:i/>
          <w:iCs/>
          <w:lang w:val="en-US"/>
        </w:rPr>
        <w:t xml:space="preserve"> 28</w:t>
      </w:r>
      <w:r w:rsidR="00AA3F33" w:rsidRPr="00AA3F33">
        <w:rPr>
          <w:rFonts w:ascii="Arial" w:hAnsi="Arial" w:cs="Arial"/>
          <w:i/>
          <w:iCs/>
          <w:lang w:val="en-US"/>
        </w:rPr>
        <w:t xml:space="preserve"> November </w:t>
      </w:r>
      <w:r w:rsidR="00B744FB" w:rsidRPr="00AA3F33">
        <w:rPr>
          <w:rFonts w:ascii="Arial" w:hAnsi="Arial" w:cs="Arial"/>
          <w:i/>
          <w:iCs/>
          <w:lang w:val="en-US"/>
        </w:rPr>
        <w:t>2008</w:t>
      </w:r>
      <w:r w:rsidR="00AA3F33" w:rsidRPr="00AA3F33">
        <w:rPr>
          <w:rFonts w:ascii="Arial" w:hAnsi="Arial" w:cs="Arial"/>
          <w:i/>
          <w:iCs/>
          <w:lang w:val="en-US"/>
        </w:rPr>
        <w:t xml:space="preserve"> on combating certain forms and expressions of racism and xenophobia by means of criminal law.</w:t>
      </w:r>
    </w:p>
    <w:p w:rsidR="00B744FB" w:rsidRPr="007548FD" w:rsidRDefault="00B744FB" w:rsidP="00A232F0">
      <w:pPr>
        <w:spacing w:line="276" w:lineRule="auto"/>
        <w:jc w:val="both"/>
        <w:rPr>
          <w:rFonts w:ascii="Arial" w:hAnsi="Arial" w:cs="Arial"/>
        </w:rPr>
      </w:pPr>
    </w:p>
    <w:p w:rsidR="00A232F0" w:rsidRPr="007D2FD0" w:rsidRDefault="00AA3F33" w:rsidP="00A232F0">
      <w:pPr>
        <w:spacing w:line="276" w:lineRule="auto"/>
        <w:jc w:val="both"/>
        <w:rPr>
          <w:rFonts w:ascii="Arial" w:hAnsi="Arial" w:cs="Arial"/>
          <w:lang w:val="en-US"/>
        </w:rPr>
      </w:pPr>
      <w:r w:rsidRPr="007D2FD0">
        <w:rPr>
          <w:rFonts w:ascii="Arial" w:hAnsi="Arial" w:cs="Arial"/>
          <w:lang w:val="en-US"/>
        </w:rPr>
        <w:t>In 2011 the Government of the Republic of Croatia adopted a Standard Operating Procedure in case of hate crimes</w:t>
      </w:r>
      <w:r w:rsidR="00A232F0" w:rsidRPr="007D2FD0">
        <w:rPr>
          <w:rFonts w:ascii="Arial" w:hAnsi="Arial" w:cs="Arial"/>
          <w:lang w:val="en-US"/>
        </w:rPr>
        <w:t xml:space="preserve">, </w:t>
      </w:r>
      <w:r w:rsidRPr="007D2FD0">
        <w:rPr>
          <w:rFonts w:ascii="Arial" w:hAnsi="Arial" w:cs="Arial"/>
          <w:lang w:val="en-US"/>
        </w:rPr>
        <w:t>defining frameworks for an effective work of the bodies involved in detecting, processing and monitoring of results of hate crime proceedings, as well as for purposes of</w:t>
      </w:r>
      <w:r w:rsidR="007D2FD0">
        <w:rPr>
          <w:rFonts w:ascii="Arial" w:hAnsi="Arial" w:cs="Arial"/>
          <w:lang w:val="en-US"/>
        </w:rPr>
        <w:t xml:space="preserve"> advancement of hate crime monitoring system.</w:t>
      </w:r>
    </w:p>
    <w:p w:rsidR="00A232F0" w:rsidRDefault="00A232F0" w:rsidP="00A232F0">
      <w:pPr>
        <w:spacing w:line="276" w:lineRule="auto"/>
        <w:jc w:val="both"/>
        <w:rPr>
          <w:rFonts w:ascii="Arial" w:hAnsi="Arial" w:cs="Arial"/>
        </w:rPr>
      </w:pPr>
    </w:p>
    <w:p w:rsidR="00A232F0" w:rsidRPr="005C46B4" w:rsidRDefault="007D2FD0" w:rsidP="00A232F0">
      <w:pPr>
        <w:spacing w:line="276" w:lineRule="auto"/>
        <w:jc w:val="both"/>
        <w:rPr>
          <w:rFonts w:ascii="Arial" w:hAnsi="Arial" w:cs="Arial"/>
          <w:lang w:val="en-US"/>
        </w:rPr>
      </w:pPr>
      <w:r w:rsidRPr="005C46B4">
        <w:rPr>
          <w:rFonts w:ascii="Arial" w:hAnsi="Arial" w:cs="Arial"/>
          <w:lang w:val="en-US"/>
        </w:rPr>
        <w:t xml:space="preserve">The SOP especially defines police role and procedure from learning about the hate-motivated event to the moment of </w:t>
      </w:r>
      <w:r w:rsidR="005C46B4" w:rsidRPr="005C46B4">
        <w:rPr>
          <w:rFonts w:ascii="Arial" w:hAnsi="Arial" w:cs="Arial"/>
          <w:lang w:val="en-US"/>
        </w:rPr>
        <w:t>filing of appropriate legal proceedings with competent state attorney's offices or misdemeanor courts.</w:t>
      </w:r>
      <w:r w:rsidR="005C46B4">
        <w:rPr>
          <w:rFonts w:ascii="Arial" w:hAnsi="Arial" w:cs="Arial"/>
          <w:lang w:val="en-US"/>
        </w:rPr>
        <w:t xml:space="preserve"> The SOP also describes the procedure of recording, reporting and </w:t>
      </w:r>
      <w:r w:rsidR="00C31BF6">
        <w:rPr>
          <w:rFonts w:ascii="Arial" w:hAnsi="Arial" w:cs="Arial"/>
          <w:lang w:val="en-US"/>
        </w:rPr>
        <w:t>monitoring of results related to</w:t>
      </w:r>
      <w:r w:rsidR="00616494">
        <w:rPr>
          <w:rFonts w:ascii="Arial" w:hAnsi="Arial" w:cs="Arial"/>
          <w:lang w:val="en-US"/>
        </w:rPr>
        <w:t xml:space="preserve"> all bodies involved in hate crime procedure.</w:t>
      </w:r>
    </w:p>
    <w:p w:rsidR="00A232F0" w:rsidRDefault="00A232F0" w:rsidP="00A232F0">
      <w:pPr>
        <w:spacing w:line="276" w:lineRule="auto"/>
        <w:jc w:val="both"/>
        <w:rPr>
          <w:rFonts w:ascii="Arial" w:hAnsi="Arial" w:cs="Arial"/>
        </w:rPr>
      </w:pPr>
    </w:p>
    <w:p w:rsidR="00A232F0" w:rsidRPr="00267632" w:rsidRDefault="00616494" w:rsidP="00A232F0">
      <w:pPr>
        <w:spacing w:line="276" w:lineRule="auto"/>
        <w:jc w:val="both"/>
        <w:rPr>
          <w:rFonts w:ascii="Arial" w:hAnsi="Arial" w:cs="Arial"/>
          <w:lang w:val="en-US"/>
        </w:rPr>
      </w:pPr>
      <w:r w:rsidRPr="00267632">
        <w:rPr>
          <w:rFonts w:ascii="Arial" w:hAnsi="Arial" w:cs="Arial"/>
          <w:lang w:val="en-US"/>
        </w:rPr>
        <w:t xml:space="preserve">Regarding numbers of hate motivated criminal offenses in the past </w:t>
      </w:r>
      <w:proofErr w:type="gramStart"/>
      <w:r w:rsidRPr="00267632">
        <w:rPr>
          <w:rFonts w:ascii="Arial" w:hAnsi="Arial" w:cs="Arial"/>
          <w:lang w:val="en-US"/>
        </w:rPr>
        <w:t>period,</w:t>
      </w:r>
      <w:proofErr w:type="gramEnd"/>
      <w:r w:rsidRPr="00267632">
        <w:rPr>
          <w:rFonts w:ascii="Arial" w:hAnsi="Arial" w:cs="Arial"/>
          <w:lang w:val="en-US"/>
        </w:rPr>
        <w:t xml:space="preserve"> the police recorded 32 hate motivated criminal offenses in 2009</w:t>
      </w:r>
      <w:r w:rsidR="00C31BF6">
        <w:rPr>
          <w:rFonts w:ascii="Arial" w:hAnsi="Arial" w:cs="Arial"/>
          <w:lang w:val="en-US"/>
        </w:rPr>
        <w:t>;</w:t>
      </w:r>
      <w:r w:rsidR="00A232F0" w:rsidRPr="00267632">
        <w:rPr>
          <w:rFonts w:ascii="Arial" w:hAnsi="Arial" w:cs="Arial"/>
          <w:lang w:val="en-US"/>
        </w:rPr>
        <w:t xml:space="preserve"> 34 </w:t>
      </w:r>
      <w:r w:rsidRPr="00267632">
        <w:rPr>
          <w:rFonts w:ascii="Arial" w:hAnsi="Arial" w:cs="Arial"/>
          <w:lang w:val="en-US"/>
        </w:rPr>
        <w:t>such crimes in 2010</w:t>
      </w:r>
      <w:r w:rsidR="00C31BF6">
        <w:rPr>
          <w:rFonts w:ascii="Arial" w:hAnsi="Arial" w:cs="Arial"/>
          <w:lang w:val="en-US"/>
        </w:rPr>
        <w:t>;</w:t>
      </w:r>
      <w:r w:rsidRPr="00267632">
        <w:rPr>
          <w:rFonts w:ascii="Arial" w:hAnsi="Arial" w:cs="Arial"/>
          <w:lang w:val="en-US"/>
        </w:rPr>
        <w:t xml:space="preserve"> 57 in 2011</w:t>
      </w:r>
      <w:r w:rsidR="00C31BF6">
        <w:rPr>
          <w:rFonts w:ascii="Arial" w:hAnsi="Arial" w:cs="Arial"/>
          <w:lang w:val="en-US"/>
        </w:rPr>
        <w:t>; 26 hate crime incidents</w:t>
      </w:r>
      <w:r w:rsidRPr="00267632">
        <w:rPr>
          <w:rFonts w:ascii="Arial" w:hAnsi="Arial" w:cs="Arial"/>
          <w:lang w:val="en-US"/>
        </w:rPr>
        <w:t xml:space="preserve"> in </w:t>
      </w:r>
      <w:r w:rsidR="00A232F0" w:rsidRPr="00267632">
        <w:rPr>
          <w:rFonts w:ascii="Arial" w:hAnsi="Arial" w:cs="Arial"/>
          <w:lang w:val="en-US"/>
        </w:rPr>
        <w:t xml:space="preserve">2012. </w:t>
      </w:r>
      <w:r w:rsidRPr="00267632">
        <w:rPr>
          <w:rFonts w:ascii="Arial" w:hAnsi="Arial" w:cs="Arial"/>
          <w:lang w:val="en-US"/>
        </w:rPr>
        <w:t>The year 2013 saw 26 hate motivated criminal offenses, and</w:t>
      </w:r>
      <w:r w:rsidR="00A232F0" w:rsidRPr="00267632">
        <w:rPr>
          <w:rFonts w:ascii="Arial" w:hAnsi="Arial" w:cs="Arial"/>
          <w:lang w:val="en-US"/>
        </w:rPr>
        <w:t xml:space="preserve"> 2014</w:t>
      </w:r>
      <w:r w:rsidRPr="00267632">
        <w:rPr>
          <w:rFonts w:ascii="Arial" w:hAnsi="Arial" w:cs="Arial"/>
          <w:lang w:val="en-US"/>
        </w:rPr>
        <w:t xml:space="preserve"> saw</w:t>
      </w:r>
      <w:r w:rsidR="00A232F0" w:rsidRPr="00267632">
        <w:rPr>
          <w:rFonts w:ascii="Arial" w:hAnsi="Arial" w:cs="Arial"/>
          <w:lang w:val="en-US"/>
        </w:rPr>
        <w:t xml:space="preserve"> 14 </w:t>
      </w:r>
      <w:r w:rsidRPr="00267632">
        <w:rPr>
          <w:rFonts w:ascii="Arial" w:hAnsi="Arial" w:cs="Arial"/>
          <w:lang w:val="en-US"/>
        </w:rPr>
        <w:t>such crimes</w:t>
      </w:r>
      <w:r w:rsidR="00A232F0" w:rsidRPr="00267632">
        <w:rPr>
          <w:rFonts w:ascii="Arial" w:hAnsi="Arial" w:cs="Arial"/>
          <w:lang w:val="en-US"/>
        </w:rPr>
        <w:t xml:space="preserve">. </w:t>
      </w:r>
      <w:r w:rsidRPr="00267632">
        <w:rPr>
          <w:rFonts w:ascii="Arial" w:hAnsi="Arial" w:cs="Arial"/>
          <w:lang w:val="en-US"/>
        </w:rPr>
        <w:t>Here is to note a high per</w:t>
      </w:r>
      <w:r w:rsidR="00267632" w:rsidRPr="00267632">
        <w:rPr>
          <w:rFonts w:ascii="Arial" w:hAnsi="Arial" w:cs="Arial"/>
          <w:lang w:val="en-US"/>
        </w:rPr>
        <w:t xml:space="preserve">centage of resolved crime cases: 90.62% of hate crimes were successfully resolved in 2009; </w:t>
      </w:r>
      <w:r w:rsidR="00A232F0" w:rsidRPr="00267632">
        <w:rPr>
          <w:rFonts w:ascii="Arial" w:hAnsi="Arial" w:cs="Arial"/>
          <w:lang w:val="en-US"/>
        </w:rPr>
        <w:t>85</w:t>
      </w:r>
      <w:r w:rsidR="00267632" w:rsidRPr="00267632">
        <w:rPr>
          <w:rFonts w:ascii="Arial" w:hAnsi="Arial" w:cs="Arial"/>
          <w:lang w:val="en-US"/>
        </w:rPr>
        <w:t>.</w:t>
      </w:r>
      <w:r w:rsidR="00A232F0" w:rsidRPr="00267632">
        <w:rPr>
          <w:rFonts w:ascii="Arial" w:hAnsi="Arial" w:cs="Arial"/>
          <w:lang w:val="en-US"/>
        </w:rPr>
        <w:t>29%</w:t>
      </w:r>
      <w:r w:rsidR="00267632" w:rsidRPr="00267632">
        <w:rPr>
          <w:rFonts w:ascii="Arial" w:hAnsi="Arial" w:cs="Arial"/>
          <w:lang w:val="en-US"/>
        </w:rPr>
        <w:t xml:space="preserve"> in 2010;</w:t>
      </w:r>
      <w:r w:rsidR="00A232F0" w:rsidRPr="00267632">
        <w:rPr>
          <w:rFonts w:ascii="Arial" w:hAnsi="Arial" w:cs="Arial"/>
          <w:lang w:val="en-US"/>
        </w:rPr>
        <w:t xml:space="preserve"> </w:t>
      </w:r>
      <w:r w:rsidR="00267632" w:rsidRPr="00267632">
        <w:rPr>
          <w:rFonts w:ascii="Arial" w:hAnsi="Arial" w:cs="Arial"/>
          <w:lang w:val="en-US"/>
        </w:rPr>
        <w:t>96.49% in</w:t>
      </w:r>
      <w:r w:rsidR="00A232F0" w:rsidRPr="00267632">
        <w:rPr>
          <w:rFonts w:ascii="Arial" w:hAnsi="Arial" w:cs="Arial"/>
          <w:lang w:val="en-US"/>
        </w:rPr>
        <w:t xml:space="preserve"> 2011</w:t>
      </w:r>
      <w:r w:rsidR="00267632" w:rsidRPr="00267632">
        <w:rPr>
          <w:rFonts w:ascii="Arial" w:hAnsi="Arial" w:cs="Arial"/>
          <w:lang w:val="en-US"/>
        </w:rPr>
        <w:t>; 69.23% in</w:t>
      </w:r>
      <w:r w:rsidR="00A232F0" w:rsidRPr="00267632">
        <w:rPr>
          <w:rFonts w:ascii="Arial" w:hAnsi="Arial" w:cs="Arial"/>
          <w:lang w:val="en-US"/>
        </w:rPr>
        <w:t xml:space="preserve"> 2012</w:t>
      </w:r>
      <w:r w:rsidR="00267632" w:rsidRPr="00267632">
        <w:rPr>
          <w:rFonts w:ascii="Arial" w:hAnsi="Arial" w:cs="Arial"/>
          <w:lang w:val="en-US"/>
        </w:rPr>
        <w:t xml:space="preserve">; 85.71% in </w:t>
      </w:r>
      <w:r w:rsidR="00A232F0" w:rsidRPr="00267632">
        <w:rPr>
          <w:rFonts w:ascii="Arial" w:hAnsi="Arial" w:cs="Arial"/>
          <w:lang w:val="en-US"/>
        </w:rPr>
        <w:t>2013</w:t>
      </w:r>
      <w:r w:rsidR="00267632" w:rsidRPr="00267632">
        <w:rPr>
          <w:rFonts w:ascii="Arial" w:hAnsi="Arial" w:cs="Arial"/>
          <w:lang w:val="en-US"/>
        </w:rPr>
        <w:t xml:space="preserve"> and 78.57% in 2014.</w:t>
      </w:r>
    </w:p>
    <w:p w:rsidR="00E57664" w:rsidRDefault="00E57664"/>
    <w:p w:rsidR="00394032" w:rsidRPr="00267632" w:rsidRDefault="00267632" w:rsidP="007D2FD0">
      <w:pPr>
        <w:jc w:val="both"/>
        <w:rPr>
          <w:rFonts w:ascii="Arial" w:hAnsi="Arial" w:cs="Arial"/>
          <w:bCs/>
          <w:lang w:val="en-US" w:eastAsia="hr-HR"/>
        </w:rPr>
      </w:pPr>
      <w:r w:rsidRPr="00267632">
        <w:rPr>
          <w:rFonts w:ascii="Arial" w:hAnsi="Arial" w:cs="Arial"/>
          <w:lang w:val="en-US"/>
        </w:rPr>
        <w:lastRenderedPageBreak/>
        <w:t>Furthermore,</w:t>
      </w:r>
      <w:r w:rsidR="00394032" w:rsidRPr="00267632">
        <w:rPr>
          <w:rFonts w:ascii="Arial" w:hAnsi="Arial" w:cs="Arial"/>
          <w:lang w:val="en-US"/>
        </w:rPr>
        <w:t xml:space="preserve"> </w:t>
      </w:r>
      <w:r w:rsidRPr="00267632">
        <w:rPr>
          <w:rFonts w:ascii="Arial" w:hAnsi="Arial" w:cs="Arial"/>
          <w:lang w:val="en-US"/>
        </w:rPr>
        <w:t xml:space="preserve">concerning the remark of a scarce police training related to hate crime recognition, as well as training </w:t>
      </w:r>
      <w:r w:rsidR="00C31BF6">
        <w:rPr>
          <w:rFonts w:ascii="Arial" w:hAnsi="Arial" w:cs="Arial"/>
          <w:lang w:val="en-US"/>
        </w:rPr>
        <w:t>on</w:t>
      </w:r>
      <w:r w:rsidRPr="00267632">
        <w:rPr>
          <w:rFonts w:ascii="Arial" w:hAnsi="Arial" w:cs="Arial"/>
          <w:lang w:val="en-US"/>
        </w:rPr>
        <w:t xml:space="preserve"> avoiding secondary victimization</w:t>
      </w:r>
      <w:r>
        <w:rPr>
          <w:rFonts w:ascii="Arial" w:hAnsi="Arial" w:cs="Arial"/>
          <w:lang w:val="en-US"/>
        </w:rPr>
        <w:t>, we should note that systematic and continu</w:t>
      </w:r>
      <w:r w:rsidR="00C31BF6">
        <w:rPr>
          <w:rFonts w:ascii="Arial" w:hAnsi="Arial" w:cs="Arial"/>
          <w:lang w:val="en-US"/>
        </w:rPr>
        <w:t>ous</w:t>
      </w:r>
      <w:r>
        <w:rPr>
          <w:rFonts w:ascii="Arial" w:hAnsi="Arial" w:cs="Arial"/>
          <w:lang w:val="en-US"/>
        </w:rPr>
        <w:t xml:space="preserve"> police training in the area of the fight against hate crimes has been conducted since 2006, resulting in 8584 police officers having been trained through different educational programs</w:t>
      </w:r>
      <w:r w:rsidR="00394032" w:rsidRPr="00267632">
        <w:rPr>
          <w:rFonts w:ascii="Arial" w:hAnsi="Arial" w:cs="Arial"/>
          <w:bCs/>
          <w:lang w:val="en-US" w:eastAsia="hr-HR"/>
        </w:rPr>
        <w:t>.</w:t>
      </w:r>
    </w:p>
    <w:p w:rsidR="00394032" w:rsidRDefault="00394032" w:rsidP="00267632">
      <w:pPr>
        <w:jc w:val="both"/>
        <w:rPr>
          <w:rFonts w:ascii="Arial" w:hAnsi="Arial" w:cs="Arial"/>
          <w:bCs/>
          <w:lang w:eastAsia="hr-HR"/>
        </w:rPr>
      </w:pPr>
    </w:p>
    <w:p w:rsidR="00394032" w:rsidRPr="00EC043A" w:rsidRDefault="00EC043A" w:rsidP="007D2FD0">
      <w:pPr>
        <w:jc w:val="both"/>
        <w:rPr>
          <w:rFonts w:ascii="Arial" w:hAnsi="Arial" w:cs="Arial"/>
          <w:bCs/>
          <w:lang w:val="en-US" w:eastAsia="hr-HR"/>
        </w:rPr>
      </w:pPr>
      <w:r w:rsidRPr="00EC043A">
        <w:rPr>
          <w:rFonts w:ascii="Arial" w:hAnsi="Arial" w:cs="Arial"/>
          <w:bCs/>
          <w:lang w:val="en-US" w:eastAsia="hr-HR"/>
        </w:rPr>
        <w:t xml:space="preserve">In addition to </w:t>
      </w:r>
      <w:r w:rsidR="00C31BF6">
        <w:rPr>
          <w:rFonts w:ascii="Arial" w:hAnsi="Arial" w:cs="Arial"/>
          <w:bCs/>
          <w:lang w:val="en-US" w:eastAsia="hr-HR"/>
        </w:rPr>
        <w:t xml:space="preserve">these </w:t>
      </w:r>
      <w:r w:rsidRPr="00EC043A">
        <w:rPr>
          <w:rFonts w:ascii="Arial" w:hAnsi="Arial" w:cs="Arial"/>
          <w:bCs/>
          <w:lang w:val="en-US" w:eastAsia="hr-HR"/>
        </w:rPr>
        <w:t>police training programs related to hate crimes, also to be stressed is the cooperation with non-governmental organizations as well as aspects of international and regional cooperation</w:t>
      </w:r>
      <w:r w:rsidR="00C31BF6">
        <w:rPr>
          <w:rFonts w:ascii="Arial" w:hAnsi="Arial" w:cs="Arial"/>
          <w:bCs/>
          <w:lang w:val="en-US" w:eastAsia="hr-HR"/>
        </w:rPr>
        <w:t>,</w:t>
      </w:r>
      <w:r>
        <w:rPr>
          <w:rFonts w:ascii="Arial" w:hAnsi="Arial" w:cs="Arial"/>
          <w:bCs/>
          <w:lang w:val="en-US" w:eastAsia="hr-HR"/>
        </w:rPr>
        <w:t xml:space="preserve"> aiming not only at building capacities of police officers related to hate crimes but also to raising public awareness of</w:t>
      </w:r>
      <w:r w:rsidR="00FD79BB" w:rsidRPr="00EC043A">
        <w:rPr>
          <w:rFonts w:ascii="Arial" w:hAnsi="Arial" w:cs="Arial"/>
          <w:bCs/>
          <w:lang w:val="en-US" w:eastAsia="hr-HR"/>
        </w:rPr>
        <w:t xml:space="preserve"> </w:t>
      </w:r>
      <w:r>
        <w:rPr>
          <w:rFonts w:ascii="Arial" w:hAnsi="Arial" w:cs="Arial"/>
          <w:bCs/>
          <w:lang w:val="en-US" w:eastAsia="hr-HR"/>
        </w:rPr>
        <w:t>this issue thorough targeted public campaign.</w:t>
      </w:r>
    </w:p>
    <w:p w:rsidR="00394032" w:rsidRPr="00EC043A" w:rsidRDefault="00394032">
      <w:pPr>
        <w:rPr>
          <w:lang w:val="en-US"/>
        </w:rPr>
      </w:pPr>
    </w:p>
    <w:p w:rsidR="00FD79BB" w:rsidRPr="00B717E4" w:rsidRDefault="00EC043A" w:rsidP="00082DF8">
      <w:pPr>
        <w:jc w:val="both"/>
        <w:rPr>
          <w:rFonts w:ascii="Arial" w:hAnsi="Arial" w:cs="Arial"/>
          <w:lang w:val="en-US"/>
        </w:rPr>
      </w:pPr>
      <w:r w:rsidRPr="00B717E4">
        <w:rPr>
          <w:rFonts w:ascii="Arial" w:hAnsi="Arial" w:cs="Arial"/>
          <w:lang w:val="en-US"/>
        </w:rPr>
        <w:t xml:space="preserve">In this context we would like </w:t>
      </w:r>
      <w:r w:rsidR="00B717E4" w:rsidRPr="00B717E4">
        <w:rPr>
          <w:rFonts w:ascii="Arial" w:hAnsi="Arial" w:cs="Arial"/>
          <w:lang w:val="en-US"/>
        </w:rPr>
        <w:t xml:space="preserve">to </w:t>
      </w:r>
      <w:r w:rsidRPr="00B717E4">
        <w:rPr>
          <w:rFonts w:ascii="Arial" w:hAnsi="Arial" w:cs="Arial"/>
          <w:lang w:val="en-US"/>
        </w:rPr>
        <w:t xml:space="preserve">mention </w:t>
      </w:r>
      <w:r w:rsidR="00B717E4" w:rsidRPr="00B717E4">
        <w:rPr>
          <w:rFonts w:ascii="Arial" w:hAnsi="Arial" w:cs="Arial"/>
          <w:lang w:val="en-US"/>
        </w:rPr>
        <w:t xml:space="preserve">prevention </w:t>
      </w:r>
      <w:r w:rsidRPr="00B717E4">
        <w:rPr>
          <w:rFonts w:ascii="Arial" w:hAnsi="Arial" w:cs="Arial"/>
          <w:lang w:val="en-US"/>
        </w:rPr>
        <w:t>activ</w:t>
      </w:r>
      <w:r w:rsidR="00B717E4" w:rsidRPr="00B717E4">
        <w:rPr>
          <w:rFonts w:ascii="Arial" w:hAnsi="Arial" w:cs="Arial"/>
          <w:lang w:val="en-US"/>
        </w:rPr>
        <w:t>i</w:t>
      </w:r>
      <w:r w:rsidRPr="00B717E4">
        <w:rPr>
          <w:rFonts w:ascii="Arial" w:hAnsi="Arial" w:cs="Arial"/>
          <w:lang w:val="en-US"/>
        </w:rPr>
        <w:t xml:space="preserve">ties </w:t>
      </w:r>
      <w:r w:rsidR="00B717E4" w:rsidRPr="00B717E4">
        <w:rPr>
          <w:rFonts w:ascii="Arial" w:hAnsi="Arial" w:cs="Arial"/>
          <w:lang w:val="en-US"/>
        </w:rPr>
        <w:t>promoting tolerance and accep</w:t>
      </w:r>
      <w:r w:rsidR="00C31BF6">
        <w:rPr>
          <w:rFonts w:ascii="Arial" w:hAnsi="Arial" w:cs="Arial"/>
          <w:lang w:val="en-US"/>
        </w:rPr>
        <w:t xml:space="preserve">tance of differences in society such as the following </w:t>
      </w:r>
      <w:proofErr w:type="spellStart"/>
      <w:r w:rsidR="00C31BF6">
        <w:rPr>
          <w:rFonts w:ascii="Arial" w:hAnsi="Arial" w:cs="Arial"/>
          <w:lang w:val="en-US"/>
        </w:rPr>
        <w:t>porjects</w:t>
      </w:r>
      <w:proofErr w:type="spellEnd"/>
      <w:r w:rsidR="00B717E4" w:rsidRPr="00B717E4">
        <w:rPr>
          <w:rFonts w:ascii="Arial" w:hAnsi="Arial" w:cs="Arial"/>
          <w:lang w:val="en-US"/>
        </w:rPr>
        <w:t xml:space="preserve">: I </w:t>
      </w:r>
      <w:r w:rsidR="00B717E4">
        <w:rPr>
          <w:rFonts w:ascii="Arial" w:hAnsi="Arial" w:cs="Arial"/>
          <w:lang w:val="en-US"/>
        </w:rPr>
        <w:t>L</w:t>
      </w:r>
      <w:r w:rsidR="00B717E4" w:rsidRPr="00B717E4">
        <w:rPr>
          <w:rFonts w:ascii="Arial" w:hAnsi="Arial" w:cs="Arial"/>
          <w:lang w:val="en-US"/>
        </w:rPr>
        <w:t>ive a Life Free of Violence</w:t>
      </w:r>
      <w:r w:rsidR="00B717E4">
        <w:rPr>
          <w:rFonts w:ascii="Arial" w:hAnsi="Arial" w:cs="Arial"/>
          <w:lang w:val="en-US"/>
        </w:rPr>
        <w:t xml:space="preserve"> (</w:t>
      </w:r>
      <w:r w:rsidR="00B717E4">
        <w:rPr>
          <w:rFonts w:ascii="Arial" w:hAnsi="Arial" w:cs="Arial"/>
          <w:i/>
        </w:rPr>
        <w:t>Živim život bez nasilja)</w:t>
      </w:r>
      <w:r w:rsidR="00B717E4" w:rsidRPr="00B717E4">
        <w:rPr>
          <w:rFonts w:ascii="Arial" w:hAnsi="Arial" w:cs="Arial"/>
          <w:lang w:val="en-US"/>
        </w:rPr>
        <w:t xml:space="preserve">; </w:t>
      </w:r>
      <w:r w:rsidR="00B717E4">
        <w:rPr>
          <w:rFonts w:ascii="Arial" w:hAnsi="Arial" w:cs="Arial"/>
          <w:lang w:val="en-US"/>
        </w:rPr>
        <w:t>Together We Can Do More (</w:t>
      </w:r>
      <w:proofErr w:type="spellStart"/>
      <w:r w:rsidR="004154E2" w:rsidRPr="00B717E4">
        <w:rPr>
          <w:rFonts w:ascii="Arial" w:hAnsi="Arial" w:cs="Arial"/>
          <w:i/>
          <w:lang w:val="en-US"/>
        </w:rPr>
        <w:t>Zajedno</w:t>
      </w:r>
      <w:proofErr w:type="spellEnd"/>
      <w:r w:rsidR="004154E2" w:rsidRPr="00B717E4">
        <w:rPr>
          <w:rFonts w:ascii="Arial" w:hAnsi="Arial" w:cs="Arial"/>
          <w:i/>
          <w:lang w:val="en-US"/>
        </w:rPr>
        <w:t xml:space="preserve"> </w:t>
      </w:r>
      <w:proofErr w:type="spellStart"/>
      <w:r w:rsidR="004154E2" w:rsidRPr="00B717E4">
        <w:rPr>
          <w:rFonts w:ascii="Arial" w:hAnsi="Arial" w:cs="Arial"/>
          <w:i/>
          <w:lang w:val="en-US"/>
        </w:rPr>
        <w:t>više</w:t>
      </w:r>
      <w:proofErr w:type="spellEnd"/>
      <w:r w:rsidR="004154E2" w:rsidRPr="00B717E4">
        <w:rPr>
          <w:rFonts w:ascii="Arial" w:hAnsi="Arial" w:cs="Arial"/>
          <w:i/>
          <w:lang w:val="en-US"/>
        </w:rPr>
        <w:t xml:space="preserve"> </w:t>
      </w:r>
      <w:proofErr w:type="spellStart"/>
      <w:r w:rsidR="004154E2" w:rsidRPr="00B717E4">
        <w:rPr>
          <w:rFonts w:ascii="Arial" w:hAnsi="Arial" w:cs="Arial"/>
          <w:i/>
          <w:lang w:val="en-US"/>
        </w:rPr>
        <w:t>možemo</w:t>
      </w:r>
      <w:proofErr w:type="spellEnd"/>
      <w:r w:rsidR="00B717E4">
        <w:rPr>
          <w:rFonts w:ascii="Arial" w:hAnsi="Arial" w:cs="Arial"/>
          <w:i/>
          <w:lang w:val="en-US"/>
        </w:rPr>
        <w:t xml:space="preserve">); </w:t>
      </w:r>
      <w:r w:rsidR="00B717E4" w:rsidRPr="008C07D9">
        <w:rPr>
          <w:rFonts w:ascii="Arial" w:hAnsi="Arial" w:cs="Arial"/>
          <w:lang w:val="en-US"/>
        </w:rPr>
        <w:t>I Can If I Want</w:t>
      </w:r>
      <w:r w:rsidR="008C07D9" w:rsidRPr="008C07D9">
        <w:rPr>
          <w:rFonts w:ascii="Arial" w:hAnsi="Arial" w:cs="Arial"/>
          <w:lang w:val="en-US"/>
        </w:rPr>
        <w:t xml:space="preserve"> </w:t>
      </w:r>
      <w:r w:rsidR="008C07D9">
        <w:rPr>
          <w:rFonts w:ascii="Arial" w:hAnsi="Arial" w:cs="Arial"/>
          <w:lang w:val="en-US"/>
        </w:rPr>
        <w:t xml:space="preserve">To </w:t>
      </w:r>
      <w:r w:rsidR="008C07D9" w:rsidRPr="008C07D9">
        <w:rPr>
          <w:rFonts w:ascii="Arial" w:hAnsi="Arial" w:cs="Arial"/>
          <w:lang w:val="en-US"/>
        </w:rPr>
        <w:t>1</w:t>
      </w:r>
      <w:r w:rsidR="00B717E4">
        <w:rPr>
          <w:rFonts w:ascii="Arial" w:hAnsi="Arial" w:cs="Arial"/>
          <w:i/>
          <w:lang w:val="en-US"/>
        </w:rPr>
        <w:t xml:space="preserve"> </w:t>
      </w:r>
      <w:r w:rsidR="008C07D9">
        <w:rPr>
          <w:rFonts w:ascii="Arial" w:hAnsi="Arial" w:cs="Arial"/>
          <w:i/>
          <w:lang w:val="en-US"/>
        </w:rPr>
        <w:t>(</w:t>
      </w:r>
      <w:proofErr w:type="spellStart"/>
      <w:r w:rsidR="004154E2" w:rsidRPr="00B717E4">
        <w:rPr>
          <w:rFonts w:ascii="Arial" w:hAnsi="Arial" w:cs="Arial"/>
          <w:i/>
          <w:lang w:val="en-US"/>
        </w:rPr>
        <w:t>Mogu</w:t>
      </w:r>
      <w:proofErr w:type="spellEnd"/>
      <w:r w:rsidR="004154E2" w:rsidRPr="00B717E4">
        <w:rPr>
          <w:rFonts w:ascii="Arial" w:hAnsi="Arial" w:cs="Arial"/>
          <w:i/>
          <w:lang w:val="en-US"/>
        </w:rPr>
        <w:t xml:space="preserve"> </w:t>
      </w:r>
      <w:proofErr w:type="spellStart"/>
      <w:r w:rsidR="004154E2" w:rsidRPr="00B717E4">
        <w:rPr>
          <w:rFonts w:ascii="Arial" w:hAnsi="Arial" w:cs="Arial"/>
          <w:i/>
          <w:lang w:val="en-US"/>
        </w:rPr>
        <w:t>ako</w:t>
      </w:r>
      <w:proofErr w:type="spellEnd"/>
      <w:r w:rsidR="004154E2" w:rsidRPr="00B717E4">
        <w:rPr>
          <w:rFonts w:ascii="Arial" w:hAnsi="Arial" w:cs="Arial"/>
          <w:i/>
          <w:lang w:val="en-US"/>
        </w:rPr>
        <w:t xml:space="preserve"> </w:t>
      </w:r>
      <w:proofErr w:type="spellStart"/>
      <w:r w:rsidR="004154E2" w:rsidRPr="00B717E4">
        <w:rPr>
          <w:rFonts w:ascii="Arial" w:hAnsi="Arial" w:cs="Arial"/>
          <w:i/>
          <w:lang w:val="en-US"/>
        </w:rPr>
        <w:t>hoću</w:t>
      </w:r>
      <w:proofErr w:type="spellEnd"/>
      <w:r w:rsidR="004154E2" w:rsidRPr="00B717E4">
        <w:rPr>
          <w:rFonts w:ascii="Arial" w:hAnsi="Arial" w:cs="Arial"/>
          <w:i/>
          <w:lang w:val="en-US"/>
        </w:rPr>
        <w:t xml:space="preserve"> 1</w:t>
      </w:r>
      <w:r w:rsidR="008C07D9">
        <w:rPr>
          <w:rFonts w:ascii="Arial" w:hAnsi="Arial" w:cs="Arial"/>
          <w:i/>
          <w:lang w:val="en-US"/>
        </w:rPr>
        <w:t>);</w:t>
      </w:r>
      <w:r w:rsidR="004154E2" w:rsidRPr="00B717E4">
        <w:rPr>
          <w:rFonts w:ascii="Arial" w:hAnsi="Arial" w:cs="Arial"/>
          <w:i/>
          <w:lang w:val="en-US"/>
        </w:rPr>
        <w:t xml:space="preserve"> </w:t>
      </w:r>
      <w:r w:rsidR="008C07D9" w:rsidRPr="008C07D9">
        <w:rPr>
          <w:rFonts w:ascii="Arial" w:hAnsi="Arial" w:cs="Arial"/>
          <w:lang w:val="en-US"/>
        </w:rPr>
        <w:t xml:space="preserve">I Can If I Want </w:t>
      </w:r>
      <w:r w:rsidR="008C07D9">
        <w:rPr>
          <w:rFonts w:ascii="Arial" w:hAnsi="Arial" w:cs="Arial"/>
          <w:lang w:val="en-US"/>
        </w:rPr>
        <w:t>To 2</w:t>
      </w:r>
      <w:r w:rsidR="008C07D9">
        <w:rPr>
          <w:rFonts w:ascii="Arial" w:hAnsi="Arial" w:cs="Arial"/>
          <w:i/>
          <w:lang w:val="en-US"/>
        </w:rPr>
        <w:t xml:space="preserve"> (</w:t>
      </w:r>
      <w:proofErr w:type="spellStart"/>
      <w:r w:rsidR="004154E2" w:rsidRPr="00B717E4">
        <w:rPr>
          <w:rFonts w:ascii="Arial" w:hAnsi="Arial" w:cs="Arial"/>
          <w:i/>
          <w:lang w:val="en-US"/>
        </w:rPr>
        <w:t>Mogu</w:t>
      </w:r>
      <w:proofErr w:type="spellEnd"/>
      <w:r w:rsidR="004154E2" w:rsidRPr="00B717E4">
        <w:rPr>
          <w:rFonts w:ascii="Arial" w:hAnsi="Arial" w:cs="Arial"/>
          <w:i/>
          <w:lang w:val="en-US"/>
        </w:rPr>
        <w:t xml:space="preserve"> </w:t>
      </w:r>
      <w:proofErr w:type="spellStart"/>
      <w:r w:rsidR="004154E2" w:rsidRPr="00B717E4">
        <w:rPr>
          <w:rFonts w:ascii="Arial" w:hAnsi="Arial" w:cs="Arial"/>
          <w:i/>
          <w:lang w:val="en-US"/>
        </w:rPr>
        <w:t>ako</w:t>
      </w:r>
      <w:proofErr w:type="spellEnd"/>
      <w:r w:rsidR="004154E2" w:rsidRPr="00B717E4">
        <w:rPr>
          <w:rFonts w:ascii="Arial" w:hAnsi="Arial" w:cs="Arial"/>
          <w:i/>
          <w:lang w:val="en-US"/>
        </w:rPr>
        <w:t xml:space="preserve"> </w:t>
      </w:r>
      <w:proofErr w:type="spellStart"/>
      <w:r w:rsidR="004154E2" w:rsidRPr="00B717E4">
        <w:rPr>
          <w:rFonts w:ascii="Arial" w:hAnsi="Arial" w:cs="Arial"/>
          <w:i/>
          <w:lang w:val="en-US"/>
        </w:rPr>
        <w:t>hoću</w:t>
      </w:r>
      <w:proofErr w:type="spellEnd"/>
      <w:r w:rsidR="004154E2" w:rsidRPr="00B717E4">
        <w:rPr>
          <w:rFonts w:ascii="Arial" w:hAnsi="Arial" w:cs="Arial"/>
          <w:i/>
          <w:lang w:val="en-US"/>
        </w:rPr>
        <w:t xml:space="preserve"> 2</w:t>
      </w:r>
      <w:r w:rsidR="008C07D9">
        <w:rPr>
          <w:rFonts w:ascii="Arial" w:hAnsi="Arial" w:cs="Arial"/>
          <w:i/>
          <w:lang w:val="en-US"/>
        </w:rPr>
        <w:t xml:space="preserve">); </w:t>
      </w:r>
      <w:r w:rsidR="00C31BF6">
        <w:rPr>
          <w:rFonts w:ascii="Arial" w:hAnsi="Arial" w:cs="Arial"/>
          <w:lang w:val="en-US"/>
        </w:rPr>
        <w:t>No, Because No</w:t>
      </w:r>
      <w:r w:rsidR="008C07D9">
        <w:rPr>
          <w:rFonts w:ascii="Arial" w:hAnsi="Arial" w:cs="Arial"/>
          <w:lang w:val="en-US"/>
        </w:rPr>
        <w:t xml:space="preserve"> (</w:t>
      </w:r>
      <w:r w:rsidR="00082DF8" w:rsidRPr="00B717E4">
        <w:rPr>
          <w:rFonts w:ascii="Arial" w:hAnsi="Arial" w:cs="Arial"/>
          <w:i/>
          <w:lang w:val="en-US"/>
        </w:rPr>
        <w:t xml:space="preserve">Ne </w:t>
      </w:r>
      <w:proofErr w:type="spellStart"/>
      <w:r w:rsidR="00082DF8" w:rsidRPr="00B717E4">
        <w:rPr>
          <w:rFonts w:ascii="Arial" w:hAnsi="Arial" w:cs="Arial"/>
          <w:i/>
          <w:lang w:val="en-US"/>
        </w:rPr>
        <w:t>zato</w:t>
      </w:r>
      <w:proofErr w:type="spellEnd"/>
      <w:r w:rsidR="00082DF8" w:rsidRPr="00B717E4">
        <w:rPr>
          <w:rFonts w:ascii="Arial" w:hAnsi="Arial" w:cs="Arial"/>
          <w:i/>
          <w:lang w:val="en-US"/>
        </w:rPr>
        <w:t xml:space="preserve"> </w:t>
      </w:r>
      <w:proofErr w:type="spellStart"/>
      <w:r w:rsidR="00082DF8" w:rsidRPr="00B717E4">
        <w:rPr>
          <w:rFonts w:ascii="Arial" w:hAnsi="Arial" w:cs="Arial"/>
          <w:i/>
          <w:lang w:val="en-US"/>
        </w:rPr>
        <w:t>jer</w:t>
      </w:r>
      <w:proofErr w:type="spellEnd"/>
      <w:r w:rsidR="00082DF8" w:rsidRPr="00B717E4">
        <w:rPr>
          <w:rFonts w:ascii="Arial" w:hAnsi="Arial" w:cs="Arial"/>
          <w:i/>
          <w:lang w:val="en-US"/>
        </w:rPr>
        <w:t xml:space="preserve"> ne</w:t>
      </w:r>
      <w:r w:rsidR="008C07D9">
        <w:rPr>
          <w:rFonts w:ascii="Arial" w:hAnsi="Arial" w:cs="Arial"/>
          <w:i/>
          <w:lang w:val="en-US"/>
        </w:rPr>
        <w:t xml:space="preserve">); </w:t>
      </w:r>
      <w:r w:rsidR="008C07D9" w:rsidRPr="008C07D9">
        <w:rPr>
          <w:rFonts w:ascii="Arial" w:hAnsi="Arial" w:cs="Arial"/>
          <w:lang w:val="en-US"/>
        </w:rPr>
        <w:t>Possibilities Fair</w:t>
      </w:r>
      <w:r w:rsidR="008C07D9">
        <w:rPr>
          <w:rFonts w:ascii="Arial" w:hAnsi="Arial" w:cs="Arial"/>
          <w:i/>
          <w:lang w:val="en-US"/>
        </w:rPr>
        <w:t xml:space="preserve"> (</w:t>
      </w:r>
      <w:proofErr w:type="spellStart"/>
      <w:r w:rsidR="008C07D9">
        <w:rPr>
          <w:rFonts w:ascii="Arial" w:hAnsi="Arial" w:cs="Arial"/>
          <w:i/>
          <w:lang w:val="en-US"/>
        </w:rPr>
        <w:t>S</w:t>
      </w:r>
      <w:r w:rsidR="00082DF8" w:rsidRPr="00B717E4">
        <w:rPr>
          <w:rFonts w:ascii="Arial" w:hAnsi="Arial" w:cs="Arial"/>
          <w:i/>
          <w:lang w:val="en-US"/>
        </w:rPr>
        <w:t>ajam</w:t>
      </w:r>
      <w:proofErr w:type="spellEnd"/>
      <w:r w:rsidR="00082DF8" w:rsidRPr="00B717E4">
        <w:rPr>
          <w:rFonts w:ascii="Arial" w:hAnsi="Arial" w:cs="Arial"/>
          <w:i/>
          <w:lang w:val="en-US"/>
        </w:rPr>
        <w:t xml:space="preserve"> </w:t>
      </w:r>
      <w:proofErr w:type="spellStart"/>
      <w:r w:rsidR="00082DF8" w:rsidRPr="00B717E4">
        <w:rPr>
          <w:rFonts w:ascii="Arial" w:hAnsi="Arial" w:cs="Arial"/>
          <w:i/>
          <w:lang w:val="en-US"/>
        </w:rPr>
        <w:t>mogućnosti</w:t>
      </w:r>
      <w:proofErr w:type="spellEnd"/>
      <w:r w:rsidR="008C07D9">
        <w:rPr>
          <w:rFonts w:ascii="Arial" w:hAnsi="Arial" w:cs="Arial"/>
          <w:i/>
          <w:lang w:val="en-US"/>
        </w:rPr>
        <w:t>),</w:t>
      </w:r>
      <w:r w:rsidR="008C07D9" w:rsidRPr="008C07D9">
        <w:rPr>
          <w:rFonts w:ascii="Arial" w:hAnsi="Arial" w:cs="Arial"/>
          <w:lang w:val="en-US"/>
        </w:rPr>
        <w:t xml:space="preserve"> etc.</w:t>
      </w:r>
    </w:p>
    <w:p w:rsidR="00082DF8" w:rsidRDefault="00082DF8" w:rsidP="00082DF8">
      <w:pPr>
        <w:jc w:val="both"/>
        <w:rPr>
          <w:rFonts w:ascii="Arial" w:hAnsi="Arial" w:cs="Arial"/>
        </w:rPr>
      </w:pPr>
    </w:p>
    <w:p w:rsidR="00082DF8" w:rsidRDefault="00082DF8" w:rsidP="00082DF8">
      <w:pPr>
        <w:jc w:val="both"/>
        <w:rPr>
          <w:rFonts w:ascii="Arial" w:hAnsi="Arial" w:cs="Arial"/>
        </w:rPr>
      </w:pPr>
    </w:p>
    <w:p w:rsidR="00805A31" w:rsidRPr="001C0011" w:rsidRDefault="00805A31" w:rsidP="00805A31">
      <w:pPr>
        <w:jc w:val="both"/>
        <w:rPr>
          <w:rFonts w:ascii="Arial" w:hAnsi="Arial" w:cs="Arial"/>
          <w:b/>
          <w:lang w:val="en-GB"/>
        </w:rPr>
      </w:pPr>
      <w:r w:rsidRPr="001C0011">
        <w:rPr>
          <w:rFonts w:ascii="Arial" w:hAnsi="Arial" w:cs="Arial"/>
          <w:b/>
          <w:u w:val="single"/>
          <w:lang w:val="en-GB"/>
        </w:rPr>
        <w:t>DOMESTIC VIOLENCE</w:t>
      </w:r>
      <w:r w:rsidRPr="001C0011">
        <w:rPr>
          <w:rFonts w:ascii="Arial" w:hAnsi="Arial" w:cs="Arial"/>
          <w:lang w:val="en-GB"/>
        </w:rPr>
        <w:t xml:space="preserve">– </w:t>
      </w:r>
      <w:r w:rsidRPr="001C0011">
        <w:rPr>
          <w:rFonts w:ascii="Arial" w:hAnsi="Arial" w:cs="Arial"/>
          <w:b/>
          <w:lang w:val="en-GB"/>
        </w:rPr>
        <w:t xml:space="preserve">dual arrests and alleged inadequate training of police officers </w:t>
      </w:r>
      <w:r>
        <w:rPr>
          <w:rFonts w:ascii="Arial" w:hAnsi="Arial" w:cs="Arial"/>
          <w:b/>
          <w:lang w:val="en-GB"/>
        </w:rPr>
        <w:t>for identification of the predominant aggressor</w:t>
      </w:r>
      <w:r w:rsidRPr="001C0011">
        <w:rPr>
          <w:rFonts w:ascii="Arial" w:hAnsi="Arial" w:cs="Arial"/>
          <w:b/>
          <w:lang w:val="en-GB"/>
        </w:rPr>
        <w:t xml:space="preserve"> </w:t>
      </w:r>
    </w:p>
    <w:p w:rsidR="00805A31" w:rsidRPr="001C0011" w:rsidRDefault="00805A31" w:rsidP="00805A31">
      <w:pPr>
        <w:jc w:val="both"/>
        <w:rPr>
          <w:rFonts w:ascii="Arial" w:hAnsi="Arial" w:cs="Arial"/>
          <w:b/>
          <w:lang w:val="en-GB"/>
        </w:rPr>
      </w:pPr>
    </w:p>
    <w:p w:rsidR="00805A31" w:rsidRDefault="00805A31" w:rsidP="00805A31">
      <w:pPr>
        <w:spacing w:line="276" w:lineRule="auto"/>
        <w:ind w:firstLine="708"/>
        <w:jc w:val="both"/>
        <w:rPr>
          <w:rFonts w:ascii="Arial" w:hAnsi="Arial" w:cs="Arial"/>
          <w:color w:val="000000"/>
          <w:lang w:val="en-GB"/>
        </w:rPr>
      </w:pPr>
      <w:r>
        <w:rPr>
          <w:rFonts w:ascii="Arial" w:hAnsi="Arial" w:cs="Arial"/>
          <w:color w:val="000000"/>
          <w:lang w:val="en-GB"/>
        </w:rPr>
        <w:t xml:space="preserve">As a result of continuous education, training, </w:t>
      </w:r>
      <w:proofErr w:type="gramStart"/>
      <w:r>
        <w:rPr>
          <w:rFonts w:ascii="Arial" w:hAnsi="Arial" w:cs="Arial"/>
          <w:color w:val="000000"/>
          <w:lang w:val="en-GB"/>
        </w:rPr>
        <w:t>supervision</w:t>
      </w:r>
      <w:proofErr w:type="gramEnd"/>
      <w:r>
        <w:rPr>
          <w:rFonts w:ascii="Arial" w:hAnsi="Arial" w:cs="Arial"/>
          <w:color w:val="000000"/>
          <w:lang w:val="en-GB"/>
        </w:rPr>
        <w:t xml:space="preserve"> and guidance police officers respond promptly to domestic violence, thus achieving a high level of protection of victims of domestic violence, that is reflected in the substantial number of arrested perpetrators brought before misdemeanour judges. This kind of response promptly terminates violent behaviour and urges the judgement, thus sending a very important message to the perpetrator - aggression is not tolerated. The victim learns that government institutions can protect her from violence.</w:t>
      </w:r>
    </w:p>
    <w:p w:rsidR="00805A31" w:rsidRPr="001C0011" w:rsidRDefault="00805A31" w:rsidP="00805A31">
      <w:pPr>
        <w:jc w:val="both"/>
        <w:rPr>
          <w:rFonts w:ascii="Arial" w:hAnsi="Arial" w:cs="Arial"/>
          <w:b/>
          <w:lang w:val="en-GB"/>
        </w:rPr>
      </w:pPr>
    </w:p>
    <w:p w:rsidR="00805A31" w:rsidRPr="00D50AB8" w:rsidRDefault="00805A31" w:rsidP="00805A31">
      <w:pPr>
        <w:spacing w:line="276" w:lineRule="auto"/>
        <w:ind w:firstLine="708"/>
        <w:jc w:val="both"/>
        <w:rPr>
          <w:rFonts w:ascii="Arial" w:hAnsi="Arial" w:cs="Arial"/>
          <w:color w:val="000000"/>
          <w:u w:val="single"/>
          <w:lang w:val="en-GB"/>
        </w:rPr>
      </w:pPr>
      <w:r>
        <w:rPr>
          <w:rFonts w:ascii="Arial" w:hAnsi="Arial" w:cs="Arial"/>
          <w:color w:val="000000"/>
          <w:lang w:val="en-GB"/>
        </w:rPr>
        <w:t xml:space="preserve">After a report on a case of domestic violence, the police assess the facts and later, based on the assessment, they determine who </w:t>
      </w:r>
      <w:proofErr w:type="gramStart"/>
      <w:r>
        <w:rPr>
          <w:rFonts w:ascii="Arial" w:hAnsi="Arial" w:cs="Arial"/>
          <w:color w:val="000000"/>
          <w:lang w:val="en-GB"/>
        </w:rPr>
        <w:t>is the victim</w:t>
      </w:r>
      <w:proofErr w:type="gramEnd"/>
      <w:r>
        <w:rPr>
          <w:rFonts w:ascii="Arial" w:hAnsi="Arial" w:cs="Arial"/>
          <w:color w:val="000000"/>
          <w:lang w:val="en-GB"/>
        </w:rPr>
        <w:t xml:space="preserve"> and who is the perpetrator. It is to be noted that verbal abuse of a family member, under the </w:t>
      </w:r>
      <w:r w:rsidRPr="002D1DBD">
        <w:rPr>
          <w:rFonts w:ascii="Arial" w:hAnsi="Arial" w:cs="Arial"/>
          <w:color w:val="000000"/>
          <w:lang w:val="en-GB"/>
        </w:rPr>
        <w:t>Law on Prote</w:t>
      </w:r>
      <w:r>
        <w:rPr>
          <w:rFonts w:ascii="Arial" w:hAnsi="Arial" w:cs="Arial"/>
          <w:color w:val="000000"/>
          <w:lang w:val="en-GB"/>
        </w:rPr>
        <w:t xml:space="preserve">ction against Domestic Violence, is a misdemeanour and is prosecuted accordingly. </w:t>
      </w:r>
      <w:r w:rsidRPr="0064403E">
        <w:rPr>
          <w:rFonts w:ascii="Arial" w:hAnsi="Arial" w:cs="Arial"/>
          <w:color w:val="000000"/>
          <w:u w:val="single"/>
          <w:lang w:val="en-GB"/>
        </w:rPr>
        <w:t>However, the</w:t>
      </w:r>
      <w:r>
        <w:rPr>
          <w:rFonts w:ascii="Arial" w:hAnsi="Arial" w:cs="Arial"/>
          <w:color w:val="000000"/>
          <w:u w:val="single"/>
          <w:lang w:val="en-GB"/>
        </w:rPr>
        <w:t xml:space="preserve"> police don’t report nor arrest persons that defend themselves from the attacks of the perpetrator, either by fighting back or screaming, asking for help, etc. </w:t>
      </w:r>
    </w:p>
    <w:p w:rsidR="00805A31" w:rsidRDefault="00805A31" w:rsidP="00805A31">
      <w:pPr>
        <w:spacing w:line="276" w:lineRule="auto"/>
        <w:ind w:firstLine="708"/>
        <w:jc w:val="both"/>
        <w:rPr>
          <w:rFonts w:ascii="Arial" w:hAnsi="Arial" w:cs="Arial"/>
          <w:color w:val="000000"/>
          <w:lang w:val="en-GB"/>
        </w:rPr>
      </w:pPr>
    </w:p>
    <w:p w:rsidR="00805A31" w:rsidRDefault="00805A31" w:rsidP="00805A31">
      <w:pPr>
        <w:spacing w:line="276" w:lineRule="auto"/>
        <w:ind w:firstLine="708"/>
        <w:jc w:val="both"/>
        <w:rPr>
          <w:rFonts w:ascii="Arial" w:hAnsi="Arial" w:cs="Arial"/>
          <w:lang w:val="en-GB"/>
        </w:rPr>
      </w:pPr>
      <w:r>
        <w:rPr>
          <w:rFonts w:ascii="Arial" w:hAnsi="Arial" w:cs="Arial"/>
          <w:lang w:val="en-GB"/>
        </w:rPr>
        <w:t xml:space="preserve">In addition to arrest, as an instance of prompt protection of the victim, aimed at preventing the perpetrator to continue to act violently, the police make increasingly use of the most effective mechanism of further protection of the rights of the victim of violence in close relationships, precisely precautionary and protective measures. Police can implement 3 protective measures: </w:t>
      </w:r>
    </w:p>
    <w:p w:rsidR="00805A31" w:rsidRDefault="00805A31" w:rsidP="00805A31">
      <w:pPr>
        <w:pStyle w:val="ListParagraph"/>
        <w:numPr>
          <w:ilvl w:val="0"/>
          <w:numId w:val="5"/>
        </w:numPr>
        <w:jc w:val="both"/>
        <w:rPr>
          <w:rFonts w:ascii="Arial" w:hAnsi="Arial" w:cs="Arial"/>
          <w:sz w:val="24"/>
          <w:szCs w:val="24"/>
          <w:lang w:val="en-GB"/>
        </w:rPr>
      </w:pPr>
      <w:r w:rsidRPr="00D50AB8">
        <w:rPr>
          <w:rFonts w:ascii="Arial" w:hAnsi="Arial" w:cs="Arial"/>
          <w:sz w:val="24"/>
          <w:szCs w:val="24"/>
          <w:lang w:val="en-GB"/>
        </w:rPr>
        <w:t>Restraining order</w:t>
      </w:r>
    </w:p>
    <w:p w:rsidR="00805A31" w:rsidRDefault="00805A31" w:rsidP="00805A31">
      <w:pPr>
        <w:pStyle w:val="ListParagraph"/>
        <w:numPr>
          <w:ilvl w:val="0"/>
          <w:numId w:val="5"/>
        </w:numPr>
        <w:jc w:val="both"/>
        <w:rPr>
          <w:rFonts w:ascii="Arial" w:hAnsi="Arial" w:cs="Arial"/>
          <w:sz w:val="24"/>
          <w:szCs w:val="24"/>
          <w:lang w:val="en-GB"/>
        </w:rPr>
      </w:pPr>
      <w:r>
        <w:rPr>
          <w:rFonts w:ascii="Arial" w:hAnsi="Arial" w:cs="Arial"/>
          <w:sz w:val="24"/>
          <w:szCs w:val="24"/>
          <w:lang w:val="en-GB"/>
        </w:rPr>
        <w:t>Stalking/harassment prohibition</w:t>
      </w:r>
    </w:p>
    <w:p w:rsidR="00805A31" w:rsidRDefault="00805A31" w:rsidP="00805A31">
      <w:pPr>
        <w:pStyle w:val="ListParagraph"/>
        <w:numPr>
          <w:ilvl w:val="0"/>
          <w:numId w:val="5"/>
        </w:numPr>
        <w:jc w:val="both"/>
        <w:rPr>
          <w:rFonts w:ascii="Arial" w:hAnsi="Arial" w:cs="Arial"/>
          <w:sz w:val="24"/>
          <w:szCs w:val="24"/>
          <w:lang w:val="en-GB"/>
        </w:rPr>
      </w:pPr>
      <w:r>
        <w:rPr>
          <w:rFonts w:ascii="Arial" w:hAnsi="Arial" w:cs="Arial"/>
          <w:sz w:val="24"/>
          <w:szCs w:val="24"/>
          <w:lang w:val="en-GB"/>
        </w:rPr>
        <w:t>Eviction</w:t>
      </w:r>
    </w:p>
    <w:p w:rsidR="00805A31" w:rsidRDefault="00805A31" w:rsidP="00805A31">
      <w:pPr>
        <w:pStyle w:val="ListParagraph"/>
        <w:ind w:left="0" w:firstLine="708"/>
        <w:jc w:val="both"/>
        <w:rPr>
          <w:rFonts w:ascii="Arial" w:hAnsi="Arial" w:cs="Arial"/>
          <w:sz w:val="24"/>
          <w:szCs w:val="24"/>
          <w:lang w:val="en-GB" w:eastAsia="hr-HR"/>
        </w:rPr>
      </w:pPr>
    </w:p>
    <w:p w:rsidR="00805A31" w:rsidRDefault="00805A31" w:rsidP="00805A31">
      <w:pPr>
        <w:pStyle w:val="ListParagraph"/>
        <w:ind w:left="0" w:firstLine="708"/>
        <w:jc w:val="both"/>
        <w:rPr>
          <w:rFonts w:ascii="Arial" w:hAnsi="Arial" w:cs="Arial"/>
          <w:sz w:val="24"/>
          <w:szCs w:val="24"/>
          <w:lang w:val="en-GB" w:eastAsia="hr-HR"/>
        </w:rPr>
      </w:pPr>
      <w:r>
        <w:rPr>
          <w:rFonts w:ascii="Arial" w:hAnsi="Arial" w:cs="Arial"/>
          <w:sz w:val="24"/>
          <w:szCs w:val="24"/>
          <w:lang w:val="en-GB" w:eastAsia="hr-HR"/>
        </w:rPr>
        <w:lastRenderedPageBreak/>
        <w:t xml:space="preserve">The issue of dual reporting and identifying the aggressor and the predominant victim in the last few years is the subject of a substantial number of training, seminars, round tables, working meetings that the police attend and organise. This issue is dealt with in depth at the </w:t>
      </w:r>
      <w:proofErr w:type="gramStart"/>
      <w:r>
        <w:rPr>
          <w:rFonts w:ascii="Arial" w:hAnsi="Arial" w:cs="Arial"/>
          <w:sz w:val="24"/>
          <w:szCs w:val="24"/>
          <w:lang w:val="en-GB" w:eastAsia="hr-HR"/>
        </w:rPr>
        <w:t>Specialised</w:t>
      </w:r>
      <w:proofErr w:type="gramEnd"/>
      <w:r>
        <w:rPr>
          <w:rFonts w:ascii="Arial" w:hAnsi="Arial" w:cs="Arial"/>
          <w:sz w:val="24"/>
          <w:szCs w:val="24"/>
          <w:lang w:val="en-GB" w:eastAsia="hr-HR"/>
        </w:rPr>
        <w:t xml:space="preserve"> course for juvenile delinquency and crime to the detriment of youth and family.</w:t>
      </w:r>
    </w:p>
    <w:p w:rsidR="002A5D54" w:rsidRPr="00805A31" w:rsidRDefault="002A5D54" w:rsidP="002A5D54">
      <w:pPr>
        <w:pStyle w:val="ListParagraph"/>
        <w:ind w:left="0" w:firstLine="708"/>
        <w:jc w:val="both"/>
        <w:rPr>
          <w:rFonts w:ascii="Arial" w:hAnsi="Arial" w:cs="Arial"/>
          <w:sz w:val="24"/>
          <w:szCs w:val="24"/>
          <w:lang w:val="en-GB" w:eastAsia="hr-HR"/>
        </w:rPr>
      </w:pPr>
    </w:p>
    <w:p w:rsidR="002A5D54" w:rsidRPr="00653805" w:rsidRDefault="006A33D7" w:rsidP="007D2FD0">
      <w:pPr>
        <w:pStyle w:val="ListParagraph"/>
        <w:ind w:left="0"/>
        <w:jc w:val="both"/>
        <w:rPr>
          <w:rFonts w:ascii="Arial" w:hAnsi="Arial" w:cs="Arial"/>
          <w:color w:val="000000"/>
          <w:sz w:val="24"/>
          <w:szCs w:val="24"/>
          <w:lang w:val="en-US"/>
        </w:rPr>
      </w:pPr>
      <w:r w:rsidRPr="00653805">
        <w:rPr>
          <w:rFonts w:ascii="Arial" w:hAnsi="Arial" w:cs="Arial"/>
          <w:sz w:val="24"/>
          <w:szCs w:val="24"/>
          <w:lang w:val="en-US" w:eastAsia="hr-HR"/>
        </w:rPr>
        <w:t xml:space="preserve">While aware of gender </w:t>
      </w:r>
      <w:r w:rsidR="00653805" w:rsidRPr="00653805">
        <w:rPr>
          <w:rFonts w:ascii="Arial" w:hAnsi="Arial" w:cs="Arial"/>
          <w:sz w:val="24"/>
          <w:szCs w:val="24"/>
          <w:lang w:val="en-US" w:eastAsia="hr-HR"/>
        </w:rPr>
        <w:t>inequality</w:t>
      </w:r>
      <w:r w:rsidRPr="00653805">
        <w:rPr>
          <w:rFonts w:ascii="Arial" w:hAnsi="Arial" w:cs="Arial"/>
          <w:sz w:val="24"/>
          <w:szCs w:val="24"/>
          <w:lang w:val="en-US" w:eastAsia="hr-HR"/>
        </w:rPr>
        <w:t xml:space="preserve">, we make every effort to level up police </w:t>
      </w:r>
      <w:r w:rsidR="00653805" w:rsidRPr="00653805">
        <w:rPr>
          <w:rFonts w:ascii="Arial" w:hAnsi="Arial" w:cs="Arial"/>
          <w:sz w:val="24"/>
          <w:szCs w:val="24"/>
          <w:lang w:val="en-US" w:eastAsia="hr-HR"/>
        </w:rPr>
        <w:t>professionalism</w:t>
      </w:r>
      <w:r w:rsidRPr="00653805">
        <w:rPr>
          <w:rFonts w:ascii="Arial" w:hAnsi="Arial" w:cs="Arial"/>
          <w:sz w:val="24"/>
          <w:szCs w:val="24"/>
          <w:lang w:val="en-US" w:eastAsia="hr-HR"/>
        </w:rPr>
        <w:t xml:space="preserve"> through continuous education and police procedure supervision in terms of recognition and processing of perpetrators of violent criminal </w:t>
      </w:r>
      <w:r w:rsidR="00653805" w:rsidRPr="00653805">
        <w:rPr>
          <w:rFonts w:ascii="Arial" w:hAnsi="Arial" w:cs="Arial"/>
          <w:sz w:val="24"/>
          <w:szCs w:val="24"/>
          <w:lang w:val="en-US" w:eastAsia="hr-HR"/>
        </w:rPr>
        <w:t>offenses</w:t>
      </w:r>
      <w:r w:rsidRPr="00653805">
        <w:rPr>
          <w:rFonts w:ascii="Arial" w:hAnsi="Arial" w:cs="Arial"/>
          <w:sz w:val="24"/>
          <w:szCs w:val="24"/>
          <w:lang w:val="en-US" w:eastAsia="hr-HR"/>
        </w:rPr>
        <w:t xml:space="preserve"> related to a victim acting in self-defense. In order to additionally raise awareness of police officers of gender-based violence, </w:t>
      </w:r>
      <w:r w:rsidR="00653805" w:rsidRPr="00653805">
        <w:rPr>
          <w:rFonts w:ascii="Arial" w:hAnsi="Arial" w:cs="Arial"/>
          <w:sz w:val="24"/>
          <w:szCs w:val="24"/>
          <w:lang w:val="en-US" w:eastAsia="hr-HR"/>
        </w:rPr>
        <w:t xml:space="preserve">the above mentioned police training programs involve the gender equality ombudsperson </w:t>
      </w:r>
      <w:r w:rsidR="00653805">
        <w:rPr>
          <w:rFonts w:ascii="Arial" w:hAnsi="Arial" w:cs="Arial"/>
          <w:sz w:val="24"/>
          <w:szCs w:val="24"/>
          <w:lang w:val="en-US" w:eastAsia="hr-HR"/>
        </w:rPr>
        <w:t>and other civil society organi</w:t>
      </w:r>
      <w:r w:rsidR="00653805" w:rsidRPr="00653805">
        <w:rPr>
          <w:rFonts w:ascii="Arial" w:hAnsi="Arial" w:cs="Arial"/>
          <w:sz w:val="24"/>
          <w:szCs w:val="24"/>
          <w:lang w:val="en-US" w:eastAsia="hr-HR"/>
        </w:rPr>
        <w:t xml:space="preserve">zations </w:t>
      </w:r>
      <w:r w:rsidR="00653805">
        <w:rPr>
          <w:rFonts w:ascii="Arial" w:hAnsi="Arial" w:cs="Arial"/>
          <w:sz w:val="24"/>
          <w:szCs w:val="24"/>
          <w:lang w:val="en-US" w:eastAsia="hr-HR"/>
        </w:rPr>
        <w:t>involved in promotion of the rights of women and gender equality</w:t>
      </w:r>
      <w:r w:rsidR="00653805">
        <w:rPr>
          <w:rFonts w:ascii="Arial" w:hAnsi="Arial" w:cs="Arial"/>
          <w:color w:val="000000"/>
          <w:sz w:val="24"/>
          <w:szCs w:val="24"/>
          <w:lang w:val="en-US"/>
        </w:rPr>
        <w:t>.</w:t>
      </w:r>
    </w:p>
    <w:p w:rsidR="002A5D54" w:rsidRPr="00837164" w:rsidRDefault="00653805" w:rsidP="007D2FD0">
      <w:pPr>
        <w:spacing w:line="276" w:lineRule="auto"/>
        <w:jc w:val="both"/>
        <w:rPr>
          <w:rFonts w:ascii="Arial" w:hAnsi="Arial" w:cs="Arial"/>
          <w:lang w:val="en-US" w:eastAsia="hr-HR"/>
        </w:rPr>
      </w:pPr>
      <w:r w:rsidRPr="00837164">
        <w:rPr>
          <w:rFonts w:ascii="Arial" w:hAnsi="Arial" w:cs="Arial"/>
          <w:lang w:val="en-US" w:eastAsia="hr-HR"/>
        </w:rPr>
        <w:t xml:space="preserve">In addition to the common practice of providing a misdemeanor victim with a written statement citing his/her rights, the General Police Directorate has prepared standardized forms </w:t>
      </w:r>
      <w:r w:rsidR="00837164" w:rsidRPr="00837164">
        <w:rPr>
          <w:rFonts w:ascii="Arial" w:hAnsi="Arial" w:cs="Arial"/>
          <w:lang w:val="en-US" w:eastAsia="hr-HR"/>
        </w:rPr>
        <w:t xml:space="preserve">of the information on the rights of victims of crime in accordance with provisions of the Criminal Procedure Act. The forms have been translated into 15 languages and contain all the rights pertaining to the victim according to the Criminal Procedure Act while listing contact details of the office for the support of victims and witnesses </w:t>
      </w:r>
      <w:r w:rsidR="00837164">
        <w:rPr>
          <w:rFonts w:ascii="Arial" w:hAnsi="Arial" w:cs="Arial"/>
          <w:lang w:val="en-US" w:eastAsia="hr-HR"/>
        </w:rPr>
        <w:t>at courts and the National Call Center for crime and misdemeanor victims</w:t>
      </w:r>
      <w:r w:rsidR="002A5D54" w:rsidRPr="00837164">
        <w:rPr>
          <w:rFonts w:ascii="Arial" w:hAnsi="Arial" w:cs="Arial"/>
          <w:lang w:val="en-US" w:eastAsia="hr-HR"/>
        </w:rPr>
        <w:t>.</w:t>
      </w:r>
    </w:p>
    <w:p w:rsidR="00F002E0" w:rsidRPr="00837164" w:rsidRDefault="00F002E0" w:rsidP="00F002E0">
      <w:pPr>
        <w:spacing w:line="276" w:lineRule="auto"/>
        <w:ind w:firstLine="708"/>
        <w:jc w:val="both"/>
        <w:rPr>
          <w:rFonts w:ascii="Arial" w:hAnsi="Arial" w:cs="Arial"/>
          <w:lang w:val="en-US"/>
        </w:rPr>
      </w:pPr>
    </w:p>
    <w:p w:rsidR="00246F42" w:rsidRDefault="00246F42" w:rsidP="00246F42">
      <w:pPr>
        <w:spacing w:line="276" w:lineRule="auto"/>
        <w:ind w:firstLine="708"/>
        <w:jc w:val="both"/>
        <w:rPr>
          <w:rFonts w:ascii="Arial" w:hAnsi="Arial" w:cs="Arial"/>
        </w:rPr>
      </w:pPr>
    </w:p>
    <w:p w:rsidR="002667DD" w:rsidRPr="001C0011" w:rsidRDefault="002667DD" w:rsidP="002667DD">
      <w:pPr>
        <w:spacing w:line="276" w:lineRule="auto"/>
        <w:jc w:val="both"/>
        <w:rPr>
          <w:rFonts w:ascii="Arial" w:hAnsi="Arial" w:cs="Arial"/>
          <w:b/>
          <w:lang w:val="en-GB"/>
        </w:rPr>
      </w:pPr>
      <w:r w:rsidRPr="001C0011">
        <w:rPr>
          <w:rFonts w:ascii="Arial" w:hAnsi="Arial" w:cs="Arial"/>
          <w:b/>
          <w:u w:val="single"/>
          <w:lang w:val="en-GB"/>
        </w:rPr>
        <w:t>ARREST AND PROVISIONALLY CONFINEMENT STATISTICS -</w:t>
      </w:r>
      <w:r w:rsidRPr="001C0011">
        <w:rPr>
          <w:rFonts w:ascii="Arial" w:hAnsi="Arial" w:cs="Arial"/>
          <w:b/>
          <w:lang w:val="en-GB"/>
        </w:rPr>
        <w:t>– following the Committee's remarks on unjustified arrests of members of Roma national minority for „</w:t>
      </w:r>
      <w:r w:rsidR="004D5502">
        <w:rPr>
          <w:rFonts w:ascii="Arial" w:hAnsi="Arial" w:cs="Arial"/>
          <w:b/>
          <w:lang w:val="en-GB"/>
        </w:rPr>
        <w:t>certain</w:t>
      </w:r>
      <w:proofErr w:type="gramStart"/>
      <w:r w:rsidRPr="001C0011">
        <w:rPr>
          <w:rFonts w:ascii="Arial" w:hAnsi="Arial" w:cs="Arial"/>
          <w:b/>
          <w:lang w:val="en-GB"/>
        </w:rPr>
        <w:t>“ criminal</w:t>
      </w:r>
      <w:proofErr w:type="gramEnd"/>
      <w:r w:rsidRPr="001C0011">
        <w:rPr>
          <w:rFonts w:ascii="Arial" w:hAnsi="Arial" w:cs="Arial"/>
          <w:b/>
          <w:lang w:val="en-GB"/>
        </w:rPr>
        <w:t xml:space="preserve"> offences </w:t>
      </w:r>
    </w:p>
    <w:p w:rsidR="002667DD" w:rsidRPr="001C0011" w:rsidRDefault="002667DD" w:rsidP="002667DD">
      <w:pPr>
        <w:jc w:val="both"/>
        <w:rPr>
          <w:rFonts w:ascii="Arial" w:hAnsi="Arial" w:cs="Arial"/>
          <w:lang w:val="en-GB"/>
        </w:rPr>
      </w:pPr>
    </w:p>
    <w:p w:rsidR="002667DD" w:rsidRPr="001C0011" w:rsidRDefault="002667DD" w:rsidP="002667DD">
      <w:pPr>
        <w:jc w:val="both"/>
        <w:rPr>
          <w:rFonts w:ascii="Arial" w:hAnsi="Arial" w:cs="Arial"/>
          <w:lang w:val="en-GB"/>
        </w:rPr>
      </w:pPr>
      <w:r w:rsidRPr="001C0011">
        <w:rPr>
          <w:rFonts w:ascii="Arial" w:hAnsi="Arial" w:cs="Arial"/>
          <w:lang w:val="en-GB"/>
        </w:rPr>
        <w:t>The Criminal Procedure Code prescribes that the police is entitled to arrest:</w:t>
      </w:r>
    </w:p>
    <w:p w:rsidR="002667DD" w:rsidRPr="001C0011" w:rsidRDefault="002667DD" w:rsidP="002667DD">
      <w:pPr>
        <w:jc w:val="both"/>
        <w:rPr>
          <w:rFonts w:ascii="Arial" w:hAnsi="Arial" w:cs="Arial"/>
          <w:lang w:val="en-GB"/>
        </w:rPr>
      </w:pPr>
    </w:p>
    <w:p w:rsidR="002667DD" w:rsidRPr="001C0011" w:rsidRDefault="002667DD" w:rsidP="002667DD">
      <w:pPr>
        <w:pStyle w:val="ListParagraph"/>
        <w:numPr>
          <w:ilvl w:val="0"/>
          <w:numId w:val="6"/>
        </w:numPr>
        <w:jc w:val="both"/>
        <w:rPr>
          <w:rFonts w:ascii="Arial" w:hAnsi="Arial" w:cs="Arial"/>
          <w:sz w:val="24"/>
          <w:szCs w:val="24"/>
          <w:lang w:val="en-GB"/>
        </w:rPr>
      </w:pPr>
      <w:r w:rsidRPr="001C0011">
        <w:rPr>
          <w:rFonts w:ascii="Arial" w:hAnsi="Arial" w:cs="Arial"/>
          <w:sz w:val="24"/>
          <w:szCs w:val="24"/>
          <w:lang w:val="en-GB"/>
        </w:rPr>
        <w:t>a person against whom a ruling for compulsory appearance or a ruling on pre-trail detention or investigative detention is being executed;</w:t>
      </w:r>
    </w:p>
    <w:p w:rsidR="002667DD" w:rsidRPr="001C0011" w:rsidRDefault="002667DD" w:rsidP="002667DD">
      <w:pPr>
        <w:pStyle w:val="ListParagraph"/>
        <w:numPr>
          <w:ilvl w:val="0"/>
          <w:numId w:val="6"/>
        </w:numPr>
        <w:jc w:val="both"/>
        <w:rPr>
          <w:rFonts w:ascii="Arial" w:hAnsi="Arial" w:cs="Arial"/>
          <w:sz w:val="24"/>
          <w:szCs w:val="24"/>
          <w:lang w:val="en-GB"/>
        </w:rPr>
      </w:pPr>
      <w:r w:rsidRPr="001C0011">
        <w:rPr>
          <w:rFonts w:ascii="Arial" w:hAnsi="Arial" w:cs="Arial"/>
          <w:sz w:val="24"/>
          <w:szCs w:val="24"/>
          <w:lang w:val="en-GB"/>
        </w:rPr>
        <w:t>a person against whom there are grounds for suspicion of having committed a criminal offence subject to public prosecution, for which a sentence of imprisonment for three years or longer is prescribed, and if any of the grounds exist for ordering investigative detention as referred to in Article 123 of the Criminal Procedure Code;</w:t>
      </w:r>
    </w:p>
    <w:p w:rsidR="002667DD" w:rsidRPr="001C0011" w:rsidRDefault="002667DD" w:rsidP="002667DD">
      <w:pPr>
        <w:pStyle w:val="ListParagraph"/>
        <w:numPr>
          <w:ilvl w:val="0"/>
          <w:numId w:val="6"/>
        </w:numPr>
        <w:jc w:val="both"/>
        <w:rPr>
          <w:rFonts w:ascii="Arial" w:hAnsi="Arial" w:cs="Arial"/>
          <w:sz w:val="24"/>
          <w:szCs w:val="24"/>
          <w:lang w:val="en-GB"/>
        </w:rPr>
      </w:pPr>
      <w:proofErr w:type="gramStart"/>
      <w:r w:rsidRPr="001C0011">
        <w:rPr>
          <w:rFonts w:ascii="Arial" w:hAnsi="Arial" w:cs="Arial"/>
          <w:sz w:val="24"/>
          <w:szCs w:val="24"/>
          <w:lang w:val="en-GB"/>
        </w:rPr>
        <w:t>a</w:t>
      </w:r>
      <w:proofErr w:type="gramEnd"/>
      <w:r w:rsidRPr="001C0011">
        <w:rPr>
          <w:rFonts w:ascii="Arial" w:hAnsi="Arial" w:cs="Arial"/>
          <w:sz w:val="24"/>
          <w:szCs w:val="24"/>
          <w:lang w:val="en-GB"/>
        </w:rPr>
        <w:t xml:space="preserve"> person who is caught in the act of committing an offence subject to public prosecution.</w:t>
      </w:r>
    </w:p>
    <w:p w:rsidR="002667DD" w:rsidRPr="001C0011" w:rsidRDefault="002667DD" w:rsidP="002667DD">
      <w:pPr>
        <w:ind w:firstLine="360"/>
        <w:jc w:val="both"/>
        <w:rPr>
          <w:rFonts w:ascii="Arial" w:hAnsi="Arial" w:cs="Arial"/>
          <w:lang w:val="en-GB"/>
        </w:rPr>
      </w:pPr>
    </w:p>
    <w:p w:rsidR="002667DD" w:rsidRPr="001C0011" w:rsidRDefault="002667DD" w:rsidP="002667DD">
      <w:pPr>
        <w:ind w:firstLine="360"/>
        <w:jc w:val="both"/>
        <w:rPr>
          <w:rFonts w:ascii="Arial" w:hAnsi="Arial" w:cs="Arial"/>
          <w:lang w:val="en-GB"/>
        </w:rPr>
      </w:pPr>
      <w:r w:rsidRPr="001C0011">
        <w:rPr>
          <w:rFonts w:ascii="Arial" w:hAnsi="Arial" w:cs="Arial"/>
          <w:lang w:val="en-GB"/>
        </w:rPr>
        <w:t xml:space="preserve">Related to the question posed, we enclose a spreadsheet with statistics on arrested, </w:t>
      </w:r>
      <w:proofErr w:type="gramStart"/>
      <w:r w:rsidRPr="001C0011">
        <w:rPr>
          <w:rFonts w:ascii="Arial" w:hAnsi="Arial" w:cs="Arial"/>
          <w:lang w:val="en-GB"/>
        </w:rPr>
        <w:t>detained</w:t>
      </w:r>
      <w:proofErr w:type="gramEnd"/>
      <w:r w:rsidRPr="001C0011">
        <w:rPr>
          <w:rFonts w:ascii="Arial" w:hAnsi="Arial" w:cs="Arial"/>
          <w:lang w:val="en-GB"/>
        </w:rPr>
        <w:t xml:space="preserve"> and provisionally confined people from 2010 to 2014. Please note that the police hold no records on the nationality of arrested/detained/provisionally confined people – therefore data on arrested/detained/provisionally confined Roma is not available. </w:t>
      </w:r>
    </w:p>
    <w:p w:rsidR="002667DD" w:rsidRPr="001C0011" w:rsidRDefault="002667DD" w:rsidP="002667DD">
      <w:pPr>
        <w:pStyle w:val="ListParagraph"/>
        <w:jc w:val="both"/>
        <w:rPr>
          <w:rFonts w:ascii="Arial" w:hAnsi="Arial" w:cs="Arial"/>
          <w:i/>
          <w:color w:val="C00000"/>
          <w:lang w:val="en-GB"/>
        </w:rPr>
      </w:pPr>
    </w:p>
    <w:tbl>
      <w:tblPr>
        <w:tblW w:w="9040" w:type="dxa"/>
        <w:tblInd w:w="93" w:type="dxa"/>
        <w:tblLook w:val="04A0" w:firstRow="1" w:lastRow="0" w:firstColumn="1" w:lastColumn="0" w:noHBand="0" w:noVBand="1"/>
      </w:tblPr>
      <w:tblGrid>
        <w:gridCol w:w="5400"/>
        <w:gridCol w:w="759"/>
        <w:gridCol w:w="759"/>
        <w:gridCol w:w="759"/>
        <w:gridCol w:w="759"/>
        <w:gridCol w:w="759"/>
      </w:tblGrid>
      <w:tr w:rsidR="002667DD" w:rsidRPr="001C0011" w:rsidTr="007B7610">
        <w:trPr>
          <w:trHeight w:val="315"/>
        </w:trPr>
        <w:tc>
          <w:tcPr>
            <w:tcW w:w="554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2667DD" w:rsidRPr="001C0011" w:rsidRDefault="002667DD" w:rsidP="007B7610">
            <w:pPr>
              <w:rPr>
                <w:rFonts w:ascii="Calibri" w:hAnsi="Calibri"/>
                <w:color w:val="000000"/>
                <w:lang w:val="en-GB" w:eastAsia="hr-HR"/>
              </w:rPr>
            </w:pPr>
            <w:r w:rsidRPr="001C0011">
              <w:rPr>
                <w:rFonts w:ascii="Calibri" w:hAnsi="Calibri"/>
                <w:color w:val="000000"/>
                <w:sz w:val="22"/>
                <w:szCs w:val="22"/>
                <w:lang w:val="en-GB" w:eastAsia="hr-HR"/>
              </w:rPr>
              <w:t> </w:t>
            </w:r>
          </w:p>
        </w:tc>
        <w:tc>
          <w:tcPr>
            <w:tcW w:w="7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667DD" w:rsidRPr="001C0011" w:rsidRDefault="002667DD" w:rsidP="007B7610">
            <w:pPr>
              <w:jc w:val="center"/>
              <w:rPr>
                <w:rFonts w:ascii="Calibri" w:hAnsi="Calibri"/>
                <w:b/>
                <w:bCs/>
                <w:color w:val="000000"/>
                <w:lang w:val="en-GB" w:eastAsia="hr-HR"/>
              </w:rPr>
            </w:pPr>
            <w:r w:rsidRPr="001C0011">
              <w:rPr>
                <w:rFonts w:ascii="Calibri" w:hAnsi="Calibri"/>
                <w:b/>
                <w:bCs/>
                <w:color w:val="000000"/>
                <w:sz w:val="22"/>
                <w:szCs w:val="22"/>
                <w:lang w:val="en-GB" w:eastAsia="hr-HR"/>
              </w:rPr>
              <w:t>2010</w:t>
            </w:r>
          </w:p>
        </w:tc>
        <w:tc>
          <w:tcPr>
            <w:tcW w:w="700" w:type="dxa"/>
            <w:tcBorders>
              <w:top w:val="single" w:sz="8" w:space="0" w:color="auto"/>
              <w:left w:val="nil"/>
              <w:bottom w:val="single" w:sz="8" w:space="0" w:color="auto"/>
              <w:right w:val="single" w:sz="8" w:space="0" w:color="auto"/>
            </w:tcBorders>
            <w:shd w:val="clear" w:color="auto" w:fill="auto"/>
            <w:noWrap/>
            <w:vAlign w:val="bottom"/>
            <w:hideMark/>
          </w:tcPr>
          <w:p w:rsidR="002667DD" w:rsidRPr="001C0011" w:rsidRDefault="002667DD" w:rsidP="007B7610">
            <w:pPr>
              <w:jc w:val="center"/>
              <w:rPr>
                <w:rFonts w:ascii="Calibri" w:hAnsi="Calibri"/>
                <w:b/>
                <w:bCs/>
                <w:color w:val="000000"/>
                <w:lang w:val="en-GB" w:eastAsia="hr-HR"/>
              </w:rPr>
            </w:pPr>
            <w:r w:rsidRPr="001C0011">
              <w:rPr>
                <w:rFonts w:ascii="Calibri" w:hAnsi="Calibri"/>
                <w:b/>
                <w:bCs/>
                <w:color w:val="000000"/>
                <w:sz w:val="22"/>
                <w:szCs w:val="22"/>
                <w:lang w:val="en-GB" w:eastAsia="hr-HR"/>
              </w:rPr>
              <w:t>2011</w:t>
            </w:r>
          </w:p>
        </w:tc>
        <w:tc>
          <w:tcPr>
            <w:tcW w:w="700" w:type="dxa"/>
            <w:tcBorders>
              <w:top w:val="single" w:sz="8" w:space="0" w:color="auto"/>
              <w:left w:val="nil"/>
              <w:bottom w:val="single" w:sz="8" w:space="0" w:color="auto"/>
              <w:right w:val="single" w:sz="8" w:space="0" w:color="auto"/>
            </w:tcBorders>
            <w:shd w:val="clear" w:color="auto" w:fill="auto"/>
            <w:noWrap/>
            <w:vAlign w:val="bottom"/>
            <w:hideMark/>
          </w:tcPr>
          <w:p w:rsidR="002667DD" w:rsidRPr="001C0011" w:rsidRDefault="002667DD" w:rsidP="007B7610">
            <w:pPr>
              <w:jc w:val="center"/>
              <w:rPr>
                <w:rFonts w:ascii="Calibri" w:hAnsi="Calibri"/>
                <w:b/>
                <w:bCs/>
                <w:color w:val="000000"/>
                <w:lang w:val="en-GB" w:eastAsia="hr-HR"/>
              </w:rPr>
            </w:pPr>
            <w:r w:rsidRPr="001C0011">
              <w:rPr>
                <w:rFonts w:ascii="Calibri" w:hAnsi="Calibri"/>
                <w:b/>
                <w:bCs/>
                <w:color w:val="000000"/>
                <w:sz w:val="22"/>
                <w:szCs w:val="22"/>
                <w:lang w:val="en-GB" w:eastAsia="hr-HR"/>
              </w:rPr>
              <w:t>2012</w:t>
            </w:r>
          </w:p>
        </w:tc>
        <w:tc>
          <w:tcPr>
            <w:tcW w:w="700" w:type="dxa"/>
            <w:tcBorders>
              <w:top w:val="single" w:sz="8" w:space="0" w:color="auto"/>
              <w:left w:val="nil"/>
              <w:bottom w:val="single" w:sz="8" w:space="0" w:color="auto"/>
              <w:right w:val="single" w:sz="8" w:space="0" w:color="auto"/>
            </w:tcBorders>
            <w:shd w:val="clear" w:color="auto" w:fill="auto"/>
            <w:noWrap/>
            <w:vAlign w:val="bottom"/>
            <w:hideMark/>
          </w:tcPr>
          <w:p w:rsidR="002667DD" w:rsidRPr="001C0011" w:rsidRDefault="002667DD" w:rsidP="007B7610">
            <w:pPr>
              <w:jc w:val="center"/>
              <w:rPr>
                <w:rFonts w:ascii="Calibri" w:hAnsi="Calibri"/>
                <w:b/>
                <w:bCs/>
                <w:color w:val="000000"/>
                <w:lang w:val="en-GB" w:eastAsia="hr-HR"/>
              </w:rPr>
            </w:pPr>
            <w:r w:rsidRPr="001C0011">
              <w:rPr>
                <w:rFonts w:ascii="Calibri" w:hAnsi="Calibri"/>
                <w:b/>
                <w:bCs/>
                <w:color w:val="000000"/>
                <w:sz w:val="22"/>
                <w:szCs w:val="22"/>
                <w:lang w:val="en-GB" w:eastAsia="hr-HR"/>
              </w:rPr>
              <w:t>2013</w:t>
            </w:r>
          </w:p>
        </w:tc>
        <w:tc>
          <w:tcPr>
            <w:tcW w:w="700" w:type="dxa"/>
            <w:tcBorders>
              <w:top w:val="single" w:sz="8" w:space="0" w:color="auto"/>
              <w:left w:val="nil"/>
              <w:bottom w:val="single" w:sz="8" w:space="0" w:color="auto"/>
              <w:right w:val="single" w:sz="8" w:space="0" w:color="auto"/>
            </w:tcBorders>
            <w:shd w:val="clear" w:color="auto" w:fill="auto"/>
            <w:noWrap/>
            <w:vAlign w:val="bottom"/>
            <w:hideMark/>
          </w:tcPr>
          <w:p w:rsidR="002667DD" w:rsidRPr="001C0011" w:rsidRDefault="002667DD" w:rsidP="007B7610">
            <w:pPr>
              <w:jc w:val="center"/>
              <w:rPr>
                <w:rFonts w:ascii="Calibri" w:hAnsi="Calibri"/>
                <w:b/>
                <w:bCs/>
                <w:color w:val="000000"/>
                <w:lang w:val="en-GB" w:eastAsia="hr-HR"/>
              </w:rPr>
            </w:pPr>
            <w:r w:rsidRPr="001C0011">
              <w:rPr>
                <w:rFonts w:ascii="Calibri" w:hAnsi="Calibri"/>
                <w:b/>
                <w:bCs/>
                <w:color w:val="000000"/>
                <w:sz w:val="22"/>
                <w:szCs w:val="22"/>
                <w:lang w:val="en-GB" w:eastAsia="hr-HR"/>
              </w:rPr>
              <w:t>2014</w:t>
            </w:r>
          </w:p>
        </w:tc>
      </w:tr>
      <w:tr w:rsidR="002667DD" w:rsidRPr="001C0011" w:rsidTr="007B7610">
        <w:trPr>
          <w:trHeight w:val="300"/>
        </w:trPr>
        <w:tc>
          <w:tcPr>
            <w:tcW w:w="5540" w:type="dxa"/>
            <w:tcBorders>
              <w:top w:val="nil"/>
              <w:left w:val="single" w:sz="8" w:space="0" w:color="auto"/>
              <w:bottom w:val="single" w:sz="4" w:space="0" w:color="auto"/>
              <w:right w:val="single" w:sz="8" w:space="0" w:color="auto"/>
            </w:tcBorders>
            <w:shd w:val="clear" w:color="auto" w:fill="auto"/>
            <w:noWrap/>
            <w:vAlign w:val="bottom"/>
            <w:hideMark/>
          </w:tcPr>
          <w:p w:rsidR="002667DD" w:rsidRPr="001C0011" w:rsidRDefault="002667DD" w:rsidP="007B7610">
            <w:pPr>
              <w:rPr>
                <w:rFonts w:ascii="Calibri" w:hAnsi="Calibri"/>
                <w:color w:val="000000"/>
                <w:lang w:val="en-GB" w:eastAsia="hr-HR"/>
              </w:rPr>
            </w:pPr>
            <w:r w:rsidRPr="001C0011">
              <w:rPr>
                <w:rFonts w:ascii="Calibri" w:hAnsi="Calibri"/>
                <w:color w:val="000000"/>
                <w:sz w:val="22"/>
                <w:szCs w:val="22"/>
                <w:lang w:val="en-GB" w:eastAsia="hr-HR"/>
              </w:rPr>
              <w:t>Number of people arrested or detained in police stations</w:t>
            </w:r>
          </w:p>
        </w:tc>
        <w:tc>
          <w:tcPr>
            <w:tcW w:w="700" w:type="dxa"/>
            <w:tcBorders>
              <w:top w:val="nil"/>
              <w:left w:val="nil"/>
              <w:bottom w:val="single" w:sz="4" w:space="0" w:color="auto"/>
              <w:right w:val="single" w:sz="8" w:space="0" w:color="auto"/>
            </w:tcBorders>
            <w:shd w:val="clear" w:color="auto" w:fill="auto"/>
            <w:noWrap/>
            <w:vAlign w:val="bottom"/>
            <w:hideMark/>
          </w:tcPr>
          <w:p w:rsidR="002667DD" w:rsidRPr="001C0011" w:rsidRDefault="002667DD" w:rsidP="007B7610">
            <w:pPr>
              <w:jc w:val="center"/>
              <w:rPr>
                <w:rFonts w:ascii="Calibri" w:hAnsi="Calibri"/>
                <w:color w:val="000000"/>
                <w:lang w:val="en-GB" w:eastAsia="hr-HR"/>
              </w:rPr>
            </w:pPr>
            <w:r w:rsidRPr="001C0011">
              <w:rPr>
                <w:rFonts w:ascii="Calibri" w:hAnsi="Calibri"/>
                <w:color w:val="000000"/>
                <w:sz w:val="22"/>
                <w:szCs w:val="22"/>
                <w:lang w:val="en-GB" w:eastAsia="hr-HR"/>
              </w:rPr>
              <w:t>45036</w:t>
            </w:r>
          </w:p>
        </w:tc>
        <w:tc>
          <w:tcPr>
            <w:tcW w:w="700" w:type="dxa"/>
            <w:tcBorders>
              <w:top w:val="nil"/>
              <w:left w:val="nil"/>
              <w:bottom w:val="nil"/>
              <w:right w:val="single" w:sz="8" w:space="0" w:color="auto"/>
            </w:tcBorders>
            <w:shd w:val="clear" w:color="auto" w:fill="auto"/>
            <w:noWrap/>
            <w:vAlign w:val="bottom"/>
            <w:hideMark/>
          </w:tcPr>
          <w:p w:rsidR="002667DD" w:rsidRPr="001C0011" w:rsidRDefault="002667DD" w:rsidP="007B7610">
            <w:pPr>
              <w:jc w:val="center"/>
              <w:rPr>
                <w:rFonts w:ascii="Calibri" w:hAnsi="Calibri"/>
                <w:color w:val="000000"/>
                <w:lang w:val="en-GB" w:eastAsia="hr-HR"/>
              </w:rPr>
            </w:pPr>
            <w:r w:rsidRPr="001C0011">
              <w:rPr>
                <w:rFonts w:ascii="Calibri" w:hAnsi="Calibri"/>
                <w:color w:val="000000"/>
                <w:sz w:val="22"/>
                <w:szCs w:val="22"/>
                <w:lang w:val="en-GB" w:eastAsia="hr-HR"/>
              </w:rPr>
              <w:t>47216</w:t>
            </w:r>
          </w:p>
        </w:tc>
        <w:tc>
          <w:tcPr>
            <w:tcW w:w="700" w:type="dxa"/>
            <w:tcBorders>
              <w:top w:val="nil"/>
              <w:left w:val="nil"/>
              <w:bottom w:val="nil"/>
              <w:right w:val="single" w:sz="8" w:space="0" w:color="auto"/>
            </w:tcBorders>
            <w:shd w:val="clear" w:color="auto" w:fill="auto"/>
            <w:noWrap/>
            <w:vAlign w:val="bottom"/>
            <w:hideMark/>
          </w:tcPr>
          <w:p w:rsidR="002667DD" w:rsidRPr="001C0011" w:rsidRDefault="002667DD" w:rsidP="007B7610">
            <w:pPr>
              <w:jc w:val="center"/>
              <w:rPr>
                <w:rFonts w:ascii="Calibri" w:hAnsi="Calibri"/>
                <w:color w:val="000000"/>
                <w:lang w:val="en-GB" w:eastAsia="hr-HR"/>
              </w:rPr>
            </w:pPr>
            <w:r w:rsidRPr="001C0011">
              <w:rPr>
                <w:rFonts w:ascii="Calibri" w:hAnsi="Calibri"/>
                <w:color w:val="000000"/>
                <w:sz w:val="22"/>
                <w:szCs w:val="22"/>
                <w:lang w:val="en-GB" w:eastAsia="hr-HR"/>
              </w:rPr>
              <w:t>42089</w:t>
            </w:r>
          </w:p>
        </w:tc>
        <w:tc>
          <w:tcPr>
            <w:tcW w:w="700" w:type="dxa"/>
            <w:tcBorders>
              <w:top w:val="nil"/>
              <w:left w:val="nil"/>
              <w:bottom w:val="nil"/>
              <w:right w:val="single" w:sz="8" w:space="0" w:color="auto"/>
            </w:tcBorders>
            <w:shd w:val="clear" w:color="auto" w:fill="auto"/>
            <w:noWrap/>
            <w:vAlign w:val="bottom"/>
            <w:hideMark/>
          </w:tcPr>
          <w:p w:rsidR="002667DD" w:rsidRPr="001C0011" w:rsidRDefault="002667DD" w:rsidP="007B7610">
            <w:pPr>
              <w:jc w:val="center"/>
              <w:rPr>
                <w:rFonts w:ascii="Calibri" w:hAnsi="Calibri"/>
                <w:color w:val="000000"/>
                <w:lang w:val="en-GB" w:eastAsia="hr-HR"/>
              </w:rPr>
            </w:pPr>
            <w:r w:rsidRPr="001C0011">
              <w:rPr>
                <w:rFonts w:ascii="Calibri" w:hAnsi="Calibri"/>
                <w:color w:val="000000"/>
                <w:sz w:val="22"/>
                <w:szCs w:val="22"/>
                <w:lang w:val="en-GB" w:eastAsia="hr-HR"/>
              </w:rPr>
              <w:t>39487</w:t>
            </w:r>
          </w:p>
        </w:tc>
        <w:tc>
          <w:tcPr>
            <w:tcW w:w="700" w:type="dxa"/>
            <w:tcBorders>
              <w:top w:val="nil"/>
              <w:left w:val="nil"/>
              <w:bottom w:val="nil"/>
              <w:right w:val="single" w:sz="8" w:space="0" w:color="auto"/>
            </w:tcBorders>
            <w:shd w:val="clear" w:color="auto" w:fill="auto"/>
            <w:noWrap/>
            <w:vAlign w:val="bottom"/>
            <w:hideMark/>
          </w:tcPr>
          <w:p w:rsidR="002667DD" w:rsidRPr="001C0011" w:rsidRDefault="002667DD" w:rsidP="007B7610">
            <w:pPr>
              <w:jc w:val="center"/>
              <w:rPr>
                <w:rFonts w:ascii="Calibri" w:hAnsi="Calibri"/>
                <w:color w:val="000000"/>
                <w:lang w:val="en-GB" w:eastAsia="hr-HR"/>
              </w:rPr>
            </w:pPr>
            <w:r w:rsidRPr="001C0011">
              <w:rPr>
                <w:rFonts w:ascii="Calibri" w:hAnsi="Calibri"/>
                <w:color w:val="000000"/>
                <w:sz w:val="22"/>
                <w:szCs w:val="22"/>
                <w:lang w:val="en-GB" w:eastAsia="hr-HR"/>
              </w:rPr>
              <w:t>32542</w:t>
            </w:r>
          </w:p>
        </w:tc>
      </w:tr>
      <w:tr w:rsidR="002667DD" w:rsidRPr="001C0011" w:rsidTr="007B7610">
        <w:trPr>
          <w:trHeight w:val="300"/>
        </w:trPr>
        <w:tc>
          <w:tcPr>
            <w:tcW w:w="5540" w:type="dxa"/>
            <w:tcBorders>
              <w:top w:val="nil"/>
              <w:left w:val="single" w:sz="8" w:space="0" w:color="auto"/>
              <w:bottom w:val="single" w:sz="4" w:space="0" w:color="auto"/>
              <w:right w:val="single" w:sz="8" w:space="0" w:color="auto"/>
            </w:tcBorders>
            <w:shd w:val="clear" w:color="auto" w:fill="auto"/>
            <w:noWrap/>
            <w:vAlign w:val="bottom"/>
            <w:hideMark/>
          </w:tcPr>
          <w:p w:rsidR="002667DD" w:rsidRPr="001C0011" w:rsidRDefault="002667DD" w:rsidP="007B7610">
            <w:pPr>
              <w:rPr>
                <w:rFonts w:ascii="Calibri" w:hAnsi="Calibri"/>
                <w:color w:val="000000"/>
                <w:lang w:val="en-GB" w:eastAsia="hr-HR"/>
              </w:rPr>
            </w:pPr>
            <w:r w:rsidRPr="001C0011">
              <w:rPr>
                <w:rFonts w:ascii="Calibri" w:hAnsi="Calibri"/>
                <w:color w:val="000000"/>
                <w:sz w:val="22"/>
                <w:szCs w:val="22"/>
                <w:lang w:val="en-GB" w:eastAsia="hr-HR"/>
              </w:rPr>
              <w:t>Number of people provisionally confined to police stations</w:t>
            </w:r>
          </w:p>
        </w:tc>
        <w:tc>
          <w:tcPr>
            <w:tcW w:w="700" w:type="dxa"/>
            <w:tcBorders>
              <w:top w:val="nil"/>
              <w:left w:val="nil"/>
              <w:bottom w:val="single" w:sz="4" w:space="0" w:color="auto"/>
              <w:right w:val="single" w:sz="8" w:space="0" w:color="auto"/>
            </w:tcBorders>
            <w:shd w:val="clear" w:color="auto" w:fill="auto"/>
            <w:noWrap/>
            <w:vAlign w:val="bottom"/>
            <w:hideMark/>
          </w:tcPr>
          <w:p w:rsidR="002667DD" w:rsidRPr="001C0011" w:rsidRDefault="002667DD" w:rsidP="007B7610">
            <w:pPr>
              <w:jc w:val="center"/>
              <w:rPr>
                <w:rFonts w:ascii="Calibri" w:hAnsi="Calibri"/>
                <w:color w:val="000000"/>
                <w:lang w:val="en-GB" w:eastAsia="hr-HR"/>
              </w:rPr>
            </w:pPr>
            <w:r w:rsidRPr="001C0011">
              <w:rPr>
                <w:rFonts w:ascii="Calibri" w:hAnsi="Calibri"/>
                <w:color w:val="000000"/>
                <w:sz w:val="22"/>
                <w:szCs w:val="22"/>
                <w:lang w:val="en-GB" w:eastAsia="hr-HR"/>
              </w:rPr>
              <w:t>50138</w:t>
            </w:r>
          </w:p>
        </w:tc>
        <w:tc>
          <w:tcPr>
            <w:tcW w:w="700" w:type="dxa"/>
            <w:tcBorders>
              <w:top w:val="single" w:sz="4" w:space="0" w:color="auto"/>
              <w:left w:val="nil"/>
              <w:bottom w:val="single" w:sz="4" w:space="0" w:color="auto"/>
              <w:right w:val="single" w:sz="8" w:space="0" w:color="auto"/>
            </w:tcBorders>
            <w:shd w:val="clear" w:color="auto" w:fill="auto"/>
            <w:noWrap/>
            <w:vAlign w:val="bottom"/>
            <w:hideMark/>
          </w:tcPr>
          <w:p w:rsidR="002667DD" w:rsidRPr="001C0011" w:rsidRDefault="002667DD" w:rsidP="007B7610">
            <w:pPr>
              <w:jc w:val="center"/>
              <w:rPr>
                <w:rFonts w:ascii="Calibri" w:hAnsi="Calibri"/>
                <w:color w:val="000000"/>
                <w:lang w:val="en-GB" w:eastAsia="hr-HR"/>
              </w:rPr>
            </w:pPr>
            <w:r w:rsidRPr="001C0011">
              <w:rPr>
                <w:rFonts w:ascii="Calibri" w:hAnsi="Calibri"/>
                <w:color w:val="000000"/>
                <w:sz w:val="22"/>
                <w:szCs w:val="22"/>
                <w:lang w:val="en-GB" w:eastAsia="hr-HR"/>
              </w:rPr>
              <w:t>49019</w:t>
            </w:r>
          </w:p>
        </w:tc>
        <w:tc>
          <w:tcPr>
            <w:tcW w:w="700" w:type="dxa"/>
            <w:tcBorders>
              <w:top w:val="single" w:sz="4" w:space="0" w:color="auto"/>
              <w:left w:val="nil"/>
              <w:bottom w:val="nil"/>
              <w:right w:val="single" w:sz="8" w:space="0" w:color="auto"/>
            </w:tcBorders>
            <w:shd w:val="clear" w:color="auto" w:fill="auto"/>
            <w:noWrap/>
            <w:vAlign w:val="bottom"/>
            <w:hideMark/>
          </w:tcPr>
          <w:p w:rsidR="002667DD" w:rsidRPr="001C0011" w:rsidRDefault="002667DD" w:rsidP="007B7610">
            <w:pPr>
              <w:jc w:val="center"/>
              <w:rPr>
                <w:rFonts w:ascii="Calibri" w:hAnsi="Calibri"/>
                <w:color w:val="000000"/>
                <w:lang w:val="en-GB" w:eastAsia="hr-HR"/>
              </w:rPr>
            </w:pPr>
            <w:r w:rsidRPr="001C0011">
              <w:rPr>
                <w:rFonts w:ascii="Calibri" w:hAnsi="Calibri"/>
                <w:color w:val="000000"/>
                <w:sz w:val="22"/>
                <w:szCs w:val="22"/>
                <w:lang w:val="en-GB" w:eastAsia="hr-HR"/>
              </w:rPr>
              <w:t>45900</w:t>
            </w:r>
          </w:p>
        </w:tc>
        <w:tc>
          <w:tcPr>
            <w:tcW w:w="700" w:type="dxa"/>
            <w:tcBorders>
              <w:top w:val="single" w:sz="4" w:space="0" w:color="auto"/>
              <w:left w:val="nil"/>
              <w:bottom w:val="single" w:sz="4" w:space="0" w:color="auto"/>
              <w:right w:val="single" w:sz="8" w:space="0" w:color="auto"/>
            </w:tcBorders>
            <w:shd w:val="clear" w:color="auto" w:fill="auto"/>
            <w:noWrap/>
            <w:vAlign w:val="bottom"/>
            <w:hideMark/>
          </w:tcPr>
          <w:p w:rsidR="002667DD" w:rsidRPr="001C0011" w:rsidRDefault="002667DD" w:rsidP="007B7610">
            <w:pPr>
              <w:jc w:val="center"/>
              <w:rPr>
                <w:rFonts w:ascii="Calibri" w:hAnsi="Calibri"/>
                <w:color w:val="000000"/>
                <w:lang w:val="en-GB" w:eastAsia="hr-HR"/>
              </w:rPr>
            </w:pPr>
            <w:r w:rsidRPr="001C0011">
              <w:rPr>
                <w:rFonts w:ascii="Calibri" w:hAnsi="Calibri"/>
                <w:color w:val="000000"/>
                <w:sz w:val="22"/>
                <w:szCs w:val="22"/>
                <w:lang w:val="en-GB" w:eastAsia="hr-HR"/>
              </w:rPr>
              <w:t>42173</w:t>
            </w:r>
          </w:p>
        </w:tc>
        <w:tc>
          <w:tcPr>
            <w:tcW w:w="700" w:type="dxa"/>
            <w:tcBorders>
              <w:top w:val="single" w:sz="4" w:space="0" w:color="auto"/>
              <w:left w:val="nil"/>
              <w:bottom w:val="nil"/>
              <w:right w:val="single" w:sz="8" w:space="0" w:color="auto"/>
            </w:tcBorders>
            <w:shd w:val="clear" w:color="auto" w:fill="auto"/>
            <w:noWrap/>
            <w:vAlign w:val="bottom"/>
            <w:hideMark/>
          </w:tcPr>
          <w:p w:rsidR="002667DD" w:rsidRPr="001C0011" w:rsidRDefault="002667DD" w:rsidP="007B7610">
            <w:pPr>
              <w:jc w:val="center"/>
              <w:rPr>
                <w:rFonts w:ascii="Calibri" w:hAnsi="Calibri"/>
                <w:color w:val="000000"/>
                <w:lang w:val="en-GB" w:eastAsia="hr-HR"/>
              </w:rPr>
            </w:pPr>
            <w:r w:rsidRPr="001C0011">
              <w:rPr>
                <w:rFonts w:ascii="Calibri" w:hAnsi="Calibri"/>
                <w:color w:val="000000"/>
                <w:sz w:val="22"/>
                <w:szCs w:val="22"/>
                <w:lang w:val="en-GB" w:eastAsia="hr-HR"/>
              </w:rPr>
              <w:t>32536</w:t>
            </w:r>
          </w:p>
        </w:tc>
      </w:tr>
      <w:tr w:rsidR="002667DD" w:rsidRPr="001C0011" w:rsidTr="007B7610">
        <w:trPr>
          <w:trHeight w:val="615"/>
        </w:trPr>
        <w:tc>
          <w:tcPr>
            <w:tcW w:w="5540" w:type="dxa"/>
            <w:tcBorders>
              <w:top w:val="nil"/>
              <w:left w:val="single" w:sz="8" w:space="0" w:color="auto"/>
              <w:bottom w:val="single" w:sz="8" w:space="0" w:color="auto"/>
              <w:right w:val="single" w:sz="8" w:space="0" w:color="auto"/>
            </w:tcBorders>
            <w:shd w:val="clear" w:color="auto" w:fill="auto"/>
            <w:vAlign w:val="bottom"/>
            <w:hideMark/>
          </w:tcPr>
          <w:p w:rsidR="002667DD" w:rsidRPr="001C0011" w:rsidRDefault="002667DD" w:rsidP="007B7610">
            <w:pPr>
              <w:rPr>
                <w:rFonts w:ascii="Calibri" w:hAnsi="Calibri"/>
                <w:color w:val="000000"/>
                <w:lang w:val="en-GB" w:eastAsia="hr-HR"/>
              </w:rPr>
            </w:pPr>
            <w:r w:rsidRPr="001C0011">
              <w:rPr>
                <w:rFonts w:ascii="Calibri" w:hAnsi="Calibri"/>
                <w:color w:val="000000"/>
                <w:sz w:val="22"/>
                <w:szCs w:val="22"/>
                <w:lang w:val="en-GB" w:eastAsia="hr-HR"/>
              </w:rPr>
              <w:t xml:space="preserve">Number of people arrested and </w:t>
            </w:r>
            <w:r>
              <w:rPr>
                <w:rFonts w:ascii="Calibri" w:hAnsi="Calibri"/>
                <w:color w:val="000000"/>
                <w:sz w:val="22"/>
                <w:szCs w:val="22"/>
                <w:lang w:val="en-GB" w:eastAsia="hr-HR"/>
              </w:rPr>
              <w:t>delivered</w:t>
            </w:r>
            <w:r w:rsidRPr="001C0011">
              <w:rPr>
                <w:rFonts w:ascii="Calibri" w:hAnsi="Calibri"/>
                <w:color w:val="000000"/>
                <w:sz w:val="22"/>
                <w:szCs w:val="22"/>
                <w:lang w:val="en-GB" w:eastAsia="hr-HR"/>
              </w:rPr>
              <w:t xml:space="preserve"> to a detention supervisor in police detention unit </w:t>
            </w:r>
          </w:p>
        </w:tc>
        <w:tc>
          <w:tcPr>
            <w:tcW w:w="700" w:type="dxa"/>
            <w:tcBorders>
              <w:top w:val="nil"/>
              <w:left w:val="nil"/>
              <w:bottom w:val="single" w:sz="8" w:space="0" w:color="auto"/>
              <w:right w:val="single" w:sz="8" w:space="0" w:color="auto"/>
            </w:tcBorders>
            <w:shd w:val="clear" w:color="auto" w:fill="auto"/>
            <w:noWrap/>
            <w:vAlign w:val="bottom"/>
            <w:hideMark/>
          </w:tcPr>
          <w:p w:rsidR="002667DD" w:rsidRPr="001C0011" w:rsidRDefault="002667DD" w:rsidP="007B7610">
            <w:pPr>
              <w:jc w:val="center"/>
              <w:rPr>
                <w:rFonts w:ascii="Calibri" w:hAnsi="Calibri"/>
                <w:color w:val="000000"/>
                <w:lang w:val="en-GB" w:eastAsia="hr-HR"/>
              </w:rPr>
            </w:pPr>
            <w:r w:rsidRPr="001C0011">
              <w:rPr>
                <w:rFonts w:ascii="Calibri" w:hAnsi="Calibri"/>
                <w:color w:val="000000"/>
                <w:sz w:val="22"/>
                <w:szCs w:val="22"/>
                <w:lang w:val="en-GB" w:eastAsia="hr-HR"/>
              </w:rPr>
              <w:t>156</w:t>
            </w:r>
          </w:p>
        </w:tc>
        <w:tc>
          <w:tcPr>
            <w:tcW w:w="700" w:type="dxa"/>
            <w:tcBorders>
              <w:top w:val="nil"/>
              <w:left w:val="nil"/>
              <w:bottom w:val="single" w:sz="8" w:space="0" w:color="auto"/>
              <w:right w:val="single" w:sz="8" w:space="0" w:color="auto"/>
            </w:tcBorders>
            <w:shd w:val="clear" w:color="auto" w:fill="auto"/>
            <w:noWrap/>
            <w:vAlign w:val="bottom"/>
            <w:hideMark/>
          </w:tcPr>
          <w:p w:rsidR="002667DD" w:rsidRPr="001C0011" w:rsidRDefault="002667DD" w:rsidP="007B7610">
            <w:pPr>
              <w:jc w:val="center"/>
              <w:rPr>
                <w:rFonts w:ascii="Calibri" w:hAnsi="Calibri"/>
                <w:color w:val="000000"/>
                <w:lang w:val="en-GB" w:eastAsia="hr-HR"/>
              </w:rPr>
            </w:pPr>
            <w:r w:rsidRPr="001C0011">
              <w:rPr>
                <w:rFonts w:ascii="Calibri" w:hAnsi="Calibri"/>
                <w:color w:val="000000"/>
                <w:sz w:val="22"/>
                <w:szCs w:val="22"/>
                <w:lang w:val="en-GB" w:eastAsia="hr-HR"/>
              </w:rPr>
              <w:t>1106</w:t>
            </w:r>
          </w:p>
        </w:tc>
        <w:tc>
          <w:tcPr>
            <w:tcW w:w="700" w:type="dxa"/>
            <w:tcBorders>
              <w:top w:val="single" w:sz="4" w:space="0" w:color="auto"/>
              <w:left w:val="nil"/>
              <w:bottom w:val="single" w:sz="8" w:space="0" w:color="auto"/>
              <w:right w:val="single" w:sz="8" w:space="0" w:color="auto"/>
            </w:tcBorders>
            <w:shd w:val="clear" w:color="auto" w:fill="auto"/>
            <w:noWrap/>
            <w:vAlign w:val="bottom"/>
            <w:hideMark/>
          </w:tcPr>
          <w:p w:rsidR="002667DD" w:rsidRPr="001C0011" w:rsidRDefault="002667DD" w:rsidP="007B7610">
            <w:pPr>
              <w:jc w:val="center"/>
              <w:rPr>
                <w:rFonts w:ascii="Calibri" w:hAnsi="Calibri"/>
                <w:color w:val="000000"/>
                <w:lang w:val="en-GB" w:eastAsia="hr-HR"/>
              </w:rPr>
            </w:pPr>
            <w:r w:rsidRPr="001C0011">
              <w:rPr>
                <w:rFonts w:ascii="Calibri" w:hAnsi="Calibri"/>
                <w:color w:val="000000"/>
                <w:sz w:val="22"/>
                <w:szCs w:val="22"/>
                <w:lang w:val="en-GB" w:eastAsia="hr-HR"/>
              </w:rPr>
              <w:t>3359</w:t>
            </w:r>
          </w:p>
        </w:tc>
        <w:tc>
          <w:tcPr>
            <w:tcW w:w="700" w:type="dxa"/>
            <w:tcBorders>
              <w:top w:val="nil"/>
              <w:left w:val="nil"/>
              <w:bottom w:val="single" w:sz="8" w:space="0" w:color="auto"/>
              <w:right w:val="nil"/>
            </w:tcBorders>
            <w:shd w:val="clear" w:color="auto" w:fill="auto"/>
            <w:noWrap/>
            <w:vAlign w:val="bottom"/>
            <w:hideMark/>
          </w:tcPr>
          <w:p w:rsidR="002667DD" w:rsidRPr="001C0011" w:rsidRDefault="002667DD" w:rsidP="007B7610">
            <w:pPr>
              <w:jc w:val="center"/>
              <w:rPr>
                <w:rFonts w:ascii="Calibri" w:hAnsi="Calibri"/>
                <w:color w:val="000000"/>
                <w:lang w:val="en-GB" w:eastAsia="hr-HR"/>
              </w:rPr>
            </w:pPr>
            <w:r w:rsidRPr="001C0011">
              <w:rPr>
                <w:rFonts w:ascii="Calibri" w:hAnsi="Calibri"/>
                <w:color w:val="000000"/>
                <w:sz w:val="22"/>
                <w:szCs w:val="22"/>
                <w:lang w:val="en-GB" w:eastAsia="hr-HR"/>
              </w:rPr>
              <w:t>4631</w:t>
            </w:r>
          </w:p>
        </w:tc>
        <w:tc>
          <w:tcPr>
            <w:tcW w:w="700"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2667DD" w:rsidRPr="001C0011" w:rsidRDefault="002667DD" w:rsidP="007B7610">
            <w:pPr>
              <w:jc w:val="center"/>
              <w:rPr>
                <w:rFonts w:ascii="Calibri" w:hAnsi="Calibri"/>
                <w:color w:val="000000"/>
                <w:lang w:val="en-GB" w:eastAsia="hr-HR"/>
              </w:rPr>
            </w:pPr>
            <w:r w:rsidRPr="001C0011">
              <w:rPr>
                <w:rFonts w:ascii="Calibri" w:hAnsi="Calibri"/>
                <w:color w:val="000000"/>
                <w:sz w:val="22"/>
                <w:szCs w:val="22"/>
                <w:lang w:val="en-GB" w:eastAsia="hr-HR"/>
              </w:rPr>
              <w:t>4451</w:t>
            </w:r>
          </w:p>
        </w:tc>
      </w:tr>
    </w:tbl>
    <w:p w:rsidR="002667DD" w:rsidRPr="001C0011" w:rsidRDefault="002667DD" w:rsidP="002667DD">
      <w:pPr>
        <w:spacing w:after="240"/>
        <w:rPr>
          <w:rFonts w:ascii="Arial" w:hAnsi="Arial" w:cs="Arial"/>
          <w:lang w:val="en-GB"/>
        </w:rPr>
      </w:pPr>
      <w:r w:rsidRPr="001C0011">
        <w:rPr>
          <w:rFonts w:ascii="Arial" w:hAnsi="Arial" w:cs="Arial"/>
          <w:lang w:val="en-GB"/>
        </w:rPr>
        <w:t xml:space="preserve">   </w:t>
      </w:r>
    </w:p>
    <w:p w:rsidR="00C61907" w:rsidRDefault="00C61907" w:rsidP="00BA0BE1">
      <w:pPr>
        <w:spacing w:after="240"/>
        <w:ind w:firstLine="708"/>
        <w:rPr>
          <w:rFonts w:ascii="Arial" w:hAnsi="Arial" w:cs="Arial"/>
        </w:rPr>
      </w:pPr>
    </w:p>
    <w:p w:rsidR="00C31BF6" w:rsidRPr="00FC3AA8" w:rsidRDefault="00C31BF6" w:rsidP="00C31BF6">
      <w:pPr>
        <w:spacing w:after="240"/>
        <w:ind w:firstLine="708"/>
        <w:rPr>
          <w:rFonts w:ascii="Arial" w:hAnsi="Arial" w:cs="Arial"/>
          <w:b/>
          <w:noProof/>
        </w:rPr>
      </w:pPr>
      <w:r>
        <w:rPr>
          <w:rFonts w:ascii="Arial" w:hAnsi="Arial" w:cs="Arial"/>
          <w:b/>
          <w:noProof/>
        </w:rPr>
        <w:t>STATUS REGULATION OF ROMA IN THE REPUBLIC OF CROATIA</w:t>
      </w:r>
    </w:p>
    <w:p w:rsidR="00C31BF6" w:rsidRPr="00374AEA" w:rsidRDefault="00C31BF6" w:rsidP="00C31BF6">
      <w:pPr>
        <w:jc w:val="both"/>
        <w:rPr>
          <w:rFonts w:ascii="Arial" w:hAnsi="Arial" w:cs="Arial"/>
          <w:lang w:val="en-US"/>
        </w:rPr>
      </w:pPr>
      <w:r w:rsidRPr="00374AEA">
        <w:rPr>
          <w:rFonts w:ascii="Arial" w:hAnsi="Arial" w:cs="Arial"/>
          <w:lang w:val="en-US"/>
        </w:rPr>
        <w:t>With respect to status regulation of the Roma, and specifically to the comments that they cannot regulate their stay in the Republic of Croatia due to</w:t>
      </w:r>
      <w:r>
        <w:rPr>
          <w:rFonts w:ascii="Arial" w:hAnsi="Arial" w:cs="Arial"/>
          <w:lang w:val="en-US"/>
        </w:rPr>
        <w:t xml:space="preserve"> the lack of a valid foreign travel document, we would like to stress that this Ministry makes every effort to provide assistance to this category of persons. In individual cases information is thought through the Ministry of Foreign and European Affairs on citizenship status of Roma, as well as the information on what applicants can do themselves in order to be registered in civil registries in their home countries.</w:t>
      </w:r>
    </w:p>
    <w:p w:rsidR="00C31BF6" w:rsidRPr="00374AEA" w:rsidRDefault="00C31BF6" w:rsidP="00C31BF6">
      <w:pPr>
        <w:jc w:val="both"/>
        <w:rPr>
          <w:rFonts w:ascii="Arial" w:hAnsi="Arial" w:cs="Arial"/>
          <w:lang w:val="en-US"/>
        </w:rPr>
      </w:pPr>
    </w:p>
    <w:p w:rsidR="00C31BF6" w:rsidRPr="00EE2D0C" w:rsidRDefault="00C31BF6" w:rsidP="00C31BF6">
      <w:pPr>
        <w:jc w:val="both"/>
        <w:rPr>
          <w:rFonts w:ascii="Arial" w:hAnsi="Arial" w:cs="Arial"/>
          <w:lang w:val="en-US"/>
        </w:rPr>
      </w:pPr>
      <w:r w:rsidRPr="00EE2D0C">
        <w:rPr>
          <w:rFonts w:ascii="Arial" w:hAnsi="Arial" w:cs="Arial"/>
          <w:lang w:val="en-US"/>
        </w:rPr>
        <w:t xml:space="preserve">Please note that the 2014 report on the implementation of the Action Plan for the implementation of the National Strategy for the Inclusion of Roma for the period 2013-2015, states that 420 </w:t>
      </w:r>
      <w:r>
        <w:rPr>
          <w:rFonts w:ascii="Arial" w:hAnsi="Arial" w:cs="Arial"/>
          <w:lang w:val="en-US"/>
        </w:rPr>
        <w:t xml:space="preserve">applications to resolve status issues </w:t>
      </w:r>
      <w:r w:rsidRPr="00EE2D0C">
        <w:rPr>
          <w:rFonts w:ascii="Arial" w:hAnsi="Arial" w:cs="Arial"/>
          <w:lang w:val="en-US"/>
        </w:rPr>
        <w:t>wer</w:t>
      </w:r>
      <w:r>
        <w:rPr>
          <w:rFonts w:ascii="Arial" w:hAnsi="Arial" w:cs="Arial"/>
          <w:lang w:val="en-US"/>
        </w:rPr>
        <w:t>e</w:t>
      </w:r>
      <w:r w:rsidRPr="00EE2D0C">
        <w:rPr>
          <w:rFonts w:ascii="Arial" w:hAnsi="Arial" w:cs="Arial"/>
          <w:lang w:val="en-US"/>
        </w:rPr>
        <w:t xml:space="preserve"> file</w:t>
      </w:r>
      <w:r>
        <w:rPr>
          <w:rFonts w:ascii="Arial" w:hAnsi="Arial" w:cs="Arial"/>
          <w:lang w:val="en-US"/>
        </w:rPr>
        <w:t>d</w:t>
      </w:r>
      <w:r w:rsidRPr="00EE2D0C">
        <w:rPr>
          <w:rFonts w:ascii="Arial" w:hAnsi="Arial" w:cs="Arial"/>
          <w:lang w:val="en-US"/>
        </w:rPr>
        <w:t xml:space="preserve"> in 2014, 353 of which (or 84%) were </w:t>
      </w:r>
      <w:r>
        <w:rPr>
          <w:rFonts w:ascii="Arial" w:hAnsi="Arial" w:cs="Arial"/>
          <w:lang w:val="en-US"/>
        </w:rPr>
        <w:t>approved, according to</w:t>
      </w:r>
      <w:r w:rsidRPr="00EE2D0C">
        <w:rPr>
          <w:rFonts w:ascii="Arial" w:hAnsi="Arial" w:cs="Arial"/>
          <w:lang w:val="en-US"/>
        </w:rPr>
        <w:t xml:space="preserve"> reports submitted by mobile teams for the Roma, as well as on the basis of official records of the Ministry of t</w:t>
      </w:r>
      <w:r>
        <w:rPr>
          <w:rFonts w:ascii="Arial" w:hAnsi="Arial" w:cs="Arial"/>
          <w:lang w:val="en-US"/>
        </w:rPr>
        <w:t>he</w:t>
      </w:r>
      <w:r w:rsidRPr="00EE2D0C">
        <w:rPr>
          <w:rFonts w:ascii="Arial" w:hAnsi="Arial" w:cs="Arial"/>
          <w:lang w:val="en-US"/>
        </w:rPr>
        <w:t xml:space="preserve"> Interior. </w:t>
      </w:r>
      <w:r>
        <w:rPr>
          <w:rFonts w:ascii="Arial" w:hAnsi="Arial" w:cs="Arial"/>
          <w:lang w:val="en-US"/>
        </w:rPr>
        <w:t>The data show progress compared to 2013 when 68% applications were approved (228 out of 344).</w:t>
      </w:r>
    </w:p>
    <w:p w:rsidR="00C31BF6" w:rsidRDefault="00C31BF6" w:rsidP="00C31BF6">
      <w:pPr>
        <w:jc w:val="both"/>
        <w:rPr>
          <w:rFonts w:ascii="Arial" w:hAnsi="Arial" w:cs="Arial"/>
        </w:rPr>
      </w:pPr>
    </w:p>
    <w:p w:rsidR="00C31BF6" w:rsidRPr="00A05541" w:rsidRDefault="00C31BF6" w:rsidP="00C31BF6">
      <w:pPr>
        <w:jc w:val="both"/>
        <w:rPr>
          <w:rFonts w:ascii="Arial" w:hAnsi="Arial" w:cs="Arial"/>
          <w:lang w:val="en-US"/>
        </w:rPr>
      </w:pPr>
      <w:r w:rsidRPr="00A05541">
        <w:rPr>
          <w:rFonts w:ascii="Arial" w:hAnsi="Arial" w:cs="Arial"/>
          <w:lang w:val="en-US"/>
        </w:rPr>
        <w:t>In order to improve living conditions of the Roma national minority</w:t>
      </w:r>
      <w:r>
        <w:rPr>
          <w:rFonts w:ascii="Arial" w:hAnsi="Arial" w:cs="Arial"/>
          <w:lang w:val="en-US"/>
        </w:rPr>
        <w:t>,</w:t>
      </w:r>
      <w:r w:rsidRPr="00A05541">
        <w:rPr>
          <w:rFonts w:ascii="Arial" w:hAnsi="Arial" w:cs="Arial"/>
          <w:lang w:val="en-US"/>
        </w:rPr>
        <w:t xml:space="preserve"> r</w:t>
      </w:r>
      <w:r w:rsidRPr="00A05541">
        <w:rPr>
          <w:rStyle w:val="Emphasis"/>
          <w:rFonts w:ascii="Arial" w:hAnsi="Arial" w:cs="Arial"/>
          <w:bCs/>
          <w:shd w:val="clear" w:color="auto" w:fill="FFFFFF"/>
          <w:lang w:val="en-US"/>
        </w:rPr>
        <w:t xml:space="preserve">equests </w:t>
      </w:r>
      <w:r w:rsidRPr="00A05541">
        <w:rPr>
          <w:rFonts w:ascii="Arial" w:hAnsi="Arial" w:cs="Arial"/>
          <w:shd w:val="clear" w:color="auto" w:fill="FFFFFF"/>
          <w:lang w:val="en-US"/>
        </w:rPr>
        <w:t xml:space="preserve">for </w:t>
      </w:r>
      <w:r w:rsidRPr="00A05541">
        <w:rPr>
          <w:rStyle w:val="Emphasis"/>
          <w:rFonts w:ascii="Arial" w:hAnsi="Arial" w:cs="Arial"/>
          <w:bCs/>
          <w:shd w:val="clear" w:color="auto" w:fill="FFFFFF"/>
          <w:lang w:val="en-US"/>
        </w:rPr>
        <w:t xml:space="preserve">acquiring Croatian citizenship </w:t>
      </w:r>
      <w:r w:rsidRPr="00A05541">
        <w:rPr>
          <w:rFonts w:ascii="Arial" w:hAnsi="Arial" w:cs="Arial"/>
          <w:shd w:val="clear" w:color="auto" w:fill="FFFFFF"/>
          <w:lang w:val="en-US"/>
        </w:rPr>
        <w:t xml:space="preserve">on grounds of </w:t>
      </w:r>
      <w:r w:rsidRPr="00A05541">
        <w:rPr>
          <w:rStyle w:val="Emphasis"/>
          <w:rFonts w:ascii="Arial" w:hAnsi="Arial" w:cs="Arial"/>
          <w:bCs/>
          <w:shd w:val="clear" w:color="auto" w:fill="FFFFFF"/>
          <w:lang w:val="en-US"/>
        </w:rPr>
        <w:t>naturalization for members of Roma national minority are a priority</w:t>
      </w:r>
      <w:r>
        <w:rPr>
          <w:rStyle w:val="Emphasis"/>
          <w:rFonts w:ascii="Arial" w:hAnsi="Arial" w:cs="Arial"/>
          <w:bCs/>
          <w:shd w:val="clear" w:color="auto" w:fill="FFFFFF"/>
          <w:lang w:val="en-US"/>
        </w:rPr>
        <w:t xml:space="preserve"> during which procedure </w:t>
      </w:r>
      <w:r w:rsidRPr="00A05541">
        <w:rPr>
          <w:rFonts w:ascii="Arial" w:hAnsi="Arial" w:cs="Arial"/>
          <w:lang w:val="en-US"/>
        </w:rPr>
        <w:t>this Ministry provides legal assistance</w:t>
      </w:r>
      <w:r>
        <w:rPr>
          <w:rFonts w:ascii="Arial" w:hAnsi="Arial" w:cs="Arial"/>
          <w:lang w:val="en-US"/>
        </w:rPr>
        <w:t xml:space="preserve"> to applicants </w:t>
      </w:r>
      <w:r w:rsidRPr="00A05541">
        <w:rPr>
          <w:rFonts w:ascii="Arial" w:hAnsi="Arial" w:cs="Arial"/>
          <w:lang w:val="en-US"/>
        </w:rPr>
        <w:t>familiariz</w:t>
      </w:r>
      <w:r>
        <w:rPr>
          <w:rFonts w:ascii="Arial" w:hAnsi="Arial" w:cs="Arial"/>
          <w:lang w:val="en-US"/>
        </w:rPr>
        <w:t>ing them</w:t>
      </w:r>
      <w:r w:rsidRPr="00A05541">
        <w:rPr>
          <w:rFonts w:ascii="Arial" w:hAnsi="Arial" w:cs="Arial"/>
          <w:lang w:val="en-US"/>
        </w:rPr>
        <w:t xml:space="preserve"> with conditions and ways in which they can acquire Croatian citizenship. If their status has not been regulated in the country of their birth, they are referred to competent foreign authorities to exercise their rights. If, as a preliminary issue, during the procedure of acquiring Croatian citizenship emerges a need to subsequently register a person into the registry of births in the Republic of Croatia, the Ministry of the Interior regularly contacts and cooperates with competent registry offices and the Ministry of Public Administration.</w:t>
      </w:r>
    </w:p>
    <w:p w:rsidR="00C31BF6" w:rsidRDefault="00C31BF6" w:rsidP="00C31BF6">
      <w:pPr>
        <w:jc w:val="both"/>
        <w:rPr>
          <w:rFonts w:ascii="Arial" w:hAnsi="Arial" w:cs="Arial"/>
        </w:rPr>
      </w:pPr>
    </w:p>
    <w:p w:rsidR="00C31BF6" w:rsidRPr="00860A1B" w:rsidRDefault="00C31BF6" w:rsidP="00C31BF6">
      <w:pPr>
        <w:jc w:val="both"/>
        <w:rPr>
          <w:rFonts w:ascii="Arial" w:hAnsi="Arial" w:cs="Arial"/>
          <w:lang w:val="en-US"/>
        </w:rPr>
      </w:pPr>
      <w:r w:rsidRPr="00860A1B">
        <w:rPr>
          <w:rFonts w:ascii="Arial" w:hAnsi="Arial" w:cs="Arial"/>
          <w:lang w:val="en-US"/>
        </w:rPr>
        <w:t>Special records document applications for acquiring Croatian citizenship filed by members of the Roma national minorities and the situation is regularly monitored.</w:t>
      </w:r>
    </w:p>
    <w:p w:rsidR="00C31BF6" w:rsidRPr="00860A1B" w:rsidRDefault="00C31BF6" w:rsidP="00C31BF6">
      <w:pPr>
        <w:jc w:val="both"/>
        <w:rPr>
          <w:rFonts w:ascii="Arial" w:hAnsi="Arial" w:cs="Arial"/>
          <w:lang w:val="en-US"/>
        </w:rPr>
      </w:pPr>
    </w:p>
    <w:p w:rsidR="00082DF8" w:rsidRPr="00C31BF6" w:rsidRDefault="00C31BF6" w:rsidP="00C31BF6">
      <w:pPr>
        <w:jc w:val="both"/>
        <w:rPr>
          <w:lang w:val="en-US"/>
        </w:rPr>
      </w:pPr>
      <w:r w:rsidRPr="00860A1B">
        <w:rPr>
          <w:rFonts w:ascii="Arial" w:hAnsi="Arial" w:cs="Arial"/>
          <w:lang w:val="en-US"/>
        </w:rPr>
        <w:t>The records of this Ministry show th</w:t>
      </w:r>
      <w:r>
        <w:rPr>
          <w:rFonts w:ascii="Arial" w:hAnsi="Arial" w:cs="Arial"/>
          <w:lang w:val="en-US"/>
        </w:rPr>
        <w:t>at the</w:t>
      </w:r>
      <w:r w:rsidRPr="00860A1B">
        <w:rPr>
          <w:rFonts w:ascii="Arial" w:hAnsi="Arial" w:cs="Arial"/>
          <w:lang w:val="en-US"/>
        </w:rPr>
        <w:t xml:space="preserve"> period from 30.08.2007 to 16.03.2015 </w:t>
      </w:r>
      <w:r>
        <w:rPr>
          <w:rFonts w:ascii="Arial" w:hAnsi="Arial" w:cs="Arial"/>
          <w:lang w:val="en-US"/>
        </w:rPr>
        <w:t xml:space="preserve">saw </w:t>
      </w:r>
      <w:r w:rsidRPr="00860A1B">
        <w:rPr>
          <w:rFonts w:ascii="Arial" w:hAnsi="Arial" w:cs="Arial"/>
          <w:lang w:val="en-US"/>
        </w:rPr>
        <w:t xml:space="preserve">335 </w:t>
      </w:r>
      <w:r>
        <w:rPr>
          <w:rFonts w:ascii="Arial" w:hAnsi="Arial" w:cs="Arial"/>
          <w:lang w:val="en-US"/>
        </w:rPr>
        <w:t>members of the Roma national minority acquire Croatian citizenship, 113 of whom are minors.</w:t>
      </w:r>
    </w:p>
    <w:sectPr w:rsidR="00082DF8" w:rsidRPr="00C31BF6" w:rsidSect="00E576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D7547"/>
    <w:multiLevelType w:val="hybridMultilevel"/>
    <w:tmpl w:val="36E2CF42"/>
    <w:lvl w:ilvl="0" w:tplc="D98ECFF2">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nsid w:val="33A871C9"/>
    <w:multiLevelType w:val="hybridMultilevel"/>
    <w:tmpl w:val="F7FC33B0"/>
    <w:lvl w:ilvl="0" w:tplc="20C6A12E">
      <w:start w:val="1"/>
      <w:numFmt w:val="decimal"/>
      <w:lvlText w:val="%1."/>
      <w:lvlJc w:val="left"/>
      <w:pPr>
        <w:ind w:left="1140" w:hanging="360"/>
      </w:pPr>
      <w:rPr>
        <w:rFonts w:hint="default"/>
        <w:i/>
      </w:rPr>
    </w:lvl>
    <w:lvl w:ilvl="1" w:tplc="041A0019" w:tentative="1">
      <w:start w:val="1"/>
      <w:numFmt w:val="lowerLetter"/>
      <w:lvlText w:val="%2."/>
      <w:lvlJc w:val="left"/>
      <w:pPr>
        <w:ind w:left="1860" w:hanging="360"/>
      </w:pPr>
    </w:lvl>
    <w:lvl w:ilvl="2" w:tplc="041A001B" w:tentative="1">
      <w:start w:val="1"/>
      <w:numFmt w:val="lowerRoman"/>
      <w:lvlText w:val="%3."/>
      <w:lvlJc w:val="right"/>
      <w:pPr>
        <w:ind w:left="2580" w:hanging="180"/>
      </w:pPr>
    </w:lvl>
    <w:lvl w:ilvl="3" w:tplc="041A000F" w:tentative="1">
      <w:start w:val="1"/>
      <w:numFmt w:val="decimal"/>
      <w:lvlText w:val="%4."/>
      <w:lvlJc w:val="left"/>
      <w:pPr>
        <w:ind w:left="3300" w:hanging="360"/>
      </w:pPr>
    </w:lvl>
    <w:lvl w:ilvl="4" w:tplc="041A0019" w:tentative="1">
      <w:start w:val="1"/>
      <w:numFmt w:val="lowerLetter"/>
      <w:lvlText w:val="%5."/>
      <w:lvlJc w:val="left"/>
      <w:pPr>
        <w:ind w:left="4020" w:hanging="360"/>
      </w:pPr>
    </w:lvl>
    <w:lvl w:ilvl="5" w:tplc="041A001B" w:tentative="1">
      <w:start w:val="1"/>
      <w:numFmt w:val="lowerRoman"/>
      <w:lvlText w:val="%6."/>
      <w:lvlJc w:val="right"/>
      <w:pPr>
        <w:ind w:left="4740" w:hanging="180"/>
      </w:pPr>
    </w:lvl>
    <w:lvl w:ilvl="6" w:tplc="041A000F" w:tentative="1">
      <w:start w:val="1"/>
      <w:numFmt w:val="decimal"/>
      <w:lvlText w:val="%7."/>
      <w:lvlJc w:val="left"/>
      <w:pPr>
        <w:ind w:left="5460" w:hanging="360"/>
      </w:pPr>
    </w:lvl>
    <w:lvl w:ilvl="7" w:tplc="041A0019" w:tentative="1">
      <w:start w:val="1"/>
      <w:numFmt w:val="lowerLetter"/>
      <w:lvlText w:val="%8."/>
      <w:lvlJc w:val="left"/>
      <w:pPr>
        <w:ind w:left="6180" w:hanging="360"/>
      </w:pPr>
    </w:lvl>
    <w:lvl w:ilvl="8" w:tplc="041A001B" w:tentative="1">
      <w:start w:val="1"/>
      <w:numFmt w:val="lowerRoman"/>
      <w:lvlText w:val="%9."/>
      <w:lvlJc w:val="right"/>
      <w:pPr>
        <w:ind w:left="6900" w:hanging="180"/>
      </w:pPr>
    </w:lvl>
  </w:abstractNum>
  <w:abstractNum w:abstractNumId="2">
    <w:nsid w:val="58FE538F"/>
    <w:multiLevelType w:val="hybridMultilevel"/>
    <w:tmpl w:val="2FA2D61A"/>
    <w:lvl w:ilvl="0" w:tplc="762E3BC4">
      <w:numFmt w:val="bullet"/>
      <w:lvlText w:val=""/>
      <w:lvlJc w:val="left"/>
      <w:pPr>
        <w:ind w:left="720" w:hanging="360"/>
      </w:pPr>
      <w:rPr>
        <w:rFonts w:ascii="Symbol" w:eastAsia="Times New Roman" w:hAnsi="Symbo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nsid w:val="5DB06C64"/>
    <w:multiLevelType w:val="hybridMultilevel"/>
    <w:tmpl w:val="BF083B8A"/>
    <w:lvl w:ilvl="0" w:tplc="44DAEC9C">
      <w:start w:val="2"/>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4">
    <w:nsid w:val="70A12515"/>
    <w:multiLevelType w:val="hybridMultilevel"/>
    <w:tmpl w:val="17D4755C"/>
    <w:lvl w:ilvl="0" w:tplc="2B444C94">
      <w:numFmt w:val="bullet"/>
      <w:lvlText w:val=""/>
      <w:lvlJc w:val="left"/>
      <w:pPr>
        <w:ind w:left="720" w:hanging="360"/>
      </w:pPr>
      <w:rPr>
        <w:rFonts w:ascii="Symbol" w:eastAsia="Times New Roman" w:hAnsi="Symbo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784B2A40"/>
    <w:multiLevelType w:val="hybridMultilevel"/>
    <w:tmpl w:val="6FAA49CE"/>
    <w:lvl w:ilvl="0" w:tplc="05D419A6">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2F0"/>
    <w:rsid w:val="00082DF8"/>
    <w:rsid w:val="000F15C1"/>
    <w:rsid w:val="00153777"/>
    <w:rsid w:val="00246F42"/>
    <w:rsid w:val="002667DD"/>
    <w:rsid w:val="00267632"/>
    <w:rsid w:val="002A5D54"/>
    <w:rsid w:val="002D4482"/>
    <w:rsid w:val="002E0DAD"/>
    <w:rsid w:val="00303D6D"/>
    <w:rsid w:val="00394032"/>
    <w:rsid w:val="004154E2"/>
    <w:rsid w:val="0048066E"/>
    <w:rsid w:val="00495825"/>
    <w:rsid w:val="004A1185"/>
    <w:rsid w:val="004B4E7E"/>
    <w:rsid w:val="004D5502"/>
    <w:rsid w:val="00540269"/>
    <w:rsid w:val="005C46B4"/>
    <w:rsid w:val="00616494"/>
    <w:rsid w:val="00653805"/>
    <w:rsid w:val="00654A89"/>
    <w:rsid w:val="006A33D7"/>
    <w:rsid w:val="006B3ED2"/>
    <w:rsid w:val="006F22D9"/>
    <w:rsid w:val="007D2FD0"/>
    <w:rsid w:val="00805A31"/>
    <w:rsid w:val="00837164"/>
    <w:rsid w:val="008B3A0E"/>
    <w:rsid w:val="008C07D9"/>
    <w:rsid w:val="00904854"/>
    <w:rsid w:val="00923963"/>
    <w:rsid w:val="009B1E2B"/>
    <w:rsid w:val="00A232F0"/>
    <w:rsid w:val="00A5523B"/>
    <w:rsid w:val="00AA3F33"/>
    <w:rsid w:val="00B26168"/>
    <w:rsid w:val="00B717E4"/>
    <w:rsid w:val="00B744FB"/>
    <w:rsid w:val="00BA0BE1"/>
    <w:rsid w:val="00C31BF6"/>
    <w:rsid w:val="00C61907"/>
    <w:rsid w:val="00D97FF3"/>
    <w:rsid w:val="00DA526A"/>
    <w:rsid w:val="00DB07E5"/>
    <w:rsid w:val="00E57664"/>
    <w:rsid w:val="00EC043A"/>
    <w:rsid w:val="00F002E0"/>
    <w:rsid w:val="00F07141"/>
    <w:rsid w:val="00F23F97"/>
    <w:rsid w:val="00FD79B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ind w:right="-142"/>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2F0"/>
    <w:pPr>
      <w:ind w:right="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5D54"/>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6B3ED2"/>
    <w:rPr>
      <w:rFonts w:ascii="Tahoma" w:hAnsi="Tahoma" w:cs="Tahoma"/>
      <w:sz w:val="16"/>
      <w:szCs w:val="16"/>
    </w:rPr>
  </w:style>
  <w:style w:type="character" w:customStyle="1" w:styleId="BalloonTextChar">
    <w:name w:val="Balloon Text Char"/>
    <w:basedOn w:val="DefaultParagraphFont"/>
    <w:link w:val="BalloonText"/>
    <w:uiPriority w:val="99"/>
    <w:semiHidden/>
    <w:rsid w:val="006B3ED2"/>
    <w:rPr>
      <w:rFonts w:ascii="Tahoma" w:eastAsia="Times New Roman" w:hAnsi="Tahoma" w:cs="Tahoma"/>
      <w:sz w:val="16"/>
      <w:szCs w:val="16"/>
    </w:rPr>
  </w:style>
  <w:style w:type="character" w:styleId="Emphasis">
    <w:name w:val="Emphasis"/>
    <w:basedOn w:val="DefaultParagraphFont"/>
    <w:uiPriority w:val="20"/>
    <w:qFormat/>
    <w:rsid w:val="00C31BF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ind w:right="-142"/>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2F0"/>
    <w:pPr>
      <w:ind w:right="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5D54"/>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6B3ED2"/>
    <w:rPr>
      <w:rFonts w:ascii="Tahoma" w:hAnsi="Tahoma" w:cs="Tahoma"/>
      <w:sz w:val="16"/>
      <w:szCs w:val="16"/>
    </w:rPr>
  </w:style>
  <w:style w:type="character" w:customStyle="1" w:styleId="BalloonTextChar">
    <w:name w:val="Balloon Text Char"/>
    <w:basedOn w:val="DefaultParagraphFont"/>
    <w:link w:val="BalloonText"/>
    <w:uiPriority w:val="99"/>
    <w:semiHidden/>
    <w:rsid w:val="006B3ED2"/>
    <w:rPr>
      <w:rFonts w:ascii="Tahoma" w:eastAsia="Times New Roman" w:hAnsi="Tahoma" w:cs="Tahoma"/>
      <w:sz w:val="16"/>
      <w:szCs w:val="16"/>
    </w:rPr>
  </w:style>
  <w:style w:type="character" w:styleId="Emphasis">
    <w:name w:val="Emphasis"/>
    <w:basedOn w:val="DefaultParagraphFont"/>
    <w:uiPriority w:val="20"/>
    <w:qFormat/>
    <w:rsid w:val="00C31B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47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71132F-95DF-47C2-A8D1-3F0FAA474C09}"/>
</file>

<file path=customXml/itemProps2.xml><?xml version="1.0" encoding="utf-8"?>
<ds:datastoreItem xmlns:ds="http://schemas.openxmlformats.org/officeDocument/2006/customXml" ds:itemID="{D113B8DE-E785-4BC4-9C80-876E5B941617}"/>
</file>

<file path=customXml/itemProps3.xml><?xml version="1.0" encoding="utf-8"?>
<ds:datastoreItem xmlns:ds="http://schemas.openxmlformats.org/officeDocument/2006/customXml" ds:itemID="{EC09FEBB-62EB-402B-8205-E2EFD80129E2}"/>
</file>

<file path=docProps/app.xml><?xml version="1.0" encoding="utf-8"?>
<Properties xmlns="http://schemas.openxmlformats.org/officeDocument/2006/extended-properties" xmlns:vt="http://schemas.openxmlformats.org/officeDocument/2006/docPropsVTypes">
  <Template>Normal</Template>
  <TotalTime>0</TotalTime>
  <Pages>4</Pages>
  <Words>1571</Words>
  <Characters>8958</Characters>
  <Application>Microsoft Office Word</Application>
  <DocSecurity>0</DocSecurity>
  <Lines>74</Lines>
  <Paragraphs>21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MVPEI</Company>
  <LinksUpToDate>false</LinksUpToDate>
  <CharactersWithSpaces>10508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dzizek</dc:creator>
  <cp:lastModifiedBy>Romana Kuzmanić-Oluić</cp:lastModifiedBy>
  <cp:revision>2</cp:revision>
  <dcterms:created xsi:type="dcterms:W3CDTF">2015-03-26T11:34:00Z</dcterms:created>
  <dcterms:modified xsi:type="dcterms:W3CDTF">2015-03-26T11:34:00Z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