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96B8" w14:textId="60970182" w:rsidR="00B00F89" w:rsidRPr="00055D7E" w:rsidRDefault="00626138" w:rsidP="00B00F89">
      <w:pPr>
        <w:pStyle w:val="Footer"/>
        <w:spacing w:before="240" w:line="276" w:lineRule="auto"/>
        <w:ind w:left="0" w:firstLine="0"/>
        <w:jc w:val="center"/>
        <w:rPr>
          <w:rFonts w:asciiTheme="minorBidi" w:hAnsiTheme="minorBidi"/>
          <w:b/>
          <w:bCs/>
          <w:rtl/>
          <w:lang w:bidi="ar-EG"/>
        </w:rPr>
      </w:pPr>
      <w:r w:rsidRPr="00055D7E">
        <w:rPr>
          <w:rFonts w:asciiTheme="minorBidi" w:hAnsiTheme="minorBidi"/>
          <w:b/>
          <w:bCs/>
          <w:lang w:bidi="ar-EG"/>
        </w:rPr>
        <w:t xml:space="preserve">Shadow </w:t>
      </w:r>
      <w:r w:rsidR="00DE4468" w:rsidRPr="00055D7E">
        <w:rPr>
          <w:rFonts w:asciiTheme="minorBidi" w:hAnsiTheme="minorBidi"/>
          <w:b/>
          <w:bCs/>
          <w:lang w:bidi="ar-EG"/>
        </w:rPr>
        <w:t xml:space="preserve">Report </w:t>
      </w:r>
      <w:r w:rsidRPr="00055D7E">
        <w:rPr>
          <w:rFonts w:asciiTheme="minorBidi" w:hAnsiTheme="minorBidi"/>
          <w:b/>
          <w:bCs/>
          <w:lang w:bidi="ar-EG"/>
        </w:rPr>
        <w:t xml:space="preserve">on the </w:t>
      </w:r>
      <w:r w:rsidR="00DE4468" w:rsidRPr="00055D7E">
        <w:rPr>
          <w:rFonts w:asciiTheme="minorBidi" w:hAnsiTheme="minorBidi"/>
          <w:b/>
          <w:bCs/>
          <w:lang w:bidi="ar-EG"/>
        </w:rPr>
        <w:t xml:space="preserve">Situation </w:t>
      </w:r>
      <w:r w:rsidRPr="00055D7E">
        <w:rPr>
          <w:rFonts w:asciiTheme="minorBidi" w:hAnsiTheme="minorBidi"/>
          <w:b/>
          <w:bCs/>
          <w:lang w:bidi="ar-EG"/>
        </w:rPr>
        <w:t xml:space="preserve">of </w:t>
      </w:r>
      <w:r w:rsidR="00DE4468" w:rsidRPr="00055D7E">
        <w:rPr>
          <w:rFonts w:asciiTheme="minorBidi" w:hAnsiTheme="minorBidi"/>
          <w:b/>
          <w:bCs/>
          <w:lang w:bidi="ar-EG"/>
        </w:rPr>
        <w:t xml:space="preserve">Foreigners </w:t>
      </w:r>
      <w:r w:rsidRPr="00055D7E">
        <w:rPr>
          <w:rFonts w:asciiTheme="minorBidi" w:hAnsiTheme="minorBidi"/>
          <w:b/>
          <w:bCs/>
          <w:lang w:bidi="ar-EG"/>
        </w:rPr>
        <w:t>in Egypt</w:t>
      </w:r>
    </w:p>
    <w:p w14:paraId="14B2286D" w14:textId="4DEDCD88" w:rsidR="00A326B4" w:rsidRPr="00055D7E" w:rsidRDefault="00DE4468" w:rsidP="001E2E23">
      <w:pPr>
        <w:pStyle w:val="Footer"/>
        <w:bidi w:val="0"/>
        <w:spacing w:before="240"/>
        <w:ind w:left="0" w:firstLine="0"/>
        <w:rPr>
          <w:rFonts w:asciiTheme="minorBidi" w:hAnsiTheme="minorBidi"/>
          <w:lang w:bidi="ar-EG"/>
        </w:rPr>
      </w:pPr>
      <w:r w:rsidRPr="00055D7E">
        <w:rPr>
          <w:rFonts w:asciiTheme="minorBidi" w:hAnsiTheme="minorBidi"/>
          <w:lang w:bidi="ar-EG"/>
        </w:rPr>
        <w:tab/>
        <w:t xml:space="preserve">      For many years,</w:t>
      </w:r>
      <w:r w:rsidR="00A80D16" w:rsidRPr="00055D7E">
        <w:rPr>
          <w:rFonts w:asciiTheme="minorBidi" w:hAnsiTheme="minorBidi"/>
          <w:lang w:bidi="ar-EG"/>
        </w:rPr>
        <w:t xml:space="preserve"> Egypt has been among the first destinations for</w:t>
      </w:r>
      <w:r w:rsidRPr="00055D7E">
        <w:rPr>
          <w:rFonts w:asciiTheme="minorBidi" w:hAnsiTheme="minorBidi"/>
          <w:lang w:bidi="ar-EG"/>
        </w:rPr>
        <w:t xml:space="preserve"> </w:t>
      </w:r>
      <w:r w:rsidR="00A80D16" w:rsidRPr="00055D7E">
        <w:rPr>
          <w:rFonts w:asciiTheme="minorBidi" w:hAnsiTheme="minorBidi"/>
          <w:lang w:bidi="ar-EG"/>
        </w:rPr>
        <w:t xml:space="preserve">different </w:t>
      </w:r>
      <w:r w:rsidR="00A326B4" w:rsidRPr="00055D7E">
        <w:rPr>
          <w:rFonts w:asciiTheme="minorBidi" w:hAnsiTheme="minorBidi"/>
          <w:lang w:bidi="ar-EG"/>
        </w:rPr>
        <w:t xml:space="preserve">nationalities. </w:t>
      </w:r>
      <w:r w:rsidR="00D67AA9" w:rsidRPr="00055D7E">
        <w:rPr>
          <w:rFonts w:asciiTheme="minorBidi" w:hAnsiTheme="minorBidi"/>
          <w:lang w:bidi="ar-EG"/>
        </w:rPr>
        <w:t>W</w:t>
      </w:r>
      <w:r w:rsidR="00A326B4" w:rsidRPr="00055D7E">
        <w:rPr>
          <w:rFonts w:asciiTheme="minorBidi" w:hAnsiTheme="minorBidi"/>
          <w:lang w:bidi="ar-EG"/>
        </w:rPr>
        <w:t xml:space="preserve">ith more than 5 million </w:t>
      </w:r>
      <w:r w:rsidR="00D67AA9" w:rsidRPr="00055D7E">
        <w:rPr>
          <w:rFonts w:asciiTheme="minorBidi" w:hAnsiTheme="minorBidi"/>
          <w:lang w:bidi="ar-EG"/>
        </w:rPr>
        <w:t xml:space="preserve">people </w:t>
      </w:r>
      <w:r w:rsidR="00A326B4" w:rsidRPr="00055D7E">
        <w:rPr>
          <w:rFonts w:asciiTheme="minorBidi" w:hAnsiTheme="minorBidi"/>
          <w:lang w:bidi="ar-EG"/>
        </w:rPr>
        <w:t xml:space="preserve">from East Asia and </w:t>
      </w:r>
      <w:r w:rsidR="00D67AA9" w:rsidRPr="00055D7E">
        <w:rPr>
          <w:rFonts w:asciiTheme="minorBidi" w:hAnsiTheme="minorBidi"/>
          <w:lang w:bidi="ar-EG"/>
        </w:rPr>
        <w:t>Africa, Egypt is at the top of countries hosting foreigners.</w:t>
      </w:r>
      <w:r w:rsidR="001E2E23" w:rsidRPr="00055D7E">
        <w:rPr>
          <w:rFonts w:asciiTheme="minorBidi" w:hAnsiTheme="minorBidi"/>
          <w:lang w:bidi="ar-EG"/>
        </w:rPr>
        <w:t xml:space="preserve"> This number</w:t>
      </w:r>
      <w:r w:rsidR="00A326B4" w:rsidRPr="00055D7E">
        <w:rPr>
          <w:rFonts w:asciiTheme="minorBidi" w:hAnsiTheme="minorBidi"/>
          <w:lang w:bidi="ar-EG"/>
        </w:rPr>
        <w:t xml:space="preserve"> rose after the civil wars </w:t>
      </w:r>
      <w:r w:rsidR="001E2E23" w:rsidRPr="00055D7E">
        <w:rPr>
          <w:rFonts w:asciiTheme="minorBidi" w:hAnsiTheme="minorBidi"/>
          <w:lang w:bidi="ar-EG"/>
        </w:rPr>
        <w:t>as well as the</w:t>
      </w:r>
      <w:r w:rsidR="00A326B4" w:rsidRPr="00055D7E">
        <w:rPr>
          <w:rFonts w:asciiTheme="minorBidi" w:hAnsiTheme="minorBidi"/>
          <w:lang w:bidi="ar-EG"/>
        </w:rPr>
        <w:t xml:space="preserve"> Arab and regional political turmoil that erupted in the last </w:t>
      </w:r>
      <w:r w:rsidR="001E2E23" w:rsidRPr="00055D7E">
        <w:rPr>
          <w:rFonts w:asciiTheme="minorBidi" w:hAnsiTheme="minorBidi"/>
          <w:lang w:bidi="ar-EG"/>
        </w:rPr>
        <w:t>decade</w:t>
      </w:r>
      <w:r w:rsidR="00A326B4" w:rsidRPr="00055D7E">
        <w:rPr>
          <w:rFonts w:asciiTheme="minorBidi" w:hAnsiTheme="minorBidi"/>
          <w:rtl/>
          <w:lang w:bidi="ar-EG"/>
        </w:rPr>
        <w:t>.</w:t>
      </w:r>
    </w:p>
    <w:p w14:paraId="11C5AC80" w14:textId="040CC417" w:rsidR="00A326B4" w:rsidRPr="00055D7E" w:rsidRDefault="001E2E23" w:rsidP="0004771A">
      <w:pPr>
        <w:pStyle w:val="Footer"/>
        <w:bidi w:val="0"/>
        <w:spacing w:before="240"/>
        <w:ind w:left="0" w:firstLine="0"/>
        <w:rPr>
          <w:rFonts w:asciiTheme="minorBidi" w:hAnsiTheme="minorBidi"/>
          <w:lang w:bidi="ar-EG"/>
        </w:rPr>
      </w:pPr>
      <w:r w:rsidRPr="00055D7E">
        <w:rPr>
          <w:rFonts w:asciiTheme="minorBidi" w:hAnsiTheme="minorBidi"/>
          <w:lang w:bidi="ar-EG"/>
        </w:rPr>
        <w:tab/>
        <w:t xml:space="preserve">      </w:t>
      </w:r>
      <w:r w:rsidR="00A326B4" w:rsidRPr="00055D7E">
        <w:rPr>
          <w:rFonts w:asciiTheme="minorBidi" w:hAnsiTheme="minorBidi"/>
          <w:lang w:bidi="ar-EG"/>
        </w:rPr>
        <w:t>The turmoil in</w:t>
      </w:r>
      <w:r w:rsidRPr="00055D7E">
        <w:rPr>
          <w:rFonts w:asciiTheme="minorBidi" w:hAnsiTheme="minorBidi"/>
          <w:lang w:bidi="ar-EG"/>
        </w:rPr>
        <w:t xml:space="preserve"> </w:t>
      </w:r>
      <w:r w:rsidR="00F65EBF" w:rsidRPr="00055D7E">
        <w:rPr>
          <w:rFonts w:asciiTheme="minorBidi" w:hAnsiTheme="minorBidi"/>
          <w:lang w:bidi="ar-EG"/>
        </w:rPr>
        <w:t>some-conflict affected</w:t>
      </w:r>
      <w:r w:rsidR="00A326B4" w:rsidRPr="00055D7E">
        <w:rPr>
          <w:rFonts w:asciiTheme="minorBidi" w:hAnsiTheme="minorBidi"/>
          <w:lang w:bidi="ar-EG"/>
        </w:rPr>
        <w:t xml:space="preserve"> countries </w:t>
      </w:r>
      <w:r w:rsidR="00F65EBF" w:rsidRPr="00055D7E">
        <w:rPr>
          <w:rFonts w:asciiTheme="minorBidi" w:hAnsiTheme="minorBidi"/>
          <w:lang w:bidi="ar-EG"/>
        </w:rPr>
        <w:t xml:space="preserve">has </w:t>
      </w:r>
      <w:r w:rsidRPr="00055D7E">
        <w:rPr>
          <w:rFonts w:asciiTheme="minorBidi" w:hAnsiTheme="minorBidi"/>
          <w:lang w:bidi="ar-EG"/>
        </w:rPr>
        <w:t>put</w:t>
      </w:r>
      <w:r w:rsidR="00A326B4" w:rsidRPr="00055D7E">
        <w:rPr>
          <w:rFonts w:asciiTheme="minorBidi" w:hAnsiTheme="minorBidi"/>
          <w:lang w:bidi="ar-EG"/>
        </w:rPr>
        <w:t xml:space="preserve"> the lives of their people in danger, </w:t>
      </w:r>
      <w:r w:rsidR="00B34E3E" w:rsidRPr="00055D7E">
        <w:rPr>
          <w:rFonts w:asciiTheme="minorBidi" w:hAnsiTheme="minorBidi"/>
          <w:lang w:bidi="ar-EG"/>
        </w:rPr>
        <w:t>such as Syria, Yemen, and Libya.</w:t>
      </w:r>
      <w:r w:rsidR="00A326B4" w:rsidRPr="00055D7E">
        <w:rPr>
          <w:rFonts w:asciiTheme="minorBidi" w:hAnsiTheme="minorBidi"/>
          <w:lang w:bidi="ar-EG"/>
        </w:rPr>
        <w:t xml:space="preserve"> Egypt</w:t>
      </w:r>
      <w:r w:rsidR="00B34E3E" w:rsidRPr="00055D7E">
        <w:rPr>
          <w:rFonts w:asciiTheme="minorBidi" w:hAnsiTheme="minorBidi"/>
          <w:lang w:bidi="ar-EG"/>
        </w:rPr>
        <w:t>, therefore,</w:t>
      </w:r>
      <w:r w:rsidR="00A326B4" w:rsidRPr="00055D7E">
        <w:rPr>
          <w:rFonts w:asciiTheme="minorBidi" w:hAnsiTheme="minorBidi"/>
          <w:lang w:bidi="ar-EG"/>
        </w:rPr>
        <w:t xml:space="preserve"> became the </w:t>
      </w:r>
      <w:r w:rsidR="00B34E3E" w:rsidRPr="00055D7E">
        <w:rPr>
          <w:rFonts w:asciiTheme="minorBidi" w:hAnsiTheme="minorBidi"/>
          <w:lang w:bidi="ar-EG"/>
        </w:rPr>
        <w:t>safe</w:t>
      </w:r>
      <w:r w:rsidR="00A326B4" w:rsidRPr="00055D7E">
        <w:rPr>
          <w:rFonts w:asciiTheme="minorBidi" w:hAnsiTheme="minorBidi"/>
          <w:lang w:bidi="ar-EG"/>
        </w:rPr>
        <w:t xml:space="preserve"> haven for the peoples of those countries, </w:t>
      </w:r>
      <w:r w:rsidR="00B34E3E" w:rsidRPr="00055D7E">
        <w:rPr>
          <w:rFonts w:asciiTheme="minorBidi" w:hAnsiTheme="minorBidi"/>
          <w:lang w:bidi="ar-EG"/>
        </w:rPr>
        <w:t>as well as</w:t>
      </w:r>
      <w:r w:rsidR="00A326B4" w:rsidRPr="00055D7E">
        <w:rPr>
          <w:rFonts w:asciiTheme="minorBidi" w:hAnsiTheme="minorBidi"/>
          <w:lang w:bidi="ar-EG"/>
        </w:rPr>
        <w:t xml:space="preserve"> the peoples of</w:t>
      </w:r>
      <w:r w:rsidR="00B34E3E" w:rsidRPr="00055D7E">
        <w:rPr>
          <w:rFonts w:asciiTheme="minorBidi" w:hAnsiTheme="minorBidi"/>
          <w:lang w:bidi="ar-EG"/>
        </w:rPr>
        <w:t xml:space="preserve"> other</w:t>
      </w:r>
      <w:r w:rsidR="00A326B4" w:rsidRPr="00055D7E">
        <w:rPr>
          <w:rFonts w:asciiTheme="minorBidi" w:hAnsiTheme="minorBidi"/>
          <w:lang w:bidi="ar-EG"/>
        </w:rPr>
        <w:t xml:space="preserve"> Arab countries suffer</w:t>
      </w:r>
      <w:r w:rsidR="00B34E3E" w:rsidRPr="00055D7E">
        <w:rPr>
          <w:rFonts w:asciiTheme="minorBidi" w:hAnsiTheme="minorBidi"/>
          <w:lang w:bidi="ar-EG"/>
        </w:rPr>
        <w:t>ing</w:t>
      </w:r>
      <w:r w:rsidR="00A326B4" w:rsidRPr="00055D7E">
        <w:rPr>
          <w:rFonts w:asciiTheme="minorBidi" w:hAnsiTheme="minorBidi"/>
          <w:lang w:bidi="ar-EG"/>
        </w:rPr>
        <w:t xml:space="preserve"> from instability and </w:t>
      </w:r>
      <w:r w:rsidR="0004771A" w:rsidRPr="00055D7E">
        <w:rPr>
          <w:rFonts w:asciiTheme="minorBidi" w:hAnsiTheme="minorBidi"/>
          <w:lang w:bidi="ar-EG"/>
        </w:rPr>
        <w:t>lack of</w:t>
      </w:r>
      <w:r w:rsidR="00A326B4" w:rsidRPr="00055D7E">
        <w:rPr>
          <w:rFonts w:asciiTheme="minorBidi" w:hAnsiTheme="minorBidi"/>
          <w:lang w:bidi="ar-EG"/>
        </w:rPr>
        <w:t xml:space="preserve"> security. At present, Africans resort to Egypt due to the crises and conflicts in their countries</w:t>
      </w:r>
      <w:r w:rsidR="00A326B4" w:rsidRPr="00055D7E">
        <w:rPr>
          <w:rFonts w:asciiTheme="minorBidi" w:hAnsiTheme="minorBidi"/>
          <w:rtl/>
          <w:lang w:bidi="ar-EG"/>
        </w:rPr>
        <w:t>.</w:t>
      </w:r>
    </w:p>
    <w:p w14:paraId="16B19F8E" w14:textId="01DC82F0" w:rsidR="00A326B4" w:rsidRPr="00055D7E" w:rsidRDefault="0004771A" w:rsidP="00DD37A4">
      <w:pPr>
        <w:pStyle w:val="Footer"/>
        <w:bidi w:val="0"/>
        <w:spacing w:before="240" w:line="276" w:lineRule="auto"/>
        <w:ind w:left="0" w:firstLine="0"/>
        <w:jc w:val="both"/>
        <w:rPr>
          <w:rFonts w:asciiTheme="minorBidi" w:hAnsiTheme="minorBidi"/>
          <w:lang w:bidi="ar-EG"/>
        </w:rPr>
      </w:pPr>
      <w:r w:rsidRPr="00055D7E">
        <w:rPr>
          <w:rFonts w:asciiTheme="minorBidi" w:hAnsiTheme="minorBidi"/>
          <w:lang w:bidi="ar-EG"/>
        </w:rPr>
        <w:tab/>
        <w:t xml:space="preserve">        </w:t>
      </w:r>
      <w:r w:rsidR="00A326B4" w:rsidRPr="00055D7E">
        <w:rPr>
          <w:rFonts w:asciiTheme="minorBidi" w:hAnsiTheme="minorBidi"/>
          <w:lang w:bidi="ar-EG"/>
        </w:rPr>
        <w:t>As of June 30, 2021, the number of refugees registered with UNHCR reached at least 230,000 Syrians and more than two million Sudanese, 20,240 South Sudanese, 20,174 Eritreans, 15,671 Ethiopians, 9,404 Yemenis, 6,805 Ir</w:t>
      </w:r>
      <w:r w:rsidR="00DD37A4" w:rsidRPr="00055D7E">
        <w:rPr>
          <w:rFonts w:asciiTheme="minorBidi" w:hAnsiTheme="minorBidi"/>
          <w:lang w:bidi="ar-EG"/>
        </w:rPr>
        <w:t>aqis,</w:t>
      </w:r>
      <w:r w:rsidR="00A326B4" w:rsidRPr="00055D7E">
        <w:rPr>
          <w:rFonts w:asciiTheme="minorBidi" w:hAnsiTheme="minorBidi"/>
          <w:lang w:bidi="ar-EG"/>
        </w:rPr>
        <w:t xml:space="preserve"> 6,771 Somalis </w:t>
      </w:r>
      <w:r w:rsidR="00DD37A4" w:rsidRPr="00055D7E">
        <w:rPr>
          <w:rFonts w:asciiTheme="minorBidi" w:hAnsiTheme="minorBidi"/>
          <w:lang w:bidi="ar-EG"/>
        </w:rPr>
        <w:t>among</w:t>
      </w:r>
      <w:r w:rsidR="00A326B4" w:rsidRPr="00055D7E">
        <w:rPr>
          <w:rFonts w:asciiTheme="minorBidi" w:hAnsiTheme="minorBidi"/>
          <w:lang w:bidi="ar-EG"/>
        </w:rPr>
        <w:t xml:space="preserve"> more than 50 other nationalities. Therefore, </w:t>
      </w:r>
      <w:r w:rsidR="00DD37A4" w:rsidRPr="00055D7E">
        <w:rPr>
          <w:rFonts w:asciiTheme="minorBidi" w:hAnsiTheme="minorBidi"/>
          <w:lang w:bidi="ar-EG"/>
        </w:rPr>
        <w:t>this</w:t>
      </w:r>
      <w:r w:rsidR="00A326B4" w:rsidRPr="00055D7E">
        <w:rPr>
          <w:rFonts w:asciiTheme="minorBidi" w:hAnsiTheme="minorBidi"/>
          <w:lang w:bidi="ar-EG"/>
        </w:rPr>
        <w:t xml:space="preserve"> report </w:t>
      </w:r>
      <w:r w:rsidR="00DD37A4" w:rsidRPr="00055D7E">
        <w:rPr>
          <w:rFonts w:asciiTheme="minorBidi" w:hAnsiTheme="minorBidi"/>
          <w:lang w:bidi="ar-EG"/>
        </w:rPr>
        <w:t>highlights</w:t>
      </w:r>
      <w:r w:rsidR="00A326B4" w:rsidRPr="00055D7E">
        <w:rPr>
          <w:rFonts w:asciiTheme="minorBidi" w:hAnsiTheme="minorBidi"/>
          <w:lang w:bidi="ar-EG"/>
        </w:rPr>
        <w:t xml:space="preserve"> the situation of foreigners in Egypt and the efforts of the Egyptian government to provide a safe environment for them</w:t>
      </w:r>
      <w:r w:rsidR="00A326B4" w:rsidRPr="00055D7E">
        <w:rPr>
          <w:rFonts w:asciiTheme="minorBidi" w:hAnsiTheme="minorBidi"/>
          <w:rtl/>
          <w:lang w:bidi="ar-EG"/>
        </w:rPr>
        <w:t>.</w:t>
      </w:r>
    </w:p>
    <w:p w14:paraId="47085992" w14:textId="481FBE0E" w:rsidR="00A326B4" w:rsidRPr="00055D7E" w:rsidRDefault="00A326B4" w:rsidP="00055D7E">
      <w:pPr>
        <w:bidi w:val="0"/>
        <w:ind w:hanging="300"/>
        <w:jc w:val="both"/>
        <w:rPr>
          <w:rFonts w:asciiTheme="minorBidi" w:hAnsiTheme="minorBidi"/>
          <w:b/>
          <w:bCs/>
          <w:u w:val="single"/>
          <w:rtl/>
          <w:lang w:bidi="ar-EG"/>
        </w:rPr>
      </w:pPr>
      <w:r w:rsidRPr="00055D7E">
        <w:rPr>
          <w:rFonts w:asciiTheme="minorBidi" w:hAnsiTheme="minorBidi"/>
          <w:b/>
          <w:bCs/>
          <w:u w:val="single"/>
          <w:lang w:bidi="ar-EG"/>
        </w:rPr>
        <w:t>First: The legal framework for the situation of foreigners and refugees in Egypt</w:t>
      </w:r>
    </w:p>
    <w:p w14:paraId="770C60FD" w14:textId="7C37C2F8" w:rsidR="00A326B4" w:rsidRPr="00055D7E" w:rsidRDefault="00DD37A4" w:rsidP="00DD37A4">
      <w:pPr>
        <w:bidi w:val="0"/>
        <w:ind w:left="0" w:firstLine="300"/>
        <w:rPr>
          <w:rFonts w:asciiTheme="minorBidi" w:hAnsiTheme="minorBidi"/>
          <w:rtl/>
          <w:lang w:bidi="ar-EG"/>
        </w:rPr>
      </w:pPr>
      <w:r w:rsidRPr="00055D7E">
        <w:rPr>
          <w:rFonts w:asciiTheme="minorBidi" w:hAnsiTheme="minorBidi"/>
          <w:lang w:bidi="ar-EG"/>
        </w:rPr>
        <w:t>Egypt has played</w:t>
      </w:r>
      <w:r w:rsidR="00A326B4" w:rsidRPr="00055D7E">
        <w:rPr>
          <w:rFonts w:asciiTheme="minorBidi" w:hAnsiTheme="minorBidi"/>
          <w:lang w:bidi="ar-EG"/>
        </w:rPr>
        <w:t xml:space="preserve"> a prominent role in drafting the 1951 Refugee Convention, which is signed on May 22, 1981</w:t>
      </w:r>
      <w:r w:rsidR="00A326B4" w:rsidRPr="00055D7E">
        <w:rPr>
          <w:rStyle w:val="FootnoteReference"/>
          <w:rFonts w:asciiTheme="minorBidi" w:hAnsiTheme="minorBidi"/>
          <w:rtl/>
          <w:lang w:bidi="ar-EG"/>
        </w:rPr>
        <w:footnoteReference w:id="1"/>
      </w:r>
      <w:r w:rsidR="00A326B4" w:rsidRPr="00055D7E">
        <w:rPr>
          <w:rFonts w:asciiTheme="minorBidi" w:hAnsiTheme="minorBidi"/>
          <w:lang w:bidi="ar-EG"/>
        </w:rPr>
        <w:t>. Egypt is the only country in Africa that has contributed to its drafting</w:t>
      </w:r>
      <w:r w:rsidR="00A326B4" w:rsidRPr="00055D7E">
        <w:rPr>
          <w:rFonts w:asciiTheme="minorBidi" w:hAnsiTheme="minorBidi"/>
          <w:vertAlign w:val="superscript"/>
          <w:rtl/>
          <w:lang w:bidi="ar-EG"/>
        </w:rPr>
        <w:footnoteReference w:id="2"/>
      </w:r>
      <w:r w:rsidR="00A326B4" w:rsidRPr="00055D7E">
        <w:rPr>
          <w:rFonts w:asciiTheme="minorBidi" w:hAnsiTheme="minorBidi"/>
          <w:lang w:bidi="ar-EG"/>
        </w:rPr>
        <w:t>. It also signed the Optional Protocol to the 1967 Convention on May 22, 1981, and the 1969 OAU Refugee Convention; Egypt ratified it on June 12, 1980</w:t>
      </w:r>
      <w:r w:rsidR="00A326B4" w:rsidRPr="00055D7E">
        <w:rPr>
          <w:rStyle w:val="FootnoteReference"/>
          <w:rFonts w:asciiTheme="minorBidi" w:hAnsiTheme="minorBidi"/>
          <w:rtl/>
          <w:lang w:bidi="ar-EG"/>
        </w:rPr>
        <w:footnoteReference w:id="3"/>
      </w:r>
      <w:r w:rsidR="00A326B4" w:rsidRPr="00055D7E">
        <w:rPr>
          <w:rFonts w:asciiTheme="minorBidi" w:hAnsiTheme="minorBidi"/>
          <w:rtl/>
          <w:lang w:bidi="ar-EG"/>
        </w:rPr>
        <w:t>.</w:t>
      </w:r>
    </w:p>
    <w:p w14:paraId="1C282EAD" w14:textId="033E8D22" w:rsidR="00A326B4" w:rsidRPr="00055D7E" w:rsidRDefault="00A326B4" w:rsidP="00DD37A4">
      <w:pPr>
        <w:bidi w:val="0"/>
        <w:ind w:left="0" w:firstLine="300"/>
        <w:jc w:val="both"/>
        <w:rPr>
          <w:rFonts w:asciiTheme="minorBidi" w:hAnsiTheme="minorBidi"/>
          <w:lang w:bidi="ar-EG"/>
        </w:rPr>
      </w:pPr>
      <w:r w:rsidRPr="00055D7E">
        <w:rPr>
          <w:rFonts w:asciiTheme="minorBidi" w:hAnsiTheme="minorBidi"/>
          <w:lang w:bidi="ar-EG"/>
        </w:rPr>
        <w:t>Egypt has also ratified some conventions indirectly related to refugees, such as the conventions against genocide, the four Geneva Conventions, the Convention against Racial Discrimination, the Convention against Discrimination against Women, the International Covenant on Civil and Political Rights, the International Covenant on Social, Economic and Cultural Rights, and the African Charter on Human Rights. Human and Peoples, the Convention against Torture, and finally the First and Second Optional Protocols to the four Geneva Conventions</w:t>
      </w:r>
      <w:r w:rsidRPr="00055D7E">
        <w:rPr>
          <w:rStyle w:val="FootnoteReference"/>
          <w:rFonts w:asciiTheme="minorBidi" w:hAnsiTheme="minorBidi"/>
          <w:rtl/>
          <w:lang w:bidi="ar-EG"/>
        </w:rPr>
        <w:footnoteReference w:id="4"/>
      </w:r>
      <w:r w:rsidRPr="00055D7E">
        <w:rPr>
          <w:rFonts w:asciiTheme="minorBidi" w:hAnsiTheme="minorBidi"/>
          <w:rtl/>
          <w:lang w:bidi="ar-EG"/>
        </w:rPr>
        <w:t>.</w:t>
      </w:r>
    </w:p>
    <w:p w14:paraId="4E65DD2A" w14:textId="77777777" w:rsidR="00A326B4" w:rsidRPr="00055D7E" w:rsidRDefault="00A326B4" w:rsidP="00B00F89">
      <w:pPr>
        <w:ind w:left="0" w:firstLine="0"/>
        <w:jc w:val="both"/>
        <w:rPr>
          <w:rFonts w:asciiTheme="minorBidi" w:hAnsiTheme="minorBidi"/>
          <w:lang w:bidi="ar-EG"/>
        </w:rPr>
      </w:pPr>
    </w:p>
    <w:p w14:paraId="666D0884" w14:textId="60710A9B" w:rsidR="00870E5A" w:rsidRPr="00055D7E" w:rsidRDefault="00621ABD" w:rsidP="00055D7E">
      <w:pPr>
        <w:bidi w:val="0"/>
        <w:ind w:hanging="300"/>
        <w:jc w:val="both"/>
        <w:rPr>
          <w:rFonts w:asciiTheme="minorBidi" w:hAnsiTheme="minorBidi"/>
          <w:b/>
          <w:bCs/>
          <w:u w:val="single"/>
          <w:rtl/>
          <w:lang w:bidi="ar-EG"/>
        </w:rPr>
      </w:pPr>
      <w:r w:rsidRPr="00055D7E">
        <w:rPr>
          <w:rFonts w:asciiTheme="minorBidi" w:hAnsiTheme="minorBidi"/>
          <w:b/>
          <w:bCs/>
          <w:u w:val="single"/>
          <w:lang w:bidi="ar-EG"/>
        </w:rPr>
        <w:t>Second: The Egyptian state’s efforts to integrate r</w:t>
      </w:r>
      <w:r w:rsidR="00AF6FBF" w:rsidRPr="00055D7E">
        <w:rPr>
          <w:rFonts w:asciiTheme="minorBidi" w:hAnsiTheme="minorBidi"/>
          <w:b/>
          <w:bCs/>
          <w:u w:val="single"/>
          <w:lang w:bidi="ar-EG"/>
        </w:rPr>
        <w:t xml:space="preserve">efugees and foreigners into the </w:t>
      </w:r>
      <w:r w:rsidRPr="00055D7E">
        <w:rPr>
          <w:rFonts w:asciiTheme="minorBidi" w:hAnsiTheme="minorBidi"/>
          <w:b/>
          <w:bCs/>
          <w:u w:val="single"/>
          <w:lang w:bidi="ar-EG"/>
        </w:rPr>
        <w:t>country</w:t>
      </w:r>
    </w:p>
    <w:p w14:paraId="4D55B58F" w14:textId="27F2B878" w:rsidR="001B492E" w:rsidRPr="00055D7E" w:rsidRDefault="001B492E" w:rsidP="003E3C3B">
      <w:pPr>
        <w:bidi w:val="0"/>
        <w:ind w:left="0" w:firstLine="300"/>
        <w:rPr>
          <w:rFonts w:asciiTheme="minorBidi" w:hAnsiTheme="minorBidi"/>
          <w:rtl/>
          <w:lang w:bidi="ar-EG"/>
        </w:rPr>
      </w:pPr>
      <w:r w:rsidRPr="00055D7E">
        <w:rPr>
          <w:rFonts w:asciiTheme="minorBidi" w:hAnsiTheme="minorBidi"/>
          <w:lang w:bidi="ar-EG"/>
        </w:rPr>
        <w:t xml:space="preserve">Refugees and foreigners </w:t>
      </w:r>
      <w:r w:rsidR="00AF6FBF" w:rsidRPr="00055D7E">
        <w:rPr>
          <w:rFonts w:asciiTheme="minorBidi" w:hAnsiTheme="minorBidi"/>
          <w:lang w:bidi="ar-EG"/>
        </w:rPr>
        <w:t xml:space="preserve">in Egypt </w:t>
      </w:r>
      <w:r w:rsidRPr="00055D7E">
        <w:rPr>
          <w:rFonts w:asciiTheme="minorBidi" w:hAnsiTheme="minorBidi"/>
          <w:lang w:bidi="ar-EG"/>
        </w:rPr>
        <w:t>live in urban environment</w:t>
      </w:r>
      <w:r w:rsidR="00AF6FBF" w:rsidRPr="00055D7E">
        <w:rPr>
          <w:rFonts w:asciiTheme="minorBidi" w:hAnsiTheme="minorBidi"/>
          <w:lang w:bidi="ar-EG"/>
        </w:rPr>
        <w:t xml:space="preserve">s, mainly concentrated in </w:t>
      </w:r>
      <w:r w:rsidRPr="00055D7E">
        <w:rPr>
          <w:rFonts w:asciiTheme="minorBidi" w:hAnsiTheme="minorBidi"/>
          <w:lang w:bidi="ar-EG"/>
        </w:rPr>
        <w:t xml:space="preserve">Cairo, Alexandria, Damietta, and many cities on the North Coast. However, in recent years, economic conditions in Egypt have increased the vulnerability of refugees and members of the host community. Many refugees also lack a stable source of income and, with high inflation, basic needs. Other challenges include limited livelihood opportunities and the </w:t>
      </w:r>
      <w:r w:rsidR="003E3C3B" w:rsidRPr="00055D7E">
        <w:rPr>
          <w:rFonts w:asciiTheme="minorBidi" w:hAnsiTheme="minorBidi"/>
          <w:lang w:bidi="ar-EG"/>
        </w:rPr>
        <w:t>linguistic</w:t>
      </w:r>
      <w:r w:rsidRPr="00055D7E">
        <w:rPr>
          <w:rFonts w:asciiTheme="minorBidi" w:hAnsiTheme="minorBidi"/>
          <w:lang w:bidi="ar-EG"/>
        </w:rPr>
        <w:t xml:space="preserve"> barrier facing non-Arabic-speaking refugees. Some also lack access to sustainable formal education that can support their development. In addition, many refugees and asylum </w:t>
      </w:r>
      <w:r w:rsidRPr="00055D7E">
        <w:rPr>
          <w:rFonts w:asciiTheme="minorBidi" w:hAnsiTheme="minorBidi"/>
          <w:lang w:bidi="ar-EG"/>
        </w:rPr>
        <w:lastRenderedPageBreak/>
        <w:t>seekers depend on humanitarian assistance to meet their basic needs and provide medical or psychological support</w:t>
      </w:r>
      <w:r w:rsidRPr="00055D7E">
        <w:rPr>
          <w:rFonts w:asciiTheme="minorBidi" w:hAnsiTheme="minorBidi"/>
          <w:rtl/>
          <w:lang w:bidi="ar-EG"/>
        </w:rPr>
        <w:t>.</w:t>
      </w:r>
    </w:p>
    <w:p w14:paraId="18962DBA" w14:textId="60ED1B56" w:rsidR="001B492E" w:rsidRPr="00055D7E" w:rsidRDefault="001B492E" w:rsidP="003E3C3B">
      <w:pPr>
        <w:bidi w:val="0"/>
        <w:ind w:left="0" w:firstLine="300"/>
        <w:rPr>
          <w:rFonts w:asciiTheme="minorBidi" w:hAnsiTheme="minorBidi"/>
          <w:rtl/>
          <w:lang w:bidi="ar-EG"/>
        </w:rPr>
      </w:pPr>
      <w:r w:rsidRPr="00055D7E">
        <w:rPr>
          <w:rFonts w:asciiTheme="minorBidi" w:hAnsiTheme="minorBidi"/>
          <w:lang w:bidi="ar-EG"/>
        </w:rPr>
        <w:t>The Egyptian state has adopted successful and effective policies and vision in dealing with the file of combating human trafficking and the refugee file, in light of its keenness to abide by international conventions. It succeeded in stopping illegal immigration flows, tightening land and sea border controls, and establishing a national legislative framework to combat migrant smuggling. It was also able to host millions of refugees and migrants of different nationalities, deal with them without discrimination, and integrate them into Egyptian society. They benefit from social services like Egyptian citizens and have freedom of movement; they do not live in camps or shelters</w:t>
      </w:r>
      <w:r w:rsidRPr="00055D7E">
        <w:rPr>
          <w:rFonts w:asciiTheme="minorBidi" w:hAnsiTheme="minorBidi"/>
          <w:rtl/>
          <w:lang w:bidi="ar-EG"/>
        </w:rPr>
        <w:t>.</w:t>
      </w:r>
    </w:p>
    <w:p w14:paraId="422A32B7" w14:textId="07DE1BF7" w:rsidR="001B492E" w:rsidRPr="00055D7E" w:rsidRDefault="001B492E" w:rsidP="00F14D93">
      <w:pPr>
        <w:bidi w:val="0"/>
        <w:ind w:left="0" w:firstLine="300"/>
        <w:rPr>
          <w:rFonts w:asciiTheme="minorBidi" w:hAnsiTheme="minorBidi"/>
          <w:rtl/>
          <w:lang w:bidi="ar-EG"/>
        </w:rPr>
      </w:pPr>
      <w:r w:rsidRPr="00055D7E">
        <w:rPr>
          <w:rFonts w:asciiTheme="minorBidi" w:hAnsiTheme="minorBidi"/>
          <w:lang w:bidi="ar-EG"/>
        </w:rPr>
        <w:t>Egypt is one of the countries in the Middle East and Africa that receives the most refugees, yet it has not used the refugee file to achieve political or economic gains or as pressure cards in its foreign policy. Despite the increase in the number of refugees officially registered by the United Nations High Commissioner for Refugees in July 2021, about 257,000 refugees in Egypt, but the actual reality of the number of refugees in Egypt. According to the statistics of the Egyptian government, it hosts refugees and migrants of various nationalities, numbering about 6 million refugees, between registered and unregistered</w:t>
      </w:r>
      <w:r w:rsidRPr="00055D7E">
        <w:rPr>
          <w:rFonts w:asciiTheme="minorBidi" w:hAnsiTheme="minorBidi"/>
          <w:rtl/>
          <w:lang w:bidi="ar-EG"/>
        </w:rPr>
        <w:t>.</w:t>
      </w:r>
      <w:r w:rsidR="001B3789" w:rsidRPr="00055D7E">
        <w:rPr>
          <w:rFonts w:asciiTheme="minorBidi" w:hAnsiTheme="minorBidi"/>
          <w:lang w:bidi="ar-EG"/>
        </w:rPr>
        <w:t xml:space="preserve"> </w:t>
      </w:r>
    </w:p>
    <w:p w14:paraId="67E87D0E" w14:textId="77777777" w:rsidR="001B492E" w:rsidRPr="00055D7E" w:rsidRDefault="001B492E" w:rsidP="001B3789">
      <w:pPr>
        <w:bidi w:val="0"/>
        <w:ind w:left="0" w:firstLine="300"/>
        <w:rPr>
          <w:rFonts w:asciiTheme="minorBidi" w:hAnsiTheme="minorBidi"/>
          <w:lang w:bidi="ar-EG"/>
        </w:rPr>
      </w:pPr>
      <w:r w:rsidRPr="00055D7E">
        <w:rPr>
          <w:rFonts w:asciiTheme="minorBidi" w:hAnsiTheme="minorBidi"/>
          <w:lang w:bidi="ar-EG"/>
        </w:rPr>
        <w:t>There are efforts of successive Egyptian governments regarding the legislative framework related to refugees based on the 1951 Refugee Convention, especially during the past ten years. The Egyptian parliament has introduced several legislative amendments to the Egyptian law relating to refugees. However, although Egyptian law includes some rights for refugees, there are legislative gaps. It requires more efforts by the current parliament, to review and update these laws and ensure more rights for refugees to meet their needs. It includes their residency rights, the right to housing, the right to education, the right to health care and work, by the Universal Declaration of Human Rights and the 1951 Refugee Convention, as one of the Vulnerable groups that must be given special legal attention. Based on the memorandum of understanding signed between Egypt and the United Nations High Commissioner for Refugees, the Egyptian state gave the agency all its responsibilities related to dealing with refugees (identification, registration, and assistance)</w:t>
      </w:r>
      <w:r w:rsidRPr="00055D7E">
        <w:rPr>
          <w:rFonts w:asciiTheme="minorBidi" w:hAnsiTheme="minorBidi"/>
          <w:rtl/>
          <w:lang w:bidi="ar-EG"/>
        </w:rPr>
        <w:t>.</w:t>
      </w:r>
    </w:p>
    <w:p w14:paraId="5069B578" w14:textId="40E7FC00" w:rsidR="001B492E" w:rsidRPr="00055D7E" w:rsidRDefault="001B492E" w:rsidP="003164DE">
      <w:pPr>
        <w:bidi w:val="0"/>
        <w:ind w:left="0" w:firstLine="300"/>
        <w:jc w:val="both"/>
        <w:rPr>
          <w:rFonts w:asciiTheme="minorBidi" w:hAnsiTheme="minorBidi"/>
          <w:lang w:bidi="ar-EG"/>
        </w:rPr>
      </w:pPr>
      <w:r w:rsidRPr="00055D7E">
        <w:rPr>
          <w:rFonts w:asciiTheme="minorBidi" w:hAnsiTheme="minorBidi"/>
          <w:lang w:bidi="ar-EG"/>
        </w:rPr>
        <w:t>During the plenary session, the Egyptian Senate approved the first article of a draft law submitted by the government to issue the Elderly Protection Law, regarding the validity of its provisions. The first article stipulates that the provisions of the accompanying law regarding the rights of the elderly shall be implemented. Its provisions shall apply to Egyptian elderly and foreign elderly legal residents of the Arab Republic of Egypt, who have reached the age specified for referral to pension by the laws of the countries of their nationality on the condition of reciprocity, without prejudice to any other rights or privileges established for the elderly in any other law</w:t>
      </w:r>
      <w:r w:rsidRPr="00055D7E">
        <w:rPr>
          <w:rFonts w:asciiTheme="minorBidi" w:hAnsiTheme="minorBidi"/>
          <w:rtl/>
          <w:lang w:bidi="ar-EG"/>
        </w:rPr>
        <w:t>.</w:t>
      </w:r>
    </w:p>
    <w:p w14:paraId="38087994" w14:textId="289118D3" w:rsidR="00870E5A" w:rsidRPr="00055D7E" w:rsidRDefault="0051494D" w:rsidP="00055D7E">
      <w:pPr>
        <w:bidi w:val="0"/>
        <w:ind w:hanging="300"/>
        <w:jc w:val="both"/>
        <w:rPr>
          <w:rFonts w:asciiTheme="minorBidi" w:hAnsiTheme="minorBidi"/>
          <w:b/>
          <w:bCs/>
          <w:u w:val="single"/>
          <w:rtl/>
          <w:lang w:bidi="ar-EG"/>
        </w:rPr>
      </w:pPr>
      <w:r w:rsidRPr="00055D7E">
        <w:rPr>
          <w:rFonts w:asciiTheme="minorBidi" w:hAnsiTheme="minorBidi"/>
          <w:b/>
          <w:bCs/>
          <w:u w:val="single"/>
          <w:lang w:bidi="ar-EG"/>
        </w:rPr>
        <w:t>Third: The situation of foreigners and refugees in Egypt</w:t>
      </w:r>
    </w:p>
    <w:p w14:paraId="34CEC499" w14:textId="77777777" w:rsidR="00AF2F28" w:rsidRPr="00055D7E" w:rsidRDefault="00AF2F28" w:rsidP="00F2229E">
      <w:pPr>
        <w:bidi w:val="0"/>
        <w:ind w:left="0" w:firstLine="300"/>
        <w:rPr>
          <w:rFonts w:asciiTheme="minorBidi" w:hAnsiTheme="minorBidi"/>
        </w:rPr>
      </w:pPr>
      <w:r w:rsidRPr="00055D7E">
        <w:rPr>
          <w:rFonts w:asciiTheme="minorBidi" w:hAnsiTheme="minorBidi"/>
        </w:rPr>
        <w:t xml:space="preserve">Refugees enjoy services like Egyptian citizens, although they are among the countries that receive the lowest levels of funding to cover the needs of refugees. The executive regulations of Law No. 2 of 2018 on comprehensive health insurance included the inclusion of foreigners residing in Egypt and refugees in the </w:t>
      </w:r>
      <w:r w:rsidRPr="00055D7E">
        <w:rPr>
          <w:rFonts w:asciiTheme="minorBidi" w:hAnsiTheme="minorBidi"/>
        </w:rPr>
        <w:lastRenderedPageBreak/>
        <w:t>health insurance system and the expansion of the scope of many health campaigns to include refugees and asylum seekers</w:t>
      </w:r>
      <w:r w:rsidRPr="00055D7E">
        <w:rPr>
          <w:rFonts w:asciiTheme="minorBidi" w:hAnsiTheme="minorBidi"/>
          <w:rtl/>
        </w:rPr>
        <w:t>.</w:t>
      </w:r>
    </w:p>
    <w:p w14:paraId="7B58FCB1" w14:textId="7C129B69" w:rsidR="00AF2F28" w:rsidRPr="00055D7E" w:rsidRDefault="00AF2F28" w:rsidP="00A75362">
      <w:pPr>
        <w:pStyle w:val="ListParagraph"/>
        <w:numPr>
          <w:ilvl w:val="0"/>
          <w:numId w:val="3"/>
        </w:numPr>
        <w:bidi w:val="0"/>
        <w:rPr>
          <w:rFonts w:asciiTheme="minorBidi" w:hAnsiTheme="minorBidi"/>
          <w:b/>
          <w:bCs/>
        </w:rPr>
      </w:pPr>
      <w:r w:rsidRPr="00055D7E">
        <w:rPr>
          <w:rFonts w:asciiTheme="minorBidi" w:hAnsiTheme="minorBidi"/>
          <w:rtl/>
        </w:rPr>
        <w:t xml:space="preserve"> </w:t>
      </w:r>
      <w:r w:rsidRPr="00055D7E">
        <w:rPr>
          <w:rFonts w:asciiTheme="minorBidi" w:hAnsiTheme="minorBidi"/>
          <w:b/>
          <w:bCs/>
        </w:rPr>
        <w:t>Right to housing</w:t>
      </w:r>
      <w:r w:rsidRPr="00055D7E">
        <w:rPr>
          <w:rFonts w:asciiTheme="minorBidi" w:hAnsiTheme="minorBidi"/>
          <w:b/>
          <w:bCs/>
          <w:rtl/>
        </w:rPr>
        <w:t>:</w:t>
      </w:r>
    </w:p>
    <w:p w14:paraId="456EB807" w14:textId="40FA824F" w:rsidR="00AF2F28" w:rsidRPr="00055D7E" w:rsidRDefault="00AF2F28" w:rsidP="00A75362">
      <w:pPr>
        <w:bidi w:val="0"/>
        <w:ind w:left="0" w:firstLine="0"/>
        <w:rPr>
          <w:rFonts w:asciiTheme="minorBidi" w:hAnsiTheme="minorBidi"/>
          <w:rtl/>
        </w:rPr>
      </w:pPr>
      <w:r w:rsidRPr="00055D7E">
        <w:rPr>
          <w:rFonts w:asciiTheme="minorBidi" w:hAnsiTheme="minorBidi"/>
        </w:rPr>
        <w:t xml:space="preserve">The Egyptian government did not specify housing and camps for refugees inside Egypt. So, they integrated into society more and faster among Egyptians. That is by leaving the refugee voluntarily the freedom of housing in terms of the area in which he would like to live, including bearing the burden of housing costs. Despite the positive side of this point of view, it has negatives, which are greater in terms of the burden that burdens them financially. Refugees may have to obtain support from charities to secure apartments at low rents, albeit in relatively popular areas. Among these is the Sharia Association of October 6, Sheikh Zayed, </w:t>
      </w:r>
      <w:r w:rsidR="00A75362" w:rsidRPr="00055D7E">
        <w:rPr>
          <w:rFonts w:asciiTheme="minorBidi" w:hAnsiTheme="minorBidi"/>
        </w:rPr>
        <w:t>and the</w:t>
      </w:r>
      <w:r w:rsidRPr="00055D7E">
        <w:rPr>
          <w:rFonts w:asciiTheme="minorBidi" w:hAnsiTheme="minorBidi"/>
        </w:rPr>
        <w:t xml:space="preserve"> House of the Family Association, the Syrian House, and the Relief Authority of the Arab Doctors Union</w:t>
      </w:r>
      <w:r w:rsidR="00A75362" w:rsidRPr="00055D7E">
        <w:rPr>
          <w:rStyle w:val="FootnoteReference"/>
          <w:rFonts w:asciiTheme="minorBidi" w:hAnsiTheme="minorBidi"/>
          <w:rtl/>
        </w:rPr>
        <w:footnoteReference w:id="5"/>
      </w:r>
      <w:r w:rsidRPr="00055D7E">
        <w:rPr>
          <w:rFonts w:asciiTheme="minorBidi" w:hAnsiTheme="minorBidi"/>
          <w:rtl/>
        </w:rPr>
        <w:t>.</w:t>
      </w:r>
    </w:p>
    <w:p w14:paraId="4396BD09" w14:textId="1104CA2A" w:rsidR="00AF2F28" w:rsidRPr="00055D7E" w:rsidRDefault="00AF2F28" w:rsidP="00A75362">
      <w:pPr>
        <w:pStyle w:val="ListParagraph"/>
        <w:numPr>
          <w:ilvl w:val="0"/>
          <w:numId w:val="3"/>
        </w:numPr>
        <w:bidi w:val="0"/>
        <w:rPr>
          <w:rFonts w:asciiTheme="minorBidi" w:hAnsiTheme="minorBidi"/>
          <w:b/>
          <w:bCs/>
        </w:rPr>
      </w:pPr>
      <w:r w:rsidRPr="00055D7E">
        <w:rPr>
          <w:rFonts w:asciiTheme="minorBidi" w:hAnsiTheme="minorBidi"/>
          <w:b/>
          <w:bCs/>
        </w:rPr>
        <w:t>Right to own real estate and buildings</w:t>
      </w:r>
      <w:r w:rsidRPr="00055D7E">
        <w:rPr>
          <w:rFonts w:asciiTheme="minorBidi" w:hAnsiTheme="minorBidi"/>
          <w:b/>
          <w:bCs/>
          <w:rtl/>
        </w:rPr>
        <w:t>:</w:t>
      </w:r>
    </w:p>
    <w:p w14:paraId="65E8EFC9" w14:textId="64BDAC45" w:rsidR="00AF2F28" w:rsidRPr="00055D7E" w:rsidRDefault="00AF2F28" w:rsidP="00A75362">
      <w:pPr>
        <w:bidi w:val="0"/>
        <w:ind w:left="0" w:firstLine="0"/>
        <w:rPr>
          <w:rFonts w:asciiTheme="minorBidi" w:hAnsiTheme="minorBidi"/>
          <w:rtl/>
        </w:rPr>
      </w:pPr>
      <w:r w:rsidRPr="00055D7E">
        <w:rPr>
          <w:rFonts w:asciiTheme="minorBidi" w:hAnsiTheme="minorBidi"/>
        </w:rPr>
        <w:t>Since the beginning of the asylum, Egypt has rejected the idea of ​​establishing isolated camps or refugee camps away from Egyptian society, where the Egyptian state deals with refugees as original citizens without distinction or exception. It is trying to integrate refugees into Egyptian society, as it did in the past in the migration streams, whether European or Asian, specifically in the nineteenth and early twentieth centuries. Egypt gives licenses to some communities to open factories, workshops, and even private schools for these refugees, and their places of worship, especially for Africans</w:t>
      </w:r>
      <w:r w:rsidR="00A75362" w:rsidRPr="00055D7E">
        <w:rPr>
          <w:rStyle w:val="FootnoteReference"/>
          <w:rFonts w:asciiTheme="minorBidi" w:hAnsiTheme="minorBidi"/>
          <w:rtl/>
          <w:lang w:bidi="ar-EG"/>
        </w:rPr>
        <w:footnoteReference w:id="6"/>
      </w:r>
      <w:r w:rsidRPr="00055D7E">
        <w:rPr>
          <w:rFonts w:asciiTheme="minorBidi" w:hAnsiTheme="minorBidi"/>
          <w:rtl/>
        </w:rPr>
        <w:t>.</w:t>
      </w:r>
    </w:p>
    <w:p w14:paraId="2AF00611" w14:textId="6861399A" w:rsidR="00AF2F28" w:rsidRPr="00055D7E" w:rsidRDefault="00AF2F28" w:rsidP="00F2229E">
      <w:pPr>
        <w:bidi w:val="0"/>
        <w:ind w:left="0" w:firstLine="720"/>
        <w:rPr>
          <w:rFonts w:asciiTheme="minorBidi" w:hAnsiTheme="minorBidi"/>
          <w:rtl/>
        </w:rPr>
      </w:pPr>
      <w:r w:rsidRPr="00055D7E">
        <w:rPr>
          <w:rFonts w:asciiTheme="minorBidi" w:hAnsiTheme="minorBidi"/>
        </w:rPr>
        <w:t>Egyptian law grants the right to own real estate in Egypt, whether these real estates are towers or buildings, and the government contributes to facilitating services that help them own real estate, but there are certain conditions for this matter. One of the most important advantages given to the refugee is the granting of Egyptian residency for one year in the event of owning real estate registered in Egypt. The Ministry of Interior is responsible for the real estate sector, as it issues all licenses for refugees to own Egyptian real estate</w:t>
      </w:r>
      <w:r w:rsidR="00A75362" w:rsidRPr="00055D7E">
        <w:rPr>
          <w:rStyle w:val="FootnoteReference"/>
          <w:rFonts w:asciiTheme="minorBidi" w:hAnsiTheme="minorBidi"/>
          <w:rtl/>
        </w:rPr>
        <w:footnoteReference w:id="7"/>
      </w:r>
      <w:r w:rsidRPr="00055D7E">
        <w:rPr>
          <w:rFonts w:asciiTheme="minorBidi" w:hAnsiTheme="minorBidi"/>
          <w:rtl/>
        </w:rPr>
        <w:t>.</w:t>
      </w:r>
    </w:p>
    <w:p w14:paraId="19AFBD0A" w14:textId="03E0D4D6" w:rsidR="00AF2F28" w:rsidRPr="00055D7E" w:rsidRDefault="00AF2F28" w:rsidP="004077C4">
      <w:pPr>
        <w:bidi w:val="0"/>
        <w:ind w:left="0" w:firstLine="0"/>
        <w:rPr>
          <w:rFonts w:asciiTheme="minorBidi" w:hAnsiTheme="minorBidi"/>
          <w:rtl/>
        </w:rPr>
      </w:pPr>
      <w:r w:rsidRPr="00055D7E">
        <w:rPr>
          <w:rFonts w:asciiTheme="minorBidi" w:hAnsiTheme="minorBidi"/>
        </w:rPr>
        <w:t>The second article of Law 230 of 1996 regarding foreign ownership of built real estate and vacant lands stipulated that a non-Egyptian may own real estate, whether built or vacant. That is without prejudice to the right to own the real estate necessary to carry out the private activity licensed by the competent Egyptian authorities. Thus, refugees and foreigners, in general, can own any property in Egypt, but under some legal conditions. In return, they obtain Egyptian residency for a year, and they are entitled to dispose of these properties after five years of owning that property, while they are not entitled to own agricultural lands</w:t>
      </w:r>
      <w:r w:rsidRPr="00055D7E">
        <w:rPr>
          <w:rFonts w:asciiTheme="minorBidi" w:hAnsiTheme="minorBidi"/>
          <w:rtl/>
        </w:rPr>
        <w:t>.</w:t>
      </w:r>
    </w:p>
    <w:p w14:paraId="780507B1" w14:textId="759D7455" w:rsidR="00AF2F28" w:rsidRPr="00055D7E" w:rsidRDefault="00AF2F28" w:rsidP="00A75362">
      <w:pPr>
        <w:pStyle w:val="ListParagraph"/>
        <w:numPr>
          <w:ilvl w:val="0"/>
          <w:numId w:val="3"/>
        </w:numPr>
        <w:bidi w:val="0"/>
        <w:rPr>
          <w:rFonts w:asciiTheme="minorBidi" w:hAnsiTheme="minorBidi"/>
          <w:b/>
          <w:bCs/>
          <w:rtl/>
        </w:rPr>
      </w:pPr>
      <w:r w:rsidRPr="00055D7E">
        <w:rPr>
          <w:rFonts w:asciiTheme="minorBidi" w:hAnsiTheme="minorBidi"/>
          <w:b/>
          <w:bCs/>
        </w:rPr>
        <w:t>Foreign labor and the integration of foreigners into the Egyptian labor market</w:t>
      </w:r>
      <w:r w:rsidRPr="00055D7E">
        <w:rPr>
          <w:rFonts w:asciiTheme="minorBidi" w:hAnsiTheme="minorBidi"/>
          <w:b/>
          <w:bCs/>
          <w:rtl/>
        </w:rPr>
        <w:t>:</w:t>
      </w:r>
    </w:p>
    <w:p w14:paraId="02C224ED" w14:textId="3484C5BC" w:rsidR="00AF2F28" w:rsidRPr="00055D7E" w:rsidRDefault="00AF2F28" w:rsidP="00A75362">
      <w:pPr>
        <w:bidi w:val="0"/>
        <w:ind w:left="0" w:firstLine="0"/>
        <w:rPr>
          <w:rFonts w:asciiTheme="minorBidi" w:hAnsiTheme="minorBidi"/>
          <w:rtl/>
        </w:rPr>
      </w:pPr>
      <w:r w:rsidRPr="00055D7E">
        <w:rPr>
          <w:rFonts w:asciiTheme="minorBidi" w:hAnsiTheme="minorBidi"/>
        </w:rPr>
        <w:t xml:space="preserve">The percentage of foreign labor in the establishments according to the law does not exceed 10% of the total Egyptian labor force, to protect the national labor from crowding out. The number of licenses granted to </w:t>
      </w:r>
      <w:r w:rsidRPr="00055D7E">
        <w:rPr>
          <w:rFonts w:asciiTheme="minorBidi" w:hAnsiTheme="minorBidi"/>
        </w:rPr>
        <w:lastRenderedPageBreak/>
        <w:t>foreigners to work does not exceed 29,000, and this percentage represents 1% of the total Egyptian workforce, which has reached 29 million</w:t>
      </w:r>
      <w:r w:rsidRPr="00055D7E">
        <w:rPr>
          <w:rFonts w:asciiTheme="minorBidi" w:hAnsiTheme="minorBidi"/>
          <w:rtl/>
        </w:rPr>
        <w:t>.</w:t>
      </w:r>
    </w:p>
    <w:p w14:paraId="7DF8A1E7" w14:textId="64A283A7" w:rsidR="00AF2F28" w:rsidRPr="00055D7E" w:rsidRDefault="00AF2F28" w:rsidP="00616C0B">
      <w:pPr>
        <w:bidi w:val="0"/>
        <w:ind w:left="0" w:firstLine="720"/>
        <w:rPr>
          <w:rFonts w:asciiTheme="minorBidi" w:hAnsiTheme="minorBidi"/>
          <w:rtl/>
        </w:rPr>
      </w:pPr>
      <w:r w:rsidRPr="00055D7E">
        <w:rPr>
          <w:rFonts w:asciiTheme="minorBidi" w:hAnsiTheme="minorBidi"/>
        </w:rPr>
        <w:t>There are professions and jobs that foreigners are prohibited from working in, and they are not to be employed except after obtaining a license to do so, and for them to be authorized to enter the country and reside with the intention of work. The license is granted after ascertaining the experience of the foreigner, and the scarcity of Egyptian labor in the same field, with the stipulation that Egyptian assistants be assigned to transfer his expertise to them and pay the fees due, and that the objective of employing foreigners is respecting the principle of reciprocity. The number of work permits obtained for the first time reached 29,137 foreigners, 33,242 work permits were renewed, and the conditions of 18,332 foreign workers working in the country were legalized in violation of the provisions of the law and ministerial decisions regulating it</w:t>
      </w:r>
      <w:r w:rsidRPr="00055D7E">
        <w:rPr>
          <w:rFonts w:asciiTheme="minorBidi" w:hAnsiTheme="minorBidi"/>
          <w:rtl/>
        </w:rPr>
        <w:t>.</w:t>
      </w:r>
    </w:p>
    <w:p w14:paraId="40263252" w14:textId="466811AE" w:rsidR="00AF2F28" w:rsidRPr="00055D7E" w:rsidRDefault="00AF2F28" w:rsidP="00E52CF7">
      <w:pPr>
        <w:bidi w:val="0"/>
        <w:ind w:left="0" w:firstLine="360"/>
        <w:jc w:val="both"/>
        <w:rPr>
          <w:rFonts w:asciiTheme="minorBidi" w:hAnsiTheme="minorBidi"/>
        </w:rPr>
      </w:pPr>
      <w:r w:rsidRPr="00055D7E">
        <w:rPr>
          <w:rFonts w:asciiTheme="minorBidi" w:hAnsiTheme="minorBidi"/>
        </w:rPr>
        <w:t>European countries represented the largest number of the total number of foreign workers in the government sector and public business sector during the past year, reaching 673 foreigners, or 57.4%, followed by Asian countries, with 232 foreign workers, or 19.8%. While the oceanic countries "Australia - New Zealand - New Guinea" represent the lowest numbers, as their number reached 31 foreign arrivals only, at a rate of 2.6%</w:t>
      </w:r>
      <w:r w:rsidRPr="00055D7E">
        <w:rPr>
          <w:rFonts w:asciiTheme="minorBidi" w:hAnsiTheme="minorBidi"/>
          <w:rtl/>
        </w:rPr>
        <w:t>.</w:t>
      </w:r>
    </w:p>
    <w:p w14:paraId="14D26A3B" w14:textId="25B3699D" w:rsidR="00DD5B1B" w:rsidRPr="00055D7E" w:rsidRDefault="00DD5B1B" w:rsidP="00DD5B1B">
      <w:pPr>
        <w:pStyle w:val="ListParagraph"/>
        <w:numPr>
          <w:ilvl w:val="0"/>
          <w:numId w:val="3"/>
        </w:numPr>
        <w:bidi w:val="0"/>
        <w:rPr>
          <w:rFonts w:asciiTheme="minorBidi" w:hAnsiTheme="minorBidi"/>
          <w:b/>
          <w:bCs/>
        </w:rPr>
      </w:pPr>
      <w:r w:rsidRPr="00055D7E">
        <w:rPr>
          <w:rFonts w:asciiTheme="minorBidi" w:hAnsiTheme="minorBidi"/>
          <w:b/>
          <w:bCs/>
        </w:rPr>
        <w:t>The right to health</w:t>
      </w:r>
    </w:p>
    <w:p w14:paraId="67420F74" w14:textId="77777777" w:rsidR="00DD5B1B" w:rsidRPr="00055D7E" w:rsidRDefault="00DD5B1B" w:rsidP="00DD5B1B">
      <w:pPr>
        <w:bidi w:val="0"/>
        <w:ind w:left="0" w:firstLine="0"/>
        <w:rPr>
          <w:rFonts w:asciiTheme="minorBidi" w:hAnsiTheme="minorBidi"/>
        </w:rPr>
      </w:pPr>
      <w:r w:rsidRPr="00055D7E">
        <w:rPr>
          <w:rFonts w:asciiTheme="minorBidi" w:hAnsiTheme="minorBidi"/>
        </w:rPr>
        <w:t>Despite the challenges facing the Egyptian government in providing health care to all refugees, it has succeeded in providing health services to many of them. The initiatives are as follows</w:t>
      </w:r>
      <w:r w:rsidRPr="00055D7E">
        <w:rPr>
          <w:rFonts w:asciiTheme="minorBidi" w:hAnsiTheme="minorBidi"/>
          <w:rtl/>
        </w:rPr>
        <w:t>:</w:t>
      </w:r>
    </w:p>
    <w:p w14:paraId="6C57D3EB" w14:textId="694DF84B" w:rsidR="00DD5B1B" w:rsidRPr="00055D7E" w:rsidRDefault="00DD5B1B" w:rsidP="00E52CF7">
      <w:pPr>
        <w:bidi w:val="0"/>
        <w:ind w:left="0" w:firstLine="720"/>
        <w:rPr>
          <w:rFonts w:asciiTheme="minorBidi" w:hAnsiTheme="minorBidi"/>
        </w:rPr>
      </w:pPr>
      <w:r w:rsidRPr="00055D7E">
        <w:rPr>
          <w:rFonts w:asciiTheme="minorBidi" w:hAnsiTheme="minorBidi"/>
        </w:rPr>
        <w:t>In September 2012, the Egyptian government issued a ministerial decision granting Syrian refugees equal access to public services in primary health care at the same cost borne by Egyptians. In this context, 87,619 medical consultations were conducted in health care at the same cost as Egyptians. 2,299 refugees received Syrians received secondary and post-secondary health care, 667 mental health consultations, a total of 853 prenatal consultations, and 17,277 Syrian children under five receiving routine immunizations and growth monitoring services</w:t>
      </w:r>
      <w:r w:rsidR="00F2581F" w:rsidRPr="00055D7E">
        <w:rPr>
          <w:rStyle w:val="FootnoteReference"/>
          <w:rFonts w:asciiTheme="minorBidi" w:hAnsiTheme="minorBidi"/>
          <w:b/>
          <w:bCs/>
          <w:i/>
          <w:iCs/>
          <w:rtl/>
          <w:lang w:bidi="ar-EG"/>
        </w:rPr>
        <w:footnoteReference w:id="8"/>
      </w:r>
      <w:r w:rsidRPr="00055D7E">
        <w:rPr>
          <w:rFonts w:asciiTheme="minorBidi" w:hAnsiTheme="minorBidi"/>
        </w:rPr>
        <w:t>. In 2015, the current Egyptian government, in cooperation with the United Nations and its partners, launched a master plan to help Syrian refugees in Egypt. This appeal for Egypt means meeting some of the needs of nearly six million people. This plan includes many axes, but with a focus on the education and health services sectors</w:t>
      </w:r>
      <w:r w:rsidRPr="00055D7E">
        <w:rPr>
          <w:rStyle w:val="FootnoteReference"/>
          <w:rFonts w:asciiTheme="minorBidi" w:hAnsiTheme="minorBidi"/>
          <w:rtl/>
          <w:lang w:bidi="ar-EG"/>
        </w:rPr>
        <w:footnoteReference w:id="9"/>
      </w:r>
      <w:r w:rsidRPr="00055D7E">
        <w:rPr>
          <w:rFonts w:asciiTheme="minorBidi" w:hAnsiTheme="minorBidi"/>
          <w:rtl/>
        </w:rPr>
        <w:t>.</w:t>
      </w:r>
    </w:p>
    <w:p w14:paraId="0069C51A" w14:textId="5D94E846" w:rsidR="00DD5B1B" w:rsidRPr="00055D7E" w:rsidRDefault="00DD5B1B" w:rsidP="00E52CF7">
      <w:pPr>
        <w:bidi w:val="0"/>
        <w:ind w:left="0" w:firstLine="720"/>
        <w:rPr>
          <w:rFonts w:asciiTheme="minorBidi" w:hAnsiTheme="minorBidi"/>
        </w:rPr>
      </w:pPr>
      <w:r w:rsidRPr="00055D7E">
        <w:rPr>
          <w:rFonts w:asciiTheme="minorBidi" w:hAnsiTheme="minorBidi"/>
        </w:rPr>
        <w:t>In 2016, the Ministry of Health and Population and the United Nations High Commissioner for Refugees signed a Memorandum of Understanding, allowing refugees and asylum seekers of all nationalities to access medical services</w:t>
      </w:r>
      <w:r w:rsidR="00617204" w:rsidRPr="00055D7E">
        <w:rPr>
          <w:rStyle w:val="FootnoteReference"/>
          <w:rFonts w:asciiTheme="minorBidi" w:hAnsiTheme="minorBidi"/>
          <w:rtl/>
          <w:lang w:bidi="ar-EG"/>
        </w:rPr>
        <w:footnoteReference w:id="10"/>
      </w:r>
      <w:r w:rsidRPr="00055D7E">
        <w:rPr>
          <w:rFonts w:asciiTheme="minorBidi" w:hAnsiTheme="minorBidi"/>
        </w:rPr>
        <w:t xml:space="preserve">. The Egyptian government included refugees of all nationalities in a national presidential initiative entitled 100 Million Health Linked to Hepatitis C Screening And its treatment as part of promoting universal health coverage, in addition to the national campaigns to combat polio </w:t>
      </w:r>
      <w:r w:rsidRPr="00055D7E">
        <w:rPr>
          <w:rFonts w:asciiTheme="minorBidi" w:hAnsiTheme="minorBidi"/>
        </w:rPr>
        <w:lastRenderedPageBreak/>
        <w:t>targeting children up to five, as well as the campaign for early detection of hearing impairment for newborns in 1,346 health facilities</w:t>
      </w:r>
      <w:r w:rsidR="00344C9C" w:rsidRPr="00055D7E">
        <w:rPr>
          <w:rStyle w:val="FootnoteReference"/>
          <w:rFonts w:asciiTheme="minorBidi" w:hAnsiTheme="minorBidi"/>
          <w:rtl/>
          <w:lang w:bidi="ar-EG"/>
        </w:rPr>
        <w:footnoteReference w:id="11"/>
      </w:r>
      <w:r w:rsidRPr="00055D7E">
        <w:rPr>
          <w:rFonts w:asciiTheme="minorBidi" w:hAnsiTheme="minorBidi"/>
          <w:rtl/>
        </w:rPr>
        <w:t>.</w:t>
      </w:r>
    </w:p>
    <w:p w14:paraId="74BB2B1E" w14:textId="0527DE86" w:rsidR="00DD5B1B" w:rsidRPr="00055D7E" w:rsidRDefault="00DD5B1B" w:rsidP="00E52CF7">
      <w:pPr>
        <w:bidi w:val="0"/>
        <w:ind w:left="0" w:firstLine="720"/>
        <w:rPr>
          <w:rFonts w:asciiTheme="minorBidi" w:hAnsiTheme="minorBidi"/>
        </w:rPr>
      </w:pPr>
      <w:r w:rsidRPr="00055D7E">
        <w:rPr>
          <w:rFonts w:asciiTheme="minorBidi" w:hAnsiTheme="minorBidi"/>
        </w:rPr>
        <w:t>During 2019 and 2020, the Egyptian government-supported Syrian refugees in the health sector with about $115 million annually, by international standards to provide the available health care service. It including also Syrians getting free primary and secondary treatments and emergency treatments, and the Ministry of Health manages a network of facilities Health care. It includes more than 530 hospitals and 5200 primary health care centers, provides comprehensive health care to all Egyptians and Syrians alike at a highly subsidized rate</w:t>
      </w:r>
      <w:r w:rsidR="00344C9C" w:rsidRPr="00055D7E">
        <w:rPr>
          <w:rStyle w:val="FootnoteReference"/>
          <w:rFonts w:asciiTheme="minorBidi" w:hAnsiTheme="minorBidi"/>
          <w:rtl/>
          <w:lang w:bidi="ar-EG"/>
        </w:rPr>
        <w:footnoteReference w:id="12"/>
      </w:r>
      <w:r w:rsidRPr="00055D7E">
        <w:rPr>
          <w:rFonts w:asciiTheme="minorBidi" w:hAnsiTheme="minorBidi"/>
          <w:rtl/>
        </w:rPr>
        <w:t>.</w:t>
      </w:r>
    </w:p>
    <w:p w14:paraId="1936AF07" w14:textId="7D832CB6" w:rsidR="00A150C6" w:rsidRDefault="00DD5B1B" w:rsidP="00E52CF7">
      <w:pPr>
        <w:bidi w:val="0"/>
        <w:ind w:left="0" w:firstLine="300"/>
        <w:jc w:val="both"/>
        <w:rPr>
          <w:rFonts w:asciiTheme="minorBidi" w:hAnsiTheme="minorBidi"/>
          <w:lang w:bidi="ar-EG"/>
        </w:rPr>
      </w:pPr>
      <w:r w:rsidRPr="00055D7E">
        <w:rPr>
          <w:rFonts w:asciiTheme="minorBidi" w:hAnsiTheme="minorBidi"/>
        </w:rPr>
        <w:t>In light of the spread of the Corona</w:t>
      </w:r>
      <w:r w:rsidR="004B1E84" w:rsidRPr="00055D7E">
        <w:rPr>
          <w:rFonts w:asciiTheme="minorBidi" w:hAnsiTheme="minorBidi"/>
        </w:rPr>
        <w:t>virus</w:t>
      </w:r>
      <w:r w:rsidRPr="00055D7E">
        <w:rPr>
          <w:rFonts w:asciiTheme="minorBidi" w:hAnsiTheme="minorBidi"/>
        </w:rPr>
        <w:t xml:space="preserve"> pandemic, the Egyptian state was keen to provide and make the Coronavirus vaccines available to all Egyptians. The government is also following up throughout the day with the Minister of Health and Population and all the medical groups responsible for dealing with the situation, preparations, and attempts to diversify our access to more than one type of vaccine so that we can have as many of them as possible.</w:t>
      </w:r>
      <w:r w:rsidR="00A9149F" w:rsidRPr="00055D7E">
        <w:rPr>
          <w:rFonts w:asciiTheme="minorBidi" w:hAnsiTheme="minorBidi"/>
          <w:rtl/>
          <w:lang w:bidi="ar-EG"/>
        </w:rPr>
        <w:t xml:space="preserve"> </w:t>
      </w:r>
    </w:p>
    <w:p w14:paraId="2C57441F" w14:textId="637EE8F6" w:rsidR="00055D7E" w:rsidRPr="00055D7E" w:rsidRDefault="00055D7E" w:rsidP="00055D7E">
      <w:pPr>
        <w:bidi w:val="0"/>
        <w:ind w:left="0" w:firstLine="300"/>
        <w:jc w:val="both"/>
        <w:rPr>
          <w:rFonts w:asciiTheme="minorBidi" w:hAnsiTheme="minorBidi"/>
          <w:b/>
          <w:bCs/>
          <w:u w:val="single"/>
          <w:rtl/>
          <w:lang w:bidi="ar-EG"/>
        </w:rPr>
      </w:pPr>
      <w:r>
        <w:rPr>
          <w:rFonts w:asciiTheme="minorBidi" w:hAnsiTheme="minorBidi"/>
          <w:b/>
          <w:bCs/>
          <w:u w:val="single"/>
          <w:lang w:bidi="ar-EG"/>
        </w:rPr>
        <w:t>Issues</w:t>
      </w:r>
    </w:p>
    <w:p w14:paraId="3779A01D" w14:textId="38BBAD3D" w:rsidR="00287A17" w:rsidRPr="00055D7E" w:rsidRDefault="00287A17" w:rsidP="004B1E84">
      <w:pPr>
        <w:pStyle w:val="ListParagraph"/>
        <w:numPr>
          <w:ilvl w:val="0"/>
          <w:numId w:val="5"/>
        </w:numPr>
        <w:bidi w:val="0"/>
        <w:rPr>
          <w:rFonts w:asciiTheme="minorBidi" w:hAnsiTheme="minorBidi"/>
        </w:rPr>
      </w:pPr>
      <w:r w:rsidRPr="00055D7E">
        <w:rPr>
          <w:rFonts w:asciiTheme="minorBidi" w:hAnsiTheme="minorBidi"/>
        </w:rPr>
        <w:t>Foreigners face a number of restrictions, and African refugees in particular face difficulties in accessing government-subsidized education. This increases the number of African children who drop out of school because of the high cost of private education that refugees cannot afford or because of the lack of papers needed to apply to public schools. In this context, it is necessary to intensify and increase programs aimed at supporting the education of African children in particular</w:t>
      </w:r>
      <w:r w:rsidRPr="00055D7E">
        <w:rPr>
          <w:rFonts w:asciiTheme="minorBidi" w:hAnsiTheme="minorBidi"/>
          <w:rtl/>
        </w:rPr>
        <w:t>.</w:t>
      </w:r>
    </w:p>
    <w:p w14:paraId="500043EA" w14:textId="620DCE7B" w:rsidR="00287A17" w:rsidRPr="00055D7E" w:rsidRDefault="00287A17" w:rsidP="004B1E84">
      <w:pPr>
        <w:pStyle w:val="ListParagraph"/>
        <w:numPr>
          <w:ilvl w:val="0"/>
          <w:numId w:val="5"/>
        </w:numPr>
        <w:bidi w:val="0"/>
        <w:rPr>
          <w:rFonts w:asciiTheme="minorBidi" w:hAnsiTheme="minorBidi"/>
        </w:rPr>
      </w:pPr>
      <w:r w:rsidRPr="00055D7E">
        <w:rPr>
          <w:rFonts w:asciiTheme="minorBidi" w:hAnsiTheme="minorBidi"/>
        </w:rPr>
        <w:t xml:space="preserve">In the absence of an Egyptian governmental body or agency concerned with refugee and foreign affairs so far. The Egyptian state has given the UNHCR all its responsibilities related to dealing with refugees (identification, registration and assistance). Therefore, </w:t>
      </w:r>
      <w:r w:rsidR="00055D7E">
        <w:rPr>
          <w:rFonts w:asciiTheme="minorBidi" w:hAnsiTheme="minorBidi"/>
        </w:rPr>
        <w:t>PFT</w:t>
      </w:r>
      <w:r w:rsidRPr="00055D7E">
        <w:rPr>
          <w:rFonts w:asciiTheme="minorBidi" w:hAnsiTheme="minorBidi"/>
        </w:rPr>
        <w:t xml:space="preserve"> refers to the necessity of having a national Egyptian committee or body concerned with refugee affairs, making the 1951 Refugee Convention and the United Nations Protocol on Regional Shelter in 1967, as well as the Egyptian Constitution, especially Article 91 on refugees, a legal reference to it</w:t>
      </w:r>
      <w:r w:rsidRPr="00055D7E">
        <w:rPr>
          <w:rFonts w:asciiTheme="minorBidi" w:hAnsiTheme="minorBidi"/>
          <w:rtl/>
        </w:rPr>
        <w:t>.</w:t>
      </w:r>
    </w:p>
    <w:p w14:paraId="07A511A2" w14:textId="225A73B9" w:rsidR="0035009B" w:rsidRPr="00055D7E" w:rsidRDefault="00287A17" w:rsidP="00353176">
      <w:pPr>
        <w:pStyle w:val="ListParagraph"/>
        <w:numPr>
          <w:ilvl w:val="0"/>
          <w:numId w:val="5"/>
        </w:numPr>
        <w:bidi w:val="0"/>
        <w:jc w:val="both"/>
        <w:rPr>
          <w:rFonts w:asciiTheme="minorBidi" w:hAnsiTheme="minorBidi"/>
        </w:rPr>
      </w:pPr>
      <w:r w:rsidRPr="00055D7E">
        <w:rPr>
          <w:rFonts w:asciiTheme="minorBidi" w:hAnsiTheme="minorBidi"/>
        </w:rPr>
        <w:t>In light of the spread of misguided policies towards some about the concept of refugees and foreigners, workshops and awareness campaigns must be intensi</w:t>
      </w:r>
      <w:r w:rsidR="00353176" w:rsidRPr="00055D7E">
        <w:rPr>
          <w:rFonts w:asciiTheme="minorBidi" w:hAnsiTheme="minorBidi"/>
        </w:rPr>
        <w:t xml:space="preserve">fied to develop these concepts, and </w:t>
      </w:r>
      <w:r w:rsidRPr="00055D7E">
        <w:rPr>
          <w:rFonts w:asciiTheme="minorBidi" w:hAnsiTheme="minorBidi"/>
        </w:rPr>
        <w:t>providing support to foreigners and refugees in light of the economic deterioration in the country</w:t>
      </w:r>
      <w:r w:rsidRPr="00055D7E">
        <w:rPr>
          <w:rFonts w:asciiTheme="minorBidi" w:hAnsiTheme="minorBidi"/>
          <w:rtl/>
        </w:rPr>
        <w:t>.</w:t>
      </w:r>
    </w:p>
    <w:sectPr w:rsidR="0035009B" w:rsidRPr="00055D7E" w:rsidSect="00BF1E65">
      <w:headerReference w:type="default" r:id="rId7"/>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6A58F" w14:textId="77777777" w:rsidR="008D5089" w:rsidRDefault="008D5089">
      <w:pPr>
        <w:spacing w:after="0" w:line="240" w:lineRule="auto"/>
      </w:pPr>
      <w:r>
        <w:separator/>
      </w:r>
    </w:p>
  </w:endnote>
  <w:endnote w:type="continuationSeparator" w:id="0">
    <w:p w14:paraId="47460A87" w14:textId="77777777" w:rsidR="008D5089" w:rsidRDefault="008D5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7B80F" w14:textId="77777777" w:rsidR="008D5089" w:rsidRDefault="008D5089">
      <w:pPr>
        <w:spacing w:after="0" w:line="240" w:lineRule="auto"/>
      </w:pPr>
      <w:r>
        <w:separator/>
      </w:r>
    </w:p>
  </w:footnote>
  <w:footnote w:type="continuationSeparator" w:id="0">
    <w:p w14:paraId="77C7FC77" w14:textId="77777777" w:rsidR="008D5089" w:rsidRDefault="008D5089">
      <w:pPr>
        <w:spacing w:after="0" w:line="240" w:lineRule="auto"/>
      </w:pPr>
      <w:r>
        <w:continuationSeparator/>
      </w:r>
    </w:p>
  </w:footnote>
  <w:footnote w:id="1">
    <w:p w14:paraId="2C12E13F" w14:textId="77777777" w:rsidR="00A326B4" w:rsidRPr="00B970BD" w:rsidRDefault="00A326B4" w:rsidP="00A326B4">
      <w:pPr>
        <w:pStyle w:val="FootnoteText"/>
        <w:bidi w:val="0"/>
        <w:jc w:val="both"/>
        <w:rPr>
          <w:rFonts w:asciiTheme="majorBidi" w:hAnsiTheme="majorBidi" w:cstheme="majorBidi"/>
          <w:lang w:bidi="ar-EG"/>
        </w:rPr>
      </w:pPr>
      <w:r w:rsidRPr="00B970BD">
        <w:rPr>
          <w:rStyle w:val="FootnoteReference"/>
          <w:rFonts w:asciiTheme="majorBidi" w:hAnsiTheme="majorBidi" w:cstheme="majorBidi"/>
        </w:rPr>
        <w:footnoteRef/>
      </w:r>
      <w:r w:rsidRPr="00B970BD">
        <w:rPr>
          <w:rFonts w:asciiTheme="majorBidi" w:hAnsiTheme="majorBidi" w:cstheme="majorBidi"/>
          <w:rtl/>
        </w:rPr>
        <w:t xml:space="preserve"> </w:t>
      </w:r>
      <w:r w:rsidRPr="00B970BD">
        <w:rPr>
          <w:rFonts w:asciiTheme="majorBidi" w:hAnsiTheme="majorBidi" w:cstheme="majorBidi"/>
        </w:rPr>
        <w:t xml:space="preserve">UNHCR, States Parties to the 1951 Convention relating to the Status of Refugees and the 1967 Protocol, </w:t>
      </w:r>
      <w:hyperlink r:id="rId1" w:history="1">
        <w:r w:rsidRPr="00B970BD">
          <w:rPr>
            <w:rStyle w:val="Hyperlink"/>
            <w:rFonts w:asciiTheme="majorBidi" w:hAnsiTheme="majorBidi" w:cstheme="majorBidi"/>
          </w:rPr>
          <w:t>https://bit.ly/2Y7991K</w:t>
        </w:r>
      </w:hyperlink>
      <w:r w:rsidRPr="00B970BD">
        <w:rPr>
          <w:rFonts w:asciiTheme="majorBidi" w:hAnsiTheme="majorBidi" w:cstheme="majorBidi"/>
        </w:rPr>
        <w:t xml:space="preserve"> </w:t>
      </w:r>
    </w:p>
  </w:footnote>
  <w:footnote w:id="2">
    <w:p w14:paraId="4A750CAB" w14:textId="77777777" w:rsidR="00A326B4" w:rsidRPr="00B970BD" w:rsidRDefault="00A326B4" w:rsidP="00A326B4">
      <w:pPr>
        <w:pStyle w:val="FootnoteText"/>
        <w:bidi w:val="0"/>
        <w:jc w:val="both"/>
        <w:rPr>
          <w:rFonts w:asciiTheme="majorBidi" w:hAnsiTheme="majorBidi" w:cstheme="majorBidi"/>
        </w:rPr>
      </w:pPr>
      <w:r w:rsidRPr="00B970BD">
        <w:rPr>
          <w:rStyle w:val="FootnoteReference"/>
          <w:rFonts w:asciiTheme="majorBidi" w:hAnsiTheme="majorBidi" w:cstheme="majorBidi"/>
        </w:rPr>
        <w:footnoteRef/>
      </w:r>
      <w:r w:rsidRPr="00B970BD">
        <w:rPr>
          <w:rFonts w:asciiTheme="majorBidi" w:hAnsiTheme="majorBidi" w:cstheme="majorBidi"/>
          <w:rtl/>
        </w:rPr>
        <w:t xml:space="preserve"> </w:t>
      </w:r>
      <w:r w:rsidRPr="00B970BD">
        <w:rPr>
          <w:rFonts w:asciiTheme="majorBidi" w:hAnsiTheme="majorBidi" w:cstheme="majorBidi"/>
        </w:rPr>
        <w:t xml:space="preserve">institute for security studies, The 1969 OAU Refugee Convention at 50, OCTOBER 2019, </w:t>
      </w:r>
      <w:hyperlink r:id="rId2" w:history="1">
        <w:r w:rsidRPr="00B970BD">
          <w:rPr>
            <w:rStyle w:val="Hyperlink"/>
            <w:rFonts w:asciiTheme="majorBidi" w:hAnsiTheme="majorBidi" w:cstheme="majorBidi"/>
          </w:rPr>
          <w:t>https://bit.ly/3ohMB9t</w:t>
        </w:r>
      </w:hyperlink>
      <w:r w:rsidRPr="00B970BD">
        <w:rPr>
          <w:rFonts w:asciiTheme="majorBidi" w:hAnsiTheme="majorBidi" w:cstheme="majorBidi"/>
        </w:rPr>
        <w:t xml:space="preserve"> </w:t>
      </w:r>
    </w:p>
  </w:footnote>
  <w:footnote w:id="3">
    <w:p w14:paraId="3BE078C4" w14:textId="77777777" w:rsidR="00A326B4" w:rsidRPr="00692B5F" w:rsidRDefault="00A326B4" w:rsidP="00A326B4">
      <w:pPr>
        <w:pStyle w:val="FootnoteText"/>
        <w:bidi w:val="0"/>
        <w:jc w:val="both"/>
        <w:rPr>
          <w:sz w:val="18"/>
          <w:szCs w:val="18"/>
          <w:lang w:bidi="ar-EG"/>
        </w:rPr>
      </w:pPr>
      <w:r w:rsidRPr="00B970BD">
        <w:rPr>
          <w:rStyle w:val="FootnoteReference"/>
          <w:rFonts w:asciiTheme="majorBidi" w:hAnsiTheme="majorBidi" w:cstheme="majorBidi"/>
          <w:sz w:val="18"/>
          <w:szCs w:val="18"/>
        </w:rPr>
        <w:footnoteRef/>
      </w:r>
      <w:r w:rsidRPr="00B970BD">
        <w:rPr>
          <w:rFonts w:asciiTheme="majorBidi" w:hAnsiTheme="majorBidi" w:cstheme="majorBidi"/>
          <w:sz w:val="18"/>
          <w:szCs w:val="18"/>
          <w:rtl/>
        </w:rPr>
        <w:t xml:space="preserve"> </w:t>
      </w:r>
      <w:r w:rsidRPr="00B970BD">
        <w:rPr>
          <w:rFonts w:asciiTheme="majorBidi" w:hAnsiTheme="majorBidi" w:cstheme="majorBidi"/>
          <w:sz w:val="18"/>
          <w:szCs w:val="18"/>
          <w:lang w:bidi="ar-EG"/>
        </w:rPr>
        <w:t xml:space="preserve">AU, LIST OF COUNTRIES WHICH HAVE SIGNED- RATIFIED/ACCEDED TO THE OAU CONVENTION GOVERNING THE SPECIFIC ASPECTS OF REFUGEE PROBLEMS IN AFRICA, </w:t>
      </w:r>
      <w:hyperlink r:id="rId3" w:history="1">
        <w:r w:rsidRPr="00B970BD">
          <w:rPr>
            <w:rStyle w:val="Hyperlink"/>
            <w:rFonts w:asciiTheme="majorBidi" w:hAnsiTheme="majorBidi" w:cstheme="majorBidi"/>
            <w:sz w:val="18"/>
            <w:szCs w:val="18"/>
            <w:lang w:bidi="ar-EG"/>
          </w:rPr>
          <w:t>https://bit.ly/3AUz2js</w:t>
        </w:r>
      </w:hyperlink>
      <w:r w:rsidRPr="00692B5F">
        <w:rPr>
          <w:sz w:val="18"/>
          <w:szCs w:val="18"/>
          <w:lang w:bidi="ar-EG"/>
        </w:rPr>
        <w:t xml:space="preserve"> </w:t>
      </w:r>
    </w:p>
  </w:footnote>
  <w:footnote w:id="4">
    <w:p w14:paraId="3DB0F602" w14:textId="77777777" w:rsidR="00A326B4" w:rsidRPr="009E651D" w:rsidRDefault="00A326B4" w:rsidP="00A326B4">
      <w:pPr>
        <w:pStyle w:val="FootnoteText"/>
        <w:rPr>
          <w:lang w:bidi="ar-EG"/>
        </w:rPr>
      </w:pPr>
      <w:r w:rsidRPr="009E651D">
        <w:rPr>
          <w:rStyle w:val="FootnoteReference"/>
        </w:rPr>
        <w:footnoteRef/>
      </w:r>
      <w:r w:rsidRPr="009E651D">
        <w:rPr>
          <w:rtl/>
        </w:rPr>
        <w:t xml:space="preserve"> </w:t>
      </w:r>
      <w:r w:rsidRPr="009E651D">
        <w:rPr>
          <w:rFonts w:hint="cs"/>
          <w:rtl/>
        </w:rPr>
        <w:t xml:space="preserve">السفير العربي، </w:t>
      </w:r>
      <w:r w:rsidRPr="009E651D">
        <w:rPr>
          <w:rFonts w:cs="Arial" w:hint="eastAsia"/>
          <w:b/>
          <w:bCs/>
          <w:rtl/>
        </w:rPr>
        <w:t>مصر</w:t>
      </w:r>
      <w:r w:rsidRPr="009E651D">
        <w:rPr>
          <w:rFonts w:cs="Arial"/>
          <w:b/>
          <w:bCs/>
          <w:rtl/>
        </w:rPr>
        <w:t xml:space="preserve">: </w:t>
      </w:r>
      <w:r w:rsidRPr="009E651D">
        <w:rPr>
          <w:rFonts w:cs="Arial" w:hint="eastAsia"/>
          <w:b/>
          <w:bCs/>
          <w:rtl/>
        </w:rPr>
        <w:t>مسألة</w:t>
      </w:r>
      <w:r w:rsidRPr="009E651D">
        <w:rPr>
          <w:rFonts w:cs="Arial"/>
          <w:b/>
          <w:bCs/>
          <w:rtl/>
        </w:rPr>
        <w:t xml:space="preserve"> </w:t>
      </w:r>
      <w:r w:rsidRPr="009E651D">
        <w:rPr>
          <w:rFonts w:cs="Arial" w:hint="eastAsia"/>
          <w:b/>
          <w:bCs/>
          <w:rtl/>
        </w:rPr>
        <w:t>الهجرة</w:t>
      </w:r>
      <w:r w:rsidRPr="009E651D">
        <w:rPr>
          <w:rFonts w:cs="Arial"/>
          <w:b/>
          <w:bCs/>
          <w:rtl/>
        </w:rPr>
        <w:t xml:space="preserve"> </w:t>
      </w:r>
      <w:r w:rsidRPr="009E651D">
        <w:rPr>
          <w:rFonts w:cs="Arial" w:hint="eastAsia"/>
          <w:b/>
          <w:bCs/>
          <w:rtl/>
        </w:rPr>
        <w:t>واللجوء</w:t>
      </w:r>
      <w:r w:rsidRPr="009E651D">
        <w:rPr>
          <w:rFonts w:cs="Arial"/>
          <w:b/>
          <w:bCs/>
          <w:rtl/>
        </w:rPr>
        <w:t xml:space="preserve"> </w:t>
      </w:r>
      <w:r w:rsidRPr="009E651D">
        <w:rPr>
          <w:rFonts w:cs="Arial" w:hint="eastAsia"/>
          <w:b/>
          <w:bCs/>
          <w:rtl/>
        </w:rPr>
        <w:t>من</w:t>
      </w:r>
      <w:r w:rsidRPr="009E651D">
        <w:rPr>
          <w:rFonts w:cs="Arial"/>
          <w:b/>
          <w:bCs/>
          <w:rtl/>
        </w:rPr>
        <w:t xml:space="preserve"> </w:t>
      </w:r>
      <w:r w:rsidRPr="009E651D">
        <w:rPr>
          <w:rFonts w:cs="Arial" w:hint="eastAsia"/>
          <w:b/>
          <w:bCs/>
          <w:rtl/>
        </w:rPr>
        <w:t>منظور</w:t>
      </w:r>
      <w:r w:rsidRPr="009E651D">
        <w:rPr>
          <w:rFonts w:cs="Arial"/>
          <w:b/>
          <w:bCs/>
          <w:rtl/>
        </w:rPr>
        <w:t xml:space="preserve"> </w:t>
      </w:r>
      <w:r w:rsidRPr="009E651D">
        <w:rPr>
          <w:rFonts w:cs="Arial" w:hint="eastAsia"/>
          <w:b/>
          <w:bCs/>
          <w:rtl/>
        </w:rPr>
        <w:t>قانوني</w:t>
      </w:r>
      <w:r w:rsidRPr="009E651D">
        <w:rPr>
          <w:rFonts w:cs="Arial" w:hint="cs"/>
          <w:rtl/>
        </w:rPr>
        <w:t xml:space="preserve">، 23 أغسطس 2018، </w:t>
      </w:r>
      <w:hyperlink r:id="rId4" w:history="1">
        <w:r w:rsidRPr="009E651D">
          <w:rPr>
            <w:rStyle w:val="Hyperlink"/>
            <w:rFonts w:cs="Arial"/>
          </w:rPr>
          <w:t>https://bit.ly/2XZjYCA</w:t>
        </w:r>
      </w:hyperlink>
      <w:r w:rsidRPr="009E651D">
        <w:rPr>
          <w:rFonts w:cs="Arial" w:hint="cs"/>
          <w:rtl/>
        </w:rPr>
        <w:t xml:space="preserve"> </w:t>
      </w:r>
    </w:p>
  </w:footnote>
  <w:footnote w:id="5">
    <w:p w14:paraId="320C6624" w14:textId="77777777" w:rsidR="00A75362" w:rsidRPr="001B3A2F" w:rsidRDefault="00A75362" w:rsidP="00A75362">
      <w:pPr>
        <w:pStyle w:val="FootnoteText"/>
        <w:rPr>
          <w:rFonts w:ascii="Simplified Arabic" w:hAnsi="Simplified Arabic" w:cs="Simplified Arabic"/>
          <w:lang w:bidi="ar-EG"/>
        </w:rPr>
      </w:pPr>
      <w:r w:rsidRPr="001B3A2F">
        <w:rPr>
          <w:rStyle w:val="FootnoteReference"/>
          <w:rFonts w:ascii="Simplified Arabic" w:hAnsi="Simplified Arabic" w:cs="Simplified Arabic" w:hint="cs"/>
        </w:rPr>
        <w:footnoteRef/>
      </w:r>
      <w:r w:rsidRPr="001B3A2F">
        <w:rPr>
          <w:rFonts w:ascii="Simplified Arabic" w:hAnsi="Simplified Arabic" w:cs="Simplified Arabic" w:hint="cs"/>
          <w:rtl/>
        </w:rPr>
        <w:t xml:space="preserve"> </w:t>
      </w:r>
      <w:r w:rsidRPr="001B3A2F">
        <w:rPr>
          <w:rFonts w:ascii="Simplified Arabic" w:hAnsi="Simplified Arabic" w:cs="Simplified Arabic" w:hint="cs"/>
          <w:rtl/>
          <w:lang w:bidi="ar-EG"/>
        </w:rPr>
        <w:t xml:space="preserve">اقتصاد مال وأعمال السوريين، سوريون لـ </w:t>
      </w:r>
      <w:r w:rsidRPr="001B3A2F">
        <w:rPr>
          <w:rFonts w:ascii="Simplified Arabic" w:hAnsi="Simplified Arabic" w:cs="Simplified Arabic"/>
          <w:rtl/>
          <w:lang w:bidi="ar-EG"/>
        </w:rPr>
        <w:t>"</w:t>
      </w:r>
      <w:r w:rsidRPr="001B3A2F">
        <w:rPr>
          <w:rFonts w:ascii="Simplified Arabic" w:hAnsi="Simplified Arabic" w:cs="Simplified Arabic" w:hint="cs"/>
          <w:rtl/>
          <w:lang w:bidi="ar-EG"/>
        </w:rPr>
        <w:t xml:space="preserve">اقتصاد": مكاتب عقارية تستغل اللاجئين وترفع إيجارات الشقق في مصر، 27 فبراير 2013، </w:t>
      </w:r>
      <w:hyperlink r:id="rId5" w:history="1">
        <w:r w:rsidRPr="001B3A2F">
          <w:rPr>
            <w:rStyle w:val="Hyperlink"/>
            <w:rFonts w:ascii="Simplified Arabic" w:hAnsi="Simplified Arabic" w:cs="Simplified Arabic" w:hint="cs"/>
            <w:lang w:bidi="ar-EG"/>
          </w:rPr>
          <w:t>https://bit.ly/2ZKPJ3u</w:t>
        </w:r>
      </w:hyperlink>
      <w:r w:rsidRPr="001B3A2F">
        <w:rPr>
          <w:rFonts w:ascii="Simplified Arabic" w:hAnsi="Simplified Arabic" w:cs="Simplified Arabic" w:hint="cs"/>
          <w:rtl/>
          <w:lang w:bidi="ar-EG"/>
        </w:rPr>
        <w:t xml:space="preserve"> </w:t>
      </w:r>
    </w:p>
  </w:footnote>
  <w:footnote w:id="6">
    <w:p w14:paraId="5B86B718" w14:textId="77777777" w:rsidR="00A75362" w:rsidRDefault="00A75362" w:rsidP="00A75362">
      <w:pPr>
        <w:pStyle w:val="FootnoteText"/>
        <w:rPr>
          <w:lang w:bidi="ar-EG"/>
        </w:rPr>
      </w:pPr>
      <w:r>
        <w:rPr>
          <w:rStyle w:val="FootnoteReference"/>
        </w:rPr>
        <w:footnoteRef/>
      </w:r>
      <w:r>
        <w:rPr>
          <w:rtl/>
        </w:rPr>
        <w:t xml:space="preserve"> </w:t>
      </w:r>
      <w:r w:rsidRPr="00D155BA">
        <w:rPr>
          <w:rFonts w:cs="Arial" w:hint="eastAsia"/>
          <w:rtl/>
        </w:rPr>
        <w:t>محمد</w:t>
      </w:r>
      <w:r w:rsidRPr="00D155BA">
        <w:rPr>
          <w:rFonts w:cs="Arial"/>
          <w:rtl/>
        </w:rPr>
        <w:t xml:space="preserve"> </w:t>
      </w:r>
      <w:r w:rsidRPr="00D155BA">
        <w:rPr>
          <w:rFonts w:cs="Arial" w:hint="eastAsia"/>
          <w:rtl/>
        </w:rPr>
        <w:t>عنز</w:t>
      </w:r>
      <w:r w:rsidRPr="00D155BA">
        <w:rPr>
          <w:rFonts w:cs="Arial"/>
          <w:rtl/>
        </w:rPr>
        <w:t xml:space="preserve"> </w:t>
      </w:r>
      <w:r>
        <w:rPr>
          <w:rFonts w:cs="Arial" w:hint="eastAsia"/>
          <w:rtl/>
        </w:rPr>
        <w:t>ـ</w:t>
      </w:r>
      <w:r w:rsidRPr="00D155BA">
        <w:rPr>
          <w:rFonts w:cs="Arial"/>
          <w:rtl/>
        </w:rPr>
        <w:t xml:space="preserve"> </w:t>
      </w:r>
      <w:r w:rsidRPr="00D155BA">
        <w:rPr>
          <w:rFonts w:cs="Arial" w:hint="eastAsia"/>
          <w:rtl/>
        </w:rPr>
        <w:t>عـلاء</w:t>
      </w:r>
      <w:r w:rsidRPr="00D155BA">
        <w:rPr>
          <w:rFonts w:cs="Arial"/>
          <w:rtl/>
        </w:rPr>
        <w:t xml:space="preserve"> </w:t>
      </w:r>
      <w:r w:rsidRPr="00D155BA">
        <w:rPr>
          <w:rFonts w:cs="Arial" w:hint="eastAsia"/>
          <w:rtl/>
        </w:rPr>
        <w:t>سـالم</w:t>
      </w:r>
      <w:r>
        <w:rPr>
          <w:rFonts w:cs="Arial" w:hint="cs"/>
          <w:rtl/>
        </w:rPr>
        <w:t xml:space="preserve">، </w:t>
      </w:r>
      <w:r w:rsidRPr="00F12ECC">
        <w:rPr>
          <w:rFonts w:cs="Arial" w:hint="eastAsia"/>
          <w:b/>
          <w:bCs/>
          <w:i/>
          <w:iCs/>
          <w:rtl/>
        </w:rPr>
        <w:t>حقوقيون</w:t>
      </w:r>
      <w:r w:rsidRPr="00F12ECC">
        <w:rPr>
          <w:rFonts w:cs="Arial"/>
          <w:b/>
          <w:bCs/>
          <w:i/>
          <w:iCs/>
          <w:rtl/>
        </w:rPr>
        <w:t xml:space="preserve">: </w:t>
      </w:r>
      <w:r w:rsidRPr="00F12ECC">
        <w:rPr>
          <w:rFonts w:cs="Arial" w:hint="eastAsia"/>
          <w:b/>
          <w:bCs/>
          <w:i/>
          <w:iCs/>
          <w:rtl/>
        </w:rPr>
        <w:t>مصر</w:t>
      </w:r>
      <w:r w:rsidRPr="00F12ECC">
        <w:rPr>
          <w:rFonts w:cs="Arial"/>
          <w:b/>
          <w:bCs/>
          <w:i/>
          <w:iCs/>
          <w:rtl/>
        </w:rPr>
        <w:t xml:space="preserve"> </w:t>
      </w:r>
      <w:r w:rsidRPr="00F12ECC">
        <w:rPr>
          <w:rFonts w:cs="Arial" w:hint="eastAsia"/>
          <w:b/>
          <w:bCs/>
          <w:i/>
          <w:iCs/>
          <w:rtl/>
        </w:rPr>
        <w:t>تتعامل</w:t>
      </w:r>
      <w:r w:rsidRPr="00F12ECC">
        <w:rPr>
          <w:rFonts w:cs="Arial"/>
          <w:b/>
          <w:bCs/>
          <w:i/>
          <w:iCs/>
          <w:rtl/>
        </w:rPr>
        <w:t xml:space="preserve"> </w:t>
      </w:r>
      <w:r w:rsidRPr="00F12ECC">
        <w:rPr>
          <w:rFonts w:cs="Arial" w:hint="eastAsia"/>
          <w:b/>
          <w:bCs/>
          <w:i/>
          <w:iCs/>
          <w:rtl/>
        </w:rPr>
        <w:t>مع</w:t>
      </w:r>
      <w:r w:rsidRPr="00F12ECC">
        <w:rPr>
          <w:rFonts w:cs="Arial"/>
          <w:b/>
          <w:bCs/>
          <w:i/>
          <w:iCs/>
          <w:rtl/>
        </w:rPr>
        <w:t xml:space="preserve"> </w:t>
      </w:r>
      <w:r w:rsidRPr="00F12ECC">
        <w:rPr>
          <w:rFonts w:cs="Arial" w:hint="eastAsia"/>
          <w:b/>
          <w:bCs/>
          <w:i/>
          <w:iCs/>
          <w:rtl/>
        </w:rPr>
        <w:t>اللاجئين</w:t>
      </w:r>
      <w:r w:rsidRPr="00F12ECC">
        <w:rPr>
          <w:rFonts w:cs="Arial"/>
          <w:b/>
          <w:bCs/>
          <w:i/>
          <w:iCs/>
          <w:rtl/>
        </w:rPr>
        <w:t xml:space="preserve"> </w:t>
      </w:r>
      <w:r w:rsidRPr="00F12ECC">
        <w:rPr>
          <w:rFonts w:cs="Arial" w:hint="eastAsia"/>
          <w:b/>
          <w:bCs/>
          <w:i/>
          <w:iCs/>
          <w:rtl/>
        </w:rPr>
        <w:t>بمفهوم</w:t>
      </w:r>
      <w:r w:rsidRPr="00F12ECC">
        <w:rPr>
          <w:rFonts w:cs="Arial"/>
          <w:b/>
          <w:bCs/>
          <w:i/>
          <w:iCs/>
          <w:rtl/>
        </w:rPr>
        <w:t xml:space="preserve"> «</w:t>
      </w:r>
      <w:r w:rsidRPr="00F12ECC">
        <w:rPr>
          <w:rFonts w:cs="Arial" w:hint="eastAsia"/>
          <w:b/>
          <w:bCs/>
          <w:i/>
          <w:iCs/>
          <w:rtl/>
        </w:rPr>
        <w:t>أخلاق</w:t>
      </w:r>
      <w:r w:rsidRPr="00F12ECC">
        <w:rPr>
          <w:rFonts w:cs="Arial"/>
          <w:b/>
          <w:bCs/>
          <w:i/>
          <w:iCs/>
          <w:rtl/>
        </w:rPr>
        <w:t xml:space="preserve"> </w:t>
      </w:r>
      <w:r w:rsidRPr="00F12ECC">
        <w:rPr>
          <w:rFonts w:cs="Arial" w:hint="eastAsia"/>
          <w:b/>
          <w:bCs/>
          <w:i/>
          <w:iCs/>
          <w:rtl/>
        </w:rPr>
        <w:t>الدولة»</w:t>
      </w:r>
      <w:r w:rsidRPr="00F12ECC">
        <w:rPr>
          <w:rFonts w:cs="Arial" w:hint="cs"/>
          <w:b/>
          <w:bCs/>
          <w:i/>
          <w:iCs/>
          <w:rtl/>
        </w:rPr>
        <w:t>،</w:t>
      </w:r>
      <w:r>
        <w:rPr>
          <w:rFonts w:cs="Arial" w:hint="cs"/>
          <w:rtl/>
        </w:rPr>
        <w:t xml:space="preserve"> الأهرام، </w:t>
      </w:r>
      <w:hyperlink r:id="rId6" w:history="1">
        <w:r w:rsidRPr="00531C1D">
          <w:rPr>
            <w:rStyle w:val="Hyperlink"/>
            <w:rFonts w:cs="Arial"/>
          </w:rPr>
          <w:t>https://bit.ly/3ikxF6q</w:t>
        </w:r>
      </w:hyperlink>
      <w:r>
        <w:rPr>
          <w:rFonts w:cs="Arial" w:hint="cs"/>
          <w:rtl/>
        </w:rPr>
        <w:t xml:space="preserve"> </w:t>
      </w:r>
    </w:p>
  </w:footnote>
  <w:footnote w:id="7">
    <w:p w14:paraId="2209ADE7" w14:textId="77777777" w:rsidR="00A75362" w:rsidRDefault="00A75362" w:rsidP="00A75362">
      <w:pPr>
        <w:pStyle w:val="FootnoteText"/>
      </w:pPr>
      <w:r w:rsidRPr="001B3A2F">
        <w:rPr>
          <w:rStyle w:val="FootnoteReference"/>
          <w:rFonts w:ascii="Simplified Arabic" w:hAnsi="Simplified Arabic" w:cs="Simplified Arabic" w:hint="cs"/>
        </w:rPr>
        <w:footnoteRef/>
      </w:r>
      <w:r w:rsidRPr="001B3A2F">
        <w:rPr>
          <w:rFonts w:ascii="Simplified Arabic" w:hAnsi="Simplified Arabic" w:cs="Simplified Arabic" w:hint="cs"/>
          <w:rtl/>
        </w:rPr>
        <w:t xml:space="preserve"> بروبرتي اونو، شروط تملك الأجانب للعقارات في مصر، 4 يناير 2020، </w:t>
      </w:r>
      <w:hyperlink r:id="rId7" w:history="1">
        <w:r w:rsidRPr="001B3A2F">
          <w:rPr>
            <w:rStyle w:val="Hyperlink"/>
            <w:rFonts w:ascii="Simplified Arabic" w:hAnsi="Simplified Arabic" w:cs="Simplified Arabic" w:hint="cs"/>
          </w:rPr>
          <w:t>https://bit.ly/3BwZj75</w:t>
        </w:r>
      </w:hyperlink>
      <w:r>
        <w:rPr>
          <w:rFonts w:cs="Arial" w:hint="cs"/>
          <w:rtl/>
        </w:rPr>
        <w:t xml:space="preserve"> </w:t>
      </w:r>
    </w:p>
  </w:footnote>
  <w:footnote w:id="8">
    <w:p w14:paraId="6F3B3B4C" w14:textId="77777777" w:rsidR="00F2581F" w:rsidRDefault="00F2581F" w:rsidP="00F2581F">
      <w:pPr>
        <w:pStyle w:val="FootnoteText"/>
        <w:rPr>
          <w:lang w:bidi="ar-EG"/>
        </w:rPr>
      </w:pPr>
      <w:r>
        <w:rPr>
          <w:rStyle w:val="FootnoteReference"/>
        </w:rPr>
        <w:footnoteRef/>
      </w:r>
      <w:r>
        <w:rPr>
          <w:rtl/>
        </w:rPr>
        <w:t xml:space="preserve"> </w:t>
      </w:r>
      <w:r>
        <w:rPr>
          <w:rFonts w:hint="cs"/>
          <w:rtl/>
          <w:lang w:bidi="ar-EG"/>
        </w:rPr>
        <w:t xml:space="preserve">الخطة الإقليمية للاجئين وتعزيز القدرة على مواجهة الأزمات استجابة الأزمة السورية، </w:t>
      </w:r>
      <w:hyperlink r:id="rId8" w:history="1">
        <w:r w:rsidRPr="00531C1D">
          <w:rPr>
            <w:rStyle w:val="Hyperlink"/>
            <w:lang w:bidi="ar-EG"/>
          </w:rPr>
          <w:t>https://bit.ly/3m6UfAQ</w:t>
        </w:r>
      </w:hyperlink>
      <w:r>
        <w:rPr>
          <w:rFonts w:hint="cs"/>
          <w:rtl/>
          <w:lang w:bidi="ar-EG"/>
        </w:rPr>
        <w:t xml:space="preserve"> </w:t>
      </w:r>
    </w:p>
  </w:footnote>
  <w:footnote w:id="9">
    <w:p w14:paraId="08D0200A" w14:textId="77777777" w:rsidR="00DD5B1B" w:rsidRDefault="00DD5B1B" w:rsidP="00DD5B1B">
      <w:pPr>
        <w:pStyle w:val="FootnoteText"/>
        <w:rPr>
          <w:rtl/>
          <w:lang w:bidi="ar-EG"/>
        </w:rPr>
      </w:pPr>
      <w:r>
        <w:rPr>
          <w:rStyle w:val="FootnoteReference"/>
        </w:rPr>
        <w:footnoteRef/>
      </w:r>
      <w:r>
        <w:rPr>
          <w:rtl/>
        </w:rPr>
        <w:t xml:space="preserve"> </w:t>
      </w:r>
      <w:r>
        <w:rPr>
          <w:lang w:bidi="ar-EG"/>
        </w:rPr>
        <w:t>UNHCR</w:t>
      </w:r>
      <w:r>
        <w:rPr>
          <w:rFonts w:hint="cs"/>
          <w:rtl/>
          <w:lang w:bidi="ar-EG"/>
        </w:rPr>
        <w:t xml:space="preserve">، </w:t>
      </w:r>
      <w:r w:rsidRPr="00E9045C">
        <w:rPr>
          <w:rFonts w:cs="Arial" w:hint="eastAsia"/>
          <w:b/>
          <w:bCs/>
          <w:i/>
          <w:iCs/>
          <w:rtl/>
          <w:lang w:bidi="ar-EG"/>
        </w:rPr>
        <w:t>الحكومة</w:t>
      </w:r>
      <w:r w:rsidRPr="00E9045C">
        <w:rPr>
          <w:rFonts w:cs="Arial"/>
          <w:b/>
          <w:bCs/>
          <w:i/>
          <w:iCs/>
          <w:rtl/>
          <w:lang w:bidi="ar-EG"/>
        </w:rPr>
        <w:t xml:space="preserve"> </w:t>
      </w:r>
      <w:r w:rsidRPr="00E9045C">
        <w:rPr>
          <w:rFonts w:cs="Arial" w:hint="eastAsia"/>
          <w:b/>
          <w:bCs/>
          <w:i/>
          <w:iCs/>
          <w:rtl/>
          <w:lang w:bidi="ar-EG"/>
        </w:rPr>
        <w:t>المصرية</w:t>
      </w:r>
      <w:r w:rsidRPr="00E9045C">
        <w:rPr>
          <w:rFonts w:cs="Arial"/>
          <w:b/>
          <w:bCs/>
          <w:i/>
          <w:iCs/>
          <w:rtl/>
          <w:lang w:bidi="ar-EG"/>
        </w:rPr>
        <w:t xml:space="preserve"> </w:t>
      </w:r>
      <w:r w:rsidRPr="00E9045C">
        <w:rPr>
          <w:rFonts w:cs="Arial" w:hint="eastAsia"/>
          <w:b/>
          <w:bCs/>
          <w:i/>
          <w:iCs/>
          <w:rtl/>
          <w:lang w:bidi="ar-EG"/>
        </w:rPr>
        <w:t>والأمم</w:t>
      </w:r>
      <w:r w:rsidRPr="00E9045C">
        <w:rPr>
          <w:rFonts w:cs="Arial"/>
          <w:b/>
          <w:bCs/>
          <w:i/>
          <w:iCs/>
          <w:rtl/>
          <w:lang w:bidi="ar-EG"/>
        </w:rPr>
        <w:t xml:space="preserve"> </w:t>
      </w:r>
      <w:r w:rsidRPr="00E9045C">
        <w:rPr>
          <w:rFonts w:cs="Arial" w:hint="eastAsia"/>
          <w:b/>
          <w:bCs/>
          <w:i/>
          <w:iCs/>
          <w:rtl/>
          <w:lang w:bidi="ar-EG"/>
        </w:rPr>
        <w:t>المتحدة</w:t>
      </w:r>
      <w:r w:rsidRPr="00E9045C">
        <w:rPr>
          <w:rFonts w:cs="Arial"/>
          <w:b/>
          <w:bCs/>
          <w:i/>
          <w:iCs/>
          <w:rtl/>
          <w:lang w:bidi="ar-EG"/>
        </w:rPr>
        <w:t xml:space="preserve"> </w:t>
      </w:r>
      <w:r w:rsidRPr="00E9045C">
        <w:rPr>
          <w:rFonts w:cs="Arial" w:hint="eastAsia"/>
          <w:b/>
          <w:bCs/>
          <w:i/>
          <w:iCs/>
          <w:rtl/>
          <w:lang w:bidi="ar-EG"/>
        </w:rPr>
        <w:t>و</w:t>
      </w:r>
      <w:r w:rsidRPr="00E9045C">
        <w:rPr>
          <w:rFonts w:cs="Arial"/>
          <w:b/>
          <w:bCs/>
          <w:i/>
          <w:iCs/>
          <w:rtl/>
          <w:lang w:bidi="ar-EG"/>
        </w:rPr>
        <w:t xml:space="preserve"> </w:t>
      </w:r>
      <w:r w:rsidRPr="00E9045C">
        <w:rPr>
          <w:rFonts w:cs="Arial" w:hint="eastAsia"/>
          <w:b/>
          <w:bCs/>
          <w:i/>
          <w:iCs/>
          <w:rtl/>
          <w:lang w:bidi="ar-EG"/>
        </w:rPr>
        <w:t>شركاؤها</w:t>
      </w:r>
      <w:r w:rsidRPr="00E9045C">
        <w:rPr>
          <w:rFonts w:cs="Arial"/>
          <w:b/>
          <w:bCs/>
          <w:i/>
          <w:iCs/>
          <w:rtl/>
          <w:lang w:bidi="ar-EG"/>
        </w:rPr>
        <w:t xml:space="preserve"> </w:t>
      </w:r>
      <w:r w:rsidRPr="00E9045C">
        <w:rPr>
          <w:rFonts w:cs="Arial" w:hint="eastAsia"/>
          <w:b/>
          <w:bCs/>
          <w:i/>
          <w:iCs/>
          <w:rtl/>
          <w:lang w:bidi="ar-EG"/>
        </w:rPr>
        <w:t>يطلقون</w:t>
      </w:r>
      <w:r w:rsidRPr="00E9045C">
        <w:rPr>
          <w:rFonts w:cs="Arial"/>
          <w:b/>
          <w:bCs/>
          <w:i/>
          <w:iCs/>
          <w:rtl/>
          <w:lang w:bidi="ar-EG"/>
        </w:rPr>
        <w:t xml:space="preserve"> </w:t>
      </w:r>
      <w:r w:rsidRPr="00E9045C">
        <w:rPr>
          <w:rFonts w:cs="Arial" w:hint="eastAsia"/>
          <w:b/>
          <w:bCs/>
          <w:i/>
          <w:iCs/>
          <w:rtl/>
          <w:lang w:bidi="ar-EG"/>
        </w:rPr>
        <w:t>خطة</w:t>
      </w:r>
      <w:r w:rsidRPr="00E9045C">
        <w:rPr>
          <w:rFonts w:cs="Arial"/>
          <w:b/>
          <w:bCs/>
          <w:i/>
          <w:iCs/>
          <w:rtl/>
          <w:lang w:bidi="ar-EG"/>
        </w:rPr>
        <w:t xml:space="preserve"> </w:t>
      </w:r>
      <w:r w:rsidRPr="00E9045C">
        <w:rPr>
          <w:rFonts w:cs="Arial" w:hint="eastAsia"/>
          <w:b/>
          <w:bCs/>
          <w:i/>
          <w:iCs/>
          <w:rtl/>
          <w:lang w:bidi="ar-EG"/>
        </w:rPr>
        <w:t>رئيسية</w:t>
      </w:r>
      <w:r w:rsidRPr="00E9045C">
        <w:rPr>
          <w:rFonts w:cs="Arial"/>
          <w:b/>
          <w:bCs/>
          <w:i/>
          <w:iCs/>
          <w:rtl/>
          <w:lang w:bidi="ar-EG"/>
        </w:rPr>
        <w:t xml:space="preserve"> </w:t>
      </w:r>
      <w:r w:rsidRPr="00E9045C">
        <w:rPr>
          <w:rFonts w:cs="Arial" w:hint="eastAsia"/>
          <w:b/>
          <w:bCs/>
          <w:i/>
          <w:iCs/>
          <w:rtl/>
          <w:lang w:bidi="ar-EG"/>
        </w:rPr>
        <w:t>لمساعدة</w:t>
      </w:r>
      <w:r w:rsidRPr="00E9045C">
        <w:rPr>
          <w:rFonts w:cs="Arial"/>
          <w:b/>
          <w:bCs/>
          <w:i/>
          <w:iCs/>
          <w:rtl/>
          <w:lang w:bidi="ar-EG"/>
        </w:rPr>
        <w:t xml:space="preserve"> </w:t>
      </w:r>
      <w:r w:rsidRPr="00E9045C">
        <w:rPr>
          <w:rFonts w:cs="Arial" w:hint="eastAsia"/>
          <w:b/>
          <w:bCs/>
          <w:i/>
          <w:iCs/>
          <w:rtl/>
          <w:lang w:bidi="ar-EG"/>
        </w:rPr>
        <w:t>اللاجئين</w:t>
      </w:r>
      <w:r w:rsidRPr="00E9045C">
        <w:rPr>
          <w:rFonts w:cs="Arial"/>
          <w:b/>
          <w:bCs/>
          <w:i/>
          <w:iCs/>
          <w:rtl/>
          <w:lang w:bidi="ar-EG"/>
        </w:rPr>
        <w:t xml:space="preserve"> </w:t>
      </w:r>
      <w:r w:rsidRPr="00E9045C">
        <w:rPr>
          <w:rFonts w:cs="Arial" w:hint="eastAsia"/>
          <w:b/>
          <w:bCs/>
          <w:i/>
          <w:iCs/>
          <w:rtl/>
          <w:lang w:bidi="ar-EG"/>
        </w:rPr>
        <w:t>السوريين</w:t>
      </w:r>
      <w:r w:rsidRPr="00E9045C">
        <w:rPr>
          <w:rFonts w:cs="Arial"/>
          <w:b/>
          <w:bCs/>
          <w:i/>
          <w:iCs/>
          <w:rtl/>
          <w:lang w:bidi="ar-EG"/>
        </w:rPr>
        <w:t xml:space="preserve"> </w:t>
      </w:r>
      <w:r w:rsidRPr="00E9045C">
        <w:rPr>
          <w:rFonts w:cs="Arial" w:hint="eastAsia"/>
          <w:b/>
          <w:bCs/>
          <w:i/>
          <w:iCs/>
          <w:rtl/>
          <w:lang w:bidi="ar-EG"/>
        </w:rPr>
        <w:t>في</w:t>
      </w:r>
      <w:r w:rsidRPr="00E9045C">
        <w:rPr>
          <w:rFonts w:cs="Arial"/>
          <w:b/>
          <w:bCs/>
          <w:i/>
          <w:iCs/>
          <w:rtl/>
          <w:lang w:bidi="ar-EG"/>
        </w:rPr>
        <w:t xml:space="preserve"> </w:t>
      </w:r>
      <w:r w:rsidRPr="00E9045C">
        <w:rPr>
          <w:rFonts w:cs="Arial" w:hint="eastAsia"/>
          <w:b/>
          <w:bCs/>
          <w:i/>
          <w:iCs/>
          <w:rtl/>
          <w:lang w:bidi="ar-EG"/>
        </w:rPr>
        <w:t>مصر</w:t>
      </w:r>
      <w:r w:rsidRPr="00E9045C">
        <w:rPr>
          <w:rFonts w:cs="Arial"/>
          <w:b/>
          <w:bCs/>
          <w:i/>
          <w:iCs/>
          <w:rtl/>
          <w:lang w:bidi="ar-EG"/>
        </w:rPr>
        <w:t xml:space="preserve"> </w:t>
      </w:r>
      <w:r w:rsidRPr="00E9045C">
        <w:rPr>
          <w:rFonts w:cs="Arial" w:hint="eastAsia"/>
          <w:b/>
          <w:bCs/>
          <w:i/>
          <w:iCs/>
          <w:rtl/>
          <w:lang w:bidi="ar-EG"/>
        </w:rPr>
        <w:t>والمجتمعات</w:t>
      </w:r>
      <w:r w:rsidRPr="00E9045C">
        <w:rPr>
          <w:rFonts w:cs="Arial"/>
          <w:b/>
          <w:bCs/>
          <w:i/>
          <w:iCs/>
          <w:rtl/>
          <w:lang w:bidi="ar-EG"/>
        </w:rPr>
        <w:t xml:space="preserve"> </w:t>
      </w:r>
      <w:r w:rsidRPr="00E9045C">
        <w:rPr>
          <w:rFonts w:cs="Arial" w:hint="eastAsia"/>
          <w:b/>
          <w:bCs/>
          <w:i/>
          <w:iCs/>
          <w:rtl/>
          <w:lang w:bidi="ar-EG"/>
        </w:rPr>
        <w:t>المضيفة</w:t>
      </w:r>
      <w:r w:rsidRPr="00E9045C">
        <w:rPr>
          <w:rFonts w:cs="Arial"/>
          <w:b/>
          <w:bCs/>
          <w:i/>
          <w:iCs/>
          <w:rtl/>
          <w:lang w:bidi="ar-EG"/>
        </w:rPr>
        <w:t xml:space="preserve"> </w:t>
      </w:r>
      <w:r w:rsidRPr="00E9045C">
        <w:rPr>
          <w:rFonts w:cs="Arial" w:hint="eastAsia"/>
          <w:b/>
          <w:bCs/>
          <w:i/>
          <w:iCs/>
          <w:rtl/>
          <w:lang w:bidi="ar-EG"/>
        </w:rPr>
        <w:t>لهم</w:t>
      </w:r>
      <w:r w:rsidRPr="00E9045C">
        <w:rPr>
          <w:rFonts w:cs="Arial" w:hint="cs"/>
          <w:b/>
          <w:bCs/>
          <w:i/>
          <w:iCs/>
          <w:rtl/>
          <w:lang w:bidi="ar-EG"/>
        </w:rPr>
        <w:t>،</w:t>
      </w:r>
      <w:r>
        <w:rPr>
          <w:rFonts w:cs="Arial" w:hint="cs"/>
          <w:rtl/>
          <w:lang w:bidi="ar-EG"/>
        </w:rPr>
        <w:t xml:space="preserve"> 17 فبراير 2015، </w:t>
      </w:r>
      <w:hyperlink r:id="rId9" w:history="1">
        <w:r w:rsidRPr="005A12D2">
          <w:rPr>
            <w:rStyle w:val="Hyperlink"/>
            <w:rFonts w:cs="Arial"/>
            <w:lang w:bidi="ar-EG"/>
          </w:rPr>
          <w:t>https://bit.ly/3ilbVY6</w:t>
        </w:r>
      </w:hyperlink>
      <w:r>
        <w:rPr>
          <w:rFonts w:cs="Arial" w:hint="cs"/>
          <w:rtl/>
          <w:lang w:bidi="ar-EG"/>
        </w:rPr>
        <w:t xml:space="preserve"> </w:t>
      </w:r>
    </w:p>
  </w:footnote>
  <w:footnote w:id="10">
    <w:p w14:paraId="6F89C419" w14:textId="77777777" w:rsidR="00617204" w:rsidRDefault="00617204" w:rsidP="00617204">
      <w:pPr>
        <w:pStyle w:val="FootnoteText"/>
        <w:bidi w:val="0"/>
      </w:pPr>
      <w:r>
        <w:rPr>
          <w:rStyle w:val="FootnoteReference"/>
        </w:rPr>
        <w:footnoteRef/>
      </w:r>
      <w:r>
        <w:rPr>
          <w:rtl/>
        </w:rPr>
        <w:t xml:space="preserve"> </w:t>
      </w:r>
      <w:r w:rsidRPr="005678D8">
        <w:t>Egypt Response Plan for Refugees and Asylum-Seekers from Sub-Saharan Africa, Iraq &amp; Yemen 2020</w:t>
      </w:r>
      <w:r>
        <w:t xml:space="preserve">, </w:t>
      </w:r>
      <w:hyperlink r:id="rId10" w:history="1">
        <w:r w:rsidRPr="00F11D82">
          <w:rPr>
            <w:rStyle w:val="Hyperlink"/>
          </w:rPr>
          <w:t>https://bit.ly/3l98gic</w:t>
        </w:r>
      </w:hyperlink>
      <w:r>
        <w:t xml:space="preserve"> </w:t>
      </w:r>
    </w:p>
  </w:footnote>
  <w:footnote w:id="11">
    <w:p w14:paraId="349FA6EA" w14:textId="77777777" w:rsidR="00344C9C" w:rsidRPr="003C57A1" w:rsidRDefault="00344C9C" w:rsidP="00344C9C">
      <w:pPr>
        <w:pStyle w:val="FootnoteText"/>
        <w:rPr>
          <w:rtl/>
          <w:lang w:bidi="ar-EG"/>
        </w:rPr>
      </w:pPr>
      <w:r>
        <w:rPr>
          <w:rStyle w:val="FootnoteReference"/>
        </w:rPr>
        <w:footnoteRef/>
      </w:r>
      <w:r>
        <w:rPr>
          <w:rtl/>
        </w:rPr>
        <w:t xml:space="preserve"> </w:t>
      </w:r>
      <w:r>
        <w:rPr>
          <w:lang w:bidi="ar-EG"/>
        </w:rPr>
        <w:t>UNHCR</w:t>
      </w:r>
      <w:r>
        <w:rPr>
          <w:rFonts w:hint="cs"/>
          <w:rtl/>
          <w:lang w:bidi="ar-EG"/>
        </w:rPr>
        <w:t xml:space="preserve"> مصر</w:t>
      </w:r>
      <w:r w:rsidRPr="003C57A1">
        <w:rPr>
          <w:rFonts w:hint="cs"/>
          <w:rtl/>
          <w:lang w:bidi="ar-EG"/>
        </w:rPr>
        <w:t xml:space="preserve">، </w:t>
      </w:r>
      <w:r w:rsidRPr="003C57A1">
        <w:rPr>
          <w:rFonts w:cs="Arial" w:hint="eastAsia"/>
          <w:b/>
          <w:bCs/>
          <w:rtl/>
          <w:lang w:bidi="ar-EG"/>
        </w:rPr>
        <w:t>اللاجئون</w:t>
      </w:r>
      <w:r w:rsidRPr="003C57A1">
        <w:rPr>
          <w:rFonts w:cs="Arial"/>
          <w:b/>
          <w:bCs/>
          <w:rtl/>
          <w:lang w:bidi="ar-EG"/>
        </w:rPr>
        <w:t xml:space="preserve"> </w:t>
      </w:r>
      <w:r w:rsidRPr="003C57A1">
        <w:rPr>
          <w:rFonts w:cs="Arial" w:hint="eastAsia"/>
          <w:b/>
          <w:bCs/>
          <w:rtl/>
          <w:lang w:bidi="ar-EG"/>
        </w:rPr>
        <w:t>وطالبو</w:t>
      </w:r>
      <w:r w:rsidRPr="003C57A1">
        <w:rPr>
          <w:rFonts w:cs="Arial"/>
          <w:b/>
          <w:bCs/>
          <w:rtl/>
          <w:lang w:bidi="ar-EG"/>
        </w:rPr>
        <w:t xml:space="preserve"> </w:t>
      </w:r>
      <w:r w:rsidRPr="003C57A1">
        <w:rPr>
          <w:rFonts w:cs="Arial" w:hint="eastAsia"/>
          <w:b/>
          <w:bCs/>
          <w:rtl/>
          <w:lang w:bidi="ar-EG"/>
        </w:rPr>
        <w:t>اللجوء</w:t>
      </w:r>
      <w:r w:rsidRPr="003C57A1">
        <w:rPr>
          <w:rFonts w:cs="Arial"/>
          <w:b/>
          <w:bCs/>
          <w:rtl/>
          <w:lang w:bidi="ar-EG"/>
        </w:rPr>
        <w:t xml:space="preserve"> </w:t>
      </w:r>
      <w:r w:rsidRPr="003C57A1">
        <w:rPr>
          <w:rFonts w:cs="Arial" w:hint="eastAsia"/>
          <w:b/>
          <w:bCs/>
          <w:rtl/>
          <w:lang w:bidi="ar-EG"/>
        </w:rPr>
        <w:t>يحصلون</w:t>
      </w:r>
      <w:r w:rsidRPr="003C57A1">
        <w:rPr>
          <w:rFonts w:cs="Arial"/>
          <w:b/>
          <w:bCs/>
          <w:rtl/>
          <w:lang w:bidi="ar-EG"/>
        </w:rPr>
        <w:t xml:space="preserve"> </w:t>
      </w:r>
      <w:r w:rsidRPr="003C57A1">
        <w:rPr>
          <w:rFonts w:cs="Arial" w:hint="eastAsia"/>
          <w:b/>
          <w:bCs/>
          <w:rtl/>
          <w:lang w:bidi="ar-EG"/>
        </w:rPr>
        <w:t>على</w:t>
      </w:r>
      <w:r w:rsidRPr="003C57A1">
        <w:rPr>
          <w:rFonts w:cs="Arial"/>
          <w:b/>
          <w:bCs/>
          <w:rtl/>
          <w:lang w:bidi="ar-EG"/>
        </w:rPr>
        <w:t xml:space="preserve"> </w:t>
      </w:r>
      <w:r w:rsidRPr="003C57A1">
        <w:rPr>
          <w:rFonts w:cs="Arial" w:hint="eastAsia"/>
          <w:b/>
          <w:bCs/>
          <w:rtl/>
          <w:lang w:bidi="ar-EG"/>
        </w:rPr>
        <w:t>اللقاح</w:t>
      </w:r>
      <w:r w:rsidRPr="003C57A1">
        <w:rPr>
          <w:rFonts w:cs="Arial"/>
          <w:b/>
          <w:bCs/>
          <w:rtl/>
          <w:lang w:bidi="ar-EG"/>
        </w:rPr>
        <w:t xml:space="preserve"> </w:t>
      </w:r>
      <w:r w:rsidRPr="003C57A1">
        <w:rPr>
          <w:rFonts w:cs="Arial" w:hint="eastAsia"/>
          <w:b/>
          <w:bCs/>
          <w:rtl/>
          <w:lang w:bidi="ar-EG"/>
        </w:rPr>
        <w:t>في</w:t>
      </w:r>
      <w:r w:rsidRPr="003C57A1">
        <w:rPr>
          <w:rFonts w:cs="Arial"/>
          <w:b/>
          <w:bCs/>
          <w:rtl/>
          <w:lang w:bidi="ar-EG"/>
        </w:rPr>
        <w:t xml:space="preserve"> </w:t>
      </w:r>
      <w:r w:rsidRPr="003C57A1">
        <w:rPr>
          <w:rFonts w:cs="Arial" w:hint="eastAsia"/>
          <w:b/>
          <w:bCs/>
          <w:rtl/>
          <w:lang w:bidi="ar-EG"/>
        </w:rPr>
        <w:t>مصر</w:t>
      </w:r>
      <w:r w:rsidRPr="003C57A1">
        <w:rPr>
          <w:rFonts w:cs="Arial" w:hint="cs"/>
          <w:rtl/>
          <w:lang w:bidi="ar-EG"/>
        </w:rPr>
        <w:t xml:space="preserve">، 23 سبتمبر 2021، </w:t>
      </w:r>
      <w:hyperlink r:id="rId11" w:history="1">
        <w:r w:rsidRPr="003C57A1">
          <w:rPr>
            <w:rStyle w:val="Hyperlink"/>
            <w:rFonts w:cs="Arial"/>
            <w:lang w:bidi="ar-EG"/>
          </w:rPr>
          <w:t>https://bit.ly/3iij0sm</w:t>
        </w:r>
      </w:hyperlink>
      <w:r w:rsidRPr="003C57A1">
        <w:rPr>
          <w:rFonts w:cs="Arial" w:hint="cs"/>
          <w:rtl/>
          <w:lang w:bidi="ar-EG"/>
        </w:rPr>
        <w:t xml:space="preserve"> </w:t>
      </w:r>
    </w:p>
  </w:footnote>
  <w:footnote w:id="12">
    <w:p w14:paraId="65905D5F" w14:textId="77777777" w:rsidR="00344C9C" w:rsidRPr="003C57A1" w:rsidRDefault="00344C9C" w:rsidP="00344C9C">
      <w:pPr>
        <w:pStyle w:val="FootnoteText"/>
        <w:rPr>
          <w:lang w:bidi="ar-EG"/>
        </w:rPr>
      </w:pPr>
      <w:r w:rsidRPr="003C57A1">
        <w:rPr>
          <w:rStyle w:val="FootnoteReference"/>
        </w:rPr>
        <w:footnoteRef/>
      </w:r>
      <w:r w:rsidRPr="003C57A1">
        <w:rPr>
          <w:rtl/>
        </w:rPr>
        <w:t xml:space="preserve"> </w:t>
      </w:r>
      <w:r w:rsidRPr="003C57A1">
        <w:rPr>
          <w:rFonts w:hint="cs"/>
          <w:rtl/>
          <w:lang w:bidi="ar-EG"/>
        </w:rPr>
        <w:t xml:space="preserve">الخطة الإقليمية للاجئين وتعزيز القدرة على مواجهة الازمات استجابة الأزمة السورية، </w:t>
      </w:r>
      <w:hyperlink r:id="rId12" w:history="1">
        <w:r w:rsidRPr="003C57A1">
          <w:rPr>
            <w:rStyle w:val="Hyperlink"/>
            <w:lang w:bidi="ar-EG"/>
          </w:rPr>
          <w:t>https://bit.ly/3m6UfAQ</w:t>
        </w:r>
      </w:hyperlink>
      <w:r w:rsidRPr="003C57A1">
        <w:rPr>
          <w:rFonts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1E786" w14:textId="67A18307" w:rsidR="0086433E" w:rsidRDefault="00531288" w:rsidP="0086433E">
    <w:pPr>
      <w:pStyle w:val="Header"/>
      <w:jc w:val="right"/>
    </w:pPr>
    <w:r>
      <w:rPr>
        <w:noProof/>
      </w:rPr>
      <w:drawing>
        <wp:inline distT="0" distB="0" distL="0" distR="0" wp14:anchorId="3A2C8B65" wp14:editId="64B32083">
          <wp:extent cx="1137285" cy="1180040"/>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40799" cy="11836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163BF"/>
    <w:multiLevelType w:val="hybridMultilevel"/>
    <w:tmpl w:val="1A48A192"/>
    <w:lvl w:ilvl="0" w:tplc="D6D4389C">
      <w:start w:val="1"/>
      <w:numFmt w:val="decimal"/>
      <w:lvlText w:val="%1."/>
      <w:lvlJc w:val="left"/>
      <w:pPr>
        <w:ind w:left="191" w:hanging="360"/>
      </w:pPr>
      <w:rPr>
        <w:rFonts w:hint="default"/>
      </w:rPr>
    </w:lvl>
    <w:lvl w:ilvl="1" w:tplc="04090019" w:tentative="1">
      <w:start w:val="1"/>
      <w:numFmt w:val="lowerLetter"/>
      <w:lvlText w:val="%2."/>
      <w:lvlJc w:val="left"/>
      <w:pPr>
        <w:ind w:left="911" w:hanging="360"/>
      </w:pPr>
    </w:lvl>
    <w:lvl w:ilvl="2" w:tplc="0409001B" w:tentative="1">
      <w:start w:val="1"/>
      <w:numFmt w:val="lowerRoman"/>
      <w:lvlText w:val="%3."/>
      <w:lvlJc w:val="right"/>
      <w:pPr>
        <w:ind w:left="1631" w:hanging="180"/>
      </w:pPr>
    </w:lvl>
    <w:lvl w:ilvl="3" w:tplc="0409000F" w:tentative="1">
      <w:start w:val="1"/>
      <w:numFmt w:val="decimal"/>
      <w:lvlText w:val="%4."/>
      <w:lvlJc w:val="left"/>
      <w:pPr>
        <w:ind w:left="2351" w:hanging="360"/>
      </w:pPr>
    </w:lvl>
    <w:lvl w:ilvl="4" w:tplc="04090019" w:tentative="1">
      <w:start w:val="1"/>
      <w:numFmt w:val="lowerLetter"/>
      <w:lvlText w:val="%5."/>
      <w:lvlJc w:val="left"/>
      <w:pPr>
        <w:ind w:left="3071" w:hanging="360"/>
      </w:pPr>
    </w:lvl>
    <w:lvl w:ilvl="5" w:tplc="0409001B" w:tentative="1">
      <w:start w:val="1"/>
      <w:numFmt w:val="lowerRoman"/>
      <w:lvlText w:val="%6."/>
      <w:lvlJc w:val="right"/>
      <w:pPr>
        <w:ind w:left="3791" w:hanging="180"/>
      </w:pPr>
    </w:lvl>
    <w:lvl w:ilvl="6" w:tplc="0409000F" w:tentative="1">
      <w:start w:val="1"/>
      <w:numFmt w:val="decimal"/>
      <w:lvlText w:val="%7."/>
      <w:lvlJc w:val="left"/>
      <w:pPr>
        <w:ind w:left="4511" w:hanging="360"/>
      </w:pPr>
    </w:lvl>
    <w:lvl w:ilvl="7" w:tplc="04090019" w:tentative="1">
      <w:start w:val="1"/>
      <w:numFmt w:val="lowerLetter"/>
      <w:lvlText w:val="%8."/>
      <w:lvlJc w:val="left"/>
      <w:pPr>
        <w:ind w:left="5231" w:hanging="360"/>
      </w:pPr>
    </w:lvl>
    <w:lvl w:ilvl="8" w:tplc="0409001B" w:tentative="1">
      <w:start w:val="1"/>
      <w:numFmt w:val="lowerRoman"/>
      <w:lvlText w:val="%9."/>
      <w:lvlJc w:val="right"/>
      <w:pPr>
        <w:ind w:left="5951" w:hanging="180"/>
      </w:pPr>
    </w:lvl>
  </w:abstractNum>
  <w:abstractNum w:abstractNumId="1" w15:restartNumberingAfterBreak="0">
    <w:nsid w:val="1CD83889"/>
    <w:multiLevelType w:val="hybridMultilevel"/>
    <w:tmpl w:val="242625D2"/>
    <w:lvl w:ilvl="0" w:tplc="0409000F">
      <w:start w:val="1"/>
      <w:numFmt w:val="decimal"/>
      <w:lvlText w:val="%1."/>
      <w:lvlJc w:val="left"/>
      <w:pPr>
        <w:ind w:left="551" w:hanging="360"/>
      </w:pPr>
    </w:lvl>
    <w:lvl w:ilvl="1" w:tplc="04090019" w:tentative="1">
      <w:start w:val="1"/>
      <w:numFmt w:val="lowerLetter"/>
      <w:lvlText w:val="%2."/>
      <w:lvlJc w:val="left"/>
      <w:pPr>
        <w:ind w:left="1271" w:hanging="360"/>
      </w:pPr>
    </w:lvl>
    <w:lvl w:ilvl="2" w:tplc="0409001B" w:tentative="1">
      <w:start w:val="1"/>
      <w:numFmt w:val="lowerRoman"/>
      <w:lvlText w:val="%3."/>
      <w:lvlJc w:val="right"/>
      <w:pPr>
        <w:ind w:left="1991" w:hanging="180"/>
      </w:pPr>
    </w:lvl>
    <w:lvl w:ilvl="3" w:tplc="0409000F" w:tentative="1">
      <w:start w:val="1"/>
      <w:numFmt w:val="decimal"/>
      <w:lvlText w:val="%4."/>
      <w:lvlJc w:val="left"/>
      <w:pPr>
        <w:ind w:left="2711" w:hanging="360"/>
      </w:pPr>
    </w:lvl>
    <w:lvl w:ilvl="4" w:tplc="04090019" w:tentative="1">
      <w:start w:val="1"/>
      <w:numFmt w:val="lowerLetter"/>
      <w:lvlText w:val="%5."/>
      <w:lvlJc w:val="left"/>
      <w:pPr>
        <w:ind w:left="3431" w:hanging="360"/>
      </w:pPr>
    </w:lvl>
    <w:lvl w:ilvl="5" w:tplc="0409001B" w:tentative="1">
      <w:start w:val="1"/>
      <w:numFmt w:val="lowerRoman"/>
      <w:lvlText w:val="%6."/>
      <w:lvlJc w:val="right"/>
      <w:pPr>
        <w:ind w:left="4151" w:hanging="180"/>
      </w:pPr>
    </w:lvl>
    <w:lvl w:ilvl="6" w:tplc="0409000F" w:tentative="1">
      <w:start w:val="1"/>
      <w:numFmt w:val="decimal"/>
      <w:lvlText w:val="%7."/>
      <w:lvlJc w:val="left"/>
      <w:pPr>
        <w:ind w:left="4871" w:hanging="360"/>
      </w:pPr>
    </w:lvl>
    <w:lvl w:ilvl="7" w:tplc="04090019" w:tentative="1">
      <w:start w:val="1"/>
      <w:numFmt w:val="lowerLetter"/>
      <w:lvlText w:val="%8."/>
      <w:lvlJc w:val="left"/>
      <w:pPr>
        <w:ind w:left="5591" w:hanging="360"/>
      </w:pPr>
    </w:lvl>
    <w:lvl w:ilvl="8" w:tplc="0409001B" w:tentative="1">
      <w:start w:val="1"/>
      <w:numFmt w:val="lowerRoman"/>
      <w:lvlText w:val="%9."/>
      <w:lvlJc w:val="right"/>
      <w:pPr>
        <w:ind w:left="6311" w:hanging="180"/>
      </w:pPr>
    </w:lvl>
  </w:abstractNum>
  <w:abstractNum w:abstractNumId="2" w15:restartNumberingAfterBreak="0">
    <w:nsid w:val="3F9736BD"/>
    <w:multiLevelType w:val="hybridMultilevel"/>
    <w:tmpl w:val="6CA42DD4"/>
    <w:lvl w:ilvl="0" w:tplc="0409000F">
      <w:start w:val="1"/>
      <w:numFmt w:val="decimal"/>
      <w:lvlText w:val="%1."/>
      <w:lvlJc w:val="left"/>
      <w:pPr>
        <w:ind w:left="191" w:hanging="360"/>
      </w:pPr>
    </w:lvl>
    <w:lvl w:ilvl="1" w:tplc="04090019" w:tentative="1">
      <w:start w:val="1"/>
      <w:numFmt w:val="lowerLetter"/>
      <w:lvlText w:val="%2."/>
      <w:lvlJc w:val="left"/>
      <w:pPr>
        <w:ind w:left="911" w:hanging="360"/>
      </w:pPr>
    </w:lvl>
    <w:lvl w:ilvl="2" w:tplc="0409001B" w:tentative="1">
      <w:start w:val="1"/>
      <w:numFmt w:val="lowerRoman"/>
      <w:lvlText w:val="%3."/>
      <w:lvlJc w:val="right"/>
      <w:pPr>
        <w:ind w:left="1631" w:hanging="180"/>
      </w:pPr>
    </w:lvl>
    <w:lvl w:ilvl="3" w:tplc="0409000F" w:tentative="1">
      <w:start w:val="1"/>
      <w:numFmt w:val="decimal"/>
      <w:lvlText w:val="%4."/>
      <w:lvlJc w:val="left"/>
      <w:pPr>
        <w:ind w:left="2351" w:hanging="360"/>
      </w:pPr>
    </w:lvl>
    <w:lvl w:ilvl="4" w:tplc="04090019" w:tentative="1">
      <w:start w:val="1"/>
      <w:numFmt w:val="lowerLetter"/>
      <w:lvlText w:val="%5."/>
      <w:lvlJc w:val="left"/>
      <w:pPr>
        <w:ind w:left="3071" w:hanging="360"/>
      </w:pPr>
    </w:lvl>
    <w:lvl w:ilvl="5" w:tplc="0409001B" w:tentative="1">
      <w:start w:val="1"/>
      <w:numFmt w:val="lowerRoman"/>
      <w:lvlText w:val="%6."/>
      <w:lvlJc w:val="right"/>
      <w:pPr>
        <w:ind w:left="3791" w:hanging="180"/>
      </w:pPr>
    </w:lvl>
    <w:lvl w:ilvl="6" w:tplc="0409000F" w:tentative="1">
      <w:start w:val="1"/>
      <w:numFmt w:val="decimal"/>
      <w:lvlText w:val="%7."/>
      <w:lvlJc w:val="left"/>
      <w:pPr>
        <w:ind w:left="4511" w:hanging="360"/>
      </w:pPr>
    </w:lvl>
    <w:lvl w:ilvl="7" w:tplc="04090019" w:tentative="1">
      <w:start w:val="1"/>
      <w:numFmt w:val="lowerLetter"/>
      <w:lvlText w:val="%8."/>
      <w:lvlJc w:val="left"/>
      <w:pPr>
        <w:ind w:left="5231" w:hanging="360"/>
      </w:pPr>
    </w:lvl>
    <w:lvl w:ilvl="8" w:tplc="0409001B" w:tentative="1">
      <w:start w:val="1"/>
      <w:numFmt w:val="lowerRoman"/>
      <w:lvlText w:val="%9."/>
      <w:lvlJc w:val="right"/>
      <w:pPr>
        <w:ind w:left="5951" w:hanging="180"/>
      </w:pPr>
    </w:lvl>
  </w:abstractNum>
  <w:abstractNum w:abstractNumId="3" w15:restartNumberingAfterBreak="0">
    <w:nsid w:val="45BC7805"/>
    <w:multiLevelType w:val="hybridMultilevel"/>
    <w:tmpl w:val="A99E7C76"/>
    <w:lvl w:ilvl="0" w:tplc="5D8ACFCC">
      <w:start w:val="1"/>
      <w:numFmt w:val="decimal"/>
      <w:lvlText w:val="%1."/>
      <w:lvlJc w:val="left"/>
      <w:pPr>
        <w:ind w:left="360" w:hanging="360"/>
      </w:pPr>
      <w:rPr>
        <w:rFonts w:hint="default"/>
        <w:lang w:bidi="ar-EG"/>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E0066B"/>
    <w:multiLevelType w:val="hybridMultilevel"/>
    <w:tmpl w:val="51C44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D48"/>
    <w:rsid w:val="0001105B"/>
    <w:rsid w:val="0004771A"/>
    <w:rsid w:val="00055D7E"/>
    <w:rsid w:val="000801DB"/>
    <w:rsid w:val="00090ECB"/>
    <w:rsid w:val="000F4732"/>
    <w:rsid w:val="001233FF"/>
    <w:rsid w:val="00180A67"/>
    <w:rsid w:val="001852E0"/>
    <w:rsid w:val="001B3789"/>
    <w:rsid w:val="001B3A2F"/>
    <w:rsid w:val="001B492E"/>
    <w:rsid w:val="001E12C7"/>
    <w:rsid w:val="001E2E23"/>
    <w:rsid w:val="00214925"/>
    <w:rsid w:val="00222353"/>
    <w:rsid w:val="0027288F"/>
    <w:rsid w:val="00287A17"/>
    <w:rsid w:val="00293F82"/>
    <w:rsid w:val="00294137"/>
    <w:rsid w:val="002B145F"/>
    <w:rsid w:val="002C3663"/>
    <w:rsid w:val="002D4B1A"/>
    <w:rsid w:val="002E6A5B"/>
    <w:rsid w:val="003164DE"/>
    <w:rsid w:val="0034355D"/>
    <w:rsid w:val="00344C9C"/>
    <w:rsid w:val="0035009B"/>
    <w:rsid w:val="00353176"/>
    <w:rsid w:val="003A37CC"/>
    <w:rsid w:val="003E3C3B"/>
    <w:rsid w:val="004077C4"/>
    <w:rsid w:val="00413682"/>
    <w:rsid w:val="00442FC7"/>
    <w:rsid w:val="00452E32"/>
    <w:rsid w:val="00466108"/>
    <w:rsid w:val="00473545"/>
    <w:rsid w:val="004A18BE"/>
    <w:rsid w:val="004A1BA2"/>
    <w:rsid w:val="004B1E84"/>
    <w:rsid w:val="004D53B8"/>
    <w:rsid w:val="0051459B"/>
    <w:rsid w:val="0051494D"/>
    <w:rsid w:val="00530C19"/>
    <w:rsid w:val="00531288"/>
    <w:rsid w:val="005746D7"/>
    <w:rsid w:val="005D4245"/>
    <w:rsid w:val="00616C0B"/>
    <w:rsid w:val="00617204"/>
    <w:rsid w:val="00621ABD"/>
    <w:rsid w:val="00626138"/>
    <w:rsid w:val="006B4BC2"/>
    <w:rsid w:val="006D3453"/>
    <w:rsid w:val="006D54DB"/>
    <w:rsid w:val="006E709B"/>
    <w:rsid w:val="00706248"/>
    <w:rsid w:val="007105AD"/>
    <w:rsid w:val="00731AF7"/>
    <w:rsid w:val="00734D28"/>
    <w:rsid w:val="007814BB"/>
    <w:rsid w:val="007915DE"/>
    <w:rsid w:val="00870E5A"/>
    <w:rsid w:val="00892496"/>
    <w:rsid w:val="008D195C"/>
    <w:rsid w:val="008D3E0D"/>
    <w:rsid w:val="008D5089"/>
    <w:rsid w:val="008D7F56"/>
    <w:rsid w:val="00917069"/>
    <w:rsid w:val="00930D6A"/>
    <w:rsid w:val="009361B6"/>
    <w:rsid w:val="009E651D"/>
    <w:rsid w:val="00A150C6"/>
    <w:rsid w:val="00A27A8E"/>
    <w:rsid w:val="00A326B4"/>
    <w:rsid w:val="00A75362"/>
    <w:rsid w:val="00A80D16"/>
    <w:rsid w:val="00A9149F"/>
    <w:rsid w:val="00AF2F28"/>
    <w:rsid w:val="00AF6FBF"/>
    <w:rsid w:val="00B00F89"/>
    <w:rsid w:val="00B03EA6"/>
    <w:rsid w:val="00B34E3E"/>
    <w:rsid w:val="00B970BD"/>
    <w:rsid w:val="00BE1735"/>
    <w:rsid w:val="00C4378A"/>
    <w:rsid w:val="00CE6554"/>
    <w:rsid w:val="00D25444"/>
    <w:rsid w:val="00D67AA9"/>
    <w:rsid w:val="00D80C23"/>
    <w:rsid w:val="00DD37A4"/>
    <w:rsid w:val="00DD5B1B"/>
    <w:rsid w:val="00DE4468"/>
    <w:rsid w:val="00DF432B"/>
    <w:rsid w:val="00E05CA3"/>
    <w:rsid w:val="00E17B43"/>
    <w:rsid w:val="00E276FC"/>
    <w:rsid w:val="00E325E6"/>
    <w:rsid w:val="00E52CF7"/>
    <w:rsid w:val="00E72962"/>
    <w:rsid w:val="00E87D48"/>
    <w:rsid w:val="00EB344C"/>
    <w:rsid w:val="00EC281C"/>
    <w:rsid w:val="00ED643D"/>
    <w:rsid w:val="00F14D93"/>
    <w:rsid w:val="00F2229E"/>
    <w:rsid w:val="00F2581F"/>
    <w:rsid w:val="00F640BA"/>
    <w:rsid w:val="00F65EBF"/>
    <w:rsid w:val="00F719B5"/>
    <w:rsid w:val="00FF3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382E6"/>
  <w15:chartTrackingRefBased/>
  <w15:docId w15:val="{498516D1-5C13-4D15-9EA3-530D0941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81C"/>
    <w:pPr>
      <w:bidi/>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28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81C"/>
    <w:rPr>
      <w:rFonts w:eastAsiaTheme="minorEastAsia"/>
    </w:rPr>
  </w:style>
  <w:style w:type="character" w:customStyle="1" w:styleId="apple-style-span">
    <w:name w:val="apple-style-span"/>
    <w:basedOn w:val="DefaultParagraphFont"/>
    <w:rsid w:val="00EC281C"/>
  </w:style>
  <w:style w:type="table" w:styleId="TableGrid">
    <w:name w:val="Table Grid"/>
    <w:basedOn w:val="TableNormal"/>
    <w:uiPriority w:val="39"/>
    <w:rsid w:val="00EC281C"/>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2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81C"/>
    <w:rPr>
      <w:rFonts w:eastAsiaTheme="minorEastAsia"/>
    </w:rPr>
  </w:style>
  <w:style w:type="character" w:styleId="Hyperlink">
    <w:name w:val="Hyperlink"/>
    <w:basedOn w:val="DefaultParagraphFont"/>
    <w:uiPriority w:val="99"/>
    <w:unhideWhenUsed/>
    <w:rsid w:val="00E325E6"/>
    <w:rPr>
      <w:color w:val="0000FF" w:themeColor="hyperlink"/>
      <w:u w:val="single"/>
    </w:rPr>
  </w:style>
  <w:style w:type="character" w:customStyle="1" w:styleId="UnresolvedMention1">
    <w:name w:val="Unresolved Mention1"/>
    <w:basedOn w:val="DefaultParagraphFont"/>
    <w:uiPriority w:val="99"/>
    <w:semiHidden/>
    <w:unhideWhenUsed/>
    <w:rsid w:val="00E325E6"/>
    <w:rPr>
      <w:color w:val="605E5C"/>
      <w:shd w:val="clear" w:color="auto" w:fill="E1DFDD"/>
    </w:rPr>
  </w:style>
  <w:style w:type="paragraph" w:styleId="FootnoteText">
    <w:name w:val="footnote text"/>
    <w:basedOn w:val="Normal"/>
    <w:link w:val="FootnoteTextChar"/>
    <w:uiPriority w:val="99"/>
    <w:semiHidden/>
    <w:unhideWhenUsed/>
    <w:rsid w:val="00930D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D6A"/>
    <w:rPr>
      <w:rFonts w:eastAsiaTheme="minorEastAsia"/>
      <w:sz w:val="20"/>
      <w:szCs w:val="20"/>
    </w:rPr>
  </w:style>
  <w:style w:type="character" w:styleId="FootnoteReference">
    <w:name w:val="footnote reference"/>
    <w:basedOn w:val="DefaultParagraphFont"/>
    <w:uiPriority w:val="99"/>
    <w:semiHidden/>
    <w:unhideWhenUsed/>
    <w:rsid w:val="00930D6A"/>
    <w:rPr>
      <w:vertAlign w:val="superscript"/>
    </w:rPr>
  </w:style>
  <w:style w:type="paragraph" w:styleId="ListParagraph">
    <w:name w:val="List Paragraph"/>
    <w:basedOn w:val="Normal"/>
    <w:uiPriority w:val="34"/>
    <w:qFormat/>
    <w:rsid w:val="000801DB"/>
    <w:pPr>
      <w:ind w:left="720"/>
      <w:contextualSpacing/>
    </w:pPr>
  </w:style>
  <w:style w:type="paragraph" w:styleId="NormalWeb">
    <w:name w:val="Normal (Web)"/>
    <w:basedOn w:val="Normal"/>
    <w:uiPriority w:val="99"/>
    <w:unhideWhenUsed/>
    <w:rsid w:val="000801DB"/>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styleId="BookTitle">
    <w:name w:val="Book Title"/>
    <w:basedOn w:val="DefaultParagraphFont"/>
    <w:uiPriority w:val="33"/>
    <w:qFormat/>
    <w:rsid w:val="009E651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9592">
      <w:bodyDiv w:val="1"/>
      <w:marLeft w:val="0"/>
      <w:marRight w:val="0"/>
      <w:marTop w:val="0"/>
      <w:marBottom w:val="0"/>
      <w:divBdr>
        <w:top w:val="none" w:sz="0" w:space="0" w:color="auto"/>
        <w:left w:val="none" w:sz="0" w:space="0" w:color="auto"/>
        <w:bottom w:val="none" w:sz="0" w:space="0" w:color="auto"/>
        <w:right w:val="none" w:sz="0" w:space="0" w:color="auto"/>
      </w:divBdr>
      <w:divsChild>
        <w:div w:id="1612278101">
          <w:marLeft w:val="0"/>
          <w:marRight w:val="-195"/>
          <w:marTop w:val="75"/>
          <w:marBottom w:val="0"/>
          <w:divBdr>
            <w:top w:val="none" w:sz="0" w:space="0" w:color="auto"/>
            <w:left w:val="none" w:sz="0" w:space="0" w:color="auto"/>
            <w:bottom w:val="none" w:sz="0" w:space="0" w:color="auto"/>
            <w:right w:val="none" w:sz="0" w:space="0" w:color="auto"/>
          </w:divBdr>
          <w:divsChild>
            <w:div w:id="1780642843">
              <w:marLeft w:val="0"/>
              <w:marRight w:val="0"/>
              <w:marTop w:val="0"/>
              <w:marBottom w:val="0"/>
              <w:divBdr>
                <w:top w:val="none" w:sz="0" w:space="0" w:color="auto"/>
                <w:left w:val="none" w:sz="0" w:space="0" w:color="auto"/>
                <w:bottom w:val="none" w:sz="0" w:space="0" w:color="auto"/>
                <w:right w:val="none" w:sz="0" w:space="0" w:color="auto"/>
              </w:divBdr>
              <w:divsChild>
                <w:div w:id="133544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63712">
          <w:marLeft w:val="0"/>
          <w:marRight w:val="0"/>
          <w:marTop w:val="0"/>
          <w:marBottom w:val="0"/>
          <w:divBdr>
            <w:top w:val="none" w:sz="0" w:space="0" w:color="auto"/>
            <w:left w:val="none" w:sz="0" w:space="0" w:color="auto"/>
            <w:bottom w:val="none" w:sz="0" w:space="0" w:color="auto"/>
            <w:right w:val="none" w:sz="0" w:space="0" w:color="auto"/>
          </w:divBdr>
        </w:div>
      </w:divsChild>
    </w:div>
    <w:div w:id="108163151">
      <w:bodyDiv w:val="1"/>
      <w:marLeft w:val="0"/>
      <w:marRight w:val="0"/>
      <w:marTop w:val="0"/>
      <w:marBottom w:val="0"/>
      <w:divBdr>
        <w:top w:val="none" w:sz="0" w:space="0" w:color="auto"/>
        <w:left w:val="none" w:sz="0" w:space="0" w:color="auto"/>
        <w:bottom w:val="none" w:sz="0" w:space="0" w:color="auto"/>
        <w:right w:val="none" w:sz="0" w:space="0" w:color="auto"/>
      </w:divBdr>
    </w:div>
    <w:div w:id="278151406">
      <w:bodyDiv w:val="1"/>
      <w:marLeft w:val="0"/>
      <w:marRight w:val="0"/>
      <w:marTop w:val="0"/>
      <w:marBottom w:val="0"/>
      <w:divBdr>
        <w:top w:val="none" w:sz="0" w:space="0" w:color="auto"/>
        <w:left w:val="none" w:sz="0" w:space="0" w:color="auto"/>
        <w:bottom w:val="none" w:sz="0" w:space="0" w:color="auto"/>
        <w:right w:val="none" w:sz="0" w:space="0" w:color="auto"/>
      </w:divBdr>
    </w:div>
    <w:div w:id="500237004">
      <w:bodyDiv w:val="1"/>
      <w:marLeft w:val="0"/>
      <w:marRight w:val="0"/>
      <w:marTop w:val="0"/>
      <w:marBottom w:val="0"/>
      <w:divBdr>
        <w:top w:val="none" w:sz="0" w:space="0" w:color="auto"/>
        <w:left w:val="none" w:sz="0" w:space="0" w:color="auto"/>
        <w:bottom w:val="none" w:sz="0" w:space="0" w:color="auto"/>
        <w:right w:val="none" w:sz="0" w:space="0" w:color="auto"/>
      </w:divBdr>
      <w:divsChild>
        <w:div w:id="862519418">
          <w:marLeft w:val="0"/>
          <w:marRight w:val="-195"/>
          <w:marTop w:val="75"/>
          <w:marBottom w:val="0"/>
          <w:divBdr>
            <w:top w:val="none" w:sz="0" w:space="0" w:color="auto"/>
            <w:left w:val="none" w:sz="0" w:space="0" w:color="auto"/>
            <w:bottom w:val="none" w:sz="0" w:space="0" w:color="auto"/>
            <w:right w:val="none" w:sz="0" w:space="0" w:color="auto"/>
          </w:divBdr>
          <w:divsChild>
            <w:div w:id="513500592">
              <w:marLeft w:val="0"/>
              <w:marRight w:val="0"/>
              <w:marTop w:val="0"/>
              <w:marBottom w:val="0"/>
              <w:divBdr>
                <w:top w:val="none" w:sz="0" w:space="0" w:color="auto"/>
                <w:left w:val="none" w:sz="0" w:space="0" w:color="auto"/>
                <w:bottom w:val="none" w:sz="0" w:space="0" w:color="auto"/>
                <w:right w:val="none" w:sz="0" w:space="0" w:color="auto"/>
              </w:divBdr>
              <w:divsChild>
                <w:div w:id="14933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79719">
          <w:marLeft w:val="0"/>
          <w:marRight w:val="0"/>
          <w:marTop w:val="0"/>
          <w:marBottom w:val="0"/>
          <w:divBdr>
            <w:top w:val="none" w:sz="0" w:space="0" w:color="auto"/>
            <w:left w:val="none" w:sz="0" w:space="0" w:color="auto"/>
            <w:bottom w:val="none" w:sz="0" w:space="0" w:color="auto"/>
            <w:right w:val="none" w:sz="0" w:space="0" w:color="auto"/>
          </w:divBdr>
        </w:div>
      </w:divsChild>
    </w:div>
    <w:div w:id="733090289">
      <w:bodyDiv w:val="1"/>
      <w:marLeft w:val="0"/>
      <w:marRight w:val="0"/>
      <w:marTop w:val="0"/>
      <w:marBottom w:val="0"/>
      <w:divBdr>
        <w:top w:val="none" w:sz="0" w:space="0" w:color="auto"/>
        <w:left w:val="none" w:sz="0" w:space="0" w:color="auto"/>
        <w:bottom w:val="none" w:sz="0" w:space="0" w:color="auto"/>
        <w:right w:val="none" w:sz="0" w:space="0" w:color="auto"/>
      </w:divBdr>
    </w:div>
    <w:div w:id="794636265">
      <w:bodyDiv w:val="1"/>
      <w:marLeft w:val="0"/>
      <w:marRight w:val="0"/>
      <w:marTop w:val="0"/>
      <w:marBottom w:val="0"/>
      <w:divBdr>
        <w:top w:val="none" w:sz="0" w:space="0" w:color="auto"/>
        <w:left w:val="none" w:sz="0" w:space="0" w:color="auto"/>
        <w:bottom w:val="none" w:sz="0" w:space="0" w:color="auto"/>
        <w:right w:val="none" w:sz="0" w:space="0" w:color="auto"/>
      </w:divBdr>
    </w:div>
    <w:div w:id="847476996">
      <w:bodyDiv w:val="1"/>
      <w:marLeft w:val="0"/>
      <w:marRight w:val="0"/>
      <w:marTop w:val="0"/>
      <w:marBottom w:val="0"/>
      <w:divBdr>
        <w:top w:val="none" w:sz="0" w:space="0" w:color="auto"/>
        <w:left w:val="none" w:sz="0" w:space="0" w:color="auto"/>
        <w:bottom w:val="none" w:sz="0" w:space="0" w:color="auto"/>
        <w:right w:val="none" w:sz="0" w:space="0" w:color="auto"/>
      </w:divBdr>
      <w:divsChild>
        <w:div w:id="1662386755">
          <w:marLeft w:val="0"/>
          <w:marRight w:val="0"/>
          <w:marTop w:val="0"/>
          <w:marBottom w:val="0"/>
          <w:divBdr>
            <w:top w:val="none" w:sz="0" w:space="0" w:color="auto"/>
            <w:left w:val="none" w:sz="0" w:space="0" w:color="auto"/>
            <w:bottom w:val="none" w:sz="0" w:space="0" w:color="auto"/>
            <w:right w:val="none" w:sz="0" w:space="0" w:color="auto"/>
          </w:divBdr>
        </w:div>
      </w:divsChild>
    </w:div>
    <w:div w:id="939022271">
      <w:bodyDiv w:val="1"/>
      <w:marLeft w:val="0"/>
      <w:marRight w:val="0"/>
      <w:marTop w:val="0"/>
      <w:marBottom w:val="0"/>
      <w:divBdr>
        <w:top w:val="none" w:sz="0" w:space="0" w:color="auto"/>
        <w:left w:val="none" w:sz="0" w:space="0" w:color="auto"/>
        <w:bottom w:val="none" w:sz="0" w:space="0" w:color="auto"/>
        <w:right w:val="none" w:sz="0" w:space="0" w:color="auto"/>
      </w:divBdr>
      <w:divsChild>
        <w:div w:id="201286306">
          <w:marLeft w:val="0"/>
          <w:marRight w:val="0"/>
          <w:marTop w:val="0"/>
          <w:marBottom w:val="0"/>
          <w:divBdr>
            <w:top w:val="none" w:sz="0" w:space="0" w:color="auto"/>
            <w:left w:val="none" w:sz="0" w:space="0" w:color="auto"/>
            <w:bottom w:val="none" w:sz="0" w:space="0" w:color="auto"/>
            <w:right w:val="none" w:sz="0" w:space="0" w:color="auto"/>
          </w:divBdr>
        </w:div>
      </w:divsChild>
    </w:div>
    <w:div w:id="951549889">
      <w:bodyDiv w:val="1"/>
      <w:marLeft w:val="0"/>
      <w:marRight w:val="0"/>
      <w:marTop w:val="0"/>
      <w:marBottom w:val="0"/>
      <w:divBdr>
        <w:top w:val="none" w:sz="0" w:space="0" w:color="auto"/>
        <w:left w:val="none" w:sz="0" w:space="0" w:color="auto"/>
        <w:bottom w:val="none" w:sz="0" w:space="0" w:color="auto"/>
        <w:right w:val="none" w:sz="0" w:space="0" w:color="auto"/>
      </w:divBdr>
    </w:div>
    <w:div w:id="107682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m6UfAQ" TargetMode="External"/><Relationship Id="rId3" Type="http://schemas.openxmlformats.org/officeDocument/2006/relationships/hyperlink" Target="https://bit.ly/3AUz2js" TargetMode="External"/><Relationship Id="rId7" Type="http://schemas.openxmlformats.org/officeDocument/2006/relationships/hyperlink" Target="https://bit.ly/3BwZj75" TargetMode="External"/><Relationship Id="rId12" Type="http://schemas.openxmlformats.org/officeDocument/2006/relationships/hyperlink" Target="https://bit.ly/3m6UfAQ" TargetMode="External"/><Relationship Id="rId2" Type="http://schemas.openxmlformats.org/officeDocument/2006/relationships/hyperlink" Target="https://bit.ly/3ohMB9t" TargetMode="External"/><Relationship Id="rId1" Type="http://schemas.openxmlformats.org/officeDocument/2006/relationships/hyperlink" Target="https://bit.ly/2Y7991K" TargetMode="External"/><Relationship Id="rId6" Type="http://schemas.openxmlformats.org/officeDocument/2006/relationships/hyperlink" Target="https://bit.ly/3ikxF6q" TargetMode="External"/><Relationship Id="rId11" Type="http://schemas.openxmlformats.org/officeDocument/2006/relationships/hyperlink" Target="https://bit.ly/3iij0sm" TargetMode="External"/><Relationship Id="rId5" Type="http://schemas.openxmlformats.org/officeDocument/2006/relationships/hyperlink" Target="https://bit.ly/2ZKPJ3u" TargetMode="External"/><Relationship Id="rId10" Type="http://schemas.openxmlformats.org/officeDocument/2006/relationships/hyperlink" Target="https://bit.ly/3l98gic" TargetMode="External"/><Relationship Id="rId4" Type="http://schemas.openxmlformats.org/officeDocument/2006/relationships/hyperlink" Target="https://bit.ly/2XZjYCA" TargetMode="External"/><Relationship Id="rId9" Type="http://schemas.openxmlformats.org/officeDocument/2006/relationships/hyperlink" Target="https://bit.ly/3ilbVY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FBB4F-6196-44EE-B8E6-0379556F2F15}"/>
</file>

<file path=customXml/itemProps2.xml><?xml version="1.0" encoding="utf-8"?>
<ds:datastoreItem xmlns:ds="http://schemas.openxmlformats.org/officeDocument/2006/customXml" ds:itemID="{14E4068C-B07E-429F-A857-2C656F160E49}"/>
</file>

<file path=customXml/itemProps3.xml><?xml version="1.0" encoding="utf-8"?>
<ds:datastoreItem xmlns:ds="http://schemas.openxmlformats.org/officeDocument/2006/customXml" ds:itemID="{4D74D19E-92CD-413C-BE0B-600450992445}"/>
</file>

<file path=docProps/app.xml><?xml version="1.0" encoding="utf-8"?>
<Properties xmlns="http://schemas.openxmlformats.org/officeDocument/2006/extended-properties" xmlns:vt="http://schemas.openxmlformats.org/officeDocument/2006/docPropsVTypes">
  <Template>Normal</Template>
  <TotalTime>13</TotalTime>
  <Pages>5</Pages>
  <Words>2238</Words>
  <Characters>12758</Characters>
  <Application>Microsoft Office Word</Application>
  <DocSecurity>0</DocSecurity>
  <Lines>106</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DR.ASMAA HEGAZY</dc:creator>
  <cp:keywords/>
  <dc:description/>
  <cp:lastModifiedBy>8Dell</cp:lastModifiedBy>
  <cp:revision>2</cp:revision>
  <dcterms:created xsi:type="dcterms:W3CDTF">2022-01-05T20:54:00Z</dcterms:created>
  <dcterms:modified xsi:type="dcterms:W3CDTF">2022-01-05T20:54:00Z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